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C4C0" w14:textId="77777777" w:rsidR="002C1F81" w:rsidRPr="00A61C6E" w:rsidRDefault="002C1F81" w:rsidP="00B77E10">
      <w:pPr>
        <w:tabs>
          <w:tab w:val="left" w:pos="1800"/>
          <w:tab w:val="left" w:pos="2160"/>
        </w:tabs>
        <w:spacing w:before="1440"/>
        <w:jc w:val="center"/>
        <w:rPr>
          <w:rFonts w:ascii="Arial" w:hAnsi="Arial" w:cs="Arial"/>
          <w:b/>
        </w:rPr>
      </w:pPr>
      <w:bookmarkStart w:id="0" w:name="_Toc137745023"/>
      <w:r w:rsidRPr="00A61C6E">
        <w:rPr>
          <w:rFonts w:ascii="Arial" w:hAnsi="Arial" w:cs="Arial"/>
          <w:b/>
        </w:rPr>
        <w:t>CONVENTION POUR LA SAUVEGARDE DU</w:t>
      </w:r>
      <w:r w:rsidRPr="00A61C6E">
        <w:rPr>
          <w:rFonts w:ascii="Arial" w:hAnsi="Arial" w:cs="Arial"/>
          <w:b/>
        </w:rPr>
        <w:br/>
        <w:t>PATRIMOINE CULTUREL IMMATÉRIEL</w:t>
      </w:r>
    </w:p>
    <w:p w14:paraId="441FEDF7" w14:textId="77777777" w:rsidR="002C1F81" w:rsidRDefault="002C1F81" w:rsidP="002C1F81">
      <w:pPr>
        <w:spacing w:before="1200" w:after="0"/>
        <w:ind w:right="-1"/>
        <w:jc w:val="center"/>
        <w:rPr>
          <w:rFonts w:ascii="Arial" w:eastAsia="Calibri" w:hAnsi="Arial" w:cs="Arial"/>
          <w:b/>
          <w:bCs/>
        </w:rPr>
      </w:pPr>
      <w:bookmarkStart w:id="1" w:name="_Hlk128593939"/>
      <w:bookmarkStart w:id="2" w:name="_Hlk145405383"/>
      <w:r w:rsidRPr="00430964">
        <w:rPr>
          <w:rFonts w:ascii="Arial" w:eastAsia="Calibri" w:hAnsi="Arial" w:cs="Arial"/>
          <w:b/>
          <w:bCs/>
        </w:rPr>
        <w:t>Réunion d’experts sur les dimensions économiques de</w:t>
      </w:r>
    </w:p>
    <w:p w14:paraId="17F8EC15" w14:textId="77777777" w:rsidR="002C1F81" w:rsidRPr="00B53A34" w:rsidRDefault="002C1F81" w:rsidP="002C1F81">
      <w:pPr>
        <w:spacing w:before="1200" w:after="0"/>
        <w:contextualSpacing/>
        <w:jc w:val="center"/>
        <w:rPr>
          <w:rFonts w:ascii="Arial" w:eastAsia="Calibri" w:hAnsi="Arial" w:cs="Arial"/>
          <w:b/>
          <w:bCs/>
        </w:rPr>
      </w:pPr>
      <w:proofErr w:type="gramStart"/>
      <w:r w:rsidRPr="00430964">
        <w:rPr>
          <w:rFonts w:ascii="Arial" w:eastAsia="Calibri" w:hAnsi="Arial" w:cs="Arial"/>
          <w:b/>
          <w:bCs/>
        </w:rPr>
        <w:t>la</w:t>
      </w:r>
      <w:proofErr w:type="gramEnd"/>
      <w:r w:rsidRPr="00430964">
        <w:rPr>
          <w:rFonts w:ascii="Arial" w:eastAsia="Calibri" w:hAnsi="Arial" w:cs="Arial"/>
          <w:b/>
          <w:bCs/>
        </w:rPr>
        <w:t xml:space="preserve"> sauvegarde du patrimoine culturel immatériel</w:t>
      </w:r>
    </w:p>
    <w:p w14:paraId="4385A2D1" w14:textId="77777777" w:rsidR="002C1F81" w:rsidRDefault="002C1F81" w:rsidP="002C1F81">
      <w:pPr>
        <w:spacing w:before="840" w:after="0"/>
        <w:jc w:val="center"/>
        <w:rPr>
          <w:rFonts w:ascii="Arial" w:hAnsi="Arial" w:cs="Arial"/>
          <w:b/>
        </w:rPr>
      </w:pPr>
      <w:bookmarkStart w:id="3" w:name="_Hlk145405926"/>
      <w:bookmarkEnd w:id="1"/>
      <w:r w:rsidRPr="0086314E">
        <w:rPr>
          <w:rFonts w:ascii="Arial" w:eastAsia="Calibri" w:hAnsi="Arial" w:cs="Arial"/>
          <w:b/>
          <w:bCs/>
        </w:rPr>
        <w:t xml:space="preserve">27 – </w:t>
      </w:r>
      <w:r>
        <w:rPr>
          <w:rFonts w:ascii="Arial" w:hAnsi="Arial" w:cs="Arial"/>
          <w:b/>
        </w:rPr>
        <w:t xml:space="preserve">28 </w:t>
      </w:r>
      <w:r w:rsidRPr="0086314E">
        <w:rPr>
          <w:rFonts w:ascii="Arial" w:eastAsia="Calibri" w:hAnsi="Arial" w:cs="Arial"/>
          <w:b/>
          <w:bCs/>
        </w:rPr>
        <w:t>septembre</w:t>
      </w:r>
      <w:r>
        <w:rPr>
          <w:rFonts w:ascii="Arial" w:hAnsi="Arial" w:cs="Arial"/>
          <w:b/>
        </w:rPr>
        <w:t xml:space="preserve"> 2023 (partie I)</w:t>
      </w:r>
    </w:p>
    <w:p w14:paraId="78C406D0" w14:textId="77777777" w:rsidR="002C1F81" w:rsidRDefault="002C1F81" w:rsidP="002C1F81">
      <w:pPr>
        <w:spacing w:after="0"/>
        <w:ind w:right="-1"/>
        <w:jc w:val="center"/>
        <w:rPr>
          <w:rFonts w:ascii="Arial" w:hAnsi="Arial" w:cs="Arial"/>
          <w:b/>
        </w:rPr>
      </w:pPr>
      <w:r w:rsidRPr="0086314E">
        <w:rPr>
          <w:rFonts w:ascii="Arial" w:eastAsia="Calibri" w:hAnsi="Arial" w:cs="Arial"/>
          <w:b/>
          <w:bCs/>
        </w:rPr>
        <w:t>Siège</w:t>
      </w:r>
      <w:r w:rsidRPr="00430964">
        <w:rPr>
          <w:rFonts w:ascii="Arial" w:hAnsi="Arial" w:cs="Arial"/>
          <w:b/>
        </w:rPr>
        <w:t xml:space="preserve"> de l’UNESCO</w:t>
      </w:r>
      <w:r w:rsidRPr="004F1B36">
        <w:rPr>
          <w:rFonts w:ascii="Arial" w:hAnsi="Arial" w:cs="Arial"/>
          <w:b/>
        </w:rPr>
        <w:t xml:space="preserve">, </w:t>
      </w:r>
      <w:bookmarkStart w:id="4" w:name="_Hlk128491999"/>
      <w:r>
        <w:rPr>
          <w:rFonts w:ascii="Arial" w:hAnsi="Arial" w:cs="Arial"/>
          <w:b/>
        </w:rPr>
        <w:t>Paris</w:t>
      </w:r>
      <w:bookmarkEnd w:id="4"/>
    </w:p>
    <w:p w14:paraId="13464011" w14:textId="77777777" w:rsidR="002C1F81" w:rsidRPr="00B77E10" w:rsidRDefault="002C1F81" w:rsidP="002C1F81">
      <w:pPr>
        <w:spacing w:before="360" w:after="0"/>
        <w:ind w:right="-1"/>
        <w:jc w:val="center"/>
        <w:rPr>
          <w:rFonts w:asciiTheme="minorBidi" w:hAnsiTheme="minorBidi"/>
          <w:b/>
        </w:rPr>
      </w:pPr>
      <w:r>
        <w:rPr>
          <w:rFonts w:ascii="Arial" w:hAnsi="Arial" w:cs="Arial"/>
          <w:b/>
        </w:rPr>
        <w:t xml:space="preserve">20 </w:t>
      </w:r>
      <w:r w:rsidRPr="00B77E10">
        <w:rPr>
          <w:rFonts w:asciiTheme="minorBidi" w:hAnsiTheme="minorBidi"/>
          <w:b/>
        </w:rPr>
        <w:t>octobre 2023 (partie II)</w:t>
      </w:r>
    </w:p>
    <w:p w14:paraId="0914923D" w14:textId="77777777" w:rsidR="002C1F81" w:rsidRPr="00B77E10" w:rsidRDefault="002C1F81" w:rsidP="00B77E10">
      <w:pPr>
        <w:spacing w:after="1200" w:line="240" w:lineRule="auto"/>
        <w:jc w:val="center"/>
        <w:rPr>
          <w:rFonts w:asciiTheme="minorBidi" w:hAnsiTheme="minorBidi"/>
          <w:b/>
        </w:rPr>
      </w:pPr>
      <w:r w:rsidRPr="00B77E10">
        <w:rPr>
          <w:rFonts w:asciiTheme="minorBidi" w:hAnsiTheme="minorBidi"/>
          <w:b/>
        </w:rPr>
        <w:t xml:space="preserve">En </w:t>
      </w:r>
      <w:r w:rsidRPr="00226594">
        <w:rPr>
          <w:rFonts w:asciiTheme="minorBidi" w:eastAsia="Times New Roman" w:hAnsiTheme="minorBidi"/>
          <w:b/>
          <w:kern w:val="0"/>
          <w:lang w:eastAsia="fr-FR"/>
          <w14:ligatures w14:val="none"/>
        </w:rPr>
        <w:t>ligne</w:t>
      </w:r>
    </w:p>
    <w:bookmarkEnd w:id="2"/>
    <w:bookmarkEnd w:id="3"/>
    <w:p w14:paraId="640B0457" w14:textId="77777777" w:rsidR="002C1F81" w:rsidRPr="00B77E10" w:rsidRDefault="002C1F81" w:rsidP="002C1F81">
      <w:pPr>
        <w:pStyle w:val="NormalWeb"/>
        <w:jc w:val="center"/>
        <w:rPr>
          <w:rFonts w:asciiTheme="minorBidi" w:hAnsiTheme="minorBidi" w:cstheme="minorBidi"/>
          <w:sz w:val="22"/>
          <w:szCs w:val="22"/>
          <w:lang w:val="fr-FR"/>
        </w:rPr>
      </w:pPr>
      <w:r w:rsidRPr="00B77E10">
        <w:rPr>
          <w:rStyle w:val="Strong"/>
          <w:rFonts w:asciiTheme="minorBidi" w:hAnsiTheme="minorBidi" w:cstheme="minorBidi"/>
          <w:sz w:val="22"/>
          <w:szCs w:val="22"/>
          <w:lang w:val="fr-FR"/>
        </w:rPr>
        <w:t>Perspectives offertes par différents domaines</w:t>
      </w:r>
    </w:p>
    <w:p w14:paraId="08F61B1B" w14:textId="77777777" w:rsidR="002C1F81" w:rsidRDefault="002C1F81" w:rsidP="002C1F81">
      <w:pPr>
        <w:keepNext/>
        <w:keepLines/>
        <w:spacing w:before="40" w:after="0"/>
        <w:jc w:val="both"/>
        <w:outlineLvl w:val="1"/>
        <w:rPr>
          <w:rFonts w:asciiTheme="majorHAnsi" w:eastAsiaTheme="majorEastAsia" w:hAnsiTheme="majorHAnsi" w:cstheme="majorBidi"/>
          <w:color w:val="2F5496" w:themeColor="accent1" w:themeShade="BF"/>
          <w:kern w:val="0"/>
          <w:sz w:val="26"/>
          <w:szCs w:val="26"/>
          <w:lang w:eastAsia="en-US"/>
          <w14:ligatures w14:val="none"/>
        </w:rPr>
      </w:pPr>
    </w:p>
    <w:p w14:paraId="6D789B35" w14:textId="77777777" w:rsidR="002C1F81" w:rsidRDefault="002C1F81" w:rsidP="002C1F81">
      <w:pPr>
        <w:keepNext/>
        <w:keepLines/>
        <w:spacing w:before="40" w:after="0"/>
        <w:jc w:val="both"/>
        <w:outlineLvl w:val="1"/>
        <w:rPr>
          <w:rFonts w:asciiTheme="majorHAnsi" w:eastAsiaTheme="majorEastAsia" w:hAnsiTheme="majorHAnsi" w:cstheme="majorBidi"/>
          <w:color w:val="2F5496" w:themeColor="accent1" w:themeShade="BF"/>
          <w:kern w:val="0"/>
          <w:sz w:val="26"/>
          <w:szCs w:val="26"/>
          <w:lang w:eastAsia="en-US"/>
          <w14:ligatures w14:val="none"/>
        </w:rPr>
        <w:sectPr w:rsidR="002C1F81">
          <w:headerReference w:type="even" r:id="rId8"/>
          <w:headerReference w:type="default" r:id="rId9"/>
          <w:headerReference w:type="first" r:id="rId10"/>
          <w:pgSz w:w="12240" w:h="15840"/>
          <w:pgMar w:top="1440" w:right="1440" w:bottom="1440" w:left="1440" w:header="720" w:footer="720" w:gutter="0"/>
          <w:cols w:space="720"/>
          <w:docGrid w:linePitch="360"/>
        </w:sectPr>
      </w:pPr>
    </w:p>
    <w:p w14:paraId="1AC20FD1" w14:textId="16D95571" w:rsidR="002C1F81" w:rsidRPr="00F479EF" w:rsidRDefault="002C1F81" w:rsidP="002C1F81">
      <w:pPr>
        <w:keepNext/>
        <w:keepLines/>
        <w:spacing w:before="40" w:after="0"/>
        <w:jc w:val="both"/>
        <w:outlineLvl w:val="1"/>
        <w:rPr>
          <w:rFonts w:asciiTheme="majorHAnsi" w:eastAsiaTheme="majorEastAsia" w:hAnsiTheme="majorHAnsi" w:cstheme="majorBidi"/>
          <w:color w:val="2F5496" w:themeColor="accent1" w:themeShade="BF"/>
          <w:kern w:val="0"/>
          <w:sz w:val="26"/>
          <w:szCs w:val="26"/>
          <w:lang w:eastAsia="en-US"/>
          <w14:ligatures w14:val="none"/>
        </w:rPr>
      </w:pPr>
      <w:r w:rsidRPr="00F479EF">
        <w:rPr>
          <w:rFonts w:asciiTheme="majorHAnsi" w:eastAsiaTheme="majorEastAsia" w:hAnsiTheme="majorHAnsi" w:cstheme="majorBidi"/>
          <w:color w:val="2F5496" w:themeColor="accent1" w:themeShade="BF"/>
          <w:kern w:val="0"/>
          <w:sz w:val="26"/>
          <w:szCs w:val="26"/>
          <w:lang w:eastAsia="en-US"/>
          <w14:ligatures w14:val="none"/>
        </w:rPr>
        <w:lastRenderedPageBreak/>
        <w:t>Introduction</w:t>
      </w:r>
      <w:bookmarkEnd w:id="0"/>
      <w:r w:rsidR="006872DE">
        <w:rPr>
          <w:rStyle w:val="FootnoteReference"/>
          <w:rFonts w:ascii="Calibri Light" w:eastAsia="DengXian Light" w:hAnsi="Calibri Light"/>
          <w:color w:val="2F5496"/>
          <w:sz w:val="26"/>
          <w:szCs w:val="26"/>
          <w:lang w:val="en-GB" w:eastAsia="en-US"/>
        </w:rPr>
        <w:footnoteReference w:id="1"/>
      </w:r>
    </w:p>
    <w:p w14:paraId="21E5897D" w14:textId="7C31087D" w:rsidR="002C1F81" w:rsidRPr="00F479EF" w:rsidRDefault="00BA4328" w:rsidP="002C1F81">
      <w:pPr>
        <w:jc w:val="both"/>
        <w:rPr>
          <w:rFonts w:eastAsiaTheme="minorHAnsi" w:cstheme="minorHAnsi"/>
          <w:kern w:val="0"/>
          <w:lang w:eastAsia="en-US"/>
          <w14:ligatures w14:val="none"/>
        </w:rPr>
      </w:pPr>
      <w:r>
        <w:rPr>
          <w:rFonts w:eastAsiaTheme="minorHAnsi" w:cstheme="minorHAnsi"/>
          <w:kern w:val="0"/>
          <w:lang w:eastAsia="en-US"/>
          <w14:ligatures w14:val="none"/>
        </w:rPr>
        <w:t>Ce document</w:t>
      </w:r>
      <w:r w:rsidR="002C1F81" w:rsidRPr="00F479EF">
        <w:rPr>
          <w:rFonts w:eastAsiaTheme="minorHAnsi" w:cstheme="minorHAnsi"/>
          <w:kern w:val="0"/>
          <w:lang w:eastAsia="en-US"/>
          <w14:ligatures w14:val="none"/>
        </w:rPr>
        <w:t xml:space="preserve"> vise à identifier les principaux éléments de la littérature relatifs aux aspects économiques de la sauvegarde du PCI qui peuvent servir à élaborer des lignes directrices pour traiter des questions telles que la décontextualisation et la commercialisation excessive dans la sauvegarde du patrimoine culturel immatériel (PCI) dans le cadre de la Convention de l’UNESCO de 2003 pour la sauvegarde du patrimoine culturel immatériel (ci-après, la Convention). Il tâche de combler les lacunes sur le sujet et de répondre aux questions soulevées par l’analyse des textes de la Convention, des décisions du Comité et des rapports des organes d’évaluation pour ce qui concerne les facteurs économiques liés au PCI. </w:t>
      </w:r>
    </w:p>
    <w:p w14:paraId="7DD83B9A" w14:textId="001F9262"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Les travaux examinés couvrent un certain nombre de disciplines universitaires (dont l’anthropologie, les études critiques sur le patrimoine, l’économie, le droit, le marketing et le tourisme). Cet examen comprend de la littérature grise et des études politiques, ainsi que des travaux réalisés par des organisations communautaires et de la société civile, des ONG, des centres de catégorie 2 sous les auspices de l’UNESCO et des agences internationales telles que l’UNESCO, l’OMT, la FAO et l’OMPI, dans toutes les régions de l’UNESCO (voir les notes de bas de page). </w:t>
      </w:r>
    </w:p>
    <w:p w14:paraId="6B736FD0" w14:textId="000FC562"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 présent examen a été organisé de manière thématique, et couvre à la fois les cadres généraux et les concepts. Le présent examen inclut des idées et des références fournies par un Comité d’examen par les pairs représentatif des différentes régions. Il n’est pas exhaustif et son champ d’études reste assez restreint, se concentrant pour l’heure sur les travaux en anglais. Il faut considérer cet examen comme un travail en cours qu’il conviendra d’améliorer et de mettre à jour régulièrement, en incorporant des idées et des références issues de travaux réalisés dans d’autres langues. </w:t>
      </w:r>
    </w:p>
    <w:p w14:paraId="46957BE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Voici certaines des questions étudiées lors de cet examen documentaire :</w:t>
      </w:r>
    </w:p>
    <w:p w14:paraId="6FBFBBDD" w14:textId="77777777" w:rsidR="002C1F81" w:rsidRPr="00F479EF" w:rsidRDefault="002C1F81" w:rsidP="002C1F81">
      <w:pPr>
        <w:numPr>
          <w:ilvl w:val="0"/>
          <w:numId w:val="2"/>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Comment mieux comprendre la relation complexe entre la sauvegarde du PCI et le marché ? </w:t>
      </w:r>
    </w:p>
    <w:p w14:paraId="2996F0CB" w14:textId="77777777" w:rsidR="002C1F81" w:rsidRPr="00F479EF" w:rsidRDefault="002C1F81" w:rsidP="00B77E10">
      <w:pPr>
        <w:numPr>
          <w:ilvl w:val="0"/>
          <w:numId w:val="2"/>
        </w:numPr>
        <w:ind w:left="714" w:hanging="357"/>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Quels concepts peuvent nous aider à comprendre la relation entre le PCI et le marché (par exemple, contexte et décontextualisation, commercialisation excessive, détournement et présentation erronée, signification et valeur) ? </w:t>
      </w:r>
    </w:p>
    <w:p w14:paraId="1EA0579E" w14:textId="172704C3"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Cet examen permettra de mieux comprendre les questions </w:t>
      </w:r>
      <w:r w:rsidR="00753266">
        <w:rPr>
          <w:rFonts w:eastAsiaTheme="minorHAnsi" w:cstheme="minorHAnsi"/>
          <w:kern w:val="0"/>
          <w:lang w:eastAsia="en-US"/>
          <w14:ligatures w14:val="none"/>
        </w:rPr>
        <w:t>suivantes</w:t>
      </w:r>
      <w:r w:rsidRPr="00F479EF">
        <w:rPr>
          <w:rFonts w:eastAsiaTheme="minorHAnsi" w:cstheme="minorHAnsi"/>
          <w:kern w:val="0"/>
          <w:lang w:eastAsia="en-US"/>
          <w14:ligatures w14:val="none"/>
        </w:rPr>
        <w:t> :</w:t>
      </w:r>
    </w:p>
    <w:p w14:paraId="084E00E6" w14:textId="77777777" w:rsidR="002C1F81" w:rsidRPr="00F479EF" w:rsidRDefault="002C1F81" w:rsidP="002C1F81">
      <w:pPr>
        <w:numPr>
          <w:ilvl w:val="0"/>
          <w:numId w:val="2"/>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Comment le marché affecte-t-il, positivement ou négativement, la sauvegarde menée par les communautés et le partage équitable des bénéfices ? </w:t>
      </w:r>
    </w:p>
    <w:p w14:paraId="33852962" w14:textId="77777777" w:rsidR="002C1F81" w:rsidRPr="00F479EF" w:rsidRDefault="002C1F81" w:rsidP="002C1F81">
      <w:pPr>
        <w:numPr>
          <w:ilvl w:val="0"/>
          <w:numId w:val="2"/>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Comment soutenir les communautés qui s’engagent sur le marché et leur donner les moyens de le faire d’une manière qui favorise la sauvegarde et le développement durable de ces communautés ?</w:t>
      </w:r>
    </w:p>
    <w:p w14:paraId="1691666D" w14:textId="77777777" w:rsidR="002C1F81" w:rsidRPr="00F479EF" w:rsidRDefault="002C1F81" w:rsidP="002C1F81">
      <w:pPr>
        <w:jc w:val="both"/>
        <w:rPr>
          <w:rFonts w:asciiTheme="majorHAnsi" w:eastAsiaTheme="majorEastAsia" w:hAnsiTheme="majorHAnsi" w:cstheme="majorBidi"/>
          <w:color w:val="2F5496" w:themeColor="accent1" w:themeShade="BF"/>
          <w:kern w:val="0"/>
          <w:sz w:val="26"/>
          <w:szCs w:val="26"/>
          <w:lang w:eastAsia="en-US"/>
          <w14:ligatures w14:val="none"/>
        </w:rPr>
      </w:pPr>
      <w:r w:rsidRPr="00F479EF">
        <w:rPr>
          <w:rFonts w:eastAsiaTheme="minorHAnsi" w:cstheme="minorHAnsi"/>
          <w:kern w:val="0"/>
          <w:lang w:eastAsia="en-US"/>
          <w14:ligatures w14:val="none"/>
        </w:rPr>
        <w:br w:type="page"/>
      </w:r>
    </w:p>
    <w:p w14:paraId="6313248F" w14:textId="77777777" w:rsidR="002C1F81" w:rsidRPr="00F479EF" w:rsidRDefault="002C1F81" w:rsidP="00B77E10">
      <w:pPr>
        <w:keepNext/>
        <w:keepLines/>
        <w:jc w:val="both"/>
        <w:outlineLvl w:val="1"/>
        <w:rPr>
          <w:rFonts w:asciiTheme="majorHAnsi" w:eastAsiaTheme="majorEastAsia" w:hAnsiTheme="majorHAnsi" w:cstheme="majorBidi"/>
          <w:color w:val="2F5496" w:themeColor="accent1" w:themeShade="BF"/>
          <w:kern w:val="0"/>
          <w:sz w:val="26"/>
          <w:szCs w:val="26"/>
          <w:lang w:eastAsia="en-US"/>
          <w14:ligatures w14:val="none"/>
        </w:rPr>
      </w:pPr>
      <w:bookmarkStart w:id="5" w:name="_Toc137745024"/>
      <w:r w:rsidRPr="00F479EF">
        <w:rPr>
          <w:rFonts w:asciiTheme="majorHAnsi" w:eastAsiaTheme="majorEastAsia" w:hAnsiTheme="majorHAnsi" w:cstheme="majorBidi"/>
          <w:color w:val="2F5496" w:themeColor="accent1" w:themeShade="BF"/>
          <w:kern w:val="0"/>
          <w:sz w:val="26"/>
          <w:szCs w:val="26"/>
          <w:lang w:eastAsia="en-US"/>
          <w14:ligatures w14:val="none"/>
        </w:rPr>
        <w:lastRenderedPageBreak/>
        <w:t>Identifier les risques et les avantages de la mise sur le marché du PCI</w:t>
      </w:r>
      <w:bookmarkEnd w:id="5"/>
    </w:p>
    <w:p w14:paraId="706E6E4B" w14:textId="77777777" w:rsidR="002C1F81" w:rsidRPr="00F479EF" w:rsidRDefault="002C1F81" w:rsidP="00140AC0">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Dans cette section, nous présentons brièvement une partie de la littérature et des initiatives concernant les risques et les avantages d’une mise sur le marché du PCI vis-à-vis des enjeux de sauvegarde et de développement durable. </w:t>
      </w:r>
    </w:p>
    <w:p w14:paraId="578A261C" w14:textId="4EEE6FD3"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Au vu du travail du Comité et de ses organes consultatifs, une première constatation s’impose : comprendre les effets de la mise sur le marché sur la sauvegarde du PCI est une tâche complexe. De nombreuses communautés, groupes et individus exploitent déjà, et ce depuis longtemps, des éléments de leur patrimoine (y compris du PCI) à des fins entre autres économiques ; l’utilisation commerciale préexiste souvent à leur statut patrimonial au sein d’une communauté. Ce sont parfois ces pratiques économiques, comme la vente d’objets artisanaux, qui ont permis à des pratiques du PCI de perdurer. Il est évident que certaines d’entre-elles, telles que les rituels secrets ou sacrés, peuvent être menacées par un contact avec le marché, quelle qu’en soit la nature. D’autres types de PCI peuvent en bénéficier ou ne pas être affectés du tout. Bien sûr, les pratiques du PCI ne sauraient être réduites à des produits et à des services, même si ceux-ci peuvent être créés et mis sur le marché. Il est donc souvent difficile de déterminer l’impact exact de la mise sur le marché du PCI. On a considéré que l’utilisation commerciale par des tiers est problématique si les communautés n’en ont pas le contrôle et n’en tirent aucun bénéfice. Toutefois, les membres des communautés peuvent adopter des approches différentes pour exploiter leur propre patrimoine, ou avoir des avis divergents sur ce qui constitue une utilisation, un avantage ou </w:t>
      </w:r>
      <w:proofErr w:type="gramStart"/>
      <w:r w:rsidRPr="00F479EF">
        <w:rPr>
          <w:rFonts w:eastAsiaTheme="minorHAnsi" w:cstheme="minorHAnsi"/>
          <w:kern w:val="0"/>
          <w:lang w:eastAsia="en-US"/>
          <w14:ligatures w14:val="none"/>
        </w:rPr>
        <w:t>un changement inacceptables</w:t>
      </w:r>
      <w:proofErr w:type="gramEnd"/>
      <w:r w:rsidRPr="00F479EF">
        <w:rPr>
          <w:rFonts w:eastAsiaTheme="minorHAnsi" w:cstheme="minorHAnsi"/>
          <w:kern w:val="0"/>
          <w:lang w:eastAsia="en-US"/>
          <w14:ligatures w14:val="none"/>
        </w:rPr>
        <w:t>. Les intérêts des entrepreneurs divergent parfois considérablement de ceux de l’ensemble de la communauté.</w:t>
      </w:r>
    </w:p>
    <w:p w14:paraId="69E4EB8B" w14:textId="687898D6"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Certaines de ces questions ont fait couler plus d’encre que d’autres dans la littérature universitaire et du secteur public. Depuis les années 1970, on a accordé une très grande attention aux menaces et aux risques posés par un engagement inapproprié ou trop important sur le marché, tels que la commercialisation excessive, la décontextualisation ou la marchandisation du PCI, ainsi que la présentation erronée ou le détournement par les gouvernements nationaux, les acteurs commerciaux ou d’autres tiers (par exemple, </w:t>
      </w:r>
      <w:proofErr w:type="spellStart"/>
      <w:r w:rsidRPr="00F479EF">
        <w:rPr>
          <w:rFonts w:eastAsiaTheme="minorHAnsi" w:cstheme="minorHAnsi"/>
          <w:kern w:val="0"/>
          <w:lang w:eastAsia="en-US"/>
          <w14:ligatures w14:val="none"/>
        </w:rPr>
        <w:t>Kirshenblatt-Gimblett</w:t>
      </w:r>
      <w:proofErr w:type="spellEnd"/>
      <w:r w:rsidRPr="00F479EF">
        <w:rPr>
          <w:rFonts w:eastAsiaTheme="minorHAnsi" w:cstheme="minorHAnsi"/>
          <w:kern w:val="0"/>
          <w:lang w:eastAsia="en-US"/>
          <w14:ligatures w14:val="none"/>
        </w:rPr>
        <w:t xml:space="preserve"> 2004, 2006 ; </w:t>
      </w:r>
      <w:proofErr w:type="spellStart"/>
      <w:r w:rsidRPr="00F479EF">
        <w:rPr>
          <w:rFonts w:eastAsiaTheme="minorHAnsi" w:cstheme="minorHAnsi"/>
          <w:kern w:val="0"/>
          <w:lang w:eastAsia="en-US"/>
          <w14:ligatures w14:val="none"/>
        </w:rPr>
        <w:t>Finkel</w:t>
      </w:r>
      <w:proofErr w:type="spellEnd"/>
      <w:r w:rsidRPr="00F479EF">
        <w:rPr>
          <w:rFonts w:eastAsiaTheme="minorHAnsi" w:cstheme="minorHAnsi"/>
          <w:kern w:val="0"/>
          <w:lang w:eastAsia="en-US"/>
          <w14:ligatures w14:val="none"/>
        </w:rPr>
        <w:t xml:space="preserve"> et Platt 2020 sur les festivals ; </w:t>
      </w:r>
      <w:proofErr w:type="spellStart"/>
      <w:r w:rsidRPr="00F479EF">
        <w:rPr>
          <w:rFonts w:eastAsiaTheme="minorHAnsi" w:cstheme="minorHAnsi"/>
          <w:kern w:val="0"/>
          <w:lang w:eastAsia="en-US"/>
          <w14:ligatures w14:val="none"/>
        </w:rPr>
        <w:t>Bendix</w:t>
      </w:r>
      <w:proofErr w:type="spellEnd"/>
      <w:r w:rsidRPr="00F479EF">
        <w:rPr>
          <w:rFonts w:eastAsiaTheme="minorHAnsi" w:cstheme="minorHAnsi"/>
          <w:kern w:val="0"/>
          <w:lang w:eastAsia="en-US"/>
          <w14:ligatures w14:val="none"/>
        </w:rPr>
        <w:t xml:space="preserve"> 2018 ; </w:t>
      </w:r>
      <w:proofErr w:type="spellStart"/>
      <w:r w:rsidRPr="00F479EF">
        <w:rPr>
          <w:rFonts w:eastAsiaTheme="minorHAnsi" w:cstheme="minorHAnsi"/>
          <w:kern w:val="0"/>
          <w:lang w:eastAsia="en-US"/>
          <w14:ligatures w14:val="none"/>
        </w:rPr>
        <w:t>Aykan</w:t>
      </w:r>
      <w:proofErr w:type="spellEnd"/>
      <w:r w:rsidRPr="00F479EF">
        <w:rPr>
          <w:rFonts w:eastAsiaTheme="minorHAnsi" w:cstheme="minorHAnsi"/>
          <w:kern w:val="0"/>
          <w:lang w:eastAsia="en-US"/>
          <w14:ligatures w14:val="none"/>
        </w:rPr>
        <w:t xml:space="preserve"> 2016 sur le patrimoine culinaire en Asie occidentale ; </w:t>
      </w:r>
      <w:proofErr w:type="spellStart"/>
      <w:r w:rsidRPr="00F479EF">
        <w:rPr>
          <w:rFonts w:eastAsiaTheme="minorHAnsi" w:cstheme="minorHAnsi"/>
          <w:kern w:val="0"/>
          <w:lang w:eastAsia="en-US"/>
          <w14:ligatures w14:val="none"/>
        </w:rPr>
        <w:t>Denes</w:t>
      </w:r>
      <w:proofErr w:type="spellEnd"/>
      <w:r w:rsidRPr="00F479EF">
        <w:rPr>
          <w:rFonts w:eastAsiaTheme="minorHAnsi" w:cstheme="minorHAnsi"/>
          <w:kern w:val="0"/>
          <w:lang w:eastAsia="en-US"/>
          <w14:ligatures w14:val="none"/>
        </w:rPr>
        <w:t xml:space="preserve"> 2015 sur la Thaïlande ; Fish 2014 sur l’Inde). Cette littérature faisait écho aux préoccupations soulevées par les communautés elles-mêmes concernant le détournement commercial de leur patrimoine, comme la controverse sur l’utilisation incorrecte du </w:t>
      </w:r>
      <w:proofErr w:type="spellStart"/>
      <w:r w:rsidRPr="00F479EF">
        <w:rPr>
          <w:rFonts w:eastAsiaTheme="minorHAnsi" w:cstheme="minorHAnsi"/>
          <w:i/>
          <w:kern w:val="0"/>
          <w:lang w:eastAsia="en-US"/>
          <w14:ligatures w14:val="none"/>
        </w:rPr>
        <w:t>bahag</w:t>
      </w:r>
      <w:proofErr w:type="spellEnd"/>
      <w:r w:rsidRPr="00F479EF">
        <w:rPr>
          <w:rFonts w:eastAsiaTheme="minorHAnsi" w:cstheme="minorHAnsi"/>
          <w:kern w:val="0"/>
          <w:lang w:eastAsia="en-US"/>
          <w14:ligatures w14:val="none"/>
        </w:rPr>
        <w:t>, le pagne Igorot réservé aux hommes, lors de l’édition 2022 du concours de beauté Man of the World.</w:t>
      </w:r>
      <w:r w:rsidRPr="00F479EF">
        <w:rPr>
          <w:rFonts w:eastAsiaTheme="minorHAnsi" w:cstheme="minorHAnsi"/>
          <w:kern w:val="0"/>
          <w:vertAlign w:val="superscript"/>
          <w:lang w:eastAsia="en-US"/>
          <w14:ligatures w14:val="none"/>
        </w:rPr>
        <w:footnoteReference w:id="2"/>
      </w:r>
      <w:r w:rsidRPr="00F479EF">
        <w:rPr>
          <w:rFonts w:eastAsiaTheme="minorHAnsi" w:cstheme="minorHAnsi"/>
          <w:kern w:val="0"/>
          <w:lang w:eastAsia="en-US"/>
          <w14:ligatures w14:val="none"/>
        </w:rPr>
        <w:t xml:space="preserve"> </w:t>
      </w:r>
    </w:p>
    <w:p w14:paraId="0E2D1881"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Cependant, comparées aux facteurs politiques, juridiques ou institutionnels, les considérations économiques ont été plutôt négligées dans les travaux universitaires s’intéressant à la gestion du patrimoine (Su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2019), et plus particulièrement à la pratique et à la sauvegarde du PCI (</w:t>
      </w:r>
      <w:proofErr w:type="spellStart"/>
      <w:r w:rsidRPr="00F479EF">
        <w:rPr>
          <w:rFonts w:eastAsiaTheme="minorHAnsi" w:cstheme="minorHAnsi"/>
          <w:kern w:val="0"/>
          <w:lang w:eastAsia="en-US"/>
          <w14:ligatures w14:val="none"/>
        </w:rPr>
        <w:t>Lixinski</w:t>
      </w:r>
      <w:proofErr w:type="spellEnd"/>
      <w:r w:rsidRPr="00F479EF">
        <w:rPr>
          <w:rFonts w:eastAsiaTheme="minorHAnsi" w:cstheme="minorHAnsi"/>
          <w:kern w:val="0"/>
          <w:lang w:eastAsia="en-US"/>
          <w14:ligatures w14:val="none"/>
        </w:rPr>
        <w:t xml:space="preserve"> 2018, 2020). Bortolotto (2020) déclare que dans l’arène politique et académique, il subsiste aujourd’hui encore une « gêne » considérable à aborder les aspects économiques du PCI. La distinction entre le patrimoine « sacré » et le commerce « profane » laisse entendre que le marché est une force corruptrice. De ce point de vue, le patrimoine doit rester « au-dessus » du marché afin de rester intouché et protégé (voir également </w:t>
      </w:r>
      <w:proofErr w:type="spellStart"/>
      <w:r w:rsidRPr="00F479EF">
        <w:rPr>
          <w:rFonts w:eastAsiaTheme="minorHAnsi" w:cstheme="minorHAnsi"/>
          <w:kern w:val="0"/>
          <w:lang w:eastAsia="en-US"/>
          <w14:ligatures w14:val="none"/>
        </w:rPr>
        <w:t>Lixinski</w:t>
      </w:r>
      <w:proofErr w:type="spellEnd"/>
      <w:r w:rsidRPr="00F479EF">
        <w:rPr>
          <w:rFonts w:eastAsiaTheme="minorHAnsi" w:cstheme="minorHAnsi"/>
          <w:kern w:val="0"/>
          <w:lang w:eastAsia="en-US"/>
          <w14:ligatures w14:val="none"/>
        </w:rPr>
        <w:t xml:space="preserve"> 2020). On peut raisonnablement supposer que de nombreuses communautés </w:t>
      </w:r>
      <w:r w:rsidRPr="00F479EF">
        <w:rPr>
          <w:rFonts w:eastAsiaTheme="minorHAnsi" w:cstheme="minorHAnsi"/>
          <w:kern w:val="0"/>
          <w:lang w:eastAsia="en-US"/>
          <w14:ligatures w14:val="none"/>
        </w:rPr>
        <w:lastRenderedPageBreak/>
        <w:t>considèrent cette idée comme paternaliste, le marché représentant pour eux une opportunité de durabilité culturelle et économique (</w:t>
      </w:r>
      <w:proofErr w:type="spellStart"/>
      <w:r w:rsidRPr="00F479EF">
        <w:rPr>
          <w:rFonts w:eastAsiaTheme="minorHAnsi" w:cstheme="minorHAnsi"/>
          <w:kern w:val="0"/>
          <w:lang w:eastAsia="en-US"/>
          <w14:ligatures w14:val="none"/>
        </w:rPr>
        <w:t>Nuorgam</w:t>
      </w:r>
      <w:proofErr w:type="spellEnd"/>
      <w:r w:rsidRPr="00F479EF">
        <w:rPr>
          <w:rFonts w:eastAsiaTheme="minorHAnsi" w:cstheme="minorHAnsi"/>
          <w:kern w:val="0"/>
          <w:lang w:eastAsia="en-US"/>
          <w14:ligatures w14:val="none"/>
        </w:rPr>
        <w:t xml:space="preserve"> 2022 ; </w:t>
      </w:r>
      <w:proofErr w:type="spellStart"/>
      <w:r w:rsidRPr="00F479EF">
        <w:rPr>
          <w:rFonts w:eastAsiaTheme="minorHAnsi" w:cstheme="minorHAnsi"/>
          <w:kern w:val="0"/>
          <w:lang w:eastAsia="en-US"/>
          <w14:ligatures w14:val="none"/>
        </w:rPr>
        <w:t>Pigliasco</w:t>
      </w:r>
      <w:proofErr w:type="spellEnd"/>
      <w:r w:rsidRPr="00F479EF">
        <w:rPr>
          <w:rFonts w:eastAsiaTheme="minorHAnsi" w:cstheme="minorHAnsi"/>
          <w:kern w:val="0"/>
          <w:lang w:eastAsia="en-US"/>
          <w14:ligatures w14:val="none"/>
        </w:rPr>
        <w:t xml:space="preserve"> 2020).</w:t>
      </w:r>
    </w:p>
    <w:p w14:paraId="7311BAA4"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L’utilisation et l’exploitation du capital culturel ont toujours été déterminantes pour la survie sociale, environnementale et économique (</w:t>
      </w:r>
      <w:proofErr w:type="spellStart"/>
      <w:r w:rsidRPr="00F479EF">
        <w:rPr>
          <w:rFonts w:eastAsiaTheme="minorHAnsi" w:cstheme="minorHAnsi"/>
          <w:kern w:val="0"/>
          <w:lang w:eastAsia="en-US"/>
          <w14:ligatures w14:val="none"/>
        </w:rPr>
        <w:t>Mawere</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Awuah-Nyamekye</w:t>
      </w:r>
      <w:proofErr w:type="spellEnd"/>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2015:xvii</w:t>
      </w:r>
      <w:proofErr w:type="gramEnd"/>
      <w:r w:rsidRPr="00F479EF">
        <w:rPr>
          <w:rFonts w:eastAsiaTheme="minorHAnsi" w:cstheme="minorHAnsi"/>
          <w:kern w:val="0"/>
          <w:lang w:eastAsia="en-US"/>
          <w14:ligatures w14:val="none"/>
        </w:rPr>
        <w:t xml:space="preserve">-xviii). La pratique et la transmission des éléments du PCI, ainsi que les moyens de subsistance des praticiens, dépendent parfois de l’engagement sur le marché. Dans ces cas-là, la viabilité économique du PCI peut donc être une condition </w:t>
      </w:r>
      <w:r w:rsidRPr="00F479EF">
        <w:rPr>
          <w:rFonts w:eastAsiaTheme="minorHAnsi" w:cstheme="minorHAnsi"/>
          <w:i/>
          <w:iCs/>
          <w:kern w:val="0"/>
          <w:lang w:eastAsia="en-US"/>
          <w14:ligatures w14:val="none"/>
        </w:rPr>
        <w:t>sine qua non</w:t>
      </w:r>
      <w:r w:rsidRPr="00F479EF">
        <w:rPr>
          <w:rFonts w:eastAsiaTheme="minorHAnsi" w:cstheme="minorHAnsi"/>
          <w:kern w:val="0"/>
          <w:lang w:eastAsia="en-US"/>
          <w14:ligatures w14:val="none"/>
        </w:rPr>
        <w:t xml:space="preserve"> de la sauvegarde (voir </w:t>
      </w:r>
      <w:proofErr w:type="spellStart"/>
      <w:r w:rsidRPr="00F479EF">
        <w:rPr>
          <w:rFonts w:eastAsiaTheme="minorHAnsi" w:cstheme="minorHAnsi"/>
          <w:kern w:val="0"/>
          <w:lang w:eastAsia="en-US"/>
          <w14:ligatures w14:val="none"/>
        </w:rPr>
        <w:t>Olalere</w:t>
      </w:r>
      <w:proofErr w:type="spellEnd"/>
      <w:r w:rsidRPr="00F479EF">
        <w:rPr>
          <w:rFonts w:eastAsiaTheme="minorHAnsi" w:cstheme="minorHAnsi"/>
          <w:kern w:val="0"/>
          <w:lang w:eastAsia="en-US"/>
          <w14:ligatures w14:val="none"/>
        </w:rPr>
        <w:t> 2019 sur la Malaisie, par exemple). Les avantages économiques pour les entreprises individuelles peuvent donc être alignés sur la sauvegarde du PCI, bien que les personnes aient des intérêts différents. Les communautés et les groupes qui décident de vendre des produits et des services liés au PCI sur le marché estiment certainement qu’ils pourront (et devraient) en bénéficier équitablement s’ils contrôlent mieux leur interaction avec le marché</w:t>
      </w:r>
      <w:r w:rsidRPr="00F479EF">
        <w:rPr>
          <w:rFonts w:eastAsiaTheme="minorHAnsi" w:cstheme="minorHAnsi"/>
          <w:kern w:val="0"/>
          <w:vertAlign w:val="superscript"/>
          <w:lang w:eastAsia="en-US"/>
          <w14:ligatures w14:val="none"/>
        </w:rPr>
        <w:footnoteReference w:id="3"/>
      </w:r>
      <w:r w:rsidRPr="00F479EF">
        <w:rPr>
          <w:rFonts w:eastAsiaTheme="minorHAnsi" w:cstheme="minorHAnsi"/>
          <w:kern w:val="0"/>
          <w:lang w:eastAsia="en-US"/>
          <w14:ligatures w14:val="none"/>
        </w:rPr>
        <w:t xml:space="preserve">. </w:t>
      </w:r>
    </w:p>
    <w:p w14:paraId="0A32251C"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Dans un contexte politique, il est clair qu’ignorer les aspects économiques du PCI n’empêche en rien son exploitation économique. Au contraire, c’est une occasion manquée d’essayer de résoudre le problème (</w:t>
      </w:r>
      <w:proofErr w:type="spellStart"/>
      <w:r w:rsidRPr="00F479EF">
        <w:rPr>
          <w:rFonts w:eastAsiaTheme="minorHAnsi" w:cstheme="minorHAnsi"/>
          <w:kern w:val="0"/>
          <w:lang w:eastAsia="en-US"/>
          <w14:ligatures w14:val="none"/>
        </w:rPr>
        <w:t>Lixinski</w:t>
      </w:r>
      <w:proofErr w:type="spellEnd"/>
      <w:r w:rsidRPr="00F479EF">
        <w:rPr>
          <w:rFonts w:eastAsiaTheme="minorHAnsi" w:cstheme="minorHAnsi"/>
          <w:kern w:val="0"/>
          <w:lang w:eastAsia="en-US"/>
          <w14:ligatures w14:val="none"/>
        </w:rPr>
        <w:t xml:space="preserve"> 2018). Depuis 2010, on insiste sur l’importance de l’exploitation du marché pour favoriser la cohésion sociale et soutenir les moyens de subsistance des praticiens dans le cadre du développement durable comme prévu par la Convention (</w:t>
      </w:r>
      <w:proofErr w:type="spellStart"/>
      <w:r w:rsidRPr="00F479EF">
        <w:rPr>
          <w:rFonts w:eastAsiaTheme="minorHAnsi" w:cstheme="minorHAnsi"/>
          <w:kern w:val="0"/>
          <w:lang w:eastAsia="en-US"/>
          <w14:ligatures w14:val="none"/>
        </w:rPr>
        <w:t>Wiktor</w:t>
      </w:r>
      <w:proofErr w:type="spellEnd"/>
      <w:r w:rsidRPr="00F479EF">
        <w:rPr>
          <w:rFonts w:eastAsiaTheme="minorHAnsi" w:cstheme="minorHAnsi"/>
          <w:kern w:val="0"/>
          <w:lang w:eastAsia="en-US"/>
          <w14:ligatures w14:val="none"/>
        </w:rPr>
        <w:t xml:space="preserve">-Mach 2020). </w:t>
      </w:r>
      <w:proofErr w:type="spellStart"/>
      <w:r w:rsidRPr="00F479EF">
        <w:rPr>
          <w:rFonts w:eastAsiaTheme="minorHAnsi" w:cstheme="minorHAnsi"/>
          <w:kern w:val="0"/>
          <w:lang w:eastAsia="en-US"/>
          <w14:ligatures w14:val="none"/>
        </w:rPr>
        <w:t>Karampampas</w:t>
      </w:r>
      <w:proofErr w:type="spellEnd"/>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2021:</w:t>
      </w:r>
      <w:proofErr w:type="gramEnd"/>
      <w:r w:rsidRPr="00F479EF">
        <w:rPr>
          <w:rFonts w:eastAsiaTheme="minorHAnsi" w:cstheme="minorHAnsi"/>
          <w:kern w:val="0"/>
          <w:lang w:eastAsia="en-US"/>
          <w14:ligatures w14:val="none"/>
        </w:rPr>
        <w:t>657-8) déclare que c’est la transition terminologique et conceptuelle, précipitée par la Convention, de « folklore, tradition et coutumes » (qui ne pouvaient être légitimement vendus) à PCI qui a ouvert la porte à la discussion des aspects commerciaux des pratiques culturelles. Dans le discours sur le développement durable, les avantages économiques découlant de l’utilisation du patrimoine culturel ne sont pas nécessairement considérés comme une menace pour sa sauvegarde ou sa conservation (</w:t>
      </w:r>
      <w:proofErr w:type="spellStart"/>
      <w:r w:rsidRPr="00F479EF">
        <w:rPr>
          <w:rFonts w:eastAsiaTheme="minorHAnsi" w:cstheme="minorHAnsi"/>
          <w:kern w:val="0"/>
          <w:lang w:eastAsia="en-US"/>
          <w14:ligatures w14:val="none"/>
        </w:rPr>
        <w:t>Mergos</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Patsavos</w:t>
      </w:r>
      <w:proofErr w:type="spellEnd"/>
      <w:r w:rsidRPr="00F479EF">
        <w:rPr>
          <w:rFonts w:eastAsiaTheme="minorHAnsi" w:cstheme="minorHAnsi"/>
          <w:kern w:val="0"/>
          <w:lang w:eastAsia="en-US"/>
          <w14:ligatures w14:val="none"/>
        </w:rPr>
        <w:t xml:space="preserve"> 2017). </w:t>
      </w:r>
    </w:p>
    <w:p w14:paraId="40C65CA4" w14:textId="205FAD36" w:rsidR="002C1F81" w:rsidRPr="00F479EF" w:rsidRDefault="004447F1" w:rsidP="002C1F81">
      <w:pPr>
        <w:jc w:val="both"/>
        <w:rPr>
          <w:rFonts w:eastAsiaTheme="minorHAnsi" w:cstheme="minorHAnsi"/>
          <w:kern w:val="0"/>
          <w:lang w:eastAsia="en-US"/>
          <w14:ligatures w14:val="none"/>
        </w:rPr>
      </w:pPr>
      <w:r>
        <w:rPr>
          <w:rFonts w:eastAsiaTheme="minorHAnsi" w:cstheme="minorHAnsi"/>
          <w:kern w:val="0"/>
          <w:lang w:eastAsia="en-US"/>
          <w14:ligatures w14:val="none"/>
        </w:rPr>
        <w:t>L</w:t>
      </w:r>
      <w:r w:rsidR="002C1F81" w:rsidRPr="00F479EF">
        <w:rPr>
          <w:rFonts w:eastAsiaTheme="minorHAnsi" w:cstheme="minorHAnsi"/>
          <w:kern w:val="0"/>
          <w:lang w:eastAsia="en-US"/>
          <w14:ligatures w14:val="none"/>
        </w:rPr>
        <w:t xml:space="preserve">’UNESCO </w:t>
      </w:r>
      <w:r>
        <w:rPr>
          <w:rFonts w:eastAsiaTheme="minorHAnsi" w:cstheme="minorHAnsi"/>
          <w:kern w:val="0"/>
          <w:lang w:eastAsia="en-US"/>
          <w14:ligatures w14:val="none"/>
        </w:rPr>
        <w:t xml:space="preserve">a entrepris plusieurs initiatives </w:t>
      </w:r>
      <w:r w:rsidR="002C1F81" w:rsidRPr="00F479EF">
        <w:rPr>
          <w:rFonts w:eastAsiaTheme="minorHAnsi" w:cstheme="minorHAnsi"/>
          <w:kern w:val="0"/>
          <w:lang w:eastAsia="en-US"/>
          <w14:ligatures w14:val="none"/>
        </w:rPr>
        <w:t>en matière de développement durable</w:t>
      </w:r>
      <w:r w:rsidR="002C1F81" w:rsidRPr="00F479EF">
        <w:rPr>
          <w:rFonts w:eastAsiaTheme="minorHAnsi" w:cstheme="minorHAnsi"/>
          <w:kern w:val="0"/>
          <w:vertAlign w:val="superscript"/>
          <w:lang w:eastAsia="en-US"/>
          <w14:ligatures w14:val="none"/>
        </w:rPr>
        <w:footnoteReference w:id="4"/>
      </w:r>
      <w:r w:rsidR="002C1F81" w:rsidRPr="00F479EF">
        <w:rPr>
          <w:rFonts w:eastAsiaTheme="minorHAnsi" w:cstheme="minorHAnsi"/>
          <w:kern w:val="0"/>
          <w:lang w:eastAsia="en-US"/>
          <w14:ligatures w14:val="none"/>
        </w:rPr>
        <w:t>. Ces efforts ont été repris dans des projets à l’échelle nationale dans divers pays. Le Secrétariat a présenté sur son site web une plateforme transmédia sur la contribution du PCI au développement durable en Bolivie, en Colombie, en Équateur et au Pérou</w:t>
      </w:r>
      <w:r w:rsidR="002C1F81" w:rsidRPr="00F479EF">
        <w:rPr>
          <w:rFonts w:eastAsiaTheme="minorHAnsi" w:cstheme="minorHAnsi"/>
          <w:kern w:val="0"/>
          <w:vertAlign w:val="superscript"/>
          <w:lang w:eastAsia="en-US"/>
          <w14:ligatures w14:val="none"/>
        </w:rPr>
        <w:footnoteReference w:id="5"/>
      </w:r>
      <w:r w:rsidR="002C1F81" w:rsidRPr="00F479EF">
        <w:rPr>
          <w:rFonts w:eastAsiaTheme="minorHAnsi" w:cstheme="minorHAnsi"/>
          <w:kern w:val="0"/>
          <w:lang w:eastAsia="en-US"/>
          <w14:ligatures w14:val="none"/>
        </w:rPr>
        <w:t>. Plusieurs initiatives régionales sur le PCI et le développement durable ont également été lancées (comme ICHCAP 2021). Depuis 2021, LIVIND, un projet de la société civile financé par la Finlande et impliquant neuf pays de la zone de la Dimension septentrionale en Europe, explore les liens pratiques entre le développement durable et le patrimoine vivant (ainsi que les industries créatives) par le biais de webinaires, de réseaux et de projets pilotes</w:t>
      </w:r>
      <w:r w:rsidR="002C1F81" w:rsidRPr="00F479EF">
        <w:rPr>
          <w:rFonts w:eastAsiaTheme="minorHAnsi" w:cstheme="minorHAnsi"/>
          <w:kern w:val="0"/>
          <w:vertAlign w:val="superscript"/>
          <w:lang w:eastAsia="en-US"/>
          <w14:ligatures w14:val="none"/>
        </w:rPr>
        <w:footnoteReference w:id="6"/>
      </w:r>
      <w:r w:rsidR="002C1F81" w:rsidRPr="00F479EF">
        <w:rPr>
          <w:rFonts w:eastAsiaTheme="minorHAnsi" w:cstheme="minorHAnsi"/>
          <w:kern w:val="0"/>
          <w:lang w:eastAsia="en-US"/>
          <w14:ligatures w14:val="none"/>
        </w:rPr>
        <w:t>. Le projet LIVHES « Patrimoine vivant pour le développement durable »</w:t>
      </w:r>
      <w:r w:rsidR="002C1F81" w:rsidRPr="00F479EF">
        <w:rPr>
          <w:rFonts w:eastAsiaTheme="minorHAnsi" w:cstheme="minorHAnsi"/>
          <w:kern w:val="0"/>
          <w:vertAlign w:val="superscript"/>
          <w:lang w:eastAsia="en-US"/>
          <w14:ligatures w14:val="none"/>
        </w:rPr>
        <w:footnoteReference w:id="7"/>
      </w:r>
      <w:r w:rsidR="002C1F81" w:rsidRPr="00F479EF">
        <w:rPr>
          <w:rFonts w:eastAsiaTheme="minorHAnsi" w:cstheme="minorHAnsi"/>
          <w:kern w:val="0"/>
          <w:lang w:eastAsia="en-US"/>
          <w14:ligatures w14:val="none"/>
        </w:rPr>
        <w:t xml:space="preserve"> implique 8 régions du sud-ouest de l’Europe (</w:t>
      </w:r>
      <w:proofErr w:type="spellStart"/>
      <w:r w:rsidR="002C1F81" w:rsidRPr="00F479EF">
        <w:rPr>
          <w:rFonts w:eastAsiaTheme="minorHAnsi" w:cstheme="minorHAnsi"/>
          <w:kern w:val="0"/>
          <w:lang w:eastAsia="en-US"/>
          <w14:ligatures w14:val="none"/>
        </w:rPr>
        <w:t>Sudeo</w:t>
      </w:r>
      <w:proofErr w:type="spellEnd"/>
      <w:r w:rsidR="002C1F81" w:rsidRPr="00F479EF">
        <w:rPr>
          <w:rFonts w:eastAsiaTheme="minorHAnsi" w:cstheme="minorHAnsi"/>
          <w:kern w:val="0"/>
          <w:lang w:eastAsia="en-US"/>
          <w14:ligatures w14:val="none"/>
        </w:rPr>
        <w:t xml:space="preserve">) en France, au Portugal et en Espagne. Les efforts déployés, notamment par l’UNESCO et l’OMT, pour établir un lien entre la culture et le développement durable dans le domaine du tourisme sont examinés plus loin. </w:t>
      </w:r>
    </w:p>
    <w:p w14:paraId="14DCE5A2"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La littérature universitaire sur le développement durable et le patrimoine s’est développée parallèlement à cette intensification des efforts politiques, principalement centrée sur le patrimoine mondial, mais avec </w:t>
      </w:r>
      <w:r w:rsidRPr="00F479EF">
        <w:rPr>
          <w:rFonts w:eastAsiaTheme="minorHAnsi" w:cstheme="minorHAnsi"/>
          <w:kern w:val="0"/>
          <w:lang w:eastAsia="en-US"/>
          <w14:ligatures w14:val="none"/>
        </w:rPr>
        <w:lastRenderedPageBreak/>
        <w:t xml:space="preserve">de plus en plus de références au PCI (par exemple, Bortolotto et </w:t>
      </w:r>
      <w:proofErr w:type="spellStart"/>
      <w:r w:rsidRPr="00F479EF">
        <w:rPr>
          <w:rFonts w:eastAsiaTheme="minorHAnsi" w:cstheme="minorHAnsi"/>
          <w:kern w:val="0"/>
          <w:lang w:eastAsia="en-US"/>
          <w14:ligatures w14:val="none"/>
        </w:rPr>
        <w:t>Skounti</w:t>
      </w:r>
      <w:proofErr w:type="spellEnd"/>
      <w:r w:rsidRPr="00F479EF">
        <w:rPr>
          <w:rFonts w:eastAsiaTheme="minorHAnsi" w:cstheme="minorHAnsi"/>
          <w:kern w:val="0"/>
          <w:lang w:eastAsia="en-US"/>
          <w14:ligatures w14:val="none"/>
        </w:rPr>
        <w:t xml:space="preserve">, à paraître en 2023 ; </w:t>
      </w:r>
      <w:proofErr w:type="spellStart"/>
      <w:r w:rsidRPr="00F479EF">
        <w:rPr>
          <w:rFonts w:eastAsiaTheme="minorHAnsi" w:cstheme="minorHAnsi"/>
          <w:kern w:val="0"/>
          <w:lang w:eastAsia="en-US"/>
          <w14:ligatures w14:val="none"/>
        </w:rPr>
        <w:t>Labadi</w:t>
      </w:r>
      <w:proofErr w:type="spellEnd"/>
      <w:r w:rsidRPr="00F479EF">
        <w:rPr>
          <w:rFonts w:eastAsiaTheme="minorHAnsi" w:cstheme="minorHAnsi"/>
          <w:kern w:val="0"/>
          <w:lang w:eastAsia="en-US"/>
          <w14:ligatures w14:val="none"/>
        </w:rPr>
        <w:t xml:space="preserve"> 2022 ; Baillie et </w:t>
      </w:r>
      <w:proofErr w:type="spellStart"/>
      <w:r w:rsidRPr="00F479EF">
        <w:rPr>
          <w:rFonts w:eastAsiaTheme="minorHAnsi" w:cstheme="minorHAnsi"/>
          <w:kern w:val="0"/>
          <w:lang w:eastAsia="en-US"/>
          <w14:ligatures w14:val="none"/>
        </w:rPr>
        <w:t>Sørensen</w:t>
      </w:r>
      <w:proofErr w:type="spellEnd"/>
      <w:r w:rsidRPr="00F479EF">
        <w:rPr>
          <w:rFonts w:eastAsiaTheme="minorHAnsi" w:cstheme="minorHAnsi"/>
          <w:kern w:val="0"/>
          <w:lang w:eastAsia="en-US"/>
          <w14:ligatures w14:val="none"/>
        </w:rPr>
        <w:t xml:space="preserve"> 2021 ; </w:t>
      </w:r>
      <w:proofErr w:type="spellStart"/>
      <w:r w:rsidRPr="00F479EF">
        <w:rPr>
          <w:rFonts w:eastAsiaTheme="minorHAnsi" w:cstheme="minorHAnsi"/>
          <w:kern w:val="0"/>
          <w:lang w:eastAsia="en-US"/>
          <w14:ligatures w14:val="none"/>
        </w:rPr>
        <w:t>Keitumetse</w:t>
      </w:r>
      <w:proofErr w:type="spellEnd"/>
      <w:r w:rsidRPr="00F479EF">
        <w:rPr>
          <w:rFonts w:eastAsiaTheme="minorHAnsi" w:cstheme="minorHAnsi"/>
          <w:kern w:val="0"/>
          <w:lang w:eastAsia="en-US"/>
          <w14:ligatures w14:val="none"/>
        </w:rPr>
        <w:t xml:space="preserve"> 2020 ; Larsen et Logan 2018). Bortolotto (2021) a fait remarquer que l’importance accordée au développement durable oriente le travail de sauvegarde du PCI vers l’avenir plutôt que vers le passé, ce qui met potentiellement les considérations de changement et d’adaptation au premier plan. L’une des différences majeures entre la littérature universitaire sur le développement durable et le patrimoine, et le travail politique effectué par les agences des Nations Unies, est cet accent sur la politique de développement. Selon </w:t>
      </w:r>
      <w:proofErr w:type="spellStart"/>
      <w:r w:rsidRPr="00F479EF">
        <w:rPr>
          <w:rFonts w:eastAsiaTheme="minorHAnsi" w:cstheme="minorHAnsi"/>
          <w:kern w:val="0"/>
          <w:lang w:eastAsia="en-US"/>
          <w14:ligatures w14:val="none"/>
        </w:rPr>
        <w:t>Labadi</w:t>
      </w:r>
      <w:proofErr w:type="spellEnd"/>
      <w:r w:rsidRPr="00F479EF">
        <w:rPr>
          <w:rFonts w:eastAsiaTheme="minorHAnsi" w:cstheme="minorHAnsi"/>
          <w:kern w:val="0"/>
          <w:lang w:eastAsia="en-US"/>
          <w14:ligatures w14:val="none"/>
        </w:rPr>
        <w:t xml:space="preserve"> (2022), les agences de l’ONU qui rendent compte du lien entre le patrimoine et le développement minimisent les enjeux géopolitiques du discours sur le développement. Bien que l’idée de culture et de développement ait vu le jour dans les pays du Sud à l’époque néocolonialisme des années 1960, de nombreuses initiatives de développement restent liées aux programmes nationaux des pays donateurs du Nord, et peuvent être perçues comme néocoloniales. Cette situation est peut-être en train de changer. Dans la déclaration </w:t>
      </w:r>
      <w:proofErr w:type="spellStart"/>
      <w:r w:rsidRPr="00F479EF">
        <w:rPr>
          <w:rFonts w:eastAsiaTheme="minorHAnsi" w:cstheme="minorHAnsi"/>
          <w:kern w:val="0"/>
          <w:lang w:eastAsia="en-US"/>
          <w14:ligatures w14:val="none"/>
        </w:rPr>
        <w:t>Mondiacult</w:t>
      </w:r>
      <w:proofErr w:type="spellEnd"/>
      <w:r w:rsidRPr="00F479EF">
        <w:rPr>
          <w:rFonts w:eastAsiaTheme="minorHAnsi" w:cstheme="minorHAnsi"/>
          <w:kern w:val="0"/>
          <w:lang w:eastAsia="en-US"/>
          <w14:ligatures w14:val="none"/>
        </w:rPr>
        <w:t xml:space="preserve"> de 2022, signée par les ministres de la Culture des États membres de l’UNESCO, une inquiétude a été exprimée quant aux inégalités mondiales dans le secteur de la culture</w:t>
      </w:r>
      <w:r w:rsidRPr="00F479EF">
        <w:rPr>
          <w:rFonts w:eastAsiaTheme="minorHAnsi" w:cstheme="minorHAnsi"/>
          <w:kern w:val="0"/>
          <w:vertAlign w:val="superscript"/>
          <w:lang w:eastAsia="en-US"/>
          <w14:ligatures w14:val="none"/>
        </w:rPr>
        <w:footnoteReference w:id="8"/>
      </w:r>
      <w:r w:rsidRPr="00F479EF">
        <w:rPr>
          <w:rFonts w:eastAsiaTheme="minorHAnsi" w:cstheme="minorHAnsi"/>
          <w:kern w:val="0"/>
          <w:lang w:eastAsia="en-US"/>
          <w14:ligatures w14:val="none"/>
        </w:rPr>
        <w:t>. Toutefois, les Objectifs de développement durable ont également été critiqués parce qu’ils ne s’attaquent pas à la tension entre les limites des ressources et la croissance économique, conformément aux programmes keynésiens et néolibéraux, et parce qu’ils ne donnent pas la priorité à la réduction des inégalités de richesse causées par la croissance rapide des revenus des 1 % les plus riches (</w:t>
      </w:r>
      <w:proofErr w:type="spellStart"/>
      <w:r w:rsidRPr="00F479EF">
        <w:rPr>
          <w:rFonts w:eastAsiaTheme="minorHAnsi" w:cstheme="minorHAnsi"/>
          <w:kern w:val="0"/>
          <w:lang w:eastAsia="en-US"/>
          <w14:ligatures w14:val="none"/>
        </w:rPr>
        <w:t>Carant</w:t>
      </w:r>
      <w:proofErr w:type="spellEnd"/>
      <w:r w:rsidRPr="00F479EF">
        <w:rPr>
          <w:rFonts w:eastAsiaTheme="minorHAnsi" w:cstheme="minorHAnsi"/>
          <w:kern w:val="0"/>
          <w:lang w:eastAsia="en-US"/>
          <w14:ligatures w14:val="none"/>
        </w:rPr>
        <w:t xml:space="preserve"> 2017).</w:t>
      </w:r>
    </w:p>
    <w:p w14:paraId="79623A76"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Très peu d’études sur le patrimoine et le développement évaluent de manière critique et en détail l’impact pratique de la sauvegarde ou de la conservation du patrimoine sur le développement durable (</w:t>
      </w:r>
      <w:proofErr w:type="spellStart"/>
      <w:r w:rsidRPr="00F479EF">
        <w:rPr>
          <w:rFonts w:eastAsiaTheme="minorHAnsi" w:cstheme="minorHAnsi"/>
          <w:kern w:val="0"/>
          <w:lang w:eastAsia="en-US"/>
          <w14:ligatures w14:val="none"/>
        </w:rPr>
        <w:t>Labadi</w:t>
      </w:r>
      <w:proofErr w:type="spellEnd"/>
      <w:r w:rsidRPr="00F479EF">
        <w:rPr>
          <w:rFonts w:eastAsiaTheme="minorHAnsi" w:cstheme="minorHAnsi"/>
          <w:kern w:val="0"/>
          <w:lang w:eastAsia="en-US"/>
          <w14:ligatures w14:val="none"/>
        </w:rPr>
        <w:t xml:space="preserve"> 2022</w:t>
      </w:r>
      <w:r w:rsidRPr="00F479EF">
        <w:rPr>
          <w:rFonts w:eastAsiaTheme="minorHAnsi" w:cstheme="minorHAnsi"/>
          <w:kern w:val="0"/>
          <w:vertAlign w:val="superscript"/>
          <w:lang w:eastAsia="en-US"/>
          <w14:ligatures w14:val="none"/>
        </w:rPr>
        <w:footnoteReference w:id="9"/>
      </w:r>
      <w:r w:rsidRPr="00F479EF">
        <w:rPr>
          <w:rFonts w:eastAsiaTheme="minorHAnsi" w:cstheme="minorHAnsi"/>
          <w:kern w:val="0"/>
          <w:lang w:eastAsia="en-US"/>
          <w14:ligatures w14:val="none"/>
        </w:rPr>
        <w:t xml:space="preserve">). Certains travaux traitant de la mise sur le marché du PCI (notamment le patrimoine culinaire, musical et artisanal, et le PCI des communautés autochtones) ont commencé à s’intéresser aux mécanismes et aux outils développés pour équilibrer les risques et les avantages d’un engagement sur le marché (Grant 2014a et b ; Lingard et Martin 2016 ; </w:t>
      </w:r>
      <w:proofErr w:type="spellStart"/>
      <w:r w:rsidRPr="00F479EF">
        <w:rPr>
          <w:rFonts w:eastAsiaTheme="minorHAnsi" w:cstheme="minorHAnsi"/>
          <w:kern w:val="0"/>
          <w:lang w:eastAsia="en-US"/>
          <w14:ligatures w14:val="none"/>
        </w:rPr>
        <w:t>Janke</w:t>
      </w:r>
      <w:proofErr w:type="spellEnd"/>
      <w:r w:rsidRPr="00F479EF">
        <w:rPr>
          <w:rFonts w:eastAsiaTheme="minorHAnsi" w:cstheme="minorHAnsi"/>
          <w:kern w:val="0"/>
          <w:lang w:eastAsia="en-US"/>
          <w14:ligatures w14:val="none"/>
        </w:rPr>
        <w:t xml:space="preserve"> 2018 ; Deacon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2021). Ce point est examiné plus en détail par la suite. La culture (et le patrimoine culturel) est encore mal intégrée et peu représentée dans les Objectifs de développement durable. Le développement durable n’est pas une conséquence automatique de la sauvegarde du PCI, et </w:t>
      </w:r>
      <w:r w:rsidRPr="00F479EF">
        <w:rPr>
          <w:rFonts w:eastAsiaTheme="minorHAnsi" w:cstheme="minorHAnsi"/>
          <w:i/>
          <w:kern w:val="0"/>
          <w:lang w:eastAsia="en-US"/>
          <w14:ligatures w14:val="none"/>
        </w:rPr>
        <w:t>vice versa</w:t>
      </w:r>
      <w:r w:rsidRPr="00F479EF">
        <w:rPr>
          <w:rFonts w:eastAsiaTheme="minorHAnsi" w:cstheme="minorHAnsi"/>
          <w:kern w:val="0"/>
          <w:lang w:eastAsia="en-US"/>
          <w14:ligatures w14:val="none"/>
        </w:rPr>
        <w:t xml:space="preserve"> (</w:t>
      </w:r>
      <w:proofErr w:type="spellStart"/>
      <w:r w:rsidRPr="00F479EF">
        <w:rPr>
          <w:rFonts w:eastAsiaTheme="minorHAnsi" w:cstheme="minorHAnsi"/>
          <w:kern w:val="0"/>
          <w:lang w:eastAsia="en-US"/>
          <w14:ligatures w14:val="none"/>
        </w:rPr>
        <w:t>Labadi</w:t>
      </w:r>
      <w:proofErr w:type="spellEnd"/>
      <w:r w:rsidRPr="00F479EF">
        <w:rPr>
          <w:rFonts w:eastAsiaTheme="minorHAnsi" w:cstheme="minorHAnsi"/>
          <w:kern w:val="0"/>
          <w:lang w:eastAsia="en-US"/>
          <w14:ligatures w14:val="none"/>
        </w:rPr>
        <w:t xml:space="preserve"> 2011 ; 2022 ; </w:t>
      </w:r>
      <w:proofErr w:type="spellStart"/>
      <w:r w:rsidRPr="00F479EF">
        <w:rPr>
          <w:rFonts w:eastAsiaTheme="minorHAnsi" w:cstheme="minorHAnsi"/>
          <w:kern w:val="0"/>
          <w:lang w:eastAsia="en-US"/>
          <w14:ligatures w14:val="none"/>
        </w:rPr>
        <w:t>Smeets</w:t>
      </w:r>
      <w:proofErr w:type="spellEnd"/>
      <w:r w:rsidRPr="00F479EF">
        <w:rPr>
          <w:rFonts w:eastAsiaTheme="minorHAnsi" w:cstheme="minorHAnsi"/>
          <w:kern w:val="0"/>
          <w:lang w:eastAsia="en-US"/>
          <w14:ligatures w14:val="none"/>
        </w:rPr>
        <w:t xml:space="preserve"> dans Bortolotto et </w:t>
      </w:r>
      <w:proofErr w:type="spellStart"/>
      <w:r w:rsidRPr="00F479EF">
        <w:rPr>
          <w:rFonts w:eastAsiaTheme="minorHAnsi" w:cstheme="minorHAnsi"/>
          <w:kern w:val="0"/>
          <w:lang w:eastAsia="en-US"/>
          <w14:ligatures w14:val="none"/>
        </w:rPr>
        <w:t>Skounti</w:t>
      </w:r>
      <w:proofErr w:type="spellEnd"/>
      <w:r w:rsidRPr="00F479EF">
        <w:rPr>
          <w:rFonts w:eastAsiaTheme="minorHAnsi" w:cstheme="minorHAnsi"/>
          <w:kern w:val="0"/>
          <w:lang w:eastAsia="en-US"/>
          <w14:ligatures w14:val="none"/>
        </w:rPr>
        <w:t>, à paraître en 2023). Pour ouvrir le débat sur le développement durable, il faut évaluer de manière critique ce qu’est le développement et qui en bénéficie, y compris la manière dont les communautés concernées souhaitent « développer » et utiliser leur PCI dans le contexte commercial, si tant est qu’elles le souhaitent. À l’échelle nationale, il y a souvent une tension entre les avantages économiques plus généraux pour la région ou le pays dans son ensemble et les avantages pour les communautés et les praticiens du PCI. Mettre l’accent sur les définitions externes du développement et les utiliser comme indicateur de la valeur du PCI pourrait nuire au pouvoir d’action et aux intérêts de la communauté, et donc à la sauvegarde (</w:t>
      </w:r>
      <w:proofErr w:type="spellStart"/>
      <w:r w:rsidRPr="00F479EF">
        <w:rPr>
          <w:rFonts w:eastAsiaTheme="minorHAnsi" w:cstheme="minorHAnsi"/>
          <w:kern w:val="0"/>
          <w:lang w:eastAsia="en-US"/>
          <w14:ligatures w14:val="none"/>
        </w:rPr>
        <w:t>Ruhanen</w:t>
      </w:r>
      <w:proofErr w:type="spellEnd"/>
      <w:r w:rsidRPr="00F479EF">
        <w:rPr>
          <w:rFonts w:eastAsiaTheme="minorHAnsi" w:cstheme="minorHAnsi"/>
          <w:kern w:val="0"/>
          <w:lang w:eastAsia="en-US"/>
          <w14:ligatures w14:val="none"/>
        </w:rPr>
        <w:t xml:space="preserve"> et Whitford 2019). Si le patrimoine culturel peut constituer une ressource pour le développement, il ne doit absolument pas être réduit à cette fonction dans la société.</w:t>
      </w:r>
    </w:p>
    <w:p w14:paraId="4869AD10"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lastRenderedPageBreak/>
        <w:t xml:space="preserve">Pour conclure, bien que des travaux importants aient été réalisés sur le PCI et le marché par des universitaires, des communautés, des agences gouvernementales et internationales, des ONG et d’autres acteurs, nous n’avons pas encore une bonne compréhension de la relation complexe entre le PCI et le marché. La littérature sur les risques et celle sur le développement souffrent toutes deux d’un certain nombre de lacunes et elles fonctionnent généralement en parallèle plutôt qu’en conversation. Une meilleure appréhension de la dynamique de la sauvegarde dans un contexte commercial aiderait les communautés et les autres parties prenantes à mieux comprendre les problèmes et les opportunités, et à identifier les interventions menées par les communautés. </w:t>
      </w:r>
    </w:p>
    <w:p w14:paraId="192123BE"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Pour répondre à ce problème et aux questions soulevées en introduction, nous proposons d’abord un aperçu général des approches adoptées dans différents domaines, puis nous nous concentrons sur certains concepts et dans quelle mesure ils nous aident à comprendre le problème. </w:t>
      </w:r>
    </w:p>
    <w:p w14:paraId="2764FD34" w14:textId="77777777" w:rsidR="002C1F81" w:rsidRPr="00F479EF" w:rsidRDefault="002C1F81" w:rsidP="002C1F81">
      <w:pPr>
        <w:keepNext/>
        <w:keepLines/>
        <w:spacing w:before="40" w:after="0"/>
        <w:jc w:val="both"/>
        <w:outlineLvl w:val="1"/>
        <w:rPr>
          <w:rFonts w:asciiTheme="majorHAnsi" w:eastAsiaTheme="majorEastAsia" w:hAnsiTheme="majorHAnsi" w:cstheme="majorBidi"/>
          <w:color w:val="2F5496" w:themeColor="accent1" w:themeShade="BF"/>
          <w:kern w:val="0"/>
          <w:sz w:val="26"/>
          <w:szCs w:val="26"/>
          <w:lang w:eastAsia="en-US"/>
          <w14:ligatures w14:val="none"/>
        </w:rPr>
      </w:pPr>
      <w:bookmarkStart w:id="6" w:name="_Toc137745025"/>
      <w:r w:rsidRPr="00F479EF">
        <w:rPr>
          <w:rFonts w:asciiTheme="majorHAnsi" w:eastAsiaTheme="majorEastAsia" w:hAnsiTheme="majorHAnsi" w:cstheme="majorBidi"/>
          <w:color w:val="2F5496" w:themeColor="accent1" w:themeShade="BF"/>
          <w:kern w:val="0"/>
          <w:sz w:val="26"/>
          <w:szCs w:val="26"/>
          <w:lang w:eastAsia="en-US"/>
          <w14:ligatures w14:val="none"/>
        </w:rPr>
        <w:t>Vers une meilleure compréhension du PCI et du marché : les perspectives offertes par différents domaines</w:t>
      </w:r>
      <w:bookmarkEnd w:id="6"/>
    </w:p>
    <w:p w14:paraId="68526AD0" w14:textId="77777777" w:rsidR="002C1F81" w:rsidRPr="00F479EF" w:rsidRDefault="002C1F81" w:rsidP="002C1F81">
      <w:pPr>
        <w:jc w:val="both"/>
        <w:rPr>
          <w:rFonts w:eastAsiaTheme="minorHAnsi" w:cstheme="minorHAnsi"/>
          <w:kern w:val="0"/>
          <w:lang w:eastAsia="en-US"/>
          <w14:ligatures w14:val="none"/>
        </w:rPr>
      </w:pPr>
      <w:proofErr w:type="spellStart"/>
      <w:r w:rsidRPr="00F479EF">
        <w:rPr>
          <w:rFonts w:eastAsiaTheme="minorHAnsi" w:cstheme="minorHAnsi"/>
          <w:kern w:val="0"/>
          <w:lang w:eastAsia="en-US"/>
          <w14:ligatures w14:val="none"/>
        </w:rPr>
        <w:t>McKercher</w:t>
      </w:r>
      <w:proofErr w:type="spellEnd"/>
      <w:r w:rsidRPr="00F479EF">
        <w:rPr>
          <w:rFonts w:eastAsiaTheme="minorHAnsi" w:cstheme="minorHAnsi"/>
          <w:kern w:val="0"/>
          <w:lang w:eastAsia="en-US"/>
          <w14:ligatures w14:val="none"/>
        </w:rPr>
        <w:t xml:space="preserve"> et Du Cros (2012, cités dans </w:t>
      </w:r>
      <w:proofErr w:type="spellStart"/>
      <w:r w:rsidRPr="00F479EF">
        <w:rPr>
          <w:rFonts w:eastAsiaTheme="minorHAnsi" w:cstheme="minorHAnsi"/>
          <w:kern w:val="0"/>
          <w:lang w:eastAsia="en-US"/>
          <w14:ligatures w14:val="none"/>
        </w:rPr>
        <w:t>Stoffelen</w:t>
      </w:r>
      <w:proofErr w:type="spellEnd"/>
      <w:r w:rsidRPr="00F479EF">
        <w:rPr>
          <w:rFonts w:eastAsiaTheme="minorHAnsi" w:cstheme="minorHAnsi"/>
          <w:kern w:val="0"/>
          <w:lang w:eastAsia="en-US"/>
          <w14:ligatures w14:val="none"/>
        </w:rPr>
        <w:t xml:space="preserve"> 2020) déclarent que la relation entre le PCI et le marché ne doit pas être considérée comme une simple juxtaposition de valeurs culturelles « intrinsèques » et de valeurs économiques « extrinsèques ». Dépasser les dichotomies simplistes « risque vs bénéfice » et « culture vs économie » permettrait de mieux comprendre le « champ multidimensionnel de friction et de synergie potentielle » complexe qui caractérise la relation entre le PCI et le marché (</w:t>
      </w:r>
      <w:proofErr w:type="spellStart"/>
      <w:r w:rsidRPr="00F479EF">
        <w:rPr>
          <w:rFonts w:eastAsiaTheme="minorHAnsi" w:cstheme="minorHAnsi"/>
          <w:kern w:val="0"/>
          <w:lang w:eastAsia="en-US"/>
          <w14:ligatures w14:val="none"/>
        </w:rPr>
        <w:t>Stoffelen</w:t>
      </w:r>
      <w:proofErr w:type="spellEnd"/>
      <w:r w:rsidRPr="00F479EF">
        <w:rPr>
          <w:rFonts w:eastAsiaTheme="minorHAnsi" w:cstheme="minorHAnsi"/>
          <w:kern w:val="0"/>
          <w:lang w:eastAsia="en-US"/>
          <w14:ligatures w14:val="none"/>
        </w:rPr>
        <w:t xml:space="preserve"> 2020). C’est d’autant plus important que l’on constate un intérêt et une visibilité grandissants pour le PCI, qu’un nombre croissant de documents liés au PCI (y compris les inventaires) sont disponibles sous forme numérique, et que de nouvelles opportunités commerciales d’exploitation du PCI dans l’arène numérique se présentent.</w:t>
      </w:r>
    </w:p>
    <w:p w14:paraId="3CD88CDF"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Nous allons maintenant nous pencher sur les perspectives offertes par différentes disciplines, qui nous aideront à mieux comprendre la relation entre la sauvegarde du PCI et le marché.</w:t>
      </w:r>
    </w:p>
    <w:p w14:paraId="5AA122A6" w14:textId="77777777" w:rsidR="002C1F81" w:rsidRPr="00F479EF" w:rsidRDefault="002C1F81" w:rsidP="002C1F81">
      <w:pPr>
        <w:keepNext/>
        <w:spacing w:after="240" w:line="240" w:lineRule="auto"/>
        <w:ind w:left="720"/>
        <w:jc w:val="both"/>
        <w:outlineLvl w:val="2"/>
        <w:rPr>
          <w:rFonts w:eastAsiaTheme="minorHAnsi" w:cstheme="minorHAnsi"/>
          <w:b/>
          <w:bCs/>
          <w:kern w:val="0"/>
          <w:lang w:eastAsia="en-US"/>
          <w14:ligatures w14:val="none"/>
        </w:rPr>
      </w:pPr>
      <w:bookmarkStart w:id="7" w:name="_Toc137745026"/>
      <w:r w:rsidRPr="00F479EF">
        <w:rPr>
          <w:rFonts w:eastAsiaTheme="minorHAnsi" w:cstheme="minorHAnsi"/>
          <w:b/>
          <w:bCs/>
          <w:kern w:val="0"/>
          <w:lang w:eastAsia="en-US"/>
          <w14:ligatures w14:val="none"/>
        </w:rPr>
        <w:t xml:space="preserve">Perspectives de </w:t>
      </w:r>
      <w:bookmarkStart w:id="8" w:name="_Hlk109897906"/>
      <w:r w:rsidRPr="00F479EF">
        <w:rPr>
          <w:rFonts w:eastAsiaTheme="minorHAnsi" w:cstheme="minorHAnsi"/>
          <w:b/>
          <w:bCs/>
          <w:kern w:val="0"/>
          <w:lang w:eastAsia="en-US"/>
          <w14:ligatures w14:val="none"/>
        </w:rPr>
        <w:t>l’anthropologie et des études critiques sur le patrimoine</w:t>
      </w:r>
      <w:bookmarkEnd w:id="7"/>
      <w:bookmarkEnd w:id="8"/>
    </w:p>
    <w:p w14:paraId="72BB19C3"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Dans les domaines de l’anthropologie et des études critiques sur le patrimoine, comme indiqué ci-dessus, les travaux ont mis en évidence les utilisations instrumentales du patrimoine par les gouvernements et les acteurs commerciaux, et leur impact négatif sur les communautés, dans un contexte de déséquilibres de pouvoir, alors que ces dernières luttent pour conserver un contrôle sur le patrimoine et d’autres ressources comme la terre (par exemple, Chapman et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2020 sur les questions de marchandisation et de propriété ; </w:t>
      </w:r>
      <w:proofErr w:type="spellStart"/>
      <w:r w:rsidRPr="00F479EF">
        <w:rPr>
          <w:rFonts w:eastAsiaTheme="minorHAnsi" w:cstheme="minorHAnsi"/>
          <w:kern w:val="0"/>
          <w:lang w:eastAsia="en-US"/>
          <w14:ligatures w14:val="none"/>
        </w:rPr>
        <w:t>Kapchan</w:t>
      </w:r>
      <w:proofErr w:type="spellEnd"/>
      <w:r w:rsidRPr="00F479EF">
        <w:rPr>
          <w:rFonts w:eastAsiaTheme="minorHAnsi" w:cstheme="minorHAnsi"/>
          <w:kern w:val="0"/>
          <w:lang w:eastAsia="en-US"/>
          <w14:ligatures w14:val="none"/>
        </w:rPr>
        <w:t xml:space="preserve"> 2014 sur la dépossession et la perte de contrôle de la communauté sur son patrimoine). Les chercheurs ont accordé beaucoup d’attention à la centralisation, à l’homogénéisation et à l’impérialisme culturel des régimes de patrimoine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et Weiss 2015). Une grande partie de ce travail reprenait les principes exposés dans le livre </w:t>
      </w:r>
      <w:r w:rsidRPr="00F479EF">
        <w:rPr>
          <w:rFonts w:eastAsiaTheme="minorHAnsi" w:cstheme="minorHAnsi"/>
          <w:i/>
          <w:kern w:val="0"/>
          <w:lang w:eastAsia="en-US"/>
          <w14:ligatures w14:val="none"/>
        </w:rPr>
        <w:t>Invention of tradition</w:t>
      </w:r>
      <w:r w:rsidRPr="00F479EF">
        <w:rPr>
          <w:rFonts w:eastAsiaTheme="minorHAnsi" w:cstheme="minorHAnsi"/>
          <w:kern w:val="0"/>
          <w:lang w:eastAsia="en-US"/>
          <w14:ligatures w14:val="none"/>
        </w:rPr>
        <w:t xml:space="preserve">, se focalisant sur la manière dont les gouvernements et les élites détournent le patrimoine et le façonnent à des fins nationales (Hobsbawm et Ranger 1983). Si les contextes commerciaux ont été relativement négligés dans les études critiques sur le patrimoine, cette lacune est en train d’être reconnue (voir </w:t>
      </w:r>
      <w:proofErr w:type="spellStart"/>
      <w:r w:rsidRPr="00F479EF">
        <w:rPr>
          <w:rFonts w:eastAsiaTheme="minorHAnsi" w:cstheme="minorHAnsi"/>
          <w:kern w:val="0"/>
          <w:lang w:eastAsia="en-US"/>
          <w14:ligatures w14:val="none"/>
        </w:rPr>
        <w:t>Lixinski</w:t>
      </w:r>
      <w:proofErr w:type="spellEnd"/>
      <w:r w:rsidRPr="00F479EF">
        <w:rPr>
          <w:rFonts w:eastAsiaTheme="minorHAnsi" w:cstheme="minorHAnsi"/>
          <w:kern w:val="0"/>
          <w:lang w:eastAsia="en-US"/>
          <w14:ligatures w14:val="none"/>
        </w:rPr>
        <w:t xml:space="preserve"> 2018, 2020 ci-dessus). C’est un élément important, car dans les économies de l’information mondialisées, les stratégies et la production économiques accordent un intérêt croissant aux biens et identités culturels, et dans l’État néolibéral moderne, la société civile (ONG), l’État et les acteurs du marché s’impliquent de plus en plus dans la gestion du patrimoine, bien que souvent à distance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et Weiss 2015). </w:t>
      </w:r>
    </w:p>
    <w:p w14:paraId="0ED8376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lastRenderedPageBreak/>
        <w:t xml:space="preserve">Comment comprendre les communautés, quels sont leurs droits sur leur PCI et comment ces derniers sont établis, sont des questions encore largement débattues dans les travaux anthropologiques et les études critiques sur le patrimoine.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et Weiss (2015) affirment que les communautés sont des coalitions décentralisées qui se mobilisent par rapport à des revendications patrimoniales spécifiques et qui deviennent des agents politiques par le biais du patrimoine. Une demande de statut patrimonial poursuit toujours un objectif, qu’elle soit faite par des communautés ou par d’autres (Smith 2006). Des travaux récents, tels que le chapitre de </w:t>
      </w:r>
      <w:proofErr w:type="spellStart"/>
      <w:r w:rsidRPr="00F479EF">
        <w:rPr>
          <w:rFonts w:eastAsiaTheme="minorHAnsi" w:cstheme="minorHAnsi"/>
          <w:kern w:val="0"/>
          <w:lang w:eastAsia="en-US"/>
          <w14:ligatures w14:val="none"/>
        </w:rPr>
        <w:t>Spang</w:t>
      </w:r>
      <w:proofErr w:type="spellEnd"/>
      <w:r w:rsidRPr="00F479EF">
        <w:rPr>
          <w:rFonts w:eastAsiaTheme="minorHAnsi" w:cstheme="minorHAnsi"/>
          <w:kern w:val="0"/>
          <w:lang w:eastAsia="en-US"/>
          <w14:ligatures w14:val="none"/>
        </w:rPr>
        <w:t xml:space="preserve"> (2021) consacré à la gestion des Béliziens de leurs identités à travers leur patrimoine culinaire, témoignent de la complexité des politiques patrimoniales dans un contexte de diversité culturelle et de discours multiples et concurrents sur le nationalisme. Bien sûr, le nationalisme n’est pas le seul cadre d’analyse possible. Nurse (2005) affirme que le carnaval de Rio au Brésil, le Mardi Gras de la Nouvelle-Orléans et le carnaval de Trinidad sont des formations transnationales et transculturelles qui résultent de processus parallèles de mondialisation et de </w:t>
      </w:r>
      <w:proofErr w:type="spellStart"/>
      <w:r w:rsidRPr="00F479EF">
        <w:rPr>
          <w:rFonts w:eastAsiaTheme="minorHAnsi" w:cstheme="minorHAnsi"/>
          <w:kern w:val="0"/>
          <w:lang w:eastAsia="en-US"/>
          <w14:ligatures w14:val="none"/>
        </w:rPr>
        <w:t>diasporisation</w:t>
      </w:r>
      <w:proofErr w:type="spellEnd"/>
      <w:r w:rsidRPr="00F479EF">
        <w:rPr>
          <w:rFonts w:eastAsiaTheme="minorHAnsi" w:cstheme="minorHAnsi"/>
          <w:kern w:val="0"/>
          <w:lang w:eastAsia="en-US"/>
          <w14:ligatures w14:val="none"/>
        </w:rPr>
        <w:t xml:space="preserve">. Si le carnaval est à la fois une contre-culture qui s’oppose à l’inégalité, à l’injustice sociale et au dénuement culturel dont souffrent nombre de ses praticiens, il est aussi facilement transformé en marchandise et utilisé à diverses fins politiques (Nurse </w:t>
      </w:r>
      <w:proofErr w:type="gramStart"/>
      <w:r w:rsidRPr="00F479EF">
        <w:rPr>
          <w:rFonts w:eastAsiaTheme="minorHAnsi" w:cstheme="minorHAnsi"/>
          <w:kern w:val="0"/>
          <w:lang w:eastAsia="en-US"/>
          <w14:ligatures w14:val="none"/>
        </w:rPr>
        <w:t>2005:</w:t>
      </w:r>
      <w:proofErr w:type="gramEnd"/>
      <w:r w:rsidRPr="00F479EF">
        <w:rPr>
          <w:rFonts w:eastAsiaTheme="minorHAnsi" w:cstheme="minorHAnsi"/>
          <w:kern w:val="0"/>
          <w:lang w:eastAsia="en-US"/>
          <w14:ligatures w14:val="none"/>
        </w:rPr>
        <w:t xml:space="preserve">120, 128). </w:t>
      </w:r>
    </w:p>
    <w:p w14:paraId="17D2B4CD"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Tenir compte des relations de pouvoir est primordial dans les contextes commerciaux, car les communautés ne sont souvent pas en mesure de négocier des conditions équitables avec des tiers. Toutefois, les chercheurs rappellent qu’il ne faut pas supposer de dichotomie entre le pouvoir gouvernemental et la faiblesse de la communauté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et Weiss 2015). Pour étudier les facteurs économiques et patrimoniaux dans la fabrication de la bière lambic en Belgique, </w:t>
      </w:r>
      <w:proofErr w:type="spellStart"/>
      <w:r w:rsidRPr="00F479EF">
        <w:rPr>
          <w:rFonts w:eastAsiaTheme="minorHAnsi" w:cstheme="minorHAnsi"/>
          <w:kern w:val="0"/>
          <w:lang w:eastAsia="en-US"/>
          <w14:ligatures w14:val="none"/>
        </w:rPr>
        <w:t>Stoffelen</w:t>
      </w:r>
      <w:proofErr w:type="spellEnd"/>
      <w:r w:rsidRPr="00F479EF">
        <w:rPr>
          <w:rFonts w:eastAsiaTheme="minorHAnsi" w:cstheme="minorHAnsi"/>
          <w:kern w:val="0"/>
          <w:lang w:eastAsia="en-US"/>
          <w14:ligatures w14:val="none"/>
        </w:rPr>
        <w:t xml:space="preserve"> (2020) utilise ce qu’il appelle « le cadre émergent de l’Économie politique culturelle », ou EPC, inspiré par les travaux de Raymond Williams sur l’intersection complexe des relations structurelles de capital et de l’expression culturelle. Cela permet d’intégrer l’analyse sémiotique critique à l’économie politique. L’idée est que les gens donnent du sens au monde complexe dans lequel ils vivent grâce à des systèmes sémiotiques appelés « imaginaires », des histoires patrimoniales qui sont mobilisées et intériorisées. Ces imaginaires confèrent un certain pouvoir d’action aux acteurs, bien qu’ils restent limités par des pressions structurelles (politiques et économiques). Les imaginaires influencent la manière dont les acteurs sélectionnent, conservent et institutionnalisent de manière stratégique les valeurs patrimoniales (</w:t>
      </w:r>
      <w:proofErr w:type="spellStart"/>
      <w:r w:rsidRPr="00F479EF">
        <w:rPr>
          <w:rFonts w:eastAsiaTheme="minorHAnsi" w:cstheme="minorHAnsi"/>
          <w:kern w:val="0"/>
          <w:lang w:eastAsia="en-US"/>
          <w14:ligatures w14:val="none"/>
        </w:rPr>
        <w:t>Stoffelen</w:t>
      </w:r>
      <w:proofErr w:type="spellEnd"/>
      <w:r w:rsidRPr="00F479EF">
        <w:rPr>
          <w:rFonts w:eastAsiaTheme="minorHAnsi" w:cstheme="minorHAnsi"/>
          <w:kern w:val="0"/>
          <w:lang w:eastAsia="en-US"/>
          <w14:ligatures w14:val="none"/>
        </w:rPr>
        <w:t xml:space="preserve"> 2020, citant Kenny et Stevenson 1998 ; Jessop et </w:t>
      </w:r>
      <w:proofErr w:type="spellStart"/>
      <w:r w:rsidRPr="00F479EF">
        <w:rPr>
          <w:rFonts w:eastAsiaTheme="minorHAnsi" w:cstheme="minorHAnsi"/>
          <w:kern w:val="0"/>
          <w:lang w:eastAsia="en-US"/>
          <w14:ligatures w14:val="none"/>
        </w:rPr>
        <w:t>Oosterlynck</w:t>
      </w:r>
      <w:proofErr w:type="spellEnd"/>
      <w:r w:rsidRPr="00F479EF">
        <w:rPr>
          <w:rFonts w:eastAsiaTheme="minorHAnsi" w:cstheme="minorHAnsi"/>
          <w:kern w:val="0"/>
          <w:lang w:eastAsia="en-US"/>
          <w14:ligatures w14:val="none"/>
        </w:rPr>
        <w:t xml:space="preserve"> 2008 ; </w:t>
      </w:r>
      <w:proofErr w:type="spellStart"/>
      <w:r w:rsidRPr="00F479EF">
        <w:rPr>
          <w:rFonts w:eastAsiaTheme="minorHAnsi" w:cstheme="minorHAnsi"/>
          <w:kern w:val="0"/>
          <w:lang w:eastAsia="en-US"/>
          <w14:ligatures w14:val="none"/>
        </w:rPr>
        <w:t>Sum</w:t>
      </w:r>
      <w:proofErr w:type="spellEnd"/>
      <w:r w:rsidRPr="00F479EF">
        <w:rPr>
          <w:rFonts w:eastAsiaTheme="minorHAnsi" w:cstheme="minorHAnsi"/>
          <w:kern w:val="0"/>
          <w:lang w:eastAsia="en-US"/>
          <w14:ligatures w14:val="none"/>
        </w:rPr>
        <w:t xml:space="preserve"> et Jessop 2013). Ainsi, il existe de nombreuses valeurs patrimoniales en tension les unes avec les autres, qui sont mobilisées tant sur le plan politique qu’économique par le biais de l’engagement sur le marché. </w:t>
      </w:r>
    </w:p>
    <w:p w14:paraId="096EE768"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Alors que les communautés elles-mêmes revendiquent parfois une forme de propriété de leur PCI, dans les études critiques sur le patrimoine, l’hypothèse d’une « communauté » fixe qui « possède » le PCI est souvent remise en question, de même que l’accusation de détournement. Comment peut-on s’approprier quelque chose qui n’est pas « possédé » ? La perte de contrôle sur le PCI constitue-t-elle un détournement en soi ? À quelles définitions de la propriété fait-on appel ? Par ailleurs, les notions de droit de propriété et de bonne gestion sont propres à chaque culture, et les concepts occidentaux ne doivent pas être imposés aux autres (</w:t>
      </w:r>
      <w:proofErr w:type="spellStart"/>
      <w:r w:rsidRPr="00F479EF">
        <w:rPr>
          <w:rFonts w:eastAsiaTheme="minorHAnsi" w:cstheme="minorHAnsi"/>
          <w:kern w:val="0"/>
          <w:lang w:eastAsia="en-US"/>
          <w14:ligatures w14:val="none"/>
        </w:rPr>
        <w:t>Pigliasco</w:t>
      </w:r>
      <w:proofErr w:type="spellEnd"/>
      <w:r w:rsidRPr="00F479EF">
        <w:rPr>
          <w:rFonts w:eastAsiaTheme="minorHAnsi" w:cstheme="minorHAnsi"/>
          <w:kern w:val="0"/>
          <w:lang w:eastAsia="en-US"/>
          <w14:ligatures w14:val="none"/>
        </w:rPr>
        <w:t xml:space="preserve"> 2020 ;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1993). </w:t>
      </w:r>
      <w:proofErr w:type="spellStart"/>
      <w:r w:rsidRPr="00F479EF">
        <w:rPr>
          <w:rFonts w:eastAsiaTheme="minorHAnsi" w:cstheme="minorHAnsi"/>
          <w:kern w:val="0"/>
          <w:lang w:eastAsia="en-US"/>
          <w14:ligatures w14:val="none"/>
        </w:rPr>
        <w:t>Serafni</w:t>
      </w:r>
      <w:proofErr w:type="spellEnd"/>
      <w:r w:rsidRPr="00F479EF">
        <w:rPr>
          <w:rFonts w:eastAsiaTheme="minorHAnsi" w:cstheme="minorHAnsi"/>
          <w:kern w:val="0"/>
          <w:lang w:eastAsia="en-US"/>
          <w14:ligatures w14:val="none"/>
        </w:rPr>
        <w:t xml:space="preserve"> (dans Oakley et Banks </w:t>
      </w:r>
      <w:proofErr w:type="gramStart"/>
      <w:r w:rsidRPr="00F479EF">
        <w:rPr>
          <w:rFonts w:eastAsiaTheme="minorHAnsi" w:cstheme="minorHAnsi"/>
          <w:kern w:val="0"/>
          <w:lang w:eastAsia="en-US"/>
          <w14:ligatures w14:val="none"/>
        </w:rPr>
        <w:t>2021:</w:t>
      </w:r>
      <w:proofErr w:type="gramEnd"/>
      <w:r w:rsidRPr="00F479EF">
        <w:rPr>
          <w:rFonts w:eastAsiaTheme="minorHAnsi" w:cstheme="minorHAnsi"/>
          <w:kern w:val="0"/>
          <w:lang w:eastAsia="en-US"/>
          <w14:ligatures w14:val="none"/>
        </w:rPr>
        <w:t>60-61) se demande comment imaginer une « sphère culturelle post-</w:t>
      </w:r>
      <w:proofErr w:type="spellStart"/>
      <w:r w:rsidRPr="00F479EF">
        <w:rPr>
          <w:rFonts w:eastAsiaTheme="minorHAnsi" w:cstheme="minorHAnsi"/>
          <w:kern w:val="0"/>
          <w:lang w:eastAsia="en-US"/>
          <w14:ligatures w14:val="none"/>
        </w:rPr>
        <w:t>extractiviste</w:t>
      </w:r>
      <w:proofErr w:type="spellEnd"/>
      <w:r w:rsidRPr="00F479EF">
        <w:rPr>
          <w:rFonts w:eastAsiaTheme="minorHAnsi" w:cstheme="minorHAnsi"/>
          <w:kern w:val="0"/>
          <w:lang w:eastAsia="en-US"/>
          <w14:ligatures w14:val="none"/>
        </w:rPr>
        <w:t> » qui viendrait équilibrer les libertés individuelles, le respect mutuel, la bonne gestion culturelle et la justice sociale.</w:t>
      </w:r>
    </w:p>
    <w:p w14:paraId="7EB02677"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L’idée d’un « fonds culturel commun » peut nous aider à comprendre les responsabilités morales et matérielles des communautés en matière de sauvegarde, leurs intérêts (communs et individuels) dans la gestion de leur PCI et peut-être aussi les responsabilités des tiers. La culture et la nature ne sont pas </w:t>
      </w:r>
      <w:r w:rsidRPr="00F479EF">
        <w:rPr>
          <w:rFonts w:eastAsiaTheme="minorHAnsi" w:cstheme="minorHAnsi"/>
          <w:kern w:val="0"/>
          <w:lang w:eastAsia="en-US"/>
          <w14:ligatures w14:val="none"/>
        </w:rPr>
        <w:lastRenderedPageBreak/>
        <w:t>simplement des « ressources » à extraire, mais plutôt des « biens communs » que nous devons préserver et apprécier (</w:t>
      </w:r>
      <w:proofErr w:type="spellStart"/>
      <w:r w:rsidRPr="00F479EF">
        <w:rPr>
          <w:rFonts w:eastAsiaTheme="minorHAnsi" w:cstheme="minorHAnsi"/>
          <w:kern w:val="0"/>
          <w:lang w:eastAsia="en-US"/>
          <w14:ligatures w14:val="none"/>
        </w:rPr>
        <w:t>Santagata</w:t>
      </w:r>
      <w:proofErr w:type="spellEnd"/>
      <w:r w:rsidRPr="00F479EF">
        <w:rPr>
          <w:rFonts w:eastAsiaTheme="minorHAnsi" w:cstheme="minorHAnsi"/>
          <w:kern w:val="0"/>
          <w:lang w:eastAsia="en-US"/>
          <w14:ligatures w14:val="none"/>
        </w:rPr>
        <w:t xml:space="preserve">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2011). Il est important de relever qu’une approche de « culture ouverte » (dans laquelle le « public » partage les mêmes biens culturels) se distingue de l’idée de « fonds commun de connaissances traditionnelles », dans laquelle les pratiques culturelles des communautés sont maintenues, utilisées et partagées au sein de groupes spécifiques (voir Chapman et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2020). En l’absence de protections juridiques claires pour le PCI, les politiques de « culture ouverte » peuvent entraver la gestion par les communautés de leur PCI, ainsi que sa pratique et sa transmission futures. Un « fonds commun de connaissances traditionnelles » peut être soutenu par des mécanismes juridiques et politiques (éventuellement basés sur le droit coutumier), permettant aux communautés de partager plus efficacement les informations entre elles et de bénéficier équitablement d’une utilisation appropriée par des tiers (De Beer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2014). La Bibliothèque numérique de savoirs traditionnels (BNST) en Inde est un exemple d’outil numérique cherchant à exercer un contrôle sur l’utilisation d’un fonds commun de savoirs traditionnels. </w:t>
      </w:r>
    </w:p>
    <w:p w14:paraId="46C0B172"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Schreiber (à paraître en 2023) souligne l’intérêt d’une réflexion sur un fonds culturel commun dans le cadre de la Convention. Même au sein des communautés, les entrepreneurs ont parfois des intérêts divergents de ceux de la communauté dans son ensemble, adoptant donc un comportement de « passager clandestin » ; il peut également y avoir un conflit entre les « innovateurs » et les « traditionalistes ». Schreiber s’appuie sur les travaux de Hess et </w:t>
      </w:r>
      <w:proofErr w:type="spellStart"/>
      <w:r w:rsidRPr="00F479EF">
        <w:rPr>
          <w:rFonts w:eastAsiaTheme="minorHAnsi" w:cstheme="minorHAnsi"/>
          <w:kern w:val="0"/>
          <w:lang w:eastAsia="en-US"/>
          <w14:ligatures w14:val="none"/>
        </w:rPr>
        <w:t>Ostrom</w:t>
      </w:r>
      <w:proofErr w:type="spellEnd"/>
      <w:r w:rsidRPr="00F479EF">
        <w:rPr>
          <w:rFonts w:eastAsiaTheme="minorHAnsi" w:cstheme="minorHAnsi"/>
          <w:kern w:val="0"/>
          <w:lang w:eastAsia="en-US"/>
          <w14:ligatures w14:val="none"/>
        </w:rPr>
        <w:t xml:space="preserve"> pour distinguer différents types de biens liés au PCI en fonction de leur degré d’excluabilité ou de </w:t>
      </w:r>
      <w:proofErr w:type="spellStart"/>
      <w:r w:rsidRPr="00F479EF">
        <w:rPr>
          <w:rFonts w:eastAsiaTheme="minorHAnsi" w:cstheme="minorHAnsi"/>
          <w:kern w:val="0"/>
          <w:lang w:eastAsia="en-US"/>
          <w14:ligatures w14:val="none"/>
        </w:rPr>
        <w:t>soustractibilité</w:t>
      </w:r>
      <w:proofErr w:type="spellEnd"/>
      <w:r w:rsidRPr="00F479EF">
        <w:rPr>
          <w:rFonts w:eastAsiaTheme="minorHAnsi" w:cstheme="minorHAnsi"/>
          <w:kern w:val="0"/>
          <w:lang w:eastAsia="en-US"/>
          <w14:ligatures w14:val="none"/>
        </w:rPr>
        <w:t xml:space="preserve">. Elle suggère que différents types de biens liés au PCI peuvent être vulnérables à différents types de dommages dans l’environnement du marché et qu’ils doivent être gérés par une « gouvernance polycentrique » (systèmes adaptatifs à plusieurs niveaux dans lesquels les communautés et les autorités publiques et privées ont des domaines de responsabilité qui se chevauchent). Ces classifications peuvent se révéler très utiles pour examiner les préjudices posés par un engagement sur le marché, bien que le détournement culturel ne se caractérise pas toujours par une soustraction au sens physique du terme, par exemple. En outre, comme le remarque Schreiber, les classifications diffèrent en fonction des aspects de la pratique du PCI pris en considération. Par exemple, la connaissance du sauna en Finlande est un bien public : il est ouvert à tous, avec de faibles barrières d’excluabilité ; savoir comment utiliser un sauna ne diminue en rien le savoir </w:t>
      </w:r>
      <w:proofErr w:type="gramStart"/>
      <w:r w:rsidRPr="00F479EF">
        <w:rPr>
          <w:rFonts w:eastAsiaTheme="minorHAnsi" w:cstheme="minorHAnsi"/>
          <w:kern w:val="0"/>
          <w:lang w:eastAsia="en-US"/>
          <w14:ligatures w14:val="none"/>
        </w:rPr>
        <w:t>des autres</w:t>
      </w:r>
      <w:proofErr w:type="gramEnd"/>
      <w:r w:rsidRPr="00F479EF">
        <w:rPr>
          <w:rFonts w:eastAsiaTheme="minorHAnsi" w:cstheme="minorHAnsi"/>
          <w:kern w:val="0"/>
          <w:lang w:eastAsia="en-US"/>
          <w14:ligatures w14:val="none"/>
        </w:rPr>
        <w:t xml:space="preserve"> (faible </w:t>
      </w:r>
      <w:proofErr w:type="spellStart"/>
      <w:r w:rsidRPr="00F479EF">
        <w:rPr>
          <w:rFonts w:eastAsiaTheme="minorHAnsi" w:cstheme="minorHAnsi"/>
          <w:kern w:val="0"/>
          <w:lang w:eastAsia="en-US"/>
          <w14:ligatures w14:val="none"/>
        </w:rPr>
        <w:t>soustractibilité</w:t>
      </w:r>
      <w:proofErr w:type="spellEnd"/>
      <w:r w:rsidRPr="00F479EF">
        <w:rPr>
          <w:rFonts w:eastAsiaTheme="minorHAnsi" w:cstheme="minorHAnsi"/>
          <w:kern w:val="0"/>
          <w:lang w:eastAsia="en-US"/>
          <w14:ligatures w14:val="none"/>
        </w:rPr>
        <w:t xml:space="preserve">). Cependant, tout le monde ne peut pas entrer en même temps dans un sauna (forte </w:t>
      </w:r>
      <w:proofErr w:type="spellStart"/>
      <w:r w:rsidRPr="00F479EF">
        <w:rPr>
          <w:rFonts w:eastAsiaTheme="minorHAnsi" w:cstheme="minorHAnsi"/>
          <w:kern w:val="0"/>
          <w:lang w:eastAsia="en-US"/>
          <w14:ligatures w14:val="none"/>
        </w:rPr>
        <w:t>soustractibilité</w:t>
      </w:r>
      <w:proofErr w:type="spellEnd"/>
      <w:r w:rsidRPr="00F479EF">
        <w:rPr>
          <w:rFonts w:eastAsiaTheme="minorHAnsi" w:cstheme="minorHAnsi"/>
          <w:kern w:val="0"/>
          <w:lang w:eastAsia="en-US"/>
          <w14:ligatures w14:val="none"/>
        </w:rPr>
        <w:t>), et les saunas à domicile relèvent plutôt de la propriété privée onéreuse (forte excluabilité), ce qui fait de l’accès même à la pratique du sauna un bien privé. Il faudrait mener d’autres études sur ce sujet des plus intéressants, en s’appuyant par exemple sur les travaux de Lenard et Balint (2020), voir ci-dessous.</w:t>
      </w:r>
    </w:p>
    <w:p w14:paraId="696432F6"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Les travaux anthropologiques et les études critiques sur le patrimoine nous aident à apprécier la malléabilité de la signification et de la valeur dans le contexte du PCI et du marché, ainsi que la complexité de la dynamique du pouvoir dans cet espace. Il est rare que les communautés et les praticiens du PCI contrôlent pleinement les conditions de l’engagement dans des contextes commerciaux, bien qu’ils le souhaitent souvent (</w:t>
      </w:r>
      <w:proofErr w:type="spellStart"/>
      <w:r w:rsidRPr="00F479EF">
        <w:rPr>
          <w:rFonts w:eastAsiaTheme="minorHAnsi" w:cstheme="minorHAnsi"/>
          <w:kern w:val="0"/>
          <w:lang w:eastAsia="en-US"/>
          <w14:ligatures w14:val="none"/>
        </w:rPr>
        <w:t>Pigliasco</w:t>
      </w:r>
      <w:proofErr w:type="spellEnd"/>
      <w:r w:rsidRPr="00F479EF">
        <w:rPr>
          <w:rFonts w:eastAsiaTheme="minorHAnsi" w:cstheme="minorHAnsi"/>
          <w:kern w:val="0"/>
          <w:lang w:eastAsia="en-US"/>
          <w14:ligatures w14:val="none"/>
        </w:rPr>
        <w:t xml:space="preserve"> 2020 ; voir également </w:t>
      </w:r>
      <w:proofErr w:type="spellStart"/>
      <w:r w:rsidRPr="00F479EF">
        <w:rPr>
          <w:rFonts w:eastAsiaTheme="minorHAnsi" w:cstheme="minorHAnsi"/>
          <w:kern w:val="0"/>
          <w:lang w:eastAsia="en-US"/>
          <w14:ligatures w14:val="none"/>
        </w:rPr>
        <w:t>Nuorgam</w:t>
      </w:r>
      <w:proofErr w:type="spellEnd"/>
      <w:r w:rsidRPr="00F479EF">
        <w:rPr>
          <w:rFonts w:eastAsiaTheme="minorHAnsi" w:cstheme="minorHAnsi"/>
          <w:kern w:val="0"/>
          <w:lang w:eastAsia="en-US"/>
          <w14:ligatures w14:val="none"/>
        </w:rPr>
        <w:t xml:space="preserve"> 2022). Si les pressions commerciales externes peuvent altérer la signification et la pratique du PCI, la flexibilité de la signification et de la pratique du patrimoine permet néanmoins des réponses créatives de la part de la communauté. La reconnaissance des droits et responsabilités culturels transfrontaliers fera probablement l’objet d’un débat plus approfondi à l’échelle internationale, étant donné que les mouvements de migration risquent </w:t>
      </w:r>
      <w:r w:rsidRPr="00F479EF">
        <w:rPr>
          <w:rFonts w:eastAsiaTheme="minorHAnsi" w:cstheme="minorHAnsi"/>
          <w:kern w:val="0"/>
          <w:lang w:eastAsia="en-US"/>
          <w14:ligatures w14:val="none"/>
        </w:rPr>
        <w:lastRenderedPageBreak/>
        <w:t>d’augmenter drastiquement à l’avenir en raison du changement climatique (Kim 2011) et des nouvelles possibilités numériques d’exploitation du patrimoine culturel.</w:t>
      </w:r>
    </w:p>
    <w:p w14:paraId="4403EB52" w14:textId="77777777" w:rsidR="002C1F81" w:rsidRPr="00F479EF" w:rsidRDefault="002C1F81" w:rsidP="002C1F81">
      <w:pPr>
        <w:keepNext/>
        <w:spacing w:after="240" w:line="240" w:lineRule="auto"/>
        <w:ind w:left="720"/>
        <w:jc w:val="both"/>
        <w:outlineLvl w:val="2"/>
        <w:rPr>
          <w:rFonts w:eastAsiaTheme="minorHAnsi" w:cstheme="minorHAnsi"/>
          <w:b/>
          <w:bCs/>
          <w:kern w:val="0"/>
          <w:lang w:eastAsia="en-US"/>
          <w14:ligatures w14:val="none"/>
        </w:rPr>
      </w:pPr>
      <w:bookmarkStart w:id="9" w:name="_Toc137745027"/>
      <w:r w:rsidRPr="00F479EF">
        <w:rPr>
          <w:rFonts w:eastAsiaTheme="minorHAnsi" w:cstheme="minorHAnsi"/>
          <w:b/>
          <w:bCs/>
          <w:kern w:val="0"/>
          <w:lang w:eastAsia="en-US"/>
          <w14:ligatures w14:val="none"/>
        </w:rPr>
        <w:t>Perspectives de l’économie</w:t>
      </w:r>
      <w:bookmarkEnd w:id="9"/>
    </w:p>
    <w:p w14:paraId="65678E77"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Considérant le patrimoine tant matériel qu’immatériel et en se concentrant sur les éléments que les communautés utilisent déjà ou souhaitent utiliser pour s’engager sur le marché, </w:t>
      </w:r>
      <w:proofErr w:type="spellStart"/>
      <w:r w:rsidRPr="00F479EF">
        <w:rPr>
          <w:rFonts w:eastAsiaTheme="minorHAnsi" w:cstheme="minorHAnsi"/>
          <w:kern w:val="0"/>
          <w:lang w:eastAsia="en-US"/>
          <w14:ligatures w14:val="none"/>
        </w:rPr>
        <w:t>Mergos</w:t>
      </w:r>
      <w:proofErr w:type="spellEnd"/>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2017:</w:t>
      </w:r>
      <w:proofErr w:type="gramEnd"/>
      <w:r w:rsidRPr="00F479EF">
        <w:rPr>
          <w:rFonts w:eastAsiaTheme="minorHAnsi" w:cstheme="minorHAnsi"/>
          <w:kern w:val="0"/>
          <w:lang w:eastAsia="en-US"/>
          <w14:ligatures w14:val="none"/>
        </w:rPr>
        <w:t xml:space="preserve">82) distingue trois aspects de la valeur patrimoniale comme catalyseur du développement économique et social : </w:t>
      </w:r>
    </w:p>
    <w:p w14:paraId="50D157BA" w14:textId="77777777" w:rsidR="002C1F81" w:rsidRPr="00F479EF" w:rsidRDefault="002C1F81" w:rsidP="002C1F81">
      <w:pPr>
        <w:numPr>
          <w:ilvl w:val="0"/>
          <w:numId w:val="1"/>
        </w:numPr>
        <w:contextualSpacing/>
        <w:jc w:val="both"/>
        <w:rPr>
          <w:rFonts w:eastAsiaTheme="minorHAnsi" w:cstheme="minorHAnsi"/>
          <w:kern w:val="0"/>
          <w:lang w:eastAsia="en-US"/>
          <w14:ligatures w14:val="none"/>
        </w:rPr>
      </w:pPr>
      <w:proofErr w:type="gramStart"/>
      <w:r w:rsidRPr="00F479EF">
        <w:rPr>
          <w:rFonts w:eastAsiaTheme="minorHAnsi" w:cstheme="minorHAnsi"/>
          <w:kern w:val="0"/>
          <w:lang w:eastAsia="en-US"/>
          <w14:ligatures w14:val="none"/>
        </w:rPr>
        <w:t>le</w:t>
      </w:r>
      <w:proofErr w:type="gramEnd"/>
      <w:r w:rsidRPr="00F479EF">
        <w:rPr>
          <w:rFonts w:eastAsiaTheme="minorHAnsi" w:cstheme="minorHAnsi"/>
          <w:kern w:val="0"/>
          <w:lang w:eastAsia="en-US"/>
          <w14:ligatures w14:val="none"/>
        </w:rPr>
        <w:t xml:space="preserve"> patrimoine en tant que secteur économique distinct qui utilise des ressources, qui génère des produits, des services et du profit, qui crée des emplois ;</w:t>
      </w:r>
    </w:p>
    <w:p w14:paraId="0A1F5503" w14:textId="77777777" w:rsidR="002C1F81" w:rsidRPr="00F479EF" w:rsidRDefault="002C1F81" w:rsidP="002C1F81">
      <w:pPr>
        <w:numPr>
          <w:ilvl w:val="0"/>
          <w:numId w:val="1"/>
        </w:numPr>
        <w:contextualSpacing/>
        <w:jc w:val="both"/>
        <w:rPr>
          <w:rFonts w:eastAsiaTheme="minorHAnsi" w:cstheme="minorHAnsi"/>
          <w:kern w:val="0"/>
          <w:lang w:eastAsia="en-US"/>
          <w14:ligatures w14:val="none"/>
        </w:rPr>
      </w:pPr>
      <w:proofErr w:type="gramStart"/>
      <w:r w:rsidRPr="00F479EF">
        <w:rPr>
          <w:rFonts w:eastAsiaTheme="minorHAnsi" w:cstheme="minorHAnsi"/>
          <w:kern w:val="0"/>
          <w:lang w:eastAsia="en-US"/>
          <w14:ligatures w14:val="none"/>
        </w:rPr>
        <w:t>le</w:t>
      </w:r>
      <w:proofErr w:type="gramEnd"/>
      <w:r w:rsidRPr="00F479EF">
        <w:rPr>
          <w:rFonts w:eastAsiaTheme="minorHAnsi" w:cstheme="minorHAnsi"/>
          <w:kern w:val="0"/>
          <w:lang w:eastAsia="en-US"/>
          <w14:ligatures w14:val="none"/>
        </w:rPr>
        <w:t xml:space="preserve"> patrimoine en tant que catalyseur de développement, attirant les investissements et encourageant les activités de développement ; et</w:t>
      </w:r>
    </w:p>
    <w:p w14:paraId="6F0D10C7" w14:textId="77777777" w:rsidR="002C1F81" w:rsidRPr="00F479EF" w:rsidRDefault="002C1F81" w:rsidP="002C1F81">
      <w:pPr>
        <w:numPr>
          <w:ilvl w:val="0"/>
          <w:numId w:val="1"/>
        </w:numPr>
        <w:contextualSpacing/>
        <w:jc w:val="both"/>
        <w:rPr>
          <w:rFonts w:eastAsiaTheme="minorHAnsi" w:cstheme="minorHAnsi"/>
          <w:kern w:val="0"/>
          <w:lang w:eastAsia="en-US"/>
          <w14:ligatures w14:val="none"/>
        </w:rPr>
      </w:pPr>
      <w:proofErr w:type="gramStart"/>
      <w:r w:rsidRPr="00F479EF">
        <w:rPr>
          <w:rFonts w:eastAsiaTheme="minorHAnsi" w:cstheme="minorHAnsi"/>
          <w:kern w:val="0"/>
          <w:lang w:eastAsia="en-US"/>
          <w14:ligatures w14:val="none"/>
        </w:rPr>
        <w:t>le</w:t>
      </w:r>
      <w:proofErr w:type="gramEnd"/>
      <w:r w:rsidRPr="00F479EF">
        <w:rPr>
          <w:rFonts w:eastAsiaTheme="minorHAnsi" w:cstheme="minorHAnsi"/>
          <w:kern w:val="0"/>
          <w:lang w:eastAsia="en-US"/>
          <w14:ligatures w14:val="none"/>
        </w:rPr>
        <w:t xml:space="preserve"> patrimoine en tant qu’outil marketing (de création d’une marque) pour un lieu [voire une communauté].</w:t>
      </w:r>
    </w:p>
    <w:p w14:paraId="6349A770"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Ces aspects de la valeur patrimoniale catalysent le développement simultanément de différentes manières. Par exemple, la cérémonie fidjienne de la marche sur le feu est une source de revenus pour les praticiens locaux et permet des investissements touristiques plus importants. Elle est également devenue la « marque » emblématique de la culture fidjienne, banalisée et adaptée visuellement aux goûts des touristes. </w:t>
      </w:r>
      <w:proofErr w:type="spellStart"/>
      <w:r w:rsidRPr="00F479EF">
        <w:rPr>
          <w:rFonts w:eastAsiaTheme="minorHAnsi" w:cstheme="minorHAnsi"/>
          <w:kern w:val="0"/>
          <w:lang w:eastAsia="en-US"/>
          <w14:ligatures w14:val="none"/>
        </w:rPr>
        <w:t>Pigliasco</w:t>
      </w:r>
      <w:proofErr w:type="spellEnd"/>
      <w:r w:rsidRPr="00F479EF">
        <w:rPr>
          <w:rFonts w:eastAsiaTheme="minorHAnsi" w:cstheme="minorHAnsi"/>
          <w:kern w:val="0"/>
          <w:lang w:eastAsia="en-US"/>
          <w14:ligatures w14:val="none"/>
        </w:rPr>
        <w:t xml:space="preserve"> (2020) cite l’un des chefs locaux qui déclare : « nous avons nous-mêmes créé une marque qui nous identifie il y a longtemps », en liant la pratique culturelle et l’identité sociale. Bien sûr, il est possible d’envisager autrement la valeur économique du PCI, notamment quand les pratiques et les idéologies encouragent le partage et la coopération entre les membres de la communauté, ce qui a une valeur économique, mais ne génère pas de profit commercial (</w:t>
      </w:r>
      <w:proofErr w:type="spellStart"/>
      <w:r w:rsidRPr="00F479EF">
        <w:rPr>
          <w:rFonts w:eastAsiaTheme="minorHAnsi" w:cstheme="minorHAnsi"/>
          <w:kern w:val="0"/>
          <w:lang w:eastAsia="en-US"/>
          <w14:ligatures w14:val="none"/>
        </w:rPr>
        <w:t>Huffman</w:t>
      </w:r>
      <w:proofErr w:type="spellEnd"/>
      <w:r w:rsidRPr="00F479EF">
        <w:rPr>
          <w:rFonts w:eastAsiaTheme="minorHAnsi" w:cstheme="minorHAnsi"/>
          <w:kern w:val="0"/>
          <w:lang w:eastAsia="en-US"/>
          <w14:ligatures w14:val="none"/>
        </w:rPr>
        <w:t xml:space="preserve"> 2005). Ces pratiques peuvent être activement opposées aux principes de profit de l’économie néolibérale. La notion de patrimoine comme « catalyseur de développement » doit en tenir compte, ou il faudra créer une nouvelle catégorie pour faire valoir ce point de vue.</w:t>
      </w:r>
    </w:p>
    <w:p w14:paraId="1BA96B5A"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Les catégories identifiées par </w:t>
      </w:r>
      <w:proofErr w:type="spellStart"/>
      <w:r w:rsidRPr="00F479EF">
        <w:rPr>
          <w:rFonts w:eastAsiaTheme="minorHAnsi" w:cstheme="minorHAnsi"/>
          <w:kern w:val="0"/>
          <w:lang w:eastAsia="en-US"/>
          <w14:ligatures w14:val="none"/>
        </w:rPr>
        <w:t>Mergos</w:t>
      </w:r>
      <w:proofErr w:type="spellEnd"/>
      <w:r w:rsidRPr="00F479EF">
        <w:rPr>
          <w:rFonts w:eastAsiaTheme="minorHAnsi" w:cstheme="minorHAnsi"/>
          <w:kern w:val="0"/>
          <w:lang w:eastAsia="en-US"/>
          <w14:ligatures w14:val="none"/>
        </w:rPr>
        <w:t xml:space="preserve"> peuvent correspondre – bien qu’approximativement – aux activités prévues par la Convention concernant le rôle de la pratique et de la transmission du PCI dans la société (artisans vendant des objets artisanaux), le soutien des moyens de subsistance des praticiens (développement économique durable) et la sensibilisation (sensibilisation du public à la valeur du patrimoine pour la communauté). Dissocier ces différents types d’activités et la viabilité de la pratique et de la transmission du PCI peut faciliter l’analyse des problèmes et des solutions. Il convient d’examiner les impacts différentiels, ainsi que les éventuels avantages et défis des différents types de soutien à la sauvegarde du PCI sur le marché. Par exemple, la promotion de l’artisanat lié au PCI en tant que secteur économique peut avoir des avantages plus directs pour les moyens de subsistance des praticiens que l’investissement touristique général dans la région où ils vivent, si les hôtels n’appartiennent pas à des membres de la communauté ou ne créent pas d’espaces pour la vente d’objets artisanaux locaux. Le développement et la valeur économiques des activités du PCI sont souvent envisagés (en particulier par les États) sous l’angle de la réalisation des Objectifs de développement durable à l’échelle nationale, plutôt qu’en fonction de la valeur spécifique pour les communautés culturelles locales. </w:t>
      </w:r>
    </w:p>
    <w:p w14:paraId="4D88123E"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Certains experts autochtones utilisent la terminologie économique pour décrire le PCI en termes de « ressources » et de « capital ». Solveig </w:t>
      </w:r>
      <w:proofErr w:type="spellStart"/>
      <w:r w:rsidRPr="00F479EF">
        <w:rPr>
          <w:rFonts w:eastAsiaTheme="minorHAnsi" w:cstheme="minorHAnsi"/>
          <w:kern w:val="0"/>
          <w:lang w:eastAsia="en-US"/>
          <w14:ligatures w14:val="none"/>
        </w:rPr>
        <w:t>Ballo</w:t>
      </w:r>
      <w:proofErr w:type="spellEnd"/>
      <w:r w:rsidRPr="00F479EF">
        <w:rPr>
          <w:rFonts w:eastAsiaTheme="minorHAnsi" w:cstheme="minorHAnsi"/>
          <w:kern w:val="0"/>
          <w:lang w:eastAsia="en-US"/>
          <w14:ligatures w14:val="none"/>
        </w:rPr>
        <w:t xml:space="preserve"> représente Sápmi Business Garden, une petite entreprise </w:t>
      </w:r>
      <w:r w:rsidRPr="00F479EF">
        <w:rPr>
          <w:rFonts w:eastAsiaTheme="minorHAnsi" w:cstheme="minorHAnsi"/>
          <w:kern w:val="0"/>
          <w:lang w:eastAsia="en-US"/>
          <w14:ligatures w14:val="none"/>
        </w:rPr>
        <w:lastRenderedPageBreak/>
        <w:t xml:space="preserve">innovante basée en Norvège et financée en partie par le gouvernement. Son réseau compte une cinquantaine d’entrepreneurs </w:t>
      </w:r>
      <w:proofErr w:type="spellStart"/>
      <w:r w:rsidRPr="00F479EF">
        <w:rPr>
          <w:rFonts w:eastAsiaTheme="minorHAnsi" w:cstheme="minorHAnsi"/>
          <w:kern w:val="0"/>
          <w:lang w:eastAsia="en-US"/>
          <w14:ligatures w14:val="none"/>
        </w:rPr>
        <w:t>samis</w:t>
      </w:r>
      <w:proofErr w:type="spellEnd"/>
      <w:r w:rsidRPr="00F479EF">
        <w:rPr>
          <w:rFonts w:eastAsiaTheme="minorHAnsi" w:cstheme="minorHAnsi"/>
          <w:kern w:val="0"/>
          <w:lang w:eastAsia="en-US"/>
          <w14:ligatures w14:val="none"/>
        </w:rPr>
        <w:t xml:space="preserve">. </w:t>
      </w:r>
      <w:proofErr w:type="spellStart"/>
      <w:r w:rsidRPr="00F479EF">
        <w:rPr>
          <w:rFonts w:eastAsiaTheme="minorHAnsi" w:cstheme="minorHAnsi"/>
          <w:kern w:val="0"/>
          <w:lang w:eastAsia="en-US"/>
          <w14:ligatures w14:val="none"/>
        </w:rPr>
        <w:t>Ballo</w:t>
      </w:r>
      <w:proofErr w:type="spellEnd"/>
      <w:r w:rsidRPr="00F479EF">
        <w:rPr>
          <w:rFonts w:eastAsiaTheme="minorHAnsi" w:cstheme="minorHAnsi"/>
          <w:kern w:val="0"/>
          <w:lang w:eastAsia="en-US"/>
          <w14:ligatures w14:val="none"/>
        </w:rPr>
        <w:t xml:space="preserve"> (2022) affirme que les ressources communautaires liées au PCI constituent un avantage concurrentiel sur le marché.</w:t>
      </w:r>
      <w:r w:rsidRPr="00F479EF">
        <w:rPr>
          <w:rFonts w:ascii="Calibri" w:eastAsiaTheme="minorHAnsi" w:hAnsi="Calibri" w:cstheme="minorHAnsi"/>
          <w:kern w:val="0"/>
          <w:lang w:eastAsia="en-US"/>
          <w14:ligatures w14:val="none"/>
        </w:rPr>
        <w:t xml:space="preserve"> </w:t>
      </w:r>
      <w:r w:rsidRPr="00F479EF">
        <w:rPr>
          <w:rFonts w:eastAsiaTheme="minorHAnsi" w:cstheme="minorHAnsi"/>
          <w:kern w:val="0"/>
          <w:lang w:eastAsia="en-US"/>
          <w14:ligatures w14:val="none"/>
        </w:rPr>
        <w:t>Les professionnels de la culture de la Laponie (Sápmi) ont un avantage concurrentiel, puisqu’ils s’appuient non seulement sur l’innovation autochtone, mais aussi sur des valeurs communautaires fortes. Ils savent comment agir de manière respectueuse vis-à-vis du patrimoine commun et éviter une utilisation inappropriée. L’entreprise peut aider les entrepreneurs autochtones à protéger plus efficacement leurs intérêts sur le marché, en incluant intelligemment leurs valeurs dans leur offre commerciale</w:t>
      </w:r>
      <w:r w:rsidRPr="00F479EF">
        <w:rPr>
          <w:rFonts w:eastAsiaTheme="minorHAnsi" w:cstheme="minorHAnsi"/>
          <w:kern w:val="0"/>
          <w:vertAlign w:val="superscript"/>
          <w:lang w:eastAsia="en-US"/>
          <w14:ligatures w14:val="none"/>
        </w:rPr>
        <w:footnoteReference w:id="10"/>
      </w:r>
      <w:r w:rsidRPr="00F479EF">
        <w:rPr>
          <w:rFonts w:eastAsiaTheme="minorHAnsi" w:cstheme="minorHAnsi"/>
          <w:kern w:val="0"/>
          <w:lang w:eastAsia="en-US"/>
          <w14:ligatures w14:val="none"/>
        </w:rPr>
        <w:t>.</w:t>
      </w:r>
    </w:p>
    <w:p w14:paraId="7830B75A"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S’appuyant sur la notion de capital culturel au sein des communautés, </w:t>
      </w:r>
      <w:proofErr w:type="spellStart"/>
      <w:r w:rsidRPr="00F479EF">
        <w:rPr>
          <w:rFonts w:eastAsiaTheme="minorHAnsi" w:cstheme="minorHAnsi"/>
          <w:kern w:val="0"/>
          <w:lang w:eastAsia="en-US"/>
          <w14:ligatures w14:val="none"/>
        </w:rPr>
        <w:t>Ghahramani</w:t>
      </w:r>
      <w:proofErr w:type="spellEnd"/>
      <w:r w:rsidRPr="00F479EF">
        <w:rPr>
          <w:rFonts w:eastAsiaTheme="minorHAnsi" w:cstheme="minorHAnsi"/>
          <w:kern w:val="0"/>
          <w:lang w:eastAsia="en-US"/>
          <w14:ligatures w14:val="none"/>
        </w:rPr>
        <w:t xml:space="preserve">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2020:</w:t>
      </w:r>
      <w:proofErr w:type="gramEnd"/>
      <w:r w:rsidRPr="00F479EF">
        <w:rPr>
          <w:rFonts w:eastAsiaTheme="minorHAnsi" w:cstheme="minorHAnsi"/>
          <w:kern w:val="0"/>
          <w:lang w:eastAsia="en-US"/>
          <w14:ligatures w14:val="none"/>
        </w:rPr>
        <w:t xml:space="preserve">11) emploient le terme « capital communautaire » pour décrire l’ensemble des ressources humaines, sociales, culturelles et environnementales de la communauté. S’étant penchés sur le tourisme autochtone et le développement communautaire dans la communauté </w:t>
      </w:r>
      <w:proofErr w:type="spellStart"/>
      <w:r w:rsidRPr="00F479EF">
        <w:rPr>
          <w:rFonts w:eastAsiaTheme="minorHAnsi" w:cstheme="minorHAnsi"/>
          <w:kern w:val="0"/>
          <w:lang w:eastAsia="en-US"/>
          <w14:ligatures w14:val="none"/>
        </w:rPr>
        <w:t>Gullah</w:t>
      </w:r>
      <w:proofErr w:type="spellEnd"/>
      <w:r w:rsidRPr="00F479EF">
        <w:rPr>
          <w:rFonts w:eastAsiaTheme="minorHAnsi" w:cstheme="minorHAnsi"/>
          <w:kern w:val="0"/>
          <w:lang w:eastAsia="en-US"/>
          <w14:ligatures w14:val="none"/>
        </w:rPr>
        <w:t xml:space="preserve"> du sud-est des États-Unis, ils affirment qu’il est possible de protéger ces ressources en capital (dont le PCI) grâce à un engagement fort de la communauté dans le développement et la gestion des stratégies touristiques, par exemple. Elles peuvent servir à promouvoir la résilience des communautés, en les aidant « non seulement à rebondir après une perturbation ou une catastrophe, mais aussi à aller de l’avant et à participer de manière plus durable, inclusive et démocratique aux décisions politiques qui affectent leur identité culturelle, leur mode de vie,</w:t>
      </w:r>
      <w:r w:rsidRPr="00F479EF">
        <w:rPr>
          <w:rFonts w:eastAsiaTheme="minorHAnsi" w:cstheme="minorHAnsi"/>
          <w:kern w:val="0"/>
          <w:sz w:val="28"/>
          <w:lang w:eastAsia="en-US"/>
          <w14:ligatures w14:val="none"/>
        </w:rPr>
        <w:t xml:space="preserve"> </w:t>
      </w:r>
      <w:r w:rsidRPr="00F479EF">
        <w:rPr>
          <w:rFonts w:eastAsiaTheme="minorHAnsi" w:cstheme="minorHAnsi"/>
          <w:kern w:val="0"/>
          <w:lang w:eastAsia="en-US"/>
          <w14:ligatures w14:val="none"/>
        </w:rPr>
        <w:t xml:space="preserve">leurs connaissances et leurs moyens de subsistance ». </w:t>
      </w:r>
    </w:p>
    <w:p w14:paraId="7FF6E7EF"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Boltanski et </w:t>
      </w:r>
      <w:proofErr w:type="spellStart"/>
      <w:r w:rsidRPr="00F479EF">
        <w:rPr>
          <w:rFonts w:eastAsiaTheme="minorHAnsi" w:cstheme="minorHAnsi"/>
          <w:kern w:val="0"/>
          <w:lang w:eastAsia="en-US"/>
          <w14:ligatures w14:val="none"/>
        </w:rPr>
        <w:t>Esquerre</w:t>
      </w:r>
      <w:proofErr w:type="spellEnd"/>
      <w:r w:rsidRPr="00F479EF">
        <w:rPr>
          <w:rFonts w:eastAsiaTheme="minorHAnsi" w:cstheme="minorHAnsi"/>
          <w:kern w:val="0"/>
          <w:lang w:eastAsia="en-US"/>
          <w14:ligatures w14:val="none"/>
        </w:rPr>
        <w:t xml:space="preserve"> (2020) affirment que la valeur ajoutée des récits culturels et de la mobilisation des identités culturelles n’est pas reconnue ou récompensée à sa juste valeur. Dans les sociétés occidentales en voie de désindustrialisation, il a été avancé que la constitution du patrimoine n’est pas l’opposé du capitalisme, mais qu’elle est au contraire au cœur de la logique capitaliste de l’économie d’enrichissement. Selon Boltanski et </w:t>
      </w:r>
      <w:proofErr w:type="spellStart"/>
      <w:r w:rsidRPr="00F479EF">
        <w:rPr>
          <w:rFonts w:eastAsiaTheme="minorHAnsi" w:cstheme="minorHAnsi"/>
          <w:kern w:val="0"/>
          <w:lang w:eastAsia="en-US"/>
          <w14:ligatures w14:val="none"/>
        </w:rPr>
        <w:t>Esquerre</w:t>
      </w:r>
      <w:proofErr w:type="spellEnd"/>
      <w:r w:rsidRPr="00F479EF">
        <w:rPr>
          <w:rFonts w:eastAsiaTheme="minorHAnsi" w:cstheme="minorHAnsi"/>
          <w:kern w:val="0"/>
          <w:lang w:eastAsia="en-US"/>
          <w14:ligatures w14:val="none"/>
        </w:rPr>
        <w:t xml:space="preserve"> (2020), la référence au passé dans les marques nostalgiques fait partie du processus de création de valeur et d’accumulation de profit dans le capitalisme tardif. Les produits sont enrichis par des récits culturels qui identifient et soulignent certaines caractéristiques différentielles dans les discours qui accompagnent la circulation de l’objet (</w:t>
      </w:r>
      <w:proofErr w:type="gramStart"/>
      <w:r w:rsidRPr="00F479EF">
        <w:rPr>
          <w:rFonts w:eastAsiaTheme="minorHAnsi" w:cstheme="minorHAnsi"/>
          <w:kern w:val="0"/>
          <w:lang w:eastAsia="en-US"/>
          <w14:ligatures w14:val="none"/>
        </w:rPr>
        <w:t>2020:</w:t>
      </w:r>
      <w:proofErr w:type="gramEnd"/>
      <w:r w:rsidRPr="00F479EF">
        <w:rPr>
          <w:rFonts w:eastAsiaTheme="minorHAnsi" w:cstheme="minorHAnsi"/>
          <w:kern w:val="0"/>
          <w:lang w:eastAsia="en-US"/>
          <w14:ligatures w14:val="none"/>
        </w:rPr>
        <w:t xml:space="preserve">44). </w:t>
      </w:r>
    </w:p>
    <w:p w14:paraId="3E2CBFEC"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De meilleurs moyens de mesurer la valeur des ressources et des pratiques culturelles (</w:t>
      </w:r>
      <w:proofErr w:type="spellStart"/>
      <w:r w:rsidRPr="00F479EF">
        <w:rPr>
          <w:rFonts w:eastAsiaTheme="minorHAnsi" w:cstheme="minorHAnsi"/>
          <w:kern w:val="0"/>
          <w:lang w:eastAsia="en-US"/>
          <w14:ligatures w14:val="none"/>
        </w:rPr>
        <w:t>Snowball</w:t>
      </w:r>
      <w:proofErr w:type="spellEnd"/>
      <w:r w:rsidRPr="00F479EF">
        <w:rPr>
          <w:rFonts w:eastAsiaTheme="minorHAnsi" w:cstheme="minorHAnsi"/>
          <w:kern w:val="0"/>
          <w:lang w:eastAsia="en-US"/>
          <w14:ligatures w14:val="none"/>
        </w:rPr>
        <w:t xml:space="preserve"> 2020 ; </w:t>
      </w:r>
      <w:proofErr w:type="spellStart"/>
      <w:r w:rsidRPr="00F479EF">
        <w:rPr>
          <w:rFonts w:eastAsiaTheme="minorHAnsi" w:cstheme="minorHAnsi"/>
          <w:kern w:val="0"/>
          <w:lang w:eastAsia="en-US"/>
          <w14:ligatures w14:val="none"/>
        </w:rPr>
        <w:t>Cerisola</w:t>
      </w:r>
      <w:proofErr w:type="spellEnd"/>
      <w:r w:rsidRPr="00F479EF">
        <w:rPr>
          <w:rFonts w:eastAsiaTheme="minorHAnsi" w:cstheme="minorHAnsi"/>
          <w:kern w:val="0"/>
          <w:lang w:eastAsia="en-US"/>
          <w14:ligatures w14:val="none"/>
        </w:rPr>
        <w:t xml:space="preserve"> 2019) pourraient s’avérer nécessaires. Bien que les gouvernements collectent désormais des données indiquant la valeur des industries culturelles et créatives en tant que secteur économique ou facteur de développement, le PCI n’est généralement ni mesuré ni étudié en tant que catégorie distincte au sein des industries culturelles (</w:t>
      </w:r>
      <w:proofErr w:type="spellStart"/>
      <w:r w:rsidRPr="00F479EF">
        <w:rPr>
          <w:rFonts w:eastAsiaTheme="minorHAnsi" w:cstheme="minorHAnsi"/>
          <w:kern w:val="0"/>
          <w:lang w:eastAsia="en-US"/>
          <w14:ligatures w14:val="none"/>
        </w:rPr>
        <w:t>Mergos</w:t>
      </w:r>
      <w:proofErr w:type="spellEnd"/>
      <w:r w:rsidRPr="00F479EF">
        <w:rPr>
          <w:rFonts w:eastAsiaTheme="minorHAnsi" w:cstheme="minorHAnsi"/>
          <w:kern w:val="0"/>
          <w:lang w:eastAsia="en-US"/>
          <w14:ligatures w14:val="none"/>
        </w:rPr>
        <w:t xml:space="preserve"> in </w:t>
      </w:r>
      <w:proofErr w:type="spellStart"/>
      <w:r w:rsidRPr="00F479EF">
        <w:rPr>
          <w:rFonts w:eastAsiaTheme="minorHAnsi" w:cstheme="minorHAnsi"/>
          <w:kern w:val="0"/>
          <w:lang w:eastAsia="en-US"/>
          <w14:ligatures w14:val="none"/>
        </w:rPr>
        <w:t>Mergos</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Patsavos</w:t>
      </w:r>
      <w:proofErr w:type="spellEnd"/>
      <w:r w:rsidRPr="00F479EF">
        <w:rPr>
          <w:rFonts w:eastAsiaTheme="minorHAnsi" w:cstheme="minorHAnsi"/>
          <w:kern w:val="0"/>
          <w:lang w:eastAsia="en-US"/>
          <w14:ligatures w14:val="none"/>
        </w:rPr>
        <w:t xml:space="preserve"> 2017). Peu d’études ont réellement tenté de mesurer la valeur économique ou culturelle des activités liées au PCI, bien que certains travaux traitent de l’impact économique des festivals liés au PCI (par exemple, une étude sur la Semaine sainte au Guatemala</w:t>
      </w:r>
      <w:r w:rsidRPr="00F479EF">
        <w:rPr>
          <w:rFonts w:eastAsiaTheme="minorHAnsi" w:cstheme="minorHAnsi"/>
          <w:kern w:val="0"/>
          <w:vertAlign w:val="superscript"/>
          <w:lang w:eastAsia="en-US"/>
          <w14:ligatures w14:val="none"/>
        </w:rPr>
        <w:footnoteReference w:id="11"/>
      </w:r>
      <w:r w:rsidRPr="00F479EF">
        <w:rPr>
          <w:rFonts w:eastAsiaTheme="minorHAnsi" w:cstheme="minorHAnsi"/>
          <w:kern w:val="0"/>
          <w:lang w:eastAsia="en-US"/>
          <w14:ligatures w14:val="none"/>
        </w:rPr>
        <w:t>) et sur la valeur économique de l’artisanat du PCI (par exemple, UK 2012, et des études en Suisse et en Autriche</w:t>
      </w:r>
      <w:r w:rsidRPr="00F479EF">
        <w:rPr>
          <w:rFonts w:eastAsiaTheme="minorHAnsi" w:cstheme="minorHAnsi"/>
          <w:kern w:val="0"/>
          <w:vertAlign w:val="superscript"/>
          <w:lang w:eastAsia="en-US"/>
          <w14:ligatures w14:val="none"/>
        </w:rPr>
        <w:footnoteReference w:id="12"/>
      </w:r>
      <w:r w:rsidRPr="00F479EF">
        <w:rPr>
          <w:rFonts w:eastAsiaTheme="minorHAnsi" w:cstheme="minorHAnsi"/>
          <w:kern w:val="0"/>
          <w:lang w:eastAsia="en-US"/>
          <w14:ligatures w14:val="none"/>
        </w:rPr>
        <w:t xml:space="preserve">). Le Mexique s’efforce actuellement d’inclure des statistiques sur le PCI dans le calcul de son produit intérieur brut (PIB). </w:t>
      </w:r>
    </w:p>
    <w:p w14:paraId="55CBA390"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lastRenderedPageBreak/>
        <w:t>S’il est important de mesurer la valeur économique, certains analystes économiques qui réfléchissent à la persistance de l’injustice et de l’inégalité dans le contexte de l’urgence climatique (nous aborderons ces questions plus loin) se demandent si une croissance continue, en particulier lorsqu’elle est extractive et exploitante, est un objectif approprié de politique de développement (</w:t>
      </w:r>
      <w:proofErr w:type="spellStart"/>
      <w:r w:rsidRPr="00F479EF">
        <w:rPr>
          <w:rFonts w:eastAsiaTheme="minorHAnsi" w:cstheme="minorHAnsi"/>
          <w:kern w:val="0"/>
          <w:lang w:eastAsia="en-US"/>
          <w14:ligatures w14:val="none"/>
        </w:rPr>
        <w:t>Carant</w:t>
      </w:r>
      <w:proofErr w:type="spellEnd"/>
      <w:r w:rsidRPr="00F479EF">
        <w:rPr>
          <w:rFonts w:eastAsiaTheme="minorHAnsi" w:cstheme="minorHAnsi"/>
          <w:kern w:val="0"/>
          <w:lang w:eastAsia="en-US"/>
          <w14:ligatures w14:val="none"/>
        </w:rPr>
        <w:t xml:space="preserve"> 2017). Ce phénomène est parfois résumé par l’idée de « décroissance », qui remet en question l’idée que le développement durable nécessite une croissance soutenue (Trainer 2020 fournit un résumé et une critique de cette littérature ; </w:t>
      </w:r>
      <w:proofErr w:type="spellStart"/>
      <w:r w:rsidRPr="00F479EF">
        <w:rPr>
          <w:rFonts w:eastAsiaTheme="minorHAnsi" w:cstheme="minorHAnsi"/>
          <w:kern w:val="0"/>
          <w:lang w:eastAsia="en-US"/>
          <w14:ligatures w14:val="none"/>
        </w:rPr>
        <w:t>Andriotis</w:t>
      </w:r>
      <w:proofErr w:type="spellEnd"/>
      <w:r w:rsidRPr="00F479EF">
        <w:rPr>
          <w:rFonts w:eastAsiaTheme="minorHAnsi" w:cstheme="minorHAnsi"/>
          <w:kern w:val="0"/>
          <w:lang w:eastAsia="en-US"/>
          <w14:ligatures w14:val="none"/>
        </w:rPr>
        <w:t xml:space="preserve"> 2021 applique ce concept au tourisme). </w:t>
      </w:r>
      <w:proofErr w:type="spellStart"/>
      <w:r w:rsidRPr="00F479EF">
        <w:rPr>
          <w:rFonts w:eastAsiaTheme="minorHAnsi" w:cstheme="minorHAnsi"/>
          <w:kern w:val="0"/>
          <w:lang w:eastAsia="en-US"/>
          <w14:ligatures w14:val="none"/>
        </w:rPr>
        <w:t>Arsel</w:t>
      </w:r>
      <w:proofErr w:type="spellEnd"/>
      <w:r w:rsidRPr="00F479EF">
        <w:rPr>
          <w:rFonts w:eastAsiaTheme="minorHAnsi" w:cstheme="minorHAnsi"/>
          <w:kern w:val="0"/>
          <w:lang w:eastAsia="en-US"/>
          <w14:ligatures w14:val="none"/>
        </w:rPr>
        <w:t xml:space="preserve"> (2020) rappelle que, si le concept de développement durable a rassemblé la communauté internationale pour répondre aux préoccupations environnementales, les pays du Sud ne peuvent pas abandonner la croissance économique, puisqu’ils doivent encore faire face à un héritage de pauvreté et de sous-développement, souvent lié à une histoire d’occupation coloniale extractive (voir également </w:t>
      </w:r>
      <w:proofErr w:type="spellStart"/>
      <w:r w:rsidRPr="00F479EF">
        <w:rPr>
          <w:rFonts w:eastAsiaTheme="minorHAnsi" w:cstheme="minorHAnsi"/>
          <w:kern w:val="0"/>
          <w:lang w:eastAsia="en-US"/>
          <w14:ligatures w14:val="none"/>
        </w:rPr>
        <w:t>Rodríguez-Labajos</w:t>
      </w:r>
      <w:proofErr w:type="spellEnd"/>
      <w:r w:rsidRPr="00F479EF">
        <w:rPr>
          <w:rFonts w:eastAsiaTheme="minorHAnsi" w:cstheme="minorHAnsi"/>
          <w:kern w:val="0"/>
          <w:lang w:eastAsia="en-US"/>
          <w14:ligatures w14:val="none"/>
        </w:rPr>
        <w:t xml:space="preserve">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2019, </w:t>
      </w:r>
      <w:proofErr w:type="spellStart"/>
      <w:r w:rsidRPr="00F479EF">
        <w:rPr>
          <w:rFonts w:eastAsiaTheme="minorHAnsi" w:cstheme="minorHAnsi"/>
          <w:kern w:val="0"/>
          <w:lang w:eastAsia="en-US"/>
          <w14:ligatures w14:val="none"/>
        </w:rPr>
        <w:t>Podlaszewska</w:t>
      </w:r>
      <w:proofErr w:type="spellEnd"/>
      <w:r w:rsidRPr="00F479EF">
        <w:rPr>
          <w:rFonts w:eastAsiaTheme="minorHAnsi" w:cstheme="minorHAnsi"/>
          <w:kern w:val="0"/>
          <w:lang w:eastAsia="en-US"/>
          <w14:ligatures w14:val="none"/>
        </w:rPr>
        <w:t xml:space="preserve"> 2021). L’objectif principal des théories de la « décroissance » n’est pas seulement de remettre en question la croissance illimitée, mais aussi l’inégalité de ses effets. La « décroissance » n’implique donc pas une réduction de la rémunération des praticiens communautaires du PCI, mais une production durable, une réduction des effets négatifs de la commercialisation excessive et une réorientation des bénéfices vers le développement local (</w:t>
      </w:r>
      <w:proofErr w:type="spellStart"/>
      <w:r w:rsidRPr="00F479EF">
        <w:rPr>
          <w:rFonts w:eastAsiaTheme="minorHAnsi" w:cstheme="minorHAnsi"/>
          <w:kern w:val="0"/>
          <w:lang w:eastAsia="en-US"/>
          <w14:ligatures w14:val="none"/>
        </w:rPr>
        <w:t>Podlaszewska</w:t>
      </w:r>
      <w:proofErr w:type="spellEnd"/>
      <w:r w:rsidRPr="00F479EF">
        <w:rPr>
          <w:rFonts w:eastAsiaTheme="minorHAnsi" w:cstheme="minorHAnsi"/>
          <w:kern w:val="0"/>
          <w:lang w:eastAsia="en-US"/>
          <w14:ligatures w14:val="none"/>
        </w:rPr>
        <w:t xml:space="preserve"> 2021). </w:t>
      </w:r>
    </w:p>
    <w:p w14:paraId="004EBB8F"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La théorie du donut, par exemple, met l’accent sur la nécessité d’adopter des approches régénératives et distributives, en veillant à ce que la croissance vise à répondre aux besoins sociaux fondamentaux et fonctionne dans les limites écologiques de nos ressources planétaires partagées (</w:t>
      </w:r>
      <w:proofErr w:type="spellStart"/>
      <w:r w:rsidRPr="00F479EF">
        <w:rPr>
          <w:rFonts w:eastAsiaTheme="minorHAnsi" w:cstheme="minorHAnsi"/>
          <w:kern w:val="0"/>
          <w:lang w:eastAsia="en-US"/>
          <w14:ligatures w14:val="none"/>
        </w:rPr>
        <w:t>Raworth</w:t>
      </w:r>
      <w:proofErr w:type="spellEnd"/>
      <w:r w:rsidRPr="00F479EF">
        <w:rPr>
          <w:rFonts w:eastAsiaTheme="minorHAnsi" w:cstheme="minorHAnsi"/>
          <w:kern w:val="0"/>
          <w:lang w:eastAsia="en-US"/>
          <w14:ligatures w14:val="none"/>
        </w:rPr>
        <w:t xml:space="preserve"> 2017 ; </w:t>
      </w:r>
      <w:proofErr w:type="spellStart"/>
      <w:r w:rsidRPr="00F479EF">
        <w:rPr>
          <w:rFonts w:eastAsiaTheme="minorHAnsi" w:cstheme="minorHAnsi"/>
          <w:kern w:val="0"/>
          <w:lang w:eastAsia="en-US"/>
          <w14:ligatures w14:val="none"/>
        </w:rPr>
        <w:t>Foundational</w:t>
      </w:r>
      <w:proofErr w:type="spellEnd"/>
      <w:r w:rsidRPr="00F479EF">
        <w:rPr>
          <w:rFonts w:eastAsiaTheme="minorHAnsi" w:cstheme="minorHAnsi"/>
          <w:kern w:val="0"/>
          <w:lang w:eastAsia="en-US"/>
          <w14:ligatures w14:val="none"/>
        </w:rPr>
        <w:t xml:space="preserve"> Economy Collective 2017). </w:t>
      </w:r>
    </w:p>
    <w:p w14:paraId="663BF4E8" w14:textId="7EB3B30A" w:rsidR="002C1F81" w:rsidRPr="00F479EF" w:rsidRDefault="002C266A" w:rsidP="00B77E10">
      <w:pPr>
        <w:jc w:val="right"/>
        <w:rPr>
          <w:rFonts w:eastAsiaTheme="minorHAnsi" w:cstheme="minorHAnsi"/>
          <w:kern w:val="0"/>
          <w:lang w:eastAsia="en-US"/>
          <w14:ligatures w14:val="none"/>
        </w:rPr>
      </w:pPr>
      <w:r>
        <w:rPr>
          <w:noProof/>
        </w:rPr>
        <w:lastRenderedPageBreak/>
        <w:drawing>
          <wp:anchor distT="0" distB="0" distL="114300" distR="114300" simplePos="0" relativeHeight="251659264" behindDoc="0" locked="0" layoutInCell="1" allowOverlap="1" wp14:anchorId="2F81FCAF" wp14:editId="467F5519">
            <wp:simplePos x="0" y="0"/>
            <wp:positionH relativeFrom="margin">
              <wp:posOffset>-231775</wp:posOffset>
            </wp:positionH>
            <wp:positionV relativeFrom="margin">
              <wp:posOffset>200660</wp:posOffset>
            </wp:positionV>
            <wp:extent cx="3343275" cy="4914900"/>
            <wp:effectExtent l="0" t="0" r="9525" b="0"/>
            <wp:wrapSquare wrapText="bothSides"/>
            <wp:docPr id="13" name="Image 13" descr="Une image contenant texte, capture d’écran, diagramme, motif&#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texte, capture d’écran, diagramme, motif&#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3275" cy="4914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21F66A35" wp14:editId="7E2E8138">
            <wp:simplePos x="0" y="0"/>
            <wp:positionH relativeFrom="margin">
              <wp:posOffset>3365500</wp:posOffset>
            </wp:positionH>
            <wp:positionV relativeFrom="margin">
              <wp:posOffset>203200</wp:posOffset>
            </wp:positionV>
            <wp:extent cx="2992120" cy="3059430"/>
            <wp:effectExtent l="0" t="0" r="0" b="7620"/>
            <wp:wrapSquare wrapText="bothSides"/>
            <wp:docPr id="15" name="Image 15" descr="Une image contenant texte, cercle, horloge, Instrument de mes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texte, cercle, horloge, Instrument de mesur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2120" cy="3059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F81" w:rsidRPr="00F479EF">
        <w:rPr>
          <w:rFonts w:eastAsiaTheme="minorHAnsi" w:cstheme="minorHAnsi"/>
          <w:kern w:val="0"/>
          <w:lang w:eastAsia="en-US"/>
          <w14:ligatures w14:val="none"/>
        </w:rPr>
        <w:t>La théorie du donut (</w:t>
      </w:r>
      <w:proofErr w:type="spellStart"/>
      <w:r w:rsidR="002C1F81" w:rsidRPr="00F479EF">
        <w:rPr>
          <w:rFonts w:eastAsiaTheme="minorHAnsi" w:cstheme="minorHAnsi"/>
          <w:kern w:val="0"/>
          <w:lang w:eastAsia="en-US"/>
          <w14:ligatures w14:val="none"/>
        </w:rPr>
        <w:t>Raworth</w:t>
      </w:r>
      <w:proofErr w:type="spellEnd"/>
      <w:r w:rsidR="002C1F81" w:rsidRPr="00F479EF">
        <w:rPr>
          <w:rFonts w:eastAsiaTheme="minorHAnsi" w:cstheme="minorHAnsi"/>
          <w:kern w:val="0"/>
          <w:lang w:eastAsia="en-US"/>
          <w14:ligatures w14:val="none"/>
        </w:rPr>
        <w:t xml:space="preserve"> 2017)</w:t>
      </w:r>
      <w:r w:rsidR="002C1F81" w:rsidRPr="00F479EF">
        <w:rPr>
          <w:rFonts w:eastAsiaTheme="minorHAnsi" w:cstheme="minorHAnsi"/>
          <w:b/>
          <w:bCs/>
          <w:kern w:val="0"/>
          <w:vertAlign w:val="superscript"/>
          <w:lang w:eastAsia="en-US"/>
          <w14:ligatures w14:val="none"/>
        </w:rPr>
        <w:footnoteReference w:id="13"/>
      </w:r>
    </w:p>
    <w:p w14:paraId="38E4983D" w14:textId="77777777" w:rsidR="002C266A" w:rsidRDefault="002C266A" w:rsidP="002C1F81">
      <w:pPr>
        <w:jc w:val="both"/>
        <w:rPr>
          <w:rFonts w:eastAsiaTheme="minorHAnsi" w:cstheme="minorHAnsi"/>
          <w:kern w:val="0"/>
          <w:lang w:eastAsia="en-US"/>
          <w14:ligatures w14:val="none"/>
        </w:rPr>
      </w:pPr>
    </w:p>
    <w:p w14:paraId="3CE0E3FA" w14:textId="77777777" w:rsidR="002C266A" w:rsidRDefault="002C266A" w:rsidP="002C1F81">
      <w:pPr>
        <w:jc w:val="both"/>
        <w:rPr>
          <w:rFonts w:eastAsiaTheme="minorHAnsi" w:cstheme="minorHAnsi"/>
          <w:kern w:val="0"/>
          <w:lang w:eastAsia="en-US"/>
          <w14:ligatures w14:val="none"/>
        </w:rPr>
      </w:pPr>
    </w:p>
    <w:p w14:paraId="4ECDFFB0" w14:textId="77777777" w:rsidR="002C266A" w:rsidRDefault="002C266A" w:rsidP="002C1F81">
      <w:pPr>
        <w:jc w:val="both"/>
        <w:rPr>
          <w:rFonts w:eastAsiaTheme="minorHAnsi" w:cstheme="minorHAnsi"/>
          <w:kern w:val="0"/>
          <w:lang w:eastAsia="en-US"/>
          <w14:ligatures w14:val="none"/>
        </w:rPr>
      </w:pPr>
    </w:p>
    <w:p w14:paraId="28EDEAB0" w14:textId="77777777" w:rsidR="002C266A" w:rsidRDefault="002C266A" w:rsidP="002C1F81">
      <w:pPr>
        <w:jc w:val="both"/>
        <w:rPr>
          <w:rFonts w:eastAsiaTheme="minorHAnsi" w:cstheme="minorHAnsi"/>
          <w:kern w:val="0"/>
          <w:lang w:eastAsia="en-US"/>
          <w14:ligatures w14:val="none"/>
        </w:rPr>
      </w:pPr>
    </w:p>
    <w:p w14:paraId="45DD69BC" w14:textId="77777777" w:rsidR="002C266A" w:rsidRDefault="002C266A" w:rsidP="002C1F81">
      <w:pPr>
        <w:jc w:val="both"/>
        <w:rPr>
          <w:rFonts w:eastAsiaTheme="minorHAnsi" w:cstheme="minorHAnsi"/>
          <w:kern w:val="0"/>
          <w:lang w:eastAsia="en-US"/>
          <w14:ligatures w14:val="none"/>
        </w:rPr>
      </w:pPr>
    </w:p>
    <w:p w14:paraId="5664C828" w14:textId="77777777" w:rsidR="002C266A" w:rsidRDefault="002C266A" w:rsidP="002C1F81">
      <w:pPr>
        <w:jc w:val="both"/>
        <w:rPr>
          <w:rFonts w:eastAsiaTheme="minorHAnsi" w:cstheme="minorHAnsi"/>
          <w:kern w:val="0"/>
          <w:lang w:eastAsia="en-US"/>
          <w14:ligatures w14:val="none"/>
        </w:rPr>
      </w:pPr>
    </w:p>
    <w:p w14:paraId="1C1ABD10" w14:textId="77777777" w:rsidR="002C266A" w:rsidRDefault="002C266A" w:rsidP="002C1F81">
      <w:pPr>
        <w:jc w:val="both"/>
        <w:rPr>
          <w:rFonts w:eastAsiaTheme="minorHAnsi" w:cstheme="minorHAnsi"/>
          <w:kern w:val="0"/>
          <w:lang w:eastAsia="en-US"/>
          <w14:ligatures w14:val="none"/>
        </w:rPr>
      </w:pPr>
    </w:p>
    <w:p w14:paraId="252F536E" w14:textId="6DA633B6"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Ces approches, tout comme le Green New Deal, n’ont pas accordé beaucoup d’attention à la culture dans un premier temps. Aujourd’hui, on reconnaît de plus en plus le rôle central des aspects sociaux, économiques et politiques de la culture dans la création d’une « économie fondamentale » qui doit servir de base à l’infrastructure de la citoyenneté sociale (Gross et Wilson, 2020 ; Banks et </w:t>
      </w:r>
      <w:proofErr w:type="spellStart"/>
      <w:r w:rsidRPr="00F479EF">
        <w:rPr>
          <w:rFonts w:eastAsiaTheme="minorHAnsi" w:cstheme="minorHAnsi"/>
          <w:kern w:val="0"/>
          <w:lang w:eastAsia="en-US"/>
          <w14:ligatures w14:val="none"/>
        </w:rPr>
        <w:t>O’Connor</w:t>
      </w:r>
      <w:proofErr w:type="spellEnd"/>
      <w:r w:rsidRPr="00F479EF">
        <w:rPr>
          <w:rFonts w:eastAsiaTheme="minorHAnsi" w:cstheme="minorHAnsi"/>
          <w:kern w:val="0"/>
          <w:lang w:eastAsia="en-US"/>
          <w14:ligatures w14:val="none"/>
        </w:rPr>
        <w:t xml:space="preserve"> 2021 ; Banks et Oakley 2020). Banks et </w:t>
      </w:r>
      <w:proofErr w:type="spellStart"/>
      <w:r w:rsidRPr="00F479EF">
        <w:rPr>
          <w:rFonts w:eastAsiaTheme="minorHAnsi" w:cstheme="minorHAnsi"/>
          <w:kern w:val="0"/>
          <w:lang w:eastAsia="en-US"/>
          <w14:ligatures w14:val="none"/>
        </w:rPr>
        <w:t>Serafini</w:t>
      </w:r>
      <w:proofErr w:type="spellEnd"/>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2020:</w:t>
      </w:r>
      <w:proofErr w:type="gramEnd"/>
      <w:r w:rsidRPr="00F479EF">
        <w:rPr>
          <w:rFonts w:eastAsiaTheme="minorHAnsi" w:cstheme="minorHAnsi"/>
          <w:kern w:val="0"/>
          <w:lang w:eastAsia="en-US"/>
          <w14:ligatures w14:val="none"/>
        </w:rPr>
        <w:t xml:space="preserve">18) donnent l’exemple du mouvement </w:t>
      </w:r>
      <w:proofErr w:type="spellStart"/>
      <w:r w:rsidRPr="00F479EF">
        <w:rPr>
          <w:rFonts w:eastAsiaTheme="minorHAnsi" w:cstheme="minorHAnsi"/>
          <w:i/>
          <w:kern w:val="0"/>
          <w:lang w:eastAsia="en-US"/>
          <w14:ligatures w14:val="none"/>
        </w:rPr>
        <w:t>cartonera</w:t>
      </w:r>
      <w:proofErr w:type="spellEnd"/>
      <w:r w:rsidRPr="00F479EF">
        <w:rPr>
          <w:rFonts w:eastAsiaTheme="minorHAnsi" w:cstheme="minorHAnsi"/>
          <w:kern w:val="0"/>
          <w:lang w:eastAsia="en-US"/>
          <w14:ligatures w14:val="none"/>
        </w:rPr>
        <w:t>, qui a vu le jour en Argentine, consistant à créer des couvertures artistiques en recyclant des cartes pour proposer des livres abordables, et qui s’est répandu dans toute l’Amérique latine. Ils déclarent que des « imaginaires post-</w:t>
      </w:r>
      <w:proofErr w:type="spellStart"/>
      <w:r w:rsidRPr="00F479EF">
        <w:rPr>
          <w:rFonts w:eastAsiaTheme="minorHAnsi" w:cstheme="minorHAnsi"/>
          <w:kern w:val="0"/>
          <w:lang w:eastAsia="en-US"/>
          <w14:ligatures w14:val="none"/>
        </w:rPr>
        <w:t>extractivistes</w:t>
      </w:r>
      <w:proofErr w:type="spellEnd"/>
      <w:r w:rsidRPr="00F479EF">
        <w:rPr>
          <w:rFonts w:eastAsiaTheme="minorHAnsi" w:cstheme="minorHAnsi"/>
          <w:kern w:val="0"/>
          <w:lang w:eastAsia="en-US"/>
          <w14:ligatures w14:val="none"/>
        </w:rPr>
        <w:t xml:space="preserve"> et écologiques » comme ceux-ci peuvent se combiner de manière productive pour « créer de nouvelles formes de production culturelle durable, favorisant la cohésion sociale », et remettre en question « l’impératif de croissance », même dans des contextes où les ressources sont insuffisantes. Bien que le rôle du PCI dans ce processus n’ait pas été beaucoup étudié, il est clairement pertinent.</w:t>
      </w:r>
    </w:p>
    <w:p w14:paraId="23A07310"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lastRenderedPageBreak/>
        <w:t xml:space="preserve">Il est nécessaire de mener une analyse économique du PCI sur le marché, et d’étudier plus en détail son impact commercial. Il est également utile d’examiner les différents rôles du PCI sur le marché, comme l’identifie </w:t>
      </w:r>
      <w:proofErr w:type="spellStart"/>
      <w:r w:rsidRPr="00F479EF">
        <w:rPr>
          <w:rFonts w:eastAsiaTheme="minorHAnsi" w:cstheme="minorHAnsi"/>
          <w:kern w:val="0"/>
          <w:lang w:eastAsia="en-US"/>
          <w14:ligatures w14:val="none"/>
        </w:rPr>
        <w:t>Mergos</w:t>
      </w:r>
      <w:proofErr w:type="spellEnd"/>
      <w:r w:rsidRPr="00F479EF">
        <w:rPr>
          <w:rFonts w:eastAsiaTheme="minorHAnsi" w:cstheme="minorHAnsi"/>
          <w:kern w:val="0"/>
          <w:lang w:eastAsia="en-US"/>
          <w14:ligatures w14:val="none"/>
        </w:rPr>
        <w:t xml:space="preserve"> (2017). Il faut veiller à ce que la signification et la valeur culturelles, ainsi que la fonction du PCI dans la société, ne soient pas perdues dans le processus de prise en compte de sa valeur économique, ce qui peut être lié à l’idée d’une « économie fondamentale ». La valeur culturelle n’est pas facilement quantifiable, même par des mesures indirectes. L’analyse économique doit donc s’accompagner d’autres approches visant à comprendre la signification et la valeur pour des communautés spécifiques. Il est également important d’examiner comment le marché fonctionne réellement de manière dynamique en ce qui concerne la sauvegarde du PCI.</w:t>
      </w:r>
    </w:p>
    <w:p w14:paraId="5D6AE6F5" w14:textId="77777777" w:rsidR="002C1F81" w:rsidRPr="00F479EF" w:rsidRDefault="002C1F81" w:rsidP="002C1F81">
      <w:pPr>
        <w:keepNext/>
        <w:spacing w:after="240" w:line="240" w:lineRule="auto"/>
        <w:ind w:left="720"/>
        <w:jc w:val="both"/>
        <w:outlineLvl w:val="2"/>
        <w:rPr>
          <w:rFonts w:eastAsiaTheme="minorHAnsi" w:cstheme="minorHAnsi"/>
          <w:b/>
          <w:bCs/>
          <w:kern w:val="0"/>
          <w:lang w:eastAsia="en-US"/>
          <w14:ligatures w14:val="none"/>
        </w:rPr>
      </w:pPr>
      <w:bookmarkStart w:id="10" w:name="_Toc137745028"/>
      <w:r w:rsidRPr="00F479EF">
        <w:rPr>
          <w:rFonts w:eastAsiaTheme="minorHAnsi" w:cstheme="minorHAnsi"/>
          <w:b/>
          <w:bCs/>
          <w:kern w:val="0"/>
          <w:lang w:eastAsia="en-US"/>
          <w14:ligatures w14:val="none"/>
        </w:rPr>
        <w:t>Perspectives des études sur les industries créatives</w:t>
      </w:r>
      <w:bookmarkEnd w:id="10"/>
      <w:r w:rsidRPr="00F479EF">
        <w:rPr>
          <w:rFonts w:eastAsiaTheme="minorHAnsi" w:cstheme="minorHAnsi"/>
          <w:b/>
          <w:bCs/>
          <w:kern w:val="0"/>
          <w:lang w:eastAsia="en-US"/>
          <w14:ligatures w14:val="none"/>
        </w:rPr>
        <w:t xml:space="preserve"> </w:t>
      </w:r>
    </w:p>
    <w:p w14:paraId="692B1D0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Malgré la reconnaissance plus large du lien entre la culture et le développement à </w:t>
      </w:r>
      <w:proofErr w:type="spellStart"/>
      <w:r w:rsidRPr="00F479EF">
        <w:rPr>
          <w:rFonts w:eastAsiaTheme="minorHAnsi" w:cstheme="minorHAnsi"/>
          <w:kern w:val="0"/>
          <w:lang w:eastAsia="en-US"/>
          <w14:ligatures w14:val="none"/>
        </w:rPr>
        <w:t>Mondiacult</w:t>
      </w:r>
      <w:proofErr w:type="spellEnd"/>
      <w:r w:rsidRPr="00F479EF">
        <w:rPr>
          <w:rFonts w:eastAsiaTheme="minorHAnsi" w:cstheme="minorHAnsi"/>
          <w:kern w:val="0"/>
          <w:lang w:eastAsia="en-US"/>
          <w14:ligatures w14:val="none"/>
        </w:rPr>
        <w:t xml:space="preserve"> dans les années 1980 (qui s’est vue renforcée en 2022), ainsi qu’un nombre croissant de travaux universitaires et de politiques publiques sur les industries culturelles et créatives depuis les années 1990 (</w:t>
      </w:r>
      <w:proofErr w:type="spellStart"/>
      <w:r w:rsidRPr="00F479EF">
        <w:rPr>
          <w:rFonts w:eastAsiaTheme="minorHAnsi" w:cstheme="minorHAnsi"/>
          <w:kern w:val="0"/>
          <w:lang w:eastAsia="en-US"/>
          <w14:ligatures w14:val="none"/>
        </w:rPr>
        <w:t>Labadi</w:t>
      </w:r>
      <w:proofErr w:type="spellEnd"/>
      <w:r w:rsidRPr="00F479EF">
        <w:rPr>
          <w:rFonts w:eastAsiaTheme="minorHAnsi" w:cstheme="minorHAnsi"/>
          <w:kern w:val="0"/>
          <w:lang w:eastAsia="en-US"/>
          <w14:ligatures w14:val="none"/>
        </w:rPr>
        <w:t xml:space="preserve"> 2022), les discussions sur le patrimoine et l’économie n’ont pas été bien intégrées dans le débat politique sur les industries créatives jusqu’à présent. Cela s’explique en partie par le manque de clarté de la relation entre la culture et le patrimoine. Par le passé, il y a eu peu de canaux de collaboration actifs entre les travaux des conventions de l’UNESCO de 2003 et de 2005. Les Indicateurs Culture 2030 comprennent désormais une catégorie « prospérité et moyens de subsistance », avec des indicateurs sur les entreprises culturelles et le commerce des biens et services culturels</w:t>
      </w:r>
      <w:r w:rsidRPr="00F479EF">
        <w:rPr>
          <w:rFonts w:eastAsiaTheme="minorHAnsi" w:cstheme="minorHAnsi"/>
          <w:kern w:val="0"/>
          <w:vertAlign w:val="superscript"/>
          <w:lang w:eastAsia="en-US"/>
          <w14:ligatures w14:val="none"/>
        </w:rPr>
        <w:footnoteReference w:id="14"/>
      </w:r>
      <w:r w:rsidRPr="00F479EF">
        <w:rPr>
          <w:rFonts w:eastAsiaTheme="minorHAnsi" w:cstheme="minorHAnsi"/>
          <w:kern w:val="0"/>
          <w:lang w:eastAsia="en-US"/>
          <w14:ligatures w14:val="none"/>
        </w:rPr>
        <w:t xml:space="preserve">. </w:t>
      </w:r>
    </w:p>
    <w:p w14:paraId="0FA72FEC" w14:textId="74DE5D65" w:rsidR="002C266A" w:rsidRDefault="00680858" w:rsidP="002C266A">
      <w:pPr>
        <w:jc w:val="both"/>
        <w:rPr>
          <w:rFonts w:eastAsiaTheme="minorHAnsi" w:cstheme="minorHAnsi"/>
          <w:kern w:val="0"/>
          <w:lang w:eastAsia="en-US"/>
          <w14:ligatures w14:val="none"/>
        </w:rPr>
      </w:pPr>
      <w:r w:rsidRPr="00E241BD">
        <w:rPr>
          <w:noProof/>
        </w:rPr>
        <w:drawing>
          <wp:anchor distT="0" distB="0" distL="114300" distR="114300" simplePos="0" relativeHeight="251665408" behindDoc="0" locked="0" layoutInCell="1" allowOverlap="1" wp14:anchorId="46A70271" wp14:editId="55041F92">
            <wp:simplePos x="0" y="0"/>
            <wp:positionH relativeFrom="margin">
              <wp:posOffset>0</wp:posOffset>
            </wp:positionH>
            <wp:positionV relativeFrom="margin">
              <wp:posOffset>5340350</wp:posOffset>
            </wp:positionV>
            <wp:extent cx="5410200" cy="2578100"/>
            <wp:effectExtent l="0" t="0" r="0" b="0"/>
            <wp:wrapTopAndBottom/>
            <wp:docPr id="3" name="Picture 3"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 capture d’écran, Police, nombre&#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0" cy="2578100"/>
                    </a:xfrm>
                    <a:prstGeom prst="rect">
                      <a:avLst/>
                    </a:prstGeom>
                    <a:noFill/>
                    <a:ln>
                      <a:noFill/>
                    </a:ln>
                  </pic:spPr>
                </pic:pic>
              </a:graphicData>
            </a:graphic>
            <wp14:sizeRelV relativeFrom="margin">
              <wp14:pctHeight>0</wp14:pctHeight>
            </wp14:sizeRelV>
          </wp:anchor>
        </w:drawing>
      </w:r>
      <w:r w:rsidR="002C1F81" w:rsidRPr="00F479EF">
        <w:rPr>
          <w:rFonts w:eastAsiaTheme="minorHAnsi" w:cstheme="minorHAnsi"/>
          <w:kern w:val="0"/>
          <w:lang w:eastAsia="en-US"/>
          <w14:ligatures w14:val="none"/>
        </w:rPr>
        <w:t xml:space="preserve">Il y a beaucoup à gagner à comprendre le lien entre le PCI et les industries culturelles et créatives. L’une des faiblesses possibles d’une analyse économique conventionnelle est qu’elle pourrait se concentrer sur un instant T de la relation entre le PCI et le marché, en considérant le montant de la valeur ajoutée plutôt que la manière dont cette valeur a été ajoutée. Les conceptions relatives aux chaînes de valeur, aux écosystèmes ou aux cycles de vie dans les industries créatives fournissent des indications utiles pour comprendre la dynamique de la relation entre la sauvegarde du PCI et le marché. Le cadre de l’UNESCO pour les statistiques culturelles (2009, voir ci-dessous) montre les effets de rétroaction mutuels entre le PCI et les industries culturelles. </w:t>
      </w:r>
    </w:p>
    <w:p w14:paraId="23034F18" w14:textId="77777777" w:rsidR="002C1F81" w:rsidRPr="00F479EF" w:rsidRDefault="002C1F81" w:rsidP="002C1F81">
      <w:pPr>
        <w:jc w:val="both"/>
        <w:rPr>
          <w:rFonts w:eastAsiaTheme="minorHAnsi" w:cstheme="minorHAnsi"/>
          <w:kern w:val="0"/>
          <w:lang w:eastAsia="en-US"/>
          <w14:ligatures w14:val="none"/>
        </w:rPr>
      </w:pPr>
      <w:r>
        <w:rPr>
          <w:rFonts w:eastAsiaTheme="minorHAnsi" w:cstheme="minorHAnsi"/>
          <w:kern w:val="0"/>
          <w:lang w:eastAsia="en-US"/>
          <w14:ligatures w14:val="none"/>
        </w:rPr>
        <w:lastRenderedPageBreak/>
        <w:t>T</w:t>
      </w:r>
      <w:r w:rsidRPr="002F3781">
        <w:rPr>
          <w:rFonts w:eastAsiaTheme="minorHAnsi" w:cstheme="minorHAnsi"/>
          <w:kern w:val="0"/>
          <w:lang w:eastAsia="en-US"/>
          <w14:ligatures w14:val="none"/>
        </w:rPr>
        <w:t>outefois, il semble que dans le secteur des industries culturelles et créatives, on a accordé une plus grande attention à l’utilisation du PCI comme ressource créative dans laquelle les artistes contemporains peuvent puiser, plutôt qu’aux industries culturelles comme centre d’investissement et de renouvellement pour la pratique du PCI. Brown et Vacca (2022) ont ainsi rappelé qu’il était important de prendre en compte la durabilité culturelle.</w:t>
      </w:r>
    </w:p>
    <w:p w14:paraId="3DDD3430" w14:textId="77777777" w:rsidR="002C1F81" w:rsidRPr="00F479EF" w:rsidRDefault="002C1F81" w:rsidP="00B77E10">
      <w:pPr>
        <w:spacing w:after="120"/>
        <w:jc w:val="both"/>
        <w:rPr>
          <w:rFonts w:eastAsiaTheme="minorHAnsi" w:cstheme="minorHAnsi"/>
          <w:kern w:val="0"/>
          <w:lang w:eastAsia="en-US"/>
          <w14:ligatures w14:val="none"/>
        </w:rPr>
      </w:pPr>
      <w:r w:rsidRPr="00F479EF">
        <w:rPr>
          <w:rFonts w:eastAsiaTheme="minorHAnsi" w:cstheme="minorHAnsi"/>
          <w:kern w:val="0"/>
          <w:lang w:eastAsia="en-US"/>
          <w14:ligatures w14:val="none"/>
        </w:rPr>
        <w:t>Les politiques et le matériel de formation relatifs aux industries culturelles et créatives, eux aussi, traitent généralement les industries culturelles comme un simple type de petites et moyennes entreprises dans la chaîne de valeur, s’intéressant peu aux effets de rétroaction de l’engagement du marché sur la sauvegarde du PCI, qu’ils soient positifs ou négatifs</w:t>
      </w:r>
      <w:r w:rsidRPr="00F479EF">
        <w:rPr>
          <w:rFonts w:eastAsiaTheme="minorHAnsi" w:cstheme="minorHAnsi"/>
          <w:kern w:val="0"/>
          <w:vertAlign w:val="superscript"/>
          <w:lang w:eastAsia="en-US"/>
          <w14:ligatures w14:val="none"/>
        </w:rPr>
        <w:footnoteReference w:id="15"/>
      </w:r>
      <w:r w:rsidRPr="00F479EF">
        <w:rPr>
          <w:rFonts w:eastAsiaTheme="minorHAnsi" w:cstheme="minorHAnsi"/>
          <w:kern w:val="0"/>
          <w:lang w:eastAsia="en-US"/>
          <w14:ligatures w14:val="none"/>
        </w:rPr>
        <w:t xml:space="preserve">. La recherche et les politiques mettent davantage l’accent sur l’identification des avantages économiques à court terme du soutien aux industries créatives, en particulier des grandes entreprises technologiques et médiatiques dans les villes, plutôt que sur les préoccupations potentiellement les plus pertinentes pour les praticiens du PCI, par exemple l’égalité des chances, la rémunération équitable et la durabilité économique des petites et moyennes entreprises dans les zones rurales et urbaines (Oakley et Banks 2021, p. 5). </w:t>
      </w:r>
    </w:p>
    <w:p w14:paraId="6A27DD37" w14:textId="77777777" w:rsidR="002C1F81" w:rsidRPr="00F479EF" w:rsidRDefault="002C1F81" w:rsidP="00B77E10">
      <w:pPr>
        <w:spacing w:after="120"/>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Un modèle d’écosystème aiderait à visualiser les effets de rétroaction entre le PCI et les produits culturels, et donc leur impact sur la sauvegarde. Décrivant la structure d’une industrie créative basée sur la culture, la figure ci-dessous (adaptée de Lo </w:t>
      </w:r>
      <w:proofErr w:type="gramStart"/>
      <w:r w:rsidRPr="00F479EF">
        <w:rPr>
          <w:rFonts w:eastAsiaTheme="minorHAnsi" w:cstheme="minorHAnsi"/>
          <w:kern w:val="0"/>
          <w:lang w:eastAsia="en-US"/>
          <w14:ligatures w14:val="none"/>
        </w:rPr>
        <w:t>2016:</w:t>
      </w:r>
      <w:proofErr w:type="gramEnd"/>
      <w:r w:rsidRPr="00F479EF">
        <w:rPr>
          <w:rFonts w:eastAsiaTheme="minorHAnsi" w:cstheme="minorHAnsi"/>
          <w:kern w:val="0"/>
          <w:lang w:eastAsia="en-US"/>
          <w14:ligatures w14:val="none"/>
        </w:rPr>
        <w:t xml:space="preserve">60) permet de visualiser le lien entre les connaissances culturelles (capital culturel) et les produits culturels mis sur le marché, ainsi que le lien entre l’engagement sur le marché et la pratique et la transmission du PCI. </w:t>
      </w:r>
    </w:p>
    <w:p w14:paraId="165E87A3"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Ce modèle permet de réfléchir à la relation potentiellement productive entre des produits et des services plus ou moins « traditionnels », ainsi qu’aux risques éventuels. Le maintien du « contexte » du PCI dans la communauté peut avoir une valeur sociale et commerciale, tant pour les praticiens que pour les consommateurs. Tout comme les pratiques non marchandes du PCI inspirent et donnent du sens aux nouveaux produits culturels, les produits normalisés ou industrialisés peuvent à la fois concurrencer les produits liés au PCI sur le marché et créer des espaces pour eux.</w:t>
      </w:r>
    </w:p>
    <w:p w14:paraId="438626F8" w14:textId="77777777" w:rsidR="002C1F81" w:rsidRPr="00F479EF" w:rsidRDefault="002C1F81" w:rsidP="002C1F81">
      <w:pPr>
        <w:jc w:val="both"/>
        <w:rPr>
          <w:rFonts w:eastAsiaTheme="minorHAnsi" w:cstheme="minorHAnsi"/>
          <w:kern w:val="0"/>
          <w:lang w:eastAsia="en-US"/>
          <w14:ligatures w14:val="none"/>
        </w:rPr>
      </w:pPr>
    </w:p>
    <w:p w14:paraId="0C91DF20" w14:textId="77777777" w:rsidR="002C1F81" w:rsidRDefault="002C1F81" w:rsidP="002C1F81">
      <w:pPr>
        <w:jc w:val="both"/>
        <w:rPr>
          <w:rFonts w:eastAsiaTheme="minorHAnsi" w:cstheme="minorHAnsi"/>
          <w:kern w:val="0"/>
          <w:lang w:eastAsia="en-US"/>
          <w14:ligatures w14:val="none"/>
        </w:rPr>
      </w:pPr>
      <w:r>
        <w:rPr>
          <w:noProof/>
        </w:rPr>
        <w:lastRenderedPageBreak/>
        <w:drawing>
          <wp:inline distT="0" distB="0" distL="0" distR="0" wp14:anchorId="274C2CAC" wp14:editId="305A8B2B">
            <wp:extent cx="5709895" cy="3057525"/>
            <wp:effectExtent l="0" t="0" r="5715" b="0"/>
            <wp:docPr id="17" name="Image 17"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texte, capture d’écran, Police, diagramme&#10;&#10;Description générée automatiquement"/>
                    <pic:cNvPicPr>
                      <a:picLocks noChangeAspect="1" noChangeArrowheads="1"/>
                    </pic:cNvPicPr>
                  </pic:nvPicPr>
                  <pic:blipFill rotWithShape="1">
                    <a:blip r:embed="rId14">
                      <a:extLst>
                        <a:ext uri="{28A0092B-C50C-407E-A947-70E740481C1C}">
                          <a14:useLocalDpi xmlns:a14="http://schemas.microsoft.com/office/drawing/2010/main" val="0"/>
                        </a:ext>
                      </a:extLst>
                    </a:blip>
                    <a:srcRect l="255"/>
                    <a:stretch/>
                  </pic:blipFill>
                  <pic:spPr bwMode="auto">
                    <a:xfrm>
                      <a:off x="0" y="0"/>
                      <a:ext cx="5709895" cy="3057525"/>
                    </a:xfrm>
                    <a:prstGeom prst="rect">
                      <a:avLst/>
                    </a:prstGeom>
                    <a:noFill/>
                    <a:ln>
                      <a:noFill/>
                    </a:ln>
                    <a:extLst>
                      <a:ext uri="{53640926-AAD7-44D8-BBD7-CCE9431645EC}">
                        <a14:shadowObscured xmlns:a14="http://schemas.microsoft.com/office/drawing/2010/main"/>
                      </a:ext>
                    </a:extLst>
                  </pic:spPr>
                </pic:pic>
              </a:graphicData>
            </a:graphic>
          </wp:inline>
        </w:drawing>
      </w:r>
    </w:p>
    <w:p w14:paraId="532978BC"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Des travaux importants adoptant une approche écosystémique ont été réalisés dans le domaine du PCI musical (</w:t>
      </w:r>
      <w:proofErr w:type="spellStart"/>
      <w:r w:rsidRPr="00F479EF">
        <w:rPr>
          <w:rFonts w:eastAsiaTheme="minorHAnsi" w:cstheme="minorHAnsi"/>
          <w:kern w:val="0"/>
          <w:lang w:eastAsia="en-US"/>
          <w14:ligatures w14:val="none"/>
        </w:rPr>
        <w:t>Titon</w:t>
      </w:r>
      <w:proofErr w:type="spellEnd"/>
      <w:r w:rsidRPr="00F479EF">
        <w:rPr>
          <w:rFonts w:eastAsiaTheme="minorHAnsi" w:cstheme="minorHAnsi"/>
          <w:kern w:val="0"/>
          <w:lang w:eastAsia="en-US"/>
          <w14:ligatures w14:val="none"/>
        </w:rPr>
        <w:t xml:space="preserve"> 2009 ; </w:t>
      </w:r>
      <w:proofErr w:type="spellStart"/>
      <w:r w:rsidRPr="00F479EF">
        <w:rPr>
          <w:rFonts w:eastAsiaTheme="minorHAnsi" w:cstheme="minorHAnsi"/>
          <w:kern w:val="0"/>
          <w:lang w:eastAsia="en-US"/>
          <w14:ligatures w14:val="none"/>
        </w:rPr>
        <w:t>Schippers</w:t>
      </w:r>
      <w:proofErr w:type="spellEnd"/>
      <w:r w:rsidRPr="00F479EF">
        <w:rPr>
          <w:rFonts w:eastAsiaTheme="minorHAnsi" w:cstheme="minorHAnsi"/>
          <w:kern w:val="0"/>
          <w:lang w:eastAsia="en-US"/>
          <w14:ligatures w14:val="none"/>
        </w:rPr>
        <w:t xml:space="preserve"> et Grant 2016). </w:t>
      </w:r>
      <w:proofErr w:type="spellStart"/>
      <w:r w:rsidRPr="00F479EF">
        <w:rPr>
          <w:rFonts w:eastAsiaTheme="minorHAnsi" w:cstheme="minorHAnsi"/>
          <w:kern w:val="0"/>
          <w:lang w:eastAsia="en-US"/>
          <w14:ligatures w14:val="none"/>
        </w:rPr>
        <w:t>Titon</w:t>
      </w:r>
      <w:proofErr w:type="spellEnd"/>
      <w:r w:rsidRPr="00F479EF">
        <w:rPr>
          <w:rFonts w:eastAsiaTheme="minorHAnsi" w:cstheme="minorHAnsi"/>
          <w:kern w:val="0"/>
          <w:lang w:eastAsia="en-US"/>
          <w14:ligatures w14:val="none"/>
        </w:rPr>
        <w:t xml:space="preserve"> (2009) a appliqué les principes de l’écologie de la conservation (connectivité, diversité, limites à la croissance et bonne gestion) pour éclairer la durabilité de la culture musicale. Selon lui, les écosystèmes musicaux impliquent des individus, des groupes et des communautés qui interagissent autour d’un certain genre de musique. Un habitat (ou contexte) musical comprend « des facteurs physiques et culturels de l’environnement musical tels que les idées sur la musique, le son et les instruments produisant du son, les studios d’enregistrement, les médias, les salles de concert, l’éducation et la transmission musicales, et l’économie de la musique – soit la musique en tant que production et domaine culturel » (</w:t>
      </w:r>
      <w:proofErr w:type="spellStart"/>
      <w:r w:rsidRPr="00F479EF">
        <w:rPr>
          <w:rFonts w:eastAsiaTheme="minorHAnsi" w:cstheme="minorHAnsi"/>
          <w:kern w:val="0"/>
          <w:lang w:eastAsia="en-US"/>
          <w14:ligatures w14:val="none"/>
        </w:rPr>
        <w:t>Titon</w:t>
      </w:r>
      <w:proofErr w:type="spellEnd"/>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2009:</w:t>
      </w:r>
      <w:proofErr w:type="gramEnd"/>
      <w:r w:rsidRPr="00F479EF">
        <w:rPr>
          <w:rFonts w:eastAsiaTheme="minorHAnsi" w:cstheme="minorHAnsi"/>
          <w:kern w:val="0"/>
          <w:lang w:eastAsia="en-US"/>
          <w14:ligatures w14:val="none"/>
        </w:rPr>
        <w:t xml:space="preserve">123). </w:t>
      </w:r>
      <w:proofErr w:type="spellStart"/>
      <w:r w:rsidRPr="00F479EF">
        <w:rPr>
          <w:rFonts w:eastAsiaTheme="minorHAnsi" w:cstheme="minorHAnsi"/>
          <w:kern w:val="0"/>
          <w:lang w:eastAsia="en-US"/>
          <w14:ligatures w14:val="none"/>
        </w:rPr>
        <w:t>Schippers</w:t>
      </w:r>
      <w:proofErr w:type="spellEnd"/>
      <w:r w:rsidRPr="00F479EF">
        <w:rPr>
          <w:rFonts w:eastAsiaTheme="minorHAnsi" w:cstheme="minorHAnsi"/>
          <w:kern w:val="0"/>
          <w:lang w:eastAsia="en-US"/>
          <w14:ligatures w14:val="none"/>
        </w:rPr>
        <w:t xml:space="preserve"> et Grant (</w:t>
      </w:r>
      <w:proofErr w:type="gramStart"/>
      <w:r w:rsidRPr="00F479EF">
        <w:rPr>
          <w:rFonts w:eastAsiaTheme="minorHAnsi" w:cstheme="minorHAnsi"/>
          <w:kern w:val="0"/>
          <w:lang w:eastAsia="en-US"/>
          <w14:ligatures w14:val="none"/>
        </w:rPr>
        <w:t>2016:</w:t>
      </w:r>
      <w:proofErr w:type="gramEnd"/>
      <w:r w:rsidRPr="00F479EF">
        <w:rPr>
          <w:rFonts w:eastAsiaTheme="minorHAnsi" w:cstheme="minorHAnsi"/>
          <w:kern w:val="0"/>
          <w:lang w:eastAsia="en-US"/>
          <w14:ligatures w14:val="none"/>
        </w:rPr>
        <w:t>340) vont plus loin en proposant un cadre de cinq facteurs qui affectent la vitalité d’un genre musical : les musiciens et les communautés, les systèmes d’apprentissage de la musique, l’infrastructure et les réglementations, les médias et l’industrie de la musique, ainsi que les contextes et les concepts. Il est intéressant de noter qu’ils déclarent que « les facteurs les plus influents en matière de durabilité appartiennent à des domaines autres que le domaine purement musical ». Grant (2014b) propose une série de facteurs permettant d’évaluer la viabilité (voir ci-dessous).</w:t>
      </w:r>
    </w:p>
    <w:p w14:paraId="7909A148"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Dans leur étude sur l’inclusion sociale et le PCI </w:t>
      </w:r>
      <w:proofErr w:type="spellStart"/>
      <w:r w:rsidRPr="00F479EF">
        <w:rPr>
          <w:rFonts w:eastAsiaTheme="minorHAnsi" w:cstheme="minorHAnsi"/>
          <w:kern w:val="0"/>
          <w:lang w:eastAsia="en-US"/>
          <w14:ligatures w14:val="none"/>
        </w:rPr>
        <w:t>post-pandémie</w:t>
      </w:r>
      <w:proofErr w:type="spellEnd"/>
      <w:r w:rsidRPr="00F479EF">
        <w:rPr>
          <w:rFonts w:eastAsiaTheme="minorHAnsi" w:cstheme="minorHAnsi"/>
          <w:kern w:val="0"/>
          <w:lang w:eastAsia="en-US"/>
          <w14:ligatures w14:val="none"/>
        </w:rPr>
        <w:t xml:space="preserve"> de COVID-19, San Martin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(2021) ont proposé un modèle analytique multidimensionnel avec des facteurs (non hiérarchiques) (socio)environnementaux, culturels, institutionnels, économiques, éducatifs et technologiques, qui affectent la gestion du PCI et son impact sur l’inclusion sociale (San Martin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2021:</w:t>
      </w:r>
      <w:proofErr w:type="gramEnd"/>
      <w:r w:rsidRPr="00F479EF">
        <w:rPr>
          <w:rFonts w:eastAsiaTheme="minorHAnsi" w:cstheme="minorHAnsi"/>
          <w:kern w:val="0"/>
          <w:lang w:eastAsia="en-US"/>
          <w14:ligatures w14:val="none"/>
        </w:rPr>
        <w:t>10). Il serait intéressant de comprendre comment ces questions plus générales s’inscrivent dans certains contextes commerciaux du PCI, parce qu’elles affectent le pouvoir des communautés et des praticiens par rapport aux autres parties prenantes. L’approche de Lingard et Martin (2016), qui consiste à « cartographier le système », permet d’aborder les questions de justice sociale dans un contexte de désavantage historique par le biais de stratégies commerciales menées par les communautés et utilisant les connaissances du PCI.</w:t>
      </w:r>
    </w:p>
    <w:p w14:paraId="017D30F6"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 domaine des industries culturelles et leur intersection avec le PCI fournissent également des informations clés sur le commerce numérique. Comme indiqué plus haut, un nombre croissant de </w:t>
      </w:r>
      <w:r w:rsidRPr="00F479EF">
        <w:rPr>
          <w:rFonts w:eastAsiaTheme="minorHAnsi" w:cstheme="minorHAnsi"/>
          <w:kern w:val="0"/>
          <w:lang w:eastAsia="en-US"/>
          <w14:ligatures w14:val="none"/>
        </w:rPr>
        <w:lastRenderedPageBreak/>
        <w:t>documents liés au PCI (y compris les inventaires) sont disponibles sous forme numérique, et de nouvelles opportunités commerciales d’exploitation du PCI dans l’arène numérique se présentent. De nombreux programmes d’intelligence artificielle ont été (ou seront) formés sur des collections de musées en libre accès d’œuvres d’art historiques, de patrons de vêtements et de sculptures, ou même des inventaires du PCI. Les intervenants du Forum mondial sur le PCI de l’ICHCAP organisé en 2021 en République de Corée</w:t>
      </w:r>
      <w:r w:rsidRPr="00F479EF">
        <w:rPr>
          <w:rFonts w:eastAsiaTheme="minorHAnsi" w:cstheme="minorHAnsi"/>
          <w:kern w:val="0"/>
          <w:vertAlign w:val="superscript"/>
          <w:lang w:eastAsia="en-US"/>
          <w14:ligatures w14:val="none"/>
        </w:rPr>
        <w:footnoteReference w:id="16"/>
      </w:r>
      <w:r w:rsidRPr="00F479EF">
        <w:rPr>
          <w:rFonts w:eastAsiaTheme="minorHAnsi" w:cstheme="minorHAnsi"/>
          <w:kern w:val="0"/>
          <w:lang w:eastAsia="en-US"/>
          <w14:ligatures w14:val="none"/>
        </w:rPr>
        <w:t xml:space="preserve"> ont identifié de nouveaux types de valeur commerciale du PCI dans ce contexte. L’utilisation de technologies numériques a été accélérée par la pandémie de COVID-19. Par exemple, plus de 80 % des praticiens chinois du PCI interrogés après la première année de la pandémie ont déclaré qu’ils trouvaient les médias numériques utiles pour soutenir leur PCI (Su et Fang 2022). Comme un certain nombre d’autres pays, le gouvernement chinois s’est efforcé de promouvoir les plateformes numériques pour les produits liés au PCI (Su et Fang 2021). </w:t>
      </w:r>
    </w:p>
    <w:p w14:paraId="3ACBECC3"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De nouveaux types de marchés présentent de nouveaux risques, mais ils offrent aussi des opportunités inédites (</w:t>
      </w:r>
      <w:proofErr w:type="spellStart"/>
      <w:r w:rsidRPr="00F479EF">
        <w:rPr>
          <w:rFonts w:eastAsiaTheme="minorHAnsi" w:cstheme="minorHAnsi"/>
          <w:kern w:val="0"/>
          <w:lang w:eastAsia="en-US"/>
          <w14:ligatures w14:val="none"/>
        </w:rPr>
        <w:t>Prażmowska</w:t>
      </w:r>
      <w:proofErr w:type="spellEnd"/>
      <w:r w:rsidRPr="00F479EF">
        <w:rPr>
          <w:rFonts w:eastAsiaTheme="minorHAnsi" w:cstheme="minorHAnsi"/>
          <w:kern w:val="0"/>
          <w:lang w:eastAsia="en-US"/>
          <w14:ligatures w14:val="none"/>
        </w:rPr>
        <w:t xml:space="preserve"> 2020). Pour ce qui est des aspects positifs, l’environnement numérique permet de sensibiliser le public au PCI ou d’ouvrir de nouvelles voies à la créativité en aidant par exemple les artisans à utiliser plus efficacement leurs archives historiques pour créer de nouveaux modèles pour leurs œuvres. Toutefois, l’intelligence artificielle ne sera pas en mesure de réfléchir très efficacement à la signification et à la valeur culturelles. Les outils numériques pourraient apporter des solutions à d’autres problèmes. De nombreux artisans traditionnels fabriquent des articles destinés à la communauté, tels que des vêtements traditionnels, qu’ils sont eux-mêmes réticents à vendre à des personnes n’appartenant pas à la communauté et que les visiteurs ou les clients peuvent être réticents à acheter ou à porter, même s’ils souhaitent soutenir le travail de ces artisans. Acheter un lien numérique qui ne leur donne aucun droit sur l’œuvre d’art (comme les jetons non fongibles ou NFT</w:t>
      </w:r>
      <w:r w:rsidRPr="00F479EF">
        <w:rPr>
          <w:rFonts w:eastAsiaTheme="minorHAnsi" w:cstheme="minorHAnsi"/>
          <w:kern w:val="0"/>
          <w:vertAlign w:val="superscript"/>
          <w:lang w:eastAsia="en-US"/>
          <w14:ligatures w14:val="none"/>
        </w:rPr>
        <w:footnoteReference w:id="17"/>
      </w:r>
      <w:r w:rsidRPr="00F479EF">
        <w:rPr>
          <w:rFonts w:eastAsiaTheme="minorHAnsi" w:cstheme="minorHAnsi"/>
          <w:kern w:val="0"/>
          <w:lang w:eastAsia="en-US"/>
          <w14:ligatures w14:val="none"/>
        </w:rPr>
        <w:t xml:space="preserve">) permettrait aux clients de soutenir la propriété communautaire de ce type de biens artisanaux, tout en préservant la propriété des communautés sur les objets physiques. Le NFT est tristement connu pour les effets environnementaux négatifs de la blockchain et l’utilisation de cryptomonnaies instables, entre autres. Néanmoins, s’il est considéré comme un don plutôt qu’un investissement, qu’il est géré par des organisations communautaires et lié à un processus d’authentification de la communauté verte, ce domaine mérite peut-être d’être exploré. </w:t>
      </w:r>
    </w:p>
    <w:p w14:paraId="3C46D2CD"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En revanche, les artisans risquent de ne pas pouvoir conserver leurs moyens de subsistance si une machine est capable de générer de nouveaux modèles et créations à partir d’archives relatives à une tradition communautaire plus large, susceptible d’être classée au PCI. Des artistes actuels ont déjà commencé à contester l’utilisation de leurs œuvres pour entraîner des programmes d’intelligence artificielle tels que </w:t>
      </w:r>
      <w:proofErr w:type="spellStart"/>
      <w:r w:rsidRPr="00F479EF">
        <w:rPr>
          <w:rFonts w:eastAsiaTheme="minorHAnsi" w:cstheme="minorHAnsi"/>
          <w:kern w:val="0"/>
          <w:lang w:eastAsia="en-US"/>
          <w14:ligatures w14:val="none"/>
        </w:rPr>
        <w:t>DeviantArt</w:t>
      </w:r>
      <w:proofErr w:type="spellEnd"/>
      <w:r w:rsidRPr="00F479EF">
        <w:rPr>
          <w:rFonts w:eastAsiaTheme="minorHAnsi" w:cstheme="minorHAnsi"/>
          <w:kern w:val="0"/>
          <w:lang w:eastAsia="en-US"/>
          <w14:ligatures w14:val="none"/>
        </w:rPr>
        <w:t xml:space="preserve"> à générer de nouvelles œuvres imitant leur style, parce que cela affecte leurs moyens de subsistance, voire leur réputation</w:t>
      </w:r>
      <w:r w:rsidRPr="00F479EF">
        <w:rPr>
          <w:rFonts w:eastAsiaTheme="minorHAnsi" w:cstheme="minorHAnsi"/>
          <w:kern w:val="0"/>
          <w:vertAlign w:val="superscript"/>
          <w:lang w:val="en-US" w:eastAsia="en-US"/>
          <w14:ligatures w14:val="none"/>
        </w:rPr>
        <w:footnoteReference w:id="18"/>
      </w:r>
      <w:r w:rsidRPr="00F479EF">
        <w:rPr>
          <w:rFonts w:eastAsiaTheme="minorHAnsi" w:cstheme="minorHAnsi"/>
          <w:kern w:val="0"/>
          <w:lang w:eastAsia="en-US"/>
          <w14:ligatures w14:val="none"/>
        </w:rPr>
        <w:t xml:space="preserve">. Les concepteurs de jeux et d’autres entreprises pourraient créer des environnements culturellement riches pour des mondes numériques basés sur des mélanges de PCI d’une ou de plusieurs communautés, accélérant ainsi l’appropriation culturelle et la dénaturation de leur patrimoine. Ce risque est particulièrement élevé si l’on autorise l’accord de droits de propriété intellectuelle à des créations basées sur l’intelligence artificielle ou l’apprentissage automatique (Le Gall et Deacon 2020). Comme nous l’expliquons plus loin, le rapatriement numérique sans gestion des </w:t>
      </w:r>
      <w:r w:rsidRPr="00F479EF">
        <w:rPr>
          <w:rFonts w:eastAsiaTheme="minorHAnsi" w:cstheme="minorHAnsi"/>
          <w:kern w:val="0"/>
          <w:lang w:eastAsia="en-US"/>
          <w14:ligatures w14:val="none"/>
        </w:rPr>
        <w:lastRenderedPageBreak/>
        <w:t>droits sur la documentation ou les numérisations 3D, ou simplement un libre accès à ces données, pourraient empêcher les communautés d’origine d’avoir accès à leur patrimoine culturel (</w:t>
      </w:r>
      <w:proofErr w:type="spellStart"/>
      <w:r w:rsidRPr="00F479EF">
        <w:rPr>
          <w:rFonts w:eastAsiaTheme="minorHAnsi" w:cstheme="minorHAnsi"/>
          <w:kern w:val="0"/>
          <w:lang w:eastAsia="en-US"/>
          <w14:ligatures w14:val="none"/>
        </w:rPr>
        <w:t>Pavis</w:t>
      </w:r>
      <w:proofErr w:type="spellEnd"/>
      <w:r w:rsidRPr="00F479EF">
        <w:rPr>
          <w:rFonts w:eastAsiaTheme="minorHAnsi" w:cstheme="minorHAnsi"/>
          <w:kern w:val="0"/>
          <w:lang w:eastAsia="en-US"/>
          <w14:ligatures w14:val="none"/>
        </w:rPr>
        <w:t xml:space="preserve"> et Wallace 2019).</w:t>
      </w:r>
    </w:p>
    <w:p w14:paraId="0411DF3D"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En novembre 2021, les 193 États membres de la Conférence générale de l’UNESCO ont adopté la Recommandation sur l’éthique de l’intelligence artificielle, le tout premier instrument normatif mondial sur le sujet</w:t>
      </w:r>
      <w:r w:rsidRPr="00F479EF">
        <w:rPr>
          <w:rFonts w:eastAsiaTheme="minorHAnsi" w:cstheme="minorHAnsi"/>
          <w:kern w:val="0"/>
          <w:vertAlign w:val="superscript"/>
          <w:lang w:val="en-US" w:eastAsia="en-US"/>
          <w14:ligatures w14:val="none"/>
        </w:rPr>
        <w:footnoteReference w:id="19"/>
      </w:r>
      <w:r w:rsidRPr="00F479EF">
        <w:rPr>
          <w:rFonts w:eastAsiaTheme="minorHAnsi" w:cstheme="minorHAnsi"/>
          <w:kern w:val="0"/>
          <w:lang w:eastAsia="en-US"/>
          <w14:ligatures w14:val="none"/>
        </w:rPr>
        <w:t>. Elle comprend un domaine stratégique dédié à la culture, dans lequel l’impact culturel de l’IA est appréhendé principalement par le biais du langage humain, de la liberté artistique et de la préservation de la diversité du patrimoine culturel plutôt que de la sauvegarde du patrimoine (immatériel). Les musées sont encouragés à utiliser des outils d’IA pour promouvoir la sensibilisation et l’accessibilité, sans mentionner les éventuelles conséquences négatives de cette utilisation. L’analyse de l’impact des technologies d’IA sur les artistes se concentre (comme dans la citation ci-dessous) sur les détenteurs de droits de propriété intellectuelle, ce qui exclut de nombreux praticiens de la communauté dont les modèles, les styles et les processus ne sont plus protégés par le droit de la propriété intellectuelle.</w:t>
      </w:r>
    </w:p>
    <w:p w14:paraId="3CADD5B1" w14:textId="77777777" w:rsidR="002C1F81" w:rsidRPr="00F479EF" w:rsidRDefault="002C1F81" w:rsidP="002C1F81">
      <w:pPr>
        <w:spacing w:before="200"/>
        <w:ind w:left="864" w:right="864"/>
        <w:jc w:val="both"/>
        <w:rPr>
          <w:rFonts w:eastAsiaTheme="minorHAnsi" w:cstheme="minorHAnsi"/>
          <w:i/>
          <w:iCs/>
          <w:color w:val="404040" w:themeColor="text1" w:themeTint="BF"/>
          <w:kern w:val="0"/>
          <w:lang w:eastAsia="en-US"/>
          <w14:ligatures w14:val="none"/>
        </w:rPr>
      </w:pPr>
      <w:r w:rsidRPr="00F479EF">
        <w:rPr>
          <w:rFonts w:eastAsiaTheme="minorHAnsi" w:cstheme="minorHAnsi"/>
          <w:i/>
          <w:iCs/>
          <w:color w:val="404040" w:themeColor="text1" w:themeTint="BF"/>
          <w:kern w:val="0"/>
          <w:lang w:eastAsia="en-US"/>
          <w14:ligatures w14:val="none"/>
        </w:rPr>
        <w:t>99. Les États membres devraient encourager les nouvelles recherches à la croisée de l’IA et de la propriété intellectuelle, afin de déterminer par exemple comment protéger par des droits de propriété intellectuelle les œuvres créées au moyen de technologies de l’IA, ou s’il y a lieu de le faire. Les États membres devraient également évaluer les répercussions d technologies de l’IA sur les droits ou les intérêts des titulaires de droits de propriété intellectuelle dont les œuvres sont utilisées pour la recherche, le développement, la formation ou la mise en œuvre d’applications d’IA</w:t>
      </w:r>
      <w:r w:rsidRPr="00F479EF">
        <w:rPr>
          <w:rFonts w:eastAsiaTheme="minorHAnsi" w:cstheme="minorHAnsi"/>
          <w:i/>
          <w:iCs/>
          <w:color w:val="404040" w:themeColor="text1" w:themeTint="BF"/>
          <w:kern w:val="0"/>
          <w:vertAlign w:val="superscript"/>
          <w:lang w:eastAsia="en-US"/>
          <w14:ligatures w14:val="none"/>
        </w:rPr>
        <w:footnoteReference w:id="20"/>
      </w:r>
      <w:r w:rsidRPr="00F479EF">
        <w:rPr>
          <w:rFonts w:eastAsiaTheme="minorHAnsi" w:cstheme="minorHAnsi"/>
          <w:i/>
          <w:iCs/>
          <w:color w:val="404040" w:themeColor="text1" w:themeTint="BF"/>
          <w:kern w:val="0"/>
          <w:lang w:eastAsia="en-US"/>
          <w14:ligatures w14:val="none"/>
        </w:rPr>
        <w:t>.</w:t>
      </w:r>
    </w:p>
    <w:p w14:paraId="73EBB96B" w14:textId="780FB2B9"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En résumé, la recherche sur les industries culturelles nous aide à comprendre les dynamiques du marché des produits culturels. Cela peut se révéler très utile dans de nouveaux domaines tels que le commerce numérique. Cependant, les travaux sur </w:t>
      </w:r>
      <w:r w:rsidR="0001652F">
        <w:rPr>
          <w:rFonts w:eastAsiaTheme="minorHAnsi" w:cstheme="minorHAnsi"/>
          <w:kern w:val="0"/>
          <w:lang w:eastAsia="en-US"/>
          <w14:ligatures w14:val="none"/>
        </w:rPr>
        <w:t>l</w:t>
      </w:r>
      <w:r w:rsidR="00E86933">
        <w:rPr>
          <w:rFonts w:eastAsiaTheme="minorHAnsi" w:cstheme="minorHAnsi"/>
          <w:kern w:val="0"/>
          <w:lang w:eastAsia="en-US"/>
          <w14:ligatures w14:val="none"/>
        </w:rPr>
        <w:t>’</w:t>
      </w:r>
      <w:r w:rsidR="0001652F">
        <w:rPr>
          <w:rFonts w:eastAsiaTheme="minorHAnsi" w:cstheme="minorHAnsi"/>
          <w:kern w:val="0"/>
          <w:lang w:eastAsia="en-US"/>
          <w14:ligatures w14:val="none"/>
        </w:rPr>
        <w:t>effet</w:t>
      </w:r>
      <w:r w:rsidR="0001652F" w:rsidRPr="00F479EF">
        <w:rPr>
          <w:rFonts w:eastAsiaTheme="minorHAnsi" w:cstheme="minorHAnsi"/>
          <w:kern w:val="0"/>
          <w:lang w:eastAsia="en-US"/>
          <w14:ligatures w14:val="none"/>
        </w:rPr>
        <w:t xml:space="preserve"> </w:t>
      </w:r>
      <w:r w:rsidRPr="00F479EF">
        <w:rPr>
          <w:rFonts w:eastAsiaTheme="minorHAnsi" w:cstheme="minorHAnsi"/>
          <w:kern w:val="0"/>
          <w:lang w:eastAsia="en-US"/>
          <w14:ligatures w14:val="none"/>
        </w:rPr>
        <w:t>des nouveaux environnements commerciaux numériques sur la culture se sont concentrés sur les industries culturelles et les artistes contemporains, et non sur le PCI et ses praticiens.</w:t>
      </w:r>
    </w:p>
    <w:p w14:paraId="35354112" w14:textId="77777777" w:rsidR="002C1F81" w:rsidRPr="00F479EF" w:rsidRDefault="002C1F81" w:rsidP="002C1F81">
      <w:pPr>
        <w:keepNext/>
        <w:spacing w:after="240" w:line="240" w:lineRule="auto"/>
        <w:ind w:left="720"/>
        <w:jc w:val="both"/>
        <w:outlineLvl w:val="2"/>
        <w:rPr>
          <w:rFonts w:eastAsiaTheme="minorHAnsi" w:cstheme="minorHAnsi"/>
          <w:b/>
          <w:bCs/>
          <w:kern w:val="0"/>
          <w:lang w:eastAsia="en-US"/>
          <w14:ligatures w14:val="none"/>
        </w:rPr>
      </w:pPr>
      <w:bookmarkStart w:id="11" w:name="_Toc137745029"/>
      <w:r w:rsidRPr="00F479EF">
        <w:rPr>
          <w:rFonts w:eastAsiaTheme="minorHAnsi" w:cstheme="minorHAnsi"/>
          <w:b/>
          <w:bCs/>
          <w:kern w:val="0"/>
          <w:lang w:eastAsia="en-US"/>
          <w14:ligatures w14:val="none"/>
        </w:rPr>
        <w:t>Perspectives de la recherche sur le marketing et les consommateurs</w:t>
      </w:r>
      <w:bookmarkEnd w:id="11"/>
    </w:p>
    <w:p w14:paraId="570E2B7A"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Comme nous l’avons vu précédemment, l’attribution d’une marque est l’un des contextes économiques dans lesquels les désignations patrimoniales ajoutent de la valeur, que cette reconnaissance soit le fait des communautés elles-mêmes ou d’un mécanisme officiel tel qu’un inventaire. Dans le cadre de la Convention, les questions relatives à l’attribution d’une marque sont généralement examinées dans un contexte d’utilisation non autorisée du logo de l’UNESCO ou d’utilisation inappropriée du PCI dans le marketing d’un tiers. L’idée du patrimoine comme outil de promotion est donc souvent mal vue. Toutefois, les détenteurs du PCI eux-mêmes utilisent souvent des techniques de marketing, par exemple lorsqu’ils soulignent la valeur des produits locaux liés à l’identité de la communauté. Ces techniques peuvent être employées sans être nécessairement considérées comme du « marketing ». </w:t>
      </w:r>
    </w:p>
    <w:p w14:paraId="55A6BC4A"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Comme indiqué plus haut, la patrimonialisation est au cœur de la logique capitaliste de l’économie de l’enrichissement (Boltanski et </w:t>
      </w:r>
      <w:proofErr w:type="spellStart"/>
      <w:r w:rsidRPr="00F479EF">
        <w:rPr>
          <w:rFonts w:eastAsiaTheme="minorHAnsi" w:cstheme="minorHAnsi"/>
          <w:kern w:val="0"/>
          <w:lang w:eastAsia="en-US"/>
          <w14:ligatures w14:val="none"/>
        </w:rPr>
        <w:t>Esquerre</w:t>
      </w:r>
      <w:proofErr w:type="spellEnd"/>
      <w:r w:rsidRPr="00F479EF">
        <w:rPr>
          <w:rFonts w:eastAsiaTheme="minorHAnsi" w:cstheme="minorHAnsi"/>
          <w:kern w:val="0"/>
          <w:lang w:eastAsia="en-US"/>
          <w14:ligatures w14:val="none"/>
        </w:rPr>
        <w:t xml:space="preserve"> 2020). Le patrimoine est un concept important dans la gestion des marques. Dans le domaine du marketing, des travaux récents se sont penchés sur les marques </w:t>
      </w:r>
      <w:r w:rsidRPr="00F479EF">
        <w:rPr>
          <w:rFonts w:eastAsiaTheme="minorHAnsi" w:cstheme="minorHAnsi"/>
          <w:kern w:val="0"/>
          <w:lang w:eastAsia="en-US"/>
          <w14:ligatures w14:val="none"/>
        </w:rPr>
        <w:lastRenderedPageBreak/>
        <w:t xml:space="preserve">patrimoniales (voir </w:t>
      </w:r>
      <w:proofErr w:type="spellStart"/>
      <w:r w:rsidRPr="00F479EF">
        <w:rPr>
          <w:rFonts w:eastAsiaTheme="minorHAnsi" w:cstheme="minorHAnsi"/>
          <w:kern w:val="0"/>
          <w:lang w:eastAsia="en-US"/>
          <w14:ligatures w14:val="none"/>
        </w:rPr>
        <w:t>Pecot</w:t>
      </w:r>
      <w:proofErr w:type="spellEnd"/>
      <w:r w:rsidRPr="00F479EF">
        <w:rPr>
          <w:rFonts w:eastAsiaTheme="minorHAnsi" w:cstheme="minorHAnsi"/>
          <w:kern w:val="0"/>
          <w:lang w:eastAsia="en-US"/>
          <w14:ligatures w14:val="none"/>
        </w:rPr>
        <w:t xml:space="preserve"> et de Barnier 2017 pour une synthèse) ou sur les marques dont l’histoire est bien connue. Les marques sont des actifs incorporels, fondés sur des caractéristiques fonctionnelles et des valeurs symboliques, que les spécialistes du marketing peuvent associer aux produits afin d’accroître la valeur perçue par les consommateurs, et donc leur volonté de payer (</w:t>
      </w:r>
      <w:proofErr w:type="spellStart"/>
      <w:r w:rsidRPr="00F479EF">
        <w:rPr>
          <w:rFonts w:eastAsiaTheme="minorHAnsi" w:cstheme="minorHAnsi"/>
          <w:kern w:val="0"/>
          <w:lang w:eastAsia="en-US"/>
          <w14:ligatures w14:val="none"/>
        </w:rPr>
        <w:t>Beverland</w:t>
      </w:r>
      <w:proofErr w:type="spellEnd"/>
      <w:r w:rsidRPr="00F479EF">
        <w:rPr>
          <w:rFonts w:eastAsiaTheme="minorHAnsi" w:cstheme="minorHAnsi"/>
          <w:kern w:val="0"/>
          <w:lang w:eastAsia="en-US"/>
          <w14:ligatures w14:val="none"/>
        </w:rPr>
        <w:t xml:space="preserve"> 2021). La mobilisation du patrimoine d’une marque ou la référence à des significations plus anciennes de cette marque représente la stabilité, la familiarité et rassure les consommateurs nostalgiques du passé (Brown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2003). La narration en ligne ou par le biais d’un musée d’entreprise, les expositions ou les événements sont autant de stratégies utilisées pour mettre en valeur le patrimoine d’une marque (Delgado-</w:t>
      </w:r>
      <w:proofErr w:type="spellStart"/>
      <w:r w:rsidRPr="00F479EF">
        <w:rPr>
          <w:rFonts w:eastAsiaTheme="minorHAnsi" w:cstheme="minorHAnsi"/>
          <w:kern w:val="0"/>
          <w:lang w:eastAsia="en-US"/>
          <w14:ligatures w14:val="none"/>
        </w:rPr>
        <w:t>Ballester</w:t>
      </w:r>
      <w:proofErr w:type="spellEnd"/>
      <w:r w:rsidRPr="00F479EF">
        <w:rPr>
          <w:rFonts w:eastAsiaTheme="minorHAnsi" w:cstheme="minorHAnsi"/>
          <w:kern w:val="0"/>
          <w:lang w:eastAsia="en-US"/>
          <w14:ligatures w14:val="none"/>
        </w:rPr>
        <w:t xml:space="preserve"> et Fernandez-</w:t>
      </w:r>
      <w:proofErr w:type="spellStart"/>
      <w:r w:rsidRPr="00F479EF">
        <w:rPr>
          <w:rFonts w:eastAsiaTheme="minorHAnsi" w:cstheme="minorHAnsi"/>
          <w:kern w:val="0"/>
          <w:lang w:eastAsia="en-US"/>
          <w14:ligatures w14:val="none"/>
        </w:rPr>
        <w:t>Sabiote</w:t>
      </w:r>
      <w:proofErr w:type="spellEnd"/>
      <w:r w:rsidRPr="00F479EF">
        <w:rPr>
          <w:rFonts w:eastAsiaTheme="minorHAnsi" w:cstheme="minorHAnsi"/>
          <w:kern w:val="0"/>
          <w:lang w:eastAsia="en-US"/>
          <w14:ligatures w14:val="none"/>
        </w:rPr>
        <w:t xml:space="preserve"> 2016). Le musée de la </w:t>
      </w:r>
      <w:proofErr w:type="gramStart"/>
      <w:r w:rsidRPr="00F479EF">
        <w:rPr>
          <w:rFonts w:eastAsiaTheme="minorHAnsi" w:cstheme="minorHAnsi"/>
          <w:kern w:val="0"/>
          <w:lang w:eastAsia="en-US"/>
          <w14:ligatures w14:val="none"/>
        </w:rPr>
        <w:t>marque</w:t>
      </w:r>
      <w:proofErr w:type="gramEnd"/>
      <w:r w:rsidRPr="00F479EF">
        <w:rPr>
          <w:rFonts w:eastAsiaTheme="minorHAnsi" w:cstheme="minorHAnsi"/>
          <w:kern w:val="0"/>
          <w:lang w:eastAsia="en-US"/>
          <w14:ligatures w14:val="none"/>
        </w:rPr>
        <w:t xml:space="preserve"> italienne de voitures de sport Ferrari à </w:t>
      </w:r>
      <w:proofErr w:type="spellStart"/>
      <w:r w:rsidRPr="00F479EF">
        <w:rPr>
          <w:rFonts w:eastAsiaTheme="minorHAnsi" w:cstheme="minorHAnsi"/>
          <w:kern w:val="0"/>
          <w:lang w:eastAsia="en-US"/>
          <w14:ligatures w14:val="none"/>
        </w:rPr>
        <w:t>Maranello</w:t>
      </w:r>
      <w:proofErr w:type="spellEnd"/>
      <w:r w:rsidRPr="00F479EF">
        <w:rPr>
          <w:rFonts w:eastAsiaTheme="minorHAnsi" w:cstheme="minorHAnsi"/>
          <w:kern w:val="0"/>
          <w:lang w:eastAsia="en-US"/>
          <w14:ligatures w14:val="none"/>
        </w:rPr>
        <w:t>, en Italie, en est un exemple. Le « rétro-</w:t>
      </w:r>
      <w:proofErr w:type="spellStart"/>
      <w:r w:rsidRPr="00F479EF">
        <w:rPr>
          <w:rFonts w:eastAsiaTheme="minorHAnsi" w:cstheme="minorHAnsi"/>
          <w:kern w:val="0"/>
          <w:lang w:eastAsia="en-US"/>
          <w14:ligatures w14:val="none"/>
        </w:rPr>
        <w:t>branding</w:t>
      </w:r>
      <w:proofErr w:type="spellEnd"/>
      <w:r w:rsidRPr="00F479EF">
        <w:rPr>
          <w:rFonts w:eastAsiaTheme="minorHAnsi" w:cstheme="minorHAnsi"/>
          <w:kern w:val="0"/>
          <w:lang w:eastAsia="en-US"/>
          <w14:ligatures w14:val="none"/>
        </w:rPr>
        <w:t> », un concept proche, consiste à réutiliser d’anciens produits (par exemple la Fiat 500), slogans ou images publicitaires pour exploiter la nostalgie des consommateurs.</w:t>
      </w:r>
    </w:p>
    <w:p w14:paraId="78923BF8"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Au fil des ans, le champ d’application de la recherche sur le marketing s’est élargi au tourisme, à la culture et à la promotion des lieux. La recherche sur le marketing et les consommateurs dans le contexte du PCI n’en est toutefois qu’à ses débuts. D’une part, les chercheurs et les professionnels du marketing sont peu familiarisés avec la notion de PCI tel que défini dans le cadre de la Convention. D’autre part, l’utilisation de techniques de marketing « professionnelles » dans un contexte de PCI est elle-même parfois considérée comme un signe de commercialisation excessive. Comme les concepts issus du droit, de l’économie et d’autres disciplines, les notions et les outils du marketing ont un certain « bagage » idéologique. La discipline du marketing a été développée sur la base d’une mentalité individualiste, compétitive, masculine et coloniale, ce qui transparait encore de manière évidente dans certaines des métaphores utilisées (par exemple, guerres concurrentielles, avantage concurrentiel, pénétration du marché, stratégies et tactiques). L’accent mis par le marketing conventionnel sur la concurrence entre les entreprises peut se révéler contre-productif au sein des communautés où les praticiens du PCI ont des entreprises similaires fondées sur des connaissances partagées, et où la cohésion sociale, le partage et l’action collective sont nécessaires à la sauvegarde. </w:t>
      </w:r>
    </w:p>
    <w:p w14:paraId="1D13982D"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 concept de marketing sensible au patrimoine place les communautés et les praticiens au centre de la communication sur la valeur sociale et culturelle de leur PCI, en trouvant un équilibre entre les stratégies individuelles et collectives. Le but est d’obtenir une rémunération équitable pour les praticiens du PCI, de sauvegarder le PCI et de rester conscient des risques et des avantages de la commercialisation. À l’origine, la notion de marketing sensible au patrimoine a été développée dans le cadre du projet </w:t>
      </w:r>
      <w:proofErr w:type="spellStart"/>
      <w:r w:rsidRPr="00F479EF">
        <w:rPr>
          <w:rFonts w:eastAsiaTheme="minorHAnsi" w:cstheme="minorHAnsi"/>
          <w:kern w:val="0"/>
          <w:lang w:eastAsia="en-US"/>
          <w14:ligatures w14:val="none"/>
        </w:rPr>
        <w:t>AlpFoodway</w:t>
      </w:r>
      <w:proofErr w:type="spellEnd"/>
      <w:r w:rsidRPr="00F479EF">
        <w:rPr>
          <w:rFonts w:eastAsiaTheme="minorHAnsi" w:cstheme="minorHAnsi"/>
          <w:kern w:val="0"/>
          <w:lang w:eastAsia="en-US"/>
          <w14:ligatures w14:val="none"/>
        </w:rPr>
        <w:t xml:space="preserve"> sur le patrimoine alimentaire et du projet HIPAMS</w:t>
      </w:r>
      <w:r w:rsidRPr="00F479EF">
        <w:rPr>
          <w:rFonts w:eastAsiaTheme="minorHAnsi" w:cstheme="minorHAnsi"/>
          <w:kern w:val="0"/>
          <w:vertAlign w:val="superscript"/>
          <w:lang w:eastAsia="en-US"/>
          <w14:ligatures w14:val="none"/>
        </w:rPr>
        <w:footnoteReference w:id="21"/>
      </w:r>
      <w:r w:rsidRPr="00F479EF">
        <w:rPr>
          <w:rFonts w:eastAsiaTheme="minorHAnsi" w:cstheme="minorHAnsi"/>
          <w:kern w:val="0"/>
          <w:lang w:eastAsia="en-US"/>
          <w14:ligatures w14:val="none"/>
        </w:rPr>
        <w:t xml:space="preserve">. </w:t>
      </w:r>
      <w:proofErr w:type="spellStart"/>
      <w:r w:rsidRPr="00F479EF">
        <w:rPr>
          <w:rFonts w:eastAsiaTheme="minorHAnsi" w:cstheme="minorHAnsi"/>
          <w:kern w:val="0"/>
          <w:lang w:eastAsia="en-US"/>
          <w14:ligatures w14:val="none"/>
        </w:rPr>
        <w:t>Rinallo</w:t>
      </w:r>
      <w:proofErr w:type="spellEnd"/>
      <w:r w:rsidRPr="00F479EF">
        <w:rPr>
          <w:rFonts w:eastAsiaTheme="minorHAnsi" w:cstheme="minorHAnsi"/>
          <w:kern w:val="0"/>
          <w:lang w:eastAsia="en-US"/>
          <w14:ligatures w14:val="none"/>
        </w:rPr>
        <w:t xml:space="preserve"> (2018, 2019) a montré que le marketing peut contribuer à clarifier les différences entre les produits du patrimoine et les autres produits, des différences souvent difficiles à percevoir pour les consommateurs. Cela peut permettre de justifier une rémunération équitable des praticiens du PCI, inciter à la transmission, et donc faire connaître et maintenir la signification et la valeur de leur PCI.</w:t>
      </w:r>
    </w:p>
    <w:p w14:paraId="13C1AC39"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Le concept d</w:t>
      </w:r>
      <w:proofErr w:type="gramStart"/>
      <w:r w:rsidRPr="00F479EF">
        <w:rPr>
          <w:rFonts w:eastAsiaTheme="minorHAnsi" w:cstheme="minorHAnsi"/>
          <w:kern w:val="0"/>
          <w:lang w:eastAsia="en-US"/>
          <w14:ligatures w14:val="none"/>
        </w:rPr>
        <w:t>’«</w:t>
      </w:r>
      <w:proofErr w:type="gramEnd"/>
      <w:r w:rsidRPr="00F479EF">
        <w:rPr>
          <w:rFonts w:eastAsiaTheme="minorHAnsi" w:cstheme="minorHAnsi"/>
          <w:kern w:val="0"/>
          <w:lang w:eastAsia="en-US"/>
          <w14:ligatures w14:val="none"/>
        </w:rPr>
        <w:t xml:space="preserve"> architecture d’une marque » nous aide à comprendre les relations entre la gestion de la marque l’UNESCO, la gestion des marques du PCI, et le message et la marque d’un élément spécifique : ces trois types de gestion de marque coexistent simultanément. Du point de vue de la culture de consommation, lorsqu’un élément est inscrit au PCI, les significations associées à l’UNESCO en général, et aux listes du PCI de l’UNESCO en particulier, sont liées aux éléments du PCI inscrits et aux praticiens ou </w:t>
      </w:r>
      <w:r w:rsidRPr="00F479EF">
        <w:rPr>
          <w:rFonts w:eastAsiaTheme="minorHAnsi" w:cstheme="minorHAnsi"/>
          <w:kern w:val="0"/>
          <w:lang w:eastAsia="en-US"/>
          <w14:ligatures w14:val="none"/>
        </w:rPr>
        <w:lastRenderedPageBreak/>
        <w:t xml:space="preserve">communautés concernés. Pour évaluer correctement les conséquences d’un tel lien ou transfert de sens, une meilleure connaissance de l’UNESCO en tant que « marque » serait nécessaire. En général, les images de marque des organisations sont évaluées en termes de niveau de sensibilisation (c’est-à-dire, combien de personnes connaissent leur existence), de certaines associations fonctionnelles et symboliques (comme la culture et le patrimoine) et d’évaluation globale (positive, neutre ou négative). Peu de travaux ont été consacrés à l’UNESCO en tant que marque (Ryan et </w:t>
      </w:r>
      <w:proofErr w:type="spellStart"/>
      <w:r w:rsidRPr="00F479EF">
        <w:rPr>
          <w:rFonts w:eastAsiaTheme="minorHAnsi" w:cstheme="minorHAnsi"/>
          <w:kern w:val="0"/>
          <w:lang w:eastAsia="en-US"/>
          <w14:ligatures w14:val="none"/>
        </w:rPr>
        <w:t>Silvanto</w:t>
      </w:r>
      <w:proofErr w:type="spellEnd"/>
      <w:r w:rsidRPr="00F479EF">
        <w:rPr>
          <w:rFonts w:eastAsiaTheme="minorHAnsi" w:cstheme="minorHAnsi"/>
          <w:kern w:val="0"/>
          <w:lang w:eastAsia="en-US"/>
          <w14:ligatures w14:val="none"/>
        </w:rPr>
        <w:t xml:space="preserve"> 2011), mais il semble que la plupart des visiteurs des sites du patrimoine mondial de l’UNESCO aient une connaissance limitée de la marque UNESCO et une compréhension superficielle de ce qu’elle signifie, en dehors du fait qu’elle est généralement associée à la culture (Dewar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2012 ; King et </w:t>
      </w:r>
      <w:proofErr w:type="spellStart"/>
      <w:r w:rsidRPr="00F479EF">
        <w:rPr>
          <w:rFonts w:eastAsiaTheme="minorHAnsi" w:cstheme="minorHAnsi"/>
          <w:kern w:val="0"/>
          <w:lang w:eastAsia="en-US"/>
          <w14:ligatures w14:val="none"/>
        </w:rPr>
        <w:t>Halpenny</w:t>
      </w:r>
      <w:proofErr w:type="spellEnd"/>
      <w:r w:rsidRPr="00F479EF">
        <w:rPr>
          <w:rFonts w:eastAsiaTheme="minorHAnsi" w:cstheme="minorHAnsi"/>
          <w:kern w:val="0"/>
          <w:lang w:eastAsia="en-US"/>
          <w14:ligatures w14:val="none"/>
        </w:rPr>
        <w:t xml:space="preserve"> 2014). En ce qui concerne la Convention de 2003, il existe des preuves de confusion répétée avec la Convention de 1972. </w:t>
      </w:r>
    </w:p>
    <w:p w14:paraId="07F8D131" w14:textId="71DCBAA3"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La compréhension des tendances récentes en matière de recherche sur le marketing et les consommateurs peut contribuer à élargir le cadre conceptuel de la « sensibilisation » au patrimoine au-delà du simple partage d’informations. Les idées et les outils développés pour la recherche en marketing permettraient aussi d’améliorer les stratégies des communautés et d’autres parties prenantes dans des contextes commerciaux. Une meilleure connaissance des éléments du PCI dans la sphère internationale leur confère une plus grande valeur commerciale et les rend plus vulnérables au détournement sur le marché. Des recherches plus approfondies </w:t>
      </w:r>
      <w:r w:rsidR="00E86933">
        <w:rPr>
          <w:rFonts w:eastAsiaTheme="minorHAnsi" w:cstheme="minorHAnsi"/>
          <w:kern w:val="0"/>
          <w:lang w:eastAsia="en-US"/>
          <w14:ligatures w14:val="none"/>
        </w:rPr>
        <w:t xml:space="preserve">sont nécessaires </w:t>
      </w:r>
      <w:r w:rsidRPr="00F479EF">
        <w:rPr>
          <w:rFonts w:eastAsiaTheme="minorHAnsi" w:cstheme="minorHAnsi"/>
          <w:kern w:val="0"/>
          <w:lang w:eastAsia="en-US"/>
          <w14:ligatures w14:val="none"/>
        </w:rPr>
        <w:t xml:space="preserve">sur la façon dont l’utilisation du nom de l’UNESCO et des éléments inscrits au PCI (tant sur les listes internationales que les inventaires nationaux) modifient la perception qu’ont les consommateurs du PCI et des praticiens. Cela aiderait à comprendre certaines conséquences de la patrimonialisation et son impact sur la sensibilisation à et la probabilité d’un détournement dans un contexte commercial. </w:t>
      </w:r>
    </w:p>
    <w:p w14:paraId="6F7DE70A" w14:textId="77777777" w:rsidR="002C1F81" w:rsidRPr="00F479EF" w:rsidRDefault="002C1F81" w:rsidP="002C1F81">
      <w:pPr>
        <w:keepNext/>
        <w:spacing w:after="240" w:line="240" w:lineRule="auto"/>
        <w:ind w:left="720"/>
        <w:jc w:val="both"/>
        <w:outlineLvl w:val="2"/>
        <w:rPr>
          <w:rFonts w:eastAsiaTheme="minorHAnsi" w:cstheme="minorHAnsi"/>
          <w:b/>
          <w:bCs/>
          <w:kern w:val="0"/>
          <w:lang w:eastAsia="en-US"/>
          <w14:ligatures w14:val="none"/>
        </w:rPr>
      </w:pPr>
      <w:bookmarkStart w:id="12" w:name="_Toc137745030"/>
      <w:r w:rsidRPr="00F479EF">
        <w:rPr>
          <w:rFonts w:eastAsiaTheme="minorHAnsi" w:cstheme="minorHAnsi"/>
          <w:b/>
          <w:bCs/>
          <w:kern w:val="0"/>
          <w:lang w:eastAsia="en-US"/>
          <w14:ligatures w14:val="none"/>
        </w:rPr>
        <w:t>Perspectives des études juridiques</w:t>
      </w:r>
      <w:bookmarkEnd w:id="12"/>
    </w:p>
    <w:p w14:paraId="4C156B36"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La littérature relative aux cadres juridiques affectant l’utilisation commerciale du PCI concerne principalement les droits de l’homme, les droits </w:t>
      </w:r>
      <w:r w:rsidRPr="00F479EF">
        <w:rPr>
          <w:rFonts w:eastAsiaTheme="minorHAnsi" w:cstheme="minorHAnsi"/>
          <w:i/>
          <w:kern w:val="0"/>
          <w:lang w:eastAsia="en-US"/>
          <w14:ligatures w14:val="none"/>
        </w:rPr>
        <w:t>sui generis</w:t>
      </w:r>
      <w:r w:rsidRPr="00F479EF">
        <w:rPr>
          <w:rFonts w:eastAsiaTheme="minorHAnsi" w:cstheme="minorHAnsi"/>
          <w:kern w:val="0"/>
          <w:lang w:eastAsia="en-US"/>
          <w14:ligatures w14:val="none"/>
        </w:rPr>
        <w:t xml:space="preserve"> de certaines communautés (définies sur le plan culturel ou linguistique) d’accéder à leurs ressources culturelles ou d’en contrôler l’utilisation, et le droit de la propriété intellectuelle. </w:t>
      </w:r>
    </w:p>
    <w:p w14:paraId="6CBEC4C4"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Il existe déjà une littérature étendue sur les cadres juridiques de la sauvegarde du PCI à l’échelle mondiale (par exemple, </w:t>
      </w:r>
      <w:proofErr w:type="spellStart"/>
      <w:r w:rsidRPr="00F479EF">
        <w:rPr>
          <w:rFonts w:eastAsiaTheme="minorHAnsi" w:cstheme="minorHAnsi"/>
          <w:kern w:val="0"/>
          <w:lang w:eastAsia="en-US"/>
          <w14:ligatures w14:val="none"/>
        </w:rPr>
        <w:t>Lixinski</w:t>
      </w:r>
      <w:proofErr w:type="spellEnd"/>
      <w:r w:rsidRPr="00F479EF">
        <w:rPr>
          <w:rFonts w:eastAsiaTheme="minorHAnsi" w:cstheme="minorHAnsi"/>
          <w:kern w:val="0"/>
          <w:lang w:eastAsia="en-US"/>
          <w14:ligatures w14:val="none"/>
        </w:rPr>
        <w:t xml:space="preserve"> 2013 ; Blake 2015a ; Cornu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2020). Beaucoup d’études ont également été menées sur les droits culturels dans les cadres internationaux des droits de l’homme (par exemple, </w:t>
      </w:r>
      <w:proofErr w:type="spellStart"/>
      <w:r w:rsidRPr="00F479EF">
        <w:rPr>
          <w:rFonts w:eastAsiaTheme="minorHAnsi" w:cstheme="minorHAnsi"/>
          <w:kern w:val="0"/>
          <w:lang w:eastAsia="en-US"/>
          <w14:ligatures w14:val="none"/>
        </w:rPr>
        <w:t>Francioni</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Scheinin</w:t>
      </w:r>
      <w:proofErr w:type="spellEnd"/>
      <w:r w:rsidRPr="00F479EF">
        <w:rPr>
          <w:rFonts w:eastAsiaTheme="minorHAnsi" w:cstheme="minorHAnsi"/>
          <w:kern w:val="0"/>
          <w:lang w:eastAsia="en-US"/>
          <w14:ligatures w14:val="none"/>
        </w:rPr>
        <w:t xml:space="preserve"> 2008). L’une des lacunes majeures dans cette littérature (comme ailleurs dans le domaine du PCI) concerne le genre (Blake 2015b, 2018 ; </w:t>
      </w:r>
      <w:proofErr w:type="spellStart"/>
      <w:r w:rsidRPr="00F479EF">
        <w:rPr>
          <w:rFonts w:eastAsiaTheme="minorHAnsi" w:cstheme="minorHAnsi"/>
          <w:kern w:val="0"/>
          <w:lang w:eastAsia="en-US"/>
          <w14:ligatures w14:val="none"/>
        </w:rPr>
        <w:t>Xanthaki</w:t>
      </w:r>
      <w:proofErr w:type="spellEnd"/>
      <w:r w:rsidRPr="00F479EF">
        <w:rPr>
          <w:rFonts w:eastAsiaTheme="minorHAnsi" w:cstheme="minorHAnsi"/>
          <w:kern w:val="0"/>
          <w:lang w:eastAsia="en-US"/>
          <w14:ligatures w14:val="none"/>
        </w:rPr>
        <w:t xml:space="preserve"> 2019). Il faut concilier les droits culturels avec d’autres droits de l’homme, comme le droit à la non-discrimination, mais l’équité entre les sexes rentre parfois en conflit avec les traditions culturelles. La recherche de l’équité entre les sexes comporte une dimension économique qui mérite une attention particulière (</w:t>
      </w:r>
      <w:proofErr w:type="spellStart"/>
      <w:r w:rsidRPr="00F479EF">
        <w:rPr>
          <w:rFonts w:eastAsiaTheme="minorHAnsi" w:cstheme="minorHAnsi"/>
          <w:kern w:val="0"/>
          <w:lang w:eastAsia="en-US"/>
          <w14:ligatures w14:val="none"/>
        </w:rPr>
        <w:t>Janse</w:t>
      </w:r>
      <w:proofErr w:type="spellEnd"/>
      <w:r w:rsidRPr="00F479EF">
        <w:rPr>
          <w:rFonts w:eastAsiaTheme="minorHAnsi" w:cstheme="minorHAnsi"/>
          <w:kern w:val="0"/>
          <w:lang w:eastAsia="en-US"/>
          <w14:ligatures w14:val="none"/>
        </w:rPr>
        <w:t xml:space="preserve"> 2019). Abordant la question négligée du genre, </w:t>
      </w:r>
      <w:proofErr w:type="spellStart"/>
      <w:r w:rsidRPr="00F479EF">
        <w:rPr>
          <w:rFonts w:eastAsiaTheme="minorHAnsi" w:cstheme="minorHAnsi"/>
          <w:kern w:val="0"/>
          <w:lang w:eastAsia="en-US"/>
          <w14:ligatures w14:val="none"/>
        </w:rPr>
        <w:t>Whittington</w:t>
      </w:r>
      <w:proofErr w:type="spellEnd"/>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2021:</w:t>
      </w:r>
      <w:proofErr w:type="gramEnd"/>
      <w:r w:rsidRPr="00F479EF">
        <w:rPr>
          <w:rFonts w:eastAsiaTheme="minorHAnsi" w:cstheme="minorHAnsi"/>
          <w:kern w:val="0"/>
          <w:lang w:eastAsia="en-US"/>
          <w14:ligatures w14:val="none"/>
        </w:rPr>
        <w:t>290) déclare qu’il serait intéressant de traiter la culture comme une expression des forces sociales, économiques et politiques plus larges qui la constituent, plutôt que comme un domaine privilégié de l’identité collective auquel les principes et les normes de la société civile ne s’appliquent pas. Cette idée est d’autant plus pertinente lorsqu’on s’intéresse à l’usage des « droits culturels » comme outil politique.</w:t>
      </w:r>
    </w:p>
    <w:p w14:paraId="6D8F7E59"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De nombreux peuples et minorités autochtones (surtout en Amérique latine, mais aussi dans l’Arctique, en Australie et en Nouvelle-Zélande) bénéficient d’une protection juridique en matière de culture et de </w:t>
      </w:r>
      <w:r w:rsidRPr="00F479EF">
        <w:rPr>
          <w:rFonts w:eastAsiaTheme="minorHAnsi" w:cstheme="minorHAnsi"/>
          <w:kern w:val="0"/>
          <w:lang w:eastAsia="en-US"/>
          <w14:ligatures w14:val="none"/>
        </w:rPr>
        <w:lastRenderedPageBreak/>
        <w:t xml:space="preserve">langue, parfois parce qu’ils ont le droit à l’autodétermination, ou comme forme de réparation après une histoire marquée par la discrimination ou la persécution sur la base de la langue, de la religion, de l’appartenance ethnique ou d’autres caractéristiques.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et Weiss (</w:t>
      </w:r>
      <w:proofErr w:type="gramStart"/>
      <w:r w:rsidRPr="00F479EF">
        <w:rPr>
          <w:rFonts w:eastAsiaTheme="minorHAnsi" w:cstheme="minorHAnsi"/>
          <w:kern w:val="0"/>
          <w:lang w:eastAsia="en-US"/>
          <w14:ligatures w14:val="none"/>
        </w:rPr>
        <w:t>2015:</w:t>
      </w:r>
      <w:proofErr w:type="gramEnd"/>
      <w:r w:rsidRPr="00F479EF">
        <w:rPr>
          <w:rFonts w:eastAsiaTheme="minorHAnsi" w:cstheme="minorHAnsi"/>
          <w:kern w:val="0"/>
          <w:lang w:eastAsia="en-US"/>
          <w14:ligatures w14:val="none"/>
        </w:rPr>
        <w:t xml:space="preserve">58) affirment que les communautés amazoniennes, andines et sud-africaines ont astucieusement utilisé les droits culturels et les revendications patrimoniales pour dépasser la simple revendication du droit de jouir de leur culture. Les communautés amazoniennes ont par exemple réussi à « forger des entités territoriales autonomes dans lesquelles les responsabilités environnementales sont liées au soutien de la médecine traditionnelle, à une éducation bilingue et à un contrôle des sites archéologiques qui offre des possibilités significatives et durables de gestion ». Les discours fondés sur les droits sont donc très utiles pour garantir que les communautés exercent un plus grand contrôle sur les « biens » culturels, mais aussi sur le contexte de la production culturelle ou de la pratique du PCI. La Cour suprême de Norvège a récemment décrété que la construction de deux centrales éoliennes était illégale, car elle viole l’article 27 du Pacte international relatif aux droits civils et politiques (PIDCP, 1966) et le droit des éleveurs de rennes </w:t>
      </w:r>
      <w:proofErr w:type="spellStart"/>
      <w:r w:rsidRPr="00F479EF">
        <w:rPr>
          <w:rFonts w:eastAsiaTheme="minorHAnsi" w:cstheme="minorHAnsi"/>
          <w:kern w:val="0"/>
          <w:lang w:eastAsia="en-US"/>
          <w14:ligatures w14:val="none"/>
        </w:rPr>
        <w:t>samis</w:t>
      </w:r>
      <w:proofErr w:type="spellEnd"/>
      <w:r w:rsidRPr="00F479EF">
        <w:rPr>
          <w:rFonts w:eastAsiaTheme="minorHAnsi" w:cstheme="minorHAnsi"/>
          <w:kern w:val="0"/>
          <w:lang w:eastAsia="en-US"/>
          <w14:ligatures w14:val="none"/>
        </w:rPr>
        <w:t xml:space="preserve"> à poursuivre leur activité d’élevage. Elle a constaté que les droits des </w:t>
      </w:r>
      <w:proofErr w:type="spellStart"/>
      <w:r w:rsidRPr="00F479EF">
        <w:rPr>
          <w:rFonts w:eastAsiaTheme="minorHAnsi" w:cstheme="minorHAnsi"/>
          <w:kern w:val="0"/>
          <w:lang w:eastAsia="en-US"/>
          <w14:ligatures w14:val="none"/>
        </w:rPr>
        <w:t>Samis</w:t>
      </w:r>
      <w:proofErr w:type="spellEnd"/>
      <w:r w:rsidRPr="00F479EF">
        <w:rPr>
          <w:rFonts w:eastAsiaTheme="minorHAnsi" w:cstheme="minorHAnsi"/>
          <w:kern w:val="0"/>
          <w:lang w:eastAsia="en-US"/>
          <w14:ligatures w14:val="none"/>
        </w:rPr>
        <w:t xml:space="preserve"> à la jouissance culturelle avaient été violés à la suite de l’ingérence dans les moyens de subsistance traditionnels des Autochtones</w:t>
      </w:r>
      <w:r w:rsidRPr="00F479EF">
        <w:rPr>
          <w:rFonts w:eastAsiaTheme="minorHAnsi" w:cstheme="minorHAnsi"/>
          <w:kern w:val="0"/>
          <w:vertAlign w:val="superscript"/>
          <w:lang w:eastAsia="en-US"/>
          <w14:ligatures w14:val="none"/>
        </w:rPr>
        <w:footnoteReference w:id="22"/>
      </w:r>
      <w:r w:rsidRPr="00F479EF">
        <w:rPr>
          <w:rFonts w:eastAsiaTheme="minorHAnsi" w:cstheme="minorHAnsi"/>
          <w:kern w:val="0"/>
          <w:lang w:eastAsia="en-US"/>
          <w14:ligatures w14:val="none"/>
        </w:rPr>
        <w:t>.</w:t>
      </w:r>
    </w:p>
    <w:p w14:paraId="34EF12F2"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Dans tout contexte commercial, il peut évidemment être nécessaire de concilier différents types de droits. En ce qui concerne la médecine tibétaine, Madhavan (2017:253) identifie « (a) les droits des médecins tibétains traditionnels à pratiquer et à accéder aux plantes médicinales ; (b) l’accès aux médicaments par le public ; (c) les droits pour les innovations progressives ou les nouvelles formulations développées à partir d’une pratique à long terme ; (d) la protection contre les menaces de biopiraterie de la part des entreprises étrangères qui déposent des demandes de brevets ; et (e) les droits des parties prenantes lorsqu’elles partagent la tradition au-delà des frontières géographiques ». Elle souligne en outre la nécessité de prendre en compte les questions environnementales lorsque les plantes sont menacées. </w:t>
      </w:r>
    </w:p>
    <w:p w14:paraId="52B69612"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Bien que la Convention ne confère pas de nouveaux droits de propriété intellectuelle au PCI (article 3(b)), le droit de la propriété intellectuelle est mentionné dans les directives opérationnelles (DO 104), au même titre que les droits au respect de la vie privée, comme un outil possible pour les communautés s’engageant sur le marché. Les États ne protègent pas toujours les droits des communautés dans leur PCI, bien entendu, et ils entrent parfois en concurrence avec les communautés pour le contrôle du patrimoine (</w:t>
      </w:r>
      <w:proofErr w:type="spellStart"/>
      <w:r w:rsidRPr="00F479EF">
        <w:rPr>
          <w:rFonts w:eastAsiaTheme="minorHAnsi" w:cstheme="minorHAnsi"/>
          <w:kern w:val="0"/>
          <w:lang w:eastAsia="en-US"/>
          <w14:ligatures w14:val="none"/>
        </w:rPr>
        <w:t>Antons</w:t>
      </w:r>
      <w:proofErr w:type="spellEnd"/>
      <w:r w:rsidRPr="00F479EF">
        <w:rPr>
          <w:rFonts w:eastAsiaTheme="minorHAnsi" w:cstheme="minorHAnsi"/>
          <w:kern w:val="0"/>
          <w:lang w:eastAsia="en-US"/>
          <w14:ligatures w14:val="none"/>
        </w:rPr>
        <w:t xml:space="preserve"> 2009 ; Lingard et Martin 2016). Les négociations au sein de l’OMPI sur la protection internationale </w:t>
      </w:r>
      <w:r w:rsidRPr="00F479EF">
        <w:rPr>
          <w:rFonts w:eastAsiaTheme="minorHAnsi" w:cstheme="minorHAnsi"/>
          <w:i/>
          <w:kern w:val="0"/>
          <w:lang w:eastAsia="en-US"/>
          <w14:ligatures w14:val="none"/>
        </w:rPr>
        <w:t>sui generis</w:t>
      </w:r>
      <w:r w:rsidRPr="00F479EF">
        <w:rPr>
          <w:rFonts w:eastAsiaTheme="minorHAnsi" w:cstheme="minorHAnsi"/>
          <w:kern w:val="0"/>
          <w:lang w:eastAsia="en-US"/>
          <w14:ligatures w14:val="none"/>
        </w:rPr>
        <w:t xml:space="preserve"> des savoirs traditionnels et des expressions culturelles traditionnelles sont en cours depuis 2001 et s’orientent à présent vers des négociations diplomatiques sur les savoirs traditionnels associés aux ressources génétiques</w:t>
      </w:r>
      <w:r w:rsidRPr="00F479EF">
        <w:rPr>
          <w:rFonts w:eastAsiaTheme="minorHAnsi" w:cstheme="minorHAnsi"/>
          <w:kern w:val="0"/>
          <w:vertAlign w:val="superscript"/>
          <w:lang w:eastAsia="en-US"/>
          <w14:ligatures w14:val="none"/>
        </w:rPr>
        <w:footnoteReference w:id="23"/>
      </w:r>
      <w:r w:rsidRPr="00F479EF">
        <w:rPr>
          <w:rFonts w:eastAsiaTheme="minorHAnsi" w:cstheme="minorHAnsi"/>
          <w:kern w:val="0"/>
          <w:lang w:eastAsia="en-US"/>
          <w14:ligatures w14:val="none"/>
        </w:rPr>
        <w:t xml:space="preserve">. À l’échelle nationale, les lois </w:t>
      </w:r>
      <w:r w:rsidRPr="00F479EF">
        <w:rPr>
          <w:rFonts w:eastAsiaTheme="minorHAnsi" w:cstheme="minorHAnsi"/>
          <w:i/>
          <w:kern w:val="0"/>
          <w:lang w:eastAsia="en-US"/>
          <w14:ligatures w14:val="none"/>
        </w:rPr>
        <w:t>sui generis</w:t>
      </w:r>
      <w:r w:rsidRPr="00F479EF">
        <w:rPr>
          <w:rFonts w:eastAsiaTheme="minorHAnsi" w:cstheme="minorHAnsi"/>
          <w:kern w:val="0"/>
          <w:lang w:eastAsia="en-US"/>
          <w14:ligatures w14:val="none"/>
        </w:rPr>
        <w:t xml:space="preserve"> sur la propriété intellectuelle, telles que la loi kényane sur les savoirs traditionnels (2016), confèrent (du moins sur le papier) un degré important de contrôle aux communautés sur l’utilisation commerciale du PCI en étendant les droits de propriété intellectuelle conventionnels aux savoirs détenus par les communautés et transmis de génération en génération</w:t>
      </w:r>
      <w:r w:rsidRPr="00F479EF">
        <w:rPr>
          <w:rFonts w:eastAsiaTheme="minorHAnsi" w:cstheme="minorHAnsi"/>
          <w:kern w:val="0"/>
          <w:vertAlign w:val="superscript"/>
          <w:lang w:eastAsia="en-US"/>
          <w14:ligatures w14:val="none"/>
        </w:rPr>
        <w:footnoteReference w:id="24"/>
      </w:r>
      <w:r w:rsidRPr="00F479EF">
        <w:rPr>
          <w:rFonts w:eastAsiaTheme="minorHAnsi" w:cstheme="minorHAnsi"/>
          <w:kern w:val="0"/>
          <w:lang w:eastAsia="en-US"/>
          <w14:ligatures w14:val="none"/>
        </w:rPr>
        <w:t xml:space="preserve">. Les cadres de la propriété intellectuelle peuvent également être adaptés aux </w:t>
      </w:r>
      <w:r w:rsidRPr="00F479EF">
        <w:rPr>
          <w:rFonts w:eastAsiaTheme="minorHAnsi" w:cstheme="minorHAnsi"/>
          <w:kern w:val="0"/>
          <w:lang w:eastAsia="en-US"/>
          <w14:ligatures w14:val="none"/>
        </w:rPr>
        <w:lastRenderedPageBreak/>
        <w:t xml:space="preserve">normes communautaires d’autres manières. Par exemple, le système juridique indien reconnaît les innovations familiales dans la médecine traditionnelle (Madhavan </w:t>
      </w:r>
      <w:proofErr w:type="gramStart"/>
      <w:r w:rsidRPr="00F479EF">
        <w:rPr>
          <w:rFonts w:eastAsiaTheme="minorHAnsi" w:cstheme="minorHAnsi"/>
          <w:kern w:val="0"/>
          <w:lang w:eastAsia="en-US"/>
          <w14:ligatures w14:val="none"/>
        </w:rPr>
        <w:t>2017:</w:t>
      </w:r>
      <w:proofErr w:type="gramEnd"/>
      <w:r w:rsidRPr="00F479EF">
        <w:rPr>
          <w:rFonts w:eastAsiaTheme="minorHAnsi" w:cstheme="minorHAnsi"/>
          <w:kern w:val="0"/>
          <w:lang w:eastAsia="en-US"/>
          <w14:ligatures w14:val="none"/>
        </w:rPr>
        <w:t>249).</w:t>
      </w:r>
    </w:p>
    <w:p w14:paraId="41A8074E"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De nombreuses études ont démontré à la fois la valeur potentielle et les pièges possibles de l’utilisation du droit de la propriété intellectuelle pour « protéger » le PCI (</w:t>
      </w:r>
      <w:proofErr w:type="spellStart"/>
      <w:r w:rsidRPr="00F479EF">
        <w:rPr>
          <w:rFonts w:eastAsiaTheme="minorHAnsi" w:cstheme="minorHAnsi"/>
          <w:kern w:val="0"/>
          <w:lang w:eastAsia="en-US"/>
          <w14:ligatures w14:val="none"/>
        </w:rPr>
        <w:t>Janke</w:t>
      </w:r>
      <w:proofErr w:type="spellEnd"/>
      <w:r w:rsidRPr="00F479EF">
        <w:rPr>
          <w:rFonts w:eastAsiaTheme="minorHAnsi" w:cstheme="minorHAnsi"/>
          <w:kern w:val="0"/>
          <w:lang w:eastAsia="en-US"/>
          <w14:ligatures w14:val="none"/>
        </w:rPr>
        <w:t xml:space="preserve"> 2003, 2018 ; </w:t>
      </w:r>
      <w:proofErr w:type="spellStart"/>
      <w:r w:rsidRPr="00F479EF">
        <w:rPr>
          <w:rFonts w:eastAsiaTheme="minorHAnsi" w:cstheme="minorHAnsi"/>
          <w:kern w:val="0"/>
          <w:lang w:eastAsia="en-US"/>
          <w14:ligatures w14:val="none"/>
        </w:rPr>
        <w:t>Antons</w:t>
      </w:r>
      <w:proofErr w:type="spellEnd"/>
      <w:r w:rsidRPr="00F479EF">
        <w:rPr>
          <w:rFonts w:eastAsiaTheme="minorHAnsi" w:cstheme="minorHAnsi"/>
          <w:kern w:val="0"/>
          <w:lang w:eastAsia="en-US"/>
          <w14:ligatures w14:val="none"/>
        </w:rPr>
        <w:t xml:space="preserve"> 2009 sur la région Asie-Pacifique ; </w:t>
      </w:r>
      <w:proofErr w:type="spellStart"/>
      <w:r w:rsidRPr="00F479EF">
        <w:rPr>
          <w:rFonts w:eastAsiaTheme="minorHAnsi" w:cstheme="minorHAnsi"/>
          <w:kern w:val="0"/>
          <w:lang w:eastAsia="en-US"/>
          <w14:ligatures w14:val="none"/>
        </w:rPr>
        <w:t>Farran</w:t>
      </w:r>
      <w:proofErr w:type="spellEnd"/>
      <w:r w:rsidRPr="00F479EF">
        <w:rPr>
          <w:rFonts w:eastAsiaTheme="minorHAnsi" w:cstheme="minorHAnsi"/>
          <w:kern w:val="0"/>
          <w:lang w:eastAsia="en-US"/>
          <w14:ligatures w14:val="none"/>
        </w:rPr>
        <w:t xml:space="preserve"> 2014 sur les États insulaires du Pacifique ;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Aylwin</w:t>
      </w:r>
      <w:proofErr w:type="spellEnd"/>
      <w:r w:rsidRPr="00F479EF">
        <w:rPr>
          <w:rFonts w:eastAsiaTheme="minorHAnsi" w:cstheme="minorHAnsi"/>
          <w:kern w:val="0"/>
          <w:lang w:eastAsia="en-US"/>
          <w14:ligatures w14:val="none"/>
        </w:rPr>
        <w:t xml:space="preserve"> 2001 ; </w:t>
      </w:r>
      <w:proofErr w:type="spellStart"/>
      <w:r w:rsidRPr="00F479EF">
        <w:rPr>
          <w:rFonts w:eastAsiaTheme="minorHAnsi" w:cstheme="minorHAnsi"/>
          <w:kern w:val="0"/>
          <w:lang w:eastAsia="en-US"/>
          <w14:ligatures w14:val="none"/>
        </w:rPr>
        <w:t>Frankel</w:t>
      </w:r>
      <w:proofErr w:type="spellEnd"/>
      <w:r w:rsidRPr="00F479EF">
        <w:rPr>
          <w:rFonts w:eastAsiaTheme="minorHAnsi" w:cstheme="minorHAnsi"/>
          <w:kern w:val="0"/>
          <w:lang w:eastAsia="en-US"/>
          <w14:ligatures w14:val="none"/>
        </w:rPr>
        <w:t xml:space="preserve"> 2014 ; </w:t>
      </w:r>
      <w:proofErr w:type="spellStart"/>
      <w:r w:rsidRPr="00F479EF">
        <w:rPr>
          <w:rFonts w:eastAsiaTheme="minorHAnsi" w:cstheme="minorHAnsi"/>
          <w:kern w:val="0"/>
          <w:lang w:eastAsia="en-US"/>
          <w14:ligatures w14:val="none"/>
        </w:rPr>
        <w:t>Fredriksson</w:t>
      </w:r>
      <w:proofErr w:type="spellEnd"/>
      <w:r w:rsidRPr="00F479EF">
        <w:rPr>
          <w:rFonts w:eastAsiaTheme="minorHAnsi" w:cstheme="minorHAnsi"/>
          <w:kern w:val="0"/>
          <w:lang w:eastAsia="en-US"/>
          <w14:ligatures w14:val="none"/>
        </w:rPr>
        <w:t xml:space="preserve"> 2019 ; Le Gall 2014 sur la Trinité ; </w:t>
      </w:r>
      <w:proofErr w:type="spellStart"/>
      <w:r w:rsidRPr="00F479EF">
        <w:rPr>
          <w:rFonts w:eastAsiaTheme="minorHAnsi" w:cstheme="minorHAnsi"/>
          <w:kern w:val="0"/>
          <w:lang w:eastAsia="en-US"/>
          <w14:ligatures w14:val="none"/>
        </w:rPr>
        <w:t>Lixinski</w:t>
      </w:r>
      <w:proofErr w:type="spellEnd"/>
      <w:r w:rsidRPr="00F479EF">
        <w:rPr>
          <w:rFonts w:eastAsiaTheme="minorHAnsi" w:cstheme="minorHAnsi"/>
          <w:kern w:val="0"/>
          <w:lang w:eastAsia="en-US"/>
          <w14:ligatures w14:val="none"/>
        </w:rPr>
        <w:t xml:space="preserve"> 2020 ; </w:t>
      </w:r>
      <w:proofErr w:type="spellStart"/>
      <w:r w:rsidRPr="00F479EF">
        <w:rPr>
          <w:rFonts w:eastAsiaTheme="minorHAnsi" w:cstheme="minorHAnsi"/>
          <w:kern w:val="0"/>
          <w:lang w:eastAsia="en-US"/>
          <w14:ligatures w14:val="none"/>
        </w:rPr>
        <w:t>Musiza</w:t>
      </w:r>
      <w:proofErr w:type="spellEnd"/>
      <w:r w:rsidRPr="00F479EF">
        <w:rPr>
          <w:rFonts w:eastAsiaTheme="minorHAnsi" w:cstheme="minorHAnsi"/>
          <w:kern w:val="0"/>
          <w:lang w:eastAsia="en-US"/>
          <w14:ligatures w14:val="none"/>
        </w:rPr>
        <w:t xml:space="preserve"> 2022 sur la Zambie ; </w:t>
      </w:r>
      <w:proofErr w:type="spellStart"/>
      <w:r w:rsidRPr="00F479EF">
        <w:rPr>
          <w:rFonts w:eastAsiaTheme="minorHAnsi" w:cstheme="minorHAnsi"/>
          <w:kern w:val="0"/>
          <w:lang w:eastAsia="en-US"/>
          <w14:ligatures w14:val="none"/>
        </w:rPr>
        <w:t>Prażmowska</w:t>
      </w:r>
      <w:proofErr w:type="spellEnd"/>
      <w:r w:rsidRPr="00F479EF">
        <w:rPr>
          <w:rFonts w:eastAsiaTheme="minorHAnsi" w:cstheme="minorHAnsi"/>
          <w:kern w:val="0"/>
          <w:lang w:eastAsia="en-US"/>
          <w14:ligatures w14:val="none"/>
        </w:rPr>
        <w:t xml:space="preserve"> 2020 sur la sphère numérique). L’utilité du droit de la propriété intellectuelle et d’autres instruments dépend des outils utilisés, de la manière dont ils sont utilisés et du contexte. L’un des principaux problèmes sous-jacents, comme décrit par </w:t>
      </w:r>
      <w:proofErr w:type="spellStart"/>
      <w:r w:rsidRPr="00F479EF">
        <w:rPr>
          <w:rFonts w:eastAsiaTheme="minorHAnsi" w:cstheme="minorHAnsi"/>
          <w:kern w:val="0"/>
          <w:lang w:eastAsia="en-US"/>
          <w14:ligatures w14:val="none"/>
        </w:rPr>
        <w:t>Lixinski</w:t>
      </w:r>
      <w:proofErr w:type="spellEnd"/>
      <w:r w:rsidRPr="00F479EF">
        <w:rPr>
          <w:rFonts w:eastAsiaTheme="minorHAnsi" w:cstheme="minorHAnsi"/>
          <w:kern w:val="0"/>
          <w:lang w:eastAsia="en-US"/>
          <w14:ligatures w14:val="none"/>
        </w:rPr>
        <w:t xml:space="preserve"> (2018, 2020), est que le droit de la propriété intellectuelle fonctionne selon une logique différente de celle de la gestion du patrimoine culturel, protégeant les actifs privés de propriété intellectuelle dans un espace commercial par opposition aux ressources culturelles créées et détenues par la communauté dans un espace social. Mann (2022) explore la dissonance entre la loi sur le droit d’auteur (qui interdit le partage sans autorisation) et les normes culturelles (qui dépendent du partage pour l’acceptation de la communauté) dans la musique jamaïcaine. Bien qu’on distingue souvent les intérêts et droits commerciaux individuels des intérêts et droits communautaires traditionnels, la réalité est plus nuancée : Chapman et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(2020) ont par exemple remarqué que les communautés reconnaissent souvent des droits individuels et communautaires sur leurs ressources culturelles. </w:t>
      </w:r>
    </w:p>
    <w:p w14:paraId="662D2236"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Les cadres juridiques qui pourraient couvrir le domaine du PCI, en confirmer la propriété ou la gestion et prévoir des contraintes pour réguler son utilisation dans des contextes commerciaux ne sont pas toujours utilisés efficacement pour la sauvegarde par les communautés. </w:t>
      </w:r>
      <w:proofErr w:type="spellStart"/>
      <w:r w:rsidRPr="00F479EF">
        <w:rPr>
          <w:rFonts w:eastAsiaTheme="minorHAnsi" w:cstheme="minorHAnsi"/>
          <w:kern w:val="0"/>
          <w:lang w:eastAsia="en-US"/>
          <w14:ligatures w14:val="none"/>
        </w:rPr>
        <w:t>Nwauche</w:t>
      </w:r>
      <w:proofErr w:type="spellEnd"/>
      <w:r w:rsidRPr="00F479EF">
        <w:rPr>
          <w:rFonts w:eastAsiaTheme="minorHAnsi" w:cstheme="minorHAnsi"/>
          <w:kern w:val="0"/>
          <w:lang w:eastAsia="en-US"/>
          <w14:ligatures w14:val="none"/>
        </w:rPr>
        <w:t xml:space="preserve"> (2017) suggère par exemple que les lois existantes sur la propriété intellectuelle en Afrique du Sud, au Kenya, au Nigeria et au Ghana, où la loi sur le droit d’auteur couvre le folklore dans certains cas, n’ont pas été utilisées efficacement pour protéger les intérêts des communautés dans leur PCI. L’introduction d’une protection de la propriété intellectuelle peut également avoir des effets négatifs (involontaires) sur le contexte de la pratique du PCI. Dans les Alpes, la </w:t>
      </w:r>
      <w:proofErr w:type="spellStart"/>
      <w:r w:rsidRPr="00F479EF">
        <w:rPr>
          <w:rFonts w:eastAsiaTheme="minorHAnsi" w:cstheme="minorHAnsi"/>
          <w:kern w:val="0"/>
          <w:lang w:eastAsia="en-US"/>
          <w14:ligatures w14:val="none"/>
        </w:rPr>
        <w:t>bresaola</w:t>
      </w:r>
      <w:proofErr w:type="spellEnd"/>
      <w:r w:rsidRPr="00F479EF">
        <w:rPr>
          <w:rFonts w:eastAsiaTheme="minorHAnsi" w:cstheme="minorHAnsi"/>
          <w:kern w:val="0"/>
          <w:lang w:eastAsia="en-US"/>
          <w14:ligatures w14:val="none"/>
        </w:rPr>
        <w:t xml:space="preserve">, une viande de bœuf salée et séchée à l’air libre, était protégée par une indication géographique (IGP), mais le cahier des charges n’exigeait pas que la viande utilisée soit d’origine locale. Aujourd’hui, la majeure partie de la </w:t>
      </w:r>
      <w:proofErr w:type="spellStart"/>
      <w:r w:rsidRPr="00F479EF">
        <w:rPr>
          <w:rFonts w:eastAsiaTheme="minorHAnsi" w:cstheme="minorHAnsi"/>
          <w:kern w:val="0"/>
          <w:lang w:eastAsia="en-US"/>
          <w14:ligatures w14:val="none"/>
        </w:rPr>
        <w:t>bresaola</w:t>
      </w:r>
      <w:proofErr w:type="spellEnd"/>
      <w:r w:rsidRPr="00F479EF">
        <w:rPr>
          <w:rFonts w:eastAsiaTheme="minorHAnsi" w:cstheme="minorHAnsi"/>
          <w:kern w:val="0"/>
          <w:lang w:eastAsia="en-US"/>
          <w14:ligatures w14:val="none"/>
        </w:rPr>
        <w:t xml:space="preserve"> IGP est donc produite à partir de viande congelée importée d’autres pays. Heureusement, dans ce cas, les producteurs locaux ont pu réagir. À la suite d’un tollé en 2008, un producteur local a réussi à renforcer la production traditionnelle en proposant de la </w:t>
      </w:r>
      <w:proofErr w:type="spellStart"/>
      <w:r w:rsidRPr="00F479EF">
        <w:rPr>
          <w:rFonts w:eastAsiaTheme="minorHAnsi" w:cstheme="minorHAnsi"/>
          <w:kern w:val="0"/>
          <w:lang w:eastAsia="en-US"/>
          <w14:ligatures w14:val="none"/>
        </w:rPr>
        <w:t>bresaola</w:t>
      </w:r>
      <w:proofErr w:type="spellEnd"/>
      <w:r w:rsidRPr="00F479EF">
        <w:rPr>
          <w:rFonts w:eastAsiaTheme="minorHAnsi" w:cstheme="minorHAnsi"/>
          <w:kern w:val="0"/>
          <w:lang w:eastAsia="en-US"/>
          <w14:ligatures w14:val="none"/>
        </w:rPr>
        <w:t xml:space="preserve"> issue de races bovines élevées localement sous une nouvelle marque, « </w:t>
      </w:r>
      <w:proofErr w:type="spellStart"/>
      <w:r w:rsidRPr="00F479EF">
        <w:rPr>
          <w:rFonts w:eastAsiaTheme="minorHAnsi" w:cstheme="minorHAnsi"/>
          <w:kern w:val="0"/>
          <w:lang w:eastAsia="en-US"/>
          <w14:ligatures w14:val="none"/>
        </w:rPr>
        <w:t>Bresaola</w:t>
      </w:r>
      <w:proofErr w:type="spellEnd"/>
      <w:r w:rsidRPr="00F479EF">
        <w:rPr>
          <w:rFonts w:eastAsiaTheme="minorHAnsi" w:cstheme="minorHAnsi"/>
          <w:kern w:val="0"/>
          <w:lang w:eastAsia="en-US"/>
          <w14:ligatures w14:val="none"/>
        </w:rPr>
        <w:t xml:space="preserve"> L’</w:t>
      </w:r>
      <w:proofErr w:type="spellStart"/>
      <w:r w:rsidRPr="00F479EF">
        <w:rPr>
          <w:rFonts w:eastAsiaTheme="minorHAnsi" w:cstheme="minorHAnsi"/>
          <w:kern w:val="0"/>
          <w:lang w:eastAsia="en-US"/>
          <w14:ligatures w14:val="none"/>
        </w:rPr>
        <w:t>Originaria</w:t>
      </w:r>
      <w:proofErr w:type="spellEnd"/>
      <w:r w:rsidRPr="00F479EF">
        <w:rPr>
          <w:rFonts w:eastAsiaTheme="minorHAnsi" w:cstheme="minorHAnsi"/>
          <w:kern w:val="0"/>
          <w:lang w:eastAsia="en-US"/>
          <w14:ligatures w14:val="none"/>
        </w:rPr>
        <w:t> » (</w:t>
      </w:r>
      <w:proofErr w:type="spellStart"/>
      <w:r w:rsidRPr="00F479EF">
        <w:rPr>
          <w:rFonts w:eastAsiaTheme="minorHAnsi" w:cstheme="minorHAnsi"/>
          <w:kern w:val="0"/>
          <w:lang w:eastAsia="en-US"/>
          <w14:ligatures w14:val="none"/>
        </w:rPr>
        <w:t>Rinallo</w:t>
      </w:r>
      <w:proofErr w:type="spellEnd"/>
      <w:r w:rsidRPr="00F479EF">
        <w:rPr>
          <w:rFonts w:eastAsiaTheme="minorHAnsi" w:cstheme="minorHAnsi"/>
          <w:kern w:val="0"/>
          <w:lang w:eastAsia="en-US"/>
          <w14:ligatures w14:val="none"/>
        </w:rPr>
        <w:t xml:space="preserve"> 2017). </w:t>
      </w:r>
    </w:p>
    <w:p w14:paraId="6C865A84"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Au Pérou, l’enregistrement d’une marque de « dénomination d’origine » pour la production de céramique « </w:t>
      </w:r>
      <w:proofErr w:type="spellStart"/>
      <w:r w:rsidRPr="00F479EF">
        <w:rPr>
          <w:rFonts w:eastAsiaTheme="minorHAnsi" w:cstheme="minorHAnsi"/>
          <w:kern w:val="0"/>
          <w:lang w:eastAsia="en-US"/>
          <w14:ligatures w14:val="none"/>
        </w:rPr>
        <w:t>Chulucanas</w:t>
      </w:r>
      <w:proofErr w:type="spellEnd"/>
      <w:r w:rsidRPr="00F479EF">
        <w:rPr>
          <w:rFonts w:eastAsiaTheme="minorHAnsi" w:cstheme="minorHAnsi"/>
          <w:kern w:val="0"/>
          <w:lang w:eastAsia="en-US"/>
          <w14:ligatures w14:val="none"/>
        </w:rPr>
        <w:t xml:space="preserve"> » a conduit involontairement à une plus grande égalité des revenus, à l’abandon des méthodes de production traditionnelles et à des ateliers internationaux collectifs en raison de la demande de volumes d’exportation plus importants et de nouvelles normes imposées de l’extérieur (Chan dans </w:t>
      </w:r>
      <w:proofErr w:type="spellStart"/>
      <w:r w:rsidRPr="00F479EF">
        <w:rPr>
          <w:rFonts w:eastAsiaTheme="minorHAnsi" w:cstheme="minorHAnsi"/>
          <w:kern w:val="0"/>
          <w:lang w:eastAsia="en-US"/>
          <w14:ligatures w14:val="none"/>
        </w:rPr>
        <w:t>Aylwin</w:t>
      </w:r>
      <w:proofErr w:type="spellEnd"/>
      <w:r w:rsidRPr="00F479EF">
        <w:rPr>
          <w:rFonts w:eastAsiaTheme="minorHAnsi" w:cstheme="minorHAnsi"/>
          <w:kern w:val="0"/>
          <w:lang w:eastAsia="en-US"/>
          <w14:ligatures w14:val="none"/>
        </w:rPr>
        <w:t xml:space="preserve"> and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2013). Ce cas souligne l’importance de la participation de la communauté à l’élaboration des cahiers des charges des indications géographiques, qui sont souvent centrés sur les intérêts des grands industriels. Les coopératives communautaires ont ainsi aidé les producteurs de cacao en Bolivie à faire pression sur les acheteurs commerciaux pour qu’ils reconnaissent leurs droits en tant que fournisseurs, ainsi que leur identité culturelle (</w:t>
      </w:r>
      <w:proofErr w:type="spellStart"/>
      <w:r w:rsidRPr="00F479EF">
        <w:rPr>
          <w:rFonts w:eastAsiaTheme="minorHAnsi" w:cstheme="minorHAnsi"/>
          <w:kern w:val="0"/>
          <w:lang w:eastAsia="en-US"/>
          <w14:ligatures w14:val="none"/>
        </w:rPr>
        <w:t>Aylwin</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2013).</w:t>
      </w:r>
    </w:p>
    <w:p w14:paraId="794B5F2E"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lastRenderedPageBreak/>
        <w:t>La protection de la propriété intellectuelle est pertinente pour l’économie de la sauvegarde du PCI dans le contexte de la restitution (du retour) du patrimoine matériel, qui s’est accélérée ces dernières années après le rapport Sarr-Savoy (Sarr et Savoy 2018). Certains musées européens ont restitué des objets de valeur tels que les bronzes du Bénin, provenant de la cour de l’oba à Benin City, qui fait aujourd’hui partie du Nigeria</w:t>
      </w:r>
      <w:r w:rsidRPr="00F479EF">
        <w:rPr>
          <w:rFonts w:eastAsiaTheme="minorHAnsi" w:cstheme="minorHAnsi"/>
          <w:kern w:val="0"/>
          <w:vertAlign w:val="superscript"/>
          <w:lang w:eastAsia="en-US"/>
          <w14:ligatures w14:val="none"/>
        </w:rPr>
        <w:footnoteReference w:id="25"/>
      </w:r>
      <w:r w:rsidRPr="00F479EF">
        <w:rPr>
          <w:rFonts w:eastAsiaTheme="minorHAnsi" w:cstheme="minorHAnsi"/>
          <w:kern w:val="0"/>
          <w:lang w:eastAsia="en-US"/>
          <w14:ligatures w14:val="none"/>
        </w:rPr>
        <w:t>. Cependant, comme mentionné ci-dessus, les droits sur les données et les numérisations de ces objets, dont le droit de les utiliser à des fins commerciales, appartiennent souvent aux musées plutôt qu’à la communauté (</w:t>
      </w:r>
      <w:proofErr w:type="spellStart"/>
      <w:r w:rsidRPr="00F479EF">
        <w:rPr>
          <w:rFonts w:eastAsiaTheme="minorHAnsi" w:cstheme="minorHAnsi"/>
          <w:kern w:val="0"/>
          <w:lang w:eastAsia="en-US"/>
          <w14:ligatures w14:val="none"/>
        </w:rPr>
        <w:t>Pavis</w:t>
      </w:r>
      <w:proofErr w:type="spellEnd"/>
      <w:r w:rsidRPr="00F479EF">
        <w:rPr>
          <w:rFonts w:eastAsiaTheme="minorHAnsi" w:cstheme="minorHAnsi"/>
          <w:kern w:val="0"/>
          <w:lang w:eastAsia="en-US"/>
          <w14:ligatures w14:val="none"/>
        </w:rPr>
        <w:t xml:space="preserve"> et Wallace 2019). La fonte du bronze est toujours pratiquée au Bénin de nos jours, principalement par les fondeurs </w:t>
      </w:r>
      <w:proofErr w:type="spellStart"/>
      <w:r w:rsidRPr="00F479EF">
        <w:rPr>
          <w:rFonts w:eastAsiaTheme="minorHAnsi" w:cstheme="minorHAnsi"/>
          <w:kern w:val="0"/>
          <w:lang w:eastAsia="en-US"/>
          <w14:ligatures w14:val="none"/>
        </w:rPr>
        <w:t>Igun</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Olotan</w:t>
      </w:r>
      <w:proofErr w:type="spellEnd"/>
      <w:r w:rsidRPr="00F479EF">
        <w:rPr>
          <w:rFonts w:eastAsiaTheme="minorHAnsi" w:cstheme="minorHAnsi"/>
          <w:kern w:val="0"/>
          <w:lang w:eastAsia="en-US"/>
          <w14:ligatures w14:val="none"/>
        </w:rPr>
        <w:t xml:space="preserve"> (</w:t>
      </w:r>
      <w:proofErr w:type="spellStart"/>
      <w:r w:rsidRPr="00F479EF">
        <w:rPr>
          <w:rFonts w:eastAsiaTheme="minorHAnsi" w:cstheme="minorHAnsi"/>
          <w:kern w:val="0"/>
          <w:lang w:eastAsia="en-US"/>
          <w14:ligatures w14:val="none"/>
        </w:rPr>
        <w:t>Ifeta</w:t>
      </w:r>
      <w:proofErr w:type="spellEnd"/>
      <w:r w:rsidRPr="00F479EF">
        <w:rPr>
          <w:rFonts w:eastAsiaTheme="minorHAnsi" w:cstheme="minorHAnsi"/>
          <w:kern w:val="0"/>
          <w:lang w:eastAsia="en-US"/>
          <w14:ligatures w14:val="none"/>
        </w:rPr>
        <w:t xml:space="preserve"> 2016), et les moulages continuent d’être utilisés à des fins rituelles et décoratives (Gore 1997). Les œuvres contemporaines en laiton utilisant la méthode traditionnelle de la « cire perdue » peuvent concurrencer sur le marché les répliques des bronzes historiques du Bénin actuellement conservés dans les collections des musées du monde entier. Par conséquent, la restitution des droits de propriété intellectuelle et des données associées aux objets tangibles est tout aussi importante pour la sauvegarde du PCI et la viabilité économique continue de l’artisanat associé que la restitution des objets eux-mêmes.</w:t>
      </w:r>
    </w:p>
    <w:p w14:paraId="5B8F50D5"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Pour résumer, la recherche suggère qu’il faut envisager un large éventail d’outils juridiques pour soutenir les droits et les intérêts des communautés dans le contrôle de l’utilisation de leur PCI dans des contextes commerciaux, et étudier l’impact de l’utilisation de ces outils dans le cadre des stratégies de sauvegarde.</w:t>
      </w:r>
    </w:p>
    <w:p w14:paraId="241CF597" w14:textId="77777777" w:rsidR="002C1F81" w:rsidRPr="00F479EF" w:rsidRDefault="002C1F81" w:rsidP="002C1F81">
      <w:pPr>
        <w:keepNext/>
        <w:spacing w:after="240" w:line="240" w:lineRule="auto"/>
        <w:ind w:left="720"/>
        <w:jc w:val="both"/>
        <w:outlineLvl w:val="2"/>
        <w:rPr>
          <w:rFonts w:eastAsiaTheme="minorHAnsi" w:cstheme="minorHAnsi"/>
          <w:b/>
          <w:bCs/>
          <w:kern w:val="0"/>
          <w:lang w:eastAsia="en-US"/>
          <w14:ligatures w14:val="none"/>
        </w:rPr>
      </w:pPr>
      <w:bookmarkStart w:id="13" w:name="_Toc137745031"/>
      <w:r w:rsidRPr="00F479EF">
        <w:rPr>
          <w:rFonts w:eastAsiaTheme="minorHAnsi" w:cstheme="minorHAnsi"/>
          <w:b/>
          <w:bCs/>
          <w:kern w:val="0"/>
          <w:lang w:eastAsia="en-US"/>
          <w14:ligatures w14:val="none"/>
        </w:rPr>
        <w:t>Perspectives de l’étude et de la promotion du tourisme</w:t>
      </w:r>
      <w:bookmarkEnd w:id="13"/>
    </w:p>
    <w:p w14:paraId="06065F27"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Un travail considérable a été réalisé au sein de l’OMT et de l’UNESCO sur le tourisme et la culture. S’appuyant sur la Charte du tourisme durable de 1995</w:t>
      </w:r>
      <w:r w:rsidRPr="00F479EF">
        <w:rPr>
          <w:rFonts w:eastAsiaTheme="minorHAnsi" w:cstheme="minorHAnsi"/>
          <w:kern w:val="0"/>
          <w:vertAlign w:val="superscript"/>
          <w:lang w:eastAsia="en-US"/>
          <w14:ligatures w14:val="none"/>
        </w:rPr>
        <w:footnoteReference w:id="26"/>
      </w:r>
      <w:r w:rsidRPr="00F479EF">
        <w:rPr>
          <w:rFonts w:eastAsiaTheme="minorHAnsi" w:cstheme="minorHAnsi"/>
          <w:kern w:val="0"/>
          <w:lang w:eastAsia="en-US"/>
          <w14:ligatures w14:val="none"/>
        </w:rPr>
        <w:t>, ces organisations ont organisé une série de conférences mondiales sur le sujet, qui ont abouti à l’élaboration des déclarations de Sim Reap (2015)</w:t>
      </w:r>
      <w:r w:rsidRPr="00F479EF">
        <w:rPr>
          <w:rFonts w:eastAsiaTheme="minorHAnsi" w:cstheme="minorHAnsi"/>
          <w:kern w:val="0"/>
          <w:vertAlign w:val="superscript"/>
          <w:lang w:eastAsia="en-US"/>
          <w14:ligatures w14:val="none"/>
        </w:rPr>
        <w:footnoteReference w:id="27"/>
      </w:r>
      <w:r w:rsidRPr="00F479EF">
        <w:rPr>
          <w:rFonts w:eastAsiaTheme="minorHAnsi" w:cstheme="minorHAnsi"/>
          <w:kern w:val="0"/>
          <w:lang w:eastAsia="en-US"/>
          <w14:ligatures w14:val="none"/>
        </w:rPr>
        <w:t>, de Mascate (2017)</w:t>
      </w:r>
      <w:r w:rsidRPr="00F479EF">
        <w:rPr>
          <w:rFonts w:eastAsiaTheme="minorHAnsi" w:cstheme="minorHAnsi"/>
          <w:kern w:val="0"/>
          <w:vertAlign w:val="superscript"/>
          <w:lang w:eastAsia="en-US"/>
          <w14:ligatures w14:val="none"/>
        </w:rPr>
        <w:footnoteReference w:id="28"/>
      </w:r>
      <w:r w:rsidRPr="00F479EF">
        <w:rPr>
          <w:rFonts w:eastAsiaTheme="minorHAnsi" w:cstheme="minorHAnsi"/>
          <w:kern w:val="0"/>
          <w:lang w:eastAsia="en-US"/>
          <w14:ligatures w14:val="none"/>
        </w:rPr>
        <w:t>, d’Istanbul (2018)</w:t>
      </w:r>
      <w:r w:rsidRPr="00F479EF">
        <w:rPr>
          <w:rFonts w:eastAsiaTheme="minorHAnsi" w:cstheme="minorHAnsi"/>
          <w:kern w:val="0"/>
          <w:vertAlign w:val="superscript"/>
          <w:lang w:eastAsia="en-US"/>
          <w14:ligatures w14:val="none"/>
        </w:rPr>
        <w:footnoteReference w:id="29"/>
      </w:r>
      <w:r w:rsidRPr="00F479EF">
        <w:rPr>
          <w:rFonts w:eastAsiaTheme="minorHAnsi" w:cstheme="minorHAnsi"/>
          <w:kern w:val="0"/>
          <w:lang w:eastAsia="en-US"/>
          <w14:ligatures w14:val="none"/>
        </w:rPr>
        <w:t xml:space="preserve"> et de Kyoto (2019)</w:t>
      </w:r>
      <w:r w:rsidRPr="00F479EF">
        <w:rPr>
          <w:rFonts w:eastAsiaTheme="minorHAnsi" w:cstheme="minorHAnsi"/>
          <w:kern w:val="0"/>
          <w:vertAlign w:val="superscript"/>
          <w:lang w:eastAsia="en-US"/>
          <w14:ligatures w14:val="none"/>
        </w:rPr>
        <w:footnoteReference w:id="30"/>
      </w:r>
      <w:r w:rsidRPr="00F479EF">
        <w:rPr>
          <w:rFonts w:eastAsiaTheme="minorHAnsi" w:cstheme="minorHAnsi"/>
          <w:kern w:val="0"/>
          <w:lang w:eastAsia="en-US"/>
          <w14:ligatures w14:val="none"/>
        </w:rPr>
        <w:t>, toutes largement conformes aux Principes éthiques de la Convention. En complément de ses travaux sur l’éthique du tourisme</w:t>
      </w:r>
      <w:r w:rsidRPr="00F479EF">
        <w:rPr>
          <w:rFonts w:eastAsiaTheme="minorHAnsi" w:cstheme="minorHAnsi"/>
          <w:kern w:val="0"/>
          <w:vertAlign w:val="superscript"/>
          <w:lang w:eastAsia="en-US"/>
          <w14:ligatures w14:val="none"/>
        </w:rPr>
        <w:footnoteReference w:id="31"/>
      </w:r>
      <w:r w:rsidRPr="00F479EF">
        <w:rPr>
          <w:rFonts w:eastAsiaTheme="minorHAnsi" w:cstheme="minorHAnsi"/>
          <w:kern w:val="0"/>
          <w:lang w:eastAsia="en-US"/>
          <w14:ligatures w14:val="none"/>
        </w:rPr>
        <w:t>, l’OMT a élaboré des lignes directrices sur le PCI et le tourisme dès 2012</w:t>
      </w:r>
      <w:r w:rsidRPr="00F479EF">
        <w:rPr>
          <w:rFonts w:eastAsiaTheme="minorHAnsi" w:cstheme="minorHAnsi"/>
          <w:kern w:val="0"/>
          <w:vertAlign w:val="superscript"/>
          <w:lang w:eastAsia="en-US"/>
          <w14:ligatures w14:val="none"/>
        </w:rPr>
        <w:footnoteReference w:id="32"/>
      </w:r>
      <w:r w:rsidRPr="00F479EF">
        <w:rPr>
          <w:rFonts w:eastAsiaTheme="minorHAnsi" w:cstheme="minorHAnsi"/>
          <w:kern w:val="0"/>
          <w:lang w:eastAsia="en-US"/>
          <w14:ligatures w14:val="none"/>
        </w:rPr>
        <w:t>. Récemment, l’OMT a en outre produit une étude sur le renforcement de la compétitivité du tourisme africain</w:t>
      </w:r>
      <w:r w:rsidRPr="00F479EF">
        <w:rPr>
          <w:rFonts w:eastAsiaTheme="minorHAnsi" w:cstheme="minorHAnsi"/>
          <w:kern w:val="0"/>
          <w:vertAlign w:val="superscript"/>
          <w:lang w:eastAsia="en-US"/>
          <w14:ligatures w14:val="none"/>
        </w:rPr>
        <w:footnoteReference w:id="33"/>
      </w:r>
      <w:r w:rsidRPr="00F479EF">
        <w:rPr>
          <w:rFonts w:eastAsiaTheme="minorHAnsi" w:cstheme="minorHAnsi"/>
          <w:kern w:val="0"/>
          <w:lang w:eastAsia="en-US"/>
          <w14:ligatures w14:val="none"/>
        </w:rPr>
        <w:t>, ainsi qu’un guide de redressement du tourisme culturel dans le contexte du COVID-19, avec des rapports consacrés spécifiquement aux femmes et aux communautés autochtones</w:t>
      </w:r>
      <w:r w:rsidRPr="00F479EF">
        <w:rPr>
          <w:rFonts w:eastAsiaTheme="minorHAnsi" w:cstheme="minorHAnsi"/>
          <w:kern w:val="0"/>
          <w:vertAlign w:val="superscript"/>
          <w:lang w:eastAsia="en-US"/>
          <w14:ligatures w14:val="none"/>
        </w:rPr>
        <w:footnoteReference w:id="34"/>
      </w:r>
      <w:r w:rsidRPr="00F479EF">
        <w:rPr>
          <w:rFonts w:eastAsiaTheme="minorHAnsi" w:cstheme="minorHAnsi"/>
          <w:kern w:val="0"/>
          <w:lang w:eastAsia="en-US"/>
          <w14:ligatures w14:val="none"/>
        </w:rPr>
        <w:t>. Ce travail est venu compléter les initiatives d’ONG telles que l’Alliance mondiale du tourisme autochtone (WINTA)</w:t>
      </w:r>
      <w:r w:rsidRPr="00F479EF">
        <w:rPr>
          <w:rFonts w:eastAsiaTheme="minorHAnsi" w:cstheme="minorHAnsi"/>
          <w:kern w:val="0"/>
          <w:vertAlign w:val="superscript"/>
          <w:lang w:eastAsia="en-US"/>
          <w14:ligatures w14:val="none"/>
        </w:rPr>
        <w:footnoteReference w:id="35"/>
      </w:r>
      <w:r w:rsidRPr="00F479EF">
        <w:rPr>
          <w:rFonts w:eastAsiaTheme="minorHAnsi" w:cstheme="minorHAnsi"/>
          <w:kern w:val="0"/>
          <w:lang w:eastAsia="en-US"/>
          <w14:ligatures w14:val="none"/>
        </w:rPr>
        <w:t xml:space="preserve">. Cette organisation prend la forme d’un réseau mondial de peuples et d’organisations autochtones et non autochtones, dirigé par des autochtones, visant à donner une expression concrète à la Déclaration des Nations Unies sur les droits des peuples </w:t>
      </w:r>
      <w:r w:rsidRPr="00F479EF">
        <w:rPr>
          <w:rFonts w:eastAsiaTheme="minorHAnsi" w:cstheme="minorHAnsi"/>
          <w:kern w:val="0"/>
          <w:lang w:eastAsia="en-US"/>
          <w14:ligatures w14:val="none"/>
        </w:rPr>
        <w:lastRenderedPageBreak/>
        <w:t xml:space="preserve">autochtones, par le biais du tourisme. Ils suivent les principes de la déclaration de </w:t>
      </w:r>
      <w:proofErr w:type="spellStart"/>
      <w:r w:rsidRPr="00F479EF">
        <w:rPr>
          <w:rFonts w:eastAsiaTheme="minorHAnsi" w:cstheme="minorHAnsi"/>
          <w:kern w:val="0"/>
          <w:lang w:eastAsia="en-US"/>
          <w14:ligatures w14:val="none"/>
        </w:rPr>
        <w:t>Larrakia</w:t>
      </w:r>
      <w:proofErr w:type="spellEnd"/>
      <w:r w:rsidRPr="00F479EF">
        <w:rPr>
          <w:rFonts w:eastAsiaTheme="minorHAnsi" w:cstheme="minorHAnsi"/>
          <w:kern w:val="0"/>
          <w:lang w:eastAsia="en-US"/>
          <w14:ligatures w14:val="none"/>
        </w:rPr>
        <w:t>, qui incluent la consultation des parties prenantes, et disposent d’un code de déontologie et de lignes directrices en matière de bonnes pratiques</w:t>
      </w:r>
      <w:r w:rsidRPr="00F479EF">
        <w:rPr>
          <w:rFonts w:eastAsiaTheme="minorHAnsi" w:cstheme="minorHAnsi"/>
          <w:kern w:val="0"/>
          <w:vertAlign w:val="superscript"/>
          <w:lang w:eastAsia="en-US"/>
          <w14:ligatures w14:val="none"/>
        </w:rPr>
        <w:footnoteReference w:id="36"/>
      </w:r>
      <w:r w:rsidRPr="00F479EF">
        <w:rPr>
          <w:rFonts w:eastAsiaTheme="minorHAnsi" w:cstheme="minorHAnsi"/>
          <w:kern w:val="0"/>
          <w:lang w:eastAsia="en-US"/>
          <w14:ligatures w14:val="none"/>
        </w:rPr>
        <w:t>. Le Forum des ONG du PCI a lancé un dossier web sur le PCI et le tourisme durable en 2022, qui contient des principes et des lignes directrices, des études de cas et des exemples</w:t>
      </w:r>
      <w:r w:rsidRPr="00F479EF">
        <w:rPr>
          <w:rFonts w:eastAsiaTheme="minorHAnsi" w:cstheme="minorHAnsi"/>
          <w:kern w:val="0"/>
          <w:vertAlign w:val="superscript"/>
          <w:lang w:eastAsia="en-US"/>
          <w14:ligatures w14:val="none"/>
        </w:rPr>
        <w:footnoteReference w:id="37"/>
      </w:r>
      <w:r w:rsidRPr="00F479EF">
        <w:rPr>
          <w:rFonts w:eastAsiaTheme="minorHAnsi" w:cstheme="minorHAnsi"/>
          <w:kern w:val="0"/>
          <w:lang w:eastAsia="en-US"/>
          <w14:ligatures w14:val="none"/>
        </w:rPr>
        <w:t>. Au sein de l’UNESCO, des travaux plus pointus ont été réalisés sur le patrimoine et le tourisme. Le Centre du patrimoine mondial a produit une boîte à outils sur le tourisme durable</w:t>
      </w:r>
      <w:r w:rsidRPr="00F479EF">
        <w:rPr>
          <w:rFonts w:eastAsiaTheme="minorHAnsi" w:cstheme="minorHAnsi"/>
          <w:kern w:val="0"/>
          <w:vertAlign w:val="superscript"/>
          <w:lang w:eastAsia="en-US"/>
          <w14:ligatures w14:val="none"/>
        </w:rPr>
        <w:footnoteReference w:id="38"/>
      </w:r>
      <w:r w:rsidRPr="00F479EF">
        <w:rPr>
          <w:rFonts w:eastAsiaTheme="minorHAnsi" w:cstheme="minorHAnsi"/>
          <w:kern w:val="0"/>
          <w:lang w:eastAsia="en-US"/>
          <w14:ligatures w14:val="none"/>
        </w:rPr>
        <w:t xml:space="preserve">. La </w:t>
      </w:r>
      <w:r w:rsidRPr="00F479EF">
        <w:rPr>
          <w:rFonts w:eastAsiaTheme="minorHAnsi" w:cstheme="minorHAnsi"/>
          <w:kern w:val="0"/>
          <w:sz w:val="23"/>
          <w:lang w:eastAsia="en-US"/>
          <w14:ligatures w14:val="none"/>
        </w:rPr>
        <w:t>Réunion régionale de l’UNESCO-EIIHCAP</w:t>
      </w:r>
      <w:r w:rsidRPr="00F479EF">
        <w:rPr>
          <w:rFonts w:eastAsiaTheme="minorHAnsi" w:cstheme="minorHAnsi"/>
          <w:kern w:val="0"/>
          <w:lang w:eastAsia="en-US"/>
          <w14:ligatures w14:val="none"/>
        </w:rPr>
        <w:t xml:space="preserve"> </w:t>
      </w:r>
      <w:r w:rsidRPr="00F479EF">
        <w:rPr>
          <w:rFonts w:eastAsiaTheme="minorHAnsi" w:cstheme="minorHAnsi"/>
          <w:kern w:val="0"/>
          <w:sz w:val="23"/>
          <w:lang w:eastAsia="en-US"/>
          <w14:ligatures w14:val="none"/>
        </w:rPr>
        <w:t xml:space="preserve">(2008) </w:t>
      </w:r>
      <w:r w:rsidRPr="00F479EF">
        <w:rPr>
          <w:rFonts w:eastAsiaTheme="minorHAnsi" w:cstheme="minorHAnsi"/>
          <w:kern w:val="0"/>
          <w:lang w:eastAsia="en-US"/>
          <w14:ligatures w14:val="none"/>
        </w:rPr>
        <w:t>a exploré le thème « Sauvegarde du patrimoine immatériel et tourisme culturel durable : opportunités et défis »</w:t>
      </w:r>
      <w:r w:rsidRPr="00F479EF">
        <w:rPr>
          <w:rFonts w:eastAsiaTheme="minorHAnsi" w:cstheme="minorHAnsi"/>
          <w:kern w:val="0"/>
          <w:sz w:val="23"/>
          <w:lang w:eastAsia="en-US"/>
          <w14:ligatures w14:val="none"/>
        </w:rPr>
        <w:t>.</w:t>
      </w:r>
      <w:r w:rsidRPr="00F479EF">
        <w:rPr>
          <w:rFonts w:eastAsiaTheme="minorHAnsi" w:cstheme="minorHAnsi"/>
          <w:kern w:val="0"/>
          <w:lang w:eastAsia="en-US"/>
          <w14:ligatures w14:val="none"/>
        </w:rPr>
        <w:t xml:space="preserve"> </w:t>
      </w:r>
    </w:p>
    <w:p w14:paraId="3D7CFE9C"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De nombreux articles et études se sont penchés sur le patrimoine matériel et le tourisme, notamment dans les milieux urbains (par exemple, </w:t>
      </w:r>
      <w:proofErr w:type="spellStart"/>
      <w:r w:rsidRPr="00F479EF">
        <w:rPr>
          <w:rFonts w:eastAsiaTheme="minorHAnsi" w:cstheme="minorHAnsi"/>
          <w:kern w:val="0"/>
          <w:lang w:eastAsia="en-US"/>
          <w14:ligatures w14:val="none"/>
        </w:rPr>
        <w:t>Erbas</w:t>
      </w:r>
      <w:proofErr w:type="spellEnd"/>
      <w:r w:rsidRPr="00F479EF">
        <w:rPr>
          <w:rFonts w:eastAsiaTheme="minorHAnsi" w:cstheme="minorHAnsi"/>
          <w:kern w:val="0"/>
          <w:lang w:eastAsia="en-US"/>
          <w14:ligatures w14:val="none"/>
        </w:rPr>
        <w:t xml:space="preserve"> 2019, García-Hernández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2017, Nasser 2003). Les recherches universitaires sur le PCI et le tourisme sont de plus en plus nombreuses (par exemple, Al </w:t>
      </w:r>
      <w:proofErr w:type="spellStart"/>
      <w:r w:rsidRPr="00F479EF">
        <w:rPr>
          <w:rFonts w:eastAsiaTheme="minorHAnsi" w:cstheme="minorHAnsi"/>
          <w:kern w:val="0"/>
          <w:lang w:eastAsia="en-US"/>
          <w14:ligatures w14:val="none"/>
        </w:rPr>
        <w:t>Rabady</w:t>
      </w:r>
      <w:proofErr w:type="spellEnd"/>
      <w:r w:rsidRPr="00F479EF">
        <w:rPr>
          <w:rFonts w:eastAsiaTheme="minorHAnsi" w:cstheme="minorHAnsi"/>
          <w:kern w:val="0"/>
          <w:lang w:eastAsia="en-US"/>
          <w14:ligatures w14:val="none"/>
        </w:rPr>
        <w:t xml:space="preserve"> 2013 sur la Jordanie ; </w:t>
      </w:r>
      <w:proofErr w:type="spellStart"/>
      <w:r w:rsidRPr="00F479EF">
        <w:rPr>
          <w:rFonts w:eastAsiaTheme="minorHAnsi" w:cstheme="minorHAnsi"/>
          <w:kern w:val="0"/>
          <w:lang w:eastAsia="en-US"/>
          <w14:ligatures w14:val="none"/>
        </w:rPr>
        <w:t>Machowska</w:t>
      </w:r>
      <w:proofErr w:type="spellEnd"/>
      <w:r w:rsidRPr="00F479EF">
        <w:rPr>
          <w:rFonts w:eastAsiaTheme="minorHAnsi" w:cstheme="minorHAnsi"/>
          <w:kern w:val="0"/>
          <w:lang w:eastAsia="en-US"/>
          <w14:ligatures w14:val="none"/>
        </w:rPr>
        <w:t xml:space="preserve"> 2016 sur la Pologne ; Chen 2015 ; </w:t>
      </w:r>
      <w:proofErr w:type="spellStart"/>
      <w:r w:rsidRPr="00F479EF">
        <w:rPr>
          <w:rFonts w:eastAsiaTheme="minorHAnsi" w:cstheme="minorHAnsi"/>
          <w:kern w:val="0"/>
          <w:lang w:eastAsia="en-US"/>
          <w14:ligatures w14:val="none"/>
        </w:rPr>
        <w:t>Tagowa</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Hunohidoshi</w:t>
      </w:r>
      <w:proofErr w:type="spellEnd"/>
      <w:r w:rsidRPr="00F479EF">
        <w:rPr>
          <w:rFonts w:eastAsiaTheme="minorHAnsi" w:cstheme="minorHAnsi"/>
          <w:kern w:val="0"/>
          <w:lang w:eastAsia="en-US"/>
          <w14:ligatures w14:val="none"/>
        </w:rPr>
        <w:t xml:space="preserve"> 2015 sur le Nigeria ; Ma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2021 sur la Chine ; </w:t>
      </w:r>
      <w:proofErr w:type="spellStart"/>
      <w:r w:rsidRPr="00F479EF">
        <w:rPr>
          <w:rFonts w:eastAsiaTheme="minorHAnsi" w:cstheme="minorHAnsi"/>
          <w:kern w:val="0"/>
          <w:lang w:eastAsia="en-US"/>
          <w14:ligatures w14:val="none"/>
        </w:rPr>
        <w:t>Khanom</w:t>
      </w:r>
      <w:proofErr w:type="spellEnd"/>
      <w:r w:rsidRPr="00F479EF">
        <w:rPr>
          <w:rFonts w:eastAsiaTheme="minorHAnsi" w:cstheme="minorHAnsi"/>
          <w:kern w:val="0"/>
          <w:lang w:eastAsia="en-US"/>
          <w14:ligatures w14:val="none"/>
        </w:rPr>
        <w:t xml:space="preserve">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2019 ; </w:t>
      </w:r>
      <w:proofErr w:type="spellStart"/>
      <w:r w:rsidRPr="00F479EF">
        <w:rPr>
          <w:rFonts w:eastAsiaTheme="minorHAnsi" w:cstheme="minorHAnsi"/>
          <w:kern w:val="0"/>
          <w:lang w:eastAsia="en-US"/>
          <w14:ligatures w14:val="none"/>
        </w:rPr>
        <w:t>Ruhanen</w:t>
      </w:r>
      <w:proofErr w:type="spellEnd"/>
      <w:r w:rsidRPr="00F479EF">
        <w:rPr>
          <w:rFonts w:eastAsiaTheme="minorHAnsi" w:cstheme="minorHAnsi"/>
          <w:kern w:val="0"/>
          <w:lang w:eastAsia="en-US"/>
          <w14:ligatures w14:val="none"/>
        </w:rPr>
        <w:t xml:space="preserve"> et Whitford 2019 sur le tourisme autochtone à l’échelle internationale). Cela rejoint les travaux sur le tourisme culturel en général (</w:t>
      </w:r>
      <w:proofErr w:type="spellStart"/>
      <w:r w:rsidRPr="00F479EF">
        <w:rPr>
          <w:rFonts w:eastAsiaTheme="minorHAnsi" w:cstheme="minorHAnsi"/>
          <w:kern w:val="0"/>
          <w:lang w:eastAsia="en-US"/>
          <w14:ligatures w14:val="none"/>
        </w:rPr>
        <w:t>Akama</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Sterry</w:t>
      </w:r>
      <w:proofErr w:type="spellEnd"/>
      <w:r w:rsidRPr="00F479EF">
        <w:rPr>
          <w:rFonts w:eastAsiaTheme="minorHAnsi" w:cstheme="minorHAnsi"/>
          <w:kern w:val="0"/>
          <w:lang w:eastAsia="en-US"/>
          <w14:ligatures w14:val="none"/>
        </w:rPr>
        <w:t xml:space="preserve"> 2002 sur l’Afrique ; Ren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2021 sur le tourisme arctique). Pour le projet ARTICSEN, Hurst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(2021) ont passé en revue la littérature anglophone sur le tourisme sensible à la culture, ou l’écotourisme, au cours de la dernière décennie, avec un accent sur les communautés autochtones. Ils ont constaté que le concept de sensibilité culturelle dans le tourisme repose sur plusieurs considérations, dont (i) le respect (mutuel), (ii) la confiance, (iii) l’éthique, (iv) l’identité culturelle, (v) la compréhension mutuelle et l’échange culturel, (vi) l’autodétermination, la gouvernance et le renforcement des capacités des communautés, et (vii) la reconnaissance des besoins uniques des communautés autochtones en matière de guérison, de bien-être et de spiritualité. Cette approche souligne l’importance des initiatives touristiques qui ciblent non seulement les moyens de subsistance et la sauvegarde du PCI (identité culturelle et respect de la signification), mais aussi le contexte sociopolitique plus large dans lequel vivent les communautés. Le développement du tourisme et la sauvegarde peuvent aller de pair, si les membres de la communauté constituent les principaux acteurs du développement touristique (Luo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2022:</w:t>
      </w:r>
      <w:proofErr w:type="gramEnd"/>
      <w:r w:rsidRPr="00F479EF">
        <w:rPr>
          <w:rFonts w:eastAsiaTheme="minorHAnsi" w:cstheme="minorHAnsi"/>
          <w:kern w:val="0"/>
          <w:lang w:eastAsia="en-US"/>
          <w14:ligatures w14:val="none"/>
        </w:rPr>
        <w:t xml:space="preserve">20). Les communautés jouent un double rôle de promoteur et de protecteur de leur PCI. En Europe du Nord, le Projet de tourisme </w:t>
      </w:r>
      <w:proofErr w:type="spellStart"/>
      <w:r w:rsidRPr="00F479EF">
        <w:rPr>
          <w:rFonts w:eastAsiaTheme="minorHAnsi" w:cstheme="minorHAnsi"/>
          <w:kern w:val="0"/>
          <w:lang w:eastAsia="en-US"/>
          <w14:ligatures w14:val="none"/>
        </w:rPr>
        <w:t>sami</w:t>
      </w:r>
      <w:proofErr w:type="spellEnd"/>
      <w:r w:rsidRPr="00F479EF">
        <w:rPr>
          <w:rFonts w:eastAsiaTheme="minorHAnsi" w:cstheme="minorHAnsi"/>
          <w:kern w:val="0"/>
          <w:lang w:eastAsia="en-US"/>
          <w14:ligatures w14:val="none"/>
        </w:rPr>
        <w:t xml:space="preserve"> vise à rendre le secteur touristique plus responsable et plus durable sur le plan éthique</w:t>
      </w:r>
      <w:r w:rsidRPr="00F479EF">
        <w:rPr>
          <w:rFonts w:eastAsiaTheme="minorHAnsi" w:cstheme="minorHAnsi"/>
          <w:kern w:val="0"/>
          <w:vertAlign w:val="superscript"/>
          <w:lang w:eastAsia="en-US"/>
          <w14:ligatures w14:val="none"/>
        </w:rPr>
        <w:footnoteReference w:id="39"/>
      </w:r>
      <w:r w:rsidRPr="00F479EF">
        <w:rPr>
          <w:rFonts w:eastAsiaTheme="minorHAnsi" w:cstheme="minorHAnsi"/>
          <w:kern w:val="0"/>
          <w:lang w:eastAsia="en-US"/>
          <w14:ligatures w14:val="none"/>
        </w:rPr>
        <w:t>.</w:t>
      </w:r>
    </w:p>
    <w:p w14:paraId="7F407D49"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Ce travail a permis de définir un cadre éthique pour le tourisme et le patrimoine qui respecte les Principes éthiques de la Convention, ce qui a mis en lumière la nécessité du respect mutuel, de partenariats efficaces, de l’engagement et de la participation des communautés, des bénéfices pour les communautés, de la sauvegarde du patrimoine et de l’éducation des touristes. Cependant, la manière d’atteindre certains de ces objectifs n’est pas toujours évidente, notamment en ce qui concerne le lien entre le tourisme et la sauvegarde du patrimoine. Il est nécessaire de développer des outils pratiques pour aider les communautés et autres parties prenantes à aligner la planification du tourisme sur la sauvegarde du PCI. </w:t>
      </w:r>
      <w:r w:rsidRPr="00F479EF">
        <w:rPr>
          <w:rFonts w:eastAsiaTheme="minorHAnsi" w:cstheme="minorHAnsi"/>
          <w:kern w:val="0"/>
          <w:lang w:eastAsia="en-US"/>
          <w14:ligatures w14:val="none"/>
        </w:rPr>
        <w:lastRenderedPageBreak/>
        <w:t xml:space="preserve">Par exemple, la littérature sur le tourisme lié au patrimoine matériel a identifié des concepts de gestion tels que la « capacité de charge » des sites touristiques ou les « limites du changement acceptable » (par exemple, </w:t>
      </w:r>
      <w:proofErr w:type="spellStart"/>
      <w:r w:rsidRPr="00F479EF">
        <w:rPr>
          <w:rFonts w:eastAsiaTheme="minorHAnsi" w:cstheme="minorHAnsi"/>
          <w:kern w:val="0"/>
          <w:lang w:eastAsia="en-US"/>
          <w14:ligatures w14:val="none"/>
        </w:rPr>
        <w:t>Coccossis</w:t>
      </w:r>
      <w:proofErr w:type="spellEnd"/>
      <w:r w:rsidRPr="00F479EF">
        <w:rPr>
          <w:rFonts w:eastAsiaTheme="minorHAnsi" w:cstheme="minorHAnsi"/>
          <w:kern w:val="0"/>
          <w:lang w:eastAsia="en-US"/>
          <w14:ligatures w14:val="none"/>
        </w:rPr>
        <w:t xml:space="preserve"> 2009 ; Godwin 2011). Ces concepts n’ont généralement pas été appliqués au PCI. Comme le soulignent </w:t>
      </w:r>
      <w:proofErr w:type="spellStart"/>
      <w:r w:rsidRPr="00F479EF">
        <w:rPr>
          <w:rFonts w:eastAsiaTheme="minorHAnsi" w:cstheme="minorHAnsi"/>
          <w:kern w:val="0"/>
          <w:lang w:eastAsia="en-US"/>
          <w14:ligatures w14:val="none"/>
        </w:rPr>
        <w:t>Rudwiarti</w:t>
      </w:r>
      <w:proofErr w:type="spellEnd"/>
      <w:r w:rsidRPr="00F479EF">
        <w:rPr>
          <w:rFonts w:eastAsiaTheme="minorHAnsi" w:cstheme="minorHAnsi"/>
          <w:kern w:val="0"/>
          <w:lang w:eastAsia="en-US"/>
          <w14:ligatures w14:val="none"/>
        </w:rPr>
        <w:t xml:space="preserve">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(2017), le PCI peut être plus profondément affecté que le patrimoine matériel par les interventions touristiques. Il convient donc d’examiner attentivement le développement de ces concepts dans le domaine du PCI.</w:t>
      </w:r>
    </w:p>
    <w:p w14:paraId="681358D2"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Diverses ONG, agences gouvernementales et projets universitaires ont rédigé des conseils pratiques pour rendre le tourisme plus sensible à la culture et l’axer davantage sur le développement communautaire. Cela inclut les outils suivants : </w:t>
      </w:r>
    </w:p>
    <w:p w14:paraId="49436181" w14:textId="77777777" w:rsidR="002C1F81" w:rsidRPr="00F479EF" w:rsidRDefault="002C1F81" w:rsidP="002C1F81">
      <w:pPr>
        <w:numPr>
          <w:ilvl w:val="0"/>
          <w:numId w:val="5"/>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Boîte à outils de l’Organisation Néerlandaise de Développement (SNV) pour le suivi et la gestion du tourisme communautaire (avec des études de cas asiatiques)</w:t>
      </w:r>
      <w:r w:rsidRPr="00F479EF">
        <w:rPr>
          <w:rFonts w:eastAsiaTheme="minorHAnsi" w:cstheme="minorHAnsi"/>
          <w:kern w:val="0"/>
          <w:vertAlign w:val="superscript"/>
          <w:lang w:eastAsia="en-US"/>
          <w14:ligatures w14:val="none"/>
        </w:rPr>
        <w:footnoteReference w:id="40"/>
      </w:r>
    </w:p>
    <w:p w14:paraId="39007D50" w14:textId="77777777" w:rsidR="002C1F81" w:rsidRPr="00F479EF" w:rsidRDefault="002C1F81" w:rsidP="002C1F81">
      <w:pPr>
        <w:numPr>
          <w:ilvl w:val="0"/>
          <w:numId w:val="5"/>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Boîtes à outils ARTICSEN pour renforcer la sensibilité culturelle dans le tourisme, avec un guide pour développer des produits et des services touristiques sensibles à la culture (avec des études de cas de la région arctique)</w:t>
      </w:r>
      <w:r w:rsidRPr="00F479EF">
        <w:rPr>
          <w:rFonts w:eastAsiaTheme="minorHAnsi" w:cstheme="minorHAnsi"/>
          <w:kern w:val="0"/>
          <w:vertAlign w:val="superscript"/>
          <w:lang w:eastAsia="en-US"/>
          <w14:ligatures w14:val="none"/>
        </w:rPr>
        <w:footnoteReference w:id="41"/>
      </w:r>
    </w:p>
    <w:p w14:paraId="62D42BAB" w14:textId="77777777" w:rsidR="002C1F81" w:rsidRPr="00F479EF" w:rsidRDefault="002C1F81" w:rsidP="002C1F81">
      <w:pPr>
        <w:numPr>
          <w:ilvl w:val="0"/>
          <w:numId w:val="5"/>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Ressource éducative ouverte BOCOTO sur le tourisme basé sur les communautés (exemples européens, asiatiques et africains)</w:t>
      </w:r>
      <w:r w:rsidRPr="00F479EF">
        <w:rPr>
          <w:rFonts w:eastAsiaTheme="minorHAnsi" w:cstheme="minorHAnsi"/>
          <w:kern w:val="0"/>
          <w:vertAlign w:val="superscript"/>
          <w:lang w:eastAsia="en-US"/>
          <w14:ligatures w14:val="none"/>
        </w:rPr>
        <w:footnoteReference w:id="42"/>
      </w:r>
    </w:p>
    <w:p w14:paraId="009C3583" w14:textId="77777777" w:rsidR="002C1F81" w:rsidRPr="00F479EF" w:rsidRDefault="002C1F81" w:rsidP="002C1F81">
      <w:pPr>
        <w:numPr>
          <w:ilvl w:val="0"/>
          <w:numId w:val="5"/>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Boîte à outils sur le patrimoine culturel de l’Irlande du Nord : « Développer votre expérience du patrimoine culturel pour le tourisme »</w:t>
      </w:r>
      <w:r w:rsidRPr="00F479EF">
        <w:rPr>
          <w:rFonts w:eastAsiaTheme="minorHAnsi" w:cstheme="minorHAnsi"/>
          <w:kern w:val="0"/>
          <w:vertAlign w:val="superscript"/>
          <w:lang w:eastAsia="en-US"/>
          <w14:ligatures w14:val="none"/>
        </w:rPr>
        <w:footnoteReference w:id="43"/>
      </w:r>
    </w:p>
    <w:p w14:paraId="03BD95C5" w14:textId="77777777" w:rsidR="002C1F81" w:rsidRPr="00F479EF" w:rsidRDefault="002C1F81" w:rsidP="002C1F81">
      <w:pPr>
        <w:numPr>
          <w:ilvl w:val="0"/>
          <w:numId w:val="5"/>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Boîte à outils de la République d’Irlande sur le tourisme dans la communauté</w:t>
      </w:r>
      <w:r w:rsidRPr="00F479EF">
        <w:rPr>
          <w:rFonts w:eastAsiaTheme="minorHAnsi" w:cstheme="minorHAnsi"/>
          <w:kern w:val="0"/>
          <w:vertAlign w:val="superscript"/>
          <w:lang w:eastAsia="en-US"/>
          <w14:ligatures w14:val="none"/>
        </w:rPr>
        <w:footnoteReference w:id="44"/>
      </w:r>
    </w:p>
    <w:p w14:paraId="1B275C5E" w14:textId="77777777" w:rsidR="002C1F81" w:rsidRPr="00F479EF" w:rsidRDefault="002C1F81" w:rsidP="002C1F81">
      <w:pPr>
        <w:numPr>
          <w:ilvl w:val="0"/>
          <w:numId w:val="5"/>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Boîte à outils du Conseil des arts du Vermont pour le tourisme culturel et patrimonial (études de cas américains)</w:t>
      </w:r>
      <w:r w:rsidRPr="00F479EF">
        <w:rPr>
          <w:rFonts w:eastAsiaTheme="minorHAnsi" w:cstheme="minorHAnsi"/>
          <w:kern w:val="0"/>
          <w:vertAlign w:val="superscript"/>
          <w:lang w:eastAsia="en-US"/>
          <w14:ligatures w14:val="none"/>
        </w:rPr>
        <w:footnoteReference w:id="45"/>
      </w:r>
    </w:p>
    <w:p w14:paraId="500F5128" w14:textId="77777777" w:rsidR="002C1F81" w:rsidRPr="00F479EF" w:rsidRDefault="002C1F81" w:rsidP="002C1F81">
      <w:pPr>
        <w:numPr>
          <w:ilvl w:val="0"/>
          <w:numId w:val="5"/>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Boîte à outils de planification du tourisme pour les collectivités locales d’Afrique du Sud</w:t>
      </w:r>
      <w:r w:rsidRPr="00F479EF">
        <w:rPr>
          <w:rFonts w:eastAsiaTheme="minorHAnsi" w:cstheme="minorHAnsi"/>
          <w:kern w:val="0"/>
          <w:vertAlign w:val="superscript"/>
          <w:lang w:eastAsia="en-US"/>
          <w14:ligatures w14:val="none"/>
        </w:rPr>
        <w:footnoteReference w:id="46"/>
      </w:r>
    </w:p>
    <w:p w14:paraId="76A93F43" w14:textId="77777777" w:rsidR="002C1F81" w:rsidRPr="00F479EF" w:rsidRDefault="002C1F81" w:rsidP="002C1F81">
      <w:pPr>
        <w:numPr>
          <w:ilvl w:val="0"/>
          <w:numId w:val="5"/>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Boîte à outils pour le tourisme culturel en Nouvelle-Galles du Sud</w:t>
      </w:r>
      <w:r w:rsidRPr="00F479EF">
        <w:rPr>
          <w:rFonts w:eastAsiaTheme="minorHAnsi" w:cstheme="minorHAnsi"/>
          <w:kern w:val="0"/>
          <w:vertAlign w:val="superscript"/>
          <w:lang w:eastAsia="en-US"/>
          <w14:ligatures w14:val="none"/>
        </w:rPr>
        <w:footnoteReference w:id="47"/>
      </w:r>
    </w:p>
    <w:p w14:paraId="55ECD9AF" w14:textId="77777777" w:rsidR="002C1F81" w:rsidRPr="00F479EF" w:rsidRDefault="002C1F81" w:rsidP="002C1F81">
      <w:pPr>
        <w:numPr>
          <w:ilvl w:val="0"/>
          <w:numId w:val="5"/>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Lignes directrices nationales de l’Association touristique autochtone du Canada pour le développement des expériences touristiques autochtones authentiques</w:t>
      </w:r>
      <w:r w:rsidRPr="00F479EF">
        <w:rPr>
          <w:rFonts w:eastAsiaTheme="minorHAnsi" w:cstheme="minorHAnsi"/>
          <w:kern w:val="0"/>
          <w:vertAlign w:val="superscript"/>
          <w:lang w:eastAsia="en-US"/>
          <w14:ligatures w14:val="none"/>
        </w:rPr>
        <w:footnoteReference w:id="48"/>
      </w:r>
    </w:p>
    <w:p w14:paraId="7A680196"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Cependant, aucun de ces outils ne semble intégrer spécifiquement la planification de la sauvegarde du PCI dans la planification du tourisme. </w:t>
      </w:r>
    </w:p>
    <w:p w14:paraId="0311D0B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Les travaux sur la planification du tourisme dans les SIPAM (Systèmes ingénieux du patrimoine agricole mondial de la FAO) et les </w:t>
      </w:r>
      <w:proofErr w:type="spellStart"/>
      <w:r w:rsidRPr="00F479EF">
        <w:rPr>
          <w:rFonts w:eastAsiaTheme="minorHAnsi" w:cstheme="minorHAnsi"/>
          <w:kern w:val="0"/>
          <w:lang w:eastAsia="en-US"/>
          <w14:ligatures w14:val="none"/>
        </w:rPr>
        <w:t>géoparcs</w:t>
      </w:r>
      <w:proofErr w:type="spellEnd"/>
      <w:r w:rsidRPr="00F479EF">
        <w:rPr>
          <w:rFonts w:eastAsiaTheme="minorHAnsi" w:cstheme="minorHAnsi"/>
          <w:kern w:val="0"/>
          <w:lang w:eastAsia="en-US"/>
          <w14:ligatures w14:val="none"/>
        </w:rPr>
        <w:t xml:space="preserve"> de l’UNESCO offrent des indications utiles sur la planification du tourisme et la sauvegarde du PCI. En étudiants des exemples de SIPAM en Chine, au Japon et en République de Corée, dont certains incluant des éléments du PCI, </w:t>
      </w:r>
      <w:proofErr w:type="spellStart"/>
      <w:r w:rsidRPr="00F479EF">
        <w:rPr>
          <w:rFonts w:eastAsiaTheme="minorHAnsi" w:cstheme="minorHAnsi"/>
          <w:kern w:val="0"/>
          <w:lang w:eastAsia="en-US"/>
          <w14:ligatures w14:val="none"/>
        </w:rPr>
        <w:t>Kajihara</w:t>
      </w:r>
      <w:proofErr w:type="spellEnd"/>
      <w:r w:rsidRPr="00F479EF">
        <w:rPr>
          <w:rFonts w:eastAsiaTheme="minorHAnsi" w:cstheme="minorHAnsi"/>
          <w:kern w:val="0"/>
          <w:lang w:eastAsia="en-US"/>
          <w14:ligatures w14:val="none"/>
        </w:rPr>
        <w:t xml:space="preserve">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(2018) déclarent qu’il faudrait intégrer plus efficacement le PCI dans la planification de la gestion, y compris l’atténuation des </w:t>
      </w:r>
      <w:r w:rsidRPr="00F479EF">
        <w:rPr>
          <w:rFonts w:eastAsiaTheme="minorHAnsi" w:cstheme="minorHAnsi"/>
          <w:kern w:val="0"/>
          <w:lang w:eastAsia="en-US"/>
          <w14:ligatures w14:val="none"/>
        </w:rPr>
        <w:lastRenderedPageBreak/>
        <w:t xml:space="preserve">impacts négatifs du tourisme. </w:t>
      </w:r>
      <w:proofErr w:type="spellStart"/>
      <w:r w:rsidRPr="00F479EF">
        <w:rPr>
          <w:rFonts w:eastAsiaTheme="minorHAnsi" w:cstheme="minorHAnsi"/>
          <w:kern w:val="0"/>
          <w:lang w:eastAsia="en-US"/>
          <w14:ligatures w14:val="none"/>
        </w:rPr>
        <w:t>Esfehani</w:t>
      </w:r>
      <w:proofErr w:type="spellEnd"/>
      <w:r w:rsidRPr="00F479EF">
        <w:rPr>
          <w:rFonts w:eastAsiaTheme="minorHAnsi" w:cstheme="minorHAnsi"/>
          <w:kern w:val="0"/>
          <w:lang w:eastAsia="en-US"/>
          <w14:ligatures w14:val="none"/>
        </w:rPr>
        <w:t xml:space="preserve"> et Albrecht (2019) sont parmi les premiers à envisager la planification des produits touristiques basée sur le PCI. À l’aide d’une méthode ethnographique qualitative, mise en œuvre dans le </w:t>
      </w:r>
      <w:proofErr w:type="spellStart"/>
      <w:r w:rsidRPr="00F479EF">
        <w:rPr>
          <w:rFonts w:eastAsiaTheme="minorHAnsi" w:cstheme="minorHAnsi"/>
          <w:kern w:val="0"/>
          <w:lang w:eastAsia="en-US"/>
          <w14:ligatures w14:val="none"/>
        </w:rPr>
        <w:t>géoparc</w:t>
      </w:r>
      <w:proofErr w:type="spellEnd"/>
      <w:r w:rsidRPr="00F479EF">
        <w:rPr>
          <w:rFonts w:eastAsiaTheme="minorHAnsi" w:cstheme="minorHAnsi"/>
          <w:kern w:val="0"/>
          <w:lang w:eastAsia="en-US"/>
          <w14:ligatures w14:val="none"/>
        </w:rPr>
        <w:t xml:space="preserve"> mondial de l’île de Qeshm, dans le sud de l’Iran, ils identifient deux séries de facteurs qui affectent la planification du tourisme lié au PCI, l’accessibilité des produits touristiques basés sur le PCI pour les marchés des visiteurs (par exemple, des festivals tels que </w:t>
      </w:r>
      <w:proofErr w:type="spellStart"/>
      <w:r w:rsidRPr="00F479EF">
        <w:rPr>
          <w:rFonts w:eastAsiaTheme="minorHAnsi" w:cstheme="minorHAnsi"/>
          <w:kern w:val="0"/>
          <w:lang w:eastAsia="en-US"/>
          <w14:ligatures w14:val="none"/>
        </w:rPr>
        <w:t>Norouz</w:t>
      </w:r>
      <w:proofErr w:type="spellEnd"/>
      <w:r w:rsidRPr="00F479EF">
        <w:rPr>
          <w:rFonts w:eastAsiaTheme="minorHAnsi" w:cstheme="minorHAnsi"/>
          <w:kern w:val="0"/>
          <w:lang w:eastAsia="en-US"/>
          <w14:ligatures w14:val="none"/>
        </w:rPr>
        <w:t xml:space="preserve"> n’ont lieu qu’à une certaine période de l’année), et la perception de l’adéquation du PCI à l’utilisation touristique (la communauté jugeant qu’il n’est pas approprié d’associer certains rituels à la promotion du tourisme). </w:t>
      </w:r>
      <w:proofErr w:type="spellStart"/>
      <w:r w:rsidRPr="00F479EF">
        <w:rPr>
          <w:rFonts w:eastAsiaTheme="minorHAnsi" w:cstheme="minorHAnsi"/>
          <w:kern w:val="0"/>
          <w:lang w:eastAsia="en-US"/>
          <w14:ligatures w14:val="none"/>
        </w:rPr>
        <w:t>Esfehani</w:t>
      </w:r>
      <w:proofErr w:type="spellEnd"/>
      <w:r w:rsidRPr="00F479EF">
        <w:rPr>
          <w:rFonts w:eastAsiaTheme="minorHAnsi" w:cstheme="minorHAnsi"/>
          <w:kern w:val="0"/>
          <w:lang w:eastAsia="en-US"/>
          <w14:ligatures w14:val="none"/>
        </w:rPr>
        <w:t xml:space="preserve"> et Albrecht soulignent la nécessité d’impliquer les parties prenantes dans la planification, et d’intégrer la planification du tourisme et de la sauvegarde du patrimoine. Dans leur étude du développement du tourisme lié au PCI concernant les pratiques de charme des serpents (et leur association avec les </w:t>
      </w:r>
      <w:proofErr w:type="spellStart"/>
      <w:r w:rsidRPr="00F479EF">
        <w:rPr>
          <w:rFonts w:eastAsiaTheme="minorHAnsi" w:cstheme="minorHAnsi"/>
          <w:kern w:val="0"/>
          <w:lang w:eastAsia="en-US"/>
          <w14:ligatures w14:val="none"/>
        </w:rPr>
        <w:t>géoparcs</w:t>
      </w:r>
      <w:proofErr w:type="spellEnd"/>
      <w:r w:rsidRPr="00F479EF">
        <w:rPr>
          <w:rFonts w:eastAsiaTheme="minorHAnsi" w:cstheme="minorHAnsi"/>
          <w:kern w:val="0"/>
          <w:lang w:eastAsia="en-US"/>
          <w14:ligatures w14:val="none"/>
        </w:rPr>
        <w:t xml:space="preserve">) en Inde, </w:t>
      </w:r>
      <w:proofErr w:type="spellStart"/>
      <w:r w:rsidRPr="00F479EF">
        <w:rPr>
          <w:rFonts w:eastAsiaTheme="minorHAnsi" w:cstheme="minorHAnsi"/>
          <w:kern w:val="0"/>
          <w:lang w:eastAsia="en-US"/>
          <w14:ligatures w14:val="none"/>
        </w:rPr>
        <w:t>Halder</w:t>
      </w:r>
      <w:proofErr w:type="spellEnd"/>
      <w:r w:rsidRPr="00F479EF">
        <w:rPr>
          <w:rFonts w:eastAsiaTheme="minorHAnsi" w:cstheme="minorHAnsi"/>
          <w:kern w:val="0"/>
          <w:lang w:eastAsia="en-US"/>
          <w14:ligatures w14:val="none"/>
        </w:rPr>
        <w:t xml:space="preserve"> et Sarda (2021) ont rappelé qu’il faut prendre en compte de nombreux autres facteurs dans la planification du tourisme. Et notamment : la situation géographique des praticiens et les variations régionales dans le contexte de leur pratique, le PCI associé tel que la peinture sur parchemin ou le tatouage, la protection de la faune et de la flore, le développement des infrastructures et des cadres juridiques. </w:t>
      </w:r>
    </w:p>
    <w:p w14:paraId="5D814583" w14:textId="77777777" w:rsidR="002C1F81" w:rsidRPr="00F479EF" w:rsidRDefault="002C1F81" w:rsidP="002C1F81">
      <w:pPr>
        <w:keepNext/>
        <w:spacing w:after="0" w:line="240" w:lineRule="auto"/>
        <w:ind w:left="1440"/>
        <w:jc w:val="both"/>
        <w:outlineLvl w:val="3"/>
        <w:rPr>
          <w:rFonts w:asciiTheme="minorBidi" w:eastAsiaTheme="minorHAnsi" w:hAnsiTheme="minorBidi" w:cstheme="minorHAnsi"/>
          <w:b/>
          <w:bCs/>
          <w:kern w:val="0"/>
          <w:lang w:eastAsia="en-US"/>
          <w14:ligatures w14:val="none"/>
        </w:rPr>
      </w:pPr>
      <w:r w:rsidRPr="00F479EF">
        <w:rPr>
          <w:rFonts w:asciiTheme="minorBidi" w:eastAsiaTheme="minorHAnsi" w:hAnsiTheme="minorBidi" w:cstheme="minorHAnsi"/>
          <w:b/>
          <w:bCs/>
          <w:kern w:val="0"/>
          <w:lang w:eastAsia="en-US"/>
          <w14:ligatures w14:val="none"/>
        </w:rPr>
        <w:t>Authenticité, signification et valeur</w:t>
      </w:r>
    </w:p>
    <w:p w14:paraId="4354998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L’authenticité est étroitement liée à des concepts de la Convention tels que la fonction sociale, la signification et la valeur. C’est un point essentiel à prendre en compte dans le contexte du PCI et du marché, tant par le prisme de la signification et de la valeur définies par la communauté que des perceptions des consommateurs et d’autres tiers. L’authenticité est un concept central dans la littérature sur la conservation du patrimoine matériel et sur le tourisme (</w:t>
      </w:r>
      <w:proofErr w:type="spellStart"/>
      <w:r w:rsidRPr="00F479EF">
        <w:rPr>
          <w:rFonts w:eastAsiaTheme="minorHAnsi" w:cstheme="minorHAnsi"/>
          <w:kern w:val="0"/>
          <w:lang w:eastAsia="en-US"/>
          <w14:ligatures w14:val="none"/>
        </w:rPr>
        <w:t>Mathisen</w:t>
      </w:r>
      <w:proofErr w:type="spellEnd"/>
      <w:r w:rsidRPr="00F479EF">
        <w:rPr>
          <w:rFonts w:eastAsiaTheme="minorHAnsi" w:cstheme="minorHAnsi"/>
          <w:kern w:val="0"/>
          <w:lang w:eastAsia="en-US"/>
          <w14:ligatures w14:val="none"/>
        </w:rPr>
        <w:t xml:space="preserve"> 2020 ; </w:t>
      </w:r>
      <w:proofErr w:type="spellStart"/>
      <w:r w:rsidRPr="00F479EF">
        <w:rPr>
          <w:rFonts w:eastAsiaTheme="minorHAnsi" w:cstheme="minorHAnsi"/>
          <w:kern w:val="0"/>
          <w:lang w:eastAsia="en-US"/>
          <w14:ligatures w14:val="none"/>
        </w:rPr>
        <w:t>Khanom</w:t>
      </w:r>
      <w:proofErr w:type="spellEnd"/>
      <w:r w:rsidRPr="00F479EF">
        <w:rPr>
          <w:rFonts w:eastAsiaTheme="minorHAnsi" w:cstheme="minorHAnsi"/>
          <w:kern w:val="0"/>
          <w:lang w:eastAsia="en-US"/>
          <w14:ligatures w14:val="none"/>
        </w:rPr>
        <w:t xml:space="preserve">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2019 ; Cheung 2013 ; Jamal et Hill 2004)</w:t>
      </w:r>
      <w:r w:rsidRPr="00F479EF">
        <w:rPr>
          <w:rFonts w:eastAsiaTheme="minorHAnsi" w:cstheme="minorHAnsi"/>
          <w:color w:val="FF0000"/>
          <w:kern w:val="0"/>
          <w:lang w:eastAsia="en-US"/>
          <w14:ligatures w14:val="none"/>
        </w:rPr>
        <w:t xml:space="preserve"> </w:t>
      </w:r>
      <w:r w:rsidRPr="00F479EF">
        <w:rPr>
          <w:rFonts w:eastAsiaTheme="minorHAnsi" w:cstheme="minorHAnsi"/>
          <w:kern w:val="0"/>
          <w:lang w:eastAsia="en-US"/>
          <w14:ligatures w14:val="none"/>
        </w:rPr>
        <w:t>ainsi que dans la recherche sur le marketing et les consommateurs (</w:t>
      </w:r>
      <w:proofErr w:type="spellStart"/>
      <w:r w:rsidRPr="00F479EF">
        <w:rPr>
          <w:rFonts w:eastAsiaTheme="minorHAnsi" w:cstheme="minorHAnsi"/>
          <w:kern w:val="0"/>
          <w:lang w:eastAsia="en-US"/>
          <w14:ligatures w14:val="none"/>
        </w:rPr>
        <w:t>Beverland</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Farrelly</w:t>
      </w:r>
      <w:proofErr w:type="spellEnd"/>
      <w:r w:rsidRPr="00F479EF">
        <w:rPr>
          <w:rFonts w:eastAsiaTheme="minorHAnsi" w:cstheme="minorHAnsi"/>
          <w:kern w:val="0"/>
          <w:lang w:eastAsia="en-US"/>
          <w14:ligatures w14:val="none"/>
        </w:rPr>
        <w:t xml:space="preserve"> 2010 ; Grayson et </w:t>
      </w:r>
      <w:proofErr w:type="spellStart"/>
      <w:r w:rsidRPr="00F479EF">
        <w:rPr>
          <w:rFonts w:eastAsiaTheme="minorHAnsi" w:cstheme="minorHAnsi"/>
          <w:kern w:val="0"/>
          <w:lang w:eastAsia="en-US"/>
          <w14:ligatures w14:val="none"/>
        </w:rPr>
        <w:t>Martinec</w:t>
      </w:r>
      <w:proofErr w:type="spellEnd"/>
      <w:r w:rsidRPr="00F479EF">
        <w:rPr>
          <w:rFonts w:eastAsiaTheme="minorHAnsi" w:cstheme="minorHAnsi"/>
          <w:kern w:val="0"/>
          <w:lang w:eastAsia="en-US"/>
          <w14:ligatures w14:val="none"/>
        </w:rPr>
        <w:t xml:space="preserve"> 2004 ; </w:t>
      </w:r>
      <w:proofErr w:type="spellStart"/>
      <w:r w:rsidRPr="00F479EF">
        <w:rPr>
          <w:rFonts w:eastAsiaTheme="minorHAnsi" w:cstheme="minorHAnsi"/>
          <w:kern w:val="0"/>
          <w:lang w:eastAsia="en-US"/>
          <w14:ligatures w14:val="none"/>
        </w:rPr>
        <w:t>Sodergren</w:t>
      </w:r>
      <w:proofErr w:type="spellEnd"/>
      <w:r w:rsidRPr="00F479EF">
        <w:rPr>
          <w:rFonts w:eastAsiaTheme="minorHAnsi" w:cstheme="minorHAnsi"/>
          <w:kern w:val="0"/>
          <w:lang w:eastAsia="en-US"/>
          <w14:ligatures w14:val="none"/>
        </w:rPr>
        <w:t xml:space="preserve"> 2021). En Chine, le concept d’authenticité est exploité dans les programmes du PCI du gouvernement, il est lié à la commercialisation des produits du PCI et évalué selon des critères objectifs externes. Cela a donné lieu à une vaste littérature sur les questions d’authenticité et de PCI. Furuta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(2015) ont suggéré que dans le </w:t>
      </w:r>
      <w:proofErr w:type="spellStart"/>
      <w:r w:rsidRPr="00F479EF">
        <w:rPr>
          <w:rFonts w:eastAsiaTheme="minorHAnsi" w:cstheme="minorHAnsi"/>
          <w:kern w:val="0"/>
          <w:lang w:eastAsia="en-US"/>
          <w14:ligatures w14:val="none"/>
        </w:rPr>
        <w:t>Craftsmanship</w:t>
      </w:r>
      <w:proofErr w:type="spellEnd"/>
      <w:r w:rsidRPr="00F479EF">
        <w:rPr>
          <w:rFonts w:eastAsiaTheme="minorHAnsi" w:cstheme="minorHAnsi"/>
          <w:kern w:val="0"/>
          <w:lang w:eastAsia="en-US"/>
          <w14:ligatures w14:val="none"/>
        </w:rPr>
        <w:t xml:space="preserve"> Museum Cluster à Hangzhou, en Chine, « les organisations gouvernementales locales, les planificateurs de musées, les conservateurs et les maîtres artisans coproduisent l’authenticité du patrimoine artisanal par le biais d’une négociation, d’un compromis et d’une création à part entière ». L’attribution de labels d’authenticité a également donné lieu à des litiges entre les praticiens et les agences gouvernementales (Su 2021). À Hong Kong, Cheung (2013) évoque le « dilemme consistant à se demander si nous devons préserver les modes alimentaires traditionnels qui ont été modifiés pour répondre aux intérêts du marché, parce qu’ils sont discrédités en raison de leur perte d’authenticité ».</w:t>
      </w:r>
    </w:p>
    <w:p w14:paraId="1F934A02"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Une déconstruction plus poussée du concept d’authenticité pourrait s’avérer utile. Su (2018, 2021) remarque que la littérature touristique s’appuie sur une perspective subjective ou existentielle (</w:t>
      </w:r>
      <w:proofErr w:type="spellStart"/>
      <w:r w:rsidRPr="00F479EF">
        <w:rPr>
          <w:rFonts w:eastAsiaTheme="minorHAnsi" w:cstheme="minorHAnsi"/>
          <w:kern w:val="0"/>
          <w:lang w:eastAsia="en-US"/>
          <w14:ligatures w14:val="none"/>
        </w:rPr>
        <w:t>emic</w:t>
      </w:r>
      <w:proofErr w:type="spellEnd"/>
      <w:r w:rsidRPr="00F479EF">
        <w:rPr>
          <w:rFonts w:eastAsiaTheme="minorHAnsi" w:cstheme="minorHAnsi"/>
          <w:kern w:val="0"/>
          <w:lang w:eastAsia="en-US"/>
          <w14:ligatures w14:val="none"/>
        </w:rPr>
        <w:t>), alors que les études sur le patrimoine matériel adoptent généralement une perspective objective et matérialiste (</w:t>
      </w:r>
      <w:proofErr w:type="spellStart"/>
      <w:r w:rsidRPr="00F479EF">
        <w:rPr>
          <w:rFonts w:eastAsiaTheme="minorHAnsi" w:cstheme="minorHAnsi"/>
          <w:kern w:val="0"/>
          <w:lang w:eastAsia="en-US"/>
          <w14:ligatures w14:val="none"/>
        </w:rPr>
        <w:t>etic</w:t>
      </w:r>
      <w:proofErr w:type="spellEnd"/>
      <w:r w:rsidRPr="00F479EF">
        <w:rPr>
          <w:rFonts w:eastAsiaTheme="minorHAnsi" w:cstheme="minorHAnsi"/>
          <w:kern w:val="0"/>
          <w:lang w:eastAsia="en-US"/>
          <w14:ligatures w14:val="none"/>
        </w:rPr>
        <w:t xml:space="preserve">) sur l’authenticité. Il propose d’utiliser un concept d’authenticité plus inclusif pour comprendre les « subjectivités et les expériences des communautés dans le processus d’élaboration des valeurs du PCI et l’élaboration de leur identité » (Su 2018). Lo (2015) passe en revue un large éventail de travaux sur l’authenticité, pointant les différences entre les approches culturelles orientales et occidentales, ainsi que les différences disciplinaires au sein de celles-ci. Il indique que l’écart entre ces différences est en quelque sorte comblé par le relativisme culturel du document de Nara (1994), qui se concentre sur l’interprétation de la « crédibilité » et de la « véracité » par les différentes communautés. </w:t>
      </w:r>
      <w:r w:rsidRPr="00F479EF">
        <w:rPr>
          <w:rFonts w:eastAsiaTheme="minorHAnsi" w:cstheme="minorHAnsi"/>
          <w:kern w:val="0"/>
          <w:lang w:eastAsia="en-US"/>
          <w14:ligatures w14:val="none"/>
        </w:rPr>
        <w:lastRenderedPageBreak/>
        <w:t xml:space="preserve">Il déclare que cette vision de l’authenticité est proche de l’idée de la signification et de la valeur du PCI pour les communautés. Le contenu, la méthode et le contexte sont tous pertinents pour comprendre la signification et la valeur du PCI. Lo (2015) a constaté que les communautés utilisent diverses caractéristiques des produits porteuses de sens et de valeur (des « marqueurs d’authenticité » définis par la communauté) pour identifier les principales caractéristiques des produits liés au PCI. Dans le cas des tissus </w:t>
      </w:r>
      <w:proofErr w:type="spellStart"/>
      <w:r w:rsidRPr="00F479EF">
        <w:rPr>
          <w:rFonts w:eastAsiaTheme="minorHAnsi" w:cstheme="minorHAnsi"/>
          <w:kern w:val="0"/>
          <w:lang w:eastAsia="en-US"/>
          <w14:ligatures w14:val="none"/>
        </w:rPr>
        <w:t>mosuo</w:t>
      </w:r>
      <w:proofErr w:type="spellEnd"/>
      <w:r w:rsidRPr="00F479EF">
        <w:rPr>
          <w:rFonts w:eastAsiaTheme="minorHAnsi" w:cstheme="minorHAnsi"/>
          <w:kern w:val="0"/>
          <w:lang w:eastAsia="en-US"/>
          <w14:ligatures w14:val="none"/>
        </w:rPr>
        <w:t xml:space="preserve">, </w:t>
      </w:r>
      <w:proofErr w:type="spellStart"/>
      <w:r w:rsidRPr="00F479EF">
        <w:rPr>
          <w:rFonts w:eastAsiaTheme="minorHAnsi" w:cstheme="minorHAnsi"/>
          <w:kern w:val="0"/>
          <w:lang w:eastAsia="en-US"/>
          <w14:ligatures w14:val="none"/>
        </w:rPr>
        <w:t>kira</w:t>
      </w:r>
      <w:proofErr w:type="spellEnd"/>
      <w:r w:rsidRPr="00F479EF">
        <w:rPr>
          <w:rFonts w:eastAsiaTheme="minorHAnsi" w:cstheme="minorHAnsi"/>
          <w:kern w:val="0"/>
          <w:lang w:eastAsia="en-US"/>
          <w14:ligatures w14:val="none"/>
        </w:rPr>
        <w:t xml:space="preserve"> bhoutanais et Harris Tweed, il peut s’agir d’éléments physiques (matériaux, couleur, poids, construction du tissage) et d’aspects non matériels, tels que les méthodes de tissage, les outils utilisés et les sites de production, ainsi que les émotions évoquées chez les praticiens par le biais du tissage, tel qu’un sentiment d’identité culturelle et l’incarnation de liens générationnels.</w:t>
      </w:r>
    </w:p>
    <w:p w14:paraId="708AE067"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Commentant les questions d’adaptation, de changement et d’authenticité dans le tourisme autochtone à l’échelle mondiale, </w:t>
      </w:r>
      <w:proofErr w:type="spellStart"/>
      <w:r w:rsidRPr="00F479EF">
        <w:rPr>
          <w:rFonts w:eastAsiaTheme="minorHAnsi" w:cstheme="minorHAnsi"/>
          <w:kern w:val="0"/>
          <w:lang w:eastAsia="en-US"/>
          <w14:ligatures w14:val="none"/>
        </w:rPr>
        <w:t>Ruhanen</w:t>
      </w:r>
      <w:proofErr w:type="spellEnd"/>
      <w:r w:rsidRPr="00F479EF">
        <w:rPr>
          <w:rFonts w:eastAsiaTheme="minorHAnsi" w:cstheme="minorHAnsi"/>
          <w:kern w:val="0"/>
          <w:lang w:eastAsia="en-US"/>
          <w14:ligatures w14:val="none"/>
        </w:rPr>
        <w:t xml:space="preserve"> et Whitford (</w:t>
      </w:r>
      <w:proofErr w:type="gramStart"/>
      <w:r w:rsidRPr="00F479EF">
        <w:rPr>
          <w:rFonts w:eastAsiaTheme="minorHAnsi" w:cstheme="minorHAnsi"/>
          <w:kern w:val="0"/>
          <w:lang w:eastAsia="en-US"/>
          <w14:ligatures w14:val="none"/>
        </w:rPr>
        <w:t>2019:</w:t>
      </w:r>
      <w:proofErr w:type="gramEnd"/>
      <w:r w:rsidRPr="00F479EF">
        <w:rPr>
          <w:rFonts w:eastAsiaTheme="minorHAnsi" w:cstheme="minorHAnsi"/>
          <w:kern w:val="0"/>
          <w:lang w:eastAsia="en-US"/>
          <w14:ligatures w14:val="none"/>
        </w:rPr>
        <w:t>182-183) fournissent un compte rendu nuancé des problèmes rencontrés par les communautés pour trouver un équilibre entre la nécessité de conserver la signification et la valeur du PCI (et la capacité de l’adapter), et les attentes des consommateurs à l’égard du PCI (perceptions externes de l’authenticité). Ils expliquent que les touristes ont une certaine idée de ce qui constitue l</w:t>
      </w:r>
      <w:proofErr w:type="gramStart"/>
      <w:r w:rsidRPr="00F479EF">
        <w:rPr>
          <w:rFonts w:eastAsiaTheme="minorHAnsi" w:cstheme="minorHAnsi"/>
          <w:kern w:val="0"/>
          <w:lang w:eastAsia="en-US"/>
          <w14:ligatures w14:val="none"/>
        </w:rPr>
        <w:t>’«</w:t>
      </w:r>
      <w:proofErr w:type="gramEnd"/>
      <w:r w:rsidRPr="00F479EF">
        <w:rPr>
          <w:rFonts w:eastAsiaTheme="minorHAnsi" w:cstheme="minorHAnsi"/>
          <w:kern w:val="0"/>
          <w:lang w:eastAsia="en-US"/>
          <w14:ligatures w14:val="none"/>
        </w:rPr>
        <w:t xml:space="preserve"> identité autochtone », ancrée dans le passé, qui ne coïncide pas forcément avec les identités autochtones contemporaines. Compte tenu du déséquilibre des relations de pouvoir entre les hôtes et les touristes, les attentes de stagnation dans la pratique du PCI peuvent entraver l’innovation locale et l’évolution du PCI. Lorsque le PCI change, les touristes le considèrent comme inauthentique. Des expériences similaires ont été rapportées pour l’innovation artisanale du PCI (par exemple, </w:t>
      </w:r>
      <w:proofErr w:type="spellStart"/>
      <w:r w:rsidRPr="00F479EF">
        <w:rPr>
          <w:rFonts w:eastAsiaTheme="minorHAnsi" w:cstheme="minorHAnsi"/>
          <w:kern w:val="0"/>
          <w:lang w:eastAsia="en-US"/>
          <w14:ligatures w14:val="none"/>
        </w:rPr>
        <w:t>Mathisen</w:t>
      </w:r>
      <w:proofErr w:type="spellEnd"/>
      <w:r w:rsidRPr="00F479EF">
        <w:rPr>
          <w:rFonts w:eastAsiaTheme="minorHAnsi" w:cstheme="minorHAnsi"/>
          <w:kern w:val="0"/>
          <w:lang w:eastAsia="en-US"/>
          <w14:ligatures w14:val="none"/>
        </w:rPr>
        <w:t xml:space="preserve"> 2020), où les consommateurs façonnent les perceptions de l’authenticité. Certains praticiens du PCI qui vendent leurs produits ou services se sentent empêchés d’expérimenter en dehors des limites de la tradition, car ils ont l’impression (ou on leur dit) que tous leurs produits doivent être « traditionnels ». </w:t>
      </w:r>
    </w:p>
    <w:p w14:paraId="1ACFB9AB" w14:textId="77777777" w:rsidR="002C1F81" w:rsidRPr="00F479EF" w:rsidRDefault="002C1F81" w:rsidP="002C1F81">
      <w:pPr>
        <w:jc w:val="both"/>
        <w:rPr>
          <w:rFonts w:eastAsiaTheme="minorHAnsi" w:cstheme="minorHAnsi"/>
          <w:kern w:val="0"/>
          <w:lang w:eastAsia="en-US"/>
          <w14:ligatures w14:val="none"/>
        </w:rPr>
      </w:pPr>
      <w:r>
        <w:rPr>
          <w:noProof/>
        </w:rPr>
        <w:drawing>
          <wp:anchor distT="0" distB="0" distL="114300" distR="114300" simplePos="0" relativeHeight="251662336" behindDoc="0" locked="0" layoutInCell="1" allowOverlap="1" wp14:anchorId="1C99AB71" wp14:editId="4E52D814">
            <wp:simplePos x="0" y="0"/>
            <wp:positionH relativeFrom="margin">
              <wp:align>left</wp:align>
            </wp:positionH>
            <wp:positionV relativeFrom="margin">
              <wp:posOffset>2136775</wp:posOffset>
            </wp:positionV>
            <wp:extent cx="3211195" cy="3891280"/>
            <wp:effectExtent l="0" t="0" r="8255" b="0"/>
            <wp:wrapSquare wrapText="bothSides"/>
            <wp:docPr id="18" name="Image 18" descr="Une image contenant texte, capture d’écran, Police,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exte, capture d’écran, Police, document&#10;&#10;Description générée automatiqu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1195" cy="3891280"/>
                    </a:xfrm>
                    <a:prstGeom prst="rect">
                      <a:avLst/>
                    </a:prstGeom>
                    <a:noFill/>
                    <a:ln>
                      <a:noFill/>
                    </a:ln>
                  </pic:spPr>
                </pic:pic>
              </a:graphicData>
            </a:graphic>
          </wp:anchor>
        </w:drawing>
      </w:r>
      <w:r w:rsidRPr="00F479EF">
        <w:rPr>
          <w:rFonts w:eastAsiaTheme="minorHAnsi" w:cstheme="minorHAnsi"/>
          <w:kern w:val="0"/>
          <w:lang w:eastAsia="en-US"/>
          <w14:ligatures w14:val="none"/>
        </w:rPr>
        <w:t xml:space="preserve">Dans le domaine de la psychologie, </w:t>
      </w:r>
      <w:proofErr w:type="spellStart"/>
      <w:r w:rsidRPr="00F479EF">
        <w:rPr>
          <w:rFonts w:eastAsiaTheme="minorHAnsi" w:cstheme="minorHAnsi"/>
          <w:kern w:val="0"/>
          <w:lang w:eastAsia="en-US"/>
          <w14:ligatures w14:val="none"/>
        </w:rPr>
        <w:t>Kreuzbauer</w:t>
      </w:r>
      <w:proofErr w:type="spellEnd"/>
      <w:r w:rsidRPr="00F479EF">
        <w:rPr>
          <w:rFonts w:eastAsiaTheme="minorHAnsi" w:cstheme="minorHAnsi"/>
          <w:kern w:val="0"/>
          <w:lang w:eastAsia="en-US"/>
          <w14:ligatures w14:val="none"/>
        </w:rPr>
        <w:t xml:space="preserve"> et Keller (</w:t>
      </w:r>
      <w:proofErr w:type="gramStart"/>
      <w:r w:rsidRPr="00F479EF">
        <w:rPr>
          <w:rFonts w:eastAsiaTheme="minorHAnsi" w:cstheme="minorHAnsi"/>
          <w:kern w:val="0"/>
          <w:lang w:eastAsia="en-US"/>
          <w14:ligatures w14:val="none"/>
        </w:rPr>
        <w:t>2017:</w:t>
      </w:r>
      <w:proofErr w:type="gramEnd"/>
      <w:r w:rsidRPr="00F479EF">
        <w:rPr>
          <w:rFonts w:eastAsiaTheme="minorHAnsi" w:cstheme="minorHAnsi"/>
          <w:kern w:val="0"/>
          <w:lang w:eastAsia="en-US"/>
          <w14:ligatures w14:val="none"/>
        </w:rPr>
        <w:t xml:space="preserve">418) proposent un mode de représentation intéressant des processus de pensée des consommateurs pour déterminer « l’authenticité des produits culturels ». Prenant l’exemple de la pizza napolitaine (qui figure sur la Liste représentative), ils constatent que le contenu de la pizza (les ingrédients) et la méthode (y compris son lien avec la tradition) sont importants, de même que le contexte de sa production (voir figure). </w:t>
      </w:r>
    </w:p>
    <w:p w14:paraId="2E129E7A"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En ce qui concerne l’intention inférée et le contrôle de l’agence dans le modèle de </w:t>
      </w:r>
      <w:proofErr w:type="spellStart"/>
      <w:r w:rsidRPr="00F479EF">
        <w:rPr>
          <w:rFonts w:eastAsiaTheme="minorHAnsi" w:cstheme="minorHAnsi"/>
          <w:kern w:val="0"/>
          <w:lang w:eastAsia="en-US"/>
          <w14:ligatures w14:val="none"/>
        </w:rPr>
        <w:t>Kreuzbauer</w:t>
      </w:r>
      <w:proofErr w:type="spellEnd"/>
      <w:r w:rsidRPr="00F479EF">
        <w:rPr>
          <w:rFonts w:eastAsiaTheme="minorHAnsi" w:cstheme="minorHAnsi"/>
          <w:kern w:val="0"/>
          <w:lang w:eastAsia="en-US"/>
          <w14:ligatures w14:val="none"/>
        </w:rPr>
        <w:t xml:space="preserve"> et Keller, il peut être difficile pour les consommateurs d’évaluer l’authenticité, en particulier dans les contextes où les produits sont vendus sans interaction avec les détenteurs du PCI. </w:t>
      </w:r>
    </w:p>
    <w:p w14:paraId="1B56817E" w14:textId="77777777" w:rsidR="002C1F81" w:rsidRPr="00F479EF" w:rsidRDefault="002C1F81" w:rsidP="002C1F81">
      <w:pPr>
        <w:jc w:val="both"/>
        <w:rPr>
          <w:rFonts w:eastAsiaTheme="minorHAnsi" w:cstheme="minorHAnsi"/>
          <w:kern w:val="0"/>
          <w:lang w:eastAsia="en-US"/>
          <w14:ligatures w14:val="none"/>
        </w:rPr>
      </w:pPr>
    </w:p>
    <w:p w14:paraId="60B28A13"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Un ensemble similaire de critères prouvant l</w:t>
      </w:r>
      <w:proofErr w:type="gramStart"/>
      <w:r w:rsidRPr="00F479EF">
        <w:rPr>
          <w:rFonts w:eastAsiaTheme="minorHAnsi" w:cstheme="minorHAnsi"/>
          <w:kern w:val="0"/>
          <w:lang w:eastAsia="en-US"/>
          <w14:ligatures w14:val="none"/>
        </w:rPr>
        <w:t>’«</w:t>
      </w:r>
      <w:proofErr w:type="gramEnd"/>
      <w:r w:rsidRPr="00F479EF">
        <w:rPr>
          <w:rFonts w:eastAsiaTheme="minorHAnsi" w:cstheme="minorHAnsi"/>
          <w:kern w:val="0"/>
          <w:lang w:eastAsia="en-US"/>
          <w14:ligatures w14:val="none"/>
        </w:rPr>
        <w:t> authenticité » (contenu, méthode et contexte) pourrait, dans de nombreux cas, servir aux communautés à déterminer si un élément du PCI est pratiqué conformément à la signification sociale et à la valeur qu’il a pour elles.</w:t>
      </w:r>
    </w:p>
    <w:p w14:paraId="3C67E9CC"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L’authenticité dans le tourisme ou la commercialisation de produits pourrait être considérée comme </w:t>
      </w:r>
      <w:proofErr w:type="spellStart"/>
      <w:r w:rsidRPr="00F479EF">
        <w:rPr>
          <w:rFonts w:eastAsiaTheme="minorHAnsi" w:cstheme="minorHAnsi"/>
          <w:kern w:val="0"/>
          <w:lang w:eastAsia="en-US"/>
          <w14:ligatures w14:val="none"/>
        </w:rPr>
        <w:t>co-créée</w:t>
      </w:r>
      <w:proofErr w:type="spellEnd"/>
      <w:r w:rsidRPr="00F479EF">
        <w:rPr>
          <w:rFonts w:eastAsiaTheme="minorHAnsi" w:cstheme="minorHAnsi"/>
          <w:kern w:val="0"/>
          <w:lang w:eastAsia="en-US"/>
          <w14:ligatures w14:val="none"/>
        </w:rPr>
        <w:t xml:space="preserve">, sur la base d’une compréhension partagée de la confiance. </w:t>
      </w:r>
      <w:proofErr w:type="spellStart"/>
      <w:r w:rsidRPr="00F479EF">
        <w:rPr>
          <w:rFonts w:eastAsiaTheme="minorHAnsi" w:cstheme="minorHAnsi"/>
          <w:kern w:val="0"/>
          <w:lang w:eastAsia="en-US"/>
          <w14:ligatures w14:val="none"/>
        </w:rPr>
        <w:t>Khanom</w:t>
      </w:r>
      <w:proofErr w:type="spellEnd"/>
      <w:r w:rsidRPr="00F479EF">
        <w:rPr>
          <w:rFonts w:eastAsiaTheme="minorHAnsi" w:cstheme="minorHAnsi"/>
          <w:kern w:val="0"/>
          <w:lang w:eastAsia="en-US"/>
          <w14:ligatures w14:val="none"/>
        </w:rPr>
        <w:t xml:space="preserve">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(2019) ont noté que dans la littérature touristique, les modèles existants d</w:t>
      </w:r>
      <w:proofErr w:type="gramStart"/>
      <w:r w:rsidRPr="00F479EF">
        <w:rPr>
          <w:rFonts w:eastAsiaTheme="minorHAnsi" w:cstheme="minorHAnsi"/>
          <w:kern w:val="0"/>
          <w:lang w:eastAsia="en-US"/>
          <w14:ligatures w14:val="none"/>
        </w:rPr>
        <w:t>’«</w:t>
      </w:r>
      <w:proofErr w:type="gramEnd"/>
      <w:r w:rsidRPr="00F479EF">
        <w:rPr>
          <w:rFonts w:eastAsiaTheme="minorHAnsi" w:cstheme="minorHAnsi"/>
          <w:kern w:val="0"/>
          <w:lang w:eastAsia="en-US"/>
          <w14:ligatures w14:val="none"/>
        </w:rPr>
        <w:t xml:space="preserve"> authentification » du PCI se focalisent uniquement sur le point de vue de l’invité ou de l’hôte, sans vraiment analyser l’interaction mutuelle inévitable de ces derniers. Ils suggèrent la nécessité de créer un modèle pour le tourisme basé sur le PCI qui prend en compte le rôle des touristes et des communautés locales dans la </w:t>
      </w:r>
      <w:proofErr w:type="spellStart"/>
      <w:r w:rsidRPr="00F479EF">
        <w:rPr>
          <w:rFonts w:eastAsiaTheme="minorHAnsi" w:cstheme="minorHAnsi"/>
          <w:kern w:val="0"/>
          <w:lang w:eastAsia="en-US"/>
          <w14:ligatures w14:val="none"/>
        </w:rPr>
        <w:t>co-création</w:t>
      </w:r>
      <w:proofErr w:type="spellEnd"/>
      <w:r w:rsidRPr="00F479EF">
        <w:rPr>
          <w:rFonts w:eastAsiaTheme="minorHAnsi" w:cstheme="minorHAnsi"/>
          <w:kern w:val="0"/>
          <w:lang w:eastAsia="en-US"/>
          <w14:ligatures w14:val="none"/>
        </w:rPr>
        <w:t xml:space="preserve"> d’expériences de PCI « authentiques ». Leur modèle « met l’accent sur les relations de pouvoir entre l’hôte et l’invité, et sur l’émancipation de la communauté sur les plans politique, social, psychologique et économique ». </w:t>
      </w:r>
      <w:proofErr w:type="spellStart"/>
      <w:r w:rsidRPr="00F479EF">
        <w:rPr>
          <w:rFonts w:eastAsiaTheme="minorHAnsi" w:cstheme="minorHAnsi"/>
          <w:kern w:val="0"/>
          <w:lang w:eastAsia="en-US"/>
          <w14:ligatures w14:val="none"/>
        </w:rPr>
        <w:t>Taheri</w:t>
      </w:r>
      <w:proofErr w:type="spellEnd"/>
      <w:r w:rsidRPr="00F479EF">
        <w:rPr>
          <w:rFonts w:eastAsiaTheme="minorHAnsi" w:cstheme="minorHAnsi"/>
          <w:kern w:val="0"/>
          <w:lang w:eastAsia="en-US"/>
          <w14:ligatures w14:val="none"/>
        </w:rPr>
        <w:t xml:space="preserve">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2020:</w:t>
      </w:r>
      <w:proofErr w:type="gramEnd"/>
      <w:r w:rsidRPr="00F479EF">
        <w:rPr>
          <w:rFonts w:eastAsiaTheme="minorHAnsi" w:cstheme="minorHAnsi"/>
          <w:kern w:val="0"/>
          <w:lang w:eastAsia="en-US"/>
          <w14:ligatures w14:val="none"/>
        </w:rPr>
        <w:t>707-708) notent que dans le secteur du patrimoine (matériel), peu de travaux traitent du concept de confiance. Par exemple, les visiteurs de sites patrimoniaux doivent avoir confiance dans l’intégrité de ces lieux et percevoir leurs interactions avec les populations locales comme étant sincères et non exploitantes. Ils constatent (</w:t>
      </w:r>
      <w:proofErr w:type="gramStart"/>
      <w:r w:rsidRPr="00F479EF">
        <w:rPr>
          <w:rFonts w:eastAsiaTheme="minorHAnsi" w:cstheme="minorHAnsi"/>
          <w:kern w:val="0"/>
          <w:lang w:eastAsia="en-US"/>
          <w14:ligatures w14:val="none"/>
        </w:rPr>
        <w:t>2020:</w:t>
      </w:r>
      <w:proofErr w:type="gramEnd"/>
      <w:r w:rsidRPr="00F479EF">
        <w:rPr>
          <w:rFonts w:eastAsiaTheme="minorHAnsi" w:cstheme="minorHAnsi"/>
          <w:kern w:val="0"/>
          <w:lang w:eastAsia="en-US"/>
          <w14:ligatures w14:val="none"/>
        </w:rPr>
        <w:t>719) que « les visiteurs du patrimoine culturel peuvent devenir prudents et méfiants s’ils considèrent que l’expérience “réelle” a été manipulée dans le seul but de faire du profit ». Il est donc nécessaire de poursuivre les recherches sur l’émancipation des communautés dans ces contextes.</w:t>
      </w:r>
    </w:p>
    <w:p w14:paraId="79810A5A"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Les revendications d’authenticité ou de valeur ont une utilité commerciale, parce qu’en général, elles peuvent rehausser le statut des produits « patrimoniaux » et inciter les consommateurs à les acheter à un prix plus élevé. Les communautés se sont servies de l’inscription d’éléments du PCI pour poursuivre le développement économique dans la région de la Baltique (</w:t>
      </w:r>
      <w:proofErr w:type="spellStart"/>
      <w:r w:rsidRPr="00F479EF">
        <w:rPr>
          <w:rFonts w:eastAsiaTheme="minorHAnsi" w:cstheme="minorHAnsi"/>
          <w:kern w:val="0"/>
          <w:lang w:eastAsia="en-US"/>
          <w14:ligatures w14:val="none"/>
        </w:rPr>
        <w:t>Kuutma</w:t>
      </w:r>
      <w:proofErr w:type="spellEnd"/>
      <w:r w:rsidRPr="00F479EF">
        <w:rPr>
          <w:rFonts w:eastAsiaTheme="minorHAnsi" w:cstheme="minorHAnsi"/>
          <w:kern w:val="0"/>
          <w:lang w:eastAsia="en-US"/>
          <w14:ligatures w14:val="none"/>
        </w:rPr>
        <w:t xml:space="preserve"> et Vaivade 2021). Des bénéfices importants peuvent être tirés de l’exploitation d’éléments de PCI inscrits de type produit alimentaire, tel que le régime méditerranéen (</w:t>
      </w:r>
      <w:proofErr w:type="spellStart"/>
      <w:r w:rsidRPr="00F479EF">
        <w:rPr>
          <w:rFonts w:eastAsiaTheme="minorHAnsi" w:cstheme="minorHAnsi"/>
          <w:kern w:val="0"/>
          <w:lang w:eastAsia="en-US"/>
          <w14:ligatures w14:val="none"/>
        </w:rPr>
        <w:t>Broude</w:t>
      </w:r>
      <w:proofErr w:type="spellEnd"/>
      <w:r w:rsidRPr="00F479EF">
        <w:rPr>
          <w:rFonts w:eastAsiaTheme="minorHAnsi" w:cstheme="minorHAnsi"/>
          <w:kern w:val="0"/>
          <w:lang w:eastAsia="en-US"/>
          <w14:ligatures w14:val="none"/>
        </w:rPr>
        <w:t xml:space="preserve"> 2013 ; </w:t>
      </w:r>
      <w:proofErr w:type="spellStart"/>
      <w:r w:rsidRPr="00F479EF">
        <w:rPr>
          <w:rFonts w:eastAsiaTheme="minorHAnsi" w:cstheme="minorHAnsi"/>
          <w:kern w:val="0"/>
          <w:lang w:eastAsia="en-US"/>
          <w14:ligatures w14:val="none"/>
        </w:rPr>
        <w:t>Pfeilstetter</w:t>
      </w:r>
      <w:proofErr w:type="spellEnd"/>
      <w:r w:rsidRPr="00F479EF">
        <w:rPr>
          <w:rFonts w:eastAsiaTheme="minorHAnsi" w:cstheme="minorHAnsi"/>
          <w:kern w:val="0"/>
          <w:lang w:eastAsia="en-US"/>
          <w14:ligatures w14:val="none"/>
        </w:rPr>
        <w:t xml:space="preserve"> 2015). </w:t>
      </w:r>
      <w:proofErr w:type="spellStart"/>
      <w:r w:rsidRPr="00F479EF">
        <w:rPr>
          <w:rFonts w:eastAsiaTheme="minorHAnsi" w:cstheme="minorHAnsi"/>
          <w:kern w:val="0"/>
          <w:lang w:eastAsia="en-US"/>
          <w14:ligatures w14:val="none"/>
        </w:rPr>
        <w:t>Demgenski</w:t>
      </w:r>
      <w:proofErr w:type="spellEnd"/>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2020:</w:t>
      </w:r>
      <w:proofErr w:type="gramEnd"/>
      <w:r w:rsidRPr="00F479EF">
        <w:rPr>
          <w:rFonts w:eastAsiaTheme="minorHAnsi" w:cstheme="minorHAnsi"/>
          <w:kern w:val="0"/>
          <w:lang w:eastAsia="en-US"/>
          <w14:ligatures w14:val="none"/>
        </w:rPr>
        <w:t>128) relève qu’en Chine, l’industrie alimentaire voit des avantages commerciaux dans les listes d’inventaire du PCI et l’inscription au patrimoine de l’UNESCO. Par exemple, l’inventaire du « thé rafraîchissant » cantonais, premier produit culinaire inscrit à l’inventaire national, a suscité certaines critiques en raison de son rôle dans la promotion des ventes et de la résolution d’un problème de réglementation juridique auquel l’entreprise était confrontée. À l’époque, une entreprise produisant le thé a été accusée par la justice de revendiquer illégalement les vertus médicinales de la boisson, supposée présenter un risque pour la santé (</w:t>
      </w:r>
      <w:proofErr w:type="spellStart"/>
      <w:r w:rsidRPr="00F479EF">
        <w:rPr>
          <w:rFonts w:eastAsiaTheme="minorHAnsi" w:cstheme="minorHAnsi"/>
          <w:kern w:val="0"/>
          <w:lang w:eastAsia="en-US"/>
          <w14:ligatures w14:val="none"/>
        </w:rPr>
        <w:t>Demgenski</w:t>
      </w:r>
      <w:proofErr w:type="spellEnd"/>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2020:</w:t>
      </w:r>
      <w:proofErr w:type="gramEnd"/>
      <w:r w:rsidRPr="00F479EF">
        <w:rPr>
          <w:rFonts w:eastAsiaTheme="minorHAnsi" w:cstheme="minorHAnsi"/>
          <w:kern w:val="0"/>
          <w:lang w:eastAsia="en-US"/>
          <w14:ligatures w14:val="none"/>
        </w:rPr>
        <w:t xml:space="preserve">125). Le processus d’inventaire du PCI et la validation juridique correspondante de ses ingrédients comme étant traditionnels ont permis à l’entreprise de déclarer le thé non dangereux et médicinal, sans autre aval de la biomédecine (Liang 2013). </w:t>
      </w:r>
    </w:p>
    <w:p w14:paraId="66771754"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L’inventaire et la liste du PCI confèrent une légitimité aux revendications d’authenticité des produits du patrimoine dans l’environnement commercial, mais ne profitent pas toujours de la même manière aux entreprises. La recherche sur les fromages et les vins basés sur le patrimoine semble indiquer que les grandes entreprises bénéficient en général de manière disproportionnée de l’image de marque des produits issus du patrimoine, même lorsque leur méthode de production est plus industrielle. Cela s’explique en partie par le fait que les petits producteurs ont des compétences limitées en matière de narration numérique et sont moins à même de fournir un contenu publicitaire présentant une valeur </w:t>
      </w:r>
      <w:r w:rsidRPr="00F479EF">
        <w:rPr>
          <w:rFonts w:eastAsiaTheme="minorHAnsi" w:cstheme="minorHAnsi"/>
          <w:kern w:val="0"/>
          <w:lang w:eastAsia="en-US"/>
          <w14:ligatures w14:val="none"/>
        </w:rPr>
        <w:lastRenderedPageBreak/>
        <w:t>patrimoniale, quand bien même leurs méthodes de production sont plus « traditionnelles » (</w:t>
      </w:r>
      <w:proofErr w:type="spellStart"/>
      <w:r w:rsidRPr="00F479EF">
        <w:rPr>
          <w:rFonts w:eastAsiaTheme="minorHAnsi" w:cstheme="minorHAnsi"/>
          <w:kern w:val="0"/>
          <w:lang w:eastAsia="en-US"/>
          <w14:ligatures w14:val="none"/>
        </w:rPr>
        <w:t>Rinallo</w:t>
      </w:r>
      <w:proofErr w:type="spellEnd"/>
      <w:r w:rsidRPr="00F479EF">
        <w:rPr>
          <w:rFonts w:eastAsiaTheme="minorHAnsi" w:cstheme="minorHAnsi"/>
          <w:kern w:val="0"/>
          <w:lang w:eastAsia="en-US"/>
          <w14:ligatures w14:val="none"/>
        </w:rPr>
        <w:t xml:space="preserve">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2019 ; </w:t>
      </w:r>
      <w:proofErr w:type="spellStart"/>
      <w:r w:rsidRPr="00F479EF">
        <w:rPr>
          <w:rFonts w:eastAsiaTheme="minorHAnsi" w:cstheme="minorHAnsi"/>
          <w:kern w:val="0"/>
          <w:lang w:eastAsia="en-US"/>
          <w14:ligatures w14:val="none"/>
        </w:rPr>
        <w:t>Rinallo</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Anselmi</w:t>
      </w:r>
      <w:proofErr w:type="spellEnd"/>
      <w:r w:rsidRPr="00F479EF">
        <w:rPr>
          <w:rFonts w:eastAsiaTheme="minorHAnsi" w:cstheme="minorHAnsi"/>
          <w:kern w:val="0"/>
          <w:lang w:eastAsia="en-US"/>
          <w14:ligatures w14:val="none"/>
        </w:rPr>
        <w:t xml:space="preserve"> 2019, 2021).</w:t>
      </w:r>
    </w:p>
    <w:p w14:paraId="01C6DC71"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La recherche sur le tourisme offre donc un aperçu de l’impact de l’engagement commercial sur les communautés et leur PCI, ainsi que des stratégies pour atténuer les risques et soutenir la planification de projets en collaboration avec les communautés. Toutefois, il faut continuer d’en débattre et d’élaborer des conseils pratiques sur les moyens d’aligner la sauvegarde du PCI sur la planification et la mise en œuvre du tourisme au niveau communautaire. Il faut mener d’autres travaux pour comprendre l’utilité de la littérature sur l’authenticité dans le développement d’une meilleure compréhension de la signification et de la valeur du PCI, et de l’impact que le contexte commercial a sur lui.</w:t>
      </w:r>
    </w:p>
    <w:p w14:paraId="4503963F" w14:textId="77777777" w:rsidR="002C1F81" w:rsidRPr="00F479EF" w:rsidRDefault="002C1F81" w:rsidP="002C1F81">
      <w:pPr>
        <w:keepNext/>
        <w:spacing w:after="240" w:line="240" w:lineRule="auto"/>
        <w:ind w:left="720"/>
        <w:jc w:val="both"/>
        <w:outlineLvl w:val="2"/>
        <w:rPr>
          <w:rFonts w:eastAsiaTheme="minorHAnsi" w:cstheme="minorHAnsi"/>
          <w:b/>
          <w:bCs/>
          <w:kern w:val="0"/>
          <w:lang w:eastAsia="en-US"/>
          <w14:ligatures w14:val="none"/>
        </w:rPr>
      </w:pPr>
      <w:bookmarkStart w:id="14" w:name="_Toc137745032"/>
      <w:r w:rsidRPr="00F479EF">
        <w:rPr>
          <w:rFonts w:eastAsiaTheme="minorHAnsi" w:cstheme="minorHAnsi"/>
          <w:b/>
          <w:bCs/>
          <w:kern w:val="0"/>
          <w:lang w:eastAsia="en-US"/>
          <w14:ligatures w14:val="none"/>
        </w:rPr>
        <w:t>Perspectives de la littérature sur le changement climatique et les interventions d’urgence</w:t>
      </w:r>
      <w:bookmarkEnd w:id="14"/>
    </w:p>
    <w:p w14:paraId="35A7B566"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Malgré le peu de référence aux situations d’urgence ou aux catastrophes dans les textes de la Convention, divers projets et rapports se sont emparés de ces questions. Ils sont disponibles sur le site web de la Convention</w:t>
      </w:r>
      <w:r w:rsidRPr="00F479EF">
        <w:rPr>
          <w:rFonts w:eastAsiaTheme="minorHAnsi" w:cstheme="minorHAnsi"/>
          <w:kern w:val="0"/>
          <w:vertAlign w:val="superscript"/>
          <w:lang w:eastAsia="en-US"/>
          <w14:ligatures w14:val="none"/>
        </w:rPr>
        <w:footnoteReference w:id="49"/>
      </w:r>
      <w:r w:rsidRPr="00F479EF">
        <w:rPr>
          <w:rFonts w:eastAsiaTheme="minorHAnsi" w:cstheme="minorHAnsi"/>
          <w:kern w:val="0"/>
          <w:lang w:eastAsia="en-US"/>
          <w14:ligatures w14:val="none"/>
        </w:rPr>
        <w:t>. Les principes opérationnels et les modalités de sauvegarde du patrimoine culturel immatériel dans les situations d’urgence ont été approuvés par le Comité intergouvernemental lors de sa quatorzième session en 2019 (décision 14.COM 13). Ces situations d’urgence couvrent les conflits armés, y compris l’occupation, les situations de post-conflit, ainsi que les catastrophes dues à des risques naturels et d’origine humaine, y compris celles résultant des effets du changement climatique. Une étude distincte menée au nom du Secrétariat est en cours, traitant de la relation entre la sauvegarde du PCI et le changement climatique. Une synergie entre cette étude et le projet actuel est nécessaire. Quelques commentaires suffiront ici, éclairés par l’interaction avec Christopher Ballard, l’auteur de ce rapport.</w:t>
      </w:r>
    </w:p>
    <w:p w14:paraId="7DE6D19C"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Dans la littérature sur les catastrophes et les situations d’urgence, le PCI est généralement considéré comme un « savoir local » ou un « savoir traditionnel ». Il peut être affecté par les catastrophes, tout comme il peut contribuer à développer la résilience ou des réponses adaptées à l’échelle locale. Cependant, les communautés ne sont pas toujours en mesure d’utiliser leur PCI pour répondre à tous les problèmes spécifiques ou généraux créés par des niveaux sans précédent de catastrophes environnementales résultant des effets du changement climatique (Wilson 2019). Le changement climatique et les catastrophes environnementales ou humaines ont tous une série d’effets plus ou moins visibles et dramatiques sur le PCI. Le changement climatique peut faire disparaître ou menacer les ressources naturelles nécessaires à la pratique du PCI ; les changements progressifs de température peuvent affecter le succès des techniques agricoles traditionnelles. Une décontextualisation du PCI peut découler de la dislocation ou de la relocalisation des praticiens à la suite de catastrophes, tout comme d’une commercialisation inappropriée. Wilson (</w:t>
      </w:r>
      <w:proofErr w:type="gramStart"/>
      <w:r w:rsidRPr="00F479EF">
        <w:rPr>
          <w:rFonts w:eastAsiaTheme="minorHAnsi" w:cstheme="minorHAnsi"/>
          <w:kern w:val="0"/>
          <w:lang w:eastAsia="en-US"/>
          <w14:ligatures w14:val="none"/>
        </w:rPr>
        <w:t>2019:</w:t>
      </w:r>
      <w:proofErr w:type="gramEnd"/>
      <w:r w:rsidRPr="00F479EF">
        <w:rPr>
          <w:rFonts w:eastAsiaTheme="minorHAnsi" w:cstheme="minorHAnsi"/>
          <w:kern w:val="0"/>
          <w:lang w:eastAsia="en-US"/>
          <w14:ligatures w14:val="none"/>
        </w:rPr>
        <w:t>138) suggère donc que la santé et la vitalité des « personnes, du lieu et de l’histoire » sont également essentielles à la vitalité du PCI, ce qui est nécessaire pour comprendre l’impact des catastrophes sur ce dernier et le rôle du PCI dans la réduction des risques de catastrophes. Cette perspective permet de situer la pratique du PCI non seulement par rapport à des personnes spécifiques, mais aussi par rapport à des cadres matériels, des ressources, des environnements et des objets spécifiques.</w:t>
      </w:r>
    </w:p>
    <w:p w14:paraId="1B04396C"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La réponse aux situations d’urgence nécessite une coopération et une collaboration avec les communautés locales, tout comme la sauvegarde. La littérature sur l’atténuation des effets du changement climatique et des catastrophes par les communautés (par exemple, </w:t>
      </w:r>
      <w:proofErr w:type="spellStart"/>
      <w:r w:rsidRPr="00F479EF">
        <w:rPr>
          <w:rFonts w:eastAsiaTheme="minorHAnsi" w:cstheme="minorHAnsi"/>
          <w:kern w:val="0"/>
          <w:lang w:eastAsia="en-US"/>
          <w14:ligatures w14:val="none"/>
        </w:rPr>
        <w:t>Ghahramani</w:t>
      </w:r>
      <w:proofErr w:type="spellEnd"/>
      <w:r w:rsidRPr="00F479EF">
        <w:rPr>
          <w:rFonts w:eastAsiaTheme="minorHAnsi" w:cstheme="minorHAnsi"/>
          <w:kern w:val="0"/>
          <w:lang w:eastAsia="en-US"/>
          <w14:ligatures w14:val="none"/>
        </w:rPr>
        <w:t xml:space="preserve">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2020) </w:t>
      </w:r>
      <w:r w:rsidRPr="00F479EF">
        <w:rPr>
          <w:rFonts w:eastAsiaTheme="minorHAnsi" w:cstheme="minorHAnsi"/>
          <w:kern w:val="0"/>
          <w:lang w:eastAsia="en-US"/>
          <w14:ligatures w14:val="none"/>
        </w:rPr>
        <w:lastRenderedPageBreak/>
        <w:t xml:space="preserve">peut donner des indications sur l’adaptation du PCI à l’évolution des contextes économiques, environnementaux, sociaux et culturels. Les modèles d’évaluation des risques et de suivi et d’évaluation dans le domaine de la gestion de l’environnement, voire de la gestion du patrimoine matériel, permettraient d’identifier, sous l’égide de la communauté, les risques et les menaces associés au PCI et au marché, ainsi que d’atténuer ces risques. </w:t>
      </w:r>
    </w:p>
    <w:p w14:paraId="0C1B9F82" w14:textId="77777777" w:rsidR="002C1F81" w:rsidRPr="00F479EF" w:rsidRDefault="002C1F81" w:rsidP="002C1F81">
      <w:pPr>
        <w:keepNext/>
        <w:keepLines/>
        <w:spacing w:before="40" w:after="0"/>
        <w:jc w:val="both"/>
        <w:outlineLvl w:val="1"/>
        <w:rPr>
          <w:rFonts w:asciiTheme="majorHAnsi" w:eastAsiaTheme="majorEastAsia" w:hAnsiTheme="majorHAnsi" w:cstheme="majorBidi"/>
          <w:color w:val="2F5496" w:themeColor="accent1" w:themeShade="BF"/>
          <w:kern w:val="0"/>
          <w:sz w:val="26"/>
          <w:szCs w:val="26"/>
          <w:lang w:eastAsia="en-US"/>
          <w14:ligatures w14:val="none"/>
        </w:rPr>
      </w:pPr>
      <w:bookmarkStart w:id="15" w:name="_Toc137745033"/>
      <w:r w:rsidRPr="00F479EF">
        <w:rPr>
          <w:rFonts w:asciiTheme="majorHAnsi" w:eastAsiaTheme="majorEastAsia" w:hAnsiTheme="majorHAnsi" w:cstheme="majorBidi"/>
          <w:color w:val="2F5496" w:themeColor="accent1" w:themeShade="BF"/>
          <w:kern w:val="0"/>
          <w:sz w:val="26"/>
          <w:szCs w:val="26"/>
          <w:lang w:eastAsia="en-US"/>
          <w14:ligatures w14:val="none"/>
        </w:rPr>
        <w:t>Cadres conceptuels</w:t>
      </w:r>
      <w:bookmarkEnd w:id="15"/>
    </w:p>
    <w:p w14:paraId="1AC2E557"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Sur la base des modèles généraux décrits dans l’analyse ci-dessus, comment la littérature aide-t-elle à comprendre les concepts clés qui sont nécessaires pour explorer la relation entre le PCI et le marché ?</w:t>
      </w:r>
    </w:p>
    <w:p w14:paraId="41E50D67"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Des concepts tels que la commercialisation excessive et la décontextualisation ont été utilisés principalement dans un sens négatif, pour signaler les menaces et les risques pour la pratique et la sauvegarde du PCI. La décontextualisation n’est pas définie dans la Convention, bien qu’elle soit mentionnée dans les Directives opérationnelles (DO 171(c)) et les Principes éthiques (PE 10). Elle peut être considérée comme la sortie de la pratique ou de la transmission du PCI de son « contexte » socioculturel, entraînant l’altération de sa fonction, de sa signification et ses valeurs sociales. Les termes apparentés comprennent la mise en scène, la professionnalisation, la </w:t>
      </w:r>
      <w:proofErr w:type="spellStart"/>
      <w:r w:rsidRPr="00F479EF">
        <w:rPr>
          <w:rFonts w:eastAsiaTheme="minorHAnsi" w:cstheme="minorHAnsi"/>
          <w:kern w:val="0"/>
          <w:lang w:eastAsia="en-US"/>
          <w14:ligatures w14:val="none"/>
        </w:rPr>
        <w:t>touristification</w:t>
      </w:r>
      <w:proofErr w:type="spellEnd"/>
      <w:r w:rsidRPr="00F479EF">
        <w:rPr>
          <w:rFonts w:eastAsiaTheme="minorHAnsi" w:cstheme="minorHAnsi"/>
          <w:kern w:val="0"/>
          <w:lang w:eastAsia="en-US"/>
          <w14:ligatures w14:val="none"/>
        </w:rPr>
        <w:t xml:space="preserve"> ou la </w:t>
      </w:r>
      <w:proofErr w:type="spellStart"/>
      <w:r w:rsidRPr="00F479EF">
        <w:rPr>
          <w:rFonts w:eastAsiaTheme="minorHAnsi" w:cstheme="minorHAnsi"/>
          <w:kern w:val="0"/>
          <w:lang w:eastAsia="en-US"/>
          <w14:ligatures w14:val="none"/>
        </w:rPr>
        <w:t>festivalisation</w:t>
      </w:r>
      <w:proofErr w:type="spellEnd"/>
      <w:r w:rsidRPr="00F479EF">
        <w:rPr>
          <w:rFonts w:eastAsiaTheme="minorHAnsi" w:cstheme="minorHAnsi"/>
          <w:kern w:val="0"/>
          <w:lang w:eastAsia="en-US"/>
          <w14:ligatures w14:val="none"/>
        </w:rPr>
        <w:t>. On cœur de cette notion de décontextualisation, on trouve la perte de contrôle de la communauté, ou l’absence de consentement à un changement de contexte. Le terme « marchandisation » (c’est-à-dire faire du PCI une marchandise sortie de son contexte) recoupe ceux de décontextualisation et de commercialisation excessive. Il serait pertinent d’effectuer une analyse conceptuelle plus approfondie afin de mieux comprendre ces notions et de clarifier leur relation avec la sauvegarde du PCI et le marché. Il est également important de se demander qui identifie la commercialisation excessive et la décontextualisation, et sur quelle base.</w:t>
      </w:r>
    </w:p>
    <w:p w14:paraId="0B3FF73F" w14:textId="77777777" w:rsidR="002C1F81" w:rsidRPr="00F479EF" w:rsidRDefault="002C1F81" w:rsidP="002C1F81">
      <w:pPr>
        <w:keepNext/>
        <w:spacing w:after="240" w:line="240" w:lineRule="auto"/>
        <w:ind w:left="720"/>
        <w:jc w:val="both"/>
        <w:outlineLvl w:val="2"/>
        <w:rPr>
          <w:rFonts w:eastAsiaTheme="minorHAnsi" w:cstheme="minorHAnsi"/>
          <w:b/>
          <w:bCs/>
          <w:kern w:val="0"/>
          <w:lang w:eastAsia="en-US"/>
          <w14:ligatures w14:val="none"/>
        </w:rPr>
      </w:pPr>
      <w:bookmarkStart w:id="16" w:name="_Toc137745034"/>
      <w:r w:rsidRPr="00F479EF">
        <w:rPr>
          <w:rFonts w:eastAsiaTheme="minorHAnsi" w:cstheme="minorHAnsi"/>
          <w:b/>
          <w:bCs/>
          <w:kern w:val="0"/>
          <w:lang w:eastAsia="en-US"/>
          <w14:ligatures w14:val="none"/>
        </w:rPr>
        <w:t>Sauvegarde, changement et maintien de la fonction sociale et de la signification</w:t>
      </w:r>
      <w:bookmarkEnd w:id="16"/>
    </w:p>
    <w:p w14:paraId="2FFCE2A9" w14:textId="0D485746"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 concept de sauvegarde du PCI n’est que brièvement développé dans la Convention (article 2.3). D’après l’analyse des textes et des décisions des Organes de la Convention, cette notion inclut non seulement le maintien des conditions de sa pratique et de sa transmission, sa viabilité (article 2.3), mais aussi, comme condition </w:t>
      </w:r>
      <w:r w:rsidRPr="00F479EF">
        <w:rPr>
          <w:rFonts w:eastAsiaTheme="minorHAnsi" w:cstheme="minorHAnsi"/>
          <w:i/>
          <w:iCs/>
          <w:kern w:val="0"/>
          <w:lang w:eastAsia="en-US"/>
          <w14:ligatures w14:val="none"/>
        </w:rPr>
        <w:t>sine qua non</w:t>
      </w:r>
      <w:r w:rsidRPr="00F479EF">
        <w:rPr>
          <w:rFonts w:eastAsiaTheme="minorHAnsi" w:cstheme="minorHAnsi"/>
          <w:kern w:val="0"/>
          <w:lang w:eastAsia="en-US"/>
          <w14:ligatures w14:val="none"/>
        </w:rPr>
        <w:t>, le maintien des fonctions sociales et des significations culturelles d’un élément spécifique, « de son mode de fonctionnement au sein de sa communauté</w:t>
      </w:r>
      <w:r w:rsidRPr="00F479EF">
        <w:rPr>
          <w:rFonts w:eastAsiaTheme="minorHAnsi" w:cstheme="minorHAnsi"/>
          <w:kern w:val="0"/>
          <w:vertAlign w:val="superscript"/>
          <w:lang w:eastAsia="en-US"/>
          <w14:ligatures w14:val="none"/>
        </w:rPr>
        <w:footnoteReference w:id="50"/>
      </w:r>
      <w:r w:rsidRPr="00F479EF">
        <w:rPr>
          <w:rFonts w:eastAsiaTheme="minorHAnsi" w:cstheme="minorHAnsi"/>
          <w:kern w:val="0"/>
          <w:lang w:eastAsia="en-US"/>
          <w14:ligatures w14:val="none"/>
        </w:rPr>
        <w:t> » et du « système plus vaste</w:t>
      </w:r>
      <w:r w:rsidRPr="00F479EF">
        <w:rPr>
          <w:rFonts w:eastAsiaTheme="minorHAnsi" w:cstheme="minorHAnsi"/>
          <w:kern w:val="0"/>
          <w:vertAlign w:val="superscript"/>
          <w:lang w:eastAsia="en-US"/>
          <w14:ligatures w14:val="none"/>
        </w:rPr>
        <w:footnoteReference w:id="51"/>
      </w:r>
      <w:r w:rsidRPr="00F479EF">
        <w:rPr>
          <w:rFonts w:eastAsiaTheme="minorHAnsi" w:cstheme="minorHAnsi"/>
          <w:kern w:val="0"/>
          <w:lang w:eastAsia="en-US"/>
          <w14:ligatures w14:val="none"/>
        </w:rPr>
        <w:t> » dont il fait partie. Est-ce là le « contexte » du PCI dans lequel sa fonction sociale et sa signification doivent être maintenues ? Le « contexte » en tant que tel n’est pas mentionné dans les textes de la Convention (sauf dans le sens de « décontextualisation », DO 171(c)), et il nécessite un examen plus approfondi d’un point de vue conceptuel. Il y a eu assez peu de tentatives de comprendre les mécanismes de changement du PCI dû à de nouvelles circonstances. La Convention reconnaît que le PCI est en constante évolution et s’adapte à de nouvelles circonstances (article 2.1). Pour s’adapter à celles-ci, les communautés peuvent vouloir modifier certains aspects de leur PCI, tout en refusant que d’autres soient altérés (</w:t>
      </w:r>
      <w:proofErr w:type="spellStart"/>
      <w:r w:rsidRPr="00F479EF">
        <w:rPr>
          <w:rFonts w:eastAsiaTheme="minorHAnsi" w:cstheme="minorHAnsi"/>
          <w:kern w:val="0"/>
          <w:lang w:eastAsia="en-US"/>
          <w14:ligatures w14:val="none"/>
        </w:rPr>
        <w:t>Pickel</w:t>
      </w:r>
      <w:proofErr w:type="spellEnd"/>
      <w:r w:rsidRPr="00F479EF">
        <w:rPr>
          <w:rFonts w:eastAsiaTheme="minorHAnsi" w:cstheme="minorHAnsi"/>
          <w:kern w:val="0"/>
          <w:lang w:eastAsia="en-US"/>
          <w14:ligatures w14:val="none"/>
        </w:rPr>
        <w:t>-Chevalier </w:t>
      </w:r>
      <w:proofErr w:type="gramStart"/>
      <w:r w:rsidRPr="00F479EF">
        <w:rPr>
          <w:rFonts w:eastAsiaTheme="minorHAnsi" w:cstheme="minorHAnsi"/>
          <w:kern w:val="0"/>
          <w:lang w:eastAsia="en-US"/>
          <w14:ligatures w14:val="none"/>
        </w:rPr>
        <w:t>2021:</w:t>
      </w:r>
      <w:proofErr w:type="gramEnd"/>
      <w:r w:rsidRPr="00F479EF">
        <w:rPr>
          <w:rFonts w:eastAsiaTheme="minorHAnsi" w:cstheme="minorHAnsi"/>
          <w:kern w:val="0"/>
          <w:lang w:eastAsia="en-US"/>
          <w14:ligatures w14:val="none"/>
        </w:rPr>
        <w:t xml:space="preserve">117 sur la France). Néanmoins, on constate un manque manifeste de travaux conceptuels sur le changement et la continuité. Le concept d’innovation est souvent considéré comme mieux adapté au développement de produits dans les industries commerciales culturelles ou </w:t>
      </w:r>
      <w:r w:rsidRPr="00F479EF">
        <w:rPr>
          <w:rFonts w:eastAsiaTheme="minorHAnsi" w:cstheme="minorHAnsi"/>
          <w:kern w:val="0"/>
          <w:lang w:eastAsia="en-US"/>
          <w14:ligatures w14:val="none"/>
        </w:rPr>
        <w:lastRenderedPageBreak/>
        <w:t>créatives qu’au PCI, les aspects historiques du PCI ne sont généralement pas abordés et le terme d</w:t>
      </w:r>
      <w:proofErr w:type="gramStart"/>
      <w:r w:rsidRPr="00F479EF">
        <w:rPr>
          <w:rFonts w:eastAsiaTheme="minorHAnsi" w:cstheme="minorHAnsi"/>
          <w:kern w:val="0"/>
          <w:lang w:eastAsia="en-US"/>
          <w14:ligatures w14:val="none"/>
        </w:rPr>
        <w:t>’«</w:t>
      </w:r>
      <w:proofErr w:type="gramEnd"/>
      <w:r w:rsidRPr="00F479EF">
        <w:rPr>
          <w:rFonts w:eastAsiaTheme="minorHAnsi" w:cstheme="minorHAnsi"/>
          <w:kern w:val="0"/>
          <w:lang w:eastAsia="en-US"/>
          <w14:ligatures w14:val="none"/>
        </w:rPr>
        <w:t xml:space="preserve"> authenticité » est formellement évité dans le contexte des textes et des organes des Conventions. </w:t>
      </w:r>
    </w:p>
    <w:p w14:paraId="13903EC5"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Dans l’idéal, ce sont les communautés qui doivent décider de ce qui constitue la sauvegarde, le contexte et la viabilité de leur PCI, comme le soulignent les Principes éthiques. Cela signifie que les communautés ou les praticiens définissent eux-mêmes ce qui constitue un contexte spécifique pour leur PCI, ce que cela signifie pour eux et comment le PCI évolue pour y répondre. Il est possible que les membres de la communauté aient des avis divergents sur ce point. Cependant, les communautés ne maîtrisent pas toujours ce processus. Une désignation « patrimoniale » (c’est-à-dire une « patrimonialisation »), telle que l’inventaire ou l’inscription, modifie le contexte de la pratique, de la transmission et de la sauvegarde du PCI (Fraser 2015 ; </w:t>
      </w:r>
      <w:proofErr w:type="spellStart"/>
      <w:r w:rsidRPr="00F479EF">
        <w:rPr>
          <w:rFonts w:eastAsiaTheme="minorHAnsi" w:cstheme="minorHAnsi"/>
          <w:kern w:val="0"/>
          <w:lang w:eastAsia="en-US"/>
          <w14:ligatures w14:val="none"/>
        </w:rPr>
        <w:t>Hafstein</w:t>
      </w:r>
      <w:proofErr w:type="spellEnd"/>
      <w:r w:rsidRPr="00F479EF">
        <w:rPr>
          <w:rFonts w:eastAsiaTheme="minorHAnsi" w:cstheme="minorHAnsi"/>
          <w:kern w:val="0"/>
          <w:lang w:eastAsia="en-US"/>
          <w14:ligatures w14:val="none"/>
        </w:rPr>
        <w:t xml:space="preserve"> 2018). La commercialisation influence également le contexte. Les influences du marché peuvent être positives ou négatives, ou un mélange des deux. Les communautés sont souvent affectées par les déséquilibres de pouvoir sur le marché et les attentes des consommateurs dans un cadre commercial, la sauvegarde n’étant par ailleurs pas toujours leur objectif principal. Au Bhoutan, Lees (2011) suggère que l’inconstance des marchés internationaux exerce une pression sur les praticiens de l’élément de PCI tissage à la main, les poussant à répondre à la demande des consommateurs. Elle décrit les changements complexes intervenus dans les pratiques de tissage sous l’effet d’influences multiples, certaines externes, d’autres internes, sur des périodes différentes. La création de produits adaptés à un goût culturel, un usage utilitaire et des attentes totalement différents peut entraver la créativité des praticiens du PCI dans leur propre tradition de tissage. D’un autre côté, les communautés et les praticiens peuvent eux aussi exercer une influence sur le marché, et il ne faut pas sous-estimer leur capacité à le faire. </w:t>
      </w:r>
    </w:p>
    <w:p w14:paraId="1FC4C916" w14:textId="2B48D9D8"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Dans la Convention, l’usage du terme « authenticité » en tant que concept a été évité pour souligner la nature changeante de la pratique du PCI. </w:t>
      </w:r>
      <w:r w:rsidR="0063112D">
        <w:rPr>
          <w:rFonts w:eastAsiaTheme="minorHAnsi" w:cstheme="minorHAnsi"/>
          <w:kern w:val="0"/>
          <w:lang w:eastAsia="en-US"/>
          <w14:ligatures w14:val="none"/>
        </w:rPr>
        <w:t>C</w:t>
      </w:r>
      <w:r w:rsidRPr="00F479EF">
        <w:rPr>
          <w:rFonts w:eastAsiaTheme="minorHAnsi" w:cstheme="minorHAnsi"/>
          <w:kern w:val="0"/>
          <w:lang w:eastAsia="en-US"/>
          <w14:ligatures w14:val="none"/>
        </w:rPr>
        <w:t xml:space="preserve">ela a également eu pour effet bénéfique de décourager la validation du « contrôle de la réputation » par des tiers dans le cadre de la Convention : des experts externes imposant leur propre point de vue sur les pratiques du PCI aux communautés qui les pratiquent. Néanmoins, toujours selon la Convention, l’idée d’une fonction sociale, d’une signification et d’une valeur définies par la communauté reste essentielle à la validation du PCI en tant que patrimoine. Les communautés concernées sont censées présenter les caractéristiques essentielles de la pratique traditionnelle quand elles décrivent l’élément dans les dossiers de candidature. Cela signifie préciser quels aspects elles souhaitent voir perdurer et quels aspects elles accepteraient de modifier. De nombreuses communautés utilisent encore le terme « authenticité » dans le contexte de la Convention pour décrire ce qu’elles valorisent dans leur PCI (Bortolotto 2011, </w:t>
      </w:r>
      <w:proofErr w:type="spellStart"/>
      <w:r w:rsidRPr="00F479EF">
        <w:rPr>
          <w:rFonts w:eastAsiaTheme="minorHAnsi" w:cstheme="minorHAnsi"/>
          <w:kern w:val="0"/>
          <w:lang w:eastAsia="en-US"/>
          <w14:ligatures w14:val="none"/>
        </w:rPr>
        <w:t>Karapampas</w:t>
      </w:r>
      <w:proofErr w:type="spellEnd"/>
      <w:r w:rsidRPr="00F479EF">
        <w:rPr>
          <w:rFonts w:eastAsiaTheme="minorHAnsi" w:cstheme="minorHAnsi"/>
          <w:kern w:val="0"/>
          <w:lang w:eastAsia="en-US"/>
          <w14:ligatures w14:val="none"/>
        </w:rPr>
        <w:t xml:space="preserve"> 2021).</w:t>
      </w:r>
    </w:p>
    <w:p w14:paraId="5B630956"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Comme le montrent les modèles d’écosystème présentés plus haut, il existe souvent une relation dynamique entre les (ré)investissements dans la transmission du PCI et les compétences, les produits non marchands et les différents types de produits et de services mis sur le marché (qu’ils soient traditionnels ou non). L’équilibre entre les différents contextes du PCI, dont la production à domicile d’un produit artisanal à usage pratique, l’industrie artisanale, la production industrielle et le passe-temps, peut évoluer avec le temps. Afin de comprendre comment le marché affecte les contextes de la pratique et de la transmission du PCI, sur le plan conceptuel, nous devons mieux apprécier la dynamique de la pratique, de la transmission et du changement du PCI dans le temps et l’espace en réponse à des influences internes et externes. Ces influences sont sociales, politiques, économiques ou encore environnementales, et elles sont souvent porteuses d’une histoire et d’une politique. Elles peuvent aussi avoir une dimension </w:t>
      </w:r>
      <w:r w:rsidRPr="00F479EF">
        <w:rPr>
          <w:rFonts w:eastAsiaTheme="minorHAnsi" w:cstheme="minorHAnsi"/>
          <w:kern w:val="0"/>
          <w:lang w:eastAsia="en-US"/>
          <w14:ligatures w14:val="none"/>
        </w:rPr>
        <w:lastRenderedPageBreak/>
        <w:t>géographique, car les individus se déplacent et diffusent leurs connaissances et compétences entre différents lieux (</w:t>
      </w:r>
      <w:proofErr w:type="spellStart"/>
      <w:r w:rsidRPr="00F479EF">
        <w:rPr>
          <w:rFonts w:eastAsiaTheme="minorHAnsi" w:cstheme="minorHAnsi"/>
          <w:kern w:val="0"/>
          <w:lang w:eastAsia="en-US"/>
          <w14:ligatures w14:val="none"/>
        </w:rPr>
        <w:t>Comunian</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England</w:t>
      </w:r>
      <w:proofErr w:type="spellEnd"/>
      <w:r w:rsidRPr="00F479EF">
        <w:rPr>
          <w:rFonts w:eastAsiaTheme="minorHAnsi" w:cstheme="minorHAnsi"/>
          <w:kern w:val="0"/>
          <w:lang w:eastAsia="en-US"/>
          <w14:ligatures w14:val="none"/>
        </w:rPr>
        <w:t xml:space="preserve"> 2019 ; Cattani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2013). </w:t>
      </w:r>
    </w:p>
    <w:p w14:paraId="016A18DD"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En conceptualisant les innovations et leur relation avec le contexte traditionnel du PCI, </w:t>
      </w:r>
      <w:proofErr w:type="spellStart"/>
      <w:r w:rsidRPr="00F479EF">
        <w:rPr>
          <w:rFonts w:eastAsiaTheme="minorHAnsi" w:cstheme="minorHAnsi"/>
          <w:kern w:val="0"/>
          <w:lang w:eastAsia="en-US"/>
          <w14:ligatures w14:val="none"/>
        </w:rPr>
        <w:t>Rinallo</w:t>
      </w:r>
      <w:proofErr w:type="spellEnd"/>
      <w:r w:rsidRPr="00F479EF">
        <w:rPr>
          <w:rFonts w:eastAsiaTheme="minorHAnsi" w:cstheme="minorHAnsi"/>
          <w:kern w:val="0"/>
          <w:lang w:eastAsia="en-US"/>
          <w14:ligatures w14:val="none"/>
        </w:rPr>
        <w:t xml:space="preserve"> (2018) distingue différents types d’innovations du PCI : les survivances (produits fabriqués comme par le passé), les rétro-innovations (produits fabriqués à l’aide de compétences remises au goût du jour), les produits traditionnels évolutifs (adaptation des traditions pour répondre à l’évolution des besoins) et les produits radicalement innovants (fabriqués selon de nouvelles méthodes pour réduire les coûts et augmenter le volume, sans utiliser les compétences patrimoniales), que certains membres de la communauté peuvent ne pas considérer comme patrimoniaux</w:t>
      </w:r>
      <w:r w:rsidRPr="00F479EF">
        <w:rPr>
          <w:rFonts w:eastAsiaTheme="minorHAnsi" w:cstheme="minorHAnsi"/>
          <w:kern w:val="0"/>
          <w:vertAlign w:val="superscript"/>
          <w:lang w:eastAsia="en-US"/>
          <w14:ligatures w14:val="none"/>
        </w:rPr>
        <w:footnoteReference w:id="52"/>
      </w:r>
      <w:r w:rsidRPr="00F479EF">
        <w:rPr>
          <w:rFonts w:eastAsiaTheme="minorHAnsi" w:cstheme="minorHAnsi"/>
          <w:kern w:val="0"/>
          <w:lang w:eastAsia="en-US"/>
          <w14:ligatures w14:val="none"/>
        </w:rPr>
        <w:t>. Même des produits radicalement nouveaux contribuent, dans certains cas, à sauvegarder des compétences patrimoniales essentielles. Pour le patrimoine culinaire, par exemple, les produits innovants peuvent contribuer à sauvegarder le savoir-faire agricole lié aux variétés végétales ou aux races animales locales et les paysages culturels qui en résultent, qui risqueraient sinon de disparaître en raison de l’augmentation des coûts de production ou de l’évolution des modes de vie (</w:t>
      </w:r>
      <w:proofErr w:type="spellStart"/>
      <w:r w:rsidRPr="00F479EF">
        <w:rPr>
          <w:rFonts w:eastAsiaTheme="minorHAnsi" w:cstheme="minorHAnsi"/>
          <w:kern w:val="0"/>
          <w:lang w:eastAsia="en-US"/>
          <w14:ligatures w14:val="none"/>
        </w:rPr>
        <w:t>Rinallo</w:t>
      </w:r>
      <w:proofErr w:type="spellEnd"/>
      <w:r w:rsidRPr="00F479EF">
        <w:rPr>
          <w:rFonts w:eastAsiaTheme="minorHAnsi" w:cstheme="minorHAnsi"/>
          <w:kern w:val="0"/>
          <w:lang w:eastAsia="en-US"/>
          <w14:ligatures w14:val="none"/>
        </w:rPr>
        <w:t xml:space="preserve">, 2013). </w:t>
      </w:r>
    </w:p>
    <w:p w14:paraId="5E4889FC"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Plusieurs types d’innovation peuvent exister simultanément sur le marché. Bien que cela puisse être néfaste pour la pratique du PCI (par exemple, dans les cas de commercialisation excessive ou de détournement, voir ci-dessous), il peut également y avoir des relations bénéfiques sur le plan commercial entre des productions plus ou moins traditionnelles. Par exemple, les produits plus traditionnels peuvent conférer une signification et une valeur commerciale à des produits moins traditionnels. Les produits moins traditionnels qui sont commercialement mieux connus pourraient également offrir un espace de marché et des possibilités de différenciation. </w:t>
      </w:r>
    </w:p>
    <w:p w14:paraId="1FE26F21"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 travail de </w:t>
      </w:r>
      <w:proofErr w:type="spellStart"/>
      <w:r w:rsidRPr="00F479EF">
        <w:rPr>
          <w:rFonts w:eastAsiaTheme="minorHAnsi" w:cstheme="minorHAnsi"/>
          <w:kern w:val="0"/>
          <w:lang w:eastAsia="en-US"/>
          <w14:ligatures w14:val="none"/>
        </w:rPr>
        <w:t>Tarsitani</w:t>
      </w:r>
      <w:proofErr w:type="spellEnd"/>
      <w:r w:rsidRPr="00F479EF">
        <w:rPr>
          <w:rFonts w:eastAsiaTheme="minorHAnsi" w:cstheme="minorHAnsi"/>
          <w:kern w:val="0"/>
          <w:lang w:eastAsia="en-US"/>
          <w14:ligatures w14:val="none"/>
        </w:rPr>
        <w:t xml:space="preserve"> (2009) sur la vannerie Harari en Éthiopie montre comment des styles innovants de </w:t>
      </w:r>
      <w:proofErr w:type="spellStart"/>
      <w:r w:rsidRPr="00F479EF">
        <w:rPr>
          <w:rFonts w:eastAsiaTheme="minorHAnsi" w:cstheme="minorHAnsi"/>
          <w:i/>
          <w:kern w:val="0"/>
          <w:lang w:eastAsia="en-US"/>
          <w14:ligatures w14:val="none"/>
        </w:rPr>
        <w:t>touh-touh</w:t>
      </w:r>
      <w:proofErr w:type="spellEnd"/>
      <w:r w:rsidRPr="00F479EF">
        <w:rPr>
          <w:rFonts w:eastAsiaTheme="minorHAnsi" w:cstheme="minorHAnsi"/>
          <w:kern w:val="0"/>
          <w:lang w:eastAsia="en-US"/>
          <w14:ligatures w14:val="none"/>
        </w:rPr>
        <w:t xml:space="preserve"> ont émergé ces dernières années, s’adressant à la fois aux jeunes femmes locales et aux touristes. Ces nouveaux styles reprennent certaines formes et certains motifs des paniers plus traditionnels, mais ils utilisent du plastique et du carton, car les tisserands des zones urbaines n’ont qu’un accès limité à des matériaux végétaux. Si les habitants de la région considèrent toujours le panier traditionnel comme le summum de l’artisanat, utilisé de préférence lors des cérémonies qui marquent le cycle de la vie, les innovations sont appréciées en tant qu’options moins coûteuses, dotées d’une touche de modernité. Elles ont rendu cette tradition plus accessible aux jeunes femmes locales, puisque le respect strict du modèle permet d’inclure certains paniers fabriqués avec du fil acrylique dans les biens qui composent la dot. Au Bhoutan, Lees (2011) souligne la relation entre les marchés de biens artisanaux traditionnels faits main et produits localement par des artisans contemporains, les innovations d’inspiration traditionnelle avec une touche contemporaine créées par des artistes ou des designers, et les marchés d’objets anciens acquis de manière illicite. Sensibiliser les consommateurs internationaux à la valeur de l’artisanat contemporain, qu’il soit innovant ou traditionnel, réduit la demande d’antiquités illicites. Les produits innovants d’inspiration traditionnelle peuvent aussi servir à attirer l’attention sur des contextes sociopolitiques difficiles, comme dans le cas des marques de mode contemporaines telles que Dar </w:t>
      </w:r>
      <w:proofErr w:type="spellStart"/>
      <w:r w:rsidRPr="00F479EF">
        <w:rPr>
          <w:rFonts w:eastAsiaTheme="minorHAnsi" w:cstheme="minorHAnsi"/>
          <w:kern w:val="0"/>
          <w:lang w:eastAsia="en-US"/>
          <w14:ligatures w14:val="none"/>
        </w:rPr>
        <w:t>Noora</w:t>
      </w:r>
      <w:proofErr w:type="spellEnd"/>
      <w:r w:rsidRPr="00F479EF">
        <w:rPr>
          <w:rFonts w:eastAsiaTheme="minorHAnsi" w:cstheme="minorHAnsi"/>
          <w:kern w:val="0"/>
          <w:lang w:eastAsia="en-US"/>
          <w14:ligatures w14:val="none"/>
        </w:rPr>
        <w:t xml:space="preserve"> et Suzy </w:t>
      </w:r>
      <w:proofErr w:type="spellStart"/>
      <w:r w:rsidRPr="00F479EF">
        <w:rPr>
          <w:rFonts w:eastAsiaTheme="minorHAnsi" w:cstheme="minorHAnsi"/>
          <w:kern w:val="0"/>
          <w:lang w:eastAsia="en-US"/>
          <w14:ligatures w14:val="none"/>
        </w:rPr>
        <w:t>Tamimi</w:t>
      </w:r>
      <w:proofErr w:type="spellEnd"/>
      <w:r w:rsidRPr="00F479EF">
        <w:rPr>
          <w:rFonts w:eastAsiaTheme="minorHAnsi" w:cstheme="minorHAnsi"/>
          <w:kern w:val="0"/>
          <w:lang w:eastAsia="en-US"/>
          <w14:ligatures w14:val="none"/>
        </w:rPr>
        <w:t xml:space="preserve"> qui intègrent la broderie palestinienne </w:t>
      </w:r>
      <w:proofErr w:type="spellStart"/>
      <w:r w:rsidRPr="00F479EF">
        <w:rPr>
          <w:rFonts w:eastAsiaTheme="minorHAnsi" w:cstheme="minorHAnsi"/>
          <w:kern w:val="0"/>
          <w:lang w:eastAsia="en-US"/>
          <w14:ligatures w14:val="none"/>
        </w:rPr>
        <w:t>tatreez</w:t>
      </w:r>
      <w:proofErr w:type="spellEnd"/>
      <w:r w:rsidRPr="00F479EF">
        <w:rPr>
          <w:rFonts w:eastAsiaTheme="minorHAnsi" w:cstheme="minorHAnsi"/>
          <w:kern w:val="0"/>
          <w:lang w:eastAsia="en-US"/>
          <w14:ligatures w14:val="none"/>
        </w:rPr>
        <w:t xml:space="preserve"> dans leur travail</w:t>
      </w:r>
      <w:r w:rsidRPr="00F479EF">
        <w:rPr>
          <w:rFonts w:eastAsiaTheme="minorHAnsi" w:cstheme="minorHAnsi"/>
          <w:kern w:val="0"/>
          <w:vertAlign w:val="superscript"/>
          <w:lang w:eastAsia="en-US"/>
          <w14:ligatures w14:val="none"/>
        </w:rPr>
        <w:footnoteReference w:id="53"/>
      </w:r>
      <w:r w:rsidRPr="00F479EF">
        <w:rPr>
          <w:rFonts w:eastAsiaTheme="minorHAnsi" w:cstheme="minorHAnsi"/>
          <w:kern w:val="0"/>
          <w:lang w:eastAsia="en-US"/>
          <w14:ligatures w14:val="none"/>
        </w:rPr>
        <w:t xml:space="preserve">. </w:t>
      </w:r>
    </w:p>
    <w:p w14:paraId="4CCDF71D"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lastRenderedPageBreak/>
        <w:t>Pour comprendre la dynamique de la pratique et de la transmission du PCI par rapport au marché, il ne faut pas seulement considérer les produits, mais aussi la durabilité de la pratique du PCI elle-même. À cet égard, le concept de « répertoire » du patrimoine s’avère utile, car il inclut les connaissances et les compétences, ainsi que l’appréciation de la signification et de la valeur. Taylor (2016) fait par exemple la distinction entre « archives » et « répertoire » : la capacité d’enregistrer (ou d’archiver) une performance n’implique pas la capacité de recréer la signification et la valeur d’une performance sur le moment ou à l’avenir (sauvegarde par l’entretien du répertoire). C’est pourquoi la documentation d’un élément du PCI ne favorise pas nécessairement sa sauvegarde, à moins qu’elle ne soit utilisée (par les communautés) à cette fin</w:t>
      </w:r>
      <w:r w:rsidRPr="00F479EF">
        <w:rPr>
          <w:rFonts w:eastAsiaTheme="minorHAnsi" w:cstheme="minorHAnsi"/>
          <w:kern w:val="0"/>
          <w:vertAlign w:val="superscript"/>
          <w:lang w:eastAsia="en-US"/>
          <w14:ligatures w14:val="none"/>
        </w:rPr>
        <w:footnoteReference w:id="54"/>
      </w:r>
      <w:r w:rsidRPr="00F479EF">
        <w:rPr>
          <w:rFonts w:eastAsiaTheme="minorHAnsi" w:cstheme="minorHAnsi"/>
          <w:kern w:val="0"/>
          <w:lang w:eastAsia="en-US"/>
          <w14:ligatures w14:val="none"/>
        </w:rPr>
        <w:t>.</w:t>
      </w:r>
    </w:p>
    <w:p w14:paraId="148E013C"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Envisager la sauvegarde comme le maintien d’un répertoire patrimonial (la capacité à pratiquer un élément dans son contexte complet, c’est-à-dire les compétences et la signification) nous aide à réfléchir tant à la temporalité de la pratique et de la transmission, qu’à sa relation avec les produits et les services mis sur le marché. D’une part, le maintien du répertoire n’implique pas que tous les produits soient traditionnels : certains peuvent être expérimentaux, voire non traditionnels, sans affecter le répertoire, pour autant que la relation entre ces nouveaux produits et le répertoire soit comprise au sein de la communauté. Les produits qui sont considérés comme traditionnels aujourd’hui étaient innovants lors de leur lancement, et les innovations d’aujourd’hui sont les traditions de demain.</w:t>
      </w:r>
      <w:r w:rsidRPr="00F479EF">
        <w:rPr>
          <w:rFonts w:ascii="Segoe UI" w:eastAsiaTheme="minorHAnsi" w:hAnsi="Segoe UI" w:cs="Segoe UI"/>
          <w:kern w:val="0"/>
          <w:sz w:val="18"/>
          <w:szCs w:val="18"/>
          <w:lang w:eastAsia="en-US"/>
          <w14:ligatures w14:val="none"/>
        </w:rPr>
        <w:t xml:space="preserve"> </w:t>
      </w:r>
      <w:r w:rsidRPr="00F479EF">
        <w:rPr>
          <w:rFonts w:eastAsiaTheme="minorHAnsi" w:cstheme="minorHAnsi"/>
          <w:kern w:val="0"/>
          <w:lang w:eastAsia="en-US"/>
          <w14:ligatures w14:val="none"/>
        </w:rPr>
        <w:t xml:space="preserve">D’autre part, la notion de répertoire permet une adaptation appropriée : même si tous les produits et services sont limités aux produits et services strictement traditionnels, cela peut nuire à un répertoire patrimonial qui exige flexibilité et changement. Bien entendu, les normes et pratiques internes d’une communauté concernant la manière dont le PCI peut être pratiqué, modifié et utilisé (y compris à des fins commerciales) feront probablement l’objet d’un débat au sein de la communauté. </w:t>
      </w:r>
    </w:p>
    <w:p w14:paraId="26D20B47"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En résumé, il convient de poursuivre les travaux pour comprendre ce que nous entendons par « contexte » du PCI et comment les facteurs économiques affectent la continuité et le changement, afin d’aider plus efficacement les communautés et les praticiens à relever les défis auxquels ils font face. Les modèles, les visualisations et les outils de cartographie de diverses disciplines contribuent à générer des questions sur les problèmes qui peuvent être pertinents pour les communautés dans les discussions sur les contextes du PCI. Une réflexion plus approfondie sur l’adaptation et l’innovation dans la pratique du PCI est nécessaire pour permettre des débats plus précis sur quand et comment la commercialisation est un avantage ou un problème. Nous devons examiner la façon dont le marché affecte à la fois les produits liés au PCI et la pratique du PCI, et ce que les communautés peuvent faire pour maintenir la fonction sociale et la valeur dans des contextes changeants. </w:t>
      </w:r>
    </w:p>
    <w:p w14:paraId="63076A46" w14:textId="77777777" w:rsidR="002C1F81" w:rsidRPr="00F479EF" w:rsidRDefault="002C1F81" w:rsidP="002C1F81">
      <w:pPr>
        <w:keepNext/>
        <w:spacing w:after="240" w:line="240" w:lineRule="auto"/>
        <w:ind w:left="720"/>
        <w:jc w:val="both"/>
        <w:outlineLvl w:val="2"/>
        <w:rPr>
          <w:rFonts w:eastAsiaTheme="minorHAnsi" w:cstheme="minorHAnsi"/>
          <w:b/>
          <w:bCs/>
          <w:kern w:val="0"/>
          <w:lang w:eastAsia="en-US"/>
          <w14:ligatures w14:val="none"/>
        </w:rPr>
      </w:pPr>
      <w:bookmarkStart w:id="17" w:name="_Toc137745035"/>
      <w:r w:rsidRPr="00F479EF">
        <w:rPr>
          <w:rFonts w:eastAsiaTheme="minorHAnsi" w:cstheme="minorHAnsi"/>
          <w:b/>
          <w:bCs/>
          <w:kern w:val="0"/>
          <w:lang w:eastAsia="en-US"/>
          <w14:ligatures w14:val="none"/>
        </w:rPr>
        <w:t>Décontextualisation</w:t>
      </w:r>
      <w:bookmarkEnd w:id="17"/>
      <w:r w:rsidRPr="00F479EF">
        <w:rPr>
          <w:rFonts w:eastAsiaTheme="minorHAnsi" w:cstheme="minorHAnsi"/>
          <w:b/>
          <w:bCs/>
          <w:kern w:val="0"/>
          <w:lang w:eastAsia="en-US"/>
          <w14:ligatures w14:val="none"/>
        </w:rPr>
        <w:t xml:space="preserve"> </w:t>
      </w:r>
    </w:p>
    <w:p w14:paraId="2E84E436"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L’exploitation commerciale du PCI en modifie le contexte de pratique et de transmission, ce qui peut avoir un impact sur sa signification et sa valeur pour les communautés, ou sur les possibilités de sa pratique et de sa transmission, ainsi que les incitations à le faire. Il peut s’agir de la représentation d’un événement </w:t>
      </w:r>
      <w:r w:rsidRPr="00F479EF">
        <w:rPr>
          <w:rFonts w:eastAsiaTheme="minorHAnsi" w:cstheme="minorHAnsi"/>
          <w:kern w:val="0"/>
          <w:lang w:eastAsia="en-US"/>
          <w14:ligatures w14:val="none"/>
        </w:rPr>
        <w:lastRenderedPageBreak/>
        <w:t>folklorique ponctuel sur une scène par des professionnels, ou d’une représentation raccourcie pour les touristes d’une cérémonie rituelle beaucoup plus longue. La décontextualisation peut également se produire lorsque des systèmes réglementaires inappropriés perturbent ou sapent les normes communautaires relatives à la pratique et à la transmission du patrimoine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et Chapman 2020). Un changement de contexte n’entraîne cependant pas toujours une décontextualisation du PCI, par exemple lorsque les communautés sont chargées de décider du contexte d’une production touristique et de le différencier du contexte habituel du PCI. Dans un contexte plus large, les activités de décontextualisation ont parfois (peut-être involontairement) des effets positifs sur la pratique du PCI dans son contexte habituel. Les festivals de spectacles, par exemple, qui sortent le PCI de son contexte, encouragent les artistes locaux à poursuivre leur pratique au niveau local. C’est à la communauté de débattre pour déterminer si cela vaut mieux pour la sauvegarde que de ne pas avoir de spectacles du tout.</w:t>
      </w:r>
    </w:p>
    <w:p w14:paraId="3B33AAD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Comme mentionné précédemment, l’inscription sur les listes ou les inventaires du PCI au niveau international (ou national) est reconnue depuis longtemps comme un mécanisme potentiel de décontextualisation (</w:t>
      </w:r>
      <w:proofErr w:type="spellStart"/>
      <w:r w:rsidRPr="00F479EF">
        <w:rPr>
          <w:rFonts w:eastAsiaTheme="minorHAnsi" w:cstheme="minorHAnsi"/>
          <w:kern w:val="0"/>
          <w:lang w:eastAsia="en-US"/>
          <w14:ligatures w14:val="none"/>
        </w:rPr>
        <w:t>Hafstein</w:t>
      </w:r>
      <w:proofErr w:type="spellEnd"/>
      <w:r w:rsidRPr="00F479EF">
        <w:rPr>
          <w:rFonts w:eastAsiaTheme="minorHAnsi" w:cstheme="minorHAnsi"/>
          <w:kern w:val="0"/>
          <w:lang w:eastAsia="en-US"/>
          <w14:ligatures w14:val="none"/>
        </w:rPr>
        <w:t xml:space="preserve"> 2018), ce qui explique que les formulaires de candidature pour la Convention posent des questions sur les effets involontaires de l’inscription. Si le simple fait de qualifier une pratique de patrimoniale la modifie (par exemple, </w:t>
      </w:r>
      <w:proofErr w:type="spellStart"/>
      <w:r w:rsidRPr="00F479EF">
        <w:rPr>
          <w:rFonts w:eastAsiaTheme="minorHAnsi" w:cstheme="minorHAnsi"/>
          <w:kern w:val="0"/>
          <w:lang w:eastAsia="en-US"/>
          <w14:ligatures w14:val="none"/>
        </w:rPr>
        <w:t>Skounti</w:t>
      </w:r>
      <w:proofErr w:type="spellEnd"/>
      <w:r w:rsidRPr="00F479EF">
        <w:rPr>
          <w:rFonts w:eastAsiaTheme="minorHAnsi" w:cstheme="minorHAnsi"/>
          <w:kern w:val="0"/>
          <w:lang w:eastAsia="en-US"/>
          <w14:ligatures w14:val="none"/>
        </w:rPr>
        <w:t xml:space="preserve"> 2009 sur le Maroc ; </w:t>
      </w:r>
      <w:proofErr w:type="spellStart"/>
      <w:r w:rsidRPr="00F479EF">
        <w:rPr>
          <w:rFonts w:eastAsiaTheme="minorHAnsi" w:cstheme="minorHAnsi"/>
          <w:kern w:val="0"/>
          <w:lang w:eastAsia="en-US"/>
          <w14:ligatures w14:val="none"/>
        </w:rPr>
        <w:t>Moisala</w:t>
      </w:r>
      <w:proofErr w:type="spellEnd"/>
      <w:r w:rsidRPr="00F479EF">
        <w:rPr>
          <w:rFonts w:eastAsiaTheme="minorHAnsi" w:cstheme="minorHAnsi"/>
          <w:kern w:val="0"/>
          <w:lang w:eastAsia="en-US"/>
          <w14:ligatures w14:val="none"/>
        </w:rPr>
        <w:t xml:space="preserve"> 2019 sur la musique traditionnelle </w:t>
      </w:r>
      <w:proofErr w:type="spellStart"/>
      <w:r w:rsidRPr="00F479EF">
        <w:rPr>
          <w:rFonts w:eastAsiaTheme="minorHAnsi" w:cstheme="minorHAnsi"/>
          <w:kern w:val="0"/>
          <w:lang w:eastAsia="en-US"/>
          <w14:ligatures w14:val="none"/>
        </w:rPr>
        <w:t>Tamu</w:t>
      </w:r>
      <w:proofErr w:type="spellEnd"/>
      <w:r w:rsidRPr="00F479EF">
        <w:rPr>
          <w:rFonts w:eastAsiaTheme="minorHAnsi" w:cstheme="minorHAnsi"/>
          <w:kern w:val="0"/>
          <w:lang w:eastAsia="en-US"/>
          <w14:ligatures w14:val="none"/>
        </w:rPr>
        <w:t xml:space="preserve">), les effets, eux, sont variables. Adapter la valeur du PCI aux identités nationales, plutôt qu’à des contextes communautaires spécifiques, peut altérer sa signification et sa valeur pour les communautés. Une décontextualisation géographique peut également se produire, notamment si la communauté concernée n’est plus impliquée, car une grande partie du PCI est un patrimoine partagé, ou si elle a été transportée dans des contextes géographiques différents à la suite d’une migration. </w:t>
      </w:r>
    </w:p>
    <w:p w14:paraId="482E7916"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L’appellation « patrimoine » est souvent liée à des pressions commerciales. Par exemple, Chen (2015) souligne le « déplacement de pouvoir d’action » des groupes folkloriques en ce qui concerne leurs rituels, à partir du moment où ceux-ci sont reconnus comme PCI par les gouvernements régionaux en Chine et utilisés pour la promotion du tourisme. Le fait d’autoriser l’utilisation de la « marque » gouvernementale « PCI » uniquement par les maîtres du PCI désignés pour les éléments inscrits risque de privilégier certains praticiens et certaines formes de PCI par rapport à d’autres. Néanmoins, présenter l’artisanat comme un PCI dans les expositions ou les inventaires des musées peut aussi jouer un rôle important en améliorant la compréhension, en encourageant les praticiens et en éduquant les clients qui achètent des produits du PCI sur les marchés des musées (</w:t>
      </w:r>
      <w:proofErr w:type="spellStart"/>
      <w:r w:rsidRPr="00F479EF">
        <w:rPr>
          <w:rFonts w:eastAsiaTheme="minorHAnsi" w:cstheme="minorHAnsi"/>
          <w:kern w:val="0"/>
          <w:lang w:eastAsia="en-US"/>
          <w14:ligatures w14:val="none"/>
        </w:rPr>
        <w:t>Maags</w:t>
      </w:r>
      <w:proofErr w:type="spellEnd"/>
      <w:r w:rsidRPr="00F479EF">
        <w:rPr>
          <w:rFonts w:eastAsiaTheme="minorHAnsi" w:cstheme="minorHAnsi"/>
          <w:kern w:val="0"/>
          <w:lang w:eastAsia="en-US"/>
          <w14:ligatures w14:val="none"/>
        </w:rPr>
        <w:t xml:space="preserve"> 2021). Dans des cas tels que l’épopée de Manas, l’utilisation du PCI comme outil de création d’une identité nationale (</w:t>
      </w:r>
      <w:proofErr w:type="spellStart"/>
      <w:r w:rsidRPr="00F479EF">
        <w:rPr>
          <w:rFonts w:eastAsiaTheme="minorHAnsi" w:cstheme="minorHAnsi"/>
          <w:kern w:val="0"/>
          <w:lang w:eastAsia="en-US"/>
          <w14:ligatures w14:val="none"/>
        </w:rPr>
        <w:t>Jacquesson</w:t>
      </w:r>
      <w:proofErr w:type="spellEnd"/>
      <w:r w:rsidRPr="00F479EF">
        <w:rPr>
          <w:rFonts w:eastAsiaTheme="minorHAnsi" w:cstheme="minorHAnsi"/>
          <w:kern w:val="0"/>
          <w:lang w:eastAsia="en-US"/>
          <w14:ligatures w14:val="none"/>
        </w:rPr>
        <w:t xml:space="preserve"> 2020) peut coexister avec le maintien de significations et de pratiques locales : c’est l’équilibre entre les différentes significations qui évolue au fil du temps. </w:t>
      </w:r>
    </w:p>
    <w:p w14:paraId="39E81F8D"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La décontextualisation dans les contextes commerciaux est souvent multidimensionnelle, affectant à la fois le patrimoine matériel et immatériel, et différents aspects du patrimoine de différentes manières. Furuta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(2017) ont constaté qu’un tourisme accru avait des retombées importantes sur les revenus et les infrastructures dans le cadre d’une étude sur les séjours chez l’habitant pour le tourisme culturel dans deux villages d’Indonésie. Certaines pratiques du PCI (par exemple, interpréter la musique traditionnelle gamelan et les danses cérémonielles) ont rapporté de l’argent aux praticiens, accroissant par conséquent l’intérêt des jeunes pour l’apprentissage de ces compétences. En revanche, la signification et la valeur du patrimoine immatériel ont changé de manière significative. Certaines cérémonies traditionnelles ont été mises en scène ou simulées pour les touristes dans des espaces nouvellement </w:t>
      </w:r>
      <w:r w:rsidRPr="00F479EF">
        <w:rPr>
          <w:rFonts w:eastAsiaTheme="minorHAnsi" w:cstheme="minorHAnsi"/>
          <w:kern w:val="0"/>
          <w:lang w:eastAsia="en-US"/>
          <w14:ligatures w14:val="none"/>
        </w:rPr>
        <w:lastRenderedPageBreak/>
        <w:t xml:space="preserve">créés ; certains espaces privés sont devenus des espaces publics. Des ajustements ont été effectués pour répondre aux attentes des touristes. </w:t>
      </w:r>
    </w:p>
    <w:p w14:paraId="190F46E8"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En examinant les exemples de décontextualisation, il n’est pas toujours évident de savoir quels changements ont été bien accueillis par la communauté, et lesquels ne l’ont pas été. C’est important, car les allégations sont parfois basées sur des hypothèses externes plutôt que sur les points de vue de la communauté. L’analyse de l’évolution d’un spectacle par des personnes extérieures peut mettre l’accent sur les aspects esthétiques plutôt que fonctionnels, alors que les membres de la communauté accordent en réalité plus d’importance aux seconds. Par exemple, la commercialisation de la cérémonie fidjienne de marche sur le feu n’a pas nécessairement été considérée comme une menace pour la sauvegarde par les Fidjiens (</w:t>
      </w:r>
      <w:proofErr w:type="spellStart"/>
      <w:r w:rsidRPr="00F479EF">
        <w:rPr>
          <w:rFonts w:eastAsiaTheme="minorHAnsi" w:cstheme="minorHAnsi"/>
          <w:kern w:val="0"/>
          <w:lang w:eastAsia="en-US"/>
          <w14:ligatures w14:val="none"/>
        </w:rPr>
        <w:t>Pigliasco</w:t>
      </w:r>
      <w:proofErr w:type="spellEnd"/>
      <w:r w:rsidRPr="00F479EF">
        <w:rPr>
          <w:rFonts w:eastAsiaTheme="minorHAnsi" w:cstheme="minorHAnsi"/>
          <w:kern w:val="0"/>
          <w:lang w:eastAsia="en-US"/>
          <w14:ligatures w14:val="none"/>
        </w:rPr>
        <w:t xml:space="preserve"> 2020). Ils ont partagé les retombées économiques et le prestige des rencontres touristiques, et ils continuent à considérer qu’ils contrôlent leur propre image de marque culturelle par le biais du tourisme : le rituel a conservé pour eux sa signification d</w:t>
      </w:r>
      <w:proofErr w:type="gramStart"/>
      <w:r w:rsidRPr="00F479EF">
        <w:rPr>
          <w:rFonts w:eastAsiaTheme="minorHAnsi" w:cstheme="minorHAnsi"/>
          <w:kern w:val="0"/>
          <w:lang w:eastAsia="en-US"/>
          <w14:ligatures w14:val="none"/>
        </w:rPr>
        <w:t>’«</w:t>
      </w:r>
      <w:proofErr w:type="gramEnd"/>
      <w:r w:rsidRPr="00F479EF">
        <w:rPr>
          <w:rFonts w:eastAsiaTheme="minorHAnsi" w:cstheme="minorHAnsi"/>
          <w:kern w:val="0"/>
          <w:lang w:eastAsia="en-US"/>
          <w14:ligatures w14:val="none"/>
        </w:rPr>
        <w:t xml:space="preserve"> élévation ». En l’accomplissant, ils ne considéraient pas qu’ils « vendaient » des éléments importants de leur culture ou des connaissances secrètes, car le rituel lui-même ne transférait pas ces éléments. C’est plutôt un moyen de réaffirmer leur rôle de gardiens de leur PCI en traduisant certaines des valeurs de leur culture (amour, soins collectifs et respect) pour les touristes par le biais de la cérémonie de la marche sur le feu. Ainsi, </w:t>
      </w:r>
      <w:proofErr w:type="spellStart"/>
      <w:r w:rsidRPr="00F479EF">
        <w:rPr>
          <w:rFonts w:eastAsiaTheme="minorHAnsi" w:cstheme="minorHAnsi"/>
          <w:kern w:val="0"/>
          <w:lang w:eastAsia="en-US"/>
          <w14:ligatures w14:val="none"/>
        </w:rPr>
        <w:t>Pigliasco</w:t>
      </w:r>
      <w:proofErr w:type="spellEnd"/>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2020:</w:t>
      </w:r>
      <w:proofErr w:type="gramEnd"/>
      <w:r w:rsidRPr="00F479EF">
        <w:rPr>
          <w:rFonts w:eastAsiaTheme="minorHAnsi" w:cstheme="minorHAnsi"/>
          <w:kern w:val="0"/>
          <w:lang w:eastAsia="en-US"/>
          <w14:ligatures w14:val="none"/>
        </w:rPr>
        <w:t xml:space="preserve">110) suggère qu’il serait « condescendant, voire préjudiciable, de dépeindre les </w:t>
      </w:r>
      <w:proofErr w:type="spellStart"/>
      <w:r w:rsidRPr="00F479EF">
        <w:rPr>
          <w:rFonts w:eastAsiaTheme="minorHAnsi" w:cstheme="minorHAnsi"/>
          <w:i/>
          <w:kern w:val="0"/>
          <w:lang w:eastAsia="en-US"/>
          <w14:ligatures w14:val="none"/>
        </w:rPr>
        <w:t>Sawau</w:t>
      </w:r>
      <w:proofErr w:type="spellEnd"/>
      <w:r w:rsidRPr="00F479EF">
        <w:rPr>
          <w:rFonts w:eastAsiaTheme="minorHAnsi" w:cstheme="minorHAnsi"/>
          <w:i/>
          <w:kern w:val="0"/>
          <w:lang w:eastAsia="en-US"/>
          <w14:ligatures w14:val="none"/>
        </w:rPr>
        <w:t xml:space="preserve"> </w:t>
      </w:r>
      <w:proofErr w:type="spellStart"/>
      <w:r w:rsidRPr="00F479EF">
        <w:rPr>
          <w:rFonts w:eastAsiaTheme="minorHAnsi" w:cstheme="minorHAnsi"/>
          <w:i/>
          <w:kern w:val="0"/>
          <w:lang w:eastAsia="en-US"/>
          <w14:ligatures w14:val="none"/>
        </w:rPr>
        <w:t>dauvila</w:t>
      </w:r>
      <w:proofErr w:type="spellEnd"/>
      <w:r w:rsidRPr="00F479EF">
        <w:rPr>
          <w:rFonts w:eastAsiaTheme="minorHAnsi" w:cstheme="minorHAnsi"/>
          <w:kern w:val="0"/>
          <w:lang w:eastAsia="en-US"/>
          <w14:ligatures w14:val="none"/>
        </w:rPr>
        <w:t xml:space="preserve"> [experts en marche sur le feu] comme de simples artistes de cirque itinérants érodant les dimensions significatives de leur propre culture ».</w:t>
      </w:r>
    </w:p>
    <w:p w14:paraId="7A1FEE38"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Les communautés peuvent superviser l’utilisation économique de leur patrimoine de diverses manières pour résoudre le problème de la décontextualisation. Dans la tradition des </w:t>
      </w:r>
      <w:proofErr w:type="spellStart"/>
      <w:r w:rsidRPr="00F479EF">
        <w:rPr>
          <w:rFonts w:eastAsiaTheme="minorHAnsi" w:cstheme="minorHAnsi"/>
          <w:kern w:val="0"/>
          <w:lang w:eastAsia="en-US"/>
          <w14:ligatures w14:val="none"/>
        </w:rPr>
        <w:t>Voladores</w:t>
      </w:r>
      <w:proofErr w:type="spellEnd"/>
      <w:r w:rsidRPr="00F479EF">
        <w:rPr>
          <w:rFonts w:eastAsiaTheme="minorHAnsi" w:cstheme="minorHAnsi"/>
          <w:kern w:val="0"/>
          <w:lang w:eastAsia="en-US"/>
          <w14:ligatures w14:val="none"/>
        </w:rPr>
        <w:t xml:space="preserve"> du Mexique, par exemple, tous les aspects rituels de la cérémonie ne sont pas exécutés pour les touristes (</w:t>
      </w:r>
      <w:proofErr w:type="spellStart"/>
      <w:r w:rsidRPr="00F479EF">
        <w:rPr>
          <w:rFonts w:eastAsiaTheme="minorHAnsi" w:cstheme="minorHAnsi"/>
          <w:kern w:val="0"/>
          <w:lang w:eastAsia="en-US"/>
          <w14:ligatures w14:val="none"/>
        </w:rPr>
        <w:t>Rebollo</w:t>
      </w:r>
      <w:proofErr w:type="spellEnd"/>
      <w:r w:rsidRPr="00F479EF">
        <w:rPr>
          <w:rFonts w:eastAsiaTheme="minorHAnsi" w:cstheme="minorHAnsi"/>
          <w:kern w:val="0"/>
          <w:lang w:eastAsia="en-US"/>
          <w14:ligatures w14:val="none"/>
        </w:rPr>
        <w:t xml:space="preserve"> Cruz 2021). </w:t>
      </w:r>
      <w:proofErr w:type="spellStart"/>
      <w:r w:rsidRPr="00F479EF">
        <w:rPr>
          <w:rFonts w:eastAsiaTheme="minorHAnsi" w:cstheme="minorHAnsi"/>
          <w:kern w:val="0"/>
          <w:lang w:eastAsia="en-US"/>
          <w14:ligatures w14:val="none"/>
        </w:rPr>
        <w:t>Skounti</w:t>
      </w:r>
      <w:proofErr w:type="spellEnd"/>
      <w:r w:rsidRPr="00F479EF">
        <w:rPr>
          <w:rFonts w:eastAsiaTheme="minorHAnsi" w:cstheme="minorHAnsi"/>
          <w:kern w:val="0"/>
          <w:lang w:eastAsia="en-US"/>
          <w14:ligatures w14:val="none"/>
        </w:rPr>
        <w:t xml:space="preserve"> a décrit des aménagements similaires des expressions du PCI pour les locaux et les touristes au Maroc (2017). Commentant l’aménagement de la production artisanale </w:t>
      </w:r>
      <w:proofErr w:type="spellStart"/>
      <w:r w:rsidRPr="00F479EF">
        <w:rPr>
          <w:rFonts w:eastAsiaTheme="minorHAnsi" w:cstheme="minorHAnsi"/>
          <w:kern w:val="0"/>
          <w:lang w:eastAsia="en-US"/>
          <w14:ligatures w14:val="none"/>
        </w:rPr>
        <w:t>maasaï</w:t>
      </w:r>
      <w:proofErr w:type="spellEnd"/>
      <w:r w:rsidRPr="00F479EF">
        <w:rPr>
          <w:rFonts w:eastAsiaTheme="minorHAnsi" w:cstheme="minorHAnsi"/>
          <w:kern w:val="0"/>
          <w:lang w:eastAsia="en-US"/>
          <w14:ligatures w14:val="none"/>
        </w:rPr>
        <w:t xml:space="preserve"> aux touristes et aux locaux au Kenya, </w:t>
      </w:r>
      <w:proofErr w:type="spellStart"/>
      <w:r w:rsidRPr="00F479EF">
        <w:rPr>
          <w:rFonts w:eastAsiaTheme="minorHAnsi" w:cstheme="minorHAnsi"/>
          <w:kern w:val="0"/>
          <w:lang w:eastAsia="en-US"/>
          <w14:ligatures w14:val="none"/>
        </w:rPr>
        <w:t>Wijngaarden</w:t>
      </w:r>
      <w:proofErr w:type="spellEnd"/>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2018:</w:t>
      </w:r>
      <w:proofErr w:type="gramEnd"/>
      <w:r w:rsidRPr="00F479EF">
        <w:rPr>
          <w:rFonts w:eastAsiaTheme="minorHAnsi" w:cstheme="minorHAnsi"/>
          <w:kern w:val="0"/>
          <w:lang w:eastAsia="en-US"/>
          <w14:ligatures w14:val="none"/>
        </w:rPr>
        <w:t>245) explique que</w:t>
      </w:r>
    </w:p>
    <w:p w14:paraId="3602E689" w14:textId="77777777" w:rsidR="002C1F81" w:rsidRPr="00F479EF" w:rsidRDefault="002C1F81" w:rsidP="002C1F81">
      <w:pPr>
        <w:spacing w:before="200"/>
        <w:ind w:left="864" w:right="864"/>
        <w:jc w:val="both"/>
        <w:rPr>
          <w:rFonts w:eastAsiaTheme="minorHAnsi" w:cstheme="minorHAnsi"/>
          <w:i/>
          <w:iCs/>
          <w:color w:val="404040" w:themeColor="text1" w:themeTint="BF"/>
          <w:kern w:val="0"/>
          <w:lang w:eastAsia="en-US"/>
          <w14:ligatures w14:val="none"/>
        </w:rPr>
      </w:pPr>
      <w:r w:rsidRPr="00F479EF">
        <w:rPr>
          <w:rFonts w:eastAsiaTheme="minorHAnsi" w:cstheme="minorHAnsi"/>
          <w:i/>
          <w:iCs/>
          <w:color w:val="404040" w:themeColor="text1" w:themeTint="BF"/>
          <w:kern w:val="0"/>
          <w:lang w:eastAsia="en-US"/>
          <w14:ligatures w14:val="none"/>
        </w:rPr>
        <w:t>[</w:t>
      </w:r>
      <w:proofErr w:type="gramStart"/>
      <w:r w:rsidRPr="00F479EF">
        <w:rPr>
          <w:rFonts w:eastAsiaTheme="minorHAnsi" w:cstheme="minorHAnsi"/>
          <w:i/>
          <w:iCs/>
          <w:color w:val="404040" w:themeColor="text1" w:themeTint="BF"/>
          <w:kern w:val="0"/>
          <w:lang w:eastAsia="en-US"/>
          <w14:ligatures w14:val="none"/>
        </w:rPr>
        <w:t>b</w:t>
      </w:r>
      <w:proofErr w:type="gramEnd"/>
      <w:r w:rsidRPr="00F479EF">
        <w:rPr>
          <w:rFonts w:eastAsiaTheme="minorHAnsi" w:cstheme="minorHAnsi"/>
          <w:i/>
          <w:iCs/>
          <w:color w:val="404040" w:themeColor="text1" w:themeTint="BF"/>
          <w:kern w:val="0"/>
          <w:lang w:eastAsia="en-US"/>
          <w14:ligatures w14:val="none"/>
        </w:rPr>
        <w:t>]</w:t>
      </w:r>
      <w:proofErr w:type="spellStart"/>
      <w:r w:rsidRPr="00F479EF">
        <w:rPr>
          <w:rFonts w:eastAsiaTheme="minorHAnsi" w:cstheme="minorHAnsi"/>
          <w:i/>
          <w:iCs/>
          <w:color w:val="404040" w:themeColor="text1" w:themeTint="BF"/>
          <w:kern w:val="0"/>
          <w:lang w:eastAsia="en-US"/>
          <w14:ligatures w14:val="none"/>
        </w:rPr>
        <w:t>ien</w:t>
      </w:r>
      <w:proofErr w:type="spellEnd"/>
      <w:r w:rsidRPr="00F479EF">
        <w:rPr>
          <w:rFonts w:eastAsiaTheme="minorHAnsi" w:cstheme="minorHAnsi"/>
          <w:i/>
          <w:iCs/>
          <w:color w:val="404040" w:themeColor="text1" w:themeTint="BF"/>
          <w:kern w:val="0"/>
          <w:lang w:eastAsia="en-US"/>
          <w14:ligatures w14:val="none"/>
        </w:rPr>
        <w:t xml:space="preserve"> que les perles </w:t>
      </w:r>
      <w:proofErr w:type="spellStart"/>
      <w:r w:rsidRPr="00F479EF">
        <w:rPr>
          <w:rFonts w:eastAsiaTheme="minorHAnsi" w:cstheme="minorHAnsi"/>
          <w:i/>
          <w:iCs/>
          <w:color w:val="404040" w:themeColor="text1" w:themeTint="BF"/>
          <w:kern w:val="0"/>
          <w:lang w:eastAsia="en-US"/>
          <w14:ligatures w14:val="none"/>
        </w:rPr>
        <w:t>maasaï</w:t>
      </w:r>
      <w:proofErr w:type="spellEnd"/>
      <w:r w:rsidRPr="00F479EF">
        <w:rPr>
          <w:rFonts w:eastAsiaTheme="minorHAnsi" w:cstheme="minorHAnsi"/>
          <w:i/>
          <w:iCs/>
          <w:color w:val="404040" w:themeColor="text1" w:themeTint="BF"/>
          <w:kern w:val="0"/>
          <w:lang w:eastAsia="en-US"/>
          <w14:ligatures w14:val="none"/>
        </w:rPr>
        <w:t xml:space="preserve"> créées pour le marché du tourisme soient différentes des perles que les </w:t>
      </w:r>
      <w:proofErr w:type="spellStart"/>
      <w:r w:rsidRPr="00F479EF">
        <w:rPr>
          <w:rFonts w:eastAsiaTheme="minorHAnsi" w:cstheme="minorHAnsi"/>
          <w:i/>
          <w:iCs/>
          <w:color w:val="404040" w:themeColor="text1" w:themeTint="BF"/>
          <w:kern w:val="0"/>
          <w:lang w:eastAsia="en-US"/>
          <w14:ligatures w14:val="none"/>
        </w:rPr>
        <w:t>Maasaï</w:t>
      </w:r>
      <w:proofErr w:type="spellEnd"/>
      <w:r w:rsidRPr="00F479EF">
        <w:rPr>
          <w:rFonts w:eastAsiaTheme="minorHAnsi" w:cstheme="minorHAnsi"/>
          <w:i/>
          <w:iCs/>
          <w:color w:val="404040" w:themeColor="text1" w:themeTint="BF"/>
          <w:kern w:val="0"/>
          <w:lang w:eastAsia="en-US"/>
          <w14:ligatures w14:val="none"/>
        </w:rPr>
        <w:t xml:space="preserve"> portent eux-mêmes, les deux domaines sont semi-perméables et interagissent l’un avec l’autre. L’influence du marché touristique sur les ornements </w:t>
      </w:r>
      <w:proofErr w:type="spellStart"/>
      <w:r w:rsidRPr="00F479EF">
        <w:rPr>
          <w:rFonts w:eastAsiaTheme="minorHAnsi" w:cstheme="minorHAnsi"/>
          <w:i/>
          <w:iCs/>
          <w:color w:val="404040" w:themeColor="text1" w:themeTint="BF"/>
          <w:kern w:val="0"/>
          <w:lang w:eastAsia="en-US"/>
          <w14:ligatures w14:val="none"/>
        </w:rPr>
        <w:t>maasaï</w:t>
      </w:r>
      <w:proofErr w:type="spellEnd"/>
      <w:r w:rsidRPr="00F479EF">
        <w:rPr>
          <w:rFonts w:eastAsiaTheme="minorHAnsi" w:cstheme="minorHAnsi"/>
          <w:i/>
          <w:iCs/>
          <w:color w:val="404040" w:themeColor="text1" w:themeTint="BF"/>
          <w:kern w:val="0"/>
          <w:lang w:eastAsia="en-US"/>
          <w14:ligatures w14:val="none"/>
        </w:rPr>
        <w:t xml:space="preserve"> [tels que les montres-bracelets en perles] ne doit cependant pas être considérée comme un phénomène récent de contamination d’une tradition prémoderne par ailleurs pure. Il s’agit plutôt de la suite du processus continu d’interaction entre des peuples de sociétés et de continents différents, qui a toujours donné naissance au perlage </w:t>
      </w:r>
      <w:proofErr w:type="spellStart"/>
      <w:r w:rsidRPr="00F479EF">
        <w:rPr>
          <w:rFonts w:eastAsiaTheme="minorHAnsi" w:cstheme="minorHAnsi"/>
          <w:i/>
          <w:iCs/>
          <w:color w:val="404040" w:themeColor="text1" w:themeTint="BF"/>
          <w:kern w:val="0"/>
          <w:lang w:eastAsia="en-US"/>
          <w14:ligatures w14:val="none"/>
        </w:rPr>
        <w:t>maasaï</w:t>
      </w:r>
      <w:proofErr w:type="spellEnd"/>
      <w:r w:rsidRPr="00F479EF">
        <w:rPr>
          <w:rFonts w:eastAsiaTheme="minorHAnsi" w:cstheme="minorHAnsi"/>
          <w:i/>
          <w:iCs/>
          <w:color w:val="404040" w:themeColor="text1" w:themeTint="BF"/>
          <w:kern w:val="0"/>
          <w:lang w:eastAsia="en-US"/>
          <w14:ligatures w14:val="none"/>
        </w:rPr>
        <w:t xml:space="preserve">. </w:t>
      </w:r>
    </w:p>
    <w:p w14:paraId="2852E9EA"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Il faut mener des études détaillées, avec la collaboration et le consentement de la communauté, pour identifier les facteurs susceptibles d’augmenter le risque de décontextualisation, examiner les effets spécifiques de l’engagement du marché lorsque le PCI est sorti de son « contexte » et déterminer comment atténuer l’impact négatif de la décontextualisation. </w:t>
      </w:r>
    </w:p>
    <w:p w14:paraId="0FE48F2D" w14:textId="77777777" w:rsidR="002C1F81" w:rsidRPr="00F479EF" w:rsidRDefault="002C1F81" w:rsidP="002C1F81">
      <w:pPr>
        <w:keepNext/>
        <w:spacing w:after="240" w:line="240" w:lineRule="auto"/>
        <w:ind w:left="720"/>
        <w:jc w:val="both"/>
        <w:outlineLvl w:val="2"/>
        <w:rPr>
          <w:rFonts w:eastAsiaTheme="minorHAnsi" w:cstheme="minorHAnsi"/>
          <w:b/>
          <w:bCs/>
          <w:kern w:val="0"/>
          <w:lang w:eastAsia="en-US"/>
          <w14:ligatures w14:val="none"/>
        </w:rPr>
      </w:pPr>
      <w:bookmarkStart w:id="18" w:name="_Toc137745036"/>
      <w:r w:rsidRPr="00F479EF">
        <w:rPr>
          <w:rFonts w:eastAsiaTheme="minorHAnsi" w:cstheme="minorHAnsi"/>
          <w:b/>
          <w:bCs/>
          <w:kern w:val="0"/>
          <w:lang w:eastAsia="en-US"/>
          <w14:ligatures w14:val="none"/>
        </w:rPr>
        <w:t>Commercialisation excessive</w:t>
      </w:r>
      <w:bookmarkEnd w:id="18"/>
    </w:p>
    <w:p w14:paraId="4E556AA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La commercialisation excessive, la marchandisation et le tourisme non durable sont identifiés comme des menaces pour la sauvegarde dans les textes de la Convention, mais ils ne sont pas explicitement définis (DO 102(e), DO 117 et PE 10). Les Directives opérationnelles mentionnent l’importance des protections </w:t>
      </w:r>
      <w:r w:rsidRPr="00F479EF">
        <w:rPr>
          <w:rFonts w:eastAsiaTheme="minorHAnsi" w:cstheme="minorHAnsi"/>
          <w:kern w:val="0"/>
          <w:lang w:eastAsia="en-US"/>
          <w14:ligatures w14:val="none"/>
        </w:rPr>
        <w:lastRenderedPageBreak/>
        <w:t>juridiques pour les communautés lorsque leur PCI est utilisé dans le cadre d’activités commerciales (DO 104, DO 173(b)), et rappellent la nécessité d’en tirer un bénéfice équitable. Ce texte soulève des inquiétudes quant aux activités commerciales qui menacent la viabilité (DO 116) et dénaturent la signification et la finalité pour la communauté concernée (DO 117). Ainsi, quand on parle de commercialisation, il faut se demander « qui a le droit de déterminer ce qui constitue une utilisation économique appropriée du PCI, ou même une commercialisation excessive ou insuffisante, et sur quelle base le font-ils ? » Selon l’article 15 de la Convention et les Principes éthiques, les communautés concernées doivent être les principaux acteurs de ces décisions. Dans certains cas, les communautés doivent réfléchir à comment réagir à la commercialisation non autorisée d’un PCI à caractère confidentiel ou sacré, à la présentation erronée ou au détournement.</w:t>
      </w:r>
    </w:p>
    <w:p w14:paraId="3DE9FA3D" w14:textId="24D9FCE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Les chercheurs se sont penchés sur la commercialisation excessive d’éléments du PCI qui font partie du marché, la commercialisation inappropriée d’éléments secrets ou sacrés du PCI et le bénéfice inéquitable. </w:t>
      </w:r>
      <w:r w:rsidR="0063112D">
        <w:rPr>
          <w:rFonts w:eastAsiaTheme="minorHAnsi" w:cstheme="minorHAnsi"/>
          <w:kern w:val="0"/>
          <w:lang w:eastAsia="en-US"/>
          <w14:ligatures w14:val="none"/>
        </w:rPr>
        <w:t>U</w:t>
      </w:r>
      <w:r w:rsidRPr="00F479EF">
        <w:rPr>
          <w:rFonts w:eastAsiaTheme="minorHAnsi" w:cstheme="minorHAnsi"/>
          <w:kern w:val="0"/>
          <w:lang w:eastAsia="en-US"/>
          <w14:ligatures w14:val="none"/>
        </w:rPr>
        <w:t>ne rémunération insuffisante des activités liées au PCI (commercialisation insuffisante) peut également s’avérer problématique. Il faut donc tenir compte de la commercialisation excessive, mais aussi de la commercialisation insuffisante, de la non-commercialisation et du bénéfice équitable.</w:t>
      </w:r>
    </w:p>
    <w:p w14:paraId="5431C103"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L’exploitation économique du PCI existe depuis de nombreuses années et, dans de nombreux cas, elle fait partie de la pratique du PCI elle-même. Les communautés adaptent les pratiques du PCI dans de nouveaux contextes, y compris commerciaux. Les analyses historiques des pratiques du PCI montrent qu’il est primordial de comprendre les liens entre le lieu, les marchés, la valeur et les mécanismes de transmission. Par exemple, la fabrication de violons à Crémone, en Italie, a débuté en 1560 grâce à une commande royale de Catherine de Médicis, en France. Lorsque le mécénat royal a décliné dans les années 1750, certains ateliers ont été démantelés et des compétences de luthiers </w:t>
      </w:r>
      <w:proofErr w:type="spellStart"/>
      <w:r w:rsidRPr="00F479EF">
        <w:rPr>
          <w:rFonts w:eastAsiaTheme="minorHAnsi" w:cstheme="minorHAnsi"/>
          <w:kern w:val="0"/>
          <w:lang w:eastAsia="en-US"/>
          <w14:ligatures w14:val="none"/>
        </w:rPr>
        <w:t>crémonais</w:t>
      </w:r>
      <w:proofErr w:type="spellEnd"/>
      <w:r w:rsidRPr="00F479EF">
        <w:rPr>
          <w:rFonts w:eastAsiaTheme="minorHAnsi" w:cstheme="minorHAnsi"/>
          <w:kern w:val="0"/>
          <w:lang w:eastAsia="en-US"/>
          <w14:ligatures w14:val="none"/>
        </w:rPr>
        <w:t xml:space="preserve"> tels qu’Antonio Stradivari ont été perdues. C’est au moment où les violons </w:t>
      </w:r>
      <w:proofErr w:type="spellStart"/>
      <w:r w:rsidRPr="00F479EF">
        <w:rPr>
          <w:rFonts w:eastAsiaTheme="minorHAnsi" w:cstheme="minorHAnsi"/>
          <w:kern w:val="0"/>
          <w:lang w:eastAsia="en-US"/>
          <w14:ligatures w14:val="none"/>
        </w:rPr>
        <w:t>crémonais</w:t>
      </w:r>
      <w:proofErr w:type="spellEnd"/>
      <w:r w:rsidRPr="00F479EF">
        <w:rPr>
          <w:rFonts w:eastAsiaTheme="minorHAnsi" w:cstheme="minorHAnsi"/>
          <w:kern w:val="0"/>
          <w:lang w:eastAsia="en-US"/>
          <w14:ligatures w14:val="none"/>
        </w:rPr>
        <w:t xml:space="preserve"> sont devenus prisés pour leur sonorité et leur timbre puissants par les virtuoses jouant devant un large public dans les salles de concert publiques que les luthiers ont recommencé à essayer de faire renaître ces savoir-faire au XIX</w:t>
      </w:r>
      <w:r w:rsidRPr="00F479EF">
        <w:rPr>
          <w:rFonts w:eastAsiaTheme="minorHAnsi" w:cstheme="minorHAnsi"/>
          <w:kern w:val="0"/>
          <w:vertAlign w:val="superscript"/>
          <w:lang w:eastAsia="en-US"/>
          <w14:ligatures w14:val="none"/>
        </w:rPr>
        <w:t>e</w:t>
      </w:r>
      <w:r w:rsidRPr="00F479EF">
        <w:rPr>
          <w:rFonts w:eastAsiaTheme="minorHAnsi" w:cstheme="minorHAnsi"/>
          <w:kern w:val="0"/>
          <w:lang w:eastAsia="en-US"/>
          <w14:ligatures w14:val="none"/>
        </w:rPr>
        <w:t xml:space="preserve"> siècle (Cattani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2013). Les forces du marché telles que le mécénat, la réputation et la demande des consommateurs ont joué un rôle majeur en encourageant la transmission et la revitalisation des compétences des luthiers à Crémone.</w:t>
      </w:r>
    </w:p>
    <w:p w14:paraId="13C67B8A"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La commercialisation excessive permet en général (et souvent aux acteurs externes) de décrire une intensification indésirable de la pression commerciale en dehors du contrôle de la communauté, telle que l’utilisation de nouveaux types de matières premières, la mécanisation, des méthodes de production industrielle ou un marketing agressif. La littérature ne donne pas beaucoup d’indications sur les facteurs à prendre en compte pour différencier une commercialisation excessive d’une commercialisation potentiellement bénéfique pour la sauvegarde du PCI. Une étude sur l’artisanat traditionnel en Autriche</w:t>
      </w:r>
      <w:r w:rsidRPr="00F479EF">
        <w:rPr>
          <w:rFonts w:eastAsiaTheme="minorHAnsi" w:cstheme="minorHAnsi"/>
          <w:kern w:val="0"/>
          <w:vertAlign w:val="superscript"/>
          <w:lang w:eastAsia="en-US"/>
          <w14:ligatures w14:val="none"/>
        </w:rPr>
        <w:footnoteReference w:id="55"/>
      </w:r>
      <w:r w:rsidRPr="00F479EF">
        <w:rPr>
          <w:rFonts w:eastAsiaTheme="minorHAnsi" w:cstheme="minorHAnsi"/>
          <w:kern w:val="0"/>
          <w:lang w:eastAsia="en-US"/>
          <w14:ligatures w14:val="none"/>
        </w:rPr>
        <w:t xml:space="preserve"> définit certaines caractéristiques (voir ci-dessous) du contexte économique de ces petites entreprises (petites entreprises locales, individuelles et coopératives basées sur des compétences patrimoniales). </w:t>
      </w:r>
    </w:p>
    <w:p w14:paraId="45956DF9" w14:textId="77777777" w:rsidR="007E67E8" w:rsidRDefault="002C1F81" w:rsidP="002C1F81">
      <w:pPr>
        <w:jc w:val="both"/>
        <w:rPr>
          <w:rFonts w:eastAsiaTheme="minorHAnsi" w:cstheme="minorHAnsi"/>
          <w:kern w:val="0"/>
          <w:lang w:eastAsia="en-US"/>
          <w14:ligatures w14:val="none"/>
        </w:rPr>
      </w:pPr>
      <w:r>
        <w:rPr>
          <w:noProof/>
        </w:rPr>
        <w:lastRenderedPageBreak/>
        <w:drawing>
          <wp:inline distT="0" distB="0" distL="0" distR="0" wp14:anchorId="5B3862C9" wp14:editId="086F442A">
            <wp:extent cx="5571490" cy="4848225"/>
            <wp:effectExtent l="0" t="0" r="0" b="9525"/>
            <wp:docPr id="20" name="Image 20" descr="Une image contenant texte, capture d’écran, Police,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texte, capture d’écran, Police, document&#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1490" cy="4848225"/>
                    </a:xfrm>
                    <a:prstGeom prst="rect">
                      <a:avLst/>
                    </a:prstGeom>
                    <a:noFill/>
                    <a:ln>
                      <a:noFill/>
                    </a:ln>
                  </pic:spPr>
                </pic:pic>
              </a:graphicData>
            </a:graphic>
          </wp:inline>
        </w:drawing>
      </w:r>
    </w:p>
    <w:p w14:paraId="407E22BE" w14:textId="2F96C1CC"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Ces caractéristiques, ainsi que la production artisanale, servent souvent implicitement à distinguer une activité économique appropriée dans le domaine du PCI d’une commercialisation excessive. Cependant, un ensemble fixe de critères peut ne pas convenir à toutes les formes de PCI. </w:t>
      </w:r>
    </w:p>
    <w:p w14:paraId="3A06DCE6" w14:textId="324D9278"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La littérature fournit quelques exemples de contextes économiques du PCI qui impliquent une production industrielle ou mécanisée et un engagement mondial que les communautés trouvent inappropriés. Madhavan (</w:t>
      </w:r>
      <w:proofErr w:type="gramStart"/>
      <w:r w:rsidRPr="00F479EF">
        <w:rPr>
          <w:rFonts w:eastAsiaTheme="minorHAnsi" w:cstheme="minorHAnsi"/>
          <w:kern w:val="0"/>
          <w:lang w:eastAsia="en-US"/>
          <w14:ligatures w14:val="none"/>
        </w:rPr>
        <w:t>2012:</w:t>
      </w:r>
      <w:proofErr w:type="gramEnd"/>
      <w:r w:rsidRPr="00F479EF">
        <w:rPr>
          <w:rFonts w:eastAsiaTheme="minorHAnsi" w:cstheme="minorHAnsi"/>
          <w:kern w:val="0"/>
          <w:lang w:eastAsia="en-US"/>
          <w14:ligatures w14:val="none"/>
        </w:rPr>
        <w:t xml:space="preserve">41-42) explique que la commercialisation de la médecine traditionnelle tibétaine a transformé les traditions de préparation manuelle en une production de masse systématique et standardisée de remèdes, ce qui a conduit à une plus grande homogénéité et à une limitation de l’innovation. Toutefois, dans certains cas, les communautés ont bénéficié de règles de production normalisées, élaborées avec leur participation, afin de permettre un étiquetage plus précis et donc une rémunération appropriée des produits artisanaux menacés par les imitations produites en usine. À Chypre, une norme nationale a été élaborée en 2015 pour la dentelle de </w:t>
      </w:r>
      <w:proofErr w:type="spellStart"/>
      <w:r w:rsidRPr="00F479EF">
        <w:rPr>
          <w:rFonts w:eastAsiaTheme="minorHAnsi" w:cstheme="minorHAnsi"/>
          <w:kern w:val="0"/>
          <w:lang w:eastAsia="en-US"/>
          <w14:ligatures w14:val="none"/>
        </w:rPr>
        <w:t>Lefkara</w:t>
      </w:r>
      <w:proofErr w:type="spellEnd"/>
      <w:r w:rsidRPr="00F479EF">
        <w:rPr>
          <w:rFonts w:eastAsiaTheme="minorHAnsi" w:cstheme="minorHAnsi"/>
          <w:kern w:val="0"/>
          <w:lang w:eastAsia="en-US"/>
          <w14:ligatures w14:val="none"/>
        </w:rPr>
        <w:t>, inscrite sur la Liste représentative</w:t>
      </w:r>
      <w:r w:rsidRPr="00F479EF">
        <w:rPr>
          <w:rFonts w:eastAsiaTheme="minorHAnsi" w:cstheme="minorHAnsi"/>
          <w:kern w:val="0"/>
          <w:vertAlign w:val="superscript"/>
          <w:lang w:eastAsia="en-US"/>
          <w14:ligatures w14:val="none"/>
        </w:rPr>
        <w:footnoteReference w:id="56"/>
      </w:r>
      <w:r w:rsidRPr="00F479EF">
        <w:rPr>
          <w:rFonts w:eastAsiaTheme="minorHAnsi" w:cstheme="minorHAnsi"/>
          <w:kern w:val="0"/>
          <w:lang w:eastAsia="en-US"/>
          <w14:ligatures w14:val="none"/>
        </w:rPr>
        <w:t>.</w:t>
      </w:r>
    </w:p>
    <w:p w14:paraId="34553FB8"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lastRenderedPageBreak/>
        <w:t xml:space="preserve">Le recours à des mécanismes industriels ou à une production de masse conduit à une commercialisation excessive dans certains cas, mais pas dans d’autres. </w:t>
      </w:r>
      <w:proofErr w:type="spellStart"/>
      <w:r w:rsidRPr="00F479EF">
        <w:rPr>
          <w:rFonts w:eastAsiaTheme="minorHAnsi" w:cstheme="minorHAnsi"/>
          <w:kern w:val="0"/>
          <w:lang w:eastAsia="en-US"/>
          <w14:ligatures w14:val="none"/>
        </w:rPr>
        <w:t>Littaye</w:t>
      </w:r>
      <w:proofErr w:type="spellEnd"/>
      <w:r w:rsidRPr="00F479EF">
        <w:rPr>
          <w:rFonts w:eastAsiaTheme="minorHAnsi" w:cstheme="minorHAnsi"/>
          <w:kern w:val="0"/>
          <w:lang w:eastAsia="en-US"/>
          <w14:ligatures w14:val="none"/>
        </w:rPr>
        <w:t xml:space="preserve"> (2015, 2016) souligne la complexité de l’identification de la commercialisation excessive dans son étude des traditions autour de la </w:t>
      </w:r>
      <w:proofErr w:type="spellStart"/>
      <w:r w:rsidRPr="00F479EF">
        <w:rPr>
          <w:rFonts w:eastAsiaTheme="minorHAnsi" w:cstheme="minorHAnsi"/>
          <w:kern w:val="0"/>
          <w:lang w:eastAsia="en-US"/>
          <w14:ligatures w14:val="none"/>
        </w:rPr>
        <w:t>pinole</w:t>
      </w:r>
      <w:proofErr w:type="spellEnd"/>
      <w:r w:rsidRPr="00F479EF">
        <w:rPr>
          <w:rFonts w:eastAsiaTheme="minorHAnsi" w:cstheme="minorHAnsi"/>
          <w:kern w:val="0"/>
          <w:lang w:eastAsia="en-US"/>
          <w14:ligatures w14:val="none"/>
        </w:rPr>
        <w:t xml:space="preserve"> de maïs bleu, une variété de farine produite à partir de la mouture du maïs bleu au Mexique. Dans la définition de son patrimoine, la communauté locale qui produit le maïs pour la </w:t>
      </w:r>
      <w:proofErr w:type="spellStart"/>
      <w:r w:rsidRPr="00F479EF">
        <w:rPr>
          <w:rFonts w:eastAsiaTheme="minorHAnsi" w:cstheme="minorHAnsi"/>
          <w:kern w:val="0"/>
          <w:lang w:eastAsia="en-US"/>
          <w14:ligatures w14:val="none"/>
        </w:rPr>
        <w:t>pinole</w:t>
      </w:r>
      <w:proofErr w:type="spellEnd"/>
      <w:r w:rsidRPr="00F479EF">
        <w:rPr>
          <w:rFonts w:eastAsiaTheme="minorHAnsi" w:cstheme="minorHAnsi"/>
          <w:kern w:val="0"/>
          <w:lang w:eastAsia="en-US"/>
          <w14:ligatures w14:val="none"/>
        </w:rPr>
        <w:t xml:space="preserve"> se préoccupe davantage du maintien des stocks de semences et des méthodes de culture (</w:t>
      </w:r>
      <w:proofErr w:type="spellStart"/>
      <w:r w:rsidRPr="00F479EF">
        <w:rPr>
          <w:rFonts w:eastAsiaTheme="minorHAnsi" w:cstheme="minorHAnsi"/>
          <w:kern w:val="0"/>
          <w:lang w:eastAsia="en-US"/>
          <w14:ligatures w14:val="none"/>
        </w:rPr>
        <w:t>milpa</w:t>
      </w:r>
      <w:proofErr w:type="spellEnd"/>
      <w:r w:rsidRPr="00F479EF">
        <w:rPr>
          <w:rFonts w:eastAsiaTheme="minorHAnsi" w:cstheme="minorHAnsi"/>
          <w:kern w:val="0"/>
          <w:lang w:eastAsia="en-US"/>
          <w14:ligatures w14:val="none"/>
        </w:rPr>
        <w:t xml:space="preserve"> ou cultures intercalaires), ainsi que de la consommation du </w:t>
      </w:r>
      <w:proofErr w:type="spellStart"/>
      <w:r w:rsidRPr="00F479EF">
        <w:rPr>
          <w:rFonts w:eastAsiaTheme="minorHAnsi" w:cstheme="minorHAnsi"/>
          <w:kern w:val="0"/>
          <w:lang w:eastAsia="en-US"/>
          <w14:ligatures w14:val="none"/>
        </w:rPr>
        <w:t>pinole</w:t>
      </w:r>
      <w:proofErr w:type="spellEnd"/>
      <w:r w:rsidRPr="00F479EF">
        <w:rPr>
          <w:rFonts w:eastAsiaTheme="minorHAnsi" w:cstheme="minorHAnsi"/>
          <w:kern w:val="0"/>
          <w:lang w:eastAsia="en-US"/>
          <w14:ligatures w14:val="none"/>
        </w:rPr>
        <w:t xml:space="preserve"> dans le cadre de sa vie quotidienne. Ils sont donc ravis de chercher des opportunités de commercialisation qui incluent la mécanisation de la mouture du maïs. Cependant, la diaspora de cette communauté présente aux États-Unis, en accord avec l’inscription du produit à l’Arche du Goût de Slow Food International, souligne l’importance de la mouture manuelle du maïs par la communauté locale pour la fabrication de la </w:t>
      </w:r>
      <w:proofErr w:type="spellStart"/>
      <w:r w:rsidRPr="00F479EF">
        <w:rPr>
          <w:rFonts w:eastAsiaTheme="minorHAnsi" w:cstheme="minorHAnsi"/>
          <w:kern w:val="0"/>
          <w:lang w:eastAsia="en-US"/>
          <w14:ligatures w14:val="none"/>
        </w:rPr>
        <w:t>pinole</w:t>
      </w:r>
      <w:proofErr w:type="spellEnd"/>
      <w:r w:rsidRPr="00F479EF">
        <w:rPr>
          <w:rFonts w:eastAsiaTheme="minorHAnsi" w:cstheme="minorHAnsi"/>
          <w:kern w:val="0"/>
          <w:lang w:eastAsia="en-US"/>
          <w14:ligatures w14:val="none"/>
        </w:rPr>
        <w:t xml:space="preserve">. Dans ce contexte, l’utilisation de machines pour broyer le maïs est considérée comme une commercialisation excessive. Les communautés de la diaspora ont souvent des points de vue différents sur le changement et l’adaptation appropriés dans la pratique du PCI, étant parfois plus ouvertes au changement et parfois moins, comme le montre cet exemple. De nombreuses formes de PCI sont communes à toutes les régions et à tous les pays. </w:t>
      </w:r>
    </w:p>
    <w:p w14:paraId="457A395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La dynamique des marchés mondiaux est très pertinente pour l’histoire de la commercialisation du PCI et sa signification pour les communautés locales. Les tissus </w:t>
      </w:r>
      <w:proofErr w:type="spellStart"/>
      <w:r w:rsidRPr="00F479EF">
        <w:rPr>
          <w:rFonts w:eastAsiaTheme="minorHAnsi" w:cstheme="minorHAnsi"/>
          <w:kern w:val="0"/>
          <w:lang w:eastAsia="en-US"/>
          <w14:ligatures w14:val="none"/>
        </w:rPr>
        <w:t>Kente</w:t>
      </w:r>
      <w:proofErr w:type="spellEnd"/>
      <w:r w:rsidRPr="00F479EF">
        <w:rPr>
          <w:rFonts w:eastAsiaTheme="minorHAnsi" w:cstheme="minorHAnsi"/>
          <w:kern w:val="0"/>
          <w:lang w:eastAsia="en-US"/>
          <w14:ligatures w14:val="none"/>
        </w:rPr>
        <w:t xml:space="preserve"> ghanéens fabriqués par les tisserands </w:t>
      </w:r>
      <w:proofErr w:type="spellStart"/>
      <w:r w:rsidRPr="00F479EF">
        <w:rPr>
          <w:rFonts w:eastAsiaTheme="minorHAnsi" w:cstheme="minorHAnsi"/>
          <w:kern w:val="0"/>
          <w:lang w:eastAsia="en-US"/>
          <w14:ligatures w14:val="none"/>
        </w:rPr>
        <w:t>Asante</w:t>
      </w:r>
      <w:proofErr w:type="spellEnd"/>
      <w:r w:rsidRPr="00F479EF">
        <w:rPr>
          <w:rFonts w:eastAsiaTheme="minorHAnsi" w:cstheme="minorHAnsi"/>
          <w:kern w:val="0"/>
          <w:lang w:eastAsia="en-US"/>
          <w14:ligatures w14:val="none"/>
        </w:rPr>
        <w:t xml:space="preserve"> et Ewe ont toujours été vendus localement ; le </w:t>
      </w:r>
      <w:proofErr w:type="spellStart"/>
      <w:r w:rsidRPr="00F479EF">
        <w:rPr>
          <w:rFonts w:eastAsiaTheme="minorHAnsi" w:cstheme="minorHAnsi"/>
          <w:kern w:val="0"/>
          <w:lang w:eastAsia="en-US"/>
          <w14:ligatures w14:val="none"/>
        </w:rPr>
        <w:t>kente</w:t>
      </w:r>
      <w:proofErr w:type="spellEnd"/>
      <w:r w:rsidRPr="00F479EF">
        <w:rPr>
          <w:rFonts w:eastAsiaTheme="minorHAnsi" w:cstheme="minorHAnsi"/>
          <w:kern w:val="0"/>
          <w:lang w:eastAsia="en-US"/>
          <w14:ligatures w14:val="none"/>
        </w:rPr>
        <w:t xml:space="preserve"> fait également partie des marchés économiques mondiaux depuis plusieurs siècles (Boateng 2011). Le commerce mondial et l’innovation locale ont entraîné une évolution significative de la pratique au fil du temps. Par exemple, les praticiens ont modifié leurs méthodes et matériaux de tissage au cours du XIX</w:t>
      </w:r>
      <w:r w:rsidRPr="00F479EF">
        <w:rPr>
          <w:rFonts w:eastAsiaTheme="minorHAnsi" w:cstheme="minorHAnsi"/>
          <w:kern w:val="0"/>
          <w:vertAlign w:val="superscript"/>
          <w:lang w:eastAsia="en-US"/>
          <w14:ligatures w14:val="none"/>
        </w:rPr>
        <w:t>e</w:t>
      </w:r>
      <w:r w:rsidRPr="00F479EF">
        <w:rPr>
          <w:rFonts w:eastAsiaTheme="minorHAnsi" w:cstheme="minorHAnsi"/>
          <w:kern w:val="0"/>
          <w:lang w:eastAsia="en-US"/>
          <w14:ligatures w14:val="none"/>
        </w:rPr>
        <w:t xml:space="preserve"> siècle, en utilisant des soies importées dans les textiles </w:t>
      </w:r>
      <w:proofErr w:type="spellStart"/>
      <w:r w:rsidRPr="00F479EF">
        <w:rPr>
          <w:rFonts w:eastAsiaTheme="minorHAnsi" w:cstheme="minorHAnsi"/>
          <w:kern w:val="0"/>
          <w:lang w:eastAsia="en-US"/>
          <w14:ligatures w14:val="none"/>
        </w:rPr>
        <w:t>Asante</w:t>
      </w:r>
      <w:proofErr w:type="spellEnd"/>
      <w:r w:rsidRPr="00F479EF">
        <w:rPr>
          <w:rFonts w:eastAsiaTheme="minorHAnsi" w:cstheme="minorHAnsi"/>
          <w:kern w:val="0"/>
          <w:lang w:eastAsia="en-US"/>
          <w14:ligatures w14:val="none"/>
        </w:rPr>
        <w:t xml:space="preserve"> (privilégiés par la royauté </w:t>
      </w:r>
      <w:proofErr w:type="spellStart"/>
      <w:r w:rsidRPr="00F479EF">
        <w:rPr>
          <w:rFonts w:eastAsiaTheme="minorHAnsi" w:cstheme="minorHAnsi"/>
          <w:kern w:val="0"/>
          <w:lang w:eastAsia="en-US"/>
          <w14:ligatures w14:val="none"/>
        </w:rPr>
        <w:t>Asante</w:t>
      </w:r>
      <w:proofErr w:type="spellEnd"/>
      <w:r w:rsidRPr="00F479EF">
        <w:rPr>
          <w:rFonts w:eastAsiaTheme="minorHAnsi" w:cstheme="minorHAnsi"/>
          <w:kern w:val="0"/>
          <w:lang w:eastAsia="en-US"/>
          <w14:ligatures w14:val="none"/>
        </w:rPr>
        <w:t>) et en partageant entre eux de nouvelles méthodes de tissage innovantes (</w:t>
      </w:r>
      <w:proofErr w:type="spellStart"/>
      <w:r w:rsidRPr="00F479EF">
        <w:rPr>
          <w:rFonts w:eastAsiaTheme="minorHAnsi" w:cstheme="minorHAnsi"/>
          <w:kern w:val="0"/>
          <w:lang w:eastAsia="en-US"/>
          <w14:ligatures w14:val="none"/>
        </w:rPr>
        <w:t>Kraamer</w:t>
      </w:r>
      <w:proofErr w:type="spellEnd"/>
      <w:r w:rsidRPr="00F479EF">
        <w:rPr>
          <w:rFonts w:eastAsiaTheme="minorHAnsi" w:cstheme="minorHAnsi"/>
          <w:kern w:val="0"/>
          <w:lang w:eastAsia="en-US"/>
          <w14:ligatures w14:val="none"/>
        </w:rPr>
        <w:t xml:space="preserve"> 2006). De même, au Kenya, </w:t>
      </w:r>
      <w:proofErr w:type="spellStart"/>
      <w:r w:rsidRPr="00F479EF">
        <w:rPr>
          <w:rFonts w:eastAsiaTheme="minorHAnsi" w:cstheme="minorHAnsi"/>
          <w:kern w:val="0"/>
          <w:lang w:eastAsia="en-US"/>
          <w14:ligatures w14:val="none"/>
        </w:rPr>
        <w:t>Wijngaarden</w:t>
      </w:r>
      <w:proofErr w:type="spellEnd"/>
      <w:r w:rsidRPr="00F479EF">
        <w:rPr>
          <w:rFonts w:eastAsiaTheme="minorHAnsi" w:cstheme="minorHAnsi"/>
          <w:kern w:val="0"/>
          <w:lang w:eastAsia="en-US"/>
          <w14:ligatures w14:val="none"/>
        </w:rPr>
        <w:t xml:space="preserve"> (2018) explique que les couvertures rouges et les perles de verre des </w:t>
      </w:r>
      <w:proofErr w:type="spellStart"/>
      <w:r w:rsidRPr="00F479EF">
        <w:rPr>
          <w:rFonts w:eastAsiaTheme="minorHAnsi" w:cstheme="minorHAnsi"/>
          <w:kern w:val="0"/>
          <w:lang w:eastAsia="en-US"/>
          <w14:ligatures w14:val="none"/>
        </w:rPr>
        <w:t>Maasaï</w:t>
      </w:r>
      <w:proofErr w:type="spellEnd"/>
      <w:r w:rsidRPr="00F479EF">
        <w:rPr>
          <w:rFonts w:eastAsiaTheme="minorHAnsi" w:cstheme="minorHAnsi"/>
          <w:kern w:val="0"/>
          <w:lang w:eastAsia="en-US"/>
          <w14:ligatures w14:val="none"/>
        </w:rPr>
        <w:t>, expressions clés de leur identité culturelle aujourd’hui, ont été initialement acquises lors d’échanges commerciaux coloniaux au XIX</w:t>
      </w:r>
      <w:r w:rsidRPr="00F479EF">
        <w:rPr>
          <w:rFonts w:eastAsiaTheme="minorHAnsi" w:cstheme="minorHAnsi"/>
          <w:kern w:val="0"/>
          <w:vertAlign w:val="superscript"/>
          <w:lang w:eastAsia="en-US"/>
          <w14:ligatures w14:val="none"/>
        </w:rPr>
        <w:t>e</w:t>
      </w:r>
      <w:r w:rsidRPr="00F479EF">
        <w:rPr>
          <w:rFonts w:eastAsiaTheme="minorHAnsi" w:cstheme="minorHAnsi"/>
          <w:kern w:val="0"/>
          <w:lang w:eastAsia="en-US"/>
          <w14:ligatures w14:val="none"/>
        </w:rPr>
        <w:t xml:space="preserve"> siècle. Les perles utilisées par les </w:t>
      </w:r>
      <w:proofErr w:type="spellStart"/>
      <w:r w:rsidRPr="00F479EF">
        <w:rPr>
          <w:rFonts w:eastAsiaTheme="minorHAnsi" w:cstheme="minorHAnsi"/>
          <w:kern w:val="0"/>
          <w:lang w:eastAsia="en-US"/>
          <w14:ligatures w14:val="none"/>
        </w:rPr>
        <w:t>Maasaï</w:t>
      </w:r>
      <w:proofErr w:type="spellEnd"/>
      <w:r w:rsidRPr="00F479EF">
        <w:rPr>
          <w:rFonts w:eastAsiaTheme="minorHAnsi" w:cstheme="minorHAnsi"/>
          <w:kern w:val="0"/>
          <w:lang w:eastAsia="en-US"/>
          <w14:ligatures w14:val="none"/>
        </w:rPr>
        <w:t xml:space="preserve"> sont toujours importées de l’extérieur de l’Afrique et transformées en ornements </w:t>
      </w:r>
      <w:proofErr w:type="spellStart"/>
      <w:r w:rsidRPr="00F479EF">
        <w:rPr>
          <w:rFonts w:eastAsiaTheme="minorHAnsi" w:cstheme="minorHAnsi"/>
          <w:kern w:val="0"/>
          <w:lang w:eastAsia="en-US"/>
          <w14:ligatures w14:val="none"/>
        </w:rPr>
        <w:t>maasaï</w:t>
      </w:r>
      <w:proofErr w:type="spellEnd"/>
      <w:r w:rsidRPr="00F479EF">
        <w:rPr>
          <w:rFonts w:eastAsiaTheme="minorHAnsi" w:cstheme="minorHAnsi"/>
          <w:kern w:val="0"/>
          <w:lang w:eastAsia="en-US"/>
          <w14:ligatures w14:val="none"/>
        </w:rPr>
        <w:t>. Certains de ces ornements en perles sont vendus aux touristes en quête d’un souvenir africain « traditionnel ». Bien qu’elles soient basées sur des modèles de la fin du XIX</w:t>
      </w:r>
      <w:r w:rsidRPr="00F479EF">
        <w:rPr>
          <w:rFonts w:eastAsiaTheme="minorHAnsi" w:cstheme="minorHAnsi"/>
          <w:kern w:val="0"/>
          <w:vertAlign w:val="superscript"/>
          <w:lang w:eastAsia="en-US"/>
          <w14:ligatures w14:val="none"/>
        </w:rPr>
        <w:t>e</w:t>
      </w:r>
      <w:r w:rsidRPr="00F479EF">
        <w:rPr>
          <w:rFonts w:eastAsiaTheme="minorHAnsi" w:cstheme="minorHAnsi"/>
          <w:kern w:val="0"/>
          <w:lang w:eastAsia="en-US"/>
          <w14:ligatures w14:val="none"/>
        </w:rPr>
        <w:t> siècle, elles témoignent souvent des changements sociaux (par exemple, les croix symbolisant l’appartenance à une église) et des développements technologiques modernes (par exemple, les montres-bracelets). Le commerce mondial et les échanges culturels sont donc à la base de nombreuses formes de PCI, et la commercialisation se poursuit sous de nouvelles formes. Cela n’implique pas nécessairement l’absence ou la perte de signification culturelle pour les communautés locales.</w:t>
      </w:r>
    </w:p>
    <w:p w14:paraId="7CF724C8"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La commercialisation excessive de certains aspects d’une tradition n’est pas toujours préjudiciable pour d’autres. La recherche sur la sauvegarde des pratiques du patrimoine culinaire dans un contexte commercial dans les Alpes a suggéré que différents niveaux et types de commercialisation peuvent coexister, parfois avec des conflits entre les producteurs, comme dans le cas du fromage </w:t>
      </w:r>
      <w:proofErr w:type="spellStart"/>
      <w:r w:rsidRPr="00F479EF">
        <w:rPr>
          <w:rFonts w:eastAsiaTheme="minorHAnsi" w:cstheme="minorHAnsi"/>
          <w:kern w:val="0"/>
          <w:lang w:eastAsia="en-US"/>
          <w14:ligatures w14:val="none"/>
        </w:rPr>
        <w:t>Bitto</w:t>
      </w:r>
      <w:proofErr w:type="spellEnd"/>
      <w:r w:rsidRPr="00F479EF">
        <w:rPr>
          <w:rFonts w:eastAsiaTheme="minorHAnsi" w:cstheme="minorHAnsi"/>
          <w:kern w:val="0"/>
          <w:lang w:eastAsia="en-US"/>
          <w14:ligatures w14:val="none"/>
        </w:rPr>
        <w:t>, et parfois dans une collaboration pacifique, comme dans le cas de différents types de fromage Beaufort (</w:t>
      </w:r>
      <w:proofErr w:type="spellStart"/>
      <w:r w:rsidRPr="00F479EF">
        <w:rPr>
          <w:rFonts w:eastAsiaTheme="minorHAnsi" w:cstheme="minorHAnsi"/>
          <w:kern w:val="0"/>
          <w:lang w:eastAsia="en-US"/>
          <w14:ligatures w14:val="none"/>
        </w:rPr>
        <w:t>Rinallo</w:t>
      </w:r>
      <w:proofErr w:type="spellEnd"/>
      <w:r w:rsidRPr="00F479EF">
        <w:rPr>
          <w:rFonts w:eastAsiaTheme="minorHAnsi" w:cstheme="minorHAnsi"/>
          <w:kern w:val="0"/>
          <w:lang w:eastAsia="en-US"/>
          <w14:ligatures w14:val="none"/>
        </w:rPr>
        <w:t xml:space="preserve"> 2018).</w:t>
      </w:r>
    </w:p>
    <w:p w14:paraId="304B0CDC"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Les éléments secrets ou sacrés du PCI, qu’il s’agisse de secrets (commerciaux) ou de rituels sacrés, sont associés à différents niveaux de sensibilité pour les communautés, groupes et individus concernés. Les communautés n’ont pas forcément les moyens de faire respecter leur volonté de ne pas mettre sur le marché des éléments sacrés, lorsque les informations les concernant ont déjà été largement diffusées et </w:t>
      </w:r>
      <w:r w:rsidRPr="00F479EF">
        <w:rPr>
          <w:rFonts w:eastAsiaTheme="minorHAnsi" w:cstheme="minorHAnsi"/>
          <w:kern w:val="0"/>
          <w:lang w:eastAsia="en-US"/>
          <w14:ligatures w14:val="none"/>
        </w:rPr>
        <w:lastRenderedPageBreak/>
        <w:t>que le détournement se poursuit. L</w:t>
      </w:r>
      <w:proofErr w:type="gramStart"/>
      <w:r w:rsidRPr="00F479EF">
        <w:rPr>
          <w:rFonts w:eastAsiaTheme="minorHAnsi" w:cstheme="minorHAnsi"/>
          <w:kern w:val="0"/>
          <w:lang w:eastAsia="en-US"/>
          <w14:ligatures w14:val="none"/>
        </w:rPr>
        <w:t>’«</w:t>
      </w:r>
      <w:proofErr w:type="gramEnd"/>
      <w:r w:rsidRPr="00F479EF">
        <w:rPr>
          <w:rFonts w:eastAsiaTheme="minorHAnsi" w:cstheme="minorHAnsi"/>
          <w:kern w:val="0"/>
          <w:lang w:eastAsia="en-US"/>
          <w14:ligatures w14:val="none"/>
        </w:rPr>
        <w:t> approche par palier » examinée par le Comité intergouvernemental (CIG) de l’OMPI a été proposée pour classer le niveau de sensibilité que les peuples autochtones accordent à leur PCI (savoirs traditionnels ou expressions culturelles traditionnelles) et l’opportunité de rendre publics certaines catégories ou certains aspects de celui-ci (</w:t>
      </w:r>
      <w:proofErr w:type="spellStart"/>
      <w:r w:rsidRPr="00F479EF">
        <w:rPr>
          <w:rFonts w:eastAsiaTheme="minorHAnsi" w:cstheme="minorHAnsi"/>
          <w:kern w:val="0"/>
          <w:lang w:eastAsia="en-US"/>
          <w14:ligatures w14:val="none"/>
        </w:rPr>
        <w:t>Laltaika</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Collings</w:t>
      </w:r>
      <w:proofErr w:type="spellEnd"/>
      <w:r w:rsidRPr="00F479EF">
        <w:rPr>
          <w:rFonts w:eastAsiaTheme="minorHAnsi" w:cstheme="minorHAnsi"/>
          <w:kern w:val="0"/>
          <w:lang w:eastAsia="en-US"/>
          <w14:ligatures w14:val="none"/>
        </w:rPr>
        <w:t xml:space="preserve"> 2022). Les communautés en mesure d’exercer un certain contrôle sur le marché peuvent adopter une approche aménagée pour produire des formes rituelles ou sacrées du PCI, comme l’indique l’exemple des </w:t>
      </w:r>
      <w:proofErr w:type="spellStart"/>
      <w:r w:rsidRPr="00F479EF">
        <w:rPr>
          <w:rFonts w:eastAsiaTheme="minorHAnsi" w:cstheme="minorHAnsi"/>
          <w:kern w:val="0"/>
          <w:lang w:eastAsia="en-US"/>
          <w14:ligatures w14:val="none"/>
        </w:rPr>
        <w:t>Voladores</w:t>
      </w:r>
      <w:proofErr w:type="spellEnd"/>
      <w:r w:rsidRPr="00F479EF">
        <w:rPr>
          <w:rFonts w:eastAsiaTheme="minorHAnsi" w:cstheme="minorHAnsi"/>
          <w:kern w:val="0"/>
          <w:lang w:eastAsia="en-US"/>
          <w14:ligatures w14:val="none"/>
        </w:rPr>
        <w:t xml:space="preserve"> plus haut. Les produits touristiques aménagés peuvent bien sûr avoir un impact positif, neutre ou même négatif sur la sauvegarde de l’élément lui-même.</w:t>
      </w:r>
    </w:p>
    <w:p w14:paraId="4A3925AB" w14:textId="59C7DDB1"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Une rémunération insuffisante pour la vente de produits et de services liés au PCI (commercialisation insuffisante ou engagement insuffisant sur le marché) peut également avoir une incidence négative sur la sauvegarde. </w:t>
      </w:r>
      <w:proofErr w:type="spellStart"/>
      <w:r w:rsidRPr="00F479EF">
        <w:rPr>
          <w:rFonts w:eastAsiaTheme="minorHAnsi" w:cstheme="minorHAnsi"/>
          <w:kern w:val="0"/>
          <w:lang w:eastAsia="en-US"/>
          <w14:ligatures w14:val="none"/>
        </w:rPr>
        <w:t>Rinallo</w:t>
      </w:r>
      <w:proofErr w:type="spellEnd"/>
      <w:r w:rsidRPr="00F479EF">
        <w:rPr>
          <w:rFonts w:eastAsiaTheme="minorHAnsi" w:cstheme="minorHAnsi"/>
          <w:kern w:val="0"/>
          <w:lang w:eastAsia="en-US"/>
          <w14:ligatures w14:val="none"/>
        </w:rPr>
        <w:t xml:space="preserve"> (2018) avance que la commercialisation insuffisante peut être tout aussi dommageable que la commercialisation excessive. Si les praticiens ne peuvent pas vivre de leur pratique du PCI, ils risquent d’arrêter, ce qui pourrait décourager les plus jeunes d’acquérir ces compétences. Les candidatures à la LSU ont reconnu les menaces liées à la rémunération insuffisante comme une menace pour la sauvegarde dans à peu près autant de candidatures que la commercialisation excessive. Le rapport périodique de Cuba pour 2021 remarque, par exemple, que les plus grandes menaces identifiées par les détenteurs d’éléments du PCI inscrits à l’inventaire national sont généralement liées au manque de ressources matérielles. </w:t>
      </w:r>
    </w:p>
    <w:p w14:paraId="0D66F17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Pour garantir un bénéfice équitable de la commercialisation, les Directives opérationnelles (DO 117) suggèrent de « trouver le bon équilibre entre les intérêts de la partie commerçante, l’administration publique et les praticiens culturels</w:t>
      </w:r>
      <w:r w:rsidRPr="00F479EF">
        <w:rPr>
          <w:rFonts w:eastAsiaTheme="minorHAnsi" w:cstheme="minorHAnsi"/>
          <w:kern w:val="0"/>
          <w:vertAlign w:val="superscript"/>
          <w:lang w:eastAsia="en-US"/>
          <w14:ligatures w14:val="none"/>
        </w:rPr>
        <w:footnoteReference w:id="57"/>
      </w:r>
      <w:r w:rsidRPr="00F479EF">
        <w:rPr>
          <w:rFonts w:eastAsiaTheme="minorHAnsi" w:cstheme="minorHAnsi"/>
          <w:kern w:val="0"/>
          <w:lang w:eastAsia="en-US"/>
          <w14:ligatures w14:val="none"/>
        </w:rPr>
        <w:t> ». La notion d</w:t>
      </w:r>
      <w:proofErr w:type="gramStart"/>
      <w:r w:rsidRPr="00F479EF">
        <w:rPr>
          <w:rFonts w:eastAsiaTheme="minorHAnsi" w:cstheme="minorHAnsi"/>
          <w:kern w:val="0"/>
          <w:lang w:eastAsia="en-US"/>
          <w14:ligatures w14:val="none"/>
        </w:rPr>
        <w:t>’«</w:t>
      </w:r>
      <w:proofErr w:type="gramEnd"/>
      <w:r w:rsidRPr="00F479EF">
        <w:rPr>
          <w:rFonts w:eastAsiaTheme="minorHAnsi" w:cstheme="minorHAnsi"/>
          <w:kern w:val="0"/>
          <w:lang w:eastAsia="en-US"/>
          <w14:ligatures w14:val="none"/>
        </w:rPr>
        <w:t xml:space="preserve"> équilibre » a suscité la controverse au sein du CIG de l’OMPI. Les participants autochtones se sont demandé si les </w:t>
      </w:r>
      <w:r w:rsidRPr="00F479EF">
        <w:rPr>
          <w:rFonts w:eastAsiaTheme="minorHAnsi" w:cstheme="minorHAnsi"/>
          <w:b/>
          <w:kern w:val="0"/>
          <w:lang w:eastAsia="en-US"/>
          <w14:ligatures w14:val="none"/>
        </w:rPr>
        <w:t>droits</w:t>
      </w:r>
      <w:r w:rsidRPr="00F479EF">
        <w:rPr>
          <w:rFonts w:eastAsiaTheme="minorHAnsi" w:cstheme="minorHAnsi"/>
          <w:kern w:val="0"/>
          <w:lang w:eastAsia="en-US"/>
          <w14:ligatures w14:val="none"/>
        </w:rPr>
        <w:t xml:space="preserve"> des peuples ou communautés autochtones sur leurs savoirs traditionnels (ou d’autres ressources) pouvaient être « se retrouver à égalité » avec les </w:t>
      </w:r>
      <w:r w:rsidRPr="00F479EF">
        <w:rPr>
          <w:rFonts w:eastAsiaTheme="minorHAnsi" w:cstheme="minorHAnsi"/>
          <w:b/>
          <w:kern w:val="0"/>
          <w:lang w:eastAsia="en-US"/>
          <w14:ligatures w14:val="none"/>
        </w:rPr>
        <w:t>intérêts</w:t>
      </w:r>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des autres</w:t>
      </w:r>
      <w:proofErr w:type="gramEnd"/>
      <w:r w:rsidRPr="00F479EF">
        <w:rPr>
          <w:rFonts w:eastAsiaTheme="minorHAnsi" w:cstheme="minorHAnsi"/>
          <w:kern w:val="0"/>
          <w:lang w:eastAsia="en-US"/>
          <w14:ligatures w14:val="none"/>
        </w:rPr>
        <w:t xml:space="preserve"> (</w:t>
      </w:r>
      <w:proofErr w:type="spellStart"/>
      <w:r w:rsidRPr="00F479EF">
        <w:rPr>
          <w:rFonts w:eastAsiaTheme="minorHAnsi" w:cstheme="minorHAnsi"/>
          <w:kern w:val="0"/>
          <w:lang w:eastAsia="en-US"/>
          <w14:ligatures w14:val="none"/>
        </w:rPr>
        <w:t>Laltaika</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Collings</w:t>
      </w:r>
      <w:proofErr w:type="spellEnd"/>
      <w:r w:rsidRPr="00F479EF">
        <w:rPr>
          <w:rFonts w:eastAsiaTheme="minorHAnsi" w:cstheme="minorHAnsi"/>
          <w:kern w:val="0"/>
          <w:lang w:eastAsia="en-US"/>
          <w14:ligatures w14:val="none"/>
        </w:rPr>
        <w:t xml:space="preserve"> 2022). Dans la Convention, cependant, ce « bon » équilibre semble mettre l’accent sur la protection des droits des communautés et leur compréhension de la signification sociale et de la valeur du PCI par rapport aux intérêts des tiers (OD 104, OD 173, OD 187 et les Principes éthiques)</w:t>
      </w:r>
      <w:r w:rsidRPr="00F479EF">
        <w:rPr>
          <w:rFonts w:eastAsiaTheme="minorHAnsi" w:cstheme="minorHAnsi"/>
          <w:kern w:val="0"/>
          <w:vertAlign w:val="superscript"/>
          <w:lang w:eastAsia="en-US"/>
          <w14:ligatures w14:val="none"/>
        </w:rPr>
        <w:footnoteReference w:id="58"/>
      </w:r>
      <w:r w:rsidRPr="00F479EF">
        <w:rPr>
          <w:rFonts w:eastAsiaTheme="minorHAnsi" w:cstheme="minorHAnsi"/>
          <w:kern w:val="0"/>
          <w:lang w:eastAsia="en-US"/>
          <w14:ligatures w14:val="none"/>
        </w:rPr>
        <w:t>.</w:t>
      </w:r>
    </w:p>
    <w:p w14:paraId="414AC5CA"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La manière d’atteindre cet équilibre n’est pas claire. Étant donné que le principal défi auquel sont confrontées de nombreuses communautés est l’inégalité du pouvoir de négociation entre elles et les autres acteurs du marché, ainsi que leur manque de connaissance des outils juridiques et autres moyens de se protéger, comment peut-on garantir un bénéfice équitable de la commercialisation ? Comment donner la priorité à la signification et à la valeur sociales du PCI dans le contexte du marché ? Il n’est pas non plus toujours évident de déterminer ce qui est équitable – cela fera l’objet d’une négociation. Les praticiens ou les artisans peuvent à juste titre vouloir bénéficier de plus d’avantages que les autres membres de la communauté, et l’ensemble de la communauté peut vouloir bénéficier de plus d’avantages que les tiers. L’État joue un rôle souvent très important dans ce processus. </w:t>
      </w:r>
    </w:p>
    <w:p w14:paraId="6C92A282"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Atteindre un « bon équilibre » entre les acteurs commerciaux, les gouvernements et les professionnels de la culture est un projet complexe dans une économie mondialisée. La concurrence sur les marchés internationaux </w:t>
      </w:r>
      <w:proofErr w:type="gramStart"/>
      <w:r w:rsidRPr="00F479EF">
        <w:rPr>
          <w:rFonts w:eastAsiaTheme="minorHAnsi" w:cstheme="minorHAnsi"/>
          <w:kern w:val="0"/>
          <w:lang w:eastAsia="en-US"/>
          <w14:ligatures w14:val="none"/>
        </w:rPr>
        <w:t>a</w:t>
      </w:r>
      <w:proofErr w:type="gramEnd"/>
      <w:r w:rsidRPr="00F479EF">
        <w:rPr>
          <w:rFonts w:eastAsiaTheme="minorHAnsi" w:cstheme="minorHAnsi"/>
          <w:kern w:val="0"/>
          <w:lang w:eastAsia="en-US"/>
          <w14:ligatures w14:val="none"/>
        </w:rPr>
        <w:t xml:space="preserve"> une importance à la fois culturelle et économique, et affecte la signification et la pratique du PCI. Au Ghana, la vente de tissus </w:t>
      </w:r>
      <w:proofErr w:type="spellStart"/>
      <w:r w:rsidRPr="00F479EF">
        <w:rPr>
          <w:rFonts w:eastAsiaTheme="minorHAnsi" w:cstheme="minorHAnsi"/>
          <w:kern w:val="0"/>
          <w:lang w:eastAsia="en-US"/>
          <w14:ligatures w14:val="none"/>
        </w:rPr>
        <w:t>Kente</w:t>
      </w:r>
      <w:proofErr w:type="spellEnd"/>
      <w:r w:rsidRPr="00F479EF">
        <w:rPr>
          <w:rFonts w:eastAsiaTheme="minorHAnsi" w:cstheme="minorHAnsi"/>
          <w:kern w:val="0"/>
          <w:lang w:eastAsia="en-US"/>
          <w14:ligatures w14:val="none"/>
        </w:rPr>
        <w:t xml:space="preserve"> tissés à la main sur les marchés mondiaux ne s’est pas toujours </w:t>
      </w:r>
      <w:r w:rsidRPr="00F479EF">
        <w:rPr>
          <w:rFonts w:eastAsiaTheme="minorHAnsi" w:cstheme="minorHAnsi"/>
          <w:kern w:val="0"/>
          <w:lang w:eastAsia="en-US"/>
          <w14:ligatures w14:val="none"/>
        </w:rPr>
        <w:lastRenderedPageBreak/>
        <w:t xml:space="preserve">traduite par des bénéfices locaux, car les intermédiaires exploitent le fossé entre les connaissances en matière de production et de consommation, et les consommateurs continuent d’accepter des produits d’imitation, même au sein de la diaspora ghanéenne aux États-Unis. En vertu de la loi sur les droits d’auteur, l’État revendique une partie des droits d’auteur sur le </w:t>
      </w:r>
      <w:proofErr w:type="spellStart"/>
      <w:r w:rsidRPr="00F479EF">
        <w:rPr>
          <w:rFonts w:eastAsiaTheme="minorHAnsi" w:cstheme="minorHAnsi"/>
          <w:kern w:val="0"/>
          <w:lang w:eastAsia="en-US"/>
          <w14:ligatures w14:val="none"/>
        </w:rPr>
        <w:t>Kente</w:t>
      </w:r>
      <w:proofErr w:type="spellEnd"/>
      <w:r w:rsidRPr="00F479EF">
        <w:rPr>
          <w:rFonts w:eastAsiaTheme="minorHAnsi" w:cstheme="minorHAnsi"/>
          <w:kern w:val="0"/>
          <w:lang w:eastAsia="en-US"/>
          <w14:ligatures w14:val="none"/>
        </w:rPr>
        <w:t xml:space="preserve"> (Boateng 2011). Le tissu </w:t>
      </w:r>
      <w:proofErr w:type="spellStart"/>
      <w:r w:rsidRPr="00F479EF">
        <w:rPr>
          <w:rFonts w:eastAsiaTheme="minorHAnsi" w:cstheme="minorHAnsi"/>
          <w:kern w:val="0"/>
          <w:lang w:eastAsia="en-US"/>
          <w14:ligatures w14:val="none"/>
        </w:rPr>
        <w:t>Kente</w:t>
      </w:r>
      <w:proofErr w:type="spellEnd"/>
      <w:r w:rsidRPr="00F479EF">
        <w:rPr>
          <w:rFonts w:eastAsiaTheme="minorHAnsi" w:cstheme="minorHAnsi"/>
          <w:kern w:val="0"/>
          <w:lang w:eastAsia="en-US"/>
          <w14:ligatures w14:val="none"/>
        </w:rPr>
        <w:t xml:space="preserve"> et les impressions à la cire africaine, produits industriellement en Afrique et en Europe, ont été utilisés comme symboles de l’identité nationale ghanéenne après l’indépendance en 1957. Du fait de la valeur symbolique de ces textiles, dans les années 1990, la concurrence des imprimés africains importés d’Asie, moins chers, a été perçue par certains Ghanéens comme une menace à la fois économique et symbolique ; d’autres ont accueilli favorablement les tissus moins coûteux (</w:t>
      </w:r>
      <w:proofErr w:type="spellStart"/>
      <w:r w:rsidRPr="00F479EF">
        <w:rPr>
          <w:rFonts w:eastAsiaTheme="minorHAnsi" w:cstheme="minorHAnsi"/>
          <w:kern w:val="0"/>
          <w:lang w:eastAsia="en-US"/>
          <w14:ligatures w14:val="none"/>
        </w:rPr>
        <w:t>Axelsson</w:t>
      </w:r>
      <w:proofErr w:type="spellEnd"/>
      <w:r w:rsidRPr="00F479EF">
        <w:rPr>
          <w:rFonts w:eastAsiaTheme="minorHAnsi" w:cstheme="minorHAnsi"/>
          <w:kern w:val="0"/>
          <w:lang w:eastAsia="en-US"/>
          <w14:ligatures w14:val="none"/>
        </w:rPr>
        <w:t xml:space="preserve"> 2012 ; He 2020). Les programmes nationaux Friday Wear et Everyday Wear ont été introduits par l’État pour promouvoir l’utilisation d’imprimés africains ghanéens. </w:t>
      </w:r>
    </w:p>
    <w:p w14:paraId="5071440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La discussion sur ce qui doit être sauvegardé et sur la manière dont le marché affecte le contexte, la pratique et la transmission de ces éléments dans l</w:t>
      </w:r>
      <w:proofErr w:type="gramStart"/>
      <w:r w:rsidRPr="00F479EF">
        <w:rPr>
          <w:rFonts w:eastAsiaTheme="minorHAnsi" w:cstheme="minorHAnsi"/>
          <w:kern w:val="0"/>
          <w:lang w:eastAsia="en-US"/>
          <w14:ligatures w14:val="none"/>
        </w:rPr>
        <w:t>’«</w:t>
      </w:r>
      <w:proofErr w:type="gramEnd"/>
      <w:r w:rsidRPr="00F479EF">
        <w:rPr>
          <w:rFonts w:eastAsiaTheme="minorHAnsi" w:cstheme="minorHAnsi"/>
          <w:kern w:val="0"/>
          <w:lang w:eastAsia="en-US"/>
          <w14:ligatures w14:val="none"/>
        </w:rPr>
        <w:t xml:space="preserve"> écosystème » socioéconomique, sont autant de facteurs à prendre en compte pour déterminer comment identifier et atténuer les effets négatifs de la commercialisation. La détermination de ce qui constitue une commercialisation excessive ou une décontextualisation, et la manière d’obtenir des avantages équitables, peuvent être des points de désaccord au sein des communautés, et entre celles-ci et d’autres parties prenantes. </w:t>
      </w:r>
    </w:p>
    <w:p w14:paraId="244C4CB7" w14:textId="77777777" w:rsidR="002C1F81" w:rsidRPr="00F479EF" w:rsidRDefault="002C1F81" w:rsidP="002C1F81">
      <w:pPr>
        <w:keepNext/>
        <w:spacing w:after="240" w:line="240" w:lineRule="auto"/>
        <w:ind w:left="720"/>
        <w:jc w:val="both"/>
        <w:outlineLvl w:val="2"/>
        <w:rPr>
          <w:rFonts w:eastAsiaTheme="minorHAnsi" w:cstheme="minorHAnsi"/>
          <w:b/>
          <w:bCs/>
          <w:kern w:val="0"/>
          <w:lang w:eastAsia="en-US"/>
          <w14:ligatures w14:val="none"/>
        </w:rPr>
      </w:pPr>
      <w:bookmarkStart w:id="19" w:name="_Toc137745037"/>
      <w:r w:rsidRPr="00F479EF">
        <w:rPr>
          <w:rFonts w:eastAsiaTheme="minorHAnsi" w:cstheme="minorHAnsi"/>
          <w:b/>
          <w:bCs/>
          <w:kern w:val="0"/>
          <w:lang w:eastAsia="en-US"/>
          <w14:ligatures w14:val="none"/>
        </w:rPr>
        <w:t>Détournement et présentation erronée</w:t>
      </w:r>
      <w:bookmarkEnd w:id="19"/>
    </w:p>
    <w:p w14:paraId="1E27BF7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Le détournement commercial, la présentation erronée et la marchandisation sont mentionnés dans les Directives opérationnelles et les Principes éthiques, mais ne sont pas définis. La commercialisation (PE 10) ne sera pas examinée en détail ici : la commercialisation d’éléments du PCI secrets ou sacrés est peut-être le contexte le plus utile dans lequel ce terme pourrait être utilisé, parce qu’il implique qu’aucun produit ou service basé sur un élément de PCI n’est approprié pour le marché. Le détournement est mentionné dans les textes de la Convention comme une menace pour la sauvegarde dans un contexte commercial (DO 117), au même titre que la présentation erronée (paraphrasée dans la DO 102(d), voir également EP 10). Le terme « détournement » est généralement utilisé dans la littérature relative à la propriété intellectuelle pour décrire les utilisations non autorisées de connaissances traditionnelles par des tiers dans un contexte commercial</w:t>
      </w:r>
      <w:r w:rsidRPr="00F479EF">
        <w:rPr>
          <w:rFonts w:eastAsiaTheme="minorHAnsi" w:cstheme="minorHAnsi"/>
          <w:kern w:val="0"/>
          <w:vertAlign w:val="superscript"/>
          <w:lang w:eastAsia="en-US"/>
          <w14:ligatures w14:val="none"/>
        </w:rPr>
        <w:footnoteReference w:id="59"/>
      </w:r>
      <w:r w:rsidRPr="00F479EF">
        <w:rPr>
          <w:rFonts w:eastAsiaTheme="minorHAnsi" w:cstheme="minorHAnsi"/>
          <w:kern w:val="0"/>
          <w:lang w:eastAsia="en-US"/>
          <w14:ligatures w14:val="none"/>
        </w:rPr>
        <w:t>. En sociologie et dans le discours public, l’expression « appropriation culturelle » est plus courante et peut se référer à des utilisations non commerciales et à des présentations erronées. Le détournement est donc généralement utilisé dans un sens légèrement plus étroit.</w:t>
      </w:r>
    </w:p>
    <w:p w14:paraId="75E99198"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Le concept d’appropriation culturelle a récemment suscité un vif intérêt. Ni le « multiculturalisme de la première vague » (axé sur les droits des minorités au sein des démocraties libérales) ni celui « de la deuxième vague » (axé sur la cohésion sociale et la confiance dans des sociétés diverses) n’ont accordé beaucoup d’attention aux formes inacceptables d’échange culturel (telles que le détournement ou l’appropriation culturelle) (Lenard et Balint 2020). Cependant, l’inquiétude du public et de la communauté des détenteurs concernant l’appropriation culturelle s’est accrue ces dernières années (</w:t>
      </w:r>
      <w:proofErr w:type="spellStart"/>
      <w:r w:rsidRPr="00F479EF">
        <w:rPr>
          <w:rFonts w:eastAsiaTheme="minorHAnsi" w:cstheme="minorHAnsi"/>
          <w:kern w:val="0"/>
          <w:lang w:eastAsia="en-US"/>
          <w14:ligatures w14:val="none"/>
        </w:rPr>
        <w:t>Vezina</w:t>
      </w:r>
      <w:proofErr w:type="spellEnd"/>
      <w:r w:rsidRPr="00F479EF">
        <w:rPr>
          <w:rFonts w:eastAsiaTheme="minorHAnsi" w:cstheme="minorHAnsi"/>
          <w:kern w:val="0"/>
          <w:lang w:eastAsia="en-US"/>
          <w14:ligatures w14:val="none"/>
        </w:rPr>
        <w:t xml:space="preserve"> 2019). Dans le domaine du patrimoine matériel, la prise non autorisée d’objets physiques pour les collections des musées occidentaux, si courante à l’époque coloniale, est de plus en plus souvent qualifiée de vol ou </w:t>
      </w:r>
      <w:r w:rsidRPr="00F479EF">
        <w:rPr>
          <w:rFonts w:eastAsiaTheme="minorHAnsi" w:cstheme="minorHAnsi"/>
          <w:kern w:val="0"/>
          <w:lang w:eastAsia="en-US"/>
          <w14:ligatures w14:val="none"/>
        </w:rPr>
        <w:lastRenderedPageBreak/>
        <w:t xml:space="preserve">de détournement, c’est-à-dire d’appropriation injustifiée. Cette prise de conscience a suscité une vague d’efforts en faveur du rapatriement de ces biens au cours des dernières années. </w:t>
      </w:r>
    </w:p>
    <w:p w14:paraId="1C83721A"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Ziff et Rao (1997) ont identifié quatre préjudices résultant d’emprunts culturels inappropriés :</w:t>
      </w:r>
    </w:p>
    <w:p w14:paraId="79BD08EA" w14:textId="77777777" w:rsidR="002C1F81" w:rsidRPr="00F479EF" w:rsidRDefault="002C1F81" w:rsidP="002C1F81">
      <w:pPr>
        <w:numPr>
          <w:ilvl w:val="0"/>
          <w:numId w:val="4"/>
        </w:numPr>
        <w:contextualSpacing/>
        <w:jc w:val="both"/>
        <w:rPr>
          <w:rFonts w:eastAsiaTheme="minorHAnsi" w:cstheme="minorHAnsi"/>
          <w:kern w:val="0"/>
          <w:lang w:eastAsia="en-US"/>
          <w14:ligatures w14:val="none"/>
        </w:rPr>
      </w:pPr>
      <w:proofErr w:type="gramStart"/>
      <w:r w:rsidRPr="00F479EF">
        <w:rPr>
          <w:rFonts w:eastAsiaTheme="minorHAnsi" w:cstheme="minorHAnsi"/>
          <w:kern w:val="0"/>
          <w:lang w:eastAsia="en-US"/>
          <w14:ligatures w14:val="none"/>
        </w:rPr>
        <w:t>la</w:t>
      </w:r>
      <w:proofErr w:type="gramEnd"/>
      <w:r w:rsidRPr="00F479EF">
        <w:rPr>
          <w:rFonts w:eastAsiaTheme="minorHAnsi" w:cstheme="minorHAnsi"/>
          <w:kern w:val="0"/>
          <w:lang w:eastAsia="en-US"/>
          <w14:ligatures w14:val="none"/>
        </w:rPr>
        <w:t xml:space="preserve"> dégradation de la culture, qui s’accompagne d’une perte de diversité culturelle ;</w:t>
      </w:r>
    </w:p>
    <w:p w14:paraId="640BDF0F" w14:textId="77777777" w:rsidR="002C1F81" w:rsidRPr="00F479EF" w:rsidRDefault="002C1F81" w:rsidP="002C1F81">
      <w:pPr>
        <w:numPr>
          <w:ilvl w:val="0"/>
          <w:numId w:val="4"/>
        </w:numPr>
        <w:contextualSpacing/>
        <w:jc w:val="both"/>
        <w:rPr>
          <w:rFonts w:eastAsiaTheme="minorHAnsi" w:cstheme="minorHAnsi"/>
          <w:kern w:val="0"/>
          <w:lang w:eastAsia="en-US"/>
          <w14:ligatures w14:val="none"/>
        </w:rPr>
      </w:pPr>
      <w:proofErr w:type="gramStart"/>
      <w:r w:rsidRPr="00F479EF">
        <w:rPr>
          <w:rFonts w:eastAsiaTheme="minorHAnsi" w:cstheme="minorHAnsi"/>
          <w:kern w:val="0"/>
          <w:lang w:eastAsia="en-US"/>
          <w14:ligatures w14:val="none"/>
        </w:rPr>
        <w:t>la</w:t>
      </w:r>
      <w:proofErr w:type="gramEnd"/>
      <w:r w:rsidRPr="00F479EF">
        <w:rPr>
          <w:rFonts w:eastAsiaTheme="minorHAnsi" w:cstheme="minorHAnsi"/>
          <w:kern w:val="0"/>
          <w:lang w:eastAsia="en-US"/>
          <w14:ligatures w14:val="none"/>
        </w:rPr>
        <w:t xml:space="preserve"> sortie d’objets culturels de leur contexte, dont la signification se retrouve altérée ou perdue ;</w:t>
      </w:r>
    </w:p>
    <w:p w14:paraId="36792B93" w14:textId="77777777" w:rsidR="002C1F81" w:rsidRPr="00F479EF" w:rsidRDefault="002C1F81" w:rsidP="002C1F81">
      <w:pPr>
        <w:numPr>
          <w:ilvl w:val="0"/>
          <w:numId w:val="4"/>
        </w:numPr>
        <w:contextualSpacing/>
        <w:jc w:val="both"/>
        <w:rPr>
          <w:rFonts w:eastAsiaTheme="minorHAnsi" w:cstheme="minorHAnsi"/>
          <w:kern w:val="0"/>
          <w:lang w:eastAsia="en-US"/>
          <w14:ligatures w14:val="none"/>
        </w:rPr>
      </w:pPr>
      <w:proofErr w:type="gramStart"/>
      <w:r w:rsidRPr="00F479EF">
        <w:rPr>
          <w:rFonts w:eastAsiaTheme="minorHAnsi" w:cstheme="minorHAnsi"/>
          <w:kern w:val="0"/>
          <w:lang w:eastAsia="en-US"/>
          <w14:ligatures w14:val="none"/>
        </w:rPr>
        <w:t>la</w:t>
      </w:r>
      <w:proofErr w:type="gramEnd"/>
      <w:r w:rsidRPr="00F479EF">
        <w:rPr>
          <w:rFonts w:eastAsiaTheme="minorHAnsi" w:cstheme="minorHAnsi"/>
          <w:kern w:val="0"/>
          <w:lang w:eastAsia="en-US"/>
          <w14:ligatures w14:val="none"/>
        </w:rPr>
        <w:t xml:space="preserve"> canalisation des avantages économiques vers des personnes extérieures ; et</w:t>
      </w:r>
    </w:p>
    <w:p w14:paraId="61897A2C" w14:textId="77777777" w:rsidR="002C1F81" w:rsidRPr="00F479EF" w:rsidRDefault="002C1F81" w:rsidP="002C1F81">
      <w:pPr>
        <w:numPr>
          <w:ilvl w:val="0"/>
          <w:numId w:val="4"/>
        </w:numPr>
        <w:contextualSpacing/>
        <w:jc w:val="both"/>
        <w:rPr>
          <w:rFonts w:eastAsiaTheme="minorHAnsi" w:cstheme="minorHAnsi"/>
          <w:kern w:val="0"/>
          <w:lang w:eastAsia="en-US"/>
          <w14:ligatures w14:val="none"/>
        </w:rPr>
      </w:pPr>
      <w:proofErr w:type="gramStart"/>
      <w:r w:rsidRPr="00F479EF">
        <w:rPr>
          <w:rFonts w:eastAsiaTheme="minorHAnsi" w:cstheme="minorHAnsi"/>
          <w:kern w:val="0"/>
          <w:lang w:eastAsia="en-US"/>
          <w14:ligatures w14:val="none"/>
        </w:rPr>
        <w:t>la</w:t>
      </w:r>
      <w:proofErr w:type="gramEnd"/>
      <w:r w:rsidRPr="00F479EF">
        <w:rPr>
          <w:rFonts w:eastAsiaTheme="minorHAnsi" w:cstheme="minorHAnsi"/>
          <w:kern w:val="0"/>
          <w:lang w:eastAsia="en-US"/>
          <w14:ligatures w14:val="none"/>
        </w:rPr>
        <w:t xml:space="preserve"> non-reconnaissance des droits souverains.</w:t>
      </w:r>
    </w:p>
    <w:p w14:paraId="7220C6A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Les concepts d’appropriation culturelle et de détournement restent peu théorisés et les termes sont utilisés de différentes manières. Cela peut compliquer l’examen du problème et la recherche de solutions. Dans une critique de Young (2010), qui a fait la distinction entre l’appropriation du sujet, de l’objet et du contenu, Lenard et Balint (2020) proposent de se concentrer sur l’appropriation du contenu comme élément central de l’appropriation culturelle, à la différence du vol physique d’objets culturels. Ils dressent la typologie de concepts suivante (en admettant que les frontières entre ces concepts soient parfois floues) :</w:t>
      </w:r>
    </w:p>
    <w:p w14:paraId="6E728268" w14:textId="77777777" w:rsidR="002C1F81" w:rsidRPr="00F479EF" w:rsidRDefault="002C1F81" w:rsidP="002C1F81">
      <w:pPr>
        <w:numPr>
          <w:ilvl w:val="0"/>
          <w:numId w:val="3"/>
        </w:numPr>
        <w:contextualSpacing/>
        <w:jc w:val="both"/>
        <w:rPr>
          <w:rFonts w:eastAsiaTheme="minorHAnsi" w:cstheme="minorHAnsi"/>
          <w:b/>
          <w:bCs/>
          <w:kern w:val="0"/>
          <w:lang w:eastAsia="en-US"/>
          <w14:ligatures w14:val="none"/>
        </w:rPr>
      </w:pPr>
      <w:proofErr w:type="gramStart"/>
      <w:r w:rsidRPr="00F479EF">
        <w:rPr>
          <w:rFonts w:eastAsiaTheme="minorHAnsi" w:cstheme="minorHAnsi"/>
          <w:kern w:val="0"/>
          <w:lang w:eastAsia="en-US"/>
          <w14:ligatures w14:val="none"/>
        </w:rPr>
        <w:t>l’</w:t>
      </w:r>
      <w:r w:rsidRPr="00F479EF">
        <w:rPr>
          <w:rFonts w:eastAsiaTheme="minorHAnsi" w:cstheme="minorHAnsi"/>
          <w:b/>
          <w:kern w:val="0"/>
          <w:lang w:eastAsia="en-US"/>
          <w14:ligatures w14:val="none"/>
        </w:rPr>
        <w:t>offense</w:t>
      </w:r>
      <w:proofErr w:type="gramEnd"/>
      <w:r w:rsidRPr="00F479EF">
        <w:rPr>
          <w:rFonts w:eastAsiaTheme="minorHAnsi" w:cstheme="minorHAnsi"/>
          <w:b/>
          <w:kern w:val="0"/>
          <w:lang w:eastAsia="en-US"/>
          <w14:ligatures w14:val="none"/>
        </w:rPr>
        <w:t xml:space="preserve"> culturelle</w:t>
      </w:r>
      <w:r w:rsidRPr="00F479EF">
        <w:rPr>
          <w:rFonts w:eastAsiaTheme="minorHAnsi" w:cstheme="minorHAnsi"/>
          <w:kern w:val="0"/>
          <w:lang w:eastAsia="en-US"/>
          <w14:ligatures w14:val="none"/>
        </w:rPr>
        <w:t>, soit le fait de heurter ou de blesser autrui en agissant d’une manière qui attaque ou insulte ses pratiques culturelles ou ses croyances, ou en agissant d’une manière qui attaque ou insulte des personnes sur la base de leurs pratiques culturelles ou de leurs croyances (par exemple, l’utilisation du blackface pour représenter les Noirs d’une manière offensante et caricaturale) – il ne s’agit pas de « prendre » des aspects de la culture de quelqu’un d’autre ;</w:t>
      </w:r>
    </w:p>
    <w:p w14:paraId="3A01CC63" w14:textId="77777777" w:rsidR="002C1F81" w:rsidRPr="00F479EF" w:rsidRDefault="002C1F81" w:rsidP="002C1F81">
      <w:pPr>
        <w:numPr>
          <w:ilvl w:val="0"/>
          <w:numId w:val="3"/>
        </w:numPr>
        <w:contextualSpacing/>
        <w:jc w:val="both"/>
        <w:rPr>
          <w:rFonts w:eastAsiaTheme="minorHAnsi" w:cstheme="minorHAnsi"/>
          <w:b/>
          <w:bCs/>
          <w:kern w:val="0"/>
          <w:lang w:eastAsia="en-US"/>
          <w14:ligatures w14:val="none"/>
        </w:rPr>
      </w:pPr>
      <w:proofErr w:type="gramStart"/>
      <w:r w:rsidRPr="00F479EF">
        <w:rPr>
          <w:rFonts w:eastAsiaTheme="minorHAnsi" w:cstheme="minorHAnsi"/>
          <w:kern w:val="0"/>
          <w:lang w:eastAsia="en-US"/>
          <w14:ligatures w14:val="none"/>
        </w:rPr>
        <w:t>la</w:t>
      </w:r>
      <w:proofErr w:type="gramEnd"/>
      <w:r w:rsidRPr="00F479EF">
        <w:rPr>
          <w:rFonts w:eastAsiaTheme="minorHAnsi" w:cstheme="minorHAnsi"/>
          <w:kern w:val="0"/>
          <w:lang w:eastAsia="en-US"/>
          <w14:ligatures w14:val="none"/>
        </w:rPr>
        <w:t xml:space="preserve"> </w:t>
      </w:r>
      <w:r w:rsidRPr="00F479EF">
        <w:rPr>
          <w:rFonts w:eastAsiaTheme="minorHAnsi" w:cstheme="minorHAnsi"/>
          <w:b/>
          <w:kern w:val="0"/>
          <w:lang w:eastAsia="en-US"/>
          <w14:ligatures w14:val="none"/>
        </w:rPr>
        <w:t>présentation culturelle erronée</w:t>
      </w:r>
      <w:r w:rsidRPr="00F479EF">
        <w:rPr>
          <w:rFonts w:eastAsiaTheme="minorHAnsi" w:cstheme="minorHAnsi"/>
          <w:kern w:val="0"/>
          <w:lang w:eastAsia="en-US"/>
          <w14:ligatures w14:val="none"/>
        </w:rPr>
        <w:t xml:space="preserve">, soit les actes ou déclarations donnant une image fausse ou trompeuse des pratiques ou des croyances (par exemple, présenter un groupe minoritaire de manière stéréotypée en l’associant à des caractéristiques négatives) ; et </w:t>
      </w:r>
    </w:p>
    <w:p w14:paraId="720ACE80" w14:textId="77777777" w:rsidR="002C1F81" w:rsidRPr="00F479EF" w:rsidRDefault="002C1F81" w:rsidP="002C1F81">
      <w:pPr>
        <w:numPr>
          <w:ilvl w:val="0"/>
          <w:numId w:val="3"/>
        </w:numPr>
        <w:contextualSpacing/>
        <w:jc w:val="both"/>
        <w:rPr>
          <w:rFonts w:eastAsiaTheme="minorHAnsi" w:cstheme="minorHAnsi"/>
          <w:kern w:val="0"/>
          <w:lang w:eastAsia="en-US"/>
          <w14:ligatures w14:val="none"/>
        </w:rPr>
      </w:pPr>
      <w:r w:rsidRPr="00F479EF">
        <w:rPr>
          <w:rFonts w:eastAsiaTheme="minorHAnsi" w:cstheme="minorHAnsi"/>
          <w:kern w:val="0"/>
          <w:lang w:eastAsia="en-US"/>
          <w14:ligatures w14:val="none"/>
        </w:rPr>
        <w:t>l’</w:t>
      </w:r>
      <w:r w:rsidRPr="00F479EF">
        <w:rPr>
          <w:rFonts w:eastAsiaTheme="minorHAnsi" w:cstheme="minorHAnsi"/>
          <w:b/>
          <w:kern w:val="0"/>
          <w:lang w:eastAsia="en-US"/>
          <w14:ligatures w14:val="none"/>
        </w:rPr>
        <w:t>appropriation culturelle</w:t>
      </w:r>
      <w:r w:rsidRPr="00F479EF">
        <w:rPr>
          <w:rFonts w:eastAsiaTheme="minorHAnsi" w:cstheme="minorHAnsi"/>
          <w:kern w:val="0"/>
          <w:lang w:eastAsia="en-US"/>
          <w14:ligatures w14:val="none"/>
        </w:rPr>
        <w:t xml:space="preserve">, qui est la « prise [c’est-à-dire l’utilisation] d’un aspect précieux, mais réutilisable ou non épuisable, de la culture d’un autre individu (généralement un symbole ou une pratique), pour son propre usage, lorsque le preneur en est conscient (ou devrait raisonnablement l’être) et lorsque le contexte de cette prise est contesté » par les personnes les plus affectées, par exemple l’utilisation inappropriée de vêtements rituels d’une autre culture (Lenard et Balint, 2020, p. 338). </w:t>
      </w:r>
    </w:p>
    <w:p w14:paraId="23A0EAD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Les problèmes susmentionnés peuvent coexister, mais pas toujours tous ensemble. Par exemple, l’utilisation du nom REDSKINS pour une équipe de football américain peut constituer une utilisation culturelle inappropriée parce qu’elle offense (en utilisant un terme offensant) ou présente de manière erronée la culture amérindienne (quand les supporters se déguisent, par exemple), mais elle ne « s’approprie » pas nécessairement un aspect spécifique de cette culture. </w:t>
      </w:r>
    </w:p>
    <w:p w14:paraId="6F5E8BD4"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Si l’appropriation culturelle peut se produire en l’absence d’inégalités de pouvoir significatives, le préjudice causé par l’appropriation culturelle est néanmoins souvent amplifié par les inégalités de pouvoir au sein de la société. Ces problèmes peuvent trouver leur origine dans des injustices et des désavantages historiques, par exemple lorsque le savoir autochtone est utilisé sans autorisation pour créer de nouveaux médicaments. Ces inégalités peuvent être liées aux profits inéquitables dont bénéficie le preneur. Par exemple, la marque de mode Urban </w:t>
      </w:r>
      <w:proofErr w:type="spellStart"/>
      <w:r w:rsidRPr="00F479EF">
        <w:rPr>
          <w:rFonts w:eastAsiaTheme="minorHAnsi" w:cstheme="minorHAnsi"/>
          <w:kern w:val="0"/>
          <w:lang w:eastAsia="en-US"/>
          <w14:ligatures w14:val="none"/>
        </w:rPr>
        <w:t>Outfitters</w:t>
      </w:r>
      <w:proofErr w:type="spellEnd"/>
      <w:r w:rsidRPr="00F479EF">
        <w:rPr>
          <w:rFonts w:eastAsiaTheme="minorHAnsi" w:cstheme="minorHAnsi"/>
          <w:kern w:val="0"/>
          <w:lang w:eastAsia="en-US"/>
          <w14:ligatures w14:val="none"/>
        </w:rPr>
        <w:t xml:space="preserve"> a offensé les Amérindiens en commercialisant des produits intitulés « culotte hipster navajo » et « flasque de whisky avec housse en tissu navajo ». Certaines des préoccupations exprimées par les Navajos portaient sur le non-respect de leur culture (présentation erronée, utilisation de leur nom en association avec des sous-vêtements et de l’alcool) ; d’autres portaient </w:t>
      </w:r>
      <w:r w:rsidRPr="00F479EF">
        <w:rPr>
          <w:rFonts w:eastAsiaTheme="minorHAnsi" w:cstheme="minorHAnsi"/>
          <w:kern w:val="0"/>
          <w:lang w:eastAsia="en-US"/>
          <w14:ligatures w14:val="none"/>
        </w:rPr>
        <w:lastRenderedPageBreak/>
        <w:t>sur l’utilisation non autorisée (appropriation) de leur nom dans un contexte commercial sans accord de partage des bénéfices (Zack 2015). La réparation du préjudice peut donc inclure non seulement la reconnaissance de la prise injustifiée ou la recontextualisation du patrimoine, mais aussi la (re)distribution équitable des bénéfices. S’attaquer au problème n’implique pas toujours d</w:t>
      </w:r>
      <w:proofErr w:type="gramStart"/>
      <w:r w:rsidRPr="00F479EF">
        <w:rPr>
          <w:rFonts w:eastAsiaTheme="minorHAnsi" w:cstheme="minorHAnsi"/>
          <w:kern w:val="0"/>
          <w:lang w:eastAsia="en-US"/>
          <w14:ligatures w14:val="none"/>
        </w:rPr>
        <w:t>’«</w:t>
      </w:r>
      <w:proofErr w:type="gramEnd"/>
      <w:r w:rsidRPr="00F479EF">
        <w:rPr>
          <w:rFonts w:eastAsiaTheme="minorHAnsi" w:cstheme="minorHAnsi"/>
          <w:kern w:val="0"/>
          <w:lang w:eastAsia="en-US"/>
          <w14:ligatures w14:val="none"/>
        </w:rPr>
        <w:t> inverser » la prise de possession, lorsque les communautés concernées préfèrent une utilisation plus appropriée ou une compensation (Lenard et Balint 2020).</w:t>
      </w:r>
    </w:p>
    <w:p w14:paraId="19272DA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Les actions culturelles illicites (atteinte à la culture, présentation erronée et appropriation), entreprises à des fins commerciales ou autre, peuvent affecter à la fois la sauvegarde du PCI et les opportunités équitables pour les communautés sur le marché. Cela peut également nuire aux revendications des communautés en matière de propriété ou de gestion de leur PCI. Il est souvent difficile de s’attaquer à ces problèmes à cause de l’absence de protection juridique spécifique contre ce type de préjudice, mais les communautés sont néanmoins en mesure, dans certains cas, de réagir efficacement. </w:t>
      </w:r>
    </w:p>
    <w:p w14:paraId="0F0FB119"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Récemment, l’utilisation d’une approche fondée sur les droits pour résoudre des problèmes tels que l’appropriation culturelle a suscité un grand intérêt (</w:t>
      </w:r>
      <w:proofErr w:type="spellStart"/>
      <w:r w:rsidRPr="00F479EF">
        <w:rPr>
          <w:rFonts w:eastAsiaTheme="minorHAnsi" w:cstheme="minorHAnsi"/>
          <w:kern w:val="0"/>
          <w:lang w:eastAsia="en-US"/>
          <w14:ligatures w14:val="none"/>
        </w:rPr>
        <w:t>Aylwin</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2013 ; </w:t>
      </w:r>
      <w:proofErr w:type="spellStart"/>
      <w:r w:rsidRPr="00F479EF">
        <w:rPr>
          <w:rFonts w:eastAsiaTheme="minorHAnsi" w:cstheme="minorHAnsi"/>
          <w:kern w:val="0"/>
          <w:lang w:eastAsia="en-US"/>
          <w14:ligatures w14:val="none"/>
        </w:rPr>
        <w:t>Coombe</w:t>
      </w:r>
      <w:proofErr w:type="spellEnd"/>
      <w:r w:rsidRPr="00F479EF">
        <w:rPr>
          <w:rFonts w:eastAsiaTheme="minorHAnsi" w:cstheme="minorHAnsi"/>
          <w:kern w:val="0"/>
          <w:lang w:eastAsia="en-US"/>
          <w14:ligatures w14:val="none"/>
        </w:rPr>
        <w:t xml:space="preserve"> et Weiss 2015). Les </w:t>
      </w:r>
      <w:proofErr w:type="spellStart"/>
      <w:r w:rsidRPr="00F479EF">
        <w:rPr>
          <w:rFonts w:eastAsiaTheme="minorHAnsi" w:cstheme="minorHAnsi"/>
          <w:kern w:val="0"/>
          <w:lang w:eastAsia="en-US"/>
          <w14:ligatures w14:val="none"/>
        </w:rPr>
        <w:t>Samis</w:t>
      </w:r>
      <w:proofErr w:type="spellEnd"/>
      <w:r w:rsidRPr="00F479EF">
        <w:rPr>
          <w:rFonts w:eastAsiaTheme="minorHAnsi" w:cstheme="minorHAnsi"/>
          <w:kern w:val="0"/>
          <w:lang w:eastAsia="en-US"/>
          <w14:ligatures w14:val="none"/>
        </w:rPr>
        <w:t xml:space="preserve"> d’Europe du Nord ont préconisé cette approche pour contrôler l’utilisation des ressources patrimoniales sur le marché, comme dans le cas de l’accord conclu avec les studios d’animation Disney concernant l’utilisation de leurs ressources culturelles pour le film </w:t>
      </w:r>
      <w:proofErr w:type="spellStart"/>
      <w:r w:rsidRPr="00F479EF">
        <w:rPr>
          <w:rFonts w:eastAsiaTheme="minorHAnsi" w:cstheme="minorHAnsi"/>
          <w:kern w:val="0"/>
          <w:lang w:eastAsia="en-US"/>
          <w14:ligatures w14:val="none"/>
        </w:rPr>
        <w:t>Frozen</w:t>
      </w:r>
      <w:proofErr w:type="spellEnd"/>
      <w:r w:rsidRPr="00F479EF">
        <w:rPr>
          <w:rFonts w:eastAsiaTheme="minorHAnsi" w:cstheme="minorHAnsi"/>
          <w:kern w:val="0"/>
          <w:lang w:eastAsia="en-US"/>
          <w14:ligatures w14:val="none"/>
        </w:rPr>
        <w:t> 2</w:t>
      </w:r>
      <w:r w:rsidRPr="00F479EF">
        <w:rPr>
          <w:rFonts w:eastAsiaTheme="minorHAnsi" w:cstheme="minorHAnsi"/>
          <w:kern w:val="0"/>
          <w:vertAlign w:val="superscript"/>
          <w:lang w:eastAsia="en-US"/>
          <w14:ligatures w14:val="none"/>
        </w:rPr>
        <w:footnoteReference w:id="60"/>
      </w:r>
      <w:r w:rsidRPr="00F479EF">
        <w:rPr>
          <w:rFonts w:eastAsiaTheme="minorHAnsi" w:cstheme="minorHAnsi"/>
          <w:kern w:val="0"/>
          <w:lang w:eastAsia="en-US"/>
          <w14:ligatures w14:val="none"/>
        </w:rPr>
        <w:t>. Les thèmes du détournement et de la présentation erronée sont assez bien traités dans la littérature sur le tourisme et la propriété intellectuelle (</w:t>
      </w:r>
      <w:proofErr w:type="spellStart"/>
      <w:r w:rsidRPr="00F479EF">
        <w:rPr>
          <w:rFonts w:eastAsiaTheme="minorHAnsi" w:cstheme="minorHAnsi"/>
          <w:kern w:val="0"/>
          <w:lang w:eastAsia="en-US"/>
          <w14:ligatures w14:val="none"/>
        </w:rPr>
        <w:t>Hnamte</w:t>
      </w:r>
      <w:proofErr w:type="spellEnd"/>
      <w:r w:rsidRPr="00F479EF">
        <w:rPr>
          <w:rFonts w:eastAsiaTheme="minorHAnsi" w:cstheme="minorHAnsi"/>
          <w:kern w:val="0"/>
          <w:lang w:eastAsia="en-US"/>
          <w14:ligatures w14:val="none"/>
        </w:rPr>
        <w:t xml:space="preserve"> 2022, </w:t>
      </w:r>
      <w:proofErr w:type="spellStart"/>
      <w:r w:rsidRPr="00F479EF">
        <w:rPr>
          <w:rFonts w:eastAsiaTheme="minorHAnsi" w:cstheme="minorHAnsi"/>
          <w:kern w:val="0"/>
          <w:lang w:eastAsia="en-US"/>
          <w14:ligatures w14:val="none"/>
        </w:rPr>
        <w:t>Musiza</w:t>
      </w:r>
      <w:proofErr w:type="spellEnd"/>
      <w:r w:rsidRPr="00F479EF">
        <w:rPr>
          <w:rFonts w:eastAsiaTheme="minorHAnsi" w:cstheme="minorHAnsi"/>
          <w:kern w:val="0"/>
          <w:lang w:eastAsia="en-US"/>
          <w14:ligatures w14:val="none"/>
        </w:rPr>
        <w:t xml:space="preserve"> 2022, Hurst </w:t>
      </w:r>
      <w:r w:rsidRPr="00F479EF">
        <w:rPr>
          <w:rFonts w:eastAsiaTheme="minorHAnsi" w:cstheme="minorHAnsi"/>
          <w:i/>
          <w:iCs/>
          <w:kern w:val="0"/>
          <w:lang w:eastAsia="en-US"/>
          <w14:ligatures w14:val="none"/>
        </w:rPr>
        <w:t>et al.</w:t>
      </w:r>
      <w:r w:rsidRPr="00F479EF">
        <w:rPr>
          <w:rFonts w:eastAsiaTheme="minorHAnsi" w:cstheme="minorHAnsi"/>
          <w:kern w:val="0"/>
          <w:lang w:eastAsia="en-US"/>
          <w14:ligatures w14:val="none"/>
        </w:rPr>
        <w:t xml:space="preserve"> 2020). </w:t>
      </w:r>
      <w:proofErr w:type="spellStart"/>
      <w:r w:rsidRPr="00F479EF">
        <w:rPr>
          <w:rFonts w:eastAsiaTheme="minorHAnsi" w:cstheme="minorHAnsi"/>
          <w:kern w:val="0"/>
          <w:lang w:eastAsia="en-US"/>
          <w14:ligatures w14:val="none"/>
        </w:rPr>
        <w:t>Janke</w:t>
      </w:r>
      <w:proofErr w:type="spellEnd"/>
      <w:r w:rsidRPr="00F479EF">
        <w:rPr>
          <w:rFonts w:eastAsiaTheme="minorHAnsi" w:cstheme="minorHAnsi"/>
          <w:kern w:val="0"/>
          <w:lang w:eastAsia="en-US"/>
          <w14:ligatures w14:val="none"/>
        </w:rPr>
        <w:t xml:space="preserve"> (2018) détaille un certain nombre de cas où le droit de la propriété intellectuelle a servi à lutter contre le détournement, souvent de manière créative. </w:t>
      </w:r>
    </w:p>
    <w:p w14:paraId="6809B37E"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 détournement peut également être traité par d’autres mécanismes, juridiques ou autres. Par exemple, en Australie, les lois sur l’approbation des plans ont permis de contester l’exposition publique d’une sculpture représentant une figure sacrée de l’esprit créateur des Aborigènes </w:t>
      </w:r>
      <w:proofErr w:type="spellStart"/>
      <w:r w:rsidRPr="00F479EF">
        <w:rPr>
          <w:rFonts w:eastAsiaTheme="minorHAnsi" w:cstheme="minorHAnsi"/>
          <w:kern w:val="0"/>
          <w:lang w:eastAsia="en-US"/>
          <w14:ligatures w14:val="none"/>
        </w:rPr>
        <w:t>Worrora</w:t>
      </w:r>
      <w:proofErr w:type="spellEnd"/>
      <w:r w:rsidRPr="00F479EF">
        <w:rPr>
          <w:rFonts w:eastAsiaTheme="minorHAnsi" w:cstheme="minorHAnsi"/>
          <w:kern w:val="0"/>
          <w:lang w:eastAsia="en-US"/>
          <w14:ligatures w14:val="none"/>
        </w:rPr>
        <w:t xml:space="preserve">, </w:t>
      </w:r>
      <w:proofErr w:type="spellStart"/>
      <w:r w:rsidRPr="00F479EF">
        <w:rPr>
          <w:rFonts w:eastAsiaTheme="minorHAnsi" w:cstheme="minorHAnsi"/>
          <w:kern w:val="0"/>
          <w:lang w:eastAsia="en-US"/>
          <w14:ligatures w14:val="none"/>
        </w:rPr>
        <w:t>Wunumbal</w:t>
      </w:r>
      <w:proofErr w:type="spellEnd"/>
      <w:r w:rsidRPr="00F479EF">
        <w:rPr>
          <w:rFonts w:eastAsiaTheme="minorHAnsi" w:cstheme="minorHAnsi"/>
          <w:kern w:val="0"/>
          <w:lang w:eastAsia="en-US"/>
          <w14:ligatures w14:val="none"/>
        </w:rPr>
        <w:t xml:space="preserve"> et </w:t>
      </w:r>
      <w:proofErr w:type="spellStart"/>
      <w:r w:rsidRPr="00F479EF">
        <w:rPr>
          <w:rFonts w:eastAsiaTheme="minorHAnsi" w:cstheme="minorHAnsi"/>
          <w:kern w:val="0"/>
          <w:lang w:eastAsia="en-US"/>
          <w14:ligatures w14:val="none"/>
        </w:rPr>
        <w:t>Ngarinyin</w:t>
      </w:r>
      <w:proofErr w:type="spellEnd"/>
      <w:r w:rsidRPr="00F479EF">
        <w:rPr>
          <w:rFonts w:eastAsiaTheme="minorHAnsi" w:cstheme="minorHAnsi"/>
          <w:kern w:val="0"/>
          <w:lang w:eastAsia="en-US"/>
          <w14:ligatures w14:val="none"/>
        </w:rPr>
        <w:t xml:space="preserve">. La sculpture était offensante pour ces communautés, parce qu’elle représentait « un </w:t>
      </w:r>
      <w:proofErr w:type="spellStart"/>
      <w:r w:rsidRPr="00F479EF">
        <w:rPr>
          <w:rFonts w:eastAsiaTheme="minorHAnsi" w:cstheme="minorHAnsi"/>
          <w:kern w:val="0"/>
          <w:lang w:eastAsia="en-US"/>
          <w14:ligatures w14:val="none"/>
        </w:rPr>
        <w:t>Wandjina</w:t>
      </w:r>
      <w:proofErr w:type="spellEnd"/>
      <w:r w:rsidRPr="00F479EF">
        <w:rPr>
          <w:rFonts w:eastAsiaTheme="minorHAnsi" w:cstheme="minorHAnsi"/>
          <w:kern w:val="0"/>
          <w:lang w:eastAsia="en-US"/>
          <w14:ligatures w14:val="none"/>
        </w:rPr>
        <w:t xml:space="preserve"> grossièrement dessiné avec une bouche, alors que les </w:t>
      </w:r>
      <w:proofErr w:type="spellStart"/>
      <w:r w:rsidRPr="00F479EF">
        <w:rPr>
          <w:rFonts w:eastAsiaTheme="minorHAnsi" w:cstheme="minorHAnsi"/>
          <w:kern w:val="0"/>
          <w:lang w:eastAsia="en-US"/>
          <w14:ligatures w14:val="none"/>
        </w:rPr>
        <w:t>Wandjinas</w:t>
      </w:r>
      <w:proofErr w:type="spellEnd"/>
      <w:r w:rsidRPr="00F479EF">
        <w:rPr>
          <w:rFonts w:eastAsiaTheme="minorHAnsi" w:cstheme="minorHAnsi"/>
          <w:kern w:val="0"/>
          <w:lang w:eastAsia="en-US"/>
          <w14:ligatures w14:val="none"/>
        </w:rPr>
        <w:t xml:space="preserve"> traditionnels sont considérés comme trop puissants pour être représentés avec des bouches ». Selon le droit coutumier, les membres de la communauté « sont les seules personnes habilitées à représenter les </w:t>
      </w:r>
      <w:proofErr w:type="spellStart"/>
      <w:r w:rsidRPr="00F479EF">
        <w:rPr>
          <w:rFonts w:eastAsiaTheme="minorHAnsi" w:cstheme="minorHAnsi"/>
          <w:kern w:val="0"/>
          <w:lang w:eastAsia="en-US"/>
          <w14:ligatures w14:val="none"/>
        </w:rPr>
        <w:t>Wandjinas</w:t>
      </w:r>
      <w:proofErr w:type="spellEnd"/>
      <w:r w:rsidRPr="00F479EF">
        <w:rPr>
          <w:rFonts w:eastAsiaTheme="minorHAnsi" w:cstheme="minorHAnsi"/>
          <w:kern w:val="0"/>
          <w:lang w:eastAsia="en-US"/>
          <w14:ligatures w14:val="none"/>
        </w:rPr>
        <w:t>. La reproduction non autorisée déstabiliserait l’équilibre naturel du monde et porterait atteinte à la culture, à la spiritualité et à l’identité des populations locales » (</w:t>
      </w:r>
      <w:proofErr w:type="spellStart"/>
      <w:r w:rsidRPr="00F479EF">
        <w:rPr>
          <w:rFonts w:eastAsiaTheme="minorHAnsi" w:cstheme="minorHAnsi"/>
          <w:kern w:val="0"/>
          <w:lang w:eastAsia="en-US"/>
          <w14:ligatures w14:val="none"/>
        </w:rPr>
        <w:t>Janke</w:t>
      </w:r>
      <w:proofErr w:type="spellEnd"/>
      <w:r w:rsidRPr="00F479EF">
        <w:rPr>
          <w:rFonts w:eastAsiaTheme="minorHAnsi" w:cstheme="minorHAnsi"/>
          <w:kern w:val="0"/>
          <w:lang w:eastAsia="en-US"/>
          <w14:ligatures w14:val="none"/>
        </w:rPr>
        <w:t xml:space="preserve"> </w:t>
      </w:r>
      <w:proofErr w:type="gramStart"/>
      <w:r w:rsidRPr="00F479EF">
        <w:rPr>
          <w:rFonts w:eastAsiaTheme="minorHAnsi" w:cstheme="minorHAnsi"/>
          <w:kern w:val="0"/>
          <w:lang w:eastAsia="en-US"/>
          <w14:ligatures w14:val="none"/>
        </w:rPr>
        <w:t>2018:</w:t>
      </w:r>
      <w:proofErr w:type="gramEnd"/>
      <w:r w:rsidRPr="00F479EF">
        <w:rPr>
          <w:rFonts w:eastAsiaTheme="minorHAnsi" w:cstheme="minorHAnsi"/>
          <w:kern w:val="0"/>
          <w:lang w:eastAsia="en-US"/>
          <w14:ligatures w14:val="none"/>
        </w:rPr>
        <w:t xml:space="preserve">33-34). Certaines communautés ont cherché à contrôler l’utilisation de leur PCI non couvert par le droit conventionnel de la propriété intellectuelle en se référant au concept de « droits de propriété intellectuelle culturelle » utilisé par la Cultural </w:t>
      </w:r>
      <w:proofErr w:type="spellStart"/>
      <w:r w:rsidRPr="00F479EF">
        <w:rPr>
          <w:rFonts w:eastAsiaTheme="minorHAnsi" w:cstheme="minorHAnsi"/>
          <w:kern w:val="0"/>
          <w:lang w:eastAsia="en-US"/>
          <w14:ligatures w14:val="none"/>
        </w:rPr>
        <w:t>Intellectual</w:t>
      </w:r>
      <w:proofErr w:type="spellEnd"/>
      <w:r w:rsidRPr="00F479EF">
        <w:rPr>
          <w:rFonts w:eastAsiaTheme="minorHAnsi" w:cstheme="minorHAnsi"/>
          <w:kern w:val="0"/>
          <w:lang w:eastAsia="en-US"/>
          <w14:ligatures w14:val="none"/>
        </w:rPr>
        <w:t xml:space="preserve"> </w:t>
      </w:r>
      <w:proofErr w:type="spellStart"/>
      <w:r w:rsidRPr="00F479EF">
        <w:rPr>
          <w:rFonts w:eastAsiaTheme="minorHAnsi" w:cstheme="minorHAnsi"/>
          <w:kern w:val="0"/>
          <w:lang w:eastAsia="en-US"/>
          <w14:ligatures w14:val="none"/>
        </w:rPr>
        <w:t>Property</w:t>
      </w:r>
      <w:proofErr w:type="spellEnd"/>
      <w:r w:rsidRPr="00F479EF">
        <w:rPr>
          <w:rFonts w:eastAsiaTheme="minorHAnsi" w:cstheme="minorHAnsi"/>
          <w:kern w:val="0"/>
          <w:lang w:eastAsia="en-US"/>
          <w14:ligatures w14:val="none"/>
        </w:rPr>
        <w:t xml:space="preserve"> </w:t>
      </w:r>
      <w:proofErr w:type="spellStart"/>
      <w:r w:rsidRPr="00F479EF">
        <w:rPr>
          <w:rFonts w:eastAsiaTheme="minorHAnsi" w:cstheme="minorHAnsi"/>
          <w:kern w:val="0"/>
          <w:lang w:eastAsia="en-US"/>
          <w14:ligatures w14:val="none"/>
        </w:rPr>
        <w:t>Rights</w:t>
      </w:r>
      <w:proofErr w:type="spellEnd"/>
      <w:r w:rsidRPr="00F479EF">
        <w:rPr>
          <w:rFonts w:eastAsiaTheme="minorHAnsi" w:cstheme="minorHAnsi"/>
          <w:kern w:val="0"/>
          <w:lang w:eastAsia="en-US"/>
          <w14:ligatures w14:val="none"/>
        </w:rPr>
        <w:t xml:space="preserve"> Initiative</w:t>
      </w:r>
      <w:r w:rsidRPr="00F479EF">
        <w:rPr>
          <w:rFonts w:eastAsiaTheme="minorHAnsi" w:cstheme="minorHAnsi"/>
          <w:kern w:val="0"/>
          <w:vertAlign w:val="superscript"/>
          <w:lang w:eastAsia="en-US"/>
          <w14:ligatures w14:val="none"/>
        </w:rPr>
        <w:t>®</w:t>
      </w:r>
      <w:r w:rsidRPr="00F479EF">
        <w:rPr>
          <w:rFonts w:eastAsiaTheme="minorHAnsi" w:cstheme="minorHAnsi"/>
          <w:kern w:val="0"/>
          <w:lang w:eastAsia="en-US"/>
          <w14:ligatures w14:val="none"/>
        </w:rPr>
        <w:t xml:space="preserve"> (CIPRI)</w:t>
      </w:r>
      <w:r w:rsidRPr="00F479EF">
        <w:rPr>
          <w:rFonts w:eastAsiaTheme="minorHAnsi" w:cstheme="minorHAnsi"/>
          <w:kern w:val="0"/>
          <w:vertAlign w:val="superscript"/>
          <w:lang w:eastAsia="en-US"/>
          <w14:ligatures w14:val="none"/>
        </w:rPr>
        <w:footnoteReference w:id="61"/>
      </w:r>
      <w:r w:rsidRPr="00F479EF">
        <w:rPr>
          <w:rFonts w:eastAsiaTheme="minorHAnsi" w:cstheme="minorHAnsi"/>
          <w:kern w:val="0"/>
          <w:lang w:eastAsia="en-US"/>
          <w14:ligatures w14:val="none"/>
        </w:rPr>
        <w:t xml:space="preserve"> ou à des concepts similaires tels que la « propriété culturelle et intellectuelle autochtone » utilisée par </w:t>
      </w:r>
      <w:proofErr w:type="spellStart"/>
      <w:r w:rsidRPr="00F479EF">
        <w:rPr>
          <w:rFonts w:eastAsiaTheme="minorHAnsi" w:cstheme="minorHAnsi"/>
          <w:kern w:val="0"/>
          <w:lang w:eastAsia="en-US"/>
          <w14:ligatures w14:val="none"/>
        </w:rPr>
        <w:t>Janke</w:t>
      </w:r>
      <w:proofErr w:type="spellEnd"/>
      <w:r w:rsidRPr="00F479EF">
        <w:rPr>
          <w:rFonts w:eastAsiaTheme="minorHAnsi" w:cstheme="minorHAnsi"/>
          <w:kern w:val="0"/>
          <w:lang w:eastAsia="en-US"/>
          <w14:ligatures w14:val="none"/>
        </w:rPr>
        <w:t xml:space="preserve"> (2019). Dans le cas du groupe ethnique minoritaire Oma au Laos, une expérience de détournement (utilisation non autorisée de leurs motifs par une entreprise de mode italienne en 2019) les a conduits, en partenariat avec la CIPRI, à créer une base de données de motifs dont l’accès est contrôlé par la communauté, appelée « Oma </w:t>
      </w:r>
      <w:proofErr w:type="spellStart"/>
      <w:r w:rsidRPr="00F479EF">
        <w:rPr>
          <w:rFonts w:eastAsiaTheme="minorHAnsi" w:cstheme="minorHAnsi"/>
          <w:kern w:val="0"/>
          <w:lang w:eastAsia="en-US"/>
          <w14:ligatures w14:val="none"/>
        </w:rPr>
        <w:t>Traditional</w:t>
      </w:r>
      <w:proofErr w:type="spellEnd"/>
      <w:r w:rsidRPr="00F479EF">
        <w:rPr>
          <w:rFonts w:eastAsiaTheme="minorHAnsi" w:cstheme="minorHAnsi"/>
          <w:kern w:val="0"/>
          <w:lang w:eastAsia="en-US"/>
          <w14:ligatures w14:val="none"/>
        </w:rPr>
        <w:t xml:space="preserve"> Textile Design </w:t>
      </w:r>
      <w:proofErr w:type="spellStart"/>
      <w:r w:rsidRPr="00F479EF">
        <w:rPr>
          <w:rFonts w:eastAsiaTheme="minorHAnsi" w:cstheme="minorHAnsi"/>
          <w:kern w:val="0"/>
          <w:lang w:eastAsia="en-US"/>
          <w14:ligatures w14:val="none"/>
        </w:rPr>
        <w:t>Database</w:t>
      </w:r>
      <w:proofErr w:type="spellEnd"/>
      <w:r w:rsidRPr="00F479EF">
        <w:rPr>
          <w:rFonts w:eastAsiaTheme="minorHAnsi" w:cstheme="minorHAnsi"/>
          <w:kern w:val="0"/>
          <w:vertAlign w:val="superscript"/>
          <w:lang w:eastAsia="en-US"/>
          <w14:ligatures w14:val="none"/>
        </w:rPr>
        <w:t>©</w:t>
      </w:r>
      <w:r w:rsidRPr="00F479EF">
        <w:rPr>
          <w:rFonts w:eastAsiaTheme="minorHAnsi" w:cstheme="minorHAnsi"/>
          <w:kern w:val="0"/>
          <w:lang w:eastAsia="en-US"/>
          <w14:ligatures w14:val="none"/>
        </w:rPr>
        <w:t xml:space="preserve"> » (base de données des motifs textiles traditionnels Oma). Cette base de données visait à faire valoir leurs « droits de propriété intellectuelle culturelle » sur ces données et à encourager d’autres entreprises de mode à </w:t>
      </w:r>
      <w:r w:rsidRPr="00F479EF">
        <w:rPr>
          <w:rFonts w:eastAsiaTheme="minorHAnsi" w:cstheme="minorHAnsi"/>
          <w:kern w:val="0"/>
          <w:lang w:eastAsia="en-US"/>
          <w14:ligatures w14:val="none"/>
        </w:rPr>
        <w:lastRenderedPageBreak/>
        <w:t>demander l’autorisation d’utiliser leurs dessins et à conclure des accords de partage des bénéfices avec elles</w:t>
      </w:r>
      <w:r w:rsidRPr="00F479EF">
        <w:rPr>
          <w:rFonts w:eastAsiaTheme="minorHAnsi" w:cstheme="minorHAnsi"/>
          <w:kern w:val="0"/>
          <w:vertAlign w:val="superscript"/>
          <w:lang w:eastAsia="en-US"/>
          <w14:ligatures w14:val="none"/>
        </w:rPr>
        <w:footnoteReference w:id="62"/>
      </w:r>
      <w:r w:rsidRPr="00F479EF">
        <w:rPr>
          <w:rFonts w:eastAsiaTheme="minorHAnsi" w:cstheme="minorHAnsi"/>
          <w:kern w:val="0"/>
          <w:lang w:eastAsia="en-US"/>
          <w14:ligatures w14:val="none"/>
        </w:rPr>
        <w:t xml:space="preserve">. </w:t>
      </w:r>
    </w:p>
    <w:p w14:paraId="5737D771"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Les communautés ont également réagi de manière informelle aux détournements. L’histoire de la capoeira (un art martial né de l’esclavage au Brésil) racontée par </w:t>
      </w:r>
      <w:proofErr w:type="spellStart"/>
      <w:r w:rsidRPr="00F479EF">
        <w:rPr>
          <w:rFonts w:eastAsiaTheme="minorHAnsi" w:cstheme="minorHAnsi"/>
          <w:kern w:val="0"/>
          <w:lang w:eastAsia="en-US"/>
          <w14:ligatures w14:val="none"/>
        </w:rPr>
        <w:t>Assuncao</w:t>
      </w:r>
      <w:proofErr w:type="spellEnd"/>
      <w:r w:rsidRPr="00F479EF">
        <w:rPr>
          <w:rFonts w:eastAsiaTheme="minorHAnsi" w:cstheme="minorHAnsi"/>
          <w:kern w:val="0"/>
          <w:lang w:eastAsia="en-US"/>
          <w14:ligatures w14:val="none"/>
        </w:rPr>
        <w:t xml:space="preserve"> (2004) montre comment les praticiens l’ont valorisée en tant qu’expression de la mémoire corporelle des Africains et de leurs descendants réduits en esclavage, à la fois pour résister à l’oppression et en tant que forme d’art saine et amusante. Au fur et à mesure que la capoeira s’est répandue dans le monde, les possibilités d’enseignement et de représentation ont profité aux praticiens sur le plan économique et ont permis de sensibiliser le public à cet art. En même temps, les praticiens ont été confrontés à une institutionnalisation et à une marchandisation accrues de leur art sur les nouveaux marchés, et se sont donc servis de techniques de réappropriation (par exemple, en réaffirmant leur autorité sur la signification de la pratique) et d’affirmation de soi pour résister à ces effets (</w:t>
      </w:r>
      <w:proofErr w:type="spellStart"/>
      <w:r w:rsidRPr="00F479EF">
        <w:rPr>
          <w:rFonts w:eastAsiaTheme="minorHAnsi" w:cstheme="minorHAnsi"/>
          <w:kern w:val="0"/>
          <w:lang w:eastAsia="en-US"/>
          <w14:ligatures w14:val="none"/>
        </w:rPr>
        <w:t>Assuncao</w:t>
      </w:r>
      <w:proofErr w:type="spellEnd"/>
      <w:r w:rsidRPr="00F479EF">
        <w:rPr>
          <w:rFonts w:eastAsiaTheme="minorHAnsi" w:cstheme="minorHAnsi"/>
          <w:kern w:val="0"/>
          <w:lang w:eastAsia="en-US"/>
          <w14:ligatures w14:val="none"/>
        </w:rPr>
        <w:t> </w:t>
      </w:r>
      <w:proofErr w:type="gramStart"/>
      <w:r w:rsidRPr="00F479EF">
        <w:rPr>
          <w:rFonts w:eastAsiaTheme="minorHAnsi" w:cstheme="minorHAnsi"/>
          <w:kern w:val="0"/>
          <w:lang w:eastAsia="en-US"/>
          <w14:ligatures w14:val="none"/>
        </w:rPr>
        <w:t>2004:</w:t>
      </w:r>
      <w:proofErr w:type="gramEnd"/>
      <w:r w:rsidRPr="00F479EF">
        <w:rPr>
          <w:rFonts w:eastAsiaTheme="minorHAnsi" w:cstheme="minorHAnsi"/>
          <w:kern w:val="0"/>
          <w:lang w:eastAsia="en-US"/>
          <w14:ligatures w14:val="none"/>
        </w:rPr>
        <w:t xml:space="preserve">209). </w:t>
      </w:r>
    </w:p>
    <w:p w14:paraId="1450EEC2" w14:textId="77777777" w:rsidR="002C1F81" w:rsidRPr="00F479EF" w:rsidRDefault="002C1F81" w:rsidP="002C1F81">
      <w:pPr>
        <w:keepNext/>
        <w:keepLines/>
        <w:spacing w:before="40" w:after="0"/>
        <w:jc w:val="both"/>
        <w:outlineLvl w:val="1"/>
        <w:rPr>
          <w:rFonts w:asciiTheme="majorHAnsi" w:eastAsiaTheme="majorEastAsia" w:hAnsiTheme="majorHAnsi" w:cstheme="majorBidi"/>
          <w:color w:val="2F5496" w:themeColor="accent1" w:themeShade="BF"/>
          <w:kern w:val="0"/>
          <w:sz w:val="26"/>
          <w:szCs w:val="26"/>
          <w:lang w:eastAsia="en-US"/>
          <w14:ligatures w14:val="none"/>
        </w:rPr>
      </w:pPr>
      <w:bookmarkStart w:id="20" w:name="_Toc137745038"/>
      <w:r w:rsidRPr="00F479EF">
        <w:rPr>
          <w:rFonts w:asciiTheme="majorHAnsi" w:eastAsiaTheme="majorEastAsia" w:hAnsiTheme="majorHAnsi" w:cstheme="majorBidi"/>
          <w:color w:val="2F5496" w:themeColor="accent1" w:themeShade="BF"/>
          <w:kern w:val="0"/>
          <w:sz w:val="26"/>
          <w:szCs w:val="26"/>
          <w:lang w:eastAsia="en-US"/>
          <w14:ligatures w14:val="none"/>
        </w:rPr>
        <w:t>Conclusion</w:t>
      </w:r>
      <w:bookmarkEnd w:id="20"/>
    </w:p>
    <w:p w14:paraId="7FE440BE"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Pour conclure, les aspects économiques de la sauvegarde du PCI ont été relativement négligés dans la recherche universitaire sur la gestion du patrimoine. Ces recherches mettent souvent en évidence les risques liés au contrôle de la commercialisation du patrimoine par des tiers ou les inégalités dans les bénéfices tirés de l’engagement commercial. De plus en plus d’études (souvent menées par des agences de développement) vantent certains des avantages économiques de l’engagement sur le marché pour le développement durable, bien qu’elles s’inscrivent souvent dans le contexte du développement national. Ces travaux ne se sont pas beaucoup concentrés sur la compréhension de la dynamique de l’engagement du PCI sur le marché ou sur les stratégies pratiques visant à minimiser les risques et à maximiser les avantages. Un meilleur engagement interdisciplinaire, intégrant les perspectives des différentes parties prenantes, en particulier des praticiens du PCI eux-mêmes, contribuerait à élaborer des lignes directrices servant à informer les stratégies communautaires qui visent à équilibrer la sauvegarde du PCI et les objectifs de développement local.</w:t>
      </w:r>
    </w:p>
    <w:p w14:paraId="7294C908"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Les travaux menés dans différentes disciplines fournissent des indications utiles pour comprendre les aspects économiques de la sauvegarde du PCI. La littérature sur l’anthropologie et les études critiques sur le patrimoine mettent en évidence la dynamique du pouvoir inhérente à l’identification du PCI, l’articulation de sa signification et de sa valeur, et l’identification et la gestion des défis associés à sa sauvegarde dans le cadre du marché. Au-delà de l’analyse binaire des risques et des bénéfices, l’économie et les industries culturelles peuvent éclairer l’élaboration de modèles plus complexes. Par exemple, un modèle d</w:t>
      </w:r>
      <w:proofErr w:type="gramStart"/>
      <w:r w:rsidRPr="00F479EF">
        <w:rPr>
          <w:rFonts w:eastAsiaTheme="minorHAnsi" w:cstheme="minorHAnsi"/>
          <w:kern w:val="0"/>
          <w:lang w:eastAsia="en-US"/>
          <w14:ligatures w14:val="none"/>
        </w:rPr>
        <w:t>’«</w:t>
      </w:r>
      <w:proofErr w:type="gramEnd"/>
      <w:r w:rsidRPr="00F479EF">
        <w:rPr>
          <w:rFonts w:eastAsiaTheme="minorHAnsi" w:cstheme="minorHAnsi"/>
          <w:kern w:val="0"/>
          <w:lang w:eastAsia="en-US"/>
          <w14:ligatures w14:val="none"/>
        </w:rPr>
        <w:t xml:space="preserve"> écosystème » nous aiderait à comprendre la relation entre les produits et les services liés au PCI et les produits industriels, ainsi que les effets de rétroaction sur la transmission et la sauvegarde. Les connaissances en marketing aident à comprendre comment les praticiens peuvent adapter les outils et les logiques de marketing en tenant compte du patrimoine, et comment étudier les implications de la patrimonialisation dans un contexte commercial. La littérature relative au changement climatique ou à la réponse aux catastrophes peut constituer une ressource importante pour la planification de l’adaptation. </w:t>
      </w:r>
    </w:p>
    <w:p w14:paraId="50F13C9B"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L’engagement sur le marché du PCI présente des risques et des avantages bien documentés pour la sauvegarde et le développement durable des communautés concernées, mais le marché n’est probablement ni intrinsèquement bon ni intrinsèquement mauvais pour la sauvegarde du PCI. Il est </w:t>
      </w:r>
      <w:r w:rsidRPr="00F479EF">
        <w:rPr>
          <w:rFonts w:eastAsiaTheme="minorHAnsi" w:cstheme="minorHAnsi"/>
          <w:kern w:val="0"/>
          <w:lang w:eastAsia="en-US"/>
          <w14:ligatures w14:val="none"/>
        </w:rPr>
        <w:lastRenderedPageBreak/>
        <w:t xml:space="preserve">probable que la plupart des praticiens du PCI et des communautés engagées dans la commercialisation reconnaissent les aspects tant positifs que négatifs, sauf dans les cas où des éléments secrets ou sacrés ont été commercialisés sans consentement. Toutefois, il peut y avoir des inconvénients à envisager les aspects économiques du PCI uniquement en termes de risques et de bénéfices, par exemple dans le cas des systèmes d’assistance mutuelle, qui ont une valeur économique mais pas nécessairement commerciale. Il peut également être important de réfléchir davantage aux écosystèmes et aux limites de la croissance, ainsi qu’à l’équilibre entre les objectifs et les avantages à court et à long terme. Il est également difficile de comprendre l’impact de l’engagement du marché. Les effets du marché peuvent différer non seulement entre les communautés ou les groupes, les entrepreneurs et la communauté dans son ensemble, ou les contextes géographiques et les éléments du PCI, mais aussi, plus généralement, entre les catégories de PCI : les traditions culinaires patrimoniales, les pratiques artisanales et les éléments du PCI liés à la performance peuvent, par exemple, être impactés de manière différente par la commercialisation. L’impact du tourisme sur le marché peut différer de l’impact de la commercialisation des produits. </w:t>
      </w:r>
    </w:p>
    <w:p w14:paraId="51AED429" w14:textId="77777777" w:rsidR="002C1F81" w:rsidRPr="00F479EF"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Il n’est peut-être pas possible de développer un modèle unique pour comprendre les différents types d’interactions entre le PCI et le marché. Néanmoins, ces modèles peuvent servir d’outils de réflexion pour saisir la complexité de certaines situations. Lors de l’application de ces modèles, il est essentiel de reconnaître le droit des communautés et des praticiens à déterminer leurs besoins en matière de sauvegarde du patrimoine et de développement durable, et à chercher leurs propres solutions aux problèmes qu’ils identifient. </w:t>
      </w:r>
    </w:p>
    <w:p w14:paraId="3B0DF82B" w14:textId="77777777" w:rsidR="002C1F81" w:rsidRDefault="002C1F81" w:rsidP="002C1F81">
      <w:pPr>
        <w:jc w:val="both"/>
        <w:rPr>
          <w:rFonts w:eastAsiaTheme="minorHAnsi" w:cstheme="minorHAnsi"/>
          <w:kern w:val="0"/>
          <w:lang w:eastAsia="en-US"/>
          <w14:ligatures w14:val="none"/>
        </w:rPr>
      </w:pPr>
      <w:r w:rsidRPr="00F479EF">
        <w:rPr>
          <w:rFonts w:eastAsiaTheme="minorHAnsi" w:cstheme="minorHAnsi"/>
          <w:kern w:val="0"/>
          <w:lang w:eastAsia="en-US"/>
          <w14:ligatures w14:val="none"/>
        </w:rPr>
        <w:t xml:space="preserve">Il convient de poursuivre la discussion sur la manière de conceptualiser et de définir les effets positifs et négatifs de l’activité économique sur la sauvegarde du PCI, à la fois (a) dans le cadre du maintien du « contexte » de la pratique et de la transmission du PCI, et (b) dans le cadre d’un développement durable local, orienté vers la communauté. Notre compréhension de l’impact de l’activité économique sur la sauvegarde du PCI devrait tenir compte des perspectives communautaires, de la nature de l’élément du PCI et du contexte économique plus large dans lequel il est pratiqué et transmis. Si certains concepts, tels que la sauvegarde, ont été relativement bien développés dans les travaux de la Convention, ce n’est pas le cas des concepts relatifs au contexte, à l’adaptation et à la conservation de la signification et de la valeur dans le temps. Les menaces posées par la commercialisation (notamment la décontextualisation et la commercialisation excessive) sont relativement peu théorisées. Des concepts tels que le répertoire du patrimoine, l’innovation et l’authenticité sont utilisés dans diverses disciplines, mais ne sont pas discutés plus largement dans le cadre de la Convention. Ils peuvent servir à développer un paysage conceptuel plus dynamique et holistique afin de comprendre les relations entre le PCI et le marché. </w:t>
      </w:r>
    </w:p>
    <w:p w14:paraId="2A673FD4" w14:textId="77777777" w:rsidR="00087F02" w:rsidRDefault="00087F02" w:rsidP="0015504B"/>
    <w:sectPr w:rsidR="00087F02" w:rsidSect="00B77E10">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9318" w14:textId="77777777" w:rsidR="002C1F81" w:rsidRDefault="002C1F81" w:rsidP="002C1F81">
      <w:pPr>
        <w:spacing w:after="0" w:line="240" w:lineRule="auto"/>
      </w:pPr>
      <w:r>
        <w:separator/>
      </w:r>
    </w:p>
  </w:endnote>
  <w:endnote w:type="continuationSeparator" w:id="0">
    <w:p w14:paraId="1D13C6E5" w14:textId="77777777" w:rsidR="002C1F81" w:rsidRDefault="002C1F81" w:rsidP="002C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2909" w14:textId="77777777" w:rsidR="002C1F81" w:rsidRDefault="002C1F81" w:rsidP="002C1F81">
      <w:pPr>
        <w:spacing w:after="0" w:line="240" w:lineRule="auto"/>
      </w:pPr>
      <w:r>
        <w:separator/>
      </w:r>
    </w:p>
  </w:footnote>
  <w:footnote w:type="continuationSeparator" w:id="0">
    <w:p w14:paraId="2A5EF567" w14:textId="77777777" w:rsidR="002C1F81" w:rsidRDefault="002C1F81" w:rsidP="002C1F81">
      <w:pPr>
        <w:spacing w:after="0" w:line="240" w:lineRule="auto"/>
      </w:pPr>
      <w:r>
        <w:continuationSeparator/>
      </w:r>
    </w:p>
  </w:footnote>
  <w:footnote w:id="1">
    <w:p w14:paraId="2AAF8F38" w14:textId="5EAC9F46" w:rsidR="006872DE" w:rsidRPr="00B77E10" w:rsidRDefault="006872DE" w:rsidP="00226594">
      <w:pPr>
        <w:pStyle w:val="FootnoteText"/>
        <w:jc w:val="left"/>
        <w:rPr>
          <w:sz w:val="18"/>
          <w:szCs w:val="18"/>
        </w:rPr>
      </w:pPr>
      <w:r w:rsidRPr="002349C1">
        <w:rPr>
          <w:rStyle w:val="FootnoteReference"/>
          <w:sz w:val="18"/>
          <w:szCs w:val="18"/>
        </w:rPr>
        <w:footnoteRef/>
      </w:r>
      <w:r w:rsidRPr="006872DE">
        <w:rPr>
          <w:sz w:val="18"/>
          <w:szCs w:val="18"/>
        </w:rPr>
        <w:t xml:space="preserve"> </w:t>
      </w:r>
      <w:r w:rsidR="00753266" w:rsidRPr="00753266">
        <w:rPr>
          <w:sz w:val="18"/>
          <w:szCs w:val="18"/>
        </w:rPr>
        <w:t xml:space="preserve">Ce document a été préparé par </w:t>
      </w:r>
      <w:r w:rsidR="00753266">
        <w:rPr>
          <w:sz w:val="18"/>
          <w:szCs w:val="18"/>
        </w:rPr>
        <w:t xml:space="preserve">la consultante </w:t>
      </w:r>
      <w:r w:rsidR="00753266" w:rsidRPr="00753266">
        <w:rPr>
          <w:sz w:val="18"/>
          <w:szCs w:val="18"/>
        </w:rPr>
        <w:t>Harriet Deacon, avec l’aide du Comité d’examen par les pairs sur les aspects économiques de la sauvegarde du patrimoine culturel immatériel (</w:t>
      </w:r>
      <w:proofErr w:type="spellStart"/>
      <w:r w:rsidR="00753266" w:rsidRPr="00753266">
        <w:rPr>
          <w:sz w:val="18"/>
          <w:szCs w:val="18"/>
        </w:rPr>
        <w:t>Gulnara</w:t>
      </w:r>
      <w:proofErr w:type="spellEnd"/>
      <w:r w:rsidR="00753266" w:rsidRPr="00753266">
        <w:rPr>
          <w:sz w:val="18"/>
          <w:szCs w:val="18"/>
        </w:rPr>
        <w:t xml:space="preserve"> </w:t>
      </w:r>
      <w:proofErr w:type="spellStart"/>
      <w:r w:rsidR="00753266" w:rsidRPr="00753266">
        <w:rPr>
          <w:sz w:val="18"/>
          <w:szCs w:val="18"/>
        </w:rPr>
        <w:t>Aitpaeva</w:t>
      </w:r>
      <w:proofErr w:type="spellEnd"/>
      <w:r w:rsidR="00753266" w:rsidRPr="00753266">
        <w:rPr>
          <w:sz w:val="18"/>
          <w:szCs w:val="18"/>
        </w:rPr>
        <w:t xml:space="preserve">, Cristina Amescua, Chiara Bortolotto, </w:t>
      </w:r>
      <w:proofErr w:type="spellStart"/>
      <w:r w:rsidR="00753266" w:rsidRPr="00753266">
        <w:rPr>
          <w:sz w:val="18"/>
          <w:szCs w:val="18"/>
        </w:rPr>
        <w:t>Shubha</w:t>
      </w:r>
      <w:proofErr w:type="spellEnd"/>
      <w:r w:rsidR="00753266" w:rsidRPr="00753266">
        <w:rPr>
          <w:sz w:val="18"/>
          <w:szCs w:val="18"/>
        </w:rPr>
        <w:t xml:space="preserve"> Chaudhuri, Emily </w:t>
      </w:r>
      <w:proofErr w:type="spellStart"/>
      <w:r w:rsidR="00753266" w:rsidRPr="00753266">
        <w:rPr>
          <w:sz w:val="18"/>
          <w:szCs w:val="18"/>
        </w:rPr>
        <w:t>Drani</w:t>
      </w:r>
      <w:proofErr w:type="spellEnd"/>
      <w:r w:rsidR="00753266" w:rsidRPr="00753266">
        <w:rPr>
          <w:sz w:val="18"/>
          <w:szCs w:val="18"/>
        </w:rPr>
        <w:t xml:space="preserve">, Nigel </w:t>
      </w:r>
      <w:proofErr w:type="spellStart"/>
      <w:r w:rsidR="00753266" w:rsidRPr="00753266">
        <w:rPr>
          <w:sz w:val="18"/>
          <w:szCs w:val="18"/>
        </w:rPr>
        <w:t>Encalada</w:t>
      </w:r>
      <w:proofErr w:type="spellEnd"/>
      <w:r w:rsidR="00753266" w:rsidRPr="00753266">
        <w:rPr>
          <w:sz w:val="18"/>
          <w:szCs w:val="18"/>
        </w:rPr>
        <w:t xml:space="preserve">, Léonce Ki, Sharon Le Gall, Joseph Lo, Lucas </w:t>
      </w:r>
      <w:proofErr w:type="spellStart"/>
      <w:r w:rsidR="00753266" w:rsidRPr="00753266">
        <w:rPr>
          <w:sz w:val="18"/>
          <w:szCs w:val="18"/>
        </w:rPr>
        <w:t>Lixinski</w:t>
      </w:r>
      <w:proofErr w:type="spellEnd"/>
      <w:r w:rsidR="00753266" w:rsidRPr="00753266">
        <w:rPr>
          <w:sz w:val="18"/>
          <w:szCs w:val="18"/>
        </w:rPr>
        <w:t xml:space="preserve">, </w:t>
      </w:r>
      <w:proofErr w:type="spellStart"/>
      <w:r w:rsidR="00753266" w:rsidRPr="00753266">
        <w:rPr>
          <w:sz w:val="18"/>
          <w:szCs w:val="18"/>
        </w:rPr>
        <w:t>Aroha</w:t>
      </w:r>
      <w:proofErr w:type="spellEnd"/>
      <w:r w:rsidR="00753266" w:rsidRPr="00753266">
        <w:rPr>
          <w:sz w:val="18"/>
          <w:szCs w:val="18"/>
        </w:rPr>
        <w:t xml:space="preserve"> Mead, </w:t>
      </w:r>
      <w:proofErr w:type="spellStart"/>
      <w:r w:rsidR="00753266" w:rsidRPr="00753266">
        <w:rPr>
          <w:sz w:val="18"/>
          <w:szCs w:val="18"/>
        </w:rPr>
        <w:t>Ancila</w:t>
      </w:r>
      <w:proofErr w:type="spellEnd"/>
      <w:r w:rsidR="00753266" w:rsidRPr="00753266">
        <w:rPr>
          <w:sz w:val="18"/>
          <w:szCs w:val="18"/>
        </w:rPr>
        <w:t xml:space="preserve"> </w:t>
      </w:r>
      <w:proofErr w:type="spellStart"/>
      <w:r w:rsidR="00753266" w:rsidRPr="00753266">
        <w:rPr>
          <w:sz w:val="18"/>
          <w:szCs w:val="18"/>
        </w:rPr>
        <w:t>Nhamo</w:t>
      </w:r>
      <w:proofErr w:type="spellEnd"/>
      <w:r w:rsidR="00753266" w:rsidRPr="00753266">
        <w:rPr>
          <w:sz w:val="18"/>
          <w:szCs w:val="18"/>
        </w:rPr>
        <w:t xml:space="preserve">, Desmond </w:t>
      </w:r>
      <w:proofErr w:type="spellStart"/>
      <w:r w:rsidR="00753266" w:rsidRPr="00753266">
        <w:rPr>
          <w:sz w:val="18"/>
          <w:szCs w:val="18"/>
        </w:rPr>
        <w:t>Osaretin</w:t>
      </w:r>
      <w:proofErr w:type="spellEnd"/>
      <w:r w:rsidR="00753266" w:rsidRPr="00753266">
        <w:rPr>
          <w:sz w:val="18"/>
          <w:szCs w:val="18"/>
        </w:rPr>
        <w:t xml:space="preserve"> </w:t>
      </w:r>
      <w:proofErr w:type="spellStart"/>
      <w:r w:rsidR="00753266" w:rsidRPr="00753266">
        <w:rPr>
          <w:sz w:val="18"/>
          <w:szCs w:val="18"/>
        </w:rPr>
        <w:t>Oriakhogba</w:t>
      </w:r>
      <w:proofErr w:type="spellEnd"/>
      <w:r w:rsidR="00753266" w:rsidRPr="00753266">
        <w:rPr>
          <w:sz w:val="18"/>
          <w:szCs w:val="18"/>
        </w:rPr>
        <w:t xml:space="preserve">, Diego </w:t>
      </w:r>
      <w:proofErr w:type="spellStart"/>
      <w:r w:rsidR="00753266" w:rsidRPr="00753266">
        <w:rPr>
          <w:sz w:val="18"/>
          <w:szCs w:val="18"/>
        </w:rPr>
        <w:t>Rinallo</w:t>
      </w:r>
      <w:proofErr w:type="spellEnd"/>
      <w:r w:rsidR="00753266" w:rsidRPr="00753266">
        <w:rPr>
          <w:sz w:val="18"/>
          <w:szCs w:val="18"/>
        </w:rPr>
        <w:t xml:space="preserve">, Ana </w:t>
      </w:r>
      <w:proofErr w:type="spellStart"/>
      <w:r w:rsidR="00753266" w:rsidRPr="00753266">
        <w:rPr>
          <w:sz w:val="18"/>
          <w:szCs w:val="18"/>
        </w:rPr>
        <w:t>Shanshiashvili</w:t>
      </w:r>
      <w:proofErr w:type="spellEnd"/>
      <w:r w:rsidR="00753266" w:rsidRPr="00753266">
        <w:rPr>
          <w:sz w:val="18"/>
          <w:szCs w:val="18"/>
        </w:rPr>
        <w:t xml:space="preserve">, Ahmed </w:t>
      </w:r>
      <w:proofErr w:type="spellStart"/>
      <w:r w:rsidR="00753266" w:rsidRPr="00753266">
        <w:rPr>
          <w:sz w:val="18"/>
          <w:szCs w:val="18"/>
        </w:rPr>
        <w:t>Skounti</w:t>
      </w:r>
      <w:proofErr w:type="spellEnd"/>
      <w:r w:rsidR="00753266" w:rsidRPr="00753266">
        <w:rPr>
          <w:sz w:val="18"/>
          <w:szCs w:val="18"/>
        </w:rPr>
        <w:t xml:space="preserve">, </w:t>
      </w:r>
      <w:proofErr w:type="spellStart"/>
      <w:r w:rsidR="00753266" w:rsidRPr="00753266">
        <w:rPr>
          <w:sz w:val="18"/>
          <w:szCs w:val="18"/>
        </w:rPr>
        <w:t>Rieks</w:t>
      </w:r>
      <w:proofErr w:type="spellEnd"/>
      <w:r w:rsidR="00753266" w:rsidRPr="00753266">
        <w:rPr>
          <w:sz w:val="18"/>
          <w:szCs w:val="18"/>
        </w:rPr>
        <w:t xml:space="preserve"> </w:t>
      </w:r>
      <w:proofErr w:type="spellStart"/>
      <w:r w:rsidR="00753266" w:rsidRPr="00753266">
        <w:rPr>
          <w:sz w:val="18"/>
          <w:szCs w:val="18"/>
        </w:rPr>
        <w:t>Smeets</w:t>
      </w:r>
      <w:proofErr w:type="spellEnd"/>
      <w:r w:rsidR="00753266" w:rsidRPr="00753266">
        <w:rPr>
          <w:sz w:val="18"/>
          <w:szCs w:val="18"/>
        </w:rPr>
        <w:t xml:space="preserve">, </w:t>
      </w:r>
      <w:proofErr w:type="spellStart"/>
      <w:r w:rsidR="00753266" w:rsidRPr="00753266">
        <w:rPr>
          <w:sz w:val="18"/>
          <w:szCs w:val="18"/>
        </w:rPr>
        <w:t>Silja</w:t>
      </w:r>
      <w:proofErr w:type="spellEnd"/>
      <w:r w:rsidR="00753266" w:rsidRPr="00753266">
        <w:rPr>
          <w:sz w:val="18"/>
          <w:szCs w:val="18"/>
        </w:rPr>
        <w:t xml:space="preserve"> </w:t>
      </w:r>
      <w:proofErr w:type="spellStart"/>
      <w:r w:rsidR="00753266" w:rsidRPr="00753266">
        <w:rPr>
          <w:sz w:val="18"/>
          <w:szCs w:val="18"/>
        </w:rPr>
        <w:t>Somby</w:t>
      </w:r>
      <w:proofErr w:type="spellEnd"/>
      <w:r w:rsidR="00753266" w:rsidRPr="00753266">
        <w:rPr>
          <w:sz w:val="18"/>
          <w:szCs w:val="18"/>
        </w:rPr>
        <w:t xml:space="preserve">, </w:t>
      </w:r>
      <w:proofErr w:type="spellStart"/>
      <w:r w:rsidR="00753266" w:rsidRPr="00753266">
        <w:rPr>
          <w:sz w:val="18"/>
          <w:szCs w:val="18"/>
        </w:rPr>
        <w:t>Junjie</w:t>
      </w:r>
      <w:proofErr w:type="spellEnd"/>
      <w:r w:rsidR="00753266" w:rsidRPr="00753266">
        <w:rPr>
          <w:sz w:val="18"/>
          <w:szCs w:val="18"/>
        </w:rPr>
        <w:t xml:space="preserve"> Su, Anita Vaivade et Siri </w:t>
      </w:r>
      <w:proofErr w:type="spellStart"/>
      <w:r w:rsidR="00753266" w:rsidRPr="00753266">
        <w:rPr>
          <w:sz w:val="18"/>
          <w:szCs w:val="18"/>
        </w:rPr>
        <w:t>Wernberg</w:t>
      </w:r>
      <w:proofErr w:type="spellEnd"/>
      <w:r w:rsidR="00753266" w:rsidRPr="00753266">
        <w:rPr>
          <w:sz w:val="18"/>
          <w:szCs w:val="18"/>
        </w:rPr>
        <w:t xml:space="preserve">) et en collaboration avec l’Entité du patrimoine vivant de l’UNESCO. Il est présenté comme une ébauche préliminaire à des fins de discussion et d’examen. </w:t>
      </w:r>
      <w:r w:rsidR="00753266" w:rsidRPr="00CF37AE">
        <w:rPr>
          <w:sz w:val="18"/>
          <w:szCs w:val="18"/>
        </w:rPr>
        <w:t>Il est présenté comme un avant-projet à des fins de discussion et d’examen. Son contenu ne reflète pas nécessairement les vues institutionnelles de l'UNESCO</w:t>
      </w:r>
      <w:r w:rsidR="0004162D">
        <w:rPr>
          <w:sz w:val="18"/>
          <w:szCs w:val="18"/>
        </w:rPr>
        <w:t xml:space="preserve"> </w:t>
      </w:r>
      <w:r w:rsidR="0004162D" w:rsidRPr="0004162D">
        <w:rPr>
          <w:sz w:val="18"/>
          <w:szCs w:val="18"/>
        </w:rPr>
        <w:t>et peut faire l’objet de révisions en fonction des commentaires des pairs</w:t>
      </w:r>
      <w:r w:rsidR="00753266" w:rsidRPr="00CF37AE">
        <w:rPr>
          <w:sz w:val="18"/>
          <w:szCs w:val="18"/>
        </w:rPr>
        <w:t>.</w:t>
      </w:r>
    </w:p>
  </w:footnote>
  <w:footnote w:id="2">
    <w:p w14:paraId="65AE8CEB" w14:textId="77777777" w:rsidR="002C1F81" w:rsidRDefault="002C1F81" w:rsidP="00226594">
      <w:pPr>
        <w:pStyle w:val="FootnoteText"/>
        <w:jc w:val="left"/>
      </w:pPr>
      <w:r w:rsidRPr="00B77E10">
        <w:rPr>
          <w:rStyle w:val="FootnoteReference"/>
          <w:sz w:val="18"/>
          <w:szCs w:val="18"/>
        </w:rPr>
        <w:footnoteRef/>
      </w:r>
      <w:r w:rsidRPr="00B77E10">
        <w:rPr>
          <w:sz w:val="18"/>
          <w:szCs w:val="18"/>
        </w:rPr>
        <w:t xml:space="preserve"> Voir : </w:t>
      </w:r>
      <w:hyperlink r:id="rId1" w:history="1">
        <w:r w:rsidRPr="00B77E10">
          <w:rPr>
            <w:rStyle w:val="Hyperlink"/>
            <w:sz w:val="18"/>
            <w:szCs w:val="18"/>
          </w:rPr>
          <w:t>https://ncip.gov.ph/</w:t>
        </w:r>
      </w:hyperlink>
      <w:r w:rsidRPr="00B77E10">
        <w:rPr>
          <w:sz w:val="18"/>
          <w:szCs w:val="18"/>
        </w:rPr>
        <w:t xml:space="preserve">. Et pour en savoir plus : </w:t>
      </w:r>
      <w:hyperlink r:id="rId2" w:history="1">
        <w:r w:rsidRPr="00B77E10">
          <w:rPr>
            <w:rStyle w:val="Hyperlink"/>
            <w:sz w:val="18"/>
            <w:szCs w:val="18"/>
          </w:rPr>
          <w:t>https://www.rappler.com/nation/bahag-male-pageant-reignites-debate-cordillera-cultural-appropriation/</w:t>
        </w:r>
      </w:hyperlink>
      <w:r w:rsidRPr="00B77E10">
        <w:rPr>
          <w:sz w:val="18"/>
          <w:szCs w:val="18"/>
        </w:rPr>
        <w:t xml:space="preserve"> et </w:t>
      </w:r>
      <w:hyperlink r:id="rId3" w:history="1">
        <w:r w:rsidRPr="00B77E10">
          <w:rPr>
            <w:rStyle w:val="Hyperlink"/>
            <w:sz w:val="18"/>
            <w:szCs w:val="18"/>
          </w:rPr>
          <w:t>https://thesmartlocal.com/philippines/4th-man-of-the-world/</w:t>
        </w:r>
      </w:hyperlink>
      <w:r w:rsidRPr="00B77E10">
        <w:rPr>
          <w:sz w:val="18"/>
          <w:szCs w:val="18"/>
        </w:rPr>
        <w:t xml:space="preserve"> </w:t>
      </w:r>
    </w:p>
  </w:footnote>
  <w:footnote w:id="3">
    <w:p w14:paraId="74610855" w14:textId="1F673758" w:rsidR="002C1F81" w:rsidRPr="00B77E10" w:rsidRDefault="002C1F81" w:rsidP="00226594">
      <w:pPr>
        <w:pStyle w:val="FootnoteText"/>
        <w:jc w:val="left"/>
        <w:rPr>
          <w:sz w:val="18"/>
          <w:szCs w:val="18"/>
        </w:rPr>
      </w:pPr>
      <w:r w:rsidRPr="00B77E10">
        <w:rPr>
          <w:rStyle w:val="FootnoteReference"/>
          <w:sz w:val="18"/>
          <w:szCs w:val="18"/>
        </w:rPr>
        <w:footnoteRef/>
      </w:r>
      <w:r w:rsidRPr="00B77E10">
        <w:rPr>
          <w:sz w:val="18"/>
          <w:szCs w:val="18"/>
        </w:rPr>
        <w:t xml:space="preserve"> Webinaire du Sommet des arts de l’Arctique « Expériences des praticiens dans l’économie des arts traditionnels », 9 juin 2022. Voir : </w:t>
      </w:r>
      <w:hyperlink r:id="rId4" w:history="1">
        <w:r w:rsidRPr="00B77E10">
          <w:rPr>
            <w:rStyle w:val="Hyperlink"/>
            <w:sz w:val="18"/>
            <w:szCs w:val="18"/>
          </w:rPr>
          <w:t>https://www.kulturradet.no/kalender/hendelse/-/practitioners-experiences-in-the-traditional-arts-economy</w:t>
        </w:r>
      </w:hyperlink>
      <w:r w:rsidRPr="00B77E10">
        <w:rPr>
          <w:sz w:val="18"/>
          <w:szCs w:val="18"/>
        </w:rPr>
        <w:t xml:space="preserve"> </w:t>
      </w:r>
    </w:p>
  </w:footnote>
  <w:footnote w:id="4">
    <w:p w14:paraId="49899379" w14:textId="77777777" w:rsidR="002C1F81" w:rsidRPr="00B77E10" w:rsidRDefault="002C1F81" w:rsidP="00226594">
      <w:pPr>
        <w:pStyle w:val="FootnoteText"/>
        <w:jc w:val="left"/>
        <w:rPr>
          <w:sz w:val="18"/>
          <w:szCs w:val="18"/>
        </w:rPr>
      </w:pPr>
      <w:r w:rsidRPr="00B77E10">
        <w:rPr>
          <w:rStyle w:val="FootnoteReference"/>
          <w:sz w:val="18"/>
          <w:szCs w:val="18"/>
        </w:rPr>
        <w:footnoteRef/>
      </w:r>
      <w:r w:rsidRPr="00B77E10">
        <w:rPr>
          <w:sz w:val="18"/>
          <w:szCs w:val="18"/>
        </w:rPr>
        <w:t xml:space="preserve"> Voir UNESCO, 2019. </w:t>
      </w:r>
      <w:r w:rsidRPr="00B77E10">
        <w:rPr>
          <w:i/>
          <w:sz w:val="18"/>
          <w:szCs w:val="18"/>
        </w:rPr>
        <w:t>Indicateurs Thématiques pour la Culture dans le Programme 2030</w:t>
      </w:r>
      <w:r w:rsidRPr="00B77E10">
        <w:rPr>
          <w:sz w:val="18"/>
          <w:szCs w:val="18"/>
        </w:rPr>
        <w:t xml:space="preserve"> (Paris : UNESCO), disponible à l’adresse suivante : </w:t>
      </w:r>
      <w:hyperlink r:id="rId5" w:history="1">
        <w:r w:rsidRPr="00B77E10">
          <w:rPr>
            <w:rStyle w:val="Hyperlink"/>
            <w:sz w:val="18"/>
            <w:szCs w:val="18"/>
          </w:rPr>
          <w:t>https://unesdoc.unesco.org/ark:/48223/pf0000371557</w:t>
        </w:r>
      </w:hyperlink>
      <w:r w:rsidRPr="00B77E10">
        <w:rPr>
          <w:sz w:val="18"/>
          <w:szCs w:val="18"/>
        </w:rPr>
        <w:t xml:space="preserve">. Voir aussi : </w:t>
      </w:r>
      <w:hyperlink r:id="rId6" w:history="1">
        <w:r w:rsidRPr="00B77E10">
          <w:rPr>
            <w:rStyle w:val="Hyperlink"/>
            <w:sz w:val="18"/>
            <w:szCs w:val="18"/>
          </w:rPr>
          <w:t>https://ich.unesco.org/fr/massive-online-open-course-mooc-01228</w:t>
        </w:r>
      </w:hyperlink>
      <w:r w:rsidRPr="00B77E10">
        <w:rPr>
          <w:sz w:val="18"/>
          <w:szCs w:val="18"/>
        </w:rPr>
        <w:t xml:space="preserve"> ; </w:t>
      </w:r>
      <w:hyperlink r:id="rId7" w:history="1">
        <w:r w:rsidRPr="00B77E10">
          <w:rPr>
            <w:rStyle w:val="Hyperlink"/>
            <w:sz w:val="18"/>
            <w:szCs w:val="18"/>
          </w:rPr>
          <w:t>https://fr.unesco.org/news/culture-developpement-reperes-ressources</w:t>
        </w:r>
      </w:hyperlink>
    </w:p>
  </w:footnote>
  <w:footnote w:id="5">
    <w:p w14:paraId="3DEB66B1" w14:textId="77777777" w:rsidR="002C1F81" w:rsidRPr="00B77E10" w:rsidRDefault="002C1F81" w:rsidP="00226594">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8" w:history="1">
        <w:r w:rsidRPr="00B77E10">
          <w:rPr>
            <w:rStyle w:val="Hyperlink"/>
            <w:sz w:val="18"/>
            <w:szCs w:val="18"/>
          </w:rPr>
          <w:t>https://ich.unesco.org/fr/actualites/l-unesco-lance-la-plateforme-patrimoine-culturel-immateriel-transmedia-pour-le-developpement-durable-dans-les-pays-andins-13361</w:t>
        </w:r>
      </w:hyperlink>
      <w:r w:rsidRPr="00B77E10">
        <w:rPr>
          <w:sz w:val="18"/>
          <w:szCs w:val="18"/>
        </w:rPr>
        <w:t xml:space="preserve"> </w:t>
      </w:r>
    </w:p>
  </w:footnote>
  <w:footnote w:id="6">
    <w:p w14:paraId="0ACF770F" w14:textId="77777777" w:rsidR="002C1F81" w:rsidRPr="00B77E10" w:rsidRDefault="002C1F81" w:rsidP="00226594">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9" w:history="1">
        <w:r w:rsidRPr="00B77E10">
          <w:rPr>
            <w:rStyle w:val="Hyperlink"/>
            <w:sz w:val="18"/>
            <w:szCs w:val="18"/>
          </w:rPr>
          <w:t>https://www.aineetonkulttuuriperinto.fi/en/livind</w:t>
        </w:r>
      </w:hyperlink>
      <w:r w:rsidRPr="00B77E10">
        <w:rPr>
          <w:sz w:val="18"/>
          <w:szCs w:val="18"/>
        </w:rPr>
        <w:t xml:space="preserve"> </w:t>
      </w:r>
    </w:p>
  </w:footnote>
  <w:footnote w:id="7">
    <w:p w14:paraId="54173D5C" w14:textId="77777777" w:rsidR="002C1F81" w:rsidRDefault="002C1F81" w:rsidP="00226594">
      <w:pPr>
        <w:pStyle w:val="FootnoteText"/>
        <w:jc w:val="left"/>
      </w:pPr>
      <w:r w:rsidRPr="00B77E10">
        <w:rPr>
          <w:rStyle w:val="FootnoteReference"/>
          <w:sz w:val="18"/>
          <w:szCs w:val="18"/>
        </w:rPr>
        <w:footnoteRef/>
      </w:r>
      <w:r w:rsidRPr="00B77E10">
        <w:rPr>
          <w:sz w:val="18"/>
          <w:szCs w:val="18"/>
        </w:rPr>
        <w:t xml:space="preserve"> Voir : </w:t>
      </w:r>
      <w:hyperlink r:id="rId10" w:history="1">
        <w:r w:rsidRPr="00B77E10">
          <w:rPr>
            <w:rStyle w:val="Hyperlink"/>
            <w:sz w:val="18"/>
            <w:szCs w:val="18"/>
          </w:rPr>
          <w:t>https://livhes.eu/</w:t>
        </w:r>
      </w:hyperlink>
      <w:r w:rsidRPr="00B77E10">
        <w:rPr>
          <w:sz w:val="18"/>
          <w:szCs w:val="18"/>
        </w:rPr>
        <w:t xml:space="preserve"> </w:t>
      </w:r>
    </w:p>
  </w:footnote>
  <w:footnote w:id="8">
    <w:p w14:paraId="1A99D422" w14:textId="1ED28E19" w:rsidR="002C1F81" w:rsidRPr="00B77E10" w:rsidRDefault="002C1F81" w:rsidP="00226594">
      <w:pPr>
        <w:pStyle w:val="FootnoteText"/>
        <w:jc w:val="left"/>
        <w:rPr>
          <w:sz w:val="18"/>
          <w:szCs w:val="18"/>
        </w:rPr>
      </w:pPr>
      <w:r w:rsidRPr="00B77E10">
        <w:rPr>
          <w:rStyle w:val="FootnoteReference"/>
          <w:sz w:val="18"/>
          <w:szCs w:val="18"/>
        </w:rPr>
        <w:footnoteRef/>
      </w:r>
      <w:r w:rsidRPr="00B77E10">
        <w:rPr>
          <w:sz w:val="18"/>
          <w:szCs w:val="18"/>
        </w:rPr>
        <w:t xml:space="preserve"> Déclaration de </w:t>
      </w:r>
      <w:proofErr w:type="spellStart"/>
      <w:r w:rsidRPr="00B77E10">
        <w:rPr>
          <w:sz w:val="18"/>
          <w:szCs w:val="18"/>
        </w:rPr>
        <w:t>Mondiacult</w:t>
      </w:r>
      <w:proofErr w:type="spellEnd"/>
      <w:r w:rsidRPr="00B77E10">
        <w:rPr>
          <w:sz w:val="18"/>
          <w:szCs w:val="18"/>
        </w:rPr>
        <w:t xml:space="preserve">, disponible à l’adresse suivante : </w:t>
      </w:r>
      <w:hyperlink r:id="rId11" w:history="1">
        <w:r w:rsidRPr="00B77E10">
          <w:rPr>
            <w:rStyle w:val="Hyperlink"/>
            <w:sz w:val="18"/>
            <w:szCs w:val="18"/>
          </w:rPr>
          <w:t>https://www.unesco.org/sites/default/files/medias/fichiers/2022/09/6.MONDIACULT_FR_DRAFT%20FINAL%20DECLARATION_FINAL_1.pdf</w:t>
        </w:r>
      </w:hyperlink>
    </w:p>
  </w:footnote>
  <w:footnote w:id="9">
    <w:p w14:paraId="1A6BCA6F" w14:textId="77777777" w:rsidR="002C1F81" w:rsidRDefault="002C1F81" w:rsidP="00226594">
      <w:pPr>
        <w:pStyle w:val="FootnoteText"/>
        <w:jc w:val="left"/>
      </w:pPr>
      <w:r w:rsidRPr="00B77E10">
        <w:rPr>
          <w:rStyle w:val="FootnoteReference"/>
          <w:sz w:val="18"/>
          <w:szCs w:val="18"/>
        </w:rPr>
        <w:footnoteRef/>
      </w:r>
      <w:r w:rsidRPr="00B77E10">
        <w:rPr>
          <w:sz w:val="18"/>
          <w:szCs w:val="18"/>
        </w:rPr>
        <w:t> </w:t>
      </w:r>
      <w:proofErr w:type="spellStart"/>
      <w:r w:rsidRPr="00B77E10">
        <w:rPr>
          <w:sz w:val="18"/>
          <w:szCs w:val="18"/>
        </w:rPr>
        <w:t>Labadi</w:t>
      </w:r>
      <w:proofErr w:type="spellEnd"/>
      <w:r w:rsidRPr="00B77E10">
        <w:rPr>
          <w:sz w:val="18"/>
          <w:szCs w:val="18"/>
        </w:rPr>
        <w:t xml:space="preserve"> (2022) a évalué l’impact de quatre projets concernant le patrimoine, financés dans le cadre des OMD, sur la réduction de la pauvreté, l’égalité des sexes et la conservation de la biodiversité en Afrique subsaharienne, et il a formulé un certain nombre de recommandations d’ordre général pour améliorer les interventions : </w:t>
      </w:r>
      <w:hyperlink r:id="rId12" w:history="1">
        <w:r w:rsidRPr="00B77E10">
          <w:rPr>
            <w:rStyle w:val="Hyperlink"/>
            <w:sz w:val="18"/>
            <w:szCs w:val="18"/>
          </w:rPr>
          <w:t>https://blogs.kent.ac.uk/heritagefordevelopment/files/2021/08/POLICY-BRIEFS-FINAL-version_web.pdf</w:t>
        </w:r>
      </w:hyperlink>
      <w:r w:rsidRPr="00B77E10">
        <w:rPr>
          <w:sz w:val="18"/>
          <w:szCs w:val="18"/>
        </w:rPr>
        <w:t xml:space="preserve"> </w:t>
      </w:r>
    </w:p>
  </w:footnote>
  <w:footnote w:id="10">
    <w:p w14:paraId="3441D300" w14:textId="77777777" w:rsidR="002C1F81" w:rsidRPr="00B77E10" w:rsidRDefault="002C1F81" w:rsidP="00E86933">
      <w:pPr>
        <w:pStyle w:val="FootnoteText"/>
        <w:jc w:val="left"/>
        <w:rPr>
          <w:sz w:val="18"/>
          <w:szCs w:val="18"/>
        </w:rPr>
      </w:pPr>
      <w:r>
        <w:rPr>
          <w:rStyle w:val="FootnoteReference"/>
        </w:rPr>
        <w:footnoteRef/>
      </w:r>
      <w:r>
        <w:t> </w:t>
      </w:r>
      <w:r w:rsidRPr="00B77E10">
        <w:rPr>
          <w:sz w:val="18"/>
          <w:szCs w:val="18"/>
        </w:rPr>
        <w:t xml:space="preserve">Voir : </w:t>
      </w:r>
      <w:hyperlink r:id="rId13" w:history="1">
        <w:r w:rsidRPr="00B77E10">
          <w:rPr>
            <w:rStyle w:val="Hyperlink"/>
            <w:sz w:val="18"/>
            <w:szCs w:val="18"/>
          </w:rPr>
          <w:t>https://www.nordicinnovation.org/events/2022/sapmi-business-conference</w:t>
        </w:r>
      </w:hyperlink>
      <w:r w:rsidRPr="00B77E10">
        <w:rPr>
          <w:sz w:val="18"/>
          <w:szCs w:val="18"/>
        </w:rPr>
        <w:t xml:space="preserve">. Le travail de </w:t>
      </w:r>
      <w:proofErr w:type="spellStart"/>
      <w:r w:rsidRPr="00B77E10">
        <w:rPr>
          <w:sz w:val="18"/>
          <w:szCs w:val="18"/>
        </w:rPr>
        <w:t>Ballo</w:t>
      </w:r>
      <w:proofErr w:type="spellEnd"/>
      <w:r w:rsidRPr="00B77E10">
        <w:rPr>
          <w:sz w:val="18"/>
          <w:szCs w:val="18"/>
        </w:rPr>
        <w:t xml:space="preserve"> a été présenté lors du webinaire du Sommet des arts de l’Arctique en 2022, disponible à l’adresse suivante : </w:t>
      </w:r>
      <w:hyperlink r:id="rId14" w:history="1">
        <w:r w:rsidRPr="00B77E10">
          <w:rPr>
            <w:rStyle w:val="Hyperlink"/>
            <w:sz w:val="18"/>
            <w:szCs w:val="18"/>
          </w:rPr>
          <w:t>https://www.kulturradet.no/kalender/hendelse/-/practitioners-experiences-in-the-traditional-arts-economy</w:t>
        </w:r>
      </w:hyperlink>
    </w:p>
  </w:footnote>
  <w:footnote w:id="11">
    <w:p w14:paraId="5C487633" w14:textId="6A815097"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 </w:t>
      </w:r>
      <w:hyperlink r:id="rId15" w:history="1">
        <w:r w:rsidRPr="00B77E10">
          <w:rPr>
            <w:rStyle w:val="Hyperlink"/>
            <w:sz w:val="18"/>
            <w:szCs w:val="18"/>
          </w:rPr>
          <w:t>https://patrimonioculturalyturismo.cultura.gob.mx/cuadernos/pdf19/articulo17.pdf</w:t>
        </w:r>
      </w:hyperlink>
    </w:p>
  </w:footnote>
  <w:footnote w:id="12">
    <w:p w14:paraId="62EB5C24" w14:textId="77777777" w:rsidR="002C1F81" w:rsidRDefault="002C1F81" w:rsidP="00B77E10">
      <w:pPr>
        <w:pStyle w:val="FootnoteText"/>
        <w:jc w:val="left"/>
      </w:pPr>
      <w:r>
        <w:rPr>
          <w:rStyle w:val="FootnoteReference"/>
        </w:rPr>
        <w:footnoteRef/>
      </w:r>
      <w:r>
        <w:t> </w:t>
      </w:r>
      <w:r w:rsidRPr="00B77E10">
        <w:rPr>
          <w:sz w:val="18"/>
          <w:szCs w:val="18"/>
        </w:rPr>
        <w:t xml:space="preserve">Voir </w:t>
      </w:r>
      <w:hyperlink r:id="rId16" w:history="1">
        <w:r w:rsidRPr="00B77E10">
          <w:rPr>
            <w:rStyle w:val="Hyperlink"/>
            <w:sz w:val="18"/>
            <w:szCs w:val="18"/>
          </w:rPr>
          <w:t>https://www.wko.at/branchen/gewerbe-handwerk/study-traditional-craftsmanship-austria.pdf</w:t>
        </w:r>
      </w:hyperlink>
      <w:r w:rsidRPr="00B77E10">
        <w:rPr>
          <w:sz w:val="18"/>
          <w:szCs w:val="18"/>
        </w:rPr>
        <w:t xml:space="preserve"> et </w:t>
      </w:r>
      <w:hyperlink r:id="rId17" w:history="1">
        <w:r w:rsidRPr="00B77E10">
          <w:rPr>
            <w:rStyle w:val="Hyperlink"/>
            <w:sz w:val="18"/>
            <w:szCs w:val="18"/>
          </w:rPr>
          <w:t>https://www.bak.admin.ch/dam/bak/de/dokumente/immaterielles_kulturerbe/studien_forschungsberichte/studie_traditionelleshandwerk.pdf.download.pdf/studie_traditionelleshandwerk.pdf</w:t>
        </w:r>
      </w:hyperlink>
      <w:r w:rsidRPr="00B77E10">
        <w:rPr>
          <w:sz w:val="18"/>
          <w:szCs w:val="18"/>
        </w:rPr>
        <w:t xml:space="preserve"> </w:t>
      </w:r>
    </w:p>
  </w:footnote>
  <w:footnote w:id="13">
    <w:p w14:paraId="7A3AB434"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le site web de la théorie du donut : </w:t>
      </w:r>
      <w:hyperlink r:id="rId18" w:history="1">
        <w:r w:rsidRPr="00B77E10">
          <w:rPr>
            <w:rStyle w:val="Hyperlink"/>
            <w:sz w:val="18"/>
            <w:szCs w:val="18"/>
          </w:rPr>
          <w:t>https://doughnuteconomics.org/about-doughnut-economics</w:t>
        </w:r>
      </w:hyperlink>
      <w:r w:rsidRPr="00B77E10">
        <w:rPr>
          <w:sz w:val="18"/>
          <w:szCs w:val="18"/>
        </w:rPr>
        <w:t xml:space="preserve"> </w:t>
      </w:r>
    </w:p>
  </w:footnote>
  <w:footnote w:id="14">
    <w:p w14:paraId="39203B02" w14:textId="77777777"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 </w:t>
      </w:r>
      <w:hyperlink r:id="rId19" w:history="1">
        <w:proofErr w:type="spellStart"/>
        <w:r w:rsidRPr="00B77E10">
          <w:rPr>
            <w:rStyle w:val="Hyperlink"/>
            <w:sz w:val="18"/>
            <w:szCs w:val="18"/>
          </w:rPr>
          <w:t>ht</w:t>
        </w:r>
        <w:proofErr w:type="spellEnd"/>
        <w:r w:rsidRPr="00B77E10">
          <w:rPr>
            <w:sz w:val="18"/>
            <w:szCs w:val="18"/>
          </w:rPr>
          <w:t xml:space="preserve"> </w:t>
        </w:r>
        <w:r w:rsidRPr="00B77E10">
          <w:rPr>
            <w:rStyle w:val="Hyperlink"/>
            <w:sz w:val="18"/>
            <w:szCs w:val="18"/>
          </w:rPr>
          <w:t>tps://whc.unesco.org/fr/indicators2030/</w:t>
        </w:r>
      </w:hyperlink>
      <w:r w:rsidRPr="00B77E10">
        <w:rPr>
          <w:sz w:val="18"/>
          <w:szCs w:val="18"/>
        </w:rPr>
        <w:t xml:space="preserve"> </w:t>
      </w:r>
    </w:p>
  </w:footnote>
  <w:footnote w:id="15">
    <w:p w14:paraId="248488FB" w14:textId="77777777" w:rsidR="002C1F81" w:rsidRDefault="002C1F81" w:rsidP="00B77E10">
      <w:pPr>
        <w:pStyle w:val="FootnoteText"/>
        <w:jc w:val="left"/>
      </w:pPr>
      <w:r>
        <w:rPr>
          <w:rStyle w:val="FootnoteReference"/>
        </w:rPr>
        <w:footnoteRef/>
      </w:r>
      <w:r>
        <w:t> </w:t>
      </w:r>
      <w:r w:rsidRPr="00B77E10">
        <w:rPr>
          <w:sz w:val="18"/>
          <w:szCs w:val="18"/>
        </w:rPr>
        <w:t xml:space="preserve">Par exemple, voir la boîte à outils des industries créatives de </w:t>
      </w:r>
      <w:proofErr w:type="spellStart"/>
      <w:r w:rsidRPr="00B77E10">
        <w:rPr>
          <w:sz w:val="18"/>
          <w:szCs w:val="18"/>
        </w:rPr>
        <w:t>Nesta</w:t>
      </w:r>
      <w:proofErr w:type="spellEnd"/>
      <w:r w:rsidRPr="00B77E10">
        <w:rPr>
          <w:sz w:val="18"/>
          <w:szCs w:val="18"/>
        </w:rPr>
        <w:t xml:space="preserve"> (</w:t>
      </w:r>
      <w:hyperlink r:id="rId20" w:history="1">
        <w:r w:rsidRPr="00B77E10">
          <w:rPr>
            <w:rStyle w:val="Hyperlink"/>
            <w:sz w:val="18"/>
            <w:szCs w:val="18"/>
          </w:rPr>
          <w:t>https://www.thecreativeindustries.co.uk/download-hub/creative-industries-toolkit</w:t>
        </w:r>
      </w:hyperlink>
      <w:r w:rsidRPr="00B77E10">
        <w:rPr>
          <w:sz w:val="18"/>
          <w:szCs w:val="18"/>
        </w:rPr>
        <w:t>) et la boîte à outils des industries de marketing créatives d’Ethiopie (</w:t>
      </w:r>
      <w:hyperlink r:id="rId21" w:history="1">
        <w:r w:rsidRPr="00B77E10">
          <w:rPr>
            <w:rStyle w:val="Hyperlink"/>
            <w:sz w:val="18"/>
            <w:szCs w:val="18"/>
          </w:rPr>
          <w:t>https://bruhclub.com/marketing-toolkit</w:t>
        </w:r>
      </w:hyperlink>
      <w:r w:rsidRPr="00B77E10">
        <w:rPr>
          <w:sz w:val="18"/>
          <w:szCs w:val="18"/>
        </w:rPr>
        <w:t xml:space="preserve">). </w:t>
      </w:r>
    </w:p>
  </w:footnote>
  <w:footnote w:id="16">
    <w:p w14:paraId="0B87C314"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par exemple la présentation du professeur </w:t>
      </w:r>
      <w:proofErr w:type="spellStart"/>
      <w:r w:rsidRPr="00B77E10">
        <w:rPr>
          <w:sz w:val="18"/>
          <w:szCs w:val="18"/>
        </w:rPr>
        <w:t>Kidong</w:t>
      </w:r>
      <w:proofErr w:type="spellEnd"/>
      <w:r w:rsidRPr="00B77E10">
        <w:rPr>
          <w:sz w:val="18"/>
          <w:szCs w:val="18"/>
        </w:rPr>
        <w:t xml:space="preserve"> </w:t>
      </w:r>
      <w:proofErr w:type="spellStart"/>
      <w:r w:rsidRPr="00B77E10">
        <w:rPr>
          <w:sz w:val="18"/>
          <w:szCs w:val="18"/>
        </w:rPr>
        <w:t>Bae</w:t>
      </w:r>
      <w:proofErr w:type="spellEnd"/>
      <w:r w:rsidRPr="00B77E10">
        <w:rPr>
          <w:sz w:val="18"/>
          <w:szCs w:val="18"/>
        </w:rPr>
        <w:t xml:space="preserve">, disponible à l’adresse suivante : </w:t>
      </w:r>
      <w:hyperlink r:id="rId22" w:history="1">
        <w:r w:rsidRPr="00B77E10">
          <w:rPr>
            <w:rStyle w:val="Hyperlink"/>
            <w:sz w:val="18"/>
            <w:szCs w:val="18"/>
          </w:rPr>
          <w:t>https://www.youtube.com/watch?v=9faepjzXuWU&amp;t=1s</w:t>
        </w:r>
      </w:hyperlink>
      <w:r w:rsidRPr="00B77E10">
        <w:rPr>
          <w:sz w:val="18"/>
          <w:szCs w:val="18"/>
        </w:rPr>
        <w:t xml:space="preserve"> </w:t>
      </w:r>
    </w:p>
  </w:footnote>
  <w:footnote w:id="17">
    <w:p w14:paraId="72538B16"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23" w:history="1">
        <w:r w:rsidRPr="00B77E10">
          <w:rPr>
            <w:rStyle w:val="Hyperlink"/>
            <w:sz w:val="18"/>
            <w:szCs w:val="18"/>
          </w:rPr>
          <w:t>https://fr.wikipedia.org/wiki/NFT</w:t>
        </w:r>
      </w:hyperlink>
      <w:r w:rsidRPr="00B77E10">
        <w:rPr>
          <w:sz w:val="18"/>
          <w:szCs w:val="18"/>
        </w:rPr>
        <w:t xml:space="preserve"> </w:t>
      </w:r>
    </w:p>
  </w:footnote>
  <w:footnote w:id="18">
    <w:p w14:paraId="0A0BCD5F" w14:textId="77777777"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par exemple : </w:t>
      </w:r>
      <w:hyperlink r:id="rId24" w:history="1">
        <w:r w:rsidRPr="00B77E10">
          <w:rPr>
            <w:rStyle w:val="Hyperlink"/>
            <w:sz w:val="18"/>
            <w:szCs w:val="18"/>
          </w:rPr>
          <w:t>https://www.npr.org/2023/02/07/1155185861/ai-generated-images-breach-copyright-law-artists-say</w:t>
        </w:r>
      </w:hyperlink>
      <w:r w:rsidRPr="00B77E10">
        <w:rPr>
          <w:sz w:val="18"/>
          <w:szCs w:val="18"/>
        </w:rPr>
        <w:t xml:space="preserve"> </w:t>
      </w:r>
    </w:p>
  </w:footnote>
  <w:footnote w:id="19">
    <w:p w14:paraId="01D26B17"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25" w:history="1">
        <w:r w:rsidRPr="00B77E10">
          <w:rPr>
            <w:rStyle w:val="Hyperlink"/>
            <w:sz w:val="18"/>
            <w:szCs w:val="18"/>
          </w:rPr>
          <w:t>https://www.unesco.org/fr/artificial-intelligence/recommendation-ethics</w:t>
        </w:r>
      </w:hyperlink>
      <w:r w:rsidRPr="00B77E10">
        <w:rPr>
          <w:sz w:val="18"/>
          <w:szCs w:val="18"/>
        </w:rPr>
        <w:t xml:space="preserve"> </w:t>
      </w:r>
    </w:p>
  </w:footnote>
  <w:footnote w:id="20">
    <w:p w14:paraId="0062FFF7" w14:textId="77777777"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 </w:t>
      </w:r>
      <w:hyperlink r:id="rId26" w:history="1">
        <w:r w:rsidRPr="00B77E10">
          <w:rPr>
            <w:rStyle w:val="Hyperlink"/>
            <w:sz w:val="18"/>
            <w:szCs w:val="18"/>
          </w:rPr>
          <w:t>https://unesdoc.unesco.org/ark:/48223/pf0000381137_fre</w:t>
        </w:r>
      </w:hyperlink>
      <w:r w:rsidRPr="00B77E10">
        <w:rPr>
          <w:sz w:val="18"/>
          <w:szCs w:val="18"/>
        </w:rPr>
        <w:t xml:space="preserve"> </w:t>
      </w:r>
    </w:p>
  </w:footnote>
  <w:footnote w:id="21">
    <w:p w14:paraId="71025975" w14:textId="77777777" w:rsidR="002C1F81" w:rsidRDefault="002C1F81" w:rsidP="00B77E10">
      <w:pPr>
        <w:pStyle w:val="FootnoteText"/>
        <w:jc w:val="left"/>
      </w:pPr>
      <w:r>
        <w:rPr>
          <w:rStyle w:val="FootnoteReference"/>
        </w:rPr>
        <w:footnoteRef/>
      </w:r>
      <w:r>
        <w:t> </w:t>
      </w:r>
      <w:proofErr w:type="spellStart"/>
      <w:r w:rsidRPr="00B77E10">
        <w:rPr>
          <w:sz w:val="18"/>
          <w:szCs w:val="18"/>
        </w:rPr>
        <w:t>AlpFoodway</w:t>
      </w:r>
      <w:proofErr w:type="spellEnd"/>
      <w:r w:rsidRPr="00B77E10">
        <w:rPr>
          <w:sz w:val="18"/>
          <w:szCs w:val="18"/>
        </w:rPr>
        <w:t>, un projet INTERREG du programme Espace alpin (</w:t>
      </w:r>
      <w:hyperlink r:id="rId27" w:history="1">
        <w:r w:rsidRPr="00B77E10">
          <w:rPr>
            <w:rStyle w:val="Hyperlink"/>
            <w:sz w:val="18"/>
            <w:szCs w:val="18"/>
          </w:rPr>
          <w:t>https://www.alpine-space.eu/national-pages/france-landingpage/</w:t>
        </w:r>
      </w:hyperlink>
      <w:r w:rsidRPr="00B77E10">
        <w:rPr>
          <w:sz w:val="18"/>
          <w:szCs w:val="18"/>
        </w:rPr>
        <w:t xml:space="preserve">) axé sur le patrimoine alimentaire ; le projet HIPAMS </w:t>
      </w:r>
      <w:proofErr w:type="spellStart"/>
      <w:r w:rsidRPr="00B77E10">
        <w:rPr>
          <w:sz w:val="18"/>
          <w:szCs w:val="18"/>
        </w:rPr>
        <w:t>India</w:t>
      </w:r>
      <w:proofErr w:type="spellEnd"/>
      <w:r w:rsidRPr="00B77E10">
        <w:rPr>
          <w:sz w:val="18"/>
          <w:szCs w:val="18"/>
        </w:rPr>
        <w:t xml:space="preserve"> de la British </w:t>
      </w:r>
      <w:proofErr w:type="spellStart"/>
      <w:r w:rsidRPr="00B77E10">
        <w:rPr>
          <w:sz w:val="18"/>
          <w:szCs w:val="18"/>
        </w:rPr>
        <w:t>Academy</w:t>
      </w:r>
      <w:proofErr w:type="spellEnd"/>
      <w:r w:rsidRPr="00B77E10">
        <w:rPr>
          <w:sz w:val="18"/>
          <w:szCs w:val="18"/>
        </w:rPr>
        <w:t xml:space="preserve"> (</w:t>
      </w:r>
      <w:hyperlink r:id="rId28" w:history="1">
        <w:r w:rsidRPr="00B77E10">
          <w:rPr>
            <w:rStyle w:val="Hyperlink"/>
            <w:sz w:val="18"/>
            <w:szCs w:val="18"/>
          </w:rPr>
          <w:t>http://www.hipams.org</w:t>
        </w:r>
      </w:hyperlink>
      <w:r w:rsidRPr="00B77E10">
        <w:rPr>
          <w:sz w:val="18"/>
          <w:szCs w:val="18"/>
        </w:rPr>
        <w:t>).</w:t>
      </w:r>
    </w:p>
  </w:footnote>
  <w:footnote w:id="22">
    <w:p w14:paraId="022ECD38" w14:textId="77777777" w:rsidR="002C1F81" w:rsidRPr="00B77E10" w:rsidRDefault="002C1F81" w:rsidP="00B77E10">
      <w:pPr>
        <w:pStyle w:val="FootnoteText"/>
        <w:jc w:val="left"/>
        <w:rPr>
          <w:sz w:val="18"/>
          <w:szCs w:val="18"/>
        </w:rPr>
      </w:pPr>
      <w:r>
        <w:rPr>
          <w:rStyle w:val="FootnoteReference"/>
        </w:rPr>
        <w:footnoteRef/>
      </w:r>
      <w:r>
        <w:t> </w:t>
      </w:r>
      <w:r w:rsidRPr="00B77E10">
        <w:rPr>
          <w:sz w:val="18"/>
          <w:szCs w:val="18"/>
        </w:rPr>
        <w:t xml:space="preserve">Événement parallèle UNPFII 2022, Protection des droits de l’homme contre l’ingérence dans les zones traditionnelles des </w:t>
      </w:r>
      <w:proofErr w:type="spellStart"/>
      <w:r w:rsidRPr="00B77E10">
        <w:rPr>
          <w:sz w:val="18"/>
          <w:szCs w:val="18"/>
        </w:rPr>
        <w:t>Samis</w:t>
      </w:r>
      <w:proofErr w:type="spellEnd"/>
      <w:r w:rsidRPr="00B77E10">
        <w:rPr>
          <w:sz w:val="18"/>
          <w:szCs w:val="18"/>
        </w:rPr>
        <w:t xml:space="preserve"> : article 27 du Pacte international relatif aux droits civils et politiques dans le contexte </w:t>
      </w:r>
      <w:proofErr w:type="spellStart"/>
      <w:r w:rsidRPr="00B77E10">
        <w:rPr>
          <w:sz w:val="18"/>
          <w:szCs w:val="18"/>
        </w:rPr>
        <w:t>sami</w:t>
      </w:r>
      <w:proofErr w:type="spellEnd"/>
      <w:r w:rsidRPr="00B77E10">
        <w:rPr>
          <w:sz w:val="18"/>
          <w:szCs w:val="18"/>
        </w:rPr>
        <w:t xml:space="preserve">, </w:t>
      </w:r>
      <w:hyperlink r:id="rId29" w:history="1">
        <w:r w:rsidRPr="00B77E10">
          <w:rPr>
            <w:rStyle w:val="Hyperlink"/>
            <w:sz w:val="18"/>
            <w:szCs w:val="18"/>
          </w:rPr>
          <w:t>https://www.nhri.no/en/kalender/human-rights-protection-against-interference-in-traditional-sami-areas-iccpr-article-27-in-a-sami-context/</w:t>
        </w:r>
      </w:hyperlink>
      <w:r w:rsidRPr="00B77E10">
        <w:rPr>
          <w:sz w:val="18"/>
          <w:szCs w:val="18"/>
        </w:rPr>
        <w:t xml:space="preserve"> </w:t>
      </w:r>
    </w:p>
  </w:footnote>
  <w:footnote w:id="23">
    <w:p w14:paraId="5883A067"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30" w:history="1">
        <w:r w:rsidRPr="00B77E10">
          <w:rPr>
            <w:rStyle w:val="Hyperlink"/>
            <w:sz w:val="18"/>
            <w:szCs w:val="18"/>
          </w:rPr>
          <w:t>https://www.wipo.int/pressroom/fr/articles/2022/article_0009.html</w:t>
        </w:r>
      </w:hyperlink>
      <w:r w:rsidRPr="00B77E10">
        <w:rPr>
          <w:sz w:val="18"/>
          <w:szCs w:val="18"/>
        </w:rPr>
        <w:t xml:space="preserve"> </w:t>
      </w:r>
    </w:p>
  </w:footnote>
  <w:footnote w:id="24">
    <w:p w14:paraId="4CAD7F10" w14:textId="77777777" w:rsidR="002C1F81" w:rsidRDefault="002C1F81" w:rsidP="00E86933">
      <w:pPr>
        <w:pStyle w:val="FootnoteText"/>
        <w:jc w:val="left"/>
      </w:pPr>
      <w:r w:rsidRPr="00B77E10">
        <w:rPr>
          <w:rStyle w:val="FootnoteReference"/>
          <w:sz w:val="18"/>
          <w:szCs w:val="18"/>
        </w:rPr>
        <w:footnoteRef/>
      </w:r>
      <w:r w:rsidRPr="00B77E10">
        <w:rPr>
          <w:sz w:val="18"/>
          <w:szCs w:val="18"/>
        </w:rPr>
        <w:t xml:space="preserve"> Pour des exemples de ces lois, voir : </w:t>
      </w:r>
      <w:hyperlink r:id="rId31" w:history="1">
        <w:r w:rsidRPr="00B77E10">
          <w:rPr>
            <w:rStyle w:val="Hyperlink"/>
            <w:sz w:val="18"/>
            <w:szCs w:val="18"/>
          </w:rPr>
          <w:t>https://www.wipo.int/wipolex/fr/index.html</w:t>
        </w:r>
      </w:hyperlink>
      <w:r w:rsidRPr="00B77E10">
        <w:rPr>
          <w:sz w:val="18"/>
          <w:szCs w:val="18"/>
        </w:rPr>
        <w:t xml:space="preserve"> </w:t>
      </w:r>
    </w:p>
  </w:footnote>
  <w:footnote w:id="25">
    <w:p w14:paraId="36F06C05"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par exemple </w:t>
      </w:r>
      <w:hyperlink r:id="rId32" w:history="1">
        <w:r w:rsidRPr="00B77E10">
          <w:rPr>
            <w:rStyle w:val="Hyperlink"/>
            <w:sz w:val="18"/>
            <w:szCs w:val="18"/>
          </w:rPr>
          <w:t>https://www.smb.museum/en/whats-new/detail/first-restitution-of-benin-bronzes-from-the-ethnologisches-museum-commemorative-head-and-relief-plaque/</w:t>
        </w:r>
      </w:hyperlink>
      <w:r w:rsidRPr="00B77E10">
        <w:rPr>
          <w:sz w:val="18"/>
          <w:szCs w:val="18"/>
        </w:rPr>
        <w:t xml:space="preserve"> ; </w:t>
      </w:r>
      <w:hyperlink r:id="rId33" w:history="1">
        <w:r w:rsidRPr="00B77E10">
          <w:rPr>
            <w:rStyle w:val="Hyperlink"/>
            <w:sz w:val="18"/>
            <w:szCs w:val="18"/>
          </w:rPr>
          <w:t>https://www.theartnewspaper.com/2022/04/14/glasgow-museums-to-return-49-looted-objectsincluding-benin-bronzesin-biggest-restitution-in-scottish-history</w:t>
        </w:r>
      </w:hyperlink>
      <w:r w:rsidRPr="00B77E10">
        <w:rPr>
          <w:sz w:val="18"/>
          <w:szCs w:val="18"/>
        </w:rPr>
        <w:t xml:space="preserve"> </w:t>
      </w:r>
    </w:p>
  </w:footnote>
  <w:footnote w:id="26">
    <w:p w14:paraId="406CC22D"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34" w:history="1">
        <w:r w:rsidRPr="00B77E10">
          <w:rPr>
            <w:rStyle w:val="Hyperlink"/>
            <w:sz w:val="18"/>
            <w:szCs w:val="18"/>
          </w:rPr>
          <w:t>http://www.institutoturismoresponsable.com/events/sustainabletourismcharter2015/wp-content/uploads/2015/06/CharterForSustainableTourism.pdf</w:t>
        </w:r>
      </w:hyperlink>
      <w:r w:rsidRPr="00B77E10">
        <w:rPr>
          <w:sz w:val="18"/>
          <w:szCs w:val="18"/>
        </w:rPr>
        <w:t xml:space="preserve"> </w:t>
      </w:r>
    </w:p>
  </w:footnote>
  <w:footnote w:id="27">
    <w:p w14:paraId="27620154"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35" w:history="1">
        <w:r w:rsidRPr="00B77E10">
          <w:rPr>
            <w:rStyle w:val="Hyperlink"/>
            <w:sz w:val="18"/>
            <w:szCs w:val="18"/>
          </w:rPr>
          <w:t>https://www.e-unwto.org/doi/epdf/10.18111/unwtodeclarations.2015.24.01</w:t>
        </w:r>
      </w:hyperlink>
      <w:r w:rsidRPr="00B77E10">
        <w:rPr>
          <w:sz w:val="18"/>
          <w:szCs w:val="18"/>
        </w:rPr>
        <w:t xml:space="preserve"> </w:t>
      </w:r>
    </w:p>
  </w:footnote>
  <w:footnote w:id="28">
    <w:p w14:paraId="75D9CA34"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36" w:history="1">
        <w:r w:rsidRPr="00B77E10">
          <w:rPr>
            <w:rStyle w:val="Hyperlink"/>
            <w:sz w:val="18"/>
            <w:szCs w:val="18"/>
          </w:rPr>
          <w:t>https://www.e-unwto.org/doi/epdf/10.18111/unwtodeclarations.2017.26.05</w:t>
        </w:r>
      </w:hyperlink>
      <w:r w:rsidRPr="00B77E10">
        <w:rPr>
          <w:sz w:val="18"/>
          <w:szCs w:val="18"/>
        </w:rPr>
        <w:t xml:space="preserve"> </w:t>
      </w:r>
    </w:p>
  </w:footnote>
  <w:footnote w:id="29">
    <w:p w14:paraId="3F2F332A"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37" w:history="1">
        <w:r w:rsidRPr="00B77E10">
          <w:rPr>
            <w:rStyle w:val="Hyperlink"/>
            <w:sz w:val="18"/>
            <w:szCs w:val="18"/>
          </w:rPr>
          <w:t>https://www.e-unwto.org/doi/epdf/10.18111/unwtodeclarations.2018.27.02</w:t>
        </w:r>
      </w:hyperlink>
      <w:r w:rsidRPr="00B77E10">
        <w:rPr>
          <w:sz w:val="18"/>
          <w:szCs w:val="18"/>
        </w:rPr>
        <w:t xml:space="preserve"> </w:t>
      </w:r>
    </w:p>
  </w:footnote>
  <w:footnote w:id="30">
    <w:p w14:paraId="10CA98EB"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38" w:history="1">
        <w:r w:rsidRPr="00B77E10">
          <w:rPr>
            <w:rStyle w:val="Hyperlink"/>
            <w:sz w:val="18"/>
            <w:szCs w:val="18"/>
          </w:rPr>
          <w:t>https://www.e-unwto.org/doi/epdf/10.18111/unwtodeclarations.2019.28.04</w:t>
        </w:r>
      </w:hyperlink>
      <w:r w:rsidRPr="00B77E10">
        <w:rPr>
          <w:sz w:val="18"/>
          <w:szCs w:val="18"/>
        </w:rPr>
        <w:t xml:space="preserve"> </w:t>
      </w:r>
    </w:p>
  </w:footnote>
  <w:footnote w:id="31">
    <w:p w14:paraId="47592DDC"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le « Code mondial d’éthique du tourisme » (1999), </w:t>
      </w:r>
      <w:hyperlink r:id="rId39" w:history="1">
        <w:r w:rsidRPr="00B77E10">
          <w:rPr>
            <w:rStyle w:val="Hyperlink"/>
            <w:sz w:val="18"/>
            <w:szCs w:val="18"/>
          </w:rPr>
          <w:t>https://www.unwto.org/fr/code-mondial-d-ethique-du-tourisme</w:t>
        </w:r>
      </w:hyperlink>
      <w:r w:rsidRPr="00B77E10">
        <w:rPr>
          <w:sz w:val="18"/>
          <w:szCs w:val="18"/>
        </w:rPr>
        <w:t xml:space="preserve">, et la « Convention-cadre relative à l’éthique du tourisme » (2020), </w:t>
      </w:r>
      <w:hyperlink r:id="rId40" w:history="1">
        <w:r w:rsidRPr="00B77E10">
          <w:rPr>
            <w:rStyle w:val="Hyperlink"/>
            <w:sz w:val="18"/>
            <w:szCs w:val="18"/>
          </w:rPr>
          <w:t>https://www.e-unwto.org/doi/pdf/10.18111/9789284421718</w:t>
        </w:r>
      </w:hyperlink>
      <w:r w:rsidRPr="00B77E10">
        <w:rPr>
          <w:sz w:val="18"/>
          <w:szCs w:val="18"/>
        </w:rPr>
        <w:t xml:space="preserve"> </w:t>
      </w:r>
    </w:p>
  </w:footnote>
  <w:footnote w:id="32">
    <w:p w14:paraId="43413D7E"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41" w:history="1">
        <w:r w:rsidRPr="00B77E10">
          <w:rPr>
            <w:rStyle w:val="Hyperlink"/>
            <w:sz w:val="18"/>
            <w:szCs w:val="18"/>
          </w:rPr>
          <w:t>https://www.unwto.org/archive/global/publication/study-tourism-and-intangible-cultural-heritage</w:t>
        </w:r>
      </w:hyperlink>
      <w:r w:rsidRPr="00B77E10">
        <w:rPr>
          <w:sz w:val="18"/>
          <w:szCs w:val="18"/>
        </w:rPr>
        <w:t xml:space="preserve"> </w:t>
      </w:r>
    </w:p>
  </w:footnote>
  <w:footnote w:id="33">
    <w:p w14:paraId="38E0EC2E"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42" w:history="1">
        <w:r w:rsidRPr="00B77E10">
          <w:rPr>
            <w:rStyle w:val="Hyperlink"/>
            <w:sz w:val="18"/>
            <w:szCs w:val="18"/>
          </w:rPr>
          <w:t>https://www.e-unwto.org/doi/book/10.18111/9789284423071</w:t>
        </w:r>
      </w:hyperlink>
      <w:r w:rsidRPr="00B77E10">
        <w:rPr>
          <w:sz w:val="18"/>
          <w:szCs w:val="18"/>
        </w:rPr>
        <w:t xml:space="preserve"> </w:t>
      </w:r>
    </w:p>
  </w:footnote>
  <w:footnote w:id="34">
    <w:p w14:paraId="27D17FA6" w14:textId="77777777"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 </w:t>
      </w:r>
      <w:hyperlink r:id="rId43" w:history="1">
        <w:r w:rsidRPr="00B77E10">
          <w:rPr>
            <w:rStyle w:val="Hyperlink"/>
            <w:sz w:val="18"/>
            <w:szCs w:val="18"/>
          </w:rPr>
          <w:t>https://www.unwto.org/fr/covid-19-une-action-inclusive-pour-les-groupes-vulnerables</w:t>
        </w:r>
      </w:hyperlink>
      <w:r w:rsidRPr="00B77E10">
        <w:rPr>
          <w:sz w:val="18"/>
          <w:szCs w:val="18"/>
        </w:rPr>
        <w:t xml:space="preserve"> </w:t>
      </w:r>
    </w:p>
  </w:footnote>
  <w:footnote w:id="35">
    <w:p w14:paraId="2B1ABC1A" w14:textId="77777777"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 </w:t>
      </w:r>
      <w:hyperlink r:id="rId44" w:history="1">
        <w:r w:rsidRPr="00B77E10">
          <w:rPr>
            <w:rStyle w:val="Hyperlink"/>
            <w:sz w:val="18"/>
            <w:szCs w:val="18"/>
          </w:rPr>
          <w:t>https://www.winta.org/</w:t>
        </w:r>
      </w:hyperlink>
      <w:r w:rsidRPr="00B77E10">
        <w:rPr>
          <w:sz w:val="18"/>
          <w:szCs w:val="18"/>
        </w:rPr>
        <w:t xml:space="preserve"> </w:t>
      </w:r>
    </w:p>
  </w:footnote>
  <w:footnote w:id="36">
    <w:p w14:paraId="3BAEFF26" w14:textId="77777777" w:rsidR="002C1F81" w:rsidRPr="00B77E10" w:rsidRDefault="002C1F81" w:rsidP="00B77E10">
      <w:pPr>
        <w:pStyle w:val="FootnoteText"/>
        <w:jc w:val="left"/>
        <w:rPr>
          <w:sz w:val="18"/>
          <w:szCs w:val="18"/>
        </w:rPr>
      </w:pPr>
      <w:r>
        <w:rPr>
          <w:rStyle w:val="FootnoteReference"/>
        </w:rPr>
        <w:footnoteRef/>
      </w:r>
      <w:r>
        <w:t> </w:t>
      </w:r>
      <w:r w:rsidRPr="00B77E10">
        <w:rPr>
          <w:sz w:val="18"/>
          <w:szCs w:val="18"/>
        </w:rPr>
        <w:t xml:space="preserve">Voir : </w:t>
      </w:r>
      <w:hyperlink r:id="rId45" w:history="1">
        <w:r w:rsidRPr="00B77E10">
          <w:rPr>
            <w:rStyle w:val="Hyperlink"/>
            <w:sz w:val="18"/>
            <w:szCs w:val="18"/>
          </w:rPr>
          <w:t>https://www.winta.org/resources</w:t>
        </w:r>
      </w:hyperlink>
      <w:r w:rsidRPr="00B77E10">
        <w:rPr>
          <w:sz w:val="18"/>
          <w:szCs w:val="18"/>
        </w:rPr>
        <w:t xml:space="preserve">. Vous trouverez des exemples de tourisme autochtone en Amérique latine sur le site web de </w:t>
      </w:r>
      <w:proofErr w:type="spellStart"/>
      <w:r w:rsidRPr="00B77E10">
        <w:rPr>
          <w:sz w:val="18"/>
          <w:szCs w:val="18"/>
        </w:rPr>
        <w:t>Sumak</w:t>
      </w:r>
      <w:proofErr w:type="spellEnd"/>
      <w:r w:rsidRPr="00B77E10">
        <w:rPr>
          <w:sz w:val="18"/>
          <w:szCs w:val="18"/>
        </w:rPr>
        <w:t xml:space="preserve"> </w:t>
      </w:r>
      <w:proofErr w:type="spellStart"/>
      <w:r w:rsidRPr="00B77E10">
        <w:rPr>
          <w:sz w:val="18"/>
          <w:szCs w:val="18"/>
        </w:rPr>
        <w:t>Travel</w:t>
      </w:r>
      <w:proofErr w:type="spellEnd"/>
      <w:r w:rsidRPr="00B77E10">
        <w:rPr>
          <w:sz w:val="18"/>
          <w:szCs w:val="18"/>
        </w:rPr>
        <w:t xml:space="preserve"> : </w:t>
      </w:r>
      <w:hyperlink r:id="rId46" w:history="1">
        <w:r w:rsidRPr="00B77E10">
          <w:rPr>
            <w:rStyle w:val="Hyperlink"/>
            <w:sz w:val="18"/>
            <w:szCs w:val="18"/>
          </w:rPr>
          <w:t>https://www.sumak-travel.org/promoting-indigenous-tourism-in-latin-america/</w:t>
        </w:r>
      </w:hyperlink>
      <w:r w:rsidRPr="00B77E10">
        <w:rPr>
          <w:sz w:val="18"/>
          <w:szCs w:val="18"/>
        </w:rPr>
        <w:t xml:space="preserve"> </w:t>
      </w:r>
    </w:p>
  </w:footnote>
  <w:footnote w:id="37">
    <w:p w14:paraId="437F1624"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47" w:history="1">
        <w:r w:rsidRPr="00B77E10">
          <w:rPr>
            <w:rStyle w:val="Hyperlink"/>
            <w:sz w:val="18"/>
            <w:szCs w:val="18"/>
          </w:rPr>
          <w:t>http://www.ichngoforum.org/</w:t>
        </w:r>
      </w:hyperlink>
      <w:r w:rsidRPr="00B77E10">
        <w:rPr>
          <w:sz w:val="18"/>
          <w:szCs w:val="18"/>
        </w:rPr>
        <w:t xml:space="preserve"> </w:t>
      </w:r>
    </w:p>
  </w:footnote>
  <w:footnote w:id="38">
    <w:p w14:paraId="7D814BE6"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48" w:history="1">
        <w:r w:rsidRPr="00B77E10">
          <w:rPr>
            <w:rStyle w:val="Hyperlink"/>
            <w:sz w:val="18"/>
            <w:szCs w:val="18"/>
          </w:rPr>
          <w:t>Centre du patrimoine mondial – Programme sur le patrimoine mondial et le tourisme durable (unesco.org)</w:t>
        </w:r>
      </w:hyperlink>
    </w:p>
  </w:footnote>
  <w:footnote w:id="39">
    <w:p w14:paraId="6449BB2D" w14:textId="77777777" w:rsidR="002C1F81" w:rsidRPr="00B77E10" w:rsidRDefault="002C1F81" w:rsidP="00B77E10">
      <w:pPr>
        <w:pStyle w:val="FootnoteText"/>
        <w:jc w:val="left"/>
        <w:rPr>
          <w:sz w:val="18"/>
          <w:szCs w:val="18"/>
          <w:lang w:val="en-US"/>
        </w:rPr>
      </w:pPr>
      <w:r w:rsidRPr="00B77E10">
        <w:rPr>
          <w:rStyle w:val="FootnoteReference"/>
          <w:sz w:val="18"/>
          <w:szCs w:val="18"/>
        </w:rPr>
        <w:footnoteRef/>
      </w:r>
      <w:r w:rsidRPr="00B77E10">
        <w:rPr>
          <w:sz w:val="18"/>
          <w:szCs w:val="18"/>
          <w:lang w:val="en-US"/>
        </w:rPr>
        <w:t> </w:t>
      </w:r>
      <w:r w:rsidRPr="00B77E10">
        <w:rPr>
          <w:i/>
          <w:iCs/>
          <w:sz w:val="18"/>
          <w:szCs w:val="18"/>
          <w:lang w:val="en-US"/>
        </w:rPr>
        <w:t>Sámi Tourism Project Aims at Building a Responsible and Ethically Sustainable Sámi Tourism Collaboration Network</w:t>
      </w:r>
      <w:r w:rsidRPr="00B77E10">
        <w:rPr>
          <w:sz w:val="18"/>
          <w:szCs w:val="18"/>
          <w:lang w:val="en-US"/>
        </w:rPr>
        <w:t xml:space="preserve"> </w:t>
      </w:r>
    </w:p>
    <w:p w14:paraId="7B9E9AAA" w14:textId="77777777" w:rsidR="002C1F81" w:rsidRDefault="002C1F81" w:rsidP="00B77E10">
      <w:pPr>
        <w:pStyle w:val="FootnoteText"/>
        <w:jc w:val="left"/>
      </w:pPr>
      <w:r w:rsidRPr="00B77E10">
        <w:rPr>
          <w:sz w:val="18"/>
          <w:szCs w:val="18"/>
        </w:rPr>
        <w:t xml:space="preserve">(Le Projet de tourisme </w:t>
      </w:r>
      <w:proofErr w:type="spellStart"/>
      <w:r w:rsidRPr="00B77E10">
        <w:rPr>
          <w:sz w:val="18"/>
          <w:szCs w:val="18"/>
        </w:rPr>
        <w:t>sami</w:t>
      </w:r>
      <w:proofErr w:type="spellEnd"/>
      <w:r w:rsidRPr="00B77E10">
        <w:rPr>
          <w:sz w:val="18"/>
          <w:szCs w:val="18"/>
        </w:rPr>
        <w:t xml:space="preserve"> vise à créer un réseau de collaboration pour un tourisme </w:t>
      </w:r>
      <w:proofErr w:type="spellStart"/>
      <w:r w:rsidRPr="00B77E10">
        <w:rPr>
          <w:sz w:val="18"/>
          <w:szCs w:val="18"/>
        </w:rPr>
        <w:t>sami</w:t>
      </w:r>
      <w:proofErr w:type="spellEnd"/>
      <w:r w:rsidRPr="00B77E10">
        <w:rPr>
          <w:sz w:val="18"/>
          <w:szCs w:val="18"/>
        </w:rPr>
        <w:t xml:space="preserve"> responsable et durable sur le plan éthique) : </w:t>
      </w:r>
      <w:hyperlink r:id="rId49" w:history="1">
        <w:r w:rsidRPr="00B77E10">
          <w:rPr>
            <w:rStyle w:val="Hyperlink"/>
            <w:sz w:val="18"/>
            <w:szCs w:val="18"/>
          </w:rPr>
          <w:t>https://www.samediggi.fi/2021/10/26/sami-tourism-project-aims-at-building-a-responsible-and-ethically-sustainable-sami-tourism-collaboration-network/?lang=en</w:t>
        </w:r>
      </w:hyperlink>
      <w:r w:rsidRPr="00B77E10">
        <w:rPr>
          <w:sz w:val="18"/>
          <w:szCs w:val="18"/>
        </w:rPr>
        <w:t xml:space="preserve"> </w:t>
      </w:r>
    </w:p>
  </w:footnote>
  <w:footnote w:id="40">
    <w:p w14:paraId="0EA06C7D"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50" w:history="1">
        <w:r w:rsidRPr="00B77E10">
          <w:rPr>
            <w:rStyle w:val="Hyperlink"/>
            <w:sz w:val="18"/>
            <w:szCs w:val="18"/>
          </w:rPr>
          <w:t>https://www.bibalex.org/Search4Dev/files/283814/115937.pdf</w:t>
        </w:r>
      </w:hyperlink>
      <w:r w:rsidRPr="00B77E10">
        <w:rPr>
          <w:sz w:val="18"/>
          <w:szCs w:val="18"/>
        </w:rPr>
        <w:t xml:space="preserve"> </w:t>
      </w:r>
    </w:p>
  </w:footnote>
  <w:footnote w:id="41">
    <w:p w14:paraId="3B6EAD49"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51" w:history="1">
        <w:r w:rsidRPr="00B77E10">
          <w:rPr>
            <w:rStyle w:val="Hyperlink"/>
            <w:sz w:val="18"/>
            <w:szCs w:val="18"/>
          </w:rPr>
          <w:t>https://blogi.eoppimispalvelut.fi/toolkitforculturaltourism/</w:t>
        </w:r>
      </w:hyperlink>
      <w:r w:rsidRPr="00B77E10">
        <w:rPr>
          <w:sz w:val="18"/>
          <w:szCs w:val="18"/>
        </w:rPr>
        <w:t xml:space="preserve"> </w:t>
      </w:r>
    </w:p>
  </w:footnote>
  <w:footnote w:id="42">
    <w:p w14:paraId="1FFA9400"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52" w:history="1">
        <w:r w:rsidRPr="00B77E10">
          <w:rPr>
            <w:rStyle w:val="Hyperlink"/>
            <w:sz w:val="18"/>
            <w:szCs w:val="18"/>
          </w:rPr>
          <w:t>https://www.communitybasedtourism.eu/wp-content/uploads/2020/08/BoCoTo-TC-Manual-REV05.pdf</w:t>
        </w:r>
      </w:hyperlink>
      <w:r w:rsidRPr="00B77E10">
        <w:rPr>
          <w:sz w:val="18"/>
          <w:szCs w:val="18"/>
        </w:rPr>
        <w:t xml:space="preserve"> </w:t>
      </w:r>
    </w:p>
  </w:footnote>
  <w:footnote w:id="43">
    <w:p w14:paraId="6B0C8C9A"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53" w:history="1">
        <w:r w:rsidRPr="00B77E10">
          <w:rPr>
            <w:rStyle w:val="Hyperlink"/>
            <w:sz w:val="18"/>
            <w:szCs w:val="18"/>
          </w:rPr>
          <w:t>https://covid19.tourismni.com/globalassets/business-development/support-by-sector/other-sectors/culture--heritage/toolkit/cultural-heritage-toolkit.pdf</w:t>
        </w:r>
      </w:hyperlink>
      <w:r w:rsidRPr="00B77E10">
        <w:rPr>
          <w:sz w:val="18"/>
          <w:szCs w:val="18"/>
        </w:rPr>
        <w:t xml:space="preserve"> </w:t>
      </w:r>
    </w:p>
  </w:footnote>
  <w:footnote w:id="44">
    <w:p w14:paraId="5B7AF085"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w:t>
      </w:r>
      <w:hyperlink r:id="rId54" w:history="1">
        <w:r w:rsidRPr="00B77E10">
          <w:rPr>
            <w:rStyle w:val="Hyperlink"/>
            <w:sz w:val="18"/>
            <w:szCs w:val="18"/>
          </w:rPr>
          <w:t>https://failtecdn.azureedge.net/failteireland/Community-Tourism-Toolkit.pdf</w:t>
        </w:r>
      </w:hyperlink>
      <w:r w:rsidRPr="00B77E10">
        <w:rPr>
          <w:sz w:val="18"/>
          <w:szCs w:val="18"/>
        </w:rPr>
        <w:t xml:space="preserve"> ; </w:t>
      </w:r>
      <w:hyperlink r:id="rId55" w:history="1">
        <w:r w:rsidRPr="00B77E10">
          <w:rPr>
            <w:rStyle w:val="Hyperlink"/>
            <w:sz w:val="18"/>
            <w:szCs w:val="18"/>
          </w:rPr>
          <w:t>https://www.culturehive.co.uk/resources/developing-cultural-experiences/</w:t>
        </w:r>
      </w:hyperlink>
    </w:p>
  </w:footnote>
  <w:footnote w:id="45">
    <w:p w14:paraId="166A12D5"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56" w:history="1">
        <w:r w:rsidRPr="00B77E10">
          <w:rPr>
            <w:rStyle w:val="Hyperlink"/>
            <w:sz w:val="18"/>
            <w:szCs w:val="18"/>
          </w:rPr>
          <w:t>https://3paj56ulke64foefopsmdbue-wpengine.netdna-ssl.com/wp-content/uploads/2016/10/Cultural_heritage_toolkit.pdf</w:t>
        </w:r>
      </w:hyperlink>
      <w:r w:rsidRPr="00B77E10">
        <w:rPr>
          <w:sz w:val="18"/>
          <w:szCs w:val="18"/>
        </w:rPr>
        <w:t xml:space="preserve"> </w:t>
      </w:r>
    </w:p>
  </w:footnote>
  <w:footnote w:id="46">
    <w:p w14:paraId="7E613A29" w14:textId="77777777" w:rsidR="002C1F81" w:rsidRPr="00B77E10" w:rsidRDefault="002C1F81" w:rsidP="00B77E10">
      <w:pPr>
        <w:pStyle w:val="FootnoteText"/>
        <w:jc w:val="left"/>
        <w:rPr>
          <w:sz w:val="18"/>
          <w:szCs w:val="18"/>
          <w:lang w:val="en-US"/>
        </w:rPr>
      </w:pPr>
      <w:r w:rsidRPr="00B77E10">
        <w:rPr>
          <w:rStyle w:val="FootnoteReference"/>
          <w:sz w:val="18"/>
          <w:szCs w:val="18"/>
        </w:rPr>
        <w:footnoteRef/>
      </w:r>
      <w:r w:rsidRPr="00B77E10">
        <w:rPr>
          <w:sz w:val="18"/>
          <w:szCs w:val="18"/>
          <w:lang w:val="en-US"/>
        </w:rPr>
        <w:t> </w:t>
      </w:r>
      <w:proofErr w:type="spellStart"/>
      <w:r w:rsidRPr="00B77E10">
        <w:rPr>
          <w:sz w:val="18"/>
          <w:szCs w:val="18"/>
          <w:lang w:val="en-US"/>
        </w:rPr>
        <w:t>Voir</w:t>
      </w:r>
      <w:proofErr w:type="spellEnd"/>
      <w:r w:rsidRPr="00B77E10">
        <w:rPr>
          <w:sz w:val="18"/>
          <w:szCs w:val="18"/>
          <w:lang w:val="en-US"/>
        </w:rPr>
        <w:t xml:space="preserve"> : </w:t>
      </w:r>
      <w:hyperlink r:id="rId57" w:history="1">
        <w:r w:rsidRPr="00B77E10">
          <w:rPr>
            <w:rStyle w:val="Hyperlink"/>
            <w:sz w:val="18"/>
            <w:szCs w:val="18"/>
            <w:lang w:val="en-US"/>
          </w:rPr>
          <w:t>https://www.tourism.gov.za/AboutNDT/Branches1/Knowledge/Documents/SA Tourism Planning Toolkit FINAL.pdf</w:t>
        </w:r>
      </w:hyperlink>
      <w:r w:rsidRPr="00B77E10">
        <w:rPr>
          <w:rStyle w:val="Hyperlink"/>
          <w:sz w:val="18"/>
          <w:szCs w:val="18"/>
          <w:lang w:val="en-US"/>
        </w:rPr>
        <w:t xml:space="preserve"> </w:t>
      </w:r>
    </w:p>
  </w:footnote>
  <w:footnote w:id="47">
    <w:p w14:paraId="73012D5A"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58" w:history="1">
        <w:r w:rsidRPr="00B77E10">
          <w:rPr>
            <w:rStyle w:val="Hyperlink"/>
            <w:sz w:val="18"/>
            <w:szCs w:val="18"/>
          </w:rPr>
          <w:t>https://www.create.nsw.gov.au/arts-in-nsw/a-cultural-tourism-toolkit/</w:t>
        </w:r>
      </w:hyperlink>
      <w:r w:rsidRPr="00B77E10">
        <w:rPr>
          <w:sz w:val="18"/>
          <w:szCs w:val="18"/>
        </w:rPr>
        <w:t xml:space="preserve"> </w:t>
      </w:r>
    </w:p>
  </w:footnote>
  <w:footnote w:id="48">
    <w:p w14:paraId="0F35DCA5" w14:textId="17CBEC4A"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 </w:t>
      </w:r>
      <w:hyperlink r:id="rId59" w:history="1">
        <w:r w:rsidRPr="00B77E10">
          <w:rPr>
            <w:rStyle w:val="Hyperlink"/>
            <w:sz w:val="18"/>
            <w:szCs w:val="18"/>
          </w:rPr>
          <w:t>https://indigenoustourism.ca/fr/tools-resources/lignes-directrices-nationales/</w:t>
        </w:r>
      </w:hyperlink>
    </w:p>
  </w:footnote>
  <w:footnote w:id="49">
    <w:p w14:paraId="205E5EAA" w14:textId="77777777"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 </w:t>
      </w:r>
      <w:hyperlink r:id="rId60" w:history="1">
        <w:r w:rsidRPr="00B77E10">
          <w:rPr>
            <w:rStyle w:val="Hyperlink"/>
            <w:sz w:val="18"/>
            <w:szCs w:val="18"/>
          </w:rPr>
          <w:t>https://ich.unesco.org/fr/situations-d-urgence-01117</w:t>
        </w:r>
      </w:hyperlink>
      <w:r w:rsidRPr="00B77E10">
        <w:rPr>
          <w:sz w:val="18"/>
          <w:szCs w:val="18"/>
        </w:rPr>
        <w:t xml:space="preserve"> </w:t>
      </w:r>
    </w:p>
  </w:footnote>
  <w:footnote w:id="50">
    <w:p w14:paraId="5F62667D" w14:textId="77777777" w:rsidR="002C1F81" w:rsidRPr="00B77E10" w:rsidRDefault="002C1F81" w:rsidP="00B77E10">
      <w:pPr>
        <w:pStyle w:val="FootnoteText"/>
        <w:jc w:val="left"/>
        <w:rPr>
          <w:sz w:val="18"/>
          <w:szCs w:val="18"/>
        </w:rPr>
      </w:pPr>
      <w:r>
        <w:rPr>
          <w:rStyle w:val="FootnoteReference"/>
        </w:rPr>
        <w:footnoteRef/>
      </w:r>
      <w:r>
        <w:t> </w:t>
      </w:r>
      <w:r w:rsidRPr="00B77E10">
        <w:rPr>
          <w:sz w:val="18"/>
          <w:szCs w:val="18"/>
        </w:rPr>
        <w:t xml:space="preserve">Document </w:t>
      </w:r>
      <w:hyperlink r:id="rId61" w:history="1">
        <w:r w:rsidRPr="00B77E10">
          <w:rPr>
            <w:rStyle w:val="Hyperlink"/>
            <w:b/>
            <w:sz w:val="18"/>
            <w:szCs w:val="18"/>
          </w:rPr>
          <w:t>ITH/14/9.COM/</w:t>
        </w:r>
        <w:proofErr w:type="gramStart"/>
        <w:r w:rsidRPr="00B77E10">
          <w:rPr>
            <w:rStyle w:val="Hyperlink"/>
            <w:b/>
            <w:sz w:val="18"/>
            <w:szCs w:val="18"/>
          </w:rPr>
          <w:t>9.a</w:t>
        </w:r>
        <w:proofErr w:type="gramEnd"/>
      </w:hyperlink>
      <w:r w:rsidRPr="00B77E10">
        <w:rPr>
          <w:sz w:val="18"/>
          <w:szCs w:val="18"/>
        </w:rPr>
        <w:t>, paragraphe 8.</w:t>
      </w:r>
    </w:p>
  </w:footnote>
  <w:footnote w:id="51">
    <w:p w14:paraId="5D02B53B" w14:textId="77777777" w:rsidR="002C1F81" w:rsidRPr="00310B82" w:rsidRDefault="002C1F81" w:rsidP="00B77E10">
      <w:pPr>
        <w:pStyle w:val="FootnoteText"/>
        <w:jc w:val="left"/>
      </w:pPr>
      <w:r w:rsidRPr="00B77E10">
        <w:rPr>
          <w:rStyle w:val="FootnoteReference"/>
          <w:sz w:val="18"/>
          <w:szCs w:val="18"/>
        </w:rPr>
        <w:footnoteRef/>
      </w:r>
      <w:r w:rsidRPr="00B77E10">
        <w:rPr>
          <w:sz w:val="18"/>
          <w:szCs w:val="18"/>
        </w:rPr>
        <w:t xml:space="preserve"> Document </w:t>
      </w:r>
      <w:hyperlink r:id="rId62" w:history="1">
        <w:r w:rsidRPr="00B77E10">
          <w:rPr>
            <w:rStyle w:val="Hyperlink"/>
            <w:b/>
            <w:sz w:val="18"/>
            <w:szCs w:val="18"/>
          </w:rPr>
          <w:t>ITH/18/13.COM/10</w:t>
        </w:r>
      </w:hyperlink>
      <w:r w:rsidRPr="00B77E10">
        <w:rPr>
          <w:sz w:val="18"/>
          <w:szCs w:val="18"/>
        </w:rPr>
        <w:t>, paragraphe 35.</w:t>
      </w:r>
    </w:p>
  </w:footnote>
  <w:footnote w:id="52">
    <w:p w14:paraId="4BEF80E2" w14:textId="77777777" w:rsidR="002C1F81" w:rsidRPr="00B77E10" w:rsidRDefault="002C1F81" w:rsidP="00E86933">
      <w:pPr>
        <w:pStyle w:val="FootnoteText"/>
        <w:jc w:val="left"/>
        <w:rPr>
          <w:sz w:val="18"/>
          <w:szCs w:val="18"/>
        </w:rPr>
      </w:pPr>
      <w:r w:rsidRPr="00B77E10">
        <w:rPr>
          <w:rStyle w:val="FootnoteReference"/>
          <w:sz w:val="18"/>
          <w:szCs w:val="18"/>
        </w:rPr>
        <w:footnoteRef/>
      </w:r>
      <w:r w:rsidRPr="00B77E10">
        <w:rPr>
          <w:sz w:val="18"/>
          <w:szCs w:val="18"/>
        </w:rPr>
        <w:t xml:space="preserve"> Voir : </w:t>
      </w:r>
      <w:hyperlink r:id="rId63" w:history="1">
        <w:r w:rsidRPr="00B77E10">
          <w:rPr>
            <w:rStyle w:val="Hyperlink"/>
            <w:sz w:val="18"/>
            <w:szCs w:val="18"/>
          </w:rPr>
          <w:t>https://www.alpine-space.eu/projects/alpfoodway/project-results/wp2_map_ich_commercial_valorisation_practices.pdf</w:t>
        </w:r>
      </w:hyperlink>
      <w:r w:rsidRPr="00B77E10">
        <w:rPr>
          <w:sz w:val="18"/>
          <w:szCs w:val="18"/>
        </w:rPr>
        <w:t> </w:t>
      </w:r>
    </w:p>
  </w:footnote>
  <w:footnote w:id="53">
    <w:p w14:paraId="3E303FE2" w14:textId="77777777"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 </w:t>
      </w:r>
      <w:hyperlink r:id="rId64" w:history="1">
        <w:r w:rsidRPr="00B77E10">
          <w:rPr>
            <w:rStyle w:val="Hyperlink"/>
            <w:sz w:val="18"/>
            <w:szCs w:val="18"/>
          </w:rPr>
          <w:t>https://en.vogue.me/fashion/palestinian-fashion-designers/</w:t>
        </w:r>
      </w:hyperlink>
      <w:r w:rsidRPr="00B77E10">
        <w:rPr>
          <w:sz w:val="18"/>
          <w:szCs w:val="18"/>
        </w:rPr>
        <w:t xml:space="preserve"> </w:t>
      </w:r>
    </w:p>
  </w:footnote>
  <w:footnote w:id="54">
    <w:p w14:paraId="5C0F9C83" w14:textId="77777777" w:rsidR="002C1F81" w:rsidRDefault="002C1F81" w:rsidP="00B77E10">
      <w:pPr>
        <w:pStyle w:val="FootnoteText"/>
        <w:jc w:val="left"/>
      </w:pPr>
      <w:r w:rsidRPr="00B77E10">
        <w:rPr>
          <w:rStyle w:val="FootnoteReference"/>
          <w:sz w:val="18"/>
          <w:szCs w:val="18"/>
        </w:rPr>
        <w:footnoteRef/>
      </w:r>
      <w:r w:rsidRPr="00B77E10">
        <w:rPr>
          <w:sz w:val="18"/>
          <w:szCs w:val="18"/>
        </w:rPr>
        <w:t xml:space="preserve"> Il y a eu un gros effort pour favoriser le rapprochement des archives et des musées avec les communautés. Ce travail est parfois appréhendé dans le sens étroit de la promotion de la participation et de l’accès des communautés, plutôt qu’en termes de soutien à l’utilisation par les communautés et d’impact sur le répertoire du patrimoine. Parmi les exemples intéressants de cette dernière approche, on peut citer </w:t>
      </w:r>
      <w:proofErr w:type="spellStart"/>
      <w:r w:rsidRPr="00B77E10">
        <w:rPr>
          <w:sz w:val="18"/>
          <w:szCs w:val="18"/>
        </w:rPr>
        <w:t>McKemmish</w:t>
      </w:r>
      <w:proofErr w:type="spellEnd"/>
      <w:r w:rsidRPr="00B77E10">
        <w:rPr>
          <w:sz w:val="18"/>
          <w:szCs w:val="18"/>
        </w:rPr>
        <w:t xml:space="preserve"> </w:t>
      </w:r>
      <w:r w:rsidRPr="00B77E10">
        <w:rPr>
          <w:i/>
          <w:iCs/>
          <w:sz w:val="18"/>
          <w:szCs w:val="18"/>
        </w:rPr>
        <w:t>et al.</w:t>
      </w:r>
      <w:r w:rsidRPr="00B77E10">
        <w:rPr>
          <w:sz w:val="18"/>
          <w:szCs w:val="18"/>
        </w:rPr>
        <w:t xml:space="preserve"> (2019) en Australie, et le projet d’archives </w:t>
      </w:r>
      <w:proofErr w:type="spellStart"/>
      <w:r w:rsidRPr="00B77E10">
        <w:rPr>
          <w:sz w:val="18"/>
          <w:szCs w:val="18"/>
        </w:rPr>
        <w:t>sami</w:t>
      </w:r>
      <w:proofErr w:type="spellEnd"/>
      <w:r w:rsidRPr="00B77E10">
        <w:rPr>
          <w:sz w:val="18"/>
          <w:szCs w:val="18"/>
        </w:rPr>
        <w:t xml:space="preserve">, AIDA II, qui visent à transformer les archives en acteurs du présent, dépassant leur rôle de simple mémoire collective et de gardiens du passé. </w:t>
      </w:r>
      <w:hyperlink r:id="rId65" w:history="1">
        <w:r w:rsidRPr="00B77E10">
          <w:rPr>
            <w:rStyle w:val="Hyperlink"/>
            <w:sz w:val="18"/>
            <w:szCs w:val="18"/>
          </w:rPr>
          <w:t>https://vimeo.com/478038686</w:t>
        </w:r>
      </w:hyperlink>
      <w:r w:rsidRPr="00B77E10">
        <w:rPr>
          <w:sz w:val="18"/>
          <w:szCs w:val="18"/>
        </w:rPr>
        <w:t xml:space="preserve"> </w:t>
      </w:r>
    </w:p>
  </w:footnote>
  <w:footnote w:id="55">
    <w:p w14:paraId="5DF43E81" w14:textId="77777777"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 </w:t>
      </w:r>
      <w:hyperlink r:id="rId66" w:history="1">
        <w:r w:rsidRPr="00B77E10">
          <w:rPr>
            <w:rStyle w:val="Hyperlink"/>
            <w:sz w:val="18"/>
            <w:szCs w:val="18"/>
          </w:rPr>
          <w:t>https://www.wko.at/branchen/gewerbe-handwerk/study-traditional-craftsmanship-austria.pdf</w:t>
        </w:r>
      </w:hyperlink>
      <w:r w:rsidRPr="00B77E10">
        <w:rPr>
          <w:sz w:val="18"/>
          <w:szCs w:val="18"/>
        </w:rPr>
        <w:t xml:space="preserve"> </w:t>
      </w:r>
    </w:p>
  </w:footnote>
  <w:footnote w:id="56">
    <w:p w14:paraId="7E0ED0CC" w14:textId="2DF8EF34"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 </w:t>
      </w:r>
      <w:hyperlink r:id="rId67" w:history="1">
        <w:r w:rsidR="00894D91">
          <w:rPr>
            <w:rStyle w:val="Hyperlink"/>
            <w:sz w:val="18"/>
            <w:szCs w:val="18"/>
          </w:rPr>
          <w:t>https://www.cys.org.cy/en/</w:t>
        </w:r>
      </w:hyperlink>
      <w:r w:rsidRPr="00B77E10">
        <w:rPr>
          <w:sz w:val="18"/>
          <w:szCs w:val="18"/>
        </w:rPr>
        <w:t xml:space="preserve"> </w:t>
      </w:r>
    </w:p>
  </w:footnote>
  <w:footnote w:id="57">
    <w:p w14:paraId="196D1E91"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également le document </w:t>
      </w:r>
      <w:hyperlink r:id="rId68" w:history="1">
        <w:r w:rsidRPr="00B77E10">
          <w:rPr>
            <w:rStyle w:val="Hyperlink"/>
            <w:b/>
            <w:sz w:val="18"/>
            <w:szCs w:val="18"/>
          </w:rPr>
          <w:t>ITH/14/9.COM/</w:t>
        </w:r>
        <w:proofErr w:type="gramStart"/>
        <w:r w:rsidRPr="00B77E10">
          <w:rPr>
            <w:rStyle w:val="Hyperlink"/>
            <w:b/>
            <w:sz w:val="18"/>
            <w:szCs w:val="18"/>
          </w:rPr>
          <w:t>9.a</w:t>
        </w:r>
        <w:proofErr w:type="gramEnd"/>
      </w:hyperlink>
      <w:r w:rsidRPr="00B77E10">
        <w:rPr>
          <w:sz w:val="18"/>
          <w:szCs w:val="18"/>
        </w:rPr>
        <w:t xml:space="preserve">, paragraphe 7, et le document </w:t>
      </w:r>
      <w:hyperlink r:id="rId69" w:history="1">
        <w:r w:rsidRPr="00B77E10">
          <w:rPr>
            <w:rStyle w:val="Hyperlink"/>
            <w:b/>
            <w:sz w:val="18"/>
            <w:szCs w:val="18"/>
          </w:rPr>
          <w:t>ITH/13/8.COM/7</w:t>
        </w:r>
      </w:hyperlink>
      <w:r w:rsidRPr="00B77E10">
        <w:rPr>
          <w:sz w:val="18"/>
          <w:szCs w:val="18"/>
        </w:rPr>
        <w:t>, paragraphe 36.</w:t>
      </w:r>
    </w:p>
  </w:footnote>
  <w:footnote w:id="58">
    <w:p w14:paraId="0A3A6F47" w14:textId="77777777" w:rsidR="002C1F81" w:rsidRPr="000060F8" w:rsidRDefault="002C1F81" w:rsidP="00B77E10">
      <w:pPr>
        <w:pStyle w:val="FootnoteText"/>
        <w:jc w:val="left"/>
      </w:pPr>
      <w:r w:rsidRPr="00B77E10">
        <w:rPr>
          <w:rStyle w:val="FootnoteReference"/>
          <w:sz w:val="18"/>
          <w:szCs w:val="18"/>
        </w:rPr>
        <w:footnoteRef/>
      </w:r>
      <w:r w:rsidRPr="00B77E10">
        <w:rPr>
          <w:sz w:val="18"/>
          <w:szCs w:val="18"/>
        </w:rPr>
        <w:t xml:space="preserve"> Document </w:t>
      </w:r>
      <w:hyperlink r:id="rId70" w:history="1">
        <w:r w:rsidRPr="00B77E10">
          <w:rPr>
            <w:rStyle w:val="Hyperlink"/>
            <w:b/>
            <w:sz w:val="18"/>
            <w:szCs w:val="18"/>
          </w:rPr>
          <w:t>LHE/19/14.COM/10</w:t>
        </w:r>
      </w:hyperlink>
      <w:r w:rsidRPr="00B77E10">
        <w:rPr>
          <w:sz w:val="18"/>
          <w:szCs w:val="18"/>
        </w:rPr>
        <w:t>, paragraphe 37.</w:t>
      </w:r>
    </w:p>
  </w:footnote>
  <w:footnote w:id="59">
    <w:p w14:paraId="7ECBBF05" w14:textId="77777777" w:rsidR="002C1F81" w:rsidRDefault="002C1F81" w:rsidP="00B77E10">
      <w:pPr>
        <w:pStyle w:val="FootnoteText"/>
        <w:jc w:val="left"/>
      </w:pPr>
      <w:r w:rsidRPr="00B77E10">
        <w:rPr>
          <w:rStyle w:val="FootnoteReference"/>
          <w:sz w:val="18"/>
          <w:szCs w:val="18"/>
        </w:rPr>
        <w:footnoteRef/>
      </w:r>
      <w:r w:rsidRPr="00B77E10">
        <w:rPr>
          <w:sz w:val="18"/>
          <w:szCs w:val="18"/>
        </w:rPr>
        <w:t> Lors des négociations du CIG de l’OMPI, certains acteurs contestent le concept de propriété communautaire, préférant le terme « utilisation abusive » à « détournement ».</w:t>
      </w:r>
    </w:p>
  </w:footnote>
  <w:footnote w:id="60">
    <w:p w14:paraId="696C26EA" w14:textId="77777777" w:rsidR="002C1F81" w:rsidRPr="00B77E10" w:rsidRDefault="002C1F81" w:rsidP="00B77E10">
      <w:pPr>
        <w:pStyle w:val="FootnoteText"/>
        <w:jc w:val="left"/>
        <w:rPr>
          <w:sz w:val="18"/>
          <w:szCs w:val="18"/>
        </w:rPr>
      </w:pPr>
      <w:r w:rsidRPr="00B77E10">
        <w:rPr>
          <w:rStyle w:val="FootnoteReference"/>
          <w:sz w:val="18"/>
          <w:szCs w:val="18"/>
        </w:rPr>
        <w:footnoteRef/>
      </w:r>
      <w:r w:rsidRPr="00B77E10">
        <w:rPr>
          <w:sz w:val="18"/>
          <w:szCs w:val="18"/>
        </w:rPr>
        <w:t xml:space="preserve"> Voir par exemple l’étude IMKAS, disponible à l’adresse suivante : </w:t>
      </w:r>
      <w:hyperlink r:id="rId71" w:history="1">
        <w:r w:rsidRPr="00B77E10">
          <w:rPr>
            <w:rStyle w:val="Hyperlink"/>
            <w:sz w:val="18"/>
            <w:szCs w:val="18"/>
          </w:rPr>
          <w:t>https://sametinget.no/_f/p1/i318e80f8-0075-4ec3-9dfe-0c2a6301ff3e/the-project-intangible-cultural-heritage-in-sapmi-short-report-2021.pdf</w:t>
        </w:r>
      </w:hyperlink>
      <w:r w:rsidRPr="00B77E10">
        <w:rPr>
          <w:sz w:val="18"/>
          <w:szCs w:val="18"/>
        </w:rPr>
        <w:t xml:space="preserve"> </w:t>
      </w:r>
    </w:p>
  </w:footnote>
  <w:footnote w:id="61">
    <w:p w14:paraId="751DC1D6" w14:textId="77777777"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 </w:t>
      </w:r>
      <w:hyperlink r:id="rId72" w:history="1">
        <w:r w:rsidRPr="00B77E10">
          <w:rPr>
            <w:rStyle w:val="Hyperlink"/>
            <w:sz w:val="18"/>
            <w:szCs w:val="18"/>
          </w:rPr>
          <w:t>https://www.culturalintellectualproperty.com/</w:t>
        </w:r>
      </w:hyperlink>
      <w:r w:rsidRPr="00B77E10">
        <w:rPr>
          <w:sz w:val="18"/>
          <w:szCs w:val="18"/>
        </w:rPr>
        <w:t xml:space="preserve"> </w:t>
      </w:r>
    </w:p>
  </w:footnote>
  <w:footnote w:id="62">
    <w:p w14:paraId="11A21EFD" w14:textId="77777777" w:rsidR="002C1F81" w:rsidRDefault="002C1F81" w:rsidP="00B77E10">
      <w:pPr>
        <w:pStyle w:val="FootnoteText"/>
        <w:jc w:val="left"/>
      </w:pPr>
      <w:r w:rsidRPr="00B77E10">
        <w:rPr>
          <w:rStyle w:val="FootnoteReference"/>
          <w:sz w:val="18"/>
          <w:szCs w:val="18"/>
        </w:rPr>
        <w:footnoteRef/>
      </w:r>
      <w:r w:rsidRPr="00B77E10">
        <w:rPr>
          <w:sz w:val="18"/>
          <w:szCs w:val="18"/>
        </w:rPr>
        <w:t xml:space="preserve"> Voir : </w:t>
      </w:r>
      <w:hyperlink r:id="rId73" w:history="1">
        <w:r w:rsidRPr="00B77E10">
          <w:rPr>
            <w:rStyle w:val="Hyperlink"/>
            <w:sz w:val="18"/>
            <w:szCs w:val="18"/>
          </w:rPr>
          <w:t>https://www.culturalintellectualproperty.com/cultural-sustainability-academy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CAC4" w14:textId="713CD5F9" w:rsidR="002C266A" w:rsidRPr="005739ED" w:rsidRDefault="002C266A" w:rsidP="002C266A">
    <w:pPr>
      <w:pStyle w:val="Header"/>
      <w:jc w:val="right"/>
      <w:rPr>
        <w:rFonts w:ascii="Arial" w:hAnsi="Arial" w:cs="Arial"/>
        <w:lang w:val="pt-PT"/>
      </w:rPr>
    </w:pPr>
    <w:r w:rsidRPr="005739ED">
      <w:rPr>
        <w:rFonts w:ascii="Arial" w:hAnsi="Arial" w:cs="Arial"/>
        <w:sz w:val="20"/>
        <w:szCs w:val="20"/>
        <w:lang w:val="pt-PT"/>
      </w:rPr>
      <w:t>LHE/2</w:t>
    </w:r>
    <w:r>
      <w:rPr>
        <w:rFonts w:ascii="Arial" w:hAnsi="Arial" w:cs="Arial"/>
        <w:sz w:val="20"/>
        <w:szCs w:val="20"/>
        <w:lang w:val="pt-PT"/>
      </w:rPr>
      <w:t>3</w:t>
    </w:r>
    <w:r w:rsidRPr="005739ED">
      <w:rPr>
        <w:rFonts w:ascii="Arial" w:hAnsi="Arial" w:cs="Arial"/>
        <w:sz w:val="20"/>
        <w:szCs w:val="20"/>
        <w:lang w:val="pt-PT"/>
      </w:rPr>
      <w:t>/</w:t>
    </w:r>
    <w:r w:rsidRPr="00CE6C83">
      <w:rPr>
        <w:rFonts w:ascii="Arial" w:hAnsi="Arial" w:cs="Arial"/>
        <w:sz w:val="20"/>
        <w:szCs w:val="20"/>
        <w:lang w:val="es-ES"/>
      </w:rPr>
      <w:t xml:space="preserve"> EXP THEMA-ECO</w:t>
    </w:r>
    <w:r w:rsidRPr="005739ED">
      <w:rPr>
        <w:rFonts w:ascii="Arial" w:hAnsi="Arial" w:cs="Arial"/>
        <w:sz w:val="20"/>
        <w:szCs w:val="20"/>
        <w:lang w:val="pt-PT"/>
      </w:rPr>
      <w:t>/</w:t>
    </w:r>
    <w:r>
      <w:rPr>
        <w:rFonts w:ascii="Arial" w:hAnsi="Arial" w:cs="Arial"/>
        <w:sz w:val="20"/>
        <w:szCs w:val="20"/>
        <w:lang w:val="pt-PT"/>
      </w:rPr>
      <w:t>4.a</w:t>
    </w:r>
    <w:r w:rsidRPr="005739ED">
      <w:rPr>
        <w:rFonts w:ascii="Arial" w:hAnsi="Arial" w:cs="Arial"/>
        <w:sz w:val="20"/>
        <w:szCs w:val="20"/>
        <w:lang w:val="pt-PT"/>
      </w:rPr>
      <w:t xml:space="preserve"> – page </w:t>
    </w:r>
    <w:r w:rsidRPr="00EF563B">
      <w:rPr>
        <w:rStyle w:val="PageNumber"/>
        <w:rFonts w:ascii="Arial" w:hAnsi="Arial" w:cs="Arial"/>
        <w:sz w:val="20"/>
        <w:szCs w:val="20"/>
      </w:rPr>
      <w:fldChar w:fldCharType="begin"/>
    </w:r>
    <w:r w:rsidRPr="005739ED">
      <w:rPr>
        <w:rStyle w:val="PageNumber"/>
        <w:rFonts w:ascii="Arial" w:hAnsi="Arial" w:cs="Arial"/>
        <w:sz w:val="20"/>
        <w:szCs w:val="20"/>
        <w:lang w:val="pt-PT"/>
      </w:rPr>
      <w:instrText xml:space="preserve"> PAGE </w:instrText>
    </w:r>
    <w:r w:rsidRPr="00EF563B">
      <w:rPr>
        <w:rStyle w:val="PageNumber"/>
        <w:rFonts w:ascii="Arial" w:hAnsi="Arial" w:cs="Arial"/>
        <w:sz w:val="20"/>
        <w:szCs w:val="20"/>
      </w:rPr>
      <w:fldChar w:fldCharType="separate"/>
    </w:r>
    <w:r w:rsidRPr="00B77E10">
      <w:rPr>
        <w:rStyle w:val="PageNumber"/>
        <w:rFonts w:ascii="Arial" w:hAnsi="Arial" w:cs="Arial"/>
        <w:sz w:val="20"/>
        <w:szCs w:val="20"/>
        <w:lang w:val="es-ES"/>
      </w:rPr>
      <w:t>3</w:t>
    </w:r>
    <w:r w:rsidRPr="00EF563B">
      <w:rPr>
        <w:rStyle w:val="PageNumber"/>
        <w:rFonts w:ascii="Arial" w:hAnsi="Arial" w:cs="Arial"/>
        <w:sz w:val="20"/>
        <w:szCs w:val="20"/>
      </w:rPr>
      <w:fldChar w:fldCharType="end"/>
    </w:r>
  </w:p>
  <w:p w14:paraId="488F4451" w14:textId="77777777" w:rsidR="002C266A" w:rsidRPr="00226594" w:rsidRDefault="002C266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7115" w14:textId="77777777" w:rsidR="002C1F81" w:rsidRPr="008B64DF" w:rsidRDefault="002C1F81" w:rsidP="002C1F81">
    <w:pPr>
      <w:pStyle w:val="Header"/>
    </w:pPr>
    <w:r>
      <w:rPr>
        <w:rFonts w:ascii="Arial" w:hAnsi="Arial" w:cs="Arial"/>
        <w:b/>
        <w:noProof/>
        <w:sz w:val="44"/>
        <w:szCs w:val="44"/>
        <w:lang w:val="pt-PT"/>
      </w:rPr>
      <w:drawing>
        <wp:anchor distT="0" distB="0" distL="114300" distR="114300" simplePos="0" relativeHeight="251659264" behindDoc="0" locked="0" layoutInCell="1" allowOverlap="1" wp14:anchorId="71BB6A44" wp14:editId="3DE8A0B3">
          <wp:simplePos x="0" y="0"/>
          <wp:positionH relativeFrom="column">
            <wp:posOffset>0</wp:posOffset>
          </wp:positionH>
          <wp:positionV relativeFrom="paragraph">
            <wp:posOffset>156210</wp:posOffset>
          </wp:positionV>
          <wp:extent cx="1657350" cy="1391920"/>
          <wp:effectExtent l="0" t="0" r="0" b="0"/>
          <wp:wrapSquare wrapText="bothSides"/>
          <wp:docPr id="1" name="Imag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FF7DE" w14:textId="77777777" w:rsidR="002C1F81" w:rsidRPr="00D7105A" w:rsidRDefault="002C1F81" w:rsidP="002C1F81">
    <w:pPr>
      <w:pStyle w:val="Header"/>
      <w:spacing w:after="520"/>
      <w:jc w:val="right"/>
      <w:rPr>
        <w:rFonts w:ascii="Arial" w:hAnsi="Arial" w:cs="Arial"/>
        <w:b/>
        <w:sz w:val="44"/>
        <w:szCs w:val="44"/>
        <w:lang w:val="pt-PT"/>
      </w:rPr>
    </w:pPr>
    <w:r>
      <w:rPr>
        <w:rFonts w:ascii="Arial" w:hAnsi="Arial" w:cs="Arial"/>
        <w:b/>
        <w:sz w:val="44"/>
        <w:szCs w:val="44"/>
        <w:lang w:val="pt-PT"/>
      </w:rPr>
      <w:t>EXP THEMA-ECO</w:t>
    </w:r>
  </w:p>
  <w:p w14:paraId="1374ACD5" w14:textId="42A999BD" w:rsidR="002C1F81" w:rsidRPr="00C318BF" w:rsidRDefault="002C1F81" w:rsidP="002C1F81">
    <w:pPr>
      <w:spacing w:after="0"/>
      <w:jc w:val="right"/>
      <w:rPr>
        <w:rFonts w:ascii="Arial" w:hAnsi="Arial" w:cs="Arial"/>
        <w:b/>
        <w:lang w:val="pt-PT"/>
      </w:rPr>
    </w:pPr>
    <w:r w:rsidRPr="00C318BF">
      <w:rPr>
        <w:rFonts w:ascii="Arial" w:hAnsi="Arial" w:cs="Arial"/>
        <w:b/>
        <w:lang w:val="pt-PT"/>
      </w:rPr>
      <w:t>LHE/</w:t>
    </w:r>
    <w:r>
      <w:rPr>
        <w:rFonts w:ascii="Arial" w:hAnsi="Arial" w:cs="Arial"/>
        <w:b/>
        <w:lang w:val="pt-PT"/>
      </w:rPr>
      <w:t>23</w:t>
    </w:r>
    <w:r w:rsidRPr="00C318BF">
      <w:rPr>
        <w:rFonts w:ascii="Arial" w:hAnsi="Arial" w:cs="Arial"/>
        <w:b/>
        <w:lang w:val="pt-PT"/>
      </w:rPr>
      <w:t>/</w:t>
    </w:r>
    <w:r>
      <w:rPr>
        <w:rFonts w:ascii="Arial" w:hAnsi="Arial" w:cs="Arial"/>
        <w:b/>
        <w:lang w:val="pt-PT"/>
      </w:rPr>
      <w:t>EXP THEMA-ECO</w:t>
    </w:r>
    <w:r w:rsidRPr="002C1F81">
      <w:rPr>
        <w:rFonts w:ascii="Arial" w:hAnsi="Arial" w:cs="Arial"/>
        <w:b/>
        <w:lang w:val="pt-PT"/>
      </w:rPr>
      <w:t>/</w:t>
    </w:r>
    <w:r>
      <w:rPr>
        <w:rFonts w:ascii="Arial" w:hAnsi="Arial" w:cs="Arial"/>
        <w:b/>
        <w:lang w:val="pt-PT"/>
      </w:rPr>
      <w:t>4.a</w:t>
    </w:r>
  </w:p>
  <w:p w14:paraId="7E172F28" w14:textId="7F7BB761" w:rsidR="002C1F81" w:rsidRPr="00C318BF" w:rsidRDefault="002C1F81" w:rsidP="002C1F81">
    <w:pPr>
      <w:spacing w:after="0"/>
      <w:jc w:val="right"/>
      <w:rPr>
        <w:rFonts w:ascii="Arial" w:hAnsi="Arial" w:cs="Arial"/>
        <w:b/>
        <w:lang w:val="pt-PT" w:eastAsia="ko-KR"/>
      </w:rPr>
    </w:pPr>
    <w:r w:rsidRPr="00C318BF">
      <w:rPr>
        <w:rFonts w:ascii="Arial" w:hAnsi="Arial" w:cs="Arial"/>
        <w:b/>
        <w:lang w:val="pt-PT"/>
      </w:rPr>
      <w:t xml:space="preserve">Paris, le </w:t>
    </w:r>
    <w:r w:rsidR="00BA4328">
      <w:rPr>
        <w:rFonts w:ascii="Arial" w:hAnsi="Arial" w:cs="Arial"/>
        <w:b/>
        <w:lang w:val="pt-PT"/>
      </w:rPr>
      <w:t xml:space="preserve">13 </w:t>
    </w:r>
    <w:r>
      <w:rPr>
        <w:rFonts w:ascii="Arial" w:hAnsi="Arial" w:cs="Arial"/>
        <w:b/>
        <w:lang w:val="pt-PT"/>
      </w:rPr>
      <w:t xml:space="preserve">septembre </w:t>
    </w:r>
    <w:r w:rsidRPr="00C318BF">
      <w:rPr>
        <w:rFonts w:ascii="Arial" w:hAnsi="Arial" w:cs="Arial"/>
        <w:b/>
        <w:lang w:val="pt-PT"/>
      </w:rPr>
      <w:t>20</w:t>
    </w:r>
    <w:r>
      <w:rPr>
        <w:rFonts w:ascii="Arial" w:hAnsi="Arial" w:cs="Arial"/>
        <w:b/>
        <w:lang w:val="pt-PT"/>
      </w:rPr>
      <w:t>23</w:t>
    </w:r>
  </w:p>
  <w:p w14:paraId="5A79122F" w14:textId="77777777" w:rsidR="002C1F81" w:rsidRPr="0020150F" w:rsidRDefault="002C1F81" w:rsidP="002C1F81">
    <w:pPr>
      <w:spacing w:after="0"/>
      <w:jc w:val="right"/>
      <w:rPr>
        <w:rFonts w:ascii="Arial" w:hAnsi="Arial" w:cs="Arial"/>
        <w:b/>
      </w:rPr>
    </w:pPr>
    <w:r w:rsidRPr="00022428">
      <w:rPr>
        <w:rFonts w:ascii="Arial" w:hAnsi="Arial" w:cs="Arial"/>
        <w:b/>
      </w:rPr>
      <w:t xml:space="preserve">Original : </w:t>
    </w:r>
    <w:r>
      <w:rPr>
        <w:rFonts w:ascii="Arial" w:hAnsi="Arial" w:cs="Arial"/>
        <w:b/>
      </w:rPr>
      <w:t>anglais</w:t>
    </w:r>
  </w:p>
  <w:p w14:paraId="20F0B9C5" w14:textId="26950960" w:rsidR="002C1F81" w:rsidRDefault="002C1F81">
    <w:pPr>
      <w:pStyle w:val="Header"/>
    </w:pPr>
  </w:p>
  <w:p w14:paraId="02492901" w14:textId="77777777" w:rsidR="00BA4328" w:rsidRDefault="00BA4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D55C" w14:textId="48370EA1" w:rsidR="002C266A" w:rsidRPr="005739ED" w:rsidRDefault="002C266A" w:rsidP="00B77E10">
    <w:pPr>
      <w:pStyle w:val="Header"/>
      <w:rPr>
        <w:rFonts w:ascii="Arial" w:hAnsi="Arial" w:cs="Arial"/>
        <w:lang w:val="pt-PT"/>
      </w:rPr>
    </w:pPr>
    <w:r w:rsidRPr="005739ED">
      <w:rPr>
        <w:rFonts w:ascii="Arial" w:hAnsi="Arial" w:cs="Arial"/>
        <w:sz w:val="20"/>
        <w:szCs w:val="20"/>
        <w:lang w:val="pt-PT"/>
      </w:rPr>
      <w:t>LHE/2</w:t>
    </w:r>
    <w:r>
      <w:rPr>
        <w:rFonts w:ascii="Arial" w:hAnsi="Arial" w:cs="Arial"/>
        <w:sz w:val="20"/>
        <w:szCs w:val="20"/>
        <w:lang w:val="pt-PT"/>
      </w:rPr>
      <w:t>3</w:t>
    </w:r>
    <w:r w:rsidRPr="005739ED">
      <w:rPr>
        <w:rFonts w:ascii="Arial" w:hAnsi="Arial" w:cs="Arial"/>
        <w:sz w:val="20"/>
        <w:szCs w:val="20"/>
        <w:lang w:val="pt-PT"/>
      </w:rPr>
      <w:t>/</w:t>
    </w:r>
    <w:r w:rsidRPr="00CE6C83">
      <w:rPr>
        <w:rFonts w:ascii="Arial" w:hAnsi="Arial" w:cs="Arial"/>
        <w:sz w:val="20"/>
        <w:szCs w:val="20"/>
        <w:lang w:val="es-ES"/>
      </w:rPr>
      <w:t>EXP THEMA-ECO</w:t>
    </w:r>
    <w:r w:rsidRPr="005739ED">
      <w:rPr>
        <w:rFonts w:ascii="Arial" w:hAnsi="Arial" w:cs="Arial"/>
        <w:sz w:val="20"/>
        <w:szCs w:val="20"/>
        <w:lang w:val="pt-PT"/>
      </w:rPr>
      <w:t>/</w:t>
    </w:r>
    <w:r>
      <w:rPr>
        <w:rFonts w:ascii="Arial" w:hAnsi="Arial" w:cs="Arial"/>
        <w:sz w:val="20"/>
        <w:szCs w:val="20"/>
        <w:lang w:val="pt-PT"/>
      </w:rPr>
      <w:t>4.a</w:t>
    </w:r>
    <w:r w:rsidRPr="005739ED">
      <w:rPr>
        <w:rFonts w:ascii="Arial" w:hAnsi="Arial" w:cs="Arial"/>
        <w:sz w:val="20"/>
        <w:szCs w:val="20"/>
        <w:lang w:val="pt-PT"/>
      </w:rPr>
      <w:t xml:space="preserve">– page </w:t>
    </w:r>
    <w:r w:rsidRPr="00EF563B">
      <w:rPr>
        <w:rStyle w:val="PageNumber"/>
        <w:rFonts w:ascii="Arial" w:hAnsi="Arial" w:cs="Arial"/>
        <w:sz w:val="20"/>
        <w:szCs w:val="20"/>
      </w:rPr>
      <w:fldChar w:fldCharType="begin"/>
    </w:r>
    <w:r w:rsidRPr="005739ED">
      <w:rPr>
        <w:rStyle w:val="PageNumber"/>
        <w:rFonts w:ascii="Arial" w:hAnsi="Arial" w:cs="Arial"/>
        <w:sz w:val="20"/>
        <w:szCs w:val="20"/>
        <w:lang w:val="pt-PT"/>
      </w:rPr>
      <w:instrText xml:space="preserve"> PAGE </w:instrText>
    </w:r>
    <w:r w:rsidRPr="00EF563B">
      <w:rPr>
        <w:rStyle w:val="PageNumber"/>
        <w:rFonts w:ascii="Arial" w:hAnsi="Arial" w:cs="Arial"/>
        <w:sz w:val="20"/>
        <w:szCs w:val="20"/>
      </w:rPr>
      <w:fldChar w:fldCharType="separate"/>
    </w:r>
    <w:r w:rsidRPr="00B77E10">
      <w:rPr>
        <w:rStyle w:val="PageNumber"/>
        <w:rFonts w:ascii="Arial" w:hAnsi="Arial" w:cs="Arial"/>
        <w:sz w:val="20"/>
        <w:szCs w:val="20"/>
        <w:lang w:val="es-ES"/>
      </w:rPr>
      <w:t>3</w:t>
    </w:r>
    <w:r w:rsidRPr="00EF563B">
      <w:rPr>
        <w:rStyle w:val="PageNumber"/>
        <w:rFonts w:ascii="Arial" w:hAnsi="Arial" w:cs="Arial"/>
        <w:sz w:val="20"/>
        <w:szCs w:val="20"/>
      </w:rPr>
      <w:fldChar w:fldCharType="end"/>
    </w:r>
  </w:p>
  <w:p w14:paraId="7A33F0C8" w14:textId="77777777" w:rsidR="002C266A" w:rsidRPr="00226594" w:rsidRDefault="002C266A">
    <w:pPr>
      <w:pStyle w:val="Header"/>
      <w:rPr>
        <w:lang w:val="pt-P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8F1F" w14:textId="2A729F5C" w:rsidR="002C1F81" w:rsidRPr="002C1F81" w:rsidRDefault="002C1F81" w:rsidP="00B77E10">
    <w:pPr>
      <w:pStyle w:val="Header"/>
      <w:jc w:val="right"/>
      <w:rPr>
        <w:rFonts w:ascii="Arial" w:hAnsi="Arial" w:cs="Arial"/>
        <w:lang w:val="es-ES"/>
      </w:rPr>
    </w:pPr>
    <w:r w:rsidRPr="003D7046">
      <w:rPr>
        <w:rFonts w:ascii="Arial" w:hAnsi="Arial" w:cs="Arial"/>
        <w:sz w:val="20"/>
        <w:szCs w:val="20"/>
        <w:lang w:val="es-ES"/>
      </w:rPr>
      <w:t>LHE/23/EXP THEMA-ECO/</w:t>
    </w:r>
    <w:r>
      <w:rPr>
        <w:rFonts w:ascii="Arial" w:hAnsi="Arial" w:cs="Arial"/>
        <w:sz w:val="20"/>
        <w:szCs w:val="20"/>
        <w:lang w:val="es-ES"/>
      </w:rPr>
      <w:t>4.a</w:t>
    </w:r>
    <w:r w:rsidRPr="003D7046">
      <w:rPr>
        <w:rFonts w:ascii="Arial" w:hAnsi="Arial" w:cs="Arial"/>
        <w:sz w:val="20"/>
        <w:szCs w:val="20"/>
        <w:lang w:val="es-ES"/>
      </w:rPr>
      <w:t xml:space="preserve"> – page </w:t>
    </w:r>
    <w:r w:rsidRPr="00EF563B">
      <w:rPr>
        <w:rStyle w:val="PageNumber"/>
        <w:rFonts w:ascii="Arial" w:hAnsi="Arial" w:cs="Arial"/>
        <w:sz w:val="20"/>
        <w:szCs w:val="20"/>
      </w:rPr>
      <w:fldChar w:fldCharType="begin"/>
    </w:r>
    <w:r w:rsidRPr="003D7046">
      <w:rPr>
        <w:rStyle w:val="PageNumber"/>
        <w:rFonts w:ascii="Arial" w:hAnsi="Arial" w:cs="Arial"/>
        <w:sz w:val="20"/>
        <w:szCs w:val="20"/>
        <w:lang w:val="es-ES"/>
      </w:rPr>
      <w:instrText xml:space="preserve"> PAGE </w:instrText>
    </w:r>
    <w:r w:rsidRPr="00EF563B">
      <w:rPr>
        <w:rStyle w:val="PageNumber"/>
        <w:rFonts w:ascii="Arial" w:hAnsi="Arial" w:cs="Arial"/>
        <w:sz w:val="20"/>
        <w:szCs w:val="20"/>
      </w:rPr>
      <w:fldChar w:fldCharType="separate"/>
    </w:r>
    <w:r w:rsidRPr="002C1F81">
      <w:rPr>
        <w:rStyle w:val="PageNumber"/>
        <w:rFonts w:ascii="Arial" w:hAnsi="Arial" w:cs="Arial"/>
        <w:sz w:val="20"/>
        <w:szCs w:val="20"/>
        <w:lang w:val="es-ES"/>
      </w:rPr>
      <w:t>2</w:t>
    </w:r>
    <w:r w:rsidRPr="00EF563B">
      <w:rPr>
        <w:rStyle w:val="PageNumbe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875E9"/>
    <w:multiLevelType w:val="hybridMultilevel"/>
    <w:tmpl w:val="736A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B2B9C"/>
    <w:multiLevelType w:val="hybridMultilevel"/>
    <w:tmpl w:val="90E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427EB"/>
    <w:multiLevelType w:val="hybridMultilevel"/>
    <w:tmpl w:val="49664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5633EB"/>
    <w:multiLevelType w:val="hybridMultilevel"/>
    <w:tmpl w:val="F538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701C0C"/>
    <w:multiLevelType w:val="hybridMultilevel"/>
    <w:tmpl w:val="70D4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903952">
    <w:abstractNumId w:val="2"/>
  </w:num>
  <w:num w:numId="2" w16cid:durableId="176771236">
    <w:abstractNumId w:val="1"/>
  </w:num>
  <w:num w:numId="3" w16cid:durableId="1973779798">
    <w:abstractNumId w:val="0"/>
  </w:num>
  <w:num w:numId="4" w16cid:durableId="421876799">
    <w:abstractNumId w:val="4"/>
  </w:num>
  <w:num w:numId="5" w16cid:durableId="1134329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81"/>
    <w:rsid w:val="0001652F"/>
    <w:rsid w:val="0004162D"/>
    <w:rsid w:val="00087F02"/>
    <w:rsid w:val="00113C58"/>
    <w:rsid w:val="00140AC0"/>
    <w:rsid w:val="0015504B"/>
    <w:rsid w:val="001A3874"/>
    <w:rsid w:val="00226594"/>
    <w:rsid w:val="002C1F81"/>
    <w:rsid w:val="002C266A"/>
    <w:rsid w:val="004447F1"/>
    <w:rsid w:val="004E20A4"/>
    <w:rsid w:val="0063112D"/>
    <w:rsid w:val="00680858"/>
    <w:rsid w:val="006872DE"/>
    <w:rsid w:val="006C4603"/>
    <w:rsid w:val="007357DE"/>
    <w:rsid w:val="00753266"/>
    <w:rsid w:val="007E67E8"/>
    <w:rsid w:val="00894D91"/>
    <w:rsid w:val="0097223B"/>
    <w:rsid w:val="00B77E10"/>
    <w:rsid w:val="00BA4328"/>
    <w:rsid w:val="00E86933"/>
    <w:rsid w:val="00F64372"/>
    <w:rsid w:val="00F96CF7"/>
    <w:rsid w:val="00FC64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BAFDBA"/>
  <w15:chartTrackingRefBased/>
  <w15:docId w15:val="{E32649FE-7BC4-4B16-8D2B-849FF73A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F81"/>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2C1F81"/>
    <w:pPr>
      <w:spacing w:after="0" w:line="240" w:lineRule="auto"/>
      <w:jc w:val="both"/>
    </w:pPr>
    <w:rPr>
      <w:rFonts w:eastAsiaTheme="minorHAnsi" w:cstheme="minorHAnsi"/>
      <w:kern w:val="0"/>
      <w:sz w:val="20"/>
      <w:szCs w:val="20"/>
      <w:lang w:eastAsia="en-US"/>
      <w14:ligatures w14:val="none"/>
    </w:rPr>
  </w:style>
  <w:style w:type="character" w:customStyle="1" w:styleId="FootnoteTextChar">
    <w:name w:val="Footnote Text Char"/>
    <w:basedOn w:val="DefaultParagraphFont"/>
    <w:link w:val="FootnoteText"/>
    <w:uiPriority w:val="99"/>
    <w:rsid w:val="002C1F81"/>
    <w:rPr>
      <w:rFonts w:eastAsiaTheme="minorHAnsi" w:cstheme="minorHAnsi"/>
      <w:kern w:val="0"/>
      <w:sz w:val="20"/>
      <w:szCs w:val="20"/>
      <w:lang w:val="fr-FR" w:eastAsia="en-US"/>
      <w14:ligatures w14:val="none"/>
    </w:rPr>
  </w:style>
  <w:style w:type="character" w:styleId="FootnoteReference">
    <w:name w:val="footnote reference"/>
    <w:aliases w:val="Текст сноски Знак1,Текст сноски Знак Знак1,Знак Знак, Знак Знак,Ref,de nota al pie,(NECG) Footnote Reference,Footnote number,Footnote symbol,fr,o,16 Point,Superscript 6 Point,Footnote Reference Number,Footnote Reference_LVL6,f,4_G"/>
    <w:basedOn w:val="DefaultParagraphFont"/>
    <w:unhideWhenUsed/>
    <w:qFormat/>
    <w:rsid w:val="002C1F81"/>
    <w:rPr>
      <w:vertAlign w:val="superscript"/>
    </w:rPr>
  </w:style>
  <w:style w:type="character" w:styleId="Hyperlink">
    <w:name w:val="Hyperlink"/>
    <w:basedOn w:val="DefaultParagraphFont"/>
    <w:uiPriority w:val="99"/>
    <w:unhideWhenUsed/>
    <w:rsid w:val="002C1F81"/>
    <w:rPr>
      <w:color w:val="0563C1" w:themeColor="hyperlink"/>
      <w:u w:val="single"/>
    </w:rPr>
  </w:style>
  <w:style w:type="paragraph" w:styleId="CommentText">
    <w:name w:val="annotation text"/>
    <w:basedOn w:val="Normal"/>
    <w:link w:val="CommentTextChar"/>
    <w:uiPriority w:val="99"/>
    <w:semiHidden/>
    <w:unhideWhenUsed/>
    <w:rsid w:val="002C1F81"/>
    <w:pPr>
      <w:spacing w:line="240" w:lineRule="auto"/>
      <w:jc w:val="both"/>
    </w:pPr>
    <w:rPr>
      <w:rFonts w:eastAsiaTheme="minorHAnsi"/>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2C1F81"/>
    <w:rPr>
      <w:rFonts w:eastAsiaTheme="minorHAnsi"/>
      <w:kern w:val="0"/>
      <w:sz w:val="20"/>
      <w:szCs w:val="20"/>
      <w:lang w:val="fr-FR" w:eastAsia="en-US"/>
      <w14:ligatures w14:val="none"/>
    </w:rPr>
  </w:style>
  <w:style w:type="character" w:styleId="CommentReference">
    <w:name w:val="annotation reference"/>
    <w:basedOn w:val="DefaultParagraphFont"/>
    <w:uiPriority w:val="99"/>
    <w:semiHidden/>
    <w:unhideWhenUsed/>
    <w:rsid w:val="002C1F81"/>
    <w:rPr>
      <w:sz w:val="16"/>
      <w:szCs w:val="16"/>
    </w:rPr>
  </w:style>
  <w:style w:type="paragraph" w:customStyle="1" w:styleId="Sansinterligne2">
    <w:name w:val="Sans interligne2"/>
    <w:uiPriority w:val="1"/>
    <w:qFormat/>
    <w:rsid w:val="002C1F81"/>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Header">
    <w:name w:val="header"/>
    <w:basedOn w:val="Normal"/>
    <w:link w:val="HeaderChar"/>
    <w:unhideWhenUsed/>
    <w:rsid w:val="002C1F81"/>
    <w:pPr>
      <w:tabs>
        <w:tab w:val="center" w:pos="4680"/>
        <w:tab w:val="right" w:pos="9360"/>
      </w:tabs>
      <w:spacing w:after="0" w:line="240" w:lineRule="auto"/>
    </w:pPr>
  </w:style>
  <w:style w:type="character" w:customStyle="1" w:styleId="HeaderChar">
    <w:name w:val="Header Char"/>
    <w:basedOn w:val="DefaultParagraphFont"/>
    <w:link w:val="Header"/>
    <w:rsid w:val="002C1F81"/>
    <w:rPr>
      <w:lang w:val="fr-FR"/>
    </w:rPr>
  </w:style>
  <w:style w:type="paragraph" w:styleId="Footer">
    <w:name w:val="footer"/>
    <w:basedOn w:val="Normal"/>
    <w:link w:val="FooterChar"/>
    <w:uiPriority w:val="99"/>
    <w:unhideWhenUsed/>
    <w:rsid w:val="002C1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F81"/>
    <w:rPr>
      <w:lang w:val="fr-FR"/>
    </w:rPr>
  </w:style>
  <w:style w:type="character" w:styleId="PageNumber">
    <w:name w:val="page number"/>
    <w:basedOn w:val="DefaultParagraphFont"/>
    <w:semiHidden/>
    <w:rsid w:val="002C1F81"/>
  </w:style>
  <w:style w:type="paragraph" w:styleId="NormalWeb">
    <w:name w:val="Normal (Web)"/>
    <w:basedOn w:val="Normal"/>
    <w:uiPriority w:val="99"/>
    <w:semiHidden/>
    <w:unhideWhenUsed/>
    <w:rsid w:val="002C1F8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2C1F81"/>
    <w:rPr>
      <w:b/>
      <w:bCs/>
    </w:rPr>
  </w:style>
  <w:style w:type="paragraph" w:styleId="Revision">
    <w:name w:val="Revision"/>
    <w:hidden/>
    <w:uiPriority w:val="99"/>
    <w:semiHidden/>
    <w:rsid w:val="006872DE"/>
    <w:pPr>
      <w:spacing w:after="0" w:line="240" w:lineRule="auto"/>
    </w:pPr>
    <w:rPr>
      <w:lang w:val="fr-FR"/>
    </w:rPr>
  </w:style>
  <w:style w:type="character" w:styleId="FollowedHyperlink">
    <w:name w:val="FollowedHyperlink"/>
    <w:basedOn w:val="DefaultParagraphFont"/>
    <w:uiPriority w:val="99"/>
    <w:semiHidden/>
    <w:unhideWhenUsed/>
    <w:rsid w:val="00140AC0"/>
    <w:rPr>
      <w:color w:val="954F72" w:themeColor="followedHyperlink"/>
      <w:u w:val="single"/>
    </w:rPr>
  </w:style>
  <w:style w:type="character" w:styleId="UnresolvedMention">
    <w:name w:val="Unresolved Mention"/>
    <w:basedOn w:val="DefaultParagraphFont"/>
    <w:uiPriority w:val="99"/>
    <w:semiHidden/>
    <w:unhideWhenUsed/>
    <w:rsid w:val="00140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3" Type="http://schemas.openxmlformats.org/officeDocument/2006/relationships/hyperlink" Target="https://www.nordicinnovation.org/events/2022/sapmi-business-conference" TargetMode="External"/><Relationship Id="rId18" Type="http://schemas.openxmlformats.org/officeDocument/2006/relationships/hyperlink" Target="https://doughnuteconomics.org/about-doughnut-economics" TargetMode="External"/><Relationship Id="rId26" Type="http://schemas.openxmlformats.org/officeDocument/2006/relationships/hyperlink" Target="https://unesdoc.unesco.org/ark:/48223/pf0000381137_fre" TargetMode="External"/><Relationship Id="rId39" Type="http://schemas.openxmlformats.org/officeDocument/2006/relationships/hyperlink" Target="https://www.unwto.org/fr/code-mondial-d-ethique-du-tourisme" TargetMode="External"/><Relationship Id="rId21" Type="http://schemas.openxmlformats.org/officeDocument/2006/relationships/hyperlink" Target="https://bruhclub.com/marketing-toolkit" TargetMode="External"/><Relationship Id="rId34" Type="http://schemas.openxmlformats.org/officeDocument/2006/relationships/hyperlink" Target="http://www.institutoturismoresponsable.com/events/sustainabletourismcharter2015/wp-content/uploads/2015/06/CharterForSustainableTourism.pdf" TargetMode="External"/><Relationship Id="rId42" Type="http://schemas.openxmlformats.org/officeDocument/2006/relationships/hyperlink" Target="https://www.e-unwto.org/doi/book/10.18111/9789284423071" TargetMode="External"/><Relationship Id="rId47" Type="http://schemas.openxmlformats.org/officeDocument/2006/relationships/hyperlink" Target="http://www.ichngoforum.org/" TargetMode="External"/><Relationship Id="rId50" Type="http://schemas.openxmlformats.org/officeDocument/2006/relationships/hyperlink" Target="https://www.bibalex.org/Search4Dev/files/283814/115937.pdf" TargetMode="External"/><Relationship Id="rId55" Type="http://schemas.openxmlformats.org/officeDocument/2006/relationships/hyperlink" Target="https://www.culturehive.co.uk/resources/developing-cultural-experiences/" TargetMode="External"/><Relationship Id="rId63" Type="http://schemas.openxmlformats.org/officeDocument/2006/relationships/hyperlink" Target="https://www.alpine-space.eu/projects/alpfoodway/project-results/wp2_map_ich_commercial_valorisation_practices.pdf" TargetMode="External"/><Relationship Id="rId68" Type="http://schemas.openxmlformats.org/officeDocument/2006/relationships/hyperlink" Target="https://ich.unesco.org/doc/src/ITH-14-9.COM-9.a+Add.2-FR.doc" TargetMode="External"/><Relationship Id="rId7" Type="http://schemas.openxmlformats.org/officeDocument/2006/relationships/hyperlink" Target="https://fr.unesco.org/news/culture-developpement-reperes-ressources" TargetMode="External"/><Relationship Id="rId71" Type="http://schemas.openxmlformats.org/officeDocument/2006/relationships/hyperlink" Target="https://sametinget.no/_f/p1/i318e80f8-0075-4ec3-9dfe-0c2a6301ff3e/the-project-intangible-cultural-heritage-in-sapmi-short-report-2021.pdf" TargetMode="External"/><Relationship Id="rId2" Type="http://schemas.openxmlformats.org/officeDocument/2006/relationships/hyperlink" Target="https://www.rappler.com/nation/bahag-male-pageant-reignites-debate-cordillera-cultural-appropriation/" TargetMode="External"/><Relationship Id="rId16" Type="http://schemas.openxmlformats.org/officeDocument/2006/relationships/hyperlink" Target="https://www.wko.at/branchen/gewerbe-handwerk/study-traditional-craftsmanship-austria.pdf" TargetMode="External"/><Relationship Id="rId29" Type="http://schemas.openxmlformats.org/officeDocument/2006/relationships/hyperlink" Target="https://www.nhri.no/en/kalender/human-rights-protection-against-interference-in-traditional-sami-areas-iccpr-article-27-in-a-sami-context/" TargetMode="External"/><Relationship Id="rId11" Type="http://schemas.openxmlformats.org/officeDocument/2006/relationships/hyperlink" Target="https://www.unesco.org/sites/default/files/medias/fichiers/2022/09/6.MONDIACULT_FR_DRAFT%20FINAL%20DECLARATION_FINAL_1.pdf" TargetMode="External"/><Relationship Id="rId24" Type="http://schemas.openxmlformats.org/officeDocument/2006/relationships/hyperlink" Target="https://www.npr.org/2023/02/07/1155185861/ai-generated-images-breach-copyright-law-artists-say" TargetMode="External"/><Relationship Id="rId32" Type="http://schemas.openxmlformats.org/officeDocument/2006/relationships/hyperlink" Target="https://www.smb.museum/en/whats-new/detail/first-restitution-of-benin-bronzes-from-the-ethnologisches-museum-commemorative-head-and-relief-plaque/" TargetMode="External"/><Relationship Id="rId37" Type="http://schemas.openxmlformats.org/officeDocument/2006/relationships/hyperlink" Target="https://www.e-unwto.org/doi/epdf/10.18111/unwtodeclarations.2018.27.02" TargetMode="External"/><Relationship Id="rId40" Type="http://schemas.openxmlformats.org/officeDocument/2006/relationships/hyperlink" Target="https://www.e-unwto.org/doi/pdf/10.18111/9789284421718" TargetMode="External"/><Relationship Id="rId45" Type="http://schemas.openxmlformats.org/officeDocument/2006/relationships/hyperlink" Target="https://www.winta.org/resources" TargetMode="External"/><Relationship Id="rId53" Type="http://schemas.openxmlformats.org/officeDocument/2006/relationships/hyperlink" Target="https://covid19.tourismni.com/globalassets/business-development/support-by-sector/other-sectors/culture--heritage/toolkit/cultural-heritage-toolkit.pdf" TargetMode="External"/><Relationship Id="rId58" Type="http://schemas.openxmlformats.org/officeDocument/2006/relationships/hyperlink" Target="https://www.create.nsw.gov.au/arts-in-nsw/a-cultural-tourism-toolkit/" TargetMode="External"/><Relationship Id="rId66" Type="http://schemas.openxmlformats.org/officeDocument/2006/relationships/hyperlink" Target="https://www.wko.at/branchen/gewerbe-handwerk/study-traditional-craftsmanship-austria.pdf" TargetMode="External"/><Relationship Id="rId5" Type="http://schemas.openxmlformats.org/officeDocument/2006/relationships/hyperlink" Target="https://unesdoc.unesco.org/ark:/48223/pf0000371557" TargetMode="External"/><Relationship Id="rId15" Type="http://schemas.openxmlformats.org/officeDocument/2006/relationships/hyperlink" Target="https://patrimonioculturalyturismo.cultura.gob.mx/cuadernos/pdf19/articulo17.pdf" TargetMode="External"/><Relationship Id="rId23" Type="http://schemas.openxmlformats.org/officeDocument/2006/relationships/hyperlink" Target="https://fr.wikipedia.org/wiki/NFT" TargetMode="External"/><Relationship Id="rId28" Type="http://schemas.openxmlformats.org/officeDocument/2006/relationships/hyperlink" Target="http://www.hipams.org" TargetMode="External"/><Relationship Id="rId36" Type="http://schemas.openxmlformats.org/officeDocument/2006/relationships/hyperlink" Target="https://www.e-unwto.org/doi/epdf/10.18111/unwtodeclarations.2017.26.05" TargetMode="External"/><Relationship Id="rId49" Type="http://schemas.openxmlformats.org/officeDocument/2006/relationships/hyperlink" Target="https://www.samediggi.fi/2021/10/26/sami-tourism-project-aims-at-building-a-responsible-and-ethically-sustainable-sami-tourism-collaboration-network/?lang=en" TargetMode="External"/><Relationship Id="rId57" Type="http://schemas.openxmlformats.org/officeDocument/2006/relationships/hyperlink" Target="https://www.tourism.gov.za/AboutNDT/Branches1/Knowledge/Documents/SA%20Bo&#238;te%20&#224;%20outils%20pour%20la%20planification%20du%20tourisme%20FINAL.pdf" TargetMode="External"/><Relationship Id="rId61" Type="http://schemas.openxmlformats.org/officeDocument/2006/relationships/hyperlink" Target="https://ich.unesco.org/doc/src/ITH-14-9.COM-9.a+Add.2-FR.doc" TargetMode="External"/><Relationship Id="rId10" Type="http://schemas.openxmlformats.org/officeDocument/2006/relationships/hyperlink" Target="https://livhes.eu/" TargetMode="External"/><Relationship Id="rId19" Type="http://schemas.openxmlformats.org/officeDocument/2006/relationships/hyperlink" Target="https://whc.unesco.org/fr/indicators2030/" TargetMode="External"/><Relationship Id="rId31" Type="http://schemas.openxmlformats.org/officeDocument/2006/relationships/hyperlink" Target="https://www.wipo.int/wipolex/fr/index.html" TargetMode="External"/><Relationship Id="rId44" Type="http://schemas.openxmlformats.org/officeDocument/2006/relationships/hyperlink" Target="https://www.winta.org/" TargetMode="External"/><Relationship Id="rId52" Type="http://schemas.openxmlformats.org/officeDocument/2006/relationships/hyperlink" Target="https://www.communitybasedtourism.eu/wp-content/uploads/2020/08/BoCoTo-TC-Manual-REV05.pdf" TargetMode="External"/><Relationship Id="rId60" Type="http://schemas.openxmlformats.org/officeDocument/2006/relationships/hyperlink" Target="https://ich.unesco.org/fr/situations-d-urgence-01117" TargetMode="External"/><Relationship Id="rId65" Type="http://schemas.openxmlformats.org/officeDocument/2006/relationships/hyperlink" Target="https://vimeo.com/478038686" TargetMode="External"/><Relationship Id="rId73" Type="http://schemas.openxmlformats.org/officeDocument/2006/relationships/hyperlink" Target="https://www.culturalintellectualproperty.com/cultural-sustainability-academy" TargetMode="External"/><Relationship Id="rId4" Type="http://schemas.openxmlformats.org/officeDocument/2006/relationships/hyperlink" Target="https://www.kulturradet.no/kalender/hendelse/-/practitioners-experiences-in-the-traditional-arts-economy" TargetMode="External"/><Relationship Id="rId9" Type="http://schemas.openxmlformats.org/officeDocument/2006/relationships/hyperlink" Target="https://www.aineetonkulttuuriperinto.fi/en/livind" TargetMode="External"/><Relationship Id="rId14" Type="http://schemas.openxmlformats.org/officeDocument/2006/relationships/hyperlink" Target="https://www.kulturradet.no/kalender/hendelse/-/practitioners-experiences-in-the-traditional-arts-economy" TargetMode="External"/><Relationship Id="rId22" Type="http://schemas.openxmlformats.org/officeDocument/2006/relationships/hyperlink" Target="https://www.youtube.com/watch?v=9faepjzXuWU&amp;t=1s" TargetMode="External"/><Relationship Id="rId27" Type="http://schemas.openxmlformats.org/officeDocument/2006/relationships/hyperlink" Target="https://www.alpine-space.eu/national-pages/france-landingpage/" TargetMode="External"/><Relationship Id="rId30" Type="http://schemas.openxmlformats.org/officeDocument/2006/relationships/hyperlink" Target="https://www.wipo.int/pressroom/fr/articles/2022/article_0009.html" TargetMode="External"/><Relationship Id="rId35" Type="http://schemas.openxmlformats.org/officeDocument/2006/relationships/hyperlink" Target="https://www.e-unwto.org/doi/epdf/10.18111/unwtodeclarations.2015.24.01" TargetMode="External"/><Relationship Id="rId43" Type="http://schemas.openxmlformats.org/officeDocument/2006/relationships/hyperlink" Target="https://www.unwto.org/fr/covid-19-une-action-inclusive-pour-les-groupes-vulnerables" TargetMode="External"/><Relationship Id="rId48" Type="http://schemas.openxmlformats.org/officeDocument/2006/relationships/hyperlink" Target="https://whc.unesco.org/fr/tourisme/" TargetMode="External"/><Relationship Id="rId56" Type="http://schemas.openxmlformats.org/officeDocument/2006/relationships/hyperlink" Target="https://3paj56ulke64foefopsmdbue-wpengine.netdna-ssl.com/wp-content/uploads/2016/10/Cultural_heritage_toolkit.pdf" TargetMode="External"/><Relationship Id="rId64" Type="http://schemas.openxmlformats.org/officeDocument/2006/relationships/hyperlink" Target="https://en.vogue.me/fashion/palestinian-fashion-designers/" TargetMode="External"/><Relationship Id="rId69" Type="http://schemas.openxmlformats.org/officeDocument/2006/relationships/hyperlink" Target="https://ich.unesco.org/doc/src/ITH-13-8.COM-7-FR.doc" TargetMode="External"/><Relationship Id="rId8" Type="http://schemas.openxmlformats.org/officeDocument/2006/relationships/hyperlink" Target="https://ich.unesco.org/fr/actualites/l-unesco-lance-la-plateforme-patrimoine-culturel-immateriel-transmedia-pour-le-developpement-durable-dans-les-pays-andins-13361" TargetMode="External"/><Relationship Id="rId51" Type="http://schemas.openxmlformats.org/officeDocument/2006/relationships/hyperlink" Target="https://blogi.eoppimispalvelut.fi/toolkitforculturaltourism/" TargetMode="External"/><Relationship Id="rId72" Type="http://schemas.openxmlformats.org/officeDocument/2006/relationships/hyperlink" Target="https://www.culturalintellectualproperty.com/" TargetMode="External"/><Relationship Id="rId3" Type="http://schemas.openxmlformats.org/officeDocument/2006/relationships/hyperlink" Target="https://thesmartlocal.com/philippines/4th-man-of-the-world/" TargetMode="External"/><Relationship Id="rId12" Type="http://schemas.openxmlformats.org/officeDocument/2006/relationships/hyperlink" Target="https://blogs.kent.ac.uk/heritagefordevelopment/files/2021/08/POLICY-BRIEFS-FINAL-version_web.pdf" TargetMode="External"/><Relationship Id="rId17" Type="http://schemas.openxmlformats.org/officeDocument/2006/relationships/hyperlink" Target="https://www.bak.admin.ch/dam/bak/de/dokumente/immaterielles_kulturerbe/studien_forschungsberichte/studie_traditionelleshandwerk.pdf.download.pdf/studie_traditionelleshandwerk.pdf" TargetMode="External"/><Relationship Id="rId25" Type="http://schemas.openxmlformats.org/officeDocument/2006/relationships/hyperlink" Target="https://www.unesco.org/fr/artificial-intelligence/recommendation-ethics" TargetMode="External"/><Relationship Id="rId33" Type="http://schemas.openxmlformats.org/officeDocument/2006/relationships/hyperlink" Target="https://www.theartnewspaper.com/2022/04/14/glasgow-museums-to-return-49-looted-objectsincluding-benin-bronzesin-biggest-restitution-in-scottish-history" TargetMode="External"/><Relationship Id="rId38" Type="http://schemas.openxmlformats.org/officeDocument/2006/relationships/hyperlink" Target="https://www.e-unwto.org/doi/epdf/10.18111/unwtodeclarations.2019.28.04" TargetMode="External"/><Relationship Id="rId46" Type="http://schemas.openxmlformats.org/officeDocument/2006/relationships/hyperlink" Target="https://www.sumak-travel.org/promoting-indigenous-tourism-in-latin-america/" TargetMode="External"/><Relationship Id="rId59" Type="http://schemas.openxmlformats.org/officeDocument/2006/relationships/hyperlink" Target="https://indigenoustourism.ca/fr/tools-resources/lignes-directrices-nationales/" TargetMode="External"/><Relationship Id="rId67" Type="http://schemas.openxmlformats.org/officeDocument/2006/relationships/hyperlink" Target="https://www.cys.org.cy/en/" TargetMode="External"/><Relationship Id="rId20" Type="http://schemas.openxmlformats.org/officeDocument/2006/relationships/hyperlink" Target="https://www.thecreativeindustries.co.uk/download-hub/creative-industries-toolkit" TargetMode="External"/><Relationship Id="rId41" Type="http://schemas.openxmlformats.org/officeDocument/2006/relationships/hyperlink" Target="https://www.unwto.org/archive/global/publication/study-tourism-and-intangible-cultural-heritage" TargetMode="External"/><Relationship Id="rId54" Type="http://schemas.openxmlformats.org/officeDocument/2006/relationships/hyperlink" Target="https://failtecdn.azureedge.net/failteireland/Community-Tourism-Toolkit.pdf" TargetMode="External"/><Relationship Id="rId62" Type="http://schemas.openxmlformats.org/officeDocument/2006/relationships/hyperlink" Target="https://ich.unesco.org/doc/src/ITH-18-13.COM-10-FR.docx" TargetMode="External"/><Relationship Id="rId70" Type="http://schemas.openxmlformats.org/officeDocument/2006/relationships/hyperlink" Target="https://ich.unesco.org/doc/src/LHE-19-14.COM-10-FR.docx" TargetMode="External"/><Relationship Id="rId1" Type="http://schemas.openxmlformats.org/officeDocument/2006/relationships/hyperlink" Target="https://ncip.gov.ph/" TargetMode="External"/><Relationship Id="rId6" Type="http://schemas.openxmlformats.org/officeDocument/2006/relationships/hyperlink" Target="https://ich.unesco.org/fr/massive-online-open-course-mooc-0122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BA6A4-15C1-41CC-9989-A77A3564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43</Pages>
  <Words>21766</Words>
  <Characters>124069</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Xinling</dc:creator>
  <cp:keywords/>
  <dc:description/>
  <cp:lastModifiedBy>Li, Xinling</cp:lastModifiedBy>
  <cp:revision>19</cp:revision>
  <dcterms:created xsi:type="dcterms:W3CDTF">2023-09-12T16:33:00Z</dcterms:created>
  <dcterms:modified xsi:type="dcterms:W3CDTF">2023-09-13T16:53:00Z</dcterms:modified>
</cp:coreProperties>
</file>