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4E2CEB44" w14:textId="7664966E" w:rsidR="0015772D" w:rsidRDefault="00C9225A" w:rsidP="0015772D">
      <w:pPr>
        <w:spacing w:before="1200"/>
        <w:ind w:right="-1"/>
        <w:jc w:val="center"/>
        <w:rPr>
          <w:rFonts w:ascii="Arial" w:eastAsia="Calibri" w:hAnsi="Arial" w:cs="Arial"/>
          <w:b/>
          <w:bCs/>
          <w:sz w:val="22"/>
          <w:szCs w:val="22"/>
          <w:lang w:val="en-US"/>
        </w:rPr>
      </w:pPr>
      <w:bookmarkStart w:id="0" w:name="_Hlk70514086"/>
      <w:r w:rsidRPr="00C9225A">
        <w:rPr>
          <w:rFonts w:ascii="Arial" w:eastAsia="Calibri" w:hAnsi="Arial" w:cs="Arial"/>
          <w:b/>
          <w:bCs/>
          <w:sz w:val="22"/>
          <w:szCs w:val="22"/>
          <w:lang w:val="en-US"/>
        </w:rPr>
        <w:t xml:space="preserve">Expert meeting on </w:t>
      </w:r>
      <w:r w:rsidR="00466571">
        <w:rPr>
          <w:rFonts w:ascii="Arial" w:eastAsia="Calibri" w:hAnsi="Arial" w:cs="Arial"/>
          <w:b/>
          <w:bCs/>
          <w:sz w:val="22"/>
          <w:szCs w:val="22"/>
          <w:lang w:val="en-US"/>
        </w:rPr>
        <w:t>e</w:t>
      </w:r>
      <w:r w:rsidRPr="00C9225A">
        <w:rPr>
          <w:rFonts w:ascii="Arial" w:eastAsia="Calibri" w:hAnsi="Arial" w:cs="Arial"/>
          <w:b/>
          <w:bCs/>
          <w:sz w:val="22"/>
          <w:szCs w:val="22"/>
          <w:lang w:val="en-US"/>
        </w:rPr>
        <w:t xml:space="preserve">conomic dimensions of </w:t>
      </w:r>
    </w:p>
    <w:p w14:paraId="3D556B12" w14:textId="2A490F37" w:rsidR="00091385" w:rsidRPr="00091385" w:rsidRDefault="0015772D" w:rsidP="0015772D">
      <w:pPr>
        <w:spacing w:before="1200"/>
        <w:contextualSpacing/>
        <w:jc w:val="center"/>
        <w:rPr>
          <w:rFonts w:ascii="Arial" w:eastAsia="Calibri" w:hAnsi="Arial" w:cs="Arial"/>
          <w:b/>
          <w:bCs/>
          <w:sz w:val="22"/>
          <w:szCs w:val="22"/>
          <w:lang w:val="en-US" w:eastAsia="en-US"/>
        </w:rPr>
      </w:pPr>
      <w:r>
        <w:rPr>
          <w:rFonts w:ascii="Arial" w:eastAsia="Calibri" w:hAnsi="Arial" w:cs="Arial"/>
          <w:b/>
          <w:bCs/>
          <w:sz w:val="22"/>
          <w:szCs w:val="22"/>
          <w:lang w:val="en-US"/>
        </w:rPr>
        <w:t>i</w:t>
      </w:r>
      <w:r w:rsidR="00C9225A" w:rsidRPr="00C9225A">
        <w:rPr>
          <w:rFonts w:ascii="Arial" w:eastAsia="Calibri" w:hAnsi="Arial" w:cs="Arial"/>
          <w:b/>
          <w:bCs/>
          <w:sz w:val="22"/>
          <w:szCs w:val="22"/>
          <w:lang w:val="en-US"/>
        </w:rPr>
        <w:t>ntangible</w:t>
      </w:r>
      <w:r>
        <w:rPr>
          <w:rFonts w:ascii="Arial" w:eastAsia="Calibri" w:hAnsi="Arial" w:cs="Arial"/>
          <w:b/>
          <w:bCs/>
          <w:sz w:val="22"/>
          <w:szCs w:val="22"/>
          <w:lang w:val="en-US"/>
        </w:rPr>
        <w:t xml:space="preserve"> </w:t>
      </w:r>
      <w:r w:rsidR="00C9225A" w:rsidRPr="00C9225A">
        <w:rPr>
          <w:rFonts w:ascii="Arial" w:eastAsia="Calibri" w:hAnsi="Arial" w:cs="Arial"/>
          <w:b/>
          <w:bCs/>
          <w:sz w:val="22"/>
          <w:szCs w:val="22"/>
          <w:lang w:val="en-US"/>
        </w:rPr>
        <w:t>cultural heritage safeguarding</w:t>
      </w:r>
    </w:p>
    <w:bookmarkEnd w:id="0"/>
    <w:p w14:paraId="711FFA0E" w14:textId="0EA3239A" w:rsidR="0015772D" w:rsidRPr="00F45B84" w:rsidRDefault="0015772D" w:rsidP="003F37A1">
      <w:pPr>
        <w:spacing w:before="840"/>
        <w:jc w:val="center"/>
        <w:rPr>
          <w:rFonts w:ascii="Arial" w:eastAsia="Calibri" w:hAnsi="Arial" w:cs="Arial"/>
          <w:b/>
          <w:bCs/>
          <w:sz w:val="22"/>
          <w:szCs w:val="22"/>
          <w:lang w:val="en-US"/>
        </w:rPr>
      </w:pPr>
      <w:r w:rsidRPr="00F45B84">
        <w:rPr>
          <w:rFonts w:ascii="Arial" w:eastAsia="Calibri" w:hAnsi="Arial" w:cs="Arial"/>
          <w:b/>
          <w:bCs/>
          <w:sz w:val="22"/>
          <w:szCs w:val="22"/>
          <w:lang w:val="en-US"/>
        </w:rPr>
        <w:t>27</w:t>
      </w:r>
      <w:r w:rsidR="003F37A1">
        <w:rPr>
          <w:rFonts w:ascii="Arial" w:eastAsia="Calibri" w:hAnsi="Arial" w:cs="Arial"/>
          <w:b/>
          <w:bCs/>
          <w:sz w:val="22"/>
          <w:szCs w:val="22"/>
          <w:lang w:val="en-US"/>
        </w:rPr>
        <w:t xml:space="preserve"> –</w:t>
      </w:r>
      <w:r w:rsidRPr="00F45B84">
        <w:rPr>
          <w:rFonts w:ascii="Arial" w:eastAsia="Calibri" w:hAnsi="Arial" w:cs="Arial"/>
          <w:b/>
          <w:bCs/>
          <w:sz w:val="22"/>
          <w:szCs w:val="22"/>
          <w:lang w:val="en-US"/>
        </w:rPr>
        <w:t xml:space="preserve"> 28</w:t>
      </w:r>
      <w:r w:rsidR="003F37A1">
        <w:rPr>
          <w:rFonts w:ascii="Arial" w:eastAsia="Calibri" w:hAnsi="Arial" w:cs="Arial"/>
          <w:b/>
          <w:bCs/>
          <w:sz w:val="22"/>
          <w:szCs w:val="22"/>
          <w:lang w:val="en-US"/>
        </w:rPr>
        <w:t xml:space="preserve"> </w:t>
      </w:r>
      <w:r w:rsidRPr="00F45B84">
        <w:rPr>
          <w:rFonts w:ascii="Arial" w:eastAsia="Calibri" w:hAnsi="Arial" w:cs="Arial"/>
          <w:b/>
          <w:bCs/>
          <w:sz w:val="22"/>
          <w:szCs w:val="22"/>
          <w:lang w:val="en-US"/>
        </w:rPr>
        <w:t>September 2023</w:t>
      </w:r>
      <w:r w:rsidR="003F37A1">
        <w:rPr>
          <w:rFonts w:ascii="Arial" w:eastAsia="Calibri" w:hAnsi="Arial" w:cs="Arial"/>
          <w:b/>
          <w:bCs/>
          <w:sz w:val="22"/>
          <w:szCs w:val="22"/>
          <w:lang w:val="en-US"/>
        </w:rPr>
        <w:t xml:space="preserve"> (Part I)</w:t>
      </w:r>
    </w:p>
    <w:p w14:paraId="72C8CFDD" w14:textId="3ACA7DD2" w:rsidR="0015772D" w:rsidRPr="00F45B84" w:rsidRDefault="0015772D" w:rsidP="0015772D">
      <w:pPr>
        <w:ind w:right="-1"/>
        <w:jc w:val="center"/>
        <w:rPr>
          <w:rFonts w:ascii="Arial" w:eastAsia="Calibri" w:hAnsi="Arial" w:cs="Arial"/>
          <w:b/>
          <w:bCs/>
          <w:sz w:val="22"/>
          <w:szCs w:val="22"/>
          <w:lang w:val="en-US"/>
        </w:rPr>
      </w:pPr>
      <w:r w:rsidRPr="00F45B84">
        <w:rPr>
          <w:rFonts w:ascii="Arial" w:eastAsia="Calibri" w:hAnsi="Arial" w:cs="Arial"/>
          <w:b/>
          <w:bCs/>
          <w:sz w:val="22"/>
          <w:szCs w:val="22"/>
          <w:lang w:val="en-US"/>
        </w:rPr>
        <w:t>UNESCO Headquarters, Paris</w:t>
      </w:r>
    </w:p>
    <w:p w14:paraId="1CDB36F7" w14:textId="386495F5" w:rsidR="0015772D" w:rsidRPr="00F45B84" w:rsidRDefault="0015772D" w:rsidP="0015772D">
      <w:pPr>
        <w:spacing w:before="360"/>
        <w:ind w:right="-1"/>
        <w:jc w:val="center"/>
        <w:rPr>
          <w:rFonts w:ascii="Arial" w:eastAsia="Calibri" w:hAnsi="Arial" w:cs="Arial"/>
          <w:b/>
          <w:bCs/>
          <w:sz w:val="22"/>
          <w:szCs w:val="22"/>
          <w:lang w:val="en-US"/>
        </w:rPr>
      </w:pPr>
      <w:r w:rsidRPr="00F45B84">
        <w:rPr>
          <w:rFonts w:ascii="Arial" w:eastAsia="Calibri" w:hAnsi="Arial" w:cs="Arial"/>
          <w:b/>
          <w:bCs/>
          <w:sz w:val="22"/>
          <w:szCs w:val="22"/>
          <w:lang w:val="en-US"/>
        </w:rPr>
        <w:t>20 October 2023</w:t>
      </w:r>
      <w:r w:rsidR="003F37A1">
        <w:rPr>
          <w:rFonts w:ascii="Arial" w:eastAsia="Calibri" w:hAnsi="Arial" w:cs="Arial"/>
          <w:b/>
          <w:bCs/>
          <w:sz w:val="22"/>
          <w:szCs w:val="22"/>
          <w:lang w:val="en-US"/>
        </w:rPr>
        <w:t xml:space="preserve"> (Part II)</w:t>
      </w:r>
    </w:p>
    <w:p w14:paraId="20D867F1" w14:textId="0946B724" w:rsidR="0015772D" w:rsidRPr="00F45B84" w:rsidRDefault="0015772D" w:rsidP="003F37A1">
      <w:pPr>
        <w:spacing w:after="1200"/>
        <w:jc w:val="center"/>
        <w:rPr>
          <w:rFonts w:ascii="Arial" w:eastAsia="Calibri" w:hAnsi="Arial" w:cs="Arial"/>
          <w:b/>
          <w:bCs/>
          <w:sz w:val="22"/>
          <w:szCs w:val="22"/>
          <w:lang w:val="en-US" w:eastAsia="en-US"/>
        </w:rPr>
      </w:pPr>
      <w:r w:rsidRPr="003F37A1">
        <w:rPr>
          <w:rFonts w:ascii="Arial" w:hAnsi="Arial" w:cs="Arial"/>
          <w:b/>
          <w:sz w:val="22"/>
          <w:szCs w:val="22"/>
          <w:lang w:val="en-GB"/>
        </w:rPr>
        <w:t>Online</w:t>
      </w:r>
    </w:p>
    <w:p w14:paraId="7DC3F175" w14:textId="77777777" w:rsidR="00005DE2" w:rsidRDefault="00B91F80" w:rsidP="0015772D">
      <w:pPr>
        <w:pStyle w:val="Sansinterligne2"/>
        <w:spacing w:before="600" w:after="1200"/>
        <w:contextualSpacing/>
        <w:jc w:val="center"/>
        <w:rPr>
          <w:rFonts w:ascii="Arial" w:hAnsi="Arial" w:cs="Arial"/>
          <w:b/>
          <w:sz w:val="22"/>
          <w:szCs w:val="22"/>
          <w:lang w:val="en-GB"/>
        </w:rPr>
      </w:pPr>
      <w:r w:rsidRPr="00B91F80">
        <w:rPr>
          <w:rFonts w:ascii="Arial" w:hAnsi="Arial" w:cs="Arial"/>
          <w:b/>
          <w:sz w:val="22"/>
          <w:szCs w:val="22"/>
          <w:lang w:val="en-GB"/>
        </w:rPr>
        <w:t>Normative framework for economic aspects in the safeguarding of</w:t>
      </w:r>
    </w:p>
    <w:p w14:paraId="59920478" w14:textId="61131BD9" w:rsidR="004A2875" w:rsidRPr="003F37A1" w:rsidRDefault="00B91F80" w:rsidP="0015772D">
      <w:pPr>
        <w:pStyle w:val="Sansinterligne2"/>
        <w:spacing w:before="600" w:after="1200"/>
        <w:contextualSpacing/>
        <w:jc w:val="center"/>
        <w:rPr>
          <w:rFonts w:ascii="Arial" w:hAnsi="Arial" w:cs="Arial"/>
          <w:b/>
          <w:sz w:val="22"/>
          <w:szCs w:val="22"/>
          <w:lang w:val="en-GB"/>
        </w:rPr>
      </w:pPr>
      <w:r w:rsidRPr="00B91F80">
        <w:rPr>
          <w:rFonts w:ascii="Arial" w:hAnsi="Arial" w:cs="Arial"/>
          <w:b/>
          <w:sz w:val="22"/>
          <w:szCs w:val="22"/>
          <w:lang w:val="en-GB"/>
        </w:rPr>
        <w:t>intangible cultural heritage and sustainable development</w:t>
      </w:r>
    </w:p>
    <w:p w14:paraId="713D819F" w14:textId="77777777" w:rsidR="004A2875" w:rsidRPr="009B4638"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3EBB8F03" w14:textId="37BD55F8" w:rsidR="00086ECF" w:rsidRPr="00086ECF" w:rsidRDefault="00086ECF" w:rsidP="00086ECF">
      <w:pPr>
        <w:keepNext/>
        <w:keepLines/>
        <w:spacing w:before="240" w:line="256" w:lineRule="auto"/>
        <w:jc w:val="both"/>
        <w:outlineLvl w:val="0"/>
        <w:rPr>
          <w:rFonts w:ascii="Calibri Light" w:eastAsia="DengXian Light" w:hAnsi="Calibri Light"/>
          <w:color w:val="2F5496"/>
          <w:sz w:val="32"/>
          <w:szCs w:val="32"/>
          <w:lang w:val="en-GB" w:eastAsia="en-US"/>
        </w:rPr>
      </w:pPr>
      <w:bookmarkStart w:id="1" w:name="_Toc127519976"/>
      <w:r w:rsidRPr="00086ECF">
        <w:rPr>
          <w:rFonts w:ascii="Calibri Light" w:eastAsia="DengXian Light" w:hAnsi="Calibri Light"/>
          <w:color w:val="2F5496"/>
          <w:sz w:val="32"/>
          <w:szCs w:val="32"/>
          <w:lang w:val="en-GB" w:eastAsia="en-US"/>
        </w:rPr>
        <w:lastRenderedPageBreak/>
        <w:t>Introduction</w:t>
      </w:r>
      <w:bookmarkEnd w:id="1"/>
      <w:r w:rsidR="00945A1A">
        <w:rPr>
          <w:rStyle w:val="FootnoteReference"/>
          <w:rFonts w:ascii="Calibri Light" w:eastAsia="DengXian Light" w:hAnsi="Calibri Light"/>
          <w:color w:val="2F5496"/>
          <w:sz w:val="32"/>
          <w:szCs w:val="32"/>
          <w:lang w:val="en-GB" w:eastAsia="en-US"/>
        </w:rPr>
        <w:footnoteReference w:id="1"/>
      </w:r>
    </w:p>
    <w:p w14:paraId="3C6A4314" w14:textId="5FE6AA6E"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Basic Texts comprising the normative framework of the 2003 UNESCO Convention for the safeguarding of the Intangible Cultural Heritage (the Convention),</w:t>
      </w:r>
      <w:r w:rsidRPr="00086ECF">
        <w:rPr>
          <w:rFonts w:ascii="Calibri" w:eastAsia="Calibri" w:hAnsi="Calibri" w:cs="Arial"/>
          <w:sz w:val="22"/>
          <w:szCs w:val="22"/>
          <w:vertAlign w:val="superscript"/>
          <w:lang w:val="en-GB" w:eastAsia="en-US"/>
        </w:rPr>
        <w:footnoteReference w:id="2"/>
      </w:r>
      <w:r w:rsidRPr="00086ECF">
        <w:rPr>
          <w:rFonts w:ascii="Calibri" w:eastAsia="Calibri" w:hAnsi="Calibri" w:cs="Arial"/>
          <w:sz w:val="22"/>
          <w:szCs w:val="22"/>
          <w:lang w:val="en-GB" w:eastAsia="en-US"/>
        </w:rPr>
        <w:t xml:space="preserve"> particularly the Operational Directives (ODs), emphasize both the positive contribution that intangible cultural heritage (ICH) safeguarding can make </w:t>
      </w:r>
      <w:proofErr w:type="gramStart"/>
      <w:r w:rsidRPr="00086ECF">
        <w:rPr>
          <w:rFonts w:ascii="Calibri" w:eastAsia="Calibri" w:hAnsi="Calibri" w:cs="Arial"/>
          <w:sz w:val="22"/>
          <w:szCs w:val="22"/>
          <w:lang w:val="en-GB" w:eastAsia="en-US"/>
        </w:rPr>
        <w:t>in regard to</w:t>
      </w:r>
      <w:proofErr w:type="gramEnd"/>
      <w:r w:rsidRPr="00086ECF">
        <w:rPr>
          <w:rFonts w:ascii="Calibri" w:eastAsia="Calibri" w:hAnsi="Calibri" w:cs="Arial"/>
          <w:sz w:val="22"/>
          <w:szCs w:val="22"/>
          <w:lang w:val="en-GB" w:eastAsia="en-US"/>
        </w:rPr>
        <w:t xml:space="preserve"> sustainable development, and the importance of economic activities for ICH safeguarding and the lives and livelihoods of communities, groups and individuals concerned. These texts also identify possible negative effects of some economic activities for ICH safeguarding and propose some general and specific mitigations to address negative effects of economic activities. They emphasize that communities, </w:t>
      </w:r>
      <w:proofErr w:type="gramStart"/>
      <w:r w:rsidRPr="00086ECF">
        <w:rPr>
          <w:rFonts w:ascii="Calibri" w:eastAsia="Calibri" w:hAnsi="Calibri" w:cs="Arial"/>
          <w:sz w:val="22"/>
          <w:szCs w:val="22"/>
          <w:lang w:val="en-GB" w:eastAsia="en-US"/>
        </w:rPr>
        <w:t>groups</w:t>
      </w:r>
      <w:proofErr w:type="gramEnd"/>
      <w:r w:rsidRPr="00086ECF">
        <w:rPr>
          <w:rFonts w:ascii="Calibri" w:eastAsia="Calibri" w:hAnsi="Calibri" w:cs="Arial"/>
          <w:sz w:val="22"/>
          <w:szCs w:val="22"/>
          <w:lang w:val="en-GB" w:eastAsia="en-US"/>
        </w:rPr>
        <w:t xml:space="preserve"> and individuals concerned should be the primary actors in identifying and implementing safeguarding measures.</w:t>
      </w:r>
    </w:p>
    <w:p w14:paraId="539C19B3" w14:textId="1D71F08F"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However, the Convention itself does not mention key terms such as over-commercialization and decontextualization; these were first used in the ODs. Nor do they provide clear steps or guidelines to assist communities concerned and other stakeholders to determine the difference between economic activities that sustain ICH and the communities concerned, and those that threaten its viability.</w:t>
      </w:r>
    </w:p>
    <w:p w14:paraId="2692D427" w14:textId="37265E63"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US" w:eastAsia="en-US"/>
        </w:rPr>
        <w:t xml:space="preserve">From 2015 onwards, the </w:t>
      </w:r>
      <w:r w:rsidRPr="00086ECF">
        <w:rPr>
          <w:rFonts w:ascii="Calibri" w:eastAsia="Calibri" w:hAnsi="Calibri" w:cs="Arial"/>
          <w:sz w:val="22"/>
          <w:szCs w:val="22"/>
          <w:lang w:val="en-GB" w:eastAsia="en-US"/>
        </w:rPr>
        <w:t xml:space="preserve">recommendations of the Evaluation Body (and its predecessors), as well as the </w:t>
      </w:r>
      <w:r w:rsidRPr="00086ECF">
        <w:rPr>
          <w:rFonts w:ascii="Calibri" w:eastAsia="Calibri" w:hAnsi="Calibri" w:cs="Arial"/>
          <w:sz w:val="22"/>
          <w:szCs w:val="22"/>
          <w:lang w:val="en-US" w:eastAsia="en-US"/>
        </w:rPr>
        <w:t xml:space="preserve">decisions of the Committee, have reflected more intensively on </w:t>
      </w:r>
      <w:r w:rsidRPr="00086ECF">
        <w:rPr>
          <w:rFonts w:ascii="Calibri" w:eastAsia="Calibri" w:hAnsi="Calibri" w:cs="Arial"/>
          <w:sz w:val="22"/>
          <w:szCs w:val="22"/>
          <w:lang w:val="en-GB" w:eastAsia="en-US"/>
        </w:rPr>
        <w:t xml:space="preserve">the role of ICH in society and its relationship to sustainable development, especially economic </w:t>
      </w:r>
      <w:proofErr w:type="gramStart"/>
      <w:r w:rsidRPr="00086ECF">
        <w:rPr>
          <w:rFonts w:ascii="Calibri" w:eastAsia="Calibri" w:hAnsi="Calibri" w:cs="Arial"/>
          <w:sz w:val="22"/>
          <w:szCs w:val="22"/>
          <w:lang w:val="en-GB" w:eastAsia="en-US"/>
        </w:rPr>
        <w:t>activities</w:t>
      </w:r>
      <w:proofErr w:type="gramEnd"/>
      <w:r w:rsidRPr="00086ECF">
        <w:rPr>
          <w:rFonts w:ascii="Calibri" w:eastAsia="Calibri" w:hAnsi="Calibri" w:cs="Arial"/>
          <w:sz w:val="22"/>
          <w:szCs w:val="22"/>
          <w:lang w:val="en-GB" w:eastAsia="en-US"/>
        </w:rPr>
        <w:t xml:space="preserve"> and the associated risks of decontextualization and over-commercialization. This was done in several phases, first through the ODs on awareness raising; and then through a separate chapter on Sustainable Development. Concerns about decontextualization and over-commercialization have been repeatedly raised </w:t>
      </w:r>
      <w:proofErr w:type="gramStart"/>
      <w:r w:rsidRPr="00086ECF">
        <w:rPr>
          <w:rFonts w:ascii="Calibri" w:eastAsia="Calibri" w:hAnsi="Calibri" w:cs="Arial"/>
          <w:sz w:val="22"/>
          <w:szCs w:val="22"/>
          <w:lang w:val="en-GB" w:eastAsia="en-US"/>
        </w:rPr>
        <w:t>in regard to</w:t>
      </w:r>
      <w:proofErr w:type="gramEnd"/>
      <w:r w:rsidRPr="00086ECF">
        <w:rPr>
          <w:rFonts w:ascii="Calibri" w:eastAsia="Calibri" w:hAnsi="Calibri" w:cs="Arial"/>
          <w:sz w:val="22"/>
          <w:szCs w:val="22"/>
          <w:lang w:val="en-GB" w:eastAsia="en-US"/>
        </w:rPr>
        <w:t xml:space="preserve"> the evaluation of nomination files. In 2019, the Committee thus requested the Secretariat ‘to publish the recommendations of the Evaluation Body on the safeguarding measures and good practices that address the risk of decontextualization and over-commercialization of elements in a guidance note for communities and States Parties’.</w:t>
      </w:r>
      <w:r w:rsidRPr="00086ECF">
        <w:rPr>
          <w:rFonts w:ascii="Calibri" w:eastAsia="Calibri" w:hAnsi="Calibri" w:cs="Arial"/>
          <w:sz w:val="22"/>
          <w:szCs w:val="22"/>
          <w:vertAlign w:val="superscript"/>
          <w:lang w:val="en-GB" w:eastAsia="en-US"/>
        </w:rPr>
        <w:footnoteReference w:id="3"/>
      </w:r>
    </w:p>
    <w:p w14:paraId="69E193C3" w14:textId="55FFDDE5"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US" w:eastAsia="en-US"/>
        </w:rPr>
        <w:t xml:space="preserve">This </w:t>
      </w:r>
      <w:r w:rsidR="00967D37">
        <w:rPr>
          <w:rFonts w:ascii="Calibri" w:eastAsia="Calibri" w:hAnsi="Calibri" w:cs="Arial"/>
          <w:sz w:val="22"/>
          <w:szCs w:val="22"/>
          <w:lang w:val="en-US" w:eastAsia="en-US"/>
        </w:rPr>
        <w:t xml:space="preserve">document </w:t>
      </w:r>
      <w:r w:rsidRPr="00086ECF">
        <w:rPr>
          <w:rFonts w:ascii="Calibri" w:eastAsia="Calibri" w:hAnsi="Calibri" w:cs="Arial"/>
          <w:sz w:val="22"/>
          <w:szCs w:val="22"/>
          <w:lang w:val="en-GB" w:eastAsia="en-US"/>
        </w:rPr>
        <w:t xml:space="preserve">provides an overview of existing perspectives on </w:t>
      </w:r>
      <w:r w:rsidRPr="00086ECF">
        <w:rPr>
          <w:rFonts w:ascii="Calibri" w:eastAsia="Calibri" w:hAnsi="Calibri" w:cs="Arial"/>
          <w:sz w:val="22"/>
          <w:szCs w:val="22"/>
          <w:lang w:val="en-US" w:eastAsia="en-US"/>
        </w:rPr>
        <w:t xml:space="preserve">economic aspects relating to the safeguarding of ICH </w:t>
      </w:r>
      <w:r w:rsidRPr="00086ECF">
        <w:rPr>
          <w:rFonts w:ascii="Calibri" w:eastAsia="Calibri" w:hAnsi="Calibri" w:cs="Arial"/>
          <w:sz w:val="22"/>
          <w:szCs w:val="22"/>
          <w:lang w:val="en-GB" w:eastAsia="en-US"/>
        </w:rPr>
        <w:t>in the texts of the Convention and the reports of the Committee and its evaluation bodies. It aims to provide</w:t>
      </w:r>
      <w:r w:rsidRPr="00086ECF">
        <w:rPr>
          <w:rFonts w:ascii="Calibri" w:eastAsia="Calibri" w:hAnsi="Calibri" w:cs="Arial"/>
          <w:sz w:val="22"/>
          <w:szCs w:val="22"/>
          <w:lang w:val="en-US" w:eastAsia="en-US"/>
        </w:rPr>
        <w:t xml:space="preserve"> greater clarity about how terms such as ‘decontextualization’ and over-commercialization’ have been understood in the framework of the Convention, and what mitigations have been proposed to address such problems.</w:t>
      </w:r>
    </w:p>
    <w:p w14:paraId="0DEE9781" w14:textId="77777777" w:rsidR="00086ECF" w:rsidRPr="00086ECF" w:rsidRDefault="00086ECF" w:rsidP="00086ECF">
      <w:pPr>
        <w:keepNext/>
        <w:keepLines/>
        <w:spacing w:before="240" w:line="256" w:lineRule="auto"/>
        <w:jc w:val="both"/>
        <w:outlineLvl w:val="0"/>
        <w:rPr>
          <w:rFonts w:ascii="Calibri Light" w:eastAsia="DengXian Light" w:hAnsi="Calibri Light"/>
          <w:color w:val="2F5496"/>
          <w:sz w:val="32"/>
          <w:szCs w:val="32"/>
          <w:lang w:val="en-GB" w:eastAsia="en-US"/>
        </w:rPr>
      </w:pPr>
      <w:bookmarkStart w:id="2" w:name="_Toc127519977"/>
      <w:r w:rsidRPr="00086ECF">
        <w:rPr>
          <w:rFonts w:ascii="Calibri Light" w:eastAsia="DengXian Light" w:hAnsi="Calibri Light"/>
          <w:color w:val="2F5496"/>
          <w:sz w:val="32"/>
          <w:szCs w:val="32"/>
          <w:lang w:val="en-GB" w:eastAsia="en-US"/>
        </w:rPr>
        <w:t>The normative framework of the Convention</w:t>
      </w:r>
      <w:bookmarkEnd w:id="2"/>
    </w:p>
    <w:p w14:paraId="1536E66A" w14:textId="77777777" w:rsidR="00086ECF" w:rsidRPr="00086ECF" w:rsidRDefault="00086ECF" w:rsidP="00086ECF">
      <w:pPr>
        <w:keepNext/>
        <w:keepLines/>
        <w:spacing w:before="40" w:line="256" w:lineRule="auto"/>
        <w:jc w:val="both"/>
        <w:outlineLvl w:val="1"/>
        <w:rPr>
          <w:rFonts w:ascii="Calibri Light" w:eastAsia="DengXian Light" w:hAnsi="Calibri Light"/>
          <w:color w:val="2F5496"/>
          <w:sz w:val="26"/>
          <w:szCs w:val="26"/>
          <w:lang w:val="en-GB" w:eastAsia="en-US"/>
        </w:rPr>
      </w:pPr>
      <w:bookmarkStart w:id="3" w:name="_Toc127519978"/>
      <w:r w:rsidRPr="00086ECF">
        <w:rPr>
          <w:rFonts w:ascii="Calibri Light" w:eastAsia="DengXian Light" w:hAnsi="Calibri Light"/>
          <w:color w:val="2F5496"/>
          <w:sz w:val="26"/>
          <w:szCs w:val="26"/>
          <w:lang w:val="en-GB" w:eastAsia="en-US"/>
        </w:rPr>
        <w:t>Establishing some general concepts</w:t>
      </w:r>
      <w:bookmarkEnd w:id="3"/>
    </w:p>
    <w:p w14:paraId="76322CF9" w14:textId="195BDE8C"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Convention is predicated on the notion that ICH safeguarding deserves international, as well as national or local, attention because it is an important driver of human development, </w:t>
      </w:r>
      <w:proofErr w:type="gramStart"/>
      <w:r w:rsidRPr="00086ECF">
        <w:rPr>
          <w:rFonts w:ascii="Calibri" w:eastAsia="Calibri" w:hAnsi="Calibri" w:cs="Arial"/>
          <w:sz w:val="22"/>
          <w:szCs w:val="22"/>
          <w:lang w:val="en-GB" w:eastAsia="en-US"/>
        </w:rPr>
        <w:t>identity</w:t>
      </w:r>
      <w:proofErr w:type="gramEnd"/>
      <w:r w:rsidRPr="00086ECF">
        <w:rPr>
          <w:rFonts w:ascii="Calibri" w:eastAsia="Calibri" w:hAnsi="Calibri" w:cs="Arial"/>
          <w:sz w:val="22"/>
          <w:szCs w:val="22"/>
          <w:lang w:val="en-GB" w:eastAsia="en-US"/>
        </w:rPr>
        <w:t xml:space="preserve"> and creativity, but at the same time it is vulnerable to loss and damage, requiring safeguarding from significant threats and risks. The Operational Directives, and the Ethical Principles, further develop these ideas: they focus on warning against risks and provide some suggested mitigations. The relationship between continuity and change in the practice and transmission of the ICH, which </w:t>
      </w:r>
      <w:proofErr w:type="gramStart"/>
      <w:r w:rsidRPr="00086ECF">
        <w:rPr>
          <w:rFonts w:ascii="Calibri" w:eastAsia="Calibri" w:hAnsi="Calibri" w:cs="Arial"/>
          <w:sz w:val="22"/>
          <w:szCs w:val="22"/>
          <w:lang w:val="en-GB" w:eastAsia="en-US"/>
        </w:rPr>
        <w:t>have to</w:t>
      </w:r>
      <w:proofErr w:type="gramEnd"/>
      <w:r w:rsidRPr="00086ECF">
        <w:rPr>
          <w:rFonts w:ascii="Calibri" w:eastAsia="Calibri" w:hAnsi="Calibri" w:cs="Arial"/>
          <w:sz w:val="22"/>
          <w:szCs w:val="22"/>
          <w:lang w:val="en-GB" w:eastAsia="en-US"/>
        </w:rPr>
        <w:t xml:space="preserve"> be defined by communities, groups and individuals concerned (Article 2.1), underpins an understanding of when change is positive or negative. However, concepts of change and continuity are less well developed in the texts of the Convention.</w:t>
      </w:r>
    </w:p>
    <w:p w14:paraId="7DF43CB2"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lastRenderedPageBreak/>
        <w:t>In this section, we give a brief overview of these important sets of concepts in the normative framework of the Convention, because they have influenced how the relationship between economic activities and ICH safeguarding has been understood.</w:t>
      </w:r>
    </w:p>
    <w:p w14:paraId="1DC97CC4"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GB" w:eastAsia="en-US"/>
        </w:rPr>
      </w:pPr>
      <w:bookmarkStart w:id="4" w:name="_Toc127519979"/>
      <w:r w:rsidRPr="00086ECF">
        <w:rPr>
          <w:rFonts w:ascii="Calibri Light" w:eastAsia="DengXian Light" w:hAnsi="Calibri Light"/>
          <w:color w:val="1F3763"/>
          <w:lang w:val="en-GB" w:eastAsia="en-US"/>
        </w:rPr>
        <w:t>Vulnerability and development</w:t>
      </w:r>
      <w:bookmarkEnd w:id="4"/>
    </w:p>
    <w:p w14:paraId="55C427AB" w14:textId="53F0838A"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Preamble of the Convention mentions the possible ‘deterioration, disappearance and destruction’ of ICH through factors such as ‘globalization and social transformation’ alongside the idea that ICH is ‘a guarantee of sustainable development’.</w:t>
      </w:r>
    </w:p>
    <w:p w14:paraId="6132BB5D" w14:textId="4CF32DCF"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On the one hand, ICH can be ‘a powerful force for inclusive and economic equitable development’ (OD 184). The Operational Directives recognize the ‘interdependence between the safeguarding of intangible cultural heritage and sustainable development’ (OD 170). This includes, of course, economic as well as social, </w:t>
      </w:r>
      <w:proofErr w:type="gramStart"/>
      <w:r w:rsidRPr="00086ECF">
        <w:rPr>
          <w:rFonts w:ascii="Calibri" w:eastAsia="Calibri" w:hAnsi="Calibri" w:cs="Arial"/>
          <w:sz w:val="22"/>
          <w:szCs w:val="22"/>
          <w:lang w:val="en-GB" w:eastAsia="en-US"/>
        </w:rPr>
        <w:t>cultural</w:t>
      </w:r>
      <w:proofErr w:type="gramEnd"/>
      <w:r w:rsidRPr="00086ECF">
        <w:rPr>
          <w:rFonts w:ascii="Calibri" w:eastAsia="Calibri" w:hAnsi="Calibri" w:cs="Arial"/>
          <w:sz w:val="22"/>
          <w:szCs w:val="22"/>
          <w:lang w:val="en-GB" w:eastAsia="en-US"/>
        </w:rPr>
        <w:t xml:space="preserve"> and environmental, development. ICH can support sustainable livelihoods and decent work for communities concerned, alongside other social, </w:t>
      </w:r>
      <w:proofErr w:type="gramStart"/>
      <w:r w:rsidRPr="00086ECF">
        <w:rPr>
          <w:rFonts w:ascii="Calibri" w:eastAsia="Calibri" w:hAnsi="Calibri" w:cs="Arial"/>
          <w:sz w:val="22"/>
          <w:szCs w:val="22"/>
          <w:lang w:val="en-GB" w:eastAsia="en-US"/>
        </w:rPr>
        <w:t>cultural</w:t>
      </w:r>
      <w:proofErr w:type="gramEnd"/>
      <w:r w:rsidRPr="00086ECF">
        <w:rPr>
          <w:rFonts w:ascii="Calibri" w:eastAsia="Calibri" w:hAnsi="Calibri" w:cs="Arial"/>
          <w:sz w:val="22"/>
          <w:szCs w:val="22"/>
          <w:lang w:val="en-GB" w:eastAsia="en-US"/>
        </w:rPr>
        <w:t xml:space="preserve"> and environmental benefits (OD 185-6). In addition, economic activities can also contribute to ICH safeguarding, raising awareness about the value of the ICH and generating income for practitioners (OD 116). Economic activities have been a central factor in the practice and transmission of many ICH elements, such as handicrafts or traditional medical services. Economic activities involving ICH should benefit communities concerned, as implied by Ethical Principles 7 and 10.</w:t>
      </w:r>
    </w:p>
    <w:p w14:paraId="724ABC5E" w14:textId="28312E86"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On the other hand, economic activities, especially large-scale commercial initiatives designed to benefit third parties, can also pose a threat to ICH viability, safeguarding and the sustainable development of communities concerned. For example, over-commercialization or misappropriation of ICH by third parties for commercial purposes can affect the viability, value and meaning of ICH elements to the communities, groups and individuals concerned (OD 102, 117, 171). Inequitable benefits to communities from commercial activities involving their ICH, including inadequate remuneration, can decrease the viability of ICH elements by threatening livelihoods and reducing incentives for practice and transmission. Communities concerned may prefer to keep certain aspects of their ICH (such as sacred rituals) protected from the market (OD 104). Taking the ICH out of context (decontextualization) could threaten viability by disrupting usual processes of ICH practice and </w:t>
      </w:r>
      <w:proofErr w:type="gramStart"/>
      <w:r w:rsidRPr="00086ECF">
        <w:rPr>
          <w:rFonts w:ascii="Calibri" w:eastAsia="Calibri" w:hAnsi="Calibri" w:cs="Arial"/>
          <w:sz w:val="22"/>
          <w:szCs w:val="22"/>
          <w:lang w:val="en-GB" w:eastAsia="en-US"/>
        </w:rPr>
        <w:t>transmission, or</w:t>
      </w:r>
      <w:proofErr w:type="gramEnd"/>
      <w:r w:rsidRPr="00086ECF">
        <w:rPr>
          <w:rFonts w:ascii="Calibri" w:eastAsia="Calibri" w:hAnsi="Calibri" w:cs="Arial"/>
          <w:sz w:val="22"/>
          <w:szCs w:val="22"/>
          <w:lang w:val="en-GB" w:eastAsia="en-US"/>
        </w:rPr>
        <w:t xml:space="preserve"> affecting its meaning and value to communities concerned (OD 102). Inscription of an element on one of the Lists of the Convention can have unintended negative effects due to increased visibility of an element (OD 176).</w:t>
      </w:r>
    </w:p>
    <w:p w14:paraId="38295D55" w14:textId="01D299BC"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interplay between the two central ideas of the development potential of ICH, and its vulnerability to loss, has influenced how economic activities around ICH, and concerns about threats such as over-commercialization and decontextualization, have been conceptualized in the normative framework of the Convention.</w:t>
      </w:r>
    </w:p>
    <w:p w14:paraId="25EE5109"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These ideas have a history in debates at the international level before the drafting of the Convention. First, concerns about what we might today call over-commercialization and decontextualization were highlighted in the 1973 letter to the Director-General of UNESCO from the Minister of Foreign Affairs and Religion of the Republic of Bolivia, often pinpointed as the beginning of discussions that led to the drafting of the Convention thirty years later. The letter expressed concern that ‘the international protection of the cultural heritage of mankind’ was primarily ‘aimed at the protection of tangible objects, and not forms of expression such as music and dance, which are at present undergoing the </w:t>
      </w:r>
      <w:r w:rsidRPr="00086ECF">
        <w:rPr>
          <w:rFonts w:ascii="Calibri" w:eastAsia="Calibri" w:hAnsi="Calibri" w:cs="Arial"/>
          <w:b/>
          <w:bCs/>
          <w:sz w:val="22"/>
          <w:szCs w:val="22"/>
          <w:lang w:val="en-GB" w:eastAsia="en-US"/>
        </w:rPr>
        <w:t>most intensive clandestine commercialization</w:t>
      </w:r>
      <w:r w:rsidRPr="00086ECF">
        <w:rPr>
          <w:rFonts w:ascii="Calibri" w:eastAsia="Calibri" w:hAnsi="Calibri" w:cs="Arial"/>
          <w:sz w:val="22"/>
          <w:szCs w:val="22"/>
          <w:lang w:val="en-GB" w:eastAsia="en-US"/>
        </w:rPr>
        <w:t xml:space="preserve"> and export, in a process of </w:t>
      </w:r>
      <w:r w:rsidRPr="00086ECF">
        <w:rPr>
          <w:rFonts w:ascii="Calibri" w:eastAsia="Calibri" w:hAnsi="Calibri" w:cs="Arial"/>
          <w:b/>
          <w:bCs/>
          <w:sz w:val="22"/>
          <w:szCs w:val="22"/>
          <w:lang w:val="en-GB" w:eastAsia="en-US"/>
        </w:rPr>
        <w:t xml:space="preserve">commercially oriented transculturation </w:t>
      </w:r>
      <w:r w:rsidRPr="00086ECF">
        <w:rPr>
          <w:rFonts w:ascii="Calibri" w:eastAsia="Calibri" w:hAnsi="Calibri" w:cs="Arial"/>
          <w:sz w:val="22"/>
          <w:szCs w:val="22"/>
          <w:lang w:val="en-GB" w:eastAsia="en-US"/>
        </w:rPr>
        <w:t>destructive of the traditional cultures’ [emphasis added].</w:t>
      </w:r>
      <w:r w:rsidRPr="00086ECF">
        <w:rPr>
          <w:rFonts w:ascii="Calibri" w:eastAsia="Calibri" w:hAnsi="Calibri" w:cs="Arial"/>
          <w:sz w:val="22"/>
          <w:szCs w:val="22"/>
          <w:vertAlign w:val="superscript"/>
          <w:lang w:val="en-GB" w:eastAsia="en-US"/>
        </w:rPr>
        <w:footnoteReference w:id="4"/>
      </w:r>
      <w:r w:rsidRPr="00086ECF">
        <w:rPr>
          <w:rFonts w:ascii="Calibri" w:eastAsia="Calibri" w:hAnsi="Calibri" w:cs="Arial"/>
          <w:sz w:val="22"/>
          <w:szCs w:val="22"/>
          <w:lang w:val="en-GB" w:eastAsia="en-US"/>
        </w:rPr>
        <w:t xml:space="preserve"> The Masterpieces of the Oral and Intangible Heritage of Humanity, a UNESCO programme running from 2001-2005, also identified a number of ‘items’ or elements whose viability was threatened by </w:t>
      </w:r>
      <w:r w:rsidRPr="00086ECF">
        <w:rPr>
          <w:rFonts w:ascii="Calibri" w:eastAsia="Calibri" w:hAnsi="Calibri" w:cs="Arial"/>
          <w:sz w:val="22"/>
          <w:szCs w:val="22"/>
          <w:lang w:val="en-GB" w:eastAsia="en-US"/>
        </w:rPr>
        <w:lastRenderedPageBreak/>
        <w:t>‘commercialization’ ‘acculturation’ or loss of social function, which we might term decontextualization today.</w:t>
      </w:r>
      <w:r w:rsidRPr="00086ECF">
        <w:rPr>
          <w:rFonts w:ascii="Calibri" w:eastAsia="Calibri" w:hAnsi="Calibri" w:cs="Arial"/>
          <w:sz w:val="22"/>
          <w:szCs w:val="22"/>
          <w:vertAlign w:val="superscript"/>
          <w:lang w:val="en-GB" w:eastAsia="en-US"/>
        </w:rPr>
        <w:footnoteReference w:id="5"/>
      </w:r>
      <w:r w:rsidRPr="00086ECF">
        <w:rPr>
          <w:rFonts w:ascii="Calibri" w:eastAsia="Calibri" w:hAnsi="Calibri" w:cs="Arial"/>
          <w:sz w:val="22"/>
          <w:szCs w:val="22"/>
          <w:lang w:val="en-GB" w:eastAsia="en-US"/>
        </w:rPr>
        <w:t xml:space="preserve"> </w:t>
      </w:r>
    </w:p>
    <w:p w14:paraId="42A780DD" w14:textId="0760669D"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Second, understanding of the role of (intangible) cultural heritage in society was influenced by debates about culture as an integral part of development after the influential World Conference on Cultural Policies held in 1982 in Mexico and the publication of </w:t>
      </w:r>
      <w:r w:rsidRPr="00086ECF">
        <w:rPr>
          <w:rFonts w:ascii="Calibri" w:eastAsia="Calibri" w:hAnsi="Calibri" w:cs="Arial"/>
          <w:i/>
          <w:iCs/>
          <w:sz w:val="22"/>
          <w:szCs w:val="22"/>
          <w:lang w:val="en-GB" w:eastAsia="en-US"/>
        </w:rPr>
        <w:t>Our Creative Diversity</w:t>
      </w:r>
      <w:r w:rsidRPr="00086ECF">
        <w:rPr>
          <w:rFonts w:ascii="Calibri" w:eastAsia="Calibri" w:hAnsi="Calibri" w:cs="Arial"/>
          <w:sz w:val="22"/>
          <w:szCs w:val="22"/>
          <w:lang w:val="en-GB" w:eastAsia="en-US"/>
        </w:rPr>
        <w:t>, the 1996 report of the World Commission on Culture and Development.</w:t>
      </w:r>
      <w:r w:rsidRPr="00086ECF">
        <w:rPr>
          <w:rFonts w:ascii="Calibri" w:eastAsia="Calibri" w:hAnsi="Calibri" w:cs="Arial"/>
          <w:sz w:val="22"/>
          <w:szCs w:val="22"/>
          <w:vertAlign w:val="superscript"/>
          <w:lang w:val="en-GB" w:eastAsia="en-US"/>
        </w:rPr>
        <w:footnoteReference w:id="6"/>
      </w:r>
      <w:r w:rsidRPr="00086ECF">
        <w:rPr>
          <w:rFonts w:ascii="Calibri" w:eastAsia="Calibri" w:hAnsi="Calibri" w:cs="Arial"/>
          <w:sz w:val="22"/>
          <w:szCs w:val="22"/>
          <w:lang w:val="en-GB" w:eastAsia="en-US"/>
        </w:rPr>
        <w:t xml:space="preserve"> This view was codified in international instruments such as the UNESCO Universal Declaration on Cultural Diversity of 2001 that described cultural diversity as one of the ‘roots of development’ (Article 3). This instrument is directly referenced in the Convention’s Preamble.</w:t>
      </w:r>
    </w:p>
    <w:p w14:paraId="2F0779C6" w14:textId="71465CB8"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close link between culture and sustainable development was particularly emphasized in UNESCO’s work after the adoption of the 2030 Agenda at the United Nations Sustainable Development Summit in 2015. The development of the Overall Results Framework, approved in 2018, and the new Periodic Reporting monitoring mechanism for the 2003 Convention, which commenced in 2020, have emphasized the contribution of ICH safeguarding to the Sustainable Development Goals. These include reducing poverty (SDG</w:t>
      </w:r>
      <w:r w:rsidR="003927D9">
        <w:rPr>
          <w:rFonts w:ascii="Calibri" w:eastAsia="Calibri" w:hAnsi="Calibri" w:cs="Arial"/>
          <w:sz w:val="22"/>
          <w:szCs w:val="22"/>
          <w:lang w:val="en-GB" w:eastAsia="en-US"/>
        </w:rPr>
        <w:t> </w:t>
      </w:r>
      <w:r w:rsidRPr="00086ECF">
        <w:rPr>
          <w:rFonts w:ascii="Calibri" w:eastAsia="Calibri" w:hAnsi="Calibri" w:cs="Arial"/>
          <w:sz w:val="22"/>
          <w:szCs w:val="22"/>
          <w:lang w:val="en-GB" w:eastAsia="en-US"/>
        </w:rPr>
        <w:t>1), reducing gender inequality and other forms of inequality (SDG 5 and 10), promoting good health and wellbeing (SDG 3), productive employment and decent work (SDG</w:t>
      </w:r>
      <w:r w:rsidR="003927D9">
        <w:rPr>
          <w:rFonts w:ascii="Calibri" w:eastAsia="Calibri" w:hAnsi="Calibri" w:cs="Arial"/>
          <w:sz w:val="22"/>
          <w:szCs w:val="22"/>
          <w:lang w:val="en-GB" w:eastAsia="en-US"/>
        </w:rPr>
        <w:t> </w:t>
      </w:r>
      <w:r w:rsidRPr="00086ECF">
        <w:rPr>
          <w:rFonts w:ascii="Calibri" w:eastAsia="Calibri" w:hAnsi="Calibri" w:cs="Arial"/>
          <w:sz w:val="22"/>
          <w:szCs w:val="22"/>
          <w:lang w:val="en-GB" w:eastAsia="en-US"/>
        </w:rPr>
        <w:t>8), sustainable cities (SDG</w:t>
      </w:r>
      <w:r w:rsidR="003927D9">
        <w:rPr>
          <w:rFonts w:ascii="Calibri" w:eastAsia="Calibri" w:hAnsi="Calibri" w:cs="Arial"/>
          <w:sz w:val="22"/>
          <w:szCs w:val="22"/>
          <w:lang w:val="en-GB" w:eastAsia="en-US"/>
        </w:rPr>
        <w:t> </w:t>
      </w:r>
      <w:r w:rsidRPr="00086ECF">
        <w:rPr>
          <w:rFonts w:ascii="Calibri" w:eastAsia="Calibri" w:hAnsi="Calibri" w:cs="Arial"/>
          <w:sz w:val="22"/>
          <w:szCs w:val="22"/>
          <w:lang w:val="en-GB" w:eastAsia="en-US"/>
        </w:rPr>
        <w:t>11), among others. The work of UNESCO along these lines was coupled with a greater emphasis on the contribution of culture to economic development, social inclusion and education in local and national policies of Member States.</w:t>
      </w:r>
      <w:r w:rsidRPr="00086ECF">
        <w:rPr>
          <w:rFonts w:ascii="Calibri" w:eastAsia="Calibri" w:hAnsi="Calibri" w:cs="Arial"/>
          <w:sz w:val="22"/>
          <w:szCs w:val="22"/>
          <w:vertAlign w:val="superscript"/>
          <w:lang w:val="en-GB" w:eastAsia="en-US"/>
        </w:rPr>
        <w:footnoteReference w:id="7"/>
      </w:r>
      <w:r w:rsidRPr="00086ECF">
        <w:rPr>
          <w:rFonts w:ascii="Calibri" w:eastAsia="Calibri" w:hAnsi="Calibri" w:cs="Arial"/>
          <w:sz w:val="22"/>
          <w:szCs w:val="22"/>
          <w:lang w:val="en-GB" w:eastAsia="en-US"/>
        </w:rPr>
        <w:t xml:space="preserve"> UNESCO has been actively developing initiatives such as the UNESCO Thematic Indicators for Culture in the 2030 Agenda to support Member States in measuring the contribution of culture to the Sustainable Development Goals.</w:t>
      </w:r>
      <w:r w:rsidRPr="00086ECF">
        <w:rPr>
          <w:rFonts w:ascii="Calibri" w:eastAsia="Calibri" w:hAnsi="Calibri" w:cs="Arial"/>
          <w:sz w:val="22"/>
          <w:szCs w:val="22"/>
          <w:vertAlign w:val="superscript"/>
          <w:lang w:val="en-GB" w:eastAsia="en-US"/>
        </w:rPr>
        <w:footnoteReference w:id="8"/>
      </w:r>
      <w:r w:rsidRPr="00086ECF">
        <w:rPr>
          <w:rFonts w:ascii="Calibri" w:eastAsia="Calibri" w:hAnsi="Calibri" w:cs="Arial"/>
          <w:sz w:val="22"/>
          <w:szCs w:val="22"/>
          <w:lang w:val="en-GB" w:eastAsia="en-US"/>
        </w:rPr>
        <w:t xml:space="preserve"> The September 2022 </w:t>
      </w:r>
      <w:proofErr w:type="spellStart"/>
      <w:r w:rsidRPr="00086ECF">
        <w:rPr>
          <w:rFonts w:ascii="Calibri" w:eastAsia="Calibri" w:hAnsi="Calibri" w:cs="Arial"/>
          <w:sz w:val="22"/>
          <w:szCs w:val="22"/>
          <w:lang w:val="en-GB" w:eastAsia="en-US"/>
        </w:rPr>
        <w:t>Mondiacult</w:t>
      </w:r>
      <w:proofErr w:type="spellEnd"/>
      <w:r w:rsidRPr="00086ECF">
        <w:rPr>
          <w:rFonts w:ascii="Calibri" w:eastAsia="Calibri" w:hAnsi="Calibri" w:cs="Arial"/>
          <w:sz w:val="22"/>
          <w:szCs w:val="22"/>
          <w:lang w:val="en-GB" w:eastAsia="en-US"/>
        </w:rPr>
        <w:t xml:space="preserve"> meeting of Ministers of Culture of the Member States of UNESCO in Mexico called for the inclusion of culture ‘as a specific goal in its own right’ in the next United Nations Sustainable Development Goals.</w:t>
      </w:r>
      <w:r w:rsidRPr="00086ECF">
        <w:rPr>
          <w:rFonts w:ascii="Calibri" w:eastAsia="Calibri" w:hAnsi="Calibri" w:cs="Arial"/>
          <w:sz w:val="22"/>
          <w:szCs w:val="22"/>
          <w:vertAlign w:val="superscript"/>
          <w:lang w:val="en-GB" w:eastAsia="en-US"/>
        </w:rPr>
        <w:footnoteReference w:id="9"/>
      </w:r>
    </w:p>
    <w:p w14:paraId="4CD77274"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GB" w:eastAsia="en-US"/>
        </w:rPr>
      </w:pPr>
      <w:bookmarkStart w:id="5" w:name="_Toc127519980"/>
      <w:r w:rsidRPr="00086ECF">
        <w:rPr>
          <w:rFonts w:ascii="Calibri Light" w:eastAsia="DengXian Light" w:hAnsi="Calibri Light"/>
          <w:color w:val="1F3763"/>
          <w:lang w:val="en-GB" w:eastAsia="en-US"/>
        </w:rPr>
        <w:t>Continuity and change</w:t>
      </w:r>
      <w:bookmarkEnd w:id="5"/>
      <w:r w:rsidRPr="00086ECF">
        <w:rPr>
          <w:rFonts w:ascii="Calibri Light" w:eastAsia="DengXian Light" w:hAnsi="Calibri Light"/>
          <w:color w:val="1F3763"/>
          <w:lang w:val="en-GB" w:eastAsia="en-US"/>
        </w:rPr>
        <w:t xml:space="preserve"> </w:t>
      </w:r>
    </w:p>
    <w:p w14:paraId="004E9799" w14:textId="335FE81E"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Neither over-commercialization or decontextualization are specifically mentioned in the Convention itself, or formally defined in the other texts of the Convention,</w:t>
      </w:r>
      <w:r w:rsidRPr="00086ECF">
        <w:rPr>
          <w:rFonts w:ascii="Calibri" w:eastAsia="Calibri" w:hAnsi="Calibri" w:cs="Arial"/>
          <w:sz w:val="22"/>
          <w:szCs w:val="22"/>
          <w:vertAlign w:val="superscript"/>
          <w:lang w:val="en-GB" w:eastAsia="en-US"/>
        </w:rPr>
        <w:footnoteReference w:id="10"/>
      </w:r>
      <w:r w:rsidRPr="00086ECF">
        <w:rPr>
          <w:rFonts w:ascii="Calibri" w:eastAsia="Calibri" w:hAnsi="Calibri" w:cs="Arial"/>
          <w:sz w:val="22"/>
          <w:szCs w:val="22"/>
          <w:lang w:val="en-GB" w:eastAsia="en-US"/>
        </w:rPr>
        <w:t xml:space="preserve"> but ideas about continuity and change relating to ICH in these texts have framed how the terms are generally understood.</w:t>
      </w:r>
    </w:p>
    <w:p w14:paraId="621A78AF" w14:textId="0158A8AF"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According to Article 2.1 of the Convention, ICH practice and transmission, and its meaning and value, are characterized by both continuity and by change. Article 2.1 states that their ICH provides communities and groups concerned ‘with a sense of identity and continuity’, as practices, knowledge and skills are transmitted ‘from generation to generation’. It is this idea of ‘identity and continuity’, sustained by a common notion of the meaning and value of the ICH,</w:t>
      </w:r>
      <w:r w:rsidRPr="00086ECF">
        <w:rPr>
          <w:rFonts w:ascii="Calibri" w:eastAsia="Calibri" w:hAnsi="Calibri" w:cs="Arial"/>
          <w:sz w:val="22"/>
          <w:szCs w:val="22"/>
          <w:vertAlign w:val="superscript"/>
          <w:lang w:val="en-GB" w:eastAsia="en-US"/>
        </w:rPr>
        <w:footnoteReference w:id="11"/>
      </w:r>
      <w:r w:rsidRPr="00086ECF">
        <w:rPr>
          <w:rFonts w:ascii="Calibri" w:eastAsia="Calibri" w:hAnsi="Calibri" w:cs="Arial"/>
          <w:sz w:val="22"/>
          <w:szCs w:val="22"/>
          <w:lang w:val="en-GB" w:eastAsia="en-US"/>
        </w:rPr>
        <w:t xml:space="preserve"> that lies behind the idea of ICH having a ‘context’ that might be vulnerable to ‘decontextualization’. While continuity is maintained through transmission of knowledge, </w:t>
      </w:r>
      <w:r w:rsidRPr="00086ECF">
        <w:rPr>
          <w:rFonts w:ascii="Calibri" w:eastAsia="Calibri" w:hAnsi="Calibri" w:cs="Arial"/>
          <w:sz w:val="22"/>
          <w:szCs w:val="22"/>
          <w:lang w:val="en-GB" w:eastAsia="en-US"/>
        </w:rPr>
        <w:lastRenderedPageBreak/>
        <w:t>values and skills, ICH practices are also ‘constantly recreated by communities and groups’ in response to their environment and history (Article 2.1).</w:t>
      </w:r>
      <w:r w:rsidRPr="00086ECF">
        <w:rPr>
          <w:rFonts w:ascii="Calibri" w:eastAsia="Calibri" w:hAnsi="Calibri" w:cs="Arial"/>
          <w:sz w:val="22"/>
          <w:szCs w:val="22"/>
          <w:vertAlign w:val="superscript"/>
          <w:lang w:val="en-GB" w:eastAsia="en-US"/>
        </w:rPr>
        <w:footnoteReference w:id="12"/>
      </w:r>
      <w:r w:rsidRPr="00086ECF">
        <w:rPr>
          <w:rFonts w:ascii="Calibri" w:eastAsia="Calibri" w:hAnsi="Calibri" w:cs="Arial"/>
          <w:sz w:val="22"/>
          <w:szCs w:val="22"/>
          <w:lang w:val="en-GB" w:eastAsia="en-US"/>
        </w:rPr>
        <w:t xml:space="preserve"> An ICH element has a ‘dynamic and living nature’ (EP 8).</w:t>
      </w:r>
    </w:p>
    <w:p w14:paraId="2C94C2F2" w14:textId="414BF6A0"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How should continuity and change be managed by communities to safeguard their ICH? The Convention’s normative texts place significant emphasis on the primary role of communities, groups and individuals concerned in identifying and managing their ICH. Following the sense of Article 15, which encourages ‘the widest possible participation’ of communities, groups and individuals concerned in the management of their ICH, it is the communities themselves who should decide both on what kinds of continuity in ICH practice and meaning are important to them, and what kinds of change are considered appropriate, or not. Some changes may quickly become an accepted part of their ICH, sometimes in response to external pressures, or their own creativity. In other cases, external factors or actions might result in changes that are considered threats and risks to its viability. Members of the same community might also think differently about threats and risks, and some might prioritize economic gains over safeguarding of their ICH. Communities, </w:t>
      </w:r>
      <w:proofErr w:type="gramStart"/>
      <w:r w:rsidRPr="00086ECF">
        <w:rPr>
          <w:rFonts w:ascii="Calibri" w:eastAsia="Calibri" w:hAnsi="Calibri" w:cs="Arial"/>
          <w:sz w:val="22"/>
          <w:szCs w:val="22"/>
          <w:lang w:val="en-GB" w:eastAsia="en-US"/>
        </w:rPr>
        <w:t>groups</w:t>
      </w:r>
      <w:proofErr w:type="gramEnd"/>
      <w:r w:rsidRPr="00086ECF">
        <w:rPr>
          <w:rFonts w:ascii="Calibri" w:eastAsia="Calibri" w:hAnsi="Calibri" w:cs="Arial"/>
          <w:sz w:val="22"/>
          <w:szCs w:val="22"/>
          <w:lang w:val="en-GB" w:eastAsia="en-US"/>
        </w:rPr>
        <w:t xml:space="preserve"> and individuals concerned thus make their own determinations about the value and meaning of their ICH (EP 6). They are the ones to decide what constitutes a threat to its viability, including over-commercialization and decontextualization, and what to do about it (EP 10).</w:t>
      </w:r>
    </w:p>
    <w:p w14:paraId="620778F5"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Convention does not mention the notion of ‘authenticity’, partly to highlight the importance of community leadership in ICH identification and management - they should not, for example, be deferring to historians or anthropologists on what ‘authentic’ practice is. This also serves to differentiate the different approach taken to tangible and intangible heritage management within UNESCO. Under the 1972 UNESCO World Heritage Convention for conserving tangible heritage properties, determination of authenticity generally involves external expert determination of historical, </w:t>
      </w:r>
      <w:proofErr w:type="gramStart"/>
      <w:r w:rsidRPr="00086ECF">
        <w:rPr>
          <w:rFonts w:ascii="Calibri" w:eastAsia="Calibri" w:hAnsi="Calibri" w:cs="Arial"/>
          <w:sz w:val="22"/>
          <w:szCs w:val="22"/>
          <w:lang w:val="en-GB" w:eastAsia="en-US"/>
        </w:rPr>
        <w:t>aesthetic</w:t>
      </w:r>
      <w:proofErr w:type="gramEnd"/>
      <w:r w:rsidRPr="00086ECF">
        <w:rPr>
          <w:rFonts w:ascii="Calibri" w:eastAsia="Calibri" w:hAnsi="Calibri" w:cs="Arial"/>
          <w:sz w:val="22"/>
          <w:szCs w:val="22"/>
          <w:lang w:val="en-GB" w:eastAsia="en-US"/>
        </w:rPr>
        <w:t xml:space="preserve"> or architectural supporting a statement of ‘outstanding universal value’. As early as 2004, therefore, the Yamato Declaration suggested that ‘the term ‘authenticity’ as applied to tangible cultural heritage is not relevant when identifying and safeguarding intangible cultural heritage.’</w:t>
      </w:r>
      <w:r w:rsidRPr="00086ECF">
        <w:rPr>
          <w:rFonts w:ascii="Calibri" w:eastAsia="Calibri" w:hAnsi="Calibri" w:cs="Arial"/>
          <w:sz w:val="22"/>
          <w:szCs w:val="22"/>
          <w:vertAlign w:val="superscript"/>
          <w:lang w:val="en-GB" w:eastAsia="en-US"/>
        </w:rPr>
        <w:footnoteReference w:id="13"/>
      </w:r>
      <w:r w:rsidRPr="00086ECF">
        <w:rPr>
          <w:rFonts w:ascii="Calibri" w:eastAsia="Calibri" w:hAnsi="Calibri" w:cs="Arial"/>
          <w:sz w:val="22"/>
          <w:szCs w:val="22"/>
          <w:lang w:val="en-GB" w:eastAsia="en-US"/>
        </w:rPr>
        <w:t xml:space="preserve"> Ethical Principle 8 states that ‘Authenticity and exclusivity should not constitute concerns and obstacles in the safeguarding of intangible cultural heritage.’ Avoidance of the term ‘authenticity’ in the texts of the Convention does not imply that communities concerned should not make decisions on what aspects of their ICH they want to maintain and transmit to younger generations. In fact, many communities use ‘authenticity’ or similar terms to describe desirable continuities of practice in nomination files and other contexts.</w:t>
      </w:r>
    </w:p>
    <w:p w14:paraId="53B82DF0" w14:textId="77777777" w:rsidR="00086ECF" w:rsidRPr="00086ECF" w:rsidRDefault="00086ECF" w:rsidP="00086ECF">
      <w:pPr>
        <w:spacing w:after="160" w:line="256" w:lineRule="auto"/>
        <w:jc w:val="both"/>
        <w:rPr>
          <w:rFonts w:ascii="Calibri" w:eastAsia="Calibri" w:hAnsi="Calibri" w:cs="Arial"/>
          <w:sz w:val="22"/>
          <w:szCs w:val="22"/>
          <w:lang w:val="en-GB" w:eastAsia="en-US"/>
        </w:rPr>
      </w:pPr>
      <w:proofErr w:type="gramStart"/>
      <w:r w:rsidRPr="00086ECF">
        <w:rPr>
          <w:rFonts w:ascii="Calibri" w:eastAsia="Calibri" w:hAnsi="Calibri" w:cs="Arial"/>
          <w:sz w:val="22"/>
          <w:szCs w:val="22"/>
          <w:lang w:val="en-GB" w:eastAsia="en-US"/>
        </w:rPr>
        <w:t>Appropriately-calibrated</w:t>
      </w:r>
      <w:proofErr w:type="gramEnd"/>
      <w:r w:rsidRPr="00086ECF">
        <w:rPr>
          <w:rFonts w:ascii="Calibri" w:eastAsia="Calibri" w:hAnsi="Calibri" w:cs="Arial"/>
          <w:sz w:val="22"/>
          <w:szCs w:val="22"/>
          <w:lang w:val="en-GB" w:eastAsia="en-US"/>
        </w:rPr>
        <w:t xml:space="preserve"> safeguarding measures, developed by and with communities, groups and individuals concerned, can assist in safeguarding and maintaining the viability of some forms of ICH practice and transmission that involve economic activities (OD 185(b)(ii), OD 187(b)(</w:t>
      </w:r>
      <w:proofErr w:type="spellStart"/>
      <w:r w:rsidRPr="00086ECF">
        <w:rPr>
          <w:rFonts w:ascii="Calibri" w:eastAsia="Calibri" w:hAnsi="Calibri" w:cs="Arial"/>
          <w:sz w:val="22"/>
          <w:szCs w:val="22"/>
          <w:lang w:val="en-GB" w:eastAsia="en-US"/>
        </w:rPr>
        <w:t>i</w:t>
      </w:r>
      <w:proofErr w:type="spellEnd"/>
      <w:r w:rsidRPr="00086ECF">
        <w:rPr>
          <w:rFonts w:ascii="Calibri" w:eastAsia="Calibri" w:hAnsi="Calibri" w:cs="Arial"/>
          <w:sz w:val="22"/>
          <w:szCs w:val="22"/>
          <w:lang w:val="en-GB" w:eastAsia="en-US"/>
        </w:rPr>
        <w:t>) and on tourism, OD 187(b)(ii)). Safeguarding measures and plans need to take all these factors into account. The texts of the Convention, and the work of the Committee to date, however, give little guidance on understanding how communities might differentiate between desirable changes over time, in response to changing environments, and undesirable changes that disrupt much-wanted continuity.</w:t>
      </w:r>
    </w:p>
    <w:p w14:paraId="5BC72F58" w14:textId="77777777" w:rsidR="00086ECF" w:rsidRPr="00086ECF" w:rsidRDefault="00086ECF" w:rsidP="00086ECF">
      <w:pPr>
        <w:keepNext/>
        <w:keepLines/>
        <w:spacing w:before="40" w:line="256" w:lineRule="auto"/>
        <w:jc w:val="both"/>
        <w:outlineLvl w:val="1"/>
        <w:rPr>
          <w:rFonts w:ascii="Calibri Light" w:eastAsia="DengXian Light" w:hAnsi="Calibri Light"/>
          <w:color w:val="2F5496"/>
          <w:sz w:val="26"/>
          <w:szCs w:val="26"/>
          <w:lang w:val="en-GB" w:eastAsia="en-US"/>
        </w:rPr>
      </w:pPr>
      <w:bookmarkStart w:id="6" w:name="_Toc127519981"/>
      <w:r w:rsidRPr="00086ECF">
        <w:rPr>
          <w:rFonts w:ascii="Calibri Light" w:eastAsia="DengXian Light" w:hAnsi="Calibri Light"/>
          <w:color w:val="2F5496"/>
          <w:sz w:val="26"/>
          <w:szCs w:val="26"/>
          <w:lang w:val="en-GB" w:eastAsia="en-US"/>
        </w:rPr>
        <w:t>Over-commercialization and decontextualization in the Operational Directives, 2010</w:t>
      </w:r>
      <w:bookmarkEnd w:id="6"/>
    </w:p>
    <w:p w14:paraId="03703709" w14:textId="1A4122AF"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terms ‘over-commercialization’ and ‘decontextualization’ were first introduced into the texts of the Convention in 2010, through amendments to the Operational Directives at the third session of the General Assembly of States Parties to the Convention (3.GA). These amendments to the ODs express the possibility (most clearly set out in OD 116), in line with the Convention’s Preamble, both that ICH could be threatened </w:t>
      </w:r>
      <w:r w:rsidRPr="00086ECF">
        <w:rPr>
          <w:rFonts w:ascii="Calibri" w:eastAsia="Calibri" w:hAnsi="Calibri" w:cs="Arial"/>
          <w:sz w:val="22"/>
          <w:szCs w:val="22"/>
          <w:lang w:val="en-GB" w:eastAsia="en-US"/>
        </w:rPr>
        <w:lastRenderedPageBreak/>
        <w:t>by certain kinds of economic activity (over-commercialization, commercial misappropriation, unsustainable tourism), and also that economic activity could have positive effects for communities concerned in certain circumstances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better living standards, increased income, improved social cohesion). Particular concern was expressed about commercial activity threatening the viability of the intangible cultural heritage (OD 102, 116, 117), distorting its meaning and purpose for communities, and diverting benefit from communities concerned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through misappropriation).</w:t>
      </w:r>
    </w:p>
    <w:p w14:paraId="02FC159C"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References to the concepts of over-commercialization and decontextualization in 2010 amendments to the Operational Directives are as follows (emphasis added):</w:t>
      </w:r>
    </w:p>
    <w:p w14:paraId="1BD5C423" w14:textId="77777777" w:rsidR="00086ECF" w:rsidRPr="00086ECF" w:rsidRDefault="00086ECF" w:rsidP="00086ECF">
      <w:pPr>
        <w:numPr>
          <w:ilvl w:val="0"/>
          <w:numId w:val="1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Paragraph 102: ‘All parties are encouraged to take particular care to ensure that awareness-raising actions will not: (a) </w:t>
      </w:r>
      <w:r w:rsidRPr="00086ECF">
        <w:rPr>
          <w:rFonts w:ascii="Calibri" w:eastAsia="Calibri" w:hAnsi="Calibri" w:cs="Arial"/>
          <w:b/>
          <w:bCs/>
          <w:sz w:val="22"/>
          <w:szCs w:val="22"/>
          <w:lang w:val="en-GB" w:eastAsia="en-US"/>
        </w:rPr>
        <w:t>de-contextualize or denaturalize</w:t>
      </w:r>
      <w:r w:rsidRPr="00086ECF">
        <w:rPr>
          <w:rFonts w:ascii="Calibri" w:eastAsia="Calibri" w:hAnsi="Calibri" w:cs="Arial"/>
          <w:sz w:val="22"/>
          <w:szCs w:val="22"/>
          <w:lang w:val="en-GB" w:eastAsia="en-US"/>
        </w:rPr>
        <w:t xml:space="preserve"> the intangible cultural heritage manifestations or expressions concerned; … [or] (e) lead to </w:t>
      </w:r>
      <w:r w:rsidRPr="00086ECF">
        <w:rPr>
          <w:rFonts w:ascii="Calibri" w:eastAsia="Calibri" w:hAnsi="Calibri" w:cs="Arial"/>
          <w:b/>
          <w:bCs/>
          <w:sz w:val="22"/>
          <w:szCs w:val="22"/>
          <w:lang w:val="en-GB" w:eastAsia="en-US"/>
        </w:rPr>
        <w:t>over-commercialization or to unsustainable tourism</w:t>
      </w:r>
      <w:r w:rsidRPr="00086ECF">
        <w:rPr>
          <w:rFonts w:ascii="Calibri" w:eastAsia="Calibri" w:hAnsi="Calibri" w:cs="Arial"/>
          <w:sz w:val="22"/>
          <w:szCs w:val="22"/>
          <w:lang w:val="en-GB" w:eastAsia="en-US"/>
        </w:rPr>
        <w:t xml:space="preserve"> that may put at risk the intangible cultural heritage concerned.’</w:t>
      </w:r>
    </w:p>
    <w:p w14:paraId="72D22A9C" w14:textId="77777777" w:rsidR="00086ECF" w:rsidRPr="00086ECF" w:rsidRDefault="00086ECF" w:rsidP="00086ECF">
      <w:pPr>
        <w:numPr>
          <w:ilvl w:val="0"/>
          <w:numId w:val="1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Paragraph 104: ‘States Parties shall endeavour to ensure, in particular through the application of intellectual property rights, privacy rights and any other appropriate form of legal protection, that the rights of the communities, groups and individuals that create, bear and transmit their intangible cultural heritage are duly protected when raising awareness about their heritage or </w:t>
      </w:r>
      <w:r w:rsidRPr="00086ECF">
        <w:rPr>
          <w:rFonts w:ascii="Calibri" w:eastAsia="Calibri" w:hAnsi="Calibri" w:cs="Arial"/>
          <w:b/>
          <w:bCs/>
          <w:sz w:val="22"/>
          <w:szCs w:val="22"/>
          <w:lang w:val="en-GB" w:eastAsia="en-US"/>
        </w:rPr>
        <w:t>engaging in commercial activities</w:t>
      </w:r>
      <w:r w:rsidRPr="00086ECF">
        <w:rPr>
          <w:rFonts w:ascii="Calibri" w:eastAsia="Calibri" w:hAnsi="Calibri" w:cs="Arial"/>
          <w:sz w:val="22"/>
          <w:szCs w:val="22"/>
          <w:lang w:val="en-GB" w:eastAsia="en-US"/>
        </w:rPr>
        <w:t>.’</w:t>
      </w:r>
    </w:p>
    <w:p w14:paraId="03B9A6D9" w14:textId="77777777" w:rsidR="00086ECF" w:rsidRPr="00086ECF" w:rsidRDefault="00086ECF" w:rsidP="00086ECF">
      <w:pPr>
        <w:numPr>
          <w:ilvl w:val="0"/>
          <w:numId w:val="1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Paragraph 107: ‘States Parties shall endeavour, by all appropriate means, to ensure recognition </w:t>
      </w:r>
      <w:proofErr w:type="gramStart"/>
      <w:r w:rsidRPr="00086ECF">
        <w:rPr>
          <w:rFonts w:ascii="Calibri" w:eastAsia="Calibri" w:hAnsi="Calibri" w:cs="Arial"/>
          <w:sz w:val="22"/>
          <w:szCs w:val="22"/>
          <w:lang w:val="en-GB" w:eastAsia="en-US"/>
        </w:rPr>
        <w:t>of,</w:t>
      </w:r>
      <w:proofErr w:type="gramEnd"/>
      <w:r w:rsidRPr="00086ECF">
        <w:rPr>
          <w:rFonts w:ascii="Calibri" w:eastAsia="Calibri" w:hAnsi="Calibri" w:cs="Arial"/>
          <w:sz w:val="22"/>
          <w:szCs w:val="22"/>
          <w:lang w:val="en-GB" w:eastAsia="en-US"/>
        </w:rPr>
        <w:t xml:space="preserve"> respect for and enhancement of intangible cultural heritage through educational and information programmes, as well as capacity-building activities and non-formal means of transmitting knowledge (Article 14 (a) of the Convention). States Parties are encouraged</w:t>
      </w:r>
      <w:proofErr w:type="gramStart"/>
      <w:r w:rsidRPr="00086ECF">
        <w:rPr>
          <w:rFonts w:ascii="Calibri" w:eastAsia="Calibri" w:hAnsi="Calibri" w:cs="Arial"/>
          <w:sz w:val="22"/>
          <w:szCs w:val="22"/>
          <w:lang w:val="en-GB" w:eastAsia="en-US"/>
        </w:rPr>
        <w:t>, in particular, to</w:t>
      </w:r>
      <w:proofErr w:type="gramEnd"/>
      <w:r w:rsidRPr="00086ECF">
        <w:rPr>
          <w:rFonts w:ascii="Calibri" w:eastAsia="Calibri" w:hAnsi="Calibri" w:cs="Arial"/>
          <w:sz w:val="22"/>
          <w:szCs w:val="22"/>
          <w:lang w:val="en-GB" w:eastAsia="en-US"/>
        </w:rPr>
        <w:t xml:space="preserve"> implement measures and policies aimed at: … (m) training communities, groups or individuals in the </w:t>
      </w:r>
      <w:r w:rsidRPr="00086ECF">
        <w:rPr>
          <w:rFonts w:ascii="Calibri" w:eastAsia="Calibri" w:hAnsi="Calibri" w:cs="Arial"/>
          <w:b/>
          <w:bCs/>
          <w:sz w:val="22"/>
          <w:szCs w:val="22"/>
          <w:lang w:val="en-GB" w:eastAsia="en-US"/>
        </w:rPr>
        <w:t>management of small businesses dealing with intangible cultural heritage</w:t>
      </w:r>
      <w:r w:rsidRPr="00086ECF">
        <w:rPr>
          <w:rFonts w:ascii="Calibri" w:eastAsia="Calibri" w:hAnsi="Calibri" w:cs="Arial"/>
          <w:sz w:val="22"/>
          <w:szCs w:val="22"/>
          <w:lang w:val="en-GB" w:eastAsia="en-US"/>
        </w:rPr>
        <w:t>.’</w:t>
      </w:r>
    </w:p>
    <w:p w14:paraId="04429632" w14:textId="77777777" w:rsidR="00086ECF" w:rsidRPr="00086ECF" w:rsidRDefault="00086ECF" w:rsidP="00086ECF">
      <w:pPr>
        <w:numPr>
          <w:ilvl w:val="0"/>
          <w:numId w:val="1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Paragraph 116: ‘</w:t>
      </w:r>
      <w:r w:rsidRPr="00086ECF">
        <w:rPr>
          <w:rFonts w:ascii="Calibri" w:eastAsia="Calibri" w:hAnsi="Calibri" w:cs="Arial"/>
          <w:b/>
          <w:bCs/>
          <w:sz w:val="22"/>
          <w:szCs w:val="22"/>
          <w:lang w:val="en-GB" w:eastAsia="en-US"/>
        </w:rPr>
        <w:t>Commercial activities</w:t>
      </w:r>
      <w:r w:rsidRPr="00086ECF">
        <w:rPr>
          <w:rFonts w:ascii="Calibri" w:eastAsia="Calibri" w:hAnsi="Calibri" w:cs="Arial"/>
          <w:sz w:val="22"/>
          <w:szCs w:val="22"/>
          <w:lang w:val="en-GB" w:eastAsia="en-US"/>
        </w:rPr>
        <w:t xml:space="preserve"> that can emerge from certain forms of intangible cultural heritage and trade in cultural goods and services related to intangible cultural heritage can raise awareness about the importance of such heritage and generate income for its practitioners. They can contribute to improving the living standards of the communities that bear and practise the heritage, enhance the local economy, and contribute to social cohesion. These activities and trade should not, however, threaten the viability of the intangible cultural heritage, and all appropriate measures should be taken to ensure that the communities concerned are their primary beneficiaries. Particular attention should be given to the way such activities might affect the </w:t>
      </w:r>
      <w:r w:rsidRPr="00086ECF">
        <w:rPr>
          <w:rFonts w:ascii="Calibri" w:eastAsia="Calibri" w:hAnsi="Calibri" w:cs="Arial"/>
          <w:b/>
          <w:bCs/>
          <w:sz w:val="22"/>
          <w:szCs w:val="22"/>
          <w:lang w:val="en-GB" w:eastAsia="en-US"/>
        </w:rPr>
        <w:t>nature and viability</w:t>
      </w:r>
      <w:r w:rsidRPr="00086ECF">
        <w:rPr>
          <w:rFonts w:ascii="Calibri" w:eastAsia="Calibri" w:hAnsi="Calibri" w:cs="Arial"/>
          <w:sz w:val="22"/>
          <w:szCs w:val="22"/>
          <w:lang w:val="en-GB" w:eastAsia="en-US"/>
        </w:rPr>
        <w:t xml:space="preserve"> of the intangible cultural heritage, </w:t>
      </w:r>
      <w:proofErr w:type="gramStart"/>
      <w:r w:rsidRPr="00086ECF">
        <w:rPr>
          <w:rFonts w:ascii="Calibri" w:eastAsia="Calibri" w:hAnsi="Calibri" w:cs="Arial"/>
          <w:sz w:val="22"/>
          <w:szCs w:val="22"/>
          <w:lang w:val="en-GB" w:eastAsia="en-US"/>
        </w:rPr>
        <w:t>in particular the</w:t>
      </w:r>
      <w:proofErr w:type="gramEnd"/>
      <w:r w:rsidRPr="00086ECF">
        <w:rPr>
          <w:rFonts w:ascii="Calibri" w:eastAsia="Calibri" w:hAnsi="Calibri" w:cs="Arial"/>
          <w:sz w:val="22"/>
          <w:szCs w:val="22"/>
          <w:lang w:val="en-GB" w:eastAsia="en-US"/>
        </w:rPr>
        <w:t xml:space="preserve"> intangible cultural heritage manifested in the domains of rituals, social practices or knowledge about nature and the universe.’</w:t>
      </w:r>
    </w:p>
    <w:p w14:paraId="0988BAF5" w14:textId="77777777" w:rsidR="00086ECF" w:rsidRPr="00086ECF" w:rsidRDefault="00086ECF" w:rsidP="00086ECF">
      <w:pPr>
        <w:numPr>
          <w:ilvl w:val="0"/>
          <w:numId w:val="1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Paragraph 117: ‘Particular attention should be paid to </w:t>
      </w:r>
      <w:r w:rsidRPr="00086ECF">
        <w:rPr>
          <w:rFonts w:ascii="Calibri" w:eastAsia="Calibri" w:hAnsi="Calibri" w:cs="Arial"/>
          <w:b/>
          <w:bCs/>
          <w:sz w:val="22"/>
          <w:szCs w:val="22"/>
          <w:lang w:val="en-GB" w:eastAsia="en-US"/>
        </w:rPr>
        <w:t>avoiding commercial misappropriation</w:t>
      </w:r>
      <w:r w:rsidRPr="00086ECF">
        <w:rPr>
          <w:rFonts w:ascii="Calibri" w:eastAsia="Calibri" w:hAnsi="Calibri" w:cs="Arial"/>
          <w:sz w:val="22"/>
          <w:szCs w:val="22"/>
          <w:lang w:val="en-GB" w:eastAsia="en-US"/>
        </w:rPr>
        <w:t xml:space="preserve">, to </w:t>
      </w:r>
      <w:r w:rsidRPr="00086ECF">
        <w:rPr>
          <w:rFonts w:ascii="Calibri" w:eastAsia="Calibri" w:hAnsi="Calibri" w:cs="Arial"/>
          <w:b/>
          <w:bCs/>
          <w:sz w:val="22"/>
          <w:szCs w:val="22"/>
          <w:lang w:val="en-GB" w:eastAsia="en-US"/>
        </w:rPr>
        <w:t>managing tourism in a sustainable way</w:t>
      </w:r>
      <w:r w:rsidRPr="00086ECF">
        <w:rPr>
          <w:rFonts w:ascii="Calibri" w:eastAsia="Calibri" w:hAnsi="Calibri" w:cs="Arial"/>
          <w:sz w:val="22"/>
          <w:szCs w:val="22"/>
          <w:lang w:val="en-GB" w:eastAsia="en-US"/>
        </w:rPr>
        <w:t>, to finding a proper balance between the interests of the commercial party, the public administration and the cultural practitioners, and to ensuring that the commercial use does not distort the meaning and purpose of the intangible cultural heritage for the community concerned.’</w:t>
      </w:r>
    </w:p>
    <w:p w14:paraId="5D7904B8" w14:textId="77777777" w:rsidR="00086ECF" w:rsidRPr="00086ECF" w:rsidRDefault="00086ECF" w:rsidP="00035309">
      <w:pPr>
        <w:numPr>
          <w:ilvl w:val="0"/>
          <w:numId w:val="14"/>
        </w:numPr>
        <w:spacing w:after="160" w:line="257" w:lineRule="auto"/>
        <w:ind w:left="714" w:hanging="357"/>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Paragraph 120: ‘When publicizing and disseminating information on the elements inscribed on the Lists, care should be given to </w:t>
      </w:r>
      <w:r w:rsidRPr="00086ECF">
        <w:rPr>
          <w:rFonts w:ascii="Calibri" w:eastAsia="Calibri" w:hAnsi="Calibri" w:cs="Arial"/>
          <w:b/>
          <w:bCs/>
          <w:sz w:val="22"/>
          <w:szCs w:val="22"/>
          <w:lang w:val="en-GB" w:eastAsia="en-US"/>
        </w:rPr>
        <w:t>presenting the elements in their context</w:t>
      </w:r>
      <w:r w:rsidRPr="00086ECF">
        <w:rPr>
          <w:rFonts w:ascii="Calibri" w:eastAsia="Calibri" w:hAnsi="Calibri" w:cs="Arial"/>
          <w:sz w:val="22"/>
          <w:szCs w:val="22"/>
          <w:lang w:val="en-GB" w:eastAsia="en-US"/>
        </w:rPr>
        <w:t xml:space="preserve"> and to focusing on their value and meaning for the communities concerned, rather than only on their aesthetic appeal or entertainment value.’</w:t>
      </w:r>
    </w:p>
    <w:p w14:paraId="06B6FE22"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3.GA Operational Directives concerning economic activities and ICH were included in the Chapter on awareness raising (IV.1). The Committee recognized that a more general approach was needed to guide actions for ICH safeguarding in contexts of commercial activity, going beyond awareness raising. Amendments to OD 116 and 117 to broaden their scope were thus requested by the Committee in 2012. The proposed amendments were later put aside in favour of developing a new chapter of the ODs that would </w:t>
      </w:r>
      <w:r w:rsidRPr="00086ECF">
        <w:rPr>
          <w:rFonts w:ascii="Calibri" w:eastAsia="Calibri" w:hAnsi="Calibri" w:cs="Arial"/>
          <w:sz w:val="22"/>
          <w:szCs w:val="22"/>
          <w:lang w:val="en-GB" w:eastAsia="en-US"/>
        </w:rPr>
        <w:lastRenderedPageBreak/>
        <w:t>cover economic aspects of sustainable development. These will be discussed below, after consideration of the Ethical Principles.</w:t>
      </w:r>
      <w:r w:rsidRPr="00086ECF">
        <w:rPr>
          <w:rFonts w:ascii="Calibri" w:eastAsia="Calibri" w:hAnsi="Calibri" w:cs="Arial"/>
          <w:sz w:val="22"/>
          <w:szCs w:val="22"/>
          <w:vertAlign w:val="superscript"/>
          <w:lang w:val="en-GB" w:eastAsia="en-US"/>
        </w:rPr>
        <w:footnoteReference w:id="14"/>
      </w:r>
      <w:r w:rsidRPr="00086ECF">
        <w:rPr>
          <w:rFonts w:ascii="Calibri" w:eastAsia="Calibri" w:hAnsi="Calibri" w:cs="Arial"/>
          <w:sz w:val="22"/>
          <w:szCs w:val="22"/>
          <w:lang w:val="en-GB" w:eastAsia="en-US"/>
        </w:rPr>
        <w:t xml:space="preserve"> </w:t>
      </w:r>
    </w:p>
    <w:p w14:paraId="3540186C" w14:textId="77777777" w:rsidR="00086ECF" w:rsidRPr="00086ECF" w:rsidRDefault="00086ECF" w:rsidP="00086ECF">
      <w:pPr>
        <w:keepNext/>
        <w:keepLines/>
        <w:spacing w:before="40" w:line="256" w:lineRule="auto"/>
        <w:jc w:val="both"/>
        <w:outlineLvl w:val="1"/>
        <w:rPr>
          <w:rFonts w:ascii="Calibri Light" w:eastAsia="DengXian Light" w:hAnsi="Calibri Light"/>
          <w:color w:val="2F5496"/>
          <w:sz w:val="26"/>
          <w:szCs w:val="26"/>
          <w:lang w:val="en-GB" w:eastAsia="en-US"/>
        </w:rPr>
      </w:pPr>
      <w:bookmarkStart w:id="7" w:name="_Toc127519982"/>
      <w:r w:rsidRPr="00086ECF">
        <w:rPr>
          <w:rFonts w:ascii="Calibri Light" w:eastAsia="DengXian Light" w:hAnsi="Calibri Light"/>
          <w:color w:val="2F5496"/>
          <w:sz w:val="26"/>
          <w:szCs w:val="26"/>
          <w:lang w:val="en-GB" w:eastAsia="en-US"/>
        </w:rPr>
        <w:t>The Ethical Principles, 2015</w:t>
      </w:r>
      <w:bookmarkEnd w:id="7"/>
    </w:p>
    <w:p w14:paraId="76F5B84E"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In 2015, twelve Ethical Principles approved by the Committee informed the approach taken to safeguarding activities under the Convention, including the risks of over-commercialization and decontextualization. The Ethical Principles provided further clarity on the primary role of communities, groups and individuals concerned in deciding not just how to manage change and continuity in ICH practice (EP 1, 4, 6), and who should benefit from it (EP 7), but also what threats their ICH faces (including decontextualization, commodification and misrepresentation) and what should be done about them (EP 10). The Ethical Principles also introduced the term ‘commodification’, linked with over-commercialization (EP 10). The relevant Ethical Principles are reproduced below (with emphasis added):</w:t>
      </w:r>
    </w:p>
    <w:p w14:paraId="4BAC76B4" w14:textId="77777777" w:rsidR="00086ECF" w:rsidRPr="00086ECF" w:rsidRDefault="00086ECF" w:rsidP="00086ECF">
      <w:pPr>
        <w:numPr>
          <w:ilvl w:val="0"/>
          <w:numId w:val="15"/>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EP 1: Communities, groups and, where applicable, individuals should have the </w:t>
      </w:r>
      <w:r w:rsidRPr="00086ECF">
        <w:rPr>
          <w:rFonts w:ascii="Calibri" w:eastAsia="Calibri" w:hAnsi="Calibri" w:cs="Arial"/>
          <w:b/>
          <w:bCs/>
          <w:sz w:val="22"/>
          <w:szCs w:val="22"/>
          <w:lang w:val="en-GB" w:eastAsia="en-US"/>
        </w:rPr>
        <w:t>primary role</w:t>
      </w:r>
      <w:r w:rsidRPr="00086ECF">
        <w:rPr>
          <w:rFonts w:ascii="Calibri" w:eastAsia="Calibri" w:hAnsi="Calibri" w:cs="Arial"/>
          <w:sz w:val="22"/>
          <w:szCs w:val="22"/>
          <w:lang w:val="en-GB" w:eastAsia="en-US"/>
        </w:rPr>
        <w:t xml:space="preserve"> in safeguarding their own intangible cultural heritage.</w:t>
      </w:r>
    </w:p>
    <w:p w14:paraId="3252C6A9" w14:textId="77777777" w:rsidR="00086ECF" w:rsidRPr="00086ECF" w:rsidRDefault="00086ECF" w:rsidP="00086ECF">
      <w:pPr>
        <w:numPr>
          <w:ilvl w:val="0"/>
          <w:numId w:val="15"/>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EP 4: All interactions with the communities, groups and, where applicable, individuals who create, safeguard, maintain and transmit intangible cultural heritage should be characterized by </w:t>
      </w:r>
      <w:r w:rsidRPr="00086ECF">
        <w:rPr>
          <w:rFonts w:ascii="Calibri" w:eastAsia="Calibri" w:hAnsi="Calibri" w:cs="Arial"/>
          <w:b/>
          <w:bCs/>
          <w:sz w:val="22"/>
          <w:szCs w:val="22"/>
          <w:lang w:val="en-GB" w:eastAsia="en-US"/>
        </w:rPr>
        <w:t>transparent collaboration</w:t>
      </w:r>
      <w:r w:rsidRPr="00086ECF">
        <w:rPr>
          <w:rFonts w:ascii="Calibri" w:eastAsia="Calibri" w:hAnsi="Calibri" w:cs="Arial"/>
          <w:sz w:val="22"/>
          <w:szCs w:val="22"/>
          <w:lang w:val="en-GB" w:eastAsia="en-US"/>
        </w:rPr>
        <w:t xml:space="preserve">, dialogue, </w:t>
      </w:r>
      <w:proofErr w:type="gramStart"/>
      <w:r w:rsidRPr="00086ECF">
        <w:rPr>
          <w:rFonts w:ascii="Calibri" w:eastAsia="Calibri" w:hAnsi="Calibri" w:cs="Arial"/>
          <w:sz w:val="22"/>
          <w:szCs w:val="22"/>
          <w:lang w:val="en-GB" w:eastAsia="en-US"/>
        </w:rPr>
        <w:t>negotiation</w:t>
      </w:r>
      <w:proofErr w:type="gramEnd"/>
      <w:r w:rsidRPr="00086ECF">
        <w:rPr>
          <w:rFonts w:ascii="Calibri" w:eastAsia="Calibri" w:hAnsi="Calibri" w:cs="Arial"/>
          <w:sz w:val="22"/>
          <w:szCs w:val="22"/>
          <w:lang w:val="en-GB" w:eastAsia="en-US"/>
        </w:rPr>
        <w:t xml:space="preserve"> and consultation, and contingent upon their </w:t>
      </w:r>
      <w:r w:rsidRPr="00086ECF">
        <w:rPr>
          <w:rFonts w:ascii="Calibri" w:eastAsia="Calibri" w:hAnsi="Calibri" w:cs="Arial"/>
          <w:b/>
          <w:bCs/>
          <w:sz w:val="22"/>
          <w:szCs w:val="22"/>
          <w:lang w:val="en-GB" w:eastAsia="en-US"/>
        </w:rPr>
        <w:t>free, prior, sustained and informed consent</w:t>
      </w:r>
      <w:r w:rsidRPr="00086ECF">
        <w:rPr>
          <w:rFonts w:ascii="Calibri" w:eastAsia="Calibri" w:hAnsi="Calibri" w:cs="Arial"/>
          <w:sz w:val="22"/>
          <w:szCs w:val="22"/>
          <w:lang w:val="en-GB" w:eastAsia="en-US"/>
        </w:rPr>
        <w:t>.</w:t>
      </w:r>
    </w:p>
    <w:p w14:paraId="2C9C111F" w14:textId="77777777" w:rsidR="00086ECF" w:rsidRPr="00086ECF" w:rsidRDefault="00086ECF" w:rsidP="00086ECF">
      <w:pPr>
        <w:numPr>
          <w:ilvl w:val="0"/>
          <w:numId w:val="15"/>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EP 6: Each community, group or individual should assess the value of its own intangible cultural heritage and this intangible cultural heritage should </w:t>
      </w:r>
      <w:r w:rsidRPr="00086ECF">
        <w:rPr>
          <w:rFonts w:ascii="Calibri" w:eastAsia="Calibri" w:hAnsi="Calibri" w:cs="Arial"/>
          <w:b/>
          <w:bCs/>
          <w:sz w:val="22"/>
          <w:szCs w:val="22"/>
          <w:lang w:val="en-GB" w:eastAsia="en-US"/>
        </w:rPr>
        <w:t>not be subject to external judgements of value or worth</w:t>
      </w:r>
      <w:r w:rsidRPr="00086ECF">
        <w:rPr>
          <w:rFonts w:ascii="Calibri" w:eastAsia="Calibri" w:hAnsi="Calibri" w:cs="Arial"/>
          <w:sz w:val="22"/>
          <w:szCs w:val="22"/>
          <w:lang w:val="en-GB" w:eastAsia="en-US"/>
        </w:rPr>
        <w:t>.</w:t>
      </w:r>
    </w:p>
    <w:p w14:paraId="7A498FED" w14:textId="77777777" w:rsidR="00086ECF" w:rsidRPr="00086ECF" w:rsidRDefault="00086ECF" w:rsidP="00086ECF">
      <w:pPr>
        <w:numPr>
          <w:ilvl w:val="0"/>
          <w:numId w:val="15"/>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EP 7: The communities, groups and individuals who create intangible cultural heritage should </w:t>
      </w:r>
      <w:r w:rsidRPr="00086ECF">
        <w:rPr>
          <w:rFonts w:ascii="Calibri" w:eastAsia="Calibri" w:hAnsi="Calibri" w:cs="Arial"/>
          <w:b/>
          <w:bCs/>
          <w:sz w:val="22"/>
          <w:szCs w:val="22"/>
          <w:lang w:val="en-GB" w:eastAsia="en-US"/>
        </w:rPr>
        <w:t>benefit from the protection</w:t>
      </w:r>
      <w:r w:rsidRPr="00086ECF">
        <w:rPr>
          <w:rFonts w:ascii="Calibri" w:eastAsia="Calibri" w:hAnsi="Calibri" w:cs="Arial"/>
          <w:sz w:val="22"/>
          <w:szCs w:val="22"/>
          <w:lang w:val="en-GB" w:eastAsia="en-US"/>
        </w:rPr>
        <w:t xml:space="preserve"> of the moral and material interests resulting from such heritage, and particularly from its use, research, documentation, </w:t>
      </w:r>
      <w:proofErr w:type="gramStart"/>
      <w:r w:rsidRPr="00086ECF">
        <w:rPr>
          <w:rFonts w:ascii="Calibri" w:eastAsia="Calibri" w:hAnsi="Calibri" w:cs="Arial"/>
          <w:sz w:val="22"/>
          <w:szCs w:val="22"/>
          <w:lang w:val="en-GB" w:eastAsia="en-US"/>
        </w:rPr>
        <w:t>promotion</w:t>
      </w:r>
      <w:proofErr w:type="gramEnd"/>
      <w:r w:rsidRPr="00086ECF">
        <w:rPr>
          <w:rFonts w:ascii="Calibri" w:eastAsia="Calibri" w:hAnsi="Calibri" w:cs="Arial"/>
          <w:sz w:val="22"/>
          <w:szCs w:val="22"/>
          <w:lang w:val="en-GB" w:eastAsia="en-US"/>
        </w:rPr>
        <w:t xml:space="preserve"> or adaptation by members of the communities or others.</w:t>
      </w:r>
    </w:p>
    <w:p w14:paraId="732363BE" w14:textId="77777777" w:rsidR="00086ECF" w:rsidRPr="00086ECF" w:rsidRDefault="00086ECF" w:rsidP="00086ECF">
      <w:pPr>
        <w:numPr>
          <w:ilvl w:val="0"/>
          <w:numId w:val="15"/>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EP 8: The </w:t>
      </w:r>
      <w:r w:rsidRPr="00086ECF">
        <w:rPr>
          <w:rFonts w:ascii="Calibri" w:eastAsia="Calibri" w:hAnsi="Calibri" w:cs="Arial"/>
          <w:b/>
          <w:bCs/>
          <w:sz w:val="22"/>
          <w:szCs w:val="22"/>
          <w:lang w:val="en-GB" w:eastAsia="en-US"/>
        </w:rPr>
        <w:t>dynamic and living nature of intangible cultural heritage</w:t>
      </w:r>
      <w:r w:rsidRPr="00086ECF">
        <w:rPr>
          <w:rFonts w:ascii="Calibri" w:eastAsia="Calibri" w:hAnsi="Calibri" w:cs="Arial"/>
          <w:sz w:val="22"/>
          <w:szCs w:val="22"/>
          <w:lang w:val="en-GB" w:eastAsia="en-US"/>
        </w:rPr>
        <w:t xml:space="preserve"> should be continuously respected. Authenticity and exclusivity should not constitute concerns and obstacles in the safeguarding of intangible cultural heritage.</w:t>
      </w:r>
    </w:p>
    <w:p w14:paraId="2FB6588D" w14:textId="77777777" w:rsidR="00086ECF" w:rsidRPr="00086ECF" w:rsidRDefault="00086ECF" w:rsidP="00035309">
      <w:pPr>
        <w:numPr>
          <w:ilvl w:val="0"/>
          <w:numId w:val="15"/>
        </w:numPr>
        <w:spacing w:after="160" w:line="257" w:lineRule="auto"/>
        <w:ind w:left="714" w:hanging="357"/>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EP 10: Communities, groups and, where applicable, individuals should play a significant role in determining what constitutes </w:t>
      </w:r>
      <w:r w:rsidRPr="00086ECF">
        <w:rPr>
          <w:rFonts w:ascii="Calibri" w:eastAsia="Calibri" w:hAnsi="Calibri" w:cs="Arial"/>
          <w:b/>
          <w:bCs/>
          <w:sz w:val="22"/>
          <w:szCs w:val="22"/>
          <w:lang w:val="en-GB" w:eastAsia="en-US"/>
        </w:rPr>
        <w:t>threats to their intangible cultural heritage</w:t>
      </w:r>
      <w:r w:rsidRPr="00086ECF">
        <w:rPr>
          <w:rFonts w:ascii="Calibri" w:eastAsia="Calibri" w:hAnsi="Calibri" w:cs="Arial"/>
          <w:sz w:val="22"/>
          <w:szCs w:val="22"/>
          <w:lang w:val="en-GB" w:eastAsia="en-US"/>
        </w:rPr>
        <w:t xml:space="preserve"> including the decontextualization, commodification and misrepresentation of it and in deciding how to prevent and mitigate such threats.</w:t>
      </w:r>
    </w:p>
    <w:p w14:paraId="016FDBB0" w14:textId="77777777" w:rsidR="00086ECF" w:rsidRPr="00086ECF" w:rsidRDefault="00086ECF" w:rsidP="00086ECF">
      <w:pPr>
        <w:keepNext/>
        <w:keepLines/>
        <w:spacing w:before="40" w:line="256" w:lineRule="auto"/>
        <w:jc w:val="both"/>
        <w:outlineLvl w:val="1"/>
        <w:rPr>
          <w:rFonts w:ascii="Calibri Light" w:eastAsia="DengXian Light" w:hAnsi="Calibri Light"/>
          <w:color w:val="2F5496"/>
          <w:sz w:val="26"/>
          <w:szCs w:val="26"/>
          <w:lang w:val="en-GB" w:eastAsia="en-US"/>
        </w:rPr>
      </w:pPr>
      <w:bookmarkStart w:id="8" w:name="_Toc127519983"/>
      <w:r w:rsidRPr="00086ECF">
        <w:rPr>
          <w:rFonts w:ascii="Calibri Light" w:eastAsia="DengXian Light" w:hAnsi="Calibri Light"/>
          <w:color w:val="2F5496"/>
          <w:sz w:val="26"/>
          <w:szCs w:val="26"/>
          <w:lang w:val="en-GB" w:eastAsia="en-US"/>
        </w:rPr>
        <w:t>The Operational Directives on safeguarding and sustainable development, 2016</w:t>
      </w:r>
      <w:bookmarkEnd w:id="8"/>
    </w:p>
    <w:p w14:paraId="3B4BA6D6"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Chapter VI of the Operational Directives on safeguarding ICH and sustainable development at the national level was approved for insertion into the Operational Directives at the sixth session of the General Assembly (6.GA) in 2016.</w:t>
      </w:r>
      <w:r w:rsidRPr="00086ECF">
        <w:rPr>
          <w:rFonts w:ascii="Calibri" w:eastAsia="Calibri" w:hAnsi="Calibri" w:cs="Arial"/>
          <w:sz w:val="22"/>
          <w:szCs w:val="22"/>
          <w:vertAlign w:val="superscript"/>
          <w:lang w:val="en-GB" w:eastAsia="en-US"/>
        </w:rPr>
        <w:footnoteReference w:id="15"/>
      </w:r>
      <w:r w:rsidRPr="00086ECF">
        <w:rPr>
          <w:rFonts w:ascii="Calibri" w:eastAsia="Calibri" w:hAnsi="Calibri" w:cs="Arial"/>
          <w:sz w:val="22"/>
          <w:szCs w:val="22"/>
          <w:lang w:val="en-GB" w:eastAsia="en-US"/>
        </w:rPr>
        <w:t xml:space="preserve"> </w:t>
      </w:r>
    </w:p>
    <w:p w14:paraId="604C268D"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Chapter VI explicitly recognized the ‘interdependence between the safeguarding of intangible cultural heritage and sustainable development’ (OD 170). The section on ‘inclusive economic development’ (VI.2) encouraged States Parties to acknowledge that ‘</w:t>
      </w:r>
      <w:r w:rsidRPr="00086ECF">
        <w:rPr>
          <w:rFonts w:ascii="Calibri" w:eastAsia="Calibri" w:hAnsi="Calibri" w:cs="Arial"/>
          <w:sz w:val="22"/>
          <w:szCs w:val="22"/>
          <w:lang w:val="en-US" w:eastAsia="en-US"/>
        </w:rPr>
        <w:t>the safeguarding of the intangible cultural heritage contributes to inclusive economic development’ (OD 183) and ‘to take full advantage of intangible cultural heritage as a powerful force for inclusive and equitable economic development’ (OD 184). This included efforts ‘to recognize, promote and enhance the contribution of intangible cultural heritage to generating income and sustaining livelihoods’ (OD 185) and promoting ‘productive employment and decent work’ (OD 186) for communities, groups and individuals concerned.</w:t>
      </w:r>
    </w:p>
    <w:p w14:paraId="646FC71D"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US" w:eastAsia="en-US"/>
        </w:rPr>
        <w:lastRenderedPageBreak/>
        <w:t xml:space="preserve">In line with earlier versions of the texts, this was not, however, to be understood as an open invitation to exploit ICH for economic gain. The ODs reminded States Parties that sustainable development depends on ‘stable, equitable and inclusive economic growth based on sustainable patterns of production and consumption’ involving ‘reduction of poverty and inequalities, productive and decent employment’ and ‘affordable, reliable, sustainable, renewable’ and efficient resource use (OD 183). Inclusive economic development was defined as ‘encompassing a diversity of productive activities with both monetary and non-monetary </w:t>
      </w:r>
      <w:proofErr w:type="gramStart"/>
      <w:r w:rsidRPr="00086ECF">
        <w:rPr>
          <w:rFonts w:ascii="Calibri" w:eastAsia="Calibri" w:hAnsi="Calibri" w:cs="Arial"/>
          <w:sz w:val="22"/>
          <w:szCs w:val="22"/>
          <w:lang w:val="en-US" w:eastAsia="en-US"/>
        </w:rPr>
        <w:t>value, and</w:t>
      </w:r>
      <w:proofErr w:type="gramEnd"/>
      <w:r w:rsidRPr="00086ECF">
        <w:rPr>
          <w:rFonts w:ascii="Calibri" w:eastAsia="Calibri" w:hAnsi="Calibri" w:cs="Arial"/>
          <w:sz w:val="22"/>
          <w:szCs w:val="22"/>
          <w:lang w:val="en-US" w:eastAsia="en-US"/>
        </w:rPr>
        <w:t xml:space="preserve"> contributing in particular to strengthening local economies’ (OD 184). In line with the Ethical Principles (especially EP 7), the new Chapter reminded States Parties that communities, </w:t>
      </w:r>
      <w:proofErr w:type="gramStart"/>
      <w:r w:rsidRPr="00086ECF">
        <w:rPr>
          <w:rFonts w:ascii="Calibri" w:eastAsia="Calibri" w:hAnsi="Calibri" w:cs="Arial"/>
          <w:sz w:val="22"/>
          <w:szCs w:val="22"/>
          <w:lang w:val="en-US" w:eastAsia="en-US"/>
        </w:rPr>
        <w:t>groups</w:t>
      </w:r>
      <w:proofErr w:type="gramEnd"/>
      <w:r w:rsidRPr="00086ECF">
        <w:rPr>
          <w:rFonts w:ascii="Calibri" w:eastAsia="Calibri" w:hAnsi="Calibri" w:cs="Arial"/>
          <w:sz w:val="22"/>
          <w:szCs w:val="22"/>
          <w:lang w:val="en-US" w:eastAsia="en-US"/>
        </w:rPr>
        <w:t xml:space="preserve"> and individuals concerned should be the ‘primary beneficiaries of income generated as a result of their own intangible cultural heritage’ (OD 185(b)(ii)), and they should enjoy the benefits of decent work and productive employment associated with it (OD 186(b)(</w:t>
      </w:r>
      <w:proofErr w:type="spellStart"/>
      <w:r w:rsidRPr="00086ECF">
        <w:rPr>
          <w:rFonts w:ascii="Calibri" w:eastAsia="Calibri" w:hAnsi="Calibri" w:cs="Arial"/>
          <w:sz w:val="22"/>
          <w:szCs w:val="22"/>
          <w:lang w:val="en-US" w:eastAsia="en-US"/>
        </w:rPr>
        <w:t>i</w:t>
      </w:r>
      <w:proofErr w:type="spellEnd"/>
      <w:r w:rsidRPr="00086ECF">
        <w:rPr>
          <w:rFonts w:ascii="Calibri" w:eastAsia="Calibri" w:hAnsi="Calibri" w:cs="Arial"/>
          <w:sz w:val="22"/>
          <w:szCs w:val="22"/>
          <w:lang w:val="en-US" w:eastAsia="en-US"/>
        </w:rPr>
        <w:t>) and (ii)).</w:t>
      </w:r>
    </w:p>
    <w:p w14:paraId="2F367FD9"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US" w:eastAsia="en-US"/>
        </w:rPr>
        <w:t>States Parties were thus encouraged to find a ‘balance between the three dimensions of sustainable development (the economic, social and environmental)’ (OD 170). They were encouraged to ensure that development plans would ‘respect ethical considerations’ and ‘not negatively affect the viability of the intangible cultural heritage concerned or de-contextualize or denaturalize that heritage’ (OD 171). To this end, States Parties were encouraged to ensure that ‘the rights of communities, groups and individuals concerned were duly protected through the application of intellectual property rights, privacy rights and any other appropriate form of legal protection when raising awareness about their heritage or engaging in commercial activities’ (OD 173(b)). This generalized the frame of reference for OD 104 from awareness raising activities to any development intervention.</w:t>
      </w:r>
    </w:p>
    <w:p w14:paraId="58D37947"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US" w:eastAsia="en-US"/>
        </w:rPr>
        <w:t xml:space="preserve">Chapter VI.2.3 raised specific concerns that tourism might diminish or threaten the ‘viability, social </w:t>
      </w:r>
      <w:proofErr w:type="gramStart"/>
      <w:r w:rsidRPr="00086ECF">
        <w:rPr>
          <w:rFonts w:ascii="Calibri" w:eastAsia="Calibri" w:hAnsi="Calibri" w:cs="Arial"/>
          <w:sz w:val="22"/>
          <w:szCs w:val="22"/>
          <w:lang w:val="en-US" w:eastAsia="en-US"/>
        </w:rPr>
        <w:t>functions</w:t>
      </w:r>
      <w:proofErr w:type="gramEnd"/>
      <w:r w:rsidRPr="00086ECF">
        <w:rPr>
          <w:rFonts w:ascii="Calibri" w:eastAsia="Calibri" w:hAnsi="Calibri" w:cs="Arial"/>
          <w:sz w:val="22"/>
          <w:szCs w:val="22"/>
          <w:lang w:val="en-US" w:eastAsia="en-US"/>
        </w:rPr>
        <w:t xml:space="preserve"> and cultural meanings’ of the ICH (OD 187(b)(ii)). States Parties were reminded about the importance of ensuring that tourism linked to ICH did not have negative effects on ICH safeguarding and the sustainable development of the communities, groups and individuals concerned (OD 187(a)). Some specific mitigations were proposed to this end, such as advance impact studies and ethical guidelines for tourists and tourism agencies. The mitigations proposed in the ODs to address problems such as over-commercialization and decontextualization </w:t>
      </w:r>
      <w:proofErr w:type="gramStart"/>
      <w:r w:rsidRPr="00086ECF">
        <w:rPr>
          <w:rFonts w:ascii="Calibri" w:eastAsia="Calibri" w:hAnsi="Calibri" w:cs="Arial"/>
          <w:sz w:val="22"/>
          <w:szCs w:val="22"/>
          <w:lang w:val="en-US" w:eastAsia="en-US"/>
        </w:rPr>
        <w:t>in regard to</w:t>
      </w:r>
      <w:proofErr w:type="gramEnd"/>
      <w:r w:rsidRPr="00086ECF">
        <w:rPr>
          <w:rFonts w:ascii="Calibri" w:eastAsia="Calibri" w:hAnsi="Calibri" w:cs="Arial"/>
          <w:sz w:val="22"/>
          <w:szCs w:val="22"/>
          <w:lang w:val="en-US" w:eastAsia="en-US"/>
        </w:rPr>
        <w:t xml:space="preserve"> tourism (and indeed awareness-raising activities) may have general relevance to negative effects of economic activities, so all proposed safeguarding approaches will be presented as a whole later in this report.</w:t>
      </w:r>
    </w:p>
    <w:p w14:paraId="43E083A4" w14:textId="77777777" w:rsidR="00086ECF" w:rsidRPr="00086ECF" w:rsidRDefault="00086ECF" w:rsidP="00086ECF">
      <w:pPr>
        <w:keepNext/>
        <w:keepLines/>
        <w:spacing w:before="240" w:line="256" w:lineRule="auto"/>
        <w:outlineLvl w:val="0"/>
        <w:rPr>
          <w:rFonts w:ascii="Calibri Light" w:eastAsia="DengXian Light" w:hAnsi="Calibri Light"/>
          <w:color w:val="2F5496"/>
          <w:sz w:val="32"/>
          <w:szCs w:val="32"/>
          <w:lang w:val="en-US" w:eastAsia="en-US"/>
        </w:rPr>
      </w:pPr>
      <w:bookmarkStart w:id="9" w:name="_Toc127519984"/>
      <w:r w:rsidRPr="00086ECF">
        <w:rPr>
          <w:rFonts w:ascii="Calibri Light" w:eastAsia="DengXian Light" w:hAnsi="Calibri Light"/>
          <w:color w:val="2F5496"/>
          <w:sz w:val="32"/>
          <w:szCs w:val="32"/>
          <w:lang w:val="en-US" w:eastAsia="en-US"/>
        </w:rPr>
        <w:t>Decisions of the Committee and recommendations of its evaluating bodies</w:t>
      </w:r>
      <w:bookmarkEnd w:id="9"/>
    </w:p>
    <w:p w14:paraId="1727052B" w14:textId="4FDC4840" w:rsidR="00086ECF" w:rsidRPr="00086ECF" w:rsidRDefault="00086ECF" w:rsidP="00086ECF">
      <w:pPr>
        <w:keepNext/>
        <w:keepLines/>
        <w:spacing w:before="40" w:line="256" w:lineRule="auto"/>
        <w:jc w:val="both"/>
        <w:outlineLvl w:val="1"/>
        <w:rPr>
          <w:rFonts w:ascii="Calibri Light" w:eastAsia="DengXian Light" w:hAnsi="Calibri Light"/>
          <w:color w:val="2F5496"/>
          <w:sz w:val="26"/>
          <w:szCs w:val="26"/>
          <w:lang w:val="en-US" w:eastAsia="en-US"/>
        </w:rPr>
      </w:pPr>
      <w:bookmarkStart w:id="10" w:name="_Toc127519985"/>
      <w:r w:rsidRPr="00086ECF">
        <w:rPr>
          <w:rFonts w:ascii="Calibri Light" w:eastAsia="DengXian Light" w:hAnsi="Calibri Light"/>
          <w:color w:val="2F5496"/>
          <w:sz w:val="26"/>
          <w:szCs w:val="26"/>
          <w:lang w:val="en-US" w:eastAsia="en-US"/>
        </w:rPr>
        <w:t>Identifying over-commercialization and decontextualization</w:t>
      </w:r>
      <w:bookmarkEnd w:id="10"/>
    </w:p>
    <w:p w14:paraId="4EFE0D40"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US" w:eastAsia="en-US"/>
        </w:rPr>
        <w:t xml:space="preserve">Starting with </w:t>
      </w:r>
      <w:r w:rsidRPr="00086ECF">
        <w:rPr>
          <w:rFonts w:ascii="Calibri" w:eastAsia="Calibri" w:hAnsi="Calibri" w:cs="Arial"/>
          <w:sz w:val="22"/>
          <w:szCs w:val="22"/>
          <w:lang w:val="en-GB" w:eastAsia="en-US"/>
        </w:rPr>
        <w:t xml:space="preserve">the </w:t>
      </w:r>
      <w:r w:rsidRPr="00086ECF">
        <w:rPr>
          <w:rFonts w:ascii="Calibri" w:eastAsia="Calibri" w:hAnsi="Calibri" w:cs="Arial"/>
          <w:sz w:val="22"/>
          <w:szCs w:val="22"/>
          <w:lang w:val="en-US" w:eastAsia="en-US"/>
        </w:rPr>
        <w:t>2015 cycle, and in conformity with paragraph 27 of the Operational Directive</w:t>
      </w:r>
      <w:r w:rsidRPr="00086ECF">
        <w:rPr>
          <w:rFonts w:ascii="Calibri" w:eastAsia="Calibri" w:hAnsi="Calibri" w:cs="Arial"/>
          <w:sz w:val="22"/>
          <w:szCs w:val="22"/>
          <w:lang w:val="en-GB" w:eastAsia="en-US"/>
        </w:rPr>
        <w:t>s</w:t>
      </w:r>
      <w:r w:rsidRPr="00086ECF">
        <w:rPr>
          <w:rFonts w:ascii="Calibri" w:eastAsia="Calibri" w:hAnsi="Calibri" w:cs="Arial"/>
          <w:sz w:val="22"/>
          <w:szCs w:val="22"/>
          <w:lang w:val="en-US" w:eastAsia="en-US"/>
        </w:rPr>
        <w:t xml:space="preserve">, the Committee established a consultative body (the ‘Evaluation Body’) to </w:t>
      </w:r>
      <w:r w:rsidRPr="00086ECF">
        <w:rPr>
          <w:rFonts w:ascii="Calibri" w:eastAsia="Calibri" w:hAnsi="Calibri" w:cs="Arial"/>
          <w:sz w:val="22"/>
          <w:szCs w:val="22"/>
          <w:lang w:val="en-GB" w:eastAsia="en-US"/>
        </w:rPr>
        <w:t>evaluate</w:t>
      </w:r>
      <w:r w:rsidRPr="00086ECF">
        <w:rPr>
          <w:rFonts w:ascii="Calibri" w:eastAsia="Calibri" w:hAnsi="Calibri" w:cs="Arial"/>
          <w:sz w:val="22"/>
          <w:szCs w:val="22"/>
          <w:lang w:val="en-US" w:eastAsia="en-US"/>
        </w:rPr>
        <w:t xml:space="preserve"> the nominations to the Lists</w:t>
      </w:r>
      <w:r w:rsidRPr="00086ECF">
        <w:rPr>
          <w:rFonts w:ascii="Calibri" w:eastAsia="Calibri" w:hAnsi="Calibri" w:cs="Arial"/>
          <w:sz w:val="22"/>
          <w:szCs w:val="22"/>
          <w:lang w:val="en-GB" w:eastAsia="en-US"/>
        </w:rPr>
        <w:t>, the proposals for the Register of Good Safeguarding Practices and some International Assistance requests</w:t>
      </w:r>
      <w:r w:rsidRPr="00086ECF">
        <w:rPr>
          <w:rFonts w:ascii="Calibri" w:eastAsia="Calibri" w:hAnsi="Calibri" w:cs="Arial"/>
          <w:sz w:val="22"/>
          <w:szCs w:val="22"/>
          <w:lang w:val="en-US" w:eastAsia="en-US"/>
        </w:rPr>
        <w:t>. This Body replaced earlier bodies that had performed evaluation functions for the Committee, including the Consultative Body (responsible for evaluation of nominations for inscription on the Urgent Safeguarding List, the Register of Best Practices and international assistance requests) and the Subsidiary Body (</w:t>
      </w:r>
      <w:r w:rsidRPr="00086ECF">
        <w:rPr>
          <w:rFonts w:ascii="Calibri" w:eastAsia="Calibri" w:hAnsi="Calibri" w:cs="Arial"/>
          <w:sz w:val="22"/>
          <w:szCs w:val="22"/>
          <w:lang w:val="en-GB" w:eastAsia="en-US"/>
        </w:rPr>
        <w:t>responsible for the evaluation of nominations for inscription on the Representative List</w:t>
      </w:r>
      <w:r w:rsidRPr="00086ECF">
        <w:rPr>
          <w:rFonts w:ascii="Calibri" w:eastAsia="Calibri" w:hAnsi="Calibri" w:cs="Arial"/>
          <w:sz w:val="22"/>
          <w:szCs w:val="22"/>
          <w:lang w:val="en-US" w:eastAsia="en-US"/>
        </w:rPr>
        <w:t>). The recommendations of these bodies will be included in the analysis below.</w:t>
      </w:r>
    </w:p>
    <w:p w14:paraId="034F26CC"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US" w:eastAsia="en-US"/>
        </w:rPr>
        <w:t>Three themes can be identified in the deliberations of the Committee and its various evaluation bodies</w:t>
      </w:r>
      <w:r w:rsidRPr="00086ECF">
        <w:rPr>
          <w:rFonts w:ascii="Calibri" w:eastAsia="Calibri" w:hAnsi="Calibri" w:cs="Arial"/>
          <w:sz w:val="22"/>
          <w:szCs w:val="22"/>
          <w:vertAlign w:val="superscript"/>
          <w:lang w:val="en-US" w:eastAsia="en-US"/>
        </w:rPr>
        <w:footnoteReference w:id="16"/>
      </w:r>
      <w:r w:rsidRPr="00086ECF">
        <w:rPr>
          <w:rFonts w:ascii="Calibri" w:eastAsia="Calibri" w:hAnsi="Calibri" w:cs="Arial"/>
          <w:sz w:val="22"/>
          <w:szCs w:val="22"/>
          <w:lang w:val="en-US" w:eastAsia="en-US"/>
        </w:rPr>
        <w:t xml:space="preserve"> for the purposes of this analysis: </w:t>
      </w:r>
    </w:p>
    <w:p w14:paraId="0E900BB9" w14:textId="50CC8D53" w:rsidR="00086ECF" w:rsidRPr="00086ECF" w:rsidRDefault="00086ECF" w:rsidP="00086ECF">
      <w:pPr>
        <w:numPr>
          <w:ilvl w:val="0"/>
          <w:numId w:val="16"/>
        </w:numPr>
        <w:spacing w:after="160" w:line="256" w:lineRule="auto"/>
        <w:jc w:val="both"/>
        <w:rPr>
          <w:rFonts w:ascii="Calibri" w:eastAsia="Calibri" w:hAnsi="Calibri" w:cs="Arial"/>
          <w:sz w:val="22"/>
          <w:szCs w:val="22"/>
          <w:lang w:val="en-GB" w:eastAsia="en-US"/>
        </w:rPr>
      </w:pPr>
      <w:bookmarkStart w:id="11" w:name="_Hlk80268168"/>
      <w:r w:rsidRPr="00086ECF">
        <w:rPr>
          <w:rFonts w:ascii="Calibri" w:eastAsia="Calibri" w:hAnsi="Calibri" w:cs="Arial"/>
          <w:sz w:val="22"/>
          <w:szCs w:val="22"/>
          <w:lang w:val="en-US" w:eastAsia="en-US"/>
        </w:rPr>
        <w:t xml:space="preserve">Increased concern about mitigating negative effects of economic activities on ICH </w:t>
      </w:r>
      <w:proofErr w:type="gramStart"/>
      <w:r w:rsidRPr="00086ECF">
        <w:rPr>
          <w:rFonts w:ascii="Calibri" w:eastAsia="Calibri" w:hAnsi="Calibri" w:cs="Arial"/>
          <w:sz w:val="22"/>
          <w:szCs w:val="22"/>
          <w:lang w:val="en-US" w:eastAsia="en-US"/>
        </w:rPr>
        <w:t>safeguarding</w:t>
      </w:r>
      <w:proofErr w:type="gramEnd"/>
    </w:p>
    <w:p w14:paraId="471E60BF" w14:textId="52568D55" w:rsidR="00086ECF" w:rsidRPr="00086ECF" w:rsidRDefault="00086ECF" w:rsidP="00086ECF">
      <w:pPr>
        <w:numPr>
          <w:ilvl w:val="0"/>
          <w:numId w:val="16"/>
        </w:num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US" w:eastAsia="en-US"/>
        </w:rPr>
        <w:lastRenderedPageBreak/>
        <w:t>Finding a ‘proper balance’ between ICH safeguarding and economic activities</w:t>
      </w:r>
    </w:p>
    <w:p w14:paraId="73725421" w14:textId="77777777" w:rsidR="00086ECF" w:rsidRPr="00086ECF" w:rsidRDefault="00086ECF" w:rsidP="003927D9">
      <w:pPr>
        <w:numPr>
          <w:ilvl w:val="0"/>
          <w:numId w:val="16"/>
        </w:numPr>
        <w:spacing w:after="480"/>
        <w:ind w:left="714" w:hanging="357"/>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Maintaining </w:t>
      </w:r>
      <w:bookmarkEnd w:id="11"/>
      <w:r w:rsidRPr="00086ECF">
        <w:rPr>
          <w:rFonts w:ascii="Calibri" w:eastAsia="Calibri" w:hAnsi="Calibri" w:cs="Arial"/>
          <w:sz w:val="22"/>
          <w:szCs w:val="22"/>
          <w:lang w:val="en-GB" w:eastAsia="en-US"/>
        </w:rPr>
        <w:t>the context of ICH, avoiding decontextualization and over-commercialization</w:t>
      </w:r>
    </w:p>
    <w:p w14:paraId="500E4CF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Within these broad themes, the Committee (and its evaluation bodies) have reflected not just on the safeguarding of ICH elements themselves, but on the role of the listing mechanisms in safeguarding, including addressing possible unintended negative effects of inscription.</w:t>
      </w:r>
    </w:p>
    <w:p w14:paraId="4FACBBB0"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US" w:eastAsia="en-US"/>
        </w:rPr>
      </w:pPr>
      <w:bookmarkStart w:id="12" w:name="_Toc127519986"/>
      <w:r w:rsidRPr="00086ECF">
        <w:rPr>
          <w:rFonts w:ascii="Calibri Light" w:eastAsia="DengXian Light" w:hAnsi="Calibri Light"/>
          <w:color w:val="1F3763"/>
          <w:lang w:val="en-US" w:eastAsia="en-US"/>
        </w:rPr>
        <w:t xml:space="preserve">Increased concern about mitigating negative effects of economic activities on ICH </w:t>
      </w:r>
      <w:proofErr w:type="gramStart"/>
      <w:r w:rsidRPr="00086ECF">
        <w:rPr>
          <w:rFonts w:ascii="Calibri Light" w:eastAsia="DengXian Light" w:hAnsi="Calibri Light"/>
          <w:color w:val="1F3763"/>
          <w:lang w:val="en-US" w:eastAsia="en-US"/>
        </w:rPr>
        <w:t>safeguarding</w:t>
      </w:r>
      <w:bookmarkEnd w:id="12"/>
      <w:proofErr w:type="gramEnd"/>
      <w:r w:rsidRPr="00086ECF">
        <w:rPr>
          <w:rFonts w:ascii="Calibri Light" w:eastAsia="DengXian Light" w:hAnsi="Calibri Light"/>
          <w:color w:val="1F3763"/>
          <w:lang w:val="en-US" w:eastAsia="en-US"/>
        </w:rPr>
        <w:t xml:space="preserve"> </w:t>
      </w:r>
    </w:p>
    <w:p w14:paraId="30A91BBE" w14:textId="5E993B3D"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As indicated above, the Operational Directives recognize that economic activities can promote awareness-raising and income generation as part of ICH safeguarding (OD 116), and enable equitable remuneration for communities, groups and individuals concerned in economic activities linked to their ICH, promoting decent work and sustainable livelihoods (OD 185-187, EP 10). In 2013, the Committee</w:t>
      </w:r>
    </w:p>
    <w:p w14:paraId="629A0277"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Note[d] with satisfaction the submission of nominations that demonstrate a clear link between intangible cultural heritage and sustainable development and encourages States Parties to continue to submit nominations that highlight this relationship.</w:t>
      </w:r>
      <w:r w:rsidRPr="00086ECF">
        <w:rPr>
          <w:rFonts w:ascii="Calibri" w:eastAsia="Calibri" w:hAnsi="Calibri" w:cs="Arial"/>
          <w:i/>
          <w:iCs/>
          <w:color w:val="404040"/>
          <w:sz w:val="22"/>
          <w:szCs w:val="22"/>
          <w:vertAlign w:val="superscript"/>
          <w:lang w:val="en-GB" w:eastAsia="en-US"/>
        </w:rPr>
        <w:footnoteReference w:id="17"/>
      </w:r>
      <w:r w:rsidRPr="00086ECF">
        <w:rPr>
          <w:rFonts w:ascii="Calibri" w:eastAsia="Calibri" w:hAnsi="Calibri" w:cs="Arial"/>
          <w:i/>
          <w:iCs/>
          <w:color w:val="404040"/>
          <w:sz w:val="22"/>
          <w:szCs w:val="22"/>
          <w:lang w:val="en-GB" w:eastAsia="en-US"/>
        </w:rPr>
        <w:t xml:space="preserve"> </w:t>
      </w:r>
    </w:p>
    <w:p w14:paraId="495D8325"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Evaluation Body report in 2019 suggested that while economic activities offer potential benefits to communities, groups and individuals concerned, they may also pose threats to ICH safeguarding:</w:t>
      </w:r>
    </w:p>
    <w:p w14:paraId="237CFC35"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US" w:eastAsia="en-US"/>
        </w:rPr>
        <w:t>In many cases, elements of intangible cultural heritage are directly linked to economic activities, either as part of a productive chain, in the case of crafts, or as a tourist attraction, spectacle or other source of income for the communities concerned. … The commercialization of an element cannot be described as positive or negative per se. Elements such as crafts or musical practices include a commercial aspect that can provide the communities concerned with a source of income, but which can also be the strongest threat to the element.</w:t>
      </w:r>
      <w:r w:rsidRPr="00086ECF">
        <w:rPr>
          <w:rFonts w:ascii="Calibri" w:eastAsia="Calibri" w:hAnsi="Calibri" w:cs="Arial"/>
          <w:i/>
          <w:iCs/>
          <w:color w:val="404040"/>
          <w:sz w:val="22"/>
          <w:szCs w:val="22"/>
          <w:vertAlign w:val="superscript"/>
          <w:lang w:val="en-US" w:eastAsia="en-US"/>
        </w:rPr>
        <w:footnoteReference w:id="18"/>
      </w:r>
    </w:p>
    <w:p w14:paraId="0CE447F6"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In decisions on nomination files and proposals to the Register, the Committee and its evaluation bodies have, for example, found that certain forms of commercialization (especially over-commercialization or ‘over-exploitation’)</w:t>
      </w:r>
      <w:r w:rsidRPr="00086ECF">
        <w:rPr>
          <w:rFonts w:ascii="Calibri" w:eastAsia="Calibri" w:hAnsi="Calibri" w:cs="Arial"/>
          <w:sz w:val="22"/>
          <w:szCs w:val="22"/>
          <w:vertAlign w:val="superscript"/>
          <w:lang w:val="en-GB" w:eastAsia="en-US"/>
        </w:rPr>
        <w:footnoteReference w:id="19"/>
      </w:r>
      <w:r w:rsidRPr="00086ECF">
        <w:rPr>
          <w:rFonts w:ascii="Calibri" w:eastAsia="Calibri" w:hAnsi="Calibri" w:cs="Arial"/>
          <w:sz w:val="22"/>
          <w:szCs w:val="22"/>
          <w:lang w:val="en-GB" w:eastAsia="en-US"/>
        </w:rPr>
        <w:t xml:space="preserve"> could result in excessive demand,</w:t>
      </w:r>
      <w:r w:rsidRPr="00086ECF">
        <w:rPr>
          <w:rFonts w:ascii="Calibri" w:eastAsia="Calibri" w:hAnsi="Calibri" w:cs="Arial"/>
          <w:sz w:val="22"/>
          <w:szCs w:val="22"/>
          <w:vertAlign w:val="superscript"/>
          <w:lang w:val="en-GB" w:eastAsia="en-US"/>
        </w:rPr>
        <w:footnoteReference w:id="20"/>
      </w:r>
      <w:r w:rsidRPr="00086ECF">
        <w:rPr>
          <w:rFonts w:ascii="Calibri" w:eastAsia="Calibri" w:hAnsi="Calibri" w:cs="Arial"/>
          <w:sz w:val="22"/>
          <w:szCs w:val="22"/>
          <w:lang w:val="en-GB" w:eastAsia="en-US"/>
        </w:rPr>
        <w:t xml:space="preserve"> ‘industrialization’,</w:t>
      </w:r>
      <w:r w:rsidRPr="00086ECF">
        <w:rPr>
          <w:rFonts w:ascii="Calibri" w:eastAsia="Calibri" w:hAnsi="Calibri" w:cs="Arial"/>
          <w:sz w:val="22"/>
          <w:szCs w:val="22"/>
          <w:vertAlign w:val="superscript"/>
          <w:lang w:val="en-GB" w:eastAsia="en-US"/>
        </w:rPr>
        <w:footnoteReference w:id="21"/>
      </w:r>
      <w:r w:rsidRPr="00086ECF">
        <w:rPr>
          <w:rFonts w:ascii="Calibri" w:eastAsia="Calibri" w:hAnsi="Calibri" w:cs="Arial"/>
          <w:sz w:val="22"/>
          <w:szCs w:val="22"/>
          <w:lang w:val="en-GB" w:eastAsia="en-US"/>
        </w:rPr>
        <w:t xml:space="preserve"> or ‘homogenization of consumption’.</w:t>
      </w:r>
      <w:r w:rsidRPr="00086ECF">
        <w:rPr>
          <w:rFonts w:ascii="Calibri" w:eastAsia="Calibri" w:hAnsi="Calibri" w:cs="Arial"/>
          <w:sz w:val="22"/>
          <w:szCs w:val="22"/>
          <w:vertAlign w:val="superscript"/>
          <w:lang w:val="en-GB" w:eastAsia="en-US"/>
        </w:rPr>
        <w:footnoteReference w:id="22"/>
      </w:r>
      <w:r w:rsidRPr="00086ECF">
        <w:rPr>
          <w:rFonts w:ascii="Calibri" w:eastAsia="Calibri" w:hAnsi="Calibri" w:cs="Arial"/>
          <w:sz w:val="22"/>
          <w:szCs w:val="22"/>
          <w:lang w:val="en-GB" w:eastAsia="en-US"/>
        </w:rPr>
        <w:t xml:space="preserve"> Misappropriation or lack of community engagement in commercial opportunities could deny equitable benefit to communities concerned.</w:t>
      </w:r>
      <w:r w:rsidRPr="00086ECF">
        <w:rPr>
          <w:rFonts w:ascii="Calibri" w:eastAsia="Calibri" w:hAnsi="Calibri" w:cs="Arial"/>
          <w:sz w:val="22"/>
          <w:szCs w:val="22"/>
          <w:vertAlign w:val="superscript"/>
          <w:lang w:val="en-GB" w:eastAsia="en-US"/>
        </w:rPr>
        <w:footnoteReference w:id="23"/>
      </w:r>
      <w:r w:rsidRPr="00086ECF">
        <w:rPr>
          <w:rFonts w:ascii="Calibri" w:eastAsia="Calibri" w:hAnsi="Calibri" w:cs="Arial"/>
          <w:sz w:val="22"/>
          <w:szCs w:val="22"/>
          <w:lang w:val="en-GB" w:eastAsia="en-US"/>
        </w:rPr>
        <w:t xml:space="preserve"> Uncontrolled economic engagement could also promote excessive public attention,</w:t>
      </w:r>
      <w:r w:rsidRPr="00086ECF">
        <w:rPr>
          <w:rFonts w:ascii="Calibri" w:eastAsia="Calibri" w:hAnsi="Calibri" w:cs="Arial"/>
          <w:sz w:val="22"/>
          <w:szCs w:val="22"/>
          <w:vertAlign w:val="superscript"/>
          <w:lang w:val="en-GB" w:eastAsia="en-US"/>
        </w:rPr>
        <w:footnoteReference w:id="24"/>
      </w:r>
      <w:r w:rsidRPr="00086ECF">
        <w:rPr>
          <w:rFonts w:ascii="Calibri" w:eastAsia="Calibri" w:hAnsi="Calibri" w:cs="Arial"/>
          <w:sz w:val="22"/>
          <w:szCs w:val="22"/>
          <w:lang w:val="en-GB" w:eastAsia="en-US"/>
        </w:rPr>
        <w:t xml:space="preserve"> change the cultural meaning</w:t>
      </w:r>
      <w:r w:rsidRPr="00086ECF">
        <w:rPr>
          <w:rFonts w:ascii="Calibri" w:eastAsia="Calibri" w:hAnsi="Calibri" w:cs="Arial"/>
          <w:sz w:val="22"/>
          <w:szCs w:val="22"/>
          <w:vertAlign w:val="superscript"/>
          <w:lang w:val="en-GB" w:eastAsia="en-US"/>
        </w:rPr>
        <w:footnoteReference w:id="25"/>
      </w:r>
      <w:r w:rsidRPr="00086ECF">
        <w:rPr>
          <w:rFonts w:ascii="Calibri" w:eastAsia="Calibri" w:hAnsi="Calibri" w:cs="Arial"/>
          <w:sz w:val="22"/>
          <w:szCs w:val="22"/>
          <w:lang w:val="en-GB" w:eastAsia="en-US"/>
        </w:rPr>
        <w:t xml:space="preserve"> or shift the focus away from the social and cultural meanings of the element,</w:t>
      </w:r>
      <w:r w:rsidRPr="00086ECF">
        <w:rPr>
          <w:rFonts w:ascii="Calibri" w:eastAsia="Calibri" w:hAnsi="Calibri" w:cs="Arial"/>
          <w:sz w:val="22"/>
          <w:szCs w:val="22"/>
          <w:vertAlign w:val="superscript"/>
          <w:lang w:val="en-GB" w:eastAsia="en-US"/>
        </w:rPr>
        <w:footnoteReference w:id="26"/>
      </w:r>
      <w:r w:rsidRPr="00086ECF">
        <w:rPr>
          <w:rFonts w:ascii="Calibri" w:eastAsia="Calibri" w:hAnsi="Calibri" w:cs="Arial"/>
          <w:sz w:val="22"/>
          <w:szCs w:val="22"/>
          <w:lang w:val="en-GB" w:eastAsia="en-US"/>
        </w:rPr>
        <w:t xml:space="preserve"> and thus decontextualize or distort the ICH.</w:t>
      </w:r>
      <w:r w:rsidRPr="00086ECF">
        <w:rPr>
          <w:rFonts w:ascii="Calibri" w:eastAsia="Calibri" w:hAnsi="Calibri" w:cs="Arial"/>
          <w:sz w:val="22"/>
          <w:szCs w:val="22"/>
          <w:vertAlign w:val="superscript"/>
          <w:lang w:val="en-GB" w:eastAsia="en-US"/>
        </w:rPr>
        <w:footnoteReference w:id="27"/>
      </w:r>
      <w:r w:rsidRPr="00086ECF">
        <w:rPr>
          <w:rFonts w:ascii="Calibri" w:eastAsia="Calibri" w:hAnsi="Calibri" w:cs="Arial"/>
          <w:sz w:val="22"/>
          <w:szCs w:val="22"/>
          <w:lang w:val="en-GB" w:eastAsia="en-US"/>
        </w:rPr>
        <w:t xml:space="preserve"> </w:t>
      </w:r>
    </w:p>
    <w:p w14:paraId="2CA95F84" w14:textId="3782843A"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Since 2010, in decisions relating to nomination files, the Committee has increasingly focused on the dangers of over-commercialization and decontextualization related to third party interventions and/or increased visibility and promotion of the element relating to inscription. It has placed increasing emphasis on mitigating such negative consequences of economic activities associated with commercialization, as the graph below demonstrates (Figure 1).</w:t>
      </w:r>
    </w:p>
    <w:p w14:paraId="78C218CD" w14:textId="4DB3DBC3" w:rsidR="00086ECF" w:rsidRPr="00086ECF" w:rsidRDefault="00086ECF" w:rsidP="00086ECF">
      <w:pPr>
        <w:keepNext/>
        <w:keepLines/>
        <w:spacing w:before="40" w:after="160" w:line="256" w:lineRule="auto"/>
        <w:jc w:val="both"/>
        <w:outlineLvl w:val="3"/>
        <w:rPr>
          <w:rFonts w:ascii="Calibri Light" w:eastAsia="DengXian Light" w:hAnsi="Calibri Light"/>
          <w:i/>
          <w:iCs/>
          <w:color w:val="2F5496"/>
          <w:sz w:val="22"/>
          <w:szCs w:val="22"/>
          <w:lang w:val="en-GB" w:eastAsia="en-US"/>
        </w:rPr>
      </w:pPr>
      <w:r w:rsidRPr="00086ECF">
        <w:rPr>
          <w:rFonts w:ascii="Calibri Light" w:eastAsia="DengXian Light" w:hAnsi="Calibri Light"/>
          <w:i/>
          <w:iCs/>
          <w:color w:val="2F5496"/>
          <w:sz w:val="22"/>
          <w:szCs w:val="22"/>
          <w:lang w:val="en-GB" w:eastAsia="en-US"/>
        </w:rPr>
        <w:lastRenderedPageBreak/>
        <w:t>Figure 1:</w:t>
      </w:r>
      <w:r w:rsidRPr="00086ECF">
        <w:rPr>
          <w:rFonts w:ascii="Calibri Light" w:eastAsia="DengXian Light" w:hAnsi="Calibri Light"/>
          <w:i/>
          <w:iCs/>
          <w:color w:val="2F5496"/>
          <w:sz w:val="22"/>
          <w:szCs w:val="22"/>
          <w:vertAlign w:val="superscript"/>
          <w:lang w:val="en-GB" w:eastAsia="en-US"/>
        </w:rPr>
        <w:t xml:space="preserve"> </w:t>
      </w:r>
      <w:r w:rsidRPr="00086ECF">
        <w:rPr>
          <w:rFonts w:ascii="Calibri Light" w:eastAsia="DengXian Light" w:hAnsi="Calibri Light"/>
          <w:i/>
          <w:iCs/>
          <w:color w:val="2F5496"/>
          <w:sz w:val="22"/>
          <w:szCs w:val="22"/>
          <w:lang w:val="en-GB" w:eastAsia="en-US"/>
        </w:rPr>
        <w:t>Graph showing increased emphasis placed by the Committee on mitigating negative impacts of economic activities on inscribed elements</w:t>
      </w:r>
      <w:r w:rsidRPr="00086ECF">
        <w:rPr>
          <w:rFonts w:ascii="Calibri Light" w:eastAsia="DengXian Light" w:hAnsi="Calibri Light"/>
          <w:i/>
          <w:iCs/>
          <w:color w:val="2F5496"/>
          <w:sz w:val="22"/>
          <w:szCs w:val="22"/>
          <w:vertAlign w:val="superscript"/>
          <w:lang w:val="en-GB" w:eastAsia="en-US"/>
        </w:rPr>
        <w:footnoteReference w:id="28"/>
      </w:r>
    </w:p>
    <w:p w14:paraId="493E661C"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noProof/>
          <w:sz w:val="22"/>
          <w:szCs w:val="22"/>
          <w:lang w:val="en-GB" w:eastAsia="en-US"/>
        </w:rPr>
        <w:drawing>
          <wp:inline distT="0" distB="0" distL="0" distR="0" wp14:anchorId="0B2BF9FA" wp14:editId="3121A1FF">
            <wp:extent cx="5800725" cy="3236595"/>
            <wp:effectExtent l="0" t="0" r="9525" b="190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86ECF">
        <w:rPr>
          <w:rFonts w:ascii="Calibri" w:eastAsia="Calibri" w:hAnsi="Calibri" w:cs="Arial"/>
          <w:sz w:val="22"/>
          <w:szCs w:val="22"/>
          <w:lang w:val="en-GB" w:eastAsia="en-US"/>
        </w:rPr>
        <w:t xml:space="preserve"> </w:t>
      </w:r>
    </w:p>
    <w:p w14:paraId="79E020E7"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In response to a 2016 proposal for a Good Safeguarding Practice, for example, the Committee decided not to select the practice because there were not sufficient mitigations:</w:t>
      </w:r>
    </w:p>
    <w:p w14:paraId="265B2ADE"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 xml:space="preserve">The proposal lists </w:t>
      </w:r>
      <w:proofErr w:type="gramStart"/>
      <w:r w:rsidRPr="00086ECF">
        <w:rPr>
          <w:rFonts w:ascii="Calibri" w:eastAsia="Calibri" w:hAnsi="Calibri" w:cs="Arial"/>
          <w:i/>
          <w:iCs/>
          <w:color w:val="404040"/>
          <w:sz w:val="22"/>
          <w:szCs w:val="22"/>
          <w:lang w:val="en-GB" w:eastAsia="en-US"/>
        </w:rPr>
        <w:t>a number of</w:t>
      </w:r>
      <w:proofErr w:type="gramEnd"/>
      <w:r w:rsidRPr="00086ECF">
        <w:rPr>
          <w:rFonts w:ascii="Calibri" w:eastAsia="Calibri" w:hAnsi="Calibri" w:cs="Arial"/>
          <w:i/>
          <w:iCs/>
          <w:color w:val="404040"/>
          <w:sz w:val="22"/>
          <w:szCs w:val="22"/>
          <w:lang w:val="en-GB" w:eastAsia="en-US"/>
        </w:rPr>
        <w:t xml:space="preserve"> interesting activities aimed at ensuring the viability of the element, for instance by safeguarding knowledge and skills and finding an equitable and profitable market for [the ICH-related craft product] and its practitioners, eventually leading to the sustainable development of community-based local industry. If the file indicates that some initial activities have been successful, it however appears to be premature to highlight that they demonstrated effectiveness, for instance concerning the avoidance of any negative consequences of the commercial strategy, such as risks of decontextualization and homogenization of consumption.</w:t>
      </w:r>
      <w:r w:rsidRPr="00086ECF">
        <w:rPr>
          <w:rFonts w:ascii="Calibri" w:eastAsia="Calibri" w:hAnsi="Calibri" w:cs="Arial"/>
          <w:i/>
          <w:iCs/>
          <w:color w:val="404040"/>
          <w:sz w:val="22"/>
          <w:szCs w:val="22"/>
          <w:vertAlign w:val="superscript"/>
          <w:lang w:val="en-GB" w:eastAsia="en-US"/>
        </w:rPr>
        <w:footnoteReference w:id="29"/>
      </w:r>
    </w:p>
    <w:p w14:paraId="12883E53" w14:textId="0840379F"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Committee decisions have increasingly encouraged States Parties to ensure that safeguarding measures adequately address </w:t>
      </w:r>
      <w:r w:rsidRPr="00086ECF">
        <w:rPr>
          <w:rFonts w:ascii="Calibri" w:eastAsia="Calibri" w:hAnsi="Calibri" w:cs="Arial"/>
          <w:b/>
          <w:bCs/>
          <w:sz w:val="22"/>
          <w:szCs w:val="22"/>
          <w:lang w:val="en-GB" w:eastAsia="en-US"/>
        </w:rPr>
        <w:t>potential</w:t>
      </w:r>
      <w:r w:rsidRPr="00086ECF">
        <w:rPr>
          <w:rFonts w:ascii="Calibri" w:eastAsia="Calibri" w:hAnsi="Calibri" w:cs="Arial"/>
          <w:sz w:val="22"/>
          <w:szCs w:val="22"/>
          <w:lang w:val="en-GB" w:eastAsia="en-US"/>
        </w:rPr>
        <w:t xml:space="preserve"> impacts of over-commercialization (mainly linked to increased markets for products) and/or decontextualization (often specifically linked to increased tourism potential). These warnings point to future risks rather than current threats to viability (they have also been included under ‘mitigations needed’ in Figure 1). In 2018, for example, while noting ‘the positive role that can be played by sustainable tourism in generating additional financial resources for the successful performance of community festivities’, the Committee invited the State Party ‘to develop a strategy that could allow the participation of visitors while protecting the element from the negative impact that may arise from its possible commercialization and popularization following an increased influx of visitors</w:t>
      </w:r>
      <w:r w:rsidRPr="00086ECF">
        <w:rPr>
          <w:rFonts w:ascii="Calibri" w:eastAsia="Calibri" w:hAnsi="Calibri" w:cs="Arial"/>
          <w:sz w:val="22"/>
          <w:szCs w:val="22"/>
          <w:lang w:val="en-US" w:eastAsia="en-US"/>
        </w:rPr>
        <w:t>.</w:t>
      </w:r>
      <w:r w:rsidRPr="00086ECF">
        <w:rPr>
          <w:rFonts w:ascii="Calibri" w:eastAsia="Calibri" w:hAnsi="Calibri" w:cs="Arial"/>
          <w:sz w:val="22"/>
          <w:szCs w:val="22"/>
          <w:vertAlign w:val="superscript"/>
          <w:lang w:val="en-US" w:eastAsia="en-US"/>
        </w:rPr>
        <w:footnoteReference w:id="30"/>
      </w:r>
      <w:r w:rsidR="00E564B2">
        <w:rPr>
          <w:rFonts w:ascii="Calibri" w:eastAsia="Calibri" w:hAnsi="Calibri" w:cs="Arial"/>
          <w:sz w:val="22"/>
          <w:szCs w:val="22"/>
          <w:lang w:val="en-US" w:eastAsia="en-US"/>
        </w:rPr>
        <w:t>’</w:t>
      </w:r>
      <w:r w:rsidRPr="00086ECF">
        <w:rPr>
          <w:rFonts w:ascii="Calibri" w:eastAsia="Calibri" w:hAnsi="Calibri" w:cs="Arial"/>
          <w:sz w:val="22"/>
          <w:szCs w:val="22"/>
          <w:lang w:val="en-US" w:eastAsia="en-US"/>
        </w:rPr>
        <w:t xml:space="preserve"> </w:t>
      </w:r>
    </w:p>
    <w:p w14:paraId="0FCBA80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In 2020, the Evaluation Body expressed concerns about the rising number of ‘nominations that involved challenges related to economic and social transformations of the element’, noting the importance of ensuring </w:t>
      </w:r>
      <w:r w:rsidRPr="00086ECF">
        <w:rPr>
          <w:rFonts w:ascii="Calibri" w:eastAsia="Calibri" w:hAnsi="Calibri" w:cs="Arial"/>
          <w:sz w:val="22"/>
          <w:szCs w:val="22"/>
          <w:lang w:val="en-GB" w:eastAsia="en-US"/>
        </w:rPr>
        <w:lastRenderedPageBreak/>
        <w:t xml:space="preserve">that safeguarding measures do not themselves encourage the over-commercialization or over-exploitation of an element. The Body commented </w:t>
      </w:r>
      <w:proofErr w:type="gramStart"/>
      <w:r w:rsidRPr="00086ECF">
        <w:rPr>
          <w:rFonts w:ascii="Calibri" w:eastAsia="Calibri" w:hAnsi="Calibri" w:cs="Arial"/>
          <w:sz w:val="22"/>
          <w:szCs w:val="22"/>
          <w:lang w:val="en-GB" w:eastAsia="en-US"/>
        </w:rPr>
        <w:t>that</w:t>
      </w:r>
      <w:proofErr w:type="gramEnd"/>
    </w:p>
    <w:p w14:paraId="12FAF9E1"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While in previous cycles such transformations were often presented, albeit with insufficient reflection on their challenging nature, and were sometimes also made a part of the proposed safeguarding measures, it seems that this cycle brought an opposite trend in which the submitting State largely avoided any mention of them.</w:t>
      </w:r>
      <w:r w:rsidRPr="00086ECF">
        <w:rPr>
          <w:rFonts w:ascii="Calibri" w:eastAsia="Calibri" w:hAnsi="Calibri" w:cs="Arial"/>
          <w:i/>
          <w:iCs/>
          <w:color w:val="404040"/>
          <w:sz w:val="22"/>
          <w:szCs w:val="22"/>
          <w:vertAlign w:val="superscript"/>
          <w:lang w:val="en-GB" w:eastAsia="en-US"/>
        </w:rPr>
        <w:footnoteReference w:id="31"/>
      </w:r>
      <w:r w:rsidRPr="00086ECF">
        <w:rPr>
          <w:rFonts w:ascii="Calibri" w:eastAsia="Calibri" w:hAnsi="Calibri" w:cs="Arial"/>
          <w:i/>
          <w:iCs/>
          <w:color w:val="404040"/>
          <w:sz w:val="22"/>
          <w:szCs w:val="22"/>
          <w:lang w:val="en-GB" w:eastAsia="en-US"/>
        </w:rPr>
        <w:t xml:space="preserve"> </w:t>
      </w:r>
    </w:p>
    <w:p w14:paraId="4150E995"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How does this concern about mitigating negative effects of economic activities relating to over-commercialization and decontextualization relate to the threats identified in nomination files? A full analysis of the different kinds of threats presented across all nomination files is not currently available. Threats to viability of ICH indicated in the 67 elements inscribed on the USL have, however, been classified on the website of the Convention by the Secretariat (see Table 1 below). Table 1 does not provide an exhaustive analysis of threats indicated in the files. Nevertheless, when coupled with an analysis of Committee decisions, it could give a possible indication of relative frequency of the threats that relate to economic activities, and how these compare to other kinds of threats. </w:t>
      </w:r>
    </w:p>
    <w:p w14:paraId="581DBF7C"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Table 1 shows that rapid economic transformation and rapid sociocultural change are considered major threats to the viability of ICH elements, suggesting that usual processes of absorbing and adapting to change are not sufficient. This may be the cause behind the rising number of nominations identified by the Body that involved ‘challenges related to economic and social transformations of the element’.</w:t>
      </w:r>
      <w:r w:rsidRPr="00086ECF">
        <w:rPr>
          <w:rFonts w:ascii="Calibri" w:eastAsia="Calibri" w:hAnsi="Calibri" w:cs="Arial"/>
          <w:sz w:val="22"/>
          <w:szCs w:val="22"/>
          <w:vertAlign w:val="superscript"/>
          <w:lang w:val="en-GB" w:eastAsia="en-US"/>
        </w:rPr>
        <w:footnoteReference w:id="32"/>
      </w:r>
      <w:r w:rsidRPr="00086ECF">
        <w:rPr>
          <w:rFonts w:ascii="Calibri" w:eastAsia="Calibri" w:hAnsi="Calibri" w:cs="Arial"/>
          <w:sz w:val="22"/>
          <w:szCs w:val="22"/>
          <w:lang w:val="en-GB" w:eastAsia="en-US"/>
        </w:rPr>
        <w:t xml:space="preserve"> Looking at the economic factors identified as threats in Table 1, one can distinguish between two different kinds of threats. Constrained economic activity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insufficient remuneration or financial resources) is indicated as a problem in 42 files (55%), whereas too much (or the wrong kind of) economic activity) is indicated as a problem in 30 files (39%). This is a very rough classification, of course, as the various risk factors are often closely linked. For example, factors associated with transmission, such as diminishing youth interest, may also be affected by insufficient remuneration or loss of significance. Educational standardization might result in decontextualization.</w:t>
      </w:r>
    </w:p>
    <w:p w14:paraId="0847E765" w14:textId="77777777" w:rsidR="00086ECF" w:rsidRPr="00086ECF" w:rsidRDefault="00086ECF" w:rsidP="00086ECF">
      <w:pPr>
        <w:keepNext/>
        <w:keepLines/>
        <w:spacing w:before="40" w:line="256" w:lineRule="auto"/>
        <w:jc w:val="both"/>
        <w:outlineLvl w:val="4"/>
        <w:rPr>
          <w:rFonts w:ascii="Calibri Light" w:eastAsia="DengXian Light" w:hAnsi="Calibri Light"/>
          <w:color w:val="2F5496"/>
          <w:sz w:val="22"/>
          <w:szCs w:val="22"/>
          <w:lang w:val="en-GB" w:eastAsia="en-US"/>
        </w:rPr>
      </w:pPr>
      <w:r w:rsidRPr="00086ECF">
        <w:rPr>
          <w:rFonts w:ascii="Calibri Light" w:eastAsia="DengXian Light" w:hAnsi="Calibri Light"/>
          <w:color w:val="2F5496"/>
          <w:sz w:val="22"/>
          <w:szCs w:val="22"/>
          <w:lang w:val="en-GB" w:eastAsia="en-US"/>
        </w:rPr>
        <w:t>Table 1. Table showing the number of nomination files on the USL indicating threats to viability, as classified by the Secretariat on the website of the Convention, December 2022 (76 elements in total)</w:t>
      </w:r>
    </w:p>
    <w:tbl>
      <w:tblPr>
        <w:tblStyle w:val="TableGrid2"/>
        <w:tblW w:w="0" w:type="auto"/>
        <w:tblInd w:w="0" w:type="dxa"/>
        <w:tblLook w:val="04A0" w:firstRow="1" w:lastRow="0" w:firstColumn="1" w:lastColumn="0" w:noHBand="0" w:noVBand="1"/>
      </w:tblPr>
      <w:tblGrid>
        <w:gridCol w:w="6799"/>
        <w:gridCol w:w="1985"/>
      </w:tblGrid>
      <w:tr w:rsidR="00086ECF" w:rsidRPr="00340464" w14:paraId="7034973A" w14:textId="77777777" w:rsidTr="00086ECF">
        <w:trPr>
          <w:tblHeader/>
        </w:trPr>
        <w:tc>
          <w:tcPr>
            <w:tcW w:w="6799" w:type="dxa"/>
            <w:tcBorders>
              <w:top w:val="single" w:sz="4" w:space="0" w:color="auto"/>
              <w:left w:val="single" w:sz="4" w:space="0" w:color="auto"/>
              <w:bottom w:val="single" w:sz="4" w:space="0" w:color="auto"/>
              <w:right w:val="single" w:sz="4" w:space="0" w:color="auto"/>
            </w:tcBorders>
            <w:shd w:val="clear" w:color="auto" w:fill="E7E6E6"/>
            <w:hideMark/>
          </w:tcPr>
          <w:p w14:paraId="4984BE05" w14:textId="77777777" w:rsidR="00086ECF" w:rsidRPr="00086ECF" w:rsidRDefault="00086ECF" w:rsidP="00086ECF">
            <w:pPr>
              <w:spacing w:after="160" w:line="256" w:lineRule="auto"/>
              <w:rPr>
                <w:rFonts w:ascii="Calibri" w:eastAsia="Calibri" w:hAnsi="Calibri"/>
                <w:sz w:val="22"/>
                <w:szCs w:val="22"/>
              </w:rPr>
            </w:pPr>
            <w:r w:rsidRPr="00086ECF">
              <w:rPr>
                <w:rFonts w:ascii="Calibri" w:eastAsia="Calibri" w:hAnsi="Calibri"/>
                <w:sz w:val="22"/>
                <w:szCs w:val="22"/>
              </w:rPr>
              <w:t>Threat or risk affecting the viability of the ICH element</w:t>
            </w:r>
          </w:p>
        </w:tc>
        <w:tc>
          <w:tcPr>
            <w:tcW w:w="1985" w:type="dxa"/>
            <w:tcBorders>
              <w:top w:val="single" w:sz="4" w:space="0" w:color="auto"/>
              <w:left w:val="single" w:sz="4" w:space="0" w:color="auto"/>
              <w:bottom w:val="single" w:sz="4" w:space="0" w:color="auto"/>
              <w:right w:val="single" w:sz="4" w:space="0" w:color="auto"/>
            </w:tcBorders>
            <w:shd w:val="clear" w:color="auto" w:fill="E7E6E6"/>
            <w:hideMark/>
          </w:tcPr>
          <w:p w14:paraId="047AA5BB" w14:textId="77777777" w:rsidR="00086ECF" w:rsidRPr="00086ECF" w:rsidRDefault="00086ECF" w:rsidP="00086ECF">
            <w:pPr>
              <w:spacing w:after="160" w:line="256" w:lineRule="auto"/>
              <w:rPr>
                <w:rFonts w:ascii="Calibri" w:eastAsia="Calibri" w:hAnsi="Calibri"/>
                <w:sz w:val="22"/>
                <w:szCs w:val="22"/>
              </w:rPr>
            </w:pPr>
            <w:r w:rsidRPr="00086ECF">
              <w:rPr>
                <w:rFonts w:ascii="Calibri" w:eastAsia="Calibri" w:hAnsi="Calibri"/>
                <w:sz w:val="22"/>
                <w:szCs w:val="22"/>
              </w:rPr>
              <w:t>Number of USL files mentioning the threat or risk</w:t>
            </w:r>
          </w:p>
        </w:tc>
      </w:tr>
      <w:tr w:rsidR="00086ECF" w:rsidRPr="00340464" w14:paraId="4097237C"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2C9A70E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Factors associated with economic activities</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3BEAFA75" w14:textId="77777777" w:rsidR="00086ECF" w:rsidRPr="00086ECF" w:rsidRDefault="00086ECF" w:rsidP="00086ECF">
            <w:pPr>
              <w:rPr>
                <w:rFonts w:ascii="Calibri" w:eastAsia="Calibri" w:hAnsi="Calibri"/>
                <w:sz w:val="22"/>
                <w:szCs w:val="22"/>
              </w:rPr>
            </w:pPr>
          </w:p>
        </w:tc>
      </w:tr>
      <w:tr w:rsidR="00086ECF" w:rsidRPr="00086ECF" w14:paraId="187B83B3"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13922BE"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Rapid economic transformation</w:t>
            </w:r>
          </w:p>
        </w:tc>
        <w:tc>
          <w:tcPr>
            <w:tcW w:w="1985" w:type="dxa"/>
            <w:tcBorders>
              <w:top w:val="single" w:sz="4" w:space="0" w:color="auto"/>
              <w:left w:val="single" w:sz="4" w:space="0" w:color="auto"/>
              <w:bottom w:val="single" w:sz="4" w:space="0" w:color="auto"/>
              <w:right w:val="single" w:sz="4" w:space="0" w:color="auto"/>
            </w:tcBorders>
            <w:hideMark/>
          </w:tcPr>
          <w:p w14:paraId="07F68C9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32</w:t>
            </w:r>
          </w:p>
        </w:tc>
      </w:tr>
      <w:tr w:rsidR="00086ECF" w:rsidRPr="00086ECF" w14:paraId="18D24058"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55783405" w14:textId="77777777" w:rsidR="00086ECF" w:rsidRPr="00086ECF" w:rsidRDefault="00086ECF" w:rsidP="00086ECF">
            <w:pPr>
              <w:numPr>
                <w:ilvl w:val="0"/>
                <w:numId w:val="17"/>
              </w:numPr>
              <w:spacing w:line="256" w:lineRule="auto"/>
              <w:contextualSpacing/>
              <w:rPr>
                <w:rFonts w:ascii="Calibri" w:eastAsia="Calibri" w:hAnsi="Calibri"/>
                <w:sz w:val="22"/>
                <w:szCs w:val="22"/>
              </w:rPr>
            </w:pPr>
            <w:r w:rsidRPr="00086ECF">
              <w:rPr>
                <w:rFonts w:ascii="Calibri" w:eastAsia="Calibri" w:hAnsi="Calibri"/>
                <w:sz w:val="22"/>
                <w:szCs w:val="22"/>
              </w:rPr>
              <w:t>Inadequate remuneration</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7F7078AB" w14:textId="77777777" w:rsidR="00086ECF" w:rsidRPr="00086ECF" w:rsidRDefault="00086ECF" w:rsidP="00086ECF">
            <w:pPr>
              <w:rPr>
                <w:rFonts w:ascii="Calibri" w:eastAsia="Calibri" w:hAnsi="Calibri"/>
                <w:sz w:val="22"/>
                <w:szCs w:val="22"/>
              </w:rPr>
            </w:pPr>
          </w:p>
        </w:tc>
      </w:tr>
      <w:tr w:rsidR="00086ECF" w:rsidRPr="00086ECF" w14:paraId="1C2486B3"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FFFFFF"/>
            <w:hideMark/>
          </w:tcPr>
          <w:p w14:paraId="54FB2C23"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Insufficient remuneration</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2D90F16"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19</w:t>
            </w:r>
          </w:p>
        </w:tc>
      </w:tr>
      <w:tr w:rsidR="00086ECF" w:rsidRPr="00086ECF" w14:paraId="4FB5CEB1"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FFFFFF"/>
            <w:hideMark/>
          </w:tcPr>
          <w:p w14:paraId="40505459"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Insufficient financial resources</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4C0B39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23</w:t>
            </w:r>
          </w:p>
        </w:tc>
      </w:tr>
      <w:tr w:rsidR="00086ECF" w:rsidRPr="00086ECF" w14:paraId="709E5FAA"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0CC7304D" w14:textId="77777777" w:rsidR="00086ECF" w:rsidRPr="00086ECF" w:rsidRDefault="00086ECF" w:rsidP="00086ECF">
            <w:pPr>
              <w:numPr>
                <w:ilvl w:val="0"/>
                <w:numId w:val="17"/>
              </w:numPr>
              <w:spacing w:line="256" w:lineRule="auto"/>
              <w:contextualSpacing/>
              <w:rPr>
                <w:rFonts w:ascii="Calibri" w:eastAsia="Calibri" w:hAnsi="Calibri"/>
                <w:sz w:val="22"/>
                <w:szCs w:val="22"/>
              </w:rPr>
            </w:pPr>
            <w:r w:rsidRPr="00086ECF">
              <w:rPr>
                <w:rFonts w:ascii="Calibri" w:eastAsia="Calibri" w:hAnsi="Calibri"/>
                <w:sz w:val="22"/>
                <w:szCs w:val="22"/>
              </w:rPr>
              <w:t>Over-commercialization or decontextualization</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50949ED6" w14:textId="77777777" w:rsidR="00086ECF" w:rsidRPr="00086ECF" w:rsidRDefault="00086ECF" w:rsidP="00086ECF">
            <w:pPr>
              <w:rPr>
                <w:rFonts w:ascii="Calibri" w:eastAsia="Calibri" w:hAnsi="Calibri"/>
                <w:sz w:val="22"/>
                <w:szCs w:val="22"/>
              </w:rPr>
            </w:pPr>
          </w:p>
        </w:tc>
      </w:tr>
      <w:tr w:rsidR="00086ECF" w:rsidRPr="00086ECF" w14:paraId="5EE0E15F"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FFFFFF"/>
            <w:hideMark/>
          </w:tcPr>
          <w:p w14:paraId="06C8FA7E" w14:textId="77777777" w:rsidR="00086ECF" w:rsidRPr="00086ECF" w:rsidRDefault="00086ECF" w:rsidP="00086ECF">
            <w:pPr>
              <w:rPr>
                <w:rFonts w:ascii="Calibri" w:eastAsia="Calibri" w:hAnsi="Calibri"/>
                <w:sz w:val="22"/>
                <w:szCs w:val="22"/>
              </w:rPr>
            </w:pPr>
            <w:proofErr w:type="spellStart"/>
            <w:r w:rsidRPr="00086ECF">
              <w:rPr>
                <w:rFonts w:ascii="Calibri" w:eastAsia="Calibri" w:hAnsi="Calibri"/>
                <w:sz w:val="22"/>
                <w:szCs w:val="22"/>
              </w:rPr>
              <w:t>Theatrification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73E5F7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5</w:t>
            </w:r>
          </w:p>
        </w:tc>
      </w:tr>
      <w:tr w:rsidR="00086ECF" w:rsidRPr="00086ECF" w14:paraId="5C79DB92"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7432D97E" w14:textId="77777777" w:rsidR="00086ECF" w:rsidRPr="00086ECF" w:rsidRDefault="00086ECF" w:rsidP="00086ECF">
            <w:pPr>
              <w:rPr>
                <w:rFonts w:ascii="Calibri" w:eastAsia="Calibri" w:hAnsi="Calibri"/>
                <w:sz w:val="22"/>
                <w:szCs w:val="22"/>
              </w:rPr>
            </w:pPr>
            <w:proofErr w:type="spellStart"/>
            <w:r w:rsidRPr="00086ECF">
              <w:rPr>
                <w:rFonts w:ascii="Calibri" w:eastAsia="Calibri" w:hAnsi="Calibri"/>
                <w:sz w:val="22"/>
                <w:szCs w:val="22"/>
              </w:rPr>
              <w:t>Touristification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DCEAAC3"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9</w:t>
            </w:r>
          </w:p>
        </w:tc>
      </w:tr>
      <w:tr w:rsidR="00086ECF" w:rsidRPr="00086ECF" w14:paraId="758D25A6"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9E95CFC"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Industrial production</w:t>
            </w:r>
          </w:p>
        </w:tc>
        <w:tc>
          <w:tcPr>
            <w:tcW w:w="1985" w:type="dxa"/>
            <w:tcBorders>
              <w:top w:val="single" w:sz="4" w:space="0" w:color="auto"/>
              <w:left w:val="single" w:sz="4" w:space="0" w:color="auto"/>
              <w:bottom w:val="single" w:sz="4" w:space="0" w:color="auto"/>
              <w:right w:val="single" w:sz="4" w:space="0" w:color="auto"/>
            </w:tcBorders>
            <w:hideMark/>
          </w:tcPr>
          <w:p w14:paraId="18A10D6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10</w:t>
            </w:r>
          </w:p>
        </w:tc>
      </w:tr>
      <w:tr w:rsidR="00086ECF" w:rsidRPr="00086ECF" w14:paraId="12641B52"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2EA58B3"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Over-commercialization</w:t>
            </w:r>
          </w:p>
        </w:tc>
        <w:tc>
          <w:tcPr>
            <w:tcW w:w="1985" w:type="dxa"/>
            <w:tcBorders>
              <w:top w:val="single" w:sz="4" w:space="0" w:color="auto"/>
              <w:left w:val="single" w:sz="4" w:space="0" w:color="auto"/>
              <w:bottom w:val="single" w:sz="4" w:space="0" w:color="auto"/>
              <w:right w:val="single" w:sz="4" w:space="0" w:color="auto"/>
            </w:tcBorders>
            <w:hideMark/>
          </w:tcPr>
          <w:p w14:paraId="3359AD8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6</w:t>
            </w:r>
          </w:p>
        </w:tc>
      </w:tr>
      <w:tr w:rsidR="00086ECF" w:rsidRPr="00340464" w14:paraId="797AD0BE"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2578E07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Factors associated with social functions or cultural meanings</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29493B75" w14:textId="77777777" w:rsidR="00086ECF" w:rsidRPr="00086ECF" w:rsidRDefault="00086ECF" w:rsidP="00086ECF">
            <w:pPr>
              <w:rPr>
                <w:rFonts w:ascii="Calibri" w:eastAsia="Calibri" w:hAnsi="Calibri"/>
                <w:sz w:val="22"/>
                <w:szCs w:val="22"/>
              </w:rPr>
            </w:pPr>
          </w:p>
        </w:tc>
      </w:tr>
      <w:tr w:rsidR="00086ECF" w:rsidRPr="00086ECF" w14:paraId="3A4B5084"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77A6EFAC"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Rapid sociocultural change</w:t>
            </w:r>
          </w:p>
        </w:tc>
        <w:tc>
          <w:tcPr>
            <w:tcW w:w="1985" w:type="dxa"/>
            <w:tcBorders>
              <w:top w:val="single" w:sz="4" w:space="0" w:color="auto"/>
              <w:left w:val="single" w:sz="4" w:space="0" w:color="auto"/>
              <w:bottom w:val="single" w:sz="4" w:space="0" w:color="auto"/>
              <w:right w:val="single" w:sz="4" w:space="0" w:color="auto"/>
            </w:tcBorders>
            <w:hideMark/>
          </w:tcPr>
          <w:p w14:paraId="5A4593FE"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26</w:t>
            </w:r>
          </w:p>
        </w:tc>
      </w:tr>
      <w:tr w:rsidR="00086ECF" w:rsidRPr="00086ECF" w14:paraId="6D88F79E"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765C983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Loss of significance</w:t>
            </w:r>
          </w:p>
        </w:tc>
        <w:tc>
          <w:tcPr>
            <w:tcW w:w="1985" w:type="dxa"/>
            <w:tcBorders>
              <w:top w:val="single" w:sz="4" w:space="0" w:color="auto"/>
              <w:left w:val="single" w:sz="4" w:space="0" w:color="auto"/>
              <w:bottom w:val="single" w:sz="4" w:space="0" w:color="auto"/>
              <w:right w:val="single" w:sz="4" w:space="0" w:color="auto"/>
            </w:tcBorders>
            <w:hideMark/>
          </w:tcPr>
          <w:p w14:paraId="5949568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29</w:t>
            </w:r>
          </w:p>
        </w:tc>
      </w:tr>
      <w:tr w:rsidR="00086ECF" w:rsidRPr="00086ECF" w14:paraId="79CCD30B"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3A90574B"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Educational standardization</w:t>
            </w:r>
          </w:p>
        </w:tc>
        <w:tc>
          <w:tcPr>
            <w:tcW w:w="1985" w:type="dxa"/>
            <w:tcBorders>
              <w:top w:val="single" w:sz="4" w:space="0" w:color="auto"/>
              <w:left w:val="single" w:sz="4" w:space="0" w:color="auto"/>
              <w:bottom w:val="single" w:sz="4" w:space="0" w:color="auto"/>
              <w:right w:val="single" w:sz="4" w:space="0" w:color="auto"/>
            </w:tcBorders>
            <w:hideMark/>
          </w:tcPr>
          <w:p w14:paraId="4E71AB7E"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13</w:t>
            </w:r>
          </w:p>
        </w:tc>
      </w:tr>
      <w:tr w:rsidR="00086ECF" w:rsidRPr="00086ECF" w14:paraId="00466410"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1C937C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lastRenderedPageBreak/>
              <w:t>Loss of ancestral language</w:t>
            </w:r>
          </w:p>
        </w:tc>
        <w:tc>
          <w:tcPr>
            <w:tcW w:w="1985" w:type="dxa"/>
            <w:tcBorders>
              <w:top w:val="single" w:sz="4" w:space="0" w:color="auto"/>
              <w:left w:val="single" w:sz="4" w:space="0" w:color="auto"/>
              <w:bottom w:val="single" w:sz="4" w:space="0" w:color="auto"/>
              <w:right w:val="single" w:sz="4" w:space="0" w:color="auto"/>
            </w:tcBorders>
            <w:hideMark/>
          </w:tcPr>
          <w:p w14:paraId="5F6D544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7</w:t>
            </w:r>
          </w:p>
        </w:tc>
      </w:tr>
      <w:tr w:rsidR="00086ECF" w:rsidRPr="00086ECF" w14:paraId="297607BC"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2779657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Loss of knowledge</w:t>
            </w:r>
          </w:p>
        </w:tc>
        <w:tc>
          <w:tcPr>
            <w:tcW w:w="1985" w:type="dxa"/>
            <w:tcBorders>
              <w:top w:val="single" w:sz="4" w:space="0" w:color="auto"/>
              <w:left w:val="single" w:sz="4" w:space="0" w:color="auto"/>
              <w:bottom w:val="single" w:sz="4" w:space="0" w:color="auto"/>
              <w:right w:val="single" w:sz="4" w:space="0" w:color="auto"/>
            </w:tcBorders>
            <w:hideMark/>
          </w:tcPr>
          <w:p w14:paraId="77378F01"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3</w:t>
            </w:r>
          </w:p>
        </w:tc>
      </w:tr>
      <w:tr w:rsidR="00086ECF" w:rsidRPr="00086ECF" w14:paraId="254BDD11"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3013803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Use of modern materials</w:t>
            </w:r>
          </w:p>
        </w:tc>
        <w:tc>
          <w:tcPr>
            <w:tcW w:w="1985" w:type="dxa"/>
            <w:tcBorders>
              <w:top w:val="single" w:sz="4" w:space="0" w:color="auto"/>
              <w:left w:val="single" w:sz="4" w:space="0" w:color="auto"/>
              <w:bottom w:val="single" w:sz="4" w:space="0" w:color="auto"/>
              <w:right w:val="single" w:sz="4" w:space="0" w:color="auto"/>
            </w:tcBorders>
            <w:hideMark/>
          </w:tcPr>
          <w:p w14:paraId="772A1A9C"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7</w:t>
            </w:r>
          </w:p>
        </w:tc>
      </w:tr>
      <w:tr w:rsidR="00086ECF" w:rsidRPr="00086ECF" w14:paraId="4AD85F71"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6A6C9B88"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Freezing</w:t>
            </w:r>
          </w:p>
        </w:tc>
        <w:tc>
          <w:tcPr>
            <w:tcW w:w="1985" w:type="dxa"/>
            <w:tcBorders>
              <w:top w:val="single" w:sz="4" w:space="0" w:color="auto"/>
              <w:left w:val="single" w:sz="4" w:space="0" w:color="auto"/>
              <w:bottom w:val="single" w:sz="4" w:space="0" w:color="auto"/>
              <w:right w:val="single" w:sz="4" w:space="0" w:color="auto"/>
            </w:tcBorders>
            <w:hideMark/>
          </w:tcPr>
          <w:p w14:paraId="63979FB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w:t>
            </w:r>
          </w:p>
        </w:tc>
      </w:tr>
      <w:tr w:rsidR="00086ECF" w:rsidRPr="00340464" w14:paraId="255CF809"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69D251F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Factors associated with community participation and transmission</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449F1106" w14:textId="77777777" w:rsidR="00086ECF" w:rsidRPr="00086ECF" w:rsidRDefault="00086ECF" w:rsidP="00086ECF">
            <w:pPr>
              <w:rPr>
                <w:rFonts w:ascii="Calibri" w:eastAsia="Calibri" w:hAnsi="Calibri"/>
                <w:sz w:val="22"/>
                <w:szCs w:val="22"/>
              </w:rPr>
            </w:pPr>
          </w:p>
        </w:tc>
      </w:tr>
      <w:tr w:rsidR="00086ECF" w:rsidRPr="00086ECF" w14:paraId="261AD282"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7AA43779"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 xml:space="preserve">Aged practitioners </w:t>
            </w:r>
          </w:p>
        </w:tc>
        <w:tc>
          <w:tcPr>
            <w:tcW w:w="1985" w:type="dxa"/>
            <w:tcBorders>
              <w:top w:val="single" w:sz="4" w:space="0" w:color="auto"/>
              <w:left w:val="single" w:sz="4" w:space="0" w:color="auto"/>
              <w:bottom w:val="single" w:sz="4" w:space="0" w:color="auto"/>
              <w:right w:val="single" w:sz="4" w:space="0" w:color="auto"/>
            </w:tcBorders>
            <w:hideMark/>
          </w:tcPr>
          <w:p w14:paraId="08F124BB"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52</w:t>
            </w:r>
          </w:p>
        </w:tc>
      </w:tr>
      <w:tr w:rsidR="00086ECF" w:rsidRPr="00086ECF" w14:paraId="1EFD9484"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6E0A7E0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Rural-urban migration</w:t>
            </w:r>
          </w:p>
        </w:tc>
        <w:tc>
          <w:tcPr>
            <w:tcW w:w="1985" w:type="dxa"/>
            <w:tcBorders>
              <w:top w:val="single" w:sz="4" w:space="0" w:color="auto"/>
              <w:left w:val="single" w:sz="4" w:space="0" w:color="auto"/>
              <w:bottom w:val="single" w:sz="4" w:space="0" w:color="auto"/>
              <w:right w:val="single" w:sz="4" w:space="0" w:color="auto"/>
            </w:tcBorders>
            <w:hideMark/>
          </w:tcPr>
          <w:p w14:paraId="239179E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42</w:t>
            </w:r>
          </w:p>
        </w:tc>
      </w:tr>
      <w:tr w:rsidR="00086ECF" w:rsidRPr="00086ECF" w14:paraId="43B2C235"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1375563"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Diminishing youth interest</w:t>
            </w:r>
          </w:p>
        </w:tc>
        <w:tc>
          <w:tcPr>
            <w:tcW w:w="1985" w:type="dxa"/>
            <w:tcBorders>
              <w:top w:val="single" w:sz="4" w:space="0" w:color="auto"/>
              <w:left w:val="single" w:sz="4" w:space="0" w:color="auto"/>
              <w:bottom w:val="single" w:sz="4" w:space="0" w:color="auto"/>
              <w:right w:val="single" w:sz="4" w:space="0" w:color="auto"/>
            </w:tcBorders>
            <w:hideMark/>
          </w:tcPr>
          <w:p w14:paraId="42D36ABE"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45</w:t>
            </w:r>
          </w:p>
        </w:tc>
      </w:tr>
      <w:tr w:rsidR="00086ECF" w:rsidRPr="00086ECF" w14:paraId="5FFA52B3"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3BD13FA0"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Reduced practice</w:t>
            </w:r>
          </w:p>
        </w:tc>
        <w:tc>
          <w:tcPr>
            <w:tcW w:w="1985" w:type="dxa"/>
            <w:tcBorders>
              <w:top w:val="single" w:sz="4" w:space="0" w:color="auto"/>
              <w:left w:val="single" w:sz="4" w:space="0" w:color="auto"/>
              <w:bottom w:val="single" w:sz="4" w:space="0" w:color="auto"/>
              <w:right w:val="single" w:sz="4" w:space="0" w:color="auto"/>
            </w:tcBorders>
            <w:hideMark/>
          </w:tcPr>
          <w:p w14:paraId="6582A4D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38</w:t>
            </w:r>
          </w:p>
        </w:tc>
      </w:tr>
      <w:tr w:rsidR="00086ECF" w:rsidRPr="00086ECF" w14:paraId="55FD780D"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2143764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Hampered transmission</w:t>
            </w:r>
          </w:p>
        </w:tc>
        <w:tc>
          <w:tcPr>
            <w:tcW w:w="1985" w:type="dxa"/>
            <w:tcBorders>
              <w:top w:val="single" w:sz="4" w:space="0" w:color="auto"/>
              <w:left w:val="single" w:sz="4" w:space="0" w:color="auto"/>
              <w:bottom w:val="single" w:sz="4" w:space="0" w:color="auto"/>
              <w:right w:val="single" w:sz="4" w:space="0" w:color="auto"/>
            </w:tcBorders>
            <w:hideMark/>
          </w:tcPr>
          <w:p w14:paraId="341CF55B"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31</w:t>
            </w:r>
          </w:p>
        </w:tc>
      </w:tr>
      <w:tr w:rsidR="00086ECF" w:rsidRPr="00086ECF" w14:paraId="19CDF15B"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77F37C50"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Reduced repertoire</w:t>
            </w:r>
          </w:p>
        </w:tc>
        <w:tc>
          <w:tcPr>
            <w:tcW w:w="1985" w:type="dxa"/>
            <w:tcBorders>
              <w:top w:val="single" w:sz="4" w:space="0" w:color="auto"/>
              <w:left w:val="single" w:sz="4" w:space="0" w:color="auto"/>
              <w:bottom w:val="single" w:sz="4" w:space="0" w:color="auto"/>
              <w:right w:val="single" w:sz="4" w:space="0" w:color="auto"/>
            </w:tcBorders>
            <w:hideMark/>
          </w:tcPr>
          <w:p w14:paraId="52F4F0F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22</w:t>
            </w:r>
          </w:p>
        </w:tc>
      </w:tr>
      <w:tr w:rsidR="00086ECF" w:rsidRPr="00086ECF" w14:paraId="3B56F7DD"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CB0E290"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Few practitioners</w:t>
            </w:r>
          </w:p>
        </w:tc>
        <w:tc>
          <w:tcPr>
            <w:tcW w:w="1985" w:type="dxa"/>
            <w:tcBorders>
              <w:top w:val="single" w:sz="4" w:space="0" w:color="auto"/>
              <w:left w:val="single" w:sz="4" w:space="0" w:color="auto"/>
              <w:bottom w:val="single" w:sz="4" w:space="0" w:color="auto"/>
              <w:right w:val="single" w:sz="4" w:space="0" w:color="auto"/>
            </w:tcBorders>
            <w:hideMark/>
          </w:tcPr>
          <w:p w14:paraId="78F0721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20</w:t>
            </w:r>
          </w:p>
        </w:tc>
      </w:tr>
      <w:tr w:rsidR="00086ECF" w:rsidRPr="00086ECF" w14:paraId="4723D10E"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126FA2A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Halted transmission</w:t>
            </w:r>
          </w:p>
        </w:tc>
        <w:tc>
          <w:tcPr>
            <w:tcW w:w="1985" w:type="dxa"/>
            <w:tcBorders>
              <w:top w:val="single" w:sz="4" w:space="0" w:color="auto"/>
              <w:left w:val="single" w:sz="4" w:space="0" w:color="auto"/>
              <w:bottom w:val="single" w:sz="4" w:space="0" w:color="auto"/>
              <w:right w:val="single" w:sz="4" w:space="0" w:color="auto"/>
            </w:tcBorders>
            <w:hideMark/>
          </w:tcPr>
          <w:p w14:paraId="5FBF40B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12</w:t>
            </w:r>
          </w:p>
        </w:tc>
      </w:tr>
      <w:tr w:rsidR="00086ECF" w:rsidRPr="00086ECF" w14:paraId="1E2ECA37"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417CE9E"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Arduous training</w:t>
            </w:r>
          </w:p>
        </w:tc>
        <w:tc>
          <w:tcPr>
            <w:tcW w:w="1985" w:type="dxa"/>
            <w:tcBorders>
              <w:top w:val="single" w:sz="4" w:space="0" w:color="auto"/>
              <w:left w:val="single" w:sz="4" w:space="0" w:color="auto"/>
              <w:bottom w:val="single" w:sz="4" w:space="0" w:color="auto"/>
              <w:right w:val="single" w:sz="4" w:space="0" w:color="auto"/>
            </w:tcBorders>
            <w:hideMark/>
          </w:tcPr>
          <w:p w14:paraId="605E56A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13</w:t>
            </w:r>
          </w:p>
        </w:tc>
      </w:tr>
      <w:tr w:rsidR="00086ECF" w:rsidRPr="00086ECF" w14:paraId="7BB7F006"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410646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Diminishing participation</w:t>
            </w:r>
          </w:p>
        </w:tc>
        <w:tc>
          <w:tcPr>
            <w:tcW w:w="1985" w:type="dxa"/>
            <w:tcBorders>
              <w:top w:val="single" w:sz="4" w:space="0" w:color="auto"/>
              <w:left w:val="single" w:sz="4" w:space="0" w:color="auto"/>
              <w:bottom w:val="single" w:sz="4" w:space="0" w:color="auto"/>
              <w:right w:val="single" w:sz="4" w:space="0" w:color="auto"/>
            </w:tcBorders>
            <w:hideMark/>
          </w:tcPr>
          <w:p w14:paraId="03E823F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15</w:t>
            </w:r>
          </w:p>
        </w:tc>
      </w:tr>
      <w:tr w:rsidR="00086ECF" w:rsidRPr="00086ECF" w14:paraId="7695F4EA"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5A8012B6"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New pastimes</w:t>
            </w:r>
          </w:p>
        </w:tc>
        <w:tc>
          <w:tcPr>
            <w:tcW w:w="1985" w:type="dxa"/>
            <w:tcBorders>
              <w:top w:val="single" w:sz="4" w:space="0" w:color="auto"/>
              <w:left w:val="single" w:sz="4" w:space="0" w:color="auto"/>
              <w:bottom w:val="single" w:sz="4" w:space="0" w:color="auto"/>
              <w:right w:val="single" w:sz="4" w:space="0" w:color="auto"/>
            </w:tcBorders>
            <w:hideMark/>
          </w:tcPr>
          <w:p w14:paraId="7E5AA5C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11</w:t>
            </w:r>
          </w:p>
        </w:tc>
      </w:tr>
      <w:tr w:rsidR="00086ECF" w:rsidRPr="00340464" w14:paraId="5D3B39C7"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71E1B58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Factors associated with access to spaces and materials for practice</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7AFD29D8" w14:textId="77777777" w:rsidR="00086ECF" w:rsidRPr="00086ECF" w:rsidRDefault="00086ECF" w:rsidP="00086ECF">
            <w:pPr>
              <w:rPr>
                <w:rFonts w:ascii="Calibri" w:eastAsia="Calibri" w:hAnsi="Calibri"/>
                <w:sz w:val="22"/>
                <w:szCs w:val="22"/>
              </w:rPr>
            </w:pPr>
          </w:p>
        </w:tc>
      </w:tr>
      <w:tr w:rsidR="00086ECF" w:rsidRPr="00086ECF" w14:paraId="06E4FD17"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424804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Loss of cultural spaces</w:t>
            </w:r>
          </w:p>
        </w:tc>
        <w:tc>
          <w:tcPr>
            <w:tcW w:w="1985" w:type="dxa"/>
            <w:tcBorders>
              <w:top w:val="single" w:sz="4" w:space="0" w:color="auto"/>
              <w:left w:val="single" w:sz="4" w:space="0" w:color="auto"/>
              <w:bottom w:val="single" w:sz="4" w:space="0" w:color="auto"/>
              <w:right w:val="single" w:sz="4" w:space="0" w:color="auto"/>
            </w:tcBorders>
            <w:hideMark/>
          </w:tcPr>
          <w:p w14:paraId="475AF139"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21</w:t>
            </w:r>
          </w:p>
        </w:tc>
      </w:tr>
      <w:tr w:rsidR="00086ECF" w:rsidRPr="00086ECF" w14:paraId="77A7928F"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19CE059E"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Material shortage</w:t>
            </w:r>
          </w:p>
        </w:tc>
        <w:tc>
          <w:tcPr>
            <w:tcW w:w="1985" w:type="dxa"/>
            <w:tcBorders>
              <w:top w:val="single" w:sz="4" w:space="0" w:color="auto"/>
              <w:left w:val="single" w:sz="4" w:space="0" w:color="auto"/>
              <w:bottom w:val="single" w:sz="4" w:space="0" w:color="auto"/>
              <w:right w:val="single" w:sz="4" w:space="0" w:color="auto"/>
            </w:tcBorders>
            <w:hideMark/>
          </w:tcPr>
          <w:p w14:paraId="0FBA42F6"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21</w:t>
            </w:r>
          </w:p>
        </w:tc>
      </w:tr>
      <w:tr w:rsidR="00086ECF" w:rsidRPr="00340464" w14:paraId="74AAD6A6" w14:textId="77777777" w:rsidTr="00086ECF">
        <w:tc>
          <w:tcPr>
            <w:tcW w:w="6799" w:type="dxa"/>
            <w:tcBorders>
              <w:top w:val="single" w:sz="4" w:space="0" w:color="auto"/>
              <w:left w:val="single" w:sz="4" w:space="0" w:color="auto"/>
              <w:bottom w:val="single" w:sz="4" w:space="0" w:color="auto"/>
              <w:right w:val="single" w:sz="4" w:space="0" w:color="auto"/>
            </w:tcBorders>
            <w:shd w:val="clear" w:color="auto" w:fill="D9E2F3"/>
            <w:hideMark/>
          </w:tcPr>
          <w:p w14:paraId="72AE64D1"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Other more general factors affecting viability</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275EA348" w14:textId="77777777" w:rsidR="00086ECF" w:rsidRPr="00086ECF" w:rsidRDefault="00086ECF" w:rsidP="00086ECF">
            <w:pPr>
              <w:rPr>
                <w:rFonts w:ascii="Calibri" w:eastAsia="Calibri" w:hAnsi="Calibri"/>
                <w:sz w:val="22"/>
                <w:szCs w:val="22"/>
              </w:rPr>
            </w:pPr>
          </w:p>
        </w:tc>
      </w:tr>
      <w:tr w:rsidR="00086ECF" w:rsidRPr="00086ECF" w14:paraId="4D7D8ED2"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58F981C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Water pollution, deforestation, degraded ecosystem, invasive husbandry, mining, natural disasters</w:t>
            </w:r>
          </w:p>
        </w:tc>
        <w:tc>
          <w:tcPr>
            <w:tcW w:w="1985" w:type="dxa"/>
            <w:tcBorders>
              <w:top w:val="single" w:sz="4" w:space="0" w:color="auto"/>
              <w:left w:val="single" w:sz="4" w:space="0" w:color="auto"/>
              <w:bottom w:val="single" w:sz="4" w:space="0" w:color="auto"/>
              <w:right w:val="single" w:sz="4" w:space="0" w:color="auto"/>
            </w:tcBorders>
            <w:hideMark/>
          </w:tcPr>
          <w:p w14:paraId="76F5C46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23</w:t>
            </w:r>
          </w:p>
        </w:tc>
      </w:tr>
      <w:tr w:rsidR="00086ECF" w:rsidRPr="00086ECF" w14:paraId="56C5E5F8"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64DCE6A1"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Conflicts</w:t>
            </w:r>
          </w:p>
        </w:tc>
        <w:tc>
          <w:tcPr>
            <w:tcW w:w="1985" w:type="dxa"/>
            <w:tcBorders>
              <w:top w:val="single" w:sz="4" w:space="0" w:color="auto"/>
              <w:left w:val="single" w:sz="4" w:space="0" w:color="auto"/>
              <w:bottom w:val="single" w:sz="4" w:space="0" w:color="auto"/>
              <w:right w:val="single" w:sz="4" w:space="0" w:color="auto"/>
            </w:tcBorders>
            <w:hideMark/>
          </w:tcPr>
          <w:p w14:paraId="09888E40"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15</w:t>
            </w:r>
          </w:p>
        </w:tc>
      </w:tr>
      <w:tr w:rsidR="00086ECF" w:rsidRPr="00086ECF" w14:paraId="77C7DD6D"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114483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Urban development</w:t>
            </w:r>
          </w:p>
        </w:tc>
        <w:tc>
          <w:tcPr>
            <w:tcW w:w="1985" w:type="dxa"/>
            <w:tcBorders>
              <w:top w:val="single" w:sz="4" w:space="0" w:color="auto"/>
              <w:left w:val="single" w:sz="4" w:space="0" w:color="auto"/>
              <w:bottom w:val="single" w:sz="4" w:space="0" w:color="auto"/>
              <w:right w:val="single" w:sz="4" w:space="0" w:color="auto"/>
            </w:tcBorders>
            <w:hideMark/>
          </w:tcPr>
          <w:p w14:paraId="02224543"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8</w:t>
            </w:r>
          </w:p>
        </w:tc>
      </w:tr>
      <w:tr w:rsidR="00086ECF" w:rsidRPr="00086ECF" w14:paraId="27D31B14"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9868BE1"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Climate change</w:t>
            </w:r>
          </w:p>
        </w:tc>
        <w:tc>
          <w:tcPr>
            <w:tcW w:w="1985" w:type="dxa"/>
            <w:tcBorders>
              <w:top w:val="single" w:sz="4" w:space="0" w:color="auto"/>
              <w:left w:val="single" w:sz="4" w:space="0" w:color="auto"/>
              <w:bottom w:val="single" w:sz="4" w:space="0" w:color="auto"/>
              <w:right w:val="single" w:sz="4" w:space="0" w:color="auto"/>
            </w:tcBorders>
            <w:hideMark/>
          </w:tcPr>
          <w:p w14:paraId="49B109D5"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5</w:t>
            </w:r>
          </w:p>
        </w:tc>
      </w:tr>
      <w:tr w:rsidR="00086ECF" w:rsidRPr="00086ECF" w14:paraId="6F82AC50"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68C29AEA"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Population influx</w:t>
            </w:r>
          </w:p>
        </w:tc>
        <w:tc>
          <w:tcPr>
            <w:tcW w:w="1985" w:type="dxa"/>
            <w:tcBorders>
              <w:top w:val="single" w:sz="4" w:space="0" w:color="auto"/>
              <w:left w:val="single" w:sz="4" w:space="0" w:color="auto"/>
              <w:bottom w:val="single" w:sz="4" w:space="0" w:color="auto"/>
              <w:right w:val="single" w:sz="4" w:space="0" w:color="auto"/>
            </w:tcBorders>
            <w:hideMark/>
          </w:tcPr>
          <w:p w14:paraId="0CBDFC3F"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3</w:t>
            </w:r>
          </w:p>
        </w:tc>
      </w:tr>
      <w:tr w:rsidR="00086ECF" w:rsidRPr="00086ECF" w14:paraId="24116A79"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319787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Intolerance</w:t>
            </w:r>
          </w:p>
        </w:tc>
        <w:tc>
          <w:tcPr>
            <w:tcW w:w="1985" w:type="dxa"/>
            <w:tcBorders>
              <w:top w:val="single" w:sz="4" w:space="0" w:color="auto"/>
              <w:left w:val="single" w:sz="4" w:space="0" w:color="auto"/>
              <w:bottom w:val="single" w:sz="4" w:space="0" w:color="auto"/>
              <w:right w:val="single" w:sz="4" w:space="0" w:color="auto"/>
            </w:tcBorders>
            <w:hideMark/>
          </w:tcPr>
          <w:p w14:paraId="032E58C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11</w:t>
            </w:r>
          </w:p>
        </w:tc>
      </w:tr>
      <w:tr w:rsidR="00086ECF" w:rsidRPr="00086ECF" w14:paraId="3C5E54D4"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4B2E5EB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Repressive policies</w:t>
            </w:r>
          </w:p>
        </w:tc>
        <w:tc>
          <w:tcPr>
            <w:tcW w:w="1985" w:type="dxa"/>
            <w:tcBorders>
              <w:top w:val="single" w:sz="4" w:space="0" w:color="auto"/>
              <w:left w:val="single" w:sz="4" w:space="0" w:color="auto"/>
              <w:bottom w:val="single" w:sz="4" w:space="0" w:color="auto"/>
              <w:right w:val="single" w:sz="4" w:space="0" w:color="auto"/>
            </w:tcBorders>
            <w:hideMark/>
          </w:tcPr>
          <w:p w14:paraId="4CF3B472"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8</w:t>
            </w:r>
          </w:p>
        </w:tc>
      </w:tr>
      <w:tr w:rsidR="00086ECF" w:rsidRPr="00086ECF" w14:paraId="24E53821"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9E91393"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 xml:space="preserve">Disrespect </w:t>
            </w:r>
          </w:p>
        </w:tc>
        <w:tc>
          <w:tcPr>
            <w:tcW w:w="1985" w:type="dxa"/>
            <w:tcBorders>
              <w:top w:val="single" w:sz="4" w:space="0" w:color="auto"/>
              <w:left w:val="single" w:sz="4" w:space="0" w:color="auto"/>
              <w:bottom w:val="single" w:sz="4" w:space="0" w:color="auto"/>
              <w:right w:val="single" w:sz="4" w:space="0" w:color="auto"/>
            </w:tcBorders>
            <w:hideMark/>
          </w:tcPr>
          <w:p w14:paraId="4DA0979D"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8</w:t>
            </w:r>
          </w:p>
        </w:tc>
      </w:tr>
      <w:tr w:rsidR="00086ECF" w:rsidRPr="00086ECF" w14:paraId="5A26BCD6" w14:textId="77777777" w:rsidTr="00086ECF">
        <w:tc>
          <w:tcPr>
            <w:tcW w:w="6799" w:type="dxa"/>
            <w:tcBorders>
              <w:top w:val="single" w:sz="4" w:space="0" w:color="auto"/>
              <w:left w:val="single" w:sz="4" w:space="0" w:color="auto"/>
              <w:bottom w:val="single" w:sz="4" w:space="0" w:color="auto"/>
              <w:right w:val="single" w:sz="4" w:space="0" w:color="auto"/>
            </w:tcBorders>
            <w:hideMark/>
          </w:tcPr>
          <w:p w14:paraId="08A71884"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Mass media, social media</w:t>
            </w:r>
          </w:p>
        </w:tc>
        <w:tc>
          <w:tcPr>
            <w:tcW w:w="1985" w:type="dxa"/>
            <w:tcBorders>
              <w:top w:val="single" w:sz="4" w:space="0" w:color="auto"/>
              <w:left w:val="single" w:sz="4" w:space="0" w:color="auto"/>
              <w:bottom w:val="single" w:sz="4" w:space="0" w:color="auto"/>
              <w:right w:val="single" w:sz="4" w:space="0" w:color="auto"/>
            </w:tcBorders>
            <w:hideMark/>
          </w:tcPr>
          <w:p w14:paraId="0D644138" w14:textId="77777777" w:rsidR="00086ECF" w:rsidRPr="00086ECF" w:rsidRDefault="00086ECF" w:rsidP="00086ECF">
            <w:pPr>
              <w:rPr>
                <w:rFonts w:ascii="Calibri" w:eastAsia="Calibri" w:hAnsi="Calibri"/>
                <w:sz w:val="22"/>
                <w:szCs w:val="22"/>
              </w:rPr>
            </w:pPr>
            <w:r w:rsidRPr="00086ECF">
              <w:rPr>
                <w:rFonts w:ascii="Calibri" w:eastAsia="Calibri" w:hAnsi="Calibri"/>
                <w:sz w:val="22"/>
                <w:szCs w:val="22"/>
              </w:rPr>
              <w:t>10</w:t>
            </w:r>
          </w:p>
        </w:tc>
      </w:tr>
    </w:tbl>
    <w:p w14:paraId="1B274020" w14:textId="77777777" w:rsidR="00086ECF" w:rsidRPr="00086ECF" w:rsidRDefault="00086ECF" w:rsidP="00086ECF">
      <w:pPr>
        <w:spacing w:after="160" w:line="256" w:lineRule="auto"/>
        <w:jc w:val="both"/>
        <w:rPr>
          <w:rFonts w:ascii="Calibri" w:eastAsia="Calibri" w:hAnsi="Calibri" w:cs="Arial"/>
          <w:sz w:val="22"/>
          <w:szCs w:val="22"/>
          <w:lang w:val="en-GB" w:eastAsia="en-US"/>
        </w:rPr>
      </w:pPr>
    </w:p>
    <w:p w14:paraId="4BD3D20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Although the above classification is by no means exact, Table 1 suggests that, for elements on the USL, problems associated with constrained economic activity may be almost as prevalent as problems associated with too much (or the wrong kind of) economic activity. If practitioners and bearers wish to, but cannot continue to, earn a decent livelihood from certain kinds of ICH, such as handicrafts or performance, the practices may die out, along with (and </w:t>
      </w:r>
      <w:proofErr w:type="gramStart"/>
      <w:r w:rsidRPr="00086ECF">
        <w:rPr>
          <w:rFonts w:ascii="Calibri" w:eastAsia="Calibri" w:hAnsi="Calibri" w:cs="Arial"/>
          <w:sz w:val="22"/>
          <w:szCs w:val="22"/>
          <w:lang w:val="en-GB" w:eastAsia="en-US"/>
        </w:rPr>
        <w:t>in spite of</w:t>
      </w:r>
      <w:proofErr w:type="gramEnd"/>
      <w:r w:rsidRPr="00086ECF">
        <w:rPr>
          <w:rFonts w:ascii="Calibri" w:eastAsia="Calibri" w:hAnsi="Calibri" w:cs="Arial"/>
          <w:sz w:val="22"/>
          <w:szCs w:val="22"/>
          <w:lang w:val="en-GB" w:eastAsia="en-US"/>
        </w:rPr>
        <w:t xml:space="preserve">) their social functions and cultural meanings. Inadequate remuneration may thus pose a significant threat to the viability of </w:t>
      </w:r>
      <w:proofErr w:type="gramStart"/>
      <w:r w:rsidRPr="00086ECF">
        <w:rPr>
          <w:rFonts w:ascii="Calibri" w:eastAsia="Calibri" w:hAnsi="Calibri" w:cs="Arial"/>
          <w:sz w:val="22"/>
          <w:szCs w:val="22"/>
          <w:lang w:val="en-GB" w:eastAsia="en-US"/>
        </w:rPr>
        <w:t>a number of</w:t>
      </w:r>
      <w:proofErr w:type="gramEnd"/>
      <w:r w:rsidRPr="00086ECF">
        <w:rPr>
          <w:rFonts w:ascii="Calibri" w:eastAsia="Calibri" w:hAnsi="Calibri" w:cs="Arial"/>
          <w:sz w:val="22"/>
          <w:szCs w:val="22"/>
          <w:lang w:val="en-GB" w:eastAsia="en-US"/>
        </w:rPr>
        <w:t xml:space="preserve"> ICH elements inscribed on the Lists of the Convention.</w:t>
      </w:r>
      <w:r w:rsidRPr="00086ECF">
        <w:rPr>
          <w:rFonts w:ascii="Calibri" w:eastAsia="Calibri" w:hAnsi="Calibri" w:cs="Arial"/>
          <w:sz w:val="22"/>
          <w:szCs w:val="22"/>
          <w:vertAlign w:val="superscript"/>
          <w:lang w:val="en-GB" w:eastAsia="en-US"/>
        </w:rPr>
        <w:footnoteReference w:id="33"/>
      </w:r>
      <w:r w:rsidRPr="00086ECF">
        <w:rPr>
          <w:rFonts w:ascii="Calibri" w:eastAsia="Calibri" w:hAnsi="Calibri" w:cs="Arial"/>
          <w:sz w:val="22"/>
          <w:szCs w:val="22"/>
          <w:lang w:val="en-GB" w:eastAsia="en-US"/>
        </w:rPr>
        <w:t xml:space="preserve"> Inadequate remuneration is an economic risk explicitly mentioned in 19 of the 76 inscribed USL files (25%), along with lack of financial resources (mentioned in 23 files, or 30%). Committee decisions have, however, tended to focus much more extensively on encouraging States Parties to address problems of over-commercialization than on under-remuneration in nomination files for both Lists.</w:t>
      </w:r>
    </w:p>
    <w:p w14:paraId="182E5967"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lastRenderedPageBreak/>
        <w:t>What do Committee decisions tell us about how communities should be supported in addressing these problems associated with rapid economic and sociocultural change, managing interactions with the market?</w:t>
      </w:r>
    </w:p>
    <w:p w14:paraId="452870A0"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US" w:eastAsia="en-US"/>
        </w:rPr>
      </w:pPr>
      <w:bookmarkStart w:id="13" w:name="_Toc127519987"/>
      <w:r w:rsidRPr="00086ECF">
        <w:rPr>
          <w:rFonts w:ascii="Calibri Light" w:eastAsia="DengXian Light" w:hAnsi="Calibri Light"/>
          <w:color w:val="1F3763"/>
          <w:lang w:val="en-US" w:eastAsia="en-US"/>
        </w:rPr>
        <w:t>Finding a ‘proper balance’</w:t>
      </w:r>
      <w:bookmarkEnd w:id="13"/>
      <w:r w:rsidRPr="00086ECF">
        <w:rPr>
          <w:rFonts w:ascii="Calibri Light" w:eastAsia="DengXian Light" w:hAnsi="Calibri Light"/>
          <w:color w:val="1F3763"/>
          <w:lang w:val="en-US" w:eastAsia="en-US"/>
        </w:rPr>
        <w:t xml:space="preserve"> </w:t>
      </w:r>
    </w:p>
    <w:p w14:paraId="3B758A69"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Building on the ideas behind OD 117 and 170, the Committee and its evaluation bodies have recommended finding a ‘proper balance’ between different interests </w:t>
      </w:r>
      <w:proofErr w:type="gramStart"/>
      <w:r w:rsidRPr="00086ECF">
        <w:rPr>
          <w:rFonts w:ascii="Calibri" w:eastAsia="Calibri" w:hAnsi="Calibri" w:cs="Arial"/>
          <w:sz w:val="22"/>
          <w:szCs w:val="22"/>
          <w:lang w:val="en-GB" w:eastAsia="en-US"/>
        </w:rPr>
        <w:t>in regard to</w:t>
      </w:r>
      <w:proofErr w:type="gramEnd"/>
      <w:r w:rsidRPr="00086ECF">
        <w:rPr>
          <w:rFonts w:ascii="Calibri" w:eastAsia="Calibri" w:hAnsi="Calibri" w:cs="Arial"/>
          <w:sz w:val="22"/>
          <w:szCs w:val="22"/>
          <w:lang w:val="en-GB" w:eastAsia="en-US"/>
        </w:rPr>
        <w:t xml:space="preserve"> commercial activities. A proper balance, according to the Consultative Body, involved a balance between promoting ‘cultural significance, social function and economic development’, ensuring that economic interests do not dominate: the primary goal has to be safeguarding of the ICH.</w:t>
      </w:r>
      <w:r w:rsidRPr="00086ECF">
        <w:rPr>
          <w:rFonts w:ascii="Calibri" w:eastAsia="Calibri" w:hAnsi="Calibri" w:cs="Arial"/>
          <w:sz w:val="22"/>
          <w:szCs w:val="22"/>
          <w:vertAlign w:val="superscript"/>
          <w:lang w:val="en-GB" w:eastAsia="en-US"/>
        </w:rPr>
        <w:footnoteReference w:id="34"/>
      </w:r>
      <w:r w:rsidRPr="00086ECF">
        <w:rPr>
          <w:rFonts w:ascii="Calibri" w:eastAsia="Calibri" w:hAnsi="Calibri" w:cs="Arial"/>
          <w:sz w:val="22"/>
          <w:szCs w:val="22"/>
          <w:lang w:val="en-GB" w:eastAsia="en-US"/>
        </w:rPr>
        <w:t xml:space="preserve"> The Subsidiary Body ‘cautioned against possible de-contextualization when performances are oriented for commercial purposes, overwhelming their character as intangible cultural heritage’.</w:t>
      </w:r>
      <w:r w:rsidRPr="00086ECF">
        <w:rPr>
          <w:rFonts w:ascii="Calibri" w:eastAsia="Calibri" w:hAnsi="Calibri" w:cs="Arial"/>
          <w:sz w:val="22"/>
          <w:szCs w:val="22"/>
          <w:vertAlign w:val="superscript"/>
          <w:lang w:val="en-GB" w:eastAsia="en-US"/>
        </w:rPr>
        <w:footnoteReference w:id="35"/>
      </w:r>
      <w:r w:rsidRPr="00086ECF">
        <w:rPr>
          <w:rFonts w:ascii="Calibri" w:eastAsia="Calibri" w:hAnsi="Calibri" w:cs="Arial"/>
          <w:sz w:val="22"/>
          <w:szCs w:val="22"/>
          <w:lang w:val="en-GB" w:eastAsia="en-US"/>
        </w:rPr>
        <w:t xml:space="preserve"> In 2016, the Evaluation Body noted that ‘a balance often needs to be struck between the implementation of safeguarding measures aimed at developing tourism with the imperative of ensuring the viability of the element’.</w:t>
      </w:r>
      <w:r w:rsidRPr="00086ECF">
        <w:rPr>
          <w:rFonts w:ascii="Calibri" w:eastAsia="Calibri" w:hAnsi="Calibri" w:cs="Arial"/>
          <w:sz w:val="22"/>
          <w:szCs w:val="22"/>
          <w:vertAlign w:val="superscript"/>
          <w:lang w:val="en-GB" w:eastAsia="en-US"/>
        </w:rPr>
        <w:footnoteReference w:id="36"/>
      </w:r>
      <w:r w:rsidRPr="00086ECF">
        <w:rPr>
          <w:rFonts w:ascii="Calibri" w:eastAsia="Calibri" w:hAnsi="Calibri" w:cs="Arial"/>
          <w:sz w:val="22"/>
          <w:szCs w:val="22"/>
          <w:lang w:val="en-GB" w:eastAsia="en-US"/>
        </w:rPr>
        <w:t xml:space="preserve"> In 2019, the Evaluation Body noted in a similar vein that:</w:t>
      </w:r>
    </w:p>
    <w:p w14:paraId="274BA148"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It is important to ensure a reasonable balance between the different kinds of measures required, while always prioritizing the safeguarding of the social functions and cultural meanings of the element. … When the commercialization of crafts provides their practitioners with a permanent source of income, their sustainability is firmly secured. However, nominations should not concentrate primarily on the commercial aspects of elements. Rather, they should highlight their social and cultural roles and features. Similarly, safeguarding measures focused on finding new markets, notably when they are driven by non-cultural organizations, should not overshadow the safeguarding of cultural aspects of such elements.</w:t>
      </w:r>
      <w:r w:rsidRPr="00086ECF">
        <w:rPr>
          <w:rFonts w:ascii="Calibri" w:eastAsia="Calibri" w:hAnsi="Calibri" w:cs="Arial"/>
          <w:i/>
          <w:iCs/>
          <w:color w:val="404040"/>
          <w:sz w:val="22"/>
          <w:szCs w:val="22"/>
          <w:vertAlign w:val="superscript"/>
          <w:lang w:val="en-GB" w:eastAsia="en-US"/>
        </w:rPr>
        <w:footnoteReference w:id="37"/>
      </w:r>
      <w:r w:rsidRPr="00086ECF">
        <w:rPr>
          <w:rFonts w:ascii="Calibri" w:eastAsia="Calibri" w:hAnsi="Calibri" w:cs="Arial"/>
          <w:i/>
          <w:iCs/>
          <w:color w:val="404040"/>
          <w:sz w:val="22"/>
          <w:szCs w:val="22"/>
          <w:lang w:val="en-GB" w:eastAsia="en-US"/>
        </w:rPr>
        <w:t xml:space="preserve"> </w:t>
      </w:r>
    </w:p>
    <w:p w14:paraId="1B771768"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Committee decisions have confirmed this view, trying to encourage States Parties to ensure that a focus on economic factors such as the commercial value of the element does not overwhelm the ‘social functions and cultural meanings’ of the ICH.</w:t>
      </w:r>
      <w:r w:rsidRPr="00086ECF">
        <w:rPr>
          <w:rFonts w:ascii="Calibri" w:eastAsia="Calibri" w:hAnsi="Calibri" w:cs="Arial"/>
          <w:sz w:val="22"/>
          <w:szCs w:val="22"/>
          <w:vertAlign w:val="superscript"/>
          <w:lang w:val="en-GB" w:eastAsia="en-US"/>
        </w:rPr>
        <w:footnoteReference w:id="38"/>
      </w:r>
      <w:r w:rsidRPr="00086ECF">
        <w:rPr>
          <w:rFonts w:ascii="Calibri" w:eastAsia="Calibri" w:hAnsi="Calibri" w:cs="Arial"/>
          <w:sz w:val="22"/>
          <w:szCs w:val="22"/>
          <w:lang w:val="en-GB" w:eastAsia="en-US"/>
        </w:rPr>
        <w:t xml:space="preserve"> </w:t>
      </w:r>
    </w:p>
    <w:p w14:paraId="42C9B8DD"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appropriate balance should of course be determined ultimately by communities, groups and individuals concerned (Article 15, EP 10). Thus, the Committee and its bodies have also expressed concern when community involvement in decision making is not evident from the nomination files.</w:t>
      </w:r>
      <w:r w:rsidRPr="00086ECF">
        <w:rPr>
          <w:rFonts w:ascii="Calibri" w:eastAsia="Calibri" w:hAnsi="Calibri" w:cs="Arial"/>
          <w:sz w:val="22"/>
          <w:szCs w:val="22"/>
          <w:vertAlign w:val="superscript"/>
          <w:lang w:val="en-GB" w:eastAsia="en-US"/>
        </w:rPr>
        <w:footnoteReference w:id="39"/>
      </w:r>
      <w:r w:rsidRPr="00086ECF">
        <w:rPr>
          <w:rFonts w:ascii="Calibri" w:eastAsia="Calibri" w:hAnsi="Calibri" w:cs="Arial"/>
          <w:sz w:val="22"/>
          <w:szCs w:val="22"/>
          <w:lang w:val="en-US" w:eastAsia="en-US"/>
        </w:rPr>
        <w:t xml:space="preserve"> These concerns about community participation have been framed largely in terms of social meaning and value of the element, rather than economic concerns. In 2013, the Consultative Body regretted ‘that in a number of files the survival of intangible cultural heritage appeared to be sought through measures external to the community – often related to commercialization – that might be able to perpetuate the practice in some form, but not the sense of belonging and identity that it provides to its community’.</w:t>
      </w:r>
      <w:r w:rsidRPr="00086ECF">
        <w:rPr>
          <w:rFonts w:ascii="Calibri" w:eastAsia="Calibri" w:hAnsi="Calibri" w:cs="Arial"/>
          <w:sz w:val="22"/>
          <w:szCs w:val="22"/>
          <w:vertAlign w:val="superscript"/>
          <w:lang w:val="en-US" w:eastAsia="en-US"/>
        </w:rPr>
        <w:footnoteReference w:id="40"/>
      </w:r>
    </w:p>
    <w:p w14:paraId="4FC5C615"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While the positive role played by economic activities in ICH safeguarding through income generation and decent work has been recognized by the Committee,</w:t>
      </w:r>
      <w:r w:rsidRPr="00086ECF">
        <w:rPr>
          <w:rFonts w:ascii="Calibri" w:eastAsia="Calibri" w:hAnsi="Calibri" w:cs="Arial"/>
          <w:sz w:val="22"/>
          <w:szCs w:val="22"/>
          <w:vertAlign w:val="superscript"/>
          <w:lang w:val="en-GB" w:eastAsia="en-US"/>
        </w:rPr>
        <w:footnoteReference w:id="41"/>
      </w:r>
      <w:r w:rsidRPr="00086ECF">
        <w:rPr>
          <w:rFonts w:ascii="Calibri" w:eastAsia="Calibri" w:hAnsi="Calibri" w:cs="Arial"/>
          <w:sz w:val="22"/>
          <w:szCs w:val="22"/>
          <w:lang w:val="en-GB" w:eastAsia="en-US"/>
        </w:rPr>
        <w:t xml:space="preserve"> simply creating ‘employment opportunities’ for ICH performers by promoting commercial tourism or creative industries ‘is not necessarily in line with the purpose of the Convention’.</w:t>
      </w:r>
      <w:r w:rsidRPr="00086ECF">
        <w:rPr>
          <w:rFonts w:ascii="Calibri" w:eastAsia="Calibri" w:hAnsi="Calibri" w:cs="Arial"/>
          <w:sz w:val="22"/>
          <w:szCs w:val="22"/>
          <w:vertAlign w:val="superscript"/>
          <w:lang w:val="en-GB" w:eastAsia="en-US"/>
        </w:rPr>
        <w:footnoteReference w:id="42"/>
      </w:r>
      <w:r w:rsidRPr="00086ECF">
        <w:rPr>
          <w:rFonts w:ascii="Calibri" w:eastAsia="Calibri" w:hAnsi="Calibri" w:cs="Arial"/>
          <w:sz w:val="22"/>
          <w:szCs w:val="22"/>
          <w:lang w:val="en-GB" w:eastAsia="en-US"/>
        </w:rPr>
        <w:t xml:space="preserve"> In 2013, the Consultative Body commented that ‘</w:t>
      </w:r>
      <w:r w:rsidRPr="00086ECF">
        <w:rPr>
          <w:rFonts w:ascii="Calibri" w:eastAsia="Calibri" w:hAnsi="Calibri" w:cs="Arial"/>
          <w:noProof/>
          <w:sz w:val="22"/>
          <w:szCs w:val="22"/>
          <w:lang w:val="en-GB" w:eastAsia="en-US"/>
        </w:rPr>
        <w:t xml:space="preserve">measures such as income generation, remuneration to tradition-bearers or expansion of audiences can only be considered as </w:t>
      </w:r>
      <w:r w:rsidRPr="00086ECF">
        <w:rPr>
          <w:rFonts w:ascii="Calibri" w:eastAsia="Calibri" w:hAnsi="Calibri" w:cs="Arial"/>
          <w:noProof/>
          <w:sz w:val="22"/>
          <w:szCs w:val="22"/>
          <w:lang w:val="en-GB" w:eastAsia="en-US"/>
        </w:rPr>
        <w:lastRenderedPageBreak/>
        <w:t>safeguarding measures if they are aimed, from their conception to their implementation</w:t>
      </w:r>
      <w:r w:rsidRPr="00086ECF">
        <w:rPr>
          <w:rFonts w:ascii="Calibri" w:eastAsia="Calibri" w:hAnsi="Calibri" w:cs="Arial"/>
          <w:sz w:val="22"/>
          <w:szCs w:val="22"/>
          <w:lang w:val="en-GB" w:eastAsia="en-US"/>
        </w:rPr>
        <w:t>, to contribute directly to ensuring the viability of the intangible cultural heritage in question’.</w:t>
      </w:r>
      <w:r w:rsidRPr="00086ECF">
        <w:rPr>
          <w:rFonts w:ascii="Calibri" w:eastAsia="Calibri" w:hAnsi="Calibri" w:cs="Arial"/>
          <w:sz w:val="22"/>
          <w:szCs w:val="22"/>
          <w:vertAlign w:val="superscript"/>
          <w:lang w:val="en-GB" w:eastAsia="en-US"/>
        </w:rPr>
        <w:footnoteReference w:id="43"/>
      </w:r>
      <w:r w:rsidRPr="00086ECF">
        <w:rPr>
          <w:rFonts w:ascii="Calibri" w:eastAsia="Calibri" w:hAnsi="Calibri" w:cs="Arial"/>
          <w:sz w:val="22"/>
          <w:szCs w:val="22"/>
          <w:lang w:val="en-GB" w:eastAsia="en-US"/>
        </w:rPr>
        <w:t xml:space="preserve"> The Evaluation Body noted in 2019 that it is important to ‘recall the difference between a “product” and a “practice”… nomination files should concentrate on the cultural meanings and social functions of the element and the safeguarding measures should be focused on them,’ rather than on simply promoting product sales.</w:t>
      </w:r>
      <w:r w:rsidRPr="00086ECF">
        <w:rPr>
          <w:rFonts w:ascii="Calibri" w:eastAsia="Calibri" w:hAnsi="Calibri" w:cs="Arial"/>
          <w:sz w:val="22"/>
          <w:szCs w:val="22"/>
          <w:vertAlign w:val="superscript"/>
          <w:lang w:val="en-US" w:eastAsia="en-US"/>
        </w:rPr>
        <w:footnoteReference w:id="44"/>
      </w:r>
      <w:r w:rsidRPr="00086ECF">
        <w:rPr>
          <w:rFonts w:ascii="Calibri" w:eastAsia="Calibri" w:hAnsi="Calibri" w:cs="Arial"/>
          <w:sz w:val="22"/>
          <w:szCs w:val="22"/>
          <w:lang w:val="en-US" w:eastAsia="en-US"/>
        </w:rPr>
        <w:t xml:space="preserve"> </w:t>
      </w:r>
    </w:p>
    <w:p w14:paraId="714CFEA0" w14:textId="0B2DECBD"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Ensuring that the economic contributions of ICH practice </w:t>
      </w:r>
      <w:proofErr w:type="gramStart"/>
      <w:r w:rsidRPr="00086ECF">
        <w:rPr>
          <w:rFonts w:ascii="Calibri" w:eastAsia="Calibri" w:hAnsi="Calibri" w:cs="Arial"/>
          <w:sz w:val="22"/>
          <w:szCs w:val="22"/>
          <w:lang w:val="en-GB" w:eastAsia="en-US"/>
        </w:rPr>
        <w:t>remains</w:t>
      </w:r>
      <w:proofErr w:type="gramEnd"/>
      <w:r w:rsidRPr="00086ECF">
        <w:rPr>
          <w:rFonts w:ascii="Calibri" w:eastAsia="Calibri" w:hAnsi="Calibri" w:cs="Arial"/>
          <w:sz w:val="22"/>
          <w:szCs w:val="22"/>
          <w:lang w:val="en-GB" w:eastAsia="en-US"/>
        </w:rPr>
        <w:t xml:space="preserve"> subordinate to its social functions and cultural meaning exists in some tension with ODs 183-185, however, where States Parties are for example encouraged to identify and assess ‘opportunities that intangible cultural heritage offers for generating income and sustaining livelihoods for communities, groups and individuals concerned, with particular attention to its role in supplementing other forms of income’ (OD 185(a)).</w:t>
      </w:r>
    </w:p>
    <w:p w14:paraId="31D128A7"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approach taken in Committee decisions to the question of income generation through sale of products and services linked to ICH has been influenced by concerns about decontextualization.</w:t>
      </w:r>
    </w:p>
    <w:p w14:paraId="40115121"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US" w:eastAsia="en-US"/>
        </w:rPr>
      </w:pPr>
      <w:bookmarkStart w:id="15" w:name="_Toc127519988"/>
      <w:r w:rsidRPr="00086ECF">
        <w:rPr>
          <w:rFonts w:ascii="Calibri Light" w:eastAsia="DengXian Light" w:hAnsi="Calibri Light"/>
          <w:color w:val="1F3763"/>
          <w:lang w:val="en-US" w:eastAsia="en-US"/>
        </w:rPr>
        <w:t>Maintaining the context of the ICH</w:t>
      </w:r>
      <w:bookmarkEnd w:id="15"/>
    </w:p>
    <w:p w14:paraId="73623D3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2011 Consultative Body report explained that while changes in ICH practice and transmission, or indeed meaning and value, can be expected over time,</w:t>
      </w:r>
    </w:p>
    <w:p w14:paraId="1AD4870F"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The Convention is not concerned with the question of how ‘original’ or ‘authentic’ an element is or what its ‘ideal’ form should be, rather what matters is how an element figures in the lives of its practitioners today.</w:t>
      </w:r>
      <w:r w:rsidRPr="00086ECF">
        <w:rPr>
          <w:rFonts w:ascii="Calibri" w:eastAsia="Calibri" w:hAnsi="Calibri" w:cs="Arial"/>
          <w:i/>
          <w:iCs/>
          <w:color w:val="404040"/>
          <w:sz w:val="22"/>
          <w:szCs w:val="22"/>
          <w:vertAlign w:val="superscript"/>
          <w:lang w:val="en-GB" w:eastAsia="en-US"/>
        </w:rPr>
        <w:footnoteReference w:id="45"/>
      </w:r>
    </w:p>
    <w:p w14:paraId="664E16F3"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US" w:eastAsia="en-US"/>
        </w:rPr>
        <w:t>Understanding ‘</w:t>
      </w:r>
      <w:r w:rsidRPr="00086ECF">
        <w:rPr>
          <w:rFonts w:ascii="Calibri" w:eastAsia="Calibri" w:hAnsi="Calibri" w:cs="Arial"/>
          <w:sz w:val="22"/>
          <w:szCs w:val="22"/>
          <w:lang w:val="en-GB" w:eastAsia="en-US"/>
        </w:rPr>
        <w:t>how an element figures in the lives of its practitioners today’, in respect to</w:t>
      </w:r>
      <w:r w:rsidRPr="00086ECF">
        <w:rPr>
          <w:rFonts w:ascii="Calibri" w:eastAsia="Calibri" w:hAnsi="Calibri" w:cs="Arial"/>
          <w:sz w:val="22"/>
          <w:szCs w:val="22"/>
          <w:lang w:val="en-US" w:eastAsia="en-US"/>
        </w:rPr>
        <w:t xml:space="preserve"> the social function and meaning of an element, helps the </w:t>
      </w:r>
      <w:r w:rsidRPr="00086ECF">
        <w:rPr>
          <w:rFonts w:ascii="Calibri" w:eastAsia="Calibri" w:hAnsi="Calibri" w:cs="Arial"/>
          <w:sz w:val="22"/>
          <w:szCs w:val="22"/>
          <w:lang w:val="en-GB" w:eastAsia="en-US"/>
        </w:rPr>
        <w:t xml:space="preserve">Body </w:t>
      </w:r>
      <w:r w:rsidRPr="00086ECF">
        <w:rPr>
          <w:rFonts w:ascii="Calibri" w:eastAsia="Calibri" w:hAnsi="Calibri" w:cs="Arial"/>
          <w:sz w:val="22"/>
          <w:szCs w:val="22"/>
          <w:lang w:val="en-US" w:eastAsia="en-US"/>
        </w:rPr>
        <w:t>determine whether an element</w:t>
      </w:r>
      <w:r w:rsidRPr="00086ECF">
        <w:rPr>
          <w:rFonts w:ascii="Calibri" w:eastAsia="Calibri" w:hAnsi="Calibri" w:cs="Arial"/>
          <w:sz w:val="22"/>
          <w:szCs w:val="22"/>
          <w:lang w:val="en-GB" w:eastAsia="en-US"/>
        </w:rPr>
        <w:t xml:space="preserve"> constitutes intangible cultural heritage as defined in the Convention. As the </w:t>
      </w:r>
      <w:r w:rsidRPr="00086ECF">
        <w:rPr>
          <w:rFonts w:ascii="Calibri" w:eastAsia="Calibri" w:hAnsi="Calibri" w:cs="Arial"/>
          <w:sz w:val="22"/>
          <w:szCs w:val="22"/>
          <w:lang w:val="en-US" w:eastAsia="en-US"/>
        </w:rPr>
        <w:t>Consultative Body observed in 2012:</w:t>
      </w:r>
    </w:p>
    <w:p w14:paraId="5CD35393"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On the one hand, changing the function and meaning of the element as the social context changes can constitute an adaptive strategy for a community to safeguard it; on the other, when an element has outlived its socio-cultural context and is no longer meaningful to its community, it no longer constitutes intangible cultural heritage as defined in the Convention.</w:t>
      </w:r>
      <w:r w:rsidRPr="00086ECF">
        <w:rPr>
          <w:rFonts w:ascii="Calibri" w:eastAsia="Calibri" w:hAnsi="Calibri" w:cs="Arial"/>
          <w:i/>
          <w:iCs/>
          <w:color w:val="404040"/>
          <w:sz w:val="22"/>
          <w:szCs w:val="22"/>
          <w:vertAlign w:val="superscript"/>
          <w:lang w:val="en-GB" w:eastAsia="en-US"/>
        </w:rPr>
        <w:footnoteReference w:id="46"/>
      </w:r>
      <w:r w:rsidRPr="00086ECF">
        <w:rPr>
          <w:rFonts w:ascii="Calibri" w:eastAsia="Calibri" w:hAnsi="Calibri" w:cs="Arial"/>
          <w:i/>
          <w:iCs/>
          <w:color w:val="404040"/>
          <w:sz w:val="22"/>
          <w:szCs w:val="22"/>
          <w:lang w:val="en-GB" w:eastAsia="en-US"/>
        </w:rPr>
        <w:t xml:space="preserve"> </w:t>
      </w:r>
    </w:p>
    <w:p w14:paraId="323A0C70"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US" w:eastAsia="en-US"/>
        </w:rPr>
        <w:t xml:space="preserve">The </w:t>
      </w:r>
      <w:r w:rsidRPr="00086ECF">
        <w:rPr>
          <w:rFonts w:ascii="Calibri" w:eastAsia="Calibri" w:hAnsi="Calibri" w:cs="Arial"/>
          <w:sz w:val="22"/>
          <w:szCs w:val="22"/>
          <w:lang w:val="en-GB" w:eastAsia="en-US"/>
        </w:rPr>
        <w:t xml:space="preserve">evaluation </w:t>
      </w:r>
      <w:r w:rsidRPr="00086ECF">
        <w:rPr>
          <w:rFonts w:ascii="Calibri" w:eastAsia="Calibri" w:hAnsi="Calibri" w:cs="Arial"/>
          <w:sz w:val="22"/>
          <w:szCs w:val="22"/>
          <w:lang w:val="en-US" w:eastAsia="en-US"/>
        </w:rPr>
        <w:t>bodies have thus wished to see ‘a vivid description in nomination files of the nature and form of the element as well as how it functions within its community’</w:t>
      </w:r>
      <w:r w:rsidRPr="00086ECF">
        <w:rPr>
          <w:rFonts w:ascii="Calibri" w:eastAsia="Calibri" w:hAnsi="Calibri" w:cs="Arial"/>
          <w:sz w:val="22"/>
          <w:szCs w:val="22"/>
          <w:lang w:val="en-GB" w:eastAsia="en-US"/>
        </w:rPr>
        <w:t>.</w:t>
      </w:r>
      <w:r w:rsidRPr="00086ECF">
        <w:rPr>
          <w:rFonts w:ascii="Calibri" w:eastAsia="Calibri" w:hAnsi="Calibri" w:cs="Arial"/>
          <w:sz w:val="22"/>
          <w:szCs w:val="22"/>
          <w:vertAlign w:val="superscript"/>
          <w:lang w:val="en-GB" w:eastAsia="en-US"/>
        </w:rPr>
        <w:footnoteReference w:id="47"/>
      </w:r>
      <w:r w:rsidRPr="00086ECF">
        <w:rPr>
          <w:rFonts w:ascii="Calibri" w:eastAsia="Calibri" w:hAnsi="Calibri" w:cs="Arial"/>
          <w:sz w:val="22"/>
          <w:szCs w:val="22"/>
          <w:lang w:val="en-GB" w:eastAsia="en-US"/>
        </w:rPr>
        <w:t xml:space="preserve"> They have also requested consideration of the ‘possible consequences of its de-contextualization’ if the element was no longer meaningful to that community</w:t>
      </w:r>
      <w:r w:rsidRPr="00086ECF">
        <w:rPr>
          <w:rFonts w:ascii="Calibri" w:eastAsia="Calibri" w:hAnsi="Calibri" w:cs="Arial"/>
          <w:sz w:val="22"/>
          <w:szCs w:val="22"/>
          <w:lang w:val="en-US" w:eastAsia="en-US"/>
        </w:rPr>
        <w:t>.</w:t>
      </w:r>
      <w:r w:rsidRPr="00086ECF">
        <w:rPr>
          <w:rFonts w:ascii="Calibri" w:eastAsia="Calibri" w:hAnsi="Calibri" w:cs="Arial"/>
          <w:sz w:val="22"/>
          <w:szCs w:val="22"/>
          <w:vertAlign w:val="superscript"/>
          <w:lang w:val="en-US" w:eastAsia="en-US"/>
        </w:rPr>
        <w:footnoteReference w:id="48"/>
      </w:r>
      <w:r w:rsidRPr="00086ECF">
        <w:rPr>
          <w:rFonts w:ascii="Calibri" w:eastAsia="Calibri" w:hAnsi="Calibri" w:cs="Arial"/>
          <w:sz w:val="22"/>
          <w:szCs w:val="22"/>
          <w:lang w:val="en-US" w:eastAsia="en-US"/>
        </w:rPr>
        <w:t xml:space="preserve"> </w:t>
      </w:r>
    </w:p>
    <w:p w14:paraId="77FBFCF3"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GB" w:eastAsia="en-US"/>
        </w:rPr>
        <w:t>There is also a broader context that should be considered when assessing whether proposed safeguarding actions are likely to be successful. As noted by the Evaluation Body in 2018, ‘Elements of intangible cultural heritage are often interwoven in much wider, more complex systems. Safeguarding plans should respect this complexity and look at all the linkages and the complete context, otherwise they [</w:t>
      </w:r>
      <w:proofErr w:type="gramStart"/>
      <w:r w:rsidRPr="00086ECF">
        <w:rPr>
          <w:rFonts w:ascii="Calibri" w:eastAsia="Calibri" w:hAnsi="Calibri" w:cs="Arial"/>
          <w:sz w:val="22"/>
          <w:szCs w:val="22"/>
          <w:lang w:val="en-GB" w:eastAsia="en-US"/>
        </w:rPr>
        <w:t>i.e.</w:t>
      </w:r>
      <w:proofErr w:type="gramEnd"/>
      <w:r w:rsidRPr="00086ECF">
        <w:rPr>
          <w:rFonts w:ascii="Calibri" w:eastAsia="Calibri" w:hAnsi="Calibri" w:cs="Arial"/>
          <w:sz w:val="22"/>
          <w:szCs w:val="22"/>
          <w:lang w:val="en-GB" w:eastAsia="en-US"/>
        </w:rPr>
        <w:t xml:space="preserve"> the safeguarding plans] may not be efficient and functional.’ Context may thus go beyond an individual element, to include the ‘wider system’ of which it is a part.</w:t>
      </w:r>
      <w:r w:rsidRPr="00086ECF">
        <w:rPr>
          <w:rFonts w:ascii="Calibri" w:eastAsia="Calibri" w:hAnsi="Calibri" w:cs="Arial"/>
          <w:sz w:val="22"/>
          <w:szCs w:val="22"/>
          <w:vertAlign w:val="superscript"/>
          <w:lang w:val="en-GB" w:eastAsia="en-US"/>
        </w:rPr>
        <w:footnoteReference w:id="49"/>
      </w:r>
      <w:r w:rsidRPr="00086ECF">
        <w:rPr>
          <w:rFonts w:ascii="Calibri" w:eastAsia="Calibri" w:hAnsi="Calibri" w:cs="Arial"/>
          <w:sz w:val="22"/>
          <w:szCs w:val="22"/>
          <w:lang w:val="en-US" w:eastAsia="en-US"/>
        </w:rPr>
        <w:t xml:space="preserve"> This may include not just </w:t>
      </w:r>
      <w:r w:rsidRPr="00086ECF">
        <w:rPr>
          <w:rFonts w:ascii="Calibri" w:eastAsia="Calibri" w:hAnsi="Calibri" w:cs="Arial"/>
          <w:sz w:val="22"/>
          <w:szCs w:val="22"/>
          <w:lang w:val="en-GB" w:eastAsia="en-US"/>
        </w:rPr>
        <w:t>social functions and cultural meanings</w:t>
      </w:r>
      <w:r w:rsidRPr="00086ECF">
        <w:rPr>
          <w:rFonts w:ascii="Calibri" w:eastAsia="Calibri" w:hAnsi="Calibri" w:cs="Arial"/>
          <w:sz w:val="22"/>
          <w:szCs w:val="22"/>
          <w:lang w:val="en-US" w:eastAsia="en-US"/>
        </w:rPr>
        <w:t xml:space="preserve"> of a specific element, or how it is </w:t>
      </w:r>
      <w:proofErr w:type="spellStart"/>
      <w:r w:rsidRPr="00086ECF">
        <w:rPr>
          <w:rFonts w:ascii="Calibri" w:eastAsia="Calibri" w:hAnsi="Calibri" w:cs="Arial"/>
          <w:sz w:val="22"/>
          <w:szCs w:val="22"/>
          <w:lang w:val="en-US" w:eastAsia="en-US"/>
        </w:rPr>
        <w:t>practised</w:t>
      </w:r>
      <w:proofErr w:type="spellEnd"/>
      <w:r w:rsidRPr="00086ECF">
        <w:rPr>
          <w:rFonts w:ascii="Calibri" w:eastAsia="Calibri" w:hAnsi="Calibri" w:cs="Arial"/>
          <w:sz w:val="22"/>
          <w:szCs w:val="22"/>
          <w:lang w:val="en-US" w:eastAsia="en-US"/>
        </w:rPr>
        <w:t xml:space="preserve"> and transmitted within the community concerned, but how it is linked to </w:t>
      </w:r>
      <w:r w:rsidRPr="00086ECF">
        <w:rPr>
          <w:rFonts w:ascii="Calibri" w:eastAsia="Calibri" w:hAnsi="Calibri" w:cs="Arial"/>
          <w:sz w:val="22"/>
          <w:szCs w:val="22"/>
          <w:lang w:val="en-US" w:eastAsia="en-US"/>
        </w:rPr>
        <w:lastRenderedPageBreak/>
        <w:t xml:space="preserve">sustainable (economic) development within the community. In the Committee’s deliberations to date, greater emphasis has been placed on maintaining </w:t>
      </w:r>
      <w:r w:rsidRPr="00086ECF">
        <w:rPr>
          <w:rFonts w:ascii="Calibri" w:eastAsia="Calibri" w:hAnsi="Calibri" w:cs="Arial"/>
          <w:sz w:val="22"/>
          <w:szCs w:val="22"/>
          <w:lang w:val="en-GB" w:eastAsia="en-US"/>
        </w:rPr>
        <w:t>the former (social and cultural) rather than the latter (economic) aspects of the context, as discussed above.</w:t>
      </w:r>
    </w:p>
    <w:p w14:paraId="1923F56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Committee and its bodies do recognize, however, that income generation may be more appropriate </w:t>
      </w:r>
      <w:proofErr w:type="gramStart"/>
      <w:r w:rsidRPr="00086ECF">
        <w:rPr>
          <w:rFonts w:ascii="Calibri" w:eastAsia="Calibri" w:hAnsi="Calibri" w:cs="Arial"/>
          <w:sz w:val="22"/>
          <w:szCs w:val="22"/>
          <w:lang w:val="en-GB" w:eastAsia="en-US"/>
        </w:rPr>
        <w:t>and also</w:t>
      </w:r>
      <w:proofErr w:type="gramEnd"/>
      <w:r w:rsidRPr="00086ECF">
        <w:rPr>
          <w:rFonts w:ascii="Calibri" w:eastAsia="Calibri" w:hAnsi="Calibri" w:cs="Arial"/>
          <w:sz w:val="22"/>
          <w:szCs w:val="22"/>
          <w:lang w:val="en-GB" w:eastAsia="en-US"/>
        </w:rPr>
        <w:t xml:space="preserve"> more relevant to social function and context in some situations than others. As the Subsidiary Body has noted, when making safeguarding decisions regarding economic activities, there is a difference between ‘practices such as craftsmanship and foodways that already enter into commerce, while many ritual expressions may be more distant from trade’.</w:t>
      </w:r>
      <w:r w:rsidRPr="00086ECF">
        <w:rPr>
          <w:rFonts w:ascii="Calibri" w:eastAsia="Calibri" w:hAnsi="Calibri" w:cs="Arial"/>
          <w:sz w:val="22"/>
          <w:szCs w:val="22"/>
          <w:vertAlign w:val="superscript"/>
          <w:lang w:val="en-GB" w:eastAsia="en-US"/>
        </w:rPr>
        <w:t xml:space="preserve"> </w:t>
      </w:r>
      <w:r w:rsidRPr="00086ECF">
        <w:rPr>
          <w:rFonts w:ascii="Calibri" w:eastAsia="Calibri" w:hAnsi="Calibri" w:cs="Arial"/>
          <w:sz w:val="22"/>
          <w:szCs w:val="22"/>
          <w:lang w:val="en-GB" w:eastAsia="en-US"/>
        </w:rPr>
        <w:t>Thus, ‘ritual aspects should be fully respected when commercial measures are proposed’, because in certain cases sacred and secret rituals may be threatened by economic activities.</w:t>
      </w:r>
      <w:r w:rsidRPr="00086ECF">
        <w:rPr>
          <w:rFonts w:ascii="Calibri" w:eastAsia="Calibri" w:hAnsi="Calibri" w:cs="Arial"/>
          <w:sz w:val="22"/>
          <w:szCs w:val="22"/>
          <w:vertAlign w:val="superscript"/>
          <w:lang w:val="en-GB" w:eastAsia="en-US"/>
        </w:rPr>
        <w:footnoteReference w:id="50"/>
      </w:r>
      <w:r w:rsidRPr="00086ECF">
        <w:rPr>
          <w:rFonts w:ascii="Calibri" w:eastAsia="Calibri" w:hAnsi="Calibri" w:cs="Arial"/>
          <w:sz w:val="22"/>
          <w:szCs w:val="22"/>
          <w:lang w:val="en-GB" w:eastAsia="en-US"/>
        </w:rPr>
        <w:t xml:space="preserve"> In other cases, the viability of an ICH element has depended over many generations on earning income, whether in monetary terms or in kind, from patronage or commercial activity. Income generation may also be necessary to ensure transmission of the element.</w:t>
      </w:r>
      <w:r w:rsidRPr="00086ECF">
        <w:rPr>
          <w:rFonts w:ascii="Calibri" w:eastAsia="Calibri" w:hAnsi="Calibri" w:cs="Arial"/>
          <w:sz w:val="22"/>
          <w:szCs w:val="22"/>
          <w:vertAlign w:val="superscript"/>
          <w:lang w:val="en-GB" w:eastAsia="en-US"/>
        </w:rPr>
        <w:footnoteReference w:id="51"/>
      </w:r>
      <w:r w:rsidRPr="00086ECF">
        <w:rPr>
          <w:rFonts w:ascii="Calibri" w:eastAsia="Calibri" w:hAnsi="Calibri" w:cs="Arial"/>
          <w:sz w:val="22"/>
          <w:szCs w:val="22"/>
          <w:lang w:val="en-GB" w:eastAsia="en-US"/>
        </w:rPr>
        <w:t xml:space="preserve"> As the Evaluation Body stated, many ‘elements of intangible cultural heritage are directly linked to economic activities,</w:t>
      </w:r>
      <w:r w:rsidRPr="00086ECF">
        <w:rPr>
          <w:rFonts w:ascii="Calibri" w:eastAsia="Calibri" w:hAnsi="Calibri" w:cs="Arial"/>
          <w:sz w:val="22"/>
          <w:szCs w:val="22"/>
          <w:vertAlign w:val="superscript"/>
          <w:lang w:val="en-US" w:eastAsia="en-US"/>
        </w:rPr>
        <w:t xml:space="preserve"> </w:t>
      </w:r>
      <w:r w:rsidRPr="00086ECF">
        <w:rPr>
          <w:rFonts w:ascii="Calibri" w:eastAsia="Calibri" w:hAnsi="Calibri" w:cs="Arial"/>
          <w:sz w:val="22"/>
          <w:szCs w:val="22"/>
          <w:lang w:val="en-GB" w:eastAsia="en-US"/>
        </w:rPr>
        <w:t>either as part of a productive chain, in the case of crafts, or as a tourist attraction, spectacle or other source of income for the communities concerned’.</w:t>
      </w:r>
      <w:r w:rsidRPr="00086ECF">
        <w:rPr>
          <w:rFonts w:ascii="Calibri" w:eastAsia="Calibri" w:hAnsi="Calibri" w:cs="Arial"/>
          <w:sz w:val="22"/>
          <w:szCs w:val="22"/>
          <w:vertAlign w:val="superscript"/>
          <w:lang w:val="en-US" w:eastAsia="en-US"/>
        </w:rPr>
        <w:footnoteReference w:id="52"/>
      </w:r>
      <w:r w:rsidRPr="00086ECF">
        <w:rPr>
          <w:rFonts w:ascii="Calibri" w:eastAsia="Calibri" w:hAnsi="Calibri" w:cs="Arial"/>
          <w:sz w:val="22"/>
          <w:szCs w:val="22"/>
          <w:lang w:val="en-US" w:eastAsia="en-US"/>
        </w:rPr>
        <w:t xml:space="preserve"> </w:t>
      </w:r>
    </w:p>
    <w:p w14:paraId="138B603E"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Decontextualization implies loss of </w:t>
      </w:r>
      <w:proofErr w:type="gramStart"/>
      <w:r w:rsidRPr="00086ECF">
        <w:rPr>
          <w:rFonts w:ascii="Calibri" w:eastAsia="Calibri" w:hAnsi="Calibri" w:cs="Arial"/>
          <w:sz w:val="22"/>
          <w:szCs w:val="22"/>
          <w:lang w:val="en-GB" w:eastAsia="en-US"/>
        </w:rPr>
        <w:t>context, or</w:t>
      </w:r>
      <w:proofErr w:type="gramEnd"/>
      <w:r w:rsidRPr="00086ECF">
        <w:rPr>
          <w:rFonts w:ascii="Calibri" w:eastAsia="Calibri" w:hAnsi="Calibri" w:cs="Arial"/>
          <w:sz w:val="22"/>
          <w:szCs w:val="22"/>
          <w:lang w:val="en-GB" w:eastAsia="en-US"/>
        </w:rPr>
        <w:t xml:space="preserve"> taking ICH practice and transmission out of its usual (or desired) context, according to the communities, groups and individuals concerned. Both decontextualization and over-commercialization have mainly been used to describe changes imposed by external forces or third parties (or indeed community members themselves) that have negative effects on the </w:t>
      </w:r>
      <w:r w:rsidRPr="00086ECF">
        <w:rPr>
          <w:rFonts w:ascii="Calibri" w:eastAsia="Calibri" w:hAnsi="Calibri" w:cs="Arial"/>
          <w:sz w:val="22"/>
          <w:szCs w:val="22"/>
          <w:lang w:val="en-US" w:eastAsia="en-US"/>
        </w:rPr>
        <w:t xml:space="preserve">social function and meaning </w:t>
      </w:r>
      <w:r w:rsidRPr="00086ECF">
        <w:rPr>
          <w:rFonts w:ascii="Calibri" w:eastAsia="Calibri" w:hAnsi="Calibri" w:cs="Arial"/>
          <w:sz w:val="22"/>
          <w:szCs w:val="22"/>
          <w:lang w:val="en-GB" w:eastAsia="en-US"/>
        </w:rPr>
        <w:t>of an element.</w:t>
      </w:r>
      <w:r w:rsidRPr="00086ECF">
        <w:rPr>
          <w:rFonts w:ascii="Calibri" w:eastAsia="Calibri" w:hAnsi="Calibri" w:cs="Arial"/>
          <w:sz w:val="22"/>
          <w:szCs w:val="22"/>
          <w:vertAlign w:val="superscript"/>
          <w:lang w:val="en-GB" w:eastAsia="en-US"/>
        </w:rPr>
        <w:footnoteReference w:id="53"/>
      </w:r>
      <w:r w:rsidRPr="00086ECF">
        <w:rPr>
          <w:rFonts w:ascii="Calibri" w:eastAsia="Calibri" w:hAnsi="Calibri" w:cs="Arial"/>
          <w:sz w:val="22"/>
          <w:szCs w:val="22"/>
          <w:lang w:val="en-GB" w:eastAsia="en-US"/>
        </w:rPr>
        <w:t xml:space="preserve"> </w:t>
      </w:r>
    </w:p>
    <w:p w14:paraId="64F7F7D9" w14:textId="407EE6AE" w:rsidR="00086ECF" w:rsidRPr="00086ECF" w:rsidRDefault="00086ECF" w:rsidP="00035309">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Changes in the context of ICH practice and transmission may be caused by modifications in practice and transmission, or more generally the broader contexts of legal or education systems,</w:t>
      </w:r>
      <w:r w:rsidRPr="00086ECF">
        <w:rPr>
          <w:rFonts w:ascii="Calibri" w:eastAsia="Calibri" w:hAnsi="Calibri" w:cs="Arial"/>
          <w:sz w:val="22"/>
          <w:szCs w:val="22"/>
          <w:vertAlign w:val="superscript"/>
          <w:lang w:val="en-GB" w:eastAsia="en-US"/>
        </w:rPr>
        <w:footnoteReference w:id="54"/>
      </w:r>
      <w:r w:rsidRPr="00086ECF">
        <w:rPr>
          <w:rFonts w:ascii="Calibri" w:eastAsia="Calibri" w:hAnsi="Calibri" w:cs="Arial"/>
          <w:sz w:val="22"/>
          <w:szCs w:val="22"/>
          <w:lang w:val="en-GB" w:eastAsia="en-US"/>
        </w:rPr>
        <w:t xml:space="preserve"> which may not be directly related to commercialization. Professionalization, staging or </w:t>
      </w:r>
      <w:proofErr w:type="spellStart"/>
      <w:r w:rsidRPr="00086ECF">
        <w:rPr>
          <w:rFonts w:ascii="Calibri" w:eastAsia="Calibri" w:hAnsi="Calibri" w:cs="Arial"/>
          <w:sz w:val="22"/>
          <w:szCs w:val="22"/>
          <w:lang w:val="en-GB" w:eastAsia="en-US"/>
        </w:rPr>
        <w:t>folklorization</w:t>
      </w:r>
      <w:proofErr w:type="spellEnd"/>
      <w:r w:rsidRPr="00086ECF">
        <w:rPr>
          <w:rFonts w:ascii="Calibri" w:eastAsia="Calibri" w:hAnsi="Calibri" w:cs="Arial"/>
          <w:sz w:val="22"/>
          <w:szCs w:val="22"/>
          <w:lang w:val="en-GB" w:eastAsia="en-US"/>
        </w:rPr>
        <w:t xml:space="preserve"> could lead to loss of community control over transmission processes, as professional practitioners and academics take over the decisions on what should be done and who should do it. Decontextualization could thus lead to ‘freezing’ or standardization of the ICH. In 2020, the Evaluation Body noted that ‘ICH must by definition be dynamic and ever-changing’ and criticized ‘folkloric’ or ‘standardized’ descriptions of it in nomination files.</w:t>
      </w:r>
      <w:r w:rsidRPr="00086ECF">
        <w:rPr>
          <w:rFonts w:ascii="Calibri" w:eastAsia="Calibri" w:hAnsi="Calibri" w:cs="Arial"/>
          <w:sz w:val="22"/>
          <w:szCs w:val="22"/>
          <w:vertAlign w:val="superscript"/>
          <w:lang w:val="en-GB" w:eastAsia="en-US"/>
        </w:rPr>
        <w:footnoteReference w:id="55"/>
      </w:r>
      <w:r w:rsidRPr="00086ECF">
        <w:rPr>
          <w:rFonts w:ascii="Calibri" w:eastAsia="Calibri" w:hAnsi="Calibri" w:cs="Arial"/>
          <w:sz w:val="22"/>
          <w:szCs w:val="22"/>
          <w:lang w:val="en-GB" w:eastAsia="en-US"/>
        </w:rPr>
        <w:t xml:space="preserve"> Thus, ‘festivals associated with cultural tourism leading to the </w:t>
      </w:r>
      <w:proofErr w:type="spellStart"/>
      <w:r w:rsidRPr="00086ECF">
        <w:rPr>
          <w:rFonts w:ascii="Calibri" w:eastAsia="Calibri" w:hAnsi="Calibri" w:cs="Arial"/>
          <w:sz w:val="22"/>
          <w:szCs w:val="22"/>
          <w:lang w:val="en-GB" w:eastAsia="en-US"/>
        </w:rPr>
        <w:t>folklorization</w:t>
      </w:r>
      <w:proofErr w:type="spellEnd"/>
      <w:r w:rsidRPr="00086ECF">
        <w:rPr>
          <w:rFonts w:ascii="Calibri" w:eastAsia="Calibri" w:hAnsi="Calibri" w:cs="Arial"/>
          <w:sz w:val="22"/>
          <w:szCs w:val="22"/>
          <w:lang w:val="en-GB" w:eastAsia="en-US"/>
        </w:rPr>
        <w:t xml:space="preserve"> or </w:t>
      </w:r>
      <w:proofErr w:type="spellStart"/>
      <w:r w:rsidRPr="00086ECF">
        <w:rPr>
          <w:rFonts w:ascii="Calibri" w:eastAsia="Calibri" w:hAnsi="Calibri" w:cs="Arial"/>
          <w:sz w:val="22"/>
          <w:szCs w:val="22"/>
          <w:lang w:val="en-GB" w:eastAsia="en-US"/>
        </w:rPr>
        <w:t>museification</w:t>
      </w:r>
      <w:proofErr w:type="spellEnd"/>
      <w:r w:rsidRPr="00086ECF">
        <w:rPr>
          <w:rFonts w:ascii="Calibri" w:eastAsia="Calibri" w:hAnsi="Calibri" w:cs="Arial"/>
          <w:sz w:val="22"/>
          <w:szCs w:val="22"/>
          <w:lang w:val="en-GB" w:eastAsia="en-US"/>
        </w:rPr>
        <w:t xml:space="preserve"> of an element are not in line with the spirit of the Convention’.</w:t>
      </w:r>
      <w:r w:rsidRPr="00086ECF">
        <w:rPr>
          <w:rFonts w:ascii="Calibri" w:eastAsia="Calibri" w:hAnsi="Calibri" w:cs="Arial"/>
          <w:sz w:val="22"/>
          <w:szCs w:val="22"/>
          <w:vertAlign w:val="superscript"/>
          <w:lang w:val="en-GB" w:eastAsia="en-US"/>
        </w:rPr>
        <w:footnoteReference w:id="56"/>
      </w:r>
      <w:r w:rsidRPr="00086ECF">
        <w:rPr>
          <w:rFonts w:ascii="Calibri" w:eastAsia="Calibri" w:hAnsi="Calibri" w:cs="Arial"/>
          <w:sz w:val="22"/>
          <w:szCs w:val="22"/>
          <w:lang w:val="en-GB" w:eastAsia="en-US"/>
        </w:rPr>
        <w:t xml:space="preserve"> In 2018, the Committee, noting that ‘intangible cultural heritage is intrinsically spontaneous and ever-changing’, invited the State Party to ensure that ‘large-scale training of new dancers’ practising an ICH element did not ‘lead to the standardization and decontextualization of the </w:t>
      </w:r>
      <w:r w:rsidRPr="00086ECF">
        <w:rPr>
          <w:rFonts w:ascii="Calibri" w:eastAsia="Calibri" w:hAnsi="Calibri" w:cs="Arial"/>
          <w:sz w:val="22"/>
          <w:szCs w:val="22"/>
          <w:lang w:val="en-GB" w:eastAsia="en-US"/>
        </w:rPr>
        <w:lastRenderedPageBreak/>
        <w:t>dances, the creation of new stereotypes and the further weakening of their spontaneous forms’.</w:t>
      </w:r>
      <w:r w:rsidRPr="00086ECF">
        <w:rPr>
          <w:rFonts w:ascii="Calibri" w:eastAsia="Calibri" w:hAnsi="Calibri" w:cs="Arial"/>
          <w:sz w:val="22"/>
          <w:szCs w:val="22"/>
          <w:vertAlign w:val="superscript"/>
          <w:lang w:val="en-GB" w:eastAsia="en-US"/>
        </w:rPr>
        <w:footnoteReference w:id="57"/>
      </w:r>
      <w:r w:rsidRPr="00086ECF">
        <w:rPr>
          <w:rFonts w:ascii="Calibri" w:eastAsia="Calibri" w:hAnsi="Calibri" w:cs="Arial"/>
          <w:sz w:val="22"/>
          <w:szCs w:val="22"/>
          <w:lang w:val="en-GB" w:eastAsia="en-US"/>
        </w:rPr>
        <w:t xml:space="preserve"> Communities ‘should not be dispossessed of their own transmission processes’.</w:t>
      </w:r>
      <w:r w:rsidRPr="00086ECF">
        <w:rPr>
          <w:rFonts w:ascii="Calibri" w:eastAsia="Calibri" w:hAnsi="Calibri" w:cs="Arial"/>
          <w:sz w:val="22"/>
          <w:szCs w:val="22"/>
          <w:vertAlign w:val="superscript"/>
          <w:lang w:val="en-GB" w:eastAsia="en-US"/>
        </w:rPr>
        <w:footnoteReference w:id="58"/>
      </w:r>
    </w:p>
    <w:p w14:paraId="17EC2B0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In Committee decisions, decontextualization is also often linked to economic factors such as promotion of related products and services,</w:t>
      </w:r>
      <w:r w:rsidRPr="00086ECF">
        <w:rPr>
          <w:rFonts w:ascii="Calibri" w:eastAsia="Calibri" w:hAnsi="Calibri" w:cs="Arial"/>
          <w:sz w:val="22"/>
          <w:szCs w:val="22"/>
          <w:vertAlign w:val="superscript"/>
          <w:lang w:val="en-GB" w:eastAsia="en-US"/>
        </w:rPr>
        <w:footnoteReference w:id="59"/>
      </w:r>
      <w:r w:rsidRPr="00086ECF">
        <w:rPr>
          <w:rFonts w:ascii="Calibri" w:eastAsia="Calibri" w:hAnsi="Calibri" w:cs="Arial"/>
          <w:sz w:val="22"/>
          <w:szCs w:val="22"/>
          <w:lang w:val="en-GB" w:eastAsia="en-US"/>
        </w:rPr>
        <w:t xml:space="preserve"> or promotion of festivals and tourism,</w:t>
      </w:r>
      <w:r w:rsidRPr="00086ECF">
        <w:rPr>
          <w:rFonts w:ascii="Calibri" w:eastAsia="Calibri" w:hAnsi="Calibri" w:cs="Arial"/>
          <w:sz w:val="22"/>
          <w:szCs w:val="22"/>
          <w:vertAlign w:val="superscript"/>
          <w:lang w:val="en-GB" w:eastAsia="en-US"/>
        </w:rPr>
        <w:footnoteReference w:id="60"/>
      </w:r>
      <w:r w:rsidRPr="00086ECF">
        <w:rPr>
          <w:rFonts w:ascii="Calibri" w:eastAsia="Calibri" w:hAnsi="Calibri" w:cs="Arial"/>
          <w:sz w:val="22"/>
          <w:szCs w:val="22"/>
          <w:lang w:val="en-GB" w:eastAsia="en-US"/>
        </w:rPr>
        <w:t xml:space="preserve"> especially in the context of increased market demand or visitor influx.</w:t>
      </w:r>
      <w:r w:rsidRPr="00086ECF">
        <w:rPr>
          <w:rFonts w:ascii="Calibri" w:eastAsia="Calibri" w:hAnsi="Calibri" w:cs="Arial"/>
          <w:sz w:val="22"/>
          <w:szCs w:val="22"/>
          <w:vertAlign w:val="superscript"/>
          <w:lang w:val="en-GB" w:eastAsia="en-US"/>
        </w:rPr>
        <w:footnoteReference w:id="61"/>
      </w:r>
      <w:r w:rsidRPr="00086ECF">
        <w:rPr>
          <w:rFonts w:ascii="Calibri" w:eastAsia="Calibri" w:hAnsi="Calibri" w:cs="Arial"/>
          <w:sz w:val="22"/>
          <w:szCs w:val="22"/>
          <w:lang w:val="en-GB" w:eastAsia="en-US"/>
        </w:rPr>
        <w:t xml:space="preserve"> Decontextualization is thus frequently seen as a second-order consequence of over-commercialization,</w:t>
      </w:r>
      <w:r w:rsidRPr="00086ECF">
        <w:rPr>
          <w:rFonts w:ascii="Calibri" w:eastAsia="Calibri" w:hAnsi="Calibri" w:cs="Arial"/>
          <w:sz w:val="22"/>
          <w:szCs w:val="22"/>
          <w:vertAlign w:val="superscript"/>
          <w:lang w:val="en-GB" w:eastAsia="en-US"/>
        </w:rPr>
        <w:footnoteReference w:id="62"/>
      </w:r>
      <w:r w:rsidRPr="00086ECF">
        <w:rPr>
          <w:rFonts w:ascii="Calibri" w:eastAsia="Calibri" w:hAnsi="Calibri" w:cs="Arial"/>
          <w:sz w:val="22"/>
          <w:szCs w:val="22"/>
          <w:lang w:val="en-GB" w:eastAsia="en-US"/>
        </w:rPr>
        <w:t xml:space="preserve"> which may be coupled with other negative influences such as standardization or ‘freezing’.</w:t>
      </w:r>
    </w:p>
    <w:p w14:paraId="5A3C8F27"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Following the specific attention paid to tourism in the texts of the Convention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ODs 102, 117 and 187, see above), the Committee and its evaluation bodies have frequently addressed this issue, mainly in relation to mitigating threats and risks of decontextualization and over-commercialization. In 2014, the Subsidiary Body noted </w:t>
      </w:r>
      <w:proofErr w:type="gramStart"/>
      <w:r w:rsidRPr="00086ECF">
        <w:rPr>
          <w:rFonts w:ascii="Calibri" w:eastAsia="Calibri" w:hAnsi="Calibri" w:cs="Arial"/>
          <w:sz w:val="22"/>
          <w:szCs w:val="22"/>
          <w:lang w:val="en-GB" w:eastAsia="en-US"/>
        </w:rPr>
        <w:t>that</w:t>
      </w:r>
      <w:proofErr w:type="gramEnd"/>
      <w:r w:rsidRPr="00086ECF">
        <w:rPr>
          <w:rFonts w:ascii="Calibri" w:eastAsia="Calibri" w:hAnsi="Calibri" w:cs="Arial"/>
          <w:sz w:val="22"/>
          <w:szCs w:val="22"/>
          <w:lang w:val="en-GB" w:eastAsia="en-US"/>
        </w:rPr>
        <w:t xml:space="preserve"> </w:t>
      </w:r>
    </w:p>
    <w:p w14:paraId="604CA78E"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 xml:space="preserve">Tourism and commercialization were often mentioned among safeguarding measures. States are encouraged to state clearly how tourism or commercialization will contribute to the element’s viability and ensuring its transmission from one generation to another. In this regard, the Body was pleased to see examples of nominations where proper justification of the possible negative impacts of mass-tourism and over-commercialization were foreseen and corrective actions were proposed in future </w:t>
      </w:r>
      <w:proofErr w:type="gramStart"/>
      <w:r w:rsidRPr="00086ECF">
        <w:rPr>
          <w:rFonts w:ascii="Calibri" w:eastAsia="Calibri" w:hAnsi="Calibri" w:cs="Arial"/>
          <w:i/>
          <w:iCs/>
          <w:color w:val="404040"/>
          <w:sz w:val="22"/>
          <w:szCs w:val="22"/>
          <w:lang w:val="en-GB" w:eastAsia="en-US"/>
        </w:rPr>
        <w:t>plans’</w:t>
      </w:r>
      <w:proofErr w:type="gramEnd"/>
      <w:r w:rsidRPr="00086ECF">
        <w:rPr>
          <w:rFonts w:ascii="Calibri" w:eastAsia="Calibri" w:hAnsi="Calibri" w:cs="Arial"/>
          <w:i/>
          <w:iCs/>
          <w:color w:val="404040"/>
          <w:sz w:val="22"/>
          <w:szCs w:val="22"/>
          <w:lang w:val="en-GB" w:eastAsia="en-US"/>
        </w:rPr>
        <w:t>.</w:t>
      </w:r>
      <w:r w:rsidRPr="00086ECF">
        <w:rPr>
          <w:rFonts w:ascii="Calibri" w:eastAsia="Calibri" w:hAnsi="Calibri" w:cs="Arial"/>
          <w:i/>
          <w:iCs/>
          <w:color w:val="404040"/>
          <w:sz w:val="22"/>
          <w:szCs w:val="22"/>
          <w:vertAlign w:val="superscript"/>
          <w:lang w:val="en-GB" w:eastAsia="en-US"/>
        </w:rPr>
        <w:footnoteReference w:id="63"/>
      </w:r>
      <w:r w:rsidRPr="00086ECF">
        <w:rPr>
          <w:rFonts w:ascii="Calibri" w:eastAsia="Calibri" w:hAnsi="Calibri" w:cs="Arial"/>
          <w:i/>
          <w:iCs/>
          <w:color w:val="404040"/>
          <w:sz w:val="22"/>
          <w:szCs w:val="22"/>
          <w:lang w:val="en-GB" w:eastAsia="en-US"/>
        </w:rPr>
        <w:t xml:space="preserve"> </w:t>
      </w:r>
    </w:p>
    <w:p w14:paraId="77C4CB00"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Echoing these earlier concerns, which were shared by the Committee,</w:t>
      </w:r>
      <w:r w:rsidRPr="00086ECF">
        <w:rPr>
          <w:rFonts w:ascii="Calibri" w:eastAsia="Calibri" w:hAnsi="Calibri" w:cs="Arial"/>
          <w:sz w:val="22"/>
          <w:szCs w:val="22"/>
          <w:vertAlign w:val="superscript"/>
          <w:lang w:val="en-GB" w:eastAsia="en-US"/>
        </w:rPr>
        <w:footnoteReference w:id="64"/>
      </w:r>
      <w:r w:rsidRPr="00086ECF">
        <w:rPr>
          <w:rFonts w:ascii="Calibri" w:eastAsia="Calibri" w:hAnsi="Calibri" w:cs="Arial"/>
          <w:sz w:val="22"/>
          <w:szCs w:val="22"/>
          <w:lang w:val="en-GB" w:eastAsia="en-US"/>
        </w:rPr>
        <w:t xml:space="preserve"> the management of tourism was singled out by the Evaluation Body in 2019 and 2020 as ‘one of the main challenges’ for safeguarding elements of intangible cultural heritage, because of the risk of decontextualization, </w:t>
      </w:r>
      <w:proofErr w:type="spellStart"/>
      <w:r w:rsidRPr="00086ECF">
        <w:rPr>
          <w:rFonts w:ascii="Calibri" w:eastAsia="Calibri" w:hAnsi="Calibri" w:cs="Arial"/>
          <w:sz w:val="22"/>
          <w:szCs w:val="22"/>
          <w:lang w:val="en-GB" w:eastAsia="en-US"/>
        </w:rPr>
        <w:t>folklorization</w:t>
      </w:r>
      <w:proofErr w:type="spellEnd"/>
      <w:r w:rsidRPr="00086ECF">
        <w:rPr>
          <w:rFonts w:ascii="Calibri" w:eastAsia="Calibri" w:hAnsi="Calibri" w:cs="Arial"/>
          <w:sz w:val="22"/>
          <w:szCs w:val="22"/>
          <w:lang w:val="en-GB" w:eastAsia="en-US"/>
        </w:rPr>
        <w:t>, ‘ossification’ and over-commercialization.</w:t>
      </w:r>
      <w:r w:rsidRPr="00086ECF">
        <w:rPr>
          <w:rFonts w:ascii="Calibri" w:eastAsia="Calibri" w:hAnsi="Calibri" w:cs="Arial"/>
          <w:sz w:val="22"/>
          <w:szCs w:val="22"/>
          <w:vertAlign w:val="superscript"/>
          <w:lang w:val="en-GB" w:eastAsia="en-US"/>
        </w:rPr>
        <w:footnoteReference w:id="65"/>
      </w:r>
      <w:r w:rsidRPr="00086ECF">
        <w:rPr>
          <w:rFonts w:ascii="Calibri" w:eastAsia="Calibri" w:hAnsi="Calibri" w:cs="Arial"/>
          <w:sz w:val="22"/>
          <w:szCs w:val="22"/>
          <w:lang w:val="en-GB" w:eastAsia="en-US"/>
        </w:rPr>
        <w:t xml:space="preserve"> Several decisions of the Committee have referred to the concept of ‘undue tourism’ linked to increased visitor numbers, ‘over-commercialization’ or unsustainable tourism.</w:t>
      </w:r>
      <w:r w:rsidRPr="00086ECF">
        <w:rPr>
          <w:rFonts w:ascii="Calibri" w:eastAsia="Calibri" w:hAnsi="Calibri" w:cs="Arial"/>
          <w:sz w:val="22"/>
          <w:szCs w:val="22"/>
          <w:vertAlign w:val="superscript"/>
          <w:lang w:val="en-GB" w:eastAsia="en-US"/>
        </w:rPr>
        <w:footnoteReference w:id="66"/>
      </w:r>
      <w:r w:rsidRPr="00086ECF">
        <w:rPr>
          <w:rFonts w:ascii="Calibri" w:eastAsia="Calibri" w:hAnsi="Calibri" w:cs="Arial"/>
          <w:sz w:val="22"/>
          <w:szCs w:val="22"/>
          <w:lang w:val="en-GB" w:eastAsia="en-US"/>
        </w:rPr>
        <w:t xml:space="preserve"> </w:t>
      </w:r>
    </w:p>
    <w:p w14:paraId="53ACA5BA"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Another area of concern, mentioned somewhat less frequently, is that tourism would lead to misappropriation or inappropriate access to the element.</w:t>
      </w:r>
      <w:r w:rsidRPr="00086ECF">
        <w:rPr>
          <w:rFonts w:ascii="Calibri" w:eastAsia="Calibri" w:hAnsi="Calibri" w:cs="Arial"/>
          <w:sz w:val="22"/>
          <w:szCs w:val="22"/>
          <w:vertAlign w:val="superscript"/>
          <w:lang w:val="en-GB" w:eastAsia="en-US"/>
        </w:rPr>
        <w:footnoteReference w:id="67"/>
      </w:r>
      <w:r w:rsidRPr="00086ECF">
        <w:rPr>
          <w:rFonts w:ascii="Calibri" w:eastAsia="Calibri" w:hAnsi="Calibri" w:cs="Arial"/>
          <w:sz w:val="22"/>
          <w:szCs w:val="22"/>
          <w:lang w:val="en-GB" w:eastAsia="en-US"/>
        </w:rPr>
        <w:t xml:space="preserve"> In 2017, the Evaluation Body noted the importance of ‘distinguishing between a ritual and a commercial activity’ to ensure that economic pressures </w:t>
      </w:r>
      <w:r w:rsidRPr="00086ECF">
        <w:rPr>
          <w:rFonts w:ascii="Calibri" w:eastAsia="Calibri" w:hAnsi="Calibri" w:cs="Arial"/>
          <w:sz w:val="22"/>
          <w:szCs w:val="22"/>
          <w:lang w:val="en-GB" w:eastAsia="en-US"/>
        </w:rPr>
        <w:lastRenderedPageBreak/>
        <w:t xml:space="preserve">associated with tourism did not disrupt ritual practices that were intended for community audiences. The Body highlighted the importance of understanding not just who the audiences were, but how ‘the element forms part of an economic process’ in tourism, how community practitioners were involved and whether they were ‘salaried </w:t>
      </w:r>
      <w:proofErr w:type="gramStart"/>
      <w:r w:rsidRPr="00086ECF">
        <w:rPr>
          <w:rFonts w:ascii="Calibri" w:eastAsia="Calibri" w:hAnsi="Calibri" w:cs="Arial"/>
          <w:sz w:val="22"/>
          <w:szCs w:val="22"/>
          <w:lang w:val="en-GB" w:eastAsia="en-US"/>
        </w:rPr>
        <w:t>employees’</w:t>
      </w:r>
      <w:proofErr w:type="gramEnd"/>
      <w:r w:rsidRPr="00086ECF">
        <w:rPr>
          <w:rFonts w:ascii="Calibri" w:eastAsia="Calibri" w:hAnsi="Calibri" w:cs="Arial"/>
          <w:sz w:val="22"/>
          <w:szCs w:val="22"/>
          <w:lang w:val="en-GB" w:eastAsia="en-US"/>
        </w:rPr>
        <w:t>.</w:t>
      </w:r>
      <w:r w:rsidRPr="00086ECF">
        <w:rPr>
          <w:rFonts w:ascii="Calibri" w:eastAsia="Calibri" w:hAnsi="Calibri" w:cs="Arial"/>
          <w:sz w:val="22"/>
          <w:szCs w:val="22"/>
          <w:vertAlign w:val="superscript"/>
          <w:lang w:val="en-GB" w:eastAsia="en-US"/>
        </w:rPr>
        <w:footnoteReference w:id="68"/>
      </w:r>
      <w:r w:rsidRPr="00086ECF">
        <w:rPr>
          <w:rFonts w:ascii="Calibri" w:eastAsia="Calibri" w:hAnsi="Calibri" w:cs="Arial"/>
          <w:sz w:val="22"/>
          <w:szCs w:val="22"/>
          <w:lang w:val="en-GB" w:eastAsia="en-US"/>
        </w:rPr>
        <w:t xml:space="preserve"> Mitigations proposed to address unintended effects of tourism will be discussed below.</w:t>
      </w:r>
    </w:p>
    <w:p w14:paraId="215EAB9C" w14:textId="7BDFC894"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Certain approaches to labelling or branding could also potentially decontextualize or ‘freeze’ an </w:t>
      </w:r>
      <w:proofErr w:type="gramStart"/>
      <w:r w:rsidRPr="00086ECF">
        <w:rPr>
          <w:rFonts w:ascii="Calibri" w:eastAsia="Calibri" w:hAnsi="Calibri" w:cs="Arial"/>
          <w:sz w:val="22"/>
          <w:szCs w:val="22"/>
          <w:lang w:val="en-GB" w:eastAsia="en-US"/>
        </w:rPr>
        <w:t>element, and</w:t>
      </w:r>
      <w:proofErr w:type="gramEnd"/>
      <w:r w:rsidRPr="00086ECF">
        <w:rPr>
          <w:rFonts w:ascii="Calibri" w:eastAsia="Calibri" w:hAnsi="Calibri" w:cs="Arial"/>
          <w:sz w:val="22"/>
          <w:szCs w:val="22"/>
          <w:lang w:val="en-GB" w:eastAsia="en-US"/>
        </w:rPr>
        <w:t xml:space="preserve"> be associated with commercial misappropriation. In 2019, the Committee reminded ‘States Parties that, while recognizing the economic opportunities presented by certain elements of intangible cultural heritage, it is important to prioritize the safeguarding of their social functions and cultural meanings and to clearly distinguish these from the branding or labelling of a product’.</w:t>
      </w:r>
      <w:r w:rsidRPr="00086ECF">
        <w:rPr>
          <w:rFonts w:ascii="Calibri" w:eastAsia="Calibri" w:hAnsi="Calibri" w:cs="Arial"/>
          <w:sz w:val="22"/>
          <w:szCs w:val="22"/>
          <w:vertAlign w:val="superscript"/>
          <w:lang w:val="en-GB" w:eastAsia="en-US"/>
        </w:rPr>
        <w:footnoteReference w:id="69"/>
      </w:r>
      <w:r w:rsidRPr="00086ECF">
        <w:rPr>
          <w:rFonts w:ascii="Calibri" w:eastAsia="Calibri" w:hAnsi="Calibri" w:cs="Arial"/>
          <w:sz w:val="22"/>
          <w:szCs w:val="22"/>
          <w:lang w:val="en-GB" w:eastAsia="en-US"/>
        </w:rPr>
        <w:t xml:space="preserve"> Commercially-driven branding or labelling of ICH products may not be aligned with its value and meaning to communities concerned, and may take agency and control away from them.</w:t>
      </w:r>
    </w:p>
    <w:p w14:paraId="47EA4DBF"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In some cases, the inscription of an element has itself been used as a kind of commercial brand. </w:t>
      </w:r>
      <w:r w:rsidRPr="00086ECF">
        <w:rPr>
          <w:rFonts w:ascii="Calibri" w:eastAsia="Calibri" w:hAnsi="Calibri" w:cs="Arial"/>
          <w:sz w:val="22"/>
          <w:szCs w:val="22"/>
          <w:lang w:val="en-US" w:eastAsia="en-US"/>
        </w:rPr>
        <w:t>As early as 2010, the Committee expressed concern over such possible misuse of the Convention’s emblem, inviting ‘States Parties to take all the necessary measures in order to avoid any commercial misappropriation of inscribed elements, in particular of generic elements covering several domains, through the use of the Convention’s emblem for purposes of commercial instrumentalization and branding’.</w:t>
      </w:r>
      <w:r w:rsidRPr="00086ECF">
        <w:rPr>
          <w:rFonts w:ascii="Calibri" w:eastAsia="Calibri" w:hAnsi="Calibri" w:cs="Arial"/>
          <w:sz w:val="22"/>
          <w:szCs w:val="22"/>
          <w:vertAlign w:val="superscript"/>
          <w:lang w:val="en-US" w:eastAsia="en-US"/>
        </w:rPr>
        <w:footnoteReference w:id="70"/>
      </w:r>
      <w:r w:rsidRPr="00086ECF">
        <w:rPr>
          <w:rFonts w:ascii="Calibri" w:eastAsia="Calibri" w:hAnsi="Calibri" w:cs="Arial"/>
          <w:sz w:val="22"/>
          <w:szCs w:val="22"/>
          <w:lang w:val="en-US" w:eastAsia="en-US"/>
        </w:rPr>
        <w:t xml:space="preserve"> </w:t>
      </w:r>
      <w:r w:rsidRPr="00086ECF">
        <w:rPr>
          <w:rFonts w:ascii="Calibri" w:eastAsia="Calibri" w:hAnsi="Calibri" w:cs="Arial"/>
          <w:sz w:val="22"/>
          <w:szCs w:val="22"/>
          <w:lang w:val="en-GB" w:eastAsia="en-US"/>
        </w:rPr>
        <w:t>The Evaluation Body also noted in regard to licensing of an ICH practice that ‘Under the Convention, it is acceptable if a license serves only as an acknowledgement for the tradition bearers, but not if it is used as a restrictive measure to prevent other practitioners from engaging in the practice of the element.’</w:t>
      </w:r>
      <w:r w:rsidRPr="00086ECF">
        <w:rPr>
          <w:rFonts w:ascii="Calibri" w:eastAsia="Calibri" w:hAnsi="Calibri" w:cs="Arial"/>
          <w:sz w:val="22"/>
          <w:szCs w:val="22"/>
          <w:vertAlign w:val="superscript"/>
          <w:lang w:val="en-GB" w:eastAsia="en-US"/>
        </w:rPr>
        <w:footnoteReference w:id="71"/>
      </w:r>
    </w:p>
    <w:p w14:paraId="02B57C92" w14:textId="77777777" w:rsidR="00086ECF" w:rsidRPr="00086ECF" w:rsidRDefault="00086ECF" w:rsidP="00086ECF">
      <w:pPr>
        <w:keepNext/>
        <w:keepLines/>
        <w:spacing w:before="40" w:line="256" w:lineRule="auto"/>
        <w:jc w:val="both"/>
        <w:outlineLvl w:val="1"/>
        <w:rPr>
          <w:rFonts w:ascii="Calibri Light" w:eastAsia="DengXian Light" w:hAnsi="Calibri Light"/>
          <w:color w:val="2F5496"/>
          <w:sz w:val="26"/>
          <w:szCs w:val="26"/>
          <w:lang w:val="en-US" w:eastAsia="en-US"/>
        </w:rPr>
      </w:pPr>
      <w:bookmarkStart w:id="18" w:name="_Toc127519989"/>
      <w:r w:rsidRPr="00086ECF">
        <w:rPr>
          <w:rFonts w:ascii="Calibri Light" w:eastAsia="DengXian Light" w:hAnsi="Calibri Light"/>
          <w:color w:val="2F5496"/>
          <w:sz w:val="26"/>
          <w:szCs w:val="26"/>
          <w:lang w:val="en-US" w:eastAsia="en-US"/>
        </w:rPr>
        <w:t>Developing safeguarding measures relating to economic activities</w:t>
      </w:r>
      <w:bookmarkEnd w:id="18"/>
    </w:p>
    <w:p w14:paraId="07789AE6" w14:textId="531ECDA4"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Convention supports a wide range of approaches to supporting communities, groups and individuals concerned in the safeguarding of their ICH, where threats and risks to viability are identified. In such cases, safeguarding measures can be introduced (Article 2.3). Developing and implementing safeguarding measures requires community participation (Article 15, EPs 1, 10) and their free prior and informed consent (EP 4). Other stakeholders, whether from the public or private sector, or indeed civil society, can assist communities, groups and individuals concerned in safeguarding their ICH (OD 79-90).</w:t>
      </w:r>
    </w:p>
    <w:p w14:paraId="38DB2354" w14:textId="77777777" w:rsidR="00086ECF" w:rsidRPr="00086ECF" w:rsidRDefault="00086ECF" w:rsidP="00086ECF">
      <w:pPr>
        <w:spacing w:after="160" w:line="256" w:lineRule="auto"/>
        <w:jc w:val="both"/>
        <w:rPr>
          <w:rFonts w:ascii="Calibri" w:eastAsia="Calibri" w:hAnsi="Calibri" w:cs="Arial"/>
          <w:sz w:val="22"/>
          <w:szCs w:val="22"/>
          <w:lang w:val="en-US" w:eastAsia="en-US"/>
        </w:rPr>
      </w:pPr>
      <w:r w:rsidRPr="00086ECF">
        <w:rPr>
          <w:rFonts w:ascii="Calibri" w:eastAsia="Calibri" w:hAnsi="Calibri" w:cs="Arial"/>
          <w:sz w:val="22"/>
          <w:szCs w:val="22"/>
          <w:lang w:val="en-US" w:eastAsia="en-US"/>
        </w:rPr>
        <w:t>Objectives of safeguarding actions, particularly relevant to the threats and risks of economic activities associated with ICH identified by the normative framework of the Convention, include:</w:t>
      </w:r>
    </w:p>
    <w:p w14:paraId="49E719B5" w14:textId="77777777" w:rsidR="00086ECF" w:rsidRPr="00086ECF" w:rsidRDefault="00086ECF" w:rsidP="00086ECF">
      <w:pPr>
        <w:numPr>
          <w:ilvl w:val="0"/>
          <w:numId w:val="18"/>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Safeguarding the ICH, avoiding decontextualization </w:t>
      </w:r>
      <w:r w:rsidRPr="00086ECF">
        <w:rPr>
          <w:rFonts w:ascii="Calibri" w:eastAsia="Calibri" w:hAnsi="Calibri" w:cs="Arial"/>
          <w:sz w:val="22"/>
          <w:szCs w:val="22"/>
          <w:lang w:val="en-US" w:eastAsia="en-US"/>
        </w:rPr>
        <w:t>(Article 1, EP 10, OD 102, OD 171)</w:t>
      </w:r>
      <w:r w:rsidRPr="00086ECF">
        <w:rPr>
          <w:rFonts w:ascii="Calibri" w:eastAsia="Calibri" w:hAnsi="Calibri" w:cs="Arial"/>
          <w:b/>
          <w:bCs/>
          <w:sz w:val="22"/>
          <w:szCs w:val="22"/>
          <w:lang w:val="en-GB" w:eastAsia="en-US"/>
        </w:rPr>
        <w:t>.</w:t>
      </w:r>
      <w:r w:rsidRPr="00086ECF">
        <w:rPr>
          <w:rFonts w:ascii="Calibri" w:eastAsia="Calibri" w:hAnsi="Calibri" w:cs="Arial"/>
          <w:b/>
          <w:bCs/>
          <w:sz w:val="22"/>
          <w:szCs w:val="22"/>
          <w:vertAlign w:val="superscript"/>
          <w:lang w:val="en-GB" w:eastAsia="en-US"/>
        </w:rPr>
        <w:footnoteReference w:id="72"/>
      </w:r>
    </w:p>
    <w:p w14:paraId="41D21B42" w14:textId="77777777" w:rsidR="00086ECF" w:rsidRPr="00086ECF" w:rsidRDefault="00086ECF" w:rsidP="00086ECF">
      <w:pPr>
        <w:numPr>
          <w:ilvl w:val="0"/>
          <w:numId w:val="18"/>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Ensuring respect for and awareness of the ICH, avoiding misrepresentation</w:t>
      </w:r>
      <w:r w:rsidRPr="00086ECF">
        <w:rPr>
          <w:rFonts w:ascii="Calibri" w:eastAsia="Calibri" w:hAnsi="Calibri" w:cs="Arial"/>
          <w:sz w:val="22"/>
          <w:szCs w:val="22"/>
          <w:lang w:val="en-GB" w:eastAsia="en-US"/>
        </w:rPr>
        <w:t xml:space="preserve"> (Article 1, EP 10, OD 117)</w:t>
      </w:r>
      <w:r w:rsidRPr="00086ECF">
        <w:rPr>
          <w:rFonts w:ascii="Calibri" w:eastAsia="Calibri" w:hAnsi="Calibri" w:cs="Arial"/>
          <w:b/>
          <w:bCs/>
          <w:sz w:val="22"/>
          <w:szCs w:val="22"/>
          <w:lang w:val="en-GB" w:eastAsia="en-US"/>
        </w:rPr>
        <w:t>.</w:t>
      </w:r>
      <w:r w:rsidRPr="00086ECF">
        <w:rPr>
          <w:rFonts w:ascii="Calibri" w:eastAsia="Calibri" w:hAnsi="Calibri" w:cs="Arial"/>
          <w:b/>
          <w:bCs/>
          <w:sz w:val="22"/>
          <w:szCs w:val="22"/>
          <w:vertAlign w:val="superscript"/>
          <w:lang w:val="en-GB" w:eastAsia="en-US"/>
        </w:rPr>
        <w:footnoteReference w:id="73"/>
      </w:r>
    </w:p>
    <w:p w14:paraId="346C7909" w14:textId="77777777" w:rsidR="00086ECF" w:rsidRPr="00086ECF" w:rsidRDefault="00086ECF" w:rsidP="00086ECF">
      <w:pPr>
        <w:numPr>
          <w:ilvl w:val="0"/>
          <w:numId w:val="18"/>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Ensuring equitable community benefit from their ICH, based on fair and ethical economic relations with third parties, avoiding misappropriation </w:t>
      </w:r>
      <w:r w:rsidRPr="00086ECF">
        <w:rPr>
          <w:rFonts w:ascii="Calibri" w:eastAsia="Calibri" w:hAnsi="Calibri" w:cs="Arial"/>
          <w:sz w:val="22"/>
          <w:szCs w:val="22"/>
          <w:lang w:val="en-GB" w:eastAsia="en-US"/>
        </w:rPr>
        <w:t>(EP 7, OD 101, OD 117, OD 178(b), OD 184, OD 186(b)(ii)).</w:t>
      </w:r>
      <w:r w:rsidRPr="00086ECF">
        <w:rPr>
          <w:rFonts w:ascii="Calibri" w:eastAsia="Calibri" w:hAnsi="Calibri" w:cs="Arial"/>
          <w:sz w:val="22"/>
          <w:szCs w:val="22"/>
          <w:vertAlign w:val="superscript"/>
          <w:lang w:val="en-GB" w:eastAsia="en-US"/>
        </w:rPr>
        <w:footnoteReference w:id="74"/>
      </w:r>
      <w:r w:rsidRPr="00086ECF">
        <w:rPr>
          <w:rFonts w:ascii="Calibri" w:eastAsia="Calibri" w:hAnsi="Calibri" w:cs="Arial"/>
          <w:sz w:val="22"/>
          <w:szCs w:val="22"/>
          <w:lang w:val="en-GB" w:eastAsia="en-US"/>
        </w:rPr>
        <w:t xml:space="preserve"> </w:t>
      </w:r>
    </w:p>
    <w:p w14:paraId="406C21BD"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GB" w:eastAsia="en-US"/>
        </w:rPr>
      </w:pPr>
      <w:bookmarkStart w:id="19" w:name="_Toc127519990"/>
      <w:r w:rsidRPr="00086ECF">
        <w:rPr>
          <w:rFonts w:ascii="Calibri Light" w:eastAsia="DengXian Light" w:hAnsi="Calibri Light"/>
          <w:color w:val="1F3763"/>
          <w:lang w:val="en-GB" w:eastAsia="en-US"/>
        </w:rPr>
        <w:lastRenderedPageBreak/>
        <w:t>Safeguarding measures in the texts of the Convention</w:t>
      </w:r>
      <w:bookmarkEnd w:id="19"/>
    </w:p>
    <w:p w14:paraId="0F5736D7" w14:textId="5FC3EF42"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Safeguarding measures address threats or risks, including those linked to economic activities such as decontextualization, over-commercialization, </w:t>
      </w:r>
      <w:proofErr w:type="gramStart"/>
      <w:r w:rsidRPr="00086ECF">
        <w:rPr>
          <w:rFonts w:ascii="Calibri" w:eastAsia="Calibri" w:hAnsi="Calibri" w:cs="Arial"/>
          <w:sz w:val="22"/>
          <w:szCs w:val="22"/>
          <w:lang w:val="en-GB" w:eastAsia="en-US"/>
        </w:rPr>
        <w:t>misappropriation</w:t>
      </w:r>
      <w:proofErr w:type="gramEnd"/>
      <w:r w:rsidRPr="00086ECF">
        <w:rPr>
          <w:rFonts w:ascii="Calibri" w:eastAsia="Calibri" w:hAnsi="Calibri" w:cs="Arial"/>
          <w:sz w:val="22"/>
          <w:szCs w:val="22"/>
          <w:lang w:val="en-GB" w:eastAsia="en-US"/>
        </w:rPr>
        <w:t xml:space="preserve"> and misrepresentation. They can also provide more general positive support for ICH practice and transmission. Safeguarding measures mentioned in the texts of the Convention can include a wide range of activities, including inventorying (Articles 11-12), legal, technical, </w:t>
      </w:r>
      <w:proofErr w:type="gramStart"/>
      <w:r w:rsidRPr="00086ECF">
        <w:rPr>
          <w:rFonts w:ascii="Calibri" w:eastAsia="Calibri" w:hAnsi="Calibri" w:cs="Arial"/>
          <w:sz w:val="22"/>
          <w:szCs w:val="22"/>
          <w:lang w:val="en-GB" w:eastAsia="en-US"/>
        </w:rPr>
        <w:t>administrative</w:t>
      </w:r>
      <w:proofErr w:type="gramEnd"/>
      <w:r w:rsidRPr="00086ECF">
        <w:rPr>
          <w:rFonts w:ascii="Calibri" w:eastAsia="Calibri" w:hAnsi="Calibri" w:cs="Arial"/>
          <w:sz w:val="22"/>
          <w:szCs w:val="22"/>
          <w:lang w:val="en-GB" w:eastAsia="en-US"/>
        </w:rPr>
        <w:t xml:space="preserve"> and financial measures as well as research and documentation (Article 13), awareness-raising, education and capacity-building (Article 14, see also Article 2.3).</w:t>
      </w:r>
    </w:p>
    <w:p w14:paraId="1FDF8E27"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Specific mitigations mentioned </w:t>
      </w:r>
      <w:r w:rsidRPr="00086ECF">
        <w:rPr>
          <w:rFonts w:ascii="Calibri" w:eastAsia="Calibri" w:hAnsi="Calibri" w:cs="Arial"/>
          <w:sz w:val="22"/>
          <w:szCs w:val="22"/>
          <w:lang w:val="en-US" w:eastAsia="en-US"/>
        </w:rPr>
        <w:t>in the Convention, Operational Directives, and the Overall Results Framework (</w:t>
      </w:r>
      <w:r w:rsidRPr="00086ECF">
        <w:rPr>
          <w:rFonts w:ascii="Calibri" w:eastAsia="Calibri" w:hAnsi="Calibri" w:cs="Arial"/>
          <w:sz w:val="22"/>
          <w:szCs w:val="22"/>
          <w:lang w:val="en-GB" w:eastAsia="en-US"/>
        </w:rPr>
        <w:t>Periodic Reporting tool)</w:t>
      </w:r>
      <w:r w:rsidRPr="00086ECF">
        <w:rPr>
          <w:rFonts w:ascii="Calibri" w:eastAsia="Calibri" w:hAnsi="Calibri" w:cs="Arial"/>
          <w:sz w:val="22"/>
          <w:szCs w:val="22"/>
          <w:lang w:val="en-US" w:eastAsia="en-US"/>
        </w:rPr>
        <w:t xml:space="preserve"> relating to economic activities, and the threats or risks of over-commercialization and decontextualization, include:</w:t>
      </w:r>
    </w:p>
    <w:p w14:paraId="5E5D42E9" w14:textId="77777777" w:rsidR="00086ECF" w:rsidRPr="00086ECF" w:rsidRDefault="00086ECF" w:rsidP="00086ECF">
      <w:pPr>
        <w:spacing w:after="160" w:line="256" w:lineRule="auto"/>
        <w:ind w:left="720"/>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Capacity building </w:t>
      </w:r>
      <w:r w:rsidRPr="00086ECF">
        <w:rPr>
          <w:rFonts w:ascii="Calibri" w:eastAsia="Calibri" w:hAnsi="Calibri" w:cs="Arial"/>
          <w:sz w:val="22"/>
          <w:szCs w:val="22"/>
          <w:lang w:val="en-GB" w:eastAsia="en-US"/>
        </w:rPr>
        <w:t xml:space="preserve">(Article 14 (a)) </w:t>
      </w:r>
      <w:r w:rsidRPr="00086ECF">
        <w:rPr>
          <w:rFonts w:ascii="Calibri" w:eastAsia="Calibri" w:hAnsi="Calibri" w:cs="Arial"/>
          <w:b/>
          <w:bCs/>
          <w:sz w:val="22"/>
          <w:szCs w:val="22"/>
          <w:lang w:val="en-GB" w:eastAsia="en-US"/>
        </w:rPr>
        <w:t>specifically on</w:t>
      </w:r>
      <w:r w:rsidRPr="00086ECF">
        <w:rPr>
          <w:rFonts w:ascii="Calibri" w:eastAsia="Calibri" w:hAnsi="Calibri" w:cs="Arial"/>
          <w:sz w:val="22"/>
          <w:szCs w:val="22"/>
          <w:lang w:val="en-GB" w:eastAsia="en-US"/>
        </w:rPr>
        <w:t xml:space="preserve">: </w:t>
      </w:r>
    </w:p>
    <w:p w14:paraId="3ADCCF31" w14:textId="77777777" w:rsidR="00086ECF" w:rsidRPr="00086ECF" w:rsidRDefault="00086ECF" w:rsidP="00086ECF">
      <w:pPr>
        <w:numPr>
          <w:ilvl w:val="0"/>
          <w:numId w:val="19"/>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Intangible heritage business management</w:t>
      </w:r>
      <w:r w:rsidRPr="00086ECF">
        <w:rPr>
          <w:rFonts w:ascii="Calibri" w:eastAsia="Calibri" w:hAnsi="Calibri" w:cs="Arial"/>
          <w:sz w:val="22"/>
          <w:szCs w:val="22"/>
          <w:lang w:val="en-GB" w:eastAsia="en-US"/>
        </w:rPr>
        <w:t>: ‘measures and policies aimed at: … training communities, groups or individuals in the management of small businesses dealing with intangible cultural heritage.’ (OD 107(m)).</w:t>
      </w:r>
    </w:p>
    <w:p w14:paraId="44056FE1" w14:textId="77777777" w:rsidR="00086ECF" w:rsidRPr="00086ECF" w:rsidRDefault="00086ECF" w:rsidP="00086ECF">
      <w:pPr>
        <w:spacing w:after="160" w:line="256" w:lineRule="auto"/>
        <w:ind w:left="720"/>
        <w:contextualSpacing/>
        <w:jc w:val="both"/>
        <w:rPr>
          <w:rFonts w:ascii="Calibri" w:eastAsia="Calibri" w:hAnsi="Calibri" w:cs="Arial"/>
          <w:b/>
          <w:bCs/>
          <w:sz w:val="22"/>
          <w:szCs w:val="22"/>
          <w:lang w:val="en-GB" w:eastAsia="en-US"/>
        </w:rPr>
      </w:pPr>
      <w:r w:rsidRPr="00086ECF">
        <w:rPr>
          <w:rFonts w:ascii="Calibri" w:eastAsia="Calibri" w:hAnsi="Calibri" w:cs="Arial"/>
          <w:b/>
          <w:bCs/>
          <w:sz w:val="22"/>
          <w:szCs w:val="22"/>
          <w:lang w:val="en-GB" w:eastAsia="en-US"/>
        </w:rPr>
        <w:t xml:space="preserve">Appropriate legal, technical, </w:t>
      </w:r>
      <w:proofErr w:type="gramStart"/>
      <w:r w:rsidRPr="00086ECF">
        <w:rPr>
          <w:rFonts w:ascii="Calibri" w:eastAsia="Calibri" w:hAnsi="Calibri" w:cs="Arial"/>
          <w:b/>
          <w:bCs/>
          <w:sz w:val="22"/>
          <w:szCs w:val="22"/>
          <w:lang w:val="en-GB" w:eastAsia="en-US"/>
        </w:rPr>
        <w:t>administrative</w:t>
      </w:r>
      <w:proofErr w:type="gramEnd"/>
      <w:r w:rsidRPr="00086ECF">
        <w:rPr>
          <w:rFonts w:ascii="Calibri" w:eastAsia="Calibri" w:hAnsi="Calibri" w:cs="Arial"/>
          <w:b/>
          <w:bCs/>
          <w:sz w:val="22"/>
          <w:szCs w:val="22"/>
          <w:lang w:val="en-GB" w:eastAsia="en-US"/>
        </w:rPr>
        <w:t xml:space="preserve"> and financial measures to ensure: </w:t>
      </w:r>
    </w:p>
    <w:p w14:paraId="1FA1E5DA" w14:textId="77777777" w:rsidR="00086ECF" w:rsidRPr="00086ECF" w:rsidRDefault="00086ECF" w:rsidP="00086ECF">
      <w:pPr>
        <w:numPr>
          <w:ilvl w:val="0"/>
          <w:numId w:val="20"/>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Rights protection for communities concerned:</w:t>
      </w:r>
      <w:r w:rsidRPr="00086ECF">
        <w:rPr>
          <w:rFonts w:ascii="Calibri" w:eastAsia="Calibri" w:hAnsi="Calibri" w:cs="Arial"/>
          <w:sz w:val="22"/>
          <w:szCs w:val="22"/>
          <w:lang w:val="en-GB" w:eastAsia="en-US"/>
        </w:rPr>
        <w:t xml:space="preserve"> for example, ‘intellectual property rights, privacy rights’ protection for communities concerned when ‘raising awareness about their heritage or engaging in commercial activities’ (OD 104, 173). </w:t>
      </w:r>
    </w:p>
    <w:p w14:paraId="20FBB13E" w14:textId="77777777" w:rsidR="00086ECF" w:rsidRPr="00086ECF" w:rsidRDefault="00086ECF" w:rsidP="00086ECF">
      <w:pPr>
        <w:numPr>
          <w:ilvl w:val="0"/>
          <w:numId w:val="20"/>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Ethical access to and use of ICH: </w:t>
      </w:r>
      <w:r w:rsidRPr="00086ECF">
        <w:rPr>
          <w:rFonts w:ascii="Calibri" w:eastAsia="Calibri" w:hAnsi="Calibri" w:cs="Arial"/>
          <w:sz w:val="22"/>
          <w:szCs w:val="22"/>
          <w:lang w:val="en-GB" w:eastAsia="en-US"/>
        </w:rPr>
        <w:t xml:space="preserve">for </w:t>
      </w:r>
      <w:proofErr w:type="gramStart"/>
      <w:r w:rsidRPr="00086ECF">
        <w:rPr>
          <w:rFonts w:ascii="Calibri" w:eastAsia="Calibri" w:hAnsi="Calibri" w:cs="Arial"/>
          <w:sz w:val="22"/>
          <w:szCs w:val="22"/>
          <w:lang w:val="en-GB" w:eastAsia="en-US"/>
        </w:rPr>
        <w:t>example</w:t>
      </w:r>
      <w:proofErr w:type="gramEnd"/>
      <w:r w:rsidRPr="00086ECF">
        <w:rPr>
          <w:rFonts w:ascii="Calibri" w:eastAsia="Calibri" w:hAnsi="Calibri" w:cs="Arial"/>
          <w:sz w:val="22"/>
          <w:szCs w:val="22"/>
          <w:lang w:val="en-GB" w:eastAsia="en-US"/>
        </w:rPr>
        <w:t xml:space="preserve"> ‘codes … of ethics, to promote and/or regulate access to farming, fishing, hunting, pastoral and food gathering, food preparation and food preservation knowledge and practices …’ (OD 178(b)). Also, measures guiding </w:t>
      </w:r>
      <w:r w:rsidRPr="00086ECF">
        <w:rPr>
          <w:rFonts w:ascii="Calibri" w:eastAsia="Calibri" w:hAnsi="Calibri" w:cs="Arial"/>
          <w:sz w:val="22"/>
          <w:szCs w:val="22"/>
          <w:lang w:val="en-US" w:eastAsia="en-US"/>
        </w:rPr>
        <w:t xml:space="preserve">interventions of the ‘tourism industry and the </w:t>
      </w:r>
      <w:proofErr w:type="spellStart"/>
      <w:r w:rsidRPr="00086ECF">
        <w:rPr>
          <w:rFonts w:ascii="Calibri" w:eastAsia="Calibri" w:hAnsi="Calibri" w:cs="Arial"/>
          <w:sz w:val="22"/>
          <w:szCs w:val="22"/>
          <w:lang w:val="en-US" w:eastAsia="en-US"/>
        </w:rPr>
        <w:t>behaviour</w:t>
      </w:r>
      <w:proofErr w:type="spellEnd"/>
      <w:r w:rsidRPr="00086ECF">
        <w:rPr>
          <w:rFonts w:ascii="Calibri" w:eastAsia="Calibri" w:hAnsi="Calibri" w:cs="Arial"/>
          <w:sz w:val="22"/>
          <w:szCs w:val="22"/>
          <w:lang w:val="en-US" w:eastAsia="en-US"/>
        </w:rPr>
        <w:t xml:space="preserve"> of … tourists’ (OD 187(b)(iii)).</w:t>
      </w:r>
    </w:p>
    <w:p w14:paraId="72CB5137" w14:textId="77777777" w:rsidR="00086ECF" w:rsidRPr="00086ECF" w:rsidRDefault="00086ECF" w:rsidP="00086ECF">
      <w:pPr>
        <w:numPr>
          <w:ilvl w:val="0"/>
          <w:numId w:val="20"/>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Equitable benefit sharing for communities concerned:</w:t>
      </w:r>
      <w:r w:rsidRPr="00086ECF">
        <w:rPr>
          <w:rFonts w:ascii="Calibri" w:eastAsia="Calibri" w:hAnsi="Calibri" w:cs="Arial"/>
          <w:sz w:val="22"/>
          <w:szCs w:val="22"/>
          <w:lang w:val="en-GB" w:eastAsia="en-US"/>
        </w:rPr>
        <w:t xml:space="preserve"> for example, appropriate measures to ‘</w:t>
      </w:r>
      <w:r w:rsidRPr="00086ECF">
        <w:rPr>
          <w:rFonts w:ascii="Calibri" w:eastAsia="Calibri" w:hAnsi="Calibri" w:cs="Arial"/>
          <w:sz w:val="22"/>
          <w:szCs w:val="22"/>
          <w:lang w:val="en-US" w:eastAsia="en-US"/>
        </w:rPr>
        <w:t>ensure that the communities, groups and individuals concerned are the primary beneficiaries of income generated as a result of their own intangible cultural heritage and that they are not dispossessed of it, in particular in order to generate income for others’</w:t>
      </w:r>
      <w:r w:rsidRPr="00086ECF">
        <w:rPr>
          <w:rFonts w:ascii="Calibri" w:eastAsia="Calibri" w:hAnsi="Calibri" w:cs="Arial"/>
          <w:sz w:val="22"/>
          <w:szCs w:val="22"/>
          <w:lang w:val="en-GB" w:eastAsia="en-US"/>
        </w:rPr>
        <w:t xml:space="preserve"> (OD 185(b)(ii), see also OD 187(b)(</w:t>
      </w:r>
      <w:proofErr w:type="spellStart"/>
      <w:r w:rsidRPr="00086ECF">
        <w:rPr>
          <w:rFonts w:ascii="Calibri" w:eastAsia="Calibri" w:hAnsi="Calibri" w:cs="Arial"/>
          <w:sz w:val="22"/>
          <w:szCs w:val="22"/>
          <w:lang w:val="en-GB" w:eastAsia="en-US"/>
        </w:rPr>
        <w:t>i</w:t>
      </w:r>
      <w:proofErr w:type="spellEnd"/>
      <w:r w:rsidRPr="00086ECF">
        <w:rPr>
          <w:rFonts w:ascii="Calibri" w:eastAsia="Calibri" w:hAnsi="Calibri" w:cs="Arial"/>
          <w:sz w:val="22"/>
          <w:szCs w:val="22"/>
          <w:lang w:val="en-GB" w:eastAsia="en-US"/>
        </w:rPr>
        <w:t>)) and on tourism, OD 187(b)(ii)).</w:t>
      </w:r>
    </w:p>
    <w:p w14:paraId="7CF7A5EF" w14:textId="7ABE9947" w:rsidR="00086ECF" w:rsidRPr="00086ECF" w:rsidRDefault="00086ECF" w:rsidP="00086ECF">
      <w:pPr>
        <w:numPr>
          <w:ilvl w:val="0"/>
          <w:numId w:val="20"/>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Promotion of economic activities supporting safeguarding:</w:t>
      </w:r>
      <w:r w:rsidRPr="00086ECF">
        <w:rPr>
          <w:rFonts w:ascii="Calibri" w:eastAsia="Calibri" w:hAnsi="Calibri" w:cs="Arial"/>
          <w:sz w:val="22"/>
          <w:szCs w:val="22"/>
          <w:lang w:val="en-GB" w:eastAsia="en-US"/>
        </w:rPr>
        <w:t xml:space="preserve"> for example, such measures including tax incentives to promote ‘</w:t>
      </w:r>
      <w:r w:rsidRPr="00086ECF">
        <w:rPr>
          <w:rFonts w:ascii="Calibri" w:eastAsia="Calibri" w:hAnsi="Calibri" w:cs="Arial"/>
          <w:sz w:val="22"/>
          <w:szCs w:val="22"/>
          <w:lang w:val="en-US" w:eastAsia="en-US"/>
        </w:rPr>
        <w:t>productive employment and decent work’ for communities, groups and individuals concerned (OD 186(b)(</w:t>
      </w:r>
      <w:proofErr w:type="spellStart"/>
      <w:r w:rsidRPr="00086ECF">
        <w:rPr>
          <w:rFonts w:ascii="Calibri" w:eastAsia="Calibri" w:hAnsi="Calibri" w:cs="Arial"/>
          <w:sz w:val="22"/>
          <w:szCs w:val="22"/>
          <w:lang w:val="en-US" w:eastAsia="en-US"/>
        </w:rPr>
        <w:t>i</w:t>
      </w:r>
      <w:proofErr w:type="spellEnd"/>
      <w:r w:rsidRPr="00086ECF">
        <w:rPr>
          <w:rFonts w:ascii="Calibri" w:eastAsia="Calibri" w:hAnsi="Calibri" w:cs="Arial"/>
          <w:sz w:val="22"/>
          <w:szCs w:val="22"/>
          <w:lang w:val="en-US" w:eastAsia="en-US"/>
        </w:rPr>
        <w:t xml:space="preserve">)) </w:t>
      </w:r>
      <w:r w:rsidRPr="00086ECF">
        <w:rPr>
          <w:rFonts w:ascii="Calibri" w:eastAsia="Calibri" w:hAnsi="Calibri" w:cs="Arial"/>
          <w:sz w:val="22"/>
          <w:szCs w:val="22"/>
          <w:lang w:val="en-GB" w:eastAsia="en-US"/>
        </w:rPr>
        <w:t>and opportunities ‘to generate income and sustain their livelihood’ (OD 185(b)(</w:t>
      </w:r>
      <w:proofErr w:type="spellStart"/>
      <w:r w:rsidRPr="00086ECF">
        <w:rPr>
          <w:rFonts w:ascii="Calibri" w:eastAsia="Calibri" w:hAnsi="Calibri" w:cs="Arial"/>
          <w:sz w:val="22"/>
          <w:szCs w:val="22"/>
          <w:lang w:val="en-GB" w:eastAsia="en-US"/>
        </w:rPr>
        <w:t>i</w:t>
      </w:r>
      <w:proofErr w:type="spellEnd"/>
      <w:r w:rsidRPr="00086ECF">
        <w:rPr>
          <w:rFonts w:ascii="Calibri" w:eastAsia="Calibri" w:hAnsi="Calibri" w:cs="Arial"/>
          <w:sz w:val="22"/>
          <w:szCs w:val="22"/>
          <w:lang w:val="en-GB" w:eastAsia="en-US"/>
        </w:rPr>
        <w:t>)).</w:t>
      </w:r>
    </w:p>
    <w:p w14:paraId="43A5C4E0" w14:textId="77777777" w:rsidR="00086ECF" w:rsidRPr="00086ECF" w:rsidRDefault="00086ECF" w:rsidP="00086ECF">
      <w:pPr>
        <w:spacing w:after="160" w:line="256" w:lineRule="auto"/>
        <w:ind w:left="720"/>
        <w:contextualSpacing/>
        <w:jc w:val="both"/>
        <w:rPr>
          <w:rFonts w:ascii="Calibri" w:eastAsia="Calibri" w:hAnsi="Calibri" w:cs="Arial"/>
          <w:sz w:val="22"/>
          <w:szCs w:val="22"/>
          <w:lang w:val="en-GB" w:eastAsia="en-US"/>
        </w:rPr>
      </w:pPr>
      <w:bookmarkStart w:id="20" w:name="_Hlk84578531"/>
      <w:r w:rsidRPr="00086ECF">
        <w:rPr>
          <w:rFonts w:ascii="Calibri" w:eastAsia="Calibri" w:hAnsi="Calibri" w:cs="Arial"/>
          <w:b/>
          <w:bCs/>
          <w:sz w:val="22"/>
          <w:szCs w:val="22"/>
          <w:lang w:val="en-GB" w:eastAsia="en-US"/>
        </w:rPr>
        <w:t xml:space="preserve">Research on the following topics </w:t>
      </w:r>
      <w:r w:rsidRPr="00086ECF">
        <w:rPr>
          <w:rFonts w:ascii="Calibri" w:eastAsia="Calibri" w:hAnsi="Calibri" w:cs="Arial"/>
          <w:sz w:val="22"/>
          <w:szCs w:val="22"/>
          <w:lang w:val="en-GB" w:eastAsia="en-US"/>
        </w:rPr>
        <w:t>(by various actors, including communities concerned):</w:t>
      </w:r>
    </w:p>
    <w:bookmarkEnd w:id="20"/>
    <w:p w14:paraId="497E9360" w14:textId="77777777" w:rsidR="00086ECF" w:rsidRPr="00086ECF" w:rsidRDefault="00086ECF" w:rsidP="00086ECF">
      <w:pPr>
        <w:numPr>
          <w:ilvl w:val="0"/>
          <w:numId w:val="21"/>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ICH and sustainable development: </w:t>
      </w:r>
      <w:r w:rsidRPr="00086ECF">
        <w:rPr>
          <w:rFonts w:ascii="Calibri" w:eastAsia="Calibri" w:hAnsi="Calibri" w:cs="Arial"/>
          <w:sz w:val="22"/>
          <w:szCs w:val="22"/>
          <w:lang w:val="en-GB" w:eastAsia="en-US"/>
        </w:rPr>
        <w:t>research on</w:t>
      </w:r>
      <w:r w:rsidRPr="00086ECF">
        <w:rPr>
          <w:rFonts w:ascii="Calibri" w:eastAsia="Calibri" w:hAnsi="Calibri" w:cs="Arial"/>
          <w:b/>
          <w:bCs/>
          <w:sz w:val="22"/>
          <w:szCs w:val="22"/>
          <w:lang w:val="en-GB" w:eastAsia="en-US"/>
        </w:rPr>
        <w:t xml:space="preserve"> </w:t>
      </w:r>
      <w:r w:rsidRPr="00086ECF">
        <w:rPr>
          <w:rFonts w:ascii="Calibri" w:eastAsia="Calibri" w:hAnsi="Calibri" w:cs="Arial"/>
          <w:sz w:val="22"/>
          <w:szCs w:val="22"/>
          <w:lang w:val="en-GB" w:eastAsia="en-US"/>
        </w:rPr>
        <w:t>‘contributions of intangible cultural heritage to sustainable development and its importance as a resource for dealing with development problems’ (OD 175).</w:t>
      </w:r>
    </w:p>
    <w:p w14:paraId="17E8A717" w14:textId="77777777" w:rsidR="00086ECF" w:rsidRPr="00086ECF" w:rsidRDefault="00086ECF" w:rsidP="00086ECF">
      <w:pPr>
        <w:numPr>
          <w:ilvl w:val="0"/>
          <w:numId w:val="21"/>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ICH and sustainable income generation:</w:t>
      </w:r>
      <w:r w:rsidRPr="00086ECF">
        <w:rPr>
          <w:rFonts w:ascii="Calibri" w:eastAsia="Calibri" w:hAnsi="Calibri" w:cs="Arial"/>
          <w:sz w:val="22"/>
          <w:szCs w:val="22"/>
          <w:lang w:val="en-GB" w:eastAsia="en-US"/>
        </w:rPr>
        <w:t xml:space="preserve"> research on</w:t>
      </w:r>
      <w:r w:rsidRPr="00086ECF">
        <w:rPr>
          <w:rFonts w:ascii="Calibri" w:eastAsia="Calibri" w:hAnsi="Calibri" w:cs="Arial"/>
          <w:b/>
          <w:bCs/>
          <w:sz w:val="22"/>
          <w:szCs w:val="22"/>
          <w:lang w:val="en-GB" w:eastAsia="en-US"/>
        </w:rPr>
        <w:t xml:space="preserve"> </w:t>
      </w:r>
      <w:r w:rsidRPr="00086ECF">
        <w:rPr>
          <w:rFonts w:ascii="Calibri" w:eastAsia="Calibri" w:hAnsi="Calibri" w:cs="Arial"/>
          <w:sz w:val="22"/>
          <w:szCs w:val="22"/>
          <w:lang w:val="en-GB" w:eastAsia="en-US"/>
        </w:rPr>
        <w:t>‘opportunities that intangible cultural heritage offers for generating income and sustaining livelihoods for communities, groups and individuals concerned, with particular attention to its role in supplementing other forms of income’ (OD 185(a)).</w:t>
      </w:r>
    </w:p>
    <w:p w14:paraId="535ECF55" w14:textId="77777777" w:rsidR="00086ECF" w:rsidRPr="00086ECF" w:rsidRDefault="00086ECF" w:rsidP="00086ECF">
      <w:pPr>
        <w:numPr>
          <w:ilvl w:val="0"/>
          <w:numId w:val="21"/>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ICH and decent work:</w:t>
      </w:r>
      <w:r w:rsidRPr="00086ECF">
        <w:rPr>
          <w:rFonts w:ascii="Calibri" w:eastAsia="Calibri" w:hAnsi="Calibri" w:cs="Arial"/>
          <w:sz w:val="22"/>
          <w:szCs w:val="22"/>
          <w:lang w:val="en-GB" w:eastAsia="en-US"/>
        </w:rPr>
        <w:t xml:space="preserve"> research on</w:t>
      </w:r>
      <w:r w:rsidRPr="00086ECF">
        <w:rPr>
          <w:rFonts w:ascii="Calibri" w:eastAsia="Calibri" w:hAnsi="Calibri" w:cs="Arial"/>
          <w:b/>
          <w:bCs/>
          <w:sz w:val="22"/>
          <w:szCs w:val="22"/>
          <w:lang w:val="en-GB" w:eastAsia="en-US"/>
        </w:rPr>
        <w:t xml:space="preserve"> </w:t>
      </w:r>
      <w:r w:rsidRPr="00086ECF">
        <w:rPr>
          <w:rFonts w:ascii="Calibri" w:eastAsia="Calibri" w:hAnsi="Calibri" w:cs="Arial"/>
          <w:sz w:val="22"/>
          <w:szCs w:val="22"/>
          <w:lang w:val="en-GB" w:eastAsia="en-US"/>
        </w:rPr>
        <w:t>‘opportunities that intangible cultural heritage offers for productive employment and decent work for the communities, groups and individuals concerned, with particular attention to its adaptability to family and household circumstances and relation to other forms of employment’ (OD 186(a)).</w:t>
      </w:r>
    </w:p>
    <w:p w14:paraId="7744CFA2" w14:textId="77777777" w:rsidR="00086ECF" w:rsidRPr="00086ECF" w:rsidRDefault="00086ECF" w:rsidP="00086ECF">
      <w:pPr>
        <w:numPr>
          <w:ilvl w:val="0"/>
          <w:numId w:val="21"/>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Potential impact of tourism on ICH</w:t>
      </w:r>
      <w:r w:rsidRPr="00086ECF">
        <w:rPr>
          <w:rFonts w:ascii="Calibri" w:eastAsia="Calibri" w:hAnsi="Calibri" w:cs="Arial"/>
          <w:sz w:val="22"/>
          <w:szCs w:val="22"/>
          <w:lang w:val="en-GB" w:eastAsia="en-US"/>
        </w:rPr>
        <w:t>: research on</w:t>
      </w:r>
      <w:r w:rsidRPr="00086ECF">
        <w:rPr>
          <w:rFonts w:ascii="Calibri" w:eastAsia="Calibri" w:hAnsi="Calibri" w:cs="Arial"/>
          <w:b/>
          <w:bCs/>
          <w:sz w:val="22"/>
          <w:szCs w:val="22"/>
          <w:lang w:val="en-GB" w:eastAsia="en-US"/>
        </w:rPr>
        <w:t xml:space="preserve"> </w:t>
      </w:r>
      <w:r w:rsidRPr="00086ECF">
        <w:rPr>
          <w:rFonts w:ascii="Calibri" w:eastAsia="Calibri" w:hAnsi="Calibri" w:cs="Arial"/>
          <w:sz w:val="22"/>
          <w:szCs w:val="22"/>
          <w:lang w:val="en-GB" w:eastAsia="en-US"/>
        </w:rPr>
        <w:t xml:space="preserve">‘the potential of intangible cultural heritage for sustainable tourism and the impact of tourism on the intangible cultural heritage and sustainable development of the communities, groups and individuals </w:t>
      </w:r>
      <w:r w:rsidRPr="00086ECF">
        <w:rPr>
          <w:rFonts w:ascii="Calibri" w:eastAsia="Calibri" w:hAnsi="Calibri" w:cs="Arial"/>
          <w:sz w:val="22"/>
          <w:szCs w:val="22"/>
          <w:lang w:val="en-GB" w:eastAsia="en-US"/>
        </w:rPr>
        <w:lastRenderedPageBreak/>
        <w:t>concerned, with particular attention to anticipating potential impact before activities are initiated’ (OD 187(a)).</w:t>
      </w:r>
    </w:p>
    <w:p w14:paraId="25DE7F4D" w14:textId="77777777" w:rsidR="00086ECF" w:rsidRPr="00086ECF" w:rsidRDefault="00086ECF" w:rsidP="00086ECF">
      <w:pPr>
        <w:spacing w:after="160" w:line="256" w:lineRule="auto"/>
        <w:ind w:left="720"/>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Monitoring and evaluation of:</w:t>
      </w:r>
    </w:p>
    <w:p w14:paraId="63C673C7" w14:textId="77777777" w:rsidR="00086ECF" w:rsidRPr="00086ECF" w:rsidRDefault="00086ECF" w:rsidP="00086ECF">
      <w:pPr>
        <w:numPr>
          <w:ilvl w:val="0"/>
          <w:numId w:val="22"/>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Viability of elements: </w:t>
      </w:r>
      <w:r w:rsidRPr="00086ECF">
        <w:rPr>
          <w:rFonts w:ascii="Calibri" w:eastAsia="Calibri" w:hAnsi="Calibri" w:cs="Arial"/>
          <w:sz w:val="22"/>
          <w:szCs w:val="22"/>
          <w:lang w:val="en-GB" w:eastAsia="en-US"/>
        </w:rPr>
        <w:t xml:space="preserve">for </w:t>
      </w:r>
      <w:proofErr w:type="gramStart"/>
      <w:r w:rsidRPr="00086ECF">
        <w:rPr>
          <w:rFonts w:ascii="Calibri" w:eastAsia="Calibri" w:hAnsi="Calibri" w:cs="Arial"/>
          <w:sz w:val="22"/>
          <w:szCs w:val="22"/>
          <w:lang w:val="en-GB" w:eastAsia="en-US"/>
        </w:rPr>
        <w:t>example</w:t>
      </w:r>
      <w:proofErr w:type="gramEnd"/>
      <w:r w:rsidRPr="00086ECF">
        <w:rPr>
          <w:rFonts w:ascii="Calibri" w:eastAsia="Calibri" w:hAnsi="Calibri" w:cs="Arial"/>
          <w:sz w:val="22"/>
          <w:szCs w:val="22"/>
          <w:lang w:val="en-GB" w:eastAsia="en-US"/>
        </w:rPr>
        <w:t xml:space="preserve"> through updating of inventories (Article 12.1).</w:t>
      </w:r>
    </w:p>
    <w:p w14:paraId="4F548C15" w14:textId="77777777" w:rsidR="00086ECF" w:rsidRPr="00086ECF" w:rsidRDefault="00086ECF" w:rsidP="00086ECF">
      <w:pPr>
        <w:numPr>
          <w:ilvl w:val="0"/>
          <w:numId w:val="22"/>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Effects of inscription on safeguarding:</w:t>
      </w:r>
      <w:r w:rsidRPr="00086ECF">
        <w:rPr>
          <w:rFonts w:ascii="Calibri" w:eastAsia="Calibri" w:hAnsi="Calibri" w:cs="Arial"/>
          <w:sz w:val="22"/>
          <w:szCs w:val="22"/>
          <w:lang w:val="en-GB" w:eastAsia="en-US"/>
        </w:rPr>
        <w:t xml:space="preserve"> ensuring that inscription on inventories at the national level advances safeguarding (Article 11(b)); ensuring that inscription on the Lists and programmes selected for the Register advances safeguarding and sustainable development, and is not misused, ‘in particular for short-term economic gain’ (OD 176). </w:t>
      </w:r>
    </w:p>
    <w:p w14:paraId="798EE5F4" w14:textId="77777777" w:rsidR="00086ECF" w:rsidRPr="00086ECF" w:rsidRDefault="00086ECF" w:rsidP="00086ECF">
      <w:pPr>
        <w:numPr>
          <w:ilvl w:val="0"/>
          <w:numId w:val="22"/>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Effects of awareness-raising activities on safeguarding</w:t>
      </w:r>
      <w:r w:rsidRPr="00086ECF">
        <w:rPr>
          <w:rFonts w:ascii="Calibri" w:eastAsia="Calibri" w:hAnsi="Calibri" w:cs="Arial"/>
          <w:sz w:val="22"/>
          <w:szCs w:val="22"/>
          <w:lang w:val="en-GB" w:eastAsia="en-US"/>
        </w:rPr>
        <w:t>: States Parties to ‘take care’ about how ICH elements are presented to the public in awareness-raising activities (OD 120).</w:t>
      </w:r>
    </w:p>
    <w:p w14:paraId="7A18CA28" w14:textId="77777777" w:rsidR="00086ECF" w:rsidRPr="00086ECF" w:rsidRDefault="00086ECF" w:rsidP="00086ECF">
      <w:pPr>
        <w:numPr>
          <w:ilvl w:val="0"/>
          <w:numId w:val="22"/>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b/>
          <w:bCs/>
          <w:sz w:val="22"/>
          <w:szCs w:val="22"/>
          <w:lang w:val="en-GB" w:eastAsia="en-US"/>
        </w:rPr>
        <w:t xml:space="preserve">Effects of safeguarding activities on </w:t>
      </w:r>
      <w:proofErr w:type="gramStart"/>
      <w:r w:rsidRPr="00086ECF">
        <w:rPr>
          <w:rFonts w:ascii="Calibri" w:eastAsia="Calibri" w:hAnsi="Calibri" w:cs="Arial"/>
          <w:b/>
          <w:bCs/>
          <w:sz w:val="22"/>
          <w:szCs w:val="22"/>
          <w:lang w:val="en-GB" w:eastAsia="en-US"/>
        </w:rPr>
        <w:t>viability:</w:t>
      </w:r>
      <w:proofErr w:type="gramEnd"/>
      <w:r w:rsidRPr="00086ECF">
        <w:rPr>
          <w:rFonts w:ascii="Calibri" w:eastAsia="Calibri" w:hAnsi="Calibri" w:cs="Arial"/>
          <w:sz w:val="22"/>
          <w:szCs w:val="22"/>
          <w:lang w:val="en-GB" w:eastAsia="en-US"/>
        </w:rPr>
        <w:t xml:space="preserve"> undertaken by various stakeholders including communities, groups and individuals concerned (Periodic Reporting Core Indicator B.22).</w:t>
      </w:r>
    </w:p>
    <w:p w14:paraId="24105EF0"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GB" w:eastAsia="en-US"/>
        </w:rPr>
      </w:pPr>
      <w:bookmarkStart w:id="21" w:name="_Toc127519991"/>
      <w:r w:rsidRPr="00086ECF">
        <w:rPr>
          <w:rFonts w:ascii="Calibri Light" w:eastAsia="DengXian Light" w:hAnsi="Calibri Light"/>
          <w:color w:val="1F3763"/>
          <w:lang w:val="en-GB" w:eastAsia="en-US"/>
        </w:rPr>
        <w:t xml:space="preserve">Safeguarding approaches proposed by the Committee and its evaluation </w:t>
      </w:r>
      <w:proofErr w:type="gramStart"/>
      <w:r w:rsidRPr="00086ECF">
        <w:rPr>
          <w:rFonts w:ascii="Calibri Light" w:eastAsia="DengXian Light" w:hAnsi="Calibri Light"/>
          <w:color w:val="1F3763"/>
          <w:lang w:val="en-GB" w:eastAsia="en-US"/>
        </w:rPr>
        <w:t>bodies</w:t>
      </w:r>
      <w:bookmarkEnd w:id="21"/>
      <w:proofErr w:type="gramEnd"/>
    </w:p>
    <w:p w14:paraId="2316E126" w14:textId="7D0B44FB"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work of the Committee and its evaluation bodies over the last decade has brought further nuance to the discussion about identifying possible threats and risks linked to over-commercialization and decontextualization, identifying some good practices and recommending better monitoring.</w:t>
      </w:r>
    </w:p>
    <w:p w14:paraId="3FC83EFA"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US" w:eastAsia="en-US"/>
        </w:rPr>
        <w:t xml:space="preserve">As the Evaluation Body has noted, the ‘commercialization of an element cannot be described as positive or negative </w:t>
      </w:r>
      <w:r w:rsidRPr="00086ECF">
        <w:rPr>
          <w:rFonts w:ascii="Calibri" w:eastAsia="Calibri" w:hAnsi="Calibri" w:cs="Arial"/>
          <w:i/>
          <w:iCs/>
          <w:sz w:val="22"/>
          <w:szCs w:val="22"/>
          <w:lang w:val="en-US" w:eastAsia="en-US"/>
        </w:rPr>
        <w:t>per se</w:t>
      </w:r>
      <w:r w:rsidRPr="00086ECF">
        <w:rPr>
          <w:rFonts w:ascii="Calibri" w:eastAsia="Calibri" w:hAnsi="Calibri" w:cs="Arial"/>
          <w:sz w:val="22"/>
          <w:szCs w:val="22"/>
          <w:lang w:val="en-GB" w:eastAsia="en-US"/>
        </w:rPr>
        <w:t>’</w:t>
      </w:r>
      <w:r w:rsidRPr="00086ECF">
        <w:rPr>
          <w:rFonts w:ascii="Calibri" w:eastAsia="Calibri" w:hAnsi="Calibri" w:cs="Arial"/>
          <w:sz w:val="22"/>
          <w:szCs w:val="22"/>
          <w:lang w:val="en-US" w:eastAsia="en-US"/>
        </w:rPr>
        <w:t>.</w:t>
      </w:r>
      <w:r w:rsidRPr="00086ECF">
        <w:rPr>
          <w:rFonts w:ascii="Calibri" w:eastAsia="Calibri" w:hAnsi="Calibri" w:cs="Arial"/>
          <w:sz w:val="22"/>
          <w:szCs w:val="22"/>
          <w:vertAlign w:val="superscript"/>
          <w:lang w:val="en-US" w:eastAsia="en-US"/>
        </w:rPr>
        <w:footnoteReference w:id="75"/>
      </w:r>
      <w:r w:rsidRPr="00086ECF">
        <w:rPr>
          <w:rFonts w:ascii="Calibri" w:eastAsia="Calibri" w:hAnsi="Calibri" w:cs="Arial"/>
          <w:sz w:val="22"/>
          <w:szCs w:val="22"/>
          <w:lang w:val="en-US" w:eastAsia="en-US"/>
        </w:rPr>
        <w:t xml:space="preserve"> </w:t>
      </w:r>
      <w:r w:rsidRPr="00086ECF">
        <w:rPr>
          <w:rFonts w:ascii="Calibri" w:eastAsia="Calibri" w:hAnsi="Calibri" w:cs="Arial"/>
          <w:sz w:val="22"/>
          <w:szCs w:val="22"/>
          <w:lang w:val="en-GB" w:eastAsia="en-US"/>
        </w:rPr>
        <w:t xml:space="preserve">Thus, in some Committee decisions on nomination files, the organization of festivals associated with the ICH element was identified as evidence of decontextualization and </w:t>
      </w:r>
      <w:proofErr w:type="spellStart"/>
      <w:r w:rsidRPr="00086ECF">
        <w:rPr>
          <w:rFonts w:ascii="Calibri" w:eastAsia="Calibri" w:hAnsi="Calibri" w:cs="Arial"/>
          <w:sz w:val="22"/>
          <w:szCs w:val="22"/>
          <w:lang w:val="en-GB" w:eastAsia="en-US"/>
        </w:rPr>
        <w:t>folklorization</w:t>
      </w:r>
      <w:proofErr w:type="spellEnd"/>
      <w:r w:rsidRPr="00086ECF">
        <w:rPr>
          <w:rFonts w:ascii="Calibri" w:eastAsia="Calibri" w:hAnsi="Calibri" w:cs="Arial"/>
          <w:sz w:val="22"/>
          <w:szCs w:val="22"/>
          <w:lang w:val="en-GB" w:eastAsia="en-US"/>
        </w:rPr>
        <w:t>,</w:t>
      </w:r>
      <w:r w:rsidRPr="00086ECF">
        <w:rPr>
          <w:rFonts w:ascii="Calibri" w:eastAsia="Calibri" w:hAnsi="Calibri" w:cs="Arial"/>
          <w:sz w:val="22"/>
          <w:szCs w:val="22"/>
          <w:vertAlign w:val="superscript"/>
          <w:lang w:val="en-GB" w:eastAsia="en-US"/>
        </w:rPr>
        <w:footnoteReference w:id="76"/>
      </w:r>
      <w:r w:rsidRPr="00086ECF">
        <w:rPr>
          <w:rFonts w:ascii="Calibri" w:eastAsia="Calibri" w:hAnsi="Calibri" w:cs="Arial"/>
          <w:sz w:val="22"/>
          <w:szCs w:val="22"/>
          <w:lang w:val="en-GB" w:eastAsia="en-US"/>
        </w:rPr>
        <w:t xml:space="preserve"> or posing a possible threat from commercialization.</w:t>
      </w:r>
      <w:r w:rsidRPr="00086ECF">
        <w:rPr>
          <w:rFonts w:ascii="Calibri" w:eastAsia="Calibri" w:hAnsi="Calibri" w:cs="Arial"/>
          <w:sz w:val="22"/>
          <w:szCs w:val="22"/>
          <w:vertAlign w:val="superscript"/>
          <w:lang w:val="en-GB" w:eastAsia="en-US"/>
        </w:rPr>
        <w:footnoteReference w:id="77"/>
      </w:r>
      <w:r w:rsidRPr="00086ECF">
        <w:rPr>
          <w:rFonts w:ascii="Calibri" w:eastAsia="Calibri" w:hAnsi="Calibri" w:cs="Arial"/>
          <w:sz w:val="22"/>
          <w:szCs w:val="22"/>
          <w:lang w:val="en-GB" w:eastAsia="en-US"/>
        </w:rPr>
        <w:t xml:space="preserve"> In others, it was considered an appropriate safeguarding measure; the communities concerned were fully involved and aware of any risks of undue commercialization.</w:t>
      </w:r>
      <w:r w:rsidRPr="00086ECF">
        <w:rPr>
          <w:rFonts w:ascii="Calibri" w:eastAsia="Calibri" w:hAnsi="Calibri" w:cs="Arial"/>
          <w:sz w:val="22"/>
          <w:szCs w:val="22"/>
          <w:vertAlign w:val="superscript"/>
          <w:lang w:val="en-GB" w:eastAsia="en-US"/>
        </w:rPr>
        <w:footnoteReference w:id="78"/>
      </w:r>
      <w:r w:rsidRPr="00086ECF">
        <w:rPr>
          <w:rFonts w:ascii="Calibri" w:eastAsia="Calibri" w:hAnsi="Calibri" w:cs="Arial"/>
          <w:sz w:val="22"/>
          <w:szCs w:val="22"/>
          <w:lang w:val="en-GB" w:eastAsia="en-US"/>
        </w:rPr>
        <w:t xml:space="preserve"> The Evaluation Body has concluded that ‘it is not possible to apply a blanket rule’ to determine whether festivals, for example, might have a positive or negative impact on safeguarding.</w:t>
      </w:r>
      <w:r w:rsidRPr="00086ECF">
        <w:rPr>
          <w:rFonts w:ascii="Calibri" w:eastAsia="Calibri" w:hAnsi="Calibri" w:cs="Arial"/>
          <w:sz w:val="22"/>
          <w:szCs w:val="22"/>
          <w:vertAlign w:val="superscript"/>
          <w:lang w:val="en-GB" w:eastAsia="en-US"/>
        </w:rPr>
        <w:footnoteReference w:id="79"/>
      </w:r>
      <w:r w:rsidRPr="00086ECF">
        <w:rPr>
          <w:rFonts w:ascii="Calibri" w:eastAsia="Calibri" w:hAnsi="Calibri" w:cs="Arial"/>
          <w:sz w:val="22"/>
          <w:szCs w:val="22"/>
          <w:lang w:val="en-GB" w:eastAsia="en-US"/>
        </w:rPr>
        <w:t xml:space="preserve"> Factors such as the nature of the element (e.g. whether festivals were part of the element or unrelated to it), and the extent or speed of change in the element affected how much of a threat was posed by a new or expanded economic activity like a festival.</w:t>
      </w:r>
    </w:p>
    <w:p w14:paraId="0024E44D"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Committee Decisions and the reports of the evaluation bodies have placed particular emphasis on the following factors in developing safeguarding measures to address over-commercialization and decontextualization:</w:t>
      </w:r>
    </w:p>
    <w:p w14:paraId="22570B88" w14:textId="77777777" w:rsidR="00086ECF" w:rsidRPr="00086ECF" w:rsidRDefault="00086ECF" w:rsidP="00086ECF">
      <w:pPr>
        <w:numPr>
          <w:ilvl w:val="0"/>
          <w:numId w:val="23"/>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Ensuring community participation in developing and implementing safeguarding measures and mitigations associated with economic activities. This can include establishing committees, holding regular meetings and supporting a bottom-up decision-making </w:t>
      </w:r>
      <w:proofErr w:type="gramStart"/>
      <w:r w:rsidRPr="00086ECF">
        <w:rPr>
          <w:rFonts w:ascii="Calibri" w:eastAsia="Calibri" w:hAnsi="Calibri" w:cs="Arial"/>
          <w:sz w:val="22"/>
          <w:szCs w:val="22"/>
          <w:lang w:val="en-GB" w:eastAsia="en-US"/>
        </w:rPr>
        <w:t>process;</w:t>
      </w:r>
      <w:proofErr w:type="gramEnd"/>
    </w:p>
    <w:p w14:paraId="006224AC" w14:textId="77777777" w:rsidR="00086ECF" w:rsidRPr="00086ECF" w:rsidRDefault="00086ECF" w:rsidP="00086ECF">
      <w:pPr>
        <w:numPr>
          <w:ilvl w:val="0"/>
          <w:numId w:val="23"/>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Ensuring that increased visibility of ICH elements after inscription does not have unintended effects such as decontextualization. This can include implementing education, research and awareness-raising </w:t>
      </w:r>
      <w:proofErr w:type="gramStart"/>
      <w:r w:rsidRPr="00086ECF">
        <w:rPr>
          <w:rFonts w:ascii="Calibri" w:eastAsia="Calibri" w:hAnsi="Calibri" w:cs="Arial"/>
          <w:sz w:val="22"/>
          <w:szCs w:val="22"/>
          <w:lang w:val="en-GB" w:eastAsia="en-US"/>
        </w:rPr>
        <w:t>initiatives;</w:t>
      </w:r>
      <w:proofErr w:type="gramEnd"/>
      <w:r w:rsidRPr="00086ECF">
        <w:rPr>
          <w:rFonts w:ascii="Calibri" w:eastAsia="Calibri" w:hAnsi="Calibri" w:cs="Arial"/>
          <w:sz w:val="22"/>
          <w:szCs w:val="22"/>
          <w:lang w:val="en-GB" w:eastAsia="en-US"/>
        </w:rPr>
        <w:t xml:space="preserve"> </w:t>
      </w:r>
    </w:p>
    <w:p w14:paraId="50258831" w14:textId="77777777" w:rsidR="00086ECF" w:rsidRPr="00086ECF" w:rsidRDefault="00086ECF" w:rsidP="00086ECF">
      <w:pPr>
        <w:numPr>
          <w:ilvl w:val="0"/>
          <w:numId w:val="23"/>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Subsidizing and encouraging practitioners who cannot earn an adequate living from the ICH practice to ensure there is no decontextualization of the element in the </w:t>
      </w:r>
      <w:proofErr w:type="gramStart"/>
      <w:r w:rsidRPr="00086ECF">
        <w:rPr>
          <w:rFonts w:ascii="Calibri" w:eastAsia="Calibri" w:hAnsi="Calibri" w:cs="Arial"/>
          <w:sz w:val="22"/>
          <w:szCs w:val="22"/>
          <w:lang w:val="en-GB" w:eastAsia="en-US"/>
        </w:rPr>
        <w:t>market;</w:t>
      </w:r>
      <w:proofErr w:type="gramEnd"/>
    </w:p>
    <w:p w14:paraId="4AE69200" w14:textId="77777777" w:rsidR="00086ECF" w:rsidRPr="00086ECF" w:rsidRDefault="00086ECF" w:rsidP="00086ECF">
      <w:pPr>
        <w:numPr>
          <w:ilvl w:val="0"/>
          <w:numId w:val="23"/>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Providing training, marketing, intellectual property protection and other forms of assistance to help practitioners support themselves economically through their ICH-related activities while safeguarding the </w:t>
      </w:r>
      <w:proofErr w:type="gramStart"/>
      <w:r w:rsidRPr="00086ECF">
        <w:rPr>
          <w:rFonts w:ascii="Calibri" w:eastAsia="Calibri" w:hAnsi="Calibri" w:cs="Arial"/>
          <w:sz w:val="22"/>
          <w:szCs w:val="22"/>
          <w:lang w:val="en-GB" w:eastAsia="en-US"/>
        </w:rPr>
        <w:t>element;</w:t>
      </w:r>
      <w:proofErr w:type="gramEnd"/>
      <w:r w:rsidRPr="00086ECF">
        <w:rPr>
          <w:rFonts w:ascii="Calibri" w:eastAsia="Calibri" w:hAnsi="Calibri" w:cs="Arial"/>
          <w:sz w:val="22"/>
          <w:szCs w:val="22"/>
          <w:lang w:val="en-GB" w:eastAsia="en-US"/>
        </w:rPr>
        <w:t xml:space="preserve"> </w:t>
      </w:r>
    </w:p>
    <w:p w14:paraId="0A7BD5D5" w14:textId="77777777" w:rsidR="00086ECF" w:rsidRPr="00086ECF" w:rsidRDefault="00086ECF" w:rsidP="00086ECF">
      <w:pPr>
        <w:numPr>
          <w:ilvl w:val="0"/>
          <w:numId w:val="23"/>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lastRenderedPageBreak/>
        <w:t xml:space="preserve">Ensuring that third parties act ethically, for example by developing and publicizing ethical </w:t>
      </w:r>
      <w:proofErr w:type="gramStart"/>
      <w:r w:rsidRPr="00086ECF">
        <w:rPr>
          <w:rFonts w:ascii="Calibri" w:eastAsia="Calibri" w:hAnsi="Calibri" w:cs="Arial"/>
          <w:sz w:val="22"/>
          <w:szCs w:val="22"/>
          <w:lang w:val="en-GB" w:eastAsia="en-US"/>
        </w:rPr>
        <w:t>codes;</w:t>
      </w:r>
      <w:proofErr w:type="gramEnd"/>
    </w:p>
    <w:p w14:paraId="4BC6F8F6" w14:textId="77777777" w:rsidR="00086ECF" w:rsidRPr="00086ECF" w:rsidRDefault="00086ECF" w:rsidP="00086ECF">
      <w:pPr>
        <w:numPr>
          <w:ilvl w:val="0"/>
          <w:numId w:val="23"/>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Undertaking ongoing monitoring and evaluation, for example through safeguarding committees.</w:t>
      </w:r>
    </w:p>
    <w:p w14:paraId="2B49D221"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These factors are discussed in greater detail below.</w:t>
      </w:r>
    </w:p>
    <w:p w14:paraId="4A0F10E2"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Committee has encouraged submitting States to ‘put the communities, groups and, if applicable, individuals concerned at the centre of all safeguarding measures and plans, to avoid de-contextualization of practices and to respect the socio-cultural function of the heritage concerned’.</w:t>
      </w:r>
      <w:r w:rsidRPr="00086ECF">
        <w:rPr>
          <w:rFonts w:ascii="Calibri" w:eastAsia="Calibri" w:hAnsi="Calibri" w:cs="Arial"/>
          <w:sz w:val="22"/>
          <w:szCs w:val="22"/>
          <w:vertAlign w:val="superscript"/>
          <w:lang w:val="en-GB" w:eastAsia="en-US"/>
        </w:rPr>
        <w:footnoteReference w:id="80"/>
      </w:r>
      <w:r w:rsidRPr="00086ECF">
        <w:rPr>
          <w:rFonts w:ascii="Calibri" w:eastAsia="Calibri" w:hAnsi="Calibri" w:cs="Arial"/>
          <w:sz w:val="22"/>
          <w:szCs w:val="22"/>
          <w:lang w:val="en-GB" w:eastAsia="en-US"/>
        </w:rPr>
        <w:t xml:space="preserve"> Thus, when assessing whether safeguarding measures were adequate, the evaluation bodies or the Committee have welcomed strong community involvement in developing and implementing safeguarding measures, and in identifying threats such as decontextualization or over-commercialization.</w:t>
      </w:r>
      <w:r w:rsidRPr="00086ECF">
        <w:rPr>
          <w:rFonts w:ascii="Calibri" w:eastAsia="Calibri" w:hAnsi="Calibri" w:cs="Arial"/>
          <w:sz w:val="22"/>
          <w:szCs w:val="22"/>
          <w:vertAlign w:val="superscript"/>
          <w:lang w:val="en-GB" w:eastAsia="en-US"/>
        </w:rPr>
        <w:t xml:space="preserve"> </w:t>
      </w:r>
      <w:r w:rsidRPr="00086ECF">
        <w:rPr>
          <w:rFonts w:ascii="Calibri" w:eastAsia="Calibri" w:hAnsi="Calibri" w:cs="Arial"/>
          <w:sz w:val="22"/>
          <w:szCs w:val="22"/>
          <w:vertAlign w:val="superscript"/>
          <w:lang w:val="en-GB" w:eastAsia="en-US"/>
        </w:rPr>
        <w:footnoteReference w:id="81"/>
      </w:r>
      <w:r w:rsidRPr="00086ECF">
        <w:rPr>
          <w:rFonts w:ascii="Calibri" w:eastAsia="Calibri" w:hAnsi="Calibri" w:cs="Arial"/>
          <w:sz w:val="22"/>
          <w:szCs w:val="22"/>
          <w:lang w:val="en-GB" w:eastAsia="en-US"/>
        </w:rPr>
        <w:t xml:space="preserve"> </w:t>
      </w:r>
    </w:p>
    <w:p w14:paraId="3F078039"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Committee has encouraged mechanisms for ensuring that third parties act ethically towards communities, groups and individuals concerned </w:t>
      </w:r>
      <w:proofErr w:type="gramStart"/>
      <w:r w:rsidRPr="00086ECF">
        <w:rPr>
          <w:rFonts w:ascii="Calibri" w:eastAsia="Calibri" w:hAnsi="Calibri" w:cs="Arial"/>
          <w:sz w:val="22"/>
          <w:szCs w:val="22"/>
          <w:lang w:val="en-GB" w:eastAsia="en-US"/>
        </w:rPr>
        <w:t>in regard to</w:t>
      </w:r>
      <w:proofErr w:type="gramEnd"/>
      <w:r w:rsidRPr="00086ECF">
        <w:rPr>
          <w:rFonts w:ascii="Calibri" w:eastAsia="Calibri" w:hAnsi="Calibri" w:cs="Arial"/>
          <w:sz w:val="22"/>
          <w:szCs w:val="22"/>
          <w:lang w:val="en-GB" w:eastAsia="en-US"/>
        </w:rPr>
        <w:t xml:space="preserve"> economic activities.</w:t>
      </w:r>
      <w:r w:rsidRPr="00086ECF">
        <w:rPr>
          <w:rFonts w:ascii="Calibri" w:eastAsia="Calibri" w:hAnsi="Calibri" w:cs="Arial"/>
          <w:sz w:val="22"/>
          <w:szCs w:val="22"/>
          <w:vertAlign w:val="superscript"/>
          <w:lang w:val="en-GB" w:eastAsia="en-US"/>
        </w:rPr>
        <w:footnoteReference w:id="82"/>
      </w:r>
      <w:r w:rsidRPr="00086ECF">
        <w:rPr>
          <w:rFonts w:ascii="Calibri" w:eastAsia="Calibri" w:hAnsi="Calibri" w:cs="Arial"/>
          <w:sz w:val="22"/>
          <w:szCs w:val="22"/>
          <w:lang w:val="en-GB" w:eastAsia="en-US"/>
        </w:rPr>
        <w:t xml:space="preserve"> In 2019, the Evaluation Body ‘welcomed safeguarding measures with the potential to raise awareness about the impact of tourism, such as the code of good practices proposed in ‘</w:t>
      </w:r>
      <w:proofErr w:type="spellStart"/>
      <w:r w:rsidRPr="00086ECF">
        <w:rPr>
          <w:rFonts w:ascii="Calibri" w:eastAsia="Calibri" w:hAnsi="Calibri" w:cs="Arial"/>
          <w:sz w:val="22"/>
          <w:szCs w:val="22"/>
          <w:lang w:val="en-GB" w:eastAsia="en-US"/>
        </w:rPr>
        <w:t>Celestinian</w:t>
      </w:r>
      <w:proofErr w:type="spellEnd"/>
      <w:r w:rsidRPr="00086ECF">
        <w:rPr>
          <w:rFonts w:ascii="Calibri" w:eastAsia="Calibri" w:hAnsi="Calibri" w:cs="Arial"/>
          <w:sz w:val="22"/>
          <w:szCs w:val="22"/>
          <w:lang w:val="en-GB" w:eastAsia="en-US"/>
        </w:rPr>
        <w:t xml:space="preserve"> forgiveness celebration’, submitted by Italy’.</w:t>
      </w:r>
      <w:r w:rsidRPr="00086ECF">
        <w:rPr>
          <w:rFonts w:ascii="Calibri" w:eastAsia="Calibri" w:hAnsi="Calibri" w:cs="Arial"/>
          <w:sz w:val="22"/>
          <w:szCs w:val="22"/>
          <w:vertAlign w:val="superscript"/>
          <w:lang w:val="en-GB" w:eastAsia="en-US"/>
        </w:rPr>
        <w:footnoteReference w:id="83"/>
      </w:r>
      <w:r w:rsidRPr="00086ECF">
        <w:rPr>
          <w:rFonts w:ascii="Calibri" w:eastAsia="Calibri" w:hAnsi="Calibri" w:cs="Arial"/>
          <w:sz w:val="22"/>
          <w:szCs w:val="22"/>
          <w:lang w:val="en-GB" w:eastAsia="en-US"/>
        </w:rPr>
        <w:t xml:space="preserve"> </w:t>
      </w:r>
    </w:p>
    <w:p w14:paraId="1DCEE78C"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It has been a longstanding concern of the Committee that safeguarding measures need to take into account possible economic pressures or increased visitor numbers following inscription.</w:t>
      </w:r>
      <w:r w:rsidRPr="00086ECF">
        <w:rPr>
          <w:rFonts w:ascii="Calibri" w:eastAsia="Calibri" w:hAnsi="Calibri" w:cs="Arial"/>
          <w:sz w:val="22"/>
          <w:szCs w:val="22"/>
          <w:vertAlign w:val="superscript"/>
          <w:lang w:val="en-GB" w:eastAsia="en-US"/>
        </w:rPr>
        <w:footnoteReference w:id="84"/>
      </w:r>
      <w:r w:rsidRPr="00086ECF">
        <w:rPr>
          <w:rFonts w:ascii="Calibri" w:eastAsia="Calibri" w:hAnsi="Calibri" w:cs="Arial"/>
          <w:sz w:val="22"/>
          <w:szCs w:val="22"/>
          <w:lang w:val="en-GB" w:eastAsia="en-US"/>
        </w:rPr>
        <w:t xml:space="preserve"> In 2020, the Evaluation Body commended the file ‘</w:t>
      </w:r>
      <w:proofErr w:type="spellStart"/>
      <w:r w:rsidRPr="00086ECF">
        <w:rPr>
          <w:rFonts w:ascii="Calibri" w:eastAsia="Calibri" w:hAnsi="Calibri" w:cs="Arial"/>
          <w:sz w:val="22"/>
          <w:szCs w:val="22"/>
          <w:lang w:val="en-GB" w:eastAsia="en-US"/>
        </w:rPr>
        <w:t>Yeondeunghoe</w:t>
      </w:r>
      <w:proofErr w:type="spellEnd"/>
      <w:r w:rsidRPr="00086ECF">
        <w:rPr>
          <w:rFonts w:ascii="Calibri" w:eastAsia="Calibri" w:hAnsi="Calibri" w:cs="Arial"/>
          <w:sz w:val="22"/>
          <w:szCs w:val="22"/>
          <w:lang w:val="en-GB" w:eastAsia="en-US"/>
        </w:rPr>
        <w:t>, lantern lighting festival in the Republic of Korea’, nominated by the Republic of Korea, for proposing ‘a set of safeguarding measures aimed at preventing any unintended effects of the inscription of the element on the Representative List’.</w:t>
      </w:r>
      <w:r w:rsidRPr="00086ECF">
        <w:rPr>
          <w:rFonts w:ascii="Calibri" w:eastAsia="Calibri" w:hAnsi="Calibri" w:cs="Arial"/>
          <w:sz w:val="22"/>
          <w:szCs w:val="22"/>
          <w:vertAlign w:val="superscript"/>
          <w:lang w:val="en-GB" w:eastAsia="en-US"/>
        </w:rPr>
        <w:footnoteReference w:id="85"/>
      </w:r>
      <w:r w:rsidRPr="00086ECF">
        <w:rPr>
          <w:rFonts w:ascii="Calibri" w:eastAsia="Calibri" w:hAnsi="Calibri" w:cs="Arial"/>
          <w:sz w:val="22"/>
          <w:szCs w:val="22"/>
          <w:lang w:val="en-GB" w:eastAsia="en-US"/>
        </w:rPr>
        <w:t xml:space="preserve"> The file ‘Tree beekeeping culture’, nominated by Poland and Belarus, was commended in the Committee inscription decision for proposing educational, research and awareness-raising initiatives to address possible decontextualization as a result of increased public attention resulting from inscription.</w:t>
      </w:r>
      <w:r w:rsidRPr="00086ECF">
        <w:rPr>
          <w:rFonts w:ascii="Calibri" w:eastAsia="Calibri" w:hAnsi="Calibri" w:cs="Arial"/>
          <w:sz w:val="22"/>
          <w:szCs w:val="22"/>
          <w:vertAlign w:val="superscript"/>
          <w:lang w:val="en-GB" w:eastAsia="en-US"/>
        </w:rPr>
        <w:footnoteReference w:id="86"/>
      </w:r>
      <w:r w:rsidRPr="00086ECF">
        <w:rPr>
          <w:rFonts w:ascii="Calibri" w:eastAsia="Calibri" w:hAnsi="Calibri" w:cs="Arial"/>
          <w:sz w:val="22"/>
          <w:szCs w:val="22"/>
          <w:lang w:val="en-GB" w:eastAsia="en-US"/>
        </w:rPr>
        <w:t xml:space="preserve"> </w:t>
      </w:r>
    </w:p>
    <w:p w14:paraId="25959B5C"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Various strategies focused on assisting ICH practitioners to make more effective use of market opportunities while protecting their rights and interests have been mentioned in nomination files. In several cases, Committee decisions recognized that safeguarding plans appropriately proposed support and encouragement for practitioners of the element after inscription either because they could not be appropriately rewarded for their craft work in the open market,</w:t>
      </w:r>
      <w:r w:rsidRPr="00086ECF">
        <w:rPr>
          <w:rFonts w:ascii="Calibri" w:eastAsia="Calibri" w:hAnsi="Calibri" w:cs="Arial"/>
          <w:sz w:val="22"/>
          <w:szCs w:val="22"/>
          <w:vertAlign w:val="superscript"/>
          <w:lang w:val="en-GB" w:eastAsia="en-US"/>
        </w:rPr>
        <w:footnoteReference w:id="87"/>
      </w:r>
      <w:r w:rsidRPr="00086ECF">
        <w:rPr>
          <w:rFonts w:ascii="Calibri" w:eastAsia="Calibri" w:hAnsi="Calibri" w:cs="Arial"/>
          <w:sz w:val="22"/>
          <w:szCs w:val="22"/>
          <w:lang w:val="en-GB" w:eastAsia="en-US"/>
        </w:rPr>
        <w:t xml:space="preserve"> or to protect them from pressures to change traditional techniques.</w:t>
      </w:r>
      <w:r w:rsidRPr="00086ECF">
        <w:rPr>
          <w:rFonts w:ascii="Calibri" w:eastAsia="Calibri" w:hAnsi="Calibri" w:cs="Arial"/>
          <w:sz w:val="22"/>
          <w:szCs w:val="22"/>
          <w:vertAlign w:val="superscript"/>
          <w:lang w:val="en-GB" w:eastAsia="en-US"/>
        </w:rPr>
        <w:footnoteReference w:id="88"/>
      </w:r>
      <w:r w:rsidRPr="00086ECF">
        <w:rPr>
          <w:rFonts w:ascii="Calibri" w:eastAsia="Calibri" w:hAnsi="Calibri" w:cs="Arial"/>
          <w:sz w:val="22"/>
          <w:szCs w:val="22"/>
          <w:lang w:val="en-GB" w:eastAsia="en-US"/>
        </w:rPr>
        <w:t xml:space="preserve"> Documentation and support for organizing traditional performances were recognized as a way of mitigating potential consequences of increased commercial pressures after inscription,</w:t>
      </w:r>
      <w:r w:rsidRPr="00086ECF">
        <w:rPr>
          <w:rFonts w:ascii="Calibri" w:eastAsia="Calibri" w:hAnsi="Calibri" w:cs="Arial"/>
          <w:sz w:val="22"/>
          <w:szCs w:val="22"/>
          <w:vertAlign w:val="superscript"/>
          <w:lang w:val="en-GB" w:eastAsia="en-US"/>
        </w:rPr>
        <w:footnoteReference w:id="89"/>
      </w:r>
      <w:r w:rsidRPr="00086ECF">
        <w:rPr>
          <w:rFonts w:ascii="Calibri" w:eastAsia="Calibri" w:hAnsi="Calibri" w:cs="Arial"/>
          <w:sz w:val="22"/>
          <w:szCs w:val="22"/>
          <w:lang w:val="en-GB" w:eastAsia="en-US"/>
        </w:rPr>
        <w:t xml:space="preserve"> as could creating favourable conditions for marketing of ICH-related products in some contexts.</w:t>
      </w:r>
      <w:r w:rsidRPr="00086ECF">
        <w:rPr>
          <w:rFonts w:ascii="Calibri" w:eastAsia="Calibri" w:hAnsi="Calibri" w:cs="Arial"/>
          <w:sz w:val="22"/>
          <w:szCs w:val="22"/>
          <w:vertAlign w:val="superscript"/>
          <w:lang w:val="en-GB" w:eastAsia="en-US"/>
        </w:rPr>
        <w:footnoteReference w:id="90"/>
      </w:r>
      <w:r w:rsidRPr="00086ECF">
        <w:rPr>
          <w:rFonts w:ascii="Calibri" w:eastAsia="Calibri" w:hAnsi="Calibri" w:cs="Arial"/>
          <w:sz w:val="22"/>
          <w:szCs w:val="22"/>
          <w:lang w:val="en-GB" w:eastAsia="en-US"/>
        </w:rPr>
        <w:t xml:space="preserve"> </w:t>
      </w:r>
    </w:p>
    <w:p w14:paraId="7775E66B"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Committee decision on the file ‘The traditional knowledge and techniques associated with Pasto Varnish </w:t>
      </w:r>
      <w:proofErr w:type="spellStart"/>
      <w:r w:rsidRPr="00086ECF">
        <w:rPr>
          <w:rFonts w:ascii="Calibri" w:eastAsia="Calibri" w:hAnsi="Calibri" w:cs="Arial"/>
          <w:sz w:val="22"/>
          <w:szCs w:val="22"/>
          <w:lang w:val="en-GB" w:eastAsia="en-US"/>
        </w:rPr>
        <w:t>mopa-mopa</w:t>
      </w:r>
      <w:proofErr w:type="spellEnd"/>
      <w:r w:rsidRPr="00086ECF">
        <w:rPr>
          <w:rFonts w:ascii="Calibri" w:eastAsia="Calibri" w:hAnsi="Calibri" w:cs="Arial"/>
          <w:sz w:val="22"/>
          <w:szCs w:val="22"/>
          <w:lang w:val="en-GB" w:eastAsia="en-US"/>
        </w:rPr>
        <w:t xml:space="preserve"> of Putumayo and Nariño’ (Colombia) noted that ‘the entire production chain is not sufficiently valued and that there is therefore a lack of transmission of the know-how related to the Pasto Varnish production’, leading to its endangered status. The proposed safeguarding measures thus included ‘research into sustainability, ensuring greater efficacy in the trade process and in the transmission of the related </w:t>
      </w:r>
      <w:r w:rsidRPr="00086ECF">
        <w:rPr>
          <w:rFonts w:ascii="Calibri" w:eastAsia="Calibri" w:hAnsi="Calibri" w:cs="Arial"/>
          <w:sz w:val="22"/>
          <w:szCs w:val="22"/>
          <w:lang w:val="en-GB" w:eastAsia="en-US"/>
        </w:rPr>
        <w:lastRenderedPageBreak/>
        <w:t>knowledge, greater organization, participation, assessment and dissemination of the practice, and improved cultural entrepreneurship and marketing’.</w:t>
      </w:r>
      <w:r w:rsidRPr="00086ECF">
        <w:rPr>
          <w:rFonts w:ascii="Calibri" w:eastAsia="Calibri" w:hAnsi="Calibri" w:cs="Arial"/>
          <w:sz w:val="22"/>
          <w:szCs w:val="22"/>
          <w:vertAlign w:val="superscript"/>
          <w:lang w:val="en-GB" w:eastAsia="en-US"/>
        </w:rPr>
        <w:footnoteReference w:id="91"/>
      </w:r>
      <w:r w:rsidRPr="00086ECF">
        <w:rPr>
          <w:rFonts w:ascii="Calibri" w:eastAsia="Calibri" w:hAnsi="Calibri" w:cs="Arial"/>
          <w:sz w:val="22"/>
          <w:szCs w:val="22"/>
          <w:lang w:val="en-GB" w:eastAsia="en-US"/>
        </w:rPr>
        <w:t xml:space="preserve"> </w:t>
      </w:r>
    </w:p>
    <w:p w14:paraId="01159A73"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A similarly comprehensive programme of ‘regional and local training centres, governmental and NGO funds, awards and promotion activities, education and capacity building, and intellectual property protection’ was noted as safeguarding measures in the Committee Decision on ‘Al Sadu, traditional weaving skills in the United Arab Emirates’ in 2011.</w:t>
      </w:r>
      <w:r w:rsidRPr="00086ECF">
        <w:rPr>
          <w:rFonts w:ascii="Calibri" w:eastAsia="Calibri" w:hAnsi="Calibri" w:cs="Arial"/>
          <w:sz w:val="22"/>
          <w:szCs w:val="22"/>
          <w:vertAlign w:val="superscript"/>
          <w:lang w:val="en-GB" w:eastAsia="en-US"/>
        </w:rPr>
        <w:footnoteReference w:id="92"/>
      </w:r>
      <w:r w:rsidRPr="00086ECF">
        <w:rPr>
          <w:rFonts w:ascii="Calibri" w:eastAsia="Calibri" w:hAnsi="Calibri" w:cs="Arial"/>
          <w:sz w:val="22"/>
          <w:szCs w:val="22"/>
          <w:lang w:val="en-GB" w:eastAsia="en-US"/>
        </w:rPr>
        <w:t xml:space="preserve"> These measures aimed to address various threats including ‘limited local economic opportunities for generating income and a lack of interest in learning traditional skills among the younger generation of women’.</w:t>
      </w:r>
      <w:r w:rsidRPr="00086ECF">
        <w:rPr>
          <w:rFonts w:ascii="Calibri" w:eastAsia="Calibri" w:hAnsi="Calibri" w:cs="Arial"/>
          <w:sz w:val="22"/>
          <w:szCs w:val="22"/>
          <w:vertAlign w:val="superscript"/>
          <w:lang w:val="en-GB" w:eastAsia="en-US"/>
        </w:rPr>
        <w:footnoteReference w:id="93"/>
      </w:r>
      <w:r w:rsidRPr="00086ECF">
        <w:rPr>
          <w:rFonts w:ascii="Calibri" w:eastAsia="Calibri" w:hAnsi="Calibri" w:cs="Arial"/>
          <w:sz w:val="22"/>
          <w:szCs w:val="22"/>
          <w:lang w:val="en-GB" w:eastAsia="en-US"/>
        </w:rPr>
        <w:t xml:space="preserve"> In the report on the element submitted in 2015, the State Party noted that further threats to viability included ‘the cost of the raw materials and time-consuming nature of the production process; the introduction of cheaper look-alike goods in the market (using synthetic materials and </w:t>
      </w:r>
      <w:proofErr w:type="spellStart"/>
      <w:r w:rsidRPr="00086ECF">
        <w:rPr>
          <w:rFonts w:ascii="Calibri" w:eastAsia="Calibri" w:hAnsi="Calibri" w:cs="Arial"/>
          <w:sz w:val="22"/>
          <w:szCs w:val="22"/>
          <w:lang w:val="en-GB" w:eastAsia="en-US"/>
        </w:rPr>
        <w:t>non traditional</w:t>
      </w:r>
      <w:proofErr w:type="spellEnd"/>
      <w:r w:rsidRPr="00086ECF">
        <w:rPr>
          <w:rFonts w:ascii="Calibri" w:eastAsia="Calibri" w:hAnsi="Calibri" w:cs="Arial"/>
          <w:sz w:val="22"/>
          <w:szCs w:val="22"/>
          <w:lang w:val="en-GB" w:eastAsia="en-US"/>
        </w:rPr>
        <w:t xml:space="preserve"> methods); low awareness of the element and its cultural value’. Not all the safeguarding measures proposed in 2011 had been implemented at that time.</w:t>
      </w:r>
      <w:r w:rsidRPr="00086ECF">
        <w:rPr>
          <w:rFonts w:ascii="Calibri" w:eastAsia="Calibri" w:hAnsi="Calibri" w:cs="Arial"/>
          <w:sz w:val="22"/>
          <w:szCs w:val="22"/>
          <w:vertAlign w:val="superscript"/>
          <w:lang w:val="en-GB" w:eastAsia="en-US"/>
        </w:rPr>
        <w:footnoteReference w:id="94"/>
      </w:r>
    </w:p>
    <w:p w14:paraId="34D2DFC1"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While some nomination files propose adequate monitoring mechanisms,</w:t>
      </w:r>
      <w:r w:rsidRPr="00086ECF">
        <w:rPr>
          <w:rFonts w:ascii="Calibri" w:eastAsia="Calibri" w:hAnsi="Calibri" w:cs="Arial"/>
          <w:sz w:val="22"/>
          <w:szCs w:val="22"/>
          <w:vertAlign w:val="superscript"/>
          <w:lang w:val="en-GB" w:eastAsia="en-US"/>
        </w:rPr>
        <w:footnoteReference w:id="95"/>
      </w:r>
      <w:r w:rsidRPr="00086ECF">
        <w:rPr>
          <w:rFonts w:ascii="Calibri" w:eastAsia="Calibri" w:hAnsi="Calibri" w:cs="Arial"/>
          <w:sz w:val="22"/>
          <w:szCs w:val="22"/>
          <w:lang w:val="en-GB" w:eastAsia="en-US"/>
        </w:rPr>
        <w:t xml:space="preserve"> many do not.</w:t>
      </w:r>
      <w:r w:rsidRPr="00086ECF">
        <w:rPr>
          <w:rFonts w:ascii="Calibri" w:eastAsia="Calibri" w:hAnsi="Calibri" w:cs="Arial"/>
          <w:sz w:val="22"/>
          <w:szCs w:val="22"/>
          <w:vertAlign w:val="superscript"/>
          <w:lang w:val="en-GB" w:eastAsia="en-US"/>
        </w:rPr>
        <w:footnoteReference w:id="96"/>
      </w:r>
      <w:r w:rsidRPr="00086ECF">
        <w:rPr>
          <w:rFonts w:ascii="Calibri" w:eastAsia="Calibri" w:hAnsi="Calibri" w:cs="Arial"/>
          <w:sz w:val="22"/>
          <w:szCs w:val="22"/>
          <w:lang w:val="en-GB" w:eastAsia="en-US"/>
        </w:rPr>
        <w:t xml:space="preserve"> The Evaluation Body has specifically called for adequate monitoring of the risks of the potential decontextualization and jeopardization of an element </w:t>
      </w:r>
      <w:proofErr w:type="gramStart"/>
      <w:r w:rsidRPr="00086ECF">
        <w:rPr>
          <w:rFonts w:ascii="Calibri" w:eastAsia="Calibri" w:hAnsi="Calibri" w:cs="Arial"/>
          <w:sz w:val="22"/>
          <w:szCs w:val="22"/>
          <w:lang w:val="en-GB" w:eastAsia="en-US"/>
        </w:rPr>
        <w:t>as a result of</w:t>
      </w:r>
      <w:proofErr w:type="gramEnd"/>
      <w:r w:rsidRPr="00086ECF">
        <w:rPr>
          <w:rFonts w:ascii="Calibri" w:eastAsia="Calibri" w:hAnsi="Calibri" w:cs="Arial"/>
          <w:sz w:val="22"/>
          <w:szCs w:val="22"/>
          <w:lang w:val="en-GB" w:eastAsia="en-US"/>
        </w:rPr>
        <w:t xml:space="preserve"> tourism.</w:t>
      </w:r>
      <w:r w:rsidRPr="00086ECF">
        <w:rPr>
          <w:rFonts w:ascii="Arial" w:eastAsia="Calibri" w:hAnsi="Arial" w:cs="Arial"/>
          <w:sz w:val="22"/>
          <w:szCs w:val="22"/>
          <w:vertAlign w:val="superscript"/>
          <w:lang w:val="en-US" w:eastAsia="en-US"/>
        </w:rPr>
        <w:footnoteReference w:id="97"/>
      </w:r>
      <w:r w:rsidRPr="00086ECF">
        <w:rPr>
          <w:rFonts w:ascii="Calibri" w:eastAsia="Calibri" w:hAnsi="Calibri" w:cs="Arial"/>
          <w:sz w:val="22"/>
          <w:szCs w:val="22"/>
          <w:lang w:val="en-GB" w:eastAsia="en-US"/>
        </w:rPr>
        <w:t xml:space="preserve"> In 2018, the Evaluation Body mentioned some good practices in this regard:</w:t>
      </w:r>
    </w:p>
    <w:p w14:paraId="18DECEE0"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 xml:space="preserve">If negative impacts following an inscription are foreseen, a monitoring mechanism should be designed that will allow the community to take appropriate measures when excessive numbers of tourists start negatively influencing the practice and safeguarding of their heritage. Such mechanisms have been proposed in files submitted by Kazakhstan, Mexico, Poland, the Republic of </w:t>
      </w:r>
      <w:proofErr w:type="gramStart"/>
      <w:r w:rsidRPr="00086ECF">
        <w:rPr>
          <w:rFonts w:ascii="Calibri" w:eastAsia="Calibri" w:hAnsi="Calibri" w:cs="Arial"/>
          <w:i/>
          <w:iCs/>
          <w:color w:val="404040"/>
          <w:sz w:val="22"/>
          <w:szCs w:val="22"/>
          <w:lang w:val="en-GB" w:eastAsia="en-US"/>
        </w:rPr>
        <w:t>Korea</w:t>
      </w:r>
      <w:proofErr w:type="gramEnd"/>
      <w:r w:rsidRPr="00086ECF">
        <w:rPr>
          <w:rFonts w:ascii="Calibri" w:eastAsia="Calibri" w:hAnsi="Calibri" w:cs="Arial"/>
          <w:i/>
          <w:iCs/>
          <w:color w:val="404040"/>
          <w:sz w:val="22"/>
          <w:szCs w:val="22"/>
          <w:lang w:val="en-GB" w:eastAsia="en-US"/>
        </w:rPr>
        <w:t xml:space="preserve"> and </w:t>
      </w:r>
      <w:proofErr w:type="spellStart"/>
      <w:r w:rsidRPr="00086ECF">
        <w:rPr>
          <w:rFonts w:ascii="Calibri" w:eastAsia="Calibri" w:hAnsi="Calibri" w:cs="Arial"/>
          <w:i/>
          <w:iCs/>
          <w:color w:val="404040"/>
          <w:sz w:val="22"/>
          <w:szCs w:val="22"/>
          <w:lang w:val="en-GB" w:eastAsia="en-US"/>
        </w:rPr>
        <w:t>Srí</w:t>
      </w:r>
      <w:proofErr w:type="spellEnd"/>
      <w:r w:rsidRPr="00086ECF">
        <w:rPr>
          <w:rFonts w:ascii="Calibri" w:eastAsia="Calibri" w:hAnsi="Calibri" w:cs="Arial"/>
          <w:i/>
          <w:iCs/>
          <w:color w:val="404040"/>
          <w:sz w:val="22"/>
          <w:szCs w:val="22"/>
          <w:lang w:val="en-GB" w:eastAsia="en-US"/>
        </w:rPr>
        <w:t xml:space="preserve"> Lanka. For instance, the file ‘Traditional spring festive rites of the Kazakh horse breeders’, submitted by Kazakhstan, proposes precautionary measures aimed at redirecting the attention of tourists from the actual practice to a thematic festival, thereby protecting the intimacy and familial and ceremonial nature of the practice.</w:t>
      </w:r>
      <w:r w:rsidRPr="00086ECF">
        <w:rPr>
          <w:rFonts w:ascii="Calibri" w:eastAsia="Calibri" w:hAnsi="Calibri" w:cs="Arial"/>
          <w:i/>
          <w:iCs/>
          <w:color w:val="404040"/>
          <w:sz w:val="22"/>
          <w:szCs w:val="22"/>
          <w:vertAlign w:val="superscript"/>
          <w:lang w:val="en-GB" w:eastAsia="en-US"/>
        </w:rPr>
        <w:footnoteReference w:id="98"/>
      </w:r>
    </w:p>
    <w:p w14:paraId="36B32B99"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In 2019, the file ‘</w:t>
      </w:r>
      <w:proofErr w:type="spellStart"/>
      <w:r w:rsidRPr="00086ECF">
        <w:rPr>
          <w:rFonts w:ascii="Calibri" w:eastAsia="Calibri" w:hAnsi="Calibri" w:cs="Arial"/>
          <w:sz w:val="22"/>
          <w:szCs w:val="22"/>
          <w:lang w:val="en-GB" w:eastAsia="en-US"/>
        </w:rPr>
        <w:t>Ommegang</w:t>
      </w:r>
      <w:proofErr w:type="spellEnd"/>
      <w:r w:rsidRPr="00086ECF">
        <w:rPr>
          <w:rFonts w:ascii="Calibri" w:eastAsia="Calibri" w:hAnsi="Calibri" w:cs="Arial"/>
          <w:sz w:val="22"/>
          <w:szCs w:val="22"/>
          <w:lang w:val="en-GB" w:eastAsia="en-US"/>
        </w:rPr>
        <w:t xml:space="preserve"> of Brussels, an annual historical procession and popular festival’ (Belgium) was commended for proposing ‘a new safeguarding committee … to supervise the element and control the risk of its potential commercialization’.</w:t>
      </w:r>
      <w:r w:rsidRPr="00086ECF">
        <w:rPr>
          <w:rFonts w:ascii="Calibri" w:eastAsia="Calibri" w:hAnsi="Calibri" w:cs="Arial"/>
          <w:sz w:val="22"/>
          <w:szCs w:val="22"/>
          <w:vertAlign w:val="superscript"/>
          <w:lang w:val="en-GB" w:eastAsia="en-US"/>
        </w:rPr>
        <w:footnoteReference w:id="99"/>
      </w:r>
      <w:r w:rsidRPr="00086ECF">
        <w:rPr>
          <w:rFonts w:ascii="Calibri" w:eastAsia="Calibri" w:hAnsi="Calibri" w:cs="Arial"/>
          <w:sz w:val="22"/>
          <w:szCs w:val="22"/>
          <w:lang w:val="en-GB" w:eastAsia="en-US"/>
        </w:rPr>
        <w:t xml:space="preserve"> A similar monitoring body was proposed for the element Carnival of Granville (France), inscribed in 2016.</w:t>
      </w:r>
      <w:r w:rsidRPr="00086ECF">
        <w:rPr>
          <w:rFonts w:ascii="Calibri" w:eastAsia="Calibri" w:hAnsi="Calibri" w:cs="Arial"/>
          <w:sz w:val="22"/>
          <w:szCs w:val="22"/>
          <w:vertAlign w:val="superscript"/>
          <w:lang w:val="en-GB" w:eastAsia="en-US"/>
        </w:rPr>
        <w:footnoteReference w:id="100"/>
      </w:r>
    </w:p>
    <w:p w14:paraId="129C61F7"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The Evaluation Body also discussed in 2020 the necessity of setting up a broader system for monitoring inscribed elements. </w:t>
      </w:r>
    </w:p>
    <w:p w14:paraId="14670691" w14:textId="77777777" w:rsidR="00086ECF" w:rsidRPr="00086ECF" w:rsidRDefault="00086ECF" w:rsidP="00086ECF">
      <w:pPr>
        <w:spacing w:before="200" w:after="160" w:line="256" w:lineRule="auto"/>
        <w:ind w:left="864" w:right="864"/>
        <w:jc w:val="both"/>
        <w:rPr>
          <w:rFonts w:ascii="Calibri" w:eastAsia="Calibri" w:hAnsi="Calibri" w:cs="Arial"/>
          <w:i/>
          <w:iCs/>
          <w:color w:val="404040"/>
          <w:sz w:val="22"/>
          <w:szCs w:val="22"/>
          <w:lang w:val="en-GB" w:eastAsia="en-US"/>
        </w:rPr>
      </w:pPr>
      <w:r w:rsidRPr="00086ECF">
        <w:rPr>
          <w:rFonts w:ascii="Calibri" w:eastAsia="Calibri" w:hAnsi="Calibri" w:cs="Arial"/>
          <w:i/>
          <w:iCs/>
          <w:color w:val="404040"/>
          <w:sz w:val="22"/>
          <w:szCs w:val="22"/>
          <w:lang w:val="en-GB" w:eastAsia="en-US"/>
        </w:rPr>
        <w:t>This monitoring system would identify if the proposed measures have been implemented, if the States’ commitments towards the communities and the safeguarding of the element have been respected, if the plans have worked (</w:t>
      </w:r>
      <w:proofErr w:type="gramStart"/>
      <w:r w:rsidRPr="00086ECF">
        <w:rPr>
          <w:rFonts w:ascii="Calibri" w:eastAsia="Calibri" w:hAnsi="Calibri" w:cs="Arial"/>
          <w:i/>
          <w:iCs/>
          <w:color w:val="404040"/>
          <w:sz w:val="22"/>
          <w:szCs w:val="22"/>
          <w:lang w:val="en-GB" w:eastAsia="en-US"/>
        </w:rPr>
        <w:t>in particular in</w:t>
      </w:r>
      <w:proofErr w:type="gramEnd"/>
      <w:r w:rsidRPr="00086ECF">
        <w:rPr>
          <w:rFonts w:ascii="Calibri" w:eastAsia="Calibri" w:hAnsi="Calibri" w:cs="Arial"/>
          <w:i/>
          <w:iCs/>
          <w:color w:val="404040"/>
          <w:sz w:val="22"/>
          <w:szCs w:val="22"/>
          <w:lang w:val="en-GB" w:eastAsia="en-US"/>
        </w:rPr>
        <w:t xml:space="preserve"> the case of urgent safeguarding), and if new difficulties have arisen in relation to the viability and sustainability of the element. </w:t>
      </w:r>
      <w:proofErr w:type="gramStart"/>
      <w:r w:rsidRPr="00086ECF">
        <w:rPr>
          <w:rFonts w:ascii="Calibri" w:eastAsia="Calibri" w:hAnsi="Calibri" w:cs="Arial"/>
          <w:i/>
          <w:iCs/>
          <w:color w:val="404040"/>
          <w:sz w:val="22"/>
          <w:szCs w:val="22"/>
          <w:lang w:val="en-GB" w:eastAsia="en-US"/>
        </w:rPr>
        <w:t>In light of</w:t>
      </w:r>
      <w:proofErr w:type="gramEnd"/>
      <w:r w:rsidRPr="00086ECF">
        <w:rPr>
          <w:rFonts w:ascii="Calibri" w:eastAsia="Calibri" w:hAnsi="Calibri" w:cs="Arial"/>
          <w:i/>
          <w:iCs/>
          <w:color w:val="404040"/>
          <w:sz w:val="22"/>
          <w:szCs w:val="22"/>
          <w:lang w:val="en-GB" w:eastAsia="en-US"/>
        </w:rPr>
        <w:t xml:space="preserve"> the current global pandemic and its effects on </w:t>
      </w:r>
      <w:r w:rsidRPr="00086ECF">
        <w:rPr>
          <w:rFonts w:ascii="Calibri" w:eastAsia="Calibri" w:hAnsi="Calibri" w:cs="Arial"/>
          <w:i/>
          <w:iCs/>
          <w:color w:val="404040"/>
          <w:sz w:val="22"/>
          <w:szCs w:val="22"/>
          <w:lang w:val="en-GB" w:eastAsia="en-US"/>
        </w:rPr>
        <w:lastRenderedPageBreak/>
        <w:t>intangible cultural heritage and the communities concerned, such a monitoring system seems even more urgent.</w:t>
      </w:r>
      <w:r w:rsidRPr="00086ECF">
        <w:rPr>
          <w:rFonts w:ascii="Calibri" w:eastAsia="Calibri" w:hAnsi="Calibri" w:cs="Arial"/>
          <w:i/>
          <w:iCs/>
          <w:color w:val="404040"/>
          <w:sz w:val="22"/>
          <w:szCs w:val="22"/>
          <w:vertAlign w:val="superscript"/>
          <w:lang w:val="en-GB" w:eastAsia="en-US"/>
        </w:rPr>
        <w:footnoteReference w:id="101"/>
      </w:r>
      <w:r w:rsidRPr="00086ECF">
        <w:rPr>
          <w:rFonts w:ascii="Calibri" w:eastAsia="Calibri" w:hAnsi="Calibri" w:cs="Arial"/>
          <w:i/>
          <w:iCs/>
          <w:color w:val="404040"/>
          <w:sz w:val="22"/>
          <w:szCs w:val="22"/>
          <w:lang w:val="en-GB" w:eastAsia="en-US"/>
        </w:rPr>
        <w:t xml:space="preserve"> </w:t>
      </w:r>
    </w:p>
    <w:p w14:paraId="4F73A73E"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However, no specific safeguarding approach or methodology has been proposed by the Committee or its evaluation bodies to help communities, groups and individuals concerned identify where, when and to what extent economic factors pose a threat to ICH safeguarding, or not. There is also currently no guidance on how to choose possible mitigations when such threats or risks are identified. Understanding what kind of guidance could be useful and relevant across different contexts is the task of the current research.</w:t>
      </w:r>
    </w:p>
    <w:p w14:paraId="22E3C2B4" w14:textId="77777777" w:rsidR="00086ECF" w:rsidRPr="00086ECF" w:rsidRDefault="00086ECF" w:rsidP="00086ECF">
      <w:pPr>
        <w:keepNext/>
        <w:keepLines/>
        <w:spacing w:before="40" w:line="256" w:lineRule="auto"/>
        <w:jc w:val="both"/>
        <w:outlineLvl w:val="2"/>
        <w:rPr>
          <w:rFonts w:ascii="Calibri Light" w:eastAsia="DengXian Light" w:hAnsi="Calibri Light"/>
          <w:color w:val="1F3763"/>
          <w:lang w:val="en-GB" w:eastAsia="en-US"/>
        </w:rPr>
      </w:pPr>
      <w:bookmarkStart w:id="23" w:name="_Toc127519992"/>
      <w:r w:rsidRPr="00086ECF">
        <w:rPr>
          <w:rFonts w:ascii="Calibri Light" w:eastAsia="DengXian Light" w:hAnsi="Calibri Light"/>
          <w:color w:val="1F3763"/>
          <w:lang w:val="en-GB" w:eastAsia="en-US"/>
        </w:rPr>
        <w:t xml:space="preserve">Examples of safeguarding strategies shared in Periodic Reports examined by the </w:t>
      </w:r>
      <w:proofErr w:type="gramStart"/>
      <w:r w:rsidRPr="00086ECF">
        <w:rPr>
          <w:rFonts w:ascii="Calibri Light" w:eastAsia="DengXian Light" w:hAnsi="Calibri Light"/>
          <w:color w:val="1F3763"/>
          <w:lang w:val="en-GB" w:eastAsia="en-US"/>
        </w:rPr>
        <w:t>Committee</w:t>
      </w:r>
      <w:bookmarkEnd w:id="23"/>
      <w:proofErr w:type="gramEnd"/>
    </w:p>
    <w:p w14:paraId="16B12A51"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In the report summarizing the Periodic Reports examined by the Committee in 2018, </w:t>
      </w:r>
      <w:proofErr w:type="gramStart"/>
      <w:r w:rsidRPr="00086ECF">
        <w:rPr>
          <w:rFonts w:ascii="Calibri" w:eastAsia="Calibri" w:hAnsi="Calibri" w:cs="Arial"/>
          <w:sz w:val="22"/>
          <w:szCs w:val="22"/>
          <w:lang w:val="en-GB" w:eastAsia="en-US"/>
        </w:rPr>
        <w:t>a number of</w:t>
      </w:r>
      <w:proofErr w:type="gramEnd"/>
      <w:r w:rsidRPr="00086ECF">
        <w:rPr>
          <w:rFonts w:ascii="Calibri" w:eastAsia="Calibri" w:hAnsi="Calibri" w:cs="Arial"/>
          <w:sz w:val="22"/>
          <w:szCs w:val="22"/>
          <w:lang w:val="en-GB" w:eastAsia="en-US"/>
        </w:rPr>
        <w:t xml:space="preserve"> different safeguarding approaches that were implemented as part of sustainable economic development policies and programmes were noted, including:</w:t>
      </w:r>
      <w:r w:rsidRPr="00086ECF">
        <w:rPr>
          <w:rFonts w:ascii="Calibri" w:eastAsia="Calibri" w:hAnsi="Calibri" w:cs="Arial"/>
          <w:sz w:val="22"/>
          <w:szCs w:val="22"/>
          <w:vertAlign w:val="superscript"/>
          <w:lang w:val="en-GB" w:eastAsia="en-US"/>
        </w:rPr>
        <w:footnoteReference w:id="102"/>
      </w:r>
      <w:r w:rsidRPr="00086ECF">
        <w:rPr>
          <w:rFonts w:ascii="Calibri" w:eastAsia="Calibri" w:hAnsi="Calibri" w:cs="Arial"/>
          <w:sz w:val="22"/>
          <w:szCs w:val="22"/>
          <w:lang w:val="en-GB" w:eastAsia="en-US"/>
        </w:rPr>
        <w:t xml:space="preserve"> </w:t>
      </w:r>
    </w:p>
    <w:p w14:paraId="25B11E60" w14:textId="77777777" w:rsidR="00086ECF" w:rsidRPr="00086ECF" w:rsidRDefault="00086ECF" w:rsidP="00086ECF">
      <w:pPr>
        <w:numPr>
          <w:ilvl w:val="0"/>
          <w:numId w:val="2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Promoting sustainable commercial use of traditional handicrafts and other ICH-related cultural industries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Croatia, Lithuania, Nigeria, Oman, Uganda)</w:t>
      </w:r>
    </w:p>
    <w:p w14:paraId="16E6FE27" w14:textId="77777777" w:rsidR="00086ECF" w:rsidRPr="00086ECF" w:rsidRDefault="00086ECF" w:rsidP="00086ECF">
      <w:pPr>
        <w:numPr>
          <w:ilvl w:val="0"/>
          <w:numId w:val="2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Promoting cultural tourism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India)</w:t>
      </w:r>
    </w:p>
    <w:p w14:paraId="36B0D744" w14:textId="77777777" w:rsidR="00086ECF" w:rsidRPr="00086ECF" w:rsidRDefault="00086ECF" w:rsidP="00086ECF">
      <w:pPr>
        <w:numPr>
          <w:ilvl w:val="0"/>
          <w:numId w:val="2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Supporting small- and medium-sized enterprises related to intangible cultural heritage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Latvia, Palestine, Syrian Arab Republic) </w:t>
      </w:r>
    </w:p>
    <w:p w14:paraId="393F0EEA" w14:textId="77777777" w:rsidR="00086ECF" w:rsidRPr="00086ECF" w:rsidRDefault="00086ECF" w:rsidP="00086ECF">
      <w:pPr>
        <w:numPr>
          <w:ilvl w:val="0"/>
          <w:numId w:val="2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Supporting individual ICH bearers financially and with healthcare provision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Djibouti) and studies on reduction of taxes and customs fees for raw materials used by heritage bearers and craftspeople (Syrian Arab Republic)</w:t>
      </w:r>
    </w:p>
    <w:p w14:paraId="432BFE39" w14:textId="77777777" w:rsidR="00086ECF" w:rsidRPr="00086ECF" w:rsidRDefault="00086ECF" w:rsidP="00086ECF">
      <w:pPr>
        <w:numPr>
          <w:ilvl w:val="0"/>
          <w:numId w:val="2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Assisting ICH practitioners to market and sell their products more effectively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Kazakhstan, Pakistan)</w:t>
      </w:r>
    </w:p>
    <w:p w14:paraId="09C4BB09" w14:textId="77777777" w:rsidR="00086ECF" w:rsidRPr="00086ECF" w:rsidRDefault="00086ECF" w:rsidP="00086ECF">
      <w:pPr>
        <w:numPr>
          <w:ilvl w:val="0"/>
          <w:numId w:val="24"/>
        </w:numPr>
        <w:spacing w:after="160" w:line="256" w:lineRule="auto"/>
        <w:contextualSpacing/>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Providing access to legal mechanisms supporting safeguarding, including those for the protection of intellectual property associated with ICH (</w:t>
      </w:r>
      <w:proofErr w:type="gramStart"/>
      <w:r w:rsidRPr="00086ECF">
        <w:rPr>
          <w:rFonts w:ascii="Calibri" w:eastAsia="Calibri" w:hAnsi="Calibri" w:cs="Arial"/>
          <w:sz w:val="22"/>
          <w:szCs w:val="22"/>
          <w:lang w:val="en-GB" w:eastAsia="en-US"/>
        </w:rPr>
        <w:t>e.g.</w:t>
      </w:r>
      <w:proofErr w:type="gramEnd"/>
      <w:r w:rsidRPr="00086ECF">
        <w:rPr>
          <w:rFonts w:ascii="Calibri" w:eastAsia="Calibri" w:hAnsi="Calibri" w:cs="Arial"/>
          <w:sz w:val="22"/>
          <w:szCs w:val="22"/>
          <w:lang w:val="en-GB" w:eastAsia="en-US"/>
        </w:rPr>
        <w:t xml:space="preserve"> China, Korea, India, Oman, Syrian Arab Republic, Lebanon, Malawi, Uganda).</w:t>
      </w:r>
    </w:p>
    <w:p w14:paraId="5B47F214"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 xml:space="preserve">In its executive summary of the reports, the Committee noted that China has paid significant attention to revitalization of traditional crafts in its policies for ICH. The safeguarding measures implemented through the China Traditional Crafts Revitalization Plan included ‘inventorying, talents training, industry support, market expansion, technology development, intellectual property rights protection, and the cooperation between traditional handicraftsmen and enterprises and universities have been proposed’. These measures improved the ‘transmission, </w:t>
      </w:r>
      <w:proofErr w:type="gramStart"/>
      <w:r w:rsidRPr="00086ECF">
        <w:rPr>
          <w:rFonts w:ascii="Calibri" w:eastAsia="Calibri" w:hAnsi="Calibri" w:cs="Arial"/>
          <w:sz w:val="22"/>
          <w:szCs w:val="22"/>
          <w:lang w:val="en-GB" w:eastAsia="en-US"/>
        </w:rPr>
        <w:t>development</w:t>
      </w:r>
      <w:proofErr w:type="gramEnd"/>
      <w:r w:rsidRPr="00086ECF">
        <w:rPr>
          <w:rFonts w:ascii="Calibri" w:eastAsia="Calibri" w:hAnsi="Calibri" w:cs="Arial"/>
          <w:sz w:val="22"/>
          <w:szCs w:val="22"/>
          <w:lang w:val="en-GB" w:eastAsia="en-US"/>
        </w:rPr>
        <w:t xml:space="preserve"> and recreation of traditional crafts’ and ‘greatly enhanced’ the cultural welfare of the community and the public.</w:t>
      </w:r>
      <w:r w:rsidRPr="00086ECF">
        <w:rPr>
          <w:rFonts w:ascii="Calibri" w:eastAsia="Calibri" w:hAnsi="Calibri" w:cs="Arial"/>
          <w:sz w:val="22"/>
          <w:szCs w:val="22"/>
          <w:vertAlign w:val="superscript"/>
          <w:lang w:val="en-GB" w:eastAsia="en-US"/>
        </w:rPr>
        <w:footnoteReference w:id="103"/>
      </w:r>
    </w:p>
    <w:p w14:paraId="721ED0BD"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The first analytical report of the 42 countries in Group I and II (Europe), examined at 17.COM in 2022, found that around four fifths of the countries reported (in question B13.4) that policies for inclusive economic development took intangible cultural heritage into consideration, usually in the context of cultural tourism, festivals, traditional foodways and craft.</w:t>
      </w:r>
      <w:r w:rsidRPr="00086ECF">
        <w:rPr>
          <w:rFonts w:ascii="Calibri" w:eastAsia="Calibri" w:hAnsi="Calibri" w:cs="Arial"/>
          <w:sz w:val="22"/>
          <w:szCs w:val="22"/>
          <w:vertAlign w:val="superscript"/>
          <w:lang w:val="en-GB" w:eastAsia="en-US"/>
        </w:rPr>
        <w:footnoteReference w:id="104"/>
      </w:r>
      <w:r w:rsidRPr="00086ECF">
        <w:rPr>
          <w:rFonts w:ascii="Calibri" w:eastAsia="Calibri" w:hAnsi="Calibri" w:cs="Arial"/>
          <w:sz w:val="22"/>
          <w:szCs w:val="22"/>
          <w:lang w:val="en-GB" w:eastAsia="en-US"/>
        </w:rPr>
        <w:t xml:space="preserve"> In Slovenia, for example, intangible cultural heritage was included in the Strategy for Sustainable Growth of Slovenian Tourism 2017-2021. The final analytical report of the 28 countries in Group III (Latin America and the Caribbean, LAC), also examined at 17.COM in 2022, found about three quarters of the countries reported that policies promoting inclusive economic development considered intangible cultural heritage and its safeguarding (B13.4).</w:t>
      </w:r>
      <w:r w:rsidRPr="00086ECF">
        <w:rPr>
          <w:rFonts w:ascii="Calibri" w:eastAsia="Calibri" w:hAnsi="Calibri" w:cs="Arial"/>
          <w:sz w:val="22"/>
          <w:szCs w:val="22"/>
          <w:vertAlign w:val="superscript"/>
          <w:lang w:val="en-GB" w:eastAsia="en-US"/>
        </w:rPr>
        <w:footnoteReference w:id="105"/>
      </w:r>
      <w:r w:rsidRPr="00086ECF">
        <w:rPr>
          <w:rFonts w:ascii="Calibri" w:eastAsia="Calibri" w:hAnsi="Calibri" w:cs="Arial"/>
          <w:sz w:val="22"/>
          <w:szCs w:val="22"/>
          <w:lang w:val="en-GB" w:eastAsia="en-US"/>
        </w:rPr>
        <w:t xml:space="preserve"> Costa Rica has a National Strategy called ‘Creative and Cultural Costa Rica 2030’, for example, a public policy instrument that recognizes and promotes creative and cultural enterprises, as the engine of the economic, social and cultural development of the country. The </w:t>
      </w:r>
      <w:r w:rsidRPr="00086ECF">
        <w:rPr>
          <w:rFonts w:ascii="Calibri" w:eastAsia="Calibri" w:hAnsi="Calibri" w:cs="Arial"/>
          <w:sz w:val="22"/>
          <w:szCs w:val="22"/>
          <w:lang w:val="en-GB" w:eastAsia="en-US"/>
        </w:rPr>
        <w:lastRenderedPageBreak/>
        <w:t xml:space="preserve">Dominican Republic’s National Strategy for tourism includes intangible cultural heritage safeguarding as a top priority. </w:t>
      </w:r>
    </w:p>
    <w:p w14:paraId="233ADCF2"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Development programmes in many reporting countries have become more attentive to the role of intangible cultural heritage in society, encouraged by policy making in sustainable development, as noted in the report on the Europe cycle.</w:t>
      </w:r>
      <w:r w:rsidRPr="00086ECF">
        <w:rPr>
          <w:rFonts w:ascii="Calibri" w:eastAsia="Calibri" w:hAnsi="Calibri" w:cs="Arial"/>
          <w:sz w:val="22"/>
          <w:szCs w:val="22"/>
          <w:vertAlign w:val="superscript"/>
          <w:lang w:val="en-GB" w:eastAsia="en-US"/>
        </w:rPr>
        <w:footnoteReference w:id="106"/>
      </w:r>
      <w:r w:rsidRPr="00086ECF">
        <w:rPr>
          <w:rFonts w:ascii="Calibri" w:eastAsia="Calibri" w:hAnsi="Calibri" w:cs="Arial"/>
          <w:sz w:val="22"/>
          <w:szCs w:val="22"/>
          <w:lang w:val="en-GB" w:eastAsia="en-US"/>
        </w:rPr>
        <w:t xml:space="preserve"> Ecuador’s Organic Law of Popular and Solidarity Economy, for example, provides the policy framework for supporting sustainable and inclusive development by enabling cooperative work, training and direct marketing schemes in the areas of craft and food heritage. The Paraguayan Institute of Handicrafts (PIH) has established Safeguarding Schools for endangered skills and techniques valued as intangible cultural heritage and passed down within local communities. The schools provide training and support for design, </w:t>
      </w:r>
      <w:proofErr w:type="gramStart"/>
      <w:r w:rsidRPr="00086ECF">
        <w:rPr>
          <w:rFonts w:ascii="Calibri" w:eastAsia="Calibri" w:hAnsi="Calibri" w:cs="Arial"/>
          <w:sz w:val="22"/>
          <w:szCs w:val="22"/>
          <w:lang w:val="en-GB" w:eastAsia="en-US"/>
        </w:rPr>
        <w:t>production</w:t>
      </w:r>
      <w:proofErr w:type="gramEnd"/>
      <w:r w:rsidRPr="00086ECF">
        <w:rPr>
          <w:rFonts w:ascii="Calibri" w:eastAsia="Calibri" w:hAnsi="Calibri" w:cs="Arial"/>
          <w:sz w:val="22"/>
          <w:szCs w:val="22"/>
          <w:lang w:val="en-GB" w:eastAsia="en-US"/>
        </w:rPr>
        <w:t xml:space="preserve"> and innovation, fostering practice and transmission as well as productive employment and decent work, particularly supporting women. Community members have also been given spaces to exhibit and sell craft works within the National Directorate of Intellectual Property. In Malta, small family-run businesses making traditional foods and crafts benefit from access to government subsidized premises such as the “Ta’ </w:t>
      </w:r>
      <w:proofErr w:type="spellStart"/>
      <w:r w:rsidRPr="00086ECF">
        <w:rPr>
          <w:rFonts w:ascii="Calibri" w:eastAsia="Calibri" w:hAnsi="Calibri" w:cs="Arial"/>
          <w:sz w:val="22"/>
          <w:szCs w:val="22"/>
          <w:lang w:val="en-GB" w:eastAsia="en-US"/>
        </w:rPr>
        <w:t>Qali</w:t>
      </w:r>
      <w:proofErr w:type="spellEnd"/>
      <w:r w:rsidRPr="00086ECF">
        <w:rPr>
          <w:rFonts w:ascii="Calibri" w:eastAsia="Calibri" w:hAnsi="Calibri" w:cs="Arial"/>
          <w:sz w:val="22"/>
          <w:szCs w:val="22"/>
          <w:lang w:val="en-GB" w:eastAsia="en-US"/>
        </w:rPr>
        <w:t xml:space="preserve"> Craft Village and Interpretation Centre”. Such initiatives can guide communities into more sustainable modes of production. In Colombia, for example, the organization ‘Handicrafts of Colombia’ (</w:t>
      </w:r>
      <w:proofErr w:type="spellStart"/>
      <w:r w:rsidRPr="00086ECF">
        <w:rPr>
          <w:rFonts w:ascii="Calibri" w:eastAsia="Calibri" w:hAnsi="Calibri" w:cs="Arial"/>
          <w:sz w:val="22"/>
          <w:szCs w:val="22"/>
          <w:lang w:val="en-GB" w:eastAsia="en-US"/>
        </w:rPr>
        <w:t>Artesanías</w:t>
      </w:r>
      <w:proofErr w:type="spellEnd"/>
      <w:r w:rsidRPr="00086ECF">
        <w:rPr>
          <w:rFonts w:ascii="Calibri" w:eastAsia="Calibri" w:hAnsi="Calibri" w:cs="Arial"/>
          <w:sz w:val="22"/>
          <w:szCs w:val="22"/>
          <w:lang w:val="en-GB" w:eastAsia="en-US"/>
        </w:rPr>
        <w:t xml:space="preserve"> de Colombia) works with traditional artisans to ensure that use of wild natural resources is guided towards legal and sustainable environmental management.</w:t>
      </w:r>
    </w:p>
    <w:p w14:paraId="243AF42D"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Legal frameworks and marketing were used to support safeguarding. Czechia’s Copyright Act, for example, permits free use of products of traditional folk culture, but has now included the provision that ‘such works may only be used in a way that shall not detract from their value’.</w:t>
      </w:r>
      <w:r w:rsidRPr="00086ECF">
        <w:rPr>
          <w:rFonts w:ascii="Calibri" w:eastAsia="Calibri" w:hAnsi="Calibri" w:cs="Arial"/>
          <w:sz w:val="22"/>
          <w:szCs w:val="22"/>
          <w:vertAlign w:val="superscript"/>
          <w:lang w:val="en-GB" w:eastAsia="en-US"/>
        </w:rPr>
        <w:footnoteReference w:id="107"/>
      </w:r>
      <w:r w:rsidRPr="00086ECF">
        <w:rPr>
          <w:rFonts w:ascii="Arial" w:eastAsia="Calibri" w:hAnsi="Arial" w:cs="Arial"/>
          <w:sz w:val="22"/>
          <w:szCs w:val="22"/>
          <w:lang w:val="en-GB" w:eastAsia="en-US"/>
        </w:rPr>
        <w:t xml:space="preserve"> </w:t>
      </w:r>
      <w:r w:rsidRPr="00086ECF">
        <w:rPr>
          <w:rFonts w:ascii="Calibri" w:eastAsia="Calibri" w:hAnsi="Calibri" w:cs="Arial"/>
          <w:sz w:val="22"/>
          <w:szCs w:val="22"/>
          <w:lang w:val="en-GB" w:eastAsia="en-US"/>
        </w:rPr>
        <w:t xml:space="preserve">Capacity building is often needed to help communities access legal protections available to them. In Spain, the </w:t>
      </w:r>
      <w:proofErr w:type="spellStart"/>
      <w:r w:rsidRPr="00086ECF">
        <w:rPr>
          <w:rFonts w:ascii="Calibri" w:eastAsia="Calibri" w:hAnsi="Calibri" w:cs="Arial"/>
          <w:sz w:val="22"/>
          <w:szCs w:val="22"/>
          <w:lang w:val="en-GB" w:eastAsia="en-US"/>
        </w:rPr>
        <w:t>Intangia</w:t>
      </w:r>
      <w:proofErr w:type="spellEnd"/>
      <w:r w:rsidRPr="00086ECF">
        <w:rPr>
          <w:rFonts w:ascii="Calibri" w:eastAsia="Calibri" w:hAnsi="Calibri" w:cs="Arial"/>
          <w:sz w:val="22"/>
          <w:szCs w:val="22"/>
          <w:lang w:val="en-GB" w:eastAsia="en-US"/>
        </w:rPr>
        <w:t xml:space="preserve"> Association worked with experts and community members to develop good practices on managing intellectual property linked to intangible cultural heritage.</w:t>
      </w:r>
      <w:r w:rsidRPr="00086ECF">
        <w:rPr>
          <w:rFonts w:ascii="Calibri" w:eastAsia="Calibri" w:hAnsi="Calibri" w:cs="Arial"/>
          <w:sz w:val="22"/>
          <w:szCs w:val="22"/>
          <w:vertAlign w:val="superscript"/>
          <w:lang w:val="en-GB" w:eastAsia="en-US"/>
        </w:rPr>
        <w:footnoteReference w:id="108"/>
      </w:r>
      <w:r w:rsidRPr="00086ECF">
        <w:rPr>
          <w:rFonts w:ascii="Calibri" w:eastAsia="Calibri" w:hAnsi="Calibri" w:cs="Arial"/>
          <w:sz w:val="22"/>
          <w:szCs w:val="22"/>
          <w:lang w:val="en-GB" w:eastAsia="en-US"/>
        </w:rPr>
        <w:t xml:space="preserve"> </w:t>
      </w:r>
      <w:proofErr w:type="gramStart"/>
      <w:r w:rsidRPr="00086ECF">
        <w:rPr>
          <w:rFonts w:ascii="Calibri" w:eastAsia="Calibri" w:hAnsi="Calibri" w:cs="Arial"/>
          <w:sz w:val="22"/>
          <w:szCs w:val="22"/>
          <w:lang w:val="en-GB" w:eastAsia="en-US"/>
        </w:rPr>
        <w:t>A number of</w:t>
      </w:r>
      <w:proofErr w:type="gramEnd"/>
      <w:r w:rsidRPr="00086ECF">
        <w:rPr>
          <w:rFonts w:ascii="Calibri" w:eastAsia="Calibri" w:hAnsi="Calibri" w:cs="Arial"/>
          <w:sz w:val="22"/>
          <w:szCs w:val="22"/>
          <w:lang w:val="en-GB" w:eastAsia="en-US"/>
        </w:rPr>
        <w:t xml:space="preserve"> countries provided communities with access to branding or labelling mechanisms for ICH-related products, including Mexico and Brazil, where an artisanal food safety law of 2018 created a state stamp (logo) to assist in the marketing of artisanal products of animal origin throughout the country.</w:t>
      </w:r>
    </w:p>
    <w:p w14:paraId="04B62809" w14:textId="77777777" w:rsidR="00086ECF" w:rsidRPr="00086ECF" w:rsidRDefault="00086ECF" w:rsidP="00086ECF">
      <w:pPr>
        <w:spacing w:after="160" w:line="256" w:lineRule="auto"/>
        <w:jc w:val="both"/>
        <w:rPr>
          <w:rFonts w:ascii="Calibri" w:eastAsia="Calibri" w:hAnsi="Calibri" w:cs="Arial"/>
          <w:sz w:val="22"/>
          <w:szCs w:val="22"/>
          <w:lang w:val="en-GB" w:eastAsia="en-US"/>
        </w:rPr>
      </w:pPr>
      <w:r w:rsidRPr="00086ECF">
        <w:rPr>
          <w:rFonts w:ascii="Calibri" w:eastAsia="Calibri" w:hAnsi="Calibri" w:cs="Arial"/>
          <w:sz w:val="22"/>
          <w:szCs w:val="22"/>
          <w:lang w:val="en-GB" w:eastAsia="en-US"/>
        </w:rPr>
        <w:t>Only about a fifth of the countries in the Europe cycle</w:t>
      </w:r>
      <w:r w:rsidRPr="00086ECF">
        <w:rPr>
          <w:rFonts w:ascii="Calibri" w:eastAsia="Calibri" w:hAnsi="Calibri" w:cs="Arial"/>
          <w:sz w:val="22"/>
          <w:szCs w:val="22"/>
          <w:vertAlign w:val="superscript"/>
          <w:lang w:val="en-GB" w:eastAsia="en-US"/>
        </w:rPr>
        <w:footnoteReference w:id="109"/>
      </w:r>
      <w:r w:rsidRPr="00086ECF">
        <w:rPr>
          <w:rFonts w:ascii="Calibri" w:eastAsia="Calibri" w:hAnsi="Calibri" w:cs="Arial"/>
          <w:sz w:val="22"/>
          <w:szCs w:val="22"/>
          <w:lang w:val="en-GB" w:eastAsia="en-US"/>
        </w:rPr>
        <w:t xml:space="preserve"> and a third in the LAC cycle reported high levels of private sector participation in safeguarding activities in line with the Ethical Principles (under question B21.3). In Bolivia, for example, the Huari Brewery is a private sector company that has developed a close relationship with the local community, purchasing their woven products and supporting training workshops for the transmission of their weaving skills. The analytical report for LAC noted that increased private sector engagement in safeguarding could be further encouraged through various mechanisms including taxation and tax incentives, and that support for community mediation and implementation of ethical codes can help to ensure that private sector actors operate within the framework of the Ethical Principles.</w:t>
      </w:r>
      <w:r w:rsidRPr="00086ECF">
        <w:rPr>
          <w:rFonts w:ascii="Calibri" w:eastAsia="Calibri" w:hAnsi="Calibri" w:cs="Arial"/>
          <w:sz w:val="22"/>
          <w:szCs w:val="22"/>
          <w:vertAlign w:val="superscript"/>
          <w:lang w:val="en-GB" w:eastAsia="en-US"/>
        </w:rPr>
        <w:footnoteReference w:id="110"/>
      </w:r>
      <w:r w:rsidRPr="00086ECF">
        <w:rPr>
          <w:rFonts w:ascii="Calibri" w:eastAsia="Calibri" w:hAnsi="Calibri" w:cs="Arial"/>
          <w:sz w:val="22"/>
          <w:szCs w:val="22"/>
          <w:lang w:val="en-GB" w:eastAsia="en-US"/>
        </w:rPr>
        <w:t xml:space="preserve"> This is important because, as the reports noted, there were negative effects of some private sector engagement with ICH. For example, Haiti noted that rum producers Rhum </w:t>
      </w:r>
      <w:proofErr w:type="spellStart"/>
      <w:r w:rsidRPr="00086ECF">
        <w:rPr>
          <w:rFonts w:ascii="Calibri" w:eastAsia="Calibri" w:hAnsi="Calibri" w:cs="Arial"/>
          <w:sz w:val="22"/>
          <w:szCs w:val="22"/>
          <w:lang w:val="en-GB" w:eastAsia="en-US"/>
        </w:rPr>
        <w:t>Barbancourt</w:t>
      </w:r>
      <w:proofErr w:type="spellEnd"/>
      <w:r w:rsidRPr="00086ECF">
        <w:rPr>
          <w:rFonts w:ascii="Calibri" w:eastAsia="Calibri" w:hAnsi="Calibri" w:cs="Arial"/>
          <w:sz w:val="22"/>
          <w:szCs w:val="22"/>
          <w:lang w:val="en-GB" w:eastAsia="en-US"/>
        </w:rPr>
        <w:t xml:space="preserve"> and Bakara have engaged in competitive advertising to each represent their products as Haitian intangible cultural heritage.</w:t>
      </w:r>
      <w:r w:rsidRPr="00086ECF">
        <w:rPr>
          <w:sz w:val="22"/>
          <w:lang w:val="en-GB" w:eastAsia="en-GB"/>
        </w:rPr>
        <w:t xml:space="preserve"> </w:t>
      </w:r>
      <w:r w:rsidRPr="00086ECF">
        <w:rPr>
          <w:rFonts w:ascii="Calibri" w:eastAsia="Calibri" w:hAnsi="Calibri" w:cs="Arial"/>
          <w:sz w:val="22"/>
          <w:szCs w:val="22"/>
          <w:lang w:val="en-GB" w:eastAsia="en-US"/>
        </w:rPr>
        <w:t>In Mexico in 2016, an alcohol manufacturer used an image relating to the element ‘</w:t>
      </w:r>
      <w:hyperlink r:id="rId9" w:history="1">
        <w:r w:rsidRPr="00086ECF">
          <w:rPr>
            <w:rFonts w:ascii="Calibri" w:eastAsia="Calibri" w:hAnsi="Calibri" w:cs="Arial"/>
            <w:color w:val="0563C1"/>
            <w:sz w:val="22"/>
            <w:szCs w:val="22"/>
            <w:u w:val="single"/>
            <w:lang w:val="en-GB" w:eastAsia="en-US"/>
          </w:rPr>
          <w:t xml:space="preserve">Ritual ceremony of the </w:t>
        </w:r>
        <w:proofErr w:type="spellStart"/>
        <w:r w:rsidRPr="00086ECF">
          <w:rPr>
            <w:rFonts w:ascii="Calibri" w:eastAsia="Calibri" w:hAnsi="Calibri" w:cs="Arial"/>
            <w:color w:val="0563C1"/>
            <w:sz w:val="22"/>
            <w:szCs w:val="22"/>
            <w:u w:val="single"/>
            <w:lang w:val="en-GB" w:eastAsia="en-US"/>
          </w:rPr>
          <w:t>Voladores</w:t>
        </w:r>
        <w:proofErr w:type="spellEnd"/>
      </w:hyperlink>
      <w:r w:rsidRPr="00086ECF">
        <w:rPr>
          <w:rFonts w:ascii="Calibri" w:eastAsia="Calibri" w:hAnsi="Calibri" w:cs="Arial"/>
          <w:sz w:val="22"/>
          <w:szCs w:val="22"/>
          <w:lang w:val="en-GB" w:eastAsia="en-US"/>
        </w:rPr>
        <w:t xml:space="preserve">’ to market their Indio beer, without consent from the community. Community members found this to be a ‘commercial and unspiritual’ misrepresentation of their </w:t>
      </w:r>
      <w:proofErr w:type="gramStart"/>
      <w:r w:rsidRPr="00086ECF">
        <w:rPr>
          <w:rFonts w:ascii="Calibri" w:eastAsia="Calibri" w:hAnsi="Calibri" w:cs="Arial"/>
          <w:sz w:val="22"/>
          <w:szCs w:val="22"/>
          <w:lang w:val="en-GB" w:eastAsia="en-US"/>
        </w:rPr>
        <w:t>worldview, and</w:t>
      </w:r>
      <w:proofErr w:type="gramEnd"/>
      <w:r w:rsidRPr="00086ECF">
        <w:rPr>
          <w:rFonts w:ascii="Calibri" w:eastAsia="Calibri" w:hAnsi="Calibri" w:cs="Arial"/>
          <w:sz w:val="22"/>
          <w:szCs w:val="22"/>
          <w:lang w:val="en-GB" w:eastAsia="en-US"/>
        </w:rPr>
        <w:t xml:space="preserve"> asked for State support in addressing the problem.</w:t>
      </w:r>
      <w:r w:rsidRPr="00086ECF">
        <w:rPr>
          <w:rFonts w:ascii="Calibri" w:eastAsia="Calibri" w:hAnsi="Calibri" w:cs="Arial"/>
          <w:sz w:val="22"/>
          <w:szCs w:val="22"/>
          <w:vertAlign w:val="superscript"/>
          <w:lang w:val="en-GB" w:eastAsia="en-US"/>
        </w:rPr>
        <w:footnoteReference w:id="111"/>
      </w:r>
    </w:p>
    <w:p w14:paraId="63A90D9F" w14:textId="5CB2514F" w:rsidR="00E019FC" w:rsidRPr="00945A1A" w:rsidRDefault="00086ECF" w:rsidP="00086ECF">
      <w:pPr>
        <w:spacing w:after="160" w:line="256" w:lineRule="auto"/>
        <w:jc w:val="both"/>
        <w:rPr>
          <w:lang w:val="en-US"/>
        </w:rPr>
      </w:pPr>
      <w:r w:rsidRPr="00086ECF">
        <w:rPr>
          <w:rFonts w:ascii="Calibri" w:eastAsia="Calibri" w:hAnsi="Calibri" w:cs="Arial"/>
          <w:sz w:val="22"/>
          <w:szCs w:val="22"/>
          <w:lang w:val="en-GB" w:eastAsia="en-US"/>
        </w:rPr>
        <w:lastRenderedPageBreak/>
        <w:t xml:space="preserve">Private-sector initiatives included provision of funding, access to materials or spaces, promotion of tourism, festivals or artisanal events, technical </w:t>
      </w:r>
      <w:proofErr w:type="gramStart"/>
      <w:r w:rsidRPr="00086ECF">
        <w:rPr>
          <w:rFonts w:ascii="Calibri" w:eastAsia="Calibri" w:hAnsi="Calibri" w:cs="Arial"/>
          <w:sz w:val="22"/>
          <w:szCs w:val="22"/>
          <w:lang w:val="en-GB" w:eastAsia="en-US"/>
        </w:rPr>
        <w:t>assistance</w:t>
      </w:r>
      <w:proofErr w:type="gramEnd"/>
      <w:r w:rsidRPr="00086ECF">
        <w:rPr>
          <w:rFonts w:ascii="Calibri" w:eastAsia="Calibri" w:hAnsi="Calibri" w:cs="Arial"/>
          <w:sz w:val="22"/>
          <w:szCs w:val="22"/>
          <w:lang w:val="en-GB" w:eastAsia="en-US"/>
        </w:rPr>
        <w:t xml:space="preserve"> and direct participation in safeguarding activities. In the Faroe Islands (Denmark), events such as “Seamen’s Day” and the Knitting Festival were supported financially by private companies. Navia, a </w:t>
      </w:r>
      <w:proofErr w:type="gramStart"/>
      <w:r w:rsidRPr="00086ECF">
        <w:rPr>
          <w:rFonts w:ascii="Calibri" w:eastAsia="Calibri" w:hAnsi="Calibri" w:cs="Arial"/>
          <w:sz w:val="22"/>
          <w:szCs w:val="22"/>
          <w:lang w:val="en-GB" w:eastAsia="en-US"/>
        </w:rPr>
        <w:t>wool</w:t>
      </w:r>
      <w:proofErr w:type="gramEnd"/>
      <w:r w:rsidRPr="00086ECF">
        <w:rPr>
          <w:rFonts w:ascii="Calibri" w:eastAsia="Calibri" w:hAnsi="Calibri" w:cs="Arial"/>
          <w:sz w:val="22"/>
          <w:szCs w:val="22"/>
          <w:lang w:val="en-GB" w:eastAsia="en-US"/>
        </w:rPr>
        <w:t xml:space="preserve"> and knitwear company in the islands, utilized wool from local farmers for their products and published a booklet with patterns for knitwear designs created by locals. The Georgian Wheat Producers Association researched intangible cultural heritage associated with growing local wheat varieties and led the elaboration of the plan for the protection of Georgian wheat culture. Some of the examples related to long-standing collaborations between practitioners and private-sector actors. In Portugal, for example, privately-owned restaurants provide venues and income opportunities, thus ensuring the viability of </w:t>
      </w:r>
      <w:hyperlink r:id="rId10" w:history="1">
        <w:r w:rsidRPr="00086ECF">
          <w:rPr>
            <w:rFonts w:ascii="Calibri" w:eastAsia="Calibri" w:hAnsi="Calibri" w:cs="Arial"/>
            <w:color w:val="0563C1"/>
            <w:sz w:val="22"/>
            <w:szCs w:val="22"/>
            <w:u w:val="single"/>
            <w:lang w:val="en-GB" w:eastAsia="en-US"/>
          </w:rPr>
          <w:t>Fado</w:t>
        </w:r>
      </w:hyperlink>
      <w:r w:rsidRPr="00086ECF">
        <w:rPr>
          <w:rFonts w:ascii="Calibri" w:eastAsia="Calibri" w:hAnsi="Calibri" w:cs="Arial"/>
          <w:sz w:val="22"/>
          <w:szCs w:val="22"/>
          <w:lang w:val="en-GB" w:eastAsia="en-US"/>
        </w:rPr>
        <w:t xml:space="preserve"> performances, while also sustaining their businesses.</w:t>
      </w:r>
      <w:r w:rsidRPr="00086ECF">
        <w:rPr>
          <w:rFonts w:ascii="Calibri" w:eastAsia="Calibri" w:hAnsi="Calibri" w:cs="Arial"/>
          <w:sz w:val="22"/>
          <w:szCs w:val="22"/>
          <w:vertAlign w:val="superscript"/>
          <w:lang w:val="en-GB" w:eastAsia="en-US"/>
        </w:rPr>
        <w:footnoteReference w:id="112"/>
      </w:r>
      <w:r w:rsidRPr="00086ECF">
        <w:rPr>
          <w:rFonts w:ascii="Calibri" w:eastAsia="Calibri" w:hAnsi="Calibri" w:cs="Arial"/>
          <w:sz w:val="22"/>
          <w:szCs w:val="22"/>
          <w:lang w:val="en-GB" w:eastAsia="en-US"/>
        </w:rPr>
        <w:t xml:space="preserve"> The reports also gave examples of community members developing their own private sector initiatives aside from usual practice and transmission of the element. For more than 300 years the </w:t>
      </w:r>
      <w:proofErr w:type="spellStart"/>
      <w:r w:rsidRPr="00086ECF">
        <w:rPr>
          <w:rFonts w:ascii="Calibri" w:eastAsia="Calibri" w:hAnsi="Calibri" w:cs="Arial"/>
          <w:sz w:val="22"/>
          <w:szCs w:val="22"/>
          <w:lang w:val="en-GB" w:eastAsia="en-US"/>
        </w:rPr>
        <w:t>Morgado</w:t>
      </w:r>
      <w:proofErr w:type="spellEnd"/>
      <w:r w:rsidRPr="00086ECF">
        <w:rPr>
          <w:rFonts w:ascii="Calibri" w:eastAsia="Calibri" w:hAnsi="Calibri" w:cs="Arial"/>
          <w:sz w:val="22"/>
          <w:szCs w:val="22"/>
          <w:lang w:val="en-GB" w:eastAsia="en-US"/>
        </w:rPr>
        <w:t xml:space="preserve"> family in Venezuela has been making masks by hand for the ‘</w:t>
      </w:r>
      <w:proofErr w:type="spellStart"/>
      <w:r w:rsidRPr="00086ECF">
        <w:rPr>
          <w:rFonts w:ascii="Calibri" w:eastAsia="Calibri" w:hAnsi="Calibri" w:cs="Arial"/>
          <w:sz w:val="22"/>
          <w:szCs w:val="22"/>
          <w:lang w:val="en-GB" w:eastAsia="en-US"/>
        </w:rPr>
        <w:t>Yare’s</w:t>
      </w:r>
      <w:proofErr w:type="spellEnd"/>
      <w:r w:rsidRPr="00086ECF">
        <w:rPr>
          <w:rFonts w:ascii="Calibri" w:eastAsia="Calibri" w:hAnsi="Calibri" w:cs="Arial"/>
          <w:sz w:val="22"/>
          <w:szCs w:val="22"/>
          <w:lang w:val="en-GB" w:eastAsia="en-US"/>
        </w:rPr>
        <w:t xml:space="preserve"> dancing devils’, used during the celebration of Corpus Christi. Today, in a town called San Francisco del Yare, in the state of Miranda, the family continues the tradition, not only making masks for </w:t>
      </w:r>
      <w:proofErr w:type="spellStart"/>
      <w:r w:rsidRPr="00086ECF">
        <w:rPr>
          <w:rFonts w:ascii="Calibri" w:eastAsia="Calibri" w:hAnsi="Calibri" w:cs="Arial"/>
          <w:sz w:val="22"/>
          <w:szCs w:val="22"/>
          <w:lang w:val="en-GB" w:eastAsia="en-US"/>
        </w:rPr>
        <w:t>promeseros</w:t>
      </w:r>
      <w:proofErr w:type="spellEnd"/>
      <w:r w:rsidRPr="00086ECF">
        <w:rPr>
          <w:rFonts w:ascii="Calibri" w:eastAsia="Calibri" w:hAnsi="Calibri" w:cs="Arial"/>
          <w:sz w:val="22"/>
          <w:szCs w:val="22"/>
          <w:lang w:val="en-GB" w:eastAsia="en-US"/>
        </w:rPr>
        <w:t xml:space="preserve"> (devotees making a Blessed Sacrament during the celebration) in their creative workshop, but also other masks and objects related to the intangible cultural heritage sold to tourists and others.</w:t>
      </w:r>
      <w:r w:rsidRPr="00086ECF">
        <w:rPr>
          <w:rFonts w:ascii="Calibri" w:eastAsia="Calibri" w:hAnsi="Calibri" w:cs="Arial"/>
          <w:sz w:val="22"/>
          <w:szCs w:val="22"/>
          <w:vertAlign w:val="superscript"/>
          <w:lang w:val="en-GB" w:eastAsia="en-US"/>
        </w:rPr>
        <w:footnoteReference w:id="113"/>
      </w:r>
    </w:p>
    <w:sectPr w:rsidR="00E019FC" w:rsidRPr="00945A1A"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 w:id="1">
    <w:p w14:paraId="7597ED79" w14:textId="59736312" w:rsidR="00945A1A" w:rsidRPr="00C875BE" w:rsidRDefault="00945A1A" w:rsidP="00095F74">
      <w:pPr>
        <w:pStyle w:val="FootnoteText"/>
        <w:jc w:val="left"/>
        <w:rPr>
          <w:rFonts w:asciiTheme="minorHAnsi" w:hAnsiTheme="minorHAnsi" w:cstheme="minorHAnsi"/>
          <w:sz w:val="18"/>
          <w:szCs w:val="18"/>
          <w:lang w:val="en-U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r w:rsidR="00AB13F3" w:rsidRPr="00C875BE">
        <w:rPr>
          <w:rFonts w:asciiTheme="minorHAnsi" w:hAnsiTheme="minorHAnsi" w:cstheme="minorHAnsi"/>
          <w:sz w:val="18"/>
          <w:szCs w:val="18"/>
        </w:rPr>
        <w:t>This document was prepared by the consultant Harriet Deacon, in collaboration with the UNESCO Living Heritage Entity and with inputs from the Peer Review Panel on economic aspects of intangible cultural heritage safeguarding. It is presented as a preliminary draft for the purpose of discussion and review. The content does not necessarily reflect the institutional views of UNESCO</w:t>
      </w:r>
      <w:r w:rsidR="003E5F48">
        <w:rPr>
          <w:rFonts w:asciiTheme="minorHAnsi" w:hAnsiTheme="minorHAnsi" w:cstheme="minorHAnsi"/>
          <w:sz w:val="18"/>
          <w:szCs w:val="18"/>
        </w:rPr>
        <w:t xml:space="preserve"> and is subject to revisions based on peer feedback</w:t>
      </w:r>
      <w:r w:rsidRPr="00C875BE">
        <w:rPr>
          <w:rFonts w:asciiTheme="minorHAnsi" w:hAnsiTheme="minorHAnsi" w:cstheme="minorHAnsi"/>
          <w:sz w:val="18"/>
          <w:szCs w:val="18"/>
        </w:rPr>
        <w:t>.</w:t>
      </w:r>
    </w:p>
  </w:footnote>
  <w:footnote w:id="2">
    <w:p w14:paraId="7250739F"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Specifically, the text of the Convention, its Operational Directives, and the Ethical Principles.</w:t>
      </w:r>
    </w:p>
  </w:footnote>
  <w:footnote w:id="3">
    <w:p w14:paraId="13709F9D"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1" w:history="1">
        <w:r w:rsidRPr="00C875BE">
          <w:rPr>
            <w:rStyle w:val="Hyperlink1"/>
            <w:rFonts w:asciiTheme="minorHAnsi" w:hAnsiTheme="minorHAnsi" w:cstheme="minorHAnsi"/>
            <w:b/>
            <w:bCs/>
            <w:sz w:val="18"/>
            <w:szCs w:val="18"/>
            <w:lang w:val="en-US"/>
          </w:rPr>
          <w:t>Decision 14.COM 10</w:t>
        </w:r>
      </w:hyperlink>
      <w:r w:rsidRPr="00C875BE">
        <w:rPr>
          <w:rFonts w:asciiTheme="minorHAnsi" w:hAnsiTheme="minorHAnsi" w:cstheme="minorHAnsi"/>
          <w:sz w:val="18"/>
          <w:szCs w:val="18"/>
        </w:rPr>
        <w:t xml:space="preserve"> para. 14.</w:t>
      </w:r>
    </w:p>
  </w:footnote>
  <w:footnote w:id="4">
    <w:p w14:paraId="62A7FF75"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Republic of Bolivia, Ministry of Foreign Affairs and Religion 1973. Letter to the Director General of UNESCO, 24 April 1973. Ref. No. D.G.O.I.1006-79.</w:t>
      </w:r>
    </w:p>
  </w:footnote>
  <w:footnote w:id="5">
    <w:p w14:paraId="620018E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see Vanuatu sand drawings, Vanuatu;</w:t>
      </w:r>
      <w:r w:rsidRPr="00C875BE">
        <w:rPr>
          <w:rFonts w:asciiTheme="minorHAnsi" w:hAnsiTheme="minorHAnsi" w:cstheme="minorHAnsi"/>
          <w:color w:val="000000"/>
          <w:sz w:val="18"/>
          <w:szCs w:val="18"/>
          <w:shd w:val="clear" w:color="auto" w:fill="FFFFFF"/>
        </w:rPr>
        <w:t xml:space="preserve"> </w:t>
      </w:r>
      <w:r w:rsidRPr="00C875BE">
        <w:rPr>
          <w:rFonts w:asciiTheme="minorHAnsi" w:hAnsiTheme="minorHAnsi" w:cstheme="minorHAnsi"/>
          <w:sz w:val="18"/>
          <w:szCs w:val="18"/>
        </w:rPr>
        <w:t xml:space="preserve">Mevlevi </w:t>
      </w:r>
      <w:proofErr w:type="spellStart"/>
      <w:r w:rsidRPr="00C875BE">
        <w:rPr>
          <w:rFonts w:asciiTheme="minorHAnsi" w:hAnsiTheme="minorHAnsi" w:cstheme="minorHAnsi"/>
          <w:sz w:val="18"/>
          <w:szCs w:val="18"/>
        </w:rPr>
        <w:t>Sema</w:t>
      </w:r>
      <w:proofErr w:type="spellEnd"/>
      <w:r w:rsidRPr="00C875BE">
        <w:rPr>
          <w:rFonts w:asciiTheme="minorHAnsi" w:hAnsiTheme="minorHAnsi" w:cstheme="minorHAnsi"/>
          <w:sz w:val="18"/>
          <w:szCs w:val="18"/>
        </w:rPr>
        <w:t xml:space="preserve"> ceremony, Turkey;</w:t>
      </w:r>
      <w:r w:rsidRPr="00C875BE">
        <w:rPr>
          <w:rFonts w:asciiTheme="minorHAnsi" w:hAnsiTheme="minorHAnsi" w:cstheme="minorHAnsi"/>
          <w:color w:val="000000"/>
          <w:sz w:val="18"/>
          <w:szCs w:val="18"/>
          <w:shd w:val="clear" w:color="auto" w:fill="FFFFFF"/>
        </w:rPr>
        <w:t xml:space="preserve"> </w:t>
      </w:r>
      <w:r w:rsidRPr="00C875BE">
        <w:rPr>
          <w:rFonts w:asciiTheme="minorHAnsi" w:hAnsiTheme="minorHAnsi" w:cstheme="minorHAnsi"/>
          <w:sz w:val="18"/>
          <w:szCs w:val="18"/>
        </w:rPr>
        <w:t xml:space="preserve">Cultural space of </w:t>
      </w:r>
      <w:proofErr w:type="spellStart"/>
      <w:r w:rsidRPr="00C875BE">
        <w:rPr>
          <w:rFonts w:asciiTheme="minorHAnsi" w:hAnsiTheme="minorHAnsi" w:cstheme="minorHAnsi"/>
          <w:sz w:val="18"/>
          <w:szCs w:val="18"/>
        </w:rPr>
        <w:t>Jemaa</w:t>
      </w:r>
      <w:proofErr w:type="spellEnd"/>
      <w:r w:rsidRPr="00C875BE">
        <w:rPr>
          <w:rFonts w:asciiTheme="minorHAnsi" w:hAnsiTheme="minorHAnsi" w:cstheme="minorHAnsi"/>
          <w:sz w:val="18"/>
          <w:szCs w:val="18"/>
        </w:rPr>
        <w:t xml:space="preserve"> </w:t>
      </w:r>
      <w:proofErr w:type="spellStart"/>
      <w:r w:rsidRPr="00C875BE">
        <w:rPr>
          <w:rFonts w:asciiTheme="minorHAnsi" w:hAnsiTheme="minorHAnsi" w:cstheme="minorHAnsi"/>
          <w:sz w:val="18"/>
          <w:szCs w:val="18"/>
        </w:rPr>
        <w:t>el-Fna</w:t>
      </w:r>
      <w:proofErr w:type="spellEnd"/>
      <w:r w:rsidRPr="00C875BE">
        <w:rPr>
          <w:rFonts w:asciiTheme="minorHAnsi" w:hAnsiTheme="minorHAnsi" w:cstheme="minorHAnsi"/>
          <w:sz w:val="18"/>
          <w:szCs w:val="18"/>
        </w:rPr>
        <w:t xml:space="preserve"> Square, Morocco and Carnival of Barranquilla, Colombia. The nomination for the latter element states that while the greater professionalization and media visibility of the carnival ‘generates economic benefits for many low-income families, … the growing commercialisation may at the same time constitute a threat to the many traditional </w:t>
      </w:r>
      <w:proofErr w:type="gramStart"/>
      <w:r w:rsidRPr="00C875BE">
        <w:rPr>
          <w:rFonts w:asciiTheme="minorHAnsi" w:hAnsiTheme="minorHAnsi" w:cstheme="minorHAnsi"/>
          <w:sz w:val="18"/>
          <w:szCs w:val="18"/>
        </w:rPr>
        <w:t>expressions’</w:t>
      </w:r>
      <w:proofErr w:type="gramEnd"/>
      <w:r w:rsidRPr="00C875BE">
        <w:rPr>
          <w:rFonts w:asciiTheme="minorHAnsi" w:hAnsiTheme="minorHAnsi" w:cstheme="minorHAnsi"/>
          <w:sz w:val="18"/>
          <w:szCs w:val="18"/>
        </w:rPr>
        <w:t>. All the ‘Masterpieces’ were incorporated into the Representative List of the Intangible Cultural Heritage of Humanity in 2008.</w:t>
      </w:r>
    </w:p>
  </w:footnote>
  <w:footnote w:id="6">
    <w:p w14:paraId="38C810E3"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World Commission on Culture and Development, 1996. Our Creative Diversity. </w:t>
      </w:r>
    </w:p>
  </w:footnote>
  <w:footnote w:id="7">
    <w:p w14:paraId="6E3CAC6E"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UNESCO 2019. Culture and public policy for sustainable development: Forum of Ministers of Culture. Paris: UNESCO, p.11. Accessed at </w:t>
      </w:r>
      <w:hyperlink r:id="rId2" w:history="1">
        <w:r w:rsidRPr="00C875BE">
          <w:rPr>
            <w:rStyle w:val="Hyperlink1"/>
            <w:rFonts w:asciiTheme="minorHAnsi" w:hAnsiTheme="minorHAnsi" w:cstheme="minorHAnsi"/>
            <w:sz w:val="18"/>
            <w:szCs w:val="18"/>
          </w:rPr>
          <w:t>https://unesdoc.unesco.org/ark:/48223/pf0000371488</w:t>
        </w:r>
      </w:hyperlink>
      <w:r w:rsidRPr="00C875BE">
        <w:rPr>
          <w:rFonts w:asciiTheme="minorHAnsi" w:hAnsiTheme="minorHAnsi" w:cstheme="minorHAnsi"/>
          <w:sz w:val="18"/>
          <w:szCs w:val="18"/>
        </w:rPr>
        <w:t>.</w:t>
      </w:r>
    </w:p>
  </w:footnote>
  <w:footnote w:id="8">
    <w:p w14:paraId="28AFDB3E"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See UNESCO, 2019. </w:t>
      </w:r>
      <w:r w:rsidRPr="00C875BE">
        <w:rPr>
          <w:rFonts w:asciiTheme="minorHAnsi" w:hAnsiTheme="minorHAnsi" w:cstheme="minorHAnsi"/>
          <w:i/>
          <w:iCs/>
          <w:sz w:val="18"/>
          <w:szCs w:val="18"/>
        </w:rPr>
        <w:t>Thematic Indicators for Culture in the 2030 Agenda</w:t>
      </w:r>
      <w:r w:rsidRPr="00C875BE">
        <w:rPr>
          <w:rFonts w:asciiTheme="minorHAnsi" w:hAnsiTheme="minorHAnsi" w:cstheme="minorHAnsi"/>
          <w:sz w:val="18"/>
          <w:szCs w:val="18"/>
        </w:rPr>
        <w:t xml:space="preserve"> (Paris: UNESCO) Accessed at </w:t>
      </w:r>
      <w:hyperlink r:id="rId3" w:history="1">
        <w:r w:rsidRPr="00C875BE">
          <w:rPr>
            <w:rStyle w:val="Hyperlink1"/>
            <w:rFonts w:asciiTheme="minorHAnsi" w:hAnsiTheme="minorHAnsi" w:cstheme="minorHAnsi"/>
            <w:sz w:val="18"/>
            <w:szCs w:val="18"/>
          </w:rPr>
          <w:t>https://unesdoc.unesco.org/ark:/48223/pf0000371562</w:t>
        </w:r>
      </w:hyperlink>
    </w:p>
  </w:footnote>
  <w:footnote w:id="9">
    <w:p w14:paraId="7D7AA6E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proofErr w:type="spellStart"/>
      <w:r w:rsidRPr="00C875BE">
        <w:rPr>
          <w:rFonts w:asciiTheme="minorHAnsi" w:hAnsiTheme="minorHAnsi" w:cstheme="minorHAnsi"/>
          <w:sz w:val="18"/>
          <w:szCs w:val="18"/>
        </w:rPr>
        <w:t>Mondiacult</w:t>
      </w:r>
      <w:proofErr w:type="spellEnd"/>
      <w:r w:rsidRPr="00C875BE">
        <w:rPr>
          <w:rFonts w:asciiTheme="minorHAnsi" w:hAnsiTheme="minorHAnsi" w:cstheme="minorHAnsi"/>
          <w:sz w:val="18"/>
          <w:szCs w:val="18"/>
        </w:rPr>
        <w:t xml:space="preserve"> Declaration, accessed at https://www.interarts.net/wp-content/uploads/2022/10/6.MONDIACULT_EN_DRAFT-FINAL-DECLARATION_FINAL_1.pdf.</w:t>
      </w:r>
    </w:p>
  </w:footnote>
  <w:footnote w:id="10">
    <w:p w14:paraId="65629DE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No official Glossary has been approved by the Organs of the Convention.</w:t>
      </w:r>
    </w:p>
  </w:footnote>
  <w:footnote w:id="11">
    <w:p w14:paraId="1351600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The terms ‘meaning</w:t>
      </w:r>
      <w:proofErr w:type="gramStart"/>
      <w:r w:rsidRPr="00C875BE">
        <w:rPr>
          <w:rFonts w:asciiTheme="minorHAnsi" w:hAnsiTheme="minorHAnsi" w:cstheme="minorHAnsi"/>
          <w:sz w:val="18"/>
          <w:szCs w:val="18"/>
        </w:rPr>
        <w:t>’</w:t>
      </w:r>
      <w:proofErr w:type="gramEnd"/>
      <w:r w:rsidRPr="00C875BE">
        <w:rPr>
          <w:rFonts w:asciiTheme="minorHAnsi" w:hAnsiTheme="minorHAnsi" w:cstheme="minorHAnsi"/>
          <w:sz w:val="18"/>
          <w:szCs w:val="18"/>
        </w:rPr>
        <w:t xml:space="preserve"> and ‘purpose’ or ‘value’ are not used in the Convention itself, but were introduced in the Operational Directives of 2010, paragraphs 109(e), 117 and 120.</w:t>
      </w:r>
    </w:p>
  </w:footnote>
  <w:footnote w:id="12">
    <w:p w14:paraId="33DE62C2"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Of course, to be given consideration under the Convention, an ICH element </w:t>
      </w:r>
      <w:proofErr w:type="gramStart"/>
      <w:r w:rsidRPr="00C875BE">
        <w:rPr>
          <w:rFonts w:asciiTheme="minorHAnsi" w:hAnsiTheme="minorHAnsi" w:cstheme="minorHAnsi"/>
          <w:sz w:val="18"/>
          <w:szCs w:val="18"/>
        </w:rPr>
        <w:t>has to</w:t>
      </w:r>
      <w:proofErr w:type="gramEnd"/>
      <w:r w:rsidRPr="00C875BE">
        <w:rPr>
          <w:rFonts w:asciiTheme="minorHAnsi" w:hAnsiTheme="minorHAnsi" w:cstheme="minorHAnsi"/>
          <w:sz w:val="18"/>
          <w:szCs w:val="18"/>
        </w:rPr>
        <w:t xml:space="preserve"> remain compatible with the requirements of sustainable development, as well as human rights and mutual respect.</w:t>
      </w:r>
    </w:p>
  </w:footnote>
  <w:footnote w:id="13">
    <w:p w14:paraId="757F815E"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The Yamato Declaration was adopted by a meeting of tangible and intangible heritage experts, co-organized in October 2004 by UNESCO, in Nara, Japan. UNESCO, 2004. ‘Co-operation and coordination between the UNESCO Conventions concerning heritage: the Yamato Declaration on Integrated Approaches for Safeguarding Tangible and Intangible Cultural Heritage’, WHC.2004/CONF.202/CLD.21, WHC-04/7 EXT.COM/INF.9. Accessed at </w:t>
      </w:r>
      <w:hyperlink r:id="rId4" w:history="1">
        <w:r w:rsidRPr="00C875BE">
          <w:rPr>
            <w:rStyle w:val="Hyperlink1"/>
            <w:rFonts w:asciiTheme="minorHAnsi" w:hAnsiTheme="minorHAnsi" w:cstheme="minorHAnsi"/>
            <w:sz w:val="18"/>
            <w:szCs w:val="18"/>
          </w:rPr>
          <w:t>https://unesdoc.unesco.org/ark:/48223/pf0000137634</w:t>
        </w:r>
      </w:hyperlink>
      <w:r w:rsidRPr="00C875BE">
        <w:rPr>
          <w:rFonts w:asciiTheme="minorHAnsi" w:hAnsiTheme="minorHAnsi" w:cstheme="minorHAnsi"/>
          <w:sz w:val="18"/>
          <w:szCs w:val="18"/>
        </w:rPr>
        <w:t>.</w:t>
      </w:r>
    </w:p>
  </w:footnote>
  <w:footnote w:id="14">
    <w:p w14:paraId="3792EBA2" w14:textId="4ACD93F8"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5" w:history="1">
        <w:r w:rsidRPr="00C875BE">
          <w:rPr>
            <w:rStyle w:val="Hyperlink1"/>
            <w:rFonts w:asciiTheme="minorHAnsi" w:eastAsia="SimSun" w:hAnsiTheme="minorHAnsi" w:cstheme="minorHAnsi"/>
            <w:b/>
            <w:bCs/>
            <w:sz w:val="18"/>
            <w:szCs w:val="18"/>
            <w:lang w:val="en-US"/>
          </w:rPr>
          <w:t>Decision 7.COM 7</w:t>
        </w:r>
      </w:hyperlink>
      <w:r w:rsidRPr="00C875BE">
        <w:rPr>
          <w:rFonts w:asciiTheme="minorHAnsi" w:hAnsiTheme="minorHAnsi" w:cstheme="minorHAnsi"/>
          <w:sz w:val="18"/>
          <w:szCs w:val="18"/>
        </w:rPr>
        <w:t xml:space="preserve"> para. 6 and </w:t>
      </w:r>
      <w:hyperlink r:id="rId6" w:history="1">
        <w:r w:rsidRPr="00C875BE">
          <w:rPr>
            <w:rStyle w:val="Hyperlink1"/>
            <w:rFonts w:asciiTheme="minorHAnsi" w:hAnsiTheme="minorHAnsi" w:cstheme="minorHAnsi"/>
            <w:b/>
            <w:bCs/>
            <w:sz w:val="18"/>
            <w:szCs w:val="18"/>
            <w:lang w:val="en-US"/>
          </w:rPr>
          <w:t>Decision 8.COM</w:t>
        </w:r>
        <w:r w:rsidR="00A635D9">
          <w:rPr>
            <w:rStyle w:val="Hyperlink1"/>
            <w:rFonts w:asciiTheme="minorHAnsi" w:hAnsiTheme="minorHAnsi" w:cstheme="minorHAnsi"/>
            <w:b/>
            <w:bCs/>
            <w:sz w:val="18"/>
            <w:szCs w:val="18"/>
            <w:lang w:val="en-US"/>
          </w:rPr>
          <w:t> </w:t>
        </w:r>
        <w:proofErr w:type="gramStart"/>
        <w:r w:rsidRPr="00C875BE">
          <w:rPr>
            <w:rStyle w:val="Hyperlink1"/>
            <w:rFonts w:asciiTheme="minorHAnsi" w:hAnsiTheme="minorHAnsi" w:cstheme="minorHAnsi"/>
            <w:b/>
            <w:bCs/>
            <w:sz w:val="18"/>
            <w:szCs w:val="18"/>
            <w:lang w:val="en-US"/>
          </w:rPr>
          <w:t>13.a</w:t>
        </w:r>
        <w:proofErr w:type="gramEnd"/>
      </w:hyperlink>
      <w:r w:rsidRPr="00C875BE">
        <w:rPr>
          <w:rFonts w:asciiTheme="minorHAnsi" w:hAnsiTheme="minorHAnsi" w:cstheme="minorHAnsi"/>
          <w:sz w:val="18"/>
          <w:szCs w:val="18"/>
        </w:rPr>
        <w:t>.</w:t>
      </w:r>
    </w:p>
  </w:footnote>
  <w:footnote w:id="15">
    <w:p w14:paraId="1A6682B1"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7" w:history="1">
        <w:r w:rsidRPr="00C875BE">
          <w:rPr>
            <w:rStyle w:val="Hyperlink1"/>
            <w:rFonts w:asciiTheme="minorHAnsi" w:hAnsiTheme="minorHAnsi" w:cstheme="minorHAnsi"/>
            <w:sz w:val="18"/>
            <w:szCs w:val="18"/>
          </w:rPr>
          <w:t>https://ich.unesco.org/doc/src/ICH-Operational_Directives-6.GA-PDF-EN.pdf</w:t>
        </w:r>
      </w:hyperlink>
      <w:r w:rsidRPr="00C875BE">
        <w:rPr>
          <w:rFonts w:asciiTheme="minorHAnsi" w:hAnsiTheme="minorHAnsi" w:cstheme="minorHAnsi"/>
          <w:sz w:val="18"/>
          <w:szCs w:val="18"/>
        </w:rPr>
        <w:t>.</w:t>
      </w:r>
    </w:p>
  </w:footnote>
  <w:footnote w:id="16">
    <w:p w14:paraId="69B075CC" w14:textId="77777777" w:rsidR="00086ECF" w:rsidRPr="00C875BE" w:rsidRDefault="00086ECF" w:rsidP="00095F74">
      <w:pPr>
        <w:pStyle w:val="FootnoteText"/>
        <w:jc w:val="left"/>
        <w:rPr>
          <w:rFonts w:asciiTheme="minorHAnsi" w:hAnsiTheme="minorHAnsi" w:cstheme="minorHAnsi"/>
          <w:sz w:val="18"/>
          <w:szCs w:val="18"/>
        </w:rPr>
      </w:pPr>
      <w:r w:rsidRPr="00C875BE">
        <w:rPr>
          <w:rFonts w:asciiTheme="minorHAnsi" w:hAnsiTheme="minorHAnsi" w:cstheme="minorHAnsi"/>
          <w:sz w:val="18"/>
          <w:szCs w:val="18"/>
          <w:vertAlign w:val="superscript"/>
        </w:rPr>
        <w:footnoteRef/>
      </w:r>
      <w:r w:rsidRPr="00C875BE">
        <w:rPr>
          <w:rFonts w:asciiTheme="minorHAnsi" w:hAnsiTheme="minorHAnsi" w:cstheme="minorHAnsi"/>
          <w:sz w:val="18"/>
          <w:szCs w:val="18"/>
          <w:vertAlign w:val="superscript"/>
        </w:rPr>
        <w:t xml:space="preserve"> </w:t>
      </w:r>
      <w:r w:rsidRPr="00C875BE">
        <w:rPr>
          <w:rFonts w:asciiTheme="minorHAnsi" w:hAnsiTheme="minorHAnsi" w:cstheme="minorHAnsi"/>
          <w:sz w:val="18"/>
          <w:szCs w:val="18"/>
        </w:rPr>
        <w:t>The term ‘evaluation body/</w:t>
      </w:r>
      <w:proofErr w:type="spellStart"/>
      <w:r w:rsidRPr="00C875BE">
        <w:rPr>
          <w:rFonts w:asciiTheme="minorHAnsi" w:hAnsiTheme="minorHAnsi" w:cstheme="minorHAnsi"/>
          <w:sz w:val="18"/>
          <w:szCs w:val="18"/>
        </w:rPr>
        <w:t>ies’</w:t>
      </w:r>
      <w:proofErr w:type="spellEnd"/>
      <w:r w:rsidRPr="00C875BE">
        <w:rPr>
          <w:rFonts w:asciiTheme="minorHAnsi" w:hAnsiTheme="minorHAnsi" w:cstheme="minorHAnsi"/>
          <w:sz w:val="18"/>
          <w:szCs w:val="18"/>
        </w:rPr>
        <w:t xml:space="preserve"> (in lower case) is used in this report to indicate the bodies in general, </w:t>
      </w:r>
      <w:proofErr w:type="gramStart"/>
      <w:r w:rsidRPr="00C875BE">
        <w:rPr>
          <w:rFonts w:asciiTheme="minorHAnsi" w:hAnsiTheme="minorHAnsi" w:cstheme="minorHAnsi"/>
          <w:sz w:val="18"/>
          <w:szCs w:val="18"/>
        </w:rPr>
        <w:t>i.e.</w:t>
      </w:r>
      <w:proofErr w:type="gramEnd"/>
      <w:r w:rsidRPr="00C875BE">
        <w:rPr>
          <w:rFonts w:asciiTheme="minorHAnsi" w:hAnsiTheme="minorHAnsi" w:cstheme="minorHAnsi"/>
          <w:sz w:val="18"/>
          <w:szCs w:val="18"/>
        </w:rPr>
        <w:t xml:space="preserve"> the Consultative, Subsidiary and Evaluation Bodies.</w:t>
      </w:r>
    </w:p>
  </w:footnote>
  <w:footnote w:id="17">
    <w:p w14:paraId="31A40779"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8" w:history="1">
        <w:r w:rsidRPr="00C875BE">
          <w:rPr>
            <w:rStyle w:val="Hyperlink1"/>
            <w:rFonts w:asciiTheme="minorHAnsi" w:hAnsiTheme="minorHAnsi" w:cstheme="minorHAnsi"/>
            <w:b/>
            <w:bCs/>
            <w:sz w:val="18"/>
            <w:szCs w:val="18"/>
            <w:lang w:val="en-US"/>
          </w:rPr>
          <w:t xml:space="preserve">Decision 8.COM </w:t>
        </w:r>
        <w:proofErr w:type="gramStart"/>
        <w:r w:rsidRPr="00C875BE">
          <w:rPr>
            <w:rStyle w:val="Hyperlink1"/>
            <w:rFonts w:asciiTheme="minorHAnsi" w:hAnsiTheme="minorHAnsi" w:cstheme="minorHAnsi"/>
            <w:b/>
            <w:bCs/>
            <w:sz w:val="18"/>
            <w:szCs w:val="18"/>
            <w:lang w:val="en-US"/>
          </w:rPr>
          <w:t>7.a</w:t>
        </w:r>
        <w:proofErr w:type="gramEnd"/>
      </w:hyperlink>
      <w:r w:rsidRPr="00C875BE">
        <w:rPr>
          <w:rFonts w:asciiTheme="minorHAnsi" w:hAnsiTheme="minorHAnsi" w:cstheme="minorHAnsi"/>
          <w:sz w:val="18"/>
          <w:szCs w:val="18"/>
          <w:lang w:val="en-US"/>
        </w:rPr>
        <w:t xml:space="preserve"> </w:t>
      </w:r>
      <w:r w:rsidRPr="00C875BE">
        <w:rPr>
          <w:rFonts w:asciiTheme="minorHAnsi" w:hAnsiTheme="minorHAnsi" w:cstheme="minorHAnsi"/>
          <w:sz w:val="18"/>
          <w:szCs w:val="18"/>
        </w:rPr>
        <w:t xml:space="preserve">para. 4. In 2014, a similar phrasing was used in </w:t>
      </w:r>
      <w:hyperlink r:id="rId9" w:history="1">
        <w:r w:rsidRPr="00C875BE">
          <w:rPr>
            <w:rStyle w:val="Hyperlink1"/>
            <w:rFonts w:asciiTheme="minorHAnsi" w:hAnsiTheme="minorHAnsi" w:cstheme="minorHAnsi"/>
            <w:b/>
            <w:bCs/>
            <w:sz w:val="18"/>
            <w:szCs w:val="18"/>
          </w:rPr>
          <w:t xml:space="preserve">Decision 9.COM </w:t>
        </w:r>
        <w:proofErr w:type="gramStart"/>
        <w:r w:rsidRPr="00C875BE">
          <w:rPr>
            <w:rStyle w:val="Hyperlink1"/>
            <w:rFonts w:asciiTheme="minorHAnsi" w:hAnsiTheme="minorHAnsi" w:cstheme="minorHAnsi"/>
            <w:b/>
            <w:bCs/>
            <w:sz w:val="18"/>
            <w:szCs w:val="18"/>
          </w:rPr>
          <w:t>9.a</w:t>
        </w:r>
        <w:proofErr w:type="gramEnd"/>
      </w:hyperlink>
      <w:r w:rsidRPr="00C875BE">
        <w:rPr>
          <w:rFonts w:asciiTheme="minorHAnsi" w:hAnsiTheme="minorHAnsi" w:cstheme="minorHAnsi"/>
          <w:sz w:val="18"/>
          <w:szCs w:val="18"/>
        </w:rPr>
        <w:t xml:space="preserve"> para. </w:t>
      </w:r>
      <w:r w:rsidRPr="00C875BE">
        <w:rPr>
          <w:rFonts w:asciiTheme="minorHAnsi" w:hAnsiTheme="minorHAnsi" w:cstheme="minorHAnsi"/>
          <w:sz w:val="18"/>
          <w:szCs w:val="18"/>
          <w:lang w:val="es-ES"/>
        </w:rPr>
        <w:t>4.</w:t>
      </w:r>
    </w:p>
  </w:footnote>
  <w:footnote w:id="18">
    <w:p w14:paraId="7CBF8A2A"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r w:rsidR="00340464">
        <w:fldChar w:fldCharType="begin"/>
      </w:r>
      <w:r w:rsidR="00340464" w:rsidRPr="00340464">
        <w:rPr>
          <w:lang w:val="es-ES"/>
        </w:rPr>
        <w:instrText>HYPERLINK "https://ich.unesco.org/doc/src/LHE-19-14.COM-10-EN.docx"</w:instrText>
      </w:r>
      <w:r w:rsidR="00340464">
        <w:fldChar w:fldCharType="separate"/>
      </w:r>
      <w:r w:rsidRPr="00C875BE">
        <w:rPr>
          <w:rStyle w:val="Hyperlink1"/>
          <w:rFonts w:asciiTheme="minorHAnsi" w:hAnsiTheme="minorHAnsi" w:cstheme="minorHAnsi"/>
          <w:b/>
          <w:bCs/>
          <w:sz w:val="18"/>
          <w:szCs w:val="18"/>
          <w:lang w:val="es-ES"/>
        </w:rPr>
        <w:t>LHE/19/14.COM/10</w:t>
      </w:r>
      <w:r w:rsidR="00340464">
        <w:rPr>
          <w:rStyle w:val="Hyperlink1"/>
          <w:rFonts w:asciiTheme="minorHAnsi" w:hAnsiTheme="minorHAnsi" w:cstheme="minorHAnsi"/>
          <w:b/>
          <w:bCs/>
          <w:sz w:val="18"/>
          <w:szCs w:val="18"/>
          <w:lang w:val="es-ES"/>
        </w:rPr>
        <w:fldChar w:fldCharType="end"/>
      </w:r>
      <w:r w:rsidRPr="00C875BE">
        <w:rPr>
          <w:rFonts w:asciiTheme="minorHAnsi" w:hAnsiTheme="minorHAnsi" w:cstheme="minorHAnsi"/>
          <w:sz w:val="18"/>
          <w:szCs w:val="18"/>
          <w:lang w:val="es-ES"/>
        </w:rPr>
        <w:t xml:space="preserve"> para. 37.</w:t>
      </w:r>
    </w:p>
  </w:footnote>
  <w:footnote w:id="19">
    <w:p w14:paraId="5B246BF6"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r w:rsidR="00340464">
        <w:fldChar w:fldCharType="begin"/>
      </w:r>
      <w:r w:rsidR="00340464" w:rsidRPr="00340464">
        <w:rPr>
          <w:lang w:val="es-ES"/>
        </w:rPr>
        <w:instrText>HYPERLINK "https://ich.unesco.org/doc/src/LHE-20-15.COM-8-EN.docx"</w:instrText>
      </w:r>
      <w:r w:rsidR="00340464">
        <w:fldChar w:fldCharType="separate"/>
      </w:r>
      <w:r w:rsidRPr="00C875BE">
        <w:rPr>
          <w:rStyle w:val="Hyperlink1"/>
          <w:rFonts w:asciiTheme="minorHAnsi" w:hAnsiTheme="minorHAnsi" w:cstheme="minorHAnsi"/>
          <w:b/>
          <w:bCs/>
          <w:sz w:val="18"/>
          <w:szCs w:val="18"/>
          <w:lang w:val="es-ES" w:eastAsia="el-GR"/>
        </w:rPr>
        <w:t>LHE/20/15.COM/8</w:t>
      </w:r>
      <w:r w:rsidR="00340464">
        <w:rPr>
          <w:rStyle w:val="Hyperlink1"/>
          <w:rFonts w:asciiTheme="minorHAnsi" w:hAnsiTheme="minorHAnsi" w:cstheme="minorHAnsi"/>
          <w:b/>
          <w:bCs/>
          <w:sz w:val="18"/>
          <w:szCs w:val="18"/>
          <w:lang w:val="es-ES" w:eastAsia="el-GR"/>
        </w:rPr>
        <w:fldChar w:fldCharType="end"/>
      </w:r>
      <w:r w:rsidRPr="00C875BE">
        <w:rPr>
          <w:rFonts w:asciiTheme="minorHAnsi" w:hAnsiTheme="minorHAnsi" w:cstheme="minorHAnsi"/>
          <w:sz w:val="18"/>
          <w:szCs w:val="18"/>
          <w:lang w:val="es-ES"/>
        </w:rPr>
        <w:t xml:space="preserve"> para. 53.</w:t>
      </w:r>
    </w:p>
  </w:footnote>
  <w:footnote w:id="20">
    <w:p w14:paraId="1F4E9C34"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For </w:t>
      </w:r>
      <w:proofErr w:type="spellStart"/>
      <w:r w:rsidRPr="00C875BE">
        <w:rPr>
          <w:rFonts w:asciiTheme="minorHAnsi" w:hAnsiTheme="minorHAnsi" w:cstheme="minorHAnsi"/>
          <w:sz w:val="18"/>
          <w:szCs w:val="18"/>
          <w:lang w:val="es-ES"/>
        </w:rPr>
        <w:t>example</w:t>
      </w:r>
      <w:proofErr w:type="spellEnd"/>
      <w:r w:rsidRPr="00C875BE">
        <w:rPr>
          <w:rFonts w:asciiTheme="minorHAnsi" w:hAnsiTheme="minorHAnsi" w:cstheme="minorHAnsi"/>
          <w:sz w:val="18"/>
          <w:szCs w:val="18"/>
          <w:lang w:val="es-ES"/>
        </w:rPr>
        <w:t xml:space="preserve">, </w:t>
      </w:r>
      <w:hyperlink r:id="rId10"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15.COM </w:t>
        </w:r>
        <w:proofErr w:type="gramStart"/>
        <w:r w:rsidRPr="00C875BE">
          <w:rPr>
            <w:rStyle w:val="Hyperlink1"/>
            <w:rFonts w:asciiTheme="minorHAnsi" w:hAnsiTheme="minorHAnsi" w:cstheme="minorHAnsi"/>
            <w:b/>
            <w:bCs/>
            <w:sz w:val="18"/>
            <w:szCs w:val="18"/>
            <w:lang w:val="es-ES"/>
          </w:rPr>
          <w:t>8.b.</w:t>
        </w:r>
        <w:proofErr w:type="gramEnd"/>
        <w:r w:rsidRPr="00C875BE">
          <w:rPr>
            <w:rStyle w:val="Hyperlink1"/>
            <w:rFonts w:asciiTheme="minorHAnsi" w:hAnsiTheme="minorHAnsi" w:cstheme="minorHAnsi"/>
            <w:b/>
            <w:bCs/>
            <w:sz w:val="18"/>
            <w:szCs w:val="18"/>
            <w:lang w:val="es-ES"/>
          </w:rPr>
          <w:t>7</w:t>
        </w:r>
      </w:hyperlink>
      <w:r w:rsidRPr="00C875BE">
        <w:rPr>
          <w:rFonts w:asciiTheme="minorHAnsi" w:hAnsiTheme="minorHAnsi" w:cstheme="minorHAnsi"/>
          <w:sz w:val="18"/>
          <w:szCs w:val="18"/>
          <w:lang w:val="es-ES"/>
        </w:rPr>
        <w:t xml:space="preserve"> para. 8.</w:t>
      </w:r>
    </w:p>
  </w:footnote>
  <w:footnote w:id="21">
    <w:p w14:paraId="25CB3695"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For </w:t>
      </w:r>
      <w:proofErr w:type="spellStart"/>
      <w:r w:rsidRPr="00C875BE">
        <w:rPr>
          <w:rFonts w:asciiTheme="minorHAnsi" w:hAnsiTheme="minorHAnsi" w:cstheme="minorHAnsi"/>
          <w:sz w:val="18"/>
          <w:szCs w:val="18"/>
          <w:lang w:val="es-ES"/>
        </w:rPr>
        <w:t>example</w:t>
      </w:r>
      <w:proofErr w:type="spellEnd"/>
      <w:r w:rsidRPr="00C875BE">
        <w:rPr>
          <w:rFonts w:asciiTheme="minorHAnsi" w:hAnsiTheme="minorHAnsi" w:cstheme="minorHAnsi"/>
          <w:sz w:val="18"/>
          <w:szCs w:val="18"/>
          <w:lang w:val="es-ES"/>
        </w:rPr>
        <w:t xml:space="preserve">, </w:t>
      </w:r>
      <w:r w:rsidR="00340464">
        <w:fldChar w:fldCharType="begin"/>
      </w:r>
      <w:r w:rsidR="00340464" w:rsidRPr="00340464">
        <w:rPr>
          <w:lang w:val="es-ES"/>
        </w:rPr>
        <w:instrText>HYPERLINK "https://ich.unesco.org/en/Decisions/10.COM/10.b.29"</w:instrText>
      </w:r>
      <w:r w:rsidR="00340464">
        <w:fldChar w:fldCharType="separate"/>
      </w:r>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10.COM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29</w:t>
      </w:r>
      <w:r w:rsidR="00340464">
        <w:rPr>
          <w:rStyle w:val="Hyperlink1"/>
          <w:rFonts w:asciiTheme="minorHAnsi" w:hAnsiTheme="minorHAnsi" w:cstheme="minorHAnsi"/>
          <w:b/>
          <w:bCs/>
          <w:sz w:val="18"/>
          <w:szCs w:val="18"/>
          <w:lang w:val="es-ES"/>
        </w:rPr>
        <w:fldChar w:fldCharType="end"/>
      </w:r>
      <w:r w:rsidRPr="00C875BE">
        <w:rPr>
          <w:rFonts w:asciiTheme="minorHAnsi" w:hAnsiTheme="minorHAnsi" w:cstheme="minorHAnsi"/>
          <w:sz w:val="18"/>
          <w:szCs w:val="18"/>
          <w:lang w:val="es-ES"/>
        </w:rPr>
        <w:t xml:space="preserve"> para. 3 R.3.</w:t>
      </w:r>
    </w:p>
  </w:footnote>
  <w:footnote w:id="22">
    <w:p w14:paraId="7FF9B4BD" w14:textId="77777777" w:rsidR="00086ECF" w:rsidRPr="00035309"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For </w:t>
      </w:r>
      <w:proofErr w:type="spellStart"/>
      <w:r w:rsidRPr="00035309">
        <w:rPr>
          <w:rFonts w:asciiTheme="minorHAnsi" w:hAnsiTheme="minorHAnsi" w:cstheme="minorHAnsi"/>
          <w:sz w:val="18"/>
          <w:szCs w:val="18"/>
          <w:lang w:val="es-ES"/>
        </w:rPr>
        <w:t>example</w:t>
      </w:r>
      <w:proofErr w:type="spellEnd"/>
      <w:r w:rsidRPr="00035309">
        <w:rPr>
          <w:rFonts w:asciiTheme="minorHAnsi" w:hAnsiTheme="minorHAnsi" w:cstheme="minorHAnsi"/>
          <w:sz w:val="18"/>
          <w:szCs w:val="18"/>
          <w:lang w:val="es-ES"/>
        </w:rPr>
        <w:t xml:space="preserve">, </w:t>
      </w:r>
      <w:r w:rsidR="00340464">
        <w:fldChar w:fldCharType="begin"/>
      </w:r>
      <w:r w:rsidR="00340464" w:rsidRPr="00340464">
        <w:rPr>
          <w:lang w:val="es-ES"/>
        </w:rPr>
        <w:instrText>HYPERLINK "https://ich.unesco.org/en/Decisions/11.COM/10.c.1"</w:instrText>
      </w:r>
      <w:r w:rsidR="00340464">
        <w:fldChar w:fldCharType="separate"/>
      </w:r>
      <w:proofErr w:type="spellStart"/>
      <w:r w:rsidRPr="00035309">
        <w:rPr>
          <w:rStyle w:val="Hyperlink1"/>
          <w:rFonts w:asciiTheme="minorHAnsi" w:hAnsiTheme="minorHAnsi" w:cstheme="minorHAnsi"/>
          <w:b/>
          <w:bCs/>
          <w:sz w:val="18"/>
          <w:szCs w:val="18"/>
          <w:lang w:val="es-ES"/>
        </w:rPr>
        <w:t>Decision</w:t>
      </w:r>
      <w:proofErr w:type="spellEnd"/>
      <w:r w:rsidRPr="00035309">
        <w:rPr>
          <w:rStyle w:val="Hyperlink1"/>
          <w:rFonts w:asciiTheme="minorHAnsi" w:hAnsiTheme="minorHAnsi" w:cstheme="minorHAnsi"/>
          <w:b/>
          <w:bCs/>
          <w:sz w:val="18"/>
          <w:szCs w:val="18"/>
          <w:lang w:val="es-ES"/>
        </w:rPr>
        <w:t xml:space="preserve"> 11.COM </w:t>
      </w:r>
      <w:proofErr w:type="gramStart"/>
      <w:r w:rsidRPr="00035309">
        <w:rPr>
          <w:rStyle w:val="Hyperlink1"/>
          <w:rFonts w:asciiTheme="minorHAnsi" w:hAnsiTheme="minorHAnsi" w:cstheme="minorHAnsi"/>
          <w:b/>
          <w:bCs/>
          <w:sz w:val="18"/>
          <w:szCs w:val="18"/>
          <w:lang w:val="es-ES"/>
        </w:rPr>
        <w:t>10.c.</w:t>
      </w:r>
      <w:proofErr w:type="gramEnd"/>
      <w:r w:rsidRPr="00035309">
        <w:rPr>
          <w:rStyle w:val="Hyperlink1"/>
          <w:rFonts w:asciiTheme="minorHAnsi" w:hAnsiTheme="minorHAnsi" w:cstheme="minorHAnsi"/>
          <w:b/>
          <w:bCs/>
          <w:sz w:val="18"/>
          <w:szCs w:val="18"/>
          <w:lang w:val="es-ES"/>
        </w:rPr>
        <w:t>1</w:t>
      </w:r>
      <w:r w:rsidR="00340464">
        <w:rPr>
          <w:rStyle w:val="Hyperlink1"/>
          <w:rFonts w:asciiTheme="minorHAnsi" w:hAnsiTheme="minorHAnsi" w:cstheme="minorHAnsi"/>
          <w:b/>
          <w:bCs/>
          <w:sz w:val="18"/>
          <w:szCs w:val="18"/>
          <w:lang w:val="es-ES"/>
        </w:rPr>
        <w:fldChar w:fldCharType="end"/>
      </w:r>
      <w:r w:rsidRPr="00035309">
        <w:rPr>
          <w:rFonts w:asciiTheme="minorHAnsi" w:hAnsiTheme="minorHAnsi" w:cstheme="minorHAnsi"/>
          <w:sz w:val="18"/>
          <w:szCs w:val="18"/>
          <w:lang w:val="es-ES"/>
        </w:rPr>
        <w:t xml:space="preserve"> para. 2 P.4.</w:t>
      </w:r>
    </w:p>
  </w:footnote>
  <w:footnote w:id="23">
    <w:p w14:paraId="2997A2D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For </w:t>
      </w:r>
      <w:proofErr w:type="spellStart"/>
      <w:r w:rsidRPr="00035309">
        <w:rPr>
          <w:rFonts w:asciiTheme="minorHAnsi" w:hAnsiTheme="minorHAnsi" w:cstheme="minorHAnsi"/>
          <w:sz w:val="18"/>
          <w:szCs w:val="18"/>
          <w:lang w:val="es-ES"/>
        </w:rPr>
        <w:t>example</w:t>
      </w:r>
      <w:proofErr w:type="spellEnd"/>
      <w:r w:rsidRPr="00035309">
        <w:rPr>
          <w:rFonts w:asciiTheme="minorHAnsi" w:hAnsiTheme="minorHAnsi" w:cstheme="minorHAnsi"/>
          <w:sz w:val="18"/>
          <w:szCs w:val="18"/>
          <w:lang w:val="es-ES"/>
        </w:rPr>
        <w:t xml:space="preserve">, </w:t>
      </w:r>
      <w:hyperlink r:id="rId11" w:history="1">
        <w:proofErr w:type="spellStart"/>
        <w:r w:rsidRPr="00035309">
          <w:rPr>
            <w:rStyle w:val="Hyperlink1"/>
            <w:rFonts w:asciiTheme="minorHAnsi" w:hAnsiTheme="minorHAnsi" w:cstheme="minorHAnsi"/>
            <w:b/>
            <w:bCs/>
            <w:sz w:val="18"/>
            <w:szCs w:val="18"/>
            <w:lang w:val="es-ES"/>
          </w:rPr>
          <w:t>Decision</w:t>
        </w:r>
        <w:proofErr w:type="spellEnd"/>
        <w:r w:rsidRPr="00035309">
          <w:rPr>
            <w:rStyle w:val="Hyperlink1"/>
            <w:rFonts w:asciiTheme="minorHAnsi" w:hAnsiTheme="minorHAnsi" w:cstheme="minorHAnsi"/>
            <w:b/>
            <w:bCs/>
            <w:sz w:val="18"/>
            <w:szCs w:val="18"/>
            <w:lang w:val="es-ES"/>
          </w:rPr>
          <w:t xml:space="preserve"> 14.COM 10.a.5</w:t>
        </w:r>
      </w:hyperlink>
      <w:r w:rsidRPr="00035309">
        <w:rPr>
          <w:rFonts w:asciiTheme="minorHAnsi" w:hAnsiTheme="minorHAnsi" w:cstheme="minorHAnsi"/>
          <w:sz w:val="18"/>
          <w:szCs w:val="18"/>
          <w:lang w:val="es-ES"/>
        </w:rPr>
        <w:t xml:space="preserve"> para. </w:t>
      </w:r>
      <w:r w:rsidRPr="00C875BE">
        <w:rPr>
          <w:rFonts w:asciiTheme="minorHAnsi" w:hAnsiTheme="minorHAnsi" w:cstheme="minorHAnsi"/>
          <w:sz w:val="18"/>
          <w:szCs w:val="18"/>
        </w:rPr>
        <w:t xml:space="preserve">9; </w:t>
      </w:r>
      <w:hyperlink r:id="rId12" w:history="1">
        <w:r w:rsidRPr="00C875BE">
          <w:rPr>
            <w:rStyle w:val="Hyperlink1"/>
            <w:rFonts w:asciiTheme="minorHAnsi" w:hAnsiTheme="minorHAnsi" w:cstheme="minorHAnsi"/>
            <w:b/>
            <w:bCs/>
            <w:sz w:val="18"/>
            <w:szCs w:val="18"/>
            <w:lang w:val="en-US"/>
          </w:rPr>
          <w:t>Decision 7.COM 11.35</w:t>
        </w:r>
      </w:hyperlink>
      <w:r w:rsidRPr="00C875BE">
        <w:rPr>
          <w:rFonts w:asciiTheme="minorHAnsi" w:hAnsiTheme="minorHAnsi" w:cstheme="minorHAnsi"/>
          <w:sz w:val="18"/>
          <w:szCs w:val="18"/>
        </w:rPr>
        <w:t xml:space="preserve"> para. 2 R.3.</w:t>
      </w:r>
    </w:p>
  </w:footnote>
  <w:footnote w:id="24">
    <w:p w14:paraId="394F907D"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w:t>
      </w:r>
      <w:hyperlink r:id="rId13" w:history="1">
        <w:r w:rsidRPr="00C875BE">
          <w:rPr>
            <w:rStyle w:val="Hyperlink1"/>
            <w:rFonts w:asciiTheme="minorHAnsi" w:hAnsiTheme="minorHAnsi" w:cstheme="minorHAnsi"/>
            <w:b/>
            <w:bCs/>
            <w:sz w:val="18"/>
            <w:szCs w:val="18"/>
            <w:lang w:val="en-US"/>
          </w:rPr>
          <w:t xml:space="preserve">Decision 15.COM </w:t>
        </w:r>
        <w:proofErr w:type="gramStart"/>
        <w:r w:rsidRPr="00C875BE">
          <w:rPr>
            <w:rStyle w:val="Hyperlink1"/>
            <w:rFonts w:asciiTheme="minorHAnsi" w:hAnsiTheme="minorHAnsi" w:cstheme="minorHAnsi"/>
            <w:b/>
            <w:bCs/>
            <w:sz w:val="18"/>
            <w:szCs w:val="18"/>
            <w:lang w:val="en-US"/>
          </w:rPr>
          <w:t>8.b.</w:t>
        </w:r>
        <w:proofErr w:type="gramEnd"/>
        <w:r w:rsidRPr="00C875BE">
          <w:rPr>
            <w:rStyle w:val="Hyperlink1"/>
            <w:rFonts w:asciiTheme="minorHAnsi" w:hAnsiTheme="minorHAnsi" w:cstheme="minorHAnsi"/>
            <w:b/>
            <w:bCs/>
            <w:sz w:val="18"/>
            <w:szCs w:val="18"/>
            <w:lang w:val="en-US"/>
          </w:rPr>
          <w:t>42</w:t>
        </w:r>
      </w:hyperlink>
      <w:r w:rsidRPr="00C875BE">
        <w:rPr>
          <w:rFonts w:asciiTheme="minorHAnsi" w:hAnsiTheme="minorHAnsi" w:cstheme="minorHAnsi"/>
          <w:sz w:val="18"/>
          <w:szCs w:val="18"/>
          <w:lang w:val="en-US"/>
        </w:rPr>
        <w:t xml:space="preserve"> </w:t>
      </w:r>
      <w:r w:rsidRPr="00C875BE">
        <w:rPr>
          <w:rFonts w:asciiTheme="minorHAnsi" w:hAnsiTheme="minorHAnsi" w:cstheme="minorHAnsi"/>
          <w:sz w:val="18"/>
          <w:szCs w:val="18"/>
        </w:rPr>
        <w:t>para. 2 R3 (where these risks were mitigated).</w:t>
      </w:r>
    </w:p>
  </w:footnote>
  <w:footnote w:id="25">
    <w:p w14:paraId="3C66D89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through ‘</w:t>
      </w:r>
      <w:proofErr w:type="spellStart"/>
      <w:r w:rsidRPr="00C875BE">
        <w:rPr>
          <w:rFonts w:asciiTheme="minorHAnsi" w:hAnsiTheme="minorHAnsi" w:cstheme="minorHAnsi"/>
          <w:sz w:val="18"/>
          <w:szCs w:val="18"/>
        </w:rPr>
        <w:t>folklorization</w:t>
      </w:r>
      <w:proofErr w:type="spellEnd"/>
      <w:r w:rsidRPr="00C875BE">
        <w:rPr>
          <w:rFonts w:asciiTheme="minorHAnsi" w:hAnsiTheme="minorHAnsi" w:cstheme="minorHAnsi"/>
          <w:sz w:val="18"/>
          <w:szCs w:val="18"/>
        </w:rPr>
        <w:t xml:space="preserve">’, </w:t>
      </w:r>
      <w:hyperlink r:id="rId14" w:history="1">
        <w:r w:rsidRPr="00C875BE">
          <w:rPr>
            <w:rStyle w:val="Hyperlink1"/>
            <w:rFonts w:asciiTheme="minorHAnsi" w:hAnsiTheme="minorHAnsi" w:cstheme="minorHAnsi"/>
            <w:b/>
            <w:bCs/>
            <w:sz w:val="18"/>
            <w:szCs w:val="18"/>
            <w:lang w:val="en-US"/>
          </w:rPr>
          <w:t xml:space="preserve">Decision 14.COM </w:t>
        </w:r>
        <w:proofErr w:type="gramStart"/>
        <w:r w:rsidRPr="00C875BE">
          <w:rPr>
            <w:rStyle w:val="Hyperlink1"/>
            <w:rFonts w:asciiTheme="minorHAnsi" w:hAnsiTheme="minorHAnsi" w:cstheme="minorHAnsi"/>
            <w:b/>
            <w:bCs/>
            <w:sz w:val="18"/>
            <w:szCs w:val="18"/>
            <w:lang w:val="en-US"/>
          </w:rPr>
          <w:t>10.a.</w:t>
        </w:r>
        <w:proofErr w:type="gramEnd"/>
        <w:r w:rsidRPr="00C875BE">
          <w:rPr>
            <w:rStyle w:val="Hyperlink1"/>
            <w:rFonts w:asciiTheme="minorHAnsi" w:hAnsiTheme="minorHAnsi" w:cstheme="minorHAnsi"/>
            <w:b/>
            <w:bCs/>
            <w:sz w:val="18"/>
            <w:szCs w:val="18"/>
            <w:lang w:val="en-US"/>
          </w:rPr>
          <w:t>5</w:t>
        </w:r>
      </w:hyperlink>
      <w:r w:rsidRPr="00C875BE">
        <w:rPr>
          <w:rFonts w:asciiTheme="minorHAnsi" w:hAnsiTheme="minorHAnsi" w:cstheme="minorHAnsi"/>
          <w:sz w:val="18"/>
          <w:szCs w:val="18"/>
        </w:rPr>
        <w:t xml:space="preserve"> para. 9.</w:t>
      </w:r>
    </w:p>
  </w:footnote>
  <w:footnote w:id="26">
    <w:p w14:paraId="508FCFC7"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w:t>
      </w:r>
      <w:hyperlink r:id="rId15" w:history="1">
        <w:r w:rsidRPr="00C875BE">
          <w:rPr>
            <w:rStyle w:val="Hyperlink1"/>
            <w:rFonts w:asciiTheme="minorHAnsi" w:hAnsiTheme="minorHAnsi" w:cstheme="minorHAnsi"/>
            <w:b/>
            <w:bCs/>
            <w:sz w:val="18"/>
            <w:szCs w:val="18"/>
            <w:lang w:val="en-US"/>
          </w:rPr>
          <w:t xml:space="preserve">Decision 15.COM </w:t>
        </w:r>
        <w:proofErr w:type="gramStart"/>
        <w:r w:rsidRPr="00C875BE">
          <w:rPr>
            <w:rStyle w:val="Hyperlink1"/>
            <w:rFonts w:asciiTheme="minorHAnsi" w:hAnsiTheme="minorHAnsi" w:cstheme="minorHAnsi"/>
            <w:b/>
            <w:bCs/>
            <w:sz w:val="18"/>
            <w:szCs w:val="18"/>
            <w:lang w:val="en-US"/>
          </w:rPr>
          <w:t>8.a.</w:t>
        </w:r>
        <w:proofErr w:type="gramEnd"/>
        <w:r w:rsidRPr="00C875BE">
          <w:rPr>
            <w:rStyle w:val="Hyperlink1"/>
            <w:rFonts w:asciiTheme="minorHAnsi" w:hAnsiTheme="minorHAnsi" w:cstheme="minorHAnsi"/>
            <w:b/>
            <w:bCs/>
            <w:sz w:val="18"/>
            <w:szCs w:val="18"/>
            <w:lang w:val="en-US"/>
          </w:rPr>
          <w:t>3</w:t>
        </w:r>
      </w:hyperlink>
      <w:r w:rsidRPr="00C875BE">
        <w:rPr>
          <w:rFonts w:asciiTheme="minorHAnsi" w:hAnsiTheme="minorHAnsi" w:cstheme="minorHAnsi"/>
          <w:sz w:val="18"/>
          <w:szCs w:val="18"/>
        </w:rPr>
        <w:t xml:space="preserve"> para. 6.</w:t>
      </w:r>
    </w:p>
  </w:footnote>
  <w:footnote w:id="27">
    <w:p w14:paraId="3822E49A" w14:textId="77777777" w:rsidR="00086ECF" w:rsidRPr="00035309"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rPr>
        <w:t xml:space="preserve"> For example, </w:t>
      </w:r>
      <w:hyperlink r:id="rId16" w:history="1">
        <w:r w:rsidRPr="00035309">
          <w:rPr>
            <w:rStyle w:val="Hyperlink1"/>
            <w:rFonts w:asciiTheme="minorHAnsi" w:hAnsiTheme="minorHAnsi" w:cstheme="minorHAnsi"/>
            <w:b/>
            <w:bCs/>
            <w:sz w:val="18"/>
            <w:szCs w:val="18"/>
          </w:rPr>
          <w:t xml:space="preserve">Decision 15.COM </w:t>
        </w:r>
        <w:proofErr w:type="gramStart"/>
        <w:r w:rsidRPr="00035309">
          <w:rPr>
            <w:rStyle w:val="Hyperlink1"/>
            <w:rFonts w:asciiTheme="minorHAnsi" w:hAnsiTheme="minorHAnsi" w:cstheme="minorHAnsi"/>
            <w:b/>
            <w:bCs/>
            <w:sz w:val="18"/>
            <w:szCs w:val="18"/>
          </w:rPr>
          <w:t>8.b.</w:t>
        </w:r>
        <w:proofErr w:type="gramEnd"/>
        <w:r w:rsidRPr="00035309">
          <w:rPr>
            <w:rStyle w:val="Hyperlink1"/>
            <w:rFonts w:asciiTheme="minorHAnsi" w:hAnsiTheme="minorHAnsi" w:cstheme="minorHAnsi"/>
            <w:b/>
            <w:bCs/>
            <w:sz w:val="18"/>
            <w:szCs w:val="18"/>
          </w:rPr>
          <w:t>7</w:t>
        </w:r>
      </w:hyperlink>
      <w:r w:rsidRPr="00035309">
        <w:rPr>
          <w:rFonts w:asciiTheme="minorHAnsi" w:hAnsiTheme="minorHAnsi" w:cstheme="minorHAnsi"/>
          <w:sz w:val="18"/>
          <w:szCs w:val="18"/>
        </w:rPr>
        <w:t xml:space="preserve"> para. 8; </w:t>
      </w:r>
      <w:hyperlink r:id="rId17" w:history="1">
        <w:r w:rsidRPr="00035309">
          <w:rPr>
            <w:rStyle w:val="Hyperlink1"/>
            <w:rFonts w:asciiTheme="minorHAnsi" w:hAnsiTheme="minorHAnsi" w:cstheme="minorHAnsi"/>
            <w:b/>
            <w:bCs/>
            <w:sz w:val="18"/>
            <w:szCs w:val="18"/>
          </w:rPr>
          <w:t xml:space="preserve">Decision 15.COM </w:t>
        </w:r>
        <w:proofErr w:type="gramStart"/>
        <w:r w:rsidRPr="00035309">
          <w:rPr>
            <w:rStyle w:val="Hyperlink1"/>
            <w:rFonts w:asciiTheme="minorHAnsi" w:hAnsiTheme="minorHAnsi" w:cstheme="minorHAnsi"/>
            <w:b/>
            <w:bCs/>
            <w:sz w:val="18"/>
            <w:szCs w:val="18"/>
          </w:rPr>
          <w:t>8.b.</w:t>
        </w:r>
        <w:proofErr w:type="gramEnd"/>
        <w:r w:rsidRPr="00035309">
          <w:rPr>
            <w:rStyle w:val="Hyperlink1"/>
            <w:rFonts w:asciiTheme="minorHAnsi" w:hAnsiTheme="minorHAnsi" w:cstheme="minorHAnsi"/>
            <w:b/>
            <w:bCs/>
            <w:sz w:val="18"/>
            <w:szCs w:val="18"/>
          </w:rPr>
          <w:t>31</w:t>
        </w:r>
      </w:hyperlink>
      <w:r w:rsidRPr="00035309">
        <w:rPr>
          <w:rFonts w:asciiTheme="minorHAnsi" w:hAnsiTheme="minorHAnsi" w:cstheme="minorHAnsi"/>
          <w:sz w:val="18"/>
          <w:szCs w:val="18"/>
        </w:rPr>
        <w:t xml:space="preserve"> para. 8; </w:t>
      </w:r>
      <w:hyperlink r:id="rId18" w:history="1">
        <w:r w:rsidRPr="00035309">
          <w:rPr>
            <w:rStyle w:val="Hyperlink1"/>
            <w:rFonts w:asciiTheme="minorHAnsi" w:hAnsiTheme="minorHAnsi" w:cstheme="minorHAnsi"/>
            <w:b/>
            <w:bCs/>
            <w:sz w:val="18"/>
            <w:szCs w:val="18"/>
          </w:rPr>
          <w:t xml:space="preserve">Decision 14.COM </w:t>
        </w:r>
        <w:proofErr w:type="gramStart"/>
        <w:r w:rsidRPr="00035309">
          <w:rPr>
            <w:rStyle w:val="Hyperlink1"/>
            <w:rFonts w:asciiTheme="minorHAnsi" w:hAnsiTheme="minorHAnsi" w:cstheme="minorHAnsi"/>
            <w:b/>
            <w:bCs/>
            <w:sz w:val="18"/>
            <w:szCs w:val="18"/>
          </w:rPr>
          <w:t>10.b.</w:t>
        </w:r>
        <w:proofErr w:type="gramEnd"/>
        <w:r w:rsidRPr="00035309">
          <w:rPr>
            <w:rStyle w:val="Hyperlink1"/>
            <w:rFonts w:asciiTheme="minorHAnsi" w:hAnsiTheme="minorHAnsi" w:cstheme="minorHAnsi"/>
            <w:b/>
            <w:bCs/>
            <w:sz w:val="18"/>
            <w:szCs w:val="18"/>
          </w:rPr>
          <w:t>32</w:t>
        </w:r>
      </w:hyperlink>
      <w:r w:rsidRPr="00035309">
        <w:rPr>
          <w:rFonts w:asciiTheme="minorHAnsi" w:hAnsiTheme="minorHAnsi" w:cstheme="minorHAnsi"/>
          <w:sz w:val="18"/>
          <w:szCs w:val="18"/>
        </w:rPr>
        <w:t xml:space="preserve"> para 3 R3.</w:t>
      </w:r>
    </w:p>
  </w:footnote>
  <w:footnote w:id="28">
    <w:p w14:paraId="2DA8C39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A few decisions mention both an over-emphasis on commercial aspects, as well as the need for mitigations, and have thus been counted twice. </w:t>
      </w:r>
    </w:p>
  </w:footnote>
  <w:footnote w:id="29">
    <w:p w14:paraId="3E640A97"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9"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11.COM </w:t>
        </w:r>
        <w:proofErr w:type="gramStart"/>
        <w:r w:rsidRPr="00C875BE">
          <w:rPr>
            <w:rStyle w:val="Hyperlink1"/>
            <w:rFonts w:asciiTheme="minorHAnsi" w:hAnsiTheme="minorHAnsi" w:cstheme="minorHAnsi"/>
            <w:b/>
            <w:bCs/>
            <w:sz w:val="18"/>
            <w:szCs w:val="18"/>
            <w:lang w:val="es-ES"/>
          </w:rPr>
          <w:t>10.c.</w:t>
        </w:r>
        <w:proofErr w:type="gramEnd"/>
        <w:r w:rsidRPr="00C875BE">
          <w:rPr>
            <w:rStyle w:val="Hyperlink1"/>
            <w:rFonts w:asciiTheme="minorHAnsi" w:hAnsiTheme="minorHAnsi" w:cstheme="minorHAnsi"/>
            <w:b/>
            <w:bCs/>
            <w:sz w:val="18"/>
            <w:szCs w:val="18"/>
            <w:lang w:val="es-ES"/>
          </w:rPr>
          <w:t>1</w:t>
        </w:r>
      </w:hyperlink>
      <w:r w:rsidRPr="00C875BE">
        <w:rPr>
          <w:rFonts w:asciiTheme="minorHAnsi" w:hAnsiTheme="minorHAnsi" w:cstheme="minorHAnsi"/>
          <w:b/>
          <w:sz w:val="18"/>
          <w:szCs w:val="18"/>
          <w:lang w:val="es-ES"/>
        </w:rPr>
        <w:t xml:space="preserve"> </w:t>
      </w:r>
      <w:r w:rsidRPr="00C875BE">
        <w:rPr>
          <w:rFonts w:asciiTheme="minorHAnsi" w:hAnsiTheme="minorHAnsi" w:cstheme="minorHAnsi"/>
          <w:bCs/>
          <w:sz w:val="18"/>
          <w:szCs w:val="18"/>
          <w:lang w:val="es-ES"/>
        </w:rPr>
        <w:t>para. 2 P.4.</w:t>
      </w:r>
    </w:p>
  </w:footnote>
  <w:footnote w:id="30">
    <w:p w14:paraId="1EF70612"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20"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13.COM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11</w:t>
        </w:r>
      </w:hyperlink>
      <w:r w:rsidRPr="00C875BE">
        <w:rPr>
          <w:rFonts w:asciiTheme="minorHAnsi" w:hAnsiTheme="minorHAnsi" w:cstheme="minorHAnsi"/>
          <w:sz w:val="18"/>
          <w:szCs w:val="18"/>
          <w:lang w:val="es-ES"/>
        </w:rPr>
        <w:t xml:space="preserve"> para. 4.</w:t>
      </w:r>
    </w:p>
  </w:footnote>
  <w:footnote w:id="31">
    <w:p w14:paraId="05B09165"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hyperlink r:id="rId21" w:history="1">
        <w:r w:rsidRPr="00C875BE">
          <w:rPr>
            <w:rStyle w:val="Hyperlink1"/>
            <w:rFonts w:asciiTheme="minorHAnsi" w:hAnsiTheme="minorHAnsi" w:cstheme="minorHAnsi"/>
            <w:b/>
            <w:bCs/>
            <w:sz w:val="18"/>
            <w:szCs w:val="18"/>
            <w:lang w:val="es-ES"/>
          </w:rPr>
          <w:t>LHE/20/15.COM/10</w:t>
        </w:r>
      </w:hyperlink>
      <w:r w:rsidRPr="00C875BE">
        <w:rPr>
          <w:rFonts w:asciiTheme="minorHAnsi" w:hAnsiTheme="minorHAnsi" w:cstheme="minorHAnsi"/>
          <w:sz w:val="18"/>
          <w:szCs w:val="18"/>
          <w:lang w:val="es-ES"/>
        </w:rPr>
        <w:t xml:space="preserve"> para. </w:t>
      </w:r>
      <w:r w:rsidRPr="00C875BE">
        <w:rPr>
          <w:rFonts w:asciiTheme="minorHAnsi" w:hAnsiTheme="minorHAnsi" w:cstheme="minorHAnsi"/>
          <w:sz w:val="18"/>
          <w:szCs w:val="18"/>
        </w:rPr>
        <w:t>38.</w:t>
      </w:r>
    </w:p>
  </w:footnote>
  <w:footnote w:id="32">
    <w:p w14:paraId="61C693A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22" w:history="1">
        <w:r w:rsidRPr="00C875BE">
          <w:rPr>
            <w:rStyle w:val="Hyperlink1"/>
            <w:rFonts w:asciiTheme="minorHAnsi" w:hAnsiTheme="minorHAnsi" w:cstheme="minorHAnsi"/>
            <w:b/>
            <w:bCs/>
            <w:sz w:val="18"/>
            <w:szCs w:val="18"/>
          </w:rPr>
          <w:t>LHE/20/15.COM/10</w:t>
        </w:r>
      </w:hyperlink>
      <w:r w:rsidRPr="00C875BE">
        <w:rPr>
          <w:rFonts w:asciiTheme="minorHAnsi" w:hAnsiTheme="minorHAnsi" w:cstheme="minorHAnsi"/>
          <w:sz w:val="18"/>
          <w:szCs w:val="18"/>
        </w:rPr>
        <w:t xml:space="preserve"> para. 38.</w:t>
      </w:r>
    </w:p>
  </w:footnote>
  <w:footnote w:id="33">
    <w:p w14:paraId="1A1B3DD8" w14:textId="31CDFD53"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Mongolian calligraphy, Mongolia. Inscribed in 2013 (8.COM) on the USL; </w:t>
      </w:r>
      <w:proofErr w:type="spellStart"/>
      <w:r w:rsidRPr="00C875BE">
        <w:rPr>
          <w:rFonts w:asciiTheme="minorHAnsi" w:hAnsiTheme="minorHAnsi" w:cstheme="minorHAnsi"/>
          <w:sz w:val="18"/>
          <w:szCs w:val="18"/>
        </w:rPr>
        <w:t>Chapei</w:t>
      </w:r>
      <w:proofErr w:type="spellEnd"/>
      <w:r w:rsidRPr="00C875BE">
        <w:rPr>
          <w:rFonts w:asciiTheme="minorHAnsi" w:hAnsiTheme="minorHAnsi" w:cstheme="minorHAnsi"/>
          <w:sz w:val="18"/>
          <w:szCs w:val="18"/>
        </w:rPr>
        <w:t xml:space="preserve"> Dang Veng, Cambodia Inscribed in 2016 (11.COM) on the USL; </w:t>
      </w:r>
      <w:proofErr w:type="spellStart"/>
      <w:r w:rsidRPr="00C875BE">
        <w:rPr>
          <w:rFonts w:asciiTheme="minorHAnsi" w:hAnsiTheme="minorHAnsi" w:cstheme="minorHAnsi"/>
          <w:sz w:val="18"/>
          <w:szCs w:val="18"/>
        </w:rPr>
        <w:t>Bisalhães</w:t>
      </w:r>
      <w:proofErr w:type="spellEnd"/>
      <w:r w:rsidRPr="00C875BE">
        <w:rPr>
          <w:rFonts w:asciiTheme="minorHAnsi" w:hAnsiTheme="minorHAnsi" w:cstheme="minorHAnsi"/>
          <w:sz w:val="18"/>
          <w:szCs w:val="18"/>
        </w:rPr>
        <w:t xml:space="preserve"> black pottery manufacturing process, Portugal Inscribed in 2016 (11.COM) on the USL; Shadow play, Syrian Arab Republic Inscribed in 2018 (13.COM) on the USL; Traditional knowledge and techniques associated with Pasto Varnish </w:t>
      </w:r>
      <w:proofErr w:type="spellStart"/>
      <w:r w:rsidRPr="00C875BE">
        <w:rPr>
          <w:rFonts w:asciiTheme="minorHAnsi" w:hAnsiTheme="minorHAnsi" w:cstheme="minorHAnsi"/>
          <w:sz w:val="18"/>
          <w:szCs w:val="18"/>
        </w:rPr>
        <w:t>mopa-mopa</w:t>
      </w:r>
      <w:proofErr w:type="spellEnd"/>
      <w:r w:rsidRPr="00C875BE">
        <w:rPr>
          <w:rFonts w:asciiTheme="minorHAnsi" w:hAnsiTheme="minorHAnsi" w:cstheme="minorHAnsi"/>
          <w:sz w:val="18"/>
          <w:szCs w:val="18"/>
        </w:rPr>
        <w:t xml:space="preserve"> of Putumayo and Nariño, Colombia. Inscribed in 2020 (15.COM) on the USL.</w:t>
      </w:r>
    </w:p>
  </w:footnote>
  <w:footnote w:id="34">
    <w:p w14:paraId="22204895"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23" w:history="1">
        <w:r w:rsidRPr="00C875BE">
          <w:rPr>
            <w:rStyle w:val="Hyperlink1"/>
            <w:rFonts w:asciiTheme="minorHAnsi" w:hAnsiTheme="minorHAnsi" w:cstheme="minorHAnsi"/>
            <w:b/>
            <w:bCs/>
            <w:sz w:val="18"/>
            <w:szCs w:val="18"/>
            <w:lang w:val="en-US"/>
          </w:rPr>
          <w:t>ITH/14/9.COM/</w:t>
        </w:r>
        <w:proofErr w:type="gramStart"/>
        <w:r w:rsidRPr="00C875BE">
          <w:rPr>
            <w:rStyle w:val="Hyperlink1"/>
            <w:rFonts w:asciiTheme="minorHAnsi" w:hAnsiTheme="minorHAnsi" w:cstheme="minorHAnsi"/>
            <w:b/>
            <w:bCs/>
            <w:sz w:val="18"/>
            <w:szCs w:val="18"/>
            <w:lang w:val="en-US"/>
          </w:rPr>
          <w:t>9.a</w:t>
        </w:r>
        <w:proofErr w:type="gramEnd"/>
      </w:hyperlink>
      <w:r w:rsidRPr="00C875BE">
        <w:rPr>
          <w:rFonts w:asciiTheme="minorHAnsi" w:hAnsiTheme="minorHAnsi" w:cstheme="minorHAnsi"/>
          <w:sz w:val="18"/>
          <w:szCs w:val="18"/>
        </w:rPr>
        <w:t xml:space="preserve"> para. 7 and Document </w:t>
      </w:r>
      <w:hyperlink r:id="rId24" w:history="1">
        <w:r w:rsidRPr="00C875BE">
          <w:rPr>
            <w:rStyle w:val="Hyperlink1"/>
            <w:rFonts w:asciiTheme="minorHAnsi" w:hAnsiTheme="minorHAnsi" w:cstheme="minorHAnsi"/>
            <w:b/>
            <w:bCs/>
            <w:sz w:val="18"/>
            <w:szCs w:val="18"/>
            <w:lang w:val="en-US"/>
          </w:rPr>
          <w:t>ITH/13/8.COM/7</w:t>
        </w:r>
      </w:hyperlink>
      <w:r w:rsidRPr="00C875BE">
        <w:rPr>
          <w:rFonts w:asciiTheme="minorHAnsi" w:hAnsiTheme="minorHAnsi" w:cstheme="minorHAnsi"/>
          <w:sz w:val="18"/>
          <w:szCs w:val="18"/>
          <w:lang w:val="en-US"/>
        </w:rPr>
        <w:t xml:space="preserve"> </w:t>
      </w:r>
      <w:r w:rsidRPr="00C875BE">
        <w:rPr>
          <w:rFonts w:asciiTheme="minorHAnsi" w:hAnsiTheme="minorHAnsi" w:cstheme="minorHAnsi"/>
          <w:sz w:val="18"/>
          <w:szCs w:val="18"/>
        </w:rPr>
        <w:t>para. 36.</w:t>
      </w:r>
    </w:p>
  </w:footnote>
  <w:footnote w:id="35">
    <w:p w14:paraId="4B8D500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25" w:history="1">
        <w:r w:rsidRPr="00C875BE">
          <w:rPr>
            <w:rStyle w:val="Hyperlink1"/>
            <w:rFonts w:asciiTheme="minorHAnsi" w:hAnsiTheme="minorHAnsi" w:cstheme="minorHAnsi"/>
            <w:b/>
            <w:bCs/>
            <w:sz w:val="18"/>
            <w:szCs w:val="18"/>
            <w:lang w:val="en-US"/>
          </w:rPr>
          <w:t>ITH/13/8.COM/8</w:t>
        </w:r>
      </w:hyperlink>
      <w:r w:rsidRPr="00C875BE">
        <w:rPr>
          <w:rFonts w:asciiTheme="minorHAnsi" w:hAnsiTheme="minorHAnsi" w:cstheme="minorHAnsi"/>
          <w:sz w:val="18"/>
          <w:szCs w:val="18"/>
        </w:rPr>
        <w:t xml:space="preserve"> para. 53.</w:t>
      </w:r>
    </w:p>
  </w:footnote>
  <w:footnote w:id="36">
    <w:p w14:paraId="0744C6FC" w14:textId="77777777" w:rsidR="00086ECF" w:rsidRPr="00035309" w:rsidRDefault="00086ECF" w:rsidP="00095F74">
      <w:pPr>
        <w:pStyle w:val="FootnoteText"/>
        <w:jc w:val="left"/>
        <w:rPr>
          <w:rFonts w:asciiTheme="minorHAnsi" w:hAnsiTheme="minorHAnsi" w:cstheme="minorHAnsi"/>
          <w:sz w:val="18"/>
          <w:szCs w:val="18"/>
          <w:lang w:val="en-US"/>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n-US"/>
        </w:rPr>
        <w:t xml:space="preserve"> Document </w:t>
      </w:r>
      <w:hyperlink r:id="rId26" w:history="1">
        <w:r w:rsidRPr="00035309">
          <w:rPr>
            <w:rStyle w:val="Hyperlink1"/>
            <w:rFonts w:asciiTheme="minorHAnsi" w:hAnsiTheme="minorHAnsi" w:cstheme="minorHAnsi"/>
            <w:b/>
            <w:bCs/>
            <w:sz w:val="18"/>
            <w:szCs w:val="18"/>
            <w:lang w:val="en-US"/>
          </w:rPr>
          <w:t>ITH/16/11.COM/10</w:t>
        </w:r>
      </w:hyperlink>
      <w:r w:rsidRPr="00035309">
        <w:rPr>
          <w:rFonts w:asciiTheme="minorHAnsi" w:hAnsiTheme="minorHAnsi" w:cstheme="minorHAnsi"/>
          <w:sz w:val="18"/>
          <w:szCs w:val="18"/>
          <w:lang w:val="en-US"/>
        </w:rPr>
        <w:t xml:space="preserve"> para 48.</w:t>
      </w:r>
    </w:p>
  </w:footnote>
  <w:footnote w:id="37">
    <w:p w14:paraId="7492773A"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hyperlink r:id="rId27" w:history="1">
        <w:r w:rsidRPr="00C875BE">
          <w:rPr>
            <w:rStyle w:val="Hyperlink1"/>
            <w:rFonts w:asciiTheme="minorHAnsi" w:hAnsiTheme="minorHAnsi" w:cstheme="minorHAnsi"/>
            <w:b/>
            <w:bCs/>
            <w:sz w:val="18"/>
            <w:szCs w:val="18"/>
            <w:lang w:val="es-ES"/>
          </w:rPr>
          <w:t>LHE/19/14.COM/10</w:t>
        </w:r>
      </w:hyperlink>
      <w:r w:rsidRPr="00C875BE">
        <w:rPr>
          <w:rFonts w:asciiTheme="minorHAnsi" w:hAnsiTheme="minorHAnsi" w:cstheme="minorHAnsi"/>
          <w:sz w:val="18"/>
          <w:szCs w:val="18"/>
          <w:lang w:val="es-ES"/>
        </w:rPr>
        <w:t xml:space="preserve"> para. 37.</w:t>
      </w:r>
    </w:p>
  </w:footnote>
  <w:footnote w:id="38">
    <w:p w14:paraId="31F4E96D" w14:textId="2239546D"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bookmarkStart w:id="14" w:name="_Hlk81483426"/>
      <w:r w:rsidRPr="00C875BE">
        <w:rPr>
          <w:rFonts w:asciiTheme="minorHAnsi" w:hAnsiTheme="minorHAnsi" w:cstheme="minorHAnsi"/>
          <w:sz w:val="18"/>
          <w:szCs w:val="18"/>
        </w:rPr>
        <w:fldChar w:fldCharType="begin"/>
      </w:r>
      <w:r w:rsidRPr="00C875BE">
        <w:rPr>
          <w:rFonts w:asciiTheme="minorHAnsi" w:hAnsiTheme="minorHAnsi" w:cstheme="minorHAnsi"/>
          <w:sz w:val="18"/>
          <w:szCs w:val="18"/>
          <w:lang w:val="es-ES"/>
        </w:rPr>
        <w:instrText>HYPERLINK "https://ich.unesco.org/en/Decisions/14.COM/10.b.32"</w:instrText>
      </w:r>
      <w:r w:rsidRPr="00C875BE">
        <w:rPr>
          <w:rFonts w:asciiTheme="minorHAnsi" w:hAnsiTheme="minorHAnsi" w:cstheme="minorHAnsi"/>
          <w:sz w:val="18"/>
          <w:szCs w:val="18"/>
        </w:rPr>
      </w:r>
      <w:r w:rsidRPr="00C875BE">
        <w:rPr>
          <w:rFonts w:asciiTheme="minorHAnsi" w:hAnsiTheme="minorHAnsi" w:cstheme="minorHAnsi"/>
          <w:sz w:val="18"/>
          <w:szCs w:val="18"/>
        </w:rPr>
        <w:fldChar w:fldCharType="separate"/>
      </w:r>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32</w:t>
      </w:r>
      <w:r w:rsidRPr="00C875BE">
        <w:rPr>
          <w:rFonts w:asciiTheme="minorHAnsi" w:hAnsiTheme="minorHAnsi" w:cstheme="minorHAnsi"/>
          <w:sz w:val="18"/>
          <w:szCs w:val="18"/>
        </w:rPr>
        <w:fldChar w:fldCharType="end"/>
      </w:r>
      <w:r w:rsidRPr="00C875BE">
        <w:rPr>
          <w:rFonts w:asciiTheme="minorHAnsi" w:hAnsiTheme="minorHAnsi" w:cstheme="minorHAnsi"/>
          <w:sz w:val="18"/>
          <w:szCs w:val="18"/>
          <w:lang w:val="es-ES"/>
        </w:rPr>
        <w:t xml:space="preserve"> para. 5; </w:t>
      </w:r>
      <w:hyperlink r:id="rId28"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31</w:t>
        </w:r>
      </w:hyperlink>
      <w:bookmarkEnd w:id="14"/>
      <w:r w:rsidRPr="00C875BE">
        <w:rPr>
          <w:rFonts w:asciiTheme="minorHAnsi" w:hAnsiTheme="minorHAnsi" w:cstheme="minorHAnsi"/>
          <w:sz w:val="18"/>
          <w:szCs w:val="18"/>
          <w:lang w:val="es-ES"/>
        </w:rPr>
        <w:t xml:space="preserve"> para. 3 R.3, para. 9 and </w:t>
      </w:r>
      <w:hyperlink r:id="rId29"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13.COM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12</w:t>
        </w:r>
      </w:hyperlink>
      <w:r w:rsidRPr="00C875BE">
        <w:rPr>
          <w:rFonts w:asciiTheme="minorHAnsi" w:hAnsiTheme="minorHAnsi" w:cstheme="minorHAnsi"/>
          <w:sz w:val="18"/>
          <w:szCs w:val="18"/>
          <w:lang w:val="es-ES"/>
        </w:rPr>
        <w:t xml:space="preserve"> para. 3 R.2. </w:t>
      </w:r>
      <w:proofErr w:type="spellStart"/>
      <w:r w:rsidRPr="00C875BE">
        <w:rPr>
          <w:rFonts w:asciiTheme="minorHAnsi" w:hAnsiTheme="minorHAnsi" w:cstheme="minorHAnsi"/>
          <w:sz w:val="18"/>
          <w:szCs w:val="18"/>
          <w:lang w:val="es-ES"/>
        </w:rPr>
        <w:t>See</w:t>
      </w:r>
      <w:proofErr w:type="spellEnd"/>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also</w:t>
      </w:r>
      <w:proofErr w:type="spellEnd"/>
      <w:r w:rsidRPr="00C875BE">
        <w:rPr>
          <w:rFonts w:asciiTheme="minorHAnsi" w:hAnsiTheme="minorHAnsi" w:cstheme="minorHAnsi"/>
          <w:sz w:val="18"/>
          <w:szCs w:val="18"/>
          <w:lang w:val="es-ES"/>
        </w:rPr>
        <w:t xml:space="preserve"> </w:t>
      </w:r>
      <w:hyperlink r:id="rId30"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15.COM 8.a.3</w:t>
        </w:r>
      </w:hyperlink>
      <w:r w:rsidRPr="00C875BE">
        <w:rPr>
          <w:rFonts w:asciiTheme="minorHAnsi" w:hAnsiTheme="minorHAnsi" w:cstheme="minorHAnsi"/>
          <w:sz w:val="18"/>
          <w:szCs w:val="18"/>
          <w:lang w:val="es-ES"/>
        </w:rPr>
        <w:t xml:space="preserve"> para. 6.</w:t>
      </w:r>
    </w:p>
  </w:footnote>
  <w:footnote w:id="39">
    <w:p w14:paraId="1BABD018" w14:textId="257C9B19"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For </w:t>
      </w:r>
      <w:proofErr w:type="spellStart"/>
      <w:r w:rsidRPr="00C875BE">
        <w:rPr>
          <w:rFonts w:asciiTheme="minorHAnsi" w:hAnsiTheme="minorHAnsi" w:cstheme="minorHAnsi"/>
          <w:sz w:val="18"/>
          <w:szCs w:val="18"/>
          <w:lang w:val="es-ES"/>
        </w:rPr>
        <w:t>example</w:t>
      </w:r>
      <w:proofErr w:type="spellEnd"/>
      <w:r w:rsidRPr="00C875BE">
        <w:rPr>
          <w:rFonts w:asciiTheme="minorHAnsi" w:hAnsiTheme="minorHAnsi" w:cstheme="minorHAnsi"/>
          <w:sz w:val="18"/>
          <w:szCs w:val="18"/>
          <w:lang w:val="es-ES"/>
        </w:rPr>
        <w:t xml:space="preserve">, </w:t>
      </w:r>
      <w:hyperlink r:id="rId31"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10</w:t>
        </w:r>
      </w:hyperlink>
      <w:r w:rsidRPr="00C875BE">
        <w:rPr>
          <w:rFonts w:asciiTheme="minorHAnsi" w:hAnsiTheme="minorHAnsi" w:cstheme="minorHAnsi"/>
          <w:sz w:val="18"/>
          <w:szCs w:val="18"/>
          <w:lang w:val="es-ES"/>
        </w:rPr>
        <w:t xml:space="preserve"> para 7; </w:t>
      </w:r>
      <w:hyperlink r:id="rId32"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10.b.31</w:t>
        </w:r>
      </w:hyperlink>
      <w:r w:rsidRPr="00C875BE">
        <w:rPr>
          <w:rFonts w:asciiTheme="minorHAnsi" w:hAnsiTheme="minorHAnsi" w:cstheme="minorHAnsi"/>
          <w:b/>
          <w:sz w:val="18"/>
          <w:szCs w:val="18"/>
          <w:lang w:val="es-ES"/>
        </w:rPr>
        <w:t xml:space="preserve"> </w:t>
      </w:r>
      <w:r w:rsidRPr="00C875BE">
        <w:rPr>
          <w:rFonts w:asciiTheme="minorHAnsi" w:hAnsiTheme="minorHAnsi" w:cstheme="minorHAnsi"/>
          <w:bCs/>
          <w:sz w:val="18"/>
          <w:szCs w:val="18"/>
          <w:lang w:val="es-ES"/>
        </w:rPr>
        <w:t xml:space="preserve">para. 3 R.3; </w:t>
      </w:r>
      <w:hyperlink r:id="rId33"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13.COM </w:t>
        </w:r>
        <w:proofErr w:type="gramStart"/>
        <w:r w:rsidRPr="00C875BE">
          <w:rPr>
            <w:rStyle w:val="Hyperlink1"/>
            <w:rFonts w:asciiTheme="minorHAnsi" w:hAnsiTheme="minorHAnsi" w:cstheme="minorHAnsi"/>
            <w:b/>
            <w:sz w:val="18"/>
            <w:szCs w:val="18"/>
            <w:lang w:val="es-ES"/>
          </w:rPr>
          <w:t>10.b.</w:t>
        </w:r>
        <w:proofErr w:type="gramEnd"/>
        <w:r w:rsidRPr="00C875BE">
          <w:rPr>
            <w:rStyle w:val="Hyperlink1"/>
            <w:rFonts w:asciiTheme="minorHAnsi" w:hAnsiTheme="minorHAnsi" w:cstheme="minorHAnsi"/>
            <w:b/>
            <w:sz w:val="18"/>
            <w:szCs w:val="18"/>
            <w:lang w:val="es-ES"/>
          </w:rPr>
          <w:t>16</w:t>
        </w:r>
      </w:hyperlink>
      <w:r w:rsidRPr="00C875BE">
        <w:rPr>
          <w:rFonts w:asciiTheme="minorHAnsi" w:hAnsiTheme="minorHAnsi" w:cstheme="minorHAnsi"/>
          <w:bCs/>
          <w:sz w:val="18"/>
          <w:szCs w:val="18"/>
          <w:lang w:val="es-ES"/>
        </w:rPr>
        <w:t xml:space="preserve"> para. </w:t>
      </w:r>
      <w:r w:rsidRPr="00C875BE">
        <w:rPr>
          <w:rFonts w:asciiTheme="minorHAnsi" w:hAnsiTheme="minorHAnsi" w:cstheme="minorHAnsi"/>
          <w:bCs/>
          <w:sz w:val="18"/>
          <w:szCs w:val="18"/>
          <w:lang w:val="en-US"/>
        </w:rPr>
        <w:t>3 R.3.</w:t>
      </w:r>
    </w:p>
  </w:footnote>
  <w:footnote w:id="40">
    <w:p w14:paraId="295AE5DD"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34" w:history="1">
        <w:r w:rsidRPr="00C875BE">
          <w:rPr>
            <w:rStyle w:val="Hyperlink1"/>
            <w:rFonts w:asciiTheme="minorHAnsi" w:hAnsiTheme="minorHAnsi" w:cstheme="minorHAnsi"/>
            <w:b/>
            <w:bCs/>
            <w:sz w:val="18"/>
            <w:szCs w:val="18"/>
          </w:rPr>
          <w:t>ITH/13/8.COM/7</w:t>
        </w:r>
      </w:hyperlink>
      <w:r w:rsidRPr="00C875BE">
        <w:rPr>
          <w:rFonts w:asciiTheme="minorHAnsi" w:hAnsiTheme="minorHAnsi" w:cstheme="minorHAnsi"/>
          <w:sz w:val="18"/>
          <w:szCs w:val="18"/>
          <w:lang w:val="pt-PT"/>
        </w:rPr>
        <w:t xml:space="preserve"> </w:t>
      </w:r>
      <w:r w:rsidRPr="00C875BE">
        <w:rPr>
          <w:rFonts w:asciiTheme="minorHAnsi" w:hAnsiTheme="minorHAnsi" w:cstheme="minorHAnsi"/>
          <w:sz w:val="18"/>
          <w:szCs w:val="18"/>
          <w:lang w:val="pt-PT"/>
        </w:rPr>
        <w:t xml:space="preserve">para. </w:t>
      </w:r>
      <w:r w:rsidRPr="00C875BE">
        <w:rPr>
          <w:rFonts w:asciiTheme="minorHAnsi" w:hAnsiTheme="minorHAnsi" w:cstheme="minorHAnsi"/>
          <w:sz w:val="18"/>
          <w:szCs w:val="18"/>
          <w:lang w:val="pt-PT"/>
        </w:rPr>
        <w:t>40.</w:t>
      </w:r>
    </w:p>
  </w:footnote>
  <w:footnote w:id="41">
    <w:p w14:paraId="1F310B28"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35" w:history="1">
        <w:r w:rsidRPr="00C875BE">
          <w:rPr>
            <w:rStyle w:val="Hyperlink1"/>
            <w:rFonts w:asciiTheme="minorHAnsi" w:hAnsiTheme="minorHAnsi" w:cstheme="minorHAnsi"/>
            <w:b/>
            <w:bCs/>
            <w:sz w:val="18"/>
            <w:szCs w:val="18"/>
          </w:rPr>
          <w:t xml:space="preserve">Decision 13.COM </w:t>
        </w:r>
        <w:proofErr w:type="gramStart"/>
        <w:r w:rsidRPr="00C875BE">
          <w:rPr>
            <w:rStyle w:val="Hyperlink1"/>
            <w:rFonts w:asciiTheme="minorHAnsi" w:hAnsiTheme="minorHAnsi" w:cstheme="minorHAnsi"/>
            <w:b/>
            <w:bCs/>
            <w:sz w:val="18"/>
            <w:szCs w:val="18"/>
          </w:rPr>
          <w:t>10.b.</w:t>
        </w:r>
        <w:proofErr w:type="gramEnd"/>
        <w:r w:rsidRPr="00C875BE">
          <w:rPr>
            <w:rStyle w:val="Hyperlink1"/>
            <w:rFonts w:asciiTheme="minorHAnsi" w:hAnsiTheme="minorHAnsi" w:cstheme="minorHAnsi"/>
            <w:b/>
            <w:bCs/>
            <w:sz w:val="18"/>
            <w:szCs w:val="18"/>
          </w:rPr>
          <w:t>11</w:t>
        </w:r>
      </w:hyperlink>
      <w:r w:rsidRPr="00C875BE">
        <w:rPr>
          <w:rFonts w:asciiTheme="minorHAnsi" w:hAnsiTheme="minorHAnsi" w:cstheme="minorHAnsi"/>
          <w:sz w:val="18"/>
          <w:szCs w:val="18"/>
        </w:rPr>
        <w:t xml:space="preserve"> para. 4 mentions the ‘positive role that can be played by sustainable tourism in generating additional financial resources for the successful performance of community </w:t>
      </w:r>
      <w:proofErr w:type="gramStart"/>
      <w:r w:rsidRPr="00C875BE">
        <w:rPr>
          <w:rFonts w:asciiTheme="minorHAnsi" w:hAnsiTheme="minorHAnsi" w:cstheme="minorHAnsi"/>
          <w:sz w:val="18"/>
          <w:szCs w:val="18"/>
        </w:rPr>
        <w:t>festivities’</w:t>
      </w:r>
      <w:proofErr w:type="gramEnd"/>
      <w:r w:rsidRPr="00C875BE">
        <w:rPr>
          <w:rFonts w:asciiTheme="minorHAnsi" w:hAnsiTheme="minorHAnsi" w:cstheme="minorHAnsi"/>
          <w:sz w:val="18"/>
          <w:szCs w:val="18"/>
        </w:rPr>
        <w:t xml:space="preserve">. See also </w:t>
      </w:r>
      <w:hyperlink r:id="rId36" w:history="1">
        <w:r w:rsidRPr="00C875BE">
          <w:rPr>
            <w:rStyle w:val="Hyperlink1"/>
            <w:rFonts w:asciiTheme="minorHAnsi" w:hAnsiTheme="minorHAnsi" w:cstheme="minorHAnsi"/>
            <w:b/>
            <w:bCs/>
            <w:sz w:val="18"/>
            <w:szCs w:val="18"/>
          </w:rPr>
          <w:t xml:space="preserve">Decision 11.COM </w:t>
        </w:r>
        <w:proofErr w:type="gramStart"/>
        <w:r w:rsidRPr="00C875BE">
          <w:rPr>
            <w:rStyle w:val="Hyperlink1"/>
            <w:rFonts w:asciiTheme="minorHAnsi" w:hAnsiTheme="minorHAnsi" w:cstheme="minorHAnsi"/>
            <w:b/>
            <w:bCs/>
            <w:sz w:val="18"/>
            <w:szCs w:val="18"/>
          </w:rPr>
          <w:t>10.c.</w:t>
        </w:r>
        <w:proofErr w:type="gramEnd"/>
        <w:r w:rsidRPr="00C875BE">
          <w:rPr>
            <w:rStyle w:val="Hyperlink1"/>
            <w:rFonts w:asciiTheme="minorHAnsi" w:hAnsiTheme="minorHAnsi" w:cstheme="minorHAnsi"/>
            <w:b/>
            <w:bCs/>
            <w:sz w:val="18"/>
            <w:szCs w:val="18"/>
          </w:rPr>
          <w:t>1</w:t>
        </w:r>
      </w:hyperlink>
      <w:r w:rsidRPr="00C875BE">
        <w:rPr>
          <w:rFonts w:asciiTheme="minorHAnsi" w:hAnsiTheme="minorHAnsi" w:cstheme="minorHAnsi"/>
          <w:b/>
          <w:sz w:val="18"/>
          <w:szCs w:val="18"/>
          <w:lang w:val="en-US"/>
        </w:rPr>
        <w:t xml:space="preserve"> </w:t>
      </w:r>
      <w:r w:rsidRPr="00C875BE">
        <w:rPr>
          <w:rFonts w:asciiTheme="minorHAnsi" w:hAnsiTheme="minorHAnsi" w:cstheme="minorHAnsi"/>
          <w:bCs/>
          <w:sz w:val="18"/>
          <w:szCs w:val="18"/>
          <w:lang w:val="en-US"/>
        </w:rPr>
        <w:t>para. 2 P.4.</w:t>
      </w:r>
    </w:p>
  </w:footnote>
  <w:footnote w:id="42">
    <w:p w14:paraId="3785B607" w14:textId="6AE140C6"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37" w:history="1">
        <w:hyperlink r:id="rId38" w:history="1">
          <w:r w:rsidRPr="00C875BE">
            <w:rPr>
              <w:rStyle w:val="Hyperlink1"/>
              <w:rFonts w:asciiTheme="minorHAnsi" w:hAnsiTheme="minorHAnsi" w:cstheme="minorHAnsi"/>
              <w:b/>
              <w:sz w:val="18"/>
              <w:szCs w:val="18"/>
              <w:lang w:val="en-US"/>
            </w:rPr>
            <w:t>Decision 14.COM 10.b.32</w:t>
          </w:r>
        </w:hyperlink>
        <w:r w:rsidRPr="00C875BE">
          <w:rPr>
            <w:rStyle w:val="Hyperlink1"/>
            <w:rFonts w:asciiTheme="minorHAnsi" w:hAnsiTheme="minorHAnsi" w:cstheme="minorHAnsi"/>
            <w:sz w:val="18"/>
            <w:szCs w:val="18"/>
            <w:lang w:val="en-US"/>
          </w:rPr>
          <w:t xml:space="preserve"> </w:t>
        </w:r>
      </w:hyperlink>
      <w:r w:rsidRPr="00C875BE">
        <w:rPr>
          <w:rFonts w:asciiTheme="minorHAnsi" w:hAnsiTheme="minorHAnsi" w:cstheme="minorHAnsi"/>
          <w:sz w:val="18"/>
          <w:szCs w:val="18"/>
        </w:rPr>
        <w:t>para. 3 R.2, R.3.</w:t>
      </w:r>
    </w:p>
  </w:footnote>
  <w:footnote w:id="43">
    <w:p w14:paraId="1FA502B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39" w:history="1">
        <w:r w:rsidRPr="00C875BE">
          <w:rPr>
            <w:rStyle w:val="Hyperlink1"/>
            <w:rFonts w:asciiTheme="minorHAnsi" w:hAnsiTheme="minorHAnsi" w:cstheme="minorHAnsi"/>
            <w:b/>
            <w:bCs/>
            <w:sz w:val="18"/>
            <w:szCs w:val="18"/>
          </w:rPr>
          <w:t>ITH/13/8.COM/7</w:t>
        </w:r>
      </w:hyperlink>
      <w:r w:rsidRPr="00C875BE">
        <w:rPr>
          <w:rFonts w:asciiTheme="minorHAnsi" w:hAnsiTheme="minorHAnsi" w:cstheme="minorHAnsi"/>
          <w:sz w:val="18"/>
          <w:szCs w:val="18"/>
        </w:rPr>
        <w:t xml:space="preserve"> para. 36. See also document </w:t>
      </w:r>
      <w:hyperlink r:id="rId40" w:history="1">
        <w:r w:rsidRPr="00C875BE">
          <w:rPr>
            <w:rStyle w:val="Hyperlink1"/>
            <w:rFonts w:asciiTheme="minorHAnsi" w:hAnsiTheme="minorHAnsi" w:cstheme="minorHAnsi"/>
            <w:b/>
            <w:bCs/>
            <w:sz w:val="18"/>
            <w:szCs w:val="18"/>
          </w:rPr>
          <w:t>ITH/14/9.COM/</w:t>
        </w:r>
        <w:proofErr w:type="gramStart"/>
        <w:r w:rsidRPr="00C875BE">
          <w:rPr>
            <w:rStyle w:val="Hyperlink1"/>
            <w:rFonts w:asciiTheme="minorHAnsi" w:hAnsiTheme="minorHAnsi" w:cstheme="minorHAnsi"/>
            <w:b/>
            <w:bCs/>
            <w:sz w:val="18"/>
            <w:szCs w:val="18"/>
          </w:rPr>
          <w:t>9.a</w:t>
        </w:r>
        <w:proofErr w:type="gramEnd"/>
      </w:hyperlink>
      <w:r w:rsidRPr="00C875BE">
        <w:rPr>
          <w:rFonts w:asciiTheme="minorHAnsi" w:hAnsiTheme="minorHAnsi" w:cstheme="minorHAnsi"/>
          <w:sz w:val="18"/>
          <w:szCs w:val="18"/>
        </w:rPr>
        <w:t xml:space="preserve"> para. 7. The requirements of intention and direct effect set a very high standard for safeguarding activities associated with income generation, which is not applied to other safeguarding actions.</w:t>
      </w:r>
    </w:p>
  </w:footnote>
  <w:footnote w:id="44">
    <w:p w14:paraId="1866B81F"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1" w:history="1">
        <w:r w:rsidRPr="00C875BE">
          <w:rPr>
            <w:rStyle w:val="Hyperlink1"/>
            <w:rFonts w:asciiTheme="minorHAnsi" w:hAnsiTheme="minorHAnsi" w:cstheme="minorHAnsi"/>
            <w:b/>
            <w:bCs/>
            <w:sz w:val="18"/>
            <w:szCs w:val="18"/>
          </w:rPr>
          <w:t>LHE/19/14.COM/10</w:t>
        </w:r>
      </w:hyperlink>
      <w:r w:rsidRPr="00C875BE">
        <w:rPr>
          <w:rFonts w:asciiTheme="minorHAnsi" w:hAnsiTheme="minorHAnsi" w:cstheme="minorHAnsi"/>
          <w:sz w:val="18"/>
          <w:szCs w:val="18"/>
        </w:rPr>
        <w:t xml:space="preserve"> para. 37.</w:t>
      </w:r>
    </w:p>
  </w:footnote>
  <w:footnote w:id="45">
    <w:p w14:paraId="37B23E3A"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2" w:history="1">
        <w:r w:rsidRPr="00C875BE">
          <w:rPr>
            <w:rStyle w:val="Hyperlink1"/>
            <w:rFonts w:asciiTheme="minorHAnsi" w:hAnsiTheme="minorHAnsi" w:cstheme="minorHAnsi"/>
            <w:b/>
            <w:bCs/>
            <w:sz w:val="18"/>
            <w:szCs w:val="18"/>
          </w:rPr>
          <w:t>ITH/11/6.COM/CONF.206/8 Add.</w:t>
        </w:r>
      </w:hyperlink>
      <w:r w:rsidRPr="00C875BE">
        <w:rPr>
          <w:rFonts w:asciiTheme="minorHAnsi" w:hAnsiTheme="minorHAnsi" w:cstheme="minorHAnsi"/>
          <w:sz w:val="18"/>
          <w:szCs w:val="18"/>
        </w:rPr>
        <w:t xml:space="preserve"> para. 23.</w:t>
      </w:r>
    </w:p>
  </w:footnote>
  <w:footnote w:id="46">
    <w:p w14:paraId="4C09FD0E"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3" w:history="1">
        <w:r w:rsidRPr="00C875BE">
          <w:rPr>
            <w:rStyle w:val="Hyperlink1"/>
            <w:rFonts w:asciiTheme="minorHAnsi" w:hAnsiTheme="minorHAnsi" w:cstheme="minorHAnsi"/>
            <w:b/>
            <w:bCs/>
            <w:sz w:val="18"/>
            <w:szCs w:val="18"/>
            <w:lang w:val="pt-PT"/>
          </w:rPr>
          <w:t>ITH/12/7.COM/8</w:t>
        </w:r>
      </w:hyperlink>
      <w:r w:rsidRPr="00C875BE">
        <w:rPr>
          <w:rFonts w:asciiTheme="minorHAnsi" w:hAnsiTheme="minorHAnsi" w:cstheme="minorHAnsi"/>
          <w:sz w:val="18"/>
          <w:szCs w:val="18"/>
          <w:lang w:val="pt-PT"/>
        </w:rPr>
        <w:t xml:space="preserve"> para. </w:t>
      </w:r>
      <w:r w:rsidRPr="00C875BE">
        <w:rPr>
          <w:rFonts w:asciiTheme="minorHAnsi" w:hAnsiTheme="minorHAnsi" w:cstheme="minorHAnsi"/>
          <w:sz w:val="18"/>
          <w:szCs w:val="18"/>
          <w:lang w:val="pt-PT"/>
        </w:rPr>
        <w:t>11.</w:t>
      </w:r>
    </w:p>
  </w:footnote>
  <w:footnote w:id="47">
    <w:p w14:paraId="363DCE97"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4" w:history="1">
        <w:r w:rsidRPr="00C875BE">
          <w:rPr>
            <w:rStyle w:val="Hyperlink1"/>
            <w:rFonts w:asciiTheme="minorHAnsi" w:hAnsiTheme="minorHAnsi" w:cstheme="minorHAnsi"/>
            <w:b/>
            <w:bCs/>
            <w:sz w:val="18"/>
            <w:szCs w:val="18"/>
            <w:lang w:val="pt-PT"/>
          </w:rPr>
          <w:t>ITH/14/9.COM/</w:t>
        </w:r>
        <w:proofErr w:type="gramStart"/>
        <w:r w:rsidRPr="00C875BE">
          <w:rPr>
            <w:rStyle w:val="Hyperlink1"/>
            <w:rFonts w:asciiTheme="minorHAnsi" w:hAnsiTheme="minorHAnsi" w:cstheme="minorHAnsi"/>
            <w:b/>
            <w:bCs/>
            <w:sz w:val="18"/>
            <w:szCs w:val="18"/>
            <w:lang w:val="pt-PT"/>
          </w:rPr>
          <w:t>9.a</w:t>
        </w:r>
        <w:proofErr w:type="gramEnd"/>
      </w:hyperlink>
      <w:r w:rsidRPr="00C875BE">
        <w:rPr>
          <w:rFonts w:asciiTheme="minorHAnsi" w:hAnsiTheme="minorHAnsi" w:cstheme="minorHAnsi"/>
          <w:sz w:val="18"/>
          <w:szCs w:val="18"/>
          <w:lang w:val="pt-PT"/>
        </w:rPr>
        <w:t xml:space="preserve"> para. 8.</w:t>
      </w:r>
    </w:p>
  </w:footnote>
  <w:footnote w:id="48">
    <w:p w14:paraId="7C2B3BC9"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pt-PT"/>
        </w:rPr>
        <w:t xml:space="preserve"> </w:t>
      </w:r>
      <w:r w:rsidRPr="00C875BE">
        <w:rPr>
          <w:rFonts w:asciiTheme="minorHAnsi" w:hAnsiTheme="minorHAnsi" w:cstheme="minorHAnsi"/>
          <w:sz w:val="18"/>
          <w:szCs w:val="18"/>
          <w:lang w:val="pt-PT"/>
        </w:rPr>
        <w:t xml:space="preserve">Document </w:t>
      </w:r>
      <w:hyperlink r:id="rId45" w:history="1">
        <w:r w:rsidRPr="00C875BE">
          <w:rPr>
            <w:rStyle w:val="Hyperlink1"/>
            <w:rFonts w:asciiTheme="minorHAnsi" w:hAnsiTheme="minorHAnsi" w:cstheme="minorHAnsi"/>
            <w:b/>
            <w:bCs/>
            <w:sz w:val="18"/>
            <w:szCs w:val="18"/>
            <w:lang w:val="pt-PT"/>
          </w:rPr>
          <w:t>ITH/12/7.COM/8</w:t>
        </w:r>
      </w:hyperlink>
      <w:r w:rsidRPr="00C875BE">
        <w:rPr>
          <w:rFonts w:asciiTheme="minorHAnsi" w:hAnsiTheme="minorHAnsi" w:cstheme="minorHAnsi"/>
          <w:sz w:val="18"/>
          <w:szCs w:val="18"/>
          <w:lang w:val="pt-PT"/>
        </w:rPr>
        <w:t xml:space="preserve"> para. </w:t>
      </w:r>
      <w:r w:rsidRPr="00C875BE">
        <w:rPr>
          <w:rFonts w:asciiTheme="minorHAnsi" w:hAnsiTheme="minorHAnsi" w:cstheme="minorHAnsi"/>
          <w:sz w:val="18"/>
          <w:szCs w:val="18"/>
        </w:rPr>
        <w:t>11</w:t>
      </w:r>
      <w:r w:rsidRPr="00C875BE">
        <w:rPr>
          <w:rFonts w:asciiTheme="minorHAnsi" w:hAnsiTheme="minorHAnsi" w:cstheme="minorHAnsi"/>
          <w:sz w:val="18"/>
          <w:szCs w:val="18"/>
          <w:lang w:val="pt-PT"/>
        </w:rPr>
        <w:t>.</w:t>
      </w:r>
    </w:p>
  </w:footnote>
  <w:footnote w:id="49">
    <w:p w14:paraId="21A1926C"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6" w:history="1">
        <w:r w:rsidRPr="00C875BE">
          <w:rPr>
            <w:rStyle w:val="Hyperlink1"/>
            <w:rFonts w:asciiTheme="minorHAnsi" w:hAnsiTheme="minorHAnsi" w:cstheme="minorHAnsi"/>
            <w:b/>
            <w:bCs/>
            <w:sz w:val="18"/>
            <w:szCs w:val="18"/>
          </w:rPr>
          <w:t>ITH/18/13.COM/10</w:t>
        </w:r>
      </w:hyperlink>
      <w:r w:rsidRPr="00C875BE">
        <w:rPr>
          <w:rFonts w:asciiTheme="minorHAnsi" w:hAnsiTheme="minorHAnsi" w:cstheme="minorHAnsi"/>
          <w:sz w:val="18"/>
          <w:szCs w:val="18"/>
        </w:rPr>
        <w:t xml:space="preserve"> para 35.</w:t>
      </w:r>
    </w:p>
  </w:footnote>
  <w:footnote w:id="50">
    <w:p w14:paraId="4E7AEB3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7" w:history="1">
        <w:r w:rsidRPr="00C875BE">
          <w:rPr>
            <w:rStyle w:val="Hyperlink1"/>
            <w:rFonts w:asciiTheme="minorHAnsi" w:hAnsiTheme="minorHAnsi" w:cstheme="minorHAnsi"/>
            <w:b/>
            <w:bCs/>
            <w:sz w:val="18"/>
            <w:szCs w:val="18"/>
            <w:lang w:val="pt-PT"/>
          </w:rPr>
          <w:t>ITH/14/9.COM/10</w:t>
        </w:r>
      </w:hyperlink>
      <w:r w:rsidRPr="00C875BE">
        <w:rPr>
          <w:rFonts w:asciiTheme="minorHAnsi" w:hAnsiTheme="minorHAnsi" w:cstheme="minorHAnsi"/>
          <w:sz w:val="18"/>
          <w:szCs w:val="18"/>
          <w:lang w:val="pt-PT"/>
        </w:rPr>
        <w:t xml:space="preserve"> para. </w:t>
      </w:r>
      <w:r w:rsidRPr="00C875BE">
        <w:rPr>
          <w:rFonts w:asciiTheme="minorHAnsi" w:hAnsiTheme="minorHAnsi" w:cstheme="minorHAnsi"/>
          <w:sz w:val="18"/>
          <w:szCs w:val="18"/>
          <w:lang w:val="pt-PT"/>
        </w:rPr>
        <w:t>57.</w:t>
      </w:r>
    </w:p>
  </w:footnote>
  <w:footnote w:id="51">
    <w:p w14:paraId="5C9E5660"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48" w:history="1">
        <w:r w:rsidRPr="00C875BE">
          <w:rPr>
            <w:rStyle w:val="Hyperlink1"/>
            <w:rFonts w:asciiTheme="minorHAnsi" w:hAnsiTheme="minorHAnsi" w:cstheme="minorHAnsi"/>
            <w:b/>
            <w:bCs/>
            <w:sz w:val="18"/>
            <w:szCs w:val="18"/>
          </w:rPr>
          <w:t xml:space="preserve">Decision 15.COM </w:t>
        </w:r>
        <w:proofErr w:type="gramStart"/>
        <w:r w:rsidRPr="00C875BE">
          <w:rPr>
            <w:rStyle w:val="Hyperlink1"/>
            <w:rFonts w:asciiTheme="minorHAnsi" w:hAnsiTheme="minorHAnsi" w:cstheme="minorHAnsi"/>
            <w:b/>
            <w:bCs/>
            <w:sz w:val="18"/>
            <w:szCs w:val="18"/>
          </w:rPr>
          <w:t>8.A.</w:t>
        </w:r>
        <w:proofErr w:type="gramEnd"/>
        <w:r w:rsidRPr="00C875BE">
          <w:rPr>
            <w:rStyle w:val="Hyperlink1"/>
            <w:rFonts w:asciiTheme="minorHAnsi" w:hAnsiTheme="minorHAnsi" w:cstheme="minorHAnsi"/>
            <w:b/>
            <w:bCs/>
            <w:sz w:val="18"/>
            <w:szCs w:val="18"/>
          </w:rPr>
          <w:t>1</w:t>
        </w:r>
      </w:hyperlink>
      <w:r w:rsidRPr="00C875BE">
        <w:rPr>
          <w:rFonts w:asciiTheme="minorHAnsi" w:hAnsiTheme="minorHAnsi" w:cstheme="minorHAnsi"/>
          <w:sz w:val="18"/>
          <w:szCs w:val="18"/>
        </w:rPr>
        <w:t xml:space="preserve"> para.2 U.2: ‘the entire production chain is not sufficiently valued and … there is therefore a lack of transmission of the know-how related to the Pasto Varnish production’.</w:t>
      </w:r>
    </w:p>
  </w:footnote>
  <w:footnote w:id="52">
    <w:p w14:paraId="41647FF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49" w:history="1">
        <w:r w:rsidRPr="00C875BE">
          <w:rPr>
            <w:rStyle w:val="Hyperlink1"/>
            <w:rFonts w:asciiTheme="minorHAnsi" w:hAnsiTheme="minorHAnsi" w:cstheme="minorHAnsi"/>
            <w:b/>
            <w:bCs/>
            <w:sz w:val="18"/>
            <w:szCs w:val="18"/>
            <w:lang w:val="en-US"/>
          </w:rPr>
          <w:t>LHE/19/14.COM/10</w:t>
        </w:r>
      </w:hyperlink>
      <w:r w:rsidRPr="00C875BE">
        <w:rPr>
          <w:rFonts w:asciiTheme="minorHAnsi" w:hAnsiTheme="minorHAnsi" w:cstheme="minorHAnsi"/>
          <w:sz w:val="18"/>
          <w:szCs w:val="18"/>
        </w:rPr>
        <w:t xml:space="preserve"> para. 37.</w:t>
      </w:r>
    </w:p>
  </w:footnote>
  <w:footnote w:id="53">
    <w:p w14:paraId="478DC719"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The Periodic Reporting form ICH-10, for example asks in Assessment factor 14.1 whether “Forms of legal protection, such as intellectual property rights and privacy rights, are provided to ICH practitioners, bearers and their communities when their ICH is exploited by others for commercial or other purposes.”</w:t>
      </w:r>
    </w:p>
  </w:footnote>
  <w:footnote w:id="54">
    <w:p w14:paraId="251BF5E8" w14:textId="5E7ED880"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50" w:history="1">
        <w:r w:rsidRPr="00C875BE">
          <w:rPr>
            <w:rStyle w:val="Hyperlink1"/>
            <w:rFonts w:asciiTheme="minorHAnsi" w:hAnsiTheme="minorHAnsi" w:cstheme="minorHAnsi"/>
            <w:b/>
            <w:bCs/>
            <w:sz w:val="18"/>
            <w:szCs w:val="18"/>
            <w:lang w:val="en-US"/>
          </w:rPr>
          <w:t xml:space="preserve">Decision 11.COM </w:t>
        </w:r>
        <w:proofErr w:type="gramStart"/>
        <w:r w:rsidRPr="00C875BE">
          <w:rPr>
            <w:rStyle w:val="Hyperlink1"/>
            <w:rFonts w:asciiTheme="minorHAnsi" w:hAnsiTheme="minorHAnsi" w:cstheme="minorHAnsi"/>
            <w:b/>
            <w:bCs/>
            <w:sz w:val="18"/>
            <w:szCs w:val="18"/>
            <w:lang w:val="en-US"/>
          </w:rPr>
          <w:t>10.b.</w:t>
        </w:r>
        <w:proofErr w:type="gramEnd"/>
        <w:r w:rsidRPr="00C875BE">
          <w:rPr>
            <w:rStyle w:val="Hyperlink1"/>
            <w:rFonts w:asciiTheme="minorHAnsi" w:hAnsiTheme="minorHAnsi" w:cstheme="minorHAnsi"/>
            <w:b/>
            <w:bCs/>
            <w:sz w:val="18"/>
            <w:szCs w:val="18"/>
            <w:lang w:val="en-US"/>
          </w:rPr>
          <w:t>14</w:t>
        </w:r>
      </w:hyperlink>
      <w:r w:rsidRPr="00C875BE">
        <w:rPr>
          <w:rFonts w:asciiTheme="minorHAnsi" w:hAnsiTheme="minorHAnsi" w:cstheme="minorHAnsi"/>
          <w:sz w:val="18"/>
          <w:szCs w:val="18"/>
        </w:rPr>
        <w:t xml:space="preserve"> para. 2. R.3 noted that ‘the element could be decontextualized by legal frameworks that undermine its basic principles’.</w:t>
      </w:r>
    </w:p>
  </w:footnote>
  <w:footnote w:id="55">
    <w:p w14:paraId="3CB5875E"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51" w:history="1">
        <w:r w:rsidRPr="00C875BE">
          <w:rPr>
            <w:rStyle w:val="Hyperlink1"/>
            <w:rFonts w:asciiTheme="minorHAnsi" w:hAnsiTheme="minorHAnsi" w:cstheme="minorHAnsi"/>
            <w:b/>
            <w:bCs/>
            <w:sz w:val="18"/>
            <w:szCs w:val="18"/>
          </w:rPr>
          <w:t>LHE/20/15.COM/8</w:t>
        </w:r>
      </w:hyperlink>
      <w:r w:rsidRPr="00C875BE">
        <w:rPr>
          <w:rFonts w:asciiTheme="minorHAnsi" w:hAnsiTheme="minorHAnsi" w:cstheme="minorHAnsi"/>
          <w:sz w:val="18"/>
          <w:szCs w:val="18"/>
        </w:rPr>
        <w:t xml:space="preserve"> para. 63, a view confirmed by the Committee in </w:t>
      </w:r>
      <w:hyperlink r:id="rId52" w:history="1">
        <w:r w:rsidRPr="00C875BE">
          <w:rPr>
            <w:rStyle w:val="Hyperlink1"/>
            <w:rFonts w:asciiTheme="minorHAnsi" w:hAnsiTheme="minorHAnsi" w:cstheme="minorHAnsi"/>
            <w:b/>
            <w:bCs/>
            <w:sz w:val="18"/>
            <w:szCs w:val="18"/>
          </w:rPr>
          <w:t xml:space="preserve">Decision 13.COM </w:t>
        </w:r>
        <w:proofErr w:type="gramStart"/>
        <w:r w:rsidRPr="00C875BE">
          <w:rPr>
            <w:rStyle w:val="Hyperlink1"/>
            <w:rFonts w:asciiTheme="minorHAnsi" w:hAnsiTheme="minorHAnsi" w:cstheme="minorHAnsi"/>
            <w:b/>
            <w:bCs/>
            <w:sz w:val="18"/>
            <w:szCs w:val="18"/>
          </w:rPr>
          <w:t>10.b.</w:t>
        </w:r>
        <w:proofErr w:type="gramEnd"/>
        <w:r w:rsidRPr="00C875BE">
          <w:rPr>
            <w:rStyle w:val="Hyperlink1"/>
            <w:rFonts w:asciiTheme="minorHAnsi" w:hAnsiTheme="minorHAnsi" w:cstheme="minorHAnsi"/>
            <w:b/>
            <w:bCs/>
            <w:sz w:val="18"/>
            <w:szCs w:val="18"/>
          </w:rPr>
          <w:t>16</w:t>
        </w:r>
      </w:hyperlink>
      <w:r w:rsidRPr="00C875BE">
        <w:rPr>
          <w:rFonts w:asciiTheme="minorHAnsi" w:hAnsiTheme="minorHAnsi" w:cstheme="minorHAnsi"/>
          <w:sz w:val="18"/>
          <w:szCs w:val="18"/>
        </w:rPr>
        <w:t xml:space="preserve"> para. 3 R.3.</w:t>
      </w:r>
    </w:p>
  </w:footnote>
  <w:footnote w:id="56">
    <w:p w14:paraId="1B1702EF"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53" w:history="1">
        <w:r w:rsidRPr="00C875BE">
          <w:rPr>
            <w:rStyle w:val="Hyperlink1"/>
            <w:rFonts w:asciiTheme="minorHAnsi" w:hAnsiTheme="minorHAnsi" w:cstheme="minorHAnsi"/>
            <w:b/>
            <w:bCs/>
            <w:sz w:val="18"/>
            <w:szCs w:val="18"/>
          </w:rPr>
          <w:t>LHE/20/15.COM/8</w:t>
        </w:r>
      </w:hyperlink>
      <w:r w:rsidRPr="00C875BE">
        <w:rPr>
          <w:rFonts w:asciiTheme="minorHAnsi" w:hAnsiTheme="minorHAnsi" w:cstheme="minorHAnsi"/>
          <w:sz w:val="18"/>
          <w:szCs w:val="18"/>
        </w:rPr>
        <w:t xml:space="preserve"> para. 54.</w:t>
      </w:r>
    </w:p>
  </w:footnote>
  <w:footnote w:id="57">
    <w:p w14:paraId="5CD83FDF"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54" w:history="1">
        <w:r w:rsidRPr="00C875BE">
          <w:rPr>
            <w:rStyle w:val="Hyperlink1"/>
            <w:rFonts w:asciiTheme="minorHAnsi" w:hAnsiTheme="minorHAnsi" w:cstheme="minorHAnsi"/>
            <w:b/>
            <w:bCs/>
            <w:sz w:val="18"/>
            <w:szCs w:val="18"/>
          </w:rPr>
          <w:t xml:space="preserve">Decision 13.COM </w:t>
        </w:r>
        <w:proofErr w:type="gramStart"/>
        <w:r w:rsidRPr="00C875BE">
          <w:rPr>
            <w:rStyle w:val="Hyperlink1"/>
            <w:rFonts w:asciiTheme="minorHAnsi" w:hAnsiTheme="minorHAnsi" w:cstheme="minorHAnsi"/>
            <w:b/>
            <w:bCs/>
            <w:sz w:val="18"/>
            <w:szCs w:val="18"/>
          </w:rPr>
          <w:t>10.a.</w:t>
        </w:r>
        <w:proofErr w:type="gramEnd"/>
        <w:r w:rsidRPr="00C875BE">
          <w:rPr>
            <w:rStyle w:val="Hyperlink1"/>
            <w:rFonts w:asciiTheme="minorHAnsi" w:hAnsiTheme="minorHAnsi" w:cstheme="minorHAnsi"/>
            <w:b/>
            <w:bCs/>
            <w:sz w:val="18"/>
            <w:szCs w:val="18"/>
          </w:rPr>
          <w:t>2</w:t>
        </w:r>
      </w:hyperlink>
      <w:r w:rsidRPr="00C875BE">
        <w:rPr>
          <w:rFonts w:asciiTheme="minorHAnsi" w:hAnsiTheme="minorHAnsi" w:cstheme="minorHAnsi"/>
          <w:sz w:val="18"/>
          <w:szCs w:val="18"/>
        </w:rPr>
        <w:t xml:space="preserve"> para. 4. Professionalization could also have an economic dimension if it changes who gets paid for performances, although this has not specifically been addressed by the Committee. For example, in 2016, the Evaluation Body ‘considered files where a sport (including martial arts) was submitted as an element of intangible cultural heritage. Where this was the case, the Body sought adequate information on the cultural and social significance of the practice, and the degree to which the communities concerned were not limited to commercial practices of the sport by professional practitioners.’ Document </w:t>
      </w:r>
      <w:hyperlink r:id="rId55" w:history="1">
        <w:r w:rsidRPr="00C875BE">
          <w:rPr>
            <w:rStyle w:val="Hyperlink1"/>
            <w:rFonts w:asciiTheme="minorHAnsi" w:hAnsiTheme="minorHAnsi" w:cstheme="minorHAnsi"/>
            <w:b/>
            <w:bCs/>
            <w:sz w:val="18"/>
            <w:szCs w:val="18"/>
            <w:lang w:val="en-US"/>
          </w:rPr>
          <w:t>ITH/16/11.COM/10</w:t>
        </w:r>
      </w:hyperlink>
      <w:r w:rsidRPr="00C875BE">
        <w:rPr>
          <w:rFonts w:asciiTheme="minorHAnsi" w:hAnsiTheme="minorHAnsi" w:cstheme="minorHAnsi"/>
          <w:sz w:val="18"/>
          <w:szCs w:val="18"/>
        </w:rPr>
        <w:t xml:space="preserve"> para 39.</w:t>
      </w:r>
    </w:p>
  </w:footnote>
  <w:footnote w:id="58">
    <w:p w14:paraId="6F173EED"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56" w:history="1">
        <w:r w:rsidRPr="00C875BE">
          <w:rPr>
            <w:rStyle w:val="Hyperlink1"/>
            <w:rFonts w:asciiTheme="minorHAnsi" w:hAnsiTheme="minorHAnsi" w:cstheme="minorHAnsi"/>
            <w:b/>
            <w:bCs/>
            <w:sz w:val="18"/>
            <w:szCs w:val="18"/>
            <w:lang w:val="pt-PT"/>
          </w:rPr>
          <w:t>ITH/14/9.COM/</w:t>
        </w:r>
        <w:proofErr w:type="gramStart"/>
        <w:r w:rsidRPr="00C875BE">
          <w:rPr>
            <w:rStyle w:val="Hyperlink1"/>
            <w:rFonts w:asciiTheme="minorHAnsi" w:hAnsiTheme="minorHAnsi" w:cstheme="minorHAnsi"/>
            <w:b/>
            <w:bCs/>
            <w:sz w:val="18"/>
            <w:szCs w:val="18"/>
            <w:lang w:val="pt-PT"/>
          </w:rPr>
          <w:t>9.a</w:t>
        </w:r>
        <w:proofErr w:type="gramEnd"/>
      </w:hyperlink>
      <w:r w:rsidRPr="00C875BE">
        <w:rPr>
          <w:rFonts w:asciiTheme="minorHAnsi" w:hAnsiTheme="minorHAnsi" w:cstheme="minorHAnsi"/>
          <w:b/>
          <w:bCs/>
          <w:sz w:val="18"/>
          <w:szCs w:val="18"/>
          <w:lang w:val="pt-PT"/>
        </w:rPr>
        <w:t xml:space="preserve"> </w:t>
      </w:r>
      <w:r w:rsidRPr="00C875BE">
        <w:rPr>
          <w:rFonts w:asciiTheme="minorHAnsi" w:hAnsiTheme="minorHAnsi" w:cstheme="minorHAnsi"/>
          <w:sz w:val="18"/>
          <w:szCs w:val="18"/>
          <w:lang w:val="pt-BR"/>
        </w:rPr>
        <w:t xml:space="preserve">para. 21 and </w:t>
      </w:r>
      <w:proofErr w:type="spellStart"/>
      <w:r w:rsidRPr="00C875BE">
        <w:rPr>
          <w:rFonts w:asciiTheme="minorHAnsi" w:hAnsiTheme="minorHAnsi" w:cstheme="minorHAnsi"/>
          <w:sz w:val="18"/>
          <w:szCs w:val="18"/>
          <w:lang w:val="pt-BR"/>
        </w:rPr>
        <w:t>Document</w:t>
      </w:r>
      <w:proofErr w:type="spellEnd"/>
      <w:r w:rsidRPr="00C875BE">
        <w:rPr>
          <w:rFonts w:asciiTheme="minorHAnsi" w:hAnsiTheme="minorHAnsi" w:cstheme="minorHAnsi"/>
          <w:sz w:val="18"/>
          <w:szCs w:val="18"/>
          <w:lang w:val="pt-BR"/>
        </w:rPr>
        <w:t xml:space="preserve"> </w:t>
      </w:r>
      <w:hyperlink r:id="rId57" w:history="1">
        <w:r w:rsidRPr="00C875BE">
          <w:rPr>
            <w:rStyle w:val="Hyperlink1"/>
            <w:rFonts w:asciiTheme="minorHAnsi" w:hAnsiTheme="minorHAnsi" w:cstheme="minorHAnsi"/>
            <w:b/>
            <w:bCs/>
            <w:sz w:val="18"/>
            <w:szCs w:val="18"/>
            <w:lang w:val="pt-BR"/>
          </w:rPr>
          <w:t>ITH/13/8.COM/7</w:t>
        </w:r>
      </w:hyperlink>
      <w:r w:rsidRPr="00C875BE">
        <w:rPr>
          <w:rFonts w:asciiTheme="minorHAnsi" w:hAnsiTheme="minorHAnsi" w:cstheme="minorHAnsi"/>
          <w:sz w:val="18"/>
          <w:szCs w:val="18"/>
        </w:rPr>
        <w:t xml:space="preserve"> para 40</w:t>
      </w:r>
      <w:r w:rsidRPr="00C875BE">
        <w:rPr>
          <w:rFonts w:asciiTheme="minorHAnsi" w:hAnsiTheme="minorHAnsi" w:cstheme="minorHAnsi"/>
          <w:sz w:val="18"/>
          <w:szCs w:val="18"/>
          <w:lang w:val="pt-BR"/>
        </w:rPr>
        <w:t xml:space="preserve">. </w:t>
      </w:r>
      <w:hyperlink r:id="rId58" w:history="1">
        <w:r w:rsidRPr="00C875BE">
          <w:rPr>
            <w:rStyle w:val="Hyperlink1"/>
            <w:rFonts w:asciiTheme="minorHAnsi" w:hAnsiTheme="minorHAnsi" w:cstheme="minorHAnsi"/>
            <w:b/>
            <w:bCs/>
            <w:sz w:val="18"/>
            <w:szCs w:val="18"/>
          </w:rPr>
          <w:t>Aide-mémoire for completing nominations to the Representative List</w:t>
        </w:r>
      </w:hyperlink>
      <w:r w:rsidRPr="00C875BE">
        <w:rPr>
          <w:rFonts w:asciiTheme="minorHAnsi" w:hAnsiTheme="minorHAnsi" w:cstheme="minorHAnsi"/>
          <w:sz w:val="18"/>
          <w:szCs w:val="18"/>
        </w:rPr>
        <w:t xml:space="preserve"> para 83.</w:t>
      </w:r>
    </w:p>
  </w:footnote>
  <w:footnote w:id="59">
    <w:p w14:paraId="69D60008" w14:textId="77777777" w:rsidR="00086ECF" w:rsidRPr="002D2C38" w:rsidRDefault="00086ECF" w:rsidP="00095F74">
      <w:pPr>
        <w:pStyle w:val="FootnoteText"/>
        <w:jc w:val="left"/>
        <w:rPr>
          <w:rFonts w:asciiTheme="minorHAnsi" w:hAnsiTheme="minorHAnsi" w:cstheme="minorHAnsi"/>
          <w:sz w:val="18"/>
          <w:szCs w:val="18"/>
          <w:lang w:val="en-U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w:t>
      </w:r>
      <w:hyperlink r:id="rId59" w:history="1">
        <w:r w:rsidRPr="00C875BE">
          <w:rPr>
            <w:rStyle w:val="Hyperlink1"/>
            <w:rFonts w:asciiTheme="minorHAnsi" w:hAnsiTheme="minorHAnsi" w:cstheme="minorHAnsi"/>
            <w:b/>
            <w:bCs/>
            <w:sz w:val="18"/>
            <w:szCs w:val="18"/>
          </w:rPr>
          <w:t>Decision 14.COM 10</w:t>
        </w:r>
      </w:hyperlink>
      <w:r w:rsidRPr="00C875BE">
        <w:rPr>
          <w:rFonts w:asciiTheme="minorHAnsi" w:hAnsiTheme="minorHAnsi" w:cstheme="minorHAnsi"/>
          <w:sz w:val="18"/>
          <w:szCs w:val="18"/>
        </w:rPr>
        <w:t xml:space="preserve"> para 13, reflected in nomination decisions such as </w:t>
      </w:r>
      <w:hyperlink r:id="rId60" w:history="1">
        <w:r w:rsidRPr="00C875BE">
          <w:rPr>
            <w:rStyle w:val="Hyperlink1"/>
            <w:rFonts w:asciiTheme="minorHAnsi" w:hAnsiTheme="minorHAnsi" w:cstheme="minorHAnsi"/>
            <w:b/>
            <w:bCs/>
            <w:sz w:val="18"/>
            <w:szCs w:val="18"/>
            <w:lang w:val="en-US"/>
          </w:rPr>
          <w:t>Decision 15.COM 8.a.3</w:t>
        </w:r>
      </w:hyperlink>
      <w:r w:rsidRPr="00C875BE">
        <w:rPr>
          <w:rFonts w:asciiTheme="minorHAnsi" w:hAnsiTheme="minorHAnsi" w:cstheme="minorHAnsi"/>
          <w:sz w:val="18"/>
          <w:szCs w:val="18"/>
        </w:rPr>
        <w:t xml:space="preserve"> para. </w:t>
      </w:r>
      <w:r w:rsidRPr="00C875BE">
        <w:rPr>
          <w:rFonts w:asciiTheme="minorHAnsi" w:hAnsiTheme="minorHAnsi" w:cstheme="minorHAnsi"/>
          <w:sz w:val="18"/>
          <w:szCs w:val="18"/>
          <w:lang w:val="es-ES"/>
        </w:rPr>
        <w:t xml:space="preserve">6; </w:t>
      </w:r>
      <w:hyperlink r:id="rId61"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31</w:t>
        </w:r>
      </w:hyperlink>
      <w:r w:rsidRPr="00C875BE">
        <w:rPr>
          <w:rFonts w:asciiTheme="minorHAnsi" w:hAnsiTheme="minorHAnsi" w:cstheme="minorHAnsi"/>
          <w:sz w:val="18"/>
          <w:szCs w:val="18"/>
          <w:lang w:val="es-ES"/>
        </w:rPr>
        <w:t xml:space="preserve"> para. 3 R.3, para. 9; </w:t>
      </w:r>
      <w:hyperlink r:id="rId62"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13.COM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12</w:t>
        </w:r>
      </w:hyperlink>
      <w:r w:rsidRPr="00C875BE">
        <w:rPr>
          <w:rFonts w:asciiTheme="minorHAnsi" w:hAnsiTheme="minorHAnsi" w:cstheme="minorHAnsi"/>
          <w:sz w:val="18"/>
          <w:szCs w:val="18"/>
          <w:lang w:val="es-ES"/>
        </w:rPr>
        <w:t xml:space="preserve"> para. </w:t>
      </w:r>
      <w:r w:rsidRPr="002D2C38">
        <w:rPr>
          <w:rFonts w:asciiTheme="minorHAnsi" w:hAnsiTheme="minorHAnsi" w:cstheme="minorHAnsi"/>
          <w:sz w:val="18"/>
          <w:szCs w:val="18"/>
          <w:lang w:val="en-US"/>
        </w:rPr>
        <w:t xml:space="preserve">3 R.2; </w:t>
      </w:r>
      <w:hyperlink r:id="rId63" w:history="1">
        <w:r w:rsidRPr="002D2C38">
          <w:rPr>
            <w:rStyle w:val="Hyperlink1"/>
            <w:rFonts w:asciiTheme="minorHAnsi" w:hAnsiTheme="minorHAnsi" w:cstheme="minorHAnsi"/>
            <w:b/>
            <w:sz w:val="18"/>
            <w:szCs w:val="18"/>
            <w:lang w:val="en-US"/>
          </w:rPr>
          <w:t xml:space="preserve">Decision 10.COM </w:t>
        </w:r>
        <w:proofErr w:type="gramStart"/>
        <w:r w:rsidRPr="002D2C38">
          <w:rPr>
            <w:rStyle w:val="Hyperlink1"/>
            <w:rFonts w:asciiTheme="minorHAnsi" w:hAnsiTheme="minorHAnsi" w:cstheme="minorHAnsi"/>
            <w:b/>
            <w:sz w:val="18"/>
            <w:szCs w:val="18"/>
            <w:lang w:val="en-US"/>
          </w:rPr>
          <w:t>10.b.</w:t>
        </w:r>
        <w:proofErr w:type="gramEnd"/>
        <w:r w:rsidRPr="002D2C38">
          <w:rPr>
            <w:rStyle w:val="Hyperlink1"/>
            <w:rFonts w:asciiTheme="minorHAnsi" w:hAnsiTheme="minorHAnsi" w:cstheme="minorHAnsi"/>
            <w:b/>
            <w:sz w:val="18"/>
            <w:szCs w:val="18"/>
            <w:lang w:val="en-US"/>
          </w:rPr>
          <w:t>29</w:t>
        </w:r>
      </w:hyperlink>
      <w:r w:rsidRPr="002D2C38">
        <w:rPr>
          <w:rFonts w:asciiTheme="minorHAnsi" w:hAnsiTheme="minorHAnsi" w:cstheme="minorHAnsi"/>
          <w:b/>
          <w:sz w:val="18"/>
          <w:szCs w:val="18"/>
          <w:lang w:val="en-US"/>
        </w:rPr>
        <w:t>:</w:t>
      </w:r>
      <w:r w:rsidRPr="002D2C38">
        <w:rPr>
          <w:rFonts w:asciiTheme="minorHAnsi" w:hAnsiTheme="minorHAnsi" w:cstheme="minorHAnsi"/>
          <w:bCs/>
          <w:sz w:val="18"/>
          <w:szCs w:val="18"/>
          <w:lang w:val="en-US"/>
        </w:rPr>
        <w:t xml:space="preserve"> para. 3 R.2 and R.3.</w:t>
      </w:r>
    </w:p>
  </w:footnote>
  <w:footnote w:id="60">
    <w:p w14:paraId="51CC2F83"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w:t>
      </w:r>
      <w:hyperlink r:id="rId64" w:history="1">
        <w:r w:rsidRPr="00C875BE">
          <w:rPr>
            <w:rStyle w:val="Hyperlink1"/>
            <w:rFonts w:asciiTheme="minorHAnsi" w:hAnsiTheme="minorHAnsi" w:cstheme="minorHAnsi"/>
            <w:b/>
            <w:bCs/>
            <w:sz w:val="18"/>
            <w:szCs w:val="18"/>
          </w:rPr>
          <w:t>Decision 15.COM 7.7</w:t>
        </w:r>
      </w:hyperlink>
      <w:r w:rsidRPr="00C875BE">
        <w:rPr>
          <w:rFonts w:asciiTheme="minorHAnsi" w:hAnsiTheme="minorHAnsi" w:cstheme="minorHAnsi"/>
          <w:sz w:val="18"/>
          <w:szCs w:val="18"/>
        </w:rPr>
        <w:t xml:space="preserve"> para 6; </w:t>
      </w:r>
      <w:hyperlink r:id="rId65" w:history="1">
        <w:r w:rsidRPr="00C875BE">
          <w:rPr>
            <w:rStyle w:val="Hyperlink1"/>
            <w:rFonts w:asciiTheme="minorHAnsi" w:hAnsiTheme="minorHAnsi" w:cstheme="minorHAnsi"/>
            <w:b/>
            <w:bCs/>
            <w:sz w:val="18"/>
            <w:szCs w:val="18"/>
          </w:rPr>
          <w:t>Decision 12.COM 11</w:t>
        </w:r>
      </w:hyperlink>
      <w:r w:rsidRPr="00C875BE">
        <w:rPr>
          <w:rFonts w:asciiTheme="minorHAnsi" w:hAnsiTheme="minorHAnsi" w:cstheme="minorHAnsi"/>
          <w:sz w:val="18"/>
          <w:szCs w:val="18"/>
        </w:rPr>
        <w:t xml:space="preserve"> para 13 as reflected in nomination decisions such as </w:t>
      </w:r>
      <w:hyperlink r:id="rId66" w:history="1">
        <w:r w:rsidRPr="00C875BE">
          <w:rPr>
            <w:rStyle w:val="Hyperlink1"/>
            <w:rFonts w:asciiTheme="minorHAnsi" w:hAnsiTheme="minorHAnsi" w:cstheme="minorHAnsi"/>
            <w:b/>
            <w:bCs/>
            <w:sz w:val="18"/>
            <w:szCs w:val="18"/>
          </w:rPr>
          <w:t>Decision 15.COM 8.b.33</w:t>
        </w:r>
      </w:hyperlink>
      <w:r w:rsidRPr="00C875BE">
        <w:rPr>
          <w:rFonts w:asciiTheme="minorHAnsi" w:hAnsiTheme="minorHAnsi" w:cstheme="minorHAnsi"/>
          <w:sz w:val="18"/>
          <w:szCs w:val="18"/>
        </w:rPr>
        <w:t xml:space="preserve"> para 2 R.2; </w:t>
      </w:r>
      <w:hyperlink r:id="rId67" w:history="1">
        <w:r w:rsidRPr="00C875BE">
          <w:rPr>
            <w:rStyle w:val="Hyperlink1"/>
            <w:rFonts w:asciiTheme="minorHAnsi" w:hAnsiTheme="minorHAnsi" w:cstheme="minorHAnsi"/>
            <w:b/>
            <w:bCs/>
            <w:sz w:val="18"/>
            <w:szCs w:val="18"/>
            <w:lang w:val="en-US"/>
          </w:rPr>
          <w:t>Decision 14.COM 10.a.5</w:t>
        </w:r>
      </w:hyperlink>
      <w:r w:rsidRPr="00C875BE">
        <w:rPr>
          <w:rFonts w:asciiTheme="minorHAnsi" w:hAnsiTheme="minorHAnsi" w:cstheme="minorHAnsi"/>
          <w:sz w:val="18"/>
          <w:szCs w:val="18"/>
        </w:rPr>
        <w:t xml:space="preserve"> para. </w:t>
      </w:r>
      <w:r w:rsidRPr="00C875BE">
        <w:rPr>
          <w:rFonts w:asciiTheme="minorHAnsi" w:hAnsiTheme="minorHAnsi" w:cstheme="minorHAnsi"/>
          <w:sz w:val="18"/>
          <w:szCs w:val="18"/>
          <w:lang w:val="es-ES"/>
        </w:rPr>
        <w:t xml:space="preserve">7 A.3 and 9; </w:t>
      </w:r>
      <w:hyperlink r:id="rId68"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11</w:t>
        </w:r>
      </w:hyperlink>
      <w:r w:rsidRPr="00C875BE">
        <w:rPr>
          <w:rFonts w:asciiTheme="minorHAnsi" w:hAnsiTheme="minorHAnsi" w:cstheme="minorHAnsi"/>
          <w:sz w:val="18"/>
          <w:szCs w:val="18"/>
          <w:lang w:val="es-ES"/>
        </w:rPr>
        <w:t xml:space="preserve"> para. 5; </w:t>
      </w:r>
      <w:hyperlink r:id="rId69"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27</w:t>
        </w:r>
      </w:hyperlink>
      <w:r w:rsidRPr="00C875BE">
        <w:rPr>
          <w:rFonts w:asciiTheme="minorHAnsi" w:hAnsiTheme="minorHAnsi" w:cstheme="minorHAnsi"/>
          <w:sz w:val="18"/>
          <w:szCs w:val="18"/>
          <w:lang w:val="es-ES"/>
        </w:rPr>
        <w:t xml:space="preserve"> para. 3 R.3 and para.4 R.3; </w:t>
      </w:r>
      <w:hyperlink r:id="rId70"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w:t>
        </w:r>
        <w:r w:rsidRPr="00C875BE">
          <w:rPr>
            <w:rStyle w:val="Hyperlink1"/>
            <w:rFonts w:asciiTheme="minorHAnsi" w:hAnsiTheme="minorHAnsi" w:cstheme="minorHAnsi"/>
            <w:b/>
            <w:sz w:val="18"/>
            <w:szCs w:val="18"/>
            <w:lang w:val="es-ES"/>
          </w:rPr>
          <w:t xml:space="preserve">11.COM </w:t>
        </w:r>
        <w:proofErr w:type="gramStart"/>
        <w:r w:rsidRPr="00C875BE">
          <w:rPr>
            <w:rStyle w:val="Hyperlink1"/>
            <w:rFonts w:asciiTheme="minorHAnsi" w:hAnsiTheme="minorHAnsi" w:cstheme="minorHAnsi"/>
            <w:b/>
            <w:sz w:val="18"/>
            <w:szCs w:val="18"/>
            <w:lang w:val="es-ES"/>
          </w:rPr>
          <w:t>10.b.</w:t>
        </w:r>
        <w:proofErr w:type="gramEnd"/>
        <w:r w:rsidRPr="00C875BE">
          <w:rPr>
            <w:rStyle w:val="Hyperlink1"/>
            <w:rFonts w:asciiTheme="minorHAnsi" w:hAnsiTheme="minorHAnsi" w:cstheme="minorHAnsi"/>
            <w:b/>
            <w:sz w:val="18"/>
            <w:szCs w:val="18"/>
            <w:lang w:val="es-ES"/>
          </w:rPr>
          <w:t>31</w:t>
        </w:r>
      </w:hyperlink>
      <w:r w:rsidRPr="00C875BE">
        <w:rPr>
          <w:rFonts w:asciiTheme="minorHAnsi" w:hAnsiTheme="minorHAnsi" w:cstheme="minorHAnsi"/>
          <w:bCs/>
          <w:sz w:val="18"/>
          <w:szCs w:val="18"/>
          <w:lang w:val="es-ES"/>
        </w:rPr>
        <w:t>: para. 3 R.2, R.3.</w:t>
      </w:r>
    </w:p>
  </w:footnote>
  <w:footnote w:id="61">
    <w:p w14:paraId="2147910E"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For </w:t>
      </w:r>
      <w:proofErr w:type="spellStart"/>
      <w:r w:rsidRPr="00035309">
        <w:rPr>
          <w:rFonts w:asciiTheme="minorHAnsi" w:hAnsiTheme="minorHAnsi" w:cstheme="minorHAnsi"/>
          <w:sz w:val="18"/>
          <w:szCs w:val="18"/>
          <w:lang w:val="es-ES"/>
        </w:rPr>
        <w:t>example</w:t>
      </w:r>
      <w:proofErr w:type="spellEnd"/>
      <w:r w:rsidRPr="00035309">
        <w:rPr>
          <w:rFonts w:asciiTheme="minorHAnsi" w:hAnsiTheme="minorHAnsi" w:cstheme="minorHAnsi"/>
          <w:sz w:val="18"/>
          <w:szCs w:val="18"/>
          <w:lang w:val="es-ES"/>
        </w:rPr>
        <w:t xml:space="preserve">, </w:t>
      </w:r>
      <w:hyperlink r:id="rId71" w:history="1">
        <w:proofErr w:type="spellStart"/>
        <w:r w:rsidRPr="00035309">
          <w:rPr>
            <w:rStyle w:val="Hyperlink1"/>
            <w:rFonts w:asciiTheme="minorHAnsi" w:hAnsiTheme="minorHAnsi" w:cstheme="minorHAnsi"/>
            <w:b/>
            <w:bCs/>
            <w:sz w:val="18"/>
            <w:szCs w:val="18"/>
            <w:lang w:val="es-ES"/>
          </w:rPr>
          <w:t>Decision</w:t>
        </w:r>
        <w:proofErr w:type="spellEnd"/>
        <w:r w:rsidRPr="00035309">
          <w:rPr>
            <w:rStyle w:val="Hyperlink1"/>
            <w:rFonts w:asciiTheme="minorHAnsi" w:hAnsiTheme="minorHAnsi" w:cstheme="minorHAnsi"/>
            <w:b/>
            <w:bCs/>
            <w:sz w:val="18"/>
            <w:szCs w:val="18"/>
            <w:lang w:val="es-ES"/>
          </w:rPr>
          <w:t xml:space="preserve"> 15.COM 7.9</w:t>
        </w:r>
      </w:hyperlink>
      <w:r w:rsidRPr="00035309">
        <w:rPr>
          <w:rFonts w:asciiTheme="minorHAnsi" w:hAnsiTheme="minorHAnsi" w:cstheme="minorHAnsi"/>
          <w:sz w:val="18"/>
          <w:szCs w:val="18"/>
          <w:lang w:val="es-ES"/>
        </w:rPr>
        <w:t xml:space="preserve"> para. 8; </w:t>
      </w:r>
      <w:hyperlink r:id="rId72" w:history="1">
        <w:proofErr w:type="spellStart"/>
        <w:r w:rsidRPr="00035309">
          <w:rPr>
            <w:rStyle w:val="Hyperlink1"/>
            <w:rFonts w:asciiTheme="minorHAnsi" w:hAnsiTheme="minorHAnsi" w:cstheme="minorHAnsi"/>
            <w:b/>
            <w:bCs/>
            <w:sz w:val="18"/>
            <w:szCs w:val="18"/>
            <w:lang w:val="es-ES"/>
          </w:rPr>
          <w:t>Decision</w:t>
        </w:r>
        <w:proofErr w:type="spellEnd"/>
        <w:r w:rsidRPr="00035309">
          <w:rPr>
            <w:rStyle w:val="Hyperlink1"/>
            <w:rFonts w:asciiTheme="minorHAnsi" w:hAnsiTheme="minorHAnsi" w:cstheme="minorHAnsi"/>
            <w:b/>
            <w:bCs/>
            <w:sz w:val="18"/>
            <w:szCs w:val="18"/>
            <w:lang w:val="es-ES"/>
          </w:rPr>
          <w:t xml:space="preserve"> 14.COM </w:t>
        </w:r>
        <w:proofErr w:type="gramStart"/>
        <w:r w:rsidRPr="00035309">
          <w:rPr>
            <w:rStyle w:val="Hyperlink1"/>
            <w:rFonts w:asciiTheme="minorHAnsi" w:hAnsiTheme="minorHAnsi" w:cstheme="minorHAnsi"/>
            <w:b/>
            <w:bCs/>
            <w:sz w:val="18"/>
            <w:szCs w:val="18"/>
            <w:lang w:val="es-ES"/>
          </w:rPr>
          <w:t>10.b.</w:t>
        </w:r>
        <w:proofErr w:type="gramEnd"/>
        <w:r w:rsidRPr="00035309">
          <w:rPr>
            <w:rStyle w:val="Hyperlink1"/>
            <w:rFonts w:asciiTheme="minorHAnsi" w:hAnsiTheme="minorHAnsi" w:cstheme="minorHAnsi"/>
            <w:b/>
            <w:bCs/>
            <w:sz w:val="18"/>
            <w:szCs w:val="18"/>
            <w:lang w:val="es-ES"/>
          </w:rPr>
          <w:t>35</w:t>
        </w:r>
      </w:hyperlink>
      <w:r w:rsidRPr="00035309">
        <w:rPr>
          <w:rFonts w:asciiTheme="minorHAnsi" w:hAnsiTheme="minorHAnsi" w:cstheme="minorHAnsi"/>
          <w:sz w:val="18"/>
          <w:szCs w:val="18"/>
          <w:lang w:val="es-ES"/>
        </w:rPr>
        <w:t xml:space="preserve"> para. 4; </w:t>
      </w:r>
      <w:bookmarkStart w:id="16" w:name="_Hlk81482340"/>
      <w:r w:rsidRPr="00C875BE">
        <w:rPr>
          <w:rFonts w:asciiTheme="minorHAnsi" w:hAnsiTheme="minorHAnsi" w:cstheme="minorHAnsi"/>
          <w:sz w:val="18"/>
          <w:szCs w:val="18"/>
        </w:rPr>
        <w:fldChar w:fldCharType="begin"/>
      </w:r>
      <w:r w:rsidRPr="00035309">
        <w:rPr>
          <w:rFonts w:asciiTheme="minorHAnsi" w:hAnsiTheme="minorHAnsi" w:cstheme="minorHAnsi"/>
          <w:sz w:val="18"/>
          <w:szCs w:val="18"/>
          <w:lang w:val="es-ES"/>
        </w:rPr>
        <w:instrText>HYPERLINK "https://ich.unesco.org/en/Decisions/13.COM/10.b.11"</w:instrText>
      </w:r>
      <w:r w:rsidRPr="00C875BE">
        <w:rPr>
          <w:rFonts w:asciiTheme="minorHAnsi" w:hAnsiTheme="minorHAnsi" w:cstheme="minorHAnsi"/>
          <w:sz w:val="18"/>
          <w:szCs w:val="18"/>
        </w:rPr>
      </w:r>
      <w:r w:rsidRPr="00C875BE">
        <w:rPr>
          <w:rFonts w:asciiTheme="minorHAnsi" w:hAnsiTheme="minorHAnsi" w:cstheme="minorHAnsi"/>
          <w:sz w:val="18"/>
          <w:szCs w:val="18"/>
        </w:rPr>
        <w:fldChar w:fldCharType="separate"/>
      </w:r>
      <w:proofErr w:type="spellStart"/>
      <w:r w:rsidRPr="00035309">
        <w:rPr>
          <w:rStyle w:val="Hyperlink1"/>
          <w:rFonts w:asciiTheme="minorHAnsi" w:hAnsiTheme="minorHAnsi" w:cstheme="minorHAnsi"/>
          <w:b/>
          <w:bCs/>
          <w:sz w:val="18"/>
          <w:szCs w:val="18"/>
          <w:lang w:val="es-ES"/>
        </w:rPr>
        <w:t>Decision</w:t>
      </w:r>
      <w:proofErr w:type="spellEnd"/>
      <w:r w:rsidRPr="00035309">
        <w:rPr>
          <w:rStyle w:val="Hyperlink1"/>
          <w:rFonts w:asciiTheme="minorHAnsi" w:hAnsiTheme="minorHAnsi" w:cstheme="minorHAnsi"/>
          <w:b/>
          <w:bCs/>
          <w:sz w:val="18"/>
          <w:szCs w:val="18"/>
          <w:lang w:val="es-ES"/>
        </w:rPr>
        <w:t xml:space="preserve"> 13.COM </w:t>
      </w:r>
      <w:proofErr w:type="gramStart"/>
      <w:r w:rsidRPr="00035309">
        <w:rPr>
          <w:rStyle w:val="Hyperlink1"/>
          <w:rFonts w:asciiTheme="minorHAnsi" w:hAnsiTheme="minorHAnsi" w:cstheme="minorHAnsi"/>
          <w:b/>
          <w:bCs/>
          <w:sz w:val="18"/>
          <w:szCs w:val="18"/>
          <w:lang w:val="es-ES"/>
        </w:rPr>
        <w:t>10.b.</w:t>
      </w:r>
      <w:proofErr w:type="gramEnd"/>
      <w:r w:rsidRPr="00035309">
        <w:rPr>
          <w:rStyle w:val="Hyperlink1"/>
          <w:rFonts w:asciiTheme="minorHAnsi" w:hAnsiTheme="minorHAnsi" w:cstheme="minorHAnsi"/>
          <w:b/>
          <w:bCs/>
          <w:sz w:val="18"/>
          <w:szCs w:val="18"/>
          <w:lang w:val="es-ES"/>
        </w:rPr>
        <w:t>11</w:t>
      </w:r>
      <w:r w:rsidRPr="00C875BE">
        <w:rPr>
          <w:rFonts w:asciiTheme="minorHAnsi" w:hAnsiTheme="minorHAnsi" w:cstheme="minorHAnsi"/>
          <w:sz w:val="18"/>
          <w:szCs w:val="18"/>
        </w:rPr>
        <w:fldChar w:fldCharType="end"/>
      </w:r>
      <w:bookmarkEnd w:id="16"/>
      <w:r w:rsidRPr="00035309">
        <w:rPr>
          <w:rFonts w:asciiTheme="minorHAnsi" w:hAnsiTheme="minorHAnsi" w:cstheme="minorHAnsi"/>
          <w:sz w:val="18"/>
          <w:szCs w:val="18"/>
          <w:lang w:val="es-ES"/>
        </w:rPr>
        <w:t xml:space="preserve"> para. </w:t>
      </w:r>
      <w:r w:rsidRPr="00C875BE">
        <w:rPr>
          <w:rFonts w:asciiTheme="minorHAnsi" w:hAnsiTheme="minorHAnsi" w:cstheme="minorHAnsi"/>
          <w:sz w:val="18"/>
          <w:szCs w:val="18"/>
        </w:rPr>
        <w:t>4 (‘increased influx of visitors’).</w:t>
      </w:r>
    </w:p>
  </w:footnote>
  <w:footnote w:id="62">
    <w:p w14:paraId="51947F1B"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the Committee ‘invites the State Party to take particular heed of the impact of increased, undue tourism and over-commercialization on the safeguarding of the element in order to prevent its potential decontextualization and encourages it to remain focused on the cultural and social aspects of the element when planning and implementing the safeguarding measures’ in </w:t>
      </w:r>
      <w:hyperlink r:id="rId73" w:history="1">
        <w:r w:rsidRPr="00C875BE">
          <w:rPr>
            <w:rStyle w:val="Hyperlink1"/>
            <w:rFonts w:asciiTheme="minorHAnsi" w:hAnsiTheme="minorHAnsi" w:cstheme="minorHAnsi"/>
            <w:b/>
            <w:bCs/>
            <w:sz w:val="18"/>
            <w:szCs w:val="18"/>
          </w:rPr>
          <w:t xml:space="preserve">Decision </w:t>
        </w:r>
        <w:r w:rsidRPr="00C875BE">
          <w:rPr>
            <w:rStyle w:val="Hyperlink1"/>
            <w:rFonts w:asciiTheme="minorHAnsi" w:hAnsiTheme="minorHAnsi" w:cstheme="minorHAnsi"/>
            <w:b/>
            <w:sz w:val="18"/>
            <w:szCs w:val="18"/>
            <w:lang w:val="en-US"/>
          </w:rPr>
          <w:t>14.COM 10.b.32</w:t>
        </w:r>
      </w:hyperlink>
      <w:r w:rsidRPr="00C875BE">
        <w:rPr>
          <w:rFonts w:asciiTheme="minorHAnsi" w:hAnsiTheme="minorHAnsi" w:cstheme="minorHAnsi"/>
          <w:sz w:val="18"/>
          <w:szCs w:val="18"/>
        </w:rPr>
        <w:t xml:space="preserve"> para. 5.</w:t>
      </w:r>
    </w:p>
  </w:footnote>
  <w:footnote w:id="63">
    <w:p w14:paraId="48DD116A"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74" w:history="1">
        <w:r w:rsidRPr="00C875BE">
          <w:rPr>
            <w:rStyle w:val="Hyperlink1"/>
            <w:rFonts w:asciiTheme="minorHAnsi" w:hAnsiTheme="minorHAnsi" w:cstheme="minorHAnsi"/>
            <w:b/>
            <w:bCs/>
            <w:sz w:val="18"/>
            <w:szCs w:val="18"/>
          </w:rPr>
          <w:t>ITH/14/9.COM/10</w:t>
        </w:r>
      </w:hyperlink>
      <w:r w:rsidRPr="00C875BE">
        <w:rPr>
          <w:rFonts w:asciiTheme="minorHAnsi" w:hAnsiTheme="minorHAnsi" w:cstheme="minorHAnsi"/>
          <w:sz w:val="18"/>
          <w:szCs w:val="18"/>
          <w:lang w:val="pt-PT"/>
        </w:rPr>
        <w:t xml:space="preserve"> </w:t>
      </w:r>
      <w:r w:rsidRPr="00C875BE">
        <w:rPr>
          <w:rFonts w:asciiTheme="minorHAnsi" w:hAnsiTheme="minorHAnsi" w:cstheme="minorHAnsi"/>
          <w:sz w:val="18"/>
          <w:szCs w:val="18"/>
          <w:lang w:val="pt-PT"/>
        </w:rPr>
        <w:t xml:space="preserve">para. </w:t>
      </w:r>
      <w:r w:rsidRPr="00C875BE">
        <w:rPr>
          <w:rFonts w:asciiTheme="minorHAnsi" w:hAnsiTheme="minorHAnsi" w:cstheme="minorHAnsi"/>
          <w:sz w:val="18"/>
          <w:szCs w:val="18"/>
          <w:lang w:val="pt-PT"/>
        </w:rPr>
        <w:t>57.</w:t>
      </w:r>
    </w:p>
  </w:footnote>
  <w:footnote w:id="64">
    <w:p w14:paraId="63F1EAD8"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In </w:t>
      </w:r>
      <w:hyperlink r:id="rId75" w:history="1">
        <w:r w:rsidRPr="00C875BE">
          <w:rPr>
            <w:rStyle w:val="Hyperlink1"/>
            <w:rFonts w:asciiTheme="minorHAnsi" w:hAnsiTheme="minorHAnsi" w:cstheme="minorHAnsi"/>
            <w:b/>
            <w:bCs/>
            <w:sz w:val="18"/>
            <w:szCs w:val="18"/>
          </w:rPr>
          <w:t>Decision 12.COM 11</w:t>
        </w:r>
      </w:hyperlink>
      <w:r w:rsidRPr="00C875BE">
        <w:rPr>
          <w:rFonts w:asciiTheme="minorHAnsi" w:hAnsiTheme="minorHAnsi" w:cstheme="minorHAnsi"/>
          <w:sz w:val="18"/>
          <w:szCs w:val="18"/>
        </w:rPr>
        <w:t xml:space="preserve"> para. 13 the Committee reminded States Parties that ‘more attention should be paid to the possible negative impacts of commercialization and the need to avoid any danger of decontextualization of the element as a result of increased tourism’.</w:t>
      </w:r>
    </w:p>
  </w:footnote>
  <w:footnote w:id="65">
    <w:p w14:paraId="52CB4A6B"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76" w:history="1">
        <w:r w:rsidRPr="00C875BE">
          <w:rPr>
            <w:rStyle w:val="Hyperlink1"/>
            <w:rFonts w:asciiTheme="minorHAnsi" w:hAnsiTheme="minorHAnsi" w:cstheme="minorHAnsi"/>
            <w:b/>
            <w:bCs/>
            <w:sz w:val="18"/>
            <w:szCs w:val="18"/>
            <w:lang w:val="en-US"/>
          </w:rPr>
          <w:t>LHE/20/15.COM/8</w:t>
        </w:r>
      </w:hyperlink>
      <w:r w:rsidRPr="00C875BE">
        <w:rPr>
          <w:rFonts w:asciiTheme="minorHAnsi" w:hAnsiTheme="minorHAnsi" w:cstheme="minorHAnsi"/>
          <w:sz w:val="18"/>
          <w:szCs w:val="18"/>
        </w:rPr>
        <w:t xml:space="preserve"> para. 52; Document </w:t>
      </w:r>
      <w:hyperlink r:id="rId77" w:history="1">
        <w:r w:rsidRPr="00C875BE">
          <w:rPr>
            <w:rStyle w:val="Hyperlink1"/>
            <w:rFonts w:asciiTheme="minorHAnsi" w:hAnsiTheme="minorHAnsi" w:cstheme="minorHAnsi"/>
            <w:b/>
            <w:bCs/>
            <w:sz w:val="18"/>
            <w:szCs w:val="18"/>
          </w:rPr>
          <w:t>LHE/19/14.COM/10</w:t>
        </w:r>
      </w:hyperlink>
      <w:r w:rsidRPr="00C875BE">
        <w:rPr>
          <w:rFonts w:asciiTheme="minorHAnsi" w:hAnsiTheme="minorHAnsi" w:cstheme="minorHAnsi"/>
          <w:sz w:val="18"/>
          <w:szCs w:val="18"/>
        </w:rPr>
        <w:t xml:space="preserve"> para. 37. See also Document </w:t>
      </w:r>
      <w:hyperlink r:id="rId78" w:history="1">
        <w:r w:rsidRPr="00C875BE">
          <w:rPr>
            <w:rStyle w:val="Hyperlink1"/>
            <w:rFonts w:asciiTheme="minorHAnsi" w:hAnsiTheme="minorHAnsi" w:cstheme="minorHAnsi"/>
            <w:b/>
            <w:bCs/>
            <w:sz w:val="18"/>
            <w:szCs w:val="18"/>
            <w:lang w:val="en-US"/>
          </w:rPr>
          <w:t>ITH/17/12.COM/11</w:t>
        </w:r>
      </w:hyperlink>
      <w:r w:rsidRPr="00C875BE">
        <w:rPr>
          <w:rFonts w:asciiTheme="minorHAnsi" w:hAnsiTheme="minorHAnsi" w:cstheme="minorHAnsi"/>
          <w:sz w:val="18"/>
          <w:szCs w:val="18"/>
        </w:rPr>
        <w:t xml:space="preserve"> para 31; Document </w:t>
      </w:r>
      <w:hyperlink r:id="rId79" w:history="1">
        <w:r w:rsidRPr="00C875BE">
          <w:rPr>
            <w:rStyle w:val="Hyperlink1"/>
            <w:rFonts w:asciiTheme="minorHAnsi" w:hAnsiTheme="minorHAnsi" w:cstheme="minorHAnsi"/>
            <w:b/>
            <w:bCs/>
            <w:sz w:val="18"/>
            <w:szCs w:val="18"/>
            <w:lang w:val="en-US"/>
          </w:rPr>
          <w:t>ITH/18/13.COM/10</w:t>
        </w:r>
      </w:hyperlink>
      <w:r w:rsidRPr="00C875BE">
        <w:rPr>
          <w:rFonts w:asciiTheme="minorHAnsi" w:hAnsiTheme="minorHAnsi" w:cstheme="minorHAnsi"/>
          <w:sz w:val="18"/>
          <w:szCs w:val="18"/>
        </w:rPr>
        <w:t xml:space="preserve"> para 39(</w:t>
      </w:r>
      <w:proofErr w:type="spellStart"/>
      <w:r w:rsidRPr="00C875BE">
        <w:rPr>
          <w:rFonts w:asciiTheme="minorHAnsi" w:hAnsiTheme="minorHAnsi" w:cstheme="minorHAnsi"/>
          <w:sz w:val="18"/>
          <w:szCs w:val="18"/>
        </w:rPr>
        <w:t>i</w:t>
      </w:r>
      <w:proofErr w:type="spellEnd"/>
      <w:r w:rsidRPr="00C875BE">
        <w:rPr>
          <w:rFonts w:asciiTheme="minorHAnsi" w:hAnsiTheme="minorHAnsi" w:cstheme="minorHAnsi"/>
          <w:sz w:val="18"/>
          <w:szCs w:val="18"/>
        </w:rPr>
        <w:t>).</w:t>
      </w:r>
    </w:p>
  </w:footnote>
  <w:footnote w:id="66">
    <w:p w14:paraId="5BF2BE91" w14:textId="77777777" w:rsidR="00086ECF" w:rsidRPr="00C875BE" w:rsidRDefault="00086ECF" w:rsidP="00095F74">
      <w:pPr>
        <w:pStyle w:val="FootnoteText"/>
        <w:jc w:val="left"/>
        <w:rPr>
          <w:rFonts w:asciiTheme="minorHAnsi" w:hAnsiTheme="minorHAnsi" w:cstheme="minorHAnsi"/>
          <w:b/>
          <w:bCs/>
          <w:sz w:val="18"/>
          <w:szCs w:val="18"/>
          <w:lang w:val="es-ES"/>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rPr>
        <w:t xml:space="preserve"> For example </w:t>
      </w:r>
      <w:hyperlink r:id="rId80" w:history="1">
        <w:r w:rsidRPr="00035309">
          <w:rPr>
            <w:rStyle w:val="Hyperlink1"/>
            <w:rFonts w:asciiTheme="minorHAnsi" w:hAnsiTheme="minorHAnsi" w:cstheme="minorHAnsi"/>
            <w:b/>
            <w:bCs/>
            <w:sz w:val="18"/>
            <w:szCs w:val="18"/>
          </w:rPr>
          <w:t xml:space="preserve">Decision 15.COM </w:t>
        </w:r>
        <w:proofErr w:type="gramStart"/>
        <w:r w:rsidRPr="00035309">
          <w:rPr>
            <w:rStyle w:val="Hyperlink1"/>
            <w:rFonts w:asciiTheme="minorHAnsi" w:hAnsiTheme="minorHAnsi" w:cstheme="minorHAnsi"/>
            <w:b/>
            <w:bCs/>
            <w:sz w:val="18"/>
            <w:szCs w:val="18"/>
          </w:rPr>
          <w:t>8.b.</w:t>
        </w:r>
        <w:proofErr w:type="gramEnd"/>
        <w:r w:rsidRPr="00035309">
          <w:rPr>
            <w:rStyle w:val="Hyperlink1"/>
            <w:rFonts w:asciiTheme="minorHAnsi" w:hAnsiTheme="minorHAnsi" w:cstheme="minorHAnsi"/>
            <w:b/>
            <w:bCs/>
            <w:sz w:val="18"/>
            <w:szCs w:val="18"/>
          </w:rPr>
          <w:t>7</w:t>
        </w:r>
      </w:hyperlink>
      <w:r w:rsidRPr="00035309">
        <w:rPr>
          <w:rFonts w:asciiTheme="minorHAnsi" w:hAnsiTheme="minorHAnsi" w:cstheme="minorHAnsi"/>
          <w:sz w:val="18"/>
          <w:szCs w:val="18"/>
        </w:rPr>
        <w:t xml:space="preserve"> para. </w:t>
      </w:r>
      <w:r w:rsidRPr="00C875BE">
        <w:rPr>
          <w:rFonts w:asciiTheme="minorHAnsi" w:hAnsiTheme="minorHAnsi" w:cstheme="minorHAnsi"/>
          <w:sz w:val="18"/>
          <w:szCs w:val="18"/>
          <w:lang w:val="es-ES"/>
        </w:rPr>
        <w:t xml:space="preserve">8; </w:t>
      </w:r>
      <w:hyperlink r:id="rId81"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15.COM </w:t>
        </w:r>
        <w:proofErr w:type="gramStart"/>
        <w:r w:rsidRPr="00C875BE">
          <w:rPr>
            <w:rStyle w:val="Hyperlink1"/>
            <w:rFonts w:asciiTheme="minorHAnsi" w:hAnsiTheme="minorHAnsi" w:cstheme="minorHAnsi"/>
            <w:b/>
            <w:bCs/>
            <w:sz w:val="18"/>
            <w:szCs w:val="18"/>
            <w:lang w:val="es-ES"/>
          </w:rPr>
          <w:t>8.b.</w:t>
        </w:r>
        <w:proofErr w:type="gramEnd"/>
        <w:r w:rsidRPr="00C875BE">
          <w:rPr>
            <w:rStyle w:val="Hyperlink1"/>
            <w:rFonts w:asciiTheme="minorHAnsi" w:hAnsiTheme="minorHAnsi" w:cstheme="minorHAnsi"/>
            <w:b/>
            <w:bCs/>
            <w:sz w:val="18"/>
            <w:szCs w:val="18"/>
            <w:lang w:val="es-ES"/>
          </w:rPr>
          <w:t>31</w:t>
        </w:r>
      </w:hyperlink>
      <w:r w:rsidRPr="00C875BE">
        <w:rPr>
          <w:rFonts w:asciiTheme="minorHAnsi" w:hAnsiTheme="minorHAnsi" w:cstheme="minorHAnsi"/>
          <w:b/>
          <w:bCs/>
          <w:sz w:val="18"/>
          <w:szCs w:val="18"/>
          <w:lang w:val="es-ES"/>
        </w:rPr>
        <w:t xml:space="preserve"> </w:t>
      </w:r>
      <w:r w:rsidRPr="00C875BE">
        <w:rPr>
          <w:rFonts w:asciiTheme="minorHAnsi" w:hAnsiTheme="minorHAnsi" w:cstheme="minorHAnsi"/>
          <w:sz w:val="18"/>
          <w:szCs w:val="18"/>
          <w:lang w:val="es-ES"/>
        </w:rPr>
        <w:t xml:space="preserve">para.8; </w:t>
      </w:r>
      <w:hyperlink r:id="rId82"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w:t>
        </w:r>
        <w:r w:rsidRPr="00C875BE">
          <w:rPr>
            <w:rStyle w:val="Hyperlink1"/>
            <w:rFonts w:asciiTheme="minorHAnsi" w:hAnsiTheme="minorHAnsi" w:cstheme="minorHAnsi"/>
            <w:b/>
            <w:sz w:val="18"/>
            <w:szCs w:val="18"/>
            <w:lang w:val="es-ES"/>
          </w:rPr>
          <w:t>14.COM 10.b.32</w:t>
        </w:r>
      </w:hyperlink>
      <w:r w:rsidRPr="00C875BE">
        <w:rPr>
          <w:rFonts w:asciiTheme="minorHAnsi" w:hAnsiTheme="minorHAnsi" w:cstheme="minorHAnsi"/>
          <w:sz w:val="18"/>
          <w:szCs w:val="18"/>
          <w:lang w:val="es-ES"/>
        </w:rPr>
        <w:t xml:space="preserve"> para 5.</w:t>
      </w:r>
    </w:p>
  </w:footnote>
  <w:footnote w:id="67">
    <w:p w14:paraId="0A85966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For </w:t>
      </w:r>
      <w:proofErr w:type="spellStart"/>
      <w:r w:rsidRPr="00035309">
        <w:rPr>
          <w:rFonts w:asciiTheme="minorHAnsi" w:hAnsiTheme="minorHAnsi" w:cstheme="minorHAnsi"/>
          <w:sz w:val="18"/>
          <w:szCs w:val="18"/>
          <w:lang w:val="es-ES"/>
        </w:rPr>
        <w:t>example</w:t>
      </w:r>
      <w:proofErr w:type="spellEnd"/>
      <w:r w:rsidRPr="00035309">
        <w:rPr>
          <w:rFonts w:asciiTheme="minorHAnsi" w:hAnsiTheme="minorHAnsi" w:cstheme="minorHAnsi"/>
          <w:sz w:val="18"/>
          <w:szCs w:val="18"/>
          <w:lang w:val="es-ES"/>
        </w:rPr>
        <w:t xml:space="preserve">, </w:t>
      </w:r>
      <w:hyperlink r:id="rId83" w:history="1">
        <w:proofErr w:type="spellStart"/>
        <w:r w:rsidRPr="00035309">
          <w:rPr>
            <w:rStyle w:val="Hyperlink1"/>
            <w:rFonts w:asciiTheme="minorHAnsi" w:hAnsiTheme="minorHAnsi" w:cstheme="minorHAnsi"/>
            <w:b/>
            <w:bCs/>
            <w:sz w:val="18"/>
            <w:szCs w:val="18"/>
            <w:lang w:val="es-ES"/>
          </w:rPr>
          <w:t>Decision</w:t>
        </w:r>
        <w:proofErr w:type="spellEnd"/>
        <w:r w:rsidRPr="00035309">
          <w:rPr>
            <w:rStyle w:val="Hyperlink1"/>
            <w:rFonts w:asciiTheme="minorHAnsi" w:hAnsiTheme="minorHAnsi" w:cstheme="minorHAnsi"/>
            <w:sz w:val="18"/>
            <w:szCs w:val="18"/>
            <w:lang w:val="es-ES"/>
          </w:rPr>
          <w:t xml:space="preserve"> </w:t>
        </w:r>
        <w:r w:rsidRPr="00035309">
          <w:rPr>
            <w:rStyle w:val="Hyperlink1"/>
            <w:rFonts w:asciiTheme="minorHAnsi" w:hAnsiTheme="minorHAnsi" w:cstheme="minorHAnsi"/>
            <w:b/>
            <w:sz w:val="18"/>
            <w:szCs w:val="18"/>
            <w:lang w:val="es-ES"/>
          </w:rPr>
          <w:t>14.COM 10.a.5</w:t>
        </w:r>
      </w:hyperlink>
      <w:r w:rsidRPr="00035309">
        <w:rPr>
          <w:rFonts w:asciiTheme="minorHAnsi" w:hAnsiTheme="minorHAnsi" w:cstheme="minorHAnsi"/>
          <w:sz w:val="18"/>
          <w:szCs w:val="18"/>
          <w:lang w:val="es-ES"/>
        </w:rPr>
        <w:t xml:space="preserve"> para. </w:t>
      </w:r>
      <w:r w:rsidRPr="00C875BE">
        <w:rPr>
          <w:rFonts w:asciiTheme="minorHAnsi" w:hAnsiTheme="minorHAnsi" w:cstheme="minorHAnsi"/>
          <w:sz w:val="18"/>
          <w:szCs w:val="18"/>
        </w:rPr>
        <w:t>9.</w:t>
      </w:r>
    </w:p>
  </w:footnote>
  <w:footnote w:id="68">
    <w:p w14:paraId="41E772BD"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84" w:history="1">
        <w:r w:rsidRPr="00C875BE">
          <w:rPr>
            <w:rStyle w:val="Hyperlink1"/>
            <w:rFonts w:asciiTheme="minorHAnsi" w:hAnsiTheme="minorHAnsi" w:cstheme="minorHAnsi"/>
            <w:b/>
            <w:bCs/>
            <w:sz w:val="18"/>
            <w:szCs w:val="18"/>
            <w:lang w:val="en-US"/>
          </w:rPr>
          <w:t>ITH/17/12.COM/11</w:t>
        </w:r>
      </w:hyperlink>
      <w:r w:rsidRPr="00C875BE">
        <w:rPr>
          <w:rFonts w:asciiTheme="minorHAnsi" w:hAnsiTheme="minorHAnsi" w:cstheme="minorHAnsi"/>
          <w:sz w:val="18"/>
          <w:szCs w:val="18"/>
        </w:rPr>
        <w:t xml:space="preserve"> para. 30.</w:t>
      </w:r>
    </w:p>
  </w:footnote>
  <w:footnote w:id="69">
    <w:p w14:paraId="67299287"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85" w:history="1">
        <w:r w:rsidRPr="00C875BE">
          <w:rPr>
            <w:rStyle w:val="Hyperlink1"/>
            <w:rFonts w:asciiTheme="minorHAnsi" w:hAnsiTheme="minorHAnsi" w:cstheme="minorHAnsi"/>
            <w:b/>
            <w:bCs/>
            <w:sz w:val="18"/>
            <w:szCs w:val="18"/>
          </w:rPr>
          <w:t>Decision 14.COM 10</w:t>
        </w:r>
      </w:hyperlink>
      <w:r w:rsidRPr="00C875BE">
        <w:rPr>
          <w:rFonts w:asciiTheme="minorHAnsi" w:hAnsiTheme="minorHAnsi" w:cstheme="minorHAnsi"/>
          <w:sz w:val="18"/>
          <w:szCs w:val="18"/>
        </w:rPr>
        <w:t xml:space="preserve"> para. 13. See also Document </w:t>
      </w:r>
      <w:hyperlink r:id="rId86" w:history="1">
        <w:r w:rsidRPr="00C875BE">
          <w:rPr>
            <w:rStyle w:val="Hyperlink1"/>
            <w:rFonts w:asciiTheme="minorHAnsi" w:hAnsiTheme="minorHAnsi" w:cstheme="minorHAnsi"/>
            <w:b/>
            <w:bCs/>
            <w:sz w:val="18"/>
            <w:szCs w:val="18"/>
          </w:rPr>
          <w:t>LHE/19/14.COM/10</w:t>
        </w:r>
      </w:hyperlink>
      <w:r w:rsidRPr="00C875BE">
        <w:rPr>
          <w:rFonts w:asciiTheme="minorHAnsi" w:hAnsiTheme="minorHAnsi" w:cstheme="minorHAnsi"/>
          <w:sz w:val="18"/>
          <w:szCs w:val="18"/>
        </w:rPr>
        <w:t xml:space="preserve"> para. 37: ‘The Evaluation Body wishes to recall that the inscription of an element on the Representative List does not confer a special ‘brand’ or ‘label’ upon a practice or product, as in the case of crafts.’ A similar point was made by the Evaluation Body in 2018, Document </w:t>
      </w:r>
      <w:hyperlink r:id="rId87" w:history="1">
        <w:r w:rsidRPr="00C875BE">
          <w:rPr>
            <w:rStyle w:val="Hyperlink1"/>
            <w:rFonts w:asciiTheme="minorHAnsi" w:hAnsiTheme="minorHAnsi" w:cstheme="minorHAnsi"/>
            <w:b/>
            <w:bCs/>
            <w:sz w:val="18"/>
            <w:szCs w:val="18"/>
            <w:lang w:val="en-US"/>
          </w:rPr>
          <w:t>ITH/18/13.COM/10</w:t>
        </w:r>
      </w:hyperlink>
      <w:r w:rsidRPr="00C875BE">
        <w:rPr>
          <w:rFonts w:asciiTheme="minorHAnsi" w:hAnsiTheme="minorHAnsi" w:cstheme="minorHAnsi"/>
          <w:sz w:val="18"/>
          <w:szCs w:val="18"/>
        </w:rPr>
        <w:t xml:space="preserve"> para 39(iii).</w:t>
      </w:r>
    </w:p>
  </w:footnote>
  <w:footnote w:id="70">
    <w:p w14:paraId="40E72507"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bookmarkStart w:id="17" w:name="_Hlk81484719"/>
      <w:r w:rsidRPr="00C875BE">
        <w:rPr>
          <w:rFonts w:asciiTheme="minorHAnsi" w:hAnsiTheme="minorHAnsi" w:cstheme="minorHAnsi"/>
          <w:sz w:val="18"/>
          <w:szCs w:val="18"/>
        </w:rPr>
        <w:fldChar w:fldCharType="begin"/>
      </w:r>
      <w:r w:rsidRPr="00C875BE">
        <w:rPr>
          <w:rFonts w:asciiTheme="minorHAnsi" w:hAnsiTheme="minorHAnsi" w:cstheme="minorHAnsi"/>
          <w:sz w:val="18"/>
          <w:szCs w:val="18"/>
        </w:rPr>
        <w:instrText>HYPERLINK "https://ich.unesco.org/en/Decisions/5.COM/6"</w:instrText>
      </w:r>
      <w:r w:rsidRPr="00C875BE">
        <w:rPr>
          <w:rFonts w:asciiTheme="minorHAnsi" w:hAnsiTheme="minorHAnsi" w:cstheme="minorHAnsi"/>
          <w:sz w:val="18"/>
          <w:szCs w:val="18"/>
        </w:rPr>
      </w:r>
      <w:r w:rsidRPr="00C875BE">
        <w:rPr>
          <w:rFonts w:asciiTheme="minorHAnsi" w:hAnsiTheme="minorHAnsi" w:cstheme="minorHAnsi"/>
          <w:sz w:val="18"/>
          <w:szCs w:val="18"/>
        </w:rPr>
        <w:fldChar w:fldCharType="separate"/>
      </w:r>
      <w:r w:rsidRPr="00C875BE">
        <w:rPr>
          <w:rStyle w:val="Hyperlink1"/>
          <w:rFonts w:asciiTheme="minorHAnsi" w:hAnsiTheme="minorHAnsi" w:cstheme="minorHAnsi"/>
          <w:b/>
          <w:bCs/>
          <w:sz w:val="18"/>
          <w:szCs w:val="18"/>
          <w:lang w:val="en-US"/>
        </w:rPr>
        <w:t>Decision 5.COM 6</w:t>
      </w:r>
      <w:r w:rsidRPr="00C875BE">
        <w:rPr>
          <w:rFonts w:asciiTheme="minorHAnsi" w:hAnsiTheme="minorHAnsi" w:cstheme="minorHAnsi"/>
          <w:sz w:val="18"/>
          <w:szCs w:val="18"/>
        </w:rPr>
        <w:fldChar w:fldCharType="end"/>
      </w:r>
      <w:bookmarkEnd w:id="17"/>
      <w:r w:rsidRPr="00C875BE">
        <w:rPr>
          <w:rFonts w:asciiTheme="minorHAnsi" w:hAnsiTheme="minorHAnsi" w:cstheme="minorHAnsi"/>
          <w:sz w:val="18"/>
          <w:szCs w:val="18"/>
        </w:rPr>
        <w:t xml:space="preserve"> para. 6. See also </w:t>
      </w:r>
      <w:hyperlink r:id="rId88" w:history="1">
        <w:r w:rsidRPr="00C875BE">
          <w:rPr>
            <w:rStyle w:val="Hyperlink1"/>
            <w:rFonts w:asciiTheme="minorHAnsi" w:hAnsiTheme="minorHAnsi" w:cstheme="minorHAnsi"/>
            <w:b/>
            <w:bCs/>
            <w:sz w:val="18"/>
            <w:szCs w:val="18"/>
          </w:rPr>
          <w:t xml:space="preserve">Decision 12.COM </w:t>
        </w:r>
        <w:proofErr w:type="gramStart"/>
        <w:r w:rsidRPr="00C875BE">
          <w:rPr>
            <w:rStyle w:val="Hyperlink1"/>
            <w:rFonts w:asciiTheme="minorHAnsi" w:hAnsiTheme="minorHAnsi" w:cstheme="minorHAnsi"/>
            <w:b/>
            <w:bCs/>
            <w:sz w:val="18"/>
            <w:szCs w:val="18"/>
          </w:rPr>
          <w:t>11.b.</w:t>
        </w:r>
        <w:proofErr w:type="gramEnd"/>
        <w:r w:rsidRPr="00C875BE">
          <w:rPr>
            <w:rStyle w:val="Hyperlink1"/>
            <w:rFonts w:asciiTheme="minorHAnsi" w:hAnsiTheme="minorHAnsi" w:cstheme="minorHAnsi"/>
            <w:b/>
            <w:bCs/>
            <w:sz w:val="18"/>
            <w:szCs w:val="18"/>
          </w:rPr>
          <w:t>18</w:t>
        </w:r>
      </w:hyperlink>
      <w:r w:rsidRPr="00C875BE">
        <w:rPr>
          <w:rFonts w:asciiTheme="minorHAnsi" w:hAnsiTheme="minorHAnsi" w:cstheme="minorHAnsi"/>
          <w:bCs/>
          <w:sz w:val="18"/>
          <w:szCs w:val="18"/>
          <w:lang w:val="en-US"/>
        </w:rPr>
        <w:t xml:space="preserve"> para. 4.</w:t>
      </w:r>
    </w:p>
  </w:footnote>
  <w:footnote w:id="71">
    <w:p w14:paraId="7E844B2A"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Document </w:t>
      </w:r>
      <w:hyperlink r:id="rId89" w:history="1">
        <w:r w:rsidRPr="00C875BE">
          <w:rPr>
            <w:rStyle w:val="Hyperlink1"/>
            <w:rFonts w:asciiTheme="minorHAnsi" w:hAnsiTheme="minorHAnsi" w:cstheme="minorHAnsi"/>
            <w:b/>
            <w:bCs/>
            <w:sz w:val="18"/>
            <w:szCs w:val="18"/>
            <w:lang w:val="en-US"/>
          </w:rPr>
          <w:t>ITH/17/12.COM/11</w:t>
        </w:r>
      </w:hyperlink>
      <w:r w:rsidRPr="00C875BE">
        <w:rPr>
          <w:rFonts w:asciiTheme="minorHAnsi" w:hAnsiTheme="minorHAnsi" w:cstheme="minorHAnsi"/>
          <w:sz w:val="18"/>
          <w:szCs w:val="18"/>
        </w:rPr>
        <w:t xml:space="preserve"> para. 28.</w:t>
      </w:r>
    </w:p>
  </w:footnote>
  <w:footnote w:id="72">
    <w:p w14:paraId="3444915B"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Maintaining viability, social functions and cultural meanings of the ICH to communities concerned </w:t>
      </w:r>
      <w:r w:rsidRPr="00C875BE">
        <w:rPr>
          <w:rFonts w:asciiTheme="minorHAnsi" w:hAnsiTheme="minorHAnsi" w:cstheme="minorHAnsi"/>
          <w:sz w:val="18"/>
          <w:szCs w:val="18"/>
          <w:lang w:val="en-US"/>
        </w:rPr>
        <w:t>(OD 187(b)(ii)</w:t>
      </w:r>
      <w:proofErr w:type="gramStart"/>
      <w:r w:rsidRPr="00C875BE">
        <w:rPr>
          <w:rFonts w:asciiTheme="minorHAnsi" w:hAnsiTheme="minorHAnsi" w:cstheme="minorHAnsi"/>
          <w:sz w:val="18"/>
          <w:szCs w:val="18"/>
          <w:lang w:val="en-US"/>
        </w:rPr>
        <w:t>), and</w:t>
      </w:r>
      <w:proofErr w:type="gramEnd"/>
      <w:r w:rsidRPr="00C875BE">
        <w:rPr>
          <w:rFonts w:asciiTheme="minorHAnsi" w:hAnsiTheme="minorHAnsi" w:cstheme="minorHAnsi"/>
          <w:sz w:val="18"/>
          <w:szCs w:val="18"/>
          <w:lang w:val="en-US"/>
        </w:rPr>
        <w:t xml:space="preserve"> maintaining the context of practice and transmission (OD 184).</w:t>
      </w:r>
    </w:p>
  </w:footnote>
  <w:footnote w:id="73">
    <w:p w14:paraId="458916B7"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Ensuring ‘recognition </w:t>
      </w:r>
      <w:proofErr w:type="gramStart"/>
      <w:r w:rsidRPr="00C875BE">
        <w:rPr>
          <w:rFonts w:asciiTheme="minorHAnsi" w:hAnsiTheme="minorHAnsi" w:cstheme="minorHAnsi"/>
          <w:sz w:val="18"/>
          <w:szCs w:val="18"/>
        </w:rPr>
        <w:t>of,</w:t>
      </w:r>
      <w:proofErr w:type="gramEnd"/>
      <w:r w:rsidRPr="00C875BE">
        <w:rPr>
          <w:rFonts w:asciiTheme="minorHAnsi" w:hAnsiTheme="minorHAnsi" w:cstheme="minorHAnsi"/>
          <w:sz w:val="18"/>
          <w:szCs w:val="18"/>
        </w:rPr>
        <w:t xml:space="preserve"> respect for and enhancement of intangible cultural heritage’ through awareness-raising, capacity-building and education (OD 107). Ensuring respect for the ‘nature of the heritage’ and community circumstances (especially ‘their choice of individual or collective management’) </w:t>
      </w:r>
      <w:r w:rsidRPr="00C875BE">
        <w:rPr>
          <w:rFonts w:asciiTheme="minorHAnsi" w:hAnsiTheme="minorHAnsi" w:cstheme="minorHAnsi"/>
          <w:sz w:val="18"/>
          <w:szCs w:val="18"/>
          <w:lang w:val="en-US"/>
        </w:rPr>
        <w:t>(OD 184)</w:t>
      </w:r>
      <w:r w:rsidRPr="00C875BE">
        <w:rPr>
          <w:rFonts w:asciiTheme="minorHAnsi" w:hAnsiTheme="minorHAnsi" w:cstheme="minorHAnsi"/>
          <w:sz w:val="18"/>
          <w:szCs w:val="18"/>
        </w:rPr>
        <w:t>.</w:t>
      </w:r>
    </w:p>
  </w:footnote>
  <w:footnote w:id="74">
    <w:p w14:paraId="37394F56"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Finding ‘a proper balance between the interests of the commercial party, the public </w:t>
      </w:r>
      <w:proofErr w:type="gramStart"/>
      <w:r w:rsidRPr="00C875BE">
        <w:rPr>
          <w:rFonts w:asciiTheme="minorHAnsi" w:hAnsiTheme="minorHAnsi" w:cstheme="minorHAnsi"/>
          <w:sz w:val="18"/>
          <w:szCs w:val="18"/>
        </w:rPr>
        <w:t>administration</w:t>
      </w:r>
      <w:proofErr w:type="gramEnd"/>
      <w:r w:rsidRPr="00C875BE">
        <w:rPr>
          <w:rFonts w:asciiTheme="minorHAnsi" w:hAnsiTheme="minorHAnsi" w:cstheme="minorHAnsi"/>
          <w:sz w:val="18"/>
          <w:szCs w:val="18"/>
        </w:rPr>
        <w:t xml:space="preserve"> and the cultural practitioners’ (OD 117) and finding a ‘balance between the three dimensions of sustainable development (the economic, social and environmental)’ (OD 170).</w:t>
      </w: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Promoting ‘</w:t>
      </w:r>
      <w:r w:rsidRPr="00C875BE">
        <w:rPr>
          <w:rFonts w:asciiTheme="minorHAnsi" w:hAnsiTheme="minorHAnsi" w:cstheme="minorHAnsi"/>
          <w:sz w:val="18"/>
          <w:szCs w:val="18"/>
          <w:lang w:val="en-US"/>
        </w:rPr>
        <w:t>fair trade and ethical economic relations’ (OD 184).</w:t>
      </w:r>
    </w:p>
  </w:footnote>
  <w:footnote w:id="75">
    <w:p w14:paraId="2CA55C74"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A032D4">
        <w:rPr>
          <w:rFonts w:asciiTheme="minorHAnsi" w:hAnsiTheme="minorHAnsi" w:cstheme="minorHAnsi"/>
          <w:sz w:val="18"/>
          <w:szCs w:val="18"/>
          <w:lang w:val="en-US"/>
        </w:rPr>
        <w:t xml:space="preserve"> Document </w:t>
      </w:r>
      <w:hyperlink r:id="rId90" w:history="1">
        <w:r w:rsidRPr="00A032D4">
          <w:rPr>
            <w:rStyle w:val="Hyperlink1"/>
            <w:rFonts w:asciiTheme="minorHAnsi" w:hAnsiTheme="minorHAnsi" w:cstheme="minorHAnsi"/>
            <w:b/>
            <w:bCs/>
            <w:sz w:val="18"/>
            <w:szCs w:val="18"/>
            <w:lang w:val="en-US"/>
          </w:rPr>
          <w:t>LHE/19/14.COM/10</w:t>
        </w:r>
      </w:hyperlink>
      <w:r w:rsidRPr="00A032D4">
        <w:rPr>
          <w:rFonts w:asciiTheme="minorHAnsi" w:hAnsiTheme="minorHAnsi" w:cstheme="minorHAnsi"/>
          <w:sz w:val="18"/>
          <w:szCs w:val="18"/>
          <w:lang w:val="en-US"/>
        </w:rPr>
        <w:t xml:space="preserve"> para. </w:t>
      </w:r>
      <w:r w:rsidRPr="00C875BE">
        <w:rPr>
          <w:rFonts w:asciiTheme="minorHAnsi" w:hAnsiTheme="minorHAnsi" w:cstheme="minorHAnsi"/>
          <w:sz w:val="18"/>
          <w:szCs w:val="18"/>
          <w:lang w:val="es-ES"/>
        </w:rPr>
        <w:t>37.</w:t>
      </w:r>
    </w:p>
  </w:footnote>
  <w:footnote w:id="76">
    <w:p w14:paraId="5ED8892F"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bookmarkStart w:id="22" w:name="_Hlk81483758"/>
      <w:r w:rsidRPr="00C875BE">
        <w:rPr>
          <w:rFonts w:asciiTheme="minorHAnsi" w:hAnsiTheme="minorHAnsi" w:cstheme="minorHAnsi"/>
          <w:sz w:val="18"/>
          <w:szCs w:val="18"/>
        </w:rPr>
        <w:fldChar w:fldCharType="begin"/>
      </w:r>
      <w:r w:rsidRPr="00C875BE">
        <w:rPr>
          <w:rFonts w:asciiTheme="minorHAnsi" w:hAnsiTheme="minorHAnsi" w:cstheme="minorHAnsi"/>
          <w:sz w:val="18"/>
          <w:szCs w:val="18"/>
          <w:lang w:val="es-ES"/>
        </w:rPr>
        <w:instrText>HYPERLINK "https://ich.unesco.org/en/Decisions/14.COM/10.a.5"</w:instrText>
      </w:r>
      <w:r w:rsidRPr="00C875BE">
        <w:rPr>
          <w:rFonts w:asciiTheme="minorHAnsi" w:hAnsiTheme="minorHAnsi" w:cstheme="minorHAnsi"/>
          <w:sz w:val="18"/>
          <w:szCs w:val="18"/>
        </w:rPr>
      </w:r>
      <w:r w:rsidRPr="00C875BE">
        <w:rPr>
          <w:rFonts w:asciiTheme="minorHAnsi" w:hAnsiTheme="minorHAnsi" w:cstheme="minorHAnsi"/>
          <w:sz w:val="18"/>
          <w:szCs w:val="18"/>
        </w:rPr>
        <w:fldChar w:fldCharType="separate"/>
      </w:r>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10.a.5</w:t>
      </w:r>
      <w:r w:rsidRPr="00C875BE">
        <w:rPr>
          <w:rFonts w:asciiTheme="minorHAnsi" w:hAnsiTheme="minorHAnsi" w:cstheme="minorHAnsi"/>
          <w:sz w:val="18"/>
          <w:szCs w:val="18"/>
        </w:rPr>
        <w:fldChar w:fldCharType="end"/>
      </w:r>
      <w:bookmarkEnd w:id="22"/>
      <w:r w:rsidRPr="00C875BE">
        <w:rPr>
          <w:rFonts w:asciiTheme="minorHAnsi" w:hAnsiTheme="minorHAnsi" w:cstheme="minorHAnsi"/>
          <w:sz w:val="18"/>
          <w:szCs w:val="18"/>
          <w:lang w:val="es-ES"/>
        </w:rPr>
        <w:t xml:space="preserve"> para. 7 A.3.</w:t>
      </w:r>
    </w:p>
  </w:footnote>
  <w:footnote w:id="77">
    <w:p w14:paraId="3413AF02"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91"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11.COM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31</w:t>
        </w:r>
      </w:hyperlink>
      <w:r w:rsidRPr="00C875BE">
        <w:rPr>
          <w:rFonts w:asciiTheme="minorHAnsi" w:hAnsiTheme="minorHAnsi" w:cstheme="minorHAnsi"/>
          <w:sz w:val="18"/>
          <w:szCs w:val="18"/>
          <w:lang w:val="es-ES"/>
        </w:rPr>
        <w:t xml:space="preserve"> para. 3 R.3; </w:t>
      </w:r>
      <w:hyperlink r:id="rId92"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11.COM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36</w:t>
        </w:r>
      </w:hyperlink>
      <w:r w:rsidRPr="00C875BE">
        <w:rPr>
          <w:rFonts w:asciiTheme="minorHAnsi" w:hAnsiTheme="minorHAnsi" w:cstheme="minorHAnsi"/>
          <w:sz w:val="18"/>
          <w:szCs w:val="18"/>
          <w:lang w:val="es-ES"/>
        </w:rPr>
        <w:t xml:space="preserve"> para. 2 R.3 and </w:t>
      </w:r>
      <w:hyperlink r:id="rId93"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11.COM </w:t>
        </w:r>
        <w:proofErr w:type="gramStart"/>
        <w:r w:rsidRPr="00C875BE">
          <w:rPr>
            <w:rStyle w:val="Hyperlink1"/>
            <w:rFonts w:asciiTheme="minorHAnsi" w:hAnsiTheme="minorHAnsi" w:cstheme="minorHAnsi"/>
            <w:b/>
            <w:bCs/>
            <w:sz w:val="18"/>
            <w:szCs w:val="18"/>
            <w:lang w:val="es-ES"/>
          </w:rPr>
          <w:t>10.c.</w:t>
        </w:r>
        <w:proofErr w:type="gramEnd"/>
        <w:r w:rsidRPr="00C875BE">
          <w:rPr>
            <w:rStyle w:val="Hyperlink1"/>
            <w:rFonts w:asciiTheme="minorHAnsi" w:hAnsiTheme="minorHAnsi" w:cstheme="minorHAnsi"/>
            <w:b/>
            <w:bCs/>
            <w:sz w:val="18"/>
            <w:szCs w:val="18"/>
            <w:lang w:val="es-ES"/>
          </w:rPr>
          <w:t>5</w:t>
        </w:r>
      </w:hyperlink>
      <w:r w:rsidRPr="00C875BE">
        <w:rPr>
          <w:rFonts w:asciiTheme="minorHAnsi" w:hAnsiTheme="minorHAnsi" w:cstheme="minorHAnsi"/>
          <w:sz w:val="18"/>
          <w:szCs w:val="18"/>
          <w:lang w:val="es-ES"/>
        </w:rPr>
        <w:t xml:space="preserve"> para. 2 P.4.</w:t>
      </w:r>
    </w:p>
  </w:footnote>
  <w:footnote w:id="78">
    <w:p w14:paraId="722DBEE2"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94"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12.COM 11.a.4</w:t>
        </w:r>
      </w:hyperlink>
      <w:r w:rsidRPr="00C875BE">
        <w:rPr>
          <w:rFonts w:asciiTheme="minorHAnsi" w:hAnsiTheme="minorHAnsi" w:cstheme="minorHAnsi"/>
          <w:sz w:val="18"/>
          <w:szCs w:val="18"/>
          <w:lang w:val="es-ES"/>
        </w:rPr>
        <w:t xml:space="preserve"> para. 2 U.2 and U3.</w:t>
      </w:r>
    </w:p>
  </w:footnote>
  <w:footnote w:id="79">
    <w:p w14:paraId="6000D82A"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hyperlink r:id="rId95" w:history="1">
        <w:r w:rsidRPr="00C875BE">
          <w:rPr>
            <w:rStyle w:val="Hyperlink1"/>
            <w:rFonts w:asciiTheme="minorHAnsi" w:hAnsiTheme="minorHAnsi" w:cstheme="minorHAnsi"/>
            <w:b/>
            <w:bCs/>
            <w:sz w:val="18"/>
            <w:szCs w:val="18"/>
            <w:lang w:val="es-ES"/>
          </w:rPr>
          <w:t>LHE/20/15.COM/8</w:t>
        </w:r>
      </w:hyperlink>
      <w:r w:rsidRPr="00C875BE">
        <w:rPr>
          <w:rFonts w:asciiTheme="minorHAnsi" w:hAnsiTheme="minorHAnsi" w:cstheme="minorHAnsi"/>
          <w:sz w:val="18"/>
          <w:szCs w:val="18"/>
          <w:lang w:val="es-ES"/>
        </w:rPr>
        <w:t xml:space="preserve"> para. 39.</w:t>
      </w:r>
    </w:p>
  </w:footnote>
  <w:footnote w:id="80">
    <w:p w14:paraId="1B71AB09" w14:textId="3856CF92"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96"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9.COM 9</w:t>
        </w:r>
      </w:hyperlink>
      <w:r w:rsidRPr="00C875BE">
        <w:rPr>
          <w:rFonts w:asciiTheme="minorHAnsi" w:hAnsiTheme="minorHAnsi" w:cstheme="minorHAnsi"/>
          <w:sz w:val="18"/>
          <w:szCs w:val="18"/>
          <w:lang w:val="es-ES"/>
        </w:rPr>
        <w:t xml:space="preserve"> para. </w:t>
      </w:r>
      <w:r w:rsidRPr="00C875BE">
        <w:rPr>
          <w:rFonts w:asciiTheme="minorHAnsi" w:hAnsiTheme="minorHAnsi" w:cstheme="minorHAnsi"/>
          <w:sz w:val="18"/>
          <w:szCs w:val="18"/>
        </w:rPr>
        <w:t>10. Many files do not have sufficient mitigations in place, including monitoring (see Figure 1).</w:t>
      </w:r>
    </w:p>
  </w:footnote>
  <w:footnote w:id="81">
    <w:p w14:paraId="72BB41B2"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For example, </w:t>
      </w:r>
      <w:hyperlink r:id="rId97" w:history="1">
        <w:r w:rsidRPr="00C875BE">
          <w:rPr>
            <w:rStyle w:val="Hyperlink1"/>
            <w:rFonts w:asciiTheme="minorHAnsi" w:hAnsiTheme="minorHAnsi" w:cstheme="minorHAnsi"/>
            <w:b/>
            <w:bCs/>
            <w:sz w:val="18"/>
            <w:szCs w:val="18"/>
            <w:lang w:val="en-US"/>
          </w:rPr>
          <w:t xml:space="preserve">Decision 11.COM </w:t>
        </w:r>
        <w:proofErr w:type="gramStart"/>
        <w:r w:rsidRPr="00C875BE">
          <w:rPr>
            <w:rStyle w:val="Hyperlink1"/>
            <w:rFonts w:asciiTheme="minorHAnsi" w:hAnsiTheme="minorHAnsi" w:cstheme="minorHAnsi"/>
            <w:b/>
            <w:bCs/>
            <w:sz w:val="18"/>
            <w:szCs w:val="18"/>
            <w:lang w:val="en-US"/>
          </w:rPr>
          <w:t>10.b.</w:t>
        </w:r>
        <w:proofErr w:type="gramEnd"/>
        <w:r w:rsidRPr="00C875BE">
          <w:rPr>
            <w:rStyle w:val="Hyperlink1"/>
            <w:rFonts w:asciiTheme="minorHAnsi" w:hAnsiTheme="minorHAnsi" w:cstheme="minorHAnsi"/>
            <w:b/>
            <w:bCs/>
            <w:sz w:val="18"/>
            <w:szCs w:val="18"/>
            <w:lang w:val="en-US"/>
          </w:rPr>
          <w:t>12</w:t>
        </w:r>
      </w:hyperlink>
      <w:r w:rsidRPr="00C875BE">
        <w:rPr>
          <w:rFonts w:asciiTheme="minorHAnsi" w:hAnsiTheme="minorHAnsi" w:cstheme="minorHAnsi"/>
          <w:sz w:val="18"/>
          <w:szCs w:val="18"/>
        </w:rPr>
        <w:t xml:space="preserve"> para. 2 R.3 and </w:t>
      </w:r>
      <w:hyperlink r:id="rId98" w:history="1">
        <w:r w:rsidRPr="00C875BE">
          <w:rPr>
            <w:rStyle w:val="Hyperlink1"/>
            <w:rFonts w:asciiTheme="minorHAnsi" w:hAnsiTheme="minorHAnsi" w:cstheme="minorHAnsi"/>
            <w:b/>
            <w:bCs/>
            <w:sz w:val="18"/>
            <w:szCs w:val="18"/>
            <w:lang w:val="en-US"/>
          </w:rPr>
          <w:t xml:space="preserve">Decision 11.COM </w:t>
        </w:r>
        <w:proofErr w:type="gramStart"/>
        <w:r w:rsidRPr="00C875BE">
          <w:rPr>
            <w:rStyle w:val="Hyperlink1"/>
            <w:rFonts w:asciiTheme="minorHAnsi" w:hAnsiTheme="minorHAnsi" w:cstheme="minorHAnsi"/>
            <w:b/>
            <w:bCs/>
            <w:sz w:val="18"/>
            <w:szCs w:val="18"/>
            <w:lang w:val="en-US"/>
          </w:rPr>
          <w:t>10.b.</w:t>
        </w:r>
        <w:proofErr w:type="gramEnd"/>
        <w:r w:rsidRPr="00C875BE">
          <w:rPr>
            <w:rStyle w:val="Hyperlink1"/>
            <w:rFonts w:asciiTheme="minorHAnsi" w:hAnsiTheme="minorHAnsi" w:cstheme="minorHAnsi"/>
            <w:b/>
            <w:bCs/>
            <w:sz w:val="18"/>
            <w:szCs w:val="18"/>
            <w:lang w:val="en-US"/>
          </w:rPr>
          <w:t>16</w:t>
        </w:r>
      </w:hyperlink>
      <w:r w:rsidRPr="00C875BE">
        <w:rPr>
          <w:rFonts w:asciiTheme="minorHAnsi" w:hAnsiTheme="minorHAnsi" w:cstheme="minorHAnsi"/>
          <w:sz w:val="18"/>
          <w:szCs w:val="18"/>
        </w:rPr>
        <w:t xml:space="preserve"> para. 2 R.3; </w:t>
      </w:r>
      <w:hyperlink r:id="rId99" w:history="1">
        <w:r w:rsidRPr="00C875BE">
          <w:rPr>
            <w:rStyle w:val="Hyperlink1"/>
            <w:rFonts w:asciiTheme="minorHAnsi" w:hAnsiTheme="minorHAnsi" w:cstheme="minorHAnsi"/>
            <w:b/>
            <w:bCs/>
            <w:sz w:val="18"/>
            <w:szCs w:val="18"/>
          </w:rPr>
          <w:t xml:space="preserve">Decision </w:t>
        </w:r>
        <w:r w:rsidRPr="00C875BE">
          <w:rPr>
            <w:rStyle w:val="Hyperlink1"/>
            <w:rFonts w:asciiTheme="minorHAnsi" w:hAnsiTheme="minorHAnsi" w:cstheme="minorHAnsi"/>
            <w:b/>
            <w:sz w:val="18"/>
            <w:szCs w:val="18"/>
            <w:lang w:val="en-US"/>
          </w:rPr>
          <w:t xml:space="preserve">12.COM </w:t>
        </w:r>
        <w:proofErr w:type="gramStart"/>
        <w:r w:rsidRPr="00C875BE">
          <w:rPr>
            <w:rStyle w:val="Hyperlink1"/>
            <w:rFonts w:asciiTheme="minorHAnsi" w:hAnsiTheme="minorHAnsi" w:cstheme="minorHAnsi"/>
            <w:b/>
            <w:sz w:val="18"/>
            <w:szCs w:val="18"/>
            <w:lang w:val="en-US"/>
          </w:rPr>
          <w:t>11.b.</w:t>
        </w:r>
        <w:proofErr w:type="gramEnd"/>
        <w:r w:rsidRPr="00C875BE">
          <w:rPr>
            <w:rStyle w:val="Hyperlink1"/>
            <w:rFonts w:asciiTheme="minorHAnsi" w:hAnsiTheme="minorHAnsi" w:cstheme="minorHAnsi"/>
            <w:b/>
            <w:sz w:val="18"/>
            <w:szCs w:val="18"/>
            <w:lang w:val="en-US"/>
          </w:rPr>
          <w:t>2</w:t>
        </w:r>
      </w:hyperlink>
      <w:r w:rsidRPr="00C875BE">
        <w:rPr>
          <w:rFonts w:asciiTheme="minorHAnsi" w:hAnsiTheme="minorHAnsi" w:cstheme="minorHAnsi"/>
          <w:bCs/>
          <w:sz w:val="18"/>
          <w:szCs w:val="18"/>
          <w:lang w:val="en-US"/>
        </w:rPr>
        <w:t xml:space="preserve"> para. 2 R.3; </w:t>
      </w:r>
      <w:hyperlink r:id="rId100" w:history="1">
        <w:r w:rsidRPr="00C875BE">
          <w:rPr>
            <w:rStyle w:val="Hyperlink1"/>
            <w:rFonts w:asciiTheme="minorHAnsi" w:hAnsiTheme="minorHAnsi" w:cstheme="minorHAnsi"/>
            <w:b/>
            <w:bCs/>
            <w:sz w:val="18"/>
            <w:szCs w:val="18"/>
            <w:lang w:val="en-US"/>
          </w:rPr>
          <w:t xml:space="preserve">Decision 14.COM </w:t>
        </w:r>
        <w:proofErr w:type="gramStart"/>
        <w:r w:rsidRPr="00C875BE">
          <w:rPr>
            <w:rStyle w:val="Hyperlink1"/>
            <w:rFonts w:asciiTheme="minorHAnsi" w:hAnsiTheme="minorHAnsi" w:cstheme="minorHAnsi"/>
            <w:b/>
            <w:bCs/>
            <w:sz w:val="18"/>
            <w:szCs w:val="18"/>
            <w:lang w:val="en-US"/>
          </w:rPr>
          <w:t>10.b.</w:t>
        </w:r>
        <w:proofErr w:type="gramEnd"/>
        <w:r w:rsidRPr="00C875BE">
          <w:rPr>
            <w:rStyle w:val="Hyperlink1"/>
            <w:rFonts w:asciiTheme="minorHAnsi" w:hAnsiTheme="minorHAnsi" w:cstheme="minorHAnsi"/>
            <w:b/>
            <w:bCs/>
            <w:sz w:val="18"/>
            <w:szCs w:val="18"/>
            <w:lang w:val="en-US"/>
          </w:rPr>
          <w:t>4</w:t>
        </w:r>
      </w:hyperlink>
      <w:r w:rsidRPr="00C875BE">
        <w:rPr>
          <w:rFonts w:asciiTheme="minorHAnsi" w:hAnsiTheme="minorHAnsi" w:cstheme="minorHAnsi"/>
          <w:sz w:val="18"/>
          <w:szCs w:val="18"/>
        </w:rPr>
        <w:t xml:space="preserve"> para. </w:t>
      </w:r>
      <w:r w:rsidRPr="00C875BE">
        <w:rPr>
          <w:rFonts w:asciiTheme="minorHAnsi" w:hAnsiTheme="minorHAnsi" w:cstheme="minorHAnsi"/>
          <w:sz w:val="18"/>
          <w:szCs w:val="18"/>
          <w:lang w:val="es-ES"/>
        </w:rPr>
        <w:t xml:space="preserve">2 R.3; </w:t>
      </w:r>
      <w:hyperlink r:id="rId101"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33</w:t>
        </w:r>
      </w:hyperlink>
      <w:r w:rsidRPr="00C875BE">
        <w:rPr>
          <w:rFonts w:asciiTheme="minorHAnsi" w:hAnsiTheme="minorHAnsi" w:cstheme="minorHAnsi"/>
          <w:sz w:val="18"/>
          <w:szCs w:val="18"/>
          <w:lang w:val="es-ES"/>
        </w:rPr>
        <w:t xml:space="preserve"> para. 2 R.3 and </w:t>
      </w:r>
      <w:hyperlink r:id="rId102"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40</w:t>
        </w:r>
      </w:hyperlink>
      <w:r w:rsidRPr="00C875BE">
        <w:rPr>
          <w:rFonts w:asciiTheme="minorHAnsi" w:hAnsiTheme="minorHAnsi" w:cstheme="minorHAnsi"/>
          <w:sz w:val="18"/>
          <w:szCs w:val="18"/>
          <w:lang w:val="es-ES"/>
        </w:rPr>
        <w:t xml:space="preserve"> para. 2 R.3.</w:t>
      </w:r>
    </w:p>
  </w:footnote>
  <w:footnote w:id="82">
    <w:p w14:paraId="14D44A2B"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03"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14.COM 10.a.5</w:t>
        </w:r>
      </w:hyperlink>
      <w:r w:rsidRPr="00C875BE">
        <w:rPr>
          <w:rFonts w:asciiTheme="minorHAnsi" w:hAnsiTheme="minorHAnsi" w:cstheme="minorHAnsi"/>
          <w:bCs/>
          <w:sz w:val="18"/>
          <w:szCs w:val="18"/>
          <w:lang w:val="es-ES"/>
        </w:rPr>
        <w:t xml:space="preserve"> para. 9.</w:t>
      </w:r>
    </w:p>
  </w:footnote>
  <w:footnote w:id="83">
    <w:p w14:paraId="2F2E1AE1"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04" w:history="1">
        <w:r w:rsidRPr="00C875BE">
          <w:rPr>
            <w:rStyle w:val="Hyperlink1"/>
            <w:rFonts w:asciiTheme="minorHAnsi" w:hAnsiTheme="minorHAnsi" w:cstheme="minorHAnsi"/>
            <w:b/>
            <w:bCs/>
            <w:sz w:val="18"/>
            <w:szCs w:val="18"/>
            <w:lang w:val="es-ES"/>
          </w:rPr>
          <w:t>LHE/19/14.COM/10</w:t>
        </w:r>
      </w:hyperlink>
      <w:r w:rsidRPr="00C875BE">
        <w:rPr>
          <w:rFonts w:asciiTheme="minorHAnsi" w:hAnsiTheme="minorHAnsi" w:cstheme="minorHAnsi"/>
          <w:sz w:val="18"/>
          <w:szCs w:val="18"/>
          <w:lang w:val="es-ES"/>
        </w:rPr>
        <w:t xml:space="preserve"> para. 37.</w:t>
      </w:r>
    </w:p>
  </w:footnote>
  <w:footnote w:id="84">
    <w:p w14:paraId="16C9F99D"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For </w:t>
      </w:r>
      <w:proofErr w:type="spellStart"/>
      <w:r w:rsidRPr="00C875BE">
        <w:rPr>
          <w:rFonts w:asciiTheme="minorHAnsi" w:hAnsiTheme="minorHAnsi" w:cstheme="minorHAnsi"/>
          <w:sz w:val="18"/>
          <w:szCs w:val="18"/>
          <w:lang w:val="es-ES"/>
        </w:rPr>
        <w:t>example</w:t>
      </w:r>
      <w:proofErr w:type="spellEnd"/>
      <w:r w:rsidRPr="00C875BE">
        <w:rPr>
          <w:rFonts w:asciiTheme="minorHAnsi" w:hAnsiTheme="minorHAnsi" w:cstheme="minorHAnsi"/>
          <w:sz w:val="18"/>
          <w:szCs w:val="18"/>
          <w:lang w:val="es-ES"/>
        </w:rPr>
        <w:t xml:space="preserve">, </w:t>
      </w:r>
      <w:hyperlink r:id="rId105"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11.COM </w:t>
        </w:r>
        <w:proofErr w:type="gramStart"/>
        <w:r w:rsidRPr="00C875BE">
          <w:rPr>
            <w:rStyle w:val="Hyperlink1"/>
            <w:rFonts w:asciiTheme="minorHAnsi" w:hAnsiTheme="minorHAnsi" w:cstheme="minorHAnsi"/>
            <w:b/>
            <w:sz w:val="18"/>
            <w:szCs w:val="18"/>
            <w:lang w:val="es-ES"/>
          </w:rPr>
          <w:t>10.b.</w:t>
        </w:r>
        <w:proofErr w:type="gramEnd"/>
        <w:r w:rsidRPr="00C875BE">
          <w:rPr>
            <w:rStyle w:val="Hyperlink1"/>
            <w:rFonts w:asciiTheme="minorHAnsi" w:hAnsiTheme="minorHAnsi" w:cstheme="minorHAnsi"/>
            <w:b/>
            <w:sz w:val="18"/>
            <w:szCs w:val="18"/>
            <w:lang w:val="es-ES"/>
          </w:rPr>
          <w:t>16</w:t>
        </w:r>
      </w:hyperlink>
      <w:r w:rsidRPr="00C875BE">
        <w:rPr>
          <w:rFonts w:asciiTheme="minorHAnsi" w:hAnsiTheme="minorHAnsi" w:cstheme="minorHAnsi"/>
          <w:bCs/>
          <w:sz w:val="18"/>
          <w:szCs w:val="18"/>
          <w:lang w:val="es-ES"/>
        </w:rPr>
        <w:t xml:space="preserve"> para. 2 R.3.</w:t>
      </w:r>
    </w:p>
  </w:footnote>
  <w:footnote w:id="85">
    <w:p w14:paraId="5D79C7A3"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hyperlink r:id="rId106" w:history="1">
        <w:r w:rsidRPr="00C875BE">
          <w:rPr>
            <w:rStyle w:val="Hyperlink1"/>
            <w:rFonts w:asciiTheme="minorHAnsi" w:hAnsiTheme="minorHAnsi" w:cstheme="minorHAnsi"/>
            <w:b/>
            <w:bCs/>
            <w:sz w:val="18"/>
            <w:szCs w:val="18"/>
            <w:lang w:val="es-ES"/>
          </w:rPr>
          <w:t>LHE/20/15.COM/8</w:t>
        </w:r>
      </w:hyperlink>
      <w:r w:rsidRPr="00C875BE">
        <w:rPr>
          <w:rFonts w:asciiTheme="minorHAnsi" w:hAnsiTheme="minorHAnsi" w:cstheme="minorHAnsi"/>
          <w:sz w:val="18"/>
          <w:szCs w:val="18"/>
          <w:lang w:val="es-ES"/>
        </w:rPr>
        <w:t xml:space="preserve"> para. 34.</w:t>
      </w:r>
    </w:p>
  </w:footnote>
  <w:footnote w:id="86">
    <w:p w14:paraId="23EC9C9F"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07"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15.COM </w:t>
        </w:r>
        <w:proofErr w:type="gramStart"/>
        <w:r w:rsidRPr="00C875BE">
          <w:rPr>
            <w:rStyle w:val="Hyperlink1"/>
            <w:rFonts w:asciiTheme="minorHAnsi" w:hAnsiTheme="minorHAnsi" w:cstheme="minorHAnsi"/>
            <w:b/>
            <w:bCs/>
            <w:sz w:val="18"/>
            <w:szCs w:val="18"/>
            <w:lang w:val="es-ES"/>
          </w:rPr>
          <w:t>8.b.</w:t>
        </w:r>
        <w:proofErr w:type="gramEnd"/>
        <w:r w:rsidRPr="00C875BE">
          <w:rPr>
            <w:rStyle w:val="Hyperlink1"/>
            <w:rFonts w:asciiTheme="minorHAnsi" w:hAnsiTheme="minorHAnsi" w:cstheme="minorHAnsi"/>
            <w:b/>
            <w:bCs/>
            <w:sz w:val="18"/>
            <w:szCs w:val="18"/>
            <w:lang w:val="es-ES"/>
          </w:rPr>
          <w:t>42</w:t>
        </w:r>
      </w:hyperlink>
      <w:r w:rsidRPr="00C875BE">
        <w:rPr>
          <w:rFonts w:asciiTheme="minorHAnsi" w:hAnsiTheme="minorHAnsi" w:cstheme="minorHAnsi"/>
          <w:sz w:val="18"/>
          <w:szCs w:val="18"/>
          <w:lang w:val="es-ES"/>
        </w:rPr>
        <w:t xml:space="preserve"> para. 2 R3.</w:t>
      </w:r>
    </w:p>
  </w:footnote>
  <w:footnote w:id="87">
    <w:p w14:paraId="47414286"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08"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33</w:t>
        </w:r>
      </w:hyperlink>
      <w:r w:rsidRPr="00C875BE">
        <w:rPr>
          <w:rFonts w:asciiTheme="minorHAnsi" w:hAnsiTheme="minorHAnsi" w:cstheme="minorHAnsi"/>
          <w:sz w:val="18"/>
          <w:szCs w:val="18"/>
          <w:lang w:val="es-ES"/>
        </w:rPr>
        <w:t xml:space="preserve"> para. 2 R.3.</w:t>
      </w:r>
    </w:p>
  </w:footnote>
  <w:footnote w:id="88">
    <w:p w14:paraId="2DA1E273"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09"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14.COM </w:t>
        </w:r>
        <w:proofErr w:type="gramStart"/>
        <w:r w:rsidRPr="00C875BE">
          <w:rPr>
            <w:rStyle w:val="Hyperlink1"/>
            <w:rFonts w:asciiTheme="minorHAnsi" w:hAnsiTheme="minorHAnsi" w:cstheme="minorHAnsi"/>
            <w:b/>
            <w:bCs/>
            <w:sz w:val="18"/>
            <w:szCs w:val="18"/>
            <w:lang w:val="es-ES"/>
          </w:rPr>
          <w:t>10.b.</w:t>
        </w:r>
        <w:proofErr w:type="gramEnd"/>
        <w:r w:rsidRPr="00C875BE">
          <w:rPr>
            <w:rStyle w:val="Hyperlink1"/>
            <w:rFonts w:asciiTheme="minorHAnsi" w:hAnsiTheme="minorHAnsi" w:cstheme="minorHAnsi"/>
            <w:b/>
            <w:bCs/>
            <w:sz w:val="18"/>
            <w:szCs w:val="18"/>
            <w:lang w:val="es-ES"/>
          </w:rPr>
          <w:t>40</w:t>
        </w:r>
      </w:hyperlink>
      <w:r w:rsidRPr="00C875BE">
        <w:rPr>
          <w:rFonts w:asciiTheme="minorHAnsi" w:hAnsiTheme="minorHAnsi" w:cstheme="minorHAnsi"/>
          <w:sz w:val="18"/>
          <w:szCs w:val="18"/>
          <w:lang w:val="es-ES"/>
        </w:rPr>
        <w:t xml:space="preserve"> para. 2 R.3.</w:t>
      </w:r>
    </w:p>
  </w:footnote>
  <w:footnote w:id="89">
    <w:p w14:paraId="36793277"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10"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9.COM 10.36</w:t>
        </w:r>
      </w:hyperlink>
      <w:r w:rsidRPr="00C875BE">
        <w:rPr>
          <w:rFonts w:asciiTheme="minorHAnsi" w:hAnsiTheme="minorHAnsi" w:cstheme="minorHAnsi"/>
          <w:bCs/>
          <w:sz w:val="18"/>
          <w:szCs w:val="18"/>
          <w:lang w:val="es-ES"/>
        </w:rPr>
        <w:t xml:space="preserve"> para. 2 R.3.</w:t>
      </w:r>
    </w:p>
  </w:footnote>
  <w:footnote w:id="90">
    <w:p w14:paraId="6291CD27"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11"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8.COM 8.4</w:t>
        </w:r>
      </w:hyperlink>
      <w:r w:rsidRPr="00C875BE">
        <w:rPr>
          <w:rFonts w:asciiTheme="minorHAnsi" w:hAnsiTheme="minorHAnsi" w:cstheme="minorHAnsi"/>
          <w:bCs/>
          <w:sz w:val="18"/>
          <w:szCs w:val="18"/>
          <w:lang w:val="es-ES"/>
        </w:rPr>
        <w:t xml:space="preserve"> para. 3.</w:t>
      </w:r>
    </w:p>
  </w:footnote>
  <w:footnote w:id="91">
    <w:p w14:paraId="0E784DC7"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12"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15.COM </w:t>
        </w:r>
        <w:proofErr w:type="gramStart"/>
        <w:r w:rsidRPr="00C875BE">
          <w:rPr>
            <w:rStyle w:val="Hyperlink1"/>
            <w:rFonts w:asciiTheme="minorHAnsi" w:hAnsiTheme="minorHAnsi" w:cstheme="minorHAnsi"/>
            <w:b/>
            <w:bCs/>
            <w:sz w:val="18"/>
            <w:szCs w:val="18"/>
            <w:lang w:val="es-ES"/>
          </w:rPr>
          <w:t>8.A.</w:t>
        </w:r>
        <w:proofErr w:type="gramEnd"/>
        <w:r w:rsidRPr="00C875BE">
          <w:rPr>
            <w:rStyle w:val="Hyperlink1"/>
            <w:rFonts w:asciiTheme="minorHAnsi" w:hAnsiTheme="minorHAnsi" w:cstheme="minorHAnsi"/>
            <w:b/>
            <w:bCs/>
            <w:sz w:val="18"/>
            <w:szCs w:val="18"/>
            <w:lang w:val="es-ES"/>
          </w:rPr>
          <w:t>1</w:t>
        </w:r>
      </w:hyperlink>
      <w:r w:rsidRPr="00C875BE">
        <w:rPr>
          <w:rFonts w:asciiTheme="minorHAnsi" w:hAnsiTheme="minorHAnsi" w:cstheme="minorHAnsi"/>
          <w:sz w:val="18"/>
          <w:szCs w:val="18"/>
          <w:lang w:val="es-ES"/>
        </w:rPr>
        <w:t xml:space="preserve"> para.2 U.2 and para. 3 U.3.</w:t>
      </w:r>
    </w:p>
  </w:footnote>
  <w:footnote w:id="92">
    <w:p w14:paraId="384C8164" w14:textId="39FE9E8B"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13"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6.COM 8.21</w:t>
        </w:r>
      </w:hyperlink>
      <w:r w:rsidRPr="00C875BE">
        <w:rPr>
          <w:rFonts w:asciiTheme="minorHAnsi" w:hAnsiTheme="minorHAnsi" w:cstheme="minorHAnsi"/>
          <w:sz w:val="18"/>
          <w:szCs w:val="18"/>
          <w:lang w:val="es-ES"/>
        </w:rPr>
        <w:t xml:space="preserve"> para.</w:t>
      </w:r>
      <w:r w:rsidR="003927D9">
        <w:rPr>
          <w:rFonts w:asciiTheme="minorHAnsi" w:hAnsiTheme="minorHAnsi" w:cstheme="minorHAnsi"/>
          <w:sz w:val="18"/>
          <w:szCs w:val="18"/>
          <w:lang w:val="es-ES"/>
        </w:rPr>
        <w:t xml:space="preserve"> </w:t>
      </w:r>
      <w:r w:rsidR="003927D9" w:rsidRPr="003E5F48">
        <w:rPr>
          <w:rFonts w:asciiTheme="minorHAnsi" w:hAnsiTheme="minorHAnsi" w:cstheme="minorHAnsi"/>
          <w:sz w:val="18"/>
          <w:szCs w:val="18"/>
          <w:lang w:val="en-US"/>
        </w:rPr>
        <w:t>2</w:t>
      </w:r>
      <w:r w:rsidRPr="003E5F48">
        <w:rPr>
          <w:rFonts w:asciiTheme="minorHAnsi" w:hAnsiTheme="minorHAnsi" w:cstheme="minorHAnsi"/>
          <w:sz w:val="18"/>
          <w:szCs w:val="18"/>
          <w:lang w:val="en-US"/>
        </w:rPr>
        <w:t xml:space="preserve"> </w:t>
      </w:r>
      <w:r w:rsidRPr="00C875BE">
        <w:rPr>
          <w:rFonts w:asciiTheme="minorHAnsi" w:hAnsiTheme="minorHAnsi" w:cstheme="minorHAnsi"/>
          <w:sz w:val="18"/>
          <w:szCs w:val="18"/>
        </w:rPr>
        <w:t>U.3.</w:t>
      </w:r>
    </w:p>
  </w:footnote>
  <w:footnote w:id="93">
    <w:p w14:paraId="6A0CB8B6" w14:textId="24C3F5C2"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114" w:history="1">
        <w:r w:rsidRPr="00C875BE">
          <w:rPr>
            <w:rStyle w:val="Hyperlink1"/>
            <w:rFonts w:asciiTheme="minorHAnsi" w:hAnsiTheme="minorHAnsi" w:cstheme="minorHAnsi"/>
            <w:b/>
            <w:bCs/>
            <w:sz w:val="18"/>
            <w:szCs w:val="18"/>
          </w:rPr>
          <w:t>Decision 6.COM 8.21</w:t>
        </w:r>
      </w:hyperlink>
      <w:r w:rsidRPr="00C875BE">
        <w:rPr>
          <w:rFonts w:asciiTheme="minorHAnsi" w:hAnsiTheme="minorHAnsi" w:cstheme="minorHAnsi"/>
          <w:sz w:val="18"/>
          <w:szCs w:val="18"/>
        </w:rPr>
        <w:t xml:space="preserve"> para.</w:t>
      </w:r>
      <w:r w:rsidR="003927D9">
        <w:rPr>
          <w:rFonts w:asciiTheme="minorHAnsi" w:hAnsiTheme="minorHAnsi" w:cstheme="minorHAnsi"/>
          <w:sz w:val="18"/>
          <w:szCs w:val="18"/>
        </w:rPr>
        <w:t>2</w:t>
      </w:r>
      <w:r w:rsidRPr="00C875BE">
        <w:rPr>
          <w:rFonts w:asciiTheme="minorHAnsi" w:hAnsiTheme="minorHAnsi" w:cstheme="minorHAnsi"/>
          <w:sz w:val="18"/>
          <w:szCs w:val="18"/>
        </w:rPr>
        <w:t xml:space="preserve"> U.2.</w:t>
      </w:r>
    </w:p>
  </w:footnote>
  <w:footnote w:id="94">
    <w:p w14:paraId="051700BA"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w:t>
      </w:r>
      <w:hyperlink r:id="rId115" w:history="1">
        <w:r w:rsidRPr="00C875BE">
          <w:rPr>
            <w:rStyle w:val="Hyperlink1"/>
            <w:rFonts w:asciiTheme="minorHAnsi" w:hAnsiTheme="minorHAnsi" w:cstheme="minorHAnsi"/>
            <w:b/>
            <w:bCs/>
            <w:sz w:val="18"/>
            <w:szCs w:val="18"/>
          </w:rPr>
          <w:t>Report</w:t>
        </w:r>
      </w:hyperlink>
      <w:r w:rsidRPr="00C875BE">
        <w:rPr>
          <w:rFonts w:asciiTheme="minorHAnsi" w:hAnsiTheme="minorHAnsi" w:cstheme="minorHAnsi"/>
          <w:sz w:val="18"/>
          <w:szCs w:val="18"/>
        </w:rPr>
        <w:t xml:space="preserve"> on the element submitted on 15/12/2015 and examined by the Committee in 2016.</w:t>
      </w:r>
    </w:p>
  </w:footnote>
  <w:footnote w:id="95">
    <w:p w14:paraId="5E83948B"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16"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w:t>
        </w:r>
        <w:r w:rsidRPr="00C875BE">
          <w:rPr>
            <w:rStyle w:val="Hyperlink1"/>
            <w:rFonts w:asciiTheme="minorHAnsi" w:hAnsiTheme="minorHAnsi" w:cstheme="minorHAnsi"/>
            <w:b/>
            <w:sz w:val="18"/>
            <w:szCs w:val="18"/>
            <w:lang w:val="es-ES"/>
          </w:rPr>
          <w:t xml:space="preserve">13.COM </w:t>
        </w:r>
        <w:proofErr w:type="gramStart"/>
        <w:r w:rsidRPr="00C875BE">
          <w:rPr>
            <w:rStyle w:val="Hyperlink1"/>
            <w:rFonts w:asciiTheme="minorHAnsi" w:hAnsiTheme="minorHAnsi" w:cstheme="minorHAnsi"/>
            <w:b/>
            <w:sz w:val="18"/>
            <w:szCs w:val="18"/>
            <w:lang w:val="es-ES"/>
          </w:rPr>
          <w:t>10.b.</w:t>
        </w:r>
        <w:proofErr w:type="gramEnd"/>
        <w:r w:rsidRPr="00C875BE">
          <w:rPr>
            <w:rStyle w:val="Hyperlink1"/>
            <w:rFonts w:asciiTheme="minorHAnsi" w:hAnsiTheme="minorHAnsi" w:cstheme="minorHAnsi"/>
            <w:b/>
            <w:sz w:val="18"/>
            <w:szCs w:val="18"/>
            <w:lang w:val="es-ES"/>
          </w:rPr>
          <w:t>34</w:t>
        </w:r>
      </w:hyperlink>
      <w:r w:rsidRPr="00C875BE">
        <w:rPr>
          <w:rFonts w:asciiTheme="minorHAnsi" w:hAnsiTheme="minorHAnsi" w:cstheme="minorHAnsi"/>
          <w:bCs/>
          <w:sz w:val="18"/>
          <w:szCs w:val="18"/>
          <w:lang w:val="es-ES"/>
        </w:rPr>
        <w:t xml:space="preserve"> para. 2 R.3; </w:t>
      </w:r>
      <w:hyperlink r:id="rId117"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w:t>
        </w:r>
        <w:r w:rsidRPr="00C875BE">
          <w:rPr>
            <w:rStyle w:val="Hyperlink1"/>
            <w:rFonts w:asciiTheme="minorHAnsi" w:hAnsiTheme="minorHAnsi" w:cstheme="minorHAnsi"/>
            <w:b/>
            <w:bCs/>
            <w:sz w:val="18"/>
            <w:szCs w:val="18"/>
            <w:lang w:val="es-ES"/>
          </w:rPr>
          <w:t xml:space="preserve">12.COM </w:t>
        </w:r>
        <w:proofErr w:type="gramStart"/>
        <w:r w:rsidRPr="00C875BE">
          <w:rPr>
            <w:rStyle w:val="Hyperlink1"/>
            <w:rFonts w:asciiTheme="minorHAnsi" w:hAnsiTheme="minorHAnsi" w:cstheme="minorHAnsi"/>
            <w:b/>
            <w:bCs/>
            <w:sz w:val="18"/>
            <w:szCs w:val="18"/>
            <w:lang w:val="es-ES"/>
          </w:rPr>
          <w:t>11.b.</w:t>
        </w:r>
        <w:proofErr w:type="gramEnd"/>
        <w:r w:rsidRPr="00C875BE">
          <w:rPr>
            <w:rStyle w:val="Hyperlink1"/>
            <w:rFonts w:asciiTheme="minorHAnsi" w:hAnsiTheme="minorHAnsi" w:cstheme="minorHAnsi"/>
            <w:b/>
            <w:bCs/>
            <w:sz w:val="18"/>
            <w:szCs w:val="18"/>
            <w:lang w:val="es-ES"/>
          </w:rPr>
          <w:t>22</w:t>
        </w:r>
      </w:hyperlink>
      <w:r w:rsidRPr="00C875BE">
        <w:rPr>
          <w:rFonts w:asciiTheme="minorHAnsi" w:hAnsiTheme="minorHAnsi" w:cstheme="minorHAnsi"/>
          <w:bCs/>
          <w:sz w:val="18"/>
          <w:szCs w:val="18"/>
          <w:lang w:val="es-ES"/>
        </w:rPr>
        <w:t xml:space="preserve"> para. 5.</w:t>
      </w:r>
    </w:p>
  </w:footnote>
  <w:footnote w:id="96">
    <w:p w14:paraId="78E68271" w14:textId="77777777" w:rsidR="00086ECF" w:rsidRPr="00C875BE" w:rsidRDefault="00086ECF" w:rsidP="00095F74">
      <w:pPr>
        <w:pStyle w:val="FootnoteText"/>
        <w:jc w:val="left"/>
        <w:rPr>
          <w:rFonts w:asciiTheme="minorHAnsi" w:hAnsiTheme="minorHAnsi" w:cstheme="minorHAnsi"/>
          <w:bCs/>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18"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w:t>
        </w:r>
        <w:r w:rsidRPr="00C875BE">
          <w:rPr>
            <w:rStyle w:val="Hyperlink1"/>
            <w:rFonts w:asciiTheme="minorHAnsi" w:hAnsiTheme="minorHAnsi" w:cstheme="minorHAnsi"/>
            <w:b/>
            <w:sz w:val="18"/>
            <w:szCs w:val="18"/>
            <w:lang w:val="es-ES"/>
          </w:rPr>
          <w:t>14.COM 10.a.5</w:t>
        </w:r>
      </w:hyperlink>
      <w:r w:rsidRPr="00C875BE">
        <w:rPr>
          <w:rFonts w:asciiTheme="minorHAnsi" w:hAnsiTheme="minorHAnsi" w:cstheme="minorHAnsi"/>
          <w:bCs/>
          <w:sz w:val="18"/>
          <w:szCs w:val="18"/>
          <w:lang w:val="es-ES"/>
        </w:rPr>
        <w:t xml:space="preserve"> para. 7 A.3.</w:t>
      </w:r>
    </w:p>
  </w:footnote>
  <w:footnote w:id="97">
    <w:p w14:paraId="3E27231C"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pt-PT"/>
        </w:rPr>
        <w:t xml:space="preserve"> </w:t>
      </w:r>
      <w:r w:rsidRPr="00C875BE">
        <w:rPr>
          <w:rFonts w:asciiTheme="minorHAnsi" w:hAnsiTheme="minorHAnsi" w:cstheme="minorHAnsi"/>
          <w:sz w:val="18"/>
          <w:szCs w:val="18"/>
          <w:lang w:val="pt-PT"/>
        </w:rPr>
        <w:t xml:space="preserve">Document </w:t>
      </w:r>
      <w:r w:rsidR="00340464">
        <w:fldChar w:fldCharType="begin"/>
      </w:r>
      <w:r w:rsidR="00340464" w:rsidRPr="00340464">
        <w:rPr>
          <w:lang w:val="es-ES"/>
        </w:rPr>
        <w:instrText>HYPERLINK "https://ich.unesco.org/doc/src/LHE-19-14.COM-10-EN.docx"</w:instrText>
      </w:r>
      <w:r w:rsidR="00340464">
        <w:fldChar w:fldCharType="separate"/>
      </w:r>
      <w:r w:rsidRPr="00C875BE">
        <w:rPr>
          <w:rStyle w:val="Hyperlink1"/>
          <w:rFonts w:asciiTheme="minorHAnsi" w:hAnsiTheme="minorHAnsi" w:cstheme="minorHAnsi"/>
          <w:b/>
          <w:bCs/>
          <w:sz w:val="18"/>
          <w:szCs w:val="18"/>
          <w:lang w:val="es-ES"/>
        </w:rPr>
        <w:t>LHE/19/14.COM/10</w:t>
      </w:r>
      <w:r w:rsidR="00340464">
        <w:rPr>
          <w:rStyle w:val="Hyperlink1"/>
          <w:rFonts w:asciiTheme="minorHAnsi" w:hAnsiTheme="minorHAnsi" w:cstheme="minorHAnsi"/>
          <w:b/>
          <w:bCs/>
          <w:sz w:val="18"/>
          <w:szCs w:val="18"/>
          <w:lang w:val="es-ES"/>
        </w:rPr>
        <w:fldChar w:fldCharType="end"/>
      </w:r>
      <w:r w:rsidRPr="00C875BE">
        <w:rPr>
          <w:rFonts w:asciiTheme="minorHAnsi" w:hAnsiTheme="minorHAnsi" w:cstheme="minorHAnsi"/>
          <w:sz w:val="18"/>
          <w:szCs w:val="18"/>
          <w:lang w:val="es-ES"/>
        </w:rPr>
        <w:t xml:space="preserve"> para. 37.</w:t>
      </w:r>
    </w:p>
  </w:footnote>
  <w:footnote w:id="98">
    <w:p w14:paraId="7E7ABEF6"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hyperlink r:id="rId119" w:history="1">
        <w:r w:rsidRPr="00C875BE">
          <w:rPr>
            <w:rStyle w:val="Hyperlink1"/>
            <w:rFonts w:asciiTheme="minorHAnsi" w:hAnsiTheme="minorHAnsi" w:cstheme="minorHAnsi"/>
            <w:b/>
            <w:bCs/>
            <w:sz w:val="18"/>
            <w:szCs w:val="18"/>
            <w:lang w:val="es-ES"/>
          </w:rPr>
          <w:t>ITH/18/13.COM/10</w:t>
        </w:r>
      </w:hyperlink>
      <w:r w:rsidRPr="00C875BE">
        <w:rPr>
          <w:rFonts w:asciiTheme="minorHAnsi" w:hAnsiTheme="minorHAnsi" w:cstheme="minorHAnsi"/>
          <w:sz w:val="18"/>
          <w:szCs w:val="18"/>
          <w:lang w:val="es-ES"/>
        </w:rPr>
        <w:t xml:space="preserve"> para. 39.</w:t>
      </w:r>
    </w:p>
  </w:footnote>
  <w:footnote w:id="99">
    <w:p w14:paraId="45FCE2BF"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20" w:history="1">
        <w:proofErr w:type="spellStart"/>
        <w:r w:rsidRPr="00C875BE">
          <w:rPr>
            <w:rStyle w:val="Hyperlink1"/>
            <w:rFonts w:asciiTheme="minorHAnsi" w:hAnsiTheme="minorHAnsi" w:cstheme="minorHAnsi"/>
            <w:b/>
            <w:bCs/>
            <w:sz w:val="18"/>
            <w:szCs w:val="18"/>
            <w:lang w:val="es-ES"/>
          </w:rPr>
          <w:t>Decision</w:t>
        </w:r>
        <w:proofErr w:type="spellEnd"/>
        <w:r w:rsidRPr="00C875BE">
          <w:rPr>
            <w:rStyle w:val="Hyperlink1"/>
            <w:rFonts w:asciiTheme="minorHAnsi" w:hAnsiTheme="minorHAnsi" w:cstheme="minorHAnsi"/>
            <w:b/>
            <w:bCs/>
            <w:sz w:val="18"/>
            <w:szCs w:val="18"/>
            <w:lang w:val="es-ES"/>
          </w:rPr>
          <w:t xml:space="preserve"> 1</w:t>
        </w:r>
        <w:r w:rsidRPr="00C875BE">
          <w:rPr>
            <w:rStyle w:val="Hyperlink1"/>
            <w:rFonts w:asciiTheme="minorHAnsi" w:hAnsiTheme="minorHAnsi" w:cstheme="minorHAnsi"/>
            <w:b/>
            <w:sz w:val="18"/>
            <w:szCs w:val="18"/>
            <w:lang w:val="es-ES"/>
          </w:rPr>
          <w:t xml:space="preserve">4.COM </w:t>
        </w:r>
        <w:proofErr w:type="gramStart"/>
        <w:r w:rsidRPr="00C875BE">
          <w:rPr>
            <w:rStyle w:val="Hyperlink1"/>
            <w:rFonts w:asciiTheme="minorHAnsi" w:hAnsiTheme="minorHAnsi" w:cstheme="minorHAnsi"/>
            <w:b/>
            <w:sz w:val="18"/>
            <w:szCs w:val="18"/>
            <w:lang w:val="es-ES"/>
          </w:rPr>
          <w:t>10.b.</w:t>
        </w:r>
        <w:proofErr w:type="gramEnd"/>
        <w:r w:rsidRPr="00C875BE">
          <w:rPr>
            <w:rStyle w:val="Hyperlink1"/>
            <w:rFonts w:asciiTheme="minorHAnsi" w:hAnsiTheme="minorHAnsi" w:cstheme="minorHAnsi"/>
            <w:b/>
            <w:sz w:val="18"/>
            <w:szCs w:val="18"/>
            <w:lang w:val="es-ES"/>
          </w:rPr>
          <w:t>4</w:t>
        </w:r>
      </w:hyperlink>
      <w:r w:rsidRPr="00C875BE">
        <w:rPr>
          <w:rFonts w:asciiTheme="minorHAnsi" w:hAnsiTheme="minorHAnsi" w:cstheme="minorHAnsi"/>
          <w:b/>
          <w:sz w:val="18"/>
          <w:szCs w:val="18"/>
          <w:lang w:val="es-ES"/>
        </w:rPr>
        <w:t xml:space="preserve"> </w:t>
      </w:r>
      <w:r w:rsidRPr="00C875BE">
        <w:rPr>
          <w:rFonts w:asciiTheme="minorHAnsi" w:hAnsiTheme="minorHAnsi" w:cstheme="minorHAnsi"/>
          <w:bCs/>
          <w:sz w:val="18"/>
          <w:szCs w:val="18"/>
          <w:lang w:val="es-ES"/>
        </w:rPr>
        <w:t>para. 2 R.3.</w:t>
      </w:r>
    </w:p>
  </w:footnote>
  <w:footnote w:id="100">
    <w:p w14:paraId="11938B23"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hyperlink r:id="rId121" w:history="1">
        <w:proofErr w:type="spellStart"/>
        <w:r w:rsidRPr="00C875BE">
          <w:rPr>
            <w:rStyle w:val="Hyperlink1"/>
            <w:rFonts w:asciiTheme="minorHAnsi" w:hAnsiTheme="minorHAnsi" w:cstheme="minorHAnsi"/>
            <w:b/>
            <w:sz w:val="18"/>
            <w:szCs w:val="18"/>
            <w:lang w:val="es-ES"/>
          </w:rPr>
          <w:t>Decision</w:t>
        </w:r>
        <w:proofErr w:type="spellEnd"/>
        <w:r w:rsidRPr="00C875BE">
          <w:rPr>
            <w:rStyle w:val="Hyperlink1"/>
            <w:rFonts w:asciiTheme="minorHAnsi" w:hAnsiTheme="minorHAnsi" w:cstheme="minorHAnsi"/>
            <w:b/>
            <w:sz w:val="18"/>
            <w:szCs w:val="18"/>
            <w:lang w:val="es-ES"/>
          </w:rPr>
          <w:t xml:space="preserve"> 11.COM </w:t>
        </w:r>
        <w:proofErr w:type="gramStart"/>
        <w:r w:rsidRPr="00C875BE">
          <w:rPr>
            <w:rStyle w:val="Hyperlink1"/>
            <w:rFonts w:asciiTheme="minorHAnsi" w:hAnsiTheme="minorHAnsi" w:cstheme="minorHAnsi"/>
            <w:b/>
            <w:sz w:val="18"/>
            <w:szCs w:val="18"/>
            <w:lang w:val="es-ES"/>
          </w:rPr>
          <w:t>10.b.</w:t>
        </w:r>
        <w:proofErr w:type="gramEnd"/>
        <w:r w:rsidRPr="00C875BE">
          <w:rPr>
            <w:rStyle w:val="Hyperlink1"/>
            <w:rFonts w:asciiTheme="minorHAnsi" w:hAnsiTheme="minorHAnsi" w:cstheme="minorHAnsi"/>
            <w:b/>
            <w:sz w:val="18"/>
            <w:szCs w:val="18"/>
            <w:lang w:val="es-ES"/>
          </w:rPr>
          <w:t>12</w:t>
        </w:r>
      </w:hyperlink>
      <w:r w:rsidRPr="00C875BE">
        <w:rPr>
          <w:rFonts w:asciiTheme="minorHAnsi" w:hAnsiTheme="minorHAnsi" w:cstheme="minorHAnsi"/>
          <w:bCs/>
          <w:sz w:val="18"/>
          <w:szCs w:val="18"/>
          <w:lang w:val="es-ES"/>
        </w:rPr>
        <w:t xml:space="preserve"> para. 2 R.3.</w:t>
      </w:r>
    </w:p>
  </w:footnote>
  <w:footnote w:id="101">
    <w:p w14:paraId="644D77B5" w14:textId="77777777" w:rsidR="00086ECF" w:rsidRPr="00C875BE"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es-ES"/>
        </w:rPr>
        <w:t xml:space="preserve"> </w:t>
      </w:r>
      <w:proofErr w:type="spellStart"/>
      <w:r w:rsidRPr="00C875BE">
        <w:rPr>
          <w:rFonts w:asciiTheme="minorHAnsi" w:hAnsiTheme="minorHAnsi" w:cstheme="minorHAnsi"/>
          <w:sz w:val="18"/>
          <w:szCs w:val="18"/>
          <w:lang w:val="es-ES"/>
        </w:rPr>
        <w:t>Document</w:t>
      </w:r>
      <w:proofErr w:type="spellEnd"/>
      <w:r w:rsidRPr="00C875BE">
        <w:rPr>
          <w:rFonts w:asciiTheme="minorHAnsi" w:hAnsiTheme="minorHAnsi" w:cstheme="minorHAnsi"/>
          <w:sz w:val="18"/>
          <w:szCs w:val="18"/>
          <w:lang w:val="es-ES"/>
        </w:rPr>
        <w:t xml:space="preserve"> </w:t>
      </w:r>
      <w:hyperlink r:id="rId122" w:history="1">
        <w:r w:rsidRPr="00C875BE">
          <w:rPr>
            <w:rStyle w:val="Hyperlink1"/>
            <w:rFonts w:asciiTheme="minorHAnsi" w:hAnsiTheme="minorHAnsi" w:cstheme="minorHAnsi"/>
            <w:b/>
            <w:bCs/>
            <w:sz w:val="18"/>
            <w:szCs w:val="18"/>
            <w:lang w:val="es-ES" w:eastAsia="el-GR"/>
          </w:rPr>
          <w:t>LHE/20/15.COM/8</w:t>
        </w:r>
      </w:hyperlink>
      <w:r w:rsidRPr="00C875BE">
        <w:rPr>
          <w:rFonts w:asciiTheme="minorHAnsi" w:hAnsiTheme="minorHAnsi" w:cstheme="minorHAnsi"/>
          <w:sz w:val="18"/>
          <w:szCs w:val="18"/>
          <w:lang w:val="es-ES"/>
        </w:rPr>
        <w:t xml:space="preserve"> para. 75.</w:t>
      </w:r>
    </w:p>
  </w:footnote>
  <w:footnote w:id="102">
    <w:p w14:paraId="0AF64B3A" w14:textId="77777777" w:rsidR="00086ECF" w:rsidRPr="00035309"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w:t>
      </w:r>
      <w:proofErr w:type="spellStart"/>
      <w:r w:rsidRPr="00035309">
        <w:rPr>
          <w:rFonts w:asciiTheme="minorHAnsi" w:hAnsiTheme="minorHAnsi" w:cstheme="minorHAnsi"/>
          <w:sz w:val="18"/>
          <w:szCs w:val="18"/>
          <w:lang w:val="es-ES"/>
        </w:rPr>
        <w:t>Document</w:t>
      </w:r>
      <w:proofErr w:type="spellEnd"/>
      <w:r w:rsidRPr="00035309">
        <w:rPr>
          <w:rFonts w:asciiTheme="minorHAnsi" w:hAnsiTheme="minorHAnsi" w:cstheme="minorHAnsi"/>
          <w:sz w:val="18"/>
          <w:szCs w:val="18"/>
          <w:lang w:val="es-ES"/>
        </w:rPr>
        <w:t xml:space="preserve"> </w:t>
      </w:r>
      <w:hyperlink r:id="rId123" w:history="1">
        <w:r w:rsidRPr="00035309">
          <w:rPr>
            <w:rStyle w:val="Hyperlink1"/>
            <w:rFonts w:asciiTheme="minorHAnsi" w:hAnsiTheme="minorHAnsi" w:cstheme="minorHAnsi"/>
            <w:b/>
            <w:bCs/>
            <w:sz w:val="18"/>
            <w:szCs w:val="18"/>
            <w:lang w:val="es-ES"/>
          </w:rPr>
          <w:t xml:space="preserve">ITH/18/13.COM/7.a </w:t>
        </w:r>
        <w:proofErr w:type="spellStart"/>
        <w:r w:rsidRPr="00035309">
          <w:rPr>
            <w:rStyle w:val="Hyperlink1"/>
            <w:rFonts w:asciiTheme="minorHAnsi" w:hAnsiTheme="minorHAnsi" w:cstheme="minorHAnsi"/>
            <w:b/>
            <w:bCs/>
            <w:sz w:val="18"/>
            <w:szCs w:val="18"/>
            <w:lang w:val="es-ES"/>
          </w:rPr>
          <w:t>Rev</w:t>
        </w:r>
        <w:proofErr w:type="spellEnd"/>
      </w:hyperlink>
      <w:r w:rsidRPr="00035309">
        <w:rPr>
          <w:rFonts w:asciiTheme="minorHAnsi" w:hAnsiTheme="minorHAnsi" w:cstheme="minorHAnsi"/>
          <w:sz w:val="18"/>
          <w:szCs w:val="18"/>
          <w:lang w:val="es-ES"/>
        </w:rPr>
        <w:t xml:space="preserve"> paras 27-28.</w:t>
      </w:r>
    </w:p>
  </w:footnote>
  <w:footnote w:id="103">
    <w:p w14:paraId="25B095D6" w14:textId="77777777" w:rsidR="00086ECF" w:rsidRPr="00035309"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w:t>
      </w:r>
      <w:proofErr w:type="spellStart"/>
      <w:r w:rsidRPr="00035309">
        <w:rPr>
          <w:rFonts w:asciiTheme="minorHAnsi" w:hAnsiTheme="minorHAnsi" w:cstheme="minorHAnsi"/>
          <w:sz w:val="18"/>
          <w:szCs w:val="18"/>
          <w:lang w:val="es-ES"/>
        </w:rPr>
        <w:t>Document</w:t>
      </w:r>
      <w:proofErr w:type="spellEnd"/>
      <w:r w:rsidRPr="00035309">
        <w:rPr>
          <w:rFonts w:asciiTheme="minorHAnsi" w:hAnsiTheme="minorHAnsi" w:cstheme="minorHAnsi"/>
          <w:sz w:val="18"/>
          <w:szCs w:val="18"/>
          <w:lang w:val="es-ES"/>
        </w:rPr>
        <w:t xml:space="preserve"> </w:t>
      </w:r>
      <w:hyperlink r:id="rId124" w:history="1">
        <w:r w:rsidRPr="00035309">
          <w:rPr>
            <w:rStyle w:val="Hyperlink1"/>
            <w:rFonts w:asciiTheme="minorHAnsi" w:hAnsiTheme="minorHAnsi" w:cstheme="minorHAnsi"/>
            <w:b/>
            <w:bCs/>
            <w:sz w:val="18"/>
            <w:szCs w:val="18"/>
            <w:lang w:val="es-ES"/>
          </w:rPr>
          <w:t xml:space="preserve">ITH/18/13.COM/7.a </w:t>
        </w:r>
        <w:proofErr w:type="spellStart"/>
        <w:r w:rsidRPr="00035309">
          <w:rPr>
            <w:rStyle w:val="Hyperlink1"/>
            <w:rFonts w:asciiTheme="minorHAnsi" w:hAnsiTheme="minorHAnsi" w:cstheme="minorHAnsi"/>
            <w:b/>
            <w:bCs/>
            <w:sz w:val="18"/>
            <w:szCs w:val="18"/>
            <w:lang w:val="es-ES"/>
          </w:rPr>
          <w:t>Rev</w:t>
        </w:r>
        <w:proofErr w:type="spellEnd"/>
      </w:hyperlink>
      <w:r w:rsidRPr="00035309">
        <w:rPr>
          <w:rFonts w:asciiTheme="minorHAnsi" w:hAnsiTheme="minorHAnsi" w:cstheme="minorHAnsi"/>
          <w:sz w:val="18"/>
          <w:szCs w:val="18"/>
          <w:lang w:val="es-ES"/>
        </w:rPr>
        <w:t xml:space="preserve"> pp. 32-33.</w:t>
      </w:r>
    </w:p>
  </w:footnote>
  <w:footnote w:id="104">
    <w:p w14:paraId="0270FB34" w14:textId="77777777" w:rsidR="00086ECF" w:rsidRPr="00035309" w:rsidRDefault="00086ECF" w:rsidP="00095F74">
      <w:pPr>
        <w:pStyle w:val="FootnoteText"/>
        <w:jc w:val="left"/>
        <w:rPr>
          <w:rFonts w:asciiTheme="minorHAnsi" w:hAnsiTheme="minorHAnsi" w:cstheme="minorHAnsi"/>
          <w:sz w:val="18"/>
          <w:szCs w:val="18"/>
          <w:lang w:val="es-ES"/>
        </w:rPr>
      </w:pPr>
      <w:r w:rsidRPr="00C875BE">
        <w:rPr>
          <w:rStyle w:val="FootnoteReference"/>
          <w:rFonts w:asciiTheme="minorHAnsi" w:hAnsiTheme="minorHAnsi" w:cstheme="minorHAnsi"/>
          <w:sz w:val="18"/>
          <w:szCs w:val="18"/>
        </w:rPr>
        <w:footnoteRef/>
      </w:r>
      <w:r w:rsidRPr="00035309">
        <w:rPr>
          <w:rFonts w:asciiTheme="minorHAnsi" w:hAnsiTheme="minorHAnsi" w:cstheme="minorHAnsi"/>
          <w:sz w:val="18"/>
          <w:szCs w:val="18"/>
          <w:lang w:val="es-ES"/>
        </w:rPr>
        <w:t xml:space="preserve"> </w:t>
      </w:r>
      <w:proofErr w:type="spellStart"/>
      <w:r w:rsidRPr="00035309">
        <w:rPr>
          <w:rFonts w:asciiTheme="minorHAnsi" w:hAnsiTheme="minorHAnsi" w:cstheme="minorHAnsi"/>
          <w:sz w:val="18"/>
          <w:szCs w:val="18"/>
          <w:lang w:val="es-ES"/>
        </w:rPr>
        <w:t>Document</w:t>
      </w:r>
      <w:proofErr w:type="spellEnd"/>
      <w:r w:rsidRPr="00035309">
        <w:rPr>
          <w:rFonts w:asciiTheme="minorHAnsi" w:hAnsiTheme="minorHAnsi" w:cstheme="minorHAnsi"/>
          <w:sz w:val="18"/>
          <w:szCs w:val="18"/>
          <w:lang w:val="es-ES"/>
        </w:rPr>
        <w:t xml:space="preserve"> </w:t>
      </w:r>
      <w:hyperlink r:id="rId125" w:history="1">
        <w:r w:rsidRPr="00035309">
          <w:rPr>
            <w:rStyle w:val="Hyperlink1"/>
            <w:rFonts w:asciiTheme="minorHAnsi" w:hAnsiTheme="minorHAnsi" w:cstheme="minorHAnsi"/>
            <w:b/>
            <w:bCs/>
            <w:sz w:val="18"/>
            <w:szCs w:val="18"/>
            <w:lang w:val="es-ES"/>
          </w:rPr>
          <w:t>LHE/22/17.COM/</w:t>
        </w:r>
        <w:proofErr w:type="gramStart"/>
        <w:r w:rsidRPr="00035309">
          <w:rPr>
            <w:rStyle w:val="Hyperlink1"/>
            <w:rFonts w:asciiTheme="minorHAnsi" w:hAnsiTheme="minorHAnsi" w:cstheme="minorHAnsi"/>
            <w:b/>
            <w:bCs/>
            <w:sz w:val="18"/>
            <w:szCs w:val="18"/>
            <w:lang w:val="es-ES"/>
          </w:rPr>
          <w:t>6.b</w:t>
        </w:r>
        <w:proofErr w:type="gramEnd"/>
        <w:r w:rsidRPr="00035309">
          <w:rPr>
            <w:rStyle w:val="Hyperlink1"/>
            <w:rFonts w:asciiTheme="minorHAnsi" w:hAnsiTheme="minorHAnsi" w:cstheme="minorHAnsi"/>
            <w:b/>
            <w:bCs/>
            <w:sz w:val="18"/>
            <w:szCs w:val="18"/>
            <w:lang w:val="es-ES"/>
          </w:rPr>
          <w:t xml:space="preserve"> </w:t>
        </w:r>
        <w:proofErr w:type="spellStart"/>
        <w:r w:rsidRPr="00035309">
          <w:rPr>
            <w:rStyle w:val="Hyperlink1"/>
            <w:rFonts w:asciiTheme="minorHAnsi" w:hAnsiTheme="minorHAnsi" w:cstheme="minorHAnsi"/>
            <w:b/>
            <w:bCs/>
            <w:sz w:val="18"/>
            <w:szCs w:val="18"/>
            <w:lang w:val="es-ES"/>
          </w:rPr>
          <w:t>Rev</w:t>
        </w:r>
        <w:proofErr w:type="spellEnd"/>
      </w:hyperlink>
      <w:r w:rsidRPr="00035309">
        <w:rPr>
          <w:rFonts w:asciiTheme="minorHAnsi" w:hAnsiTheme="minorHAnsi" w:cstheme="minorHAnsi"/>
          <w:sz w:val="18"/>
          <w:szCs w:val="18"/>
          <w:lang w:val="es-ES"/>
        </w:rPr>
        <w:t xml:space="preserve"> p.28.</w:t>
      </w:r>
    </w:p>
  </w:footnote>
  <w:footnote w:id="105">
    <w:p w14:paraId="43619FCE" w14:textId="53DE5528"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26" w:history="1">
        <w:r w:rsidRPr="00C875BE">
          <w:rPr>
            <w:rStyle w:val="Hyperlink1"/>
            <w:rFonts w:asciiTheme="minorHAnsi" w:hAnsiTheme="minorHAnsi" w:cstheme="minorHAnsi"/>
            <w:b/>
            <w:bCs/>
            <w:sz w:val="18"/>
            <w:szCs w:val="18"/>
            <w:lang w:val="fr-FR"/>
          </w:rPr>
          <w:t>LHE/22/17.COM/</w:t>
        </w:r>
        <w:r w:rsidR="00E564B2" w:rsidRPr="00035309">
          <w:rPr>
            <w:rStyle w:val="Hyperlink1"/>
            <w:rFonts w:asciiTheme="minorHAnsi" w:hAnsiTheme="minorHAnsi" w:cstheme="minorHAnsi"/>
            <w:b/>
            <w:bCs/>
            <w:sz w:val="18"/>
            <w:szCs w:val="18"/>
            <w:lang w:val="fr-FR"/>
          </w:rPr>
          <w:t>INF.</w:t>
        </w:r>
        <w:r w:rsidRPr="00C875BE">
          <w:rPr>
            <w:rStyle w:val="Hyperlink1"/>
            <w:rFonts w:asciiTheme="minorHAnsi" w:hAnsiTheme="minorHAnsi" w:cstheme="minorHAnsi"/>
            <w:b/>
            <w:bCs/>
            <w:sz w:val="18"/>
            <w:szCs w:val="18"/>
            <w:lang w:val="fr-FR"/>
          </w:rPr>
          <w:t>6.c</w:t>
        </w:r>
      </w:hyperlink>
      <w:r w:rsidR="00E564B2" w:rsidRPr="00C875BE">
        <w:rPr>
          <w:rStyle w:val="Hyperlink1"/>
          <w:rFonts w:asciiTheme="minorHAnsi" w:hAnsiTheme="minorHAnsi" w:cstheme="minorHAnsi"/>
          <w:b/>
          <w:bCs/>
          <w:sz w:val="18"/>
          <w:szCs w:val="18"/>
          <w:lang w:val="fr-FR"/>
        </w:rPr>
        <w:t xml:space="preserve"> </w:t>
      </w:r>
      <w:proofErr w:type="spellStart"/>
      <w:r w:rsidR="00E564B2" w:rsidRPr="00C875BE">
        <w:rPr>
          <w:rStyle w:val="Hyperlink1"/>
          <w:rFonts w:asciiTheme="minorHAnsi" w:hAnsiTheme="minorHAnsi" w:cstheme="minorHAnsi"/>
          <w:b/>
          <w:bCs/>
          <w:sz w:val="18"/>
          <w:szCs w:val="18"/>
          <w:lang w:val="fr-FR"/>
        </w:rPr>
        <w:t>Rev</w:t>
      </w:r>
      <w:proofErr w:type="spellEnd"/>
      <w:r w:rsidRPr="00C875BE">
        <w:rPr>
          <w:rFonts w:asciiTheme="minorHAnsi" w:hAnsiTheme="minorHAnsi" w:cstheme="minorHAnsi"/>
          <w:sz w:val="18"/>
          <w:szCs w:val="18"/>
          <w:lang w:val="fr-FR"/>
        </w:rPr>
        <w:t xml:space="preserve"> p.6</w:t>
      </w:r>
      <w:r w:rsidR="00873DE5">
        <w:rPr>
          <w:rFonts w:asciiTheme="minorHAnsi" w:hAnsiTheme="minorHAnsi" w:cstheme="minorHAnsi"/>
          <w:sz w:val="18"/>
          <w:szCs w:val="18"/>
          <w:lang w:val="fr-FR"/>
        </w:rPr>
        <w:t>4</w:t>
      </w:r>
      <w:r w:rsidRPr="00C875BE">
        <w:rPr>
          <w:rFonts w:asciiTheme="minorHAnsi" w:hAnsiTheme="minorHAnsi" w:cstheme="minorHAnsi"/>
          <w:sz w:val="18"/>
          <w:szCs w:val="18"/>
          <w:lang w:val="fr-FR"/>
        </w:rPr>
        <w:t>.</w:t>
      </w:r>
    </w:p>
  </w:footnote>
  <w:footnote w:id="106">
    <w:p w14:paraId="133C783C" w14:textId="77777777"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27" w:history="1">
        <w:r w:rsidRPr="00C875BE">
          <w:rPr>
            <w:rStyle w:val="Hyperlink1"/>
            <w:rFonts w:asciiTheme="minorHAnsi" w:hAnsiTheme="minorHAnsi" w:cstheme="minorHAnsi"/>
            <w:b/>
            <w:bCs/>
            <w:sz w:val="18"/>
            <w:szCs w:val="18"/>
            <w:lang w:val="fr-FR"/>
          </w:rPr>
          <w:t>LHE/22/17.COM/</w:t>
        </w:r>
        <w:proofErr w:type="gramStart"/>
        <w:r w:rsidRPr="00C875BE">
          <w:rPr>
            <w:rStyle w:val="Hyperlink1"/>
            <w:rFonts w:asciiTheme="minorHAnsi" w:hAnsiTheme="minorHAnsi" w:cstheme="minorHAnsi"/>
            <w:b/>
            <w:bCs/>
            <w:sz w:val="18"/>
            <w:szCs w:val="18"/>
            <w:lang w:val="fr-FR"/>
          </w:rPr>
          <w:t>6.b</w:t>
        </w:r>
        <w:proofErr w:type="gramEnd"/>
        <w:r w:rsidRPr="00C875BE">
          <w:rPr>
            <w:rStyle w:val="Hyperlink1"/>
            <w:rFonts w:asciiTheme="minorHAnsi" w:hAnsiTheme="minorHAnsi" w:cstheme="minorHAnsi"/>
            <w:b/>
            <w:bCs/>
            <w:sz w:val="18"/>
            <w:szCs w:val="18"/>
            <w:lang w:val="fr-FR"/>
          </w:rPr>
          <w:t xml:space="preserve"> </w:t>
        </w:r>
        <w:proofErr w:type="spellStart"/>
        <w:r w:rsidRPr="00C875BE">
          <w:rPr>
            <w:rStyle w:val="Hyperlink1"/>
            <w:rFonts w:asciiTheme="minorHAnsi" w:hAnsiTheme="minorHAnsi" w:cstheme="minorHAnsi"/>
            <w:b/>
            <w:bCs/>
            <w:sz w:val="18"/>
            <w:szCs w:val="18"/>
            <w:lang w:val="fr-FR"/>
          </w:rPr>
          <w:t>Rev</w:t>
        </w:r>
        <w:proofErr w:type="spellEnd"/>
      </w:hyperlink>
      <w:r w:rsidRPr="00C875BE">
        <w:rPr>
          <w:rFonts w:asciiTheme="minorHAnsi" w:hAnsiTheme="minorHAnsi" w:cstheme="minorHAnsi"/>
          <w:sz w:val="18"/>
          <w:szCs w:val="18"/>
          <w:lang w:val="fr-FR"/>
        </w:rPr>
        <w:t xml:space="preserve"> p.31.</w:t>
      </w:r>
    </w:p>
  </w:footnote>
  <w:footnote w:id="107">
    <w:p w14:paraId="11DD4A7A"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Article 3, Item (b) of the Copyright Act no. 121/2000 Coll., as amended.</w:t>
      </w:r>
    </w:p>
  </w:footnote>
  <w:footnote w:id="108">
    <w:p w14:paraId="717ED208" w14:textId="77777777" w:rsidR="00086ECF" w:rsidRPr="00C875BE" w:rsidRDefault="00086ECF" w:rsidP="00095F74">
      <w:pPr>
        <w:pStyle w:val="FootnoteText"/>
        <w:jc w:val="left"/>
        <w:rPr>
          <w:rFonts w:asciiTheme="minorHAnsi" w:hAnsiTheme="minorHAnsi" w:cstheme="minorHAnsi"/>
          <w:sz w:val="18"/>
          <w:szCs w:val="18"/>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rPr>
        <w:t xml:space="preserve"> The guidelines are available at </w:t>
      </w:r>
      <w:hyperlink r:id="rId128" w:history="1">
        <w:r w:rsidRPr="00C875BE">
          <w:rPr>
            <w:rStyle w:val="Hyperlink1"/>
            <w:rFonts w:asciiTheme="minorHAnsi" w:hAnsiTheme="minorHAnsi" w:cstheme="minorHAnsi"/>
            <w:sz w:val="18"/>
            <w:szCs w:val="18"/>
          </w:rPr>
          <w:t>www.intangia.es</w:t>
        </w:r>
      </w:hyperlink>
      <w:r w:rsidRPr="00C875BE">
        <w:rPr>
          <w:rFonts w:asciiTheme="minorHAnsi" w:hAnsiTheme="minorHAnsi" w:cstheme="minorHAnsi"/>
          <w:sz w:val="18"/>
          <w:szCs w:val="18"/>
        </w:rPr>
        <w:t xml:space="preserve"> and </w:t>
      </w:r>
      <w:hyperlink r:id="rId129" w:history="1">
        <w:r w:rsidRPr="00C875BE">
          <w:rPr>
            <w:rStyle w:val="Hyperlink1"/>
            <w:rFonts w:asciiTheme="minorHAnsi" w:hAnsiTheme="minorHAnsi" w:cstheme="minorHAnsi"/>
            <w:sz w:val="18"/>
            <w:szCs w:val="18"/>
          </w:rPr>
          <w:t>www.labrit.net</w:t>
        </w:r>
      </w:hyperlink>
    </w:p>
  </w:footnote>
  <w:footnote w:id="109">
    <w:p w14:paraId="294C6116" w14:textId="77777777"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30" w:history="1">
        <w:r w:rsidRPr="00C875BE">
          <w:rPr>
            <w:rStyle w:val="Hyperlink1"/>
            <w:rFonts w:asciiTheme="minorHAnsi" w:hAnsiTheme="minorHAnsi" w:cstheme="minorHAnsi"/>
            <w:b/>
            <w:bCs/>
            <w:sz w:val="18"/>
            <w:szCs w:val="18"/>
            <w:lang w:val="fr-FR"/>
          </w:rPr>
          <w:t>LHE/22/17.COM/</w:t>
        </w:r>
        <w:proofErr w:type="gramStart"/>
        <w:r w:rsidRPr="00C875BE">
          <w:rPr>
            <w:rStyle w:val="Hyperlink1"/>
            <w:rFonts w:asciiTheme="minorHAnsi" w:hAnsiTheme="minorHAnsi" w:cstheme="minorHAnsi"/>
            <w:b/>
            <w:bCs/>
            <w:sz w:val="18"/>
            <w:szCs w:val="18"/>
            <w:lang w:val="fr-FR"/>
          </w:rPr>
          <w:t>6.b</w:t>
        </w:r>
        <w:proofErr w:type="gramEnd"/>
        <w:r w:rsidRPr="00C875BE">
          <w:rPr>
            <w:rStyle w:val="Hyperlink1"/>
            <w:rFonts w:asciiTheme="minorHAnsi" w:hAnsiTheme="minorHAnsi" w:cstheme="minorHAnsi"/>
            <w:b/>
            <w:bCs/>
            <w:sz w:val="18"/>
            <w:szCs w:val="18"/>
            <w:lang w:val="fr-FR"/>
          </w:rPr>
          <w:t xml:space="preserve"> </w:t>
        </w:r>
        <w:proofErr w:type="spellStart"/>
        <w:r w:rsidRPr="00C875BE">
          <w:rPr>
            <w:rStyle w:val="Hyperlink1"/>
            <w:rFonts w:asciiTheme="minorHAnsi" w:hAnsiTheme="minorHAnsi" w:cstheme="minorHAnsi"/>
            <w:b/>
            <w:bCs/>
            <w:sz w:val="18"/>
            <w:szCs w:val="18"/>
            <w:lang w:val="fr-FR"/>
          </w:rPr>
          <w:t>Rev</w:t>
        </w:r>
        <w:proofErr w:type="spellEnd"/>
      </w:hyperlink>
      <w:r w:rsidRPr="00C875BE">
        <w:rPr>
          <w:rFonts w:asciiTheme="minorHAnsi" w:hAnsiTheme="minorHAnsi" w:cstheme="minorHAnsi"/>
          <w:sz w:val="18"/>
          <w:szCs w:val="18"/>
          <w:lang w:val="fr-FR"/>
        </w:rPr>
        <w:t xml:space="preserve"> p.37.</w:t>
      </w:r>
    </w:p>
  </w:footnote>
  <w:footnote w:id="110">
    <w:p w14:paraId="72355D49" w14:textId="49B1B926"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31" w:history="1">
        <w:r w:rsidR="006435C3" w:rsidRPr="00035309">
          <w:rPr>
            <w:rStyle w:val="Hyperlink1"/>
            <w:rFonts w:asciiTheme="minorHAnsi" w:hAnsiTheme="minorHAnsi" w:cstheme="minorHAnsi"/>
            <w:b/>
            <w:bCs/>
            <w:sz w:val="18"/>
            <w:szCs w:val="18"/>
            <w:lang w:val="fr-FR"/>
          </w:rPr>
          <w:t>LHE/22/17.COM/INF.6.c</w:t>
        </w:r>
      </w:hyperlink>
      <w:r w:rsidR="006435C3" w:rsidRPr="00035309">
        <w:rPr>
          <w:rStyle w:val="Hyperlink1"/>
          <w:rFonts w:asciiTheme="minorHAnsi" w:hAnsiTheme="minorHAnsi" w:cstheme="minorHAnsi"/>
          <w:b/>
          <w:bCs/>
          <w:sz w:val="18"/>
          <w:szCs w:val="18"/>
          <w:lang w:val="fr-FR"/>
        </w:rPr>
        <w:t xml:space="preserve"> </w:t>
      </w:r>
      <w:proofErr w:type="spellStart"/>
      <w:r w:rsidR="006435C3" w:rsidRPr="00035309">
        <w:rPr>
          <w:rStyle w:val="Hyperlink1"/>
          <w:rFonts w:asciiTheme="minorHAnsi" w:hAnsiTheme="minorHAnsi" w:cstheme="minorHAnsi"/>
          <w:b/>
          <w:bCs/>
          <w:sz w:val="18"/>
          <w:szCs w:val="18"/>
          <w:lang w:val="fr-FR"/>
        </w:rPr>
        <w:t>Rev</w:t>
      </w:r>
      <w:proofErr w:type="spellEnd"/>
      <w:r w:rsidR="006435C3" w:rsidRPr="00035309" w:rsidDel="006435C3">
        <w:rPr>
          <w:rFonts w:asciiTheme="minorHAnsi" w:hAnsiTheme="minorHAnsi" w:cstheme="minorHAnsi"/>
          <w:sz w:val="18"/>
          <w:szCs w:val="18"/>
          <w:lang w:val="fr-FR"/>
        </w:rPr>
        <w:t xml:space="preserve"> </w:t>
      </w:r>
      <w:r w:rsidRPr="00C875BE">
        <w:rPr>
          <w:rFonts w:asciiTheme="minorHAnsi" w:hAnsiTheme="minorHAnsi" w:cstheme="minorHAnsi"/>
          <w:sz w:val="18"/>
          <w:szCs w:val="18"/>
          <w:lang w:val="fr-FR"/>
        </w:rPr>
        <w:t>p.9</w:t>
      </w:r>
      <w:r w:rsidR="00873DE5">
        <w:rPr>
          <w:rFonts w:asciiTheme="minorHAnsi" w:hAnsiTheme="minorHAnsi" w:cstheme="minorHAnsi"/>
          <w:sz w:val="18"/>
          <w:szCs w:val="18"/>
          <w:lang w:val="fr-FR"/>
        </w:rPr>
        <w:t>7</w:t>
      </w:r>
      <w:r w:rsidRPr="00C875BE">
        <w:rPr>
          <w:rFonts w:asciiTheme="minorHAnsi" w:hAnsiTheme="minorHAnsi" w:cstheme="minorHAnsi"/>
          <w:sz w:val="18"/>
          <w:szCs w:val="18"/>
          <w:lang w:val="fr-FR"/>
        </w:rPr>
        <w:t>.</w:t>
      </w:r>
    </w:p>
  </w:footnote>
  <w:footnote w:id="111">
    <w:p w14:paraId="0448A0A0" w14:textId="3E46BED2"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32" w:history="1">
        <w:r w:rsidR="006435C3" w:rsidRPr="00035309">
          <w:rPr>
            <w:rStyle w:val="Hyperlink1"/>
            <w:rFonts w:asciiTheme="minorHAnsi" w:hAnsiTheme="minorHAnsi" w:cstheme="minorHAnsi"/>
            <w:b/>
            <w:bCs/>
            <w:sz w:val="18"/>
            <w:szCs w:val="18"/>
            <w:lang w:val="fr-FR"/>
          </w:rPr>
          <w:t>LHE/22/17.COM/INF.6.c</w:t>
        </w:r>
      </w:hyperlink>
      <w:r w:rsidR="006435C3" w:rsidRPr="00035309">
        <w:rPr>
          <w:rStyle w:val="Hyperlink1"/>
          <w:rFonts w:asciiTheme="minorHAnsi" w:hAnsiTheme="minorHAnsi" w:cstheme="minorHAnsi"/>
          <w:b/>
          <w:bCs/>
          <w:sz w:val="18"/>
          <w:szCs w:val="18"/>
          <w:lang w:val="fr-FR"/>
        </w:rPr>
        <w:t xml:space="preserve"> </w:t>
      </w:r>
      <w:proofErr w:type="spellStart"/>
      <w:r w:rsidR="006435C3" w:rsidRPr="00035309">
        <w:rPr>
          <w:rStyle w:val="Hyperlink1"/>
          <w:rFonts w:asciiTheme="minorHAnsi" w:hAnsiTheme="minorHAnsi" w:cstheme="minorHAnsi"/>
          <w:b/>
          <w:bCs/>
          <w:sz w:val="18"/>
          <w:szCs w:val="18"/>
          <w:lang w:val="fr-FR"/>
        </w:rPr>
        <w:t>Rev</w:t>
      </w:r>
      <w:proofErr w:type="spellEnd"/>
      <w:r w:rsidR="006435C3" w:rsidRPr="00035309" w:rsidDel="006435C3">
        <w:rPr>
          <w:rFonts w:asciiTheme="minorHAnsi" w:hAnsiTheme="minorHAnsi" w:cstheme="minorHAnsi"/>
          <w:sz w:val="18"/>
          <w:szCs w:val="18"/>
          <w:lang w:val="fr-FR"/>
        </w:rPr>
        <w:t xml:space="preserve"> </w:t>
      </w:r>
      <w:r w:rsidRPr="00C875BE">
        <w:rPr>
          <w:rFonts w:asciiTheme="minorHAnsi" w:hAnsiTheme="minorHAnsi" w:cstheme="minorHAnsi"/>
          <w:sz w:val="18"/>
          <w:szCs w:val="18"/>
          <w:lang w:val="fr-FR"/>
        </w:rPr>
        <w:t>p.9</w:t>
      </w:r>
      <w:r w:rsidR="00A635D9">
        <w:rPr>
          <w:rFonts w:asciiTheme="minorHAnsi" w:hAnsiTheme="minorHAnsi" w:cstheme="minorHAnsi"/>
          <w:sz w:val="18"/>
          <w:szCs w:val="18"/>
          <w:lang w:val="fr-FR"/>
        </w:rPr>
        <w:t>7</w:t>
      </w:r>
      <w:r w:rsidRPr="00C875BE">
        <w:rPr>
          <w:rFonts w:asciiTheme="minorHAnsi" w:hAnsiTheme="minorHAnsi" w:cstheme="minorHAnsi"/>
          <w:sz w:val="18"/>
          <w:szCs w:val="18"/>
          <w:lang w:val="fr-FR"/>
        </w:rPr>
        <w:t>.</w:t>
      </w:r>
    </w:p>
  </w:footnote>
  <w:footnote w:id="112">
    <w:p w14:paraId="7146CB33" w14:textId="77777777"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33" w:history="1">
        <w:r w:rsidRPr="00C875BE">
          <w:rPr>
            <w:rStyle w:val="Hyperlink1"/>
            <w:rFonts w:asciiTheme="minorHAnsi" w:hAnsiTheme="minorHAnsi" w:cstheme="minorHAnsi"/>
            <w:b/>
            <w:bCs/>
            <w:sz w:val="18"/>
            <w:szCs w:val="18"/>
            <w:lang w:val="fr-FR"/>
          </w:rPr>
          <w:t>LHE/22/17.COM/</w:t>
        </w:r>
        <w:proofErr w:type="gramStart"/>
        <w:r w:rsidRPr="00C875BE">
          <w:rPr>
            <w:rStyle w:val="Hyperlink1"/>
            <w:rFonts w:asciiTheme="minorHAnsi" w:hAnsiTheme="minorHAnsi" w:cstheme="minorHAnsi"/>
            <w:b/>
            <w:bCs/>
            <w:sz w:val="18"/>
            <w:szCs w:val="18"/>
            <w:lang w:val="fr-FR"/>
          </w:rPr>
          <w:t>6.b</w:t>
        </w:r>
        <w:proofErr w:type="gramEnd"/>
        <w:r w:rsidRPr="00C875BE">
          <w:rPr>
            <w:rStyle w:val="Hyperlink1"/>
            <w:rFonts w:asciiTheme="minorHAnsi" w:hAnsiTheme="minorHAnsi" w:cstheme="minorHAnsi"/>
            <w:b/>
            <w:bCs/>
            <w:sz w:val="18"/>
            <w:szCs w:val="18"/>
            <w:lang w:val="fr-FR"/>
          </w:rPr>
          <w:t xml:space="preserve"> </w:t>
        </w:r>
        <w:proofErr w:type="spellStart"/>
        <w:r w:rsidRPr="00C875BE">
          <w:rPr>
            <w:rStyle w:val="Hyperlink1"/>
            <w:rFonts w:asciiTheme="minorHAnsi" w:hAnsiTheme="minorHAnsi" w:cstheme="minorHAnsi"/>
            <w:b/>
            <w:bCs/>
            <w:sz w:val="18"/>
            <w:szCs w:val="18"/>
            <w:lang w:val="fr-FR"/>
          </w:rPr>
          <w:t>Rev</w:t>
        </w:r>
        <w:proofErr w:type="spellEnd"/>
      </w:hyperlink>
      <w:r w:rsidRPr="00C875BE">
        <w:rPr>
          <w:rFonts w:asciiTheme="minorHAnsi" w:hAnsiTheme="minorHAnsi" w:cstheme="minorHAnsi"/>
          <w:sz w:val="18"/>
          <w:szCs w:val="18"/>
          <w:lang w:val="fr-FR"/>
        </w:rPr>
        <w:t xml:space="preserve"> p.37.</w:t>
      </w:r>
    </w:p>
  </w:footnote>
  <w:footnote w:id="113">
    <w:p w14:paraId="43EE62C1" w14:textId="6E1D9332" w:rsidR="00086ECF" w:rsidRPr="00C875BE" w:rsidRDefault="00086ECF" w:rsidP="00095F74">
      <w:pPr>
        <w:pStyle w:val="FootnoteText"/>
        <w:jc w:val="left"/>
        <w:rPr>
          <w:rFonts w:asciiTheme="minorHAnsi" w:hAnsiTheme="minorHAnsi" w:cstheme="minorHAnsi"/>
          <w:sz w:val="18"/>
          <w:szCs w:val="18"/>
          <w:lang w:val="fr-FR"/>
        </w:rPr>
      </w:pPr>
      <w:r w:rsidRPr="00C875BE">
        <w:rPr>
          <w:rStyle w:val="FootnoteReference"/>
          <w:rFonts w:asciiTheme="minorHAnsi" w:hAnsiTheme="minorHAnsi" w:cstheme="minorHAnsi"/>
          <w:sz w:val="18"/>
          <w:szCs w:val="18"/>
        </w:rPr>
        <w:footnoteRef/>
      </w:r>
      <w:r w:rsidRPr="00C875BE">
        <w:rPr>
          <w:rFonts w:asciiTheme="minorHAnsi" w:hAnsiTheme="minorHAnsi" w:cstheme="minorHAnsi"/>
          <w:sz w:val="18"/>
          <w:szCs w:val="18"/>
          <w:lang w:val="fr-FR"/>
        </w:rPr>
        <w:t xml:space="preserve"> Document </w:t>
      </w:r>
      <w:hyperlink r:id="rId134" w:history="1">
        <w:r w:rsidR="006435C3" w:rsidRPr="00C875BE">
          <w:rPr>
            <w:rStyle w:val="Hyperlink1"/>
            <w:rFonts w:asciiTheme="minorHAnsi" w:hAnsiTheme="minorHAnsi" w:cstheme="minorHAnsi"/>
            <w:b/>
            <w:bCs/>
            <w:sz w:val="18"/>
            <w:szCs w:val="18"/>
            <w:lang w:val="en-US"/>
          </w:rPr>
          <w:t>LHE/22/17.COM/INF.6.c</w:t>
        </w:r>
      </w:hyperlink>
      <w:r w:rsidR="006435C3" w:rsidRPr="00C875BE">
        <w:rPr>
          <w:rStyle w:val="Hyperlink1"/>
          <w:rFonts w:asciiTheme="minorHAnsi" w:hAnsiTheme="minorHAnsi" w:cstheme="minorHAnsi"/>
          <w:b/>
          <w:bCs/>
          <w:sz w:val="18"/>
          <w:szCs w:val="18"/>
          <w:lang w:val="en-US"/>
        </w:rPr>
        <w:t xml:space="preserve"> Rev</w:t>
      </w:r>
      <w:r w:rsidRPr="00C875BE">
        <w:rPr>
          <w:rFonts w:asciiTheme="minorHAnsi" w:hAnsiTheme="minorHAnsi" w:cstheme="minorHAnsi"/>
          <w:sz w:val="18"/>
          <w:szCs w:val="18"/>
          <w:lang w:val="fr-FR"/>
        </w:rPr>
        <w:t xml:space="preserve"> p.9</w:t>
      </w:r>
      <w:r w:rsidR="00A635D9">
        <w:rPr>
          <w:rFonts w:asciiTheme="minorHAnsi" w:hAnsiTheme="minorHAnsi" w:cstheme="minorHAnsi"/>
          <w:sz w:val="18"/>
          <w:szCs w:val="18"/>
          <w:lang w:val="fr-FR"/>
        </w:rPr>
        <w:t>8</w:t>
      </w:r>
      <w:r w:rsidRPr="00C875BE">
        <w:rPr>
          <w:rFonts w:asciiTheme="minorHAnsi" w:hAnsiTheme="minorHAnsi" w:cstheme="minorHAnsi"/>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4583117" w:rsidR="00D95C4C" w:rsidRPr="00455314" w:rsidRDefault="00C5776D" w:rsidP="00035309">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D7105A" w:rsidRPr="00455314">
      <w:rPr>
        <w:rFonts w:ascii="Arial" w:hAnsi="Arial" w:cs="Arial"/>
        <w:sz w:val="20"/>
        <w:szCs w:val="20"/>
        <w:lang w:val="es-ES"/>
      </w:rPr>
      <w:t>2</w:t>
    </w:r>
    <w:r w:rsidR="00F56FA1" w:rsidRPr="00455314">
      <w:rPr>
        <w:rFonts w:ascii="Arial" w:hAnsi="Arial" w:cs="Arial"/>
        <w:sz w:val="20"/>
        <w:szCs w:val="20"/>
        <w:lang w:val="es-ES"/>
      </w:rPr>
      <w:t>3</w:t>
    </w:r>
    <w:r w:rsidR="00CB0542" w:rsidRPr="00455314">
      <w:rPr>
        <w:rFonts w:ascii="Arial" w:hAnsi="Arial" w:cs="Arial"/>
        <w:sz w:val="20"/>
        <w:szCs w:val="20"/>
        <w:lang w:val="es-ES"/>
      </w:rPr>
      <w:t>/</w:t>
    </w:r>
    <w:r w:rsidR="00B9146E" w:rsidRPr="00455314">
      <w:rPr>
        <w:rFonts w:ascii="Arial" w:hAnsi="Arial" w:cs="Arial"/>
        <w:sz w:val="20"/>
        <w:szCs w:val="20"/>
        <w:lang w:val="es-ES"/>
      </w:rPr>
      <w:t xml:space="preserve">EXP </w:t>
    </w:r>
    <w:r w:rsidR="00455314" w:rsidRPr="00455314">
      <w:rPr>
        <w:rFonts w:ascii="Arial" w:hAnsi="Arial" w:cs="Arial"/>
        <w:sz w:val="20"/>
        <w:szCs w:val="20"/>
        <w:lang w:val="es-ES"/>
      </w:rPr>
      <w:t>THEMA-</w:t>
    </w:r>
    <w:r w:rsidR="00C9225A" w:rsidRPr="00455314">
      <w:rPr>
        <w:rFonts w:ascii="Arial" w:hAnsi="Arial" w:cs="Arial"/>
        <w:sz w:val="20"/>
        <w:szCs w:val="20"/>
        <w:lang w:val="es-ES"/>
      </w:rPr>
      <w:t>ECO</w:t>
    </w:r>
    <w:r w:rsidR="004E1760" w:rsidRPr="00455314">
      <w:rPr>
        <w:rFonts w:ascii="Arial" w:hAnsi="Arial" w:cs="Arial"/>
        <w:sz w:val="20"/>
        <w:szCs w:val="20"/>
        <w:lang w:val="es-ES"/>
      </w:rPr>
      <w:t>/</w:t>
    </w:r>
    <w:r w:rsidR="00B91F80">
      <w:rPr>
        <w:rFonts w:ascii="Arial" w:hAnsi="Arial" w:cs="Arial"/>
        <w:sz w:val="20"/>
        <w:szCs w:val="20"/>
        <w:lang w:val="es-ES"/>
      </w:rPr>
      <w:t xml:space="preserve">3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09FF2689"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LHE/23/EXP THEMA-ECO/</w:t>
    </w:r>
    <w:r w:rsidR="00B91F80">
      <w:rPr>
        <w:rFonts w:ascii="Arial" w:hAnsi="Arial" w:cs="Arial"/>
        <w:sz w:val="20"/>
        <w:szCs w:val="20"/>
        <w:lang w:val="es-ES"/>
      </w:rPr>
      <w:t>3</w:t>
    </w:r>
    <w:r w:rsidRPr="00455314">
      <w:rPr>
        <w:rFonts w:ascii="Arial" w:hAnsi="Arial" w:cs="Arial"/>
        <w:sz w:val="20"/>
        <w:szCs w:val="20"/>
        <w:lang w:val="es-ES"/>
      </w:rPr>
      <w:t xml:space="preserve"> –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288E9747"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w:t>
    </w:r>
    <w:r w:rsidR="00455314">
      <w:rPr>
        <w:rFonts w:ascii="Arial" w:hAnsi="Arial" w:cs="Arial"/>
        <w:b/>
        <w:sz w:val="44"/>
        <w:szCs w:val="44"/>
        <w:lang w:val="pt-PT"/>
      </w:rPr>
      <w:t>THEMA-</w:t>
    </w:r>
    <w:r w:rsidR="00C9225A">
      <w:rPr>
        <w:rFonts w:ascii="Arial" w:hAnsi="Arial" w:cs="Arial"/>
        <w:b/>
        <w:sz w:val="44"/>
        <w:szCs w:val="44"/>
        <w:lang w:val="pt-PT"/>
      </w:rPr>
      <w:t>ECO</w:t>
    </w:r>
  </w:p>
  <w:p w14:paraId="6D1B3489" w14:textId="68E55735"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F56FA1">
      <w:rPr>
        <w:rFonts w:ascii="Arial" w:hAnsi="Arial" w:cs="Arial"/>
        <w:b/>
        <w:sz w:val="22"/>
        <w:szCs w:val="22"/>
        <w:lang w:val="pt-PT"/>
      </w:rPr>
      <w:t>3</w:t>
    </w:r>
    <w:r w:rsidRPr="00D7105A">
      <w:rPr>
        <w:rFonts w:ascii="Arial" w:hAnsi="Arial" w:cs="Arial"/>
        <w:b/>
        <w:sz w:val="22"/>
        <w:szCs w:val="22"/>
        <w:lang w:val="pt-PT"/>
      </w:rPr>
      <w:t>/</w:t>
    </w:r>
    <w:bookmarkStart w:id="24" w:name="_Hlk94624970"/>
    <w:r w:rsidR="00B9146E">
      <w:rPr>
        <w:rFonts w:ascii="Arial" w:hAnsi="Arial" w:cs="Arial"/>
        <w:b/>
        <w:sz w:val="22"/>
        <w:szCs w:val="22"/>
        <w:lang w:val="pt-PT"/>
      </w:rPr>
      <w:t xml:space="preserve">EXP </w:t>
    </w:r>
    <w:r w:rsidR="00455314">
      <w:rPr>
        <w:rFonts w:ascii="Arial" w:hAnsi="Arial" w:cs="Arial"/>
        <w:b/>
        <w:sz w:val="22"/>
        <w:szCs w:val="22"/>
        <w:lang w:val="pt-PT"/>
      </w:rPr>
      <w:t>THEMA-</w:t>
    </w:r>
    <w:r w:rsidR="00C9225A">
      <w:rPr>
        <w:rFonts w:ascii="Arial" w:hAnsi="Arial" w:cs="Arial"/>
        <w:b/>
        <w:sz w:val="22"/>
        <w:szCs w:val="22"/>
        <w:lang w:val="pt-PT"/>
      </w:rPr>
      <w:t>ECO</w:t>
    </w:r>
    <w:r w:rsidRPr="00D7105A">
      <w:rPr>
        <w:rFonts w:ascii="Arial" w:hAnsi="Arial" w:cs="Arial"/>
        <w:b/>
        <w:sz w:val="22"/>
        <w:szCs w:val="22"/>
        <w:lang w:val="pt-PT"/>
      </w:rPr>
      <w:t>/</w:t>
    </w:r>
    <w:r w:rsidR="00B91F80">
      <w:rPr>
        <w:rFonts w:ascii="Arial" w:hAnsi="Arial" w:cs="Arial"/>
        <w:b/>
        <w:sz w:val="22"/>
        <w:szCs w:val="22"/>
        <w:lang w:val="pt-PT"/>
      </w:rPr>
      <w:t>3</w:t>
    </w:r>
  </w:p>
  <w:bookmarkEnd w:id="24"/>
  <w:p w14:paraId="1B4446C3" w14:textId="3D7EA4C0"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AB13F3">
      <w:rPr>
        <w:rFonts w:ascii="Arial" w:hAnsi="Arial" w:cs="Arial"/>
        <w:b/>
        <w:sz w:val="22"/>
        <w:szCs w:val="22"/>
        <w:lang w:val="pt-PT"/>
      </w:rPr>
      <w:t xml:space="preserve">13 </w:t>
    </w:r>
    <w:r w:rsidR="00C9225A">
      <w:rPr>
        <w:rFonts w:ascii="Arial" w:hAnsi="Arial" w:cs="Arial"/>
        <w:b/>
        <w:sz w:val="22"/>
        <w:szCs w:val="22"/>
        <w:lang w:val="pt-PT"/>
      </w:rPr>
      <w:t>September</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F56FA1">
      <w:rPr>
        <w:rFonts w:ascii="Arial" w:hAnsi="Arial" w:cs="Arial"/>
        <w:b/>
        <w:sz w:val="22"/>
        <w:szCs w:val="22"/>
        <w:lang w:val="pt-PT"/>
      </w:rPr>
      <w:t>3</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5AD4E11"/>
    <w:multiLevelType w:val="hybridMultilevel"/>
    <w:tmpl w:val="4F12F11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92016D"/>
    <w:multiLevelType w:val="hybridMultilevel"/>
    <w:tmpl w:val="D73EE4E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B156F81"/>
    <w:multiLevelType w:val="hybridMultilevel"/>
    <w:tmpl w:val="F59AA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C278CA"/>
    <w:multiLevelType w:val="hybridMultilevel"/>
    <w:tmpl w:val="6B5C0F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8262F7B"/>
    <w:multiLevelType w:val="hybridMultilevel"/>
    <w:tmpl w:val="9F565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A6059B"/>
    <w:multiLevelType w:val="hybridMultilevel"/>
    <w:tmpl w:val="854C3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2DD054C"/>
    <w:multiLevelType w:val="hybridMultilevel"/>
    <w:tmpl w:val="C48CDB80"/>
    <w:lvl w:ilvl="0" w:tplc="0809000F">
      <w:start w:val="1"/>
      <w:numFmt w:val="decimal"/>
      <w:lvlText w:val="%1."/>
      <w:lvlJc w:val="left"/>
      <w:pPr>
        <w:ind w:left="720" w:hanging="360"/>
      </w:pPr>
    </w:lvl>
    <w:lvl w:ilvl="1" w:tplc="FFFFFFFF">
      <w:numFmt w:val="bullet"/>
      <w:lvlText w:val="•"/>
      <w:lvlJc w:val="left"/>
      <w:pPr>
        <w:ind w:left="1800" w:hanging="720"/>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59D736C"/>
    <w:multiLevelType w:val="hybridMultilevel"/>
    <w:tmpl w:val="6C0A5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DD53CD"/>
    <w:multiLevelType w:val="hybridMultilevel"/>
    <w:tmpl w:val="7AEE687E"/>
    <w:lvl w:ilvl="0" w:tplc="87CC1F9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9F58DE"/>
    <w:multiLevelType w:val="hybridMultilevel"/>
    <w:tmpl w:val="0D3E69C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105991"/>
    <w:multiLevelType w:val="hybridMultilevel"/>
    <w:tmpl w:val="8FEE2F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3"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5"/>
  </w:num>
  <w:num w:numId="2" w16cid:durableId="106117979">
    <w:abstractNumId w:val="7"/>
  </w:num>
  <w:num w:numId="3" w16cid:durableId="1708022341">
    <w:abstractNumId w:val="2"/>
  </w:num>
  <w:num w:numId="4" w16cid:durableId="1640528508">
    <w:abstractNumId w:val="21"/>
  </w:num>
  <w:num w:numId="5" w16cid:durableId="468011579">
    <w:abstractNumId w:val="18"/>
  </w:num>
  <w:num w:numId="6" w16cid:durableId="577862344">
    <w:abstractNumId w:val="0"/>
  </w:num>
  <w:num w:numId="7" w16cid:durableId="309292972">
    <w:abstractNumId w:val="4"/>
  </w:num>
  <w:num w:numId="8" w16cid:durableId="415399052">
    <w:abstractNumId w:val="12"/>
  </w:num>
  <w:num w:numId="9" w16cid:durableId="217087148">
    <w:abstractNumId w:val="6"/>
  </w:num>
  <w:num w:numId="10" w16cid:durableId="347945616">
    <w:abstractNumId w:val="8"/>
  </w:num>
  <w:num w:numId="11" w16cid:durableId="1867675660">
    <w:abstractNumId w:val="11"/>
  </w:num>
  <w:num w:numId="12" w16cid:durableId="1119109097">
    <w:abstractNumId w:val="9"/>
  </w:num>
  <w:num w:numId="13" w16cid:durableId="1445689247">
    <w:abstractNumId w:val="23"/>
  </w:num>
  <w:num w:numId="14" w16cid:durableId="1529292021">
    <w:abstractNumId w:val="17"/>
  </w:num>
  <w:num w:numId="15" w16cid:durableId="1196314633">
    <w:abstractNumId w:val="5"/>
  </w:num>
  <w:num w:numId="16" w16cid:durableId="2023123086">
    <w:abstractNumId w:val="16"/>
    <w:lvlOverride w:ilvl="0">
      <w:startOverride w:val="1"/>
    </w:lvlOverride>
    <w:lvlOverride w:ilvl="1"/>
    <w:lvlOverride w:ilvl="2"/>
    <w:lvlOverride w:ilvl="3"/>
    <w:lvlOverride w:ilvl="4"/>
    <w:lvlOverride w:ilvl="5"/>
    <w:lvlOverride w:ilvl="6"/>
    <w:lvlOverride w:ilvl="7"/>
    <w:lvlOverride w:ilvl="8"/>
  </w:num>
  <w:num w:numId="17" w16cid:durableId="1511291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54451">
    <w:abstractNumId w:val="13"/>
  </w:num>
  <w:num w:numId="19" w16cid:durableId="1917125816">
    <w:abstractNumId w:val="22"/>
  </w:num>
  <w:num w:numId="20" w16cid:durableId="1616672215">
    <w:abstractNumId w:val="1"/>
  </w:num>
  <w:num w:numId="21" w16cid:durableId="172572335">
    <w:abstractNumId w:val="3"/>
  </w:num>
  <w:num w:numId="22" w16cid:durableId="619727729">
    <w:abstractNumId w:val="20"/>
  </w:num>
  <w:num w:numId="23" w16cid:durableId="1882401358">
    <w:abstractNumId w:val="10"/>
  </w:num>
  <w:num w:numId="24" w16cid:durableId="43066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5DE2"/>
    <w:rsid w:val="00014915"/>
    <w:rsid w:val="00035309"/>
    <w:rsid w:val="00041A66"/>
    <w:rsid w:val="00042D88"/>
    <w:rsid w:val="0005176E"/>
    <w:rsid w:val="000765F7"/>
    <w:rsid w:val="00077AB7"/>
    <w:rsid w:val="00081CD8"/>
    <w:rsid w:val="00086ECF"/>
    <w:rsid w:val="00091385"/>
    <w:rsid w:val="00095F74"/>
    <w:rsid w:val="000A7F0E"/>
    <w:rsid w:val="000B1C8F"/>
    <w:rsid w:val="000C0D61"/>
    <w:rsid w:val="000F3A3F"/>
    <w:rsid w:val="00102557"/>
    <w:rsid w:val="00151E44"/>
    <w:rsid w:val="0015772D"/>
    <w:rsid w:val="00164D56"/>
    <w:rsid w:val="00167B10"/>
    <w:rsid w:val="0017402F"/>
    <w:rsid w:val="00190205"/>
    <w:rsid w:val="00196C1B"/>
    <w:rsid w:val="001B0F73"/>
    <w:rsid w:val="001C2DB7"/>
    <w:rsid w:val="001D14FE"/>
    <w:rsid w:val="001D5C04"/>
    <w:rsid w:val="001F26CF"/>
    <w:rsid w:val="001F4E62"/>
    <w:rsid w:val="00222A2D"/>
    <w:rsid w:val="00223029"/>
    <w:rsid w:val="00234745"/>
    <w:rsid w:val="002351A6"/>
    <w:rsid w:val="002407AF"/>
    <w:rsid w:val="0026221A"/>
    <w:rsid w:val="0027466B"/>
    <w:rsid w:val="002838A5"/>
    <w:rsid w:val="00285BB4"/>
    <w:rsid w:val="002C09E3"/>
    <w:rsid w:val="002D1244"/>
    <w:rsid w:val="002D2C38"/>
    <w:rsid w:val="0031456C"/>
    <w:rsid w:val="00337CEB"/>
    <w:rsid w:val="00340464"/>
    <w:rsid w:val="00344B58"/>
    <w:rsid w:val="0034539A"/>
    <w:rsid w:val="00345CB4"/>
    <w:rsid w:val="00360422"/>
    <w:rsid w:val="00375D42"/>
    <w:rsid w:val="003927D9"/>
    <w:rsid w:val="003B7522"/>
    <w:rsid w:val="003C3534"/>
    <w:rsid w:val="003D069C"/>
    <w:rsid w:val="003D7646"/>
    <w:rsid w:val="003E5F48"/>
    <w:rsid w:val="003F113A"/>
    <w:rsid w:val="003F37A1"/>
    <w:rsid w:val="003F3E63"/>
    <w:rsid w:val="00407480"/>
    <w:rsid w:val="00414643"/>
    <w:rsid w:val="004421E5"/>
    <w:rsid w:val="00452284"/>
    <w:rsid w:val="00455314"/>
    <w:rsid w:val="00457C8E"/>
    <w:rsid w:val="00466571"/>
    <w:rsid w:val="004856CA"/>
    <w:rsid w:val="00487E67"/>
    <w:rsid w:val="0049705E"/>
    <w:rsid w:val="004A2875"/>
    <w:rsid w:val="004A34A0"/>
    <w:rsid w:val="004C7C82"/>
    <w:rsid w:val="004E1760"/>
    <w:rsid w:val="005008A8"/>
    <w:rsid w:val="00517FD8"/>
    <w:rsid w:val="00526B7B"/>
    <w:rsid w:val="005308CE"/>
    <w:rsid w:val="0053318C"/>
    <w:rsid w:val="0057439C"/>
    <w:rsid w:val="00585572"/>
    <w:rsid w:val="005B0127"/>
    <w:rsid w:val="005B7A35"/>
    <w:rsid w:val="005C4B73"/>
    <w:rsid w:val="005E1D2B"/>
    <w:rsid w:val="005E7074"/>
    <w:rsid w:val="005F2BAF"/>
    <w:rsid w:val="00600D93"/>
    <w:rsid w:val="00626BEA"/>
    <w:rsid w:val="0063300C"/>
    <w:rsid w:val="006435C3"/>
    <w:rsid w:val="00651A5B"/>
    <w:rsid w:val="00655736"/>
    <w:rsid w:val="00656A6B"/>
    <w:rsid w:val="00663B8D"/>
    <w:rsid w:val="00696C8D"/>
    <w:rsid w:val="006A2AC2"/>
    <w:rsid w:val="006A3617"/>
    <w:rsid w:val="006B4452"/>
    <w:rsid w:val="006E46E4"/>
    <w:rsid w:val="006E75EB"/>
    <w:rsid w:val="00717DA5"/>
    <w:rsid w:val="00744484"/>
    <w:rsid w:val="00747566"/>
    <w:rsid w:val="00773188"/>
    <w:rsid w:val="00783782"/>
    <w:rsid w:val="00784B8C"/>
    <w:rsid w:val="00784D93"/>
    <w:rsid w:val="007879E1"/>
    <w:rsid w:val="007C083A"/>
    <w:rsid w:val="00823A11"/>
    <w:rsid w:val="0085188D"/>
    <w:rsid w:val="0085405E"/>
    <w:rsid w:val="0085414A"/>
    <w:rsid w:val="00857EB9"/>
    <w:rsid w:val="0086269D"/>
    <w:rsid w:val="0086543A"/>
    <w:rsid w:val="008724E5"/>
    <w:rsid w:val="00873DE5"/>
    <w:rsid w:val="00884A9D"/>
    <w:rsid w:val="0088512B"/>
    <w:rsid w:val="008A2B2D"/>
    <w:rsid w:val="008A4E1E"/>
    <w:rsid w:val="008C296C"/>
    <w:rsid w:val="008D4305"/>
    <w:rsid w:val="008E1A85"/>
    <w:rsid w:val="009163A7"/>
    <w:rsid w:val="00945A1A"/>
    <w:rsid w:val="00946D0B"/>
    <w:rsid w:val="00955877"/>
    <w:rsid w:val="00962034"/>
    <w:rsid w:val="00967D37"/>
    <w:rsid w:val="009A18CD"/>
    <w:rsid w:val="009D5428"/>
    <w:rsid w:val="00A032D4"/>
    <w:rsid w:val="00A12558"/>
    <w:rsid w:val="00A13903"/>
    <w:rsid w:val="00A34ED5"/>
    <w:rsid w:val="00A45DBF"/>
    <w:rsid w:val="00A50FFA"/>
    <w:rsid w:val="00A53F11"/>
    <w:rsid w:val="00A635D9"/>
    <w:rsid w:val="00A725CF"/>
    <w:rsid w:val="00A755A2"/>
    <w:rsid w:val="00AA6660"/>
    <w:rsid w:val="00AB13F3"/>
    <w:rsid w:val="00AB2C36"/>
    <w:rsid w:val="00AB6DDE"/>
    <w:rsid w:val="00AB70B6"/>
    <w:rsid w:val="00AD1A86"/>
    <w:rsid w:val="00AE103E"/>
    <w:rsid w:val="00AF0A07"/>
    <w:rsid w:val="00AF1041"/>
    <w:rsid w:val="00AF4AEC"/>
    <w:rsid w:val="00AF625E"/>
    <w:rsid w:val="00AF70EC"/>
    <w:rsid w:val="00B139BE"/>
    <w:rsid w:val="00B2172B"/>
    <w:rsid w:val="00B9146E"/>
    <w:rsid w:val="00B917D2"/>
    <w:rsid w:val="00B91F80"/>
    <w:rsid w:val="00BA241A"/>
    <w:rsid w:val="00BB04AF"/>
    <w:rsid w:val="00BD52C9"/>
    <w:rsid w:val="00BE6354"/>
    <w:rsid w:val="00C138D1"/>
    <w:rsid w:val="00C22B32"/>
    <w:rsid w:val="00C23A97"/>
    <w:rsid w:val="00C25B18"/>
    <w:rsid w:val="00C52EBE"/>
    <w:rsid w:val="00C5776D"/>
    <w:rsid w:val="00C61A81"/>
    <w:rsid w:val="00C64855"/>
    <w:rsid w:val="00C70EA7"/>
    <w:rsid w:val="00C7433F"/>
    <w:rsid w:val="00C7516E"/>
    <w:rsid w:val="00C75374"/>
    <w:rsid w:val="00C75770"/>
    <w:rsid w:val="00C875BE"/>
    <w:rsid w:val="00C9225A"/>
    <w:rsid w:val="00CA56BB"/>
    <w:rsid w:val="00CB0542"/>
    <w:rsid w:val="00D00B2B"/>
    <w:rsid w:val="00D24877"/>
    <w:rsid w:val="00D53E1F"/>
    <w:rsid w:val="00D7105A"/>
    <w:rsid w:val="00D8250F"/>
    <w:rsid w:val="00D86BB3"/>
    <w:rsid w:val="00D95C4C"/>
    <w:rsid w:val="00DA36ED"/>
    <w:rsid w:val="00DB48FE"/>
    <w:rsid w:val="00DD4BFB"/>
    <w:rsid w:val="00DE34F1"/>
    <w:rsid w:val="00DE6160"/>
    <w:rsid w:val="00DF4942"/>
    <w:rsid w:val="00E019FC"/>
    <w:rsid w:val="00E16EFD"/>
    <w:rsid w:val="00E2125F"/>
    <w:rsid w:val="00E244E1"/>
    <w:rsid w:val="00E4150C"/>
    <w:rsid w:val="00E564B2"/>
    <w:rsid w:val="00E627B1"/>
    <w:rsid w:val="00E70169"/>
    <w:rsid w:val="00E9376C"/>
    <w:rsid w:val="00E95AE2"/>
    <w:rsid w:val="00EA335E"/>
    <w:rsid w:val="00EA528C"/>
    <w:rsid w:val="00EA580C"/>
    <w:rsid w:val="00EC6F8D"/>
    <w:rsid w:val="00ED39B2"/>
    <w:rsid w:val="00EE49F4"/>
    <w:rsid w:val="00EE5D7D"/>
    <w:rsid w:val="00EF34E2"/>
    <w:rsid w:val="00F30DC6"/>
    <w:rsid w:val="00F32C23"/>
    <w:rsid w:val="00F45B84"/>
    <w:rsid w:val="00F53DE9"/>
    <w:rsid w:val="00F56FA1"/>
    <w:rsid w:val="00F576CB"/>
    <w:rsid w:val="00F7035D"/>
    <w:rsid w:val="00F71A02"/>
    <w:rsid w:val="00F92792"/>
    <w:rsid w:val="00FA0D63"/>
    <w:rsid w:val="00FC7C88"/>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character" w:customStyle="1" w:styleId="Hyperlink1">
    <w:name w:val="Hyperlink1"/>
    <w:basedOn w:val="DefaultParagraphFont"/>
    <w:uiPriority w:val="99"/>
    <w:semiHidden/>
    <w:unhideWhenUsed/>
    <w:rsid w:val="00086ECF"/>
    <w:rPr>
      <w:color w:val="0563C1"/>
      <w:u w:val="single"/>
    </w:rPr>
  </w:style>
  <w:style w:type="paragraph" w:styleId="FootnoteText">
    <w:name w:val="footnote text"/>
    <w:basedOn w:val="Normal"/>
    <w:link w:val="FootnoteTextChar"/>
    <w:uiPriority w:val="99"/>
    <w:semiHidden/>
    <w:unhideWhenUsed/>
    <w:rsid w:val="00086ECF"/>
    <w:pPr>
      <w:jc w:val="both"/>
    </w:pPr>
    <w:rPr>
      <w:rFonts w:ascii="Calibri" w:eastAsia="Calibri" w:hAnsi="Calibri" w:cs="Arial"/>
      <w:sz w:val="20"/>
      <w:szCs w:val="20"/>
      <w:lang w:val="en-GB" w:eastAsia="en-US"/>
    </w:rPr>
  </w:style>
  <w:style w:type="character" w:customStyle="1" w:styleId="FootnoteTextChar">
    <w:name w:val="Footnote Text Char"/>
    <w:basedOn w:val="DefaultParagraphFont"/>
    <w:link w:val="FootnoteText"/>
    <w:uiPriority w:val="99"/>
    <w:semiHidden/>
    <w:rsid w:val="00086ECF"/>
    <w:rPr>
      <w:rFonts w:eastAsia="Calibri" w:cs="Arial"/>
      <w:lang w:val="en-GB" w:eastAsia="en-US"/>
    </w:rPr>
  </w:style>
  <w:style w:type="character" w:styleId="FootnoteReference">
    <w:name w:val="footnote reference"/>
    <w:basedOn w:val="DefaultParagraphFont"/>
    <w:uiPriority w:val="99"/>
    <w:semiHidden/>
    <w:unhideWhenUsed/>
    <w:rsid w:val="00086ECF"/>
    <w:rPr>
      <w:vertAlign w:val="superscript"/>
    </w:rPr>
  </w:style>
  <w:style w:type="table" w:customStyle="1" w:styleId="TableGrid2">
    <w:name w:val="Table Grid2"/>
    <w:basedOn w:val="TableNormal"/>
    <w:next w:val="TableGrid"/>
    <w:uiPriority w:val="39"/>
    <w:rsid w:val="00086ECF"/>
    <w:rPr>
      <w:rFonts w:eastAsia="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86ECF"/>
    <w:rPr>
      <w:color w:val="0000FF" w:themeColor="hyperlink"/>
      <w:u w:val="single"/>
    </w:rPr>
  </w:style>
  <w:style w:type="paragraph" w:styleId="Revision">
    <w:name w:val="Revision"/>
    <w:hidden/>
    <w:uiPriority w:val="99"/>
    <w:semiHidden/>
    <w:rsid w:val="005855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639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8160193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en/RL/fado-urban-popular-song-of-portugal-00563" TargetMode="External"/><Relationship Id="rId4" Type="http://schemas.openxmlformats.org/officeDocument/2006/relationships/settings" Target="settings.xml"/><Relationship Id="rId9" Type="http://schemas.openxmlformats.org/officeDocument/2006/relationships/hyperlink" Target="https://ich.unesco.org/en/RL/ritual-ceremony-of-the-voladores-0017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ich.unesco.org/doc/src/ITH-16-11.COM-10-EN.docx" TargetMode="External"/><Relationship Id="rId117" Type="http://schemas.openxmlformats.org/officeDocument/2006/relationships/hyperlink" Target="https://ich.unesco.org/en/Decisions/12.COM/11.b.22" TargetMode="External"/><Relationship Id="rId21" Type="http://schemas.openxmlformats.org/officeDocument/2006/relationships/hyperlink" Target="https://ich.unesco.org/doc/src/ITH-15-10.COM-10_EN.doc" TargetMode="External"/><Relationship Id="rId42" Type="http://schemas.openxmlformats.org/officeDocument/2006/relationships/hyperlink" Target="https://ich.unesco.org/doc/src/ITH-11-6.COM-CONF.206-8+Corr.+Add.-EN.pdf" TargetMode="External"/><Relationship Id="rId47" Type="http://schemas.openxmlformats.org/officeDocument/2006/relationships/hyperlink" Target="https://ich.unesco.org/doc/src/ITH-14-9.COM-10+Add.3-EN.doc" TargetMode="External"/><Relationship Id="rId63" Type="http://schemas.openxmlformats.org/officeDocument/2006/relationships/hyperlink" Target="https://ich.unesco.org/en/Decisions/10.COM/10.b.29" TargetMode="External"/><Relationship Id="rId68" Type="http://schemas.openxmlformats.org/officeDocument/2006/relationships/hyperlink" Target="https://ich.unesco.org/en/Decisions/14.COM/10.b.11" TargetMode="External"/><Relationship Id="rId84" Type="http://schemas.openxmlformats.org/officeDocument/2006/relationships/hyperlink" Target="https://ich.unesco.org/doc/src/ITH-17-12.COM-11-EN.docx" TargetMode="External"/><Relationship Id="rId89" Type="http://schemas.openxmlformats.org/officeDocument/2006/relationships/hyperlink" Target="https://ich.unesco.org/doc/src/ITH-17-12.COM-11-EN.docx" TargetMode="External"/><Relationship Id="rId112" Type="http://schemas.openxmlformats.org/officeDocument/2006/relationships/hyperlink" Target="https://ich.unesco.org/en/decisions/15.COM/8.A.1" TargetMode="External"/><Relationship Id="rId133" Type="http://schemas.openxmlformats.org/officeDocument/2006/relationships/hyperlink" Target="https://ich.unesco.org/doc/src/LHE-22-17.COM-6.b-_Rev.-EN.docx" TargetMode="External"/><Relationship Id="rId16" Type="http://schemas.openxmlformats.org/officeDocument/2006/relationships/hyperlink" Target="https://ich.unesco.org/en/Decisions/15.COM/8.b.7" TargetMode="External"/><Relationship Id="rId107" Type="http://schemas.openxmlformats.org/officeDocument/2006/relationships/hyperlink" Target="https://ich.unesco.org/en/Decisions/15.COM/8.b.42" TargetMode="External"/><Relationship Id="rId11" Type="http://schemas.openxmlformats.org/officeDocument/2006/relationships/hyperlink" Target="https://ich.unesco.org/en/Decisions/14.COM/10.a.5" TargetMode="External"/><Relationship Id="rId32" Type="http://schemas.openxmlformats.org/officeDocument/2006/relationships/hyperlink" Target="https://ich.unesco.org/en/Decisions/14.COM/10.b.31" TargetMode="External"/><Relationship Id="rId37" Type="http://schemas.openxmlformats.org/officeDocument/2006/relationships/hyperlink" Target="https://ich.unesco.org/doc/src/LHE-19-14.COM-10.b_Add.2-EN.docx" TargetMode="External"/><Relationship Id="rId53" Type="http://schemas.openxmlformats.org/officeDocument/2006/relationships/hyperlink" Target="https://ich.unesco.org/doc/src/LHE-20-15.COM-8-EN.docx" TargetMode="External"/><Relationship Id="rId58" Type="http://schemas.openxmlformats.org/officeDocument/2006/relationships/hyperlink" Target="https://ich.unesco.org/doc/src/ICH-02-2016_aide-m%C3%A9moire-EN.doc" TargetMode="External"/><Relationship Id="rId74" Type="http://schemas.openxmlformats.org/officeDocument/2006/relationships/hyperlink" Target="https://ich.unesco.org/doc/src/ITH-14-9.COM-10+Add.3-EN.doc" TargetMode="External"/><Relationship Id="rId79" Type="http://schemas.openxmlformats.org/officeDocument/2006/relationships/hyperlink" Target="https://ich.unesco.org/doc/src/ITH-18-13.COM-10-EN.docx" TargetMode="External"/><Relationship Id="rId102" Type="http://schemas.openxmlformats.org/officeDocument/2006/relationships/hyperlink" Target="https://ich.unesco.org/en/Decisions/14.COM/10.b.40" TargetMode="External"/><Relationship Id="rId123" Type="http://schemas.openxmlformats.org/officeDocument/2006/relationships/hyperlink" Target="https://ich.unesco.org/doc/src/ITH-18-13.COM-7.a_Rev.-EN.docx" TargetMode="External"/><Relationship Id="rId128" Type="http://schemas.openxmlformats.org/officeDocument/2006/relationships/hyperlink" Target="http://www.intangia.es" TargetMode="External"/><Relationship Id="rId5" Type="http://schemas.openxmlformats.org/officeDocument/2006/relationships/hyperlink" Target="https://ich.unesco.org/en/Decisions/7.COM/7" TargetMode="External"/><Relationship Id="rId90" Type="http://schemas.openxmlformats.org/officeDocument/2006/relationships/hyperlink" Target="https://ich.unesco.org/doc/src/LHE-19-14.COM-10-EN.docx" TargetMode="External"/><Relationship Id="rId95" Type="http://schemas.openxmlformats.org/officeDocument/2006/relationships/hyperlink" Target="https://ich.unesco.org/doc/src/LHE-20-15.COM-8-EN.docx" TargetMode="External"/><Relationship Id="rId14" Type="http://schemas.openxmlformats.org/officeDocument/2006/relationships/hyperlink" Target="https://ich.unesco.org/en/Decisions/14.COM/10.a.5" TargetMode="External"/><Relationship Id="rId22" Type="http://schemas.openxmlformats.org/officeDocument/2006/relationships/hyperlink" Target="https://ich.unesco.org/doc/src/ITH-15-10.COM-10_EN.doc" TargetMode="External"/><Relationship Id="rId27" Type="http://schemas.openxmlformats.org/officeDocument/2006/relationships/hyperlink" Target="https://ich.unesco.org/doc/src/LHE-19-14.COM-10-EN.docx" TargetMode="External"/><Relationship Id="rId30" Type="http://schemas.openxmlformats.org/officeDocument/2006/relationships/hyperlink" Target="https://ich.unesco.org/en/Decisions/15.COM/8.a.3" TargetMode="External"/><Relationship Id="rId35" Type="http://schemas.openxmlformats.org/officeDocument/2006/relationships/hyperlink" Target="https://ich.unesco.org/en/Decisions/13.COM/10.b.11" TargetMode="External"/><Relationship Id="rId43" Type="http://schemas.openxmlformats.org/officeDocument/2006/relationships/hyperlink" Target="https://ich.unesco.org/doc/src/ITH-12-7.COM-8-+Add.-EN.doc" TargetMode="External"/><Relationship Id="rId48" Type="http://schemas.openxmlformats.org/officeDocument/2006/relationships/hyperlink" Target="https://ich.unesco.org/en/decisions/15.COM/8.A.1" TargetMode="External"/><Relationship Id="rId56" Type="http://schemas.openxmlformats.org/officeDocument/2006/relationships/hyperlink" Target="https://ich.unesco.org/doc/src/ITH-14-9.COM-9.a+Add.2-EN.doc" TargetMode="External"/><Relationship Id="rId64" Type="http://schemas.openxmlformats.org/officeDocument/2006/relationships/hyperlink" Target="https://ich.unesco.org/en/Decisions/15.COM/7.7" TargetMode="External"/><Relationship Id="rId69" Type="http://schemas.openxmlformats.org/officeDocument/2006/relationships/hyperlink" Target="https://ich.unesco.org/en/Decisions/14.COM/10.b.27" TargetMode="External"/><Relationship Id="rId77" Type="http://schemas.openxmlformats.org/officeDocument/2006/relationships/hyperlink" Target="https://ich.unesco.org/doc/src/LHE-19-14.COM-10-EN.docx" TargetMode="External"/><Relationship Id="rId100" Type="http://schemas.openxmlformats.org/officeDocument/2006/relationships/hyperlink" Target="https://ich.unesco.org/en/Decisions/14.COM/10.b.4" TargetMode="External"/><Relationship Id="rId105" Type="http://schemas.openxmlformats.org/officeDocument/2006/relationships/hyperlink" Target="https://ich.unesco.org/en/Decisions/11.COM/10.b.16" TargetMode="External"/><Relationship Id="rId113" Type="http://schemas.openxmlformats.org/officeDocument/2006/relationships/hyperlink" Target="https://ich.unesco.org/en/decisions/6.COM/8.21" TargetMode="External"/><Relationship Id="rId118" Type="http://schemas.openxmlformats.org/officeDocument/2006/relationships/hyperlink" Target="https://ich.unesco.org/en/Decisions/14.COM/10.a.5" TargetMode="External"/><Relationship Id="rId126" Type="http://schemas.openxmlformats.org/officeDocument/2006/relationships/hyperlink" Target="https://ich.unesco.org/doc/src/LHE-22-17.COM-INF.6.c_Rev-EN.pdf" TargetMode="External"/><Relationship Id="rId134" Type="http://schemas.openxmlformats.org/officeDocument/2006/relationships/hyperlink" Target="https://ich.unesco.org/doc/src/LHE-22-17.COM-INF.6.c_Rev-EN.pdf" TargetMode="External"/><Relationship Id="rId8" Type="http://schemas.openxmlformats.org/officeDocument/2006/relationships/hyperlink" Target="https://ich.unesco.org/en/Decisions/8.COM/7.a" TargetMode="External"/><Relationship Id="rId51" Type="http://schemas.openxmlformats.org/officeDocument/2006/relationships/hyperlink" Target="https://ich.unesco.org/doc/src/LHE-20-15.COM-8-EN.docx" TargetMode="External"/><Relationship Id="rId72" Type="http://schemas.openxmlformats.org/officeDocument/2006/relationships/hyperlink" Target="https://ich.unesco.org/en/Decisions/14.COM/10.b.35" TargetMode="External"/><Relationship Id="rId80" Type="http://schemas.openxmlformats.org/officeDocument/2006/relationships/hyperlink" Target="https://ich.unesco.org/en/Decisions/15.COM/8.b.7" TargetMode="External"/><Relationship Id="rId85" Type="http://schemas.openxmlformats.org/officeDocument/2006/relationships/hyperlink" Target="https://ich.unesco.org/en/Decisions/14.COM/10" TargetMode="External"/><Relationship Id="rId93" Type="http://schemas.openxmlformats.org/officeDocument/2006/relationships/hyperlink" Target="https://ich.unesco.org/en/Decisions/11.COM/10.c.5" TargetMode="External"/><Relationship Id="rId98" Type="http://schemas.openxmlformats.org/officeDocument/2006/relationships/hyperlink" Target="https://ich.unesco.org/en/Decisions/11.COM/10.b.16" TargetMode="External"/><Relationship Id="rId121" Type="http://schemas.openxmlformats.org/officeDocument/2006/relationships/hyperlink" Target="https://ich.unesco.org/en/Decisions/11.COM/10.b.12" TargetMode="External"/><Relationship Id="rId3" Type="http://schemas.openxmlformats.org/officeDocument/2006/relationships/hyperlink" Target="https://unesdoc.unesco.org/ark:/48223/pf0000371562" TargetMode="External"/><Relationship Id="rId12" Type="http://schemas.openxmlformats.org/officeDocument/2006/relationships/hyperlink" Target="https://ich.unesco.org/en/Decisions/7.COM/11.35" TargetMode="External"/><Relationship Id="rId17" Type="http://schemas.openxmlformats.org/officeDocument/2006/relationships/hyperlink" Target="https://ich.unesco.org/en/Decisions/15.COM/8.b.31" TargetMode="External"/><Relationship Id="rId25" Type="http://schemas.openxmlformats.org/officeDocument/2006/relationships/hyperlink" Target="https://ich.unesco.org/doc/src/ITH-13-8.COM-8+Add.2-EN.doc" TargetMode="External"/><Relationship Id="rId33" Type="http://schemas.openxmlformats.org/officeDocument/2006/relationships/hyperlink" Target="https://ich.unesco.org/en/Decisions/13.COM/10.b.16" TargetMode="External"/><Relationship Id="rId38" Type="http://schemas.openxmlformats.org/officeDocument/2006/relationships/hyperlink" Target="https://ich.unesco.org/en/Decisions/14.COM/10.b.32" TargetMode="External"/><Relationship Id="rId46" Type="http://schemas.openxmlformats.org/officeDocument/2006/relationships/hyperlink" Target="https://ich.unesco.org/doc/src/ITH-18-13.COM-10-EN.docx" TargetMode="External"/><Relationship Id="rId59" Type="http://schemas.openxmlformats.org/officeDocument/2006/relationships/hyperlink" Target="https://ich.unesco.org/en/Decisions/14.COM/10" TargetMode="External"/><Relationship Id="rId67" Type="http://schemas.openxmlformats.org/officeDocument/2006/relationships/hyperlink" Target="https://ich.unesco.org/en/Decisions/14.COM/10.a.5" TargetMode="External"/><Relationship Id="rId103" Type="http://schemas.openxmlformats.org/officeDocument/2006/relationships/hyperlink" Target="https://ich.unesco.org/en/Decisions/14.COM/10.a.5" TargetMode="External"/><Relationship Id="rId108" Type="http://schemas.openxmlformats.org/officeDocument/2006/relationships/hyperlink" Target="https://ich.unesco.org/en/Decisions/14.COM/10.b.33" TargetMode="External"/><Relationship Id="rId116" Type="http://schemas.openxmlformats.org/officeDocument/2006/relationships/hyperlink" Target="https://ich.unesco.org/en/Decisions/13.COM/10.b.34" TargetMode="External"/><Relationship Id="rId124" Type="http://schemas.openxmlformats.org/officeDocument/2006/relationships/hyperlink" Target="https://ich.unesco.org/doc/src/ITH-18-13.COM-7.a_Rev.-EN.docx" TargetMode="External"/><Relationship Id="rId129" Type="http://schemas.openxmlformats.org/officeDocument/2006/relationships/hyperlink" Target="http://www.labrit.net" TargetMode="External"/><Relationship Id="rId20" Type="http://schemas.openxmlformats.org/officeDocument/2006/relationships/hyperlink" Target="https://ich.unesco.org/en/Decisions/13.COM/10.b.11" TargetMode="External"/><Relationship Id="rId41" Type="http://schemas.openxmlformats.org/officeDocument/2006/relationships/hyperlink" Target="https://ich.unesco.org/doc/src/LHE-19-14.COM-10-EN.docx" TargetMode="External"/><Relationship Id="rId54" Type="http://schemas.openxmlformats.org/officeDocument/2006/relationships/hyperlink" Target="https://ich.unesco.org/en/Decisions/13.COM/10.a.2" TargetMode="External"/><Relationship Id="rId62" Type="http://schemas.openxmlformats.org/officeDocument/2006/relationships/hyperlink" Target="https://ich.unesco.org/en/Decisions/13.COM/10.b.12" TargetMode="External"/><Relationship Id="rId70" Type="http://schemas.openxmlformats.org/officeDocument/2006/relationships/hyperlink" Target="https://ich.unesco.org/en/Decisions/11.COM/10.b.31" TargetMode="External"/><Relationship Id="rId75" Type="http://schemas.openxmlformats.org/officeDocument/2006/relationships/hyperlink" Target="https://ich.unesco.org/en/Decisions/12.COM/11" TargetMode="External"/><Relationship Id="rId83" Type="http://schemas.openxmlformats.org/officeDocument/2006/relationships/hyperlink" Target="https://ich.unesco.org/en/Decisions/14.COM/10.a.5" TargetMode="External"/><Relationship Id="rId88" Type="http://schemas.openxmlformats.org/officeDocument/2006/relationships/hyperlink" Target="https://ich.unesco.org/en/Decisions/12.COM/11.b.18" TargetMode="External"/><Relationship Id="rId91" Type="http://schemas.openxmlformats.org/officeDocument/2006/relationships/hyperlink" Target="https://ich.unesco.org/en/Decisions/11.COM/10.b.31" TargetMode="External"/><Relationship Id="rId96" Type="http://schemas.openxmlformats.org/officeDocument/2006/relationships/hyperlink" Target="https://ich.unesco.org/en/Decisions/9.COM/9" TargetMode="External"/><Relationship Id="rId111" Type="http://schemas.openxmlformats.org/officeDocument/2006/relationships/hyperlink" Target="https://ich.unesco.org/en/Decisions/8.COM/8.4" TargetMode="External"/><Relationship Id="rId132" Type="http://schemas.openxmlformats.org/officeDocument/2006/relationships/hyperlink" Target="https://ich.unesco.org/doc/src/LHE-22-17.COM-INF.6.c_Rev-EN.pdf" TargetMode="External"/><Relationship Id="rId1" Type="http://schemas.openxmlformats.org/officeDocument/2006/relationships/hyperlink" Target="https://ich.unesco.org/en/Decisions/14.COM/10" TargetMode="External"/><Relationship Id="rId6" Type="http://schemas.openxmlformats.org/officeDocument/2006/relationships/hyperlink" Target="http://ich.unesco.org/en/Decisions/8.COM/13.a" TargetMode="External"/><Relationship Id="rId15" Type="http://schemas.openxmlformats.org/officeDocument/2006/relationships/hyperlink" Target="https://ich.unesco.org/en/Decisions/15.COM/8.a.3" TargetMode="External"/><Relationship Id="rId23" Type="http://schemas.openxmlformats.org/officeDocument/2006/relationships/hyperlink" Target="https://ich.unesco.org/doc/src/ITH-14-9.COM-9.a+Add.2-EN.doc" TargetMode="External"/><Relationship Id="rId28" Type="http://schemas.openxmlformats.org/officeDocument/2006/relationships/hyperlink" Target="https://ich.unesco.org/en/Decisions/14.COM/10.b.31" TargetMode="External"/><Relationship Id="rId36" Type="http://schemas.openxmlformats.org/officeDocument/2006/relationships/hyperlink" Target="https://ich.unesco.org/en/Decisions/11.COM/10.c.1" TargetMode="External"/><Relationship Id="rId49" Type="http://schemas.openxmlformats.org/officeDocument/2006/relationships/hyperlink" Target="https://ich.unesco.org/doc/src/LHE-19-14.COM-10-EN.docx" TargetMode="External"/><Relationship Id="rId57" Type="http://schemas.openxmlformats.org/officeDocument/2006/relationships/hyperlink" Target="https://ich.unesco.org/doc/src/ITH-13-8.COM-7-EN.doc" TargetMode="External"/><Relationship Id="rId106" Type="http://schemas.openxmlformats.org/officeDocument/2006/relationships/hyperlink" Target="https://ich.unesco.org/doc/src/LHE-20-15.COM-8-EN.docx" TargetMode="External"/><Relationship Id="rId114" Type="http://schemas.openxmlformats.org/officeDocument/2006/relationships/hyperlink" Target="https://ich.unesco.org/en/decisions/6.COM/8.21" TargetMode="External"/><Relationship Id="rId119" Type="http://schemas.openxmlformats.org/officeDocument/2006/relationships/hyperlink" Target="https://ich.unesco.org/doc/src/ITH-18-13.COM-10-EN.docx" TargetMode="External"/><Relationship Id="rId127" Type="http://schemas.openxmlformats.org/officeDocument/2006/relationships/hyperlink" Target="https://ich.unesco.org/doc/src/LHE-22-17.COM-6.b-_Rev.-EN.docx" TargetMode="External"/><Relationship Id="rId10" Type="http://schemas.openxmlformats.org/officeDocument/2006/relationships/hyperlink" Target="https://ich.unesco.org/en/Decisions/15.COM/8.b.7" TargetMode="External"/><Relationship Id="rId31" Type="http://schemas.openxmlformats.org/officeDocument/2006/relationships/hyperlink" Target="https://ich.unesco.org/en/Decisions/14.COM/10.b.10" TargetMode="External"/><Relationship Id="rId44" Type="http://schemas.openxmlformats.org/officeDocument/2006/relationships/hyperlink" Target="https://ich.unesco.org/doc/src/ITH-14-9.COM-9.a+Add.2-EN.doc" TargetMode="External"/><Relationship Id="rId52" Type="http://schemas.openxmlformats.org/officeDocument/2006/relationships/hyperlink" Target="https://ich.unesco.org/en/Decisions/13.COM/10.b.16" TargetMode="External"/><Relationship Id="rId60" Type="http://schemas.openxmlformats.org/officeDocument/2006/relationships/hyperlink" Target="https://ich.unesco.org/en/Decisions/15.COM/8.a.3" TargetMode="External"/><Relationship Id="rId65" Type="http://schemas.openxmlformats.org/officeDocument/2006/relationships/hyperlink" Target="https://ich.unesco.org/en/Decisions/12.COM/11" TargetMode="External"/><Relationship Id="rId73" Type="http://schemas.openxmlformats.org/officeDocument/2006/relationships/hyperlink" Target="https://ich.unesco.org/en/Decisions/14.COM/10.b.32" TargetMode="External"/><Relationship Id="rId78" Type="http://schemas.openxmlformats.org/officeDocument/2006/relationships/hyperlink" Target="https://ich.unesco.org/doc/src/ITH-17-12.COM-11-EN.docx" TargetMode="External"/><Relationship Id="rId81" Type="http://schemas.openxmlformats.org/officeDocument/2006/relationships/hyperlink" Target="https://ich.unesco.org/en/Decisions/15.COM/8.b.31" TargetMode="External"/><Relationship Id="rId86" Type="http://schemas.openxmlformats.org/officeDocument/2006/relationships/hyperlink" Target="https://ich.unesco.org/doc/src/LHE-19-14.COM-10-EN.docx" TargetMode="External"/><Relationship Id="rId94" Type="http://schemas.openxmlformats.org/officeDocument/2006/relationships/hyperlink" Target="https://ich.unesco.org/en/Decisions/12.COM/11.a.4" TargetMode="External"/><Relationship Id="rId99" Type="http://schemas.openxmlformats.org/officeDocument/2006/relationships/hyperlink" Target="https://ich.unesco.org/en/Decisions/12.COM/11.b.2" TargetMode="External"/><Relationship Id="rId101" Type="http://schemas.openxmlformats.org/officeDocument/2006/relationships/hyperlink" Target="https://ich.unesco.org/en/Decisions/14.COM/10.b.33" TargetMode="External"/><Relationship Id="rId122" Type="http://schemas.openxmlformats.org/officeDocument/2006/relationships/hyperlink" Target="https://ich.unesco.org/doc/src/LHE-20-15.COM-8-EN.docx" TargetMode="External"/><Relationship Id="rId130" Type="http://schemas.openxmlformats.org/officeDocument/2006/relationships/hyperlink" Target="https://ich.unesco.org/doc/src/LHE-22-17.COM-6.b-_Rev.-EN.docx" TargetMode="External"/><Relationship Id="rId4" Type="http://schemas.openxmlformats.org/officeDocument/2006/relationships/hyperlink" Target="https://unesdoc.unesco.org/ark:/48223/pf0000137634" TargetMode="External"/><Relationship Id="rId9" Type="http://schemas.openxmlformats.org/officeDocument/2006/relationships/hyperlink" Target="https://ich.unesco.org/en/Decisions/9.COM/9.a" TargetMode="External"/><Relationship Id="rId13" Type="http://schemas.openxmlformats.org/officeDocument/2006/relationships/hyperlink" Target="https://ich.unesco.org/en/Decisions/15.COM/8.b.42" TargetMode="External"/><Relationship Id="rId18" Type="http://schemas.openxmlformats.org/officeDocument/2006/relationships/hyperlink" Target="https://ich.unesco.org/en/Decisions/14.COM/10.b.32" TargetMode="External"/><Relationship Id="rId39" Type="http://schemas.openxmlformats.org/officeDocument/2006/relationships/hyperlink" Target="https://ich.unesco.org/doc/src/ITH-13-8.COM-7-EN.doc" TargetMode="External"/><Relationship Id="rId109" Type="http://schemas.openxmlformats.org/officeDocument/2006/relationships/hyperlink" Target="https://ich.unesco.org/en/Decisions/14.COM/10.b.40" TargetMode="External"/><Relationship Id="rId34" Type="http://schemas.openxmlformats.org/officeDocument/2006/relationships/hyperlink" Target="https://ich.unesco.org/doc/src/ITH-13-8.COM-7-EN.doc" TargetMode="External"/><Relationship Id="rId50" Type="http://schemas.openxmlformats.org/officeDocument/2006/relationships/hyperlink" Target="https://ich.unesco.org/en/Decisions/11.COM/10.b.14" TargetMode="External"/><Relationship Id="rId55" Type="http://schemas.openxmlformats.org/officeDocument/2006/relationships/hyperlink" Target="https://ich.unesco.org/doc/src/ITH-16-11.COM-10-EN.docx" TargetMode="External"/><Relationship Id="rId76" Type="http://schemas.openxmlformats.org/officeDocument/2006/relationships/hyperlink" Target="https://ich.unesco.org/doc/src/LHE-20-15.COM-8-EN.docx" TargetMode="External"/><Relationship Id="rId97" Type="http://schemas.openxmlformats.org/officeDocument/2006/relationships/hyperlink" Target="https://ich.unesco.org/en/Decisions/11.COM/10.b.12" TargetMode="External"/><Relationship Id="rId104" Type="http://schemas.openxmlformats.org/officeDocument/2006/relationships/hyperlink" Target="https://ich.unesco.org/doc/src/LHE-19-14.COM-10-EN.docx" TargetMode="External"/><Relationship Id="rId120" Type="http://schemas.openxmlformats.org/officeDocument/2006/relationships/hyperlink" Target="https://ich.unesco.org/en/Decisions/14.COM/10.b.4" TargetMode="External"/><Relationship Id="rId125" Type="http://schemas.openxmlformats.org/officeDocument/2006/relationships/hyperlink" Target="https://ich.unesco.org/doc/src/LHE-22-17.COM-6.b-_Rev.-EN.docx" TargetMode="External"/><Relationship Id="rId7" Type="http://schemas.openxmlformats.org/officeDocument/2006/relationships/hyperlink" Target="https://ich.unesco.org/doc/src/ICH-Operational_Directives-6.GA-PDF-EN.pdf" TargetMode="External"/><Relationship Id="rId71" Type="http://schemas.openxmlformats.org/officeDocument/2006/relationships/hyperlink" Target="https://ich.unesco.org/en/Decisions/15.COM/7.9" TargetMode="External"/><Relationship Id="rId92" Type="http://schemas.openxmlformats.org/officeDocument/2006/relationships/hyperlink" Target="https://ich.unesco.org/en/Decisions/11.COM/10.b.36" TargetMode="External"/><Relationship Id="rId2" Type="http://schemas.openxmlformats.org/officeDocument/2006/relationships/hyperlink" Target="https://unesdoc.unesco.org/ark:/48223/pf0000371488" TargetMode="External"/><Relationship Id="rId29" Type="http://schemas.openxmlformats.org/officeDocument/2006/relationships/hyperlink" Target="https://ich.unesco.org/en/Decisions/13.COM/10.b.12" TargetMode="External"/><Relationship Id="rId24" Type="http://schemas.openxmlformats.org/officeDocument/2006/relationships/hyperlink" Target="https://ich.unesco.org/doc/src/ITH-13-8.COM-7-EN.doc" TargetMode="External"/><Relationship Id="rId40" Type="http://schemas.openxmlformats.org/officeDocument/2006/relationships/hyperlink" Target="https://ich.unesco.org/doc/src/ITH-14-9.COM-9.a+Add.2-EN.doc" TargetMode="External"/><Relationship Id="rId45" Type="http://schemas.openxmlformats.org/officeDocument/2006/relationships/hyperlink" Target="https://ich.unesco.org/doc/src/ITH-12-7.COM-8-+Add.-EN.doc" TargetMode="External"/><Relationship Id="rId66" Type="http://schemas.openxmlformats.org/officeDocument/2006/relationships/hyperlink" Target="https://ich.unesco.org/en/Decisions/15.COM/8.b.33" TargetMode="External"/><Relationship Id="rId87" Type="http://schemas.openxmlformats.org/officeDocument/2006/relationships/hyperlink" Target="https://ich.unesco.org/doc/src/ITH-18-13.COM-10-EN.docx" TargetMode="External"/><Relationship Id="rId110" Type="http://schemas.openxmlformats.org/officeDocument/2006/relationships/hyperlink" Target="https://ich.unesco.org/en/Decisions/9.COM/10.36" TargetMode="External"/><Relationship Id="rId115" Type="http://schemas.openxmlformats.org/officeDocument/2006/relationships/hyperlink" Target="https://ich.unesco.org/doc/download.php?versionID=42685" TargetMode="External"/><Relationship Id="rId131" Type="http://schemas.openxmlformats.org/officeDocument/2006/relationships/hyperlink" Target="https://ich.unesco.org/doc/src/LHE-22-17.COM-INF.6.c_Rev-EN.pdf" TargetMode="External"/><Relationship Id="rId61" Type="http://schemas.openxmlformats.org/officeDocument/2006/relationships/hyperlink" Target="https://ich.unesco.org/en/Decisions/14.COM/10.b.31" TargetMode="External"/><Relationship Id="rId82" Type="http://schemas.openxmlformats.org/officeDocument/2006/relationships/hyperlink" Target="https://ich.unesco.org/en/Decisions/14.COM/10.b.32" TargetMode="External"/><Relationship Id="rId19" Type="http://schemas.openxmlformats.org/officeDocument/2006/relationships/hyperlink" Target="https://ich.unesco.org/en/Decisions/11.COM/10.c.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a:t>
            </a:r>
            <a:r>
              <a:rPr lang="en-GB" baseline="0"/>
              <a:t>umber of C</a:t>
            </a:r>
            <a:r>
              <a:rPr lang="en-GB"/>
              <a:t>ommittee decisions on nomination</a:t>
            </a:r>
            <a:r>
              <a:rPr lang="en-GB" baseline="0"/>
              <a:t> files relating to commercialization suggesting mitigations were needed</a:t>
            </a:r>
            <a:endParaRPr lang="en-GB"/>
          </a:p>
        </c:rich>
      </c:tx>
      <c:layout>
        <c:manualLayout>
          <c:xMode val="edge"/>
          <c:yMode val="edge"/>
          <c:x val="0.11892935258092738"/>
          <c:y val="5.15873015873015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Mitigations needed</c:v>
                </c:pt>
              </c:strCache>
            </c:strRef>
          </c:tx>
          <c:spPr>
            <a:solidFill>
              <a:schemeClr val="accent1"/>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1</c:v>
                </c:pt>
                <c:pt idx="1">
                  <c:v>1</c:v>
                </c:pt>
                <c:pt idx="2">
                  <c:v>2</c:v>
                </c:pt>
                <c:pt idx="3">
                  <c:v>2</c:v>
                </c:pt>
                <c:pt idx="4">
                  <c:v>3</c:v>
                </c:pt>
                <c:pt idx="5">
                  <c:v>5</c:v>
                </c:pt>
                <c:pt idx="6">
                  <c:v>5</c:v>
                </c:pt>
                <c:pt idx="7">
                  <c:v>7</c:v>
                </c:pt>
                <c:pt idx="8">
                  <c:v>9</c:v>
                </c:pt>
                <c:pt idx="9">
                  <c:v>12</c:v>
                </c:pt>
              </c:numCache>
            </c:numRef>
          </c:val>
          <c:extLst>
            <c:ext xmlns:c16="http://schemas.microsoft.com/office/drawing/2014/chart" uri="{C3380CC4-5D6E-409C-BE32-E72D297353CC}">
              <c16:uniqueId val="{00000000-038F-4E58-9817-1152712BE326}"/>
            </c:ext>
          </c:extLst>
        </c:ser>
        <c:dLbls>
          <c:showLegendKey val="0"/>
          <c:showVal val="0"/>
          <c:showCatName val="0"/>
          <c:showSerName val="0"/>
          <c:showPercent val="0"/>
          <c:showBubbleSize val="0"/>
        </c:dLbls>
        <c:gapWidth val="219"/>
        <c:overlap val="-27"/>
        <c:axId val="944567327"/>
        <c:axId val="944566495"/>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Adequate mitigations present</c:v>
                      </c:pt>
                    </c:strCache>
                  </c:strRef>
                </c:tx>
                <c:spPr>
                  <a:solidFill>
                    <a:schemeClr val="accent2"/>
                  </a:solidFill>
                  <a:ln>
                    <a:noFill/>
                  </a:ln>
                  <a:effectLst/>
                </c:spPr>
                <c:invertIfNegative val="0"/>
                <c:cat>
                  <c:numRef>
                    <c:extLst>
                      <c:ext uri="{02D57815-91ED-43cb-92C2-25804820EDAC}">
                        <c15:formulaRef>
                          <c15:sqref>Sheet1!$A$2:$A$11</c15:sqref>
                        </c15:formulaRef>
                      </c:ext>
                    </c:extLst>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extLst>
                      <c:ext uri="{02D57815-91ED-43cb-92C2-25804820EDAC}">
                        <c15:formulaRef>
                          <c15:sqref>Sheet1!$C$2:$C$11</c15:sqref>
                        </c15:formulaRef>
                      </c:ext>
                    </c:extLst>
                    <c:numCache>
                      <c:formatCode>General</c:formatCode>
                      <c:ptCount val="10"/>
                      <c:pt idx="0">
                        <c:v>2</c:v>
                      </c:pt>
                      <c:pt idx="1">
                        <c:v>0</c:v>
                      </c:pt>
                      <c:pt idx="2">
                        <c:v>1</c:v>
                      </c:pt>
                      <c:pt idx="3">
                        <c:v>1</c:v>
                      </c:pt>
                      <c:pt idx="4">
                        <c:v>1</c:v>
                      </c:pt>
                      <c:pt idx="5">
                        <c:v>3</c:v>
                      </c:pt>
                      <c:pt idx="6">
                        <c:v>4</c:v>
                      </c:pt>
                      <c:pt idx="7">
                        <c:v>1</c:v>
                      </c:pt>
                      <c:pt idx="8">
                        <c:v>3</c:v>
                      </c:pt>
                      <c:pt idx="9">
                        <c:v>1</c:v>
                      </c:pt>
                    </c:numCache>
                  </c:numRef>
                </c:val>
                <c:extLst>
                  <c:ext xmlns:c16="http://schemas.microsoft.com/office/drawing/2014/chart" uri="{C3380CC4-5D6E-409C-BE32-E72D297353CC}">
                    <c16:uniqueId val="{00000001-038F-4E58-9817-1152712BE32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Commercial aspects overemphasized</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Sheet1!$A$2:$A$11</c15:sqref>
                        </c15:formulaRef>
                      </c:ext>
                    </c:extLst>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extLst xmlns:c15="http://schemas.microsoft.com/office/drawing/2012/chart">
                      <c:ext xmlns:c15="http://schemas.microsoft.com/office/drawing/2012/chart" uri="{02D57815-91ED-43cb-92C2-25804820EDAC}">
                        <c15:formulaRef>
                          <c15:sqref>Sheet1!$D$2:$D$11</c15:sqref>
                        </c15:formulaRef>
                      </c:ext>
                    </c:extLst>
                    <c:numCache>
                      <c:formatCode>General</c:formatCode>
                      <c:ptCount val="10"/>
                      <c:pt idx="0">
                        <c:v>2</c:v>
                      </c:pt>
                      <c:pt idx="4">
                        <c:v>2</c:v>
                      </c:pt>
                      <c:pt idx="6">
                        <c:v>1</c:v>
                      </c:pt>
                      <c:pt idx="7">
                        <c:v>2</c:v>
                      </c:pt>
                      <c:pt idx="8">
                        <c:v>3</c:v>
                      </c:pt>
                      <c:pt idx="9">
                        <c:v>1</c:v>
                      </c:pt>
                    </c:numCache>
                  </c:numRef>
                </c:val>
                <c:extLst xmlns:c15="http://schemas.microsoft.com/office/drawing/2012/chart">
                  <c:ext xmlns:c16="http://schemas.microsoft.com/office/drawing/2014/chart" uri="{C3380CC4-5D6E-409C-BE32-E72D297353CC}">
                    <c16:uniqueId val="{00000002-038F-4E58-9817-1152712BE326}"/>
                  </c:ext>
                </c:extLst>
              </c15:ser>
            </c15:filteredBarSeries>
          </c:ext>
        </c:extLst>
      </c:barChart>
      <c:catAx>
        <c:axId val="944567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Date of decision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66495"/>
        <c:crosses val="autoZero"/>
        <c:auto val="1"/>
        <c:lblAlgn val="ctr"/>
        <c:lblOffset val="100"/>
        <c:noMultiLvlLbl val="0"/>
      </c:catAx>
      <c:valAx>
        <c:axId val="944566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decisions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6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14</TotalTime>
  <Pages>24</Pages>
  <Words>11301</Words>
  <Characters>64417</Characters>
  <Application>Microsoft Office Word</Application>
  <DocSecurity>0</DocSecurity>
  <Lines>536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Li, Xinling</cp:lastModifiedBy>
  <cp:revision>10</cp:revision>
  <cp:lastPrinted>2011-08-06T10:22:00Z</cp:lastPrinted>
  <dcterms:created xsi:type="dcterms:W3CDTF">2023-09-13T11:55:00Z</dcterms:created>
  <dcterms:modified xsi:type="dcterms:W3CDTF">2023-09-13T16:28:00Z</dcterms:modified>
</cp:coreProperties>
</file>