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B025" w14:textId="77777777" w:rsidR="005A4AA7" w:rsidRPr="006B5941" w:rsidRDefault="005A4AA7" w:rsidP="005A4AA7">
      <w:pPr>
        <w:spacing w:before="1440"/>
        <w:jc w:val="center"/>
        <w:rPr>
          <w:rFonts w:ascii="Arial" w:hAnsi="Arial" w:cs="Arial"/>
          <w:b/>
          <w:sz w:val="22"/>
          <w:szCs w:val="22"/>
        </w:rPr>
      </w:pPr>
      <w:r w:rsidRPr="006B5941">
        <w:rPr>
          <w:rFonts w:ascii="Arial" w:hAnsi="Arial" w:cs="Arial"/>
          <w:b/>
          <w:sz w:val="22"/>
          <w:szCs w:val="22"/>
        </w:rPr>
        <w:t>CONVENTION POUR LA SAUVEGARDE DU</w:t>
      </w:r>
      <w:r w:rsidRPr="006B5941">
        <w:rPr>
          <w:rFonts w:ascii="Arial" w:hAnsi="Arial" w:cs="Arial"/>
          <w:b/>
          <w:sz w:val="22"/>
          <w:szCs w:val="22"/>
        </w:rPr>
        <w:br/>
        <w:t>PATRIMOINE CULTUREL IMMATÉRIEL</w:t>
      </w:r>
    </w:p>
    <w:p w14:paraId="3680391C" w14:textId="194A6AD4" w:rsidR="005A4AA7" w:rsidRPr="006B5941" w:rsidRDefault="005A4AA7" w:rsidP="005A4AA7">
      <w:pPr>
        <w:spacing w:before="1200"/>
        <w:ind w:right="-1"/>
        <w:jc w:val="center"/>
        <w:rPr>
          <w:rFonts w:ascii="Arial" w:eastAsia="Calibri" w:hAnsi="Arial" w:cs="Arial"/>
          <w:b/>
          <w:bCs/>
          <w:sz w:val="22"/>
          <w:szCs w:val="22"/>
        </w:rPr>
      </w:pPr>
      <w:bookmarkStart w:id="0" w:name="_Hlk128593939"/>
      <w:r w:rsidRPr="006B5941">
        <w:rPr>
          <w:rFonts w:ascii="Arial" w:eastAsia="Calibri" w:hAnsi="Arial" w:cs="Arial"/>
          <w:b/>
          <w:bCs/>
          <w:sz w:val="22"/>
          <w:szCs w:val="22"/>
        </w:rPr>
        <w:t>Réunion d</w:t>
      </w:r>
      <w:r w:rsidR="00D87539">
        <w:rPr>
          <w:rFonts w:ascii="Arial" w:eastAsia="Calibri" w:hAnsi="Arial" w:cs="Arial"/>
          <w:b/>
          <w:bCs/>
          <w:sz w:val="22"/>
          <w:szCs w:val="22"/>
        </w:rPr>
        <w:t>’</w:t>
      </w:r>
      <w:r w:rsidRPr="006B5941">
        <w:rPr>
          <w:rFonts w:ascii="Arial" w:eastAsia="Calibri" w:hAnsi="Arial" w:cs="Arial"/>
          <w:b/>
          <w:bCs/>
          <w:sz w:val="22"/>
          <w:szCs w:val="22"/>
        </w:rPr>
        <w:t>experts dans le cadre de la réflexion sur</w:t>
      </w:r>
    </w:p>
    <w:p w14:paraId="701BAD74" w14:textId="5F4A2EC1" w:rsidR="005A4AA7" w:rsidRPr="006B5941" w:rsidRDefault="005A4AA7" w:rsidP="005A4AA7">
      <w:pPr>
        <w:jc w:val="center"/>
        <w:rPr>
          <w:rFonts w:ascii="Arial" w:eastAsia="Calibri" w:hAnsi="Arial" w:cs="Arial"/>
          <w:b/>
          <w:bCs/>
          <w:sz w:val="22"/>
          <w:szCs w:val="22"/>
        </w:rPr>
      </w:pPr>
      <w:r w:rsidRPr="006B5941">
        <w:rPr>
          <w:rFonts w:ascii="Arial" w:eastAsia="Calibri" w:hAnsi="Arial" w:cs="Arial"/>
          <w:b/>
          <w:bCs/>
          <w:sz w:val="22"/>
          <w:szCs w:val="22"/>
        </w:rPr>
        <w:t>une mise en œuvre plus large de l</w:t>
      </w:r>
      <w:r w:rsidR="00D87539">
        <w:rPr>
          <w:rFonts w:ascii="Arial" w:eastAsia="Calibri" w:hAnsi="Arial" w:cs="Arial"/>
          <w:b/>
          <w:bCs/>
          <w:sz w:val="22"/>
          <w:szCs w:val="22"/>
        </w:rPr>
        <w:t>’</w:t>
      </w:r>
      <w:r w:rsidRPr="006B5941">
        <w:rPr>
          <w:rFonts w:ascii="Arial" w:eastAsia="Calibri" w:hAnsi="Arial" w:cs="Arial"/>
          <w:b/>
          <w:bCs/>
          <w:sz w:val="22"/>
          <w:szCs w:val="22"/>
        </w:rPr>
        <w:t>article 18 de la Convention de 2003</w:t>
      </w:r>
    </w:p>
    <w:p w14:paraId="70DA2383" w14:textId="77777777" w:rsidR="005A4AA7" w:rsidRPr="006B5941" w:rsidRDefault="005A4AA7" w:rsidP="005A4AA7">
      <w:pPr>
        <w:jc w:val="center"/>
        <w:rPr>
          <w:rFonts w:ascii="Arial" w:eastAsia="Calibri" w:hAnsi="Arial" w:cs="Arial"/>
          <w:b/>
          <w:bCs/>
          <w:sz w:val="22"/>
          <w:szCs w:val="22"/>
        </w:rPr>
      </w:pPr>
      <w:r w:rsidRPr="006B5941">
        <w:rPr>
          <w:rFonts w:ascii="Arial" w:eastAsia="Calibri" w:hAnsi="Arial" w:cs="Arial"/>
          <w:b/>
          <w:bCs/>
          <w:sz w:val="22"/>
          <w:szCs w:val="22"/>
        </w:rPr>
        <w:t xml:space="preserve"> pour la sauvegarde du patrimoine culturel immatériel</w:t>
      </w:r>
    </w:p>
    <w:bookmarkEnd w:id="0"/>
    <w:p w14:paraId="7B9159D6" w14:textId="77777777" w:rsidR="005A4AA7" w:rsidRPr="006B5941" w:rsidRDefault="005A4AA7" w:rsidP="005A4AA7">
      <w:pPr>
        <w:spacing w:before="1200"/>
        <w:jc w:val="center"/>
        <w:rPr>
          <w:rFonts w:ascii="Arial" w:hAnsi="Arial" w:cs="Arial"/>
          <w:b/>
          <w:sz w:val="22"/>
          <w:szCs w:val="22"/>
        </w:rPr>
      </w:pPr>
      <w:r w:rsidRPr="006B5941">
        <w:rPr>
          <w:rFonts w:ascii="Arial" w:hAnsi="Arial" w:cs="Arial"/>
          <w:b/>
          <w:sz w:val="22"/>
          <w:szCs w:val="22"/>
        </w:rPr>
        <w:t xml:space="preserve">Stockholm, </w:t>
      </w:r>
      <w:bookmarkStart w:id="1" w:name="_Hlk128491999"/>
      <w:r w:rsidRPr="006B5941">
        <w:rPr>
          <w:rFonts w:ascii="Arial" w:hAnsi="Arial" w:cs="Arial"/>
          <w:b/>
          <w:sz w:val="22"/>
          <w:szCs w:val="22"/>
        </w:rPr>
        <w:t>Suède</w:t>
      </w:r>
    </w:p>
    <w:bookmarkEnd w:id="1"/>
    <w:p w14:paraId="123073AF" w14:textId="77777777" w:rsidR="005A4AA7" w:rsidRPr="006B5941" w:rsidRDefault="005A4AA7" w:rsidP="005A4AA7">
      <w:pPr>
        <w:spacing w:after="1200"/>
        <w:jc w:val="center"/>
        <w:rPr>
          <w:rFonts w:ascii="Arial" w:hAnsi="Arial" w:cs="Arial"/>
          <w:b/>
          <w:sz w:val="22"/>
          <w:szCs w:val="22"/>
        </w:rPr>
      </w:pPr>
      <w:r w:rsidRPr="006B5941">
        <w:rPr>
          <w:rFonts w:ascii="Arial" w:hAnsi="Arial" w:cs="Arial"/>
          <w:b/>
          <w:sz w:val="22"/>
          <w:szCs w:val="22"/>
        </w:rPr>
        <w:t>19 au 21 avril 2023</w:t>
      </w:r>
    </w:p>
    <w:p w14:paraId="59920478" w14:textId="271EF19D" w:rsidR="004A2875" w:rsidRPr="006B5941" w:rsidRDefault="00977853" w:rsidP="00811AFA">
      <w:pPr>
        <w:pStyle w:val="Sansinterligne2"/>
        <w:spacing w:before="1800" w:after="1200"/>
        <w:jc w:val="center"/>
        <w:rPr>
          <w:rFonts w:ascii="Arial" w:hAnsi="Arial" w:cs="Arial"/>
          <w:b/>
          <w:sz w:val="22"/>
          <w:szCs w:val="22"/>
        </w:rPr>
      </w:pPr>
      <w:r w:rsidRPr="006B5941">
        <w:rPr>
          <w:rFonts w:ascii="Arial" w:hAnsi="Arial" w:cs="Arial"/>
          <w:b/>
          <w:sz w:val="22"/>
          <w:szCs w:val="22"/>
        </w:rPr>
        <w:t>R</w:t>
      </w:r>
      <w:r w:rsidR="005A4AA7" w:rsidRPr="006B5941">
        <w:rPr>
          <w:rFonts w:ascii="Arial" w:hAnsi="Arial" w:cs="Arial"/>
          <w:b/>
          <w:sz w:val="22"/>
          <w:szCs w:val="22"/>
        </w:rPr>
        <w:t>app</w:t>
      </w:r>
      <w:r w:rsidRPr="006B5941">
        <w:rPr>
          <w:rFonts w:ascii="Arial" w:hAnsi="Arial" w:cs="Arial"/>
          <w:b/>
          <w:sz w:val="22"/>
          <w:szCs w:val="22"/>
        </w:rPr>
        <w:t>ort</w:t>
      </w:r>
    </w:p>
    <w:tbl>
      <w:tblPr>
        <w:tblW w:w="5670" w:type="dxa"/>
        <w:jc w:val="center"/>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5670"/>
      </w:tblGrid>
      <w:tr w:rsidR="00977853" w:rsidRPr="006B5941" w14:paraId="7CFFDA4D" w14:textId="77777777" w:rsidTr="009D5436">
        <w:trPr>
          <w:jc w:val="center"/>
        </w:trPr>
        <w:tc>
          <w:tcPr>
            <w:tcW w:w="5670" w:type="dxa"/>
            <w:vAlign w:val="center"/>
          </w:tcPr>
          <w:p w14:paraId="3C0A94EB" w14:textId="5C788457" w:rsidR="00143772" w:rsidRPr="006B5941" w:rsidRDefault="00143772" w:rsidP="001E3BB0">
            <w:pPr>
              <w:pStyle w:val="Sansinterligne2"/>
              <w:spacing w:before="200" w:after="200"/>
              <w:jc w:val="both"/>
              <w:rPr>
                <w:rFonts w:ascii="Arial" w:hAnsi="Arial" w:cs="Arial"/>
                <w:bCs/>
                <w:sz w:val="22"/>
                <w:szCs w:val="22"/>
              </w:rPr>
            </w:pPr>
            <w:r w:rsidRPr="006B5941">
              <w:rPr>
                <w:rFonts w:ascii="Arial" w:hAnsi="Arial" w:cs="Arial"/>
                <w:bCs/>
                <w:sz w:val="22"/>
                <w:szCs w:val="22"/>
              </w:rPr>
              <w:t>Dans le cadre de la consultation d</w:t>
            </w:r>
            <w:r w:rsidR="00D87539">
              <w:rPr>
                <w:rFonts w:ascii="Arial" w:hAnsi="Arial" w:cs="Arial"/>
                <w:bCs/>
                <w:sz w:val="22"/>
                <w:szCs w:val="22"/>
              </w:rPr>
              <w:t>’</w:t>
            </w:r>
            <w:r w:rsidRPr="006B5941">
              <w:rPr>
                <w:rFonts w:ascii="Arial" w:hAnsi="Arial" w:cs="Arial"/>
                <w:bCs/>
                <w:sz w:val="22"/>
                <w:szCs w:val="22"/>
              </w:rPr>
              <w:t>experts prévue dans le cadre de la réflexion sur une mise en œuvre plus large de l</w:t>
            </w:r>
            <w:r w:rsidR="00D87539">
              <w:rPr>
                <w:rFonts w:ascii="Arial" w:hAnsi="Arial" w:cs="Arial"/>
                <w:bCs/>
                <w:sz w:val="22"/>
                <w:szCs w:val="22"/>
              </w:rPr>
              <w:t>’</w:t>
            </w:r>
            <w:r w:rsidR="00B21227" w:rsidRPr="006B5941">
              <w:rPr>
                <w:rFonts w:ascii="Arial" w:hAnsi="Arial" w:cs="Arial"/>
                <w:bCs/>
                <w:sz w:val="22"/>
                <w:szCs w:val="22"/>
              </w:rPr>
              <w:t>a</w:t>
            </w:r>
            <w:r w:rsidRPr="006B5941">
              <w:rPr>
                <w:rFonts w:ascii="Arial" w:hAnsi="Arial" w:cs="Arial"/>
                <w:bCs/>
                <w:sz w:val="22"/>
                <w:szCs w:val="22"/>
              </w:rPr>
              <w:t>rticle 18 de la Convention de 2003, une réunion d</w:t>
            </w:r>
            <w:r w:rsidR="00D87539">
              <w:rPr>
                <w:rFonts w:ascii="Arial" w:hAnsi="Arial" w:cs="Arial"/>
                <w:bCs/>
                <w:sz w:val="22"/>
                <w:szCs w:val="22"/>
              </w:rPr>
              <w:t>’</w:t>
            </w:r>
            <w:r w:rsidRPr="006B5941">
              <w:rPr>
                <w:rFonts w:ascii="Arial" w:hAnsi="Arial" w:cs="Arial"/>
                <w:bCs/>
                <w:sz w:val="22"/>
                <w:szCs w:val="22"/>
              </w:rPr>
              <w:t>experts de catégorie VI a été organisée en avril 2023. Le présent document fait état des résultats de cette réunion.</w:t>
            </w:r>
          </w:p>
        </w:tc>
      </w:tr>
    </w:tbl>
    <w:p w14:paraId="713D819F" w14:textId="0C9F6425" w:rsidR="00977853" w:rsidRPr="006B5941" w:rsidRDefault="00977853" w:rsidP="00977853">
      <w:pPr>
        <w:pStyle w:val="ListParagraph"/>
        <w:keepLines/>
        <w:spacing w:after="240"/>
        <w:ind w:left="567"/>
        <w:contextualSpacing w:val="0"/>
        <w:rPr>
          <w:rFonts w:ascii="Arial" w:hAnsi="Arial" w:cs="Arial"/>
          <w:b/>
          <w:snapToGrid w:val="0"/>
          <w:sz w:val="22"/>
          <w:szCs w:val="22"/>
          <w:lang w:eastAsia="en-US"/>
        </w:rPr>
      </w:pPr>
    </w:p>
    <w:p w14:paraId="59D1A340" w14:textId="77777777" w:rsidR="00977853" w:rsidRPr="006B5941" w:rsidRDefault="00977853">
      <w:pPr>
        <w:rPr>
          <w:rFonts w:ascii="Arial" w:hAnsi="Arial" w:cs="Arial"/>
          <w:b/>
          <w:snapToGrid w:val="0"/>
          <w:sz w:val="22"/>
          <w:szCs w:val="22"/>
          <w:lang w:eastAsia="en-US"/>
        </w:rPr>
      </w:pPr>
      <w:r w:rsidRPr="006B5941">
        <w:rPr>
          <w:rFonts w:ascii="Arial" w:hAnsi="Arial" w:cs="Arial"/>
          <w:b/>
          <w:snapToGrid w:val="0"/>
          <w:sz w:val="22"/>
          <w:szCs w:val="22"/>
          <w:lang w:eastAsia="en-US"/>
        </w:rPr>
        <w:br w:type="page"/>
      </w:r>
    </w:p>
    <w:p w14:paraId="4D8512C0" w14:textId="1D258867" w:rsidR="00306303" w:rsidRPr="006D7B91" w:rsidRDefault="00306303" w:rsidP="00D149FF">
      <w:pPr>
        <w:pStyle w:val="COMPara"/>
        <w:ind w:left="567" w:hanging="567"/>
        <w:jc w:val="both"/>
        <w:rPr>
          <w:lang w:val="fr-FR"/>
        </w:rPr>
      </w:pPr>
      <w:r w:rsidRPr="006D7B91">
        <w:rPr>
          <w:lang w:val="fr-FR"/>
        </w:rPr>
        <w:lastRenderedPageBreak/>
        <w:t>La réunion d</w:t>
      </w:r>
      <w:r w:rsidR="00D87539">
        <w:rPr>
          <w:lang w:val="fr-FR"/>
        </w:rPr>
        <w:t>’</w:t>
      </w:r>
      <w:r w:rsidRPr="006D7B91">
        <w:rPr>
          <w:lang w:val="fr-FR"/>
        </w:rPr>
        <w:t>experts dans le cadre de la réflexion sur une mise en œuvre plus large de l</w:t>
      </w:r>
      <w:r w:rsidR="00D87539">
        <w:rPr>
          <w:lang w:val="fr-FR"/>
        </w:rPr>
        <w:t>’</w:t>
      </w:r>
      <w:r w:rsidR="00D65A2F" w:rsidRPr="006D7B91">
        <w:rPr>
          <w:lang w:val="fr-FR"/>
        </w:rPr>
        <w:t>a</w:t>
      </w:r>
      <w:r w:rsidRPr="006D7B91">
        <w:rPr>
          <w:lang w:val="fr-FR"/>
        </w:rPr>
        <w:t>rticle</w:t>
      </w:r>
      <w:r w:rsidR="00A56447" w:rsidRPr="006D7B91">
        <w:rPr>
          <w:lang w:val="fr-FR"/>
        </w:rPr>
        <w:t> </w:t>
      </w:r>
      <w:r w:rsidRPr="006D7B91">
        <w:rPr>
          <w:lang w:val="fr-FR"/>
        </w:rPr>
        <w:t xml:space="preserve">18 de la Convention de 2003 </w:t>
      </w:r>
      <w:r w:rsidR="00F60C0F">
        <w:rPr>
          <w:lang w:val="fr-FR"/>
        </w:rPr>
        <w:t xml:space="preserve">pour la sauvegarde du patrimoine culturel immatériel </w:t>
      </w:r>
      <w:r w:rsidR="00F60C0F" w:rsidRPr="003E1D1A">
        <w:rPr>
          <w:lang w:val="fr-FR"/>
        </w:rPr>
        <w:t xml:space="preserve">(ci-après la « Convention ») </w:t>
      </w:r>
      <w:r w:rsidRPr="003E1D1A">
        <w:rPr>
          <w:lang w:val="fr-FR"/>
        </w:rPr>
        <w:t>s</w:t>
      </w:r>
      <w:r w:rsidR="00D87539" w:rsidRPr="003E1D1A">
        <w:rPr>
          <w:lang w:val="fr-FR"/>
        </w:rPr>
        <w:t>’</w:t>
      </w:r>
      <w:r w:rsidRPr="003E1D1A">
        <w:rPr>
          <w:lang w:val="fr-FR"/>
        </w:rPr>
        <w:t>est tenue à Stockholm (Suède) du 19 au 21 avril 2023</w:t>
      </w:r>
      <w:r w:rsidR="003710BC" w:rsidRPr="003E1D1A">
        <w:rPr>
          <w:lang w:val="fr-FR"/>
        </w:rPr>
        <w:t>, avec</w:t>
      </w:r>
      <w:r w:rsidR="003710BC">
        <w:rPr>
          <w:lang w:val="fr-FR"/>
        </w:rPr>
        <w:t xml:space="preserve"> le soutien de la Suède. </w:t>
      </w:r>
      <w:r w:rsidRPr="006D7B91">
        <w:rPr>
          <w:lang w:val="fr-FR"/>
        </w:rPr>
        <w:t xml:space="preserve">Les experts souhaitent soumettre les considérations suivantes au groupe de travail intergouvernemental à composition non limitée, </w:t>
      </w:r>
      <w:r w:rsidR="00A56447" w:rsidRPr="006D7B91">
        <w:rPr>
          <w:lang w:val="fr-FR"/>
        </w:rPr>
        <w:t>dont la réunion est prévue</w:t>
      </w:r>
      <w:r w:rsidRPr="006D7B91">
        <w:rPr>
          <w:lang w:val="fr-FR"/>
        </w:rPr>
        <w:t xml:space="preserve"> du 4 au 6 juillet 2023 au siège de l</w:t>
      </w:r>
      <w:r w:rsidR="00D87539">
        <w:rPr>
          <w:lang w:val="fr-FR"/>
        </w:rPr>
        <w:t>’</w:t>
      </w:r>
      <w:r w:rsidRPr="006D7B91">
        <w:rPr>
          <w:lang w:val="fr-FR"/>
        </w:rPr>
        <w:t>UNESCO</w:t>
      </w:r>
      <w:r w:rsidR="003E2D90">
        <w:rPr>
          <w:lang w:val="fr-FR"/>
        </w:rPr>
        <w:t> :</w:t>
      </w:r>
    </w:p>
    <w:p w14:paraId="465D15FC" w14:textId="05A50E8A" w:rsidR="001C5A43" w:rsidRPr="006D7B91" w:rsidRDefault="004E46D5" w:rsidP="001C5A43">
      <w:pPr>
        <w:pStyle w:val="COMPara"/>
        <w:numPr>
          <w:ilvl w:val="0"/>
          <w:numId w:val="0"/>
        </w:numPr>
        <w:jc w:val="both"/>
        <w:rPr>
          <w:b/>
          <w:bCs/>
          <w:lang w:val="fr-FR"/>
        </w:rPr>
      </w:pPr>
      <w:r w:rsidRPr="006D7B91">
        <w:rPr>
          <w:b/>
          <w:bCs/>
          <w:lang w:val="fr-FR"/>
        </w:rPr>
        <w:t>C</w:t>
      </w:r>
      <w:r w:rsidR="001C5A43" w:rsidRPr="006D7B91">
        <w:rPr>
          <w:b/>
          <w:bCs/>
          <w:lang w:val="fr-FR"/>
        </w:rPr>
        <w:t>onsid</w:t>
      </w:r>
      <w:r w:rsidRPr="006D7B91">
        <w:rPr>
          <w:b/>
          <w:bCs/>
          <w:lang w:val="fr-FR"/>
        </w:rPr>
        <w:t>é</w:t>
      </w:r>
      <w:r w:rsidR="001C5A43" w:rsidRPr="006D7B91">
        <w:rPr>
          <w:b/>
          <w:bCs/>
          <w:lang w:val="fr-FR"/>
        </w:rPr>
        <w:t>rations</w:t>
      </w:r>
      <w:r w:rsidRPr="006D7B91">
        <w:rPr>
          <w:b/>
          <w:bCs/>
          <w:lang w:val="fr-FR"/>
        </w:rPr>
        <w:t xml:space="preserve"> générales</w:t>
      </w:r>
    </w:p>
    <w:p w14:paraId="46325C74" w14:textId="522FC9B1" w:rsidR="004E46D5" w:rsidRPr="006D7B91" w:rsidRDefault="004E46D5" w:rsidP="00D149FF">
      <w:pPr>
        <w:pStyle w:val="COMPara"/>
        <w:ind w:left="567" w:hanging="567"/>
        <w:jc w:val="both"/>
        <w:rPr>
          <w:lang w:val="fr-FR"/>
        </w:rPr>
      </w:pPr>
      <w:r w:rsidRPr="006D7B91">
        <w:rPr>
          <w:lang w:val="fr-FR"/>
        </w:rPr>
        <w:t>L</w:t>
      </w:r>
      <w:r w:rsidR="00D87539">
        <w:rPr>
          <w:lang w:val="fr-FR"/>
        </w:rPr>
        <w:t>’</w:t>
      </w:r>
      <w:r w:rsidRPr="006D7B91">
        <w:rPr>
          <w:lang w:val="fr-FR"/>
        </w:rPr>
        <w:t xml:space="preserve">article 18 </w:t>
      </w:r>
      <w:r w:rsidR="00A56447" w:rsidRPr="006D7B91">
        <w:rPr>
          <w:lang w:val="fr-FR"/>
        </w:rPr>
        <w:t>a le potentiel pour</w:t>
      </w:r>
      <w:r w:rsidRPr="006D7B91">
        <w:rPr>
          <w:lang w:val="fr-FR"/>
        </w:rPr>
        <w:t xml:space="preserve"> </w:t>
      </w:r>
      <w:r w:rsidR="00D863C5">
        <w:rPr>
          <w:lang w:val="fr-FR"/>
        </w:rPr>
        <w:t xml:space="preserve">refléter </w:t>
      </w:r>
      <w:r w:rsidRPr="006D7B91">
        <w:rPr>
          <w:lang w:val="fr-FR"/>
        </w:rPr>
        <w:t>pleinement les objectifs de la Convention</w:t>
      </w:r>
      <w:r w:rsidRPr="003E1D1A">
        <w:rPr>
          <w:lang w:val="fr-FR"/>
        </w:rPr>
        <w:t xml:space="preserve">, </w:t>
      </w:r>
      <w:r w:rsidR="00F60C0F" w:rsidRPr="003E1D1A">
        <w:rPr>
          <w:lang w:val="fr-FR"/>
        </w:rPr>
        <w:t xml:space="preserve">tels que décrits </w:t>
      </w:r>
      <w:r w:rsidRPr="003E1D1A">
        <w:rPr>
          <w:lang w:val="fr-FR"/>
        </w:rPr>
        <w:t>à son article 1. Poursuivant l</w:t>
      </w:r>
      <w:r w:rsidR="00D87539" w:rsidRPr="003E1D1A">
        <w:rPr>
          <w:lang w:val="fr-FR"/>
        </w:rPr>
        <w:t>’</w:t>
      </w:r>
      <w:r w:rsidRPr="003E1D1A">
        <w:rPr>
          <w:lang w:val="fr-FR"/>
        </w:rPr>
        <w:t xml:space="preserve">approche générale confirmée </w:t>
      </w:r>
      <w:r w:rsidR="00A56447" w:rsidRPr="003E1D1A">
        <w:rPr>
          <w:lang w:val="fr-FR"/>
        </w:rPr>
        <w:t>par</w:t>
      </w:r>
      <w:r w:rsidRPr="003E1D1A">
        <w:rPr>
          <w:lang w:val="fr-FR"/>
        </w:rPr>
        <w:t xml:space="preserve"> la réflexion globale</w:t>
      </w:r>
      <w:r w:rsidRPr="006D7B91">
        <w:rPr>
          <w:lang w:val="fr-FR"/>
        </w:rPr>
        <w:t xml:space="preserve"> sur les mécanismes d</w:t>
      </w:r>
      <w:r w:rsidR="00D87539">
        <w:rPr>
          <w:lang w:val="fr-FR"/>
        </w:rPr>
        <w:t>’</w:t>
      </w:r>
      <w:r w:rsidRPr="006D7B91">
        <w:rPr>
          <w:lang w:val="fr-FR"/>
        </w:rPr>
        <w:t>inscription sur les listes de la Convention, il est fondamental de placer les communautés, les groupes et</w:t>
      </w:r>
      <w:r w:rsidR="0085538A">
        <w:rPr>
          <w:lang w:val="fr-FR"/>
        </w:rPr>
        <w:t>,</w:t>
      </w:r>
      <w:r w:rsidRPr="006D7B91">
        <w:rPr>
          <w:lang w:val="fr-FR"/>
        </w:rPr>
        <w:t xml:space="preserve"> le</w:t>
      </w:r>
      <w:r w:rsidR="0085538A">
        <w:rPr>
          <w:lang w:val="fr-FR"/>
        </w:rPr>
        <w:t xml:space="preserve"> cas échéant, des</w:t>
      </w:r>
      <w:r w:rsidRPr="006D7B91">
        <w:rPr>
          <w:lang w:val="fr-FR"/>
        </w:rPr>
        <w:t xml:space="preserve"> individus</w:t>
      </w:r>
      <w:r w:rsidR="00A56447" w:rsidRPr="006D7B91">
        <w:rPr>
          <w:lang w:val="fr-FR"/>
        </w:rPr>
        <w:t xml:space="preserve"> </w:t>
      </w:r>
      <w:r w:rsidR="0085538A">
        <w:rPr>
          <w:lang w:val="fr-FR"/>
        </w:rPr>
        <w:t xml:space="preserve">(ci-après </w:t>
      </w:r>
      <w:r w:rsidR="00260618">
        <w:rPr>
          <w:lang w:val="fr-FR"/>
        </w:rPr>
        <w:t xml:space="preserve">les </w:t>
      </w:r>
      <w:r w:rsidR="0085538A">
        <w:rPr>
          <w:lang w:val="fr-FR"/>
        </w:rPr>
        <w:t xml:space="preserve">« communautés ») </w:t>
      </w:r>
      <w:r w:rsidR="00A56447" w:rsidRPr="006D7B91">
        <w:rPr>
          <w:lang w:val="fr-FR"/>
        </w:rPr>
        <w:t>au centre des efforts de sauvegarde</w:t>
      </w:r>
      <w:r w:rsidRPr="006D7B91">
        <w:rPr>
          <w:lang w:val="fr-FR"/>
        </w:rPr>
        <w:t>.</w:t>
      </w:r>
    </w:p>
    <w:p w14:paraId="1511A6DC" w14:textId="00D0E4BC" w:rsidR="004E46D5" w:rsidRPr="006D7B91" w:rsidRDefault="004E46D5" w:rsidP="00D149FF">
      <w:pPr>
        <w:pStyle w:val="COMPara"/>
        <w:ind w:left="567" w:hanging="567"/>
        <w:jc w:val="both"/>
        <w:rPr>
          <w:lang w:val="fr-FR"/>
        </w:rPr>
      </w:pPr>
      <w:r w:rsidRPr="006D7B91">
        <w:rPr>
          <w:lang w:val="fr-FR"/>
        </w:rPr>
        <w:t>Il convient de rappeler l</w:t>
      </w:r>
      <w:r w:rsidR="00D87539">
        <w:rPr>
          <w:lang w:val="fr-FR"/>
        </w:rPr>
        <w:t>’</w:t>
      </w:r>
      <w:r w:rsidRPr="006D7B91">
        <w:rPr>
          <w:lang w:val="fr-FR"/>
        </w:rPr>
        <w:t>intention initiale de l</w:t>
      </w:r>
      <w:r w:rsidR="00D87539">
        <w:rPr>
          <w:lang w:val="fr-FR"/>
        </w:rPr>
        <w:t>’</w:t>
      </w:r>
      <w:r w:rsidRPr="006D7B91">
        <w:rPr>
          <w:lang w:val="fr-FR"/>
        </w:rPr>
        <w:t xml:space="preserve">article 18 : </w:t>
      </w:r>
      <w:r w:rsidRPr="00D149FF">
        <w:rPr>
          <w:lang w:val="fr-FR"/>
        </w:rPr>
        <w:t>d</w:t>
      </w:r>
      <w:r w:rsidR="00D87539">
        <w:rPr>
          <w:lang w:val="fr-FR"/>
        </w:rPr>
        <w:t>’</w:t>
      </w:r>
      <w:r w:rsidRPr="00D149FF">
        <w:rPr>
          <w:lang w:val="fr-FR"/>
        </w:rPr>
        <w:t>une part,</w:t>
      </w:r>
      <w:r w:rsidRPr="006D7B91">
        <w:rPr>
          <w:lang w:val="fr-FR"/>
        </w:rPr>
        <w:t xml:space="preserve"> faire partie du système d</w:t>
      </w:r>
      <w:r w:rsidR="00D87539">
        <w:rPr>
          <w:lang w:val="fr-FR"/>
        </w:rPr>
        <w:t>’</w:t>
      </w:r>
      <w:r w:rsidRPr="006D7B91">
        <w:rPr>
          <w:lang w:val="fr-FR"/>
        </w:rPr>
        <w:t xml:space="preserve">inscription </w:t>
      </w:r>
      <w:r w:rsidR="00A56447" w:rsidRPr="006D7B91">
        <w:rPr>
          <w:lang w:val="fr-FR"/>
        </w:rPr>
        <w:t xml:space="preserve">sur les listes </w:t>
      </w:r>
      <w:r w:rsidRPr="006D7B91">
        <w:rPr>
          <w:lang w:val="fr-FR"/>
        </w:rPr>
        <w:t>(</w:t>
      </w:r>
      <w:r w:rsidR="006D7B91">
        <w:rPr>
          <w:lang w:val="fr-FR"/>
        </w:rPr>
        <w:t>avec</w:t>
      </w:r>
      <w:r w:rsidR="00883C43" w:rsidRPr="006D7B91">
        <w:rPr>
          <w:lang w:val="fr-FR"/>
        </w:rPr>
        <w:t xml:space="preserve"> les </w:t>
      </w:r>
      <w:r w:rsidRPr="006D7B91">
        <w:rPr>
          <w:lang w:val="fr-FR"/>
        </w:rPr>
        <w:t xml:space="preserve">articles 16 et 17 de la Convention) en donnant la </w:t>
      </w:r>
      <w:r w:rsidR="00260618">
        <w:rPr>
          <w:lang w:val="fr-FR"/>
        </w:rPr>
        <w:t>responsabilité</w:t>
      </w:r>
      <w:r w:rsidR="00260618" w:rsidRPr="006D7B91">
        <w:rPr>
          <w:lang w:val="fr-FR"/>
        </w:rPr>
        <w:t xml:space="preserve"> </w:t>
      </w:r>
      <w:r w:rsidRPr="006D7B91">
        <w:rPr>
          <w:lang w:val="fr-FR"/>
        </w:rPr>
        <w:t xml:space="preserve">au Comité de sélectionner et de promouvoir des programmes, des projets et des activités de sauvegarde du patrimoine vivant afin </w:t>
      </w:r>
      <w:r w:rsidR="00A56447" w:rsidRPr="006D7B91">
        <w:rPr>
          <w:lang w:val="fr-FR"/>
        </w:rPr>
        <w:t>d</w:t>
      </w:r>
      <w:r w:rsidR="00D87539">
        <w:rPr>
          <w:lang w:val="fr-FR"/>
        </w:rPr>
        <w:t>’</w:t>
      </w:r>
      <w:r w:rsidR="00A56447" w:rsidRPr="006D7B91">
        <w:rPr>
          <w:lang w:val="fr-FR"/>
        </w:rPr>
        <w:t>être une source d</w:t>
      </w:r>
      <w:r w:rsidR="00D87539">
        <w:rPr>
          <w:lang w:val="fr-FR"/>
        </w:rPr>
        <w:t>’</w:t>
      </w:r>
      <w:r w:rsidR="00A56447" w:rsidRPr="006D7B91">
        <w:rPr>
          <w:lang w:val="fr-FR"/>
        </w:rPr>
        <w:t xml:space="preserve">inspiration pour </w:t>
      </w:r>
      <w:r w:rsidRPr="006D7B91">
        <w:rPr>
          <w:lang w:val="fr-FR"/>
        </w:rPr>
        <w:t xml:space="preserve">les communautés du monde entier avec des exemples de sauvegarde reflétant </w:t>
      </w:r>
      <w:r w:rsidR="00610349" w:rsidRPr="006D7B91">
        <w:rPr>
          <w:lang w:val="fr-FR"/>
        </w:rPr>
        <w:t>le</w:t>
      </w:r>
      <w:r w:rsidRPr="006D7B91">
        <w:rPr>
          <w:lang w:val="fr-FR"/>
        </w:rPr>
        <w:t xml:space="preserve"> mieux les principes et les objectifs de la Convention</w:t>
      </w:r>
      <w:r w:rsidR="00A56447" w:rsidRPr="006D7B91">
        <w:rPr>
          <w:lang w:val="fr-FR"/>
        </w:rPr>
        <w:t>.</w:t>
      </w:r>
      <w:r w:rsidR="009A0055" w:rsidRPr="00D149FF">
        <w:rPr>
          <w:lang w:val="fr-FR"/>
        </w:rPr>
        <w:t xml:space="preserve"> </w:t>
      </w:r>
      <w:r w:rsidR="00A56447" w:rsidRPr="00D149FF">
        <w:rPr>
          <w:lang w:val="fr-FR"/>
        </w:rPr>
        <w:t>En même temps</w:t>
      </w:r>
      <w:r w:rsidRPr="00D149FF">
        <w:rPr>
          <w:lang w:val="fr-FR"/>
        </w:rPr>
        <w:t xml:space="preserve">, </w:t>
      </w:r>
      <w:r w:rsidRPr="006D7B91">
        <w:rPr>
          <w:lang w:val="fr-FR"/>
        </w:rPr>
        <w:t>l</w:t>
      </w:r>
      <w:r w:rsidR="00D87539">
        <w:rPr>
          <w:lang w:val="fr-FR"/>
        </w:rPr>
        <w:t>’</w:t>
      </w:r>
      <w:r w:rsidRPr="006D7B91">
        <w:rPr>
          <w:lang w:val="fr-FR"/>
        </w:rPr>
        <w:t xml:space="preserve">article 18 </w:t>
      </w:r>
      <w:r w:rsidR="00D863C5">
        <w:rPr>
          <w:lang w:val="fr-FR"/>
        </w:rPr>
        <w:t>devrait</w:t>
      </w:r>
      <w:r w:rsidR="005042ED">
        <w:rPr>
          <w:lang w:val="fr-FR"/>
        </w:rPr>
        <w:t xml:space="preserve"> </w:t>
      </w:r>
      <w:r w:rsidRPr="006D7B91">
        <w:rPr>
          <w:lang w:val="fr-FR"/>
        </w:rPr>
        <w:t xml:space="preserve">être </w:t>
      </w:r>
      <w:r w:rsidR="006F23A3" w:rsidRPr="006D7B91">
        <w:rPr>
          <w:lang w:val="fr-FR"/>
        </w:rPr>
        <w:t>envisagé</w:t>
      </w:r>
      <w:r w:rsidRPr="006D7B91">
        <w:rPr>
          <w:lang w:val="fr-FR"/>
        </w:rPr>
        <w:t xml:space="preserve"> en relation avec les articles 19 à 24 </w:t>
      </w:r>
      <w:r w:rsidR="00D863C5">
        <w:rPr>
          <w:lang w:val="fr-FR"/>
        </w:rPr>
        <w:t xml:space="preserve">pour faciliter la coopération et fournir une </w:t>
      </w:r>
      <w:r w:rsidRPr="006D7B91">
        <w:rPr>
          <w:lang w:val="fr-FR"/>
        </w:rPr>
        <w:t xml:space="preserve">assistance aux </w:t>
      </w:r>
      <w:r w:rsidR="00D863C5">
        <w:rPr>
          <w:lang w:val="fr-FR"/>
        </w:rPr>
        <w:t xml:space="preserve">États parties et </w:t>
      </w:r>
      <w:r w:rsidR="00260618">
        <w:rPr>
          <w:lang w:val="fr-FR"/>
        </w:rPr>
        <w:t xml:space="preserve">aux </w:t>
      </w:r>
      <w:r w:rsidRPr="006D7B91">
        <w:rPr>
          <w:lang w:val="fr-FR"/>
        </w:rPr>
        <w:t>communautés</w:t>
      </w:r>
      <w:r w:rsidR="00D863C5">
        <w:rPr>
          <w:lang w:val="fr-FR"/>
        </w:rPr>
        <w:t xml:space="preserve"> concernés</w:t>
      </w:r>
      <w:r w:rsidR="00260618">
        <w:rPr>
          <w:lang w:val="fr-FR"/>
        </w:rPr>
        <w:t xml:space="preserve"> </w:t>
      </w:r>
      <w:r w:rsidRPr="006D7B91">
        <w:rPr>
          <w:lang w:val="fr-FR"/>
        </w:rPr>
        <w:t xml:space="preserve">pour la planification, la mise en œuvre et le suivi de leurs </w:t>
      </w:r>
      <w:r w:rsidR="00D863C5">
        <w:rPr>
          <w:lang w:val="fr-FR"/>
        </w:rPr>
        <w:t>efforts</w:t>
      </w:r>
      <w:r w:rsidR="00D863C5" w:rsidRPr="006D7B91">
        <w:rPr>
          <w:lang w:val="fr-FR"/>
        </w:rPr>
        <w:t xml:space="preserve"> </w:t>
      </w:r>
      <w:r w:rsidRPr="006D7B91">
        <w:rPr>
          <w:lang w:val="fr-FR"/>
        </w:rPr>
        <w:t>de sauvegarde.</w:t>
      </w:r>
    </w:p>
    <w:p w14:paraId="6B05CD8E" w14:textId="736D3FA7" w:rsidR="00342FC1" w:rsidRPr="006D7B91" w:rsidRDefault="00342FC1" w:rsidP="00D149FF">
      <w:pPr>
        <w:pStyle w:val="COMPara"/>
        <w:ind w:left="567" w:hanging="567"/>
        <w:jc w:val="both"/>
        <w:rPr>
          <w:lang w:val="fr-FR"/>
        </w:rPr>
      </w:pPr>
      <w:r w:rsidRPr="006D7B91">
        <w:rPr>
          <w:lang w:val="fr-FR"/>
        </w:rPr>
        <w:t>Les questions clés suivantes doivent être prises en compte pour que l</w:t>
      </w:r>
      <w:r w:rsidR="00D87539">
        <w:rPr>
          <w:lang w:val="fr-FR"/>
        </w:rPr>
        <w:t>’</w:t>
      </w:r>
      <w:r w:rsidRPr="006D7B91">
        <w:rPr>
          <w:lang w:val="fr-FR"/>
        </w:rPr>
        <w:t xml:space="preserve">article 18 devienne pleinement </w:t>
      </w:r>
      <w:r w:rsidR="00D863C5">
        <w:rPr>
          <w:lang w:val="fr-FR"/>
        </w:rPr>
        <w:t>effectif</w:t>
      </w:r>
      <w:r w:rsidR="00D863C5" w:rsidRPr="006D7B91">
        <w:rPr>
          <w:lang w:val="fr-FR"/>
        </w:rPr>
        <w:t xml:space="preserve"> </w:t>
      </w:r>
      <w:r w:rsidRPr="006D7B91">
        <w:rPr>
          <w:lang w:val="fr-FR"/>
        </w:rPr>
        <w:t>:</w:t>
      </w:r>
    </w:p>
    <w:p w14:paraId="25DAC1C1" w14:textId="2A0ED3F8" w:rsidR="003F12C7" w:rsidRDefault="003F12C7" w:rsidP="0026328B">
      <w:pPr>
        <w:pStyle w:val="COMPara"/>
        <w:numPr>
          <w:ilvl w:val="1"/>
          <w:numId w:val="2"/>
        </w:numPr>
        <w:ind w:left="1134" w:hanging="567"/>
        <w:jc w:val="both"/>
        <w:rPr>
          <w:rStyle w:val="ui-provider"/>
          <w:lang w:val="fr-FR"/>
        </w:rPr>
      </w:pPr>
      <w:r w:rsidRPr="003F12C7">
        <w:rPr>
          <w:rStyle w:val="ui-provider"/>
          <w:lang w:val="fr-FR"/>
        </w:rPr>
        <w:t>Davantage de bonnes pratiques de sauvegarde</w:t>
      </w:r>
      <w:r w:rsidR="00260618">
        <w:rPr>
          <w:rStyle w:val="ui-provider"/>
          <w:lang w:val="fr-FR"/>
        </w:rPr>
        <w:t xml:space="preserve">, </w:t>
      </w:r>
      <w:r w:rsidR="00260618" w:rsidRPr="003F12C7">
        <w:rPr>
          <w:rStyle w:val="ui-provider"/>
          <w:lang w:val="fr-FR"/>
        </w:rPr>
        <w:t>par le biais de programmes, de projets et d</w:t>
      </w:r>
      <w:r w:rsidR="00260618">
        <w:rPr>
          <w:rStyle w:val="ui-provider"/>
          <w:lang w:val="fr-FR"/>
        </w:rPr>
        <w:t>’</w:t>
      </w:r>
      <w:r w:rsidR="00260618" w:rsidRPr="003F12C7">
        <w:rPr>
          <w:rStyle w:val="ui-provider"/>
          <w:lang w:val="fr-FR"/>
        </w:rPr>
        <w:t>activités</w:t>
      </w:r>
      <w:r w:rsidR="00260618">
        <w:rPr>
          <w:rStyle w:val="ui-provider"/>
          <w:lang w:val="fr-FR"/>
        </w:rPr>
        <w:t>,</w:t>
      </w:r>
      <w:r w:rsidRPr="003F12C7">
        <w:rPr>
          <w:rStyle w:val="ui-provider"/>
          <w:lang w:val="fr-FR"/>
        </w:rPr>
        <w:t xml:space="preserve"> devraient être mises à disposition que ne le permet actuellement le </w:t>
      </w:r>
      <w:r w:rsidR="00260618">
        <w:rPr>
          <w:rStyle w:val="ui-provider"/>
          <w:lang w:val="fr-FR"/>
        </w:rPr>
        <w:t>R</w:t>
      </w:r>
      <w:r w:rsidRPr="003F12C7">
        <w:rPr>
          <w:rStyle w:val="ui-provider"/>
          <w:lang w:val="fr-FR"/>
        </w:rPr>
        <w:t>egistre</w:t>
      </w:r>
      <w:r w:rsidR="0011535B">
        <w:rPr>
          <w:rStyle w:val="ui-provider"/>
          <w:lang w:val="fr-FR"/>
        </w:rPr>
        <w:t xml:space="preserve"> de bonnes pratiques de sauvegarde (ci-après le « Registre »)</w:t>
      </w:r>
      <w:r w:rsidRPr="003F12C7">
        <w:rPr>
          <w:rStyle w:val="ui-provider"/>
          <w:lang w:val="fr-FR"/>
        </w:rPr>
        <w:t>, qui n</w:t>
      </w:r>
      <w:r w:rsidR="00260618">
        <w:rPr>
          <w:rStyle w:val="ui-provider"/>
          <w:lang w:val="fr-FR"/>
        </w:rPr>
        <w:t>e</w:t>
      </w:r>
      <w:r w:rsidRPr="003F12C7">
        <w:rPr>
          <w:rStyle w:val="ui-provider"/>
          <w:lang w:val="fr-FR"/>
        </w:rPr>
        <w:t xml:space="preserve"> compte que 33</w:t>
      </w:r>
      <w:r w:rsidR="00260618">
        <w:rPr>
          <w:rStyle w:val="ui-provider"/>
          <w:lang w:val="fr-FR"/>
        </w:rPr>
        <w:t xml:space="preserve"> pratiques</w:t>
      </w:r>
      <w:r w:rsidRPr="003F12C7">
        <w:rPr>
          <w:rStyle w:val="ui-provider"/>
          <w:lang w:val="fr-FR"/>
        </w:rPr>
        <w:t>.</w:t>
      </w:r>
    </w:p>
    <w:p w14:paraId="13755ABC" w14:textId="481FA0D7" w:rsidR="00705DD3" w:rsidRPr="00705DD3" w:rsidRDefault="00705DD3" w:rsidP="0026328B">
      <w:pPr>
        <w:pStyle w:val="COMPara"/>
        <w:numPr>
          <w:ilvl w:val="1"/>
          <w:numId w:val="2"/>
        </w:numPr>
        <w:ind w:left="1134" w:hanging="567"/>
        <w:jc w:val="both"/>
        <w:rPr>
          <w:rStyle w:val="ui-provider"/>
          <w:lang w:val="fr-FR"/>
        </w:rPr>
      </w:pPr>
      <w:r w:rsidRPr="007327F0">
        <w:rPr>
          <w:rStyle w:val="ui-provider"/>
          <w:lang w:val="fr-FR"/>
        </w:rPr>
        <w:t>Les bon</w:t>
      </w:r>
      <w:r w:rsidR="00D14157">
        <w:rPr>
          <w:rStyle w:val="ui-provider"/>
          <w:lang w:val="fr-FR"/>
        </w:rPr>
        <w:t>ne</w:t>
      </w:r>
      <w:r w:rsidRPr="007327F0">
        <w:rPr>
          <w:rStyle w:val="ui-provider"/>
          <w:lang w:val="fr-FR"/>
        </w:rPr>
        <w:t xml:space="preserve">s </w:t>
      </w:r>
      <w:r w:rsidR="00D14157">
        <w:rPr>
          <w:rStyle w:val="ui-provider"/>
          <w:lang w:val="fr-FR"/>
        </w:rPr>
        <w:t>pratiques</w:t>
      </w:r>
      <w:r w:rsidRPr="007327F0">
        <w:rPr>
          <w:rStyle w:val="ui-provider"/>
          <w:lang w:val="fr-FR"/>
        </w:rPr>
        <w:t xml:space="preserve"> de sauvegarde partagé</w:t>
      </w:r>
      <w:r w:rsidR="003F12C7">
        <w:rPr>
          <w:rStyle w:val="ui-provider"/>
          <w:lang w:val="fr-FR"/>
        </w:rPr>
        <w:t>e</w:t>
      </w:r>
      <w:r w:rsidRPr="007327F0">
        <w:rPr>
          <w:rStyle w:val="ui-provider"/>
          <w:lang w:val="fr-FR"/>
        </w:rPr>
        <w:t>s dans le cadre de la Convention devraient être réparti</w:t>
      </w:r>
      <w:r w:rsidR="00260618">
        <w:rPr>
          <w:rStyle w:val="ui-provider"/>
          <w:lang w:val="fr-FR"/>
        </w:rPr>
        <w:t>e</w:t>
      </w:r>
      <w:r w:rsidRPr="007327F0">
        <w:rPr>
          <w:rStyle w:val="ui-provider"/>
          <w:lang w:val="fr-FR"/>
        </w:rPr>
        <w:t>s géographiquement plus équitablement, en référence au paragraphe 6 des Directives opérationnelles, facilitant ainsi la coopération Sud-Sud et Nord-Sud-Sud.</w:t>
      </w:r>
    </w:p>
    <w:p w14:paraId="2DED9B80" w14:textId="7586C87C" w:rsidR="00705DD3" w:rsidRPr="007327F0" w:rsidRDefault="00705DD3" w:rsidP="00705DD3">
      <w:pPr>
        <w:pStyle w:val="COMPara"/>
        <w:numPr>
          <w:ilvl w:val="1"/>
          <w:numId w:val="2"/>
        </w:numPr>
        <w:ind w:left="1134" w:hanging="567"/>
        <w:jc w:val="both"/>
        <w:rPr>
          <w:rStyle w:val="ui-provider"/>
          <w:lang w:val="fr-FR"/>
        </w:rPr>
      </w:pPr>
      <w:r w:rsidRPr="007327F0">
        <w:rPr>
          <w:rStyle w:val="ui-provider"/>
          <w:lang w:val="fr-FR"/>
        </w:rPr>
        <w:t xml:space="preserve">Un éventail plus large de bonnes </w:t>
      </w:r>
      <w:r w:rsidR="00FD52FE">
        <w:rPr>
          <w:rStyle w:val="ui-provider"/>
          <w:lang w:val="fr-FR"/>
        </w:rPr>
        <w:t>pratiques</w:t>
      </w:r>
      <w:r w:rsidR="00FD52FE" w:rsidRPr="007327F0">
        <w:rPr>
          <w:rStyle w:val="ui-provider"/>
          <w:lang w:val="fr-FR"/>
        </w:rPr>
        <w:t xml:space="preserve"> </w:t>
      </w:r>
      <w:r w:rsidRPr="007327F0">
        <w:rPr>
          <w:rStyle w:val="ui-provider"/>
          <w:lang w:val="fr-FR"/>
        </w:rPr>
        <w:t>de sauvegarde devrait être partagé</w:t>
      </w:r>
      <w:r w:rsidR="00344274">
        <w:rPr>
          <w:rStyle w:val="FootnoteReference"/>
          <w:lang w:val="fr-FR"/>
        </w:rPr>
        <w:footnoteReference w:id="1"/>
      </w:r>
      <w:r w:rsidRPr="007327F0">
        <w:rPr>
          <w:rStyle w:val="ui-provider"/>
          <w:lang w:val="fr-FR"/>
        </w:rPr>
        <w:t>, reflétant la diversité du patrimoine vivant couvert par l</w:t>
      </w:r>
      <w:r w:rsidR="00D87539">
        <w:rPr>
          <w:rStyle w:val="ui-provider"/>
          <w:lang w:val="fr-FR"/>
        </w:rPr>
        <w:t>’</w:t>
      </w:r>
      <w:r w:rsidRPr="007327F0">
        <w:rPr>
          <w:rStyle w:val="ui-provider"/>
          <w:lang w:val="fr-FR"/>
        </w:rPr>
        <w:t>article 2.1, l</w:t>
      </w:r>
      <w:r w:rsidR="00D87539">
        <w:rPr>
          <w:rStyle w:val="ui-provider"/>
          <w:lang w:val="fr-FR"/>
        </w:rPr>
        <w:t>’</w:t>
      </w:r>
      <w:r w:rsidRPr="007327F0">
        <w:rPr>
          <w:rStyle w:val="ui-provider"/>
          <w:lang w:val="fr-FR"/>
        </w:rPr>
        <w:t>éventail des menaces pesant sur la viabilité du patrimoine vivant et l</w:t>
      </w:r>
      <w:r w:rsidR="00D87539">
        <w:rPr>
          <w:rStyle w:val="ui-provider"/>
          <w:lang w:val="fr-FR"/>
        </w:rPr>
        <w:t>’</w:t>
      </w:r>
      <w:r w:rsidRPr="007327F0">
        <w:rPr>
          <w:rStyle w:val="ui-provider"/>
          <w:lang w:val="fr-FR"/>
        </w:rPr>
        <w:t>éventail des mesures de sauvegarde possibles indiquées à l</w:t>
      </w:r>
      <w:r w:rsidR="00D87539">
        <w:rPr>
          <w:rStyle w:val="ui-provider"/>
          <w:lang w:val="fr-FR"/>
        </w:rPr>
        <w:t>’</w:t>
      </w:r>
      <w:r w:rsidRPr="007327F0">
        <w:rPr>
          <w:rStyle w:val="ui-provider"/>
          <w:lang w:val="fr-FR"/>
        </w:rPr>
        <w:t>article 2.3 de la Convention et dans les Directives opérationnelles.</w:t>
      </w:r>
    </w:p>
    <w:p w14:paraId="452A64A7" w14:textId="68B1F9F8" w:rsidR="00705DD3" w:rsidRPr="00705DD3" w:rsidRDefault="000114E2" w:rsidP="00705DD3">
      <w:pPr>
        <w:pStyle w:val="COMPara"/>
        <w:numPr>
          <w:ilvl w:val="1"/>
          <w:numId w:val="2"/>
        </w:numPr>
        <w:ind w:left="1134" w:hanging="567"/>
        <w:jc w:val="both"/>
        <w:rPr>
          <w:rStyle w:val="ui-provider"/>
          <w:lang w:val="fr-FR"/>
        </w:rPr>
      </w:pPr>
      <w:bookmarkStart w:id="2" w:name="_Hlk132969378"/>
      <w:r w:rsidRPr="007327F0">
        <w:rPr>
          <w:lang w:val="fr-FR"/>
        </w:rPr>
        <w:t>Une mise en œuvre plus large de l</w:t>
      </w:r>
      <w:r w:rsidR="00D87539">
        <w:rPr>
          <w:lang w:val="fr-FR"/>
        </w:rPr>
        <w:t>’</w:t>
      </w:r>
      <w:r w:rsidRPr="007327F0">
        <w:rPr>
          <w:lang w:val="fr-FR"/>
        </w:rPr>
        <w:t>article 18 devrait être accompagnée d</w:t>
      </w:r>
      <w:r w:rsidR="00D87539">
        <w:rPr>
          <w:lang w:val="fr-FR"/>
        </w:rPr>
        <w:t>’</w:t>
      </w:r>
      <w:r w:rsidRPr="007327F0">
        <w:rPr>
          <w:lang w:val="fr-FR"/>
        </w:rPr>
        <w:t xml:space="preserve">une implication large des parties prenantes, y compris </w:t>
      </w:r>
      <w:r w:rsidR="00927F0E" w:rsidRPr="007327F0">
        <w:rPr>
          <w:lang w:val="fr-FR"/>
        </w:rPr>
        <w:t xml:space="preserve">les </w:t>
      </w:r>
      <w:r w:rsidRPr="007327F0">
        <w:rPr>
          <w:lang w:val="fr-FR"/>
        </w:rPr>
        <w:t>personnes contact</w:t>
      </w:r>
      <w:r w:rsidR="003F12C7">
        <w:rPr>
          <w:lang w:val="fr-FR"/>
        </w:rPr>
        <w:t xml:space="preserve"> des communautés des</w:t>
      </w:r>
      <w:r w:rsidRPr="007327F0">
        <w:rPr>
          <w:lang w:val="fr-FR"/>
        </w:rPr>
        <w:t xml:space="preserve"> éléments inscrits</w:t>
      </w:r>
      <w:r w:rsidR="00FD52FE">
        <w:rPr>
          <w:lang w:val="fr-FR"/>
        </w:rPr>
        <w:t xml:space="preserve"> et </w:t>
      </w:r>
      <w:r w:rsidR="003F12C7">
        <w:rPr>
          <w:lang w:val="fr-FR"/>
        </w:rPr>
        <w:t>de</w:t>
      </w:r>
      <w:r w:rsidR="00FD52FE">
        <w:rPr>
          <w:lang w:val="fr-FR"/>
        </w:rPr>
        <w:t>s pratiques sélectionnées</w:t>
      </w:r>
      <w:r w:rsidRPr="007327F0">
        <w:rPr>
          <w:lang w:val="fr-FR"/>
        </w:rPr>
        <w:t xml:space="preserve">, les points focaux nationaux pour les rapports périodiques, les centres de catégorie 2, les </w:t>
      </w:r>
      <w:r w:rsidR="00260618">
        <w:rPr>
          <w:lang w:val="fr-FR"/>
        </w:rPr>
        <w:t>organisations non gouvernementales</w:t>
      </w:r>
      <w:r w:rsidR="00260618" w:rsidRPr="007327F0">
        <w:rPr>
          <w:lang w:val="fr-FR"/>
        </w:rPr>
        <w:t xml:space="preserve"> </w:t>
      </w:r>
      <w:r w:rsidRPr="007327F0">
        <w:rPr>
          <w:lang w:val="fr-FR"/>
        </w:rPr>
        <w:t xml:space="preserve">accréditées, les chaires UNESCO et </w:t>
      </w:r>
      <w:r w:rsidR="00FD52FE">
        <w:rPr>
          <w:lang w:val="fr-FR"/>
        </w:rPr>
        <w:t>autres experts</w:t>
      </w:r>
      <w:r w:rsidRPr="007327F0">
        <w:rPr>
          <w:lang w:val="fr-FR"/>
        </w:rPr>
        <w:t>.</w:t>
      </w:r>
      <w:r w:rsidR="00705DD3" w:rsidRPr="00705DD3">
        <w:rPr>
          <w:rStyle w:val="ui-provider"/>
          <w:lang w:val="fr-FR"/>
        </w:rPr>
        <w:t xml:space="preserve"> Une utilisation plus large des bonnes pratiques de sauvegarde par de multiples parties prenantes devrait être encouragée pour atteindre les objectifs de la Convention, pour atteindre les objectifs d</w:t>
      </w:r>
      <w:r w:rsidR="00ED37FE">
        <w:rPr>
          <w:rStyle w:val="ui-provider"/>
          <w:lang w:val="fr-FR"/>
        </w:rPr>
        <w:t>u Cadre Global de Résultats (CGR)</w:t>
      </w:r>
      <w:r w:rsidR="00705DD3" w:rsidRPr="00705DD3">
        <w:rPr>
          <w:rStyle w:val="ui-provider"/>
          <w:lang w:val="fr-FR"/>
        </w:rPr>
        <w:t xml:space="preserve"> et les besoins du développement durable.</w:t>
      </w:r>
    </w:p>
    <w:bookmarkEnd w:id="2"/>
    <w:p w14:paraId="41A8B893" w14:textId="413F3628" w:rsidR="00C256C0" w:rsidRDefault="00630A2C" w:rsidP="00D149FF">
      <w:pPr>
        <w:pStyle w:val="COMPara"/>
        <w:ind w:left="567" w:hanging="567"/>
        <w:jc w:val="both"/>
        <w:rPr>
          <w:lang w:val="fr-FR"/>
        </w:rPr>
      </w:pPr>
      <w:r w:rsidRPr="006D7B91">
        <w:rPr>
          <w:lang w:val="fr-FR"/>
        </w:rPr>
        <w:t>La poursuite de la mise en œuvre de l</w:t>
      </w:r>
      <w:r w:rsidR="00D87539">
        <w:rPr>
          <w:lang w:val="fr-FR"/>
        </w:rPr>
        <w:t>’</w:t>
      </w:r>
      <w:r w:rsidRPr="006D7B91">
        <w:rPr>
          <w:lang w:val="fr-FR"/>
        </w:rPr>
        <w:t>article 18 doit être étudiée globalement</w:t>
      </w:r>
      <w:r w:rsidR="00D863C5">
        <w:rPr>
          <w:lang w:val="fr-FR"/>
        </w:rPr>
        <w:t>, lorsque cela est possible,</w:t>
      </w:r>
      <w:r w:rsidRPr="006D7B91">
        <w:rPr>
          <w:lang w:val="fr-FR"/>
        </w:rPr>
        <w:t xml:space="preserve"> </w:t>
      </w:r>
      <w:r w:rsidR="00D278AB" w:rsidRPr="006D7B91">
        <w:rPr>
          <w:lang w:val="fr-FR"/>
        </w:rPr>
        <w:t xml:space="preserve">et </w:t>
      </w:r>
      <w:r w:rsidRPr="006D7B91">
        <w:rPr>
          <w:lang w:val="fr-FR"/>
        </w:rPr>
        <w:t>en</w:t>
      </w:r>
      <w:r w:rsidR="00D863C5">
        <w:rPr>
          <w:lang w:val="fr-FR"/>
        </w:rPr>
        <w:t xml:space="preserve"> faisant</w:t>
      </w:r>
      <w:r w:rsidRPr="006D7B91">
        <w:rPr>
          <w:lang w:val="fr-FR"/>
        </w:rPr>
        <w:t xml:space="preserve"> référence aux dispositions existantes des Directives opérationnelles (</w:t>
      </w:r>
      <w:r w:rsidR="00724B89">
        <w:rPr>
          <w:lang w:val="fr-FR"/>
        </w:rPr>
        <w:t xml:space="preserve">paragraphes 3 à 7, </w:t>
      </w:r>
      <w:r w:rsidR="004162DC" w:rsidRPr="00D149FF">
        <w:rPr>
          <w:lang w:val="fr-FR"/>
        </w:rPr>
        <w:t>9(c)</w:t>
      </w:r>
      <w:r w:rsidR="00260618">
        <w:rPr>
          <w:lang w:val="fr-FR"/>
        </w:rPr>
        <w:t>,</w:t>
      </w:r>
      <w:r w:rsidR="004162DC" w:rsidRPr="00D149FF">
        <w:rPr>
          <w:lang w:val="fr-FR"/>
        </w:rPr>
        <w:t xml:space="preserve"> </w:t>
      </w:r>
      <w:r w:rsidR="00724B89">
        <w:rPr>
          <w:lang w:val="fr-FR"/>
        </w:rPr>
        <w:t>1</w:t>
      </w:r>
      <w:r w:rsidR="00D863C5">
        <w:rPr>
          <w:lang w:val="fr-FR"/>
        </w:rPr>
        <w:t xml:space="preserve">0, </w:t>
      </w:r>
      <w:r w:rsidR="00724B89">
        <w:rPr>
          <w:lang w:val="fr-FR"/>
        </w:rPr>
        <w:t xml:space="preserve">12, 14, </w:t>
      </w:r>
      <w:r w:rsidR="00260618">
        <w:rPr>
          <w:lang w:val="fr-FR"/>
        </w:rPr>
        <w:t xml:space="preserve">20.1, </w:t>
      </w:r>
      <w:r w:rsidR="00724B89">
        <w:rPr>
          <w:lang w:val="fr-FR"/>
        </w:rPr>
        <w:t>21(b), 27, 42</w:t>
      </w:r>
      <w:r w:rsidR="00C57716">
        <w:rPr>
          <w:lang w:val="fr-FR"/>
        </w:rPr>
        <w:t xml:space="preserve"> </w:t>
      </w:r>
      <w:r w:rsidR="00260618">
        <w:rPr>
          <w:lang w:val="fr-FR"/>
        </w:rPr>
        <w:t>à</w:t>
      </w:r>
      <w:r w:rsidR="00C57716">
        <w:rPr>
          <w:lang w:val="fr-FR"/>
        </w:rPr>
        <w:t xml:space="preserve"> 46, 70, </w:t>
      </w:r>
      <w:r w:rsidR="00D863C5">
        <w:rPr>
          <w:lang w:val="fr-FR"/>
        </w:rPr>
        <w:t>80(c), 96(c),</w:t>
      </w:r>
      <w:r w:rsidR="00E26429" w:rsidRPr="00D149FF">
        <w:rPr>
          <w:lang w:val="fr-FR"/>
        </w:rPr>
        <w:t xml:space="preserve"> 106</w:t>
      </w:r>
      <w:r w:rsidR="00D863C5">
        <w:rPr>
          <w:lang w:val="fr-FR"/>
        </w:rPr>
        <w:t>, 107, 118</w:t>
      </w:r>
      <w:r w:rsidR="00260618">
        <w:rPr>
          <w:lang w:val="fr-FR"/>
        </w:rPr>
        <w:t>,</w:t>
      </w:r>
      <w:r w:rsidR="00D863C5">
        <w:rPr>
          <w:lang w:val="fr-FR"/>
        </w:rPr>
        <w:t xml:space="preserve"> 121</w:t>
      </w:r>
      <w:r w:rsidR="00260618">
        <w:rPr>
          <w:lang w:val="fr-FR"/>
        </w:rPr>
        <w:t xml:space="preserve"> et</w:t>
      </w:r>
      <w:r w:rsidR="00D863C5">
        <w:rPr>
          <w:lang w:val="fr-FR"/>
        </w:rPr>
        <w:t xml:space="preserve"> 123</w:t>
      </w:r>
      <w:r w:rsidRPr="006D7B91">
        <w:rPr>
          <w:lang w:val="fr-FR"/>
        </w:rPr>
        <w:t xml:space="preserve">), </w:t>
      </w:r>
      <w:r w:rsidR="00C57716">
        <w:rPr>
          <w:lang w:val="fr-FR"/>
        </w:rPr>
        <w:t>au</w:t>
      </w:r>
      <w:r w:rsidRPr="006D7B91">
        <w:rPr>
          <w:lang w:val="fr-FR"/>
        </w:rPr>
        <w:t xml:space="preserve"> CGR</w:t>
      </w:r>
      <w:r w:rsidR="00C57716">
        <w:rPr>
          <w:lang w:val="fr-FR"/>
        </w:rPr>
        <w:t xml:space="preserve"> </w:t>
      </w:r>
      <w:r w:rsidRPr="006D7B91">
        <w:rPr>
          <w:lang w:val="fr-FR"/>
        </w:rPr>
        <w:t>de la Convention avec ses thématiques, au mécanisme de</w:t>
      </w:r>
      <w:r w:rsidR="00260618">
        <w:rPr>
          <w:lang w:val="fr-FR"/>
        </w:rPr>
        <w:t>s</w:t>
      </w:r>
      <w:r w:rsidRPr="006D7B91">
        <w:rPr>
          <w:lang w:val="fr-FR"/>
        </w:rPr>
        <w:t xml:space="preserve"> rapport</w:t>
      </w:r>
      <w:r w:rsidR="00260618">
        <w:rPr>
          <w:lang w:val="fr-FR"/>
        </w:rPr>
        <w:t>s</w:t>
      </w:r>
      <w:r w:rsidRPr="006D7B91">
        <w:rPr>
          <w:lang w:val="fr-FR"/>
        </w:rPr>
        <w:t xml:space="preserve"> périodique</w:t>
      </w:r>
      <w:r w:rsidR="00260618">
        <w:rPr>
          <w:lang w:val="fr-FR"/>
        </w:rPr>
        <w:t>s</w:t>
      </w:r>
      <w:r w:rsidRPr="006D7B91">
        <w:rPr>
          <w:lang w:val="fr-FR"/>
        </w:rPr>
        <w:t xml:space="preserve"> réformé </w:t>
      </w:r>
      <w:r w:rsidR="00B21227" w:rsidRPr="006D7B91">
        <w:rPr>
          <w:lang w:val="fr-FR"/>
        </w:rPr>
        <w:t xml:space="preserve">pour </w:t>
      </w:r>
      <w:r w:rsidRPr="006D7B91">
        <w:rPr>
          <w:lang w:val="fr-FR"/>
        </w:rPr>
        <w:t>s</w:t>
      </w:r>
      <w:r w:rsidR="00D87539">
        <w:rPr>
          <w:lang w:val="fr-FR"/>
        </w:rPr>
        <w:t>’</w:t>
      </w:r>
      <w:r w:rsidRPr="006D7B91">
        <w:rPr>
          <w:lang w:val="fr-FR"/>
        </w:rPr>
        <w:t xml:space="preserve">aligner </w:t>
      </w:r>
      <w:r w:rsidR="00A03022" w:rsidRPr="006D7B91">
        <w:rPr>
          <w:lang w:val="fr-FR"/>
        </w:rPr>
        <w:t>sur</w:t>
      </w:r>
      <w:r w:rsidRPr="006D7B91">
        <w:rPr>
          <w:lang w:val="fr-FR"/>
        </w:rPr>
        <w:t xml:space="preserve"> le CGR, aux Principes éthiques pour la sauvegarde du </w:t>
      </w:r>
      <w:r w:rsidRPr="006D7B91">
        <w:rPr>
          <w:lang w:val="fr-FR"/>
        </w:rPr>
        <w:lastRenderedPageBreak/>
        <w:t>patrimoine culturel immatériel, ainsi qu</w:t>
      </w:r>
      <w:r w:rsidR="00D87539">
        <w:rPr>
          <w:lang w:val="fr-FR"/>
        </w:rPr>
        <w:t>’</w:t>
      </w:r>
      <w:r w:rsidRPr="006D7B91">
        <w:rPr>
          <w:lang w:val="fr-FR"/>
        </w:rPr>
        <w:t>aux mécanismes de coopération internationale de la Convention tels que le système d</w:t>
      </w:r>
      <w:r w:rsidR="00D87539">
        <w:rPr>
          <w:lang w:val="fr-FR"/>
        </w:rPr>
        <w:t>’</w:t>
      </w:r>
      <w:r w:rsidRPr="006D7B91">
        <w:rPr>
          <w:lang w:val="fr-FR"/>
        </w:rPr>
        <w:t>inscription sur l</w:t>
      </w:r>
      <w:r w:rsidR="00E26429" w:rsidRPr="006D7B91">
        <w:rPr>
          <w:lang w:val="fr-FR"/>
        </w:rPr>
        <w:t>es</w:t>
      </w:r>
      <w:r w:rsidRPr="006D7B91">
        <w:rPr>
          <w:lang w:val="fr-FR"/>
        </w:rPr>
        <w:t xml:space="preserve"> liste</w:t>
      </w:r>
      <w:r w:rsidR="00E26429" w:rsidRPr="006D7B91">
        <w:rPr>
          <w:lang w:val="fr-FR"/>
        </w:rPr>
        <w:t>s</w:t>
      </w:r>
      <w:r w:rsidRPr="006D7B91">
        <w:rPr>
          <w:lang w:val="fr-FR"/>
        </w:rPr>
        <w:t xml:space="preserve"> et l</w:t>
      </w:r>
      <w:r w:rsidR="00D87539">
        <w:rPr>
          <w:lang w:val="fr-FR"/>
        </w:rPr>
        <w:t>’</w:t>
      </w:r>
      <w:r w:rsidRPr="006D7B91">
        <w:rPr>
          <w:lang w:val="fr-FR"/>
        </w:rPr>
        <w:t>assistance internationale.</w:t>
      </w:r>
    </w:p>
    <w:p w14:paraId="70FA84E7" w14:textId="2B075710" w:rsidR="000A5F0E" w:rsidRPr="006D7B91" w:rsidRDefault="000A5F0E" w:rsidP="000A5F0E">
      <w:pPr>
        <w:pStyle w:val="COMPara"/>
        <w:numPr>
          <w:ilvl w:val="0"/>
          <w:numId w:val="0"/>
        </w:numPr>
        <w:jc w:val="both"/>
        <w:rPr>
          <w:b/>
          <w:bCs/>
          <w:lang w:val="fr-FR"/>
        </w:rPr>
      </w:pPr>
      <w:r w:rsidRPr="006D7B91">
        <w:rPr>
          <w:b/>
          <w:bCs/>
          <w:lang w:val="fr-FR"/>
        </w:rPr>
        <w:t>Concernant « Améliorer l</w:t>
      </w:r>
      <w:r w:rsidR="00D87539">
        <w:rPr>
          <w:b/>
          <w:bCs/>
          <w:lang w:val="fr-FR"/>
        </w:rPr>
        <w:t>’</w:t>
      </w:r>
      <w:r w:rsidRPr="006D7B91">
        <w:rPr>
          <w:b/>
          <w:bCs/>
          <w:lang w:val="fr-FR"/>
        </w:rPr>
        <w:t xml:space="preserve">accès et la visibilité du Registre de bonnes pratiques de sauvegarde » (sujet 1) </w:t>
      </w:r>
      <w:r w:rsidR="00A56447" w:rsidRPr="006D7B91">
        <w:rPr>
          <w:b/>
          <w:bCs/>
          <w:lang w:val="fr-FR"/>
        </w:rPr>
        <w:t>–</w:t>
      </w:r>
      <w:r w:rsidRPr="006D7B91">
        <w:rPr>
          <w:b/>
          <w:bCs/>
          <w:lang w:val="fr-FR"/>
        </w:rPr>
        <w:t xml:space="preserve"> voir</w:t>
      </w:r>
      <w:r w:rsidR="00A56447" w:rsidRPr="006D7B91">
        <w:rPr>
          <w:b/>
          <w:bCs/>
          <w:lang w:val="fr-FR"/>
        </w:rPr>
        <w:t xml:space="preserve"> </w:t>
      </w:r>
      <w:r w:rsidRPr="006D7B91">
        <w:rPr>
          <w:b/>
          <w:bCs/>
          <w:lang w:val="fr-FR"/>
        </w:rPr>
        <w:t xml:space="preserve">les rapports des groupes de travail </w:t>
      </w:r>
      <w:hyperlink r:id="rId8" w:history="1">
        <w:r w:rsidRPr="006B2F55">
          <w:rPr>
            <w:rStyle w:val="Hyperlink"/>
            <w:b/>
            <w:bCs/>
            <w:lang w:val="fr-FR"/>
          </w:rPr>
          <w:t>A</w:t>
        </w:r>
      </w:hyperlink>
      <w:r w:rsidRPr="006D7B91">
        <w:rPr>
          <w:b/>
          <w:bCs/>
          <w:lang w:val="fr-FR"/>
        </w:rPr>
        <w:t xml:space="preserve"> et </w:t>
      </w:r>
      <w:hyperlink r:id="rId9" w:history="1">
        <w:r w:rsidRPr="006B2F55">
          <w:rPr>
            <w:rStyle w:val="Hyperlink"/>
            <w:b/>
            <w:bCs/>
            <w:lang w:val="fr-FR"/>
          </w:rPr>
          <w:t>B</w:t>
        </w:r>
      </w:hyperlink>
      <w:r w:rsidRPr="006D7B91">
        <w:rPr>
          <w:b/>
          <w:bCs/>
          <w:lang w:val="fr-FR"/>
        </w:rPr>
        <w:t>.</w:t>
      </w:r>
    </w:p>
    <w:p w14:paraId="55C98575" w14:textId="6C04A4D1" w:rsidR="000A5F0E" w:rsidRPr="006D7B91" w:rsidRDefault="000A5F0E" w:rsidP="005A2758">
      <w:pPr>
        <w:pStyle w:val="COMPara"/>
        <w:ind w:left="567" w:hanging="567"/>
        <w:jc w:val="both"/>
        <w:rPr>
          <w:lang w:val="fr-FR"/>
        </w:rPr>
      </w:pPr>
      <w:r w:rsidRPr="006D7B91">
        <w:rPr>
          <w:lang w:val="fr-FR"/>
        </w:rPr>
        <w:t>Depuis 2009, l</w:t>
      </w:r>
      <w:r w:rsidR="00D87539">
        <w:rPr>
          <w:lang w:val="fr-FR"/>
        </w:rPr>
        <w:t>’</w:t>
      </w:r>
      <w:r w:rsidRPr="006D7B91">
        <w:rPr>
          <w:lang w:val="fr-FR"/>
        </w:rPr>
        <w:t xml:space="preserve">article 18 a été partiellement mis en œuvre par le biais du Registre. Le Registre peut être considéré comme </w:t>
      </w:r>
      <w:r w:rsidR="002C1D1A">
        <w:rPr>
          <w:lang w:val="fr-FR"/>
        </w:rPr>
        <w:t>reflétant directement les ac</w:t>
      </w:r>
      <w:r w:rsidRPr="006D7B91">
        <w:rPr>
          <w:lang w:val="fr-FR"/>
        </w:rPr>
        <w:t>tions des communautés</w:t>
      </w:r>
      <w:r w:rsidR="005A2758">
        <w:rPr>
          <w:lang w:val="fr-FR"/>
        </w:rPr>
        <w:t>,</w:t>
      </w:r>
      <w:r w:rsidRPr="006D7B91">
        <w:rPr>
          <w:lang w:val="fr-FR"/>
        </w:rPr>
        <w:t xml:space="preserve"> </w:t>
      </w:r>
      <w:r w:rsidR="002C1D1A">
        <w:rPr>
          <w:lang w:val="fr-FR"/>
        </w:rPr>
        <w:t>tout en</w:t>
      </w:r>
      <w:r w:rsidRPr="006D7B91">
        <w:rPr>
          <w:lang w:val="fr-FR"/>
        </w:rPr>
        <w:t xml:space="preserve"> ayant le potentiel de servir </w:t>
      </w:r>
      <w:r w:rsidR="00A03022" w:rsidRPr="006D7B91">
        <w:rPr>
          <w:lang w:val="fr-FR"/>
        </w:rPr>
        <w:t>en tant qu</w:t>
      </w:r>
      <w:r w:rsidR="00D87539">
        <w:rPr>
          <w:lang w:val="fr-FR"/>
        </w:rPr>
        <w:t>’</w:t>
      </w:r>
      <w:r w:rsidRPr="006D7B91">
        <w:rPr>
          <w:lang w:val="fr-FR"/>
        </w:rPr>
        <w:t>outil de renforcement des capacités</w:t>
      </w:r>
      <w:r w:rsidR="002C1D1A">
        <w:rPr>
          <w:lang w:val="fr-FR"/>
        </w:rPr>
        <w:t xml:space="preserve"> et multiplier les efforts de sauvegarde</w:t>
      </w:r>
      <w:r w:rsidR="005A2758">
        <w:rPr>
          <w:lang w:val="fr-FR"/>
        </w:rPr>
        <w:t>.</w:t>
      </w:r>
      <w:r w:rsidRPr="006D7B91">
        <w:rPr>
          <w:lang w:val="fr-FR"/>
        </w:rPr>
        <w:t xml:space="preserve"> Afin d</w:t>
      </w:r>
      <w:r w:rsidR="00D87539">
        <w:rPr>
          <w:lang w:val="fr-FR"/>
        </w:rPr>
        <w:t>’</w:t>
      </w:r>
      <w:r w:rsidRPr="006D7B91">
        <w:rPr>
          <w:lang w:val="fr-FR"/>
        </w:rPr>
        <w:t>améliorer l</w:t>
      </w:r>
      <w:r w:rsidR="00D87539">
        <w:rPr>
          <w:lang w:val="fr-FR"/>
        </w:rPr>
        <w:t>’</w:t>
      </w:r>
      <w:r w:rsidRPr="006D7B91">
        <w:rPr>
          <w:lang w:val="fr-FR"/>
        </w:rPr>
        <w:t>accès au Registre et d</w:t>
      </w:r>
      <w:r w:rsidR="00D87539">
        <w:rPr>
          <w:lang w:val="fr-FR"/>
        </w:rPr>
        <w:t>’</w:t>
      </w:r>
      <w:r w:rsidRPr="006D7B91">
        <w:rPr>
          <w:lang w:val="fr-FR"/>
        </w:rPr>
        <w:t>en accroître la visibilité,</w:t>
      </w:r>
      <w:r w:rsidR="00CB25A8">
        <w:rPr>
          <w:lang w:val="fr-FR"/>
        </w:rPr>
        <w:t xml:space="preserve"> </w:t>
      </w:r>
      <w:r w:rsidRPr="006D7B91">
        <w:rPr>
          <w:lang w:val="fr-FR"/>
        </w:rPr>
        <w:t xml:space="preserve">les questions suivantes doivent être </w:t>
      </w:r>
      <w:r w:rsidR="00A03022" w:rsidRPr="006D7B91">
        <w:rPr>
          <w:lang w:val="fr-FR"/>
        </w:rPr>
        <w:t>considérées</w:t>
      </w:r>
      <w:r w:rsidR="00CB25A8">
        <w:rPr>
          <w:lang w:val="fr-FR"/>
        </w:rPr>
        <w:t xml:space="preserve"> en prenant en compte les dispositions mentionnées des </w:t>
      </w:r>
      <w:r w:rsidR="00CB25A8" w:rsidRPr="006D7B91">
        <w:rPr>
          <w:lang w:val="fr-FR"/>
        </w:rPr>
        <w:t>Directives opérationnelles</w:t>
      </w:r>
      <w:r w:rsidR="00CB25A8">
        <w:rPr>
          <w:lang w:val="fr-FR"/>
        </w:rPr>
        <w:t> :</w:t>
      </w:r>
    </w:p>
    <w:p w14:paraId="2F11B6F1" w14:textId="31643B14" w:rsidR="000A5F0E" w:rsidRPr="006D7B91" w:rsidRDefault="000A5F0E" w:rsidP="000A5F0E">
      <w:pPr>
        <w:pStyle w:val="COMPara"/>
        <w:numPr>
          <w:ilvl w:val="0"/>
          <w:numId w:val="0"/>
        </w:numPr>
        <w:jc w:val="both"/>
        <w:rPr>
          <w:b/>
          <w:bCs/>
          <w:lang w:val="fr-FR"/>
        </w:rPr>
      </w:pPr>
      <w:r w:rsidRPr="006D7B91">
        <w:rPr>
          <w:u w:val="single"/>
          <w:lang w:val="fr-FR"/>
        </w:rPr>
        <w:t xml:space="preserve">Relation avec </w:t>
      </w:r>
      <w:r w:rsidR="006B5941" w:rsidRPr="006D7B91">
        <w:rPr>
          <w:u w:val="single"/>
          <w:lang w:val="fr-FR"/>
        </w:rPr>
        <w:t>les mécanismes de coopération internationale</w:t>
      </w:r>
    </w:p>
    <w:p w14:paraId="55A4026F" w14:textId="6A7F7683" w:rsidR="000A5F0E" w:rsidRPr="00CB25A8" w:rsidRDefault="000A5F0E" w:rsidP="0026328B">
      <w:pPr>
        <w:pStyle w:val="COMPara"/>
        <w:ind w:left="567" w:hanging="567"/>
        <w:jc w:val="both"/>
        <w:rPr>
          <w:lang w:val="fr-FR"/>
        </w:rPr>
      </w:pPr>
      <w:r w:rsidRPr="006D7B91">
        <w:rPr>
          <w:lang w:val="fr-FR"/>
        </w:rPr>
        <w:t xml:space="preserve">Le registre </w:t>
      </w:r>
      <w:r w:rsidR="009D1377" w:rsidRPr="006D7B91">
        <w:rPr>
          <w:lang w:val="fr-FR"/>
        </w:rPr>
        <w:t>doit</w:t>
      </w:r>
      <w:r w:rsidRPr="006D7B91">
        <w:rPr>
          <w:lang w:val="fr-FR"/>
        </w:rPr>
        <w:t xml:space="preserve"> être séparé du processus de candidatures</w:t>
      </w:r>
      <w:r w:rsidR="00CB25A8">
        <w:rPr>
          <w:lang w:val="fr-FR"/>
        </w:rPr>
        <w:t xml:space="preserve">, </w:t>
      </w:r>
      <w:r w:rsidR="00EC5616" w:rsidRPr="00CB25A8">
        <w:rPr>
          <w:lang w:val="fr-FR"/>
        </w:rPr>
        <w:t>y compris</w:t>
      </w:r>
      <w:r w:rsidRPr="00CB25A8">
        <w:rPr>
          <w:lang w:val="fr-FR"/>
        </w:rPr>
        <w:t xml:space="preserve"> </w:t>
      </w:r>
      <w:r w:rsidR="00EC5616" w:rsidRPr="00CB25A8">
        <w:rPr>
          <w:lang w:val="fr-FR"/>
        </w:rPr>
        <w:t>le système des priorités et le</w:t>
      </w:r>
      <w:r w:rsidR="0023292A">
        <w:rPr>
          <w:lang w:val="fr-FR"/>
        </w:rPr>
        <w:t xml:space="preserve"> </w:t>
      </w:r>
      <w:r w:rsidR="00856CCB" w:rsidRPr="00CB25A8">
        <w:rPr>
          <w:lang w:val="fr-FR"/>
        </w:rPr>
        <w:t>plafond</w:t>
      </w:r>
      <w:r w:rsidR="00EC5616" w:rsidRPr="00CB25A8">
        <w:rPr>
          <w:lang w:val="fr-FR"/>
        </w:rPr>
        <w:t xml:space="preserve"> annuel de</w:t>
      </w:r>
      <w:r w:rsidR="00CD31E7" w:rsidRPr="00CB25A8">
        <w:rPr>
          <w:lang w:val="fr-FR"/>
        </w:rPr>
        <w:t>s</w:t>
      </w:r>
      <w:r w:rsidR="00EC5616" w:rsidRPr="00CB25A8">
        <w:rPr>
          <w:lang w:val="fr-FR"/>
        </w:rPr>
        <w:t xml:space="preserve"> candidature</w:t>
      </w:r>
      <w:r w:rsidR="00CD31E7" w:rsidRPr="00CB25A8">
        <w:rPr>
          <w:lang w:val="fr-FR"/>
        </w:rPr>
        <w:t>s</w:t>
      </w:r>
      <w:r w:rsidR="00EC5616" w:rsidRPr="00CB25A8">
        <w:rPr>
          <w:lang w:val="fr-FR"/>
        </w:rPr>
        <w:t xml:space="preserve"> </w:t>
      </w:r>
      <w:r w:rsidR="0023292A">
        <w:rPr>
          <w:lang w:val="fr-FR"/>
        </w:rPr>
        <w:t>à</w:t>
      </w:r>
      <w:r w:rsidR="00EC5616" w:rsidRPr="00CB25A8">
        <w:rPr>
          <w:lang w:val="fr-FR"/>
        </w:rPr>
        <w:t xml:space="preserve"> exam</w:t>
      </w:r>
      <w:r w:rsidR="0023292A">
        <w:rPr>
          <w:lang w:val="fr-FR"/>
        </w:rPr>
        <w:t>iner</w:t>
      </w:r>
      <w:r w:rsidR="00EC5616" w:rsidRPr="00CB25A8">
        <w:rPr>
          <w:lang w:val="fr-FR"/>
        </w:rPr>
        <w:t xml:space="preserve">, </w:t>
      </w:r>
      <w:r w:rsidRPr="00CB25A8">
        <w:rPr>
          <w:lang w:val="fr-FR"/>
        </w:rPr>
        <w:t xml:space="preserve">afin que la préparation des propositions </w:t>
      </w:r>
      <w:r w:rsidR="0011535B">
        <w:rPr>
          <w:lang w:val="fr-FR"/>
        </w:rPr>
        <w:t>au</w:t>
      </w:r>
      <w:r w:rsidRPr="00CB25A8">
        <w:rPr>
          <w:lang w:val="fr-FR"/>
        </w:rPr>
        <w:t xml:space="preserve"> Registre ne soit pas en concurrence avec les </w:t>
      </w:r>
      <w:r w:rsidR="002C14DD" w:rsidRPr="00CB25A8">
        <w:rPr>
          <w:lang w:val="fr-FR"/>
        </w:rPr>
        <w:t xml:space="preserve">candidatures </w:t>
      </w:r>
      <w:r w:rsidR="00260618">
        <w:rPr>
          <w:lang w:val="fr-FR"/>
        </w:rPr>
        <w:t>à</w:t>
      </w:r>
      <w:r w:rsidR="00260618" w:rsidRPr="00CB25A8">
        <w:rPr>
          <w:lang w:val="fr-FR"/>
        </w:rPr>
        <w:t xml:space="preserve"> </w:t>
      </w:r>
      <w:r w:rsidRPr="00CB25A8">
        <w:rPr>
          <w:lang w:val="fr-FR"/>
        </w:rPr>
        <w:t xml:space="preserve">la Liste représentative et </w:t>
      </w:r>
      <w:r w:rsidR="00260618">
        <w:rPr>
          <w:lang w:val="fr-FR"/>
        </w:rPr>
        <w:t>à</w:t>
      </w:r>
      <w:r w:rsidR="00260618" w:rsidRPr="00CB25A8">
        <w:rPr>
          <w:lang w:val="fr-FR"/>
        </w:rPr>
        <w:t xml:space="preserve"> </w:t>
      </w:r>
      <w:r w:rsidRPr="00CB25A8">
        <w:rPr>
          <w:lang w:val="fr-FR"/>
        </w:rPr>
        <w:t>la Liste de sauvegarde urgente.</w:t>
      </w:r>
      <w:r w:rsidR="00EC5616" w:rsidRPr="00CB25A8">
        <w:rPr>
          <w:lang w:val="fr-FR"/>
        </w:rPr>
        <w:t xml:space="preserve"> </w:t>
      </w:r>
      <w:r w:rsidR="0011535B">
        <w:rPr>
          <w:lang w:val="fr-FR"/>
        </w:rPr>
        <w:t>Cela pourrait impliquer</w:t>
      </w:r>
      <w:r w:rsidR="0023292A">
        <w:rPr>
          <w:lang w:val="fr-FR"/>
        </w:rPr>
        <w:t xml:space="preserve"> </w:t>
      </w:r>
      <w:r w:rsidR="00201370">
        <w:rPr>
          <w:lang w:val="fr-FR"/>
        </w:rPr>
        <w:t>la recherche de manières plus</w:t>
      </w:r>
      <w:r w:rsidR="0023292A">
        <w:rPr>
          <w:lang w:val="fr-FR"/>
        </w:rPr>
        <w:t xml:space="preserve"> </w:t>
      </w:r>
      <w:r w:rsidR="00201370">
        <w:rPr>
          <w:lang w:val="fr-FR"/>
        </w:rPr>
        <w:t>légères</w:t>
      </w:r>
      <w:r w:rsidR="0023292A">
        <w:rPr>
          <w:lang w:val="fr-FR"/>
        </w:rPr>
        <w:t xml:space="preserve"> d</w:t>
      </w:r>
      <w:r w:rsidR="00D87539">
        <w:rPr>
          <w:lang w:val="fr-FR"/>
        </w:rPr>
        <w:t>’</w:t>
      </w:r>
      <w:r w:rsidR="0023292A">
        <w:rPr>
          <w:lang w:val="fr-FR"/>
        </w:rPr>
        <w:t xml:space="preserve">évaluer </w:t>
      </w:r>
      <w:r w:rsidR="00201370">
        <w:rPr>
          <w:lang w:val="fr-FR"/>
        </w:rPr>
        <w:t xml:space="preserve">les propositions </w:t>
      </w:r>
      <w:r w:rsidR="0011535B">
        <w:rPr>
          <w:lang w:val="fr-FR"/>
        </w:rPr>
        <w:t>au</w:t>
      </w:r>
      <w:r w:rsidR="00201370">
        <w:rPr>
          <w:lang w:val="fr-FR"/>
        </w:rPr>
        <w:t xml:space="preserve"> Registre</w:t>
      </w:r>
      <w:r w:rsidR="00E3480A">
        <w:rPr>
          <w:lang w:val="fr-FR"/>
        </w:rPr>
        <w:t xml:space="preserve"> pourrai</w:t>
      </w:r>
      <w:r w:rsidR="00260618">
        <w:rPr>
          <w:lang w:val="fr-FR"/>
        </w:rPr>
        <w:t>en</w:t>
      </w:r>
      <w:r w:rsidR="00E3480A">
        <w:rPr>
          <w:lang w:val="fr-FR"/>
        </w:rPr>
        <w:t>t être envisagée</w:t>
      </w:r>
      <w:r w:rsidR="00260618">
        <w:rPr>
          <w:lang w:val="fr-FR"/>
        </w:rPr>
        <w:t>s</w:t>
      </w:r>
      <w:r w:rsidR="00E62A73">
        <w:rPr>
          <w:lang w:val="fr-FR"/>
        </w:rPr>
        <w:t xml:space="preserve">, </w:t>
      </w:r>
      <w:r w:rsidR="003F12C7">
        <w:rPr>
          <w:lang w:val="fr-FR"/>
        </w:rPr>
        <w:t>en déchargeant</w:t>
      </w:r>
      <w:r w:rsidR="00E62A73">
        <w:rPr>
          <w:lang w:val="fr-FR"/>
        </w:rPr>
        <w:t xml:space="preserve"> l</w:t>
      </w:r>
      <w:r w:rsidR="00D87539">
        <w:rPr>
          <w:lang w:val="fr-FR"/>
        </w:rPr>
        <w:t>’</w:t>
      </w:r>
      <w:r w:rsidR="00E62A73">
        <w:rPr>
          <w:lang w:val="fr-FR"/>
        </w:rPr>
        <w:t>Organe d</w:t>
      </w:r>
      <w:r w:rsidR="00D87539">
        <w:rPr>
          <w:lang w:val="fr-FR"/>
        </w:rPr>
        <w:t>’</w:t>
      </w:r>
      <w:r w:rsidR="00E62A73">
        <w:rPr>
          <w:lang w:val="fr-FR"/>
        </w:rPr>
        <w:t>évaluation de cette tâche</w:t>
      </w:r>
      <w:r w:rsidR="00EC5616" w:rsidRPr="00CB25A8">
        <w:rPr>
          <w:lang w:val="fr-FR"/>
        </w:rPr>
        <w:t>.</w:t>
      </w:r>
    </w:p>
    <w:p w14:paraId="32E05CD3" w14:textId="0E099859" w:rsidR="00FA2605" w:rsidRPr="00AF5D77" w:rsidRDefault="00FA2605" w:rsidP="0026328B">
      <w:pPr>
        <w:pStyle w:val="COMPara"/>
        <w:ind w:left="567" w:hanging="567"/>
        <w:jc w:val="both"/>
        <w:rPr>
          <w:lang w:val="fr-FR"/>
        </w:rPr>
      </w:pPr>
      <w:r w:rsidRPr="006D7B91">
        <w:rPr>
          <w:lang w:val="fr-FR"/>
        </w:rPr>
        <w:t>Au sens de</w:t>
      </w:r>
      <w:r w:rsidR="00856CCB">
        <w:rPr>
          <w:lang w:val="fr-FR"/>
        </w:rPr>
        <w:t>s</w:t>
      </w:r>
      <w:r w:rsidRPr="006D7B91">
        <w:rPr>
          <w:lang w:val="fr-FR"/>
        </w:rPr>
        <w:t xml:space="preserve"> article</w:t>
      </w:r>
      <w:r w:rsidR="00856CCB">
        <w:rPr>
          <w:lang w:val="fr-FR"/>
        </w:rPr>
        <w:t>s</w:t>
      </w:r>
      <w:r w:rsidRPr="006D7B91">
        <w:rPr>
          <w:lang w:val="fr-FR"/>
        </w:rPr>
        <w:t xml:space="preserve"> 18.2</w:t>
      </w:r>
      <w:r w:rsidR="00856CCB">
        <w:rPr>
          <w:lang w:val="fr-FR"/>
        </w:rPr>
        <w:t xml:space="preserve"> et 18.3</w:t>
      </w:r>
      <w:r w:rsidRPr="006D7B91">
        <w:rPr>
          <w:lang w:val="fr-FR"/>
        </w:rPr>
        <w:t xml:space="preserve">, les États parties </w:t>
      </w:r>
      <w:r w:rsidR="00C52961">
        <w:rPr>
          <w:lang w:val="fr-FR"/>
        </w:rPr>
        <w:t xml:space="preserve">et autres parties prenantes </w:t>
      </w:r>
      <w:r w:rsidR="009D1377" w:rsidRPr="006D7B91">
        <w:rPr>
          <w:lang w:val="fr-FR"/>
        </w:rPr>
        <w:t>doivent</w:t>
      </w:r>
      <w:r w:rsidRPr="006D7B91">
        <w:rPr>
          <w:lang w:val="fr-FR"/>
        </w:rPr>
        <w:t xml:space="preserve"> être encouragés à utiliser l</w:t>
      </w:r>
      <w:r w:rsidR="00D87539">
        <w:rPr>
          <w:lang w:val="fr-FR"/>
        </w:rPr>
        <w:t>’</w:t>
      </w:r>
      <w:r w:rsidRPr="006D7B91">
        <w:rPr>
          <w:lang w:val="fr-FR"/>
        </w:rPr>
        <w:t xml:space="preserve">assistance internationale </w:t>
      </w:r>
      <w:r w:rsidR="00C52961">
        <w:rPr>
          <w:lang w:val="fr-FR"/>
        </w:rPr>
        <w:t>et/ou co</w:t>
      </w:r>
      <w:r w:rsidR="00381158">
        <w:rPr>
          <w:lang w:val="fr-FR"/>
        </w:rPr>
        <w:t>opérer, y compris par le biais du co-financement,</w:t>
      </w:r>
      <w:r w:rsidR="00C52961">
        <w:rPr>
          <w:lang w:val="fr-FR"/>
        </w:rPr>
        <w:t xml:space="preserve"> </w:t>
      </w:r>
      <w:r w:rsidRPr="006D7B91">
        <w:rPr>
          <w:lang w:val="fr-FR"/>
        </w:rPr>
        <w:t xml:space="preserve">pour </w:t>
      </w:r>
      <w:r w:rsidR="00C52961">
        <w:rPr>
          <w:lang w:val="fr-FR"/>
        </w:rPr>
        <w:t>la</w:t>
      </w:r>
      <w:r w:rsidR="00C52961" w:rsidRPr="006D7B91">
        <w:rPr>
          <w:lang w:val="fr-FR"/>
        </w:rPr>
        <w:t xml:space="preserve"> </w:t>
      </w:r>
      <w:r w:rsidRPr="006D7B91">
        <w:rPr>
          <w:lang w:val="fr-FR"/>
        </w:rPr>
        <w:t>prépar</w:t>
      </w:r>
      <w:r w:rsidR="00C52961">
        <w:rPr>
          <w:lang w:val="fr-FR"/>
        </w:rPr>
        <w:t>ation</w:t>
      </w:r>
      <w:r w:rsidR="00201370">
        <w:rPr>
          <w:lang w:val="fr-FR"/>
        </w:rPr>
        <w:t>,</w:t>
      </w:r>
      <w:r w:rsidR="00C52961">
        <w:rPr>
          <w:lang w:val="fr-FR"/>
        </w:rPr>
        <w:t xml:space="preserve"> la</w:t>
      </w:r>
      <w:r w:rsidR="00201370">
        <w:rPr>
          <w:lang w:val="fr-FR"/>
        </w:rPr>
        <w:t xml:space="preserve"> </w:t>
      </w:r>
      <w:r w:rsidR="00856CCB">
        <w:rPr>
          <w:lang w:val="fr-FR"/>
        </w:rPr>
        <w:t>m</w:t>
      </w:r>
      <w:r w:rsidR="00C52961">
        <w:rPr>
          <w:lang w:val="fr-FR"/>
        </w:rPr>
        <w:t>ise</w:t>
      </w:r>
      <w:r w:rsidR="00856CCB">
        <w:rPr>
          <w:lang w:val="fr-FR"/>
        </w:rPr>
        <w:t xml:space="preserve"> en œuvre </w:t>
      </w:r>
      <w:r w:rsidR="00201370">
        <w:rPr>
          <w:lang w:val="fr-FR"/>
        </w:rPr>
        <w:t xml:space="preserve">et </w:t>
      </w:r>
      <w:r w:rsidR="00C52961">
        <w:rPr>
          <w:lang w:val="fr-FR"/>
        </w:rPr>
        <w:t xml:space="preserve">le </w:t>
      </w:r>
      <w:r w:rsidR="00201370">
        <w:rPr>
          <w:lang w:val="fr-FR"/>
        </w:rPr>
        <w:t>suiv</w:t>
      </w:r>
      <w:r w:rsidR="00C52961">
        <w:rPr>
          <w:lang w:val="fr-FR"/>
        </w:rPr>
        <w:t>i</w:t>
      </w:r>
      <w:r w:rsidR="00201370">
        <w:rPr>
          <w:lang w:val="fr-FR"/>
        </w:rPr>
        <w:t xml:space="preserve"> </w:t>
      </w:r>
      <w:r w:rsidRPr="006D7B91">
        <w:rPr>
          <w:lang w:val="fr-FR"/>
        </w:rPr>
        <w:t>des propositions de programmes, projets ou activités</w:t>
      </w:r>
      <w:r w:rsidR="00F60C0F">
        <w:rPr>
          <w:rStyle w:val="FootnoteReference"/>
          <w:lang w:val="fr-FR"/>
        </w:rPr>
        <w:footnoteReference w:id="2"/>
      </w:r>
      <w:r w:rsidR="00E3480A">
        <w:rPr>
          <w:lang w:val="fr-FR"/>
        </w:rPr>
        <w:t>.</w:t>
      </w:r>
      <w:r w:rsidR="00C52961">
        <w:rPr>
          <w:lang w:val="fr-FR"/>
        </w:rPr>
        <w:t xml:space="preserve"> Une attention </w:t>
      </w:r>
      <w:r w:rsidR="003F12C7">
        <w:rPr>
          <w:lang w:val="fr-FR"/>
        </w:rPr>
        <w:t xml:space="preserve">particulière </w:t>
      </w:r>
      <w:r w:rsidR="00C52961">
        <w:rPr>
          <w:lang w:val="fr-FR"/>
        </w:rPr>
        <w:t xml:space="preserve">devrait être accordée à la </w:t>
      </w:r>
      <w:r w:rsidR="003F12C7">
        <w:rPr>
          <w:lang w:val="fr-FR"/>
        </w:rPr>
        <w:t>mise en œuvre</w:t>
      </w:r>
      <w:r w:rsidR="00C52961">
        <w:rPr>
          <w:lang w:val="fr-FR"/>
        </w:rPr>
        <w:t xml:space="preserve"> d</w:t>
      </w:r>
      <w:r w:rsidR="00D87539">
        <w:rPr>
          <w:lang w:val="fr-FR"/>
        </w:rPr>
        <w:t>’</w:t>
      </w:r>
      <w:r w:rsidR="00C52961">
        <w:rPr>
          <w:lang w:val="fr-FR"/>
        </w:rPr>
        <w:t xml:space="preserve">activités </w:t>
      </w:r>
      <w:r w:rsidR="003F12C7">
        <w:rPr>
          <w:lang w:val="fr-FR"/>
        </w:rPr>
        <w:t>axées</w:t>
      </w:r>
      <w:r w:rsidR="00C52961">
        <w:rPr>
          <w:lang w:val="fr-FR"/>
        </w:rPr>
        <w:t xml:space="preserve"> su</w:t>
      </w:r>
      <w:r w:rsidR="00C52961" w:rsidRPr="00AF5D77">
        <w:rPr>
          <w:lang w:val="fr-FR"/>
        </w:rPr>
        <w:t>r le renforcement de</w:t>
      </w:r>
      <w:r w:rsidR="003F12C7" w:rsidRPr="00AF5D77">
        <w:rPr>
          <w:lang w:val="fr-FR"/>
        </w:rPr>
        <w:t>s</w:t>
      </w:r>
      <w:r w:rsidR="00C52961" w:rsidRPr="00AF5D77">
        <w:rPr>
          <w:lang w:val="fr-FR"/>
        </w:rPr>
        <w:t xml:space="preserve"> capacités</w:t>
      </w:r>
      <w:r w:rsidR="00381158" w:rsidRPr="00AF5D77">
        <w:rPr>
          <w:lang w:val="fr-FR"/>
        </w:rPr>
        <w:t xml:space="preserve">, </w:t>
      </w:r>
      <w:r w:rsidR="00F60C0F" w:rsidRPr="00AF5D77">
        <w:rPr>
          <w:lang w:val="fr-FR"/>
        </w:rPr>
        <w:t xml:space="preserve">l’échange, </w:t>
      </w:r>
      <w:r w:rsidR="00381158" w:rsidRPr="00AF5D77">
        <w:rPr>
          <w:lang w:val="fr-FR"/>
        </w:rPr>
        <w:t>le partage</w:t>
      </w:r>
      <w:r w:rsidR="00C52961" w:rsidRPr="00AF5D77">
        <w:rPr>
          <w:lang w:val="fr-FR"/>
        </w:rPr>
        <w:t xml:space="preserve"> et la sensibilisation afin de promouvoir cet effort.</w:t>
      </w:r>
    </w:p>
    <w:p w14:paraId="01D162AE" w14:textId="77777777" w:rsidR="00A546CE" w:rsidRPr="00AF5D77" w:rsidRDefault="00A546CE" w:rsidP="00A546CE">
      <w:pPr>
        <w:pStyle w:val="COMPara"/>
        <w:numPr>
          <w:ilvl w:val="0"/>
          <w:numId w:val="0"/>
        </w:numPr>
        <w:jc w:val="both"/>
        <w:rPr>
          <w:u w:val="single"/>
          <w:lang w:val="fr-FR"/>
        </w:rPr>
      </w:pPr>
      <w:r w:rsidRPr="00AF5D77">
        <w:rPr>
          <w:u w:val="single"/>
          <w:lang w:val="fr-FR"/>
        </w:rPr>
        <w:t>Critères de sélection</w:t>
      </w:r>
    </w:p>
    <w:p w14:paraId="58C34CC1" w14:textId="52EB5D0D" w:rsidR="00A546CE" w:rsidRPr="00AF5D77" w:rsidRDefault="00A546CE" w:rsidP="0026328B">
      <w:pPr>
        <w:pStyle w:val="COMPara"/>
        <w:ind w:left="567" w:hanging="567"/>
        <w:jc w:val="both"/>
        <w:rPr>
          <w:lang w:val="fr-FR"/>
        </w:rPr>
      </w:pPr>
      <w:r w:rsidRPr="00AF5D77">
        <w:rPr>
          <w:lang w:val="fr-FR"/>
        </w:rPr>
        <w:t>Le</w:t>
      </w:r>
      <w:r w:rsidR="0011535B" w:rsidRPr="00AF5D77">
        <w:rPr>
          <w:lang w:val="fr-FR"/>
        </w:rPr>
        <w:t>s</w:t>
      </w:r>
      <w:r w:rsidRPr="00AF5D77">
        <w:rPr>
          <w:lang w:val="fr-FR"/>
        </w:rPr>
        <w:t xml:space="preserve"> critères de sélection </w:t>
      </w:r>
      <w:r w:rsidR="0011535B" w:rsidRPr="00AF5D77">
        <w:rPr>
          <w:lang w:val="fr-FR"/>
        </w:rPr>
        <w:t>devraient</w:t>
      </w:r>
      <w:r w:rsidRPr="00AF5D77">
        <w:rPr>
          <w:lang w:val="fr-FR"/>
        </w:rPr>
        <w:t xml:space="preserve"> être </w:t>
      </w:r>
      <w:r w:rsidR="00ED267C" w:rsidRPr="00AF5D77">
        <w:rPr>
          <w:lang w:val="fr-FR"/>
        </w:rPr>
        <w:t>révisés afin de tenir en</w:t>
      </w:r>
      <w:r w:rsidRPr="00AF5D77">
        <w:rPr>
          <w:lang w:val="fr-FR"/>
        </w:rPr>
        <w:t xml:space="preserve"> compte des éléments suivants :</w:t>
      </w:r>
    </w:p>
    <w:p w14:paraId="50C367FF" w14:textId="66C8FE3F" w:rsidR="003C3330" w:rsidRPr="00AF5D77" w:rsidRDefault="00A546CE" w:rsidP="00ED267C">
      <w:pPr>
        <w:pStyle w:val="COMPara"/>
        <w:numPr>
          <w:ilvl w:val="1"/>
          <w:numId w:val="2"/>
        </w:numPr>
        <w:ind w:left="1134" w:hanging="567"/>
        <w:jc w:val="both"/>
        <w:rPr>
          <w:lang w:val="fr-FR"/>
        </w:rPr>
      </w:pPr>
      <w:r w:rsidRPr="00AF5D77">
        <w:rPr>
          <w:lang w:val="fr-FR"/>
        </w:rPr>
        <w:t xml:space="preserve">Les critères devraient </w:t>
      </w:r>
      <w:r w:rsidR="00856CCB" w:rsidRPr="00AF5D77">
        <w:rPr>
          <w:lang w:val="fr-FR"/>
        </w:rPr>
        <w:t xml:space="preserve">se concentrer sur </w:t>
      </w:r>
      <w:r w:rsidRPr="00AF5D77">
        <w:rPr>
          <w:lang w:val="fr-FR"/>
        </w:rPr>
        <w:t>la description du programme, projet ou activité au sens de l</w:t>
      </w:r>
      <w:r w:rsidR="00D87539" w:rsidRPr="00AF5D77">
        <w:rPr>
          <w:lang w:val="fr-FR"/>
        </w:rPr>
        <w:t>’</w:t>
      </w:r>
      <w:r w:rsidRPr="00AF5D77">
        <w:rPr>
          <w:lang w:val="fr-FR"/>
        </w:rPr>
        <w:t xml:space="preserve">article 2.3 de la Convention, </w:t>
      </w:r>
      <w:r w:rsidR="00ED267C" w:rsidRPr="00AF5D77">
        <w:rPr>
          <w:lang w:val="fr-FR"/>
        </w:rPr>
        <w:t xml:space="preserve">sur les références </w:t>
      </w:r>
      <w:r w:rsidR="0011535B" w:rsidRPr="00AF5D77">
        <w:rPr>
          <w:lang w:val="fr-FR"/>
        </w:rPr>
        <w:t xml:space="preserve">aux </w:t>
      </w:r>
      <w:r w:rsidR="00ED267C" w:rsidRPr="00AF5D77">
        <w:rPr>
          <w:lang w:val="fr-FR"/>
        </w:rPr>
        <w:t>mesures de sauvegarde d</w:t>
      </w:r>
      <w:r w:rsidR="0011535B" w:rsidRPr="00AF5D77">
        <w:rPr>
          <w:lang w:val="fr-FR"/>
        </w:rPr>
        <w:t>ans les</w:t>
      </w:r>
      <w:r w:rsidR="00ED267C" w:rsidRPr="00AF5D77">
        <w:rPr>
          <w:lang w:val="fr-FR"/>
        </w:rPr>
        <w:t xml:space="preserve"> Directives opérationnelles, sur l</w:t>
      </w:r>
      <w:r w:rsidRPr="00AF5D77">
        <w:rPr>
          <w:lang w:val="fr-FR"/>
        </w:rPr>
        <w:t xml:space="preserve">es principes et objectifs de la Convention </w:t>
      </w:r>
      <w:r w:rsidR="00ED267C" w:rsidRPr="00AF5D77">
        <w:rPr>
          <w:lang w:val="fr-FR"/>
        </w:rPr>
        <w:t>ainsi que sur le</w:t>
      </w:r>
      <w:r w:rsidRPr="00AF5D77">
        <w:rPr>
          <w:lang w:val="fr-FR"/>
        </w:rPr>
        <w:t>s Principes éthiques pour la sauvegarde du patrimoine culturel immatériel (</w:t>
      </w:r>
      <w:r w:rsidR="0011535B" w:rsidRPr="00AF5D77">
        <w:rPr>
          <w:lang w:val="fr-FR"/>
        </w:rPr>
        <w:t xml:space="preserve">les </w:t>
      </w:r>
      <w:r w:rsidRPr="00AF5D77">
        <w:rPr>
          <w:lang w:val="fr-FR"/>
        </w:rPr>
        <w:t>critères P.1 et P.3</w:t>
      </w:r>
      <w:r w:rsidR="00856CCB" w:rsidRPr="00AF5D77">
        <w:rPr>
          <w:lang w:val="fr-FR"/>
        </w:rPr>
        <w:t xml:space="preserve"> qui devraient être combinés</w:t>
      </w:r>
      <w:r w:rsidRPr="00AF5D77">
        <w:rPr>
          <w:lang w:val="fr-FR"/>
        </w:rPr>
        <w:t>).</w:t>
      </w:r>
    </w:p>
    <w:p w14:paraId="19122B82" w14:textId="53B0BBC5" w:rsidR="003C3330" w:rsidRDefault="00A546CE" w:rsidP="00ED267C">
      <w:pPr>
        <w:pStyle w:val="COMPara"/>
        <w:numPr>
          <w:ilvl w:val="1"/>
          <w:numId w:val="2"/>
        </w:numPr>
        <w:ind w:left="1134" w:hanging="567"/>
        <w:jc w:val="both"/>
        <w:rPr>
          <w:lang w:val="fr-FR"/>
        </w:rPr>
      </w:pPr>
      <w:r w:rsidRPr="00AF5D77">
        <w:rPr>
          <w:lang w:val="fr-FR"/>
        </w:rPr>
        <w:t xml:space="preserve">La participation des communautés </w:t>
      </w:r>
      <w:r w:rsidR="00F35E96">
        <w:rPr>
          <w:lang w:val="fr-FR"/>
        </w:rPr>
        <w:t xml:space="preserve">concernées </w:t>
      </w:r>
      <w:r w:rsidRPr="00AF5D77">
        <w:rPr>
          <w:lang w:val="fr-FR"/>
        </w:rPr>
        <w:t>doit</w:t>
      </w:r>
      <w:r w:rsidRPr="00ED267C">
        <w:rPr>
          <w:lang w:val="fr-FR"/>
        </w:rPr>
        <w:t xml:space="preserve"> être une </w:t>
      </w:r>
      <w:r w:rsidRPr="00ED267C">
        <w:rPr>
          <w:rStyle w:val="ui-provider"/>
          <w:lang w:val="fr-FR"/>
        </w:rPr>
        <w:t>exigence</w:t>
      </w:r>
      <w:r w:rsidRPr="00ED267C">
        <w:rPr>
          <w:lang w:val="fr-FR"/>
        </w:rPr>
        <w:t xml:space="preserve"> </w:t>
      </w:r>
      <w:r w:rsidR="00ED267C" w:rsidRPr="00ED267C">
        <w:rPr>
          <w:lang w:val="fr-FR"/>
        </w:rPr>
        <w:t>majeure</w:t>
      </w:r>
      <w:r w:rsidRPr="00ED267C">
        <w:rPr>
          <w:lang w:val="fr-FR"/>
        </w:rPr>
        <w:t xml:space="preserve"> (</w:t>
      </w:r>
      <w:r w:rsidR="0011535B">
        <w:rPr>
          <w:lang w:val="fr-FR"/>
        </w:rPr>
        <w:t xml:space="preserve">les </w:t>
      </w:r>
      <w:r w:rsidRPr="00ED267C">
        <w:rPr>
          <w:lang w:val="fr-FR"/>
        </w:rPr>
        <w:t>critère</w:t>
      </w:r>
      <w:r w:rsidR="0011535B">
        <w:rPr>
          <w:lang w:val="fr-FR"/>
        </w:rPr>
        <w:t>s</w:t>
      </w:r>
      <w:r w:rsidRPr="00ED267C">
        <w:rPr>
          <w:lang w:val="fr-FR"/>
        </w:rPr>
        <w:t xml:space="preserve"> P.5</w:t>
      </w:r>
      <w:r w:rsidR="00856CCB" w:rsidRPr="00ED267C">
        <w:rPr>
          <w:lang w:val="fr-FR"/>
        </w:rPr>
        <w:t xml:space="preserve"> </w:t>
      </w:r>
      <w:r w:rsidR="00ED267C" w:rsidRPr="00ED267C">
        <w:rPr>
          <w:lang w:val="fr-FR"/>
        </w:rPr>
        <w:t xml:space="preserve">et </w:t>
      </w:r>
      <w:r w:rsidR="00856CCB" w:rsidRPr="00ED267C">
        <w:rPr>
          <w:lang w:val="fr-FR"/>
        </w:rPr>
        <w:t xml:space="preserve">partiellement </w:t>
      </w:r>
      <w:r w:rsidRPr="00ED267C">
        <w:rPr>
          <w:lang w:val="fr-FR"/>
        </w:rPr>
        <w:t>P.7</w:t>
      </w:r>
      <w:r w:rsidR="00ED267C" w:rsidRPr="00ED267C">
        <w:rPr>
          <w:lang w:val="fr-FR"/>
        </w:rPr>
        <w:t xml:space="preserve"> avec l</w:t>
      </w:r>
      <w:r w:rsidR="00D87539">
        <w:rPr>
          <w:lang w:val="fr-FR"/>
        </w:rPr>
        <w:t>’</w:t>
      </w:r>
      <w:r w:rsidR="00ED267C" w:rsidRPr="00ED267C">
        <w:rPr>
          <w:lang w:val="fr-FR"/>
        </w:rPr>
        <w:t>inclusion du principe éthique 4</w:t>
      </w:r>
      <w:r w:rsidRPr="00ED267C">
        <w:rPr>
          <w:lang w:val="fr-FR"/>
        </w:rPr>
        <w:t>).</w:t>
      </w:r>
    </w:p>
    <w:p w14:paraId="6D8F22F4" w14:textId="691188DD" w:rsidR="003C3330" w:rsidRDefault="00A546CE" w:rsidP="00ED267C">
      <w:pPr>
        <w:pStyle w:val="COMPara"/>
        <w:numPr>
          <w:ilvl w:val="1"/>
          <w:numId w:val="2"/>
        </w:numPr>
        <w:ind w:left="1134" w:hanging="567"/>
        <w:jc w:val="both"/>
        <w:rPr>
          <w:lang w:val="fr-FR"/>
        </w:rPr>
      </w:pPr>
      <w:r w:rsidRPr="00ED267C">
        <w:rPr>
          <w:lang w:val="fr-FR"/>
        </w:rPr>
        <w:t xml:space="preserve">En outre, il </w:t>
      </w:r>
      <w:r w:rsidR="002C14DD" w:rsidRPr="00ED267C">
        <w:rPr>
          <w:lang w:val="fr-FR"/>
        </w:rPr>
        <w:t xml:space="preserve">doit être </w:t>
      </w:r>
      <w:r w:rsidRPr="00ED267C">
        <w:rPr>
          <w:lang w:val="fr-FR"/>
        </w:rPr>
        <w:t>nécessaire de démontrer l</w:t>
      </w:r>
      <w:r w:rsidR="00D87539">
        <w:rPr>
          <w:lang w:val="fr-FR"/>
        </w:rPr>
        <w:t>’</w:t>
      </w:r>
      <w:r w:rsidRPr="00ED267C">
        <w:rPr>
          <w:lang w:val="fr-FR"/>
        </w:rPr>
        <w:t>efficacité du programme, du projet ou de l</w:t>
      </w:r>
      <w:r w:rsidR="00D87539">
        <w:rPr>
          <w:lang w:val="fr-FR"/>
        </w:rPr>
        <w:t>’</w:t>
      </w:r>
      <w:r w:rsidRPr="00ED267C">
        <w:rPr>
          <w:lang w:val="fr-FR"/>
        </w:rPr>
        <w:t>activité</w:t>
      </w:r>
      <w:r w:rsidR="0011535B">
        <w:rPr>
          <w:lang w:val="fr-FR"/>
        </w:rPr>
        <w:t> ;</w:t>
      </w:r>
      <w:r w:rsidRPr="00ED267C">
        <w:rPr>
          <w:lang w:val="fr-FR"/>
        </w:rPr>
        <w:t xml:space="preserve"> </w:t>
      </w:r>
      <w:r w:rsidR="00ED267C" w:rsidRPr="00ED267C">
        <w:rPr>
          <w:lang w:val="fr-FR"/>
        </w:rPr>
        <w:t>cependant</w:t>
      </w:r>
      <w:r w:rsidR="0011535B">
        <w:rPr>
          <w:lang w:val="fr-FR"/>
        </w:rPr>
        <w:t>,</w:t>
      </w:r>
      <w:r w:rsidR="00ED267C" w:rsidRPr="00ED267C">
        <w:rPr>
          <w:lang w:val="fr-FR"/>
        </w:rPr>
        <w:t xml:space="preserve"> cela pourrait </w:t>
      </w:r>
      <w:r w:rsidR="0011535B">
        <w:rPr>
          <w:lang w:val="fr-FR"/>
        </w:rPr>
        <w:t>rendre redondante</w:t>
      </w:r>
      <w:r w:rsidR="00ED267C" w:rsidRPr="00ED267C">
        <w:rPr>
          <w:lang w:val="fr-FR"/>
        </w:rPr>
        <w:t xml:space="preserve"> l</w:t>
      </w:r>
      <w:r w:rsidR="00D87539">
        <w:rPr>
          <w:lang w:val="fr-FR"/>
        </w:rPr>
        <w:t>’</w:t>
      </w:r>
      <w:r w:rsidR="00ED267C" w:rsidRPr="00ED267C">
        <w:rPr>
          <w:lang w:val="fr-FR"/>
        </w:rPr>
        <w:t>exigence d</w:t>
      </w:r>
      <w:r w:rsidR="00D87539">
        <w:rPr>
          <w:lang w:val="fr-FR"/>
        </w:rPr>
        <w:t>’</w:t>
      </w:r>
      <w:r w:rsidR="00ED267C" w:rsidRPr="00ED267C">
        <w:rPr>
          <w:lang w:val="fr-FR"/>
        </w:rPr>
        <w:t>évaluation des résultats (</w:t>
      </w:r>
      <w:r w:rsidR="0011535B">
        <w:rPr>
          <w:lang w:val="fr-FR"/>
        </w:rPr>
        <w:t xml:space="preserve">le </w:t>
      </w:r>
      <w:r w:rsidRPr="00ED267C">
        <w:rPr>
          <w:lang w:val="fr-FR"/>
        </w:rPr>
        <w:t xml:space="preserve">critère P.4 </w:t>
      </w:r>
      <w:r w:rsidR="00ED267C">
        <w:rPr>
          <w:lang w:val="fr-FR"/>
        </w:rPr>
        <w:t xml:space="preserve">pourrait ainsi être maintenu et </w:t>
      </w:r>
      <w:r w:rsidR="0011535B">
        <w:rPr>
          <w:lang w:val="fr-FR"/>
        </w:rPr>
        <w:t xml:space="preserve">le </w:t>
      </w:r>
      <w:r w:rsidR="00ED267C">
        <w:rPr>
          <w:lang w:val="fr-FR"/>
        </w:rPr>
        <w:t>critère</w:t>
      </w:r>
      <w:r w:rsidRPr="00ED267C">
        <w:rPr>
          <w:lang w:val="fr-FR"/>
        </w:rPr>
        <w:t xml:space="preserve"> P.8</w:t>
      </w:r>
      <w:r w:rsidR="00ED267C">
        <w:rPr>
          <w:lang w:val="fr-FR"/>
        </w:rPr>
        <w:t xml:space="preserve"> supprimé</w:t>
      </w:r>
      <w:r w:rsidRPr="00ED267C">
        <w:rPr>
          <w:lang w:val="fr-FR"/>
        </w:rPr>
        <w:t>).</w:t>
      </w:r>
    </w:p>
    <w:p w14:paraId="64191419" w14:textId="60BC8031" w:rsidR="003C3330" w:rsidRDefault="00A546CE" w:rsidP="00ED267C">
      <w:pPr>
        <w:pStyle w:val="COMPara"/>
        <w:numPr>
          <w:ilvl w:val="1"/>
          <w:numId w:val="2"/>
        </w:numPr>
        <w:ind w:left="1134" w:hanging="567"/>
        <w:jc w:val="both"/>
        <w:rPr>
          <w:lang w:val="fr-FR"/>
        </w:rPr>
      </w:pPr>
      <w:r w:rsidRPr="00ED267C">
        <w:rPr>
          <w:lang w:val="fr-FR"/>
        </w:rPr>
        <w:t xml:space="preserve">Le critère P.7 pourrait être </w:t>
      </w:r>
      <w:r w:rsidR="0011535B">
        <w:rPr>
          <w:lang w:val="fr-FR"/>
        </w:rPr>
        <w:t>ajusté</w:t>
      </w:r>
      <w:r w:rsidR="0011535B" w:rsidRPr="00ED267C">
        <w:rPr>
          <w:lang w:val="fr-FR"/>
        </w:rPr>
        <w:t xml:space="preserve"> </w:t>
      </w:r>
      <w:r w:rsidRPr="00ED267C">
        <w:rPr>
          <w:lang w:val="fr-FR"/>
        </w:rPr>
        <w:t>pour mentionner les « bonnes pratiques » au lieu des « meilleures pratiques ».</w:t>
      </w:r>
    </w:p>
    <w:p w14:paraId="53BCD05A" w14:textId="77777777" w:rsidR="00F60C0F" w:rsidRDefault="00ED267C" w:rsidP="00ED267C">
      <w:pPr>
        <w:pStyle w:val="COMPara"/>
        <w:numPr>
          <w:ilvl w:val="1"/>
          <w:numId w:val="2"/>
        </w:numPr>
        <w:ind w:left="1134" w:hanging="567"/>
        <w:jc w:val="both"/>
        <w:rPr>
          <w:lang w:val="fr-FR"/>
        </w:rPr>
      </w:pPr>
      <w:r>
        <w:rPr>
          <w:lang w:val="fr-FR"/>
        </w:rPr>
        <w:t>La possibilité d</w:t>
      </w:r>
      <w:r w:rsidR="00D87539">
        <w:rPr>
          <w:lang w:val="fr-FR"/>
        </w:rPr>
        <w:t>’</w:t>
      </w:r>
      <w:r>
        <w:rPr>
          <w:lang w:val="fr-FR"/>
        </w:rPr>
        <w:t xml:space="preserve">utilisation </w:t>
      </w:r>
      <w:r w:rsidR="003C3330">
        <w:rPr>
          <w:lang w:val="fr-FR"/>
        </w:rPr>
        <w:t xml:space="preserve">les bonnes pratiques de sauvegarde </w:t>
      </w:r>
      <w:r>
        <w:rPr>
          <w:lang w:val="fr-FR"/>
        </w:rPr>
        <w:t>en tant que modèle (P.6) pourrait être incluse dans le critère combiné P.1 et P.3</w:t>
      </w:r>
      <w:r w:rsidR="003C3330">
        <w:rPr>
          <w:lang w:val="fr-FR"/>
        </w:rPr>
        <w:t xml:space="preserve">, mais ne </w:t>
      </w:r>
      <w:r>
        <w:rPr>
          <w:lang w:val="fr-FR"/>
        </w:rPr>
        <w:t>devrait pas être limité</w:t>
      </w:r>
      <w:r w:rsidR="003C3330">
        <w:rPr>
          <w:lang w:val="fr-FR"/>
        </w:rPr>
        <w:t>e</w:t>
      </w:r>
      <w:r>
        <w:rPr>
          <w:lang w:val="fr-FR"/>
        </w:rPr>
        <w:t xml:space="preserve"> au niveau international, </w:t>
      </w:r>
      <w:r w:rsidR="003C3330">
        <w:rPr>
          <w:lang w:val="fr-FR"/>
        </w:rPr>
        <w:t>étant donné que</w:t>
      </w:r>
      <w:r>
        <w:rPr>
          <w:lang w:val="fr-FR"/>
        </w:rPr>
        <w:t xml:space="preserve"> certains modèles peuvent être utiles au niveau national. </w:t>
      </w:r>
    </w:p>
    <w:p w14:paraId="1405DF9D" w14:textId="4CF7A68A" w:rsidR="00EF0209" w:rsidRDefault="00B174BD" w:rsidP="00ED267C">
      <w:pPr>
        <w:pStyle w:val="COMPara"/>
        <w:numPr>
          <w:ilvl w:val="1"/>
          <w:numId w:val="2"/>
        </w:numPr>
        <w:ind w:left="1134" w:hanging="567"/>
        <w:jc w:val="both"/>
        <w:rPr>
          <w:lang w:val="fr-FR"/>
        </w:rPr>
      </w:pPr>
      <w:r w:rsidRPr="00B174BD">
        <w:rPr>
          <w:lang w:val="fr-FR"/>
        </w:rPr>
        <w:t xml:space="preserve">Certaines </w:t>
      </w:r>
      <w:r w:rsidR="003C3330">
        <w:rPr>
          <w:lang w:val="fr-FR"/>
        </w:rPr>
        <w:t xml:space="preserve">pratiques de sauvegarde </w:t>
      </w:r>
      <w:r w:rsidRPr="00B174BD">
        <w:rPr>
          <w:lang w:val="fr-FR"/>
        </w:rPr>
        <w:t xml:space="preserve">peuvent être limitées à des activités locales et le critère P.2 peut donc limiter inutilement la diversité du </w:t>
      </w:r>
      <w:r>
        <w:rPr>
          <w:lang w:val="fr-FR"/>
        </w:rPr>
        <w:t>R</w:t>
      </w:r>
      <w:r w:rsidRPr="00B174BD">
        <w:rPr>
          <w:lang w:val="fr-FR"/>
        </w:rPr>
        <w:t>egistre et pourrait être supprimé.</w:t>
      </w:r>
    </w:p>
    <w:p w14:paraId="75924DE0" w14:textId="77777777" w:rsidR="00B174BD" w:rsidRPr="00B174BD" w:rsidRDefault="00B174BD" w:rsidP="00B174BD">
      <w:pPr>
        <w:pStyle w:val="COMPara"/>
        <w:numPr>
          <w:ilvl w:val="0"/>
          <w:numId w:val="0"/>
        </w:numPr>
        <w:jc w:val="both"/>
        <w:rPr>
          <w:u w:val="single"/>
          <w:lang w:val="fr-FR"/>
        </w:rPr>
      </w:pPr>
      <w:r w:rsidRPr="00B174BD">
        <w:rPr>
          <w:u w:val="single"/>
          <w:lang w:val="fr-FR"/>
        </w:rPr>
        <w:t>Paragraphe 6 des Directives opérationnelles</w:t>
      </w:r>
    </w:p>
    <w:p w14:paraId="4EBDAC0E" w14:textId="3A8EC5F2" w:rsidR="0007248C" w:rsidRPr="00C256C0" w:rsidRDefault="0007248C" w:rsidP="00D444EA">
      <w:pPr>
        <w:pStyle w:val="COMPara"/>
        <w:ind w:left="567" w:hanging="567"/>
        <w:jc w:val="both"/>
        <w:rPr>
          <w:lang w:val="fr-FR"/>
        </w:rPr>
      </w:pPr>
      <w:r w:rsidRPr="00C256C0">
        <w:rPr>
          <w:lang w:val="fr-FR"/>
        </w:rPr>
        <w:t>Alors que le critère P.9 a été supprimé des critères de sélection à la suite de la réflexion globale sur les mécanismes d</w:t>
      </w:r>
      <w:r w:rsidR="00D87539">
        <w:rPr>
          <w:lang w:val="fr-FR"/>
        </w:rPr>
        <w:t>’</w:t>
      </w:r>
      <w:r w:rsidRPr="00C256C0">
        <w:rPr>
          <w:lang w:val="fr-FR"/>
        </w:rPr>
        <w:t xml:space="preserve">inscription sur les Listes de la Convention, le paragraphe 6 des </w:t>
      </w:r>
      <w:r w:rsidRPr="00C256C0">
        <w:rPr>
          <w:lang w:val="fr-FR"/>
        </w:rPr>
        <w:lastRenderedPageBreak/>
        <w:t xml:space="preserve">Directives opérationnelles continue de mentionner les « besoins des pays en développement ». La suppression </w:t>
      </w:r>
      <w:r w:rsidR="00F60C0F">
        <w:rPr>
          <w:lang w:val="fr-FR"/>
        </w:rPr>
        <w:t>de</w:t>
      </w:r>
      <w:r w:rsidRPr="00C256C0">
        <w:rPr>
          <w:lang w:val="fr-FR"/>
        </w:rPr>
        <w:t xml:space="preserve"> P.9 ne signifie pas que les besoins des pays en développement ne sont pas importants, mais plutôt que les pratiques de sauvegarde peuvent être pertinentes dans un contexte spécifique</w:t>
      </w:r>
      <w:r w:rsidR="003F12C7">
        <w:rPr>
          <w:lang w:val="fr-FR"/>
        </w:rPr>
        <w:t xml:space="preserve"> et </w:t>
      </w:r>
      <w:r w:rsidRPr="00C256C0">
        <w:rPr>
          <w:lang w:val="fr-FR"/>
        </w:rPr>
        <w:t>couvr</w:t>
      </w:r>
      <w:r w:rsidR="003F12C7">
        <w:rPr>
          <w:lang w:val="fr-FR"/>
        </w:rPr>
        <w:t>ir</w:t>
      </w:r>
      <w:r w:rsidRPr="00C256C0">
        <w:rPr>
          <w:lang w:val="fr-FR"/>
        </w:rPr>
        <w:t xml:space="preserve"> également les besoins des pays en développement. Une discussion intergouvernementale devrait avoir lieu sur le maintien de la pertinence du paragraphe 6 des Directives opérationnelles</w:t>
      </w:r>
      <w:r w:rsidR="003F12C7">
        <w:rPr>
          <w:lang w:val="fr-FR"/>
        </w:rPr>
        <w:t xml:space="preserve"> et</w:t>
      </w:r>
      <w:r w:rsidRPr="00C256C0">
        <w:rPr>
          <w:lang w:val="fr-FR"/>
        </w:rPr>
        <w:t xml:space="preserve"> sur tout amendement éventuel, y compris les possibilités de coopération lors de la mise en œuvre de l</w:t>
      </w:r>
      <w:r w:rsidR="00D87539">
        <w:rPr>
          <w:lang w:val="fr-FR"/>
        </w:rPr>
        <w:t>’</w:t>
      </w:r>
      <w:r w:rsidRPr="00C256C0">
        <w:rPr>
          <w:lang w:val="fr-FR"/>
        </w:rPr>
        <w:t>article 18.</w:t>
      </w:r>
    </w:p>
    <w:p w14:paraId="33A4C62B" w14:textId="55F46E02" w:rsidR="00B174BD" w:rsidRPr="00B174BD" w:rsidRDefault="00015458" w:rsidP="00B174BD">
      <w:pPr>
        <w:pStyle w:val="COMPara"/>
        <w:numPr>
          <w:ilvl w:val="0"/>
          <w:numId w:val="0"/>
        </w:numPr>
        <w:jc w:val="both"/>
        <w:rPr>
          <w:u w:val="single"/>
          <w:lang w:val="fr-FR"/>
        </w:rPr>
      </w:pPr>
      <w:r w:rsidRPr="00015458">
        <w:rPr>
          <w:u w:val="single"/>
          <w:lang w:val="fr-FR"/>
        </w:rPr>
        <w:t>Améliorer l</w:t>
      </w:r>
      <w:r w:rsidR="00D87539">
        <w:rPr>
          <w:u w:val="single"/>
          <w:lang w:val="fr-FR"/>
        </w:rPr>
        <w:t>’</w:t>
      </w:r>
      <w:r w:rsidRPr="00015458">
        <w:rPr>
          <w:u w:val="single"/>
          <w:lang w:val="fr-FR"/>
        </w:rPr>
        <w:t>accessibilité des bonnes pratiques de sauvegarde</w:t>
      </w:r>
    </w:p>
    <w:p w14:paraId="431D6D89" w14:textId="1F690B90" w:rsidR="00B174BD" w:rsidRPr="00B174BD" w:rsidRDefault="00B174BD" w:rsidP="00B174BD">
      <w:pPr>
        <w:pStyle w:val="COMPara"/>
        <w:ind w:left="567" w:hanging="567"/>
        <w:jc w:val="both"/>
        <w:rPr>
          <w:lang w:val="fr-FR"/>
        </w:rPr>
      </w:pPr>
      <w:r w:rsidRPr="00B174BD">
        <w:rPr>
          <w:lang w:val="fr-FR"/>
        </w:rPr>
        <w:t>Les bonnes pratiques de sauvegarde doivent être présentées de manière à permettre des recherches basées sur l</w:t>
      </w:r>
      <w:r w:rsidR="00D87539">
        <w:rPr>
          <w:lang w:val="fr-FR"/>
        </w:rPr>
        <w:t>’</w:t>
      </w:r>
      <w:r w:rsidRPr="00B174BD">
        <w:rPr>
          <w:lang w:val="fr-FR"/>
        </w:rPr>
        <w:t xml:space="preserve">indexation, afin que les communautés et les autres parties prenantes puissent comprendre et appliquer les différentes approches utilisées pour traiter les questions de sauvegarde. Le formulaire ICH-03 </w:t>
      </w:r>
      <w:r w:rsidR="00F35E96">
        <w:rPr>
          <w:lang w:val="fr-FR"/>
        </w:rPr>
        <w:t>peut</w:t>
      </w:r>
      <w:r w:rsidR="00F35E96" w:rsidRPr="00B174BD">
        <w:rPr>
          <w:lang w:val="fr-FR"/>
        </w:rPr>
        <w:t xml:space="preserve"> </w:t>
      </w:r>
      <w:r w:rsidRPr="00B174BD">
        <w:rPr>
          <w:lang w:val="fr-FR"/>
        </w:rPr>
        <w:t>être révisé pour soutenir cet objectif, en incluant des questions qui facilitent la caractérisation des approches de sauvegarde et leur efficacité</w:t>
      </w:r>
      <w:r w:rsidR="0007248C">
        <w:rPr>
          <w:lang w:val="fr-FR"/>
        </w:rPr>
        <w:t xml:space="preserve">, en </w:t>
      </w:r>
      <w:r w:rsidR="00015458">
        <w:rPr>
          <w:lang w:val="fr-FR"/>
        </w:rPr>
        <w:t>tenant</w:t>
      </w:r>
      <w:r w:rsidR="0007248C">
        <w:rPr>
          <w:lang w:val="fr-FR"/>
        </w:rPr>
        <w:t xml:space="preserve"> compte des thématiques et des indicateurs de base du </w:t>
      </w:r>
      <w:r w:rsidR="0011535B">
        <w:rPr>
          <w:lang w:val="fr-FR"/>
        </w:rPr>
        <w:t>CGR</w:t>
      </w:r>
      <w:r w:rsidRPr="00B174BD">
        <w:rPr>
          <w:lang w:val="fr-FR"/>
        </w:rPr>
        <w:t>.</w:t>
      </w:r>
    </w:p>
    <w:p w14:paraId="00E6B4D4" w14:textId="160E7B02" w:rsidR="00502368" w:rsidRPr="00A23BBC" w:rsidRDefault="00502368" w:rsidP="00502368">
      <w:pPr>
        <w:pStyle w:val="COMPara"/>
        <w:numPr>
          <w:ilvl w:val="0"/>
          <w:numId w:val="0"/>
        </w:numPr>
        <w:jc w:val="both"/>
        <w:rPr>
          <w:b/>
          <w:bCs/>
          <w:lang w:val="fr-FR"/>
        </w:rPr>
      </w:pPr>
      <w:r w:rsidRPr="00A23BBC">
        <w:rPr>
          <w:u w:val="single"/>
          <w:lang w:val="fr-FR"/>
        </w:rPr>
        <w:t>Autres moyens d</w:t>
      </w:r>
      <w:r w:rsidR="00D87539">
        <w:rPr>
          <w:u w:val="single"/>
          <w:lang w:val="fr-FR"/>
        </w:rPr>
        <w:t>’</w:t>
      </w:r>
      <w:r w:rsidRPr="00A23BBC">
        <w:rPr>
          <w:u w:val="single"/>
          <w:lang w:val="fr-FR"/>
        </w:rPr>
        <w:t>identifier les bonnes pratiques de sauvegarde</w:t>
      </w:r>
    </w:p>
    <w:p w14:paraId="3DE85141" w14:textId="7DBDCBA1" w:rsidR="002F1FE3" w:rsidRPr="000E7B58" w:rsidRDefault="00FA2605" w:rsidP="002F1FE3">
      <w:pPr>
        <w:pStyle w:val="COMPara"/>
        <w:ind w:left="567" w:hanging="567"/>
        <w:jc w:val="both"/>
        <w:rPr>
          <w:lang w:val="fr-FR"/>
        </w:rPr>
      </w:pPr>
      <w:r w:rsidRPr="000E7B58">
        <w:rPr>
          <w:lang w:val="fr-FR"/>
        </w:rPr>
        <w:t xml:space="preserve">Les programmes, projets et activités pertinents mentionnés dans les rapports périodiques </w:t>
      </w:r>
      <w:r w:rsidR="00F35E96">
        <w:rPr>
          <w:lang w:val="fr-FR"/>
        </w:rPr>
        <w:t xml:space="preserve">ou les dossiers de candidature </w:t>
      </w:r>
      <w:r w:rsidRPr="000E7B58">
        <w:rPr>
          <w:lang w:val="fr-FR"/>
        </w:rPr>
        <w:t xml:space="preserve">peuvent être </w:t>
      </w:r>
      <w:r w:rsidR="002C14DD" w:rsidRPr="000E7B58">
        <w:rPr>
          <w:lang w:val="fr-FR"/>
        </w:rPr>
        <w:t>soumis pour</w:t>
      </w:r>
      <w:r w:rsidRPr="000E7B58">
        <w:rPr>
          <w:lang w:val="fr-FR"/>
        </w:rPr>
        <w:t xml:space="preserve"> </w:t>
      </w:r>
      <w:r w:rsidR="00F35E96">
        <w:rPr>
          <w:lang w:val="fr-FR"/>
        </w:rPr>
        <w:t>sélection et promotion</w:t>
      </w:r>
      <w:r w:rsidR="00F35E96" w:rsidRPr="000E7B58">
        <w:rPr>
          <w:lang w:val="fr-FR"/>
        </w:rPr>
        <w:t xml:space="preserve"> </w:t>
      </w:r>
      <w:r w:rsidR="002C14DD" w:rsidRPr="000E7B58">
        <w:rPr>
          <w:lang w:val="fr-FR"/>
        </w:rPr>
        <w:t xml:space="preserve">par le </w:t>
      </w:r>
      <w:r w:rsidR="00FF57D8" w:rsidRPr="000E7B58">
        <w:rPr>
          <w:lang w:val="fr-FR"/>
        </w:rPr>
        <w:t>C</w:t>
      </w:r>
      <w:r w:rsidRPr="000E7B58">
        <w:rPr>
          <w:lang w:val="fr-FR"/>
        </w:rPr>
        <w:t xml:space="preserve">omité. Le </w:t>
      </w:r>
      <w:r w:rsidR="00FF57D8" w:rsidRPr="000E7B58">
        <w:rPr>
          <w:lang w:val="fr-FR"/>
        </w:rPr>
        <w:t>C</w:t>
      </w:r>
      <w:r w:rsidRPr="000E7B58">
        <w:rPr>
          <w:lang w:val="fr-FR"/>
        </w:rPr>
        <w:t>omité</w:t>
      </w:r>
      <w:r w:rsidR="00856CCB" w:rsidRPr="000E7B58">
        <w:rPr>
          <w:lang w:val="fr-FR"/>
        </w:rPr>
        <w:t xml:space="preserve"> </w:t>
      </w:r>
      <w:r w:rsidR="00F35E96">
        <w:rPr>
          <w:lang w:val="fr-FR"/>
        </w:rPr>
        <w:t>peut</w:t>
      </w:r>
      <w:r w:rsidR="00856CCB" w:rsidRPr="000E7B58">
        <w:rPr>
          <w:lang w:val="fr-FR"/>
        </w:rPr>
        <w:t xml:space="preserve"> </w:t>
      </w:r>
      <w:r w:rsidRPr="000E7B58">
        <w:rPr>
          <w:lang w:val="fr-FR"/>
        </w:rPr>
        <w:t xml:space="preserve">lancer des appels </w:t>
      </w:r>
      <w:r w:rsidR="00FF57D8" w:rsidRPr="000E7B58">
        <w:rPr>
          <w:lang w:val="fr-FR"/>
        </w:rPr>
        <w:t>à propositions répondants</w:t>
      </w:r>
      <w:r w:rsidRPr="000E7B58">
        <w:rPr>
          <w:lang w:val="fr-FR"/>
        </w:rPr>
        <w:t xml:space="preserve"> à des initiatives thématiques spécifiques</w:t>
      </w:r>
      <w:r w:rsidR="00F60C0F" w:rsidRPr="000E7B58">
        <w:rPr>
          <w:rStyle w:val="FootnoteReference"/>
          <w:lang w:val="fr-FR"/>
        </w:rPr>
        <w:footnoteReference w:id="3"/>
      </w:r>
      <w:r w:rsidRPr="000E7B58">
        <w:rPr>
          <w:lang w:val="fr-FR"/>
        </w:rPr>
        <w:t xml:space="preserve">. À cet égard, </w:t>
      </w:r>
      <w:r w:rsidR="00625B48" w:rsidRPr="000E7B58">
        <w:rPr>
          <w:lang w:val="fr-FR"/>
        </w:rPr>
        <w:t xml:space="preserve">les </w:t>
      </w:r>
      <w:r w:rsidRPr="000E7B58">
        <w:rPr>
          <w:lang w:val="fr-FR"/>
        </w:rPr>
        <w:t>modalité</w:t>
      </w:r>
      <w:r w:rsidR="00625B48" w:rsidRPr="000E7B58">
        <w:rPr>
          <w:lang w:val="fr-FR"/>
        </w:rPr>
        <w:t>s</w:t>
      </w:r>
      <w:r w:rsidRPr="000E7B58">
        <w:rPr>
          <w:lang w:val="fr-FR"/>
        </w:rPr>
        <w:t xml:space="preserve"> utile</w:t>
      </w:r>
      <w:r w:rsidR="00625B48" w:rsidRPr="000E7B58">
        <w:rPr>
          <w:lang w:val="fr-FR"/>
        </w:rPr>
        <w:t>s pourraient inclure les outils d</w:t>
      </w:r>
      <w:r w:rsidR="00D87539" w:rsidRPr="000E7B58">
        <w:rPr>
          <w:lang w:val="fr-FR"/>
        </w:rPr>
        <w:t>’</w:t>
      </w:r>
      <w:r w:rsidR="00625B48" w:rsidRPr="000E7B58">
        <w:rPr>
          <w:lang w:val="fr-FR"/>
        </w:rPr>
        <w:t xml:space="preserve">enquête utilisés pour soutenir les initiatives thématiques de la Convention (sur les dimensions économiques de la sauvegarde du patrimoine culturel immatériel, la sauvegarde du patrimoine culturel immatériel et le changement climatique, la sauvegarde du patrimoine culturel immatériel dans les contextes urbains), le rapport </w:t>
      </w:r>
      <w:r w:rsidR="00875AA7" w:rsidRPr="000E7B58">
        <w:rPr>
          <w:lang w:val="fr-FR"/>
        </w:rPr>
        <w:t xml:space="preserve">sur le </w:t>
      </w:r>
      <w:r w:rsidR="00625B48" w:rsidRPr="000E7B58">
        <w:rPr>
          <w:lang w:val="fr-FR"/>
        </w:rPr>
        <w:t>patrimoine vivant face à la COVID-19, les initiatives de sauvegarde incluses dans les projets d</w:t>
      </w:r>
      <w:r w:rsidR="00D87539" w:rsidRPr="000E7B58">
        <w:rPr>
          <w:lang w:val="fr-FR"/>
        </w:rPr>
        <w:t>’</w:t>
      </w:r>
      <w:r w:rsidR="00625B48" w:rsidRPr="000E7B58">
        <w:rPr>
          <w:lang w:val="fr-FR"/>
        </w:rPr>
        <w:t xml:space="preserve">assistance internationale </w:t>
      </w:r>
      <w:r w:rsidR="00875AA7" w:rsidRPr="000E7B58">
        <w:rPr>
          <w:lang w:val="fr-FR"/>
        </w:rPr>
        <w:t xml:space="preserve">ainsi que </w:t>
      </w:r>
      <w:r w:rsidR="00625B48" w:rsidRPr="000E7B58">
        <w:rPr>
          <w:lang w:val="fr-FR"/>
        </w:rPr>
        <w:t xml:space="preserve">les candidatures </w:t>
      </w:r>
      <w:r w:rsidR="000E7B58" w:rsidRPr="000E7B58">
        <w:rPr>
          <w:lang w:val="fr-FR"/>
        </w:rPr>
        <w:t xml:space="preserve">à </w:t>
      </w:r>
      <w:r w:rsidR="00625B48" w:rsidRPr="000E7B58">
        <w:rPr>
          <w:lang w:val="fr-FR"/>
        </w:rPr>
        <w:t xml:space="preserve">la Liste </w:t>
      </w:r>
      <w:r w:rsidR="00875AA7" w:rsidRPr="000E7B58">
        <w:rPr>
          <w:lang w:val="fr-FR"/>
        </w:rPr>
        <w:t xml:space="preserve">représentative et </w:t>
      </w:r>
      <w:r w:rsidR="000E7B58" w:rsidRPr="000E7B58">
        <w:rPr>
          <w:lang w:val="fr-FR"/>
        </w:rPr>
        <w:t xml:space="preserve">à </w:t>
      </w:r>
      <w:r w:rsidR="00875AA7" w:rsidRPr="000E7B58">
        <w:rPr>
          <w:lang w:val="fr-FR"/>
        </w:rPr>
        <w:t xml:space="preserve">la Liste </w:t>
      </w:r>
      <w:r w:rsidR="00625B48" w:rsidRPr="000E7B58">
        <w:rPr>
          <w:lang w:val="fr-FR"/>
        </w:rPr>
        <w:t xml:space="preserve">de sauvegarde urgente. La préparation des propositions </w:t>
      </w:r>
      <w:r w:rsidR="000E7B58">
        <w:rPr>
          <w:lang w:val="fr-FR"/>
        </w:rPr>
        <w:t>pour</w:t>
      </w:r>
      <w:r w:rsidR="000E7B58" w:rsidRPr="000E7B58">
        <w:rPr>
          <w:lang w:val="fr-FR"/>
        </w:rPr>
        <w:t xml:space="preserve"> </w:t>
      </w:r>
      <w:r w:rsidR="00625B48" w:rsidRPr="000E7B58">
        <w:rPr>
          <w:lang w:val="fr-FR"/>
        </w:rPr>
        <w:t>sélection peut être soutenue par des ONG accréditées et complétée par des notes d</w:t>
      </w:r>
      <w:r w:rsidR="00D87539" w:rsidRPr="000E7B58">
        <w:rPr>
          <w:lang w:val="fr-FR"/>
        </w:rPr>
        <w:t>’</w:t>
      </w:r>
      <w:r w:rsidR="00625B48" w:rsidRPr="000E7B58">
        <w:rPr>
          <w:lang w:val="fr-FR"/>
        </w:rPr>
        <w:t>orientation et par le matériel de renforcement des capacités afin d</w:t>
      </w:r>
      <w:r w:rsidR="00D87539" w:rsidRPr="000E7B58">
        <w:rPr>
          <w:lang w:val="fr-FR"/>
        </w:rPr>
        <w:t>’</w:t>
      </w:r>
      <w:r w:rsidR="00625B48" w:rsidRPr="000E7B58">
        <w:rPr>
          <w:lang w:val="fr-FR"/>
        </w:rPr>
        <w:t>en accroître l</w:t>
      </w:r>
      <w:r w:rsidR="00D87539" w:rsidRPr="000E7B58">
        <w:rPr>
          <w:lang w:val="fr-FR"/>
        </w:rPr>
        <w:t>’</w:t>
      </w:r>
      <w:r w:rsidR="00625B48" w:rsidRPr="000E7B58">
        <w:rPr>
          <w:lang w:val="fr-FR"/>
        </w:rPr>
        <w:t xml:space="preserve">accessibilité pour les communautés. </w:t>
      </w:r>
      <w:r w:rsidR="00A23BBC" w:rsidRPr="000E7B58">
        <w:rPr>
          <w:lang w:val="fr-FR"/>
        </w:rPr>
        <w:t>L</w:t>
      </w:r>
      <w:r w:rsidR="00D87539" w:rsidRPr="000E7B58">
        <w:rPr>
          <w:lang w:val="fr-FR"/>
        </w:rPr>
        <w:t>’</w:t>
      </w:r>
      <w:r w:rsidR="00A23BBC" w:rsidRPr="000E7B58">
        <w:rPr>
          <w:lang w:val="fr-FR"/>
        </w:rPr>
        <w:t>évaluation de l</w:t>
      </w:r>
      <w:r w:rsidR="00D87539" w:rsidRPr="000E7B58">
        <w:rPr>
          <w:lang w:val="fr-FR"/>
        </w:rPr>
        <w:t>’</w:t>
      </w:r>
      <w:r w:rsidR="00A23BBC" w:rsidRPr="000E7B58">
        <w:rPr>
          <w:lang w:val="fr-FR"/>
        </w:rPr>
        <w:t>ensemble de l</w:t>
      </w:r>
      <w:r w:rsidR="00D87539" w:rsidRPr="000E7B58">
        <w:rPr>
          <w:lang w:val="fr-FR"/>
        </w:rPr>
        <w:t>’</w:t>
      </w:r>
      <w:r w:rsidR="00A23BBC" w:rsidRPr="000E7B58">
        <w:rPr>
          <w:lang w:val="fr-FR"/>
        </w:rPr>
        <w:t xml:space="preserve">information collectée devrait être prise en compte pour </w:t>
      </w:r>
      <w:r w:rsidR="000E7B58" w:rsidRPr="00811AFA">
        <w:rPr>
          <w:lang w:val="fr-FR"/>
        </w:rPr>
        <w:t>réaliser</w:t>
      </w:r>
      <w:r w:rsidR="00487E95" w:rsidRPr="000E7B58">
        <w:rPr>
          <w:lang w:val="fr-FR"/>
        </w:rPr>
        <w:t xml:space="preserve"> et exploiter</w:t>
      </w:r>
      <w:r w:rsidR="00A23BBC" w:rsidRPr="000E7B58">
        <w:rPr>
          <w:lang w:val="fr-FR"/>
        </w:rPr>
        <w:t xml:space="preserve"> le potentiel de l</w:t>
      </w:r>
      <w:r w:rsidR="00D87539" w:rsidRPr="000E7B58">
        <w:rPr>
          <w:lang w:val="fr-FR"/>
        </w:rPr>
        <w:t>’</w:t>
      </w:r>
      <w:r w:rsidR="00A23BBC" w:rsidRPr="000E7B58">
        <w:rPr>
          <w:lang w:val="fr-FR"/>
        </w:rPr>
        <w:t>article 18.</w:t>
      </w:r>
    </w:p>
    <w:p w14:paraId="6BDF7324" w14:textId="77777777" w:rsidR="00FA2605" w:rsidRPr="00D444EA" w:rsidRDefault="00FA2605" w:rsidP="00696E31">
      <w:pPr>
        <w:pStyle w:val="COMPara"/>
        <w:numPr>
          <w:ilvl w:val="0"/>
          <w:numId w:val="0"/>
        </w:numPr>
        <w:jc w:val="both"/>
        <w:rPr>
          <w:lang w:val="fr-FR"/>
        </w:rPr>
      </w:pPr>
      <w:r w:rsidRPr="00D444EA">
        <w:rPr>
          <w:u w:val="single"/>
          <w:lang w:val="fr-FR"/>
        </w:rPr>
        <w:t>Suivi</w:t>
      </w:r>
    </w:p>
    <w:p w14:paraId="4026BD9D" w14:textId="0A7A0E82" w:rsidR="00F35E96" w:rsidRDefault="00F35E96" w:rsidP="00D444EA">
      <w:pPr>
        <w:pStyle w:val="COMPara"/>
        <w:ind w:left="567" w:hanging="567"/>
        <w:jc w:val="both"/>
        <w:rPr>
          <w:lang w:val="fr-FR"/>
        </w:rPr>
      </w:pPr>
      <w:bookmarkStart w:id="3" w:name="_Hlk132978843"/>
      <w:r>
        <w:rPr>
          <w:lang w:val="fr-FR"/>
        </w:rPr>
        <w:t>Une série d’actions de suivi pourrait être entreprise, par exemple :</w:t>
      </w:r>
    </w:p>
    <w:p w14:paraId="5EFF8367" w14:textId="545E61F9" w:rsidR="00F35E96" w:rsidRDefault="009E0393" w:rsidP="00F35E96">
      <w:pPr>
        <w:pStyle w:val="COMPara"/>
        <w:numPr>
          <w:ilvl w:val="1"/>
          <w:numId w:val="2"/>
        </w:numPr>
        <w:ind w:left="1134" w:hanging="567"/>
        <w:jc w:val="both"/>
        <w:rPr>
          <w:lang w:val="fr-FR"/>
        </w:rPr>
      </w:pPr>
      <w:r w:rsidRPr="00D444EA">
        <w:rPr>
          <w:lang w:val="fr-FR"/>
        </w:rPr>
        <w:t>Une révision du formulaire ICH-10 (rapports périodiques) et l</w:t>
      </w:r>
      <w:r w:rsidR="00D87539">
        <w:rPr>
          <w:lang w:val="fr-FR"/>
        </w:rPr>
        <w:t>’</w:t>
      </w:r>
      <w:r w:rsidRPr="00D444EA">
        <w:rPr>
          <w:lang w:val="fr-FR"/>
        </w:rPr>
        <w:t xml:space="preserve">inclusion du sujet dans le processus de renforcement des capacités </w:t>
      </w:r>
      <w:r w:rsidR="00F35E96">
        <w:rPr>
          <w:lang w:val="fr-FR"/>
        </w:rPr>
        <w:t>peuvent</w:t>
      </w:r>
      <w:r w:rsidRPr="00D444EA">
        <w:rPr>
          <w:lang w:val="fr-FR"/>
        </w:rPr>
        <w:t xml:space="preserve"> encourager les États parties à fournir des mises à jour ou à réfléchir sur les programmes inclus dans le Registre (</w:t>
      </w:r>
      <w:r w:rsidR="00487E95" w:rsidRPr="00D444EA">
        <w:rPr>
          <w:lang w:val="fr-FR"/>
        </w:rPr>
        <w:t>au point</w:t>
      </w:r>
      <w:r w:rsidRPr="00D444EA">
        <w:rPr>
          <w:lang w:val="fr-FR"/>
        </w:rPr>
        <w:t xml:space="preserve"> A</w:t>
      </w:r>
      <w:r w:rsidR="000E7B58">
        <w:rPr>
          <w:lang w:val="fr-FR"/>
        </w:rPr>
        <w:t>.</w:t>
      </w:r>
      <w:r w:rsidRPr="00D444EA">
        <w:rPr>
          <w:lang w:val="fr-FR"/>
        </w:rPr>
        <w:t xml:space="preserve">5.3). </w:t>
      </w:r>
      <w:r w:rsidR="00F35E96">
        <w:rPr>
          <w:lang w:val="fr-FR"/>
        </w:rPr>
        <w:t>Il peut être demandé aux</w:t>
      </w:r>
      <w:r w:rsidR="00F35E96" w:rsidRPr="00D444EA">
        <w:rPr>
          <w:lang w:val="fr-FR"/>
        </w:rPr>
        <w:t xml:space="preserve"> communautés </w:t>
      </w:r>
      <w:r w:rsidR="00F35E96">
        <w:rPr>
          <w:lang w:val="fr-FR"/>
        </w:rPr>
        <w:t xml:space="preserve">concernées </w:t>
      </w:r>
      <w:r w:rsidR="00F35E96" w:rsidRPr="00D444EA">
        <w:rPr>
          <w:lang w:val="fr-FR"/>
        </w:rPr>
        <w:t>de fournir périodiquement des informations sur la situation de sauvegarde et de confirmer leur consentement durable après la sélection du programme, du projet ou de l</w:t>
      </w:r>
      <w:r w:rsidR="00F35E96">
        <w:rPr>
          <w:lang w:val="fr-FR"/>
        </w:rPr>
        <w:t>’</w:t>
      </w:r>
      <w:r w:rsidR="00F35E96" w:rsidRPr="00D444EA">
        <w:rPr>
          <w:lang w:val="fr-FR"/>
        </w:rPr>
        <w:t>activité</w:t>
      </w:r>
      <w:r w:rsidR="00F35E96">
        <w:rPr>
          <w:lang w:val="fr-FR"/>
        </w:rPr>
        <w:t>, le cas échéant</w:t>
      </w:r>
      <w:r w:rsidR="00F35E96" w:rsidRPr="00D444EA">
        <w:rPr>
          <w:lang w:val="fr-FR"/>
        </w:rPr>
        <w:t xml:space="preserve">. </w:t>
      </w:r>
    </w:p>
    <w:p w14:paraId="33E46410" w14:textId="3C49DD7E" w:rsidR="00F35E96" w:rsidRDefault="009E0393" w:rsidP="00F35E96">
      <w:pPr>
        <w:pStyle w:val="COMPara"/>
        <w:numPr>
          <w:ilvl w:val="1"/>
          <w:numId w:val="2"/>
        </w:numPr>
        <w:ind w:left="1134" w:hanging="567"/>
        <w:jc w:val="both"/>
        <w:rPr>
          <w:lang w:val="fr-FR"/>
        </w:rPr>
      </w:pPr>
      <w:r w:rsidRPr="00D444EA">
        <w:rPr>
          <w:lang w:val="fr-FR"/>
        </w:rPr>
        <w:t xml:space="preserve">Les États parties pourraient également être encouragés à inclure les </w:t>
      </w:r>
      <w:r w:rsidR="00487E95" w:rsidRPr="00D444EA">
        <w:rPr>
          <w:lang w:val="fr-FR"/>
        </w:rPr>
        <w:t>r</w:t>
      </w:r>
      <w:r w:rsidRPr="00D444EA">
        <w:rPr>
          <w:lang w:val="fr-FR"/>
        </w:rPr>
        <w:t>egistres de bonnes pratiques de sauvegarde</w:t>
      </w:r>
      <w:r w:rsidR="00F35E96">
        <w:rPr>
          <w:lang w:val="fr-FR"/>
        </w:rPr>
        <w:t xml:space="preserve"> </w:t>
      </w:r>
      <w:r w:rsidRPr="00D444EA">
        <w:rPr>
          <w:lang w:val="fr-FR"/>
        </w:rPr>
        <w:t>au niveau national</w:t>
      </w:r>
      <w:r w:rsidR="00F35E96">
        <w:rPr>
          <w:lang w:val="fr-FR"/>
        </w:rPr>
        <w:t xml:space="preserve">, lorsque ceux-ci existent, </w:t>
      </w:r>
      <w:r w:rsidRPr="00D444EA">
        <w:rPr>
          <w:lang w:val="fr-FR"/>
        </w:rPr>
        <w:t>dans l</w:t>
      </w:r>
      <w:r w:rsidR="00944FED" w:rsidRPr="00D444EA">
        <w:rPr>
          <w:lang w:val="fr-FR"/>
        </w:rPr>
        <w:t>es</w:t>
      </w:r>
      <w:r w:rsidRPr="00D444EA">
        <w:rPr>
          <w:lang w:val="fr-FR"/>
        </w:rPr>
        <w:t xml:space="preserve"> section</w:t>
      </w:r>
      <w:r w:rsidR="00944FED" w:rsidRPr="00D444EA">
        <w:rPr>
          <w:lang w:val="fr-FR"/>
        </w:rPr>
        <w:t>s</w:t>
      </w:r>
      <w:r w:rsidRPr="00D444EA">
        <w:rPr>
          <w:lang w:val="fr-FR"/>
        </w:rPr>
        <w:t xml:space="preserve"> A.6 </w:t>
      </w:r>
      <w:r w:rsidR="00944FED" w:rsidRPr="00D444EA">
        <w:rPr>
          <w:lang w:val="fr-FR"/>
        </w:rPr>
        <w:t>et B.7</w:t>
      </w:r>
      <w:r w:rsidR="00F35E96">
        <w:rPr>
          <w:lang w:val="fr-FR"/>
        </w:rPr>
        <w:t>.2</w:t>
      </w:r>
      <w:r w:rsidR="00944FED" w:rsidRPr="00D444EA">
        <w:rPr>
          <w:lang w:val="fr-FR"/>
        </w:rPr>
        <w:t xml:space="preserve"> </w:t>
      </w:r>
      <w:r w:rsidRPr="00D444EA">
        <w:rPr>
          <w:lang w:val="fr-FR"/>
        </w:rPr>
        <w:t xml:space="preserve">du formulaire ICH-10 (Inventaires à portée spécialisée). </w:t>
      </w:r>
    </w:p>
    <w:p w14:paraId="74E30943" w14:textId="77777777" w:rsidR="00F35E96" w:rsidRDefault="009E0393" w:rsidP="00F35E96">
      <w:pPr>
        <w:pStyle w:val="COMPara"/>
        <w:numPr>
          <w:ilvl w:val="1"/>
          <w:numId w:val="2"/>
        </w:numPr>
        <w:ind w:left="1134" w:hanging="567"/>
        <w:jc w:val="both"/>
        <w:rPr>
          <w:lang w:val="fr-FR"/>
        </w:rPr>
      </w:pPr>
      <w:r w:rsidRPr="00D444EA">
        <w:rPr>
          <w:lang w:val="fr-FR"/>
        </w:rPr>
        <w:t>Au point C.4 (Efforts pour promouvoir ou renforcer l</w:t>
      </w:r>
      <w:r w:rsidR="00D87539">
        <w:rPr>
          <w:lang w:val="fr-FR"/>
        </w:rPr>
        <w:t>’</w:t>
      </w:r>
      <w:r w:rsidRPr="00D444EA">
        <w:rPr>
          <w:lang w:val="fr-FR"/>
        </w:rPr>
        <w:t xml:space="preserve">élément), les États parties sont invités à rendre compte des mesures de sauvegarde relatives aux éléments déjà inclus dans la Liste représentative. Les États parties peuvent indiquer si </w:t>
      </w:r>
      <w:r w:rsidR="0033277A" w:rsidRPr="00D444EA">
        <w:rPr>
          <w:lang w:val="fr-FR"/>
        </w:rPr>
        <w:t>certaines</w:t>
      </w:r>
      <w:r w:rsidRPr="00D444EA">
        <w:rPr>
          <w:lang w:val="fr-FR"/>
        </w:rPr>
        <w:t xml:space="preserve"> des mesures de sauvegarde pourrai</w:t>
      </w:r>
      <w:r w:rsidR="0033277A" w:rsidRPr="00D444EA">
        <w:rPr>
          <w:lang w:val="fr-FR"/>
        </w:rPr>
        <w:t>en</w:t>
      </w:r>
      <w:r w:rsidRPr="00D444EA">
        <w:rPr>
          <w:lang w:val="fr-FR"/>
        </w:rPr>
        <w:t>t être considérée</w:t>
      </w:r>
      <w:r w:rsidR="0033277A" w:rsidRPr="00D444EA">
        <w:rPr>
          <w:lang w:val="fr-FR"/>
        </w:rPr>
        <w:t>s</w:t>
      </w:r>
      <w:r w:rsidRPr="00D444EA">
        <w:rPr>
          <w:lang w:val="fr-FR"/>
        </w:rPr>
        <w:t xml:space="preserve"> comme une bonne pratique de sauvegarde à partager.</w:t>
      </w:r>
    </w:p>
    <w:p w14:paraId="05377665" w14:textId="78C30822" w:rsidR="00F35E96" w:rsidRDefault="009E0393" w:rsidP="00F35E96">
      <w:pPr>
        <w:pStyle w:val="COMPara"/>
        <w:numPr>
          <w:ilvl w:val="1"/>
          <w:numId w:val="2"/>
        </w:numPr>
        <w:ind w:left="1134" w:hanging="567"/>
        <w:jc w:val="both"/>
        <w:rPr>
          <w:lang w:val="fr-FR"/>
        </w:rPr>
      </w:pPr>
      <w:r w:rsidRPr="00D444EA">
        <w:rPr>
          <w:lang w:val="fr-FR"/>
        </w:rPr>
        <w:t xml:space="preserve">En outre, la question pourrait être ajoutée à la partie B.21, demandant aux États parties de décrire les bonnes pratiques de sauvegarde qui ne sont pas incluses dans le Registre. </w:t>
      </w:r>
    </w:p>
    <w:p w14:paraId="4F2F23BB" w14:textId="750613EE" w:rsidR="009E0393" w:rsidRPr="00D444EA" w:rsidRDefault="009E0393" w:rsidP="000C5917">
      <w:pPr>
        <w:pStyle w:val="COMPara"/>
        <w:numPr>
          <w:ilvl w:val="1"/>
          <w:numId w:val="2"/>
        </w:numPr>
        <w:ind w:left="1134" w:hanging="567"/>
        <w:jc w:val="both"/>
        <w:rPr>
          <w:lang w:val="fr-FR"/>
        </w:rPr>
      </w:pPr>
      <w:r w:rsidRPr="00D444EA">
        <w:rPr>
          <w:lang w:val="fr-FR"/>
        </w:rPr>
        <w:lastRenderedPageBreak/>
        <w:t>Dans le cadre des actions de suivi, les communautés</w:t>
      </w:r>
      <w:r w:rsidR="0033277A" w:rsidRPr="00D444EA">
        <w:rPr>
          <w:lang w:val="fr-FR"/>
        </w:rPr>
        <w:t xml:space="preserve"> ou</w:t>
      </w:r>
      <w:r w:rsidRPr="00D444EA">
        <w:rPr>
          <w:lang w:val="fr-FR"/>
        </w:rPr>
        <w:t xml:space="preserve"> les autres parties prenantes peuvent être encouragées</w:t>
      </w:r>
      <w:r w:rsidR="008228B1" w:rsidRPr="00D444EA">
        <w:rPr>
          <w:lang w:val="fr-FR"/>
        </w:rPr>
        <w:t xml:space="preserve">, le cas échéant, </w:t>
      </w:r>
      <w:r w:rsidRPr="00D444EA">
        <w:rPr>
          <w:lang w:val="fr-FR"/>
        </w:rPr>
        <w:t xml:space="preserve">à </w:t>
      </w:r>
      <w:r w:rsidR="007A6FFF" w:rsidRPr="00D444EA">
        <w:rPr>
          <w:lang w:val="fr-FR"/>
        </w:rPr>
        <w:t xml:space="preserve">promouvoir </w:t>
      </w:r>
      <w:r w:rsidR="0033277A" w:rsidRPr="00D444EA">
        <w:rPr>
          <w:lang w:val="fr-FR"/>
        </w:rPr>
        <w:t xml:space="preserve">un </w:t>
      </w:r>
      <w:r w:rsidR="007A6FFF" w:rsidRPr="00D444EA">
        <w:rPr>
          <w:lang w:val="fr-FR"/>
        </w:rPr>
        <w:t>accès</w:t>
      </w:r>
      <w:r w:rsidR="008228B1" w:rsidRPr="00D444EA">
        <w:rPr>
          <w:lang w:val="fr-FR"/>
        </w:rPr>
        <w:t xml:space="preserve"> continu à </w:t>
      </w:r>
      <w:r w:rsidR="007A6FFF" w:rsidRPr="00D444EA">
        <w:rPr>
          <w:lang w:val="fr-FR"/>
        </w:rPr>
        <w:t xml:space="preserve">ceux </w:t>
      </w:r>
      <w:r w:rsidR="0033277A" w:rsidRPr="00D444EA">
        <w:rPr>
          <w:lang w:val="fr-FR"/>
        </w:rPr>
        <w:t xml:space="preserve">qui </w:t>
      </w:r>
      <w:r w:rsidRPr="00D444EA">
        <w:rPr>
          <w:lang w:val="fr-FR"/>
        </w:rPr>
        <w:t>souhait</w:t>
      </w:r>
      <w:r w:rsidR="0033277A" w:rsidRPr="00D444EA">
        <w:rPr>
          <w:lang w:val="fr-FR"/>
        </w:rPr>
        <w:t>ent tirer des enseignements</w:t>
      </w:r>
      <w:r w:rsidRPr="00D444EA">
        <w:rPr>
          <w:lang w:val="fr-FR"/>
        </w:rPr>
        <w:t xml:space="preserve"> de leur expérience de sauvegarde. </w:t>
      </w:r>
      <w:r w:rsidR="000E66D2" w:rsidRPr="00D444EA">
        <w:rPr>
          <w:lang w:val="fr-FR"/>
        </w:rPr>
        <w:t>Les informations concernant les bonnes pratiques de sauvegarde pourraient indiquer quand celles-ci n</w:t>
      </w:r>
      <w:r w:rsidRPr="00D444EA">
        <w:rPr>
          <w:lang w:val="fr-FR"/>
        </w:rPr>
        <w:t>e sont plus acti</w:t>
      </w:r>
      <w:r w:rsidR="000E66D2" w:rsidRPr="00D444EA">
        <w:rPr>
          <w:lang w:val="fr-FR"/>
        </w:rPr>
        <w:t>ve</w:t>
      </w:r>
      <w:r w:rsidRPr="00D444EA">
        <w:rPr>
          <w:lang w:val="fr-FR"/>
        </w:rPr>
        <w:t xml:space="preserve">s </w:t>
      </w:r>
      <w:r w:rsidR="000E66D2" w:rsidRPr="00D444EA">
        <w:rPr>
          <w:lang w:val="fr-FR"/>
        </w:rPr>
        <w:t xml:space="preserve">ou </w:t>
      </w:r>
      <w:r w:rsidR="0033277A" w:rsidRPr="00D444EA">
        <w:rPr>
          <w:lang w:val="fr-FR"/>
        </w:rPr>
        <w:t>celles pour lesquelles</w:t>
      </w:r>
      <w:r w:rsidR="000E66D2" w:rsidRPr="00D444EA">
        <w:rPr>
          <w:lang w:val="fr-FR"/>
        </w:rPr>
        <w:t xml:space="preserve"> </w:t>
      </w:r>
      <w:r w:rsidRPr="00D444EA">
        <w:rPr>
          <w:lang w:val="fr-FR"/>
        </w:rPr>
        <w:t xml:space="preserve">les communautés </w:t>
      </w:r>
      <w:r w:rsidR="000E66D2" w:rsidRPr="00D444EA">
        <w:rPr>
          <w:lang w:val="fr-FR"/>
        </w:rPr>
        <w:t xml:space="preserve">concernées </w:t>
      </w:r>
      <w:r w:rsidRPr="00D444EA">
        <w:rPr>
          <w:lang w:val="fr-FR"/>
        </w:rPr>
        <w:t xml:space="preserve">ne </w:t>
      </w:r>
      <w:r w:rsidR="000E66D2" w:rsidRPr="00D444EA">
        <w:rPr>
          <w:lang w:val="fr-FR"/>
        </w:rPr>
        <w:t xml:space="preserve">peuvent </w:t>
      </w:r>
      <w:r w:rsidR="000E7B58">
        <w:rPr>
          <w:lang w:val="fr-FR"/>
        </w:rPr>
        <w:t>pas</w:t>
      </w:r>
      <w:r w:rsidR="000E7B58" w:rsidRPr="00D444EA">
        <w:rPr>
          <w:lang w:val="fr-FR"/>
        </w:rPr>
        <w:t xml:space="preserve"> </w:t>
      </w:r>
      <w:r w:rsidR="000E66D2" w:rsidRPr="00D444EA">
        <w:rPr>
          <w:lang w:val="fr-FR"/>
        </w:rPr>
        <w:t>être contactées.</w:t>
      </w:r>
    </w:p>
    <w:bookmarkEnd w:id="3"/>
    <w:p w14:paraId="47B8D40A" w14:textId="43FB8B90" w:rsidR="0051377E" w:rsidRPr="00D444EA" w:rsidRDefault="0051377E" w:rsidP="0051377E">
      <w:pPr>
        <w:pStyle w:val="COMPara"/>
        <w:numPr>
          <w:ilvl w:val="0"/>
          <w:numId w:val="0"/>
        </w:numPr>
        <w:jc w:val="both"/>
        <w:rPr>
          <w:u w:val="single"/>
          <w:lang w:val="fr-FR"/>
        </w:rPr>
      </w:pPr>
      <w:r w:rsidRPr="00D444EA">
        <w:rPr>
          <w:u w:val="single"/>
          <w:lang w:val="fr-FR"/>
        </w:rPr>
        <w:t>Rôle du Comité</w:t>
      </w:r>
    </w:p>
    <w:p w14:paraId="37ED746C" w14:textId="415B8D49" w:rsidR="00F52613" w:rsidRPr="003F5EC2" w:rsidRDefault="00F52613" w:rsidP="00F52613">
      <w:pPr>
        <w:pStyle w:val="COMPara"/>
        <w:ind w:left="567" w:hanging="567"/>
        <w:jc w:val="both"/>
        <w:rPr>
          <w:lang w:val="fr-FR"/>
        </w:rPr>
      </w:pPr>
      <w:r w:rsidRPr="00D444EA">
        <w:rPr>
          <w:lang w:val="fr-FR"/>
        </w:rPr>
        <w:t>Le rôle du Comité ne</w:t>
      </w:r>
      <w:r w:rsidRPr="003F5EC2">
        <w:rPr>
          <w:lang w:val="fr-FR"/>
        </w:rPr>
        <w:t xml:space="preserve"> se limite pas à la sélection de bonnes pratiques de sauvegarde</w:t>
      </w:r>
      <w:r>
        <w:rPr>
          <w:lang w:val="fr-FR"/>
        </w:rPr>
        <w:t xml:space="preserve"> </w:t>
      </w:r>
      <w:r w:rsidRPr="003F5EC2">
        <w:rPr>
          <w:lang w:val="fr-FR"/>
        </w:rPr>
        <w:t>mais comprend également l</w:t>
      </w:r>
      <w:r w:rsidR="00D87539">
        <w:rPr>
          <w:lang w:val="fr-FR"/>
        </w:rPr>
        <w:t>’</w:t>
      </w:r>
      <w:r w:rsidRPr="003F5EC2">
        <w:rPr>
          <w:lang w:val="fr-FR"/>
        </w:rPr>
        <w:t xml:space="preserve">encouragement de la recherche, de la documentation, de la publication et de la diffusion de bonnes pratiques et de modèles </w:t>
      </w:r>
      <w:r>
        <w:rPr>
          <w:lang w:val="fr-FR"/>
        </w:rPr>
        <w:t>dans le cadre d</w:t>
      </w:r>
      <w:r w:rsidR="00D87539">
        <w:rPr>
          <w:lang w:val="fr-FR"/>
        </w:rPr>
        <w:t>’</w:t>
      </w:r>
      <w:r>
        <w:rPr>
          <w:lang w:val="fr-FR"/>
        </w:rPr>
        <w:t xml:space="preserve">une </w:t>
      </w:r>
      <w:r w:rsidRPr="003F5EC2">
        <w:rPr>
          <w:lang w:val="fr-FR"/>
        </w:rPr>
        <w:t xml:space="preserve">coopération internationale </w:t>
      </w:r>
      <w:r w:rsidR="0033277A">
        <w:rPr>
          <w:lang w:val="fr-FR"/>
        </w:rPr>
        <w:t>pour</w:t>
      </w:r>
      <w:r>
        <w:rPr>
          <w:lang w:val="fr-FR"/>
        </w:rPr>
        <w:t xml:space="preserve"> développ</w:t>
      </w:r>
      <w:r w:rsidR="0033277A">
        <w:rPr>
          <w:lang w:val="fr-FR"/>
        </w:rPr>
        <w:t>er</w:t>
      </w:r>
      <w:r w:rsidRPr="003F5EC2">
        <w:rPr>
          <w:lang w:val="fr-FR"/>
        </w:rPr>
        <w:t xml:space="preserve"> des mesures de sauvegarde.</w:t>
      </w:r>
      <w:r>
        <w:rPr>
          <w:lang w:val="fr-FR"/>
        </w:rPr>
        <w:t xml:space="preserve"> Par conséquent, l</w:t>
      </w:r>
      <w:r w:rsidRPr="003F5EC2">
        <w:rPr>
          <w:lang w:val="fr-FR"/>
        </w:rPr>
        <w:t xml:space="preserve">e Comité </w:t>
      </w:r>
      <w:r>
        <w:rPr>
          <w:lang w:val="fr-FR"/>
        </w:rPr>
        <w:t xml:space="preserve">devrait </w:t>
      </w:r>
      <w:r w:rsidR="000E7B58">
        <w:rPr>
          <w:lang w:val="fr-FR"/>
        </w:rPr>
        <w:t>revoir</w:t>
      </w:r>
      <w:r w:rsidR="000E7B58" w:rsidRPr="003F5EC2">
        <w:rPr>
          <w:lang w:val="fr-FR"/>
        </w:rPr>
        <w:t xml:space="preserve"> </w:t>
      </w:r>
      <w:r w:rsidRPr="003F5EC2">
        <w:rPr>
          <w:lang w:val="fr-FR"/>
        </w:rPr>
        <w:t>l</w:t>
      </w:r>
      <w:r w:rsidR="00D87539">
        <w:rPr>
          <w:lang w:val="fr-FR"/>
        </w:rPr>
        <w:t>’</w:t>
      </w:r>
      <w:r w:rsidRPr="003F5EC2">
        <w:rPr>
          <w:lang w:val="fr-FR"/>
        </w:rPr>
        <w:t xml:space="preserve">application des paragraphes 42 </w:t>
      </w:r>
      <w:r>
        <w:rPr>
          <w:lang w:val="fr-FR"/>
        </w:rPr>
        <w:t>à</w:t>
      </w:r>
      <w:r w:rsidRPr="003F5EC2">
        <w:rPr>
          <w:lang w:val="fr-FR"/>
        </w:rPr>
        <w:t xml:space="preserve"> 46 des Directives opérationnelles</w:t>
      </w:r>
      <w:r>
        <w:rPr>
          <w:lang w:val="fr-FR"/>
        </w:rPr>
        <w:t xml:space="preserve"> et de l</w:t>
      </w:r>
      <w:r w:rsidR="00D87539">
        <w:rPr>
          <w:lang w:val="fr-FR"/>
        </w:rPr>
        <w:t>’</w:t>
      </w:r>
      <w:r>
        <w:rPr>
          <w:lang w:val="fr-FR"/>
        </w:rPr>
        <w:t xml:space="preserve">article 7(b) </w:t>
      </w:r>
      <w:r w:rsidR="000E7B58">
        <w:rPr>
          <w:lang w:val="fr-FR"/>
        </w:rPr>
        <w:t xml:space="preserve">de la Convention </w:t>
      </w:r>
      <w:r w:rsidRPr="003F5EC2">
        <w:rPr>
          <w:lang w:val="fr-FR"/>
        </w:rPr>
        <w:t>dans</w:t>
      </w:r>
      <w:r w:rsidR="0033277A">
        <w:rPr>
          <w:lang w:val="fr-FR"/>
        </w:rPr>
        <w:t xml:space="preserve"> le cadre de</w:t>
      </w:r>
      <w:r w:rsidRPr="003F5EC2">
        <w:rPr>
          <w:lang w:val="fr-FR"/>
        </w:rPr>
        <w:t xml:space="preserve"> la mise en œuvre de l</w:t>
      </w:r>
      <w:r w:rsidR="00D87539">
        <w:rPr>
          <w:lang w:val="fr-FR"/>
        </w:rPr>
        <w:t>’</w:t>
      </w:r>
      <w:r w:rsidRPr="003F5EC2">
        <w:rPr>
          <w:lang w:val="fr-FR"/>
        </w:rPr>
        <w:t>article 18</w:t>
      </w:r>
      <w:r>
        <w:rPr>
          <w:lang w:val="fr-FR"/>
        </w:rPr>
        <w:t>.</w:t>
      </w:r>
    </w:p>
    <w:p w14:paraId="218C878B" w14:textId="15326752" w:rsidR="00502368" w:rsidRPr="00CF3CE7" w:rsidRDefault="00502368" w:rsidP="003567BD">
      <w:pPr>
        <w:pStyle w:val="COMPara"/>
        <w:numPr>
          <w:ilvl w:val="0"/>
          <w:numId w:val="0"/>
        </w:numPr>
        <w:jc w:val="both"/>
        <w:rPr>
          <w:b/>
          <w:bCs/>
          <w:lang w:val="fr-FR"/>
        </w:rPr>
      </w:pPr>
      <w:r w:rsidRPr="00CF3CE7">
        <w:rPr>
          <w:b/>
          <w:bCs/>
          <w:lang w:val="fr-FR"/>
        </w:rPr>
        <w:t>Concernant « Vers la création d</w:t>
      </w:r>
      <w:r w:rsidR="00D87539">
        <w:rPr>
          <w:b/>
          <w:bCs/>
          <w:lang w:val="fr-FR"/>
        </w:rPr>
        <w:t>’</w:t>
      </w:r>
      <w:r w:rsidRPr="00CF3CE7">
        <w:rPr>
          <w:b/>
          <w:bCs/>
          <w:lang w:val="fr-FR"/>
        </w:rPr>
        <w:t xml:space="preserve">un </w:t>
      </w:r>
      <w:r w:rsidR="00D87539">
        <w:rPr>
          <w:b/>
          <w:bCs/>
          <w:lang w:val="fr-FR"/>
        </w:rPr>
        <w:t>‘</w:t>
      </w:r>
      <w:r w:rsidRPr="00CF3CE7">
        <w:rPr>
          <w:b/>
          <w:bCs/>
          <w:lang w:val="fr-FR"/>
        </w:rPr>
        <w:t>observatoire</w:t>
      </w:r>
      <w:r w:rsidR="00D87539">
        <w:rPr>
          <w:b/>
          <w:bCs/>
          <w:lang w:val="fr-FR"/>
        </w:rPr>
        <w:t>’</w:t>
      </w:r>
      <w:r w:rsidRPr="00CF3CE7">
        <w:rPr>
          <w:b/>
          <w:bCs/>
          <w:lang w:val="fr-FR"/>
        </w:rPr>
        <w:t xml:space="preserve"> pour le partage de bonnes pratiques de sauvegarde » (sujet 2) </w:t>
      </w:r>
      <w:r w:rsidR="006D7B91" w:rsidRPr="00CF3CE7">
        <w:rPr>
          <w:b/>
          <w:bCs/>
          <w:lang w:val="fr-FR"/>
        </w:rPr>
        <w:t>–</w:t>
      </w:r>
      <w:r w:rsidRPr="00CF3CE7">
        <w:rPr>
          <w:b/>
          <w:bCs/>
          <w:lang w:val="fr-FR"/>
        </w:rPr>
        <w:t xml:space="preserve"> voir</w:t>
      </w:r>
      <w:r w:rsidR="006D7B91" w:rsidRPr="00CF3CE7">
        <w:rPr>
          <w:b/>
          <w:bCs/>
          <w:lang w:val="fr-FR"/>
        </w:rPr>
        <w:t xml:space="preserve"> </w:t>
      </w:r>
      <w:r w:rsidRPr="00CF3CE7">
        <w:rPr>
          <w:b/>
          <w:bCs/>
          <w:lang w:val="fr-FR"/>
        </w:rPr>
        <w:t xml:space="preserve">les rapports des groupes de travail </w:t>
      </w:r>
      <w:hyperlink r:id="rId10" w:history="1">
        <w:r w:rsidRPr="006B2F55">
          <w:rPr>
            <w:rStyle w:val="Hyperlink"/>
            <w:b/>
            <w:bCs/>
            <w:lang w:val="fr-FR"/>
          </w:rPr>
          <w:t>A</w:t>
        </w:r>
      </w:hyperlink>
      <w:r w:rsidRPr="00CF3CE7">
        <w:rPr>
          <w:b/>
          <w:bCs/>
          <w:lang w:val="fr-FR"/>
        </w:rPr>
        <w:t xml:space="preserve"> et </w:t>
      </w:r>
      <w:hyperlink r:id="rId11" w:history="1">
        <w:r w:rsidRPr="006B2F55">
          <w:rPr>
            <w:rStyle w:val="Hyperlink"/>
            <w:b/>
            <w:bCs/>
            <w:lang w:val="fr-FR"/>
          </w:rPr>
          <w:t>B</w:t>
        </w:r>
      </w:hyperlink>
      <w:r w:rsidRPr="00CF3CE7">
        <w:rPr>
          <w:b/>
          <w:bCs/>
          <w:lang w:val="fr-FR"/>
        </w:rPr>
        <w:t>.</w:t>
      </w:r>
    </w:p>
    <w:p w14:paraId="023D9B5F" w14:textId="0D412943" w:rsidR="00E24ACC" w:rsidRPr="00AF5D77" w:rsidRDefault="00E24ACC" w:rsidP="00C256C0">
      <w:pPr>
        <w:pStyle w:val="COMPara"/>
        <w:ind w:left="567" w:hanging="567"/>
        <w:jc w:val="both"/>
        <w:rPr>
          <w:sz w:val="24"/>
          <w:szCs w:val="24"/>
          <w:lang w:val="fr-FR"/>
        </w:rPr>
      </w:pPr>
      <w:r w:rsidRPr="00C256C0">
        <w:rPr>
          <w:lang w:val="fr-FR"/>
        </w:rPr>
        <w:t>La création d</w:t>
      </w:r>
      <w:r w:rsidR="00D87539">
        <w:rPr>
          <w:lang w:val="fr-FR"/>
        </w:rPr>
        <w:t>’</w:t>
      </w:r>
      <w:r w:rsidRPr="00C256C0">
        <w:rPr>
          <w:lang w:val="fr-FR"/>
        </w:rPr>
        <w:t>une « plateforme » en ligne modérée pour le partage des bonnes pratiques de sauvegarde est essentielle pour rendre l</w:t>
      </w:r>
      <w:r w:rsidR="00D87539">
        <w:rPr>
          <w:lang w:val="fr-FR"/>
        </w:rPr>
        <w:t>’</w:t>
      </w:r>
      <w:r w:rsidRPr="00C256C0">
        <w:rPr>
          <w:lang w:val="fr-FR"/>
        </w:rPr>
        <w:t xml:space="preserve">article 18 pleinement opérationnel. </w:t>
      </w:r>
      <w:r w:rsidRPr="00DA087D">
        <w:rPr>
          <w:lang w:val="fr-FR"/>
        </w:rPr>
        <w:t>Un tel espace permet aux communautés et aux autres acteurs d</w:t>
      </w:r>
      <w:r w:rsidR="00D87539">
        <w:rPr>
          <w:lang w:val="fr-FR"/>
        </w:rPr>
        <w:t>’</w:t>
      </w:r>
      <w:r w:rsidRPr="00DA087D">
        <w:rPr>
          <w:lang w:val="fr-FR"/>
        </w:rPr>
        <w:t>échanger, de dialoguer et de chercher à collaborer. La terminologie alternative peut être « hub », « interface »</w:t>
      </w:r>
      <w:r w:rsidR="00F35E96">
        <w:rPr>
          <w:lang w:val="fr-FR"/>
        </w:rPr>
        <w:t xml:space="preserve"> </w:t>
      </w:r>
      <w:r w:rsidRPr="00DA087D">
        <w:rPr>
          <w:lang w:val="fr-FR"/>
        </w:rPr>
        <w:t xml:space="preserve">ou « observatoire ». </w:t>
      </w:r>
      <w:r w:rsidRPr="00C256C0">
        <w:rPr>
          <w:lang w:val="fr-FR"/>
        </w:rPr>
        <w:t>Une autre possibilité est d</w:t>
      </w:r>
      <w:r w:rsidR="00D87539">
        <w:rPr>
          <w:lang w:val="fr-FR"/>
        </w:rPr>
        <w:t>’</w:t>
      </w:r>
      <w:r w:rsidRPr="00C256C0">
        <w:rPr>
          <w:lang w:val="fr-FR"/>
        </w:rPr>
        <w:t xml:space="preserve">inclure une terminologie dans une langue nationale avec une signification de partage (par exemple </w:t>
      </w:r>
      <w:r w:rsidRPr="00D444EA">
        <w:rPr>
          <w:lang w:val="fr-FR"/>
        </w:rPr>
        <w:t>« delning »</w:t>
      </w:r>
      <w:r w:rsidRPr="00C256C0">
        <w:rPr>
          <w:lang w:val="fr-FR"/>
        </w:rPr>
        <w:t xml:space="preserve"> </w:t>
      </w:r>
      <w:r w:rsidRPr="00AF5D77">
        <w:rPr>
          <w:lang w:val="fr-FR"/>
        </w:rPr>
        <w:t>en suédois</w:t>
      </w:r>
      <w:r w:rsidR="00D444EA" w:rsidRPr="00AF5D77">
        <w:rPr>
          <w:lang w:val="fr-FR"/>
        </w:rPr>
        <w:t xml:space="preserve">, </w:t>
      </w:r>
      <w:bookmarkStart w:id="4" w:name="_Hlk133242931"/>
      <w:r w:rsidR="0033277A" w:rsidRPr="00AF5D77">
        <w:rPr>
          <w:lang w:val="fr-FR"/>
        </w:rPr>
        <w:t>« </w:t>
      </w:r>
      <w:r w:rsidR="00F60C0F" w:rsidRPr="00AF5D77">
        <w:rPr>
          <w:lang w:val="fr-FR"/>
        </w:rPr>
        <w:t>y</w:t>
      </w:r>
      <w:r w:rsidR="0033277A" w:rsidRPr="00AF5D77">
        <w:rPr>
          <w:lang w:val="fr-FR"/>
        </w:rPr>
        <w:t xml:space="preserve">irkonguii » en </w:t>
      </w:r>
      <w:r w:rsidR="000E7B58" w:rsidRPr="00AF5D77">
        <w:rPr>
          <w:lang w:val="fr-FR"/>
        </w:rPr>
        <w:t>p</w:t>
      </w:r>
      <w:r w:rsidR="0033277A" w:rsidRPr="00AF5D77">
        <w:rPr>
          <w:lang w:val="fr-FR"/>
        </w:rPr>
        <w:t xml:space="preserve">eul , « shiriki » en </w:t>
      </w:r>
      <w:r w:rsidR="000E7B58" w:rsidRPr="00AF5D77">
        <w:rPr>
          <w:lang w:val="fr-FR"/>
        </w:rPr>
        <w:t>s</w:t>
      </w:r>
      <w:r w:rsidR="0033277A" w:rsidRPr="00AF5D77">
        <w:rPr>
          <w:lang w:val="fr-FR"/>
        </w:rPr>
        <w:t>wahili</w:t>
      </w:r>
      <w:bookmarkEnd w:id="4"/>
      <w:r w:rsidRPr="00AF5D77">
        <w:rPr>
          <w:lang w:val="fr-FR"/>
        </w:rPr>
        <w:t>).</w:t>
      </w:r>
    </w:p>
    <w:p w14:paraId="79DC2704" w14:textId="77777777" w:rsidR="0026328B" w:rsidRPr="002D34EC" w:rsidRDefault="0026328B" w:rsidP="0026328B">
      <w:pPr>
        <w:pStyle w:val="COMPara"/>
        <w:numPr>
          <w:ilvl w:val="0"/>
          <w:numId w:val="0"/>
        </w:numPr>
        <w:jc w:val="both"/>
        <w:rPr>
          <w:u w:val="single"/>
          <w:lang w:val="fr-FR"/>
        </w:rPr>
      </w:pPr>
      <w:r w:rsidRPr="002D34EC">
        <w:rPr>
          <w:u w:val="single"/>
          <w:lang w:val="fr-FR"/>
        </w:rPr>
        <w:t>Premières étapes</w:t>
      </w:r>
    </w:p>
    <w:p w14:paraId="6F2D142B" w14:textId="15DFF9C8" w:rsidR="002D34EC" w:rsidRDefault="002D34EC" w:rsidP="002D34EC">
      <w:pPr>
        <w:pStyle w:val="COMPara"/>
        <w:ind w:left="567" w:hanging="567"/>
        <w:jc w:val="both"/>
        <w:rPr>
          <w:rStyle w:val="ui-provider"/>
          <w:lang w:val="fr-FR"/>
        </w:rPr>
      </w:pPr>
      <w:r w:rsidRPr="002D34EC">
        <w:rPr>
          <w:rStyle w:val="ui-provider"/>
          <w:lang w:val="fr-FR"/>
        </w:rPr>
        <w:t>Une plateforme en ligne peut être utilisée pour contribuer à la réalisation des objectifs de sauvegarde de la Convention au titre de l</w:t>
      </w:r>
      <w:r w:rsidR="00D87539">
        <w:rPr>
          <w:rStyle w:val="ui-provider"/>
          <w:lang w:val="fr-FR"/>
        </w:rPr>
        <w:t>’</w:t>
      </w:r>
      <w:r w:rsidRPr="002D34EC">
        <w:rPr>
          <w:rStyle w:val="ui-provider"/>
          <w:lang w:val="fr-FR"/>
        </w:rPr>
        <w:t>article 18 en promouvant le partage d</w:t>
      </w:r>
      <w:r w:rsidR="00D87539">
        <w:rPr>
          <w:rStyle w:val="ui-provider"/>
          <w:lang w:val="fr-FR"/>
        </w:rPr>
        <w:t>’</w:t>
      </w:r>
      <w:r w:rsidRPr="002D34EC">
        <w:rPr>
          <w:rStyle w:val="ui-provider"/>
          <w:lang w:val="fr-FR"/>
        </w:rPr>
        <w:t>informations et la coopération entre les parties prenantes à différents niveaux autour des bonnes pratiques de sauvegarde.</w:t>
      </w:r>
    </w:p>
    <w:p w14:paraId="4E7CA23B" w14:textId="2366A17F" w:rsidR="002D34EC" w:rsidRPr="002D34EC" w:rsidRDefault="002D34EC" w:rsidP="002D34EC">
      <w:pPr>
        <w:pStyle w:val="COMPara"/>
        <w:ind w:left="567" w:hanging="567"/>
        <w:jc w:val="both"/>
        <w:rPr>
          <w:lang w:val="fr-FR"/>
        </w:rPr>
      </w:pPr>
      <w:r w:rsidRPr="002D34EC">
        <w:rPr>
          <w:rStyle w:val="ui-provider"/>
          <w:lang w:val="fr-FR"/>
        </w:rPr>
        <w:t xml:space="preserve">Pour lancer le processus, la page web existante de la Convention peut être utilisée par le Secrétariat pour mettre en évidence les bonnes pratiques de sauvegarde déjà incluses dans le matériel existant, comme indiqué dans le rapport du groupe de discussion B sous le </w:t>
      </w:r>
      <w:r w:rsidR="000E7B58">
        <w:rPr>
          <w:rStyle w:val="ui-provider"/>
          <w:lang w:val="fr-FR"/>
        </w:rPr>
        <w:t>sujet</w:t>
      </w:r>
      <w:r w:rsidR="000E7B58" w:rsidRPr="002D34EC">
        <w:rPr>
          <w:rStyle w:val="ui-provider"/>
          <w:lang w:val="fr-FR"/>
        </w:rPr>
        <w:t xml:space="preserve"> </w:t>
      </w:r>
      <w:r w:rsidRPr="002D34EC">
        <w:rPr>
          <w:rStyle w:val="ui-provider"/>
          <w:lang w:val="fr-FR"/>
        </w:rPr>
        <w:t>2 (la collecte des informations requises serait rapide car le consentement a déjà été donné par les communautés concernées</w:t>
      </w:r>
      <w:r w:rsidR="00F35E96">
        <w:rPr>
          <w:rStyle w:val="ui-provider"/>
          <w:lang w:val="fr-FR"/>
        </w:rPr>
        <w:t xml:space="preserve"> pour une grande partie du matériel</w:t>
      </w:r>
      <w:r w:rsidRPr="002D34EC">
        <w:rPr>
          <w:rStyle w:val="ui-provider"/>
          <w:lang w:val="fr-FR"/>
        </w:rPr>
        <w:t>).</w:t>
      </w:r>
    </w:p>
    <w:p w14:paraId="5A4371A4" w14:textId="77777777" w:rsidR="0026328B" w:rsidRPr="006D7B91" w:rsidRDefault="0026328B" w:rsidP="0026328B">
      <w:pPr>
        <w:pStyle w:val="COMPara"/>
        <w:numPr>
          <w:ilvl w:val="0"/>
          <w:numId w:val="0"/>
        </w:numPr>
        <w:jc w:val="both"/>
        <w:rPr>
          <w:u w:val="single"/>
          <w:lang w:val="fr-FR"/>
        </w:rPr>
      </w:pPr>
      <w:r w:rsidRPr="006D7B91">
        <w:rPr>
          <w:u w:val="single"/>
          <w:lang w:val="fr-FR"/>
        </w:rPr>
        <w:t>Groupe consultatif</w:t>
      </w:r>
    </w:p>
    <w:p w14:paraId="7FC0D353" w14:textId="57BA48CC" w:rsidR="00516558" w:rsidRPr="00982A3E" w:rsidRDefault="00516558" w:rsidP="00516558">
      <w:pPr>
        <w:pStyle w:val="COMPara"/>
        <w:ind w:left="567" w:hanging="567"/>
        <w:jc w:val="both"/>
        <w:rPr>
          <w:lang w:val="fr-FR"/>
        </w:rPr>
      </w:pPr>
      <w:r w:rsidRPr="00982A3E">
        <w:rPr>
          <w:lang w:val="fr-FR"/>
        </w:rPr>
        <w:t>U</w:t>
      </w:r>
      <w:r w:rsidR="003F5EC2" w:rsidRPr="00982A3E">
        <w:rPr>
          <w:lang w:val="fr-FR"/>
        </w:rPr>
        <w:t xml:space="preserve">n </w:t>
      </w:r>
      <w:r w:rsidRPr="00982A3E">
        <w:rPr>
          <w:lang w:val="fr-FR"/>
        </w:rPr>
        <w:t xml:space="preserve">groupe composé de membres sélectionnés par le Comité, dont des </w:t>
      </w:r>
      <w:r w:rsidR="000E7B58">
        <w:rPr>
          <w:lang w:val="fr-FR"/>
        </w:rPr>
        <w:t>experts</w:t>
      </w:r>
      <w:r w:rsidRPr="00982A3E">
        <w:rPr>
          <w:lang w:val="fr-FR"/>
        </w:rPr>
        <w:t xml:space="preserve">, centres de catégorie 2, le Forum des ONG du PCI, les chaires UNESCO, </w:t>
      </w:r>
      <w:r w:rsidR="003F5EC2" w:rsidRPr="00982A3E">
        <w:rPr>
          <w:lang w:val="fr-FR"/>
        </w:rPr>
        <w:t>les</w:t>
      </w:r>
      <w:r w:rsidRPr="00982A3E">
        <w:rPr>
          <w:lang w:val="fr-FR"/>
        </w:rPr>
        <w:t xml:space="preserve"> personnes contact </w:t>
      </w:r>
      <w:r w:rsidR="004A5AC3">
        <w:rPr>
          <w:lang w:val="fr-FR"/>
        </w:rPr>
        <w:t xml:space="preserve">des communautés </w:t>
      </w:r>
      <w:r w:rsidR="00C256C0">
        <w:rPr>
          <w:lang w:val="fr-FR"/>
        </w:rPr>
        <w:t>d</w:t>
      </w:r>
      <w:r w:rsidRPr="00982A3E">
        <w:rPr>
          <w:lang w:val="fr-FR"/>
        </w:rPr>
        <w:t>es éléments inscrits</w:t>
      </w:r>
      <w:r w:rsidR="004A5AC3">
        <w:rPr>
          <w:lang w:val="fr-FR"/>
        </w:rPr>
        <w:t xml:space="preserve"> et </w:t>
      </w:r>
      <w:r w:rsidR="00C256C0">
        <w:rPr>
          <w:lang w:val="fr-FR"/>
        </w:rPr>
        <w:t>d</w:t>
      </w:r>
      <w:r w:rsidR="004A5AC3">
        <w:rPr>
          <w:lang w:val="fr-FR"/>
        </w:rPr>
        <w:t>es pratiques sélectionnées</w:t>
      </w:r>
      <w:r w:rsidRPr="00982A3E">
        <w:rPr>
          <w:lang w:val="fr-FR"/>
        </w:rPr>
        <w:t>, et</w:t>
      </w:r>
      <w:r w:rsidR="000E7B58">
        <w:rPr>
          <w:lang w:val="fr-FR"/>
        </w:rPr>
        <w:t xml:space="preserve"> les</w:t>
      </w:r>
      <w:r w:rsidRPr="00982A3E">
        <w:rPr>
          <w:lang w:val="fr-FR"/>
        </w:rPr>
        <w:t xml:space="preserve"> points focaux nationaux pour les rapports périodiques</w:t>
      </w:r>
      <w:r w:rsidR="003F5EC2" w:rsidRPr="00982A3E">
        <w:rPr>
          <w:lang w:val="fr-FR"/>
        </w:rPr>
        <w:t xml:space="preserve">, pourrait fournir des conseils au </w:t>
      </w:r>
      <w:r w:rsidR="000E7B58" w:rsidRPr="00982A3E">
        <w:rPr>
          <w:lang w:val="fr-FR"/>
        </w:rPr>
        <w:t>Secrétariat</w:t>
      </w:r>
      <w:r w:rsidR="003F5EC2" w:rsidRPr="00982A3E">
        <w:rPr>
          <w:lang w:val="fr-FR"/>
        </w:rPr>
        <w:t>, ainsi qu</w:t>
      </w:r>
      <w:r w:rsidR="00D87539">
        <w:rPr>
          <w:lang w:val="fr-FR"/>
        </w:rPr>
        <w:t>’</w:t>
      </w:r>
      <w:r w:rsidR="003F5EC2" w:rsidRPr="00982A3E">
        <w:rPr>
          <w:lang w:val="fr-FR"/>
        </w:rPr>
        <w:t>à l</w:t>
      </w:r>
      <w:r w:rsidR="00D87539">
        <w:rPr>
          <w:lang w:val="fr-FR"/>
        </w:rPr>
        <w:t>’</w:t>
      </w:r>
      <w:r w:rsidR="003F5EC2" w:rsidRPr="00982A3E">
        <w:rPr>
          <w:lang w:val="fr-FR"/>
        </w:rPr>
        <w:t>équipe technique</w:t>
      </w:r>
      <w:r w:rsidR="000E7B58">
        <w:rPr>
          <w:lang w:val="fr-FR"/>
        </w:rPr>
        <w:t xml:space="preserve"> dans la </w:t>
      </w:r>
      <w:r w:rsidR="003F5EC2" w:rsidRPr="00982A3E">
        <w:rPr>
          <w:lang w:val="fr-FR"/>
        </w:rPr>
        <w:t>mise en œuvre de la plateforme en ligne, afin de promouvoir l</w:t>
      </w:r>
      <w:r w:rsidR="00D87539">
        <w:rPr>
          <w:lang w:val="fr-FR"/>
        </w:rPr>
        <w:t>’</w:t>
      </w:r>
      <w:r w:rsidR="003F5EC2" w:rsidRPr="00982A3E">
        <w:rPr>
          <w:lang w:val="fr-FR"/>
        </w:rPr>
        <w:t>article</w:t>
      </w:r>
      <w:r w:rsidR="000E7B58">
        <w:rPr>
          <w:lang w:val="fr-FR"/>
        </w:rPr>
        <w:t> </w:t>
      </w:r>
      <w:r w:rsidR="003F5EC2" w:rsidRPr="00982A3E">
        <w:rPr>
          <w:lang w:val="fr-FR"/>
        </w:rPr>
        <w:t>18, en donnant de la crédibilité</w:t>
      </w:r>
      <w:r w:rsidR="00711B3D">
        <w:rPr>
          <w:lang w:val="fr-FR"/>
        </w:rPr>
        <w:t xml:space="preserve"> au processus décrit au paragraphe 6 des Directives opérationnelles</w:t>
      </w:r>
      <w:r w:rsidR="003E2D90">
        <w:rPr>
          <w:lang w:val="fr-FR"/>
        </w:rPr>
        <w:t>.</w:t>
      </w:r>
      <w:r w:rsidR="00711B3D">
        <w:rPr>
          <w:lang w:val="fr-FR"/>
        </w:rPr>
        <w:t xml:space="preserve"> Pour plus d’informations concernant les mandats du groupe consultatif et de l’équipe technique, se référer au </w:t>
      </w:r>
      <w:r w:rsidR="00711B3D" w:rsidRPr="002D34EC">
        <w:rPr>
          <w:rStyle w:val="ui-provider"/>
          <w:lang w:val="fr-FR"/>
        </w:rPr>
        <w:t xml:space="preserve">rapport du groupe de discussion B sous le </w:t>
      </w:r>
      <w:r w:rsidR="00711B3D">
        <w:rPr>
          <w:rStyle w:val="ui-provider"/>
          <w:lang w:val="fr-FR"/>
        </w:rPr>
        <w:t>sujet</w:t>
      </w:r>
      <w:r w:rsidR="00711B3D" w:rsidRPr="002D34EC">
        <w:rPr>
          <w:rStyle w:val="ui-provider"/>
          <w:lang w:val="fr-FR"/>
        </w:rPr>
        <w:t xml:space="preserve"> 2</w:t>
      </w:r>
      <w:r w:rsidR="00711B3D">
        <w:rPr>
          <w:rStyle w:val="ui-provider"/>
          <w:lang w:val="fr-FR"/>
        </w:rPr>
        <w:t>.</w:t>
      </w:r>
    </w:p>
    <w:p w14:paraId="02603D37" w14:textId="2C352652" w:rsidR="0026328B" w:rsidRPr="00516558" w:rsidRDefault="0026328B" w:rsidP="00D14ED2">
      <w:pPr>
        <w:pStyle w:val="COMPara"/>
        <w:numPr>
          <w:ilvl w:val="0"/>
          <w:numId w:val="0"/>
        </w:numPr>
        <w:jc w:val="both"/>
        <w:rPr>
          <w:lang w:val="fr-FR"/>
        </w:rPr>
      </w:pPr>
      <w:r w:rsidRPr="00516558">
        <w:rPr>
          <w:u w:val="single"/>
          <w:lang w:val="fr-FR"/>
        </w:rPr>
        <w:t>Indexation</w:t>
      </w:r>
    </w:p>
    <w:p w14:paraId="10049E39" w14:textId="21F35340" w:rsidR="00091913" w:rsidRPr="00091913" w:rsidRDefault="00091913" w:rsidP="00091913">
      <w:pPr>
        <w:pStyle w:val="COMPara"/>
        <w:ind w:left="567" w:hanging="567"/>
        <w:jc w:val="both"/>
        <w:rPr>
          <w:lang w:val="fr-FR"/>
        </w:rPr>
      </w:pPr>
      <w:r w:rsidRPr="00091913">
        <w:rPr>
          <w:lang w:val="fr-FR"/>
        </w:rPr>
        <w:t>Les expériences obtenues par le biais de divers mécanismes et initiatives de la Convention peuvent être partagées par le biais de la plateforme en ligne, de même que celles liées à des initiatives thématiques ou à des informations spécifiquement liées à des approches ou méthodologies de sauvegarde. Comme c</w:t>
      </w:r>
      <w:r w:rsidR="00D87539">
        <w:rPr>
          <w:lang w:val="fr-FR"/>
        </w:rPr>
        <w:t>’</w:t>
      </w:r>
      <w:r w:rsidRPr="00091913">
        <w:rPr>
          <w:lang w:val="fr-FR"/>
        </w:rPr>
        <w:t>est le cas pour le développement futur du Registre, les bonnes pratiques de sauvegarde doivent être indexées</w:t>
      </w:r>
      <w:r w:rsidR="004A5AC3">
        <w:rPr>
          <w:lang w:val="fr-FR"/>
        </w:rPr>
        <w:t>, comme indiqué au paragraphe 11</w:t>
      </w:r>
      <w:r w:rsidRPr="00091913">
        <w:rPr>
          <w:lang w:val="fr-FR"/>
        </w:rPr>
        <w:t>.</w:t>
      </w:r>
    </w:p>
    <w:p w14:paraId="7935E1E7" w14:textId="77777777" w:rsidR="0026328B" w:rsidRPr="006D7B91" w:rsidRDefault="0026328B" w:rsidP="000C5917">
      <w:pPr>
        <w:pStyle w:val="COMPara"/>
        <w:keepNext/>
        <w:numPr>
          <w:ilvl w:val="0"/>
          <w:numId w:val="0"/>
        </w:numPr>
        <w:jc w:val="both"/>
        <w:rPr>
          <w:u w:val="single"/>
          <w:lang w:val="fr-FR"/>
        </w:rPr>
      </w:pPr>
      <w:r w:rsidRPr="006D7B91">
        <w:rPr>
          <w:u w:val="single"/>
          <w:lang w:val="fr-FR"/>
        </w:rPr>
        <w:lastRenderedPageBreak/>
        <w:t>Participation des communautés</w:t>
      </w:r>
    </w:p>
    <w:p w14:paraId="23284D1C" w14:textId="6A9541BE" w:rsidR="0026328B" w:rsidRDefault="0026328B" w:rsidP="000C5917">
      <w:pPr>
        <w:pStyle w:val="COMPara"/>
        <w:keepNext/>
        <w:ind w:left="567" w:hanging="567"/>
        <w:jc w:val="both"/>
        <w:rPr>
          <w:lang w:val="fr-FR"/>
        </w:rPr>
      </w:pPr>
      <w:r w:rsidRPr="006D7B91">
        <w:rPr>
          <w:lang w:val="fr-FR"/>
        </w:rPr>
        <w:t xml:space="preserve">Afin de faciliter une large participation des communautés </w:t>
      </w:r>
      <w:r w:rsidR="007E287B" w:rsidRPr="006D7B91">
        <w:rPr>
          <w:lang w:val="fr-FR"/>
        </w:rPr>
        <w:t>dans</w:t>
      </w:r>
      <w:r w:rsidRPr="006D7B91">
        <w:rPr>
          <w:lang w:val="fr-FR"/>
        </w:rPr>
        <w:t xml:space="preserve"> l</w:t>
      </w:r>
      <w:r w:rsidR="00D87539">
        <w:rPr>
          <w:lang w:val="fr-FR"/>
        </w:rPr>
        <w:t>’</w:t>
      </w:r>
      <w:r w:rsidRPr="006D7B91">
        <w:rPr>
          <w:lang w:val="fr-FR"/>
        </w:rPr>
        <w:t xml:space="preserve">utilisation </w:t>
      </w:r>
      <w:r w:rsidR="00711B3D">
        <w:rPr>
          <w:lang w:val="fr-FR"/>
        </w:rPr>
        <w:t>de la plateforme</w:t>
      </w:r>
      <w:r w:rsidRPr="006D7B91">
        <w:rPr>
          <w:lang w:val="fr-FR"/>
        </w:rPr>
        <w:t xml:space="preserve"> en ligne</w:t>
      </w:r>
      <w:r w:rsidR="007E287B" w:rsidRPr="006D7B91">
        <w:rPr>
          <w:lang w:val="fr-FR"/>
        </w:rPr>
        <w:t> </w:t>
      </w:r>
      <w:r w:rsidRPr="006D7B91">
        <w:rPr>
          <w:lang w:val="fr-FR"/>
        </w:rPr>
        <w:t>:</w:t>
      </w:r>
    </w:p>
    <w:p w14:paraId="5C22FE1E" w14:textId="7D7AE112" w:rsidR="0026328B" w:rsidRPr="006D7B91" w:rsidRDefault="0026328B" w:rsidP="0026328B">
      <w:pPr>
        <w:pStyle w:val="COMPara"/>
        <w:numPr>
          <w:ilvl w:val="0"/>
          <w:numId w:val="5"/>
        </w:numPr>
        <w:ind w:left="1134" w:hanging="567"/>
        <w:jc w:val="both"/>
        <w:rPr>
          <w:lang w:val="fr-FR"/>
        </w:rPr>
      </w:pPr>
      <w:r w:rsidRPr="006D7B91">
        <w:rPr>
          <w:lang w:val="fr-FR"/>
        </w:rPr>
        <w:t>L</w:t>
      </w:r>
      <w:r w:rsidR="00D87539">
        <w:rPr>
          <w:lang w:val="fr-FR"/>
        </w:rPr>
        <w:t>’</w:t>
      </w:r>
      <w:r w:rsidRPr="006D7B91">
        <w:rPr>
          <w:lang w:val="fr-FR"/>
        </w:rPr>
        <w:t xml:space="preserve">utilisation des langues maternelles </w:t>
      </w:r>
      <w:r w:rsidR="00C256C0">
        <w:rPr>
          <w:lang w:val="fr-FR"/>
        </w:rPr>
        <w:t>devrait</w:t>
      </w:r>
      <w:r w:rsidR="00C256C0" w:rsidRPr="006D7B91">
        <w:rPr>
          <w:lang w:val="fr-FR"/>
        </w:rPr>
        <w:t xml:space="preserve"> </w:t>
      </w:r>
      <w:r w:rsidRPr="006D7B91">
        <w:rPr>
          <w:lang w:val="fr-FR"/>
        </w:rPr>
        <w:t>être encouragée à l</w:t>
      </w:r>
      <w:r w:rsidR="00D87539">
        <w:rPr>
          <w:lang w:val="fr-FR"/>
        </w:rPr>
        <w:t>’</w:t>
      </w:r>
      <w:r w:rsidRPr="006D7B91">
        <w:rPr>
          <w:lang w:val="fr-FR"/>
        </w:rPr>
        <w:t>aide d</w:t>
      </w:r>
      <w:r w:rsidR="00D87539">
        <w:rPr>
          <w:lang w:val="fr-FR"/>
        </w:rPr>
        <w:t>’</w:t>
      </w:r>
      <w:r w:rsidRPr="006D7B91">
        <w:rPr>
          <w:lang w:val="fr-FR"/>
        </w:rPr>
        <w:t>outils de traduction automatique</w:t>
      </w:r>
      <w:r w:rsidR="009C72E0">
        <w:rPr>
          <w:lang w:val="fr-FR"/>
        </w:rPr>
        <w:t xml:space="preserve"> ou tout autre application d</w:t>
      </w:r>
      <w:r w:rsidR="00D87539">
        <w:rPr>
          <w:lang w:val="fr-FR"/>
        </w:rPr>
        <w:t>’</w:t>
      </w:r>
      <w:r w:rsidR="009C72E0">
        <w:rPr>
          <w:lang w:val="fr-FR"/>
        </w:rPr>
        <w:t xml:space="preserve">intelligence artificielle qui pourrait être </w:t>
      </w:r>
      <w:r w:rsidR="00711B3D">
        <w:rPr>
          <w:lang w:val="fr-FR"/>
        </w:rPr>
        <w:t>développée</w:t>
      </w:r>
      <w:r w:rsidR="009C72E0">
        <w:rPr>
          <w:lang w:val="fr-FR"/>
        </w:rPr>
        <w:t xml:space="preserve"> dans les prochaines années</w:t>
      </w:r>
      <w:r w:rsidRPr="006D7B91">
        <w:rPr>
          <w:lang w:val="fr-FR"/>
        </w:rPr>
        <w:t>.</w:t>
      </w:r>
    </w:p>
    <w:p w14:paraId="457BA1A9" w14:textId="3F2847CF" w:rsidR="0026328B" w:rsidRPr="006D7B91" w:rsidRDefault="0026328B" w:rsidP="0026328B">
      <w:pPr>
        <w:pStyle w:val="COMPara"/>
        <w:numPr>
          <w:ilvl w:val="0"/>
          <w:numId w:val="5"/>
        </w:numPr>
        <w:ind w:left="1134" w:hanging="567"/>
        <w:jc w:val="both"/>
        <w:rPr>
          <w:lang w:val="fr-FR"/>
        </w:rPr>
      </w:pPr>
      <w:r w:rsidRPr="006D7B91">
        <w:rPr>
          <w:lang w:val="fr-FR"/>
        </w:rPr>
        <w:t xml:space="preserve">Les </w:t>
      </w:r>
      <w:r w:rsidR="004A5AC3">
        <w:rPr>
          <w:lang w:val="fr-FR"/>
        </w:rPr>
        <w:t xml:space="preserve">autres </w:t>
      </w:r>
      <w:r w:rsidRPr="006D7B91">
        <w:rPr>
          <w:lang w:val="fr-FR"/>
        </w:rPr>
        <w:t>modalités de communication telles que la télévision et la radio</w:t>
      </w:r>
      <w:r w:rsidR="00421AC1">
        <w:rPr>
          <w:lang w:val="fr-FR"/>
        </w:rPr>
        <w:t xml:space="preserve"> et d</w:t>
      </w:r>
      <w:r w:rsidR="00D87539">
        <w:rPr>
          <w:lang w:val="fr-FR"/>
        </w:rPr>
        <w:t>’</w:t>
      </w:r>
      <w:r w:rsidR="00421AC1">
        <w:rPr>
          <w:lang w:val="fr-FR"/>
        </w:rPr>
        <w:t>autres technologies analog</w:t>
      </w:r>
      <w:r w:rsidR="00A66360">
        <w:rPr>
          <w:lang w:val="fr-FR"/>
        </w:rPr>
        <w:t>iq</w:t>
      </w:r>
      <w:r w:rsidR="00421AC1">
        <w:rPr>
          <w:lang w:val="fr-FR"/>
        </w:rPr>
        <w:t>ues</w:t>
      </w:r>
      <w:r w:rsidRPr="006D7B91">
        <w:rPr>
          <w:lang w:val="fr-FR"/>
        </w:rPr>
        <w:t xml:space="preserve"> </w:t>
      </w:r>
      <w:r w:rsidR="00711B3D">
        <w:rPr>
          <w:lang w:val="fr-FR"/>
        </w:rPr>
        <w:t xml:space="preserve">et numériques </w:t>
      </w:r>
      <w:r w:rsidR="00D71E6E" w:rsidRPr="006D7B91">
        <w:rPr>
          <w:lang w:val="fr-FR"/>
        </w:rPr>
        <w:t>pourraient</w:t>
      </w:r>
      <w:r w:rsidRPr="006D7B91">
        <w:rPr>
          <w:lang w:val="fr-FR"/>
        </w:rPr>
        <w:t xml:space="preserve"> être utilisées en complément des outils </w:t>
      </w:r>
      <w:r w:rsidR="00C256C0">
        <w:rPr>
          <w:lang w:val="fr-FR"/>
        </w:rPr>
        <w:t>en ligne de</w:t>
      </w:r>
      <w:r w:rsidRPr="006D7B91">
        <w:rPr>
          <w:lang w:val="fr-FR"/>
        </w:rPr>
        <w:t xml:space="preserve"> partage</w:t>
      </w:r>
      <w:r w:rsidR="00C256C0">
        <w:rPr>
          <w:lang w:val="fr-FR"/>
        </w:rPr>
        <w:t xml:space="preserve"> de</w:t>
      </w:r>
      <w:r w:rsidRPr="006D7B91">
        <w:rPr>
          <w:lang w:val="fr-FR"/>
        </w:rPr>
        <w:t xml:space="preserve"> l</w:t>
      </w:r>
      <w:r w:rsidR="00D87539">
        <w:rPr>
          <w:lang w:val="fr-FR"/>
        </w:rPr>
        <w:t>’</w:t>
      </w:r>
      <w:r w:rsidRPr="006D7B91">
        <w:rPr>
          <w:lang w:val="fr-FR"/>
        </w:rPr>
        <w:t>information.</w:t>
      </w:r>
    </w:p>
    <w:p w14:paraId="32F5A54A" w14:textId="655A5FB8" w:rsidR="0026328B" w:rsidRPr="006D7B91" w:rsidRDefault="0026328B" w:rsidP="0026328B">
      <w:pPr>
        <w:pStyle w:val="COMPara"/>
        <w:numPr>
          <w:ilvl w:val="0"/>
          <w:numId w:val="5"/>
        </w:numPr>
        <w:ind w:left="1134" w:hanging="567"/>
        <w:jc w:val="both"/>
        <w:rPr>
          <w:lang w:val="fr-FR"/>
        </w:rPr>
      </w:pPr>
      <w:r w:rsidRPr="006D7B91">
        <w:rPr>
          <w:lang w:val="fr-FR"/>
        </w:rPr>
        <w:t xml:space="preserve">Un forum interactif dédié </w:t>
      </w:r>
      <w:r w:rsidR="00421AC1">
        <w:rPr>
          <w:lang w:val="fr-FR"/>
        </w:rPr>
        <w:t>pourrait</w:t>
      </w:r>
      <w:r w:rsidR="00421AC1" w:rsidRPr="006D7B91">
        <w:rPr>
          <w:lang w:val="fr-FR"/>
        </w:rPr>
        <w:t xml:space="preserve"> </w:t>
      </w:r>
      <w:r w:rsidRPr="006D7B91">
        <w:rPr>
          <w:lang w:val="fr-FR"/>
        </w:rPr>
        <w:t xml:space="preserve">être inclus dans </w:t>
      </w:r>
      <w:r w:rsidR="00711B3D">
        <w:rPr>
          <w:lang w:val="fr-FR"/>
        </w:rPr>
        <w:t>la plateforme</w:t>
      </w:r>
      <w:r w:rsidR="00711B3D" w:rsidRPr="006D7B91">
        <w:rPr>
          <w:lang w:val="fr-FR"/>
        </w:rPr>
        <w:t xml:space="preserve"> </w:t>
      </w:r>
      <w:r w:rsidRPr="006D7B91">
        <w:rPr>
          <w:lang w:val="fr-FR"/>
        </w:rPr>
        <w:t>en ligne pour permettre le dialogue</w:t>
      </w:r>
      <w:r w:rsidR="00091913">
        <w:rPr>
          <w:lang w:val="fr-FR"/>
        </w:rPr>
        <w:t xml:space="preserve">. </w:t>
      </w:r>
      <w:r w:rsidRPr="006D7B91">
        <w:rPr>
          <w:lang w:val="fr-FR"/>
        </w:rPr>
        <w:t>La possibilité pour les communautés de partager des événements planifiés dans un calendrier d</w:t>
      </w:r>
      <w:r w:rsidR="00D87539">
        <w:rPr>
          <w:lang w:val="fr-FR"/>
        </w:rPr>
        <w:t>’</w:t>
      </w:r>
      <w:r w:rsidRPr="006D7B91">
        <w:rPr>
          <w:lang w:val="fr-FR"/>
        </w:rPr>
        <w:t xml:space="preserve">événements pourrait être prévue sur </w:t>
      </w:r>
      <w:r w:rsidR="00711B3D">
        <w:rPr>
          <w:lang w:val="fr-FR"/>
        </w:rPr>
        <w:t>la plateforme</w:t>
      </w:r>
      <w:r w:rsidR="00711B3D" w:rsidRPr="006D7B91">
        <w:rPr>
          <w:lang w:val="fr-FR"/>
        </w:rPr>
        <w:t xml:space="preserve"> </w:t>
      </w:r>
      <w:r w:rsidRPr="006D7B91">
        <w:rPr>
          <w:lang w:val="fr-FR"/>
        </w:rPr>
        <w:t>en ligne.</w:t>
      </w:r>
    </w:p>
    <w:p w14:paraId="4F87DB92" w14:textId="53200C20" w:rsidR="00091913" w:rsidRPr="00091913" w:rsidRDefault="00091913" w:rsidP="00315016">
      <w:pPr>
        <w:pStyle w:val="COMPara"/>
        <w:numPr>
          <w:ilvl w:val="0"/>
          <w:numId w:val="5"/>
        </w:numPr>
        <w:ind w:left="1134" w:hanging="567"/>
        <w:jc w:val="both"/>
        <w:rPr>
          <w:lang w:val="fr-FR"/>
        </w:rPr>
      </w:pPr>
      <w:r w:rsidRPr="00091913">
        <w:rPr>
          <w:rStyle w:val="ui-provider"/>
          <w:lang w:val="fr-FR"/>
        </w:rPr>
        <w:t>La Déclaration universelle des droits de l</w:t>
      </w:r>
      <w:r w:rsidR="00D87539">
        <w:rPr>
          <w:rStyle w:val="ui-provider"/>
          <w:lang w:val="fr-FR"/>
        </w:rPr>
        <w:t>’</w:t>
      </w:r>
      <w:r w:rsidRPr="00091913">
        <w:rPr>
          <w:rStyle w:val="ui-provider"/>
          <w:lang w:val="fr-FR"/>
        </w:rPr>
        <w:t xml:space="preserve">homme (en particulier son article 27) et les Principes éthiques pour la </w:t>
      </w:r>
      <w:r w:rsidRPr="00091913">
        <w:rPr>
          <w:lang w:val="fr-FR"/>
        </w:rPr>
        <w:t>sauvegarde</w:t>
      </w:r>
      <w:r w:rsidRPr="00091913">
        <w:rPr>
          <w:rStyle w:val="ui-provider"/>
          <w:lang w:val="fr-FR"/>
        </w:rPr>
        <w:t xml:space="preserve"> du patrimoine culturel immatériel doivent être respectés dans la gestion de la plateforme en ligne, dans l</w:t>
      </w:r>
      <w:r w:rsidR="00D87539">
        <w:rPr>
          <w:rStyle w:val="ui-provider"/>
          <w:lang w:val="fr-FR"/>
        </w:rPr>
        <w:t>’</w:t>
      </w:r>
      <w:r w:rsidRPr="00091913">
        <w:rPr>
          <w:rStyle w:val="ui-provider"/>
          <w:lang w:val="fr-FR"/>
        </w:rPr>
        <w:t>intérêt de la participation des communautés</w:t>
      </w:r>
      <w:r w:rsidR="00C256C0">
        <w:rPr>
          <w:rStyle w:val="ui-provider"/>
          <w:lang w:val="fr-FR"/>
        </w:rPr>
        <w:t xml:space="preserve">, </w:t>
      </w:r>
      <w:r w:rsidR="00C256C0" w:rsidRPr="00C256C0">
        <w:rPr>
          <w:rStyle w:val="ui-provider"/>
          <w:lang w:val="fr-FR"/>
        </w:rPr>
        <w:t xml:space="preserve">et </w:t>
      </w:r>
      <w:r w:rsidR="00C256C0">
        <w:rPr>
          <w:rStyle w:val="ui-provider"/>
          <w:lang w:val="fr-FR"/>
        </w:rPr>
        <w:t>d</w:t>
      </w:r>
      <w:r w:rsidR="00C256C0" w:rsidRPr="00C256C0">
        <w:rPr>
          <w:rStyle w:val="ui-provider"/>
          <w:lang w:val="fr-FR"/>
        </w:rPr>
        <w:t>es outils nécessaires peuvent être développés</w:t>
      </w:r>
      <w:r w:rsidR="003E2D90">
        <w:rPr>
          <w:rStyle w:val="ui-provider"/>
          <w:lang w:val="fr-FR"/>
        </w:rPr>
        <w:t>.</w:t>
      </w:r>
    </w:p>
    <w:p w14:paraId="682D1B12" w14:textId="4DACA010" w:rsidR="001C5A43" w:rsidRPr="00D149FF" w:rsidRDefault="0026328B" w:rsidP="0026328B">
      <w:pPr>
        <w:pStyle w:val="COMPara"/>
        <w:numPr>
          <w:ilvl w:val="0"/>
          <w:numId w:val="0"/>
        </w:numPr>
        <w:jc w:val="both"/>
        <w:rPr>
          <w:b/>
          <w:bCs/>
          <w:lang w:val="fr-FR"/>
        </w:rPr>
      </w:pPr>
      <w:r w:rsidRPr="006D7B91">
        <w:rPr>
          <w:b/>
          <w:bCs/>
          <w:lang w:val="fr-FR"/>
        </w:rPr>
        <w:t xml:space="preserve">Concernant </w:t>
      </w:r>
      <w:r w:rsidR="005024F6" w:rsidRPr="006D7B91">
        <w:rPr>
          <w:b/>
          <w:bCs/>
          <w:lang w:val="fr-FR"/>
        </w:rPr>
        <w:t>« Tout</w:t>
      </w:r>
      <w:r w:rsidR="004210F8" w:rsidRPr="006D7B91">
        <w:rPr>
          <w:b/>
          <w:bCs/>
          <w:lang w:val="fr-FR"/>
        </w:rPr>
        <w:t>e</w:t>
      </w:r>
      <w:r w:rsidR="005024F6" w:rsidRPr="006D7B91">
        <w:rPr>
          <w:b/>
          <w:bCs/>
          <w:lang w:val="fr-FR"/>
        </w:rPr>
        <w:t xml:space="preserve"> autre </w:t>
      </w:r>
      <w:r w:rsidRPr="006D7B91">
        <w:rPr>
          <w:b/>
          <w:bCs/>
          <w:lang w:val="fr-FR"/>
        </w:rPr>
        <w:t>question à identifier</w:t>
      </w:r>
      <w:r w:rsidR="005024F6" w:rsidRPr="006D7B91">
        <w:rPr>
          <w:b/>
          <w:bCs/>
          <w:lang w:val="fr-FR"/>
        </w:rPr>
        <w:t xml:space="preserve"> » </w:t>
      </w:r>
      <w:r w:rsidRPr="006D7B91">
        <w:rPr>
          <w:b/>
          <w:bCs/>
          <w:lang w:val="fr-FR"/>
        </w:rPr>
        <w:t>(</w:t>
      </w:r>
      <w:r w:rsidR="005024F6" w:rsidRPr="006D7B91">
        <w:rPr>
          <w:b/>
          <w:bCs/>
          <w:lang w:val="fr-FR"/>
        </w:rPr>
        <w:t xml:space="preserve">sujet </w:t>
      </w:r>
      <w:r w:rsidRPr="006D7B91">
        <w:rPr>
          <w:b/>
          <w:bCs/>
          <w:lang w:val="fr-FR"/>
        </w:rPr>
        <w:t xml:space="preserve">3) </w:t>
      </w:r>
      <w:r w:rsidR="006D7B91" w:rsidRPr="006D7B91">
        <w:rPr>
          <w:b/>
          <w:bCs/>
          <w:lang w:val="fr-FR"/>
        </w:rPr>
        <w:t>–</w:t>
      </w:r>
      <w:r w:rsidRPr="006D7B91">
        <w:rPr>
          <w:b/>
          <w:bCs/>
          <w:lang w:val="fr-FR"/>
        </w:rPr>
        <w:t xml:space="preserve"> voir</w:t>
      </w:r>
      <w:r w:rsidR="006D7B91" w:rsidRPr="006D7B91">
        <w:rPr>
          <w:b/>
          <w:bCs/>
          <w:lang w:val="fr-FR"/>
        </w:rPr>
        <w:t xml:space="preserve"> </w:t>
      </w:r>
      <w:r w:rsidRPr="006D7B91">
        <w:rPr>
          <w:b/>
          <w:bCs/>
          <w:lang w:val="fr-FR"/>
        </w:rPr>
        <w:t xml:space="preserve">le </w:t>
      </w:r>
      <w:hyperlink r:id="rId12" w:history="1">
        <w:r w:rsidRPr="006B2F55">
          <w:rPr>
            <w:rStyle w:val="Hyperlink"/>
            <w:b/>
            <w:bCs/>
            <w:lang w:val="fr-FR"/>
          </w:rPr>
          <w:t>rapport</w:t>
        </w:r>
      </w:hyperlink>
      <w:r w:rsidR="005024F6" w:rsidRPr="006D7B91">
        <w:rPr>
          <w:b/>
          <w:bCs/>
          <w:lang w:val="fr-FR"/>
        </w:rPr>
        <w:t xml:space="preserve"> </w:t>
      </w:r>
      <w:r w:rsidR="005024F6" w:rsidRPr="00D149FF">
        <w:rPr>
          <w:b/>
          <w:bCs/>
          <w:lang w:val="fr-FR"/>
        </w:rPr>
        <w:t>du groupe d</w:t>
      </w:r>
      <w:r w:rsidR="00D87539">
        <w:rPr>
          <w:b/>
          <w:bCs/>
          <w:lang w:val="fr-FR"/>
        </w:rPr>
        <w:t>’</w:t>
      </w:r>
      <w:r w:rsidR="005024F6" w:rsidRPr="00D149FF">
        <w:rPr>
          <w:b/>
          <w:bCs/>
          <w:lang w:val="fr-FR"/>
        </w:rPr>
        <w:t>experts</w:t>
      </w:r>
    </w:p>
    <w:p w14:paraId="4F52F285" w14:textId="51C76BFA" w:rsidR="008A0656" w:rsidRPr="007327F0" w:rsidRDefault="008A0656" w:rsidP="0026328B">
      <w:pPr>
        <w:pStyle w:val="COMPara"/>
        <w:ind w:left="567" w:hanging="567"/>
        <w:jc w:val="both"/>
        <w:rPr>
          <w:lang w:val="fr-FR"/>
        </w:rPr>
      </w:pPr>
      <w:r w:rsidRPr="007327F0">
        <w:rPr>
          <w:lang w:val="fr-FR"/>
        </w:rPr>
        <w:t xml:space="preserve">Outre les questions décrites dans les sujets 1 et 2, les idées suivantes méritent </w:t>
      </w:r>
      <w:r w:rsidR="007327F0" w:rsidRPr="007327F0">
        <w:rPr>
          <w:lang w:val="fr-FR"/>
        </w:rPr>
        <w:t>d</w:t>
      </w:r>
      <w:r w:rsidR="00D87539">
        <w:rPr>
          <w:lang w:val="fr-FR"/>
        </w:rPr>
        <w:t>’</w:t>
      </w:r>
      <w:r w:rsidR="007327F0" w:rsidRPr="007327F0">
        <w:rPr>
          <w:lang w:val="fr-FR"/>
        </w:rPr>
        <w:t>être prises en considération</w:t>
      </w:r>
      <w:r w:rsidR="007327F0">
        <w:rPr>
          <w:lang w:val="fr-FR"/>
        </w:rPr>
        <w:t xml:space="preserve"> </w:t>
      </w:r>
      <w:r w:rsidRPr="007327F0">
        <w:rPr>
          <w:lang w:val="fr-FR"/>
        </w:rPr>
        <w:t>:</w:t>
      </w:r>
    </w:p>
    <w:p w14:paraId="41385A53" w14:textId="3E80EF57" w:rsidR="0026328B" w:rsidRPr="007327F0" w:rsidRDefault="0026328B" w:rsidP="008A0656">
      <w:pPr>
        <w:pStyle w:val="COMPara"/>
        <w:numPr>
          <w:ilvl w:val="0"/>
          <w:numId w:val="0"/>
        </w:numPr>
        <w:jc w:val="both"/>
        <w:rPr>
          <w:u w:val="single"/>
          <w:lang w:val="fr-FR"/>
        </w:rPr>
      </w:pPr>
      <w:r w:rsidRPr="007327F0">
        <w:rPr>
          <w:u w:val="single"/>
          <w:lang w:val="fr-FR"/>
        </w:rPr>
        <w:t>Financement</w:t>
      </w:r>
    </w:p>
    <w:p w14:paraId="6D1AB108" w14:textId="381BC0DD" w:rsidR="007327F0" w:rsidRPr="007327F0" w:rsidRDefault="007327F0" w:rsidP="007327F0">
      <w:pPr>
        <w:pStyle w:val="COMPara"/>
        <w:ind w:left="567" w:hanging="567"/>
        <w:jc w:val="both"/>
        <w:rPr>
          <w:lang w:val="fr-FR"/>
        </w:rPr>
      </w:pPr>
      <w:r w:rsidRPr="007327F0">
        <w:rPr>
          <w:lang w:val="fr-FR"/>
        </w:rPr>
        <w:t>Des ressources financières</w:t>
      </w:r>
      <w:r w:rsidR="00421AC1">
        <w:rPr>
          <w:lang w:val="fr-FR"/>
        </w:rPr>
        <w:t xml:space="preserve"> supplémentaires</w:t>
      </w:r>
      <w:r w:rsidRPr="007327F0">
        <w:rPr>
          <w:lang w:val="fr-FR"/>
        </w:rPr>
        <w:t>, qui complètent le mécanisme d</w:t>
      </w:r>
      <w:r w:rsidR="00D87539">
        <w:rPr>
          <w:lang w:val="fr-FR"/>
        </w:rPr>
        <w:t>’</w:t>
      </w:r>
      <w:r w:rsidRPr="007327F0">
        <w:rPr>
          <w:lang w:val="fr-FR"/>
        </w:rPr>
        <w:t>assistance internationale, doivent être mises à la disposition des communautés pour les aider à préparer, mettre en œuvre et suivre les programmes, projets et activités qui reflètent le mieux les principes de la convention.</w:t>
      </w:r>
    </w:p>
    <w:p w14:paraId="6E6AFAC3" w14:textId="2AE5CB56" w:rsidR="008A0656" w:rsidRPr="007327F0" w:rsidRDefault="008A0656" w:rsidP="008A0656">
      <w:pPr>
        <w:pStyle w:val="COMPara"/>
        <w:numPr>
          <w:ilvl w:val="0"/>
          <w:numId w:val="0"/>
        </w:numPr>
        <w:jc w:val="both"/>
        <w:rPr>
          <w:u w:val="single"/>
          <w:lang w:val="fr-FR"/>
        </w:rPr>
      </w:pPr>
      <w:r w:rsidRPr="007327F0">
        <w:rPr>
          <w:u w:val="single"/>
          <w:lang w:val="fr-FR"/>
        </w:rPr>
        <w:t>Sensibili</w:t>
      </w:r>
      <w:r w:rsidR="00421AC1">
        <w:rPr>
          <w:u w:val="single"/>
          <w:lang w:val="fr-FR"/>
        </w:rPr>
        <w:t>s</w:t>
      </w:r>
      <w:r w:rsidRPr="007327F0">
        <w:rPr>
          <w:u w:val="single"/>
          <w:lang w:val="fr-FR"/>
        </w:rPr>
        <w:t>ation</w:t>
      </w:r>
    </w:p>
    <w:p w14:paraId="4D4A69D9" w14:textId="20E4D7A2" w:rsidR="008A0656" w:rsidRPr="00982A3E" w:rsidRDefault="008A0656" w:rsidP="008A0656">
      <w:pPr>
        <w:pStyle w:val="COMPara"/>
        <w:ind w:left="567" w:hanging="567"/>
        <w:jc w:val="both"/>
        <w:rPr>
          <w:lang w:val="fr-FR"/>
        </w:rPr>
      </w:pPr>
      <w:r w:rsidRPr="00982A3E">
        <w:rPr>
          <w:lang w:val="fr-FR"/>
        </w:rPr>
        <w:t xml:space="preserve">Des initiatives spécifiques </w:t>
      </w:r>
      <w:r w:rsidR="00711B3D">
        <w:rPr>
          <w:lang w:val="fr-FR"/>
        </w:rPr>
        <w:t xml:space="preserve">visant </w:t>
      </w:r>
      <w:r w:rsidRPr="00982A3E">
        <w:rPr>
          <w:lang w:val="fr-FR"/>
        </w:rPr>
        <w:t xml:space="preserve">à accroitre la sensibilisation sur </w:t>
      </w:r>
      <w:r w:rsidR="00B52E3A" w:rsidRPr="00982A3E">
        <w:rPr>
          <w:lang w:val="fr-FR"/>
        </w:rPr>
        <w:t xml:space="preserve">la portée </w:t>
      </w:r>
      <w:r w:rsidRPr="00982A3E">
        <w:rPr>
          <w:lang w:val="fr-FR"/>
        </w:rPr>
        <w:t>de l</w:t>
      </w:r>
      <w:r w:rsidR="00D87539">
        <w:rPr>
          <w:lang w:val="fr-FR"/>
        </w:rPr>
        <w:t>’</w:t>
      </w:r>
      <w:r w:rsidRPr="00982A3E">
        <w:rPr>
          <w:lang w:val="fr-FR"/>
        </w:rPr>
        <w:t>article 18, y</w:t>
      </w:r>
      <w:r w:rsidR="00711B3D">
        <w:rPr>
          <w:lang w:val="fr-FR"/>
        </w:rPr>
        <w:t> </w:t>
      </w:r>
      <w:r w:rsidRPr="00982A3E">
        <w:rPr>
          <w:lang w:val="fr-FR"/>
        </w:rPr>
        <w:t>compris les bénéfices du Registre, pourraient être entreprise</w:t>
      </w:r>
      <w:r w:rsidR="00711B3D">
        <w:rPr>
          <w:lang w:val="fr-FR"/>
        </w:rPr>
        <w:t>s</w:t>
      </w:r>
      <w:r w:rsidRPr="00982A3E">
        <w:rPr>
          <w:lang w:val="fr-FR"/>
        </w:rPr>
        <w:t xml:space="preserve"> afin de reconnaitre les efforts de sauvegarde des communautés</w:t>
      </w:r>
      <w:r w:rsidR="00F35E96">
        <w:rPr>
          <w:lang w:val="fr-FR"/>
        </w:rPr>
        <w:t>, par exemple</w:t>
      </w:r>
      <w:r w:rsidR="00711B3D">
        <w:rPr>
          <w:lang w:val="fr-FR"/>
        </w:rPr>
        <w:t> :</w:t>
      </w:r>
    </w:p>
    <w:p w14:paraId="3837D298" w14:textId="58CC07A8" w:rsidR="008A0656" w:rsidRDefault="00091913" w:rsidP="00091913">
      <w:pPr>
        <w:pStyle w:val="COMPara"/>
        <w:numPr>
          <w:ilvl w:val="0"/>
          <w:numId w:val="5"/>
        </w:numPr>
        <w:ind w:left="1134" w:hanging="567"/>
        <w:jc w:val="both"/>
        <w:rPr>
          <w:lang w:val="fr-FR"/>
        </w:rPr>
      </w:pPr>
      <w:r>
        <w:rPr>
          <w:lang w:val="fr-FR"/>
        </w:rPr>
        <w:t>S</w:t>
      </w:r>
      <w:r w:rsidR="008A0656" w:rsidRPr="00982A3E">
        <w:rPr>
          <w:lang w:val="fr-FR"/>
        </w:rPr>
        <w:t>ur une base non compétitive</w:t>
      </w:r>
      <w:r>
        <w:rPr>
          <w:lang w:val="fr-FR"/>
        </w:rPr>
        <w:t>, des</w:t>
      </w:r>
      <w:r w:rsidR="008A0656" w:rsidRPr="00982A3E">
        <w:rPr>
          <w:lang w:val="fr-FR"/>
        </w:rPr>
        <w:t xml:space="preserve"> </w:t>
      </w:r>
      <w:r w:rsidRPr="00982A3E">
        <w:rPr>
          <w:lang w:val="fr-FR"/>
        </w:rPr>
        <w:t>prix</w:t>
      </w:r>
      <w:r>
        <w:rPr>
          <w:lang w:val="fr-FR"/>
        </w:rPr>
        <w:t xml:space="preserve">, </w:t>
      </w:r>
      <w:r w:rsidR="00C256C0">
        <w:rPr>
          <w:lang w:val="fr-FR"/>
        </w:rPr>
        <w:t xml:space="preserve">des </w:t>
      </w:r>
      <w:r w:rsidRPr="00982A3E">
        <w:rPr>
          <w:lang w:val="fr-FR"/>
        </w:rPr>
        <w:t>récompenses</w:t>
      </w:r>
      <w:r>
        <w:rPr>
          <w:lang w:val="fr-FR"/>
        </w:rPr>
        <w:t xml:space="preserve">, ou </w:t>
      </w:r>
      <w:r w:rsidR="00C256C0">
        <w:rPr>
          <w:lang w:val="fr-FR"/>
        </w:rPr>
        <w:t xml:space="preserve">des </w:t>
      </w:r>
      <w:r w:rsidR="008A0656" w:rsidRPr="00982A3E">
        <w:rPr>
          <w:lang w:val="fr-FR"/>
        </w:rPr>
        <w:t xml:space="preserve">certifications pour les </w:t>
      </w:r>
      <w:r>
        <w:rPr>
          <w:lang w:val="fr-FR"/>
        </w:rPr>
        <w:t>pratiques de sauvegarde</w:t>
      </w:r>
      <w:r w:rsidR="008A0656" w:rsidRPr="00982A3E">
        <w:rPr>
          <w:lang w:val="fr-FR"/>
        </w:rPr>
        <w:t>,</w:t>
      </w:r>
    </w:p>
    <w:p w14:paraId="05B4A895" w14:textId="6164EFE9" w:rsidR="00977853" w:rsidRPr="003C3330" w:rsidRDefault="008A0656" w:rsidP="003C3330">
      <w:pPr>
        <w:pStyle w:val="COMPara"/>
        <w:numPr>
          <w:ilvl w:val="0"/>
          <w:numId w:val="5"/>
        </w:numPr>
        <w:ind w:left="1134" w:hanging="567"/>
        <w:jc w:val="both"/>
        <w:rPr>
          <w:lang w:val="fr-FR"/>
        </w:rPr>
      </w:pPr>
      <w:r w:rsidRPr="00982A3E">
        <w:rPr>
          <w:lang w:val="fr-FR"/>
        </w:rPr>
        <w:t>L</w:t>
      </w:r>
      <w:r w:rsidR="00091913">
        <w:rPr>
          <w:lang w:val="fr-FR"/>
        </w:rPr>
        <w:t>es</w:t>
      </w:r>
      <w:r w:rsidRPr="00982A3E">
        <w:rPr>
          <w:lang w:val="fr-FR"/>
        </w:rPr>
        <w:t xml:space="preserve"> journée</w:t>
      </w:r>
      <w:r w:rsidR="00D444EA">
        <w:rPr>
          <w:lang w:val="fr-FR"/>
        </w:rPr>
        <w:t>s</w:t>
      </w:r>
      <w:r w:rsidRPr="00982A3E">
        <w:rPr>
          <w:lang w:val="fr-FR"/>
        </w:rPr>
        <w:t xml:space="preserve"> </w:t>
      </w:r>
      <w:r w:rsidR="00711B3D">
        <w:rPr>
          <w:lang w:val="fr-FR"/>
        </w:rPr>
        <w:t xml:space="preserve">des </w:t>
      </w:r>
      <w:r w:rsidR="00D444EA">
        <w:rPr>
          <w:lang w:val="fr-FR"/>
        </w:rPr>
        <w:t>« </w:t>
      </w:r>
      <w:r w:rsidRPr="00982A3E">
        <w:rPr>
          <w:lang w:val="fr-FR"/>
        </w:rPr>
        <w:t>bonnes pratiques de sauvegarde</w:t>
      </w:r>
      <w:r w:rsidR="00D444EA">
        <w:rPr>
          <w:lang w:val="fr-FR"/>
        </w:rPr>
        <w:t> »</w:t>
      </w:r>
      <w:r w:rsidR="003C3330">
        <w:rPr>
          <w:lang w:val="fr-FR"/>
        </w:rPr>
        <w:t>.</w:t>
      </w:r>
    </w:p>
    <w:sectPr w:rsidR="00977853" w:rsidRPr="003C3330" w:rsidSect="00655736">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 w:id="1">
    <w:p w14:paraId="4EC6292B" w14:textId="1901F4B1" w:rsidR="00344274" w:rsidRPr="003E1D1A" w:rsidRDefault="00344274" w:rsidP="00811AFA">
      <w:pPr>
        <w:pStyle w:val="FootnoteText"/>
        <w:tabs>
          <w:tab w:val="left" w:pos="567"/>
        </w:tabs>
        <w:rPr>
          <w:rFonts w:ascii="Arial" w:hAnsi="Arial" w:cs="Arial"/>
        </w:rPr>
      </w:pPr>
      <w:r w:rsidRPr="003E1D1A">
        <w:rPr>
          <w:rStyle w:val="FootnoteReference"/>
          <w:rFonts w:ascii="Arial" w:hAnsi="Arial" w:cs="Arial"/>
        </w:rPr>
        <w:footnoteRef/>
      </w:r>
      <w:r w:rsidRPr="003E1D1A">
        <w:rPr>
          <w:rFonts w:ascii="Arial" w:hAnsi="Arial" w:cs="Arial"/>
          <w:vertAlign w:val="superscript"/>
        </w:rPr>
        <w:t>.</w:t>
      </w:r>
      <w:r w:rsidRPr="003E1D1A">
        <w:rPr>
          <w:rFonts w:ascii="Arial" w:hAnsi="Arial" w:cs="Arial"/>
        </w:rPr>
        <w:tab/>
        <w:t>Avec une référence spécifique au paragraphe 14 des Directives opérationnelles.</w:t>
      </w:r>
    </w:p>
  </w:footnote>
  <w:footnote w:id="2">
    <w:p w14:paraId="3ACE1CC9" w14:textId="31531581" w:rsidR="00F60C0F" w:rsidRPr="00F60C0F" w:rsidRDefault="00F60C0F" w:rsidP="00F60C0F">
      <w:pPr>
        <w:pStyle w:val="FootnoteText"/>
        <w:tabs>
          <w:tab w:val="left" w:pos="567"/>
        </w:tabs>
      </w:pPr>
      <w:r w:rsidRPr="00A506A6">
        <w:rPr>
          <w:rStyle w:val="FootnoteReference"/>
        </w:rPr>
        <w:footnoteRef/>
      </w:r>
      <w:r w:rsidRPr="00A506A6">
        <w:rPr>
          <w:vertAlign w:val="superscript"/>
        </w:rPr>
        <w:t>.</w:t>
      </w:r>
      <w:r w:rsidRPr="00F60C0F">
        <w:tab/>
      </w:r>
      <w:r w:rsidRPr="00A506A6">
        <w:rPr>
          <w:rFonts w:asciiTheme="minorBidi" w:hAnsiTheme="minorBidi" w:cstheme="minorBidi"/>
          <w:sz w:val="18"/>
          <w:szCs w:val="18"/>
        </w:rPr>
        <w:t>Avec une référence spécifique aux paragraphes 9(c) et 21(b) des Directives opérationnelles.</w:t>
      </w:r>
    </w:p>
    <w:p w14:paraId="6060B164" w14:textId="10331BCC" w:rsidR="00F60C0F" w:rsidRDefault="00F60C0F">
      <w:pPr>
        <w:pStyle w:val="FootnoteText"/>
      </w:pPr>
    </w:p>
  </w:footnote>
  <w:footnote w:id="3">
    <w:p w14:paraId="4EFD7814" w14:textId="04F9B526" w:rsidR="00F60C0F" w:rsidRPr="00A506A6" w:rsidRDefault="00F60C0F" w:rsidP="00F60C0F">
      <w:pPr>
        <w:pStyle w:val="FootnoteText"/>
        <w:tabs>
          <w:tab w:val="left" w:pos="567"/>
        </w:tabs>
        <w:rPr>
          <w:rFonts w:asciiTheme="minorBidi" w:hAnsiTheme="minorBidi" w:cstheme="minorBidi"/>
          <w:sz w:val="18"/>
          <w:szCs w:val="18"/>
        </w:rPr>
      </w:pPr>
      <w:r w:rsidRPr="00A506A6">
        <w:rPr>
          <w:rStyle w:val="FootnoteReference"/>
          <w:rFonts w:asciiTheme="minorBidi" w:hAnsiTheme="minorBidi" w:cstheme="minorBidi"/>
          <w:sz w:val="18"/>
          <w:szCs w:val="18"/>
        </w:rPr>
        <w:footnoteRef/>
      </w:r>
      <w:r w:rsidRPr="00A506A6">
        <w:rPr>
          <w:rFonts w:asciiTheme="minorBidi" w:hAnsiTheme="minorBidi" w:cstheme="minorBidi"/>
          <w:sz w:val="18"/>
          <w:szCs w:val="18"/>
          <w:vertAlign w:val="superscript"/>
        </w:rPr>
        <w:t>.</w:t>
      </w:r>
      <w:r w:rsidRPr="00A506A6">
        <w:rPr>
          <w:rFonts w:asciiTheme="minorBidi" w:hAnsiTheme="minorBidi" w:cstheme="minorBidi"/>
          <w:sz w:val="18"/>
          <w:szCs w:val="18"/>
        </w:rPr>
        <w:tab/>
        <w:t>Avec une référence spécifique au paragraphe 4 des Directives opérationnelles.</w:t>
      </w:r>
    </w:p>
    <w:p w14:paraId="7B68EDB0" w14:textId="39653DBC" w:rsidR="00F60C0F" w:rsidRPr="00F60C0F" w:rsidRDefault="00F60C0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04C70C16"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F56FA1">
      <w:rPr>
        <w:rFonts w:ascii="Arial" w:hAnsi="Arial" w:cs="Arial"/>
        <w:sz w:val="20"/>
        <w:szCs w:val="20"/>
      </w:rPr>
      <w:t>3</w:t>
    </w:r>
    <w:r w:rsidR="00CB0542" w:rsidRPr="004E1760">
      <w:rPr>
        <w:rFonts w:ascii="Arial" w:hAnsi="Arial" w:cs="Arial"/>
        <w:sz w:val="20"/>
        <w:szCs w:val="20"/>
      </w:rPr>
      <w:t>/</w:t>
    </w:r>
    <w:r w:rsidR="00B9146E">
      <w:rPr>
        <w:rFonts w:ascii="Arial" w:hAnsi="Arial" w:cs="Arial"/>
        <w:sz w:val="20"/>
        <w:szCs w:val="20"/>
      </w:rPr>
      <w:t>EXP ART18</w:t>
    </w:r>
    <w:r w:rsidR="004E1760" w:rsidRPr="000363E7">
      <w:rPr>
        <w:rFonts w:ascii="Arial" w:hAnsi="Arial" w:cs="Arial"/>
        <w:sz w:val="20"/>
        <w:szCs w:val="20"/>
      </w:rPr>
      <w:t>/</w:t>
    </w:r>
    <w:r w:rsidR="00977853">
      <w:rPr>
        <w:rFonts w:ascii="Arial" w:hAnsi="Arial" w:cs="Arial"/>
        <w:sz w:val="20"/>
        <w:szCs w:val="20"/>
      </w:rPr>
      <w:t>4</w:t>
    </w:r>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3275339"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F56FA1">
      <w:rPr>
        <w:rFonts w:ascii="Arial" w:hAnsi="Arial" w:cs="Arial"/>
        <w:sz w:val="20"/>
        <w:szCs w:val="20"/>
        <w:lang w:val="en-GB"/>
      </w:rPr>
      <w:t>3</w:t>
    </w:r>
    <w:r w:rsidR="0053318C">
      <w:rPr>
        <w:rFonts w:ascii="Arial" w:hAnsi="Arial" w:cs="Arial"/>
        <w:sz w:val="20"/>
        <w:szCs w:val="20"/>
        <w:lang w:val="en-GB"/>
      </w:rPr>
      <w:t>/</w:t>
    </w:r>
    <w:r w:rsidR="00E019FC" w:rsidRPr="00E019FC">
      <w:rPr>
        <w:rFonts w:ascii="Arial" w:hAnsi="Arial" w:cs="Arial"/>
        <w:sz w:val="20"/>
        <w:szCs w:val="20"/>
      </w:rPr>
      <w:t xml:space="preserve"> </w:t>
    </w:r>
    <w:r w:rsidR="00E019FC">
      <w:rPr>
        <w:rFonts w:ascii="Arial" w:hAnsi="Arial" w:cs="Arial"/>
        <w:sz w:val="20"/>
        <w:szCs w:val="20"/>
      </w:rPr>
      <w:t>EXP ART18</w:t>
    </w:r>
    <w:r w:rsidR="004A34A0" w:rsidRPr="0063300C">
      <w:rPr>
        <w:rFonts w:ascii="Arial" w:hAnsi="Arial" w:cs="Arial"/>
        <w:sz w:val="20"/>
        <w:szCs w:val="20"/>
        <w:lang w:val="en-GB"/>
      </w:rPr>
      <w:t>/</w:t>
    </w:r>
    <w:r w:rsidR="00977853">
      <w:rPr>
        <w:rFonts w:ascii="Arial" w:hAnsi="Arial" w:cs="Arial"/>
        <w:sz w:val="20"/>
        <w:szCs w:val="20"/>
        <w:lang w:val="en-GB"/>
      </w:rPr>
      <w:t>4</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0BE5AA68" w:rsidR="00D95C4C" w:rsidRPr="00E95AE2" w:rsidRDefault="00D409DB">
    <w:pPr>
      <w:pStyle w:val="Header"/>
      <w:rPr>
        <w:sz w:val="22"/>
        <w:szCs w:val="22"/>
        <w:lang w:val="en-GB"/>
      </w:rPr>
    </w:pPr>
    <w:r>
      <w:rPr>
        <w:rFonts w:ascii="Arial" w:hAnsi="Arial" w:cs="Arial"/>
        <w:b/>
        <w:noProof/>
        <w:sz w:val="44"/>
        <w:szCs w:val="44"/>
        <w:lang w:val="pt-PT"/>
      </w:rPr>
      <w:drawing>
        <wp:anchor distT="0" distB="0" distL="114300" distR="114300" simplePos="0" relativeHeight="251658239" behindDoc="0" locked="0" layoutInCell="1" allowOverlap="1" wp14:anchorId="54E0FCC2" wp14:editId="295782D8">
          <wp:simplePos x="0" y="0"/>
          <wp:positionH relativeFrom="column">
            <wp:posOffset>-635</wp:posOffset>
          </wp:positionH>
          <wp:positionV relativeFrom="paragraph">
            <wp:posOffset>136096</wp:posOffset>
          </wp:positionV>
          <wp:extent cx="1657350" cy="139192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143772" w:rsidRDefault="00A53F11" w:rsidP="004E1760">
    <w:pPr>
      <w:pStyle w:val="Header"/>
      <w:spacing w:after="520"/>
      <w:jc w:val="right"/>
      <w:rPr>
        <w:rFonts w:ascii="Arial" w:hAnsi="Arial" w:cs="Arial"/>
        <w:b/>
        <w:sz w:val="44"/>
        <w:szCs w:val="44"/>
        <w:lang w:val="en-US"/>
      </w:rPr>
    </w:pPr>
    <w:r w:rsidRPr="00143772">
      <w:rPr>
        <w:rFonts w:ascii="Arial" w:hAnsi="Arial" w:cs="Arial"/>
        <w:b/>
        <w:sz w:val="44"/>
        <w:szCs w:val="44"/>
        <w:lang w:val="en-US"/>
      </w:rPr>
      <w:t>EXP</w:t>
    </w:r>
    <w:r w:rsidR="00091385" w:rsidRPr="00143772">
      <w:rPr>
        <w:rFonts w:ascii="Arial" w:hAnsi="Arial" w:cs="Arial"/>
        <w:b/>
        <w:sz w:val="44"/>
        <w:szCs w:val="44"/>
        <w:lang w:val="en-US"/>
      </w:rPr>
      <w:t xml:space="preserve"> ART18</w:t>
    </w:r>
  </w:p>
  <w:p w14:paraId="6D1B3489" w14:textId="6DCC992D" w:rsidR="004E1760" w:rsidRPr="00143772" w:rsidRDefault="004E1760" w:rsidP="004E1760">
    <w:pPr>
      <w:jc w:val="right"/>
      <w:rPr>
        <w:rFonts w:ascii="Arial" w:hAnsi="Arial" w:cs="Arial"/>
        <w:b/>
        <w:sz w:val="22"/>
        <w:szCs w:val="22"/>
        <w:lang w:val="en-US"/>
      </w:rPr>
    </w:pPr>
    <w:r w:rsidRPr="00143772">
      <w:rPr>
        <w:rFonts w:ascii="Arial" w:hAnsi="Arial" w:cs="Arial"/>
        <w:b/>
        <w:sz w:val="22"/>
        <w:szCs w:val="22"/>
        <w:lang w:val="en-US"/>
      </w:rPr>
      <w:t>LHE/2</w:t>
    </w:r>
    <w:r w:rsidR="00F56FA1" w:rsidRPr="00143772">
      <w:rPr>
        <w:rFonts w:ascii="Arial" w:hAnsi="Arial" w:cs="Arial"/>
        <w:b/>
        <w:sz w:val="22"/>
        <w:szCs w:val="22"/>
        <w:lang w:val="en-US"/>
      </w:rPr>
      <w:t>3</w:t>
    </w:r>
    <w:r w:rsidRPr="00143772">
      <w:rPr>
        <w:rFonts w:ascii="Arial" w:hAnsi="Arial" w:cs="Arial"/>
        <w:b/>
        <w:sz w:val="22"/>
        <w:szCs w:val="22"/>
        <w:lang w:val="en-US"/>
      </w:rPr>
      <w:t>/</w:t>
    </w:r>
    <w:bookmarkStart w:id="5" w:name="_Hlk94624970"/>
    <w:r w:rsidR="00B9146E" w:rsidRPr="00143772">
      <w:rPr>
        <w:rFonts w:ascii="Arial" w:hAnsi="Arial" w:cs="Arial"/>
        <w:b/>
        <w:sz w:val="22"/>
        <w:szCs w:val="22"/>
        <w:lang w:val="en-US"/>
      </w:rPr>
      <w:t>EXP ART18</w:t>
    </w:r>
    <w:r w:rsidRPr="00143772">
      <w:rPr>
        <w:rFonts w:ascii="Arial" w:hAnsi="Arial" w:cs="Arial"/>
        <w:b/>
        <w:sz w:val="22"/>
        <w:szCs w:val="22"/>
        <w:lang w:val="en-US"/>
      </w:rPr>
      <w:t>/</w:t>
    </w:r>
    <w:r w:rsidR="00977853" w:rsidRPr="00143772">
      <w:rPr>
        <w:rFonts w:ascii="Arial" w:hAnsi="Arial" w:cs="Arial"/>
        <w:b/>
        <w:sz w:val="22"/>
        <w:szCs w:val="22"/>
        <w:lang w:val="en-US"/>
      </w:rPr>
      <w:t>4</w:t>
    </w:r>
  </w:p>
  <w:bookmarkEnd w:id="5"/>
  <w:p w14:paraId="1B4446C3" w14:textId="50C17DEC" w:rsidR="00D95C4C" w:rsidRPr="00C256C0" w:rsidRDefault="000450AF" w:rsidP="00655736">
    <w:pPr>
      <w:jc w:val="right"/>
      <w:rPr>
        <w:rFonts w:ascii="Arial" w:eastAsiaTheme="minorEastAsia" w:hAnsi="Arial" w:cs="Arial"/>
        <w:b/>
        <w:sz w:val="22"/>
        <w:szCs w:val="22"/>
        <w:lang w:eastAsia="ko-KR"/>
      </w:rPr>
    </w:pPr>
    <w:r>
      <w:rPr>
        <w:rFonts w:ascii="Arial" w:hAnsi="Arial" w:cs="Arial"/>
        <w:b/>
        <w:sz w:val="22"/>
        <w:szCs w:val="22"/>
      </w:rPr>
      <w:t>Paris</w:t>
    </w:r>
    <w:r w:rsidR="00D95C4C" w:rsidRPr="00C256C0">
      <w:rPr>
        <w:rFonts w:ascii="Arial" w:hAnsi="Arial" w:cs="Arial"/>
        <w:b/>
        <w:sz w:val="22"/>
        <w:szCs w:val="22"/>
      </w:rPr>
      <w:t xml:space="preserve">, </w:t>
    </w:r>
    <w:r w:rsidR="005A4AA7" w:rsidRPr="00C256C0">
      <w:rPr>
        <w:rFonts w:ascii="Arial" w:hAnsi="Arial" w:cs="Arial"/>
        <w:b/>
        <w:sz w:val="22"/>
        <w:szCs w:val="22"/>
      </w:rPr>
      <w:t xml:space="preserve">le </w:t>
    </w:r>
    <w:r w:rsidR="000C5917">
      <w:rPr>
        <w:rFonts w:ascii="Arial" w:hAnsi="Arial" w:cs="Arial"/>
        <w:b/>
        <w:sz w:val="22"/>
        <w:szCs w:val="22"/>
        <w:lang w:val="pt-PT"/>
      </w:rPr>
      <w:t>4 mai</w:t>
    </w:r>
    <w:r w:rsidR="00D95C4C" w:rsidRPr="00C256C0">
      <w:rPr>
        <w:rFonts w:ascii="Arial" w:hAnsi="Arial" w:cs="Arial"/>
        <w:b/>
        <w:sz w:val="22"/>
        <w:szCs w:val="22"/>
      </w:rPr>
      <w:t xml:space="preserve"> </w:t>
    </w:r>
    <w:r w:rsidR="00337CEB" w:rsidRPr="00C256C0">
      <w:rPr>
        <w:rFonts w:ascii="Arial" w:hAnsi="Arial" w:cs="Arial"/>
        <w:b/>
        <w:sz w:val="22"/>
        <w:szCs w:val="22"/>
      </w:rPr>
      <w:t>20</w:t>
    </w:r>
    <w:r w:rsidR="00D7105A" w:rsidRPr="00C256C0">
      <w:rPr>
        <w:rFonts w:ascii="Arial" w:hAnsi="Arial" w:cs="Arial"/>
        <w:b/>
        <w:sz w:val="22"/>
        <w:szCs w:val="22"/>
      </w:rPr>
      <w:t>2</w:t>
    </w:r>
    <w:r w:rsidR="00F56FA1" w:rsidRPr="00C256C0">
      <w:rPr>
        <w:rFonts w:ascii="Arial" w:hAnsi="Arial" w:cs="Arial"/>
        <w:b/>
        <w:sz w:val="22"/>
        <w:szCs w:val="22"/>
      </w:rPr>
      <w:t>3</w:t>
    </w:r>
  </w:p>
  <w:p w14:paraId="255B57FF" w14:textId="5726D86F" w:rsidR="00D95C4C" w:rsidRPr="00C256C0" w:rsidRDefault="00D95C4C" w:rsidP="00962034">
    <w:pPr>
      <w:spacing w:after="120"/>
      <w:jc w:val="right"/>
      <w:rPr>
        <w:rFonts w:ascii="Arial" w:hAnsi="Arial" w:cs="Arial"/>
        <w:b/>
        <w:sz w:val="22"/>
        <w:szCs w:val="22"/>
      </w:rPr>
    </w:pPr>
    <w:r w:rsidRPr="00C256C0">
      <w:rPr>
        <w:rFonts w:ascii="Arial" w:hAnsi="Arial" w:cs="Arial"/>
        <w:b/>
        <w:sz w:val="22"/>
        <w:szCs w:val="22"/>
      </w:rPr>
      <w:t>Original</w:t>
    </w:r>
    <w:r w:rsidR="009D5436" w:rsidRPr="00C256C0">
      <w:rPr>
        <w:rFonts w:ascii="Arial" w:hAnsi="Arial" w:cs="Arial"/>
        <w:b/>
        <w:sz w:val="22"/>
        <w:szCs w:val="22"/>
      </w:rPr>
      <w:t xml:space="preserve"> </w:t>
    </w:r>
    <w:r w:rsidRPr="00C256C0">
      <w:rPr>
        <w:rFonts w:ascii="Arial" w:hAnsi="Arial" w:cs="Arial"/>
        <w:b/>
        <w:sz w:val="22"/>
        <w:szCs w:val="22"/>
      </w:rPr>
      <w:t xml:space="preserve">: </w:t>
    </w:r>
    <w:r w:rsidR="005A4AA7" w:rsidRPr="00C256C0">
      <w:rPr>
        <w:rFonts w:ascii="Arial" w:hAnsi="Arial" w:cs="Arial"/>
        <w:b/>
        <w:sz w:val="22"/>
        <w:szCs w:val="22"/>
      </w:rPr>
      <w:t>anglais</w:t>
    </w:r>
    <w:r w:rsidR="000450AF">
      <w:rPr>
        <w:rFonts w:ascii="Arial" w:hAnsi="Arial" w:cs="Arial"/>
        <w:b/>
        <w:sz w:val="22"/>
        <w:szCs w:val="22"/>
      </w:rPr>
      <w:t xml:space="preserve"> / français</w:t>
    </w:r>
  </w:p>
  <w:p w14:paraId="3C4B8B1B" w14:textId="77777777" w:rsidR="00D95C4C" w:rsidRPr="00C256C0"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0FD"/>
    <w:multiLevelType w:val="hybridMultilevel"/>
    <w:tmpl w:val="ADBCA12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35F07BFE"/>
    <w:multiLevelType w:val="hybridMultilevel"/>
    <w:tmpl w:val="AC6AFE78"/>
    <w:lvl w:ilvl="0" w:tplc="76CAC304">
      <w:start w:val="1"/>
      <w:numFmt w:val="decimal"/>
      <w:pStyle w:val="COMPara"/>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77862344">
    <w:abstractNumId w:val="1"/>
  </w:num>
  <w:num w:numId="2" w16cid:durableId="217087148">
    <w:abstractNumId w:val="2"/>
  </w:num>
  <w:num w:numId="3" w16cid:durableId="347945616">
    <w:abstractNumId w:val="3"/>
  </w:num>
  <w:num w:numId="4" w16cid:durableId="1119109097">
    <w:abstractNumId w:val="4"/>
  </w:num>
  <w:num w:numId="5" w16cid:durableId="1924873158">
    <w:abstractNumId w:val="0"/>
  </w:num>
  <w:num w:numId="6" w16cid:durableId="2088841470">
    <w:abstractNumId w:val="2"/>
  </w:num>
  <w:num w:numId="7" w16cid:durableId="1154376398">
    <w:abstractNumId w:val="2"/>
  </w:num>
  <w:num w:numId="8" w16cid:durableId="204493056">
    <w:abstractNumId w:val="2"/>
  </w:num>
  <w:num w:numId="9" w16cid:durableId="507989109">
    <w:abstractNumId w:val="2"/>
  </w:num>
  <w:num w:numId="10" w16cid:durableId="1582522473">
    <w:abstractNumId w:val="2"/>
  </w:num>
  <w:num w:numId="11" w16cid:durableId="1606183116">
    <w:abstractNumId w:val="2"/>
  </w:num>
  <w:num w:numId="12" w16cid:durableId="1644001626">
    <w:abstractNumId w:val="2"/>
  </w:num>
  <w:num w:numId="13" w16cid:durableId="522669051">
    <w:abstractNumId w:val="2"/>
  </w:num>
  <w:num w:numId="14" w16cid:durableId="649098644">
    <w:abstractNumId w:val="2"/>
  </w:num>
  <w:num w:numId="15" w16cid:durableId="1561743319">
    <w:abstractNumId w:val="2"/>
  </w:num>
  <w:num w:numId="16" w16cid:durableId="76051456">
    <w:abstractNumId w:val="2"/>
  </w:num>
  <w:num w:numId="17" w16cid:durableId="1185901203">
    <w:abstractNumId w:val="2"/>
  </w:num>
  <w:num w:numId="18" w16cid:durableId="1243490090">
    <w:abstractNumId w:val="2"/>
  </w:num>
  <w:num w:numId="19" w16cid:durableId="120391409">
    <w:abstractNumId w:val="2"/>
  </w:num>
  <w:num w:numId="20" w16cid:durableId="1286041539">
    <w:abstractNumId w:val="2"/>
  </w:num>
  <w:num w:numId="21" w16cid:durableId="2069915722">
    <w:abstractNumId w:val="2"/>
  </w:num>
  <w:num w:numId="22" w16cid:durableId="1191575558">
    <w:abstractNumId w:val="2"/>
  </w:num>
  <w:num w:numId="23" w16cid:durableId="1515267961">
    <w:abstractNumId w:val="2"/>
  </w:num>
  <w:num w:numId="24" w16cid:durableId="442042718">
    <w:abstractNumId w:val="2"/>
  </w:num>
  <w:num w:numId="25" w16cid:durableId="450706969">
    <w:abstractNumId w:val="2"/>
  </w:num>
  <w:num w:numId="26" w16cid:durableId="386487948">
    <w:abstractNumId w:val="2"/>
  </w:num>
  <w:num w:numId="27" w16cid:durableId="922685978">
    <w:abstractNumId w:val="2"/>
  </w:num>
  <w:num w:numId="28" w16cid:durableId="1445929642">
    <w:abstractNumId w:val="2"/>
  </w:num>
  <w:num w:numId="29" w16cid:durableId="1024789232">
    <w:abstractNumId w:val="2"/>
  </w:num>
  <w:num w:numId="30" w16cid:durableId="75783020">
    <w:abstractNumId w:val="2"/>
  </w:num>
  <w:num w:numId="31" w16cid:durableId="279190270">
    <w:abstractNumId w:val="2"/>
  </w:num>
  <w:num w:numId="32" w16cid:durableId="1858537264">
    <w:abstractNumId w:val="2"/>
  </w:num>
  <w:num w:numId="33" w16cid:durableId="479466337">
    <w:abstractNumId w:val="2"/>
  </w:num>
  <w:num w:numId="34" w16cid:durableId="1286692556">
    <w:abstractNumId w:val="2"/>
  </w:num>
  <w:num w:numId="35" w16cid:durableId="2012179140">
    <w:abstractNumId w:val="2"/>
  </w:num>
  <w:num w:numId="36" w16cid:durableId="904488955">
    <w:abstractNumId w:val="2"/>
  </w:num>
  <w:num w:numId="37" w16cid:durableId="1033044519">
    <w:abstractNumId w:val="2"/>
  </w:num>
  <w:num w:numId="38" w16cid:durableId="744647423">
    <w:abstractNumId w:val="2"/>
  </w:num>
  <w:num w:numId="39" w16cid:durableId="1209565158">
    <w:abstractNumId w:val="2"/>
  </w:num>
  <w:num w:numId="40" w16cid:durableId="492529296">
    <w:abstractNumId w:val="2"/>
  </w:num>
  <w:num w:numId="41" w16cid:durableId="292757807">
    <w:abstractNumId w:val="2"/>
  </w:num>
  <w:num w:numId="42" w16cid:durableId="52999659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0E0"/>
    <w:rsid w:val="000048ED"/>
    <w:rsid w:val="000114E2"/>
    <w:rsid w:val="0001426C"/>
    <w:rsid w:val="00014915"/>
    <w:rsid w:val="00015458"/>
    <w:rsid w:val="0003211B"/>
    <w:rsid w:val="00041A66"/>
    <w:rsid w:val="00042D88"/>
    <w:rsid w:val="000450AF"/>
    <w:rsid w:val="00051735"/>
    <w:rsid w:val="0005176E"/>
    <w:rsid w:val="0006689F"/>
    <w:rsid w:val="00071BB7"/>
    <w:rsid w:val="000723A2"/>
    <w:rsid w:val="0007248C"/>
    <w:rsid w:val="000765F7"/>
    <w:rsid w:val="00077AB7"/>
    <w:rsid w:val="00081CD8"/>
    <w:rsid w:val="00091385"/>
    <w:rsid w:val="00091913"/>
    <w:rsid w:val="000A32C1"/>
    <w:rsid w:val="000A5F0E"/>
    <w:rsid w:val="000A7F0E"/>
    <w:rsid w:val="000B0EE5"/>
    <w:rsid w:val="000B1C8F"/>
    <w:rsid w:val="000C0D61"/>
    <w:rsid w:val="000C5917"/>
    <w:rsid w:val="000D6ACF"/>
    <w:rsid w:val="000E66D2"/>
    <w:rsid w:val="000E7B58"/>
    <w:rsid w:val="000F3A3F"/>
    <w:rsid w:val="00102557"/>
    <w:rsid w:val="0011535B"/>
    <w:rsid w:val="00143772"/>
    <w:rsid w:val="00151E44"/>
    <w:rsid w:val="00164D56"/>
    <w:rsid w:val="00167B10"/>
    <w:rsid w:val="0017402F"/>
    <w:rsid w:val="00181CDB"/>
    <w:rsid w:val="00190205"/>
    <w:rsid w:val="00196C1B"/>
    <w:rsid w:val="001A1330"/>
    <w:rsid w:val="001B0F73"/>
    <w:rsid w:val="001C2DB7"/>
    <w:rsid w:val="001C5A43"/>
    <w:rsid w:val="001D14FE"/>
    <w:rsid w:val="001D5C04"/>
    <w:rsid w:val="001F26CF"/>
    <w:rsid w:val="001F4E62"/>
    <w:rsid w:val="00201370"/>
    <w:rsid w:val="0022064A"/>
    <w:rsid w:val="00222A2D"/>
    <w:rsid w:val="00223029"/>
    <w:rsid w:val="0023292A"/>
    <w:rsid w:val="00234745"/>
    <w:rsid w:val="002351A6"/>
    <w:rsid w:val="002352D1"/>
    <w:rsid w:val="002407AF"/>
    <w:rsid w:val="00257FEF"/>
    <w:rsid w:val="00260618"/>
    <w:rsid w:val="0026221A"/>
    <w:rsid w:val="0026328B"/>
    <w:rsid w:val="00265F5F"/>
    <w:rsid w:val="0027466B"/>
    <w:rsid w:val="00274910"/>
    <w:rsid w:val="002838A5"/>
    <w:rsid w:val="00285BB4"/>
    <w:rsid w:val="002C09E3"/>
    <w:rsid w:val="002C14DD"/>
    <w:rsid w:val="002C1D1A"/>
    <w:rsid w:val="002D1244"/>
    <w:rsid w:val="002D34EC"/>
    <w:rsid w:val="002F1FE3"/>
    <w:rsid w:val="00306303"/>
    <w:rsid w:val="0031456C"/>
    <w:rsid w:val="00320F28"/>
    <w:rsid w:val="0033277A"/>
    <w:rsid w:val="00337CEB"/>
    <w:rsid w:val="00342FC1"/>
    <w:rsid w:val="00344274"/>
    <w:rsid w:val="00344B58"/>
    <w:rsid w:val="0034539A"/>
    <w:rsid w:val="003457D9"/>
    <w:rsid w:val="00345CB4"/>
    <w:rsid w:val="003567BD"/>
    <w:rsid w:val="00360422"/>
    <w:rsid w:val="00364CC8"/>
    <w:rsid w:val="003710BC"/>
    <w:rsid w:val="00375D42"/>
    <w:rsid w:val="00381158"/>
    <w:rsid w:val="003B7522"/>
    <w:rsid w:val="003C3330"/>
    <w:rsid w:val="003C3534"/>
    <w:rsid w:val="003D069C"/>
    <w:rsid w:val="003D7646"/>
    <w:rsid w:val="003E1D1A"/>
    <w:rsid w:val="003E2D90"/>
    <w:rsid w:val="003F113A"/>
    <w:rsid w:val="003F12C7"/>
    <w:rsid w:val="003F3E63"/>
    <w:rsid w:val="003F5EC2"/>
    <w:rsid w:val="00405744"/>
    <w:rsid w:val="00407480"/>
    <w:rsid w:val="00414643"/>
    <w:rsid w:val="004162DC"/>
    <w:rsid w:val="004210F8"/>
    <w:rsid w:val="00421AC1"/>
    <w:rsid w:val="0043174C"/>
    <w:rsid w:val="00441716"/>
    <w:rsid w:val="004421E5"/>
    <w:rsid w:val="00452284"/>
    <w:rsid w:val="00457C8E"/>
    <w:rsid w:val="004778C4"/>
    <w:rsid w:val="004856CA"/>
    <w:rsid w:val="00486392"/>
    <w:rsid w:val="00487E67"/>
    <w:rsid w:val="00487E95"/>
    <w:rsid w:val="0049705E"/>
    <w:rsid w:val="004A2875"/>
    <w:rsid w:val="004A34A0"/>
    <w:rsid w:val="004A5AC3"/>
    <w:rsid w:val="004B64FB"/>
    <w:rsid w:val="004C7C82"/>
    <w:rsid w:val="004D7077"/>
    <w:rsid w:val="004E1760"/>
    <w:rsid w:val="004E46D5"/>
    <w:rsid w:val="005008A8"/>
    <w:rsid w:val="00502368"/>
    <w:rsid w:val="005024F6"/>
    <w:rsid w:val="00503600"/>
    <w:rsid w:val="005042ED"/>
    <w:rsid w:val="0051377E"/>
    <w:rsid w:val="00516558"/>
    <w:rsid w:val="00517FD8"/>
    <w:rsid w:val="00526B7B"/>
    <w:rsid w:val="005308CE"/>
    <w:rsid w:val="0053318C"/>
    <w:rsid w:val="00572C27"/>
    <w:rsid w:val="0057439C"/>
    <w:rsid w:val="00593CD3"/>
    <w:rsid w:val="005A2758"/>
    <w:rsid w:val="005A4AA7"/>
    <w:rsid w:val="005B0127"/>
    <w:rsid w:val="005B1FD8"/>
    <w:rsid w:val="005B7A35"/>
    <w:rsid w:val="005C4B73"/>
    <w:rsid w:val="005E1D2B"/>
    <w:rsid w:val="005E7074"/>
    <w:rsid w:val="005F2BAF"/>
    <w:rsid w:val="005F41AC"/>
    <w:rsid w:val="00600D93"/>
    <w:rsid w:val="00610349"/>
    <w:rsid w:val="00625B48"/>
    <w:rsid w:val="00626BEA"/>
    <w:rsid w:val="00630A2C"/>
    <w:rsid w:val="0063300C"/>
    <w:rsid w:val="00651A5B"/>
    <w:rsid w:val="00655736"/>
    <w:rsid w:val="00656A6B"/>
    <w:rsid w:val="00663B8D"/>
    <w:rsid w:val="00666793"/>
    <w:rsid w:val="00685F6B"/>
    <w:rsid w:val="00687A30"/>
    <w:rsid w:val="00696C5B"/>
    <w:rsid w:val="00696C8D"/>
    <w:rsid w:val="00696E31"/>
    <w:rsid w:val="006A2AC2"/>
    <w:rsid w:val="006A3617"/>
    <w:rsid w:val="006B2F55"/>
    <w:rsid w:val="006B4452"/>
    <w:rsid w:val="006B5941"/>
    <w:rsid w:val="006D7B91"/>
    <w:rsid w:val="006E46E4"/>
    <w:rsid w:val="006E75EB"/>
    <w:rsid w:val="006F23A3"/>
    <w:rsid w:val="00703488"/>
    <w:rsid w:val="00705DD3"/>
    <w:rsid w:val="00711B3D"/>
    <w:rsid w:val="00717DA5"/>
    <w:rsid w:val="00724B89"/>
    <w:rsid w:val="007327F0"/>
    <w:rsid w:val="00744484"/>
    <w:rsid w:val="00747566"/>
    <w:rsid w:val="00773188"/>
    <w:rsid w:val="00783782"/>
    <w:rsid w:val="00784B8C"/>
    <w:rsid w:val="007879E1"/>
    <w:rsid w:val="007A6FFF"/>
    <w:rsid w:val="007B59D1"/>
    <w:rsid w:val="007E0491"/>
    <w:rsid w:val="007E287B"/>
    <w:rsid w:val="008062F8"/>
    <w:rsid w:val="00807527"/>
    <w:rsid w:val="00811AFA"/>
    <w:rsid w:val="00822601"/>
    <w:rsid w:val="008228B1"/>
    <w:rsid w:val="008238F6"/>
    <w:rsid w:val="00823A11"/>
    <w:rsid w:val="0085188D"/>
    <w:rsid w:val="0085405E"/>
    <w:rsid w:val="0085414A"/>
    <w:rsid w:val="0085538A"/>
    <w:rsid w:val="00856CCB"/>
    <w:rsid w:val="00857EB9"/>
    <w:rsid w:val="0086269D"/>
    <w:rsid w:val="0086543A"/>
    <w:rsid w:val="008724E5"/>
    <w:rsid w:val="00875AA7"/>
    <w:rsid w:val="0088273F"/>
    <w:rsid w:val="00883C43"/>
    <w:rsid w:val="00884A9D"/>
    <w:rsid w:val="0088512B"/>
    <w:rsid w:val="008936AF"/>
    <w:rsid w:val="008A0656"/>
    <w:rsid w:val="008A2B2D"/>
    <w:rsid w:val="008A4E1E"/>
    <w:rsid w:val="008A5A7B"/>
    <w:rsid w:val="008C296C"/>
    <w:rsid w:val="008D4305"/>
    <w:rsid w:val="008E1A85"/>
    <w:rsid w:val="00915402"/>
    <w:rsid w:val="009163A7"/>
    <w:rsid w:val="00927F0E"/>
    <w:rsid w:val="00944FED"/>
    <w:rsid w:val="00946D0B"/>
    <w:rsid w:val="00955877"/>
    <w:rsid w:val="0095660E"/>
    <w:rsid w:val="00962034"/>
    <w:rsid w:val="00977853"/>
    <w:rsid w:val="00980B94"/>
    <w:rsid w:val="00982A3E"/>
    <w:rsid w:val="009A0055"/>
    <w:rsid w:val="009A18CD"/>
    <w:rsid w:val="009C72E0"/>
    <w:rsid w:val="009D1377"/>
    <w:rsid w:val="009D5428"/>
    <w:rsid w:val="009D5436"/>
    <w:rsid w:val="009E0393"/>
    <w:rsid w:val="009F3AB8"/>
    <w:rsid w:val="00A03022"/>
    <w:rsid w:val="00A0504D"/>
    <w:rsid w:val="00A05A0A"/>
    <w:rsid w:val="00A06B47"/>
    <w:rsid w:val="00A12558"/>
    <w:rsid w:val="00A13903"/>
    <w:rsid w:val="00A23BBC"/>
    <w:rsid w:val="00A34ED5"/>
    <w:rsid w:val="00A45DBF"/>
    <w:rsid w:val="00A506A6"/>
    <w:rsid w:val="00A50FFA"/>
    <w:rsid w:val="00A53F11"/>
    <w:rsid w:val="00A546CE"/>
    <w:rsid w:val="00A56447"/>
    <w:rsid w:val="00A66360"/>
    <w:rsid w:val="00A725CF"/>
    <w:rsid w:val="00A755A2"/>
    <w:rsid w:val="00AA53E0"/>
    <w:rsid w:val="00AA6660"/>
    <w:rsid w:val="00AB2C36"/>
    <w:rsid w:val="00AB6DDE"/>
    <w:rsid w:val="00AB70B6"/>
    <w:rsid w:val="00AD1A86"/>
    <w:rsid w:val="00AE103E"/>
    <w:rsid w:val="00AF0A07"/>
    <w:rsid w:val="00AF4AEC"/>
    <w:rsid w:val="00AF5D77"/>
    <w:rsid w:val="00AF625E"/>
    <w:rsid w:val="00AF70EC"/>
    <w:rsid w:val="00B009F8"/>
    <w:rsid w:val="00B0612E"/>
    <w:rsid w:val="00B139BE"/>
    <w:rsid w:val="00B174BD"/>
    <w:rsid w:val="00B21227"/>
    <w:rsid w:val="00B2172B"/>
    <w:rsid w:val="00B27620"/>
    <w:rsid w:val="00B52E3A"/>
    <w:rsid w:val="00B9146E"/>
    <w:rsid w:val="00B917D2"/>
    <w:rsid w:val="00BA241A"/>
    <w:rsid w:val="00BA40DA"/>
    <w:rsid w:val="00BB04AF"/>
    <w:rsid w:val="00BD52C9"/>
    <w:rsid w:val="00BE6354"/>
    <w:rsid w:val="00C138D1"/>
    <w:rsid w:val="00C22B32"/>
    <w:rsid w:val="00C23A97"/>
    <w:rsid w:val="00C256C0"/>
    <w:rsid w:val="00C25B18"/>
    <w:rsid w:val="00C52961"/>
    <w:rsid w:val="00C52EBE"/>
    <w:rsid w:val="00C56F7F"/>
    <w:rsid w:val="00C57716"/>
    <w:rsid w:val="00C5776D"/>
    <w:rsid w:val="00C64855"/>
    <w:rsid w:val="00C70EA7"/>
    <w:rsid w:val="00C7433F"/>
    <w:rsid w:val="00C7516E"/>
    <w:rsid w:val="00C75374"/>
    <w:rsid w:val="00C75770"/>
    <w:rsid w:val="00CA56BB"/>
    <w:rsid w:val="00CB0542"/>
    <w:rsid w:val="00CB25A8"/>
    <w:rsid w:val="00CD31E7"/>
    <w:rsid w:val="00CD7472"/>
    <w:rsid w:val="00CE65AA"/>
    <w:rsid w:val="00CF0BC3"/>
    <w:rsid w:val="00CF2E49"/>
    <w:rsid w:val="00CF3CE7"/>
    <w:rsid w:val="00D00B2B"/>
    <w:rsid w:val="00D14157"/>
    <w:rsid w:val="00D149FF"/>
    <w:rsid w:val="00D15A95"/>
    <w:rsid w:val="00D17D23"/>
    <w:rsid w:val="00D24877"/>
    <w:rsid w:val="00D278AB"/>
    <w:rsid w:val="00D30201"/>
    <w:rsid w:val="00D34DC4"/>
    <w:rsid w:val="00D409DB"/>
    <w:rsid w:val="00D444EA"/>
    <w:rsid w:val="00D53E1F"/>
    <w:rsid w:val="00D55DC6"/>
    <w:rsid w:val="00D65A2F"/>
    <w:rsid w:val="00D7105A"/>
    <w:rsid w:val="00D71E6E"/>
    <w:rsid w:val="00D8250F"/>
    <w:rsid w:val="00D863C5"/>
    <w:rsid w:val="00D86BB3"/>
    <w:rsid w:val="00D87539"/>
    <w:rsid w:val="00D95C4C"/>
    <w:rsid w:val="00DA087D"/>
    <w:rsid w:val="00DA36ED"/>
    <w:rsid w:val="00DB48FE"/>
    <w:rsid w:val="00DB6E75"/>
    <w:rsid w:val="00DD4BFB"/>
    <w:rsid w:val="00DE34F1"/>
    <w:rsid w:val="00DE6160"/>
    <w:rsid w:val="00DF1CC2"/>
    <w:rsid w:val="00DF4942"/>
    <w:rsid w:val="00E019FC"/>
    <w:rsid w:val="00E11217"/>
    <w:rsid w:val="00E16EFD"/>
    <w:rsid w:val="00E2125F"/>
    <w:rsid w:val="00E244E1"/>
    <w:rsid w:val="00E24ACC"/>
    <w:rsid w:val="00E26429"/>
    <w:rsid w:val="00E3480A"/>
    <w:rsid w:val="00E4150C"/>
    <w:rsid w:val="00E55502"/>
    <w:rsid w:val="00E556FE"/>
    <w:rsid w:val="00E627B1"/>
    <w:rsid w:val="00E62A73"/>
    <w:rsid w:val="00E6478C"/>
    <w:rsid w:val="00E70169"/>
    <w:rsid w:val="00E9376C"/>
    <w:rsid w:val="00E95AE2"/>
    <w:rsid w:val="00EA335E"/>
    <w:rsid w:val="00EA528C"/>
    <w:rsid w:val="00EA580C"/>
    <w:rsid w:val="00EC5616"/>
    <w:rsid w:val="00EC6F8D"/>
    <w:rsid w:val="00ED267C"/>
    <w:rsid w:val="00ED37FE"/>
    <w:rsid w:val="00ED39B2"/>
    <w:rsid w:val="00EE49F4"/>
    <w:rsid w:val="00EE5C59"/>
    <w:rsid w:val="00EF0209"/>
    <w:rsid w:val="00EF34E2"/>
    <w:rsid w:val="00F30DC6"/>
    <w:rsid w:val="00F32C23"/>
    <w:rsid w:val="00F35E96"/>
    <w:rsid w:val="00F361F5"/>
    <w:rsid w:val="00F52613"/>
    <w:rsid w:val="00F53DE9"/>
    <w:rsid w:val="00F56FA1"/>
    <w:rsid w:val="00F576CB"/>
    <w:rsid w:val="00F60C0F"/>
    <w:rsid w:val="00F7035D"/>
    <w:rsid w:val="00F71A02"/>
    <w:rsid w:val="00F74531"/>
    <w:rsid w:val="00F92792"/>
    <w:rsid w:val="00FA0D63"/>
    <w:rsid w:val="00FA2605"/>
    <w:rsid w:val="00FD04A5"/>
    <w:rsid w:val="00FD1226"/>
    <w:rsid w:val="00FD52FE"/>
    <w:rsid w:val="00FD70F8"/>
    <w:rsid w:val="00FF4830"/>
    <w:rsid w:val="00FF57D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33277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Revision">
    <w:name w:val="Revision"/>
    <w:hidden/>
    <w:uiPriority w:val="99"/>
    <w:semiHidden/>
    <w:rsid w:val="009D5436"/>
    <w:rPr>
      <w:rFonts w:ascii="Times New Roman" w:eastAsia="Times New Roman" w:hAnsi="Times New Roman"/>
      <w:sz w:val="24"/>
      <w:szCs w:val="24"/>
    </w:rPr>
  </w:style>
  <w:style w:type="character" w:customStyle="1" w:styleId="ui-provider">
    <w:name w:val="ui-provider"/>
    <w:basedOn w:val="DefaultParagraphFont"/>
    <w:rsid w:val="00705DD3"/>
  </w:style>
  <w:style w:type="paragraph" w:styleId="NormalWeb">
    <w:name w:val="Normal (Web)"/>
    <w:basedOn w:val="Normal"/>
    <w:uiPriority w:val="99"/>
    <w:semiHidden/>
    <w:unhideWhenUsed/>
    <w:rsid w:val="003F5EC2"/>
    <w:pPr>
      <w:spacing w:before="100" w:beforeAutospacing="1" w:after="100" w:afterAutospacing="1"/>
    </w:pPr>
    <w:rPr>
      <w:lang w:eastAsia="zh-CN"/>
    </w:rPr>
  </w:style>
  <w:style w:type="character" w:customStyle="1" w:styleId="Heading3Char">
    <w:name w:val="Heading 3 Char"/>
    <w:basedOn w:val="DefaultParagraphFont"/>
    <w:link w:val="Heading3"/>
    <w:uiPriority w:val="9"/>
    <w:semiHidden/>
    <w:rsid w:val="0033277A"/>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44274"/>
    <w:rPr>
      <w:sz w:val="20"/>
      <w:szCs w:val="20"/>
    </w:rPr>
  </w:style>
  <w:style w:type="character" w:customStyle="1" w:styleId="FootnoteTextChar">
    <w:name w:val="Footnote Text Char"/>
    <w:basedOn w:val="DefaultParagraphFont"/>
    <w:link w:val="FootnoteText"/>
    <w:uiPriority w:val="99"/>
    <w:semiHidden/>
    <w:rsid w:val="00344274"/>
    <w:rPr>
      <w:rFonts w:ascii="Times New Roman" w:eastAsia="Times New Roman" w:hAnsi="Times New Roman"/>
    </w:rPr>
  </w:style>
  <w:style w:type="character" w:styleId="FootnoteReference">
    <w:name w:val="footnote reference"/>
    <w:basedOn w:val="DefaultParagraphFont"/>
    <w:uiPriority w:val="99"/>
    <w:semiHidden/>
    <w:unhideWhenUsed/>
    <w:rsid w:val="00344274"/>
    <w:rPr>
      <w:vertAlign w:val="superscript"/>
    </w:rPr>
  </w:style>
  <w:style w:type="character" w:styleId="Hyperlink">
    <w:name w:val="Hyperlink"/>
    <w:basedOn w:val="DefaultParagraphFont"/>
    <w:uiPriority w:val="99"/>
    <w:unhideWhenUsed/>
    <w:rsid w:val="006B2F55"/>
    <w:rPr>
      <w:color w:val="0000FF" w:themeColor="hyperlink"/>
      <w:u w:val="single"/>
    </w:rPr>
  </w:style>
  <w:style w:type="character" w:styleId="UnresolvedMention">
    <w:name w:val="Unresolved Mention"/>
    <w:basedOn w:val="DefaultParagraphFont"/>
    <w:uiPriority w:val="99"/>
    <w:semiHidden/>
    <w:unhideWhenUsed/>
    <w:rsid w:val="006B2F55"/>
    <w:rPr>
      <w:color w:val="605E5C"/>
      <w:shd w:val="clear" w:color="auto" w:fill="E1DFDD"/>
    </w:rPr>
  </w:style>
  <w:style w:type="character" w:styleId="FollowedHyperlink">
    <w:name w:val="FollowedHyperlink"/>
    <w:basedOn w:val="DefaultParagraphFont"/>
    <w:uiPriority w:val="99"/>
    <w:semiHidden/>
    <w:unhideWhenUsed/>
    <w:rsid w:val="00687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8007">
      <w:bodyDiv w:val="1"/>
      <w:marLeft w:val="0"/>
      <w:marRight w:val="0"/>
      <w:marTop w:val="0"/>
      <w:marBottom w:val="0"/>
      <w:divBdr>
        <w:top w:val="none" w:sz="0" w:space="0" w:color="auto"/>
        <w:left w:val="none" w:sz="0" w:space="0" w:color="auto"/>
        <w:bottom w:val="none" w:sz="0" w:space="0" w:color="auto"/>
        <w:right w:val="none" w:sz="0" w:space="0" w:color="auto"/>
      </w:divBdr>
    </w:div>
    <w:div w:id="572861020">
      <w:bodyDiv w:val="1"/>
      <w:marLeft w:val="0"/>
      <w:marRight w:val="0"/>
      <w:marTop w:val="0"/>
      <w:marBottom w:val="0"/>
      <w:divBdr>
        <w:top w:val="none" w:sz="0" w:space="0" w:color="auto"/>
        <w:left w:val="none" w:sz="0" w:space="0" w:color="auto"/>
        <w:bottom w:val="none" w:sz="0" w:space="0" w:color="auto"/>
        <w:right w:val="none" w:sz="0" w:space="0" w:color="auto"/>
      </w:divBdr>
    </w:div>
    <w:div w:id="73466344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86294113">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5141312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59532-FR.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59531-FR.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59530-FR.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doc/src/59529-FR.docx" TargetMode="External"/><Relationship Id="rId4" Type="http://schemas.openxmlformats.org/officeDocument/2006/relationships/settings" Target="settings.xml"/><Relationship Id="rId9" Type="http://schemas.openxmlformats.org/officeDocument/2006/relationships/hyperlink" Target="https://ich.unesco.org/doc/src/EXP_ART18_Group_b_Topic_1_Report_fr(1).docx.doc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136</TotalTime>
  <Pages>6</Pages>
  <Words>2772</Words>
  <Characters>15250</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28</cp:revision>
  <cp:lastPrinted>2011-08-06T10:22:00Z</cp:lastPrinted>
  <dcterms:created xsi:type="dcterms:W3CDTF">2023-04-21T15:09:00Z</dcterms:created>
  <dcterms:modified xsi:type="dcterms:W3CDTF">2023-06-14T18:07:00Z</dcterms:modified>
</cp:coreProperties>
</file>