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D556B12" w14:textId="362467FD" w:rsidR="00091385" w:rsidRPr="00091385" w:rsidRDefault="00091385" w:rsidP="00091385">
      <w:pPr>
        <w:spacing w:before="1200"/>
        <w:ind w:left="1530" w:right="1448" w:firstLine="180"/>
        <w:jc w:val="center"/>
        <w:rPr>
          <w:rFonts w:ascii="Arial" w:eastAsia="Calibri" w:hAnsi="Arial" w:cs="Arial"/>
          <w:b/>
          <w:bCs/>
          <w:sz w:val="22"/>
          <w:szCs w:val="22"/>
          <w:lang w:val="en-US" w:eastAsia="en-US"/>
        </w:rPr>
      </w:pPr>
      <w:bookmarkStart w:id="0" w:name="_Hlk70514086"/>
      <w:r w:rsidRPr="00091385">
        <w:rPr>
          <w:rFonts w:ascii="Arial" w:eastAsia="Calibri" w:hAnsi="Arial" w:cs="Arial"/>
          <w:b/>
          <w:bCs/>
          <w:sz w:val="22"/>
          <w:szCs w:val="22"/>
          <w:lang w:val="en-US"/>
        </w:rPr>
        <w:t xml:space="preserve">Expert meeting in the framework of the reflection </w:t>
      </w:r>
      <w:r w:rsidR="001C5A43">
        <w:rPr>
          <w:rFonts w:ascii="Arial" w:eastAsia="Calibri" w:hAnsi="Arial" w:cs="Arial"/>
          <w:b/>
          <w:bCs/>
          <w:sz w:val="22"/>
          <w:szCs w:val="22"/>
          <w:lang w:val="en-US"/>
        </w:rPr>
        <w:t>on</w:t>
      </w:r>
      <w:r w:rsidRPr="00091385">
        <w:rPr>
          <w:rFonts w:ascii="Arial" w:eastAsia="Calibri" w:hAnsi="Arial" w:cs="Arial"/>
          <w:b/>
          <w:bCs/>
          <w:sz w:val="22"/>
          <w:szCs w:val="22"/>
          <w:lang w:val="en-US"/>
        </w:rPr>
        <w:t xml:space="preserve"> </w:t>
      </w:r>
      <w:r w:rsidR="00360422">
        <w:rPr>
          <w:rFonts w:ascii="Arial" w:eastAsia="Calibri" w:hAnsi="Arial" w:cs="Arial"/>
          <w:b/>
          <w:bCs/>
          <w:sz w:val="22"/>
          <w:szCs w:val="22"/>
          <w:lang w:val="en-US"/>
        </w:rPr>
        <w:t>a</w:t>
      </w:r>
      <w:r w:rsidRPr="00091385">
        <w:rPr>
          <w:rFonts w:ascii="Arial" w:eastAsia="Calibri" w:hAnsi="Arial" w:cs="Arial"/>
          <w:b/>
          <w:bCs/>
          <w:sz w:val="22"/>
          <w:szCs w:val="22"/>
          <w:lang w:val="en-US"/>
        </w:rPr>
        <w:t xml:space="preserve"> broader implementation of Article 18 of the 2003 Convention for the Safeguarding of the Intangible Cultural Heritage</w:t>
      </w:r>
    </w:p>
    <w:bookmarkEnd w:id="0"/>
    <w:p w14:paraId="1FD89575" w14:textId="7209C81A" w:rsidR="00B2172B" w:rsidRPr="00B2172B" w:rsidRDefault="00B9146E" w:rsidP="004E1760">
      <w:pPr>
        <w:spacing w:before="840"/>
        <w:jc w:val="center"/>
        <w:rPr>
          <w:rFonts w:ascii="Arial" w:hAnsi="Arial" w:cs="Arial"/>
          <w:b/>
          <w:sz w:val="22"/>
          <w:szCs w:val="22"/>
          <w:lang w:val="en-GB"/>
        </w:rPr>
      </w:pPr>
      <w:r w:rsidRPr="00DD4BFB">
        <w:rPr>
          <w:rFonts w:ascii="Arial" w:hAnsi="Arial" w:cs="Arial"/>
          <w:b/>
          <w:sz w:val="22"/>
          <w:szCs w:val="22"/>
          <w:lang w:val="en-GB"/>
        </w:rPr>
        <w:t>Stockholm</w:t>
      </w:r>
      <w:r w:rsidR="00962034" w:rsidRPr="00DD4BFB">
        <w:rPr>
          <w:rFonts w:ascii="Arial" w:hAnsi="Arial" w:cs="Arial"/>
          <w:b/>
          <w:sz w:val="22"/>
          <w:szCs w:val="22"/>
          <w:lang w:val="en-GB"/>
        </w:rPr>
        <w:t xml:space="preserve">, </w:t>
      </w:r>
      <w:r w:rsidRPr="00DD4BFB">
        <w:rPr>
          <w:rFonts w:ascii="Arial" w:hAnsi="Arial" w:cs="Arial"/>
          <w:b/>
          <w:sz w:val="22"/>
          <w:szCs w:val="22"/>
          <w:lang w:val="en-GB"/>
        </w:rPr>
        <w:t>Sweden</w:t>
      </w:r>
    </w:p>
    <w:p w14:paraId="45E52760" w14:textId="2D7FCBF4" w:rsidR="001F4E62" w:rsidRPr="0031456C" w:rsidRDefault="00B9146E" w:rsidP="0031456C">
      <w:pPr>
        <w:spacing w:after="1200"/>
        <w:jc w:val="center"/>
        <w:rPr>
          <w:rFonts w:ascii="Arial" w:hAnsi="Arial" w:cs="Arial"/>
          <w:b/>
          <w:sz w:val="22"/>
          <w:szCs w:val="22"/>
          <w:lang w:val="en-GB"/>
        </w:rPr>
      </w:pPr>
      <w:r>
        <w:rPr>
          <w:rFonts w:ascii="Arial" w:hAnsi="Arial" w:cs="Arial"/>
          <w:b/>
          <w:sz w:val="22"/>
          <w:szCs w:val="22"/>
          <w:lang w:val="en-GB"/>
        </w:rPr>
        <w:t>1</w:t>
      </w:r>
      <w:r w:rsidR="003C3534">
        <w:rPr>
          <w:rFonts w:ascii="Arial" w:hAnsi="Arial" w:cs="Arial"/>
          <w:b/>
          <w:sz w:val="22"/>
          <w:szCs w:val="22"/>
          <w:lang w:val="en-GB"/>
        </w:rPr>
        <w:t>9</w:t>
      </w:r>
      <w:r w:rsidR="00977853">
        <w:rPr>
          <w:rFonts w:ascii="Arial" w:hAnsi="Arial" w:cs="Arial"/>
          <w:b/>
          <w:sz w:val="22"/>
          <w:szCs w:val="22"/>
          <w:lang w:val="en-GB"/>
        </w:rPr>
        <w:t xml:space="preserve"> to </w:t>
      </w:r>
      <w:r>
        <w:rPr>
          <w:rFonts w:ascii="Arial" w:hAnsi="Arial" w:cs="Arial"/>
          <w:b/>
          <w:sz w:val="22"/>
          <w:szCs w:val="22"/>
          <w:lang w:val="en-GB"/>
        </w:rPr>
        <w:t>21 April</w:t>
      </w:r>
      <w:r w:rsidR="004E1760" w:rsidRPr="00A54AF9">
        <w:rPr>
          <w:rFonts w:ascii="Arial" w:hAnsi="Arial" w:cs="Arial"/>
          <w:b/>
          <w:sz w:val="22"/>
          <w:szCs w:val="22"/>
          <w:lang w:val="en-GB"/>
        </w:rPr>
        <w:t xml:space="preserve"> 202</w:t>
      </w:r>
      <w:r w:rsidR="00F56FA1">
        <w:rPr>
          <w:rFonts w:ascii="Arial" w:hAnsi="Arial" w:cs="Arial"/>
          <w:b/>
          <w:sz w:val="22"/>
          <w:szCs w:val="22"/>
          <w:lang w:val="en-GB"/>
        </w:rPr>
        <w:t>3</w:t>
      </w:r>
    </w:p>
    <w:p w14:paraId="59920478" w14:textId="767E78FE" w:rsidR="004A2875" w:rsidRPr="00293C60" w:rsidRDefault="00977853" w:rsidP="00EC41E9">
      <w:pPr>
        <w:pStyle w:val="Sansinterligne2"/>
        <w:spacing w:before="1800" w:after="1200"/>
        <w:jc w:val="center"/>
        <w:rPr>
          <w:rFonts w:ascii="Arial" w:hAnsi="Arial" w:cs="Arial"/>
          <w:b/>
          <w:sz w:val="22"/>
          <w:szCs w:val="22"/>
          <w:lang w:val="en-GB"/>
        </w:rPr>
      </w:pPr>
      <w:r>
        <w:rPr>
          <w:rFonts w:ascii="Arial" w:hAnsi="Arial" w:cs="Arial"/>
          <w:b/>
          <w:sz w:val="22"/>
          <w:szCs w:val="22"/>
          <w:lang w:val="en-GB"/>
        </w:rPr>
        <w:t>Report</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977853" w:rsidRPr="00977853" w14:paraId="7CFFDA4D" w14:textId="77777777" w:rsidTr="001E3BB0">
        <w:trPr>
          <w:jc w:val="center"/>
        </w:trPr>
        <w:tc>
          <w:tcPr>
            <w:tcW w:w="5670" w:type="dxa"/>
            <w:vAlign w:val="center"/>
          </w:tcPr>
          <w:p w14:paraId="3C0A94EB" w14:textId="16B8D424" w:rsidR="00977853" w:rsidRPr="001813E4" w:rsidRDefault="00655736" w:rsidP="001E3BB0">
            <w:pPr>
              <w:pStyle w:val="Sansinterligne2"/>
              <w:spacing w:before="200" w:after="200"/>
              <w:jc w:val="both"/>
              <w:rPr>
                <w:rFonts w:ascii="Arial" w:hAnsi="Arial" w:cs="Arial"/>
                <w:bCs/>
                <w:sz w:val="22"/>
                <w:szCs w:val="22"/>
                <w:lang w:val="en-GB"/>
              </w:rPr>
            </w:pPr>
            <w:r w:rsidRPr="00D7105A">
              <w:rPr>
                <w:lang w:val="en-US"/>
              </w:rPr>
              <w:br w:type="page"/>
            </w:r>
            <w:r w:rsidR="00977853" w:rsidRPr="001813E4">
              <w:rPr>
                <w:rFonts w:ascii="Arial" w:hAnsi="Arial" w:cs="Arial"/>
                <w:bCs/>
                <w:sz w:val="22"/>
                <w:szCs w:val="22"/>
                <w:lang w:val="en-GB"/>
              </w:rPr>
              <w:t xml:space="preserve">As part of the expert consultation foreseen in the framework of the reflection </w:t>
            </w:r>
            <w:r w:rsidR="001C5A43">
              <w:rPr>
                <w:rFonts w:ascii="Arial" w:hAnsi="Arial" w:cs="Arial"/>
                <w:bCs/>
                <w:sz w:val="22"/>
                <w:szCs w:val="22"/>
                <w:lang w:val="en-GB"/>
              </w:rPr>
              <w:t>on</w:t>
            </w:r>
            <w:r w:rsidR="00977853" w:rsidRPr="00977853">
              <w:rPr>
                <w:rFonts w:ascii="Arial" w:hAnsi="Arial" w:cs="Arial"/>
                <w:bCs/>
                <w:sz w:val="22"/>
                <w:szCs w:val="22"/>
                <w:lang w:val="en-GB"/>
              </w:rPr>
              <w:t xml:space="preserve"> a broader implementation of Article 18 of the 2003 Convention</w:t>
            </w:r>
            <w:r w:rsidR="00977853" w:rsidRPr="001813E4">
              <w:rPr>
                <w:rFonts w:ascii="Arial" w:hAnsi="Arial" w:cs="Arial"/>
                <w:bCs/>
                <w:sz w:val="22"/>
                <w:szCs w:val="22"/>
                <w:lang w:val="en-GB"/>
              </w:rPr>
              <w:t xml:space="preserve">, a category VI expert meeting was organized in </w:t>
            </w:r>
            <w:r w:rsidR="00977853">
              <w:rPr>
                <w:rFonts w:ascii="Arial" w:hAnsi="Arial" w:cs="Arial"/>
                <w:bCs/>
                <w:sz w:val="22"/>
                <w:szCs w:val="22"/>
                <w:lang w:val="en-GB"/>
              </w:rPr>
              <w:t>April</w:t>
            </w:r>
            <w:r w:rsidR="00977853" w:rsidRPr="001813E4">
              <w:rPr>
                <w:rFonts w:ascii="Arial" w:hAnsi="Arial" w:cs="Arial"/>
                <w:bCs/>
                <w:sz w:val="22"/>
                <w:szCs w:val="22"/>
                <w:lang w:val="en-GB"/>
              </w:rPr>
              <w:t xml:space="preserve"> 202</w:t>
            </w:r>
            <w:r w:rsidR="00977853">
              <w:rPr>
                <w:rFonts w:ascii="Arial" w:hAnsi="Arial" w:cs="Arial"/>
                <w:bCs/>
                <w:sz w:val="22"/>
                <w:szCs w:val="22"/>
                <w:lang w:val="en-GB"/>
              </w:rPr>
              <w:t>3</w:t>
            </w:r>
            <w:r w:rsidR="00977853" w:rsidRPr="001813E4">
              <w:rPr>
                <w:rFonts w:ascii="Arial" w:hAnsi="Arial" w:cs="Arial"/>
                <w:bCs/>
                <w:sz w:val="22"/>
                <w:szCs w:val="22"/>
                <w:lang w:val="en-GB"/>
              </w:rPr>
              <w:t xml:space="preserve">. This document describes the outcomes of that meeting. </w:t>
            </w:r>
          </w:p>
        </w:tc>
      </w:tr>
    </w:tbl>
    <w:p w14:paraId="713D819F" w14:textId="0C9F6425" w:rsidR="00977853" w:rsidRDefault="00977853" w:rsidP="00977853">
      <w:pPr>
        <w:pStyle w:val="ListParagraph"/>
        <w:keepLines/>
        <w:spacing w:after="240"/>
        <w:ind w:left="567"/>
        <w:contextualSpacing w:val="0"/>
        <w:rPr>
          <w:rFonts w:ascii="Arial" w:hAnsi="Arial" w:cs="Arial"/>
          <w:b/>
          <w:snapToGrid w:val="0"/>
          <w:sz w:val="22"/>
          <w:szCs w:val="22"/>
          <w:lang w:val="en-GB" w:eastAsia="en-US"/>
        </w:rPr>
      </w:pPr>
    </w:p>
    <w:p w14:paraId="59D1A340" w14:textId="77777777" w:rsidR="00977853" w:rsidRDefault="00977853">
      <w:pPr>
        <w:rPr>
          <w:rFonts w:ascii="Arial" w:hAnsi="Arial" w:cs="Arial"/>
          <w:b/>
          <w:snapToGrid w:val="0"/>
          <w:sz w:val="22"/>
          <w:szCs w:val="22"/>
          <w:lang w:val="en-GB" w:eastAsia="en-US"/>
        </w:rPr>
      </w:pPr>
      <w:r>
        <w:rPr>
          <w:rFonts w:ascii="Arial" w:hAnsi="Arial" w:cs="Arial"/>
          <w:b/>
          <w:snapToGrid w:val="0"/>
          <w:sz w:val="22"/>
          <w:szCs w:val="22"/>
          <w:lang w:val="en-GB" w:eastAsia="en-US"/>
        </w:rPr>
        <w:br w:type="page"/>
      </w:r>
    </w:p>
    <w:p w14:paraId="2CE00AE6" w14:textId="789F908E" w:rsidR="001C5A43" w:rsidRDefault="001C5A43" w:rsidP="00AF32A7">
      <w:pPr>
        <w:pStyle w:val="COMPara"/>
        <w:ind w:left="567" w:hanging="567"/>
        <w:jc w:val="both"/>
      </w:pPr>
      <w:r w:rsidRPr="001C5A43">
        <w:lastRenderedPageBreak/>
        <w:t xml:space="preserve">The </w:t>
      </w:r>
      <w:r>
        <w:t>expert meeting</w:t>
      </w:r>
      <w:r w:rsidRPr="001C5A43">
        <w:t xml:space="preserve"> in the framework of the reflection </w:t>
      </w:r>
      <w:r w:rsidR="000010E0">
        <w:t>on</w:t>
      </w:r>
      <w:r w:rsidRPr="001C5A43">
        <w:t xml:space="preserve"> a broader implementation of Article</w:t>
      </w:r>
      <w:r>
        <w:t> 1</w:t>
      </w:r>
      <w:r w:rsidRPr="001C5A43">
        <w:t>8 of the 2003 Convention</w:t>
      </w:r>
      <w:r>
        <w:t xml:space="preserve"> </w:t>
      </w:r>
      <w:r w:rsidR="00EC41E9">
        <w:t xml:space="preserve">for the Safeguarding of the Intangible Cultural Heritage </w:t>
      </w:r>
      <w:r w:rsidR="00EC41E9" w:rsidRPr="00F44074">
        <w:t xml:space="preserve">(hereinafter the ‘Convention’) </w:t>
      </w:r>
      <w:r w:rsidRPr="00F44074">
        <w:t>was held in Stockholm, Sweden, from 19 to 21 April 2023</w:t>
      </w:r>
      <w:r w:rsidR="006215B7" w:rsidRPr="00F44074">
        <w:t>, with</w:t>
      </w:r>
      <w:r w:rsidR="006215B7">
        <w:t xml:space="preserve"> the support from Sweden.</w:t>
      </w:r>
      <w:r>
        <w:t xml:space="preserve"> Experts </w:t>
      </w:r>
      <w:r w:rsidR="000010E0">
        <w:t xml:space="preserve">wish to put forward </w:t>
      </w:r>
      <w:r>
        <w:t xml:space="preserve">the following considerations </w:t>
      </w:r>
      <w:r w:rsidR="00B009F8">
        <w:t>to</w:t>
      </w:r>
      <w:r>
        <w:t xml:space="preserve"> the Open-ended intergovernmental working group</w:t>
      </w:r>
      <w:r w:rsidR="000010E0">
        <w:t>, which is scheduled to meet from 4 to 6 July 2023 at UNESCO Headquarters</w:t>
      </w:r>
      <w:r>
        <w:t>:</w:t>
      </w:r>
    </w:p>
    <w:p w14:paraId="465D15FC" w14:textId="08021E2A" w:rsidR="001C5A43" w:rsidRPr="001C5A43" w:rsidRDefault="001C5A43" w:rsidP="001C5A43">
      <w:pPr>
        <w:pStyle w:val="COMPara"/>
        <w:numPr>
          <w:ilvl w:val="0"/>
          <w:numId w:val="0"/>
        </w:numPr>
        <w:jc w:val="both"/>
        <w:rPr>
          <w:b/>
          <w:bCs/>
        </w:rPr>
      </w:pPr>
      <w:r w:rsidRPr="001C5A43">
        <w:rPr>
          <w:b/>
          <w:bCs/>
        </w:rPr>
        <w:t>General considerations</w:t>
      </w:r>
    </w:p>
    <w:p w14:paraId="00743995" w14:textId="3E30C2C5" w:rsidR="0057439C" w:rsidRPr="00041A66" w:rsidRDefault="000010E0" w:rsidP="00AF32A7">
      <w:pPr>
        <w:pStyle w:val="COMPara"/>
        <w:ind w:left="567" w:hanging="567"/>
        <w:jc w:val="both"/>
      </w:pPr>
      <w:r>
        <w:t xml:space="preserve">Article 18 has the potential to fully </w:t>
      </w:r>
      <w:r w:rsidR="00F71523">
        <w:t xml:space="preserve">reflect </w:t>
      </w:r>
      <w:r>
        <w:t>the purposes of the Convention, as stated in Article</w:t>
      </w:r>
      <w:r w:rsidR="00F44074">
        <w:t> </w:t>
      </w:r>
      <w:r>
        <w:t>1. Carrying on the overall approach confirmed by the global reflection on the listing mechanisms</w:t>
      </w:r>
      <w:r w:rsidR="00B009F8">
        <w:t xml:space="preserve"> of the Convention</w:t>
      </w:r>
      <w:r>
        <w:t>, it is essential to put the communities, groups and</w:t>
      </w:r>
      <w:r w:rsidR="006215B7">
        <w:t>, where appropriate,</w:t>
      </w:r>
      <w:r>
        <w:t xml:space="preserve"> individuals</w:t>
      </w:r>
      <w:r w:rsidR="006215B7">
        <w:t xml:space="preserve"> (hereinafter the ‘communities</w:t>
      </w:r>
      <w:r w:rsidR="00EC41E9">
        <w:t>’</w:t>
      </w:r>
      <w:r w:rsidR="006215B7">
        <w:t>)</w:t>
      </w:r>
      <w:r>
        <w:t xml:space="preserve"> at the centre of the safeguarding efforts.</w:t>
      </w:r>
    </w:p>
    <w:p w14:paraId="05D1C79F" w14:textId="5F66D4F6" w:rsidR="0057439C" w:rsidRPr="00041A66" w:rsidRDefault="000010E0" w:rsidP="00AF32A7">
      <w:pPr>
        <w:pStyle w:val="COMPara"/>
        <w:ind w:left="567" w:hanging="567"/>
        <w:jc w:val="both"/>
      </w:pPr>
      <w:r>
        <w:t xml:space="preserve">The original intent of Article 18 should be recalled: on </w:t>
      </w:r>
      <w:r w:rsidR="00F71523">
        <w:t xml:space="preserve">the </w:t>
      </w:r>
      <w:r>
        <w:t xml:space="preserve">one hand, to form part of the listing system (together with Articles 16 and 17 of the Convention) giving the </w:t>
      </w:r>
      <w:r w:rsidR="006215B7">
        <w:t xml:space="preserve">responsibility </w:t>
      </w:r>
      <w:r>
        <w:t xml:space="preserve">to the Committee to select and promote programmes, </w:t>
      </w:r>
      <w:r w:rsidR="00BC4030">
        <w:t>projects,</w:t>
      </w:r>
      <w:r>
        <w:t xml:space="preserve"> and activities for the safeguarding of living heritage in order to provide inspirations to communities around the world with safeguarding examples best reflecting the principles and objectives of the Convention. At the same time, Article 18 </w:t>
      </w:r>
      <w:r w:rsidR="0038757B">
        <w:t xml:space="preserve">should </w:t>
      </w:r>
      <w:r>
        <w:t>be</w:t>
      </w:r>
      <w:r w:rsidR="0038757B">
        <w:t xml:space="preserve">, </w:t>
      </w:r>
      <w:r>
        <w:t>considered in relation to Articles 19 to 24 in terms of</w:t>
      </w:r>
      <w:r w:rsidR="005C4322">
        <w:t xml:space="preserve"> facilitating cooperation and </w:t>
      </w:r>
      <w:proofErr w:type="gramStart"/>
      <w:r>
        <w:t>providing assistance to</w:t>
      </w:r>
      <w:proofErr w:type="gramEnd"/>
      <w:r>
        <w:t xml:space="preserve"> </w:t>
      </w:r>
      <w:r w:rsidR="005C4322">
        <w:t>State</w:t>
      </w:r>
      <w:r w:rsidR="006215B7">
        <w:t>s</w:t>
      </w:r>
      <w:r w:rsidR="005C4322">
        <w:t xml:space="preserve"> Parties and </w:t>
      </w:r>
      <w:r>
        <w:t>communities</w:t>
      </w:r>
      <w:r w:rsidR="005C4322">
        <w:t xml:space="preserve"> concerned </w:t>
      </w:r>
      <w:r>
        <w:t xml:space="preserve">for planning, implementing and following up their safeguarding </w:t>
      </w:r>
      <w:r w:rsidR="005C4322">
        <w:t>efforts</w:t>
      </w:r>
      <w:r w:rsidR="008F6A33">
        <w:t>.</w:t>
      </w:r>
    </w:p>
    <w:p w14:paraId="4EFEA718" w14:textId="779007E8" w:rsidR="00E019FC" w:rsidRDefault="00696C5B" w:rsidP="00AF32A7">
      <w:pPr>
        <w:pStyle w:val="COMPara"/>
        <w:ind w:left="567" w:hanging="567"/>
        <w:jc w:val="both"/>
      </w:pPr>
      <w:r>
        <w:t xml:space="preserve">The following key issues need to be addressed in order for Article 18 to become fully </w:t>
      </w:r>
      <w:r w:rsidR="005C4322">
        <w:t>effective</w:t>
      </w:r>
      <w:r>
        <w:t>:</w:t>
      </w:r>
    </w:p>
    <w:p w14:paraId="47A3EBFA" w14:textId="031D46B3" w:rsidR="00696C5B" w:rsidRDefault="008F6A33" w:rsidP="00B009F8">
      <w:pPr>
        <w:pStyle w:val="COMPara"/>
        <w:numPr>
          <w:ilvl w:val="1"/>
          <w:numId w:val="9"/>
        </w:numPr>
        <w:ind w:left="1134" w:hanging="567"/>
        <w:jc w:val="both"/>
      </w:pPr>
      <w:r>
        <w:t>More good safeguarding</w:t>
      </w:r>
      <w:r w:rsidR="00D07EB1">
        <w:t xml:space="preserve"> </w:t>
      </w:r>
      <w:r w:rsidR="00C50274">
        <w:t xml:space="preserve">practices through programmes, projects and activities </w:t>
      </w:r>
      <w:r>
        <w:t xml:space="preserve">should be </w:t>
      </w:r>
      <w:r w:rsidR="008D538B">
        <w:t>made available than is currently enabled by the Register</w:t>
      </w:r>
      <w:r w:rsidR="001A41EC">
        <w:t xml:space="preserve"> of Good Safeguarding Practices (hereinafter the ‘Register’)</w:t>
      </w:r>
      <w:r w:rsidR="008D538B">
        <w:t xml:space="preserve">, which currently has only 33 </w:t>
      </w:r>
      <w:r w:rsidR="00C50274">
        <w:t xml:space="preserve">practices </w:t>
      </w:r>
      <w:r w:rsidR="008D538B">
        <w:t>included</w:t>
      </w:r>
      <w:r>
        <w:t>.</w:t>
      </w:r>
    </w:p>
    <w:p w14:paraId="3C41974A" w14:textId="672929C2" w:rsidR="00696C5B" w:rsidRPr="008D538B" w:rsidRDefault="008F6A33" w:rsidP="0003211B">
      <w:pPr>
        <w:pStyle w:val="COMPara"/>
        <w:numPr>
          <w:ilvl w:val="1"/>
          <w:numId w:val="9"/>
        </w:numPr>
        <w:ind w:left="1134" w:hanging="567"/>
        <w:jc w:val="both"/>
      </w:pPr>
      <w:r w:rsidRPr="006215B7">
        <w:t xml:space="preserve">The </w:t>
      </w:r>
      <w:r w:rsidRPr="008D538B">
        <w:t xml:space="preserve">good safeguarding </w:t>
      </w:r>
      <w:r w:rsidR="00C50274">
        <w:t>practices</w:t>
      </w:r>
      <w:r w:rsidRPr="008D538B">
        <w:t xml:space="preserve"> </w:t>
      </w:r>
      <w:r w:rsidRPr="006215B7">
        <w:t xml:space="preserve">shared </w:t>
      </w:r>
      <w:r w:rsidRPr="008D538B">
        <w:t>under the Convention should be more equitably distributed geographically</w:t>
      </w:r>
      <w:r w:rsidR="008D538B" w:rsidRPr="006215B7">
        <w:t>, with reference to paragraph 6 of the Operational Directives</w:t>
      </w:r>
      <w:r w:rsidR="008D538B" w:rsidRPr="008D538B">
        <w:t>,</w:t>
      </w:r>
      <w:r w:rsidRPr="006215B7">
        <w:t xml:space="preserve"> facilitat</w:t>
      </w:r>
      <w:r w:rsidR="008D538B" w:rsidRPr="006215B7">
        <w:t>ing</w:t>
      </w:r>
      <w:r w:rsidR="0003211B" w:rsidRPr="008D538B">
        <w:t xml:space="preserve"> South-South and North-South-South cooperation</w:t>
      </w:r>
      <w:r w:rsidR="00696C5B" w:rsidRPr="008D538B">
        <w:t>.</w:t>
      </w:r>
      <w:r w:rsidR="0003211B" w:rsidRPr="008D538B">
        <w:t xml:space="preserve"> </w:t>
      </w:r>
    </w:p>
    <w:p w14:paraId="75C774E3" w14:textId="30B724EF" w:rsidR="00257FEF" w:rsidRPr="00F54B45" w:rsidRDefault="008F6A33" w:rsidP="00B009F8">
      <w:pPr>
        <w:pStyle w:val="COMPara"/>
        <w:numPr>
          <w:ilvl w:val="1"/>
          <w:numId w:val="9"/>
        </w:numPr>
        <w:ind w:left="1134" w:hanging="567"/>
        <w:jc w:val="both"/>
      </w:pPr>
      <w:r w:rsidRPr="008D538B">
        <w:t>A wide</w:t>
      </w:r>
      <w:r w:rsidR="00553674">
        <w:t>r</w:t>
      </w:r>
      <w:r w:rsidRPr="008D538B">
        <w:t xml:space="preserve"> range of good safeguarding </w:t>
      </w:r>
      <w:r w:rsidR="000E72AD">
        <w:t>practices</w:t>
      </w:r>
      <w:r w:rsidR="000E72AD" w:rsidRPr="008D538B">
        <w:t xml:space="preserve"> </w:t>
      </w:r>
      <w:r w:rsidRPr="008D538B">
        <w:t>should be shared</w:t>
      </w:r>
      <w:r w:rsidR="00E23898">
        <w:rPr>
          <w:rStyle w:val="FootnoteReference"/>
        </w:rPr>
        <w:footnoteReference w:id="1"/>
      </w:r>
      <w:r w:rsidRPr="008D538B">
        <w:t xml:space="preserve">, reflecting the diversity of </w:t>
      </w:r>
      <w:r w:rsidR="00257FEF" w:rsidRPr="008D538B">
        <w:t xml:space="preserve">living heritage </w:t>
      </w:r>
      <w:r w:rsidRPr="008D538B">
        <w:t>covered in Article 2.1, the range of threats to viability of living heritage and the range of possible safeguarding measures indicated</w:t>
      </w:r>
      <w:r w:rsidR="00257FEF" w:rsidRPr="008D538B">
        <w:t xml:space="preserve"> in Article 2.3 of the </w:t>
      </w:r>
      <w:r w:rsidR="00257FEF" w:rsidRPr="00F54B45">
        <w:t>Convention</w:t>
      </w:r>
      <w:r w:rsidRPr="00F54B45">
        <w:t xml:space="preserve"> and the Operational Directives</w:t>
      </w:r>
      <w:r w:rsidR="00257FEF" w:rsidRPr="00F54B45">
        <w:t>.</w:t>
      </w:r>
    </w:p>
    <w:p w14:paraId="1C9702C0" w14:textId="1BEE2D36" w:rsidR="00725ED6" w:rsidRDefault="00725ED6" w:rsidP="00F54B45">
      <w:pPr>
        <w:pStyle w:val="COMPara"/>
        <w:numPr>
          <w:ilvl w:val="1"/>
          <w:numId w:val="9"/>
        </w:numPr>
        <w:ind w:left="1134" w:hanging="567"/>
        <w:jc w:val="both"/>
      </w:pPr>
      <w:r w:rsidRPr="002B4471">
        <w:t xml:space="preserve">A broader implementation of Article 18 should be accompanied by a wide involvement of </w:t>
      </w:r>
      <w:r w:rsidRPr="00F54B45">
        <w:t xml:space="preserve">stakeholders including </w:t>
      </w:r>
      <w:r w:rsidR="00990704">
        <w:t xml:space="preserve">community </w:t>
      </w:r>
      <w:r w:rsidRPr="00F54B45">
        <w:t xml:space="preserve">contact persons of inscribed elements </w:t>
      </w:r>
      <w:r w:rsidR="00990704">
        <w:t>and selected practices</w:t>
      </w:r>
      <w:r w:rsidR="001071DD">
        <w:t>,</w:t>
      </w:r>
      <w:r w:rsidR="00990704">
        <w:t xml:space="preserve"> </w:t>
      </w:r>
      <w:r w:rsidRPr="00F54B45">
        <w:t xml:space="preserve">country focal points for periodic reporting, Category 2 Centres, accredited </w:t>
      </w:r>
      <w:r w:rsidR="007E395C">
        <w:t>non-governmental organizations</w:t>
      </w:r>
      <w:r w:rsidRPr="00F54B45">
        <w:t>, UNESCO Chairs</w:t>
      </w:r>
      <w:r w:rsidR="00990704">
        <w:t xml:space="preserve"> and other experts</w:t>
      </w:r>
      <w:r w:rsidRPr="00F54B45">
        <w:t>.</w:t>
      </w:r>
      <w:r w:rsidR="00F54B45" w:rsidRPr="00F54B45">
        <w:t xml:space="preserve"> Wider use of good safeguarding practices by multiple stakeholders should be encouraged </w:t>
      </w:r>
      <w:r w:rsidR="00F54B45" w:rsidRPr="0053106C">
        <w:t xml:space="preserve">in particular </w:t>
      </w:r>
      <w:r w:rsidR="00F54B45" w:rsidRPr="00F54B45">
        <w:t>to achieve the aims of the Convention, to fulfil the aims of the Overall Results Framework (ORF) and the needs of sustainable development.</w:t>
      </w:r>
    </w:p>
    <w:p w14:paraId="22FE6291" w14:textId="77CE50B8" w:rsidR="00257FEF" w:rsidRDefault="00257FEF" w:rsidP="00AF32A7">
      <w:pPr>
        <w:pStyle w:val="COMPara"/>
        <w:ind w:left="567" w:hanging="567"/>
        <w:jc w:val="both"/>
      </w:pPr>
      <w:r>
        <w:t>Further implementation of Article 18 must be explored broadly</w:t>
      </w:r>
      <w:r w:rsidR="007E156E">
        <w:t xml:space="preserve">, whenever possible, </w:t>
      </w:r>
      <w:r>
        <w:t>with reference to existing provisions of the Operational Directives</w:t>
      </w:r>
      <w:r w:rsidR="00B009F8">
        <w:t xml:space="preserve"> (</w:t>
      </w:r>
      <w:r w:rsidR="00F54B45">
        <w:t xml:space="preserve">paragraphs </w:t>
      </w:r>
      <w:r w:rsidR="00B86240" w:rsidRPr="00B86240">
        <w:t xml:space="preserve">3 </w:t>
      </w:r>
      <w:r w:rsidR="00B86240">
        <w:t>to</w:t>
      </w:r>
      <w:r w:rsidR="00B86240" w:rsidRPr="00B86240">
        <w:t xml:space="preserve"> 7</w:t>
      </w:r>
      <w:r w:rsidR="00F54B45">
        <w:t xml:space="preserve">, </w:t>
      </w:r>
      <w:r w:rsidR="00B86240" w:rsidRPr="00B86240">
        <w:t>9(c)</w:t>
      </w:r>
      <w:r w:rsidR="00F54B45">
        <w:t>,</w:t>
      </w:r>
      <w:r w:rsidR="00B86240" w:rsidRPr="00B86240">
        <w:t xml:space="preserve"> </w:t>
      </w:r>
      <w:r w:rsidR="00D07EB1">
        <w:t xml:space="preserve">10, </w:t>
      </w:r>
      <w:r w:rsidR="00F54B45">
        <w:t>1</w:t>
      </w:r>
      <w:r w:rsidR="00D07EB1">
        <w:t xml:space="preserve">2, </w:t>
      </w:r>
      <w:r w:rsidR="00F54B45">
        <w:t>14</w:t>
      </w:r>
      <w:r w:rsidR="00D07EB1">
        <w:t xml:space="preserve">, </w:t>
      </w:r>
      <w:r w:rsidR="00B76CD3">
        <w:t xml:space="preserve">20.1, </w:t>
      </w:r>
      <w:r w:rsidR="00B86240" w:rsidRPr="00B86240">
        <w:t>21(b)</w:t>
      </w:r>
      <w:r w:rsidR="00F54B45">
        <w:t xml:space="preserve">, </w:t>
      </w:r>
      <w:r w:rsidR="00B76CD3">
        <w:t>27</w:t>
      </w:r>
      <w:r w:rsidR="00F54B45">
        <w:t>,</w:t>
      </w:r>
      <w:r w:rsidR="00B86240" w:rsidRPr="00B86240">
        <w:t xml:space="preserve"> 42 </w:t>
      </w:r>
      <w:r w:rsidR="00B86240">
        <w:t>to</w:t>
      </w:r>
      <w:r w:rsidR="00B86240" w:rsidRPr="00B86240">
        <w:t xml:space="preserve"> 46</w:t>
      </w:r>
      <w:r w:rsidR="00F54B45">
        <w:t xml:space="preserve">, </w:t>
      </w:r>
      <w:r w:rsidR="00B76CD3">
        <w:t>70, 80</w:t>
      </w:r>
      <w:r w:rsidR="00F54B45">
        <w:t>(</w:t>
      </w:r>
      <w:r w:rsidR="00B76CD3">
        <w:t>c</w:t>
      </w:r>
      <w:r w:rsidR="00F54B45">
        <w:t>)</w:t>
      </w:r>
      <w:r w:rsidR="00B76CD3">
        <w:t>,</w:t>
      </w:r>
      <w:r w:rsidR="007E156E">
        <w:t xml:space="preserve"> 96</w:t>
      </w:r>
      <w:r w:rsidR="00F54B45">
        <w:t>(</w:t>
      </w:r>
      <w:r w:rsidR="007E156E">
        <w:t>c</w:t>
      </w:r>
      <w:r w:rsidR="00F54B45">
        <w:t xml:space="preserve">), </w:t>
      </w:r>
      <w:r w:rsidR="00B86240" w:rsidRPr="00B86240">
        <w:t>106</w:t>
      </w:r>
      <w:r w:rsidR="00CD0DC0">
        <w:t xml:space="preserve">, </w:t>
      </w:r>
      <w:r w:rsidR="00F54B45">
        <w:t>1</w:t>
      </w:r>
      <w:r w:rsidR="00CD0DC0">
        <w:t>07, 118</w:t>
      </w:r>
      <w:r w:rsidR="00F54B45">
        <w:t xml:space="preserve">, </w:t>
      </w:r>
      <w:r w:rsidR="00CD0DC0">
        <w:t>121</w:t>
      </w:r>
      <w:r w:rsidR="00F54B45">
        <w:t xml:space="preserve"> and </w:t>
      </w:r>
      <w:r w:rsidR="00CD0DC0">
        <w:t>123</w:t>
      </w:r>
      <w:r w:rsidR="00B009F8">
        <w:t>)</w:t>
      </w:r>
      <w:r>
        <w:t>, the ORF of the Convention with its thematic areas, the periodic reporting mechanism which has been reformed to align with the ORF, the Ethical Principles for Safeguarding Intangible Cultural Heritage, as well as the international cooperation mechanisms of the Convention such as the listing system and International Assistance.</w:t>
      </w:r>
    </w:p>
    <w:p w14:paraId="18C0B3FC" w14:textId="611FBC45" w:rsidR="001C5A43" w:rsidRDefault="001C5A43" w:rsidP="001C5A43">
      <w:pPr>
        <w:pStyle w:val="COMPara"/>
        <w:numPr>
          <w:ilvl w:val="0"/>
          <w:numId w:val="0"/>
        </w:numPr>
        <w:jc w:val="both"/>
        <w:rPr>
          <w:b/>
          <w:bCs/>
        </w:rPr>
      </w:pPr>
      <w:r>
        <w:rPr>
          <w:b/>
          <w:bCs/>
        </w:rPr>
        <w:t>Concerning ‘</w:t>
      </w:r>
      <w:r w:rsidRPr="001C5A43">
        <w:rPr>
          <w:b/>
          <w:bCs/>
        </w:rPr>
        <w:t>Improving the access to and increasing the visibility of the Register of Good Safeguarding Practices</w:t>
      </w:r>
      <w:r>
        <w:rPr>
          <w:b/>
          <w:bCs/>
        </w:rPr>
        <w:t>’ (Topic 1)</w:t>
      </w:r>
      <w:r w:rsidR="00071BB7">
        <w:rPr>
          <w:b/>
          <w:bCs/>
        </w:rPr>
        <w:t xml:space="preserve"> – see reports of breakout groups </w:t>
      </w:r>
      <w:hyperlink r:id="rId8" w:history="1">
        <w:r w:rsidR="00071BB7" w:rsidRPr="00BE4975">
          <w:rPr>
            <w:rStyle w:val="Hyperlink"/>
            <w:b/>
            <w:bCs/>
          </w:rPr>
          <w:t>A</w:t>
        </w:r>
      </w:hyperlink>
      <w:r w:rsidR="00071BB7">
        <w:rPr>
          <w:b/>
          <w:bCs/>
        </w:rPr>
        <w:t xml:space="preserve"> and </w:t>
      </w:r>
      <w:hyperlink r:id="rId9" w:history="1">
        <w:r w:rsidR="00071BB7" w:rsidRPr="00BE4975">
          <w:rPr>
            <w:rStyle w:val="Hyperlink"/>
            <w:b/>
            <w:bCs/>
          </w:rPr>
          <w:t>B</w:t>
        </w:r>
      </w:hyperlink>
    </w:p>
    <w:p w14:paraId="68880BC0" w14:textId="1B493B2C" w:rsidR="00703488" w:rsidRDefault="00071BB7" w:rsidP="00703488">
      <w:pPr>
        <w:pStyle w:val="COMPara"/>
        <w:ind w:left="567" w:hanging="567"/>
        <w:jc w:val="both"/>
      </w:pPr>
      <w:r>
        <w:t xml:space="preserve">Since 2009, Article 18 has been partially operationalized through the Register. The Register can be considered </w:t>
      </w:r>
      <w:r w:rsidR="00FD3670">
        <w:t>as</w:t>
      </w:r>
      <w:r>
        <w:t xml:space="preserve"> </w:t>
      </w:r>
      <w:r w:rsidR="00BC4030">
        <w:t>directly reflecting</w:t>
      </w:r>
      <w:r w:rsidR="00FD3670">
        <w:t xml:space="preserve"> </w:t>
      </w:r>
      <w:r>
        <w:t xml:space="preserve">the actions </w:t>
      </w:r>
      <w:r w:rsidRPr="00FD3670">
        <w:t>of communities</w:t>
      </w:r>
      <w:r w:rsidR="00FD3670" w:rsidRPr="00FD3670">
        <w:t xml:space="preserve"> </w:t>
      </w:r>
      <w:r w:rsidRPr="00FD3670">
        <w:t>and</w:t>
      </w:r>
      <w:r>
        <w:t xml:space="preserve"> has the potential to serve as a tool</w:t>
      </w:r>
      <w:r w:rsidR="00FD3670">
        <w:t xml:space="preserve"> for capacity-building</w:t>
      </w:r>
      <w:r w:rsidR="0038757B">
        <w:t xml:space="preserve"> and </w:t>
      </w:r>
      <w:r w:rsidR="00F9702B">
        <w:t>multiplying their safeguarding efforts</w:t>
      </w:r>
      <w:r>
        <w:t xml:space="preserve">. </w:t>
      </w:r>
      <w:r w:rsidR="00703488">
        <w:t xml:space="preserve">In order to </w:t>
      </w:r>
      <w:r w:rsidR="00703488">
        <w:lastRenderedPageBreak/>
        <w:t xml:space="preserve">improve </w:t>
      </w:r>
      <w:r w:rsidR="00703488" w:rsidRPr="00703488">
        <w:t>the access to and increasing the visibility of the Register</w:t>
      </w:r>
      <w:r w:rsidR="00703488">
        <w:t>, the following issues need to be addressed</w:t>
      </w:r>
      <w:r w:rsidR="00F9702B">
        <w:t xml:space="preserve"> </w:t>
      </w:r>
      <w:proofErr w:type="gramStart"/>
      <w:r w:rsidR="00F9702B">
        <w:t>taking into account</w:t>
      </w:r>
      <w:proofErr w:type="gramEnd"/>
      <w:r w:rsidR="00F9702B">
        <w:t xml:space="preserve"> the aforementioned provisions of the Operational Directives</w:t>
      </w:r>
      <w:r w:rsidR="00703488">
        <w:t>:</w:t>
      </w:r>
    </w:p>
    <w:p w14:paraId="341CB9F5" w14:textId="0F544DD6" w:rsidR="00703488" w:rsidRPr="00703488" w:rsidRDefault="00703488" w:rsidP="00703488">
      <w:pPr>
        <w:pStyle w:val="COMPara"/>
        <w:numPr>
          <w:ilvl w:val="0"/>
          <w:numId w:val="0"/>
        </w:numPr>
        <w:jc w:val="both"/>
        <w:rPr>
          <w:u w:val="single"/>
        </w:rPr>
      </w:pPr>
      <w:r w:rsidRPr="00703488">
        <w:rPr>
          <w:u w:val="single"/>
        </w:rPr>
        <w:t xml:space="preserve">Relation with </w:t>
      </w:r>
      <w:r w:rsidR="00657121">
        <w:rPr>
          <w:u w:val="single"/>
        </w:rPr>
        <w:t>international cooperation mechanisms</w:t>
      </w:r>
    </w:p>
    <w:p w14:paraId="4A43E1A4" w14:textId="33236A39" w:rsidR="00703488" w:rsidRPr="00913ACE" w:rsidRDefault="00703488" w:rsidP="00C4578C">
      <w:pPr>
        <w:pStyle w:val="COMPara"/>
        <w:ind w:left="567" w:hanging="567"/>
        <w:jc w:val="both"/>
      </w:pPr>
      <w:r w:rsidRPr="00913ACE">
        <w:t xml:space="preserve">The Register must be separated from the nomination process </w:t>
      </w:r>
      <w:r w:rsidR="00725ED6" w:rsidRPr="00913ACE">
        <w:t xml:space="preserve">including the priority system and annual ceiling of nominations to be examined </w:t>
      </w:r>
      <w:r w:rsidRPr="00913ACE">
        <w:t>so that the preparation of proposals to the Register would not be in competition with nominations to the Representative List and the Urgent Safeguarding List.</w:t>
      </w:r>
      <w:r w:rsidR="004F74D5" w:rsidRPr="00913ACE">
        <w:t xml:space="preserve"> </w:t>
      </w:r>
      <w:r w:rsidR="006F7C3B" w:rsidRPr="00913ACE">
        <w:t>This may involve finding lighter ways of evaluating the proposals to the Register</w:t>
      </w:r>
      <w:r w:rsidR="00EB2C61" w:rsidRPr="00913ACE">
        <w:t xml:space="preserve">, relieving the </w:t>
      </w:r>
      <w:r w:rsidR="001071DD" w:rsidRPr="00913ACE">
        <w:t>E</w:t>
      </w:r>
      <w:r w:rsidR="00EB2C61" w:rsidRPr="00913ACE">
        <w:t xml:space="preserve">valuation </w:t>
      </w:r>
      <w:r w:rsidR="001071DD" w:rsidRPr="00913ACE">
        <w:t>B</w:t>
      </w:r>
      <w:r w:rsidR="00EB2C61" w:rsidRPr="00913ACE">
        <w:t>ody of this task.</w:t>
      </w:r>
    </w:p>
    <w:p w14:paraId="1BF15AF0" w14:textId="3FD7D369" w:rsidR="00100961" w:rsidRDefault="00A46DBC" w:rsidP="001F16F5">
      <w:pPr>
        <w:pStyle w:val="COMPara"/>
        <w:ind w:left="567" w:hanging="567"/>
        <w:jc w:val="both"/>
      </w:pPr>
      <w:r>
        <w:t>In the sense of Article</w:t>
      </w:r>
      <w:r w:rsidR="00392EBE">
        <w:t>s</w:t>
      </w:r>
      <w:r>
        <w:t xml:space="preserve"> 18.2</w:t>
      </w:r>
      <w:r w:rsidR="00392EBE">
        <w:t xml:space="preserve"> and 18.3</w:t>
      </w:r>
      <w:r>
        <w:t xml:space="preserve">, </w:t>
      </w:r>
      <w:r w:rsidR="00657121">
        <w:t xml:space="preserve">States Parties </w:t>
      </w:r>
      <w:r w:rsidR="00100961">
        <w:t xml:space="preserve">and other stakeholders should </w:t>
      </w:r>
      <w:r w:rsidR="00657121">
        <w:t xml:space="preserve">be encouraged to use International Assistance </w:t>
      </w:r>
      <w:r w:rsidR="00100961">
        <w:t>and/or to co-</w:t>
      </w:r>
      <w:r w:rsidR="001D0FBE">
        <w:t xml:space="preserve">operate including through co-financing in an effort </w:t>
      </w:r>
      <w:r w:rsidR="00657121">
        <w:t>to</w:t>
      </w:r>
      <w:r w:rsidR="00125259">
        <w:t xml:space="preserve"> </w:t>
      </w:r>
      <w:r>
        <w:t>prepare</w:t>
      </w:r>
      <w:r w:rsidR="00392EBE">
        <w:t xml:space="preserve">, </w:t>
      </w:r>
      <w:r w:rsidR="004F74D5">
        <w:t xml:space="preserve">implement </w:t>
      </w:r>
      <w:r w:rsidR="00392EBE">
        <w:t xml:space="preserve">and follow up </w:t>
      </w:r>
      <w:r>
        <w:t xml:space="preserve">proposals of </w:t>
      </w:r>
      <w:r w:rsidR="00657121">
        <w:t>programmes, projects or activities</w:t>
      </w:r>
      <w:r w:rsidR="00392EBE">
        <w:t>.</w:t>
      </w:r>
      <w:r w:rsidR="00EC41E9">
        <w:rPr>
          <w:rStyle w:val="FootnoteReference"/>
        </w:rPr>
        <w:footnoteReference w:id="2"/>
      </w:r>
      <w:r w:rsidR="00657121">
        <w:t xml:space="preserve"> </w:t>
      </w:r>
      <w:r w:rsidR="00100961">
        <w:t>Attention should be paid to undertake activities that focus on capacity building</w:t>
      </w:r>
      <w:r w:rsidR="001D0FBE">
        <w:t>,</w:t>
      </w:r>
      <w:r w:rsidR="007569DB">
        <w:t xml:space="preserve"> </w:t>
      </w:r>
      <w:r w:rsidR="007569DB" w:rsidRPr="00650882">
        <w:t>exchanging,</w:t>
      </w:r>
      <w:r w:rsidR="001D0FBE" w:rsidRPr="00650882">
        <w:t xml:space="preserve"> sharing</w:t>
      </w:r>
      <w:r w:rsidR="00100961">
        <w:t xml:space="preserve"> and awareness raising to promote this endeavour.</w:t>
      </w:r>
    </w:p>
    <w:p w14:paraId="730C7650" w14:textId="04763055" w:rsidR="00703488" w:rsidRPr="00100961" w:rsidRDefault="00703488" w:rsidP="00100961">
      <w:pPr>
        <w:pStyle w:val="COMPara"/>
        <w:keepNext/>
        <w:numPr>
          <w:ilvl w:val="0"/>
          <w:numId w:val="0"/>
        </w:numPr>
        <w:jc w:val="both"/>
        <w:rPr>
          <w:u w:val="single"/>
        </w:rPr>
      </w:pPr>
      <w:r w:rsidRPr="00100961">
        <w:rPr>
          <w:u w:val="single"/>
        </w:rPr>
        <w:t>Selection criteria</w:t>
      </w:r>
    </w:p>
    <w:p w14:paraId="0E504181" w14:textId="3B31EBF9" w:rsidR="00703488" w:rsidRDefault="00703488" w:rsidP="00BD1288">
      <w:pPr>
        <w:pStyle w:val="COMPara"/>
        <w:keepNext/>
        <w:ind w:left="567" w:hanging="567"/>
        <w:jc w:val="both"/>
      </w:pPr>
      <w:r>
        <w:t>The selection</w:t>
      </w:r>
      <w:r w:rsidR="004F74D5">
        <w:t xml:space="preserve"> criteria</w:t>
      </w:r>
      <w:r>
        <w:t xml:space="preserve"> </w:t>
      </w:r>
      <w:r w:rsidR="004F74D5">
        <w:t xml:space="preserve">should be </w:t>
      </w:r>
      <w:r w:rsidR="0071575A">
        <w:t xml:space="preserve">revised </w:t>
      </w:r>
      <w:proofErr w:type="gramStart"/>
      <w:r w:rsidR="0071575A">
        <w:t>taking into account</w:t>
      </w:r>
      <w:proofErr w:type="gramEnd"/>
      <w:r w:rsidR="0071575A">
        <w:t xml:space="preserve"> the following:</w:t>
      </w:r>
    </w:p>
    <w:p w14:paraId="52005D01" w14:textId="16CF8B65" w:rsidR="00D823FC" w:rsidRDefault="009F3AB8" w:rsidP="00476423">
      <w:pPr>
        <w:pStyle w:val="COMPara"/>
        <w:numPr>
          <w:ilvl w:val="0"/>
          <w:numId w:val="18"/>
        </w:numPr>
        <w:ind w:left="1134" w:hanging="567"/>
        <w:jc w:val="both"/>
      </w:pPr>
      <w:r w:rsidRPr="00610BE6">
        <w:t xml:space="preserve">Criteria should </w:t>
      </w:r>
      <w:r w:rsidR="004F74D5" w:rsidRPr="00610BE6">
        <w:t xml:space="preserve">focus on </w:t>
      </w:r>
      <w:r w:rsidRPr="00610BE6">
        <w:t>the description of the programme, project or activity in the sense of Article 2.3 of the Convention</w:t>
      </w:r>
      <w:r w:rsidR="00A17CDF" w:rsidRPr="00610BE6">
        <w:t>, reference</w:t>
      </w:r>
      <w:r w:rsidR="0071575A" w:rsidRPr="00610BE6">
        <w:t>s</w:t>
      </w:r>
      <w:r w:rsidR="00A17CDF" w:rsidRPr="00610BE6">
        <w:t xml:space="preserve"> to safeguarding measures in the Operational Directives</w:t>
      </w:r>
      <w:r w:rsidRPr="00610BE6">
        <w:t xml:space="preserve">, as well as in the principles and objectives of the Convention </w:t>
      </w:r>
      <w:r w:rsidR="001A1330" w:rsidRPr="00610BE6">
        <w:t xml:space="preserve">and the Ethical Principles for Safeguarding Intangible Cultural Heritage </w:t>
      </w:r>
      <w:r w:rsidRPr="00610BE6">
        <w:t>(criteria P.1 and P.3</w:t>
      </w:r>
      <w:r w:rsidR="004F74D5" w:rsidRPr="00610BE6">
        <w:t>, which can be merged</w:t>
      </w:r>
      <w:r w:rsidRPr="00610BE6">
        <w:t>).</w:t>
      </w:r>
    </w:p>
    <w:p w14:paraId="68019313" w14:textId="02D317DA" w:rsidR="00D823FC" w:rsidRDefault="009F3AB8" w:rsidP="00476423">
      <w:pPr>
        <w:pStyle w:val="COMPara"/>
        <w:numPr>
          <w:ilvl w:val="0"/>
          <w:numId w:val="18"/>
        </w:numPr>
        <w:ind w:left="1134" w:hanging="567"/>
        <w:jc w:val="both"/>
      </w:pPr>
      <w:r w:rsidRPr="00610BE6">
        <w:t xml:space="preserve">The participation of </w:t>
      </w:r>
      <w:r w:rsidRPr="00650882">
        <w:t>the communit</w:t>
      </w:r>
      <w:r w:rsidR="00F13B84" w:rsidRPr="00650882">
        <w:t>ies</w:t>
      </w:r>
      <w:r w:rsidR="00504089">
        <w:t xml:space="preserve"> concerned </w:t>
      </w:r>
      <w:r w:rsidRPr="00650882">
        <w:t>should</w:t>
      </w:r>
      <w:r w:rsidRPr="00610BE6">
        <w:t xml:space="preserve"> be an important requirement (criteria P.5</w:t>
      </w:r>
      <w:r w:rsidR="004F74D5" w:rsidRPr="00610BE6">
        <w:t xml:space="preserve"> </w:t>
      </w:r>
      <w:r w:rsidRPr="00610BE6">
        <w:t>and</w:t>
      </w:r>
      <w:r w:rsidR="004F74D5" w:rsidRPr="00610BE6">
        <w:t xml:space="preserve"> partly</w:t>
      </w:r>
      <w:r w:rsidRPr="00610BE6">
        <w:t xml:space="preserve"> P.7</w:t>
      </w:r>
      <w:r w:rsidR="0071575A" w:rsidRPr="00610BE6">
        <w:t xml:space="preserve"> with the inclusion of Ethical Principle</w:t>
      </w:r>
      <w:r w:rsidR="00D823FC">
        <w:t> </w:t>
      </w:r>
      <w:r w:rsidR="0071575A" w:rsidRPr="00610BE6">
        <w:t>4</w:t>
      </w:r>
      <w:r w:rsidRPr="00610BE6">
        <w:t>).</w:t>
      </w:r>
    </w:p>
    <w:p w14:paraId="5A717CAC" w14:textId="77777777" w:rsidR="007569DB" w:rsidRDefault="009F3AB8" w:rsidP="00476423">
      <w:pPr>
        <w:pStyle w:val="COMPara"/>
        <w:numPr>
          <w:ilvl w:val="0"/>
          <w:numId w:val="18"/>
        </w:numPr>
        <w:ind w:left="1134" w:hanging="567"/>
        <w:jc w:val="both"/>
      </w:pPr>
      <w:r w:rsidRPr="00610BE6">
        <w:t xml:space="preserve">Furthermore, a demonstration of the effectiveness of the programme, project or activity is necessary, </w:t>
      </w:r>
      <w:r w:rsidR="007A5760" w:rsidRPr="00610BE6">
        <w:t>but this may make the requirement to carry out</w:t>
      </w:r>
      <w:r w:rsidRPr="00610BE6">
        <w:t xml:space="preserve"> an assessment of the results </w:t>
      </w:r>
      <w:r w:rsidR="007A5760" w:rsidRPr="00610BE6">
        <w:t xml:space="preserve">redundant </w:t>
      </w:r>
      <w:r w:rsidRPr="00610BE6">
        <w:t>(criteri</w:t>
      </w:r>
      <w:r w:rsidR="0071575A" w:rsidRPr="00610BE6">
        <w:t>on</w:t>
      </w:r>
      <w:r w:rsidRPr="00610BE6">
        <w:t xml:space="preserve"> P.4 </w:t>
      </w:r>
      <w:r w:rsidR="00514715" w:rsidRPr="00610BE6">
        <w:t xml:space="preserve">could be therefore </w:t>
      </w:r>
      <w:proofErr w:type="gramStart"/>
      <w:r w:rsidR="00514715" w:rsidRPr="00610BE6">
        <w:t>kept</w:t>
      </w:r>
      <w:proofErr w:type="gramEnd"/>
      <w:r w:rsidR="00514715" w:rsidRPr="00610BE6">
        <w:t xml:space="preserve"> and</w:t>
      </w:r>
      <w:r w:rsidR="0071575A" w:rsidRPr="00610BE6">
        <w:t xml:space="preserve"> criteria</w:t>
      </w:r>
      <w:r w:rsidR="00514715" w:rsidRPr="00610BE6">
        <w:t xml:space="preserve"> </w:t>
      </w:r>
      <w:r w:rsidRPr="00610BE6">
        <w:t>P.8</w:t>
      </w:r>
      <w:r w:rsidR="00514715" w:rsidRPr="00610BE6">
        <w:t xml:space="preserve"> deleted</w:t>
      </w:r>
      <w:r w:rsidRPr="00610BE6">
        <w:t xml:space="preserve">). </w:t>
      </w:r>
    </w:p>
    <w:p w14:paraId="700AE695" w14:textId="75D3D3CE" w:rsidR="00D823FC" w:rsidRDefault="009F3AB8" w:rsidP="00476423">
      <w:pPr>
        <w:pStyle w:val="COMPara"/>
        <w:numPr>
          <w:ilvl w:val="0"/>
          <w:numId w:val="18"/>
        </w:numPr>
        <w:ind w:left="1134" w:hanging="567"/>
        <w:jc w:val="both"/>
      </w:pPr>
      <w:r w:rsidRPr="00610BE6">
        <w:t xml:space="preserve">Criterion P.7 may be adjusted to use ‘good practices’ instead of ‘best </w:t>
      </w:r>
      <w:proofErr w:type="gramStart"/>
      <w:r w:rsidRPr="00610BE6">
        <w:t>practices’</w:t>
      </w:r>
      <w:proofErr w:type="gramEnd"/>
      <w:r w:rsidRPr="00610BE6">
        <w:t>.</w:t>
      </w:r>
      <w:r w:rsidR="001A1330" w:rsidRPr="00610BE6">
        <w:t xml:space="preserve"> </w:t>
      </w:r>
    </w:p>
    <w:p w14:paraId="3C1F5326" w14:textId="77777777" w:rsidR="007569DB" w:rsidRDefault="001A1330" w:rsidP="00476423">
      <w:pPr>
        <w:pStyle w:val="COMPara"/>
        <w:numPr>
          <w:ilvl w:val="0"/>
          <w:numId w:val="18"/>
        </w:numPr>
        <w:ind w:left="1134" w:hanging="567"/>
        <w:jc w:val="both"/>
      </w:pPr>
      <w:r w:rsidRPr="00610BE6">
        <w:t xml:space="preserve">Reference to </w:t>
      </w:r>
      <w:r w:rsidR="00966C7D" w:rsidRPr="00610BE6">
        <w:t xml:space="preserve">the </w:t>
      </w:r>
      <w:r w:rsidR="00910633" w:rsidRPr="00610BE6">
        <w:t xml:space="preserve">possibility of </w:t>
      </w:r>
      <w:r w:rsidR="00966C7D" w:rsidRPr="00610BE6">
        <w:t>us</w:t>
      </w:r>
      <w:r w:rsidR="00910633" w:rsidRPr="00610BE6">
        <w:t>ing</w:t>
      </w:r>
      <w:r w:rsidR="00966C7D" w:rsidRPr="00610BE6">
        <w:t xml:space="preserve"> the </w:t>
      </w:r>
      <w:r w:rsidR="00E66D24" w:rsidRPr="00610BE6">
        <w:t>good safeguarding practices</w:t>
      </w:r>
      <w:r w:rsidR="00966C7D" w:rsidRPr="00610BE6">
        <w:t xml:space="preserve"> as a model</w:t>
      </w:r>
      <w:r w:rsidRPr="00610BE6">
        <w:t xml:space="preserve"> </w:t>
      </w:r>
      <w:r w:rsidR="00527517" w:rsidRPr="00610BE6">
        <w:t>(</w:t>
      </w:r>
      <w:r w:rsidRPr="00610BE6">
        <w:t>P.6)</w:t>
      </w:r>
      <w:r w:rsidR="00D80F63" w:rsidRPr="00610BE6">
        <w:t xml:space="preserve"> </w:t>
      </w:r>
      <w:r w:rsidR="00527517" w:rsidRPr="00610BE6">
        <w:t xml:space="preserve">may be included in the </w:t>
      </w:r>
      <w:r w:rsidR="00CD147D" w:rsidRPr="00610BE6">
        <w:t>combined criterion for P</w:t>
      </w:r>
      <w:r w:rsidR="00E66D24" w:rsidRPr="00610BE6">
        <w:t>.</w:t>
      </w:r>
      <w:r w:rsidR="00CD147D" w:rsidRPr="00610BE6">
        <w:t>1 and P</w:t>
      </w:r>
      <w:r w:rsidR="00E66D24" w:rsidRPr="00610BE6">
        <w:t>.</w:t>
      </w:r>
      <w:r w:rsidR="00CD147D" w:rsidRPr="00610BE6">
        <w:t>3</w:t>
      </w:r>
      <w:r w:rsidR="00910633" w:rsidRPr="00610BE6">
        <w:t xml:space="preserve">, but should not be limited to international </w:t>
      </w:r>
      <w:r w:rsidR="00237245" w:rsidRPr="00610BE6">
        <w:t>level, as some models may be relevant at the national level</w:t>
      </w:r>
      <w:r w:rsidR="00506FAA" w:rsidRPr="00610BE6">
        <w:t>.</w:t>
      </w:r>
      <w:r w:rsidR="00640960" w:rsidRPr="00610BE6">
        <w:t xml:space="preserve"> </w:t>
      </w:r>
    </w:p>
    <w:p w14:paraId="16C047CB" w14:textId="50ADF1BA" w:rsidR="00E66D24" w:rsidRPr="00610BE6" w:rsidRDefault="00640960" w:rsidP="00476423">
      <w:pPr>
        <w:pStyle w:val="COMPara"/>
        <w:numPr>
          <w:ilvl w:val="0"/>
          <w:numId w:val="18"/>
        </w:numPr>
        <w:ind w:left="1134" w:hanging="567"/>
        <w:jc w:val="both"/>
      </w:pPr>
      <w:r w:rsidRPr="00610BE6">
        <w:t xml:space="preserve">Some </w:t>
      </w:r>
      <w:r w:rsidR="00E66D24" w:rsidRPr="00610BE6">
        <w:t>good safeguarding practices</w:t>
      </w:r>
      <w:r w:rsidRPr="00610BE6">
        <w:t xml:space="preserve"> may be limited to local activities </w:t>
      </w:r>
      <w:r w:rsidR="00777A6C" w:rsidRPr="00610BE6">
        <w:t>and</w:t>
      </w:r>
      <w:r w:rsidRPr="00610BE6">
        <w:t xml:space="preserve"> </w:t>
      </w:r>
      <w:r w:rsidR="00E66D24" w:rsidRPr="00610BE6">
        <w:t xml:space="preserve">criterion </w:t>
      </w:r>
      <w:r w:rsidR="00B26A50" w:rsidRPr="00610BE6">
        <w:t>P</w:t>
      </w:r>
      <w:r w:rsidR="00E66D24" w:rsidRPr="00610BE6">
        <w:t>.</w:t>
      </w:r>
      <w:r w:rsidR="00B26A50" w:rsidRPr="00610BE6">
        <w:t xml:space="preserve">2 </w:t>
      </w:r>
      <w:r w:rsidR="00CD147D" w:rsidRPr="00610BE6">
        <w:t xml:space="preserve">may </w:t>
      </w:r>
      <w:r w:rsidR="00777A6C" w:rsidRPr="00610BE6">
        <w:t xml:space="preserve">therefore unnecessarily </w:t>
      </w:r>
      <w:r w:rsidR="00CD147D" w:rsidRPr="00610BE6">
        <w:t>limit the diversity of the Register and could be deleted</w:t>
      </w:r>
      <w:r w:rsidR="00B26A50" w:rsidRPr="00610BE6">
        <w:t>.</w:t>
      </w:r>
    </w:p>
    <w:p w14:paraId="382CE5AA" w14:textId="7C25A413" w:rsidR="00E66D24" w:rsidRPr="00E66D24" w:rsidRDefault="00E66D24" w:rsidP="00E66D24">
      <w:pPr>
        <w:pStyle w:val="COMPara"/>
        <w:numPr>
          <w:ilvl w:val="0"/>
          <w:numId w:val="0"/>
        </w:numPr>
        <w:jc w:val="both"/>
        <w:rPr>
          <w:u w:val="single"/>
        </w:rPr>
      </w:pPr>
      <w:r w:rsidRPr="00E66D24">
        <w:rPr>
          <w:u w:val="single"/>
        </w:rPr>
        <w:t>Paragraph 6 of the Operational Directives</w:t>
      </w:r>
    </w:p>
    <w:p w14:paraId="70D39E73" w14:textId="45E7ECCE" w:rsidR="001D0FBE" w:rsidRPr="009B30DA" w:rsidRDefault="001D0FBE" w:rsidP="008C73A5">
      <w:pPr>
        <w:pStyle w:val="COMPara"/>
        <w:keepNext/>
        <w:ind w:left="567" w:hanging="567"/>
        <w:jc w:val="both"/>
        <w:rPr>
          <w:snapToGrid/>
        </w:rPr>
      </w:pPr>
      <w:r w:rsidRPr="009B30DA">
        <w:rPr>
          <w:snapToGrid/>
        </w:rPr>
        <w:t>While criterion P.9 was deleted from the selection criteria as a result of the global reflection on the listing mechanisms of the Convention, paragraph 6 of the Operational Directives continues to mention the 'needs of developing countries'. The deletion of P</w:t>
      </w:r>
      <w:r w:rsidR="007569DB">
        <w:rPr>
          <w:snapToGrid/>
        </w:rPr>
        <w:t>.</w:t>
      </w:r>
      <w:r w:rsidRPr="009B30DA">
        <w:rPr>
          <w:snapToGrid/>
        </w:rPr>
        <w:t xml:space="preserve">9 did not mean that the needs of developing countries are not important, but rather that safeguarding practices may be relevant to a specific context, and also cover the needs of developing countries. An intergovernmental discussion should take place on the continued relevance of paragraph 6 of the Operational Directives, </w:t>
      </w:r>
      <w:r w:rsidR="00540278">
        <w:rPr>
          <w:snapToGrid/>
        </w:rPr>
        <w:t xml:space="preserve">and </w:t>
      </w:r>
      <w:r w:rsidRPr="009B30DA">
        <w:rPr>
          <w:snapToGrid/>
        </w:rPr>
        <w:t>any possible amendments, including possibilities for cooperation when implementing Article 18.</w:t>
      </w:r>
    </w:p>
    <w:p w14:paraId="6454380A" w14:textId="32079285" w:rsidR="007B59D1" w:rsidRDefault="004D7077" w:rsidP="007B59D1">
      <w:pPr>
        <w:pStyle w:val="COMPara"/>
        <w:numPr>
          <w:ilvl w:val="0"/>
          <w:numId w:val="0"/>
        </w:numPr>
        <w:jc w:val="both"/>
        <w:rPr>
          <w:u w:val="single"/>
        </w:rPr>
      </w:pPr>
      <w:r>
        <w:rPr>
          <w:u w:val="single"/>
        </w:rPr>
        <w:t xml:space="preserve">Improving </w:t>
      </w:r>
      <w:r w:rsidR="0044562A">
        <w:rPr>
          <w:u w:val="single"/>
        </w:rPr>
        <w:t>accessibility</w:t>
      </w:r>
      <w:r w:rsidR="00540278">
        <w:rPr>
          <w:u w:val="single"/>
        </w:rPr>
        <w:t xml:space="preserve"> </w:t>
      </w:r>
      <w:r>
        <w:rPr>
          <w:u w:val="single"/>
        </w:rPr>
        <w:t>of good safeguarding practices</w:t>
      </w:r>
    </w:p>
    <w:p w14:paraId="2E5C2AAB" w14:textId="7746BAA4" w:rsidR="004D7077" w:rsidRPr="00982963" w:rsidRDefault="004D7077" w:rsidP="004D7077">
      <w:pPr>
        <w:pStyle w:val="COMPara"/>
        <w:ind w:left="567" w:hanging="567"/>
        <w:jc w:val="both"/>
      </w:pPr>
      <w:r w:rsidRPr="00982963">
        <w:t>Good safeguarding practices shall be presented in a searchable way based on indexing, so that communities</w:t>
      </w:r>
      <w:r w:rsidR="00982963" w:rsidRPr="00982963">
        <w:t xml:space="preserve"> and other stakeholders </w:t>
      </w:r>
      <w:r w:rsidRPr="00982963">
        <w:t xml:space="preserve">will be able to understand </w:t>
      </w:r>
      <w:r w:rsidR="00D80F63" w:rsidRPr="00982963">
        <w:t xml:space="preserve">and apply </w:t>
      </w:r>
      <w:r w:rsidRPr="00982963">
        <w:t xml:space="preserve">various approaches used to address safeguarding issues. Form ICH-03 </w:t>
      </w:r>
      <w:r w:rsidR="00504089">
        <w:t>can</w:t>
      </w:r>
      <w:r w:rsidR="00504089" w:rsidRPr="00982963">
        <w:t xml:space="preserve"> </w:t>
      </w:r>
      <w:r w:rsidRPr="00982963">
        <w:t>be revised</w:t>
      </w:r>
      <w:r w:rsidR="00DB439A" w:rsidRPr="00982963">
        <w:t xml:space="preserve"> </w:t>
      </w:r>
      <w:r w:rsidR="00D560DD" w:rsidRPr="00982963">
        <w:t>t</w:t>
      </w:r>
      <w:r w:rsidRPr="00982963">
        <w:t>o support this aim</w:t>
      </w:r>
      <w:r w:rsidR="00E61497" w:rsidRPr="00982963">
        <w:t>, including</w:t>
      </w:r>
      <w:r w:rsidRPr="00982963">
        <w:t xml:space="preserve"> questions that facilitate the characterization of safeguarding approaches and their effectiveness</w:t>
      </w:r>
      <w:r w:rsidR="00540278">
        <w:t xml:space="preserve">, </w:t>
      </w:r>
      <w:proofErr w:type="gramStart"/>
      <w:r w:rsidR="00540278">
        <w:t>taking into account</w:t>
      </w:r>
      <w:proofErr w:type="gramEnd"/>
      <w:r w:rsidR="00540278">
        <w:t xml:space="preserve"> the thematic areas, assessment factors in the </w:t>
      </w:r>
      <w:r w:rsidR="001A41EC">
        <w:t>ORF</w:t>
      </w:r>
      <w:r w:rsidR="00C73085" w:rsidRPr="00982963">
        <w:rPr>
          <w:color w:val="000000"/>
          <w:shd w:val="clear" w:color="auto" w:fill="FFFFFF"/>
        </w:rPr>
        <w:t>.</w:t>
      </w:r>
    </w:p>
    <w:p w14:paraId="307F02D6" w14:textId="1CDF6CE7" w:rsidR="004778C4" w:rsidRPr="004D7077" w:rsidRDefault="004778C4" w:rsidP="0027512E">
      <w:pPr>
        <w:pStyle w:val="COMPara"/>
        <w:numPr>
          <w:ilvl w:val="0"/>
          <w:numId w:val="0"/>
        </w:numPr>
        <w:jc w:val="both"/>
        <w:rPr>
          <w:u w:val="single"/>
        </w:rPr>
      </w:pPr>
      <w:r w:rsidRPr="004D7077">
        <w:rPr>
          <w:u w:val="single"/>
        </w:rPr>
        <w:lastRenderedPageBreak/>
        <w:t>Alternative ways of identifying good safeguarding practices</w:t>
      </w:r>
    </w:p>
    <w:p w14:paraId="73E822D8" w14:textId="32B3C6F8" w:rsidR="004778C4" w:rsidRPr="00DC3C4F" w:rsidRDefault="00D560DD" w:rsidP="008C73A5">
      <w:pPr>
        <w:pStyle w:val="COMPara"/>
        <w:ind w:left="567" w:hanging="567"/>
        <w:jc w:val="both"/>
      </w:pPr>
      <w:r>
        <w:t>Relevant</w:t>
      </w:r>
      <w:r w:rsidRPr="00DC3C4F">
        <w:t xml:space="preserve"> </w:t>
      </w:r>
      <w:r w:rsidR="00BA40DA" w:rsidRPr="00DC3C4F">
        <w:t xml:space="preserve">programmes, projects and activities mentioned in periodic reports </w:t>
      </w:r>
      <w:r w:rsidR="00504089">
        <w:t xml:space="preserve">or in nomination files </w:t>
      </w:r>
      <w:r w:rsidR="00BA40DA" w:rsidRPr="00DC3C4F">
        <w:t xml:space="preserve">may be put forward for </w:t>
      </w:r>
      <w:r w:rsidR="00EF255B">
        <w:t>selection and promotion</w:t>
      </w:r>
      <w:r w:rsidR="00EF255B" w:rsidRPr="00DC3C4F">
        <w:t xml:space="preserve"> </w:t>
      </w:r>
      <w:r w:rsidR="00BA40DA" w:rsidRPr="00DC3C4F">
        <w:t>by the Committee.</w:t>
      </w:r>
      <w:r w:rsidR="00B31D9B" w:rsidRPr="00DC3C4F">
        <w:t xml:space="preserve"> The Committee </w:t>
      </w:r>
      <w:r w:rsidR="00504089">
        <w:t>may</w:t>
      </w:r>
      <w:r w:rsidR="00D80F63">
        <w:t xml:space="preserve"> </w:t>
      </w:r>
      <w:r w:rsidR="00B31D9B" w:rsidRPr="00DC3C4F">
        <w:t>make calls to solicit proposals that correspond to specific thematic initiatives</w:t>
      </w:r>
      <w:r w:rsidR="007569DB">
        <w:rPr>
          <w:rStyle w:val="FootnoteReference"/>
        </w:rPr>
        <w:footnoteReference w:id="3"/>
      </w:r>
      <w:r w:rsidR="00B31D9B" w:rsidRPr="00DC3C4F">
        <w:t>. In this regard, survey</w:t>
      </w:r>
      <w:r>
        <w:t xml:space="preserve"> tool</w:t>
      </w:r>
      <w:r w:rsidR="00B31D9B" w:rsidRPr="00DC3C4F">
        <w:t xml:space="preserve">s </w:t>
      </w:r>
      <w:r>
        <w:t xml:space="preserve">used </w:t>
      </w:r>
      <w:r w:rsidR="00982963">
        <w:t>to support the Convention’s thematic initiatives (on the economic dimensions of safeguarding intangible cultural heritage, safeguarding intangible cultural heritage and climate change, safeguarding intangible cultural heritage in urban contexts)</w:t>
      </w:r>
      <w:r w:rsidR="007925F4">
        <w:t>, the report on Living Heritage and the COVID-19 pandemic</w:t>
      </w:r>
      <w:r w:rsidR="00D87E94">
        <w:t xml:space="preserve">, safeguarding initiatives included in International Assistance projects and nominations for the </w:t>
      </w:r>
      <w:r w:rsidR="00EF6C07">
        <w:t xml:space="preserve">Representative List and the </w:t>
      </w:r>
      <w:r w:rsidR="00D87E94">
        <w:t>Urgent Safeguarding List</w:t>
      </w:r>
      <w:r w:rsidR="00982963">
        <w:t xml:space="preserve"> </w:t>
      </w:r>
      <w:r w:rsidR="00B31D9B" w:rsidRPr="00DC3C4F">
        <w:t xml:space="preserve">could also be a useful modality. </w:t>
      </w:r>
      <w:r w:rsidR="00DB439A" w:rsidRPr="00DC3C4F">
        <w:t>The preparation of proposals for selection may be supported by accredited NGOs and complemented by guidelines and capacity-building materials</w:t>
      </w:r>
      <w:r w:rsidR="008173DD" w:rsidRPr="00DC3C4F">
        <w:t xml:space="preserve"> to increase accessibility for communities</w:t>
      </w:r>
      <w:r w:rsidR="00DB439A" w:rsidRPr="00DC3C4F">
        <w:t>.</w:t>
      </w:r>
      <w:r w:rsidR="00C73085">
        <w:t xml:space="preserve"> </w:t>
      </w:r>
      <w:r w:rsidR="00A518DB">
        <w:t xml:space="preserve">The assessment of all the information collected should be </w:t>
      </w:r>
      <w:proofErr w:type="gramStart"/>
      <w:r w:rsidR="00A518DB">
        <w:t>taken into account</w:t>
      </w:r>
      <w:proofErr w:type="gramEnd"/>
      <w:r w:rsidR="00A518DB">
        <w:t xml:space="preserve"> to realize and harness the potential of Article 18.</w:t>
      </w:r>
    </w:p>
    <w:p w14:paraId="4DC466C2" w14:textId="40833EA0" w:rsidR="00B31D9B" w:rsidRPr="008C73A5" w:rsidRDefault="00B31D9B" w:rsidP="00B31D9B">
      <w:pPr>
        <w:pStyle w:val="COMPara"/>
        <w:numPr>
          <w:ilvl w:val="0"/>
          <w:numId w:val="0"/>
        </w:numPr>
        <w:jc w:val="both"/>
        <w:rPr>
          <w:u w:val="single"/>
        </w:rPr>
      </w:pPr>
      <w:r w:rsidRPr="008C73A5">
        <w:rPr>
          <w:u w:val="single"/>
        </w:rPr>
        <w:t>Follow-up</w:t>
      </w:r>
    </w:p>
    <w:p w14:paraId="1EE7D50D" w14:textId="77777777" w:rsidR="00CE2288" w:rsidRDefault="00CE2288" w:rsidP="007A0F3D">
      <w:pPr>
        <w:pStyle w:val="COMPara"/>
        <w:ind w:left="567" w:hanging="567"/>
        <w:jc w:val="both"/>
      </w:pPr>
      <w:r>
        <w:t>A series of follow-up actions could be undertaken, for example:</w:t>
      </w:r>
    </w:p>
    <w:p w14:paraId="42BAF849" w14:textId="4EB7A3AC" w:rsidR="00CE2288" w:rsidRDefault="00556C2B" w:rsidP="00CE2288">
      <w:pPr>
        <w:pStyle w:val="COMPara"/>
        <w:numPr>
          <w:ilvl w:val="0"/>
          <w:numId w:val="18"/>
        </w:numPr>
        <w:ind w:left="1134" w:hanging="567"/>
        <w:jc w:val="both"/>
      </w:pPr>
      <w:r w:rsidRPr="008C73A5">
        <w:t xml:space="preserve">A revision to Form ICH-10 (periodic reporting) and inclusion of the topic in the capacity building process </w:t>
      </w:r>
      <w:r w:rsidR="00913ACE">
        <w:t>may</w:t>
      </w:r>
      <w:r w:rsidRPr="008C73A5">
        <w:t xml:space="preserve"> encourage States Parties to give updates or reflect on programmes included on the Register (under A</w:t>
      </w:r>
      <w:r w:rsidR="007A0F3D">
        <w:t>.</w:t>
      </w:r>
      <w:r w:rsidRPr="008C73A5">
        <w:t xml:space="preserve">5.3). </w:t>
      </w:r>
      <w:r w:rsidR="00504089">
        <w:t>Communities concerned may be asked</w:t>
      </w:r>
      <w:r w:rsidR="00504089" w:rsidRPr="008C73A5">
        <w:t xml:space="preserve"> periodically </w:t>
      </w:r>
      <w:r w:rsidR="00504089">
        <w:t xml:space="preserve">to </w:t>
      </w:r>
      <w:r w:rsidR="00504089" w:rsidRPr="008C73A5">
        <w:t>provide information on and confirm their sustained consent with the safeguarding situation after the selection of the programme, project or activity</w:t>
      </w:r>
      <w:r w:rsidR="00504089">
        <w:t>, if relevant</w:t>
      </w:r>
      <w:r w:rsidR="00504089" w:rsidRPr="008C73A5">
        <w:t>.</w:t>
      </w:r>
    </w:p>
    <w:p w14:paraId="65E1BF41" w14:textId="0B26BAFD" w:rsidR="00CE2288" w:rsidRDefault="00556C2B" w:rsidP="00CE2288">
      <w:pPr>
        <w:pStyle w:val="COMPara"/>
        <w:numPr>
          <w:ilvl w:val="0"/>
          <w:numId w:val="18"/>
        </w:numPr>
        <w:ind w:left="1134" w:hanging="567"/>
        <w:jc w:val="both"/>
      </w:pPr>
      <w:r w:rsidRPr="008C73A5">
        <w:t>States Parties could be further encouraged to include registers of good safeguarding practices</w:t>
      </w:r>
      <w:r w:rsidR="004B6BA8">
        <w:t xml:space="preserve"> </w:t>
      </w:r>
      <w:r w:rsidRPr="008C73A5">
        <w:t>on the national level</w:t>
      </w:r>
      <w:r w:rsidR="004B6BA8">
        <w:t>, where present,</w:t>
      </w:r>
      <w:r w:rsidR="004B6BA8" w:rsidRPr="008C73A5">
        <w:t xml:space="preserve"> </w:t>
      </w:r>
      <w:r w:rsidRPr="008C73A5">
        <w:t xml:space="preserve">under A.6 </w:t>
      </w:r>
      <w:r w:rsidR="00DC0032" w:rsidRPr="008C73A5">
        <w:t>and B</w:t>
      </w:r>
      <w:r w:rsidR="00CE2288">
        <w:t>.</w:t>
      </w:r>
      <w:r w:rsidR="00DC0032" w:rsidRPr="008C73A5">
        <w:t xml:space="preserve">7.2 </w:t>
      </w:r>
      <w:r w:rsidRPr="008C73A5">
        <w:t xml:space="preserve">of the Form ICH-10 (Inventories with a specialised scope). </w:t>
      </w:r>
    </w:p>
    <w:p w14:paraId="193093A6" w14:textId="67E032FB" w:rsidR="00CE2288" w:rsidRDefault="00556C2B" w:rsidP="00CE2288">
      <w:pPr>
        <w:pStyle w:val="COMPara"/>
        <w:numPr>
          <w:ilvl w:val="0"/>
          <w:numId w:val="18"/>
        </w:numPr>
        <w:ind w:left="1134" w:hanging="567"/>
        <w:jc w:val="both"/>
      </w:pPr>
      <w:r w:rsidRPr="008C73A5">
        <w:t>Under C.4 (Efforts to promote or reinforce the element) States Parties are asked to report on safeguarding measures related to the elements already included in the Representative List. The States Parties might indicate whether any of the safeguarding measures might be considered for sharing as a good safeguarding practi</w:t>
      </w:r>
      <w:r w:rsidR="004B6BA8">
        <w:t>c</w:t>
      </w:r>
      <w:r w:rsidRPr="008C73A5">
        <w:t xml:space="preserve">e. </w:t>
      </w:r>
    </w:p>
    <w:p w14:paraId="62B1CE76" w14:textId="77777777" w:rsidR="00CE2288" w:rsidRDefault="00556C2B" w:rsidP="00CE2288">
      <w:pPr>
        <w:pStyle w:val="COMPara"/>
        <w:numPr>
          <w:ilvl w:val="0"/>
          <w:numId w:val="18"/>
        </w:numPr>
        <w:ind w:left="1134" w:hanging="567"/>
        <w:jc w:val="both"/>
      </w:pPr>
      <w:r w:rsidRPr="008C73A5">
        <w:t xml:space="preserve">Moreover, the question might be added to the part B.21 asking States Parties to describe good safeguarding practices that are not included in the Register. </w:t>
      </w:r>
    </w:p>
    <w:p w14:paraId="6140A962" w14:textId="277F88DA" w:rsidR="00556C2B" w:rsidRPr="008C73A5" w:rsidRDefault="00556C2B" w:rsidP="00CE2288">
      <w:pPr>
        <w:pStyle w:val="COMPara"/>
        <w:numPr>
          <w:ilvl w:val="0"/>
          <w:numId w:val="18"/>
        </w:numPr>
        <w:ind w:left="1134" w:hanging="567"/>
        <w:jc w:val="both"/>
      </w:pPr>
      <w:r w:rsidRPr="008C73A5">
        <w:t>As part of the follow-up actions, communities or other stakeholders may be encouraged</w:t>
      </w:r>
      <w:r w:rsidR="004B287D" w:rsidRPr="008C73A5">
        <w:t xml:space="preserve"> when appropriate</w:t>
      </w:r>
      <w:r w:rsidRPr="008C73A5">
        <w:t xml:space="preserve"> to </w:t>
      </w:r>
      <w:r w:rsidR="004B287D" w:rsidRPr="008C73A5">
        <w:t>promote ongoing access to those who wish to learn</w:t>
      </w:r>
      <w:r w:rsidRPr="008C73A5">
        <w:t xml:space="preserve"> from their safeguarding experience. </w:t>
      </w:r>
      <w:r w:rsidR="000529FF" w:rsidRPr="008C73A5">
        <w:t>Information about the good safeguarding practices could</w:t>
      </w:r>
      <w:r w:rsidRPr="008C73A5">
        <w:t xml:space="preserve"> </w:t>
      </w:r>
      <w:r w:rsidR="000529FF" w:rsidRPr="008C73A5">
        <w:t>indicate where</w:t>
      </w:r>
      <w:r w:rsidRPr="008C73A5">
        <w:t xml:space="preserve"> </w:t>
      </w:r>
      <w:r w:rsidR="000529FF" w:rsidRPr="008C73A5">
        <w:t>practices</w:t>
      </w:r>
      <w:r w:rsidRPr="008C73A5">
        <w:t xml:space="preserve"> are no longer active or </w:t>
      </w:r>
      <w:r w:rsidR="000529FF" w:rsidRPr="008C73A5">
        <w:t xml:space="preserve">those </w:t>
      </w:r>
      <w:r w:rsidRPr="008C73A5">
        <w:t xml:space="preserve">for which the communities </w:t>
      </w:r>
      <w:r w:rsidR="000529FF" w:rsidRPr="008C73A5">
        <w:t>concerned</w:t>
      </w:r>
      <w:r w:rsidRPr="008C73A5">
        <w:t xml:space="preserve"> </w:t>
      </w:r>
      <w:r w:rsidR="001E40C4" w:rsidRPr="008C73A5">
        <w:t>cannot be contacted</w:t>
      </w:r>
      <w:r w:rsidRPr="008C73A5">
        <w:t>.</w:t>
      </w:r>
    </w:p>
    <w:p w14:paraId="555B7D79" w14:textId="4413954D" w:rsidR="00BD1288" w:rsidRPr="008C73A5" w:rsidRDefault="00BD1288" w:rsidP="00BD1288">
      <w:pPr>
        <w:pStyle w:val="COMPara"/>
        <w:numPr>
          <w:ilvl w:val="0"/>
          <w:numId w:val="0"/>
        </w:numPr>
        <w:jc w:val="both"/>
        <w:rPr>
          <w:u w:val="single"/>
        </w:rPr>
      </w:pPr>
      <w:r w:rsidRPr="008C73A5">
        <w:rPr>
          <w:u w:val="single"/>
        </w:rPr>
        <w:t>Role of the Committee</w:t>
      </w:r>
    </w:p>
    <w:p w14:paraId="3D4458E9" w14:textId="2FBC288A" w:rsidR="00BB658D" w:rsidRDefault="00BB658D" w:rsidP="007A0F3D">
      <w:pPr>
        <w:pStyle w:val="COMPara"/>
        <w:ind w:left="567" w:hanging="567"/>
        <w:jc w:val="both"/>
      </w:pPr>
      <w:r w:rsidRPr="008C73A5">
        <w:t>The role of the Committee does not stop with the selection of good safeguarding practices, but also includes encouraging</w:t>
      </w:r>
      <w:r>
        <w:t xml:space="preserve"> research, documentation, publication and dissemination of good practices and models with international cooperation in generating safeguarding measures. Therefore</w:t>
      </w:r>
      <w:r w:rsidR="008C73A5">
        <w:t>,</w:t>
      </w:r>
      <w:r>
        <w:t xml:space="preserve"> the </w:t>
      </w:r>
      <w:r w:rsidR="007A0F3D">
        <w:t>C</w:t>
      </w:r>
      <w:r>
        <w:t xml:space="preserve">ommittee should review the application of paragraphs 42 </w:t>
      </w:r>
      <w:r w:rsidR="007A0F3D">
        <w:t xml:space="preserve">to </w:t>
      </w:r>
      <w:r>
        <w:t xml:space="preserve">46, and </w:t>
      </w:r>
      <w:r w:rsidR="00255C41">
        <w:t>A</w:t>
      </w:r>
      <w:r>
        <w:t>rticle</w:t>
      </w:r>
      <w:r w:rsidR="007A0F3D">
        <w:t> </w:t>
      </w:r>
      <w:r>
        <w:t>7</w:t>
      </w:r>
      <w:r w:rsidR="007A0F3D">
        <w:t>(b) of the Convention</w:t>
      </w:r>
      <w:r>
        <w:t xml:space="preserve"> in the operationalization of Article 18.</w:t>
      </w:r>
    </w:p>
    <w:p w14:paraId="25747C20" w14:textId="50A804AE" w:rsidR="001C5A43" w:rsidRPr="001C5A43" w:rsidRDefault="001C5A43" w:rsidP="001C5A43">
      <w:pPr>
        <w:pStyle w:val="COMPara"/>
        <w:numPr>
          <w:ilvl w:val="0"/>
          <w:numId w:val="0"/>
        </w:numPr>
        <w:jc w:val="both"/>
        <w:rPr>
          <w:b/>
          <w:bCs/>
        </w:rPr>
      </w:pPr>
      <w:r>
        <w:rPr>
          <w:b/>
          <w:bCs/>
        </w:rPr>
        <w:t>Concerning ‘</w:t>
      </w:r>
      <w:r w:rsidRPr="001C5A43">
        <w:rPr>
          <w:b/>
          <w:bCs/>
        </w:rPr>
        <w:t>Towards the creation of an ‘observatory’ for sharing good safeguarding practices</w:t>
      </w:r>
      <w:r>
        <w:rPr>
          <w:b/>
          <w:bCs/>
        </w:rPr>
        <w:t>’ (Topic 2)</w:t>
      </w:r>
      <w:r w:rsidR="00071BB7" w:rsidRPr="00071BB7">
        <w:rPr>
          <w:b/>
          <w:bCs/>
        </w:rPr>
        <w:t xml:space="preserve"> </w:t>
      </w:r>
      <w:r w:rsidR="00071BB7">
        <w:rPr>
          <w:b/>
          <w:bCs/>
        </w:rPr>
        <w:t xml:space="preserve">– see reports of breakout groups </w:t>
      </w:r>
      <w:hyperlink r:id="rId10" w:history="1">
        <w:r w:rsidR="00071BB7" w:rsidRPr="00BE4975">
          <w:rPr>
            <w:rStyle w:val="Hyperlink"/>
            <w:b/>
            <w:bCs/>
          </w:rPr>
          <w:t>A</w:t>
        </w:r>
      </w:hyperlink>
      <w:r w:rsidR="00071BB7">
        <w:rPr>
          <w:b/>
          <w:bCs/>
        </w:rPr>
        <w:t xml:space="preserve"> and </w:t>
      </w:r>
      <w:hyperlink r:id="rId11" w:history="1">
        <w:r w:rsidR="00071BB7" w:rsidRPr="00BE4975">
          <w:rPr>
            <w:rStyle w:val="Hyperlink"/>
            <w:b/>
            <w:bCs/>
          </w:rPr>
          <w:t>B</w:t>
        </w:r>
      </w:hyperlink>
    </w:p>
    <w:p w14:paraId="08587130" w14:textId="1F10B46E" w:rsidR="00292EE0" w:rsidRPr="00E23898" w:rsidRDefault="00292EE0" w:rsidP="00292EE0">
      <w:pPr>
        <w:pStyle w:val="COMPara"/>
        <w:ind w:left="567" w:hanging="567"/>
        <w:jc w:val="both"/>
      </w:pPr>
      <w:r w:rsidRPr="00292EE0">
        <w:t>The creation of a</w:t>
      </w:r>
      <w:r w:rsidR="00AF1529">
        <w:t xml:space="preserve"> moderated </w:t>
      </w:r>
      <w:r w:rsidRPr="00292EE0">
        <w:t>online ‘</w:t>
      </w:r>
      <w:r w:rsidR="00FE5A16">
        <w:t>platform</w:t>
      </w:r>
      <w:r w:rsidRPr="00292EE0">
        <w:t>’</w:t>
      </w:r>
      <w:r>
        <w:t xml:space="preserve"> for sharing good safeguarding practices is essential for fully operationalizing Article 18. Such a space is for communitie</w:t>
      </w:r>
      <w:r w:rsidR="00AF1529">
        <w:t xml:space="preserve">s and other actors </w:t>
      </w:r>
      <w:r>
        <w:t xml:space="preserve">to exchange, </w:t>
      </w:r>
      <w:r w:rsidRPr="007A78FD">
        <w:t>undertake dialogue and seek collaboration. The alternative terminology may be ‘hub’, ‘interface’</w:t>
      </w:r>
      <w:r w:rsidR="00CE2288">
        <w:t xml:space="preserve"> </w:t>
      </w:r>
      <w:r w:rsidRPr="007A78FD">
        <w:t xml:space="preserve">or ‘observatory’. </w:t>
      </w:r>
      <w:r w:rsidR="00725ED6" w:rsidRPr="007A78FD">
        <w:t>Another possibility is to include a terminology in a national language with a meaning of sharing (</w:t>
      </w:r>
      <w:proofErr w:type="gramStart"/>
      <w:r w:rsidR="00725ED6" w:rsidRPr="007A78FD">
        <w:t>e.g.</w:t>
      </w:r>
      <w:proofErr w:type="gramEnd"/>
      <w:r w:rsidR="00725ED6" w:rsidRPr="007A78FD">
        <w:t xml:space="preserve"> ‘</w:t>
      </w:r>
      <w:proofErr w:type="spellStart"/>
      <w:r w:rsidR="00725ED6" w:rsidRPr="007A78FD">
        <w:t>delning</w:t>
      </w:r>
      <w:proofErr w:type="spellEnd"/>
      <w:r w:rsidR="00725ED6" w:rsidRPr="007A78FD">
        <w:t>’ in Swedish</w:t>
      </w:r>
      <w:r w:rsidR="00A01531" w:rsidRPr="007A78FD">
        <w:t xml:space="preserve">, </w:t>
      </w:r>
      <w:r w:rsidR="00F44074" w:rsidRPr="007A78FD">
        <w:t>‘</w:t>
      </w:r>
      <w:proofErr w:type="spellStart"/>
      <w:r w:rsidR="00E23898" w:rsidRPr="007A78FD">
        <w:rPr>
          <w:lang w:val="en-US"/>
        </w:rPr>
        <w:t>y</w:t>
      </w:r>
      <w:r w:rsidR="00A01531" w:rsidRPr="007A78FD">
        <w:rPr>
          <w:lang w:val="en-US"/>
        </w:rPr>
        <w:t>irkonguii</w:t>
      </w:r>
      <w:proofErr w:type="spellEnd"/>
      <w:r w:rsidR="00F44074" w:rsidRPr="007A78FD">
        <w:t>’</w:t>
      </w:r>
      <w:r w:rsidR="00A01531" w:rsidRPr="007A78FD">
        <w:rPr>
          <w:lang w:val="en-US"/>
        </w:rPr>
        <w:t xml:space="preserve"> in </w:t>
      </w:r>
      <w:proofErr w:type="spellStart"/>
      <w:r w:rsidR="00A01531" w:rsidRPr="007A78FD">
        <w:rPr>
          <w:lang w:val="en-US"/>
        </w:rPr>
        <w:t>Fulah</w:t>
      </w:r>
      <w:proofErr w:type="spellEnd"/>
      <w:r w:rsidR="00A01531" w:rsidRPr="007A78FD">
        <w:rPr>
          <w:lang w:val="en-US"/>
        </w:rPr>
        <w:t xml:space="preserve">, </w:t>
      </w:r>
      <w:r w:rsidR="007A78FD" w:rsidRPr="007A78FD">
        <w:t>‘</w:t>
      </w:r>
      <w:proofErr w:type="spellStart"/>
      <w:r w:rsidR="00A01531" w:rsidRPr="007A78FD">
        <w:rPr>
          <w:lang w:val="en-US"/>
        </w:rPr>
        <w:t>shiriki</w:t>
      </w:r>
      <w:proofErr w:type="spellEnd"/>
      <w:r w:rsidR="007A78FD" w:rsidRPr="007A78FD">
        <w:t>’</w:t>
      </w:r>
      <w:r w:rsidR="00A01531" w:rsidRPr="007A78FD">
        <w:rPr>
          <w:lang w:val="en-US"/>
        </w:rPr>
        <w:t xml:space="preserve"> in Swahili</w:t>
      </w:r>
      <w:r w:rsidR="00725ED6" w:rsidRPr="007A78FD">
        <w:t>).</w:t>
      </w:r>
    </w:p>
    <w:p w14:paraId="65324227" w14:textId="4416F124" w:rsidR="00292EE0" w:rsidRPr="00292EE0" w:rsidRDefault="00E52B37" w:rsidP="00832136">
      <w:pPr>
        <w:pStyle w:val="COMPara"/>
        <w:keepNext/>
        <w:numPr>
          <w:ilvl w:val="0"/>
          <w:numId w:val="0"/>
        </w:numPr>
        <w:jc w:val="both"/>
        <w:rPr>
          <w:u w:val="single"/>
        </w:rPr>
      </w:pPr>
      <w:r>
        <w:rPr>
          <w:u w:val="single"/>
        </w:rPr>
        <w:lastRenderedPageBreak/>
        <w:t xml:space="preserve">Initial </w:t>
      </w:r>
      <w:r w:rsidR="00ED7CDD">
        <w:rPr>
          <w:u w:val="single"/>
        </w:rPr>
        <w:t>steps</w:t>
      </w:r>
    </w:p>
    <w:p w14:paraId="7E90B597" w14:textId="63CE04EC" w:rsidR="00BE2322" w:rsidRDefault="00CD2864" w:rsidP="00832136">
      <w:pPr>
        <w:pStyle w:val="COMPara"/>
        <w:keepNext/>
        <w:ind w:left="567" w:hanging="567"/>
        <w:jc w:val="both"/>
      </w:pPr>
      <w:r>
        <w:t>A</w:t>
      </w:r>
      <w:r w:rsidR="00292EE0">
        <w:t xml:space="preserve">n online </w:t>
      </w:r>
      <w:r w:rsidR="00CD30FA">
        <w:t>platform</w:t>
      </w:r>
      <w:r w:rsidR="00292EE0">
        <w:t xml:space="preserve"> </w:t>
      </w:r>
      <w:r>
        <w:t>can be used</w:t>
      </w:r>
      <w:r w:rsidR="00292EE0">
        <w:t xml:space="preserve"> to </w:t>
      </w:r>
      <w:r>
        <w:t>help realize the</w:t>
      </w:r>
      <w:r w:rsidR="00292EE0">
        <w:t xml:space="preserve"> safeguarding objectives of the Convention</w:t>
      </w:r>
      <w:r>
        <w:t xml:space="preserve"> under Article 18 by promoting information sharing and cooperation among stakeholders </w:t>
      </w:r>
      <w:r w:rsidR="00BE2322">
        <w:t xml:space="preserve">at various levels </w:t>
      </w:r>
      <w:r>
        <w:t>around good safeguarding practices</w:t>
      </w:r>
      <w:r w:rsidR="00292EE0">
        <w:t>.</w:t>
      </w:r>
    </w:p>
    <w:p w14:paraId="682D1B12" w14:textId="51B8CC25" w:rsidR="001C5A43" w:rsidRDefault="00292EE0" w:rsidP="00832136">
      <w:pPr>
        <w:pStyle w:val="COMPara"/>
        <w:keepNext/>
        <w:ind w:left="567" w:hanging="567"/>
        <w:jc w:val="both"/>
      </w:pPr>
      <w:r>
        <w:t xml:space="preserve">To </w:t>
      </w:r>
      <w:r w:rsidR="00CD2864">
        <w:t>start the process</w:t>
      </w:r>
      <w:r>
        <w:t xml:space="preserve">, the existing webpage of the Convention may be </w:t>
      </w:r>
      <w:r w:rsidR="00134F2A">
        <w:t xml:space="preserve">used </w:t>
      </w:r>
      <w:r>
        <w:t xml:space="preserve">by the Secretariat to highlight good safeguarding practices already included in </w:t>
      </w:r>
      <w:r w:rsidR="00F5520A">
        <w:t>existing</w:t>
      </w:r>
      <w:r>
        <w:t xml:space="preserve"> materials</w:t>
      </w:r>
      <w:r w:rsidR="00F5520A">
        <w:t xml:space="preserve"> as listed in report of the breakout group B under Topic 2</w:t>
      </w:r>
      <w:r>
        <w:t xml:space="preserve"> (the collection of required information would be swift as consent has already been given by the communities concerned</w:t>
      </w:r>
      <w:r w:rsidR="009D2BD3">
        <w:t xml:space="preserve"> for many of these materials</w:t>
      </w:r>
      <w:r>
        <w:t>).</w:t>
      </w:r>
    </w:p>
    <w:p w14:paraId="531B49FB" w14:textId="2AD163EE" w:rsidR="00292EE0" w:rsidRPr="00E52B37" w:rsidRDefault="00292EE0" w:rsidP="007569DB">
      <w:pPr>
        <w:pStyle w:val="COMPara"/>
        <w:numPr>
          <w:ilvl w:val="0"/>
          <w:numId w:val="0"/>
        </w:numPr>
        <w:jc w:val="both"/>
        <w:rPr>
          <w:u w:val="single"/>
        </w:rPr>
      </w:pPr>
      <w:r w:rsidRPr="00E52B37">
        <w:rPr>
          <w:u w:val="single"/>
        </w:rPr>
        <w:t>Advisory group</w:t>
      </w:r>
    </w:p>
    <w:p w14:paraId="197A6E38" w14:textId="01107165" w:rsidR="00292EE0" w:rsidRDefault="00C92A31" w:rsidP="00292EE0">
      <w:pPr>
        <w:pStyle w:val="COMPara"/>
        <w:ind w:left="567" w:hanging="567"/>
        <w:jc w:val="both"/>
      </w:pPr>
      <w:r>
        <w:t>A</w:t>
      </w:r>
      <w:r w:rsidR="00292EE0">
        <w:t xml:space="preserve"> group composed of</w:t>
      </w:r>
      <w:r w:rsidR="00CD2864">
        <w:t xml:space="preserve"> </w:t>
      </w:r>
      <w:r w:rsidR="00CD30FA">
        <w:t xml:space="preserve">members </w:t>
      </w:r>
      <w:r w:rsidR="00CD2864">
        <w:t>selected by the Committee, representing experts</w:t>
      </w:r>
      <w:r w:rsidR="00292EE0">
        <w:t xml:space="preserve">, category 2 centres, the ICH NGO Forum, UNESCO Chairs, </w:t>
      </w:r>
      <w:r w:rsidR="005E4891">
        <w:t xml:space="preserve">community </w:t>
      </w:r>
      <w:r w:rsidR="00292EE0">
        <w:t>contact persons for inscribed elements</w:t>
      </w:r>
      <w:r w:rsidR="003B506A">
        <w:t xml:space="preserve"> and</w:t>
      </w:r>
      <w:r w:rsidR="00292EE0">
        <w:t xml:space="preserve"> </w:t>
      </w:r>
      <w:r w:rsidR="005E4891">
        <w:t xml:space="preserve">selected practices, </w:t>
      </w:r>
      <w:r w:rsidR="00292EE0">
        <w:t>country focal points for periodic reports</w:t>
      </w:r>
      <w:r>
        <w:t xml:space="preserve"> could provide advice to the Secretariat</w:t>
      </w:r>
      <w:r w:rsidR="00CD30FA">
        <w:t xml:space="preserve"> and the technical team</w:t>
      </w:r>
      <w:r>
        <w:t xml:space="preserve"> in implementing the online </w:t>
      </w:r>
      <w:r w:rsidR="00CD30FA">
        <w:t>platform</w:t>
      </w:r>
      <w:r>
        <w:t xml:space="preserve"> for promoting Article 18, giving credibility to the process under </w:t>
      </w:r>
      <w:r w:rsidR="00CD30FA">
        <w:t>paragraph 6 of the Operational Directives</w:t>
      </w:r>
      <w:r w:rsidR="00EC363B">
        <w:t>.</w:t>
      </w:r>
      <w:r>
        <w:t xml:space="preserve"> </w:t>
      </w:r>
      <w:r w:rsidR="00CD30FA">
        <w:t>For more information on the mandates of the advisory group and technical team, see</w:t>
      </w:r>
      <w:r w:rsidR="00CD30FA" w:rsidRPr="00CD30FA">
        <w:t xml:space="preserve"> </w:t>
      </w:r>
      <w:r w:rsidR="00CD30FA">
        <w:t>report of the breakout group B under Topic 2</w:t>
      </w:r>
      <w:r>
        <w:t>.</w:t>
      </w:r>
    </w:p>
    <w:p w14:paraId="41FF202F" w14:textId="78974B34" w:rsidR="007E769B" w:rsidRPr="007E769B" w:rsidRDefault="007E769B" w:rsidP="007E769B">
      <w:pPr>
        <w:pStyle w:val="COMPara"/>
        <w:numPr>
          <w:ilvl w:val="0"/>
          <w:numId w:val="0"/>
        </w:numPr>
        <w:jc w:val="both"/>
        <w:rPr>
          <w:u w:val="single"/>
        </w:rPr>
      </w:pPr>
      <w:r w:rsidRPr="007E769B">
        <w:rPr>
          <w:u w:val="single"/>
        </w:rPr>
        <w:t>Indexing</w:t>
      </w:r>
    </w:p>
    <w:p w14:paraId="5F2D0C6A" w14:textId="79A21D20" w:rsidR="007E769B" w:rsidRDefault="00BE2322" w:rsidP="007E769B">
      <w:pPr>
        <w:pStyle w:val="COMPara"/>
        <w:ind w:left="567" w:hanging="567"/>
        <w:jc w:val="both"/>
      </w:pPr>
      <w:r>
        <w:t>E</w:t>
      </w:r>
      <w:r w:rsidR="007E769B">
        <w:t xml:space="preserve">xperiences </w:t>
      </w:r>
      <w:r w:rsidR="00CD30FA">
        <w:t>obtained through various mechanisms and initiatives of the Convention</w:t>
      </w:r>
      <w:r w:rsidR="007E769B">
        <w:t xml:space="preserve"> </w:t>
      </w:r>
      <w:r w:rsidR="00872C4C">
        <w:t>can</w:t>
      </w:r>
      <w:r w:rsidR="007E769B">
        <w:t xml:space="preserve"> be shared through the online </w:t>
      </w:r>
      <w:r w:rsidR="00CD30FA">
        <w:t xml:space="preserve">platform </w:t>
      </w:r>
      <w:r w:rsidR="007E769B">
        <w:t>as well as those related to thematic initiatives or information specifically related to safeguarding approaches or methodologies. As is the case for the further development of the Register, good safeguarding practices must be indexed</w:t>
      </w:r>
      <w:r w:rsidR="005E4891">
        <w:t>, as indicated in paragraph 11</w:t>
      </w:r>
      <w:r w:rsidR="007E769B">
        <w:t>.</w:t>
      </w:r>
    </w:p>
    <w:p w14:paraId="1330DFEE" w14:textId="113C0E66" w:rsidR="00B6124B" w:rsidRPr="007E052C" w:rsidRDefault="00B6124B" w:rsidP="00650882">
      <w:pPr>
        <w:pStyle w:val="COMPara"/>
        <w:keepNext/>
        <w:numPr>
          <w:ilvl w:val="0"/>
          <w:numId w:val="0"/>
        </w:numPr>
        <w:jc w:val="both"/>
        <w:rPr>
          <w:u w:val="single"/>
        </w:rPr>
      </w:pPr>
      <w:r w:rsidRPr="007E052C">
        <w:rPr>
          <w:u w:val="single"/>
        </w:rPr>
        <w:t>Community participation</w:t>
      </w:r>
    </w:p>
    <w:p w14:paraId="48012304" w14:textId="6068E0D6" w:rsidR="00B6124B" w:rsidRDefault="00B6124B" w:rsidP="007E052C">
      <w:pPr>
        <w:pStyle w:val="COMPara"/>
        <w:ind w:left="567" w:hanging="567"/>
        <w:jc w:val="both"/>
      </w:pPr>
      <w:r>
        <w:t xml:space="preserve">In order to facilitate the broad participation of communities in the use of an online </w:t>
      </w:r>
      <w:r w:rsidR="00CD30FA">
        <w:t>platform</w:t>
      </w:r>
      <w:r>
        <w:t>:</w:t>
      </w:r>
    </w:p>
    <w:p w14:paraId="6BE896BD" w14:textId="1B09A9FD" w:rsidR="00B6124B" w:rsidRDefault="00B6124B" w:rsidP="00EB4165">
      <w:pPr>
        <w:pStyle w:val="COMPara"/>
        <w:numPr>
          <w:ilvl w:val="1"/>
          <w:numId w:val="9"/>
        </w:numPr>
        <w:ind w:left="1134" w:hanging="567"/>
        <w:jc w:val="both"/>
      </w:pPr>
      <w:r>
        <w:t xml:space="preserve">The use of mother </w:t>
      </w:r>
      <w:r w:rsidR="005E4891">
        <w:t xml:space="preserve">tongue </w:t>
      </w:r>
      <w:r>
        <w:t xml:space="preserve">languages </w:t>
      </w:r>
      <w:r w:rsidR="005E4891">
        <w:t xml:space="preserve">should </w:t>
      </w:r>
      <w:r>
        <w:t>be encouraged with the use of automatic translation tools</w:t>
      </w:r>
      <w:r w:rsidR="00872C4C">
        <w:t xml:space="preserve"> or other artificial intelligence application that might be developed in the next years</w:t>
      </w:r>
      <w:r>
        <w:t xml:space="preserve">. </w:t>
      </w:r>
    </w:p>
    <w:p w14:paraId="0CFE3584" w14:textId="54D6F982" w:rsidR="00B6124B" w:rsidRDefault="005E4891" w:rsidP="00EB4165">
      <w:pPr>
        <w:pStyle w:val="COMPara"/>
        <w:numPr>
          <w:ilvl w:val="1"/>
          <w:numId w:val="9"/>
        </w:numPr>
        <w:ind w:left="1134" w:hanging="567"/>
        <w:jc w:val="both"/>
      </w:pPr>
      <w:r>
        <w:t xml:space="preserve">Other </w:t>
      </w:r>
      <w:r w:rsidR="00EB4165">
        <w:t>communication modalities such as TV and radio</w:t>
      </w:r>
      <w:r>
        <w:t xml:space="preserve"> and other </w:t>
      </w:r>
      <w:r w:rsidR="007A0F3D">
        <w:t>analogue</w:t>
      </w:r>
      <w:r w:rsidR="007569DB">
        <w:t xml:space="preserve"> and</w:t>
      </w:r>
      <w:r>
        <w:t xml:space="preserve"> digital technologies</w:t>
      </w:r>
      <w:r w:rsidR="00EB4165">
        <w:t xml:space="preserve"> may be used </w:t>
      </w:r>
      <w:r w:rsidR="00BE2322">
        <w:t xml:space="preserve">to </w:t>
      </w:r>
      <w:r w:rsidR="00EB4165">
        <w:t xml:space="preserve">complement </w:t>
      </w:r>
      <w:r w:rsidR="00BE2322">
        <w:t>online tools</w:t>
      </w:r>
      <w:r w:rsidR="00EB4165">
        <w:t xml:space="preserve"> to share information.</w:t>
      </w:r>
    </w:p>
    <w:p w14:paraId="5A1411AA" w14:textId="7307C30E" w:rsidR="007E052C" w:rsidRPr="00CC0858" w:rsidRDefault="00EB4165" w:rsidP="00EB4165">
      <w:pPr>
        <w:pStyle w:val="COMPara"/>
        <w:numPr>
          <w:ilvl w:val="1"/>
          <w:numId w:val="9"/>
        </w:numPr>
        <w:ind w:left="1134" w:hanging="567"/>
        <w:jc w:val="both"/>
      </w:pPr>
      <w:r>
        <w:t>A dedicated</w:t>
      </w:r>
      <w:r w:rsidR="007E052C">
        <w:t xml:space="preserve"> interactive forum </w:t>
      </w:r>
      <w:r w:rsidR="005E4891">
        <w:t xml:space="preserve">could </w:t>
      </w:r>
      <w:r w:rsidR="007E052C">
        <w:t xml:space="preserve">be included in the online </w:t>
      </w:r>
      <w:r w:rsidR="00817636">
        <w:t>platform t</w:t>
      </w:r>
      <w:r w:rsidR="007E052C">
        <w:t xml:space="preserve">o allow dialogue. The possibility for communities to share planned events in a calendar of events could be </w:t>
      </w:r>
      <w:r w:rsidR="007E052C" w:rsidRPr="00CC0858">
        <w:t xml:space="preserve">foreseen on the online space. </w:t>
      </w:r>
    </w:p>
    <w:p w14:paraId="3AAB4BE5" w14:textId="5E2FD9DD" w:rsidR="00EB4165" w:rsidRPr="00CC0858" w:rsidRDefault="00CC0858" w:rsidP="00EB4165">
      <w:pPr>
        <w:pStyle w:val="COMPara"/>
        <w:numPr>
          <w:ilvl w:val="1"/>
          <w:numId w:val="9"/>
        </w:numPr>
        <w:ind w:left="1134" w:hanging="567"/>
        <w:jc w:val="both"/>
      </w:pPr>
      <w:r>
        <w:t xml:space="preserve">The Universal Declaration on Human Rights (in particular its Article 27) and the </w:t>
      </w:r>
      <w:r w:rsidR="007E052C" w:rsidRPr="00CC0858">
        <w:t xml:space="preserve">Ethical principles </w:t>
      </w:r>
      <w:r>
        <w:t xml:space="preserve">for Safeguarding Intangible Cultural Heritage </w:t>
      </w:r>
      <w:r w:rsidR="007E052C" w:rsidRPr="00CC0858">
        <w:t xml:space="preserve">shall be respected in maintaining the online </w:t>
      </w:r>
      <w:r w:rsidR="00817636" w:rsidRPr="00CC0858">
        <w:t>platform</w:t>
      </w:r>
      <w:r w:rsidR="007E052C" w:rsidRPr="00CC0858">
        <w:t xml:space="preserve"> in the interest of communit</w:t>
      </w:r>
      <w:r>
        <w:t>y participation</w:t>
      </w:r>
      <w:r w:rsidR="00872C4C" w:rsidRPr="00CC0858">
        <w:t xml:space="preserve"> and </w:t>
      </w:r>
      <w:r w:rsidR="00482DFF" w:rsidRPr="00CC0858">
        <w:t xml:space="preserve">necessary </w:t>
      </w:r>
      <w:r w:rsidR="00872C4C" w:rsidRPr="00CC0858">
        <w:t>tools can be developed</w:t>
      </w:r>
      <w:r w:rsidR="00482DFF" w:rsidRPr="00CC0858">
        <w:t>.</w:t>
      </w:r>
    </w:p>
    <w:p w14:paraId="5BC6D581" w14:textId="03A6BDE8" w:rsidR="00AF32A7" w:rsidRPr="00CC0858" w:rsidRDefault="00AF32A7" w:rsidP="00AF32A7">
      <w:pPr>
        <w:pStyle w:val="COMPara"/>
        <w:numPr>
          <w:ilvl w:val="0"/>
          <w:numId w:val="0"/>
        </w:numPr>
        <w:jc w:val="both"/>
        <w:rPr>
          <w:b/>
          <w:bCs/>
        </w:rPr>
      </w:pPr>
      <w:r w:rsidRPr="00CC0858">
        <w:rPr>
          <w:b/>
          <w:bCs/>
        </w:rPr>
        <w:t xml:space="preserve">Concerning ‘Any other issues to be identified’ (Topic 3) – see </w:t>
      </w:r>
      <w:hyperlink r:id="rId12" w:history="1">
        <w:r w:rsidRPr="00BE4975">
          <w:rPr>
            <w:rStyle w:val="Hyperlink"/>
            <w:b/>
            <w:bCs/>
          </w:rPr>
          <w:t>report</w:t>
        </w:r>
      </w:hyperlink>
      <w:r w:rsidRPr="00CC0858">
        <w:rPr>
          <w:b/>
          <w:bCs/>
        </w:rPr>
        <w:t xml:space="preserve"> </w:t>
      </w:r>
      <w:r w:rsidR="00134F2A" w:rsidRPr="00CC0858">
        <w:rPr>
          <w:b/>
          <w:bCs/>
        </w:rPr>
        <w:t>of expert group</w:t>
      </w:r>
    </w:p>
    <w:p w14:paraId="3014E937" w14:textId="77777777" w:rsidR="00725ED6" w:rsidRPr="00CC0858" w:rsidRDefault="00725ED6" w:rsidP="00725ED6">
      <w:pPr>
        <w:pStyle w:val="COMPara"/>
        <w:ind w:left="567" w:hanging="567"/>
        <w:jc w:val="both"/>
      </w:pPr>
      <w:r w:rsidRPr="00CC0858">
        <w:t>In addition to the issues described under Topics 1 and 2, the following ideas merit attention:</w:t>
      </w:r>
    </w:p>
    <w:p w14:paraId="2D43AE96" w14:textId="77777777" w:rsidR="00725ED6" w:rsidRPr="00CC0858" w:rsidRDefault="00725ED6" w:rsidP="00650882">
      <w:pPr>
        <w:pStyle w:val="COMPara"/>
        <w:keepNext/>
        <w:numPr>
          <w:ilvl w:val="0"/>
          <w:numId w:val="0"/>
        </w:numPr>
        <w:jc w:val="both"/>
        <w:rPr>
          <w:u w:val="single"/>
        </w:rPr>
      </w:pPr>
      <w:r w:rsidRPr="00CC0858">
        <w:rPr>
          <w:u w:val="single"/>
        </w:rPr>
        <w:t>Funding</w:t>
      </w:r>
    </w:p>
    <w:p w14:paraId="188D6E89" w14:textId="0BD2F6CF" w:rsidR="00725ED6" w:rsidRPr="00CC0858" w:rsidRDefault="001E0608" w:rsidP="00725ED6">
      <w:pPr>
        <w:pStyle w:val="COMPara"/>
        <w:ind w:left="567" w:hanging="567"/>
        <w:jc w:val="both"/>
      </w:pPr>
      <w:r>
        <w:t>Additional f</w:t>
      </w:r>
      <w:r w:rsidR="00725ED6" w:rsidRPr="00CC0858">
        <w:t>inancial resources, which complement the International Assistance mechanism, need to be made available to communities to help prepare, implement and follow up programmes, projects and activities that best reflect the principles of the Convention.</w:t>
      </w:r>
    </w:p>
    <w:p w14:paraId="04D64089" w14:textId="77777777" w:rsidR="00725ED6" w:rsidRPr="00CC0858" w:rsidRDefault="00725ED6" w:rsidP="005647DC">
      <w:pPr>
        <w:pStyle w:val="COMPara"/>
        <w:keepNext/>
        <w:numPr>
          <w:ilvl w:val="0"/>
          <w:numId w:val="0"/>
        </w:numPr>
        <w:jc w:val="both"/>
        <w:rPr>
          <w:u w:val="single"/>
        </w:rPr>
      </w:pPr>
      <w:r w:rsidRPr="00CC0858">
        <w:rPr>
          <w:u w:val="single"/>
        </w:rPr>
        <w:lastRenderedPageBreak/>
        <w:t>Awareness-raising</w:t>
      </w:r>
    </w:p>
    <w:p w14:paraId="2A76752D" w14:textId="24384317" w:rsidR="00725ED6" w:rsidRPr="00CC0858" w:rsidRDefault="00725ED6" w:rsidP="005647DC">
      <w:pPr>
        <w:pStyle w:val="COMPara"/>
        <w:keepNext/>
        <w:ind w:left="567" w:hanging="567"/>
        <w:jc w:val="both"/>
      </w:pPr>
      <w:r w:rsidRPr="00CC0858">
        <w:t>Specific initiatives aiming to raise awareness about the scope of Article 18 including the benefits of the Register may be taken up to recognize the safeguarding efforts of the community</w:t>
      </w:r>
      <w:r w:rsidR="00221EC3">
        <w:t>, for example</w:t>
      </w:r>
      <w:r w:rsidRPr="00CC0858">
        <w:t>:</w:t>
      </w:r>
    </w:p>
    <w:p w14:paraId="1D7A1C09" w14:textId="43FE6637" w:rsidR="00725ED6" w:rsidRPr="00CC0858" w:rsidRDefault="002B0CAC" w:rsidP="00725ED6">
      <w:pPr>
        <w:pStyle w:val="COMPara"/>
        <w:numPr>
          <w:ilvl w:val="1"/>
          <w:numId w:val="9"/>
        </w:numPr>
        <w:ind w:left="1134" w:hanging="567"/>
        <w:jc w:val="both"/>
      </w:pPr>
      <w:r>
        <w:t xml:space="preserve">On a </w:t>
      </w:r>
      <w:r w:rsidRPr="00CC0858">
        <w:t>non-competitive basis</w:t>
      </w:r>
      <w:r>
        <w:t>, a</w:t>
      </w:r>
      <w:r w:rsidR="00725ED6" w:rsidRPr="00CC0858">
        <w:t>ward, prize</w:t>
      </w:r>
      <w:r>
        <w:t>, labels or</w:t>
      </w:r>
      <w:r w:rsidR="00725ED6" w:rsidRPr="00CC0858">
        <w:t xml:space="preserve"> certification for </w:t>
      </w:r>
      <w:r>
        <w:t>safeguarding practices</w:t>
      </w:r>
      <w:r w:rsidR="00725ED6" w:rsidRPr="00CC0858">
        <w:t>,</w:t>
      </w:r>
    </w:p>
    <w:p w14:paraId="35C32895" w14:textId="221AC867" w:rsidR="00DB439A" w:rsidRDefault="00725ED6" w:rsidP="00A01531">
      <w:pPr>
        <w:pStyle w:val="COMPara"/>
        <w:numPr>
          <w:ilvl w:val="1"/>
          <w:numId w:val="9"/>
        </w:numPr>
        <w:ind w:left="1134" w:hanging="567"/>
        <w:jc w:val="both"/>
      </w:pPr>
      <w:r w:rsidRPr="00CC0858">
        <w:t>The ‘good safeguarding practices’ days.</w:t>
      </w:r>
    </w:p>
    <w:sectPr w:rsidR="00DB439A" w:rsidSect="00655736">
      <w:headerReference w:type="even" r:id="rId13"/>
      <w:headerReference w:type="default" r:id="rId14"/>
      <w:head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FD2EC" w14:textId="77777777" w:rsidR="00360B2A" w:rsidRDefault="00360B2A" w:rsidP="00655736">
      <w:r>
        <w:separator/>
      </w:r>
    </w:p>
  </w:endnote>
  <w:endnote w:type="continuationSeparator" w:id="0">
    <w:p w14:paraId="0D341CAC" w14:textId="77777777" w:rsidR="00360B2A" w:rsidRDefault="00360B2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3628" w14:textId="77777777" w:rsidR="00360B2A" w:rsidRDefault="00360B2A" w:rsidP="00655736">
      <w:r>
        <w:separator/>
      </w:r>
    </w:p>
  </w:footnote>
  <w:footnote w:type="continuationSeparator" w:id="0">
    <w:p w14:paraId="3DC0A3B4" w14:textId="77777777" w:rsidR="00360B2A" w:rsidRDefault="00360B2A" w:rsidP="00655736">
      <w:r>
        <w:continuationSeparator/>
      </w:r>
    </w:p>
  </w:footnote>
  <w:footnote w:id="1">
    <w:p w14:paraId="7D10B7FE" w14:textId="57B880D6" w:rsidR="00E23898" w:rsidRPr="00F44074" w:rsidRDefault="00E23898" w:rsidP="00EA191C">
      <w:pPr>
        <w:pStyle w:val="FootnoteText"/>
        <w:tabs>
          <w:tab w:val="left" w:pos="567"/>
        </w:tabs>
        <w:rPr>
          <w:rFonts w:asciiTheme="minorBidi" w:hAnsiTheme="minorBidi" w:cstheme="minorBidi"/>
          <w:sz w:val="18"/>
          <w:szCs w:val="18"/>
          <w:lang w:val="en-US"/>
        </w:rPr>
      </w:pPr>
      <w:r w:rsidRPr="00F44074">
        <w:rPr>
          <w:rStyle w:val="FootnoteReference"/>
          <w:rFonts w:asciiTheme="minorBidi" w:hAnsiTheme="minorBidi" w:cstheme="minorBidi"/>
          <w:sz w:val="18"/>
          <w:szCs w:val="18"/>
        </w:rPr>
        <w:footnoteRef/>
      </w:r>
      <w:r w:rsidRPr="00F44074">
        <w:rPr>
          <w:rFonts w:asciiTheme="minorBidi" w:hAnsiTheme="minorBidi" w:cstheme="minorBidi"/>
          <w:sz w:val="18"/>
          <w:szCs w:val="18"/>
          <w:vertAlign w:val="superscript"/>
          <w:lang w:val="en-US"/>
        </w:rPr>
        <w:t>.</w:t>
      </w:r>
      <w:r w:rsidRPr="00F44074">
        <w:rPr>
          <w:rFonts w:asciiTheme="minorBidi" w:hAnsiTheme="minorBidi" w:cstheme="minorBidi"/>
          <w:sz w:val="18"/>
          <w:szCs w:val="18"/>
          <w:lang w:val="en-US"/>
        </w:rPr>
        <w:tab/>
        <w:t xml:space="preserve">With specific reference to paragraph 14 of the Operational Directives. </w:t>
      </w:r>
    </w:p>
  </w:footnote>
  <w:footnote w:id="2">
    <w:p w14:paraId="55D64959" w14:textId="60D7D1C3" w:rsidR="00EC41E9" w:rsidRPr="00F44074" w:rsidRDefault="00EC41E9" w:rsidP="00EC41E9">
      <w:pPr>
        <w:pStyle w:val="FootnoteText"/>
        <w:tabs>
          <w:tab w:val="left" w:pos="567"/>
        </w:tabs>
        <w:rPr>
          <w:rFonts w:asciiTheme="minorBidi" w:hAnsiTheme="minorBidi" w:cstheme="minorBidi"/>
          <w:sz w:val="18"/>
          <w:szCs w:val="18"/>
          <w:lang w:val="en-US"/>
        </w:rPr>
      </w:pPr>
      <w:r w:rsidRPr="00F44074">
        <w:rPr>
          <w:rStyle w:val="FootnoteReference"/>
          <w:rFonts w:asciiTheme="minorBidi" w:hAnsiTheme="minorBidi" w:cstheme="minorBidi"/>
          <w:sz w:val="18"/>
          <w:szCs w:val="18"/>
        </w:rPr>
        <w:footnoteRef/>
      </w:r>
      <w:r w:rsidRPr="00F44074">
        <w:rPr>
          <w:rFonts w:asciiTheme="minorBidi" w:hAnsiTheme="minorBidi" w:cstheme="minorBidi"/>
          <w:sz w:val="18"/>
          <w:szCs w:val="18"/>
          <w:vertAlign w:val="superscript"/>
          <w:lang w:val="en-US"/>
        </w:rPr>
        <w:t>.</w:t>
      </w:r>
      <w:r w:rsidRPr="00F44074">
        <w:rPr>
          <w:rFonts w:asciiTheme="minorBidi" w:hAnsiTheme="minorBidi" w:cstheme="minorBidi"/>
          <w:sz w:val="18"/>
          <w:szCs w:val="18"/>
          <w:lang w:val="en-US"/>
        </w:rPr>
        <w:tab/>
        <w:t>With a specific reference to paragraph 9(c) and 21(b) of the Operational Directives.</w:t>
      </w:r>
    </w:p>
  </w:footnote>
  <w:footnote w:id="3">
    <w:p w14:paraId="3E55C1DD" w14:textId="7B92BEC7" w:rsidR="007569DB" w:rsidRPr="00650882" w:rsidRDefault="007569DB" w:rsidP="007569DB">
      <w:pPr>
        <w:pStyle w:val="FootnoteText"/>
        <w:tabs>
          <w:tab w:val="left" w:pos="567"/>
        </w:tabs>
        <w:rPr>
          <w:rFonts w:asciiTheme="minorBidi" w:hAnsiTheme="minorBidi" w:cstheme="minorBidi"/>
          <w:sz w:val="18"/>
          <w:szCs w:val="18"/>
          <w:lang w:val="en-US"/>
        </w:rPr>
      </w:pPr>
      <w:r w:rsidRPr="00650882">
        <w:rPr>
          <w:rStyle w:val="FootnoteReference"/>
          <w:rFonts w:asciiTheme="minorBidi" w:hAnsiTheme="minorBidi" w:cstheme="minorBidi"/>
          <w:sz w:val="18"/>
          <w:szCs w:val="18"/>
        </w:rPr>
        <w:footnoteRef/>
      </w:r>
      <w:r w:rsidRPr="00650882">
        <w:rPr>
          <w:rFonts w:asciiTheme="minorBidi" w:hAnsiTheme="minorBidi" w:cstheme="minorBidi"/>
          <w:sz w:val="18"/>
          <w:szCs w:val="18"/>
          <w:vertAlign w:val="superscript"/>
          <w:lang w:val="en-US"/>
        </w:rPr>
        <w:t>.</w:t>
      </w:r>
      <w:r w:rsidRPr="00650882">
        <w:rPr>
          <w:rFonts w:asciiTheme="minorBidi" w:hAnsiTheme="minorBidi" w:cstheme="minorBidi"/>
          <w:sz w:val="18"/>
          <w:szCs w:val="18"/>
          <w:lang w:val="en-US"/>
        </w:rPr>
        <w:tab/>
        <w:t xml:space="preserve">With specific reference to paragraph 4 of the Operational Directives.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120E7FF7"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F56FA1">
      <w:rPr>
        <w:rFonts w:ascii="Arial" w:hAnsi="Arial" w:cs="Arial"/>
        <w:sz w:val="20"/>
        <w:szCs w:val="20"/>
      </w:rPr>
      <w:t>3</w:t>
    </w:r>
    <w:r w:rsidR="00CB0542" w:rsidRPr="004E1760">
      <w:rPr>
        <w:rFonts w:ascii="Arial" w:hAnsi="Arial" w:cs="Arial"/>
        <w:sz w:val="20"/>
        <w:szCs w:val="20"/>
      </w:rPr>
      <w:t>/</w:t>
    </w:r>
    <w:r w:rsidR="00B9146E">
      <w:rPr>
        <w:rFonts w:ascii="Arial" w:hAnsi="Arial" w:cs="Arial"/>
        <w:sz w:val="20"/>
        <w:szCs w:val="20"/>
      </w:rPr>
      <w:t>EXP ART18</w:t>
    </w:r>
    <w:r w:rsidR="004E1760" w:rsidRPr="000363E7">
      <w:rPr>
        <w:rFonts w:ascii="Arial" w:hAnsi="Arial" w:cs="Arial"/>
        <w:sz w:val="20"/>
        <w:szCs w:val="20"/>
      </w:rPr>
      <w:t>/</w:t>
    </w:r>
    <w:r w:rsidR="00977853">
      <w:rPr>
        <w:rFonts w:ascii="Arial" w:hAnsi="Arial" w:cs="Arial"/>
        <w:sz w:val="20"/>
        <w:szCs w:val="20"/>
      </w:rPr>
      <w:t>4</w:t>
    </w:r>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514FDC9A"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F56FA1">
      <w:rPr>
        <w:rFonts w:ascii="Arial" w:hAnsi="Arial" w:cs="Arial"/>
        <w:sz w:val="20"/>
        <w:szCs w:val="20"/>
        <w:lang w:val="en-GB"/>
      </w:rPr>
      <w:t>3</w:t>
    </w:r>
    <w:r w:rsidR="0053318C">
      <w:rPr>
        <w:rFonts w:ascii="Arial" w:hAnsi="Arial" w:cs="Arial"/>
        <w:sz w:val="20"/>
        <w:szCs w:val="20"/>
        <w:lang w:val="en-GB"/>
      </w:rPr>
      <w:t>/</w:t>
    </w:r>
    <w:r w:rsidR="00E019FC" w:rsidRPr="00E019FC">
      <w:rPr>
        <w:rFonts w:ascii="Arial" w:hAnsi="Arial" w:cs="Arial"/>
        <w:sz w:val="20"/>
        <w:szCs w:val="20"/>
      </w:rPr>
      <w:t xml:space="preserve"> </w:t>
    </w:r>
    <w:r w:rsidR="00E019FC">
      <w:rPr>
        <w:rFonts w:ascii="Arial" w:hAnsi="Arial" w:cs="Arial"/>
        <w:sz w:val="20"/>
        <w:szCs w:val="20"/>
      </w:rPr>
      <w:t>EXP ART18</w:t>
    </w:r>
    <w:r w:rsidR="004A34A0" w:rsidRPr="0063300C">
      <w:rPr>
        <w:rFonts w:ascii="Arial" w:hAnsi="Arial" w:cs="Arial"/>
        <w:sz w:val="20"/>
        <w:szCs w:val="20"/>
        <w:lang w:val="en-GB"/>
      </w:rPr>
      <w:t>/</w:t>
    </w:r>
    <w:r w:rsidR="00977853">
      <w:rPr>
        <w:rFonts w:ascii="Arial" w:hAnsi="Arial" w:cs="Arial"/>
        <w:sz w:val="20"/>
        <w:szCs w:val="20"/>
        <w:lang w:val="en-GB"/>
      </w:rPr>
      <w:t>4</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7701906C"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0C4BB9" w:rsidRDefault="00A53F11" w:rsidP="004E1760">
    <w:pPr>
      <w:pStyle w:val="Header"/>
      <w:spacing w:after="520"/>
      <w:jc w:val="right"/>
      <w:rPr>
        <w:rFonts w:ascii="Arial" w:hAnsi="Arial" w:cs="Arial"/>
        <w:b/>
        <w:sz w:val="44"/>
        <w:szCs w:val="44"/>
        <w:lang w:val="en-US"/>
      </w:rPr>
    </w:pPr>
    <w:r w:rsidRPr="000C4BB9">
      <w:rPr>
        <w:rFonts w:ascii="Arial" w:hAnsi="Arial" w:cs="Arial"/>
        <w:b/>
        <w:sz w:val="44"/>
        <w:szCs w:val="44"/>
        <w:lang w:val="en-US"/>
      </w:rPr>
      <w:t>EXP</w:t>
    </w:r>
    <w:r w:rsidR="00091385" w:rsidRPr="000C4BB9">
      <w:rPr>
        <w:rFonts w:ascii="Arial" w:hAnsi="Arial" w:cs="Arial"/>
        <w:b/>
        <w:sz w:val="44"/>
        <w:szCs w:val="44"/>
        <w:lang w:val="en-US"/>
      </w:rPr>
      <w:t xml:space="preserve"> ART18</w:t>
    </w:r>
  </w:p>
  <w:p w14:paraId="6D1B3489" w14:textId="6DCC992D" w:rsidR="004E1760" w:rsidRPr="000C4BB9" w:rsidRDefault="004E1760" w:rsidP="004E1760">
    <w:pPr>
      <w:jc w:val="right"/>
      <w:rPr>
        <w:rFonts w:ascii="Arial" w:hAnsi="Arial" w:cs="Arial"/>
        <w:b/>
        <w:sz w:val="22"/>
        <w:szCs w:val="22"/>
        <w:lang w:val="en-US"/>
      </w:rPr>
    </w:pPr>
    <w:r w:rsidRPr="000C4BB9">
      <w:rPr>
        <w:rFonts w:ascii="Arial" w:hAnsi="Arial" w:cs="Arial"/>
        <w:b/>
        <w:sz w:val="22"/>
        <w:szCs w:val="22"/>
        <w:lang w:val="en-US"/>
      </w:rPr>
      <w:t>LHE/2</w:t>
    </w:r>
    <w:r w:rsidR="00F56FA1" w:rsidRPr="000C4BB9">
      <w:rPr>
        <w:rFonts w:ascii="Arial" w:hAnsi="Arial" w:cs="Arial"/>
        <w:b/>
        <w:sz w:val="22"/>
        <w:szCs w:val="22"/>
        <w:lang w:val="en-US"/>
      </w:rPr>
      <w:t>3</w:t>
    </w:r>
    <w:r w:rsidRPr="000C4BB9">
      <w:rPr>
        <w:rFonts w:ascii="Arial" w:hAnsi="Arial" w:cs="Arial"/>
        <w:b/>
        <w:sz w:val="22"/>
        <w:szCs w:val="22"/>
        <w:lang w:val="en-US"/>
      </w:rPr>
      <w:t>/</w:t>
    </w:r>
    <w:bookmarkStart w:id="1" w:name="_Hlk94624970"/>
    <w:r w:rsidR="00B9146E" w:rsidRPr="000C4BB9">
      <w:rPr>
        <w:rFonts w:ascii="Arial" w:hAnsi="Arial" w:cs="Arial"/>
        <w:b/>
        <w:sz w:val="22"/>
        <w:szCs w:val="22"/>
        <w:lang w:val="en-US"/>
      </w:rPr>
      <w:t>EXP ART18</w:t>
    </w:r>
    <w:r w:rsidRPr="000C4BB9">
      <w:rPr>
        <w:rFonts w:ascii="Arial" w:hAnsi="Arial" w:cs="Arial"/>
        <w:b/>
        <w:sz w:val="22"/>
        <w:szCs w:val="22"/>
        <w:lang w:val="en-US"/>
      </w:rPr>
      <w:t>/</w:t>
    </w:r>
    <w:r w:rsidR="00977853" w:rsidRPr="000C4BB9">
      <w:rPr>
        <w:rFonts w:ascii="Arial" w:hAnsi="Arial" w:cs="Arial"/>
        <w:b/>
        <w:sz w:val="22"/>
        <w:szCs w:val="22"/>
        <w:lang w:val="en-US"/>
      </w:rPr>
      <w:t>4</w:t>
    </w:r>
  </w:p>
  <w:bookmarkEnd w:id="1"/>
  <w:p w14:paraId="1B4446C3" w14:textId="1DB4E42D" w:rsidR="00D95C4C" w:rsidRPr="00D7105A" w:rsidRDefault="00E23898" w:rsidP="00655736">
    <w:pPr>
      <w:jc w:val="right"/>
      <w:rPr>
        <w:rFonts w:ascii="Arial" w:eastAsiaTheme="minorEastAsia" w:hAnsi="Arial" w:cs="Arial"/>
        <w:b/>
        <w:sz w:val="22"/>
        <w:szCs w:val="22"/>
        <w:lang w:val="pt-PT" w:eastAsia="ko-KR"/>
      </w:rPr>
    </w:pPr>
    <w:r>
      <w:rPr>
        <w:rFonts w:ascii="Arial" w:hAnsi="Arial" w:cs="Arial"/>
        <w:b/>
        <w:sz w:val="22"/>
        <w:szCs w:val="22"/>
        <w:lang w:val="pt-PT"/>
      </w:rPr>
      <w:t>Paris</w:t>
    </w:r>
    <w:r w:rsidR="00D95C4C" w:rsidRPr="00D7105A">
      <w:rPr>
        <w:rFonts w:ascii="Arial" w:hAnsi="Arial" w:cs="Arial"/>
        <w:b/>
        <w:sz w:val="22"/>
        <w:szCs w:val="22"/>
        <w:lang w:val="pt-PT"/>
      </w:rPr>
      <w:t xml:space="preserve">, </w:t>
    </w:r>
    <w:r w:rsidR="00105A69">
      <w:rPr>
        <w:rFonts w:ascii="Arial" w:hAnsi="Arial" w:cs="Arial"/>
        <w:b/>
        <w:sz w:val="22"/>
        <w:szCs w:val="22"/>
        <w:lang w:val="pt-PT"/>
      </w:rPr>
      <w:t>4 May</w:t>
    </w:r>
    <w:r w:rsidR="00D95C4C"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F56FA1">
      <w:rPr>
        <w:rFonts w:ascii="Arial" w:hAnsi="Arial" w:cs="Arial"/>
        <w:b/>
        <w:sz w:val="22"/>
        <w:szCs w:val="22"/>
        <w:lang w:val="pt-PT"/>
      </w:rPr>
      <w:t>3</w:t>
    </w:r>
  </w:p>
  <w:p w14:paraId="255B57FF" w14:textId="1B34F231"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977853">
      <w:rPr>
        <w:rFonts w:ascii="Arial" w:hAnsi="Arial" w:cs="Arial"/>
        <w:b/>
        <w:sz w:val="22"/>
        <w:szCs w:val="22"/>
        <w:lang w:val="en-US"/>
      </w:rPr>
      <w:t>English</w:t>
    </w:r>
    <w:r w:rsidR="00E23898">
      <w:rPr>
        <w:rFonts w:ascii="Arial" w:hAnsi="Arial" w:cs="Arial"/>
        <w:b/>
        <w:sz w:val="22"/>
        <w:szCs w:val="22"/>
        <w:lang w:val="en-US"/>
      </w:rPr>
      <w:t xml:space="preserve"> / French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0FD"/>
    <w:multiLevelType w:val="hybridMultilevel"/>
    <w:tmpl w:val="ADBCA12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47B23C7"/>
    <w:multiLevelType w:val="hybridMultilevel"/>
    <w:tmpl w:val="754C817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07BFE"/>
    <w:multiLevelType w:val="hybridMultilevel"/>
    <w:tmpl w:val="D452F724"/>
    <w:lvl w:ilvl="0" w:tplc="D9E856E8">
      <w:start w:val="1"/>
      <w:numFmt w:val="decimal"/>
      <w:pStyle w:val="COMPara"/>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1"/>
  </w:num>
  <w:num w:numId="2" w16cid:durableId="106117979">
    <w:abstractNumId w:val="6"/>
  </w:num>
  <w:num w:numId="3" w16cid:durableId="1708022341">
    <w:abstractNumId w:val="2"/>
  </w:num>
  <w:num w:numId="4" w16cid:durableId="1640528508">
    <w:abstractNumId w:val="13"/>
  </w:num>
  <w:num w:numId="5" w16cid:durableId="468011579">
    <w:abstractNumId w:val="12"/>
  </w:num>
  <w:num w:numId="6" w16cid:durableId="577862344">
    <w:abstractNumId w:val="1"/>
  </w:num>
  <w:num w:numId="7" w16cid:durableId="309292972">
    <w:abstractNumId w:val="3"/>
  </w:num>
  <w:num w:numId="8" w16cid:durableId="415399052">
    <w:abstractNumId w:val="10"/>
  </w:num>
  <w:num w:numId="9" w16cid:durableId="217087148">
    <w:abstractNumId w:val="5"/>
  </w:num>
  <w:num w:numId="10" w16cid:durableId="347945616">
    <w:abstractNumId w:val="7"/>
  </w:num>
  <w:num w:numId="11" w16cid:durableId="1867675660">
    <w:abstractNumId w:val="9"/>
  </w:num>
  <w:num w:numId="12" w16cid:durableId="1119109097">
    <w:abstractNumId w:val="8"/>
  </w:num>
  <w:num w:numId="13" w16cid:durableId="1445689247">
    <w:abstractNumId w:val="14"/>
  </w:num>
  <w:num w:numId="14" w16cid:durableId="168100243">
    <w:abstractNumId w:val="5"/>
  </w:num>
  <w:num w:numId="15" w16cid:durableId="1535581047">
    <w:abstractNumId w:val="5"/>
  </w:num>
  <w:num w:numId="16" w16cid:durableId="866018013">
    <w:abstractNumId w:val="5"/>
  </w:num>
  <w:num w:numId="17" w16cid:durableId="369451342">
    <w:abstractNumId w:val="5"/>
  </w:num>
  <w:num w:numId="18" w16cid:durableId="1924873158">
    <w:abstractNumId w:val="0"/>
  </w:num>
  <w:num w:numId="19" w16cid:durableId="1744914274">
    <w:abstractNumId w:val="5"/>
  </w:num>
  <w:num w:numId="20" w16cid:durableId="1711296331">
    <w:abstractNumId w:val="5"/>
  </w:num>
  <w:num w:numId="21" w16cid:durableId="143475352">
    <w:abstractNumId w:val="5"/>
  </w:num>
  <w:num w:numId="22" w16cid:durableId="546837711">
    <w:abstractNumId w:val="5"/>
  </w:num>
  <w:num w:numId="23" w16cid:durableId="2133552412">
    <w:abstractNumId w:val="5"/>
  </w:num>
  <w:num w:numId="24" w16cid:durableId="1832138363">
    <w:abstractNumId w:val="5"/>
  </w:num>
  <w:num w:numId="25" w16cid:durableId="1964996006">
    <w:abstractNumId w:val="5"/>
  </w:num>
  <w:num w:numId="26" w16cid:durableId="751775620">
    <w:abstractNumId w:val="5"/>
  </w:num>
  <w:num w:numId="27" w16cid:durableId="635381778">
    <w:abstractNumId w:val="5"/>
  </w:num>
  <w:num w:numId="28" w16cid:durableId="2010713451">
    <w:abstractNumId w:val="5"/>
  </w:num>
  <w:num w:numId="29" w16cid:durableId="146676777">
    <w:abstractNumId w:val="5"/>
  </w:num>
  <w:num w:numId="30" w16cid:durableId="1806698683">
    <w:abstractNumId w:val="5"/>
  </w:num>
  <w:num w:numId="31" w16cid:durableId="1255020330">
    <w:abstractNumId w:val="5"/>
  </w:num>
  <w:num w:numId="32" w16cid:durableId="1681082604">
    <w:abstractNumId w:val="5"/>
  </w:num>
  <w:num w:numId="33" w16cid:durableId="613486626">
    <w:abstractNumId w:val="5"/>
  </w:num>
  <w:num w:numId="34" w16cid:durableId="1067728252">
    <w:abstractNumId w:val="5"/>
  </w:num>
  <w:num w:numId="35" w16cid:durableId="1421413035">
    <w:abstractNumId w:val="5"/>
  </w:num>
  <w:num w:numId="36" w16cid:durableId="1330717705">
    <w:abstractNumId w:val="5"/>
  </w:num>
  <w:num w:numId="37" w16cid:durableId="1731731333">
    <w:abstractNumId w:val="5"/>
  </w:num>
  <w:num w:numId="38" w16cid:durableId="92675601">
    <w:abstractNumId w:val="5"/>
  </w:num>
  <w:num w:numId="39" w16cid:durableId="203325387">
    <w:abstractNumId w:val="4"/>
  </w:num>
  <w:num w:numId="40" w16cid:durableId="1472215701">
    <w:abstractNumId w:val="5"/>
    <w:lvlOverride w:ilvl="0">
      <w:startOverride w:val="13"/>
    </w:lvlOverride>
  </w:num>
  <w:num w:numId="41" w16cid:durableId="336344732">
    <w:abstractNumId w:val="5"/>
  </w:num>
  <w:num w:numId="42" w16cid:durableId="2143644594">
    <w:abstractNumId w:val="5"/>
  </w:num>
  <w:num w:numId="43" w16cid:durableId="1793088967">
    <w:abstractNumId w:val="5"/>
  </w:num>
  <w:num w:numId="44" w16cid:durableId="1339040309">
    <w:abstractNumId w:val="5"/>
  </w:num>
  <w:num w:numId="45" w16cid:durableId="1119376142">
    <w:abstractNumId w:val="5"/>
  </w:num>
  <w:num w:numId="46" w16cid:durableId="337510652">
    <w:abstractNumId w:val="5"/>
  </w:num>
  <w:num w:numId="47" w16cid:durableId="2061588166">
    <w:abstractNumId w:val="5"/>
  </w:num>
  <w:num w:numId="48" w16cid:durableId="893734319">
    <w:abstractNumId w:val="5"/>
  </w:num>
  <w:num w:numId="49" w16cid:durableId="1860772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0E0"/>
    <w:rsid w:val="000048ED"/>
    <w:rsid w:val="00014915"/>
    <w:rsid w:val="0003211B"/>
    <w:rsid w:val="00041A66"/>
    <w:rsid w:val="00042D88"/>
    <w:rsid w:val="0005176E"/>
    <w:rsid w:val="000529FF"/>
    <w:rsid w:val="00071BB7"/>
    <w:rsid w:val="000765F7"/>
    <w:rsid w:val="00077AB7"/>
    <w:rsid w:val="00081CD8"/>
    <w:rsid w:val="00091385"/>
    <w:rsid w:val="000A7F0E"/>
    <w:rsid w:val="000B1C8F"/>
    <w:rsid w:val="000C0D61"/>
    <w:rsid w:val="000C4BB9"/>
    <w:rsid w:val="000E72AD"/>
    <w:rsid w:val="000F2335"/>
    <w:rsid w:val="000F3A3F"/>
    <w:rsid w:val="00100961"/>
    <w:rsid w:val="00102557"/>
    <w:rsid w:val="00105A69"/>
    <w:rsid w:val="001071DD"/>
    <w:rsid w:val="00115026"/>
    <w:rsid w:val="00125259"/>
    <w:rsid w:val="00134F2A"/>
    <w:rsid w:val="00151E44"/>
    <w:rsid w:val="001648E6"/>
    <w:rsid w:val="00164D56"/>
    <w:rsid w:val="00167B10"/>
    <w:rsid w:val="0017402F"/>
    <w:rsid w:val="00190205"/>
    <w:rsid w:val="00196C1B"/>
    <w:rsid w:val="001A1330"/>
    <w:rsid w:val="001A41EC"/>
    <w:rsid w:val="001B0F73"/>
    <w:rsid w:val="001C2DB7"/>
    <w:rsid w:val="001C5A43"/>
    <w:rsid w:val="001D0FBE"/>
    <w:rsid w:val="001D14FE"/>
    <w:rsid w:val="001D5C04"/>
    <w:rsid w:val="001E0608"/>
    <w:rsid w:val="001E40C4"/>
    <w:rsid w:val="001F16F5"/>
    <w:rsid w:val="001F26CF"/>
    <w:rsid w:val="001F4E62"/>
    <w:rsid w:val="00221EC3"/>
    <w:rsid w:val="00222A2D"/>
    <w:rsid w:val="00223029"/>
    <w:rsid w:val="00234745"/>
    <w:rsid w:val="002351A6"/>
    <w:rsid w:val="00237245"/>
    <w:rsid w:val="002407AF"/>
    <w:rsid w:val="00255C41"/>
    <w:rsid w:val="00257FEF"/>
    <w:rsid w:val="0026221A"/>
    <w:rsid w:val="00266D6B"/>
    <w:rsid w:val="0027466B"/>
    <w:rsid w:val="00276FA3"/>
    <w:rsid w:val="00276FCD"/>
    <w:rsid w:val="002838A5"/>
    <w:rsid w:val="00285BB4"/>
    <w:rsid w:val="0029222C"/>
    <w:rsid w:val="00292EE0"/>
    <w:rsid w:val="002B0CAC"/>
    <w:rsid w:val="002B4471"/>
    <w:rsid w:val="002C09E3"/>
    <w:rsid w:val="002D1244"/>
    <w:rsid w:val="0031456C"/>
    <w:rsid w:val="00337CEB"/>
    <w:rsid w:val="00344B58"/>
    <w:rsid w:val="0034539A"/>
    <w:rsid w:val="00345CB4"/>
    <w:rsid w:val="00360422"/>
    <w:rsid w:val="00360B2A"/>
    <w:rsid w:val="00375D42"/>
    <w:rsid w:val="0038757B"/>
    <w:rsid w:val="00392EBE"/>
    <w:rsid w:val="003B506A"/>
    <w:rsid w:val="003B7522"/>
    <w:rsid w:val="003C1AB1"/>
    <w:rsid w:val="003C3534"/>
    <w:rsid w:val="003D069C"/>
    <w:rsid w:val="003D7646"/>
    <w:rsid w:val="003F113A"/>
    <w:rsid w:val="003F3E63"/>
    <w:rsid w:val="00407480"/>
    <w:rsid w:val="00414643"/>
    <w:rsid w:val="004263E8"/>
    <w:rsid w:val="004421E5"/>
    <w:rsid w:val="0044562A"/>
    <w:rsid w:val="00452284"/>
    <w:rsid w:val="00457C8E"/>
    <w:rsid w:val="00477866"/>
    <w:rsid w:val="004778C4"/>
    <w:rsid w:val="00482DFF"/>
    <w:rsid w:val="004856CA"/>
    <w:rsid w:val="00487E67"/>
    <w:rsid w:val="0049705E"/>
    <w:rsid w:val="004A2875"/>
    <w:rsid w:val="004A34A0"/>
    <w:rsid w:val="004B287D"/>
    <w:rsid w:val="004B6BA8"/>
    <w:rsid w:val="004C7C82"/>
    <w:rsid w:val="004D7077"/>
    <w:rsid w:val="004E1760"/>
    <w:rsid w:val="004F74D5"/>
    <w:rsid w:val="005008A8"/>
    <w:rsid w:val="00504089"/>
    <w:rsid w:val="00506FAA"/>
    <w:rsid w:val="005136E8"/>
    <w:rsid w:val="00514715"/>
    <w:rsid w:val="00517FD8"/>
    <w:rsid w:val="00526B7B"/>
    <w:rsid w:val="00527517"/>
    <w:rsid w:val="005308CE"/>
    <w:rsid w:val="0053318C"/>
    <w:rsid w:val="00540278"/>
    <w:rsid w:val="00553674"/>
    <w:rsid w:val="00556C2B"/>
    <w:rsid w:val="005647DC"/>
    <w:rsid w:val="0057439C"/>
    <w:rsid w:val="00595314"/>
    <w:rsid w:val="005B0127"/>
    <w:rsid w:val="005B7A35"/>
    <w:rsid w:val="005C4322"/>
    <w:rsid w:val="005C4B73"/>
    <w:rsid w:val="005E1D2B"/>
    <w:rsid w:val="005E4891"/>
    <w:rsid w:val="005E7074"/>
    <w:rsid w:val="005F2BAF"/>
    <w:rsid w:val="00600D93"/>
    <w:rsid w:val="00610BE6"/>
    <w:rsid w:val="006215B7"/>
    <w:rsid w:val="00626BEA"/>
    <w:rsid w:val="0063300C"/>
    <w:rsid w:val="00640960"/>
    <w:rsid w:val="00650882"/>
    <w:rsid w:val="00651A5B"/>
    <w:rsid w:val="00655736"/>
    <w:rsid w:val="00656A6B"/>
    <w:rsid w:val="00657121"/>
    <w:rsid w:val="00663B8D"/>
    <w:rsid w:val="00696C5B"/>
    <w:rsid w:val="00696C8D"/>
    <w:rsid w:val="006A2AC2"/>
    <w:rsid w:val="006A3617"/>
    <w:rsid w:val="006B0B59"/>
    <w:rsid w:val="006B4452"/>
    <w:rsid w:val="006D2610"/>
    <w:rsid w:val="006E46E4"/>
    <w:rsid w:val="006E75EB"/>
    <w:rsid w:val="006F7C3B"/>
    <w:rsid w:val="00700296"/>
    <w:rsid w:val="00703488"/>
    <w:rsid w:val="0071575A"/>
    <w:rsid w:val="00717DA5"/>
    <w:rsid w:val="007230F4"/>
    <w:rsid w:val="00725ED6"/>
    <w:rsid w:val="00744484"/>
    <w:rsid w:val="00747566"/>
    <w:rsid w:val="007569DB"/>
    <w:rsid w:val="00773188"/>
    <w:rsid w:val="00777A6C"/>
    <w:rsid w:val="0078044B"/>
    <w:rsid w:val="00783782"/>
    <w:rsid w:val="00784B8C"/>
    <w:rsid w:val="007879E1"/>
    <w:rsid w:val="007925F4"/>
    <w:rsid w:val="007A0F3D"/>
    <w:rsid w:val="007A5760"/>
    <w:rsid w:val="007A78FD"/>
    <w:rsid w:val="007B59D1"/>
    <w:rsid w:val="007E052C"/>
    <w:rsid w:val="007E156E"/>
    <w:rsid w:val="007E395C"/>
    <w:rsid w:val="007E769B"/>
    <w:rsid w:val="008173DD"/>
    <w:rsid w:val="00817636"/>
    <w:rsid w:val="00823A11"/>
    <w:rsid w:val="00832136"/>
    <w:rsid w:val="0085188D"/>
    <w:rsid w:val="0085405E"/>
    <w:rsid w:val="0085414A"/>
    <w:rsid w:val="00857EB9"/>
    <w:rsid w:val="0086269D"/>
    <w:rsid w:val="00864022"/>
    <w:rsid w:val="0086543A"/>
    <w:rsid w:val="008724E5"/>
    <w:rsid w:val="00872C4C"/>
    <w:rsid w:val="00884A9D"/>
    <w:rsid w:val="0088512B"/>
    <w:rsid w:val="008936AF"/>
    <w:rsid w:val="008A2B2D"/>
    <w:rsid w:val="008A4E1E"/>
    <w:rsid w:val="008C296C"/>
    <w:rsid w:val="008C73A5"/>
    <w:rsid w:val="008D4305"/>
    <w:rsid w:val="008D538B"/>
    <w:rsid w:val="008E1900"/>
    <w:rsid w:val="008E1A85"/>
    <w:rsid w:val="008F6A33"/>
    <w:rsid w:val="00910633"/>
    <w:rsid w:val="00913ACE"/>
    <w:rsid w:val="009163A7"/>
    <w:rsid w:val="00946D0B"/>
    <w:rsid w:val="00955877"/>
    <w:rsid w:val="00962034"/>
    <w:rsid w:val="00966C7D"/>
    <w:rsid w:val="00977853"/>
    <w:rsid w:val="009801B1"/>
    <w:rsid w:val="00982963"/>
    <w:rsid w:val="00983161"/>
    <w:rsid w:val="00990704"/>
    <w:rsid w:val="00993866"/>
    <w:rsid w:val="009A18CD"/>
    <w:rsid w:val="009C26FB"/>
    <w:rsid w:val="009D2BD3"/>
    <w:rsid w:val="009D5428"/>
    <w:rsid w:val="009F3AB8"/>
    <w:rsid w:val="00A01531"/>
    <w:rsid w:val="00A12558"/>
    <w:rsid w:val="00A13903"/>
    <w:rsid w:val="00A17CDF"/>
    <w:rsid w:val="00A34ED5"/>
    <w:rsid w:val="00A45DBF"/>
    <w:rsid w:val="00A46DBC"/>
    <w:rsid w:val="00A50FFA"/>
    <w:rsid w:val="00A518DB"/>
    <w:rsid w:val="00A529F5"/>
    <w:rsid w:val="00A53F11"/>
    <w:rsid w:val="00A70540"/>
    <w:rsid w:val="00A725CF"/>
    <w:rsid w:val="00A755A2"/>
    <w:rsid w:val="00AA6660"/>
    <w:rsid w:val="00AB2C36"/>
    <w:rsid w:val="00AB6DDE"/>
    <w:rsid w:val="00AB70B6"/>
    <w:rsid w:val="00AD1A86"/>
    <w:rsid w:val="00AE103E"/>
    <w:rsid w:val="00AF0A07"/>
    <w:rsid w:val="00AF1529"/>
    <w:rsid w:val="00AF32A7"/>
    <w:rsid w:val="00AF4AEC"/>
    <w:rsid w:val="00AF625E"/>
    <w:rsid w:val="00AF70EC"/>
    <w:rsid w:val="00B009F8"/>
    <w:rsid w:val="00B0111D"/>
    <w:rsid w:val="00B139BE"/>
    <w:rsid w:val="00B2172B"/>
    <w:rsid w:val="00B26A50"/>
    <w:rsid w:val="00B31D9B"/>
    <w:rsid w:val="00B6124B"/>
    <w:rsid w:val="00B62330"/>
    <w:rsid w:val="00B76CD3"/>
    <w:rsid w:val="00B838C2"/>
    <w:rsid w:val="00B86240"/>
    <w:rsid w:val="00B9146E"/>
    <w:rsid w:val="00B917D2"/>
    <w:rsid w:val="00BA241A"/>
    <w:rsid w:val="00BA40DA"/>
    <w:rsid w:val="00BB04AF"/>
    <w:rsid w:val="00BB658D"/>
    <w:rsid w:val="00BC4030"/>
    <w:rsid w:val="00BD1288"/>
    <w:rsid w:val="00BD271B"/>
    <w:rsid w:val="00BD52C9"/>
    <w:rsid w:val="00BD7EAD"/>
    <w:rsid w:val="00BE013E"/>
    <w:rsid w:val="00BE2322"/>
    <w:rsid w:val="00BE4975"/>
    <w:rsid w:val="00BE6354"/>
    <w:rsid w:val="00C05081"/>
    <w:rsid w:val="00C07EA6"/>
    <w:rsid w:val="00C138D1"/>
    <w:rsid w:val="00C22B32"/>
    <w:rsid w:val="00C23A97"/>
    <w:rsid w:val="00C25B18"/>
    <w:rsid w:val="00C348BA"/>
    <w:rsid w:val="00C4578C"/>
    <w:rsid w:val="00C50274"/>
    <w:rsid w:val="00C52EBE"/>
    <w:rsid w:val="00C5776D"/>
    <w:rsid w:val="00C64855"/>
    <w:rsid w:val="00C70EA7"/>
    <w:rsid w:val="00C73085"/>
    <w:rsid w:val="00C7433F"/>
    <w:rsid w:val="00C7516E"/>
    <w:rsid w:val="00C75374"/>
    <w:rsid w:val="00C75770"/>
    <w:rsid w:val="00C77877"/>
    <w:rsid w:val="00C85DC1"/>
    <w:rsid w:val="00C92A31"/>
    <w:rsid w:val="00CA4053"/>
    <w:rsid w:val="00CA56BB"/>
    <w:rsid w:val="00CB0542"/>
    <w:rsid w:val="00CC0858"/>
    <w:rsid w:val="00CD0DC0"/>
    <w:rsid w:val="00CD147D"/>
    <w:rsid w:val="00CD2864"/>
    <w:rsid w:val="00CD30FA"/>
    <w:rsid w:val="00CE2288"/>
    <w:rsid w:val="00CE4E63"/>
    <w:rsid w:val="00CE71F9"/>
    <w:rsid w:val="00CF284D"/>
    <w:rsid w:val="00CF64D9"/>
    <w:rsid w:val="00D00B2B"/>
    <w:rsid w:val="00D07EB1"/>
    <w:rsid w:val="00D20816"/>
    <w:rsid w:val="00D24877"/>
    <w:rsid w:val="00D30201"/>
    <w:rsid w:val="00D428AF"/>
    <w:rsid w:val="00D53E1F"/>
    <w:rsid w:val="00D560DD"/>
    <w:rsid w:val="00D61ACD"/>
    <w:rsid w:val="00D636DD"/>
    <w:rsid w:val="00D7105A"/>
    <w:rsid w:val="00D80F63"/>
    <w:rsid w:val="00D823FC"/>
    <w:rsid w:val="00D8250F"/>
    <w:rsid w:val="00D86BB3"/>
    <w:rsid w:val="00D87E94"/>
    <w:rsid w:val="00D95C4C"/>
    <w:rsid w:val="00DA36ED"/>
    <w:rsid w:val="00DB439A"/>
    <w:rsid w:val="00DB48FE"/>
    <w:rsid w:val="00DC0032"/>
    <w:rsid w:val="00DC3C4F"/>
    <w:rsid w:val="00DD4BFB"/>
    <w:rsid w:val="00DE34F1"/>
    <w:rsid w:val="00DE6160"/>
    <w:rsid w:val="00DF4942"/>
    <w:rsid w:val="00E019FC"/>
    <w:rsid w:val="00E16EFD"/>
    <w:rsid w:val="00E20247"/>
    <w:rsid w:val="00E2125F"/>
    <w:rsid w:val="00E23898"/>
    <w:rsid w:val="00E244E1"/>
    <w:rsid w:val="00E2649B"/>
    <w:rsid w:val="00E40A3E"/>
    <w:rsid w:val="00E4150C"/>
    <w:rsid w:val="00E52B37"/>
    <w:rsid w:val="00E61497"/>
    <w:rsid w:val="00E627B1"/>
    <w:rsid w:val="00E66D24"/>
    <w:rsid w:val="00E70169"/>
    <w:rsid w:val="00E86053"/>
    <w:rsid w:val="00E9376C"/>
    <w:rsid w:val="00E95AE2"/>
    <w:rsid w:val="00EA191C"/>
    <w:rsid w:val="00EA335E"/>
    <w:rsid w:val="00EA528C"/>
    <w:rsid w:val="00EA580C"/>
    <w:rsid w:val="00EB2C61"/>
    <w:rsid w:val="00EB4165"/>
    <w:rsid w:val="00EC363B"/>
    <w:rsid w:val="00EC41E9"/>
    <w:rsid w:val="00EC6F8D"/>
    <w:rsid w:val="00ED0A70"/>
    <w:rsid w:val="00ED39B2"/>
    <w:rsid w:val="00ED7CDD"/>
    <w:rsid w:val="00EE49F4"/>
    <w:rsid w:val="00EF255B"/>
    <w:rsid w:val="00EF34E2"/>
    <w:rsid w:val="00EF6C07"/>
    <w:rsid w:val="00F13B84"/>
    <w:rsid w:val="00F23994"/>
    <w:rsid w:val="00F30DC6"/>
    <w:rsid w:val="00F32C23"/>
    <w:rsid w:val="00F36917"/>
    <w:rsid w:val="00F44074"/>
    <w:rsid w:val="00F53DE9"/>
    <w:rsid w:val="00F54B45"/>
    <w:rsid w:val="00F5520A"/>
    <w:rsid w:val="00F56FA1"/>
    <w:rsid w:val="00F576CB"/>
    <w:rsid w:val="00F7035D"/>
    <w:rsid w:val="00F71523"/>
    <w:rsid w:val="00F71A02"/>
    <w:rsid w:val="00F831CD"/>
    <w:rsid w:val="00F92792"/>
    <w:rsid w:val="00F9702B"/>
    <w:rsid w:val="00FA0D63"/>
    <w:rsid w:val="00FD1226"/>
    <w:rsid w:val="00FD2589"/>
    <w:rsid w:val="00FD3670"/>
    <w:rsid w:val="00FE5A16"/>
    <w:rsid w:val="00FF3F34"/>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Revision">
    <w:name w:val="Revision"/>
    <w:hidden/>
    <w:uiPriority w:val="99"/>
    <w:semiHidden/>
    <w:rsid w:val="00F13B8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07EB1"/>
    <w:rPr>
      <w:sz w:val="16"/>
      <w:szCs w:val="16"/>
    </w:rPr>
  </w:style>
  <w:style w:type="paragraph" w:styleId="CommentText">
    <w:name w:val="annotation text"/>
    <w:basedOn w:val="Normal"/>
    <w:link w:val="CommentTextChar"/>
    <w:uiPriority w:val="99"/>
    <w:unhideWhenUsed/>
    <w:rsid w:val="00D07EB1"/>
    <w:rPr>
      <w:sz w:val="20"/>
      <w:szCs w:val="20"/>
    </w:rPr>
  </w:style>
  <w:style w:type="character" w:customStyle="1" w:styleId="CommentTextChar">
    <w:name w:val="Comment Text Char"/>
    <w:basedOn w:val="DefaultParagraphFont"/>
    <w:link w:val="CommentText"/>
    <w:uiPriority w:val="99"/>
    <w:rsid w:val="00D07EB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07EB1"/>
    <w:rPr>
      <w:b/>
      <w:bCs/>
    </w:rPr>
  </w:style>
  <w:style w:type="character" w:customStyle="1" w:styleId="CommentSubjectChar">
    <w:name w:val="Comment Subject Char"/>
    <w:basedOn w:val="CommentTextChar"/>
    <w:link w:val="CommentSubject"/>
    <w:uiPriority w:val="99"/>
    <w:semiHidden/>
    <w:rsid w:val="00D07EB1"/>
    <w:rPr>
      <w:rFonts w:ascii="Times New Roman" w:eastAsia="Times New Roman" w:hAnsi="Times New Roman"/>
      <w:b/>
      <w:bCs/>
    </w:rPr>
  </w:style>
  <w:style w:type="character" w:styleId="Hyperlink">
    <w:name w:val="Hyperlink"/>
    <w:basedOn w:val="DefaultParagraphFont"/>
    <w:uiPriority w:val="99"/>
    <w:unhideWhenUsed/>
    <w:rsid w:val="00C73085"/>
    <w:rPr>
      <w:color w:val="0000FF" w:themeColor="hyperlink"/>
      <w:u w:val="single"/>
    </w:rPr>
  </w:style>
  <w:style w:type="character" w:styleId="UnresolvedMention">
    <w:name w:val="Unresolved Mention"/>
    <w:basedOn w:val="DefaultParagraphFont"/>
    <w:uiPriority w:val="99"/>
    <w:semiHidden/>
    <w:unhideWhenUsed/>
    <w:rsid w:val="00C73085"/>
    <w:rPr>
      <w:color w:val="605E5C"/>
      <w:shd w:val="clear" w:color="auto" w:fill="E1DFDD"/>
    </w:rPr>
  </w:style>
  <w:style w:type="paragraph" w:styleId="PlainText">
    <w:name w:val="Plain Text"/>
    <w:basedOn w:val="Normal"/>
    <w:link w:val="PlainTextChar"/>
    <w:uiPriority w:val="99"/>
    <w:semiHidden/>
    <w:unhideWhenUsed/>
    <w:rsid w:val="001D0FBE"/>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semiHidden/>
    <w:rsid w:val="001D0FBE"/>
    <w:rPr>
      <w:rFonts w:eastAsiaTheme="minorEastAsia" w:cstheme="minorBidi"/>
      <w:sz w:val="22"/>
      <w:szCs w:val="21"/>
      <w:lang w:val="en-US" w:eastAsia="zh-CN"/>
    </w:rPr>
  </w:style>
  <w:style w:type="paragraph" w:styleId="FootnoteText">
    <w:name w:val="footnote text"/>
    <w:basedOn w:val="Normal"/>
    <w:link w:val="FootnoteTextChar"/>
    <w:uiPriority w:val="99"/>
    <w:semiHidden/>
    <w:unhideWhenUsed/>
    <w:rsid w:val="00E23898"/>
    <w:rPr>
      <w:sz w:val="20"/>
      <w:szCs w:val="20"/>
    </w:rPr>
  </w:style>
  <w:style w:type="character" w:customStyle="1" w:styleId="FootnoteTextChar">
    <w:name w:val="Footnote Text Char"/>
    <w:basedOn w:val="DefaultParagraphFont"/>
    <w:link w:val="FootnoteText"/>
    <w:uiPriority w:val="99"/>
    <w:semiHidden/>
    <w:rsid w:val="00E23898"/>
    <w:rPr>
      <w:rFonts w:ascii="Times New Roman" w:eastAsia="Times New Roman" w:hAnsi="Times New Roman"/>
    </w:rPr>
  </w:style>
  <w:style w:type="character" w:styleId="FootnoteReference">
    <w:name w:val="footnote reference"/>
    <w:basedOn w:val="DefaultParagraphFont"/>
    <w:uiPriority w:val="99"/>
    <w:semiHidden/>
    <w:unhideWhenUsed/>
    <w:rsid w:val="00E23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59532-EN.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doc/src/59531-EN.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59530-EN.doc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doc/src/59529-EN.docx" TargetMode="External"/><Relationship Id="rId4" Type="http://schemas.openxmlformats.org/officeDocument/2006/relationships/settings" Target="settings.xml"/><Relationship Id="rId9" Type="http://schemas.openxmlformats.org/officeDocument/2006/relationships/hyperlink" Target="https://ich.unesco.org/doc/src/59528-EN.doc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320</TotalTime>
  <Pages>6</Pages>
  <Words>2434</Words>
  <Characters>13392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26</cp:revision>
  <cp:lastPrinted>2011-08-06T10:22:00Z</cp:lastPrinted>
  <dcterms:created xsi:type="dcterms:W3CDTF">2023-04-21T15:09:00Z</dcterms:created>
  <dcterms:modified xsi:type="dcterms:W3CDTF">2023-05-04T13:47:00Z</dcterms:modified>
</cp:coreProperties>
</file>