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02B3FF51"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CONVENTION FOR THE SAFEGUARDING OF THE</w:t>
      </w:r>
      <w:r w:rsidRPr="00293C60">
        <w:rPr>
          <w:rFonts w:ascii="Arial" w:hAnsi="Arial" w:cs="Arial"/>
          <w:b/>
          <w:sz w:val="22"/>
          <w:szCs w:val="22"/>
          <w:lang w:val="en-GB"/>
        </w:rPr>
        <w:br/>
        <w:t>INTANGIBLE CULTURAL HERITAGE</w:t>
      </w:r>
    </w:p>
    <w:p w14:paraId="6CD4748D" w14:textId="77777777" w:rsidR="006351E0" w:rsidRPr="006F77B2" w:rsidRDefault="006351E0" w:rsidP="006351E0">
      <w:pPr>
        <w:spacing w:before="1200"/>
        <w:ind w:left="1530" w:right="1448" w:firstLine="180"/>
        <w:jc w:val="center"/>
        <w:rPr>
          <w:rFonts w:ascii="Arial" w:eastAsia="Calibri" w:hAnsi="Arial" w:cs="Arial"/>
          <w:b/>
          <w:bCs/>
          <w:sz w:val="22"/>
          <w:szCs w:val="22"/>
          <w:lang w:val="en-GB"/>
        </w:rPr>
      </w:pPr>
      <w:bookmarkStart w:id="0" w:name="_Hlk70514086"/>
      <w:r w:rsidRPr="006F77B2">
        <w:rPr>
          <w:rFonts w:ascii="Arial" w:eastAsia="Calibri" w:hAnsi="Arial" w:cs="Arial"/>
          <w:b/>
          <w:bCs/>
          <w:sz w:val="22"/>
          <w:szCs w:val="22"/>
          <w:lang w:val="en-GB"/>
        </w:rPr>
        <w:t>Expert meeting in the framework of the reflection on a broader implementation of Article 18 of the 2003 Convention for the Safeguarding of the Intangible Cultural Heritage</w:t>
      </w:r>
    </w:p>
    <w:p w14:paraId="2D883012" w14:textId="77777777" w:rsidR="006351E0" w:rsidRPr="006F77B2" w:rsidRDefault="006351E0" w:rsidP="006351E0">
      <w:pPr>
        <w:spacing w:before="840"/>
        <w:jc w:val="center"/>
        <w:rPr>
          <w:rFonts w:ascii="Arial" w:hAnsi="Arial" w:cs="Arial"/>
          <w:b/>
          <w:sz w:val="22"/>
          <w:szCs w:val="22"/>
          <w:lang w:val="en-GB"/>
        </w:rPr>
      </w:pPr>
      <w:r w:rsidRPr="006F77B2">
        <w:rPr>
          <w:rFonts w:ascii="Arial" w:hAnsi="Arial" w:cs="Arial"/>
          <w:b/>
          <w:sz w:val="22"/>
          <w:szCs w:val="22"/>
          <w:lang w:val="en-GB"/>
        </w:rPr>
        <w:t>Stockholm, Sweden</w:t>
      </w:r>
    </w:p>
    <w:p w14:paraId="5CA8FD47" w14:textId="77777777" w:rsidR="006351E0" w:rsidRPr="006F77B2" w:rsidRDefault="006351E0" w:rsidP="006351E0">
      <w:pPr>
        <w:spacing w:after="1200"/>
        <w:jc w:val="center"/>
        <w:rPr>
          <w:rFonts w:ascii="Arial" w:hAnsi="Arial" w:cs="Arial"/>
          <w:b/>
          <w:sz w:val="22"/>
          <w:szCs w:val="22"/>
          <w:lang w:val="en-GB"/>
        </w:rPr>
      </w:pPr>
      <w:r w:rsidRPr="006F77B2">
        <w:rPr>
          <w:rFonts w:ascii="Arial" w:hAnsi="Arial" w:cs="Arial"/>
          <w:b/>
          <w:sz w:val="22"/>
          <w:szCs w:val="22"/>
          <w:lang w:val="en-GB"/>
        </w:rPr>
        <w:t>19 to 21 April 2023</w:t>
      </w:r>
    </w:p>
    <w:bookmarkEnd w:id="0"/>
    <w:p w14:paraId="713D819F" w14:textId="5DC8A39A" w:rsidR="004A2875" w:rsidRPr="009B4638" w:rsidRDefault="00635251" w:rsidP="000A7040">
      <w:pPr>
        <w:pStyle w:val="Sansinterligne2"/>
        <w:spacing w:after="1200"/>
        <w:jc w:val="center"/>
        <w:rPr>
          <w:rFonts w:ascii="Arial" w:hAnsi="Arial" w:cs="Arial"/>
          <w:b/>
          <w:snapToGrid w:val="0"/>
          <w:sz w:val="22"/>
          <w:szCs w:val="22"/>
          <w:lang w:val="en-GB" w:eastAsia="en-US"/>
        </w:rPr>
      </w:pPr>
      <w:r w:rsidRPr="006F77B2">
        <w:rPr>
          <w:rFonts w:ascii="Arial" w:hAnsi="Arial" w:cs="Arial"/>
          <w:b/>
          <w:sz w:val="22"/>
          <w:szCs w:val="22"/>
          <w:u w:val="single"/>
          <w:lang w:val="en-GB"/>
        </w:rPr>
        <w:t>Three reflection topics</w:t>
      </w:r>
      <w:r w:rsidR="00655736" w:rsidRPr="00D7105A">
        <w:rPr>
          <w:lang w:val="en-US"/>
        </w:rPr>
        <w:br w:type="page"/>
      </w:r>
    </w:p>
    <w:p w14:paraId="4DA0F58A" w14:textId="04F396D4" w:rsidR="007F7C5E" w:rsidRPr="008224C7" w:rsidRDefault="007F7C5E" w:rsidP="007F7C5E">
      <w:pPr>
        <w:pStyle w:val="COMPara"/>
        <w:numPr>
          <w:ilvl w:val="0"/>
          <w:numId w:val="0"/>
        </w:numPr>
        <w:jc w:val="both"/>
        <w:rPr>
          <w:b/>
          <w:bCs/>
        </w:rPr>
      </w:pPr>
      <w:r w:rsidRPr="008224C7">
        <w:rPr>
          <w:b/>
          <w:bCs/>
        </w:rPr>
        <w:lastRenderedPageBreak/>
        <w:t>Introduction</w:t>
      </w:r>
    </w:p>
    <w:p w14:paraId="5FA2B7DB" w14:textId="69C4C2F9" w:rsidR="0057439C" w:rsidRDefault="00157D7B" w:rsidP="006F77B2">
      <w:pPr>
        <w:pStyle w:val="COMPara"/>
        <w:ind w:left="567" w:hanging="567"/>
        <w:jc w:val="both"/>
      </w:pPr>
      <w:r>
        <w:t>Through</w:t>
      </w:r>
      <w:r w:rsidR="0038566D">
        <w:t xml:space="preserve"> this document</w:t>
      </w:r>
      <w:r>
        <w:t>,</w:t>
      </w:r>
      <w:r w:rsidR="0038566D">
        <w:t xml:space="preserve"> the Secretariat of the Con</w:t>
      </w:r>
      <w:r w:rsidR="00CC4A04">
        <w:t>v</w:t>
      </w:r>
      <w:r w:rsidR="0038566D">
        <w:t xml:space="preserve">ention </w:t>
      </w:r>
      <w:r w:rsidR="00E043CD">
        <w:t xml:space="preserve">intends to </w:t>
      </w:r>
      <w:r w:rsidR="00F5222B">
        <w:t xml:space="preserve">provide </w:t>
      </w:r>
      <w:r w:rsidR="00E043CD">
        <w:t>technical information</w:t>
      </w:r>
      <w:r w:rsidR="00F5222B">
        <w:t xml:space="preserve"> </w:t>
      </w:r>
      <w:r w:rsidR="007541CA">
        <w:t xml:space="preserve">to </w:t>
      </w:r>
      <w:r w:rsidR="00886EA3">
        <w:t xml:space="preserve">facilitate the discussions </w:t>
      </w:r>
      <w:r w:rsidR="007541CA">
        <w:t xml:space="preserve">during </w:t>
      </w:r>
      <w:r w:rsidR="00F5222B">
        <w:t xml:space="preserve">the Category VI meeting on </w:t>
      </w:r>
      <w:r>
        <w:t xml:space="preserve">a </w:t>
      </w:r>
      <w:r w:rsidR="00F5222B">
        <w:t>broader implementation of Article 18 of the 2003 Convention for the Safeguarding of the Intangible Cultural Heritage</w:t>
      </w:r>
      <w:r w:rsidR="00056357">
        <w:t xml:space="preserve">, to </w:t>
      </w:r>
      <w:r w:rsidR="0038566D">
        <w:t>be held</w:t>
      </w:r>
      <w:r w:rsidR="00F5222B">
        <w:t xml:space="preserve"> </w:t>
      </w:r>
      <w:r w:rsidR="0038566D">
        <w:t>from</w:t>
      </w:r>
      <w:r w:rsidR="00056357">
        <w:t xml:space="preserve"> </w:t>
      </w:r>
      <w:r w:rsidR="00F5222B">
        <w:t>19 to 21 April 2023</w:t>
      </w:r>
      <w:r w:rsidR="0038566D">
        <w:t xml:space="preserve"> in</w:t>
      </w:r>
      <w:r w:rsidR="00F5222B">
        <w:t xml:space="preserve"> Stockholm, Sweden.</w:t>
      </w:r>
      <w:r w:rsidR="00886EA3">
        <w:t xml:space="preserve"> </w:t>
      </w:r>
      <w:r w:rsidR="00056357">
        <w:t>The document</w:t>
      </w:r>
      <w:r w:rsidR="007541CA">
        <w:t xml:space="preserve"> addresses three reflection </w:t>
      </w:r>
      <w:r w:rsidR="00F5222B">
        <w:t>topics</w:t>
      </w:r>
      <w:r>
        <w:t xml:space="preserve">, </w:t>
      </w:r>
      <w:r w:rsidR="00F5222B">
        <w:t>established</w:t>
      </w:r>
      <w:r w:rsidR="00056357">
        <w:t xml:space="preserve"> </w:t>
      </w:r>
      <w:r w:rsidR="00CC4A04">
        <w:t>for this purpose</w:t>
      </w:r>
      <w:r w:rsidR="00F5222B">
        <w:t xml:space="preserve"> by the seventeenth session of the Committee (Decision </w:t>
      </w:r>
      <w:hyperlink r:id="rId8" w:history="1">
        <w:r w:rsidR="00F5222B" w:rsidRPr="003659C9">
          <w:rPr>
            <w:rStyle w:val="Hyperlink"/>
          </w:rPr>
          <w:t>17.COM</w:t>
        </w:r>
        <w:r w:rsidR="006F116C">
          <w:rPr>
            <w:rStyle w:val="Hyperlink"/>
          </w:rPr>
          <w:t> </w:t>
        </w:r>
        <w:r w:rsidR="00F5222B" w:rsidRPr="003659C9">
          <w:rPr>
            <w:rStyle w:val="Hyperlink"/>
          </w:rPr>
          <w:t>10</w:t>
        </w:r>
      </w:hyperlink>
      <w:r w:rsidR="00F5222B">
        <w:t>)</w:t>
      </w:r>
      <w:r w:rsidR="002574AE">
        <w:t xml:space="preserve">, </w:t>
      </w:r>
      <w:r w:rsidR="0038566D">
        <w:t xml:space="preserve">and </w:t>
      </w:r>
      <w:r>
        <w:t>considers</w:t>
      </w:r>
      <w:r w:rsidR="002574AE">
        <w:t xml:space="preserve"> </w:t>
      </w:r>
      <w:r w:rsidR="00366101">
        <w:t xml:space="preserve">various </w:t>
      </w:r>
      <w:r w:rsidR="002574AE">
        <w:t xml:space="preserve">issues </w:t>
      </w:r>
      <w:r w:rsidR="00056357">
        <w:t xml:space="preserve">that were </w:t>
      </w:r>
      <w:r w:rsidR="002574AE">
        <w:t xml:space="preserve">already raised during the Global reflection </w:t>
      </w:r>
      <w:r w:rsidR="009F3701">
        <w:t>(2018</w:t>
      </w:r>
      <w:r>
        <w:t>–</w:t>
      </w:r>
      <w:r w:rsidR="009F3701">
        <w:t xml:space="preserve">2022) </w:t>
      </w:r>
      <w:r w:rsidR="002574AE">
        <w:t>on the listing mechanisms of the 2003 Convention</w:t>
      </w:r>
      <w:r w:rsidR="00366101">
        <w:t xml:space="preserve"> (he</w:t>
      </w:r>
      <w:r w:rsidR="009F3701">
        <w:t>reafter</w:t>
      </w:r>
      <w:r>
        <w:t>,</w:t>
      </w:r>
      <w:r w:rsidR="00366101">
        <w:t xml:space="preserve"> </w:t>
      </w:r>
      <w:r>
        <w:t>‘</w:t>
      </w:r>
      <w:r w:rsidR="00366101">
        <w:t xml:space="preserve">the </w:t>
      </w:r>
      <w:r w:rsidR="009F3701">
        <w:t>G</w:t>
      </w:r>
      <w:r w:rsidR="00366101">
        <w:t xml:space="preserve">lobal </w:t>
      </w:r>
      <w:r w:rsidR="009F3701">
        <w:t>R</w:t>
      </w:r>
      <w:r w:rsidR="00366101">
        <w:t>eflection</w:t>
      </w:r>
      <w:r>
        <w:t>’</w:t>
      </w:r>
      <w:r w:rsidR="00366101">
        <w:t>)</w:t>
      </w:r>
      <w:r w:rsidR="00056357">
        <w:t>.</w:t>
      </w:r>
      <w:r w:rsidR="00DF44DE">
        <w:rPr>
          <w:rStyle w:val="FootnoteReference"/>
        </w:rPr>
        <w:footnoteReference w:id="1"/>
      </w:r>
      <w:r w:rsidR="002574AE">
        <w:t xml:space="preserve"> </w:t>
      </w:r>
      <w:r w:rsidR="007541CA">
        <w:t>Furthermore, t</w:t>
      </w:r>
      <w:r w:rsidR="00B44316">
        <w:t xml:space="preserve">his document is to be read in conjunction with </w:t>
      </w:r>
      <w:r w:rsidR="007541CA">
        <w:t>another working document</w:t>
      </w:r>
      <w:r>
        <w:t>:</w:t>
      </w:r>
      <w:r w:rsidR="007541CA">
        <w:t xml:space="preserve"> ‘</w:t>
      </w:r>
      <w:r w:rsidR="00CC4A04">
        <w:t>B</w:t>
      </w:r>
      <w:r w:rsidR="007541CA">
        <w:t xml:space="preserve">ackground </w:t>
      </w:r>
      <w:r w:rsidR="00565CDC">
        <w:t>and</w:t>
      </w:r>
      <w:r w:rsidR="007541CA">
        <w:t xml:space="preserve"> objectives’</w:t>
      </w:r>
      <w:r w:rsidR="00B44316">
        <w:t xml:space="preserve"> (</w:t>
      </w:r>
      <w:r w:rsidR="000304C0">
        <w:t>document </w:t>
      </w:r>
      <w:hyperlink r:id="rId9" w:history="1">
        <w:r w:rsidR="00B44316" w:rsidRPr="001804C1">
          <w:rPr>
            <w:rStyle w:val="Hyperlink"/>
          </w:rPr>
          <w:t>LHE/23/EXP</w:t>
        </w:r>
        <w:r w:rsidR="00565CDC">
          <w:rPr>
            <w:rStyle w:val="Hyperlink"/>
          </w:rPr>
          <w:t> </w:t>
        </w:r>
        <w:r w:rsidR="00B44316" w:rsidRPr="001804C1">
          <w:rPr>
            <w:rStyle w:val="Hyperlink"/>
          </w:rPr>
          <w:t>ART18/</w:t>
        </w:r>
        <w:r w:rsidR="001804C1" w:rsidRPr="001804C1">
          <w:rPr>
            <w:rStyle w:val="Hyperlink"/>
          </w:rPr>
          <w:t>2</w:t>
        </w:r>
      </w:hyperlink>
      <w:r w:rsidR="00B44316">
        <w:t>).</w:t>
      </w:r>
    </w:p>
    <w:p w14:paraId="7CDB9E49" w14:textId="03B4388B" w:rsidR="00572C7E" w:rsidRDefault="001C58FF" w:rsidP="006F77B2">
      <w:pPr>
        <w:pStyle w:val="COMPara"/>
        <w:ind w:left="567" w:hanging="567"/>
        <w:jc w:val="both"/>
      </w:pPr>
      <w:r>
        <w:t>T</w:t>
      </w:r>
      <w:r w:rsidR="00262CBD">
        <w:t>h</w:t>
      </w:r>
      <w:r>
        <w:t>is</w:t>
      </w:r>
      <w:r w:rsidR="00262CBD">
        <w:t xml:space="preserve"> new reflection</w:t>
      </w:r>
      <w:r>
        <w:t xml:space="preserve">, which was </w:t>
      </w:r>
      <w:r w:rsidR="00CC4A04">
        <w:t xml:space="preserve">first </w:t>
      </w:r>
      <w:r>
        <w:t xml:space="preserve">initiated by the sixteenth session of the Intergovernmental Committee (Decision </w:t>
      </w:r>
      <w:hyperlink r:id="rId10" w:history="1">
        <w:r w:rsidRPr="00C77DC6">
          <w:rPr>
            <w:rStyle w:val="Hyperlink"/>
          </w:rPr>
          <w:t>16.COM</w:t>
        </w:r>
        <w:r w:rsidR="006F116C">
          <w:rPr>
            <w:rStyle w:val="Hyperlink"/>
          </w:rPr>
          <w:t> </w:t>
        </w:r>
        <w:r w:rsidRPr="00C77DC6">
          <w:rPr>
            <w:rStyle w:val="Hyperlink"/>
          </w:rPr>
          <w:t>14</w:t>
        </w:r>
      </w:hyperlink>
      <w:r>
        <w:t>)</w:t>
      </w:r>
      <w:r w:rsidR="00572C7E">
        <w:t xml:space="preserve">, </w:t>
      </w:r>
      <w:r w:rsidR="00CC4A04">
        <w:t xml:space="preserve">is </w:t>
      </w:r>
      <w:r w:rsidR="00157D7B">
        <w:t xml:space="preserve">essentially </w:t>
      </w:r>
      <w:r w:rsidR="00CC4A04">
        <w:t>a follow-up to</w:t>
      </w:r>
      <w:r w:rsidR="00262CBD">
        <w:t xml:space="preserve"> the </w:t>
      </w:r>
      <w:r w:rsidR="00366101">
        <w:t xml:space="preserve">aforementioned </w:t>
      </w:r>
      <w:r w:rsidR="00CC4A04">
        <w:t>G</w:t>
      </w:r>
      <w:r w:rsidR="00262CBD">
        <w:t xml:space="preserve">lobal </w:t>
      </w:r>
      <w:r w:rsidR="00157D7B">
        <w:t>Reflection</w:t>
      </w:r>
      <w:r>
        <w:t xml:space="preserve">. </w:t>
      </w:r>
      <w:r w:rsidR="00CA0188">
        <w:t>It therefore</w:t>
      </w:r>
      <w:r w:rsidR="00CC4A04">
        <w:t xml:space="preserve"> seems appropriate</w:t>
      </w:r>
      <w:r w:rsidR="00056357">
        <w:t>, when exploring the full potential of Article 18,</w:t>
      </w:r>
      <w:r w:rsidR="00CC4A04">
        <w:t xml:space="preserve"> to follow </w:t>
      </w:r>
      <w:r>
        <w:t xml:space="preserve">the </w:t>
      </w:r>
      <w:r w:rsidR="00EA72B3">
        <w:t xml:space="preserve">same </w:t>
      </w:r>
      <w:r w:rsidR="00056357">
        <w:t>twofold</w:t>
      </w:r>
      <w:r>
        <w:t xml:space="preserve"> guiding principle </w:t>
      </w:r>
      <w:r w:rsidR="00CC4A04">
        <w:t>that w</w:t>
      </w:r>
      <w:r w:rsidR="00056357">
        <w:t>as</w:t>
      </w:r>
      <w:r w:rsidR="00CC4A04">
        <w:t xml:space="preserve"> </w:t>
      </w:r>
      <w:r w:rsidR="00CA0188">
        <w:t>employed</w:t>
      </w:r>
      <w:r w:rsidR="00CC4A04">
        <w:t xml:space="preserve"> during the </w:t>
      </w:r>
      <w:r w:rsidR="00EA72B3">
        <w:t xml:space="preserve">Global Reflection, </w:t>
      </w:r>
      <w:r w:rsidR="00056357">
        <w:t>and to:</w:t>
      </w:r>
    </w:p>
    <w:p w14:paraId="0C84A07F" w14:textId="08BE2700" w:rsidR="00572C7E" w:rsidRPr="006F77B2" w:rsidRDefault="00572C7E" w:rsidP="006F77B2">
      <w:pPr>
        <w:pStyle w:val="Marge"/>
        <w:tabs>
          <w:tab w:val="clear" w:pos="567"/>
        </w:tabs>
        <w:spacing w:before="120" w:after="120"/>
        <w:ind w:left="1134" w:hanging="567"/>
        <w:rPr>
          <w:lang w:val="en-GB"/>
        </w:rPr>
      </w:pPr>
      <w:r w:rsidRPr="006F77B2">
        <w:rPr>
          <w:lang w:val="en-GB"/>
        </w:rPr>
        <w:t>a)</w:t>
      </w:r>
      <w:r w:rsidR="006351E0" w:rsidRPr="006F77B2">
        <w:rPr>
          <w:lang w:val="en-GB"/>
        </w:rPr>
        <w:tab/>
      </w:r>
      <w:r w:rsidR="001376B8" w:rsidRPr="006F77B2">
        <w:rPr>
          <w:lang w:val="en-GB"/>
        </w:rPr>
        <w:t>place</w:t>
      </w:r>
      <w:r w:rsidR="00056357" w:rsidRPr="006F77B2">
        <w:rPr>
          <w:lang w:val="en-GB"/>
        </w:rPr>
        <w:t xml:space="preserve">, in the spirit of Article 15 of the Convention and of the </w:t>
      </w:r>
      <w:hyperlink r:id="rId11" w:history="1">
        <w:r w:rsidR="00056357" w:rsidRPr="006F77B2">
          <w:rPr>
            <w:rStyle w:val="Hyperlink"/>
            <w:lang w:val="en-GB"/>
          </w:rPr>
          <w:t>Ethical Principles</w:t>
        </w:r>
      </w:hyperlink>
      <w:r w:rsidR="00056357" w:rsidRPr="006F77B2">
        <w:rPr>
          <w:lang w:val="en-GB"/>
        </w:rPr>
        <w:t xml:space="preserve"> adopted by the Committee in 2015, </w:t>
      </w:r>
      <w:r w:rsidR="001376B8" w:rsidRPr="006F77B2">
        <w:rPr>
          <w:lang w:val="en-GB"/>
        </w:rPr>
        <w:t xml:space="preserve">communities, groups and, where appropriate, individuals at the centre of efforts </w:t>
      </w:r>
      <w:r w:rsidRPr="006F77B2">
        <w:rPr>
          <w:lang w:val="en-GB"/>
        </w:rPr>
        <w:t xml:space="preserve">to safeguard intangible cultural heritage, </w:t>
      </w:r>
      <w:r w:rsidR="001376B8" w:rsidRPr="006F77B2">
        <w:rPr>
          <w:lang w:val="en-GB"/>
        </w:rPr>
        <w:t>and</w:t>
      </w:r>
    </w:p>
    <w:p w14:paraId="2AD56B0E" w14:textId="01EAE8E5" w:rsidR="00886EA3" w:rsidRPr="006F77B2" w:rsidRDefault="00572C7E" w:rsidP="006F77B2">
      <w:pPr>
        <w:pStyle w:val="Marge"/>
        <w:tabs>
          <w:tab w:val="clear" w:pos="567"/>
        </w:tabs>
        <w:spacing w:before="120" w:after="120"/>
        <w:ind w:left="1134" w:hanging="567"/>
        <w:rPr>
          <w:lang w:val="en-GB"/>
        </w:rPr>
      </w:pPr>
      <w:r w:rsidRPr="006F77B2">
        <w:rPr>
          <w:lang w:val="en-GB"/>
        </w:rPr>
        <w:t>b)</w:t>
      </w:r>
      <w:r w:rsidR="006351E0" w:rsidRPr="006F77B2">
        <w:rPr>
          <w:lang w:val="en-GB"/>
        </w:rPr>
        <w:tab/>
      </w:r>
      <w:r w:rsidR="001376B8" w:rsidRPr="006F77B2">
        <w:rPr>
          <w:lang w:val="en-GB"/>
        </w:rPr>
        <w:t xml:space="preserve">enhance their active participation in all </w:t>
      </w:r>
      <w:r w:rsidR="00CA0188" w:rsidRPr="006F77B2">
        <w:rPr>
          <w:lang w:val="en-GB"/>
        </w:rPr>
        <w:t xml:space="preserve">the </w:t>
      </w:r>
      <w:r w:rsidR="001376B8" w:rsidRPr="006F77B2">
        <w:rPr>
          <w:lang w:val="en-GB"/>
        </w:rPr>
        <w:t>steps of the listing mechanisms</w:t>
      </w:r>
      <w:r w:rsidR="00056357" w:rsidRPr="006F77B2">
        <w:rPr>
          <w:lang w:val="en-GB"/>
        </w:rPr>
        <w:t>,</w:t>
      </w:r>
      <w:r w:rsidR="001376B8" w:rsidRPr="006F77B2">
        <w:rPr>
          <w:lang w:val="en-GB"/>
        </w:rPr>
        <w:t xml:space="preserve"> including the Register of Good Safeguarding Practices</w:t>
      </w:r>
      <w:r w:rsidR="00056357" w:rsidRPr="006F77B2">
        <w:rPr>
          <w:lang w:val="en-GB"/>
        </w:rPr>
        <w:t xml:space="preserve">, which was created by means of Operational Directives </w:t>
      </w:r>
      <w:r w:rsidR="009F3701" w:rsidRPr="006F77B2">
        <w:rPr>
          <w:lang w:val="en-GB"/>
        </w:rPr>
        <w:t xml:space="preserve">(paragraphs </w:t>
      </w:r>
      <w:r w:rsidR="00056357" w:rsidRPr="006F77B2">
        <w:rPr>
          <w:lang w:val="en-GB"/>
        </w:rPr>
        <w:t>42 to 46</w:t>
      </w:r>
      <w:r w:rsidR="009F3701" w:rsidRPr="006F77B2">
        <w:rPr>
          <w:lang w:val="en-GB"/>
        </w:rPr>
        <w:t>)</w:t>
      </w:r>
      <w:r w:rsidR="00056357" w:rsidRPr="006F77B2">
        <w:rPr>
          <w:lang w:val="en-GB"/>
        </w:rPr>
        <w:t xml:space="preserve"> as a first tool for implementing </w:t>
      </w:r>
      <w:r w:rsidR="001376B8" w:rsidRPr="006F77B2">
        <w:rPr>
          <w:lang w:val="en-GB"/>
        </w:rPr>
        <w:t>Article 18</w:t>
      </w:r>
      <w:r w:rsidR="00056357" w:rsidRPr="006F77B2">
        <w:rPr>
          <w:lang w:val="en-GB"/>
        </w:rPr>
        <w:t xml:space="preserve"> of the Convention.</w:t>
      </w:r>
    </w:p>
    <w:p w14:paraId="00743995" w14:textId="26A4F08B" w:rsidR="0057439C" w:rsidRPr="007F7C5E" w:rsidRDefault="007F7C5E" w:rsidP="00DC3420">
      <w:pPr>
        <w:pStyle w:val="COMPara"/>
        <w:numPr>
          <w:ilvl w:val="0"/>
          <w:numId w:val="0"/>
        </w:numPr>
        <w:spacing w:before="240"/>
        <w:jc w:val="both"/>
        <w:rPr>
          <w:b/>
          <w:bCs/>
        </w:rPr>
      </w:pPr>
      <w:r w:rsidRPr="007F7C5E">
        <w:rPr>
          <w:b/>
          <w:bCs/>
        </w:rPr>
        <w:t>Topic 1: Improving access to and increasing the visibility of the Register of Good Safeguarding Practices</w:t>
      </w:r>
    </w:p>
    <w:p w14:paraId="5F5176C6" w14:textId="0C84541D" w:rsidR="00793B54" w:rsidRPr="00E303C4" w:rsidRDefault="00793B54" w:rsidP="006F77B2">
      <w:pPr>
        <w:pStyle w:val="COMPara"/>
        <w:ind w:left="567" w:hanging="567"/>
        <w:jc w:val="both"/>
      </w:pPr>
      <w:r w:rsidRPr="007154C3">
        <w:t xml:space="preserve">The first reflection topic </w:t>
      </w:r>
      <w:r w:rsidR="00CA0188">
        <w:t>is aimed at</w:t>
      </w:r>
      <w:r w:rsidRPr="007154C3">
        <w:t xml:space="preserve"> improv</w:t>
      </w:r>
      <w:r w:rsidR="00CA0188">
        <w:t>ing</w:t>
      </w:r>
      <w:r w:rsidRPr="007154C3">
        <w:t xml:space="preserve"> the utilization of the Register of Good Safeguarding Practices itself. Picking up from the issues discussed </w:t>
      </w:r>
      <w:r w:rsidR="00CA0188">
        <w:t>during</w:t>
      </w:r>
      <w:r w:rsidR="00CA0188" w:rsidRPr="007154C3">
        <w:t xml:space="preserve"> </w:t>
      </w:r>
      <w:r w:rsidRPr="007154C3">
        <w:t xml:space="preserve">the </w:t>
      </w:r>
      <w:r w:rsidR="002C5F07">
        <w:t>G</w:t>
      </w:r>
      <w:r w:rsidRPr="007154C3">
        <w:t xml:space="preserve">lobal </w:t>
      </w:r>
      <w:r w:rsidR="00CA0188">
        <w:t>R</w:t>
      </w:r>
      <w:r w:rsidR="00CA0188" w:rsidRPr="007154C3">
        <w:t>eflection</w:t>
      </w:r>
      <w:r w:rsidRPr="007154C3">
        <w:t>, the new reflection may address</w:t>
      </w:r>
      <w:r w:rsidR="00EB6A81">
        <w:t xml:space="preserve"> the following issues</w:t>
      </w:r>
      <w:r w:rsidR="00CA0188">
        <w:t>,</w:t>
      </w:r>
      <w:r w:rsidR="00EB6A81">
        <w:t xml:space="preserve"> </w:t>
      </w:r>
      <w:r w:rsidR="00CA0188">
        <w:t>with the aim of</w:t>
      </w:r>
      <w:r w:rsidR="00EB6A81">
        <w:t xml:space="preserve"> improv</w:t>
      </w:r>
      <w:r w:rsidR="00CA0188">
        <w:t xml:space="preserve">ing </w:t>
      </w:r>
      <w:r w:rsidR="00EB6A81">
        <w:t>the visibility of the Register</w:t>
      </w:r>
      <w:r w:rsidR="002C5F07">
        <w:t xml:space="preserve"> and access to it, both for those who </w:t>
      </w:r>
      <w:r w:rsidR="00CA0188">
        <w:t xml:space="preserve">wish </w:t>
      </w:r>
      <w:r w:rsidR="002C5F07">
        <w:t xml:space="preserve">to share successful practices and for those who </w:t>
      </w:r>
      <w:r w:rsidR="00CA0188">
        <w:t xml:space="preserve">wish </w:t>
      </w:r>
      <w:r w:rsidR="002C5F07">
        <w:t xml:space="preserve">to benefit from good practices and experiences elsewhere in the world, </w:t>
      </w:r>
      <w:r w:rsidR="00383BFF">
        <w:t xml:space="preserve">or </w:t>
      </w:r>
      <w:r w:rsidR="002C5F07">
        <w:t>in their</w:t>
      </w:r>
      <w:r w:rsidR="00CA0188">
        <w:t xml:space="preserve"> particular</w:t>
      </w:r>
      <w:r w:rsidR="002C5F07">
        <w:t xml:space="preserve"> region or country.</w:t>
      </w:r>
    </w:p>
    <w:p w14:paraId="72134DD8" w14:textId="20ACC742" w:rsidR="00EC06C2" w:rsidRPr="000A7040" w:rsidRDefault="00105E0F" w:rsidP="006F77B2">
      <w:pPr>
        <w:pStyle w:val="COMPara"/>
        <w:ind w:left="567" w:hanging="567"/>
        <w:jc w:val="both"/>
        <w:rPr>
          <w:rFonts w:eastAsiaTheme="minorEastAsia"/>
          <w:lang w:val="pt-BR" w:eastAsia="ko-KR"/>
        </w:rPr>
      </w:pPr>
      <w:r w:rsidRPr="00E303C4">
        <w:rPr>
          <w:b/>
          <w:bCs/>
        </w:rPr>
        <w:t>Functioning of the Register</w:t>
      </w:r>
      <w:r w:rsidRPr="00E303C4">
        <w:t xml:space="preserve">: One of the weaknesses identified </w:t>
      </w:r>
      <w:r w:rsidR="00CA0188">
        <w:t>in</w:t>
      </w:r>
      <w:r w:rsidR="00CA0188" w:rsidRPr="00E303C4">
        <w:t xml:space="preserve"> </w:t>
      </w:r>
      <w:r w:rsidRPr="00E303C4">
        <w:t xml:space="preserve">the functioning of the Register is that that it has not </w:t>
      </w:r>
      <w:r w:rsidR="002C5F07">
        <w:t>been able</w:t>
      </w:r>
      <w:r w:rsidR="002C5F07" w:rsidRPr="00E303C4">
        <w:t xml:space="preserve"> </w:t>
      </w:r>
      <w:r w:rsidRPr="00E303C4">
        <w:t xml:space="preserve">to </w:t>
      </w:r>
      <w:r w:rsidR="002146CB" w:rsidRPr="00E303C4">
        <w:t>serve</w:t>
      </w:r>
      <w:r w:rsidRPr="00E303C4">
        <w:t xml:space="preserve"> </w:t>
      </w:r>
      <w:r w:rsidR="002C5F07">
        <w:t xml:space="preserve">satisfactorily </w:t>
      </w:r>
      <w:r w:rsidRPr="00E303C4">
        <w:t xml:space="preserve">as a source of inspiration and information for communities and stakeholders around the world </w:t>
      </w:r>
      <w:r w:rsidR="002C5F07">
        <w:t>looking for</w:t>
      </w:r>
      <w:r w:rsidRPr="00E303C4">
        <w:t xml:space="preserve"> safeguarding advice. The issue is partly </w:t>
      </w:r>
      <w:r w:rsidR="002C5F07">
        <w:t>quantitative</w:t>
      </w:r>
      <w:r w:rsidR="002C5F07" w:rsidRPr="00E303C4">
        <w:t xml:space="preserve"> </w:t>
      </w:r>
      <w:r w:rsidRPr="00E303C4">
        <w:t>since</w:t>
      </w:r>
      <w:r w:rsidR="00CA0188">
        <w:t>,</w:t>
      </w:r>
      <w:r w:rsidRPr="00E303C4">
        <w:t xml:space="preserve"> </w:t>
      </w:r>
      <w:r w:rsidR="002C5F07">
        <w:t>so far</w:t>
      </w:r>
      <w:r w:rsidR="00CA0188">
        <w:t>,</w:t>
      </w:r>
      <w:r w:rsidRPr="00E303C4">
        <w:t xml:space="preserve"> not enough programmes, projects </w:t>
      </w:r>
      <w:r w:rsidR="00CA0188">
        <w:t>or</w:t>
      </w:r>
      <w:r w:rsidR="00CA0188" w:rsidRPr="00E303C4">
        <w:t xml:space="preserve"> </w:t>
      </w:r>
      <w:r w:rsidRPr="00E303C4">
        <w:t xml:space="preserve">activities </w:t>
      </w:r>
      <w:r w:rsidR="002C5F07">
        <w:t xml:space="preserve">(no more than </w:t>
      </w:r>
      <w:r w:rsidR="00CA0188">
        <w:t xml:space="preserve">thirty-three </w:t>
      </w:r>
      <w:r w:rsidR="009F3701">
        <w:t>selections</w:t>
      </w:r>
      <w:r w:rsidR="002C5F07">
        <w:t xml:space="preserve"> in </w:t>
      </w:r>
      <w:r w:rsidR="00CA0188">
        <w:t xml:space="preserve">fourteen </w:t>
      </w:r>
      <w:r w:rsidR="002C5F07">
        <w:t xml:space="preserve">years) have been </w:t>
      </w:r>
      <w:r w:rsidRPr="00E303C4">
        <w:t xml:space="preserve">selected to cover a broad range of safeguarding issues </w:t>
      </w:r>
      <w:r w:rsidR="00EC06C2">
        <w:t>and t</w:t>
      </w:r>
      <w:r w:rsidRPr="00E303C4">
        <w:t xml:space="preserve">o form </w:t>
      </w:r>
      <w:r w:rsidR="00EC06C2">
        <w:t xml:space="preserve">a </w:t>
      </w:r>
      <w:r w:rsidRPr="00E303C4">
        <w:t>useful set of experience</w:t>
      </w:r>
      <w:r w:rsidR="00CA0188">
        <w:t>s</w:t>
      </w:r>
      <w:r w:rsidRPr="00E303C4">
        <w:t xml:space="preserve">. </w:t>
      </w:r>
      <w:r w:rsidR="00366101">
        <w:t xml:space="preserve">A related issue </w:t>
      </w:r>
      <w:r w:rsidR="00EA1E03">
        <w:t xml:space="preserve">might be the non-observance of the principle of equitable geographic distribution advocated in </w:t>
      </w:r>
      <w:r w:rsidR="009F3701">
        <w:t xml:space="preserve">paragraph 6 of the </w:t>
      </w:r>
      <w:r w:rsidR="00EA1E03">
        <w:t>Operational Directive</w:t>
      </w:r>
      <w:r w:rsidR="009F3701">
        <w:t>s.</w:t>
      </w:r>
    </w:p>
    <w:p w14:paraId="2858793A" w14:textId="7DDEAB46" w:rsidR="00A15A57" w:rsidRPr="00E303C4" w:rsidRDefault="00105E0F" w:rsidP="006F77B2">
      <w:pPr>
        <w:pStyle w:val="COMPara"/>
        <w:ind w:left="567" w:hanging="567"/>
        <w:jc w:val="both"/>
        <w:rPr>
          <w:rFonts w:eastAsiaTheme="minorEastAsia"/>
          <w:lang w:val="pt-BR" w:eastAsia="ko-KR"/>
        </w:rPr>
      </w:pPr>
      <w:r w:rsidRPr="00E303C4">
        <w:t xml:space="preserve">The </w:t>
      </w:r>
      <w:r w:rsidR="00EC06C2">
        <w:t>functioning of the Register might</w:t>
      </w:r>
      <w:r w:rsidR="00CA0188">
        <w:t xml:space="preserve"> </w:t>
      </w:r>
      <w:r w:rsidR="00EC06C2">
        <w:t>also be improved by a cleare</w:t>
      </w:r>
      <w:r w:rsidR="00EA1E03">
        <w:t>r</w:t>
      </w:r>
      <w:r w:rsidR="00EC06C2">
        <w:t xml:space="preserve"> </w:t>
      </w:r>
      <w:r w:rsidRPr="00E303C4">
        <w:t xml:space="preserve">presentation of the </w:t>
      </w:r>
      <w:r w:rsidR="00383BFF">
        <w:t>selected practices</w:t>
      </w:r>
      <w:r w:rsidR="00EC06C2">
        <w:t>, for instance by developing</w:t>
      </w:r>
      <w:r w:rsidR="00EA1E03">
        <w:t xml:space="preserve"> </w:t>
      </w:r>
      <w:r w:rsidRPr="00E303C4">
        <w:t>possibilities for search</w:t>
      </w:r>
      <w:r w:rsidR="00EC06C2">
        <w:t>es</w:t>
      </w:r>
      <w:r w:rsidRPr="00E303C4">
        <w:t xml:space="preserve"> based on safeguarding </w:t>
      </w:r>
      <w:r w:rsidR="00EC06C2">
        <w:t>themes</w:t>
      </w:r>
      <w:r w:rsidRPr="00E303C4">
        <w:t>.</w:t>
      </w:r>
      <w:r w:rsidR="009F3701">
        <w:t xml:space="preserve"> </w:t>
      </w:r>
      <w:r w:rsidR="00EC06C2">
        <w:t>Furthermore</w:t>
      </w:r>
      <w:r w:rsidR="00CA0188">
        <w:t>,</w:t>
      </w:r>
      <w:r w:rsidR="00EC06C2">
        <w:t xml:space="preserve"> i</w:t>
      </w:r>
      <w:r w:rsidR="00A15A57" w:rsidRPr="00E303C4">
        <w:t xml:space="preserve">t </w:t>
      </w:r>
      <w:r w:rsidR="00CA0188">
        <w:t>is</w:t>
      </w:r>
      <w:r w:rsidR="00A15A57" w:rsidRPr="00E303C4">
        <w:t xml:space="preserve"> important to consider to what extent the Register has been functioning in relation to </w:t>
      </w:r>
      <w:r w:rsidR="00EC06C2">
        <w:t xml:space="preserve">the </w:t>
      </w:r>
      <w:r w:rsidR="00A15A57" w:rsidRPr="00E303C4">
        <w:t>four main purposes of the 2003 Conventio</w:t>
      </w:r>
      <w:r w:rsidR="00EC06C2">
        <w:t>n,</w:t>
      </w:r>
      <w:r w:rsidR="00A15A57" w:rsidRPr="00E303C4">
        <w:t xml:space="preserve"> as stipulated in Article</w:t>
      </w:r>
      <w:r w:rsidR="00565CDC">
        <w:t> </w:t>
      </w:r>
      <w:r w:rsidR="00A15A57" w:rsidRPr="00E303C4">
        <w:t>1 of the Convention</w:t>
      </w:r>
      <w:r w:rsidR="00EC06C2">
        <w:t>,</w:t>
      </w:r>
      <w:r w:rsidR="00A15A57" w:rsidRPr="00E303C4">
        <w:t xml:space="preserve"> and how </w:t>
      </w:r>
      <w:r w:rsidR="002146CB" w:rsidRPr="00E303C4">
        <w:t xml:space="preserve">to further enhance </w:t>
      </w:r>
      <w:r w:rsidR="00EC06C2">
        <w:t>its contribution to these objectives</w:t>
      </w:r>
      <w:r w:rsidR="002146CB" w:rsidRPr="00E303C4">
        <w:t>.</w:t>
      </w:r>
    </w:p>
    <w:p w14:paraId="62A2E016" w14:textId="3C1D5717" w:rsidR="00DF53A2" w:rsidRDefault="009B2471" w:rsidP="00EE331E">
      <w:pPr>
        <w:pStyle w:val="COMPara"/>
        <w:ind w:left="567" w:hanging="567"/>
        <w:jc w:val="both"/>
        <w:rPr>
          <w:lang w:eastAsia="zh-CN"/>
        </w:rPr>
      </w:pPr>
      <w:r w:rsidRPr="00336E09">
        <w:rPr>
          <w:b/>
          <w:bCs/>
        </w:rPr>
        <w:t>Follow-up and monitoring</w:t>
      </w:r>
      <w:r>
        <w:t xml:space="preserve">: </w:t>
      </w:r>
      <w:r w:rsidR="00CA0188">
        <w:t>Notwithstanding</w:t>
      </w:r>
      <w:r w:rsidR="00366101">
        <w:t xml:space="preserve"> </w:t>
      </w:r>
      <w:r w:rsidR="009F3701">
        <w:t xml:space="preserve">paragraph 45 of the </w:t>
      </w:r>
      <w:r w:rsidR="00366101">
        <w:t>Operational Directive</w:t>
      </w:r>
      <w:r w:rsidR="00EE331E">
        <w:t>s</w:t>
      </w:r>
      <w:r w:rsidR="00EA1E03">
        <w:t>, t</w:t>
      </w:r>
      <w:r w:rsidRPr="00D67ED5">
        <w:t xml:space="preserve">he </w:t>
      </w:r>
      <w:r w:rsidR="00DF53A2">
        <w:t xml:space="preserve">current </w:t>
      </w:r>
      <w:r w:rsidR="00EC06C2">
        <w:t>embedding of</w:t>
      </w:r>
      <w:r w:rsidR="00336E09">
        <w:t xml:space="preserve"> the </w:t>
      </w:r>
      <w:r w:rsidRPr="00D67ED5">
        <w:t xml:space="preserve">Register </w:t>
      </w:r>
      <w:r w:rsidR="00336E09">
        <w:t xml:space="preserve">does not include </w:t>
      </w:r>
      <w:r w:rsidR="00DF53A2">
        <w:t xml:space="preserve">a dedicated </w:t>
      </w:r>
      <w:r w:rsidRPr="00336E09">
        <w:t>follow-up and monitoring</w:t>
      </w:r>
      <w:r w:rsidR="00CA0188">
        <w:t xml:space="preserve"> system</w:t>
      </w:r>
      <w:r w:rsidR="00DF53A2">
        <w:t>, unlike the Representative List and the Urgent Safeguarding List</w:t>
      </w:r>
      <w:r w:rsidRPr="00D67ED5">
        <w:t xml:space="preserve">. </w:t>
      </w:r>
      <w:r w:rsidR="00DF53A2">
        <w:t>Yet t</w:t>
      </w:r>
      <w:r w:rsidRPr="00D67ED5">
        <w:t xml:space="preserve">here is interest in learning about </w:t>
      </w:r>
      <w:r w:rsidR="00EC06C2">
        <w:t>post-selection</w:t>
      </w:r>
      <w:r w:rsidR="00EA1E03">
        <w:t xml:space="preserve"> experiences</w:t>
      </w:r>
      <w:r w:rsidR="00EC06C2">
        <w:t>:</w:t>
      </w:r>
      <w:r w:rsidR="00EC06C2" w:rsidRPr="00D67ED5">
        <w:t xml:space="preserve"> </w:t>
      </w:r>
      <w:r w:rsidRPr="00D67ED5">
        <w:t>what happen</w:t>
      </w:r>
      <w:r w:rsidR="00EC06C2">
        <w:t>ed</w:t>
      </w:r>
      <w:r w:rsidRPr="00D67ED5">
        <w:t xml:space="preserve"> after </w:t>
      </w:r>
      <w:r w:rsidR="00CA0188">
        <w:t xml:space="preserve">the </w:t>
      </w:r>
      <w:r w:rsidRPr="00D67ED5">
        <w:t>selection</w:t>
      </w:r>
      <w:r w:rsidR="00EC06C2">
        <w:t>;</w:t>
      </w:r>
      <w:r w:rsidR="009F3701">
        <w:t xml:space="preserve"> </w:t>
      </w:r>
      <w:r w:rsidRPr="00D67ED5">
        <w:t xml:space="preserve">how </w:t>
      </w:r>
      <w:r w:rsidR="00EC06C2">
        <w:t xml:space="preserve">were </w:t>
      </w:r>
      <w:r w:rsidRPr="00D67ED5">
        <w:lastRenderedPageBreak/>
        <w:t>ideas and methods of safeguarding shared</w:t>
      </w:r>
      <w:r w:rsidR="00EA1E03">
        <w:t>;</w:t>
      </w:r>
      <w:r w:rsidR="00EC06C2">
        <w:t xml:space="preserve"> how often, and with whom?</w:t>
      </w:r>
      <w:r w:rsidR="00DF53A2">
        <w:t xml:space="preserve"> It would be pertinent to reflect </w:t>
      </w:r>
      <w:r w:rsidR="00CA0188">
        <w:t xml:space="preserve">on </w:t>
      </w:r>
      <w:r w:rsidR="00EC06C2">
        <w:t>whether</w:t>
      </w:r>
      <w:r w:rsidR="00CA0188">
        <w:t xml:space="preserve">, </w:t>
      </w:r>
      <w:r w:rsidR="00EC06C2">
        <w:t xml:space="preserve">and </w:t>
      </w:r>
      <w:r w:rsidR="00CA0188">
        <w:t xml:space="preserve">if so </w:t>
      </w:r>
      <w:r w:rsidR="00EC06C2">
        <w:t>how</w:t>
      </w:r>
      <w:r w:rsidR="00CA0188">
        <w:t xml:space="preserve">, </w:t>
      </w:r>
      <w:r w:rsidR="00DF53A2">
        <w:t>information on follow-up and monitoring could be integrated in</w:t>
      </w:r>
      <w:r w:rsidR="00CA0188">
        <w:t>to</w:t>
      </w:r>
      <w:r w:rsidR="00DF53A2">
        <w:t xml:space="preserve"> the periodic reporting</w:t>
      </w:r>
      <w:r w:rsidR="00CA0188">
        <w:t xml:space="preserve"> framework</w:t>
      </w:r>
      <w:r w:rsidR="00DF53A2">
        <w:t>.</w:t>
      </w:r>
    </w:p>
    <w:p w14:paraId="352F6F1D" w14:textId="4DC5248F" w:rsidR="00064D84" w:rsidRDefault="001E3D47" w:rsidP="006F77B2">
      <w:pPr>
        <w:pStyle w:val="COMPara"/>
        <w:ind w:left="567" w:hanging="567"/>
        <w:jc w:val="both"/>
      </w:pPr>
      <w:r w:rsidRPr="001E3D47">
        <w:rPr>
          <w:b/>
          <w:bCs/>
        </w:rPr>
        <w:t>Criteria</w:t>
      </w:r>
      <w:r>
        <w:t xml:space="preserve">: </w:t>
      </w:r>
      <w:r w:rsidR="00CA0188">
        <w:t xml:space="preserve">One </w:t>
      </w:r>
      <w:r w:rsidR="00EC06C2">
        <w:t>very</w:t>
      </w:r>
      <w:r w:rsidR="00B63E48">
        <w:t xml:space="preserve"> concrete outcome of the </w:t>
      </w:r>
      <w:r w:rsidR="00EC06C2">
        <w:t>G</w:t>
      </w:r>
      <w:r w:rsidR="00B63E48">
        <w:t xml:space="preserve">lobal </w:t>
      </w:r>
      <w:r w:rsidR="00383BFF">
        <w:t>R</w:t>
      </w:r>
      <w:r w:rsidR="00B63E48">
        <w:t xml:space="preserve">eflection </w:t>
      </w:r>
      <w:r w:rsidR="0007795D">
        <w:t>was</w:t>
      </w:r>
      <w:r w:rsidR="00B63E48">
        <w:t xml:space="preserve"> the deletion of selection criterion P.9</w:t>
      </w:r>
      <w:r w:rsidR="0013247A">
        <w:t xml:space="preserve"> from the set of criteria presented in Operational Directive 7</w:t>
      </w:r>
      <w:r w:rsidR="00B63E48">
        <w:t xml:space="preserve"> (</w:t>
      </w:r>
      <w:r w:rsidR="000304C0">
        <w:t>Document </w:t>
      </w:r>
      <w:hyperlink r:id="rId12" w:history="1">
        <w:r w:rsidR="00B63E48" w:rsidRPr="007C5083">
          <w:rPr>
            <w:rStyle w:val="Hyperlink"/>
          </w:rPr>
          <w:t>LHE/23/EXP ART 18/</w:t>
        </w:r>
        <w:r w:rsidR="007C5083" w:rsidRPr="007C5083">
          <w:rPr>
            <w:rStyle w:val="Hyperlink"/>
          </w:rPr>
          <w:t>2</w:t>
        </w:r>
      </w:hyperlink>
      <w:r w:rsidR="00B63E48">
        <w:t xml:space="preserve">). </w:t>
      </w:r>
      <w:r w:rsidR="0013247A">
        <w:t xml:space="preserve">The </w:t>
      </w:r>
      <w:r w:rsidR="00064D84">
        <w:t>Part I and Part II meetings of the Open-ended intergovernmental working group</w:t>
      </w:r>
      <w:r w:rsidR="0013247A">
        <w:t xml:space="preserve"> that carried out the Global Reflection also recommended</w:t>
      </w:r>
      <w:r w:rsidR="00064D84">
        <w:t xml:space="preserve"> </w:t>
      </w:r>
      <w:r w:rsidR="00CA0188">
        <w:t xml:space="preserve">the </w:t>
      </w:r>
      <w:r w:rsidR="00064D84">
        <w:t>‘[d]</w:t>
      </w:r>
      <w:proofErr w:type="spellStart"/>
      <w:r w:rsidR="00064D84">
        <w:t>eletion</w:t>
      </w:r>
      <w:proofErr w:type="spellEnd"/>
      <w:r w:rsidR="00064D84">
        <w:t xml:space="preserve"> or reformulation of criteria, other than criterion P.9 could be further discussed pending a broader discussion on the implementation of Article 18 of the Convention’. </w:t>
      </w:r>
      <w:r w:rsidR="0013247A">
        <w:t>The meeting might wish to discuss</w:t>
      </w:r>
      <w:r w:rsidR="00064D84">
        <w:t xml:space="preserve"> </w:t>
      </w:r>
      <w:r w:rsidR="00CA0188">
        <w:t xml:space="preserve">the </w:t>
      </w:r>
      <w:r w:rsidR="00064D84">
        <w:t xml:space="preserve">further </w:t>
      </w:r>
      <w:r w:rsidR="0013247A">
        <w:t xml:space="preserve">reduction </w:t>
      </w:r>
      <w:r w:rsidR="00064D84">
        <w:t xml:space="preserve">of </w:t>
      </w:r>
      <w:r w:rsidR="0013247A">
        <w:t xml:space="preserve">the selection </w:t>
      </w:r>
      <w:r w:rsidR="00064D84">
        <w:t>criteria for the Register of Good Safeguarding Practices. For instance, c</w:t>
      </w:r>
      <w:r w:rsidR="00064D84" w:rsidRPr="00907557">
        <w:t xml:space="preserve">hanges could be made </w:t>
      </w:r>
      <w:r w:rsidR="00CA0188">
        <w:t xml:space="preserve">to </w:t>
      </w:r>
      <w:r w:rsidR="00064D84" w:rsidRPr="00907557">
        <w:rPr>
          <w:rFonts w:cstheme="minorBidi"/>
        </w:rPr>
        <w:t>criteria P.2, P.6 and P.8</w:t>
      </w:r>
      <w:r w:rsidR="00CA0188">
        <w:rPr>
          <w:rFonts w:cstheme="minorBidi"/>
        </w:rPr>
        <w:t>,</w:t>
      </w:r>
      <w:r w:rsidR="00064D84" w:rsidRPr="00907557">
        <w:rPr>
          <w:rFonts w:cstheme="minorBidi"/>
        </w:rPr>
        <w:t xml:space="preserve"> </w:t>
      </w:r>
      <w:r w:rsidR="00CA0188">
        <w:rPr>
          <w:rFonts w:cstheme="minorBidi"/>
        </w:rPr>
        <w:t xml:space="preserve">which </w:t>
      </w:r>
      <w:r w:rsidR="0013247A">
        <w:rPr>
          <w:rFonts w:cstheme="minorBidi"/>
        </w:rPr>
        <w:t>were</w:t>
      </w:r>
      <w:r w:rsidR="00064D84" w:rsidRPr="00907557">
        <w:rPr>
          <w:rFonts w:cstheme="minorBidi"/>
        </w:rPr>
        <w:t xml:space="preserve"> considered </w:t>
      </w:r>
      <w:r w:rsidR="0013247A">
        <w:rPr>
          <w:rFonts w:cstheme="minorBidi"/>
        </w:rPr>
        <w:t xml:space="preserve">to show </w:t>
      </w:r>
      <w:r w:rsidR="00DD1FFF">
        <w:rPr>
          <w:rFonts w:cstheme="minorBidi"/>
        </w:rPr>
        <w:t xml:space="preserve">some </w:t>
      </w:r>
      <w:r w:rsidR="0013247A">
        <w:rPr>
          <w:rFonts w:cstheme="minorBidi"/>
        </w:rPr>
        <w:t>redundancy among them</w:t>
      </w:r>
      <w:r w:rsidR="00DD1FFF">
        <w:rPr>
          <w:rFonts w:cstheme="minorBidi"/>
        </w:rPr>
        <w:t>selves</w:t>
      </w:r>
      <w:r w:rsidR="0013247A">
        <w:rPr>
          <w:rFonts w:cstheme="minorBidi"/>
        </w:rPr>
        <w:t xml:space="preserve">, and to some extent </w:t>
      </w:r>
      <w:r w:rsidR="00767F5C">
        <w:rPr>
          <w:rFonts w:cstheme="minorBidi"/>
        </w:rPr>
        <w:t xml:space="preserve">to </w:t>
      </w:r>
      <w:r w:rsidR="00064D84" w:rsidRPr="00907557">
        <w:rPr>
          <w:rFonts w:cstheme="minorBidi"/>
        </w:rPr>
        <w:t xml:space="preserve">criterion P.4. If a proposal satisfies criteria P.1 and P.4, it can be assumed that the safeguarding practice in question would encourage coordination (criterion P.2), serve as a model (criterion P.6) and </w:t>
      </w:r>
      <w:r w:rsidR="00387CF3">
        <w:t>‘and that it is possible to carry out an assessment of the results’</w:t>
      </w:r>
      <w:r w:rsidR="00064D84" w:rsidRPr="00907557">
        <w:rPr>
          <w:rFonts w:cstheme="minorBidi"/>
        </w:rPr>
        <w:t xml:space="preserve"> (criterion P.8).</w:t>
      </w:r>
      <w:r w:rsidR="0013247A">
        <w:rPr>
          <w:rFonts w:cstheme="minorBidi"/>
        </w:rPr>
        <w:t xml:space="preserve"> The Intergovernmenta</w:t>
      </w:r>
      <w:r w:rsidR="006A1A56">
        <w:rPr>
          <w:rFonts w:cstheme="minorBidi"/>
        </w:rPr>
        <w:t xml:space="preserve">l </w:t>
      </w:r>
      <w:r w:rsidR="0013247A">
        <w:rPr>
          <w:rFonts w:cstheme="minorBidi"/>
        </w:rPr>
        <w:t xml:space="preserve">Committee was informed </w:t>
      </w:r>
      <w:r w:rsidR="00767F5C">
        <w:rPr>
          <w:rFonts w:cstheme="minorBidi"/>
        </w:rPr>
        <w:t xml:space="preserve">of </w:t>
      </w:r>
      <w:r w:rsidR="0013247A">
        <w:rPr>
          <w:rFonts w:cstheme="minorBidi"/>
        </w:rPr>
        <w:t xml:space="preserve">these </w:t>
      </w:r>
      <w:r w:rsidR="006A1A56">
        <w:rPr>
          <w:rFonts w:cstheme="minorBidi"/>
        </w:rPr>
        <w:t>finding</w:t>
      </w:r>
      <w:r w:rsidR="00EA1E03">
        <w:rPr>
          <w:rFonts w:cstheme="minorBidi"/>
        </w:rPr>
        <w:t xml:space="preserve">s </w:t>
      </w:r>
      <w:r w:rsidR="0013247A">
        <w:rPr>
          <w:rFonts w:cstheme="minorBidi"/>
        </w:rPr>
        <w:t xml:space="preserve">and </w:t>
      </w:r>
      <w:r w:rsidR="006A1A56">
        <w:rPr>
          <w:rFonts w:cstheme="minorBidi"/>
        </w:rPr>
        <w:t xml:space="preserve">recommended </w:t>
      </w:r>
      <w:r w:rsidR="00767F5C">
        <w:rPr>
          <w:rFonts w:cstheme="minorBidi"/>
        </w:rPr>
        <w:t>that they be used as</w:t>
      </w:r>
      <w:r w:rsidR="006A1A56">
        <w:rPr>
          <w:rFonts w:cstheme="minorBidi"/>
        </w:rPr>
        <w:t xml:space="preserve"> a basis for discussio</w:t>
      </w:r>
      <w:r w:rsidR="00EA1E03">
        <w:rPr>
          <w:rFonts w:cstheme="minorBidi"/>
        </w:rPr>
        <w:t>n</w:t>
      </w:r>
      <w:r w:rsidR="006A1A56">
        <w:rPr>
          <w:rFonts w:cstheme="minorBidi"/>
        </w:rPr>
        <w:t xml:space="preserve"> </w:t>
      </w:r>
      <w:r w:rsidR="0013247A">
        <w:rPr>
          <w:rFonts w:cstheme="minorBidi"/>
        </w:rPr>
        <w:t xml:space="preserve">through Decision </w:t>
      </w:r>
      <w:hyperlink r:id="rId13" w:history="1">
        <w:r w:rsidR="0013247A" w:rsidRPr="00D024DF">
          <w:rPr>
            <w:rStyle w:val="Hyperlink"/>
            <w:rFonts w:cstheme="minorBidi"/>
          </w:rPr>
          <w:t>17.COM 10</w:t>
        </w:r>
      </w:hyperlink>
      <w:r w:rsidR="00565CDC">
        <w:rPr>
          <w:rFonts w:cstheme="minorBidi"/>
        </w:rPr>
        <w:t xml:space="preserve"> (paragraph 4)</w:t>
      </w:r>
    </w:p>
    <w:p w14:paraId="2822299B" w14:textId="06AB38DD" w:rsidR="008F0429" w:rsidRDefault="001E3D47" w:rsidP="006F77B2">
      <w:pPr>
        <w:pStyle w:val="COMPara"/>
        <w:ind w:left="567" w:hanging="567"/>
        <w:jc w:val="both"/>
      </w:pPr>
      <w:r>
        <w:rPr>
          <w:b/>
          <w:bCs/>
        </w:rPr>
        <w:t xml:space="preserve">Revisions of </w:t>
      </w:r>
      <w:r w:rsidRPr="001E3D47">
        <w:rPr>
          <w:b/>
          <w:bCs/>
        </w:rPr>
        <w:t>Form ICH-03</w:t>
      </w:r>
      <w:r>
        <w:t xml:space="preserve">: </w:t>
      </w:r>
      <w:r w:rsidR="00897E15">
        <w:t xml:space="preserve">Unlike other </w:t>
      </w:r>
      <w:r w:rsidR="00767F5C">
        <w:t>forms,</w:t>
      </w:r>
      <w:r w:rsidR="00897E15">
        <w:t xml:space="preserve"> which </w:t>
      </w:r>
      <w:r w:rsidR="00767F5C">
        <w:t>underwent</w:t>
      </w:r>
      <w:r w:rsidR="00897E15">
        <w:t xml:space="preserve"> significant simplifications and adjustments, Form ICH-03 concerning the Register of Good Safeguarding Practices and its instructions did not </w:t>
      </w:r>
      <w:r w:rsidR="006A1A56">
        <w:t>undergo any revision</w:t>
      </w:r>
      <w:r w:rsidR="00767F5C">
        <w:t>s</w:t>
      </w:r>
      <w:r w:rsidR="0007795D">
        <w:t xml:space="preserve"> after the completion of the Global </w:t>
      </w:r>
      <w:r w:rsidR="00EA1E03">
        <w:t>Reflection</w:t>
      </w:r>
      <w:r w:rsidR="00897E15">
        <w:t xml:space="preserve">. This </w:t>
      </w:r>
      <w:r w:rsidR="00EA1E03">
        <w:t>was</w:t>
      </w:r>
      <w:r w:rsidR="00897E15">
        <w:t xml:space="preserve"> because </w:t>
      </w:r>
      <w:r w:rsidR="00EA1E03">
        <w:t xml:space="preserve">future </w:t>
      </w:r>
      <w:r w:rsidR="00897E15">
        <w:t>reflection</w:t>
      </w:r>
      <w:r w:rsidR="00EA1E03">
        <w:t>s</w:t>
      </w:r>
      <w:r w:rsidR="00897E15">
        <w:t xml:space="preserve"> on a broader implementation of Article</w:t>
      </w:r>
      <w:r w:rsidR="006A1A56">
        <w:t xml:space="preserve"> 18, which w</w:t>
      </w:r>
      <w:r w:rsidR="00EA1E03">
        <w:t>ere</w:t>
      </w:r>
      <w:r w:rsidR="006A1A56">
        <w:t xml:space="preserve"> expected to take place at short notice,</w:t>
      </w:r>
      <w:r w:rsidR="00897E15">
        <w:t xml:space="preserve"> </w:t>
      </w:r>
      <w:r w:rsidR="006A1A56">
        <w:t>might</w:t>
      </w:r>
      <w:r w:rsidR="00897E15">
        <w:t xml:space="preserve"> </w:t>
      </w:r>
      <w:r w:rsidR="006A1A56">
        <w:t xml:space="preserve">bring about </w:t>
      </w:r>
      <w:r w:rsidR="00897E15">
        <w:t xml:space="preserve">adjustments </w:t>
      </w:r>
      <w:r w:rsidR="006A1A56">
        <w:t xml:space="preserve">to </w:t>
      </w:r>
      <w:r w:rsidR="00897E15">
        <w:t>the functioning of the Register</w:t>
      </w:r>
      <w:r w:rsidR="00877721">
        <w:t xml:space="preserve"> and further reduc</w:t>
      </w:r>
      <w:r w:rsidR="006A1A56">
        <w:t>tion</w:t>
      </w:r>
      <w:r w:rsidR="00767F5C">
        <w:t>s</w:t>
      </w:r>
      <w:r w:rsidR="006A1A56">
        <w:t xml:space="preserve"> o</w:t>
      </w:r>
      <w:r w:rsidR="00EA1E03">
        <w:t>r</w:t>
      </w:r>
      <w:r w:rsidR="006A1A56">
        <w:t xml:space="preserve"> reformulation</w:t>
      </w:r>
      <w:r w:rsidR="00767F5C">
        <w:t>s</w:t>
      </w:r>
      <w:r w:rsidR="00877721">
        <w:t xml:space="preserve"> of </w:t>
      </w:r>
      <w:r w:rsidR="006A1A56">
        <w:t xml:space="preserve">its </w:t>
      </w:r>
      <w:r w:rsidR="00877721">
        <w:t>selection criteria.</w:t>
      </w:r>
      <w:r w:rsidR="005645A0">
        <w:t xml:space="preserve"> </w:t>
      </w:r>
      <w:r w:rsidR="0024725C">
        <w:t>T</w:t>
      </w:r>
      <w:r w:rsidR="005645A0">
        <w:t xml:space="preserve">he forms are </w:t>
      </w:r>
      <w:r w:rsidR="006A1A56">
        <w:t xml:space="preserve">an </w:t>
      </w:r>
      <w:r w:rsidR="00EA1E03">
        <w:t xml:space="preserve">integral </w:t>
      </w:r>
      <w:r w:rsidR="005645A0">
        <w:t>part of the selection process</w:t>
      </w:r>
      <w:r w:rsidR="00767F5C">
        <w:t xml:space="preserve">, </w:t>
      </w:r>
      <w:r w:rsidR="005645A0">
        <w:t>and it</w:t>
      </w:r>
      <w:r w:rsidR="0024725C">
        <w:t xml:space="preserve"> is through the </w:t>
      </w:r>
      <w:r w:rsidR="006A1A56">
        <w:t xml:space="preserve">answers to </w:t>
      </w:r>
      <w:r w:rsidR="0024725C">
        <w:t xml:space="preserve">questions </w:t>
      </w:r>
      <w:r w:rsidR="00767F5C">
        <w:t xml:space="preserve">contained </w:t>
      </w:r>
      <w:r w:rsidR="0024725C">
        <w:t>in the</w:t>
      </w:r>
      <w:r w:rsidR="00767F5C">
        <w:t>m</w:t>
      </w:r>
      <w:r w:rsidR="0024725C">
        <w:t xml:space="preserve"> that </w:t>
      </w:r>
      <w:r w:rsidR="006A1A56">
        <w:t xml:space="preserve">the Evaluation Body and the Intergovernmental Committee can judge whether </w:t>
      </w:r>
      <w:r w:rsidR="0024725C">
        <w:t xml:space="preserve">the </w:t>
      </w:r>
      <w:r w:rsidR="00EA1E03">
        <w:t xml:space="preserve">selection </w:t>
      </w:r>
      <w:r w:rsidR="0024725C">
        <w:t xml:space="preserve">criteria are </w:t>
      </w:r>
      <w:r w:rsidR="006A1A56">
        <w:t>met</w:t>
      </w:r>
      <w:r w:rsidR="0024725C">
        <w:t xml:space="preserve">. It </w:t>
      </w:r>
      <w:r w:rsidR="00767F5C">
        <w:t xml:space="preserve">is </w:t>
      </w:r>
      <w:r w:rsidR="0024725C">
        <w:t>therefore important to consider</w:t>
      </w:r>
      <w:r w:rsidR="006A1A56">
        <w:t>, after the discussion of the criteria,</w:t>
      </w:r>
      <w:r w:rsidR="0024725C">
        <w:t xml:space="preserve"> what adjustments of Form ICH-03 would be optimal for making </w:t>
      </w:r>
      <w:r w:rsidR="006A1A56">
        <w:t xml:space="preserve">it – and hence the </w:t>
      </w:r>
      <w:r w:rsidR="006B08ED">
        <w:t>R</w:t>
      </w:r>
      <w:r w:rsidR="006A1A56">
        <w:t>egister</w:t>
      </w:r>
      <w:r w:rsidR="009F3701">
        <w:t xml:space="preserve"> –</w:t>
      </w:r>
      <w:r w:rsidR="006A1A56">
        <w:t xml:space="preserve"> </w:t>
      </w:r>
      <w:r w:rsidR="0024725C">
        <w:t xml:space="preserve">more </w:t>
      </w:r>
      <w:r w:rsidR="006A1A56">
        <w:t xml:space="preserve">easily </w:t>
      </w:r>
      <w:r w:rsidR="0024725C">
        <w:t>accessible.</w:t>
      </w:r>
    </w:p>
    <w:p w14:paraId="5F7E2AEC" w14:textId="7C5D392A" w:rsidR="007E3D30" w:rsidRDefault="007E3D30" w:rsidP="006F77B2">
      <w:pPr>
        <w:pStyle w:val="COMPara"/>
        <w:ind w:left="567" w:hanging="567"/>
        <w:jc w:val="both"/>
      </w:pPr>
      <w:r>
        <w:t xml:space="preserve">It is proposed that the </w:t>
      </w:r>
      <w:r w:rsidR="000D73DE">
        <w:t xml:space="preserve">discussions of </w:t>
      </w:r>
      <w:r>
        <w:t>the breakout groups</w:t>
      </w:r>
      <w:r w:rsidR="000D73DE">
        <w:t xml:space="preserve"> be guided by the following questions</w:t>
      </w:r>
      <w:r>
        <w:t>:</w:t>
      </w:r>
    </w:p>
    <w:p w14:paraId="39734E68" w14:textId="17DB4929" w:rsidR="000D73DE" w:rsidRDefault="002146CB" w:rsidP="006F77B2">
      <w:pPr>
        <w:pStyle w:val="COMPara"/>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pPr>
      <w:r>
        <w:t xml:space="preserve">What measures are needed to further improve the functioning of the Register, including </w:t>
      </w:r>
      <w:r w:rsidR="00D676DC">
        <w:t>encouraging a higher number of submissions</w:t>
      </w:r>
      <w:r w:rsidR="006B08ED">
        <w:t xml:space="preserve">, in particular </w:t>
      </w:r>
      <w:r w:rsidR="00B9102B">
        <w:t xml:space="preserve">from </w:t>
      </w:r>
      <w:r w:rsidR="00767F5C">
        <w:t xml:space="preserve">currently </w:t>
      </w:r>
      <w:r w:rsidR="006B08ED">
        <w:t>underrepresented states,</w:t>
      </w:r>
      <w:r w:rsidR="00D676DC">
        <w:t xml:space="preserve"> and </w:t>
      </w:r>
      <w:r>
        <w:t>the follow-up and monitoring</w:t>
      </w:r>
      <w:r w:rsidR="00D676DC">
        <w:t xml:space="preserve"> of selected good practices</w:t>
      </w:r>
      <w:r>
        <w:t>?</w:t>
      </w:r>
    </w:p>
    <w:p w14:paraId="2A205274" w14:textId="074D1188" w:rsidR="0024725C" w:rsidRDefault="00E6700B" w:rsidP="006F77B2">
      <w:pPr>
        <w:pStyle w:val="COMPara"/>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pPr>
      <w:r>
        <w:t>Should the selection criteria be revised and if so in what ways?</w:t>
      </w:r>
    </w:p>
    <w:p w14:paraId="2997C4BC" w14:textId="32A62FD3" w:rsidR="000D73DE" w:rsidRDefault="0024725C" w:rsidP="006F77B2">
      <w:pPr>
        <w:pStyle w:val="COMPara"/>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pPr>
      <w:r>
        <w:t xml:space="preserve">What adjustments should be made </w:t>
      </w:r>
      <w:r w:rsidR="00D676DC">
        <w:t xml:space="preserve">to </w:t>
      </w:r>
      <w:r>
        <w:t xml:space="preserve">Form ICH-03 to ensure </w:t>
      </w:r>
      <w:r w:rsidR="00D676DC">
        <w:t>easier</w:t>
      </w:r>
      <w:r>
        <w:t xml:space="preserve"> access </w:t>
      </w:r>
      <w:r w:rsidR="00D676DC">
        <w:t>t</w:t>
      </w:r>
      <w:r>
        <w:t>o the Register?</w:t>
      </w:r>
    </w:p>
    <w:p w14:paraId="6F9020D8" w14:textId="60963706" w:rsidR="00B00E27" w:rsidRDefault="00D676DC" w:rsidP="006F77B2">
      <w:pPr>
        <w:pStyle w:val="COMPara"/>
        <w:numPr>
          <w:ilvl w:val="0"/>
          <w:numId w:val="28"/>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pPr>
      <w:r>
        <w:t>What</w:t>
      </w:r>
      <w:r w:rsidR="000D73DE">
        <w:t xml:space="preserve"> other way</w:t>
      </w:r>
      <w:r>
        <w:t>s</w:t>
      </w:r>
      <w:r w:rsidR="000D73DE">
        <w:t xml:space="preserve"> </w:t>
      </w:r>
      <w:r>
        <w:t xml:space="preserve">can be suggested </w:t>
      </w:r>
      <w:r w:rsidR="000D73DE">
        <w:t>to ensure better access to the Register and to increase its visibility?</w:t>
      </w:r>
    </w:p>
    <w:p w14:paraId="39595393" w14:textId="15D311BB" w:rsidR="007F7C5E" w:rsidRPr="007F7C5E" w:rsidRDefault="007F7C5E" w:rsidP="006F77B2">
      <w:pPr>
        <w:pStyle w:val="COMPara"/>
        <w:keepNext/>
        <w:numPr>
          <w:ilvl w:val="0"/>
          <w:numId w:val="0"/>
        </w:numPr>
        <w:spacing w:before="240"/>
        <w:jc w:val="both"/>
        <w:rPr>
          <w:b/>
          <w:bCs/>
        </w:rPr>
      </w:pPr>
      <w:r w:rsidRPr="007F7C5E">
        <w:rPr>
          <w:b/>
          <w:bCs/>
        </w:rPr>
        <w:lastRenderedPageBreak/>
        <w:t>Topic 2: Towards the creation of an ‘observatory’ for sharing good safeguarding practices</w:t>
      </w:r>
    </w:p>
    <w:p w14:paraId="7C58E572" w14:textId="2A98340D" w:rsidR="00A75C84" w:rsidRDefault="00EE331E" w:rsidP="006F77B2">
      <w:pPr>
        <w:pStyle w:val="COMPara"/>
        <w:keepLines/>
        <w:ind w:left="567" w:hanging="567"/>
        <w:jc w:val="both"/>
      </w:pPr>
      <w:r w:rsidRPr="00EE331E">
        <w:t xml:space="preserve">The Register of Good (formerly: Best) Safeguarding Practices, which is based on Article 18, is not mentioned in that article as such. </w:t>
      </w:r>
      <w:r w:rsidR="00BE0B99">
        <w:t xml:space="preserve">When the sixteenth session of the Committee decided to launch a new reflection on Article 18 of the Convention (Decision </w:t>
      </w:r>
      <w:hyperlink r:id="rId14" w:history="1">
        <w:r w:rsidR="00BE0B99" w:rsidRPr="007772B8">
          <w:rPr>
            <w:rStyle w:val="Hyperlink"/>
          </w:rPr>
          <w:t>16.COM 14</w:t>
        </w:r>
      </w:hyperlink>
      <w:r w:rsidR="00BE0B99">
        <w:t xml:space="preserve">), the idea was not only to continue discussing issues raised during the Global Reflection concerning the management of the Register of Good Safeguarding Practices, but also to consider the implementation of Article 18 beyond it. </w:t>
      </w:r>
      <w:r w:rsidR="003D76E3">
        <w:t xml:space="preserve">Given that communities, groups and individuals </w:t>
      </w:r>
      <w:r w:rsidR="00767F5C">
        <w:t xml:space="preserve">practise </w:t>
      </w:r>
      <w:r w:rsidR="00572ECB">
        <w:t>their living heritage</w:t>
      </w:r>
      <w:r w:rsidR="003D76E3">
        <w:t xml:space="preserve"> in </w:t>
      </w:r>
      <w:r w:rsidR="00DB22E7">
        <w:t>different parts</w:t>
      </w:r>
      <w:r w:rsidR="003D76E3">
        <w:t xml:space="preserve"> of the world, it seem</w:t>
      </w:r>
      <w:r w:rsidR="00767F5C">
        <w:t>s</w:t>
      </w:r>
      <w:r w:rsidR="003D76E3">
        <w:t xml:space="preserve"> pertinent to explore </w:t>
      </w:r>
      <w:r w:rsidR="003D76E3" w:rsidRPr="00BE0B99">
        <w:rPr>
          <w:b/>
          <w:bCs/>
        </w:rPr>
        <w:t xml:space="preserve">the possibility of setting up an </w:t>
      </w:r>
      <w:r w:rsidR="003D76E3" w:rsidRPr="00BE0B99">
        <w:rPr>
          <w:b/>
          <w:bCs/>
          <w:u w:val="single"/>
        </w:rPr>
        <w:t>online</w:t>
      </w:r>
      <w:r w:rsidR="003D76E3" w:rsidRPr="00BE0B99">
        <w:rPr>
          <w:b/>
          <w:bCs/>
        </w:rPr>
        <w:t xml:space="preserve"> ‘observatory’</w:t>
      </w:r>
      <w:r w:rsidR="00572ECB">
        <w:t xml:space="preserve"> </w:t>
      </w:r>
      <w:r w:rsidR="00111FD5">
        <w:t>(previously</w:t>
      </w:r>
      <w:r w:rsidR="006B08ED">
        <w:t xml:space="preserve"> also called</w:t>
      </w:r>
      <w:r w:rsidR="00767F5C">
        <w:t xml:space="preserve"> an</w:t>
      </w:r>
      <w:r w:rsidR="00111FD5">
        <w:t xml:space="preserve"> ‘arm’s-length body’) </w:t>
      </w:r>
      <w:r w:rsidR="00572ECB">
        <w:t>in order to explore the full potential of Article 18 of the 2003 Convention.</w:t>
      </w:r>
      <w:r w:rsidR="00A75C84">
        <w:t xml:space="preserve"> The beginning of </w:t>
      </w:r>
      <w:r w:rsidR="00767F5C">
        <w:t xml:space="preserve">this </w:t>
      </w:r>
      <w:r w:rsidR="00A75C84">
        <w:t xml:space="preserve">idea was raised earlier, for example </w:t>
      </w:r>
      <w:r w:rsidR="00B37435">
        <w:t xml:space="preserve">in the context of </w:t>
      </w:r>
      <w:r w:rsidR="00A75C84">
        <w:t>the Evaluation of UNESCO</w:t>
      </w:r>
      <w:r w:rsidR="003775D1" w:rsidRPr="003775D1">
        <w:t>'</w:t>
      </w:r>
      <w:r w:rsidR="00A75C84">
        <w:t>s Standard-setting Work of the Culture Sector, conducted by the Internal Oversight Section of UNESCO in 2013 (</w:t>
      </w:r>
      <w:r w:rsidR="00A75C84" w:rsidRPr="00BE0B99">
        <w:rPr>
          <w:rFonts w:asciiTheme="minorBidi" w:hAnsiTheme="minorBidi" w:cstheme="minorBidi"/>
        </w:rPr>
        <w:t xml:space="preserve">Decision </w:t>
      </w:r>
      <w:hyperlink r:id="rId15" w:history="1">
        <w:r w:rsidR="00A75C84" w:rsidRPr="00BE0B99">
          <w:rPr>
            <w:rStyle w:val="Hyperlink"/>
            <w:rFonts w:asciiTheme="minorBidi" w:hAnsiTheme="minorBidi" w:cstheme="minorBidi"/>
          </w:rPr>
          <w:t>8.COM 5.c.1</w:t>
        </w:r>
      </w:hyperlink>
      <w:r w:rsidR="00A75C84">
        <w:t>).</w:t>
      </w:r>
      <w:r w:rsidR="00592B3B">
        <w:t xml:space="preserve"> The idea was further developed </w:t>
      </w:r>
      <w:r w:rsidR="006B08ED">
        <w:t>when experts were consulted</w:t>
      </w:r>
      <w:r w:rsidR="00592B3B">
        <w:t xml:space="preserve"> </w:t>
      </w:r>
      <w:r w:rsidR="006B08ED">
        <w:t>in the first phase</w:t>
      </w:r>
      <w:r w:rsidR="00592B3B">
        <w:t xml:space="preserve"> of the </w:t>
      </w:r>
      <w:r w:rsidR="006B08ED">
        <w:t>G</w:t>
      </w:r>
      <w:r w:rsidR="00592B3B">
        <w:t xml:space="preserve">lobal </w:t>
      </w:r>
      <w:r w:rsidR="006B08ED">
        <w:t>R</w:t>
      </w:r>
      <w:r w:rsidR="00592B3B">
        <w:t xml:space="preserve">eflection (document </w:t>
      </w:r>
      <w:hyperlink r:id="rId16" w:history="1">
        <w:r w:rsidR="00310D84">
          <w:rPr>
            <w:rStyle w:val="Hyperlink"/>
          </w:rPr>
          <w:t>LHE/21/16.COM EXP/7</w:t>
        </w:r>
      </w:hyperlink>
      <w:r w:rsidR="00592B3B">
        <w:t>).</w:t>
      </w:r>
      <w:r w:rsidR="00995C05">
        <w:t xml:space="preserve"> Given </w:t>
      </w:r>
      <w:r w:rsidR="00767F5C">
        <w:t xml:space="preserve">the </w:t>
      </w:r>
      <w:r w:rsidR="00995C05">
        <w:t xml:space="preserve">high number of procedurally complex issues, </w:t>
      </w:r>
      <w:r w:rsidR="004D598D">
        <w:t xml:space="preserve">the </w:t>
      </w:r>
      <w:r w:rsidR="00B37435">
        <w:t>G</w:t>
      </w:r>
      <w:r w:rsidR="004D598D">
        <w:t xml:space="preserve">lobal </w:t>
      </w:r>
      <w:r w:rsidR="00B37435">
        <w:t>R</w:t>
      </w:r>
      <w:r w:rsidR="004D598D">
        <w:t xml:space="preserve">eflection was not conclusive on the possibility </w:t>
      </w:r>
      <w:r w:rsidR="00995C05">
        <w:t xml:space="preserve">of creating an observatory. With reference to Decision </w:t>
      </w:r>
      <w:hyperlink r:id="rId17" w:history="1">
        <w:r w:rsidR="00995C05" w:rsidRPr="005B3240">
          <w:rPr>
            <w:rStyle w:val="Hyperlink"/>
          </w:rPr>
          <w:t>16.COM 14</w:t>
        </w:r>
      </w:hyperlink>
      <w:r w:rsidR="00995C05">
        <w:t xml:space="preserve"> (paragraph 9), </w:t>
      </w:r>
      <w:r w:rsidR="004276A9">
        <w:t>i</w:t>
      </w:r>
      <w:r w:rsidR="00995C05">
        <w:t xml:space="preserve">t is important to consider how </w:t>
      </w:r>
      <w:r w:rsidR="00767F5C">
        <w:t xml:space="preserve">such </w:t>
      </w:r>
      <w:r w:rsidR="006B08ED">
        <w:t xml:space="preserve">an ‘observatory’ might </w:t>
      </w:r>
      <w:r w:rsidR="00995C05">
        <w:t xml:space="preserve">enhance dialogue and communication </w:t>
      </w:r>
      <w:r w:rsidR="004276A9">
        <w:t>among stakeholders of the Convention in a concrete manner</w:t>
      </w:r>
      <w:r w:rsidR="00767F5C">
        <w:t>,</w:t>
      </w:r>
      <w:r w:rsidR="006B08ED">
        <w:t xml:space="preserve"> </w:t>
      </w:r>
      <w:r w:rsidR="004276A9">
        <w:t>with a particular focus on communities, groups and, where appropriate, individuals.</w:t>
      </w:r>
    </w:p>
    <w:p w14:paraId="6559CBE5" w14:textId="07365011" w:rsidR="00111FD5" w:rsidRDefault="00111FD5" w:rsidP="006F77B2">
      <w:pPr>
        <w:pStyle w:val="COMPara"/>
        <w:ind w:left="567" w:hanging="567"/>
        <w:jc w:val="both"/>
      </w:pPr>
      <w:r>
        <w:t xml:space="preserve">The </w:t>
      </w:r>
      <w:r w:rsidRPr="003A4557">
        <w:rPr>
          <w:u w:val="single"/>
        </w:rPr>
        <w:t>core objective</w:t>
      </w:r>
      <w:r>
        <w:t xml:space="preserve"> of an online observatory could be </w:t>
      </w:r>
      <w:r w:rsidR="00A75C84" w:rsidRPr="000B2858">
        <w:t xml:space="preserve">to enhance </w:t>
      </w:r>
      <w:r>
        <w:t xml:space="preserve">dialogue for </w:t>
      </w:r>
      <w:r w:rsidR="00D847FB">
        <w:t>the purposes of sharing good safeguarding practices</w:t>
      </w:r>
      <w:r w:rsidR="00B37435">
        <w:t>,</w:t>
      </w:r>
      <w:r w:rsidR="009F3701">
        <w:t xml:space="preserve"> </w:t>
      </w:r>
      <w:r w:rsidR="00D847FB">
        <w:t xml:space="preserve">in particular </w:t>
      </w:r>
      <w:r w:rsidR="00B37435">
        <w:t xml:space="preserve">in terms of </w:t>
      </w:r>
      <w:r w:rsidR="00D847FB">
        <w:t>sharing, follow-up, communication, collaboration and capacity</w:t>
      </w:r>
      <w:r w:rsidR="00B37435">
        <w:t>-</w:t>
      </w:r>
      <w:r w:rsidR="00D847FB">
        <w:t xml:space="preserve">building. </w:t>
      </w:r>
      <w:r w:rsidR="009832EC">
        <w:t>D</w:t>
      </w:r>
      <w:r w:rsidR="008904C2">
        <w:t xml:space="preserve">ialogue through such an online observatory would in the first instance allow </w:t>
      </w:r>
      <w:r w:rsidR="000B30BB">
        <w:t xml:space="preserve">for </w:t>
      </w:r>
      <w:r w:rsidR="008904C2">
        <w:t xml:space="preserve">the exchange of information between and among communities from different parts of the world to support their safeguarding efforts. At </w:t>
      </w:r>
      <w:r w:rsidR="009832EC">
        <w:t xml:space="preserve">the </w:t>
      </w:r>
      <w:r w:rsidR="008904C2">
        <w:t xml:space="preserve">same time, the dialogue </w:t>
      </w:r>
      <w:r w:rsidR="009832EC">
        <w:t xml:space="preserve">might also bring </w:t>
      </w:r>
      <w:r w:rsidR="000B30BB">
        <w:t xml:space="preserve">about </w:t>
      </w:r>
      <w:r w:rsidR="008904C2">
        <w:t xml:space="preserve">more direct engagement </w:t>
      </w:r>
      <w:r w:rsidR="000B30BB">
        <w:t xml:space="preserve">by </w:t>
      </w:r>
      <w:r w:rsidR="008904C2">
        <w:t>the Convention</w:t>
      </w:r>
      <w:r w:rsidR="003775D1" w:rsidRPr="003775D1">
        <w:t>'</w:t>
      </w:r>
      <w:r w:rsidR="008904C2">
        <w:t>s governing bodies with communities and bearers of living heritage.</w:t>
      </w:r>
    </w:p>
    <w:p w14:paraId="70ED3A42" w14:textId="7C58766C" w:rsidR="00225954" w:rsidRPr="009C171C" w:rsidRDefault="00F440C9" w:rsidP="006F77B2">
      <w:pPr>
        <w:pStyle w:val="COMPara"/>
        <w:ind w:left="567" w:hanging="567"/>
        <w:jc w:val="both"/>
      </w:pPr>
      <w:r>
        <w:t xml:space="preserve">In terms of the </w:t>
      </w:r>
      <w:r w:rsidR="003A4557" w:rsidRPr="003A4557">
        <w:rPr>
          <w:u w:val="single"/>
        </w:rPr>
        <w:t xml:space="preserve">links with the </w:t>
      </w:r>
      <w:r w:rsidRPr="003A4557">
        <w:rPr>
          <w:u w:val="single"/>
        </w:rPr>
        <w:t>implementation of various mechanism of the Convention</w:t>
      </w:r>
      <w:r>
        <w:t xml:space="preserve">, an online observatory </w:t>
      </w:r>
      <w:r w:rsidR="00225954" w:rsidRPr="009C171C">
        <w:t xml:space="preserve">could be </w:t>
      </w:r>
      <w:r w:rsidR="00F0535A">
        <w:t>used</w:t>
      </w:r>
      <w:r w:rsidR="0044288C">
        <w:t xml:space="preserve"> </w:t>
      </w:r>
      <w:r w:rsidR="00225954" w:rsidRPr="009C171C">
        <w:t xml:space="preserve">in </w:t>
      </w:r>
      <w:r w:rsidR="004C459C">
        <w:t>concrete</w:t>
      </w:r>
      <w:r w:rsidR="00225954" w:rsidRPr="009C171C">
        <w:t xml:space="preserve"> ways</w:t>
      </w:r>
      <w:r w:rsidR="001308BE">
        <w:t>, for example</w:t>
      </w:r>
      <w:r w:rsidR="0044288C">
        <w:t xml:space="preserve"> for</w:t>
      </w:r>
      <w:r w:rsidR="00225954">
        <w:t>:</w:t>
      </w:r>
    </w:p>
    <w:p w14:paraId="57E0EB03" w14:textId="5525BCD9" w:rsidR="00225954" w:rsidRPr="00225954" w:rsidRDefault="0044288C" w:rsidP="006F77B2">
      <w:pPr>
        <w:pStyle w:val="Marge"/>
        <w:numPr>
          <w:ilvl w:val="1"/>
          <w:numId w:val="23"/>
        </w:numPr>
        <w:tabs>
          <w:tab w:val="clear" w:pos="567"/>
        </w:tabs>
        <w:spacing w:before="120" w:after="120"/>
        <w:ind w:left="1134" w:hanging="567"/>
        <w:rPr>
          <w:rFonts w:cs="Arial"/>
          <w:lang w:val="en-GB"/>
        </w:rPr>
      </w:pPr>
      <w:r>
        <w:rPr>
          <w:rFonts w:cs="Arial"/>
          <w:lang w:val="en-GB"/>
        </w:rPr>
        <w:t>Forming a ‘network of inscribed elements</w:t>
      </w:r>
      <w:r w:rsidR="009832EC">
        <w:rPr>
          <w:rFonts w:cs="Arial"/>
          <w:lang w:val="en-GB"/>
        </w:rPr>
        <w:t xml:space="preserve"> and practices</w:t>
      </w:r>
      <w:r>
        <w:rPr>
          <w:rFonts w:cs="Arial"/>
          <w:lang w:val="en-GB"/>
        </w:rPr>
        <w:t>’ in order to exchange</w:t>
      </w:r>
      <w:r w:rsidR="00225954" w:rsidRPr="00225954">
        <w:rPr>
          <w:rFonts w:cs="Arial"/>
          <w:lang w:val="en-GB"/>
        </w:rPr>
        <w:t xml:space="preserve"> information regarding elements/</w:t>
      </w:r>
      <w:r w:rsidR="004C459C">
        <w:rPr>
          <w:rFonts w:cs="Arial"/>
          <w:lang w:val="en-GB"/>
        </w:rPr>
        <w:t>programmes</w:t>
      </w:r>
      <w:r w:rsidR="00225954" w:rsidRPr="00225954">
        <w:rPr>
          <w:rFonts w:cs="Arial"/>
          <w:lang w:val="en-GB"/>
        </w:rPr>
        <w:t xml:space="preserve"> </w:t>
      </w:r>
      <w:r w:rsidR="004C459C">
        <w:rPr>
          <w:rFonts w:cs="Arial"/>
          <w:lang w:val="en-GB"/>
        </w:rPr>
        <w:t xml:space="preserve">following inscriptions/selection on the Lists and the Register and to monitor safeguarding plans and </w:t>
      </w:r>
      <w:r w:rsidR="009832EC">
        <w:rPr>
          <w:rFonts w:cs="Arial"/>
          <w:lang w:val="en-GB"/>
        </w:rPr>
        <w:t xml:space="preserve">the sharing of </w:t>
      </w:r>
      <w:r w:rsidR="004C459C">
        <w:rPr>
          <w:rFonts w:cs="Arial"/>
          <w:lang w:val="en-GB"/>
        </w:rPr>
        <w:t>safeguarding methods;</w:t>
      </w:r>
    </w:p>
    <w:p w14:paraId="4EF22011" w14:textId="2E48C854" w:rsidR="00225954" w:rsidRPr="00225954" w:rsidRDefault="000B30BB" w:rsidP="006F77B2">
      <w:pPr>
        <w:pStyle w:val="Marge"/>
        <w:numPr>
          <w:ilvl w:val="1"/>
          <w:numId w:val="23"/>
        </w:numPr>
        <w:tabs>
          <w:tab w:val="clear" w:pos="567"/>
        </w:tabs>
        <w:spacing w:before="120" w:after="120"/>
        <w:ind w:left="1134" w:hanging="567"/>
        <w:rPr>
          <w:rFonts w:cs="Arial"/>
          <w:lang w:val="en-GB"/>
        </w:rPr>
      </w:pPr>
      <w:r>
        <w:rPr>
          <w:rFonts w:cs="Arial"/>
          <w:lang w:val="en-GB"/>
        </w:rPr>
        <w:t>Raising awareness</w:t>
      </w:r>
      <w:r w:rsidRPr="00225954">
        <w:rPr>
          <w:rFonts w:cs="Arial"/>
          <w:lang w:val="en-GB"/>
        </w:rPr>
        <w:t xml:space="preserve"> </w:t>
      </w:r>
      <w:r w:rsidR="00225954" w:rsidRPr="00225954">
        <w:rPr>
          <w:rFonts w:cs="Arial"/>
          <w:lang w:val="en-GB"/>
        </w:rPr>
        <w:t>about local, regional, national and international events related to the safeguarding of intangible cultural heritage, with direct inputs from communities</w:t>
      </w:r>
      <w:r>
        <w:rPr>
          <w:rFonts w:cs="Arial"/>
          <w:lang w:val="en-GB"/>
        </w:rPr>
        <w:t>.</w:t>
      </w:r>
    </w:p>
    <w:p w14:paraId="6E0AB3D3" w14:textId="01821B66" w:rsidR="00E02E7D" w:rsidRDefault="008B37AC" w:rsidP="006F77B2">
      <w:pPr>
        <w:pStyle w:val="COMPara"/>
        <w:ind w:left="567" w:hanging="567"/>
        <w:jc w:val="both"/>
      </w:pPr>
      <w:r w:rsidRPr="008B37AC">
        <w:rPr>
          <w:u w:val="single"/>
        </w:rPr>
        <w:t>Practical considerations</w:t>
      </w:r>
      <w:r w:rsidR="000B30BB" w:rsidRPr="00C34843">
        <w:t>:</w:t>
      </w:r>
      <w:r>
        <w:t xml:space="preserve"> </w:t>
      </w:r>
      <w:r w:rsidR="009832EC">
        <w:t xml:space="preserve">It </w:t>
      </w:r>
      <w:r w:rsidR="000B30BB">
        <w:t>is</w:t>
      </w:r>
      <w:r>
        <w:t xml:space="preserve"> important to manage </w:t>
      </w:r>
      <w:r w:rsidR="00E02E7D">
        <w:t>the volume and types of information to be exchanged</w:t>
      </w:r>
      <w:r>
        <w:t>.</w:t>
      </w:r>
      <w:r w:rsidR="00E02E7D">
        <w:t xml:space="preserve"> </w:t>
      </w:r>
      <w:r>
        <w:t>A</w:t>
      </w:r>
      <w:r w:rsidR="00E02E7D">
        <w:t xml:space="preserve"> balance needs to be sought allowing communities around the world to </w:t>
      </w:r>
      <w:r>
        <w:t>make direct inputs and shar</w:t>
      </w:r>
      <w:r w:rsidR="000B30BB">
        <w:t xml:space="preserve">e </w:t>
      </w:r>
      <w:r>
        <w:t xml:space="preserve">information through an online </w:t>
      </w:r>
      <w:r w:rsidR="00E02E7D">
        <w:t>observatory</w:t>
      </w:r>
      <w:r>
        <w:t xml:space="preserve">. At the same time, </w:t>
      </w:r>
      <w:r w:rsidR="00E02E7D">
        <w:t xml:space="preserve">the information flow </w:t>
      </w:r>
      <w:r>
        <w:t xml:space="preserve">must be managed </w:t>
      </w:r>
      <w:r w:rsidR="00E02E7D">
        <w:t>in a meaningful way for the implementation of the Convention. Moderating ‘chats’ on a regular basis is labour</w:t>
      </w:r>
      <w:r w:rsidR="009832EC">
        <w:t>-</w:t>
      </w:r>
      <w:r w:rsidR="00E02E7D">
        <w:t xml:space="preserve">intensive but a </w:t>
      </w:r>
      <w:r>
        <w:t xml:space="preserve">minimum </w:t>
      </w:r>
      <w:r w:rsidR="000B30BB">
        <w:t xml:space="preserve">amount of </w:t>
      </w:r>
      <w:r>
        <w:t>intervention would seem necessary.</w:t>
      </w:r>
    </w:p>
    <w:p w14:paraId="343198BA" w14:textId="7E3FCCC6" w:rsidR="00DB22E7" w:rsidRDefault="003501BB" w:rsidP="006F77B2">
      <w:pPr>
        <w:pStyle w:val="COMPara"/>
        <w:ind w:left="567" w:hanging="567"/>
        <w:jc w:val="both"/>
      </w:pPr>
      <w:r>
        <w:t xml:space="preserve">The </w:t>
      </w:r>
      <w:r w:rsidRPr="003A4557">
        <w:rPr>
          <w:u w:val="single"/>
        </w:rPr>
        <w:t>online modality</w:t>
      </w:r>
      <w:r>
        <w:t xml:space="preserve"> would</w:t>
      </w:r>
      <w:r w:rsidR="009832EC">
        <w:t xml:space="preserve"> </w:t>
      </w:r>
      <w:r w:rsidR="00BF5AAE">
        <w:t>open</w:t>
      </w:r>
      <w:r>
        <w:t xml:space="preserve"> </w:t>
      </w:r>
      <w:r w:rsidR="00744A44">
        <w:t xml:space="preserve">up </w:t>
      </w:r>
      <w:r>
        <w:t>possibilities that were not conceivable when the Convention was adopted two decades ago. It would, for instance, f</w:t>
      </w:r>
      <w:r w:rsidR="00DB22E7">
        <w:t>acilitat</w:t>
      </w:r>
      <w:r>
        <w:t>e</w:t>
      </w:r>
      <w:r w:rsidR="00DB22E7">
        <w:t xml:space="preserve"> the dissemination of a</w:t>
      </w:r>
      <w:r w:rsidR="00DB22E7" w:rsidRPr="00225954">
        <w:t>udio-visual material</w:t>
      </w:r>
      <w:r w:rsidR="009832EC">
        <w:t>s</w:t>
      </w:r>
      <w:r w:rsidR="00DB22E7">
        <w:t xml:space="preserve"> created by communities, groups or individuals </w:t>
      </w:r>
      <w:r w:rsidR="00DB22E7" w:rsidRPr="00225954">
        <w:t>wishing to share their good safeguarding practices.</w:t>
      </w:r>
      <w:r w:rsidR="00DB22E7">
        <w:t xml:space="preserve"> </w:t>
      </w:r>
      <w:r w:rsidR="00B365A7">
        <w:t xml:space="preserve">The </w:t>
      </w:r>
      <w:r w:rsidR="009F3701">
        <w:t>observatory</w:t>
      </w:r>
      <w:r w:rsidR="00B365A7">
        <w:t xml:space="preserve"> could be foreseen partially as </w:t>
      </w:r>
      <w:r w:rsidR="00B365A7" w:rsidRPr="00225954">
        <w:t xml:space="preserve">a social </w:t>
      </w:r>
      <w:r w:rsidR="00744A44" w:rsidRPr="00225954">
        <w:t>medi</w:t>
      </w:r>
      <w:r w:rsidR="00744A44">
        <w:t>um</w:t>
      </w:r>
      <w:r w:rsidR="00B365A7" w:rsidRPr="00225954">
        <w:t xml:space="preserve">/forum </w:t>
      </w:r>
      <w:r w:rsidR="00B365A7">
        <w:t xml:space="preserve">for informally and directly sharing </w:t>
      </w:r>
      <w:r w:rsidR="00B365A7" w:rsidRPr="00225954">
        <w:t>knowledge regarding good safeguarding practices.</w:t>
      </w:r>
      <w:r w:rsidR="00B365A7">
        <w:t xml:space="preserve"> </w:t>
      </w:r>
      <w:r w:rsidR="00225954" w:rsidRPr="00225954">
        <w:t xml:space="preserve">Different languages could also be used for </w:t>
      </w:r>
      <w:r w:rsidR="00744A44" w:rsidRPr="00225954">
        <w:t>communicati</w:t>
      </w:r>
      <w:r w:rsidR="00744A44">
        <w:t>ng</w:t>
      </w:r>
      <w:r w:rsidR="00744A44" w:rsidRPr="00225954">
        <w:t xml:space="preserve"> </w:t>
      </w:r>
      <w:r w:rsidR="00225954" w:rsidRPr="00225954">
        <w:t xml:space="preserve">in the </w:t>
      </w:r>
      <w:r>
        <w:t>o</w:t>
      </w:r>
      <w:r w:rsidR="00225954" w:rsidRPr="00225954">
        <w:t>bservatory through the mechanism of automatic translation.</w:t>
      </w:r>
    </w:p>
    <w:p w14:paraId="3CBA0EBC" w14:textId="138D7C6D" w:rsidR="00B33FA5" w:rsidRDefault="00290345" w:rsidP="006F77B2">
      <w:pPr>
        <w:pStyle w:val="COMPara"/>
        <w:ind w:left="567" w:hanging="567"/>
        <w:jc w:val="both"/>
      </w:pPr>
      <w:r>
        <w:t xml:space="preserve">Dealing with communities, groups and, where appropriate, individuals, would mean it is particularly important to respect the </w:t>
      </w:r>
      <w:hyperlink r:id="rId18" w:history="1">
        <w:r w:rsidRPr="00FF4C8D">
          <w:rPr>
            <w:rStyle w:val="Hyperlink"/>
          </w:rPr>
          <w:t>Ethical Principles</w:t>
        </w:r>
      </w:hyperlink>
      <w:r>
        <w:t xml:space="preserve"> for Safeguarding Intangible Cultural Heritage, and in particular </w:t>
      </w:r>
      <w:r w:rsidR="009832EC">
        <w:t xml:space="preserve">the principle of </w:t>
      </w:r>
      <w:r>
        <w:t>free, prior</w:t>
      </w:r>
      <w:r w:rsidR="00D231AC">
        <w:t xml:space="preserve"> and</w:t>
      </w:r>
      <w:r>
        <w:t xml:space="preserve"> informed consent.</w:t>
      </w:r>
      <w:r w:rsidR="00FF4C8D">
        <w:t xml:space="preserve"> </w:t>
      </w:r>
      <w:r w:rsidR="009832EC">
        <w:t>Sharing</w:t>
      </w:r>
      <w:r w:rsidR="00FF4C8D">
        <w:t xml:space="preserve"> images or </w:t>
      </w:r>
      <w:r w:rsidR="00D231AC">
        <w:t>disseminating</w:t>
      </w:r>
      <w:r w:rsidR="00FF4C8D">
        <w:t xml:space="preserve"> information that may lead to the identification of individuals may not be appropriate in many circumstances. </w:t>
      </w:r>
      <w:r w:rsidR="00D231AC">
        <w:t>It may be necessary to establish</w:t>
      </w:r>
      <w:r w:rsidR="00FF4C8D">
        <w:t xml:space="preserve"> guidelines </w:t>
      </w:r>
      <w:r w:rsidR="00D231AC">
        <w:t xml:space="preserve">specifically </w:t>
      </w:r>
      <w:r w:rsidR="00FF4C8D">
        <w:t xml:space="preserve">geared </w:t>
      </w:r>
      <w:r w:rsidR="00D231AC">
        <w:t xml:space="preserve">at </w:t>
      </w:r>
      <w:r w:rsidR="00FF4C8D">
        <w:t xml:space="preserve">sharing information </w:t>
      </w:r>
      <w:r w:rsidR="00D231AC">
        <w:t>online</w:t>
      </w:r>
      <w:r w:rsidR="00FF4C8D">
        <w:t>.</w:t>
      </w:r>
    </w:p>
    <w:p w14:paraId="751506A5" w14:textId="1898E78E" w:rsidR="00C748AC" w:rsidRDefault="00B365A7" w:rsidP="006F77B2">
      <w:pPr>
        <w:pStyle w:val="COMPara"/>
        <w:ind w:left="567" w:hanging="567"/>
        <w:jc w:val="both"/>
      </w:pPr>
      <w:r>
        <w:lastRenderedPageBreak/>
        <w:t>Needless to say, c</w:t>
      </w:r>
      <w:r w:rsidR="00F0535A">
        <w:t>larification is required regard</w:t>
      </w:r>
      <w:r w:rsidR="00D231AC">
        <w:t>ing</w:t>
      </w:r>
      <w:r w:rsidR="00F0535A">
        <w:t xml:space="preserve"> the </w:t>
      </w:r>
      <w:r w:rsidR="00F0535A" w:rsidRPr="004C709E">
        <w:rPr>
          <w:u w:val="single"/>
        </w:rPr>
        <w:t>administrative set</w:t>
      </w:r>
      <w:r w:rsidR="00B37435">
        <w:rPr>
          <w:u w:val="single"/>
        </w:rPr>
        <w:t>-</w:t>
      </w:r>
      <w:r w:rsidR="00F0535A" w:rsidRPr="004C709E">
        <w:rPr>
          <w:u w:val="single"/>
        </w:rPr>
        <w:t xml:space="preserve">up </w:t>
      </w:r>
      <w:r w:rsidR="006A72FC">
        <w:rPr>
          <w:u w:val="single"/>
        </w:rPr>
        <w:t>as well as</w:t>
      </w:r>
      <w:r w:rsidR="006A72FC" w:rsidRPr="004C709E">
        <w:rPr>
          <w:u w:val="single"/>
        </w:rPr>
        <w:t xml:space="preserve"> </w:t>
      </w:r>
      <w:r w:rsidR="00F0535A" w:rsidRPr="004C709E">
        <w:rPr>
          <w:u w:val="single"/>
        </w:rPr>
        <w:t xml:space="preserve">financial </w:t>
      </w:r>
      <w:r w:rsidR="006A72FC">
        <w:rPr>
          <w:u w:val="single"/>
        </w:rPr>
        <w:t xml:space="preserve">and operational </w:t>
      </w:r>
      <w:r w:rsidR="00F0535A" w:rsidRPr="004C709E">
        <w:rPr>
          <w:u w:val="single"/>
        </w:rPr>
        <w:t>implications</w:t>
      </w:r>
      <w:r w:rsidR="00F0535A">
        <w:t xml:space="preserve"> of</w:t>
      </w:r>
      <w:r w:rsidR="00B37435">
        <w:t xml:space="preserve"> </w:t>
      </w:r>
      <w:r w:rsidR="009832EC">
        <w:t>an</w:t>
      </w:r>
      <w:r w:rsidR="00F0535A">
        <w:t xml:space="preserve"> online observatory. A base plan could be to establish the observatory on a global basis with regional ‘rooms’, involving all stakeholders of the Convention.</w:t>
      </w:r>
      <w:r w:rsidR="00B33FA5">
        <w:t xml:space="preserve"> </w:t>
      </w:r>
      <w:r w:rsidR="004C709E">
        <w:t>Such institutional considerations</w:t>
      </w:r>
      <w:r w:rsidR="00E02E7D">
        <w:t xml:space="preserve"> </w:t>
      </w:r>
      <w:r w:rsidR="00B37435">
        <w:t xml:space="preserve">might </w:t>
      </w:r>
      <w:r w:rsidR="00E02E7D">
        <w:t>be closely linked to the decisions</w:t>
      </w:r>
      <w:r w:rsidR="00B37435">
        <w:t>, in which practitioners and other tradition bearers would also have to be involved,</w:t>
      </w:r>
      <w:r w:rsidR="00E02E7D">
        <w:t xml:space="preserve"> as to how an online observatory would be set up and maintained. </w:t>
      </w:r>
    </w:p>
    <w:p w14:paraId="4EFEA718" w14:textId="27CCC101" w:rsidR="00E019FC" w:rsidRDefault="007F7C5E" w:rsidP="006F77B2">
      <w:pPr>
        <w:pStyle w:val="COMPara"/>
        <w:keepNext/>
        <w:ind w:left="567" w:hanging="567"/>
        <w:jc w:val="both"/>
      </w:pPr>
      <w:r>
        <w:t>It is proposed that the following issues be discussed in the breakout groups:</w:t>
      </w:r>
    </w:p>
    <w:p w14:paraId="759C0DE7" w14:textId="49FFCD99" w:rsidR="008224C7" w:rsidRDefault="00B36A5C" w:rsidP="006F77B2">
      <w:pPr>
        <w:pStyle w:val="COMPara"/>
        <w:keepNext/>
        <w:keepLines/>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pPr>
      <w:r>
        <w:t>Are there any useful examples of online observatories</w:t>
      </w:r>
      <w:r w:rsidR="006D5F82">
        <w:t>, with</w:t>
      </w:r>
      <w:r w:rsidR="00C321C6">
        <w:t xml:space="preserve"> the involvement of</w:t>
      </w:r>
      <w:r w:rsidR="006D5F82">
        <w:t xml:space="preserve"> communities</w:t>
      </w:r>
      <w:r w:rsidR="00B9102B">
        <w:t>,</w:t>
      </w:r>
      <w:r w:rsidR="00C321C6">
        <w:t xml:space="preserve"> </w:t>
      </w:r>
      <w:r w:rsidR="006D5F82">
        <w:t>if possible,</w:t>
      </w:r>
      <w:r>
        <w:t xml:space="preserve"> </w:t>
      </w:r>
      <w:r w:rsidR="00C321C6">
        <w:t xml:space="preserve">from which lessons could be </w:t>
      </w:r>
      <w:r>
        <w:t>learn</w:t>
      </w:r>
      <w:r w:rsidR="00C321C6">
        <w:t>t</w:t>
      </w:r>
      <w:r>
        <w:t>?</w:t>
      </w:r>
    </w:p>
    <w:p w14:paraId="07AFACD2" w14:textId="757F3BEC" w:rsidR="006D5F82" w:rsidRDefault="006D5F82" w:rsidP="006F77B2">
      <w:pPr>
        <w:pStyle w:val="COMPara"/>
        <w:keepNext/>
        <w:keepLines/>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pPr>
      <w:r>
        <w:t xml:space="preserve">What could </w:t>
      </w:r>
      <w:r w:rsidR="00C321C6">
        <w:t>the</w:t>
      </w:r>
      <w:r>
        <w:t xml:space="preserve"> basic structure of an online observatory</w:t>
      </w:r>
      <w:r w:rsidR="00C321C6">
        <w:t xml:space="preserve"> be</w:t>
      </w:r>
      <w:r>
        <w:t>?</w:t>
      </w:r>
    </w:p>
    <w:p w14:paraId="08F6AE52" w14:textId="727DB482" w:rsidR="008B37AC" w:rsidRDefault="008B37AC" w:rsidP="006F77B2">
      <w:pPr>
        <w:pStyle w:val="COMPara"/>
        <w:keepLines/>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pPr>
      <w:r>
        <w:t>In what concrete ways</w:t>
      </w:r>
      <w:r w:rsidR="00C321C6">
        <w:t xml:space="preserve"> could the exchange of</w:t>
      </w:r>
      <w:r>
        <w:t xml:space="preserve"> information through an online observatory contribute to the implementation of the Convention and to the work of the governing bodies</w:t>
      </w:r>
      <w:r w:rsidR="009832EC">
        <w:t>, the Secretariat and the Evaluation Body</w:t>
      </w:r>
      <w:r>
        <w:t>?</w:t>
      </w:r>
    </w:p>
    <w:p w14:paraId="01F634D0" w14:textId="5CEFC6E1" w:rsidR="005B7A4E" w:rsidRDefault="008B37AC" w:rsidP="006F77B2">
      <w:pPr>
        <w:pStyle w:val="COMPara"/>
        <w:keepLines/>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pPr>
      <w:r>
        <w:t xml:space="preserve">How </w:t>
      </w:r>
      <w:r w:rsidR="00C321C6">
        <w:t xml:space="preserve">can it be </w:t>
      </w:r>
      <w:r w:rsidR="005B7A4E">
        <w:t>ensure</w:t>
      </w:r>
      <w:r w:rsidR="00C321C6">
        <w:t>d</w:t>
      </w:r>
      <w:r w:rsidR="005B7A4E">
        <w:t xml:space="preserve"> that the online sharing of information </w:t>
      </w:r>
      <w:r w:rsidR="00C321C6">
        <w:t>is</w:t>
      </w:r>
      <w:r w:rsidR="005B7A4E">
        <w:t xml:space="preserve"> ethically sound</w:t>
      </w:r>
      <w:r w:rsidR="009832EC">
        <w:t xml:space="preserve"> and</w:t>
      </w:r>
      <w:r w:rsidR="005B7A4E">
        <w:t xml:space="preserve"> in the interest</w:t>
      </w:r>
      <w:r w:rsidR="00C321C6">
        <w:t>s</w:t>
      </w:r>
      <w:r w:rsidR="005B7A4E">
        <w:t xml:space="preserve"> of communities, groups and, where appropriate, individuals?</w:t>
      </w:r>
    </w:p>
    <w:p w14:paraId="41CC0DF1" w14:textId="7084E3E1" w:rsidR="007F7C5E" w:rsidRDefault="007F7C5E" w:rsidP="006F77B2">
      <w:pPr>
        <w:pStyle w:val="COMPara"/>
        <w:keepLines/>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pPr>
      <w:r>
        <w:t xml:space="preserve">What </w:t>
      </w:r>
      <w:r w:rsidR="009832EC">
        <w:t>solutions could be suggested for</w:t>
      </w:r>
      <w:r>
        <w:t xml:space="preserve"> the administrative </w:t>
      </w:r>
      <w:r w:rsidR="006A72FC">
        <w:t xml:space="preserve">set up as well as </w:t>
      </w:r>
      <w:r>
        <w:t>financial</w:t>
      </w:r>
      <w:r w:rsidR="006A72FC">
        <w:t xml:space="preserve"> and operational implications</w:t>
      </w:r>
      <w:r>
        <w:t xml:space="preserve"> </w:t>
      </w:r>
      <w:r w:rsidR="00B9102B">
        <w:t xml:space="preserve">of </w:t>
      </w:r>
      <w:r>
        <w:t>an ‘observatory’?</w:t>
      </w:r>
    </w:p>
    <w:p w14:paraId="472CF093" w14:textId="1BD344A3" w:rsidR="004A19F9" w:rsidRDefault="004A19F9" w:rsidP="006F77B2">
      <w:pPr>
        <w:pStyle w:val="COMPara"/>
        <w:keepLines/>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pPr>
      <w:r>
        <w:t xml:space="preserve">Does the meeting recommend the creation of an online observatory that would be </w:t>
      </w:r>
      <w:r w:rsidR="00B9102B">
        <w:t xml:space="preserve">set up </w:t>
      </w:r>
      <w:r>
        <w:t>in the first place to share and prepare good safeguarding practices?</w:t>
      </w:r>
    </w:p>
    <w:p w14:paraId="6D3D683B" w14:textId="4CB2DF95" w:rsidR="007F7C5E" w:rsidRPr="005F0AC1" w:rsidRDefault="007F7C5E" w:rsidP="00F56010">
      <w:pPr>
        <w:pStyle w:val="COMPara"/>
        <w:numPr>
          <w:ilvl w:val="0"/>
          <w:numId w:val="0"/>
        </w:numPr>
        <w:spacing w:before="240"/>
        <w:jc w:val="both"/>
        <w:rPr>
          <w:b/>
          <w:bCs/>
        </w:rPr>
      </w:pPr>
      <w:r w:rsidRPr="007F7C5E">
        <w:rPr>
          <w:b/>
          <w:bCs/>
        </w:rPr>
        <w:t>Topic 3: Any other issues to be identified</w:t>
      </w:r>
    </w:p>
    <w:p w14:paraId="63282B7C" w14:textId="37C59FD0" w:rsidR="007F7C5E" w:rsidRDefault="005F0AC1" w:rsidP="006F77B2">
      <w:pPr>
        <w:pStyle w:val="COMPara"/>
        <w:ind w:left="567" w:hanging="567"/>
        <w:jc w:val="both"/>
      </w:pPr>
      <w:r>
        <w:t xml:space="preserve">The third topic </w:t>
      </w:r>
      <w:r w:rsidR="00B9102B">
        <w:t>has been left</w:t>
      </w:r>
      <w:r>
        <w:t xml:space="preserve"> deliberately open to </w:t>
      </w:r>
      <w:r w:rsidR="00B9102B">
        <w:t>allow</w:t>
      </w:r>
      <w:r>
        <w:t xml:space="preserve"> experts </w:t>
      </w:r>
      <w:r w:rsidR="00B37435">
        <w:t>participating</w:t>
      </w:r>
      <w:r>
        <w:t xml:space="preserve"> in the </w:t>
      </w:r>
      <w:r w:rsidR="00B37435">
        <w:t xml:space="preserve">Stockholm </w:t>
      </w:r>
      <w:r>
        <w:t xml:space="preserve">Category VI meeting </w:t>
      </w:r>
      <w:r w:rsidR="00B37435">
        <w:t xml:space="preserve">and/or in </w:t>
      </w:r>
      <w:r>
        <w:t>the Open-ended intergovernmental working group to identify issues relat</w:t>
      </w:r>
      <w:r w:rsidR="006D5F82">
        <w:t>i</w:t>
      </w:r>
      <w:r>
        <w:t xml:space="preserve">ng to Article 18 that </w:t>
      </w:r>
      <w:r w:rsidR="004A19F9">
        <w:t>they feel should also be discussed</w:t>
      </w:r>
      <w:r>
        <w:t>.</w:t>
      </w:r>
    </w:p>
    <w:p w14:paraId="5A755CDB" w14:textId="49AA61A2" w:rsidR="00FE2FDE" w:rsidRDefault="006D5F82" w:rsidP="006F77B2">
      <w:pPr>
        <w:pStyle w:val="COMPara"/>
        <w:ind w:left="567" w:hanging="567"/>
        <w:jc w:val="both"/>
      </w:pPr>
      <w:r>
        <w:t xml:space="preserve">What has not been raised so far, for example, is </w:t>
      </w:r>
      <w:r w:rsidR="00B9102B">
        <w:t xml:space="preserve">the relationship of </w:t>
      </w:r>
      <w:r w:rsidR="00473E41">
        <w:t xml:space="preserve">Article 18 to International Assistance in the sense of </w:t>
      </w:r>
      <w:r>
        <w:t>Article</w:t>
      </w:r>
      <w:r w:rsidR="004A19F9">
        <w:t>s</w:t>
      </w:r>
      <w:r>
        <w:t xml:space="preserve"> 18</w:t>
      </w:r>
      <w:r w:rsidR="004A19F9">
        <w:t>.1 and 18.2</w:t>
      </w:r>
      <w:r w:rsidR="00B37435">
        <w:t xml:space="preserve"> of the Convention</w:t>
      </w:r>
      <w:r w:rsidR="00FE2FDE">
        <w:t xml:space="preserve">. Programmes, projects and activities for the safeguarding of intangible cultural heritage, whether </w:t>
      </w:r>
      <w:r w:rsidR="00B9102B">
        <w:t xml:space="preserve">or not they are </w:t>
      </w:r>
      <w:r w:rsidR="00FE2FDE">
        <w:t xml:space="preserve">selected on the Register, </w:t>
      </w:r>
      <w:r w:rsidR="004A19F9">
        <w:t xml:space="preserve">may </w:t>
      </w:r>
      <w:r w:rsidR="00B9102B">
        <w:t xml:space="preserve">already </w:t>
      </w:r>
      <w:r w:rsidR="00FE2FDE">
        <w:t xml:space="preserve">be supported by </w:t>
      </w:r>
      <w:r w:rsidR="00B37435">
        <w:t xml:space="preserve">the </w:t>
      </w:r>
      <w:r w:rsidR="00FE2FDE">
        <w:t>Funds of the 2003 Conventio</w:t>
      </w:r>
      <w:r w:rsidR="004A19F9">
        <w:t>n, as is also foreseen in Article 20 (c) of the Convention.</w:t>
      </w:r>
      <w:r w:rsidR="00FE2FDE">
        <w:t xml:space="preserve"> In addition, preparatory assistance, </w:t>
      </w:r>
      <w:r w:rsidR="00B9102B">
        <w:t>for which</w:t>
      </w:r>
      <w:r w:rsidR="00FE2FDE">
        <w:t xml:space="preserve"> Form ICH-05</w:t>
      </w:r>
      <w:r w:rsidR="00B9102B">
        <w:t xml:space="preserve"> is used</w:t>
      </w:r>
      <w:r w:rsidR="00FE2FDE">
        <w:t xml:space="preserve">, is </w:t>
      </w:r>
      <w:r w:rsidR="00B9102B">
        <w:t xml:space="preserve">intended </w:t>
      </w:r>
      <w:r w:rsidR="00FE2FDE">
        <w:t>to provide resources for the elaboration of proposals</w:t>
      </w:r>
      <w:r w:rsidR="00B9102B">
        <w:t xml:space="preserve"> for</w:t>
      </w:r>
      <w:r w:rsidR="00FE2FDE">
        <w:t xml:space="preserve"> programmes, projects and activities that best reflect the principles and objectives of the Convention. These possibilities notwithstanding, very few requests have been made so far for </w:t>
      </w:r>
      <w:r w:rsidR="00B9102B">
        <w:t xml:space="preserve">that benefit </w:t>
      </w:r>
      <w:r w:rsidR="004A19F9">
        <w:t xml:space="preserve">from </w:t>
      </w:r>
      <w:r w:rsidR="00FE2FDE">
        <w:t>International Assistance with reference to the Register of Good Safeguarding Practices.</w:t>
      </w:r>
      <w:r w:rsidR="00B9102B">
        <w:t xml:space="preserve"> </w:t>
      </w:r>
    </w:p>
    <w:p w14:paraId="5D45D870" w14:textId="2CDF38FC" w:rsidR="006D5F82" w:rsidRDefault="006D5F82" w:rsidP="006F77B2">
      <w:pPr>
        <w:pStyle w:val="COMPara"/>
        <w:ind w:left="567" w:hanging="567"/>
        <w:jc w:val="both"/>
      </w:pPr>
      <w:r>
        <w:t>It is proposed that the following issues be discussed in the breakout groups:</w:t>
      </w:r>
    </w:p>
    <w:p w14:paraId="7875F737" w14:textId="45F58AF5" w:rsidR="00662B85" w:rsidRDefault="00BB793C" w:rsidP="006F77B2">
      <w:pPr>
        <w:pStyle w:val="COMPara"/>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pPr>
      <w:r>
        <w:t xml:space="preserve">What </w:t>
      </w:r>
      <w:r w:rsidR="00B9102B">
        <w:t xml:space="preserve">solutions could </w:t>
      </w:r>
      <w:r>
        <w:t>be envisaged to improve access to International Assistance for the Register of Good Safeguarding Practices?</w:t>
      </w:r>
    </w:p>
    <w:p w14:paraId="4315CC21" w14:textId="0D09B943" w:rsidR="006D5F82" w:rsidRDefault="00662B85" w:rsidP="006F77B2">
      <w:pPr>
        <w:pStyle w:val="COMPara"/>
        <w:numPr>
          <w:ilvl w:val="0"/>
          <w:numId w:val="16"/>
        </w:numPr>
        <w:pBdr>
          <w:top w:val="single" w:sz="4" w:space="1" w:color="auto"/>
          <w:left w:val="single" w:sz="4" w:space="4" w:color="auto"/>
          <w:bottom w:val="single" w:sz="4" w:space="1" w:color="auto"/>
          <w:right w:val="single" w:sz="4" w:space="4" w:color="auto"/>
        </w:pBdr>
        <w:shd w:val="clear" w:color="auto" w:fill="DBE5F1" w:themeFill="accent1" w:themeFillTint="33"/>
        <w:ind w:left="1134" w:hanging="425"/>
        <w:jc w:val="both"/>
      </w:pPr>
      <w:r>
        <w:t>What other issues may be pertinent for untapping the full potential of Article 18 of the Convention?</w:t>
      </w:r>
    </w:p>
    <w:p w14:paraId="0893489D" w14:textId="734CB966" w:rsidR="007F7C5E" w:rsidRPr="00E019FC" w:rsidRDefault="007F7C5E" w:rsidP="007F7C5E">
      <w:pPr>
        <w:pStyle w:val="COMPara"/>
        <w:numPr>
          <w:ilvl w:val="0"/>
          <w:numId w:val="0"/>
        </w:numPr>
        <w:jc w:val="both"/>
      </w:pPr>
    </w:p>
    <w:sectPr w:rsidR="007F7C5E" w:rsidRPr="00E019FC" w:rsidSect="00655736">
      <w:headerReference w:type="even" r:id="rId19"/>
      <w:headerReference w:type="default" r:id="rId20"/>
      <w:headerReference w:type="first" r:id="rId2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A6C19" w14:textId="77777777" w:rsidR="0071279F" w:rsidRDefault="0071279F" w:rsidP="00655736">
      <w:r>
        <w:separator/>
      </w:r>
    </w:p>
  </w:endnote>
  <w:endnote w:type="continuationSeparator" w:id="0">
    <w:p w14:paraId="04D4B802" w14:textId="77777777" w:rsidR="0071279F" w:rsidRDefault="0071279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943FC" w14:textId="77777777" w:rsidR="0071279F" w:rsidRDefault="0071279F" w:rsidP="00655736">
      <w:r>
        <w:separator/>
      </w:r>
    </w:p>
  </w:footnote>
  <w:footnote w:type="continuationSeparator" w:id="0">
    <w:p w14:paraId="289252D3" w14:textId="77777777" w:rsidR="0071279F" w:rsidRDefault="0071279F" w:rsidP="00655736">
      <w:r>
        <w:continuationSeparator/>
      </w:r>
    </w:p>
  </w:footnote>
  <w:footnote w:id="1">
    <w:p w14:paraId="1023103F" w14:textId="0CE71029" w:rsidR="00DF44DE" w:rsidRPr="000A7040" w:rsidRDefault="00DF44DE" w:rsidP="006F77B2">
      <w:pPr>
        <w:pStyle w:val="FootnoteText"/>
        <w:ind w:left="567" w:hanging="567"/>
        <w:rPr>
          <w:lang w:val="en-GB"/>
        </w:rPr>
      </w:pPr>
      <w:r>
        <w:rPr>
          <w:rStyle w:val="FootnoteReference"/>
        </w:rPr>
        <w:footnoteRef/>
      </w:r>
      <w:r w:rsidRPr="000A7040">
        <w:rPr>
          <w:lang w:val="en-GB"/>
        </w:rPr>
        <w:t xml:space="preserve"> </w:t>
      </w:r>
      <w:r w:rsidRPr="000A7040">
        <w:rPr>
          <w:lang w:val="en-GB"/>
        </w:rPr>
        <w:tab/>
      </w:r>
      <w:r w:rsidRPr="000A7040">
        <w:rPr>
          <w:rFonts w:asciiTheme="minorBidi" w:hAnsiTheme="minorBidi" w:cstheme="minorBidi"/>
          <w:sz w:val="18"/>
          <w:szCs w:val="18"/>
          <w:lang w:val="en-GB"/>
        </w:rPr>
        <w:t>See</w:t>
      </w:r>
      <w:r w:rsidR="00CA0188">
        <w:rPr>
          <w:rFonts w:asciiTheme="minorBidi" w:hAnsiTheme="minorBidi" w:cstheme="minorBidi"/>
          <w:sz w:val="18"/>
          <w:szCs w:val="18"/>
          <w:lang w:val="en-GB"/>
        </w:rPr>
        <w:t>,</w:t>
      </w:r>
      <w:r w:rsidRPr="000A7040">
        <w:rPr>
          <w:rFonts w:asciiTheme="minorBidi" w:hAnsiTheme="minorBidi" w:cstheme="minorBidi"/>
          <w:sz w:val="18"/>
          <w:szCs w:val="18"/>
          <w:lang w:val="en-GB"/>
        </w:rPr>
        <w:t xml:space="preserve"> in particular</w:t>
      </w:r>
      <w:r w:rsidR="00CA0188">
        <w:rPr>
          <w:rFonts w:asciiTheme="minorBidi" w:hAnsiTheme="minorBidi" w:cstheme="minorBidi"/>
          <w:sz w:val="18"/>
          <w:szCs w:val="18"/>
          <w:lang w:val="en-GB"/>
        </w:rPr>
        <w:t>,</w:t>
      </w:r>
      <w:r w:rsidRPr="000A7040">
        <w:rPr>
          <w:rFonts w:asciiTheme="minorBidi" w:hAnsiTheme="minorBidi" w:cstheme="minorBidi"/>
          <w:sz w:val="18"/>
          <w:szCs w:val="18"/>
          <w:lang w:val="en-GB"/>
        </w:rPr>
        <w:t xml:space="preserve"> the reports of the breakout group discussions held during the Category VI meeting of experts in May 2021 (</w:t>
      </w:r>
      <w:r w:rsidR="00CA0188">
        <w:rPr>
          <w:rFonts w:asciiTheme="minorBidi" w:hAnsiTheme="minorBidi" w:cstheme="minorBidi"/>
          <w:sz w:val="18"/>
          <w:szCs w:val="18"/>
          <w:lang w:val="en-GB"/>
        </w:rPr>
        <w:t>D</w:t>
      </w:r>
      <w:r w:rsidR="00CA0188" w:rsidRPr="000A7040">
        <w:rPr>
          <w:rFonts w:asciiTheme="minorBidi" w:hAnsiTheme="minorBidi" w:cstheme="minorBidi"/>
          <w:sz w:val="18"/>
          <w:szCs w:val="18"/>
          <w:lang w:val="en-GB"/>
        </w:rPr>
        <w:t xml:space="preserve">ocument </w:t>
      </w:r>
      <w:hyperlink r:id="rId1" w:history="1">
        <w:r w:rsidR="00150F4E">
          <w:rPr>
            <w:rStyle w:val="Hyperlink"/>
            <w:rFonts w:asciiTheme="minorBidi" w:hAnsiTheme="minorBidi" w:cstheme="minorBidi"/>
            <w:sz w:val="18"/>
            <w:szCs w:val="18"/>
            <w:lang w:val="en-GB"/>
          </w:rPr>
          <w:t>LHE/21/16.COM EXP/7</w:t>
        </w:r>
      </w:hyperlink>
      <w:r w:rsidRPr="000A7040">
        <w:rPr>
          <w:rFonts w:asciiTheme="minorBidi" w:hAnsiTheme="minorBidi" w:cstheme="minorBidi"/>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271BA36D" w:rsidR="00D95C4C" w:rsidRPr="004E1760" w:rsidRDefault="00C5776D" w:rsidP="00C5776D">
    <w:pPr>
      <w:pStyle w:val="Header"/>
      <w:rPr>
        <w:rFonts w:ascii="Arial" w:hAnsi="Arial" w:cs="Arial"/>
      </w:rPr>
    </w:pPr>
    <w:r w:rsidRPr="004E1760">
      <w:rPr>
        <w:rFonts w:ascii="Arial" w:hAnsi="Arial" w:cs="Arial"/>
        <w:sz w:val="20"/>
        <w:szCs w:val="20"/>
      </w:rPr>
      <w:t>L</w:t>
    </w:r>
    <w:r w:rsidR="00CB0542" w:rsidRPr="004E1760">
      <w:rPr>
        <w:rFonts w:ascii="Arial" w:hAnsi="Arial" w:cs="Arial"/>
        <w:sz w:val="20"/>
        <w:szCs w:val="20"/>
      </w:rPr>
      <w:t>H</w:t>
    </w:r>
    <w:r w:rsidRPr="004E1760">
      <w:rPr>
        <w:rFonts w:ascii="Arial" w:hAnsi="Arial" w:cs="Arial"/>
        <w:sz w:val="20"/>
        <w:szCs w:val="20"/>
      </w:rPr>
      <w:t>E</w:t>
    </w:r>
    <w:r w:rsidR="00CB0542" w:rsidRPr="004E1760">
      <w:rPr>
        <w:rFonts w:ascii="Arial" w:hAnsi="Arial" w:cs="Arial"/>
        <w:sz w:val="20"/>
        <w:szCs w:val="20"/>
      </w:rPr>
      <w:t>/</w:t>
    </w:r>
    <w:r w:rsidR="00D7105A" w:rsidRPr="004E1760">
      <w:rPr>
        <w:rFonts w:ascii="Arial" w:hAnsi="Arial" w:cs="Arial"/>
        <w:sz w:val="20"/>
        <w:szCs w:val="20"/>
      </w:rPr>
      <w:t>2</w:t>
    </w:r>
    <w:r w:rsidR="00F56FA1">
      <w:rPr>
        <w:rFonts w:ascii="Arial" w:hAnsi="Arial" w:cs="Arial"/>
        <w:sz w:val="20"/>
        <w:szCs w:val="20"/>
      </w:rPr>
      <w:t>3</w:t>
    </w:r>
    <w:r w:rsidR="00CB0542" w:rsidRPr="004E1760">
      <w:rPr>
        <w:rFonts w:ascii="Arial" w:hAnsi="Arial" w:cs="Arial"/>
        <w:sz w:val="20"/>
        <w:szCs w:val="20"/>
      </w:rPr>
      <w:t>/</w:t>
    </w:r>
    <w:r w:rsidR="00B9146E">
      <w:rPr>
        <w:rFonts w:ascii="Arial" w:hAnsi="Arial" w:cs="Arial"/>
        <w:sz w:val="20"/>
        <w:szCs w:val="20"/>
      </w:rPr>
      <w:t>EXP ART18</w:t>
    </w:r>
    <w:r w:rsidR="00635251">
      <w:rPr>
        <w:rFonts w:ascii="Arial" w:hAnsi="Arial" w:cs="Arial"/>
        <w:sz w:val="20"/>
        <w:szCs w:val="20"/>
      </w:rPr>
      <w:t>/3</w:t>
    </w:r>
    <w:r w:rsidR="004E1760" w:rsidRPr="0036787A">
      <w:rPr>
        <w:rFonts w:ascii="Arial" w:hAnsi="Arial" w:cs="Arial"/>
        <w:sz w:val="20"/>
        <w:szCs w:val="20"/>
      </w:rPr>
      <w:t xml:space="preserve"> </w:t>
    </w:r>
    <w:r w:rsidR="00D95C4C" w:rsidRPr="004E1760">
      <w:rPr>
        <w:rFonts w:ascii="Arial" w:hAnsi="Arial" w:cs="Arial"/>
        <w:sz w:val="20"/>
        <w:szCs w:val="20"/>
      </w:rPr>
      <w:t xml:space="preserve">– page </w:t>
    </w:r>
    <w:r w:rsidR="00D95C4C" w:rsidRPr="00C23A97">
      <w:rPr>
        <w:rStyle w:val="PageNumber"/>
        <w:rFonts w:ascii="Arial" w:hAnsi="Arial" w:cs="Arial"/>
        <w:sz w:val="20"/>
        <w:szCs w:val="20"/>
        <w:lang w:val="en-GB"/>
      </w:rPr>
      <w:fldChar w:fldCharType="begin"/>
    </w:r>
    <w:r w:rsidR="00D95C4C" w:rsidRPr="004E1760">
      <w:rPr>
        <w:rStyle w:val="PageNumber"/>
        <w:rFonts w:ascii="Arial" w:hAnsi="Arial" w:cs="Arial"/>
        <w:sz w:val="20"/>
        <w:szCs w:val="20"/>
      </w:rPr>
      <w:instrText xml:space="preserve"> PAGE </w:instrText>
    </w:r>
    <w:r w:rsidR="00D95C4C" w:rsidRPr="00C23A97">
      <w:rPr>
        <w:rStyle w:val="PageNumber"/>
        <w:rFonts w:ascii="Arial" w:hAnsi="Arial" w:cs="Arial"/>
        <w:sz w:val="20"/>
        <w:szCs w:val="20"/>
        <w:lang w:val="en-GB"/>
      </w:rPr>
      <w:fldChar w:fldCharType="separate"/>
    </w:r>
    <w:r w:rsidR="006E75EB" w:rsidRPr="004E1760">
      <w:rPr>
        <w:rStyle w:val="PageNumber"/>
        <w:rFonts w:ascii="Arial" w:hAnsi="Arial" w:cs="Arial"/>
        <w:noProof/>
        <w:sz w:val="20"/>
        <w:szCs w:val="20"/>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40EF37F3"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F56FA1">
      <w:rPr>
        <w:rFonts w:ascii="Arial" w:hAnsi="Arial" w:cs="Arial"/>
        <w:sz w:val="20"/>
        <w:szCs w:val="20"/>
        <w:lang w:val="en-GB"/>
      </w:rPr>
      <w:t>3</w:t>
    </w:r>
    <w:r w:rsidR="0053318C">
      <w:rPr>
        <w:rFonts w:ascii="Arial" w:hAnsi="Arial" w:cs="Arial"/>
        <w:sz w:val="20"/>
        <w:szCs w:val="20"/>
        <w:lang w:val="en-GB"/>
      </w:rPr>
      <w:t>/</w:t>
    </w:r>
    <w:r w:rsidR="00E019FC" w:rsidRPr="00E019FC">
      <w:rPr>
        <w:rFonts w:ascii="Arial" w:hAnsi="Arial" w:cs="Arial"/>
        <w:sz w:val="20"/>
        <w:szCs w:val="20"/>
      </w:rPr>
      <w:t xml:space="preserve"> </w:t>
    </w:r>
    <w:r w:rsidR="00E019FC">
      <w:rPr>
        <w:rFonts w:ascii="Arial" w:hAnsi="Arial" w:cs="Arial"/>
        <w:sz w:val="20"/>
        <w:szCs w:val="20"/>
      </w:rPr>
      <w:t>EXP ART18</w:t>
    </w:r>
    <w:r w:rsidR="004A34A0" w:rsidRPr="0063300C">
      <w:rPr>
        <w:rFonts w:ascii="Arial" w:hAnsi="Arial" w:cs="Arial"/>
        <w:sz w:val="20"/>
        <w:szCs w:val="20"/>
        <w:lang w:val="en-GB"/>
      </w:rPr>
      <w:t>/</w:t>
    </w:r>
    <w:r w:rsidR="00A1131A">
      <w:rPr>
        <w:rFonts w:ascii="Arial" w:hAnsi="Arial" w:cs="Arial"/>
        <w:sz w:val="20"/>
        <w:szCs w:val="20"/>
        <w:lang w:val="en-GB"/>
      </w:rPr>
      <w:t>3</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Header"/>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DFA611B" w:rsidR="004E1760" w:rsidRPr="00D7105A" w:rsidRDefault="00A53F11" w:rsidP="004E1760">
    <w:pPr>
      <w:pStyle w:val="Header"/>
      <w:spacing w:after="520"/>
      <w:jc w:val="right"/>
      <w:rPr>
        <w:rFonts w:ascii="Arial" w:hAnsi="Arial" w:cs="Arial"/>
        <w:b/>
        <w:sz w:val="44"/>
        <w:szCs w:val="44"/>
        <w:lang w:val="pt-PT"/>
      </w:rPr>
    </w:pPr>
    <w:r>
      <w:rPr>
        <w:rFonts w:ascii="Arial" w:hAnsi="Arial" w:cs="Arial"/>
        <w:b/>
        <w:sz w:val="44"/>
        <w:szCs w:val="44"/>
        <w:lang w:val="pt-PT"/>
      </w:rPr>
      <w:t>EXP</w:t>
    </w:r>
    <w:r w:rsidR="00091385">
      <w:rPr>
        <w:rFonts w:ascii="Arial" w:hAnsi="Arial" w:cs="Arial"/>
        <w:b/>
        <w:sz w:val="44"/>
        <w:szCs w:val="44"/>
        <w:lang w:val="pt-PT"/>
      </w:rPr>
      <w:t xml:space="preserve"> ART18</w:t>
    </w:r>
  </w:p>
  <w:p w14:paraId="6D1B3489" w14:textId="5D85AEAF" w:rsidR="004E1760" w:rsidRPr="007108E3" w:rsidRDefault="004E1760" w:rsidP="004E1760">
    <w:pPr>
      <w:jc w:val="right"/>
      <w:rPr>
        <w:rFonts w:ascii="Arial" w:hAnsi="Arial" w:cs="Arial"/>
        <w:b/>
        <w:sz w:val="22"/>
        <w:szCs w:val="22"/>
        <w:lang w:val="pt-PT"/>
      </w:rPr>
    </w:pPr>
    <w:r w:rsidRPr="00D7105A">
      <w:rPr>
        <w:rFonts w:ascii="Arial" w:hAnsi="Arial" w:cs="Arial"/>
        <w:b/>
        <w:sz w:val="22"/>
        <w:szCs w:val="22"/>
        <w:lang w:val="pt-PT"/>
      </w:rPr>
      <w:t>LHE</w:t>
    </w:r>
    <w:r w:rsidRPr="007108E3">
      <w:rPr>
        <w:rFonts w:ascii="Arial" w:hAnsi="Arial" w:cs="Arial"/>
        <w:b/>
        <w:sz w:val="22"/>
        <w:szCs w:val="22"/>
        <w:lang w:val="pt-PT"/>
      </w:rPr>
      <w:t>/2</w:t>
    </w:r>
    <w:r w:rsidR="00F56FA1" w:rsidRPr="007108E3">
      <w:rPr>
        <w:rFonts w:ascii="Arial" w:hAnsi="Arial" w:cs="Arial"/>
        <w:b/>
        <w:sz w:val="22"/>
        <w:szCs w:val="22"/>
        <w:lang w:val="pt-PT"/>
      </w:rPr>
      <w:t>3</w:t>
    </w:r>
    <w:r w:rsidRPr="007108E3">
      <w:rPr>
        <w:rFonts w:ascii="Arial" w:hAnsi="Arial" w:cs="Arial"/>
        <w:b/>
        <w:sz w:val="22"/>
        <w:szCs w:val="22"/>
        <w:lang w:val="pt-PT"/>
      </w:rPr>
      <w:t>/</w:t>
    </w:r>
    <w:bookmarkStart w:id="1" w:name="_Hlk94624970"/>
    <w:r w:rsidR="00B9146E" w:rsidRPr="007108E3">
      <w:rPr>
        <w:rFonts w:ascii="Arial" w:hAnsi="Arial" w:cs="Arial"/>
        <w:b/>
        <w:sz w:val="22"/>
        <w:szCs w:val="22"/>
        <w:lang w:val="pt-PT"/>
      </w:rPr>
      <w:t>EXP ART18</w:t>
    </w:r>
    <w:r w:rsidRPr="007108E3">
      <w:rPr>
        <w:rFonts w:ascii="Arial" w:hAnsi="Arial" w:cs="Arial"/>
        <w:b/>
        <w:sz w:val="22"/>
        <w:szCs w:val="22"/>
        <w:lang w:val="pt-PT"/>
      </w:rPr>
      <w:t>/</w:t>
    </w:r>
    <w:r w:rsidR="00635251" w:rsidRPr="007108E3">
      <w:rPr>
        <w:rFonts w:ascii="Arial" w:hAnsi="Arial" w:cs="Arial"/>
        <w:b/>
        <w:sz w:val="22"/>
        <w:szCs w:val="22"/>
        <w:lang w:val="pt-PT"/>
      </w:rPr>
      <w:t>3</w:t>
    </w:r>
  </w:p>
  <w:bookmarkEnd w:id="1"/>
  <w:p w14:paraId="1B4446C3" w14:textId="28706C4E" w:rsidR="00D95C4C" w:rsidRPr="007108E3" w:rsidRDefault="00D95C4C" w:rsidP="00655736">
    <w:pPr>
      <w:jc w:val="right"/>
      <w:rPr>
        <w:rFonts w:ascii="Arial" w:eastAsiaTheme="minorEastAsia" w:hAnsi="Arial" w:cs="Arial"/>
        <w:b/>
        <w:sz w:val="22"/>
        <w:szCs w:val="22"/>
        <w:lang w:val="pt-PT" w:eastAsia="ko-KR"/>
      </w:rPr>
    </w:pPr>
    <w:r w:rsidRPr="007108E3">
      <w:rPr>
        <w:rFonts w:ascii="Arial" w:hAnsi="Arial" w:cs="Arial"/>
        <w:b/>
        <w:sz w:val="22"/>
        <w:szCs w:val="22"/>
        <w:lang w:val="pt-PT"/>
      </w:rPr>
      <w:t xml:space="preserve">Paris, </w:t>
    </w:r>
    <w:r w:rsidR="007108E3" w:rsidRPr="007108E3">
      <w:rPr>
        <w:rFonts w:ascii="Arial" w:hAnsi="Arial" w:cs="Arial"/>
        <w:b/>
        <w:sz w:val="22"/>
        <w:szCs w:val="22"/>
        <w:lang w:val="pt-PT"/>
      </w:rPr>
      <w:t>1</w:t>
    </w:r>
    <w:r w:rsidR="00150F4E">
      <w:rPr>
        <w:rFonts w:ascii="Arial" w:hAnsi="Arial" w:cs="Arial"/>
        <w:b/>
        <w:sz w:val="22"/>
        <w:szCs w:val="22"/>
        <w:lang w:val="pt-PT"/>
      </w:rPr>
      <w:t>2</w:t>
    </w:r>
    <w:r w:rsidR="00151E44" w:rsidRPr="007108E3">
      <w:rPr>
        <w:rFonts w:ascii="Arial" w:hAnsi="Arial" w:cs="Arial"/>
        <w:b/>
        <w:sz w:val="22"/>
        <w:szCs w:val="22"/>
        <w:lang w:val="pt-PT"/>
      </w:rPr>
      <w:t xml:space="preserve"> </w:t>
    </w:r>
    <w:r w:rsidR="00E019FC" w:rsidRPr="007108E3">
      <w:rPr>
        <w:rFonts w:ascii="Arial" w:hAnsi="Arial" w:cs="Arial"/>
        <w:b/>
        <w:sz w:val="22"/>
        <w:szCs w:val="22"/>
        <w:lang w:val="pt-PT"/>
      </w:rPr>
      <w:t>April</w:t>
    </w:r>
    <w:r w:rsidRPr="007108E3">
      <w:rPr>
        <w:rFonts w:ascii="Arial" w:hAnsi="Arial" w:cs="Arial"/>
        <w:b/>
        <w:sz w:val="22"/>
        <w:szCs w:val="22"/>
        <w:lang w:val="pt-PT"/>
      </w:rPr>
      <w:t xml:space="preserve"> </w:t>
    </w:r>
    <w:r w:rsidR="00337CEB" w:rsidRPr="007108E3">
      <w:rPr>
        <w:rFonts w:ascii="Arial" w:hAnsi="Arial" w:cs="Arial"/>
        <w:b/>
        <w:sz w:val="22"/>
        <w:szCs w:val="22"/>
        <w:lang w:val="pt-PT"/>
      </w:rPr>
      <w:t>20</w:t>
    </w:r>
    <w:r w:rsidR="00D7105A" w:rsidRPr="007108E3">
      <w:rPr>
        <w:rFonts w:ascii="Arial" w:hAnsi="Arial" w:cs="Arial"/>
        <w:b/>
        <w:sz w:val="22"/>
        <w:szCs w:val="22"/>
        <w:lang w:val="pt-PT"/>
      </w:rPr>
      <w:t>2</w:t>
    </w:r>
    <w:r w:rsidR="00F56FA1" w:rsidRPr="007108E3">
      <w:rPr>
        <w:rFonts w:ascii="Arial" w:hAnsi="Arial" w:cs="Arial"/>
        <w:b/>
        <w:sz w:val="22"/>
        <w:szCs w:val="22"/>
        <w:lang w:val="pt-PT"/>
      </w:rPr>
      <w:t>3</w:t>
    </w:r>
  </w:p>
  <w:p w14:paraId="255B57FF" w14:textId="3B814BD3" w:rsidR="00D95C4C" w:rsidRPr="00151E44" w:rsidRDefault="00D95C4C" w:rsidP="00962034">
    <w:pPr>
      <w:spacing w:after="120"/>
      <w:jc w:val="right"/>
      <w:rPr>
        <w:rFonts w:ascii="Arial" w:hAnsi="Arial" w:cs="Arial"/>
        <w:b/>
        <w:sz w:val="22"/>
        <w:szCs w:val="22"/>
        <w:lang w:val="en-US"/>
      </w:rPr>
    </w:pPr>
    <w:r w:rsidRPr="007108E3">
      <w:rPr>
        <w:rFonts w:ascii="Arial" w:hAnsi="Arial" w:cs="Arial"/>
        <w:b/>
        <w:sz w:val="22"/>
        <w:szCs w:val="22"/>
        <w:lang w:val="en-US"/>
      </w:rPr>
      <w:t xml:space="preserve">Original: </w:t>
    </w:r>
    <w:r w:rsidR="00151E44" w:rsidRPr="007108E3">
      <w:rPr>
        <w:rFonts w:ascii="Arial" w:hAnsi="Arial" w:cs="Arial"/>
        <w:b/>
        <w:sz w:val="22"/>
        <w:szCs w:val="22"/>
        <w:lang w:val="en-US"/>
      </w:rPr>
      <w:t>English</w:t>
    </w:r>
  </w:p>
  <w:p w14:paraId="3C4B8B1B" w14:textId="77777777" w:rsidR="00D95C4C" w:rsidRPr="00151E4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64026C"/>
    <w:multiLevelType w:val="hybridMultilevel"/>
    <w:tmpl w:val="47C6FB5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3471B"/>
    <w:multiLevelType w:val="hybridMultilevel"/>
    <w:tmpl w:val="5F8040A0"/>
    <w:lvl w:ilvl="0" w:tplc="85EE6DA0">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C196BF0"/>
    <w:multiLevelType w:val="hybridMultilevel"/>
    <w:tmpl w:val="4F528278"/>
    <w:lvl w:ilvl="0" w:tplc="D480F024">
      <w:start w:val="1"/>
      <w:numFmt w:val="decimal"/>
      <w:pStyle w:val="1GAPara"/>
      <w:lvlText w:val="%1."/>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625799"/>
    <w:multiLevelType w:val="hybridMultilevel"/>
    <w:tmpl w:val="BD749AE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2F8123CA"/>
    <w:multiLevelType w:val="hybridMultilevel"/>
    <w:tmpl w:val="53660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28F2641"/>
    <w:multiLevelType w:val="hybridMultilevel"/>
    <w:tmpl w:val="ADB8E2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7046C74"/>
    <w:multiLevelType w:val="hybridMultilevel"/>
    <w:tmpl w:val="A5A2E8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E03630"/>
    <w:multiLevelType w:val="hybridMultilevel"/>
    <w:tmpl w:val="3416BF5A"/>
    <w:lvl w:ilvl="0" w:tplc="04090003">
      <w:start w:val="1"/>
      <w:numFmt w:val="bullet"/>
      <w:lvlText w:val="o"/>
      <w:lvlJc w:val="left"/>
      <w:pPr>
        <w:ind w:left="1437" w:hanging="360"/>
      </w:pPr>
      <w:rPr>
        <w:rFonts w:ascii="Courier New" w:hAnsi="Courier New" w:cs="Courier New" w:hint="default"/>
      </w:rPr>
    </w:lvl>
    <w:lvl w:ilvl="1" w:tplc="04090003">
      <w:start w:val="1"/>
      <w:numFmt w:val="bullet"/>
      <w:lvlText w:val="o"/>
      <w:lvlJc w:val="left"/>
      <w:pPr>
        <w:ind w:left="2157" w:hanging="360"/>
      </w:pPr>
      <w:rPr>
        <w:rFonts w:ascii="Courier New" w:hAnsi="Courier New" w:cs="Courier New" w:hint="default"/>
      </w:rPr>
    </w:lvl>
    <w:lvl w:ilvl="2" w:tplc="6644D900">
      <w:numFmt w:val="bullet"/>
      <w:lvlText w:val=""/>
      <w:lvlJc w:val="left"/>
      <w:pPr>
        <w:ind w:left="2877" w:hanging="360"/>
      </w:pPr>
      <w:rPr>
        <w:rFonts w:ascii="Wingdings" w:eastAsia="Times New Roman" w:hAnsi="Wingdings" w:cs="Arial"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0B84EFE"/>
    <w:multiLevelType w:val="hybridMultilevel"/>
    <w:tmpl w:val="242299DA"/>
    <w:lvl w:ilvl="0" w:tplc="E2A462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4A57CF"/>
    <w:multiLevelType w:val="hybridMultilevel"/>
    <w:tmpl w:val="623643B0"/>
    <w:lvl w:ilvl="0" w:tplc="FFFFFFFF">
      <w:start w:val="1"/>
      <w:numFmt w:val="decimal"/>
      <w:lvlText w:val="%1."/>
      <w:lvlJc w:val="left"/>
      <w:pPr>
        <w:ind w:left="720" w:hanging="360"/>
      </w:pPr>
      <w:rPr>
        <w:rFonts w:hint="default"/>
      </w:rPr>
    </w:lvl>
    <w:lvl w:ilvl="1" w:tplc="040C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607459B"/>
    <w:multiLevelType w:val="hybridMultilevel"/>
    <w:tmpl w:val="76E25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1045980658">
    <w:abstractNumId w:val="17"/>
  </w:num>
  <w:num w:numId="2" w16cid:durableId="106117979">
    <w:abstractNumId w:val="9"/>
  </w:num>
  <w:num w:numId="3" w16cid:durableId="1708022341">
    <w:abstractNumId w:val="2"/>
  </w:num>
  <w:num w:numId="4" w16cid:durableId="1640528508">
    <w:abstractNumId w:val="22"/>
  </w:num>
  <w:num w:numId="5" w16cid:durableId="468011579">
    <w:abstractNumId w:val="19"/>
  </w:num>
  <w:num w:numId="6" w16cid:durableId="577862344">
    <w:abstractNumId w:val="0"/>
  </w:num>
  <w:num w:numId="7" w16cid:durableId="309292972">
    <w:abstractNumId w:val="4"/>
  </w:num>
  <w:num w:numId="8" w16cid:durableId="415399052">
    <w:abstractNumId w:val="14"/>
  </w:num>
  <w:num w:numId="9" w16cid:durableId="217087148">
    <w:abstractNumId w:val="8"/>
  </w:num>
  <w:num w:numId="10" w16cid:durableId="347945616">
    <w:abstractNumId w:val="10"/>
  </w:num>
  <w:num w:numId="11" w16cid:durableId="1867675660">
    <w:abstractNumId w:val="12"/>
  </w:num>
  <w:num w:numId="12" w16cid:durableId="1119109097">
    <w:abstractNumId w:val="11"/>
  </w:num>
  <w:num w:numId="13" w16cid:durableId="1445689247">
    <w:abstractNumId w:val="23"/>
  </w:num>
  <w:num w:numId="14" w16cid:durableId="176702880">
    <w:abstractNumId w:val="5"/>
  </w:num>
  <w:num w:numId="15" w16cid:durableId="1267157484">
    <w:abstractNumId w:val="1"/>
  </w:num>
  <w:num w:numId="16" w16cid:durableId="1498379592">
    <w:abstractNumId w:val="6"/>
  </w:num>
  <w:num w:numId="17" w16cid:durableId="1440416511">
    <w:abstractNumId w:val="16"/>
  </w:num>
  <w:num w:numId="18" w16cid:durableId="646593702">
    <w:abstractNumId w:val="15"/>
  </w:num>
  <w:num w:numId="19" w16cid:durableId="1234663224">
    <w:abstractNumId w:val="8"/>
  </w:num>
  <w:num w:numId="20" w16cid:durableId="392965925">
    <w:abstractNumId w:val="8"/>
  </w:num>
  <w:num w:numId="21" w16cid:durableId="171265969">
    <w:abstractNumId w:val="8"/>
  </w:num>
  <w:num w:numId="22" w16cid:durableId="824392444">
    <w:abstractNumId w:val="8"/>
  </w:num>
  <w:num w:numId="23" w16cid:durableId="1523125869">
    <w:abstractNumId w:val="20"/>
  </w:num>
  <w:num w:numId="24" w16cid:durableId="223491641">
    <w:abstractNumId w:val="21"/>
  </w:num>
  <w:num w:numId="25" w16cid:durableId="1451172069">
    <w:abstractNumId w:val="8"/>
  </w:num>
  <w:num w:numId="26" w16cid:durableId="1035042025">
    <w:abstractNumId w:val="8"/>
  </w:num>
  <w:num w:numId="27" w16cid:durableId="1631983604">
    <w:abstractNumId w:val="8"/>
  </w:num>
  <w:num w:numId="28" w16cid:durableId="1187018060">
    <w:abstractNumId w:val="13"/>
  </w:num>
  <w:num w:numId="29" w16cid:durableId="1028603130">
    <w:abstractNumId w:val="18"/>
  </w:num>
  <w:num w:numId="30" w16cid:durableId="342829920">
    <w:abstractNumId w:val="8"/>
  </w:num>
  <w:num w:numId="31" w16cid:durableId="1444812385">
    <w:abstractNumId w:val="8"/>
  </w:num>
  <w:num w:numId="32" w16cid:durableId="400257123">
    <w:abstractNumId w:val="8"/>
  </w:num>
  <w:num w:numId="33" w16cid:durableId="1576088679">
    <w:abstractNumId w:val="3"/>
  </w:num>
  <w:num w:numId="34" w16cid:durableId="124352645">
    <w:abstractNumId w:val="8"/>
  </w:num>
  <w:num w:numId="35" w16cid:durableId="1118568734">
    <w:abstractNumId w:val="7"/>
  </w:num>
  <w:num w:numId="36" w16cid:durableId="1060860997">
    <w:abstractNumId w:val="8"/>
  </w:num>
  <w:num w:numId="37" w16cid:durableId="1563516225">
    <w:abstractNumId w:val="8"/>
  </w:num>
  <w:num w:numId="38" w16cid:durableId="1784810872">
    <w:abstractNumId w:val="8"/>
  </w:num>
  <w:num w:numId="39" w16cid:durableId="1289361374">
    <w:abstractNumId w:val="8"/>
  </w:num>
  <w:num w:numId="40" w16cid:durableId="1194729845">
    <w:abstractNumId w:val="8"/>
  </w:num>
  <w:num w:numId="41" w16cid:durableId="319192437">
    <w:abstractNumId w:val="8"/>
  </w:num>
  <w:num w:numId="42" w16cid:durableId="1880124925">
    <w:abstractNumId w:val="8"/>
  </w:num>
  <w:num w:numId="43" w16cid:durableId="1713773640">
    <w:abstractNumId w:val="8"/>
  </w:num>
  <w:num w:numId="44" w16cid:durableId="929385528">
    <w:abstractNumId w:val="8"/>
  </w:num>
  <w:num w:numId="45" w16cid:durableId="90048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304C0"/>
    <w:rsid w:val="00041A66"/>
    <w:rsid w:val="00042D88"/>
    <w:rsid w:val="0005176E"/>
    <w:rsid w:val="00056357"/>
    <w:rsid w:val="00063660"/>
    <w:rsid w:val="00064D84"/>
    <w:rsid w:val="000765F7"/>
    <w:rsid w:val="0007795D"/>
    <w:rsid w:val="00077AB7"/>
    <w:rsid w:val="0008163B"/>
    <w:rsid w:val="00081CD8"/>
    <w:rsid w:val="00091385"/>
    <w:rsid w:val="000A325F"/>
    <w:rsid w:val="000A648F"/>
    <w:rsid w:val="000A7040"/>
    <w:rsid w:val="000A7F0E"/>
    <w:rsid w:val="000B1C8F"/>
    <w:rsid w:val="000B30BB"/>
    <w:rsid w:val="000B5E42"/>
    <w:rsid w:val="000C0D61"/>
    <w:rsid w:val="000D4273"/>
    <w:rsid w:val="000D73DE"/>
    <w:rsid w:val="000F2D82"/>
    <w:rsid w:val="000F3A3F"/>
    <w:rsid w:val="00102557"/>
    <w:rsid w:val="00105E0F"/>
    <w:rsid w:val="00111FD5"/>
    <w:rsid w:val="001308BE"/>
    <w:rsid w:val="0013247A"/>
    <w:rsid w:val="001376B8"/>
    <w:rsid w:val="00150F4E"/>
    <w:rsid w:val="00151E44"/>
    <w:rsid w:val="00157D7B"/>
    <w:rsid w:val="00162062"/>
    <w:rsid w:val="00164D56"/>
    <w:rsid w:val="00167B10"/>
    <w:rsid w:val="0017402F"/>
    <w:rsid w:val="001804C1"/>
    <w:rsid w:val="0018463E"/>
    <w:rsid w:val="00190205"/>
    <w:rsid w:val="00196C1B"/>
    <w:rsid w:val="001A7853"/>
    <w:rsid w:val="001B0F73"/>
    <w:rsid w:val="001C2DB7"/>
    <w:rsid w:val="001C58FF"/>
    <w:rsid w:val="001D14FE"/>
    <w:rsid w:val="001D5C04"/>
    <w:rsid w:val="001E3D47"/>
    <w:rsid w:val="001F0F9C"/>
    <w:rsid w:val="001F26CF"/>
    <w:rsid w:val="001F4E62"/>
    <w:rsid w:val="002146CB"/>
    <w:rsid w:val="00222A2D"/>
    <w:rsid w:val="00223029"/>
    <w:rsid w:val="00225954"/>
    <w:rsid w:val="00234745"/>
    <w:rsid w:val="002351A6"/>
    <w:rsid w:val="002407AF"/>
    <w:rsid w:val="00240C6C"/>
    <w:rsid w:val="0024725C"/>
    <w:rsid w:val="00255748"/>
    <w:rsid w:val="002574AE"/>
    <w:rsid w:val="00260C39"/>
    <w:rsid w:val="0026221A"/>
    <w:rsid w:val="00262CBD"/>
    <w:rsid w:val="00262CFC"/>
    <w:rsid w:val="0027466B"/>
    <w:rsid w:val="002838A5"/>
    <w:rsid w:val="002853CD"/>
    <w:rsid w:val="00285BB4"/>
    <w:rsid w:val="00290345"/>
    <w:rsid w:val="002A41F6"/>
    <w:rsid w:val="002C09E3"/>
    <w:rsid w:val="002C1874"/>
    <w:rsid w:val="002C5F07"/>
    <w:rsid w:val="002D1244"/>
    <w:rsid w:val="002D2077"/>
    <w:rsid w:val="002F414D"/>
    <w:rsid w:val="00310D84"/>
    <w:rsid w:val="0031456C"/>
    <w:rsid w:val="00336E09"/>
    <w:rsid w:val="00337CEB"/>
    <w:rsid w:val="00344B58"/>
    <w:rsid w:val="0034539A"/>
    <w:rsid w:val="00345CB4"/>
    <w:rsid w:val="003501BB"/>
    <w:rsid w:val="00360422"/>
    <w:rsid w:val="003659C9"/>
    <w:rsid w:val="00366101"/>
    <w:rsid w:val="00375D42"/>
    <w:rsid w:val="003775D1"/>
    <w:rsid w:val="003823BD"/>
    <w:rsid w:val="00383BFF"/>
    <w:rsid w:val="0038566D"/>
    <w:rsid w:val="00387CF3"/>
    <w:rsid w:val="003A4557"/>
    <w:rsid w:val="003B7522"/>
    <w:rsid w:val="003C3534"/>
    <w:rsid w:val="003D069C"/>
    <w:rsid w:val="003D7646"/>
    <w:rsid w:val="003D76E3"/>
    <w:rsid w:val="003F113A"/>
    <w:rsid w:val="003F3E63"/>
    <w:rsid w:val="00407480"/>
    <w:rsid w:val="00414643"/>
    <w:rsid w:val="004276A9"/>
    <w:rsid w:val="004421E5"/>
    <w:rsid w:val="0044288C"/>
    <w:rsid w:val="00452284"/>
    <w:rsid w:val="00454CE2"/>
    <w:rsid w:val="00457C8E"/>
    <w:rsid w:val="00462EBE"/>
    <w:rsid w:val="00473E41"/>
    <w:rsid w:val="0048530D"/>
    <w:rsid w:val="004856CA"/>
    <w:rsid w:val="00487E67"/>
    <w:rsid w:val="0049705E"/>
    <w:rsid w:val="004A19F9"/>
    <w:rsid w:val="004A2875"/>
    <w:rsid w:val="004A34A0"/>
    <w:rsid w:val="004B7DD3"/>
    <w:rsid w:val="004C459C"/>
    <w:rsid w:val="004C5870"/>
    <w:rsid w:val="004C709E"/>
    <w:rsid w:val="004C7C82"/>
    <w:rsid w:val="004D2462"/>
    <w:rsid w:val="004D598D"/>
    <w:rsid w:val="004E1760"/>
    <w:rsid w:val="004E4329"/>
    <w:rsid w:val="005008A8"/>
    <w:rsid w:val="005020E5"/>
    <w:rsid w:val="00517FD8"/>
    <w:rsid w:val="00526B7B"/>
    <w:rsid w:val="005308CE"/>
    <w:rsid w:val="0053318C"/>
    <w:rsid w:val="005645A0"/>
    <w:rsid w:val="00565CDC"/>
    <w:rsid w:val="00572C7E"/>
    <w:rsid w:val="00572ECB"/>
    <w:rsid w:val="0057439C"/>
    <w:rsid w:val="00592B3B"/>
    <w:rsid w:val="005960CA"/>
    <w:rsid w:val="005B0127"/>
    <w:rsid w:val="005B3240"/>
    <w:rsid w:val="005B7A35"/>
    <w:rsid w:val="005B7A4E"/>
    <w:rsid w:val="005C4B73"/>
    <w:rsid w:val="005E1D2B"/>
    <w:rsid w:val="005E7074"/>
    <w:rsid w:val="005F0AC1"/>
    <w:rsid w:val="005F2BAF"/>
    <w:rsid w:val="00600D93"/>
    <w:rsid w:val="00626BEA"/>
    <w:rsid w:val="0063300C"/>
    <w:rsid w:val="006351E0"/>
    <w:rsid w:val="00635251"/>
    <w:rsid w:val="00644E86"/>
    <w:rsid w:val="00651A5B"/>
    <w:rsid w:val="00655736"/>
    <w:rsid w:val="00656A6B"/>
    <w:rsid w:val="00662B85"/>
    <w:rsid w:val="00663B8D"/>
    <w:rsid w:val="00696C8D"/>
    <w:rsid w:val="006A1A56"/>
    <w:rsid w:val="006A2AC2"/>
    <w:rsid w:val="006A3617"/>
    <w:rsid w:val="006A72FC"/>
    <w:rsid w:val="006B08ED"/>
    <w:rsid w:val="006B4452"/>
    <w:rsid w:val="006D1862"/>
    <w:rsid w:val="006D5F82"/>
    <w:rsid w:val="006E46E4"/>
    <w:rsid w:val="006E75EB"/>
    <w:rsid w:val="006F116C"/>
    <w:rsid w:val="006F77B2"/>
    <w:rsid w:val="007108E3"/>
    <w:rsid w:val="0071279F"/>
    <w:rsid w:val="00717DA5"/>
    <w:rsid w:val="00721941"/>
    <w:rsid w:val="007340E8"/>
    <w:rsid w:val="00744484"/>
    <w:rsid w:val="00744A44"/>
    <w:rsid w:val="00747566"/>
    <w:rsid w:val="007504A3"/>
    <w:rsid w:val="007541CA"/>
    <w:rsid w:val="00767F5C"/>
    <w:rsid w:val="00773188"/>
    <w:rsid w:val="00780C66"/>
    <w:rsid w:val="00783782"/>
    <w:rsid w:val="00784B8C"/>
    <w:rsid w:val="007879E1"/>
    <w:rsid w:val="00793B54"/>
    <w:rsid w:val="007C5083"/>
    <w:rsid w:val="007E3D30"/>
    <w:rsid w:val="007F7C5E"/>
    <w:rsid w:val="008224C7"/>
    <w:rsid w:val="00823A11"/>
    <w:rsid w:val="008362AE"/>
    <w:rsid w:val="0085188D"/>
    <w:rsid w:val="0085405E"/>
    <w:rsid w:val="0085414A"/>
    <w:rsid w:val="00857EB9"/>
    <w:rsid w:val="0086269D"/>
    <w:rsid w:val="0086543A"/>
    <w:rsid w:val="008724E5"/>
    <w:rsid w:val="00877721"/>
    <w:rsid w:val="00884A9D"/>
    <w:rsid w:val="0088512B"/>
    <w:rsid w:val="00886EA3"/>
    <w:rsid w:val="008904C2"/>
    <w:rsid w:val="00897E15"/>
    <w:rsid w:val="008A2B2D"/>
    <w:rsid w:val="008A4E1E"/>
    <w:rsid w:val="008A536F"/>
    <w:rsid w:val="008B37AC"/>
    <w:rsid w:val="008C296C"/>
    <w:rsid w:val="008D4305"/>
    <w:rsid w:val="008E1A85"/>
    <w:rsid w:val="008F0429"/>
    <w:rsid w:val="009107FD"/>
    <w:rsid w:val="009163A7"/>
    <w:rsid w:val="00946D0B"/>
    <w:rsid w:val="00951225"/>
    <w:rsid w:val="00955877"/>
    <w:rsid w:val="00962034"/>
    <w:rsid w:val="009656B1"/>
    <w:rsid w:val="009832EC"/>
    <w:rsid w:val="00995C05"/>
    <w:rsid w:val="009A18CD"/>
    <w:rsid w:val="009A5986"/>
    <w:rsid w:val="009B06CB"/>
    <w:rsid w:val="009B2471"/>
    <w:rsid w:val="009D5428"/>
    <w:rsid w:val="009F3701"/>
    <w:rsid w:val="00A1131A"/>
    <w:rsid w:val="00A12558"/>
    <w:rsid w:val="00A13903"/>
    <w:rsid w:val="00A15A57"/>
    <w:rsid w:val="00A34ED5"/>
    <w:rsid w:val="00A44014"/>
    <w:rsid w:val="00A45DBF"/>
    <w:rsid w:val="00A50FFA"/>
    <w:rsid w:val="00A53F11"/>
    <w:rsid w:val="00A672F9"/>
    <w:rsid w:val="00A725CF"/>
    <w:rsid w:val="00A755A2"/>
    <w:rsid w:val="00A75C84"/>
    <w:rsid w:val="00A913B3"/>
    <w:rsid w:val="00AA6660"/>
    <w:rsid w:val="00AB2C36"/>
    <w:rsid w:val="00AB6DDE"/>
    <w:rsid w:val="00AB70B6"/>
    <w:rsid w:val="00AC02E4"/>
    <w:rsid w:val="00AD0FB7"/>
    <w:rsid w:val="00AD1A86"/>
    <w:rsid w:val="00AE0AFC"/>
    <w:rsid w:val="00AE103E"/>
    <w:rsid w:val="00AF0A07"/>
    <w:rsid w:val="00AF4AEC"/>
    <w:rsid w:val="00AF625E"/>
    <w:rsid w:val="00AF70EC"/>
    <w:rsid w:val="00B00E27"/>
    <w:rsid w:val="00B139BE"/>
    <w:rsid w:val="00B2172B"/>
    <w:rsid w:val="00B33FA5"/>
    <w:rsid w:val="00B365A7"/>
    <w:rsid w:val="00B36A5C"/>
    <w:rsid w:val="00B37435"/>
    <w:rsid w:val="00B44316"/>
    <w:rsid w:val="00B455CA"/>
    <w:rsid w:val="00B479FD"/>
    <w:rsid w:val="00B5772D"/>
    <w:rsid w:val="00B63E48"/>
    <w:rsid w:val="00B9102B"/>
    <w:rsid w:val="00B9146E"/>
    <w:rsid w:val="00B917D2"/>
    <w:rsid w:val="00BA021A"/>
    <w:rsid w:val="00BA241A"/>
    <w:rsid w:val="00BB04AF"/>
    <w:rsid w:val="00BB793C"/>
    <w:rsid w:val="00BD52C9"/>
    <w:rsid w:val="00BE0B99"/>
    <w:rsid w:val="00BE6354"/>
    <w:rsid w:val="00BF255B"/>
    <w:rsid w:val="00BF5AAE"/>
    <w:rsid w:val="00C138D1"/>
    <w:rsid w:val="00C22B32"/>
    <w:rsid w:val="00C23A97"/>
    <w:rsid w:val="00C25B18"/>
    <w:rsid w:val="00C321C6"/>
    <w:rsid w:val="00C34843"/>
    <w:rsid w:val="00C37D4A"/>
    <w:rsid w:val="00C52EBE"/>
    <w:rsid w:val="00C5776D"/>
    <w:rsid w:val="00C64855"/>
    <w:rsid w:val="00C70EA7"/>
    <w:rsid w:val="00C7433F"/>
    <w:rsid w:val="00C748AC"/>
    <w:rsid w:val="00C7516E"/>
    <w:rsid w:val="00C75374"/>
    <w:rsid w:val="00C75770"/>
    <w:rsid w:val="00CA0188"/>
    <w:rsid w:val="00CA56BB"/>
    <w:rsid w:val="00CB0542"/>
    <w:rsid w:val="00CC4A04"/>
    <w:rsid w:val="00CD4E75"/>
    <w:rsid w:val="00D00B2B"/>
    <w:rsid w:val="00D024DF"/>
    <w:rsid w:val="00D231AC"/>
    <w:rsid w:val="00D24877"/>
    <w:rsid w:val="00D3492D"/>
    <w:rsid w:val="00D42BE5"/>
    <w:rsid w:val="00D5394B"/>
    <w:rsid w:val="00D53E1F"/>
    <w:rsid w:val="00D6556B"/>
    <w:rsid w:val="00D676DC"/>
    <w:rsid w:val="00D7105A"/>
    <w:rsid w:val="00D8250F"/>
    <w:rsid w:val="00D847FB"/>
    <w:rsid w:val="00D86BB3"/>
    <w:rsid w:val="00D928F1"/>
    <w:rsid w:val="00D95C4C"/>
    <w:rsid w:val="00DA32C1"/>
    <w:rsid w:val="00DA36ED"/>
    <w:rsid w:val="00DB22E7"/>
    <w:rsid w:val="00DB48FE"/>
    <w:rsid w:val="00DC3420"/>
    <w:rsid w:val="00DC3F95"/>
    <w:rsid w:val="00DD1FFF"/>
    <w:rsid w:val="00DD4BFB"/>
    <w:rsid w:val="00DE34F1"/>
    <w:rsid w:val="00DE6160"/>
    <w:rsid w:val="00DF44DE"/>
    <w:rsid w:val="00DF4942"/>
    <w:rsid w:val="00DF53A2"/>
    <w:rsid w:val="00E019FC"/>
    <w:rsid w:val="00E02E7D"/>
    <w:rsid w:val="00E043CD"/>
    <w:rsid w:val="00E16EFD"/>
    <w:rsid w:val="00E2125F"/>
    <w:rsid w:val="00E244E1"/>
    <w:rsid w:val="00E303C4"/>
    <w:rsid w:val="00E4150C"/>
    <w:rsid w:val="00E627B1"/>
    <w:rsid w:val="00E6700B"/>
    <w:rsid w:val="00E70169"/>
    <w:rsid w:val="00E9376C"/>
    <w:rsid w:val="00E95AE2"/>
    <w:rsid w:val="00EA1E03"/>
    <w:rsid w:val="00EA335E"/>
    <w:rsid w:val="00EA528C"/>
    <w:rsid w:val="00EA580C"/>
    <w:rsid w:val="00EA72B3"/>
    <w:rsid w:val="00EB4963"/>
    <w:rsid w:val="00EB6A81"/>
    <w:rsid w:val="00EC06C2"/>
    <w:rsid w:val="00EC6F8D"/>
    <w:rsid w:val="00EC759C"/>
    <w:rsid w:val="00ED39B2"/>
    <w:rsid w:val="00EE331E"/>
    <w:rsid w:val="00EE49F4"/>
    <w:rsid w:val="00EF34E2"/>
    <w:rsid w:val="00F0535A"/>
    <w:rsid w:val="00F07042"/>
    <w:rsid w:val="00F30DC6"/>
    <w:rsid w:val="00F32C23"/>
    <w:rsid w:val="00F440C9"/>
    <w:rsid w:val="00F5222B"/>
    <w:rsid w:val="00F53DE9"/>
    <w:rsid w:val="00F56010"/>
    <w:rsid w:val="00F56FA1"/>
    <w:rsid w:val="00F576CB"/>
    <w:rsid w:val="00F7035D"/>
    <w:rsid w:val="00F71A02"/>
    <w:rsid w:val="00F84C4B"/>
    <w:rsid w:val="00F92792"/>
    <w:rsid w:val="00F97F38"/>
    <w:rsid w:val="00FA0D63"/>
    <w:rsid w:val="00FB19E0"/>
    <w:rsid w:val="00FD1226"/>
    <w:rsid w:val="00FE2FDE"/>
    <w:rsid w:val="00FF4830"/>
    <w:rsid w:val="00FF4C8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paragraph" w:styleId="Heading5">
    <w:name w:val="heading 5"/>
    <w:basedOn w:val="Normal"/>
    <w:next w:val="Normal"/>
    <w:link w:val="Heading5Char"/>
    <w:unhideWhenUsed/>
    <w:qFormat/>
    <w:rsid w:val="00262CFC"/>
    <w:pPr>
      <w:keepNext/>
      <w:keepLines/>
      <w:spacing w:before="40"/>
      <w:outlineLvl w:val="4"/>
    </w:pPr>
    <w:rPr>
      <w:rFonts w:asciiTheme="majorHAnsi" w:eastAsiaTheme="majorEastAsia" w:hAnsiTheme="majorHAnsi" w:cstheme="majorBidi"/>
      <w:color w:val="365F91" w:themeColor="accent1" w:themeShade="BF"/>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2875"/>
    <w:pPr>
      <w:ind w:left="720"/>
      <w:contextualSpacing/>
    </w:pPr>
  </w:style>
  <w:style w:type="paragraph" w:customStyle="1" w:styleId="1GAPara">
    <w:name w:val="1. GA Para"/>
    <w:qFormat/>
    <w:rsid w:val="007F7C5E"/>
    <w:pPr>
      <w:numPr>
        <w:numId w:val="14"/>
      </w:numPr>
      <w:spacing w:after="120"/>
      <w:jc w:val="both"/>
    </w:pPr>
    <w:rPr>
      <w:rFonts w:ascii="Arial" w:eastAsia="DengXian" w:hAnsi="Arial" w:cs="Arial"/>
      <w:snapToGrid w:val="0"/>
      <w:sz w:val="22"/>
      <w:szCs w:val="22"/>
      <w:lang w:val="en-US" w:eastAsia="zh-CN"/>
    </w:rPr>
  </w:style>
  <w:style w:type="character" w:customStyle="1" w:styleId="MargeChar">
    <w:name w:val="Marge Char"/>
    <w:link w:val="Marge"/>
    <w:rsid w:val="00225954"/>
    <w:rPr>
      <w:rFonts w:ascii="Arial" w:eastAsia="Times New Roman" w:hAnsi="Arial"/>
      <w:snapToGrid w:val="0"/>
      <w:sz w:val="22"/>
      <w:szCs w:val="24"/>
      <w:lang w:eastAsia="en-US"/>
    </w:rPr>
  </w:style>
  <w:style w:type="character" w:styleId="Hyperlink">
    <w:name w:val="Hyperlink"/>
    <w:basedOn w:val="DefaultParagraphFont"/>
    <w:uiPriority w:val="99"/>
    <w:unhideWhenUsed/>
    <w:rsid w:val="00A75C84"/>
    <w:rPr>
      <w:color w:val="0000FF" w:themeColor="hyperlink"/>
      <w:u w:val="single"/>
    </w:rPr>
  </w:style>
  <w:style w:type="character" w:styleId="FollowedHyperlink">
    <w:name w:val="FollowedHyperlink"/>
    <w:basedOn w:val="DefaultParagraphFont"/>
    <w:uiPriority w:val="99"/>
    <w:semiHidden/>
    <w:unhideWhenUsed/>
    <w:rsid w:val="00A75C84"/>
    <w:rPr>
      <w:color w:val="800080" w:themeColor="followedHyperlink"/>
      <w:u w:val="single"/>
    </w:rPr>
  </w:style>
  <w:style w:type="character" w:customStyle="1" w:styleId="Heading5Char">
    <w:name w:val="Heading 5 Char"/>
    <w:basedOn w:val="DefaultParagraphFont"/>
    <w:link w:val="Heading5"/>
    <w:rsid w:val="00262CFC"/>
    <w:rPr>
      <w:rFonts w:asciiTheme="majorHAnsi" w:eastAsiaTheme="majorEastAsia" w:hAnsiTheme="majorHAnsi" w:cstheme="majorBidi"/>
      <w:color w:val="365F91" w:themeColor="accent1" w:themeShade="BF"/>
      <w:sz w:val="22"/>
      <w:szCs w:val="24"/>
      <w:lang w:val="en-GB"/>
    </w:rPr>
  </w:style>
  <w:style w:type="character" w:styleId="UnresolvedMention">
    <w:name w:val="Unresolved Mention"/>
    <w:basedOn w:val="DefaultParagraphFont"/>
    <w:uiPriority w:val="99"/>
    <w:semiHidden/>
    <w:unhideWhenUsed/>
    <w:rsid w:val="003659C9"/>
    <w:rPr>
      <w:color w:val="605E5C"/>
      <w:shd w:val="clear" w:color="auto" w:fill="E1DFDD"/>
    </w:rPr>
  </w:style>
  <w:style w:type="paragraph" w:styleId="FootnoteText">
    <w:name w:val="footnote text"/>
    <w:basedOn w:val="Normal"/>
    <w:link w:val="FootnoteTextChar"/>
    <w:uiPriority w:val="99"/>
    <w:semiHidden/>
    <w:unhideWhenUsed/>
    <w:rsid w:val="00DF44DE"/>
    <w:rPr>
      <w:sz w:val="20"/>
      <w:szCs w:val="20"/>
    </w:rPr>
  </w:style>
  <w:style w:type="character" w:customStyle="1" w:styleId="FootnoteTextChar">
    <w:name w:val="Footnote Text Char"/>
    <w:basedOn w:val="DefaultParagraphFont"/>
    <w:link w:val="FootnoteText"/>
    <w:uiPriority w:val="99"/>
    <w:semiHidden/>
    <w:rsid w:val="00DF44DE"/>
    <w:rPr>
      <w:rFonts w:ascii="Times New Roman" w:eastAsia="Times New Roman" w:hAnsi="Times New Roman"/>
    </w:rPr>
  </w:style>
  <w:style w:type="character" w:styleId="FootnoteReference">
    <w:name w:val="footnote reference"/>
    <w:basedOn w:val="DefaultParagraphFont"/>
    <w:uiPriority w:val="99"/>
    <w:semiHidden/>
    <w:unhideWhenUsed/>
    <w:rsid w:val="00DF44DE"/>
    <w:rPr>
      <w:vertAlign w:val="superscript"/>
    </w:rPr>
  </w:style>
  <w:style w:type="paragraph" w:styleId="Revision">
    <w:name w:val="Revision"/>
    <w:hidden/>
    <w:uiPriority w:val="99"/>
    <w:semiHidden/>
    <w:rsid w:val="0038566D"/>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383BFF"/>
    <w:rPr>
      <w:sz w:val="16"/>
      <w:szCs w:val="16"/>
    </w:rPr>
  </w:style>
  <w:style w:type="paragraph" w:styleId="CommentText">
    <w:name w:val="annotation text"/>
    <w:basedOn w:val="Normal"/>
    <w:link w:val="CommentTextChar"/>
    <w:uiPriority w:val="99"/>
    <w:unhideWhenUsed/>
    <w:rsid w:val="00383BFF"/>
    <w:rPr>
      <w:sz w:val="20"/>
      <w:szCs w:val="20"/>
    </w:rPr>
  </w:style>
  <w:style w:type="character" w:customStyle="1" w:styleId="CommentTextChar">
    <w:name w:val="Comment Text Char"/>
    <w:basedOn w:val="DefaultParagraphFont"/>
    <w:link w:val="CommentText"/>
    <w:uiPriority w:val="99"/>
    <w:rsid w:val="00383BF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83BFF"/>
    <w:rPr>
      <w:b/>
      <w:bCs/>
    </w:rPr>
  </w:style>
  <w:style w:type="character" w:customStyle="1" w:styleId="CommentSubjectChar">
    <w:name w:val="Comment Subject Char"/>
    <w:basedOn w:val="CommentTextChar"/>
    <w:link w:val="CommentSubject"/>
    <w:uiPriority w:val="99"/>
    <w:semiHidden/>
    <w:rsid w:val="00383BFF"/>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009554372">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17.COM/10" TargetMode="External"/><Relationship Id="rId13" Type="http://schemas.openxmlformats.org/officeDocument/2006/relationships/hyperlink" Target="https://ich.unesco.org/en/Decisions/17.COM/10" TargetMode="External"/><Relationship Id="rId18" Type="http://schemas.openxmlformats.org/officeDocument/2006/relationships/hyperlink" Target="https://ich.unesco.org/en/ethics-and-ich-00866"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ch.unesco.org/doc/src/LHE-23-EXP_ART18-2_EN_.docx" TargetMode="External"/><Relationship Id="rId17" Type="http://schemas.openxmlformats.org/officeDocument/2006/relationships/hyperlink" Target="https://ich.unesco.org/en/Decisions/16.COM/14" TargetMode="External"/><Relationship Id="rId2" Type="http://schemas.openxmlformats.org/officeDocument/2006/relationships/numbering" Target="numbering.xml"/><Relationship Id="rId16" Type="http://schemas.openxmlformats.org/officeDocument/2006/relationships/hyperlink" Target="https://ich.unesco.org/doc/src/LHE-21-EXP-7-EN.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ethics-and-ich-00866" TargetMode="External"/><Relationship Id="rId5" Type="http://schemas.openxmlformats.org/officeDocument/2006/relationships/webSettings" Target="webSettings.xml"/><Relationship Id="rId15" Type="http://schemas.openxmlformats.org/officeDocument/2006/relationships/hyperlink" Target="https://ich.unesco.org/en/Decisions/8.COM/5.c.1" TargetMode="External"/><Relationship Id="rId23" Type="http://schemas.openxmlformats.org/officeDocument/2006/relationships/theme" Target="theme/theme1.xml"/><Relationship Id="rId10" Type="http://schemas.openxmlformats.org/officeDocument/2006/relationships/hyperlink" Target="https://ich.unesco.org/en/Decisions/16.COM/14"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doc/src/LHE-23-EXP_ART18-2_EN_.docx" TargetMode="External"/><Relationship Id="rId14" Type="http://schemas.openxmlformats.org/officeDocument/2006/relationships/hyperlink" Target="https://ich.unesco.org/en/Decisions/16.COM/14"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doc/src/LHE-21-EXP-7-EN.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2352</Words>
  <Characters>12936</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2023-04-05T12:13:00Z</dcterms:created>
  <dcterms:modified xsi:type="dcterms:W3CDTF">2023-04-12T19:02:00Z</dcterms:modified>
</cp:coreProperties>
</file>