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6BEF5310" w:rsidR="00EC6F8D" w:rsidRPr="00293C60" w:rsidRDefault="00EC6F8D" w:rsidP="00BC0EB8">
      <w:pPr>
        <w:tabs>
          <w:tab w:val="left" w:pos="2160"/>
        </w:tabs>
        <w:spacing w:before="1440"/>
        <w:ind w:left="3060" w:hanging="1260"/>
        <w:rPr>
          <w:rFonts w:ascii="Arial" w:hAnsi="Arial" w:cs="Arial"/>
          <w:b/>
          <w:sz w:val="22"/>
          <w:szCs w:val="22"/>
        </w:rPr>
      </w:pPr>
      <w:r>
        <w:rPr>
          <w:rFonts w:ascii="Arial" w:hAnsi="Arial" w:cs="Arial"/>
          <w:b/>
          <w:bCs/>
          <w:sz w:val="22"/>
          <w:szCs w:val="22"/>
          <w:lang w:val="fr"/>
        </w:rPr>
        <w:t>CONVENTION POUR LA SAUVEGARDE DU</w:t>
      </w:r>
      <w:r>
        <w:rPr>
          <w:rFonts w:ascii="Arial" w:hAnsi="Arial" w:cs="Arial"/>
          <w:sz w:val="22"/>
          <w:szCs w:val="22"/>
          <w:lang w:val="fr"/>
        </w:rPr>
        <w:br/>
      </w:r>
      <w:r>
        <w:rPr>
          <w:rFonts w:ascii="Arial" w:hAnsi="Arial" w:cs="Arial"/>
          <w:b/>
          <w:bCs/>
          <w:sz w:val="22"/>
          <w:szCs w:val="22"/>
          <w:lang w:val="fr"/>
        </w:rPr>
        <w:t>PATRIMOINE CULTUREL IMMATÉRIEL</w:t>
      </w:r>
    </w:p>
    <w:p w14:paraId="3D556B12" w14:textId="06284B05" w:rsidR="00091385" w:rsidRPr="00091385" w:rsidRDefault="00091385" w:rsidP="00091385">
      <w:pPr>
        <w:spacing w:before="1200"/>
        <w:ind w:left="1530" w:right="1448" w:firstLine="180"/>
        <w:jc w:val="center"/>
        <w:rPr>
          <w:rFonts w:ascii="Arial" w:eastAsia="Calibri" w:hAnsi="Arial" w:cs="Arial"/>
          <w:b/>
          <w:bCs/>
          <w:sz w:val="22"/>
          <w:szCs w:val="22"/>
        </w:rPr>
      </w:pPr>
      <w:bookmarkStart w:id="0" w:name="_Hlk70514086"/>
      <w:r>
        <w:rPr>
          <w:rFonts w:ascii="Arial" w:eastAsia="Calibri" w:hAnsi="Arial" w:cs="Arial"/>
          <w:b/>
          <w:bCs/>
          <w:sz w:val="22"/>
          <w:szCs w:val="22"/>
          <w:lang w:val="fr"/>
        </w:rPr>
        <w:t>Réunion d</w:t>
      </w:r>
      <w:r w:rsidR="000D054C">
        <w:rPr>
          <w:rFonts w:ascii="Arial" w:eastAsia="Calibri" w:hAnsi="Arial" w:cs="Arial"/>
          <w:b/>
          <w:bCs/>
          <w:sz w:val="22"/>
          <w:szCs w:val="22"/>
          <w:lang w:val="fr"/>
        </w:rPr>
        <w:t>’</w:t>
      </w:r>
      <w:r>
        <w:rPr>
          <w:rFonts w:ascii="Arial" w:eastAsia="Calibri" w:hAnsi="Arial" w:cs="Arial"/>
          <w:b/>
          <w:bCs/>
          <w:sz w:val="22"/>
          <w:szCs w:val="22"/>
          <w:lang w:val="fr"/>
        </w:rPr>
        <w:t>experts dans le cadre de la réflexion pour une mise en œuvre plus large de l</w:t>
      </w:r>
      <w:r w:rsidR="000D054C">
        <w:rPr>
          <w:rFonts w:ascii="Arial" w:eastAsia="Calibri" w:hAnsi="Arial" w:cs="Arial"/>
          <w:b/>
          <w:bCs/>
          <w:sz w:val="22"/>
          <w:szCs w:val="22"/>
          <w:lang w:val="fr"/>
        </w:rPr>
        <w:t>’</w:t>
      </w:r>
      <w:r>
        <w:rPr>
          <w:rFonts w:ascii="Arial" w:eastAsia="Calibri" w:hAnsi="Arial" w:cs="Arial"/>
          <w:b/>
          <w:bCs/>
          <w:sz w:val="22"/>
          <w:szCs w:val="22"/>
          <w:lang w:val="fr"/>
        </w:rPr>
        <w:t>article 18 de la Convention de 2003 pour la sauvegarde du patrimoine culturel immatériel</w:t>
      </w:r>
    </w:p>
    <w:bookmarkEnd w:id="0"/>
    <w:p w14:paraId="1FD89575" w14:textId="4698CCE9" w:rsidR="00B2172B" w:rsidRPr="00B2172B" w:rsidRDefault="00B9146E" w:rsidP="004E1760">
      <w:pPr>
        <w:spacing w:before="840"/>
        <w:jc w:val="center"/>
        <w:rPr>
          <w:rFonts w:ascii="Arial" w:hAnsi="Arial" w:cs="Arial"/>
          <w:b/>
          <w:sz w:val="22"/>
          <w:szCs w:val="22"/>
        </w:rPr>
      </w:pPr>
      <w:r>
        <w:rPr>
          <w:rFonts w:ascii="Arial" w:hAnsi="Arial" w:cs="Arial"/>
          <w:b/>
          <w:bCs/>
          <w:sz w:val="22"/>
          <w:szCs w:val="22"/>
          <w:lang w:val="fr"/>
        </w:rPr>
        <w:t>Stockholm, Suède</w:t>
      </w:r>
    </w:p>
    <w:p w14:paraId="45E52760" w14:textId="2F260755" w:rsidR="001F4E62" w:rsidRPr="0031456C" w:rsidRDefault="00B9146E" w:rsidP="0031456C">
      <w:pPr>
        <w:spacing w:after="1200"/>
        <w:jc w:val="center"/>
        <w:rPr>
          <w:rFonts w:ascii="Arial" w:hAnsi="Arial" w:cs="Arial"/>
          <w:b/>
          <w:sz w:val="22"/>
          <w:szCs w:val="22"/>
        </w:rPr>
      </w:pPr>
      <w:r>
        <w:rPr>
          <w:rFonts w:ascii="Arial" w:hAnsi="Arial" w:cs="Arial"/>
          <w:b/>
          <w:bCs/>
          <w:sz w:val="22"/>
          <w:szCs w:val="22"/>
          <w:lang w:val="fr"/>
        </w:rPr>
        <w:t>19 au 21 avril 2023</w:t>
      </w:r>
    </w:p>
    <w:p w14:paraId="59920478" w14:textId="7F56621C" w:rsidR="004A2875" w:rsidRPr="00293C60" w:rsidRDefault="0080202E" w:rsidP="0031456C">
      <w:pPr>
        <w:pStyle w:val="Sansinterligne2"/>
        <w:spacing w:after="1200"/>
        <w:jc w:val="center"/>
        <w:rPr>
          <w:rFonts w:ascii="Arial" w:hAnsi="Arial" w:cs="Arial"/>
          <w:b/>
          <w:sz w:val="22"/>
          <w:szCs w:val="22"/>
        </w:rPr>
      </w:pPr>
      <w:r>
        <w:rPr>
          <w:rFonts w:ascii="Arial" w:hAnsi="Arial" w:cs="Arial"/>
          <w:b/>
          <w:bCs/>
          <w:sz w:val="22"/>
          <w:szCs w:val="22"/>
          <w:lang w:val="fr"/>
        </w:rPr>
        <w:t>Contexte et objectifs</w:t>
      </w:r>
    </w:p>
    <w:p w14:paraId="713D819F" w14:textId="77777777" w:rsidR="004A2875" w:rsidRPr="009B4638" w:rsidRDefault="00655736" w:rsidP="00775390">
      <w:pPr>
        <w:pStyle w:val="ListParagraph"/>
        <w:keepLines/>
        <w:numPr>
          <w:ilvl w:val="0"/>
          <w:numId w:val="5"/>
        </w:numPr>
        <w:spacing w:after="240"/>
        <w:ind w:left="567" w:hanging="567"/>
        <w:contextualSpacing w:val="0"/>
        <w:rPr>
          <w:rFonts w:ascii="Arial" w:hAnsi="Arial" w:cs="Arial"/>
          <w:b/>
          <w:snapToGrid w:val="0"/>
          <w:sz w:val="22"/>
          <w:szCs w:val="22"/>
        </w:rPr>
      </w:pPr>
      <w:r>
        <w:rPr>
          <w:lang w:val="fr"/>
        </w:rPr>
        <w:br w:type="page"/>
      </w:r>
    </w:p>
    <w:p w14:paraId="6ADBEF46" w14:textId="2799D906" w:rsidR="00A15E6D" w:rsidRPr="00A15E6D" w:rsidRDefault="0080202E" w:rsidP="00EB73D7">
      <w:pPr>
        <w:pStyle w:val="1GAPara"/>
        <w:numPr>
          <w:ilvl w:val="0"/>
          <w:numId w:val="0"/>
        </w:numPr>
        <w:rPr>
          <w:b/>
          <w:bCs/>
        </w:rPr>
      </w:pPr>
      <w:r>
        <w:rPr>
          <w:b/>
          <w:bCs/>
          <w:lang w:val="fr"/>
        </w:rPr>
        <w:lastRenderedPageBreak/>
        <w:t>Introduction</w:t>
      </w:r>
    </w:p>
    <w:p w14:paraId="6E973AB5" w14:textId="438A77A7" w:rsidR="00B82B6E" w:rsidRPr="00EB73D7" w:rsidRDefault="00B82B6E" w:rsidP="00EB73D7">
      <w:pPr>
        <w:pStyle w:val="1GAPara"/>
        <w:ind w:left="567" w:hanging="567"/>
        <w:rPr>
          <w:lang w:val="fr-FR"/>
        </w:rPr>
      </w:pPr>
      <w:r>
        <w:rPr>
          <w:lang w:val="fr"/>
        </w:rPr>
        <w:t xml:space="preserve">Le présent document vise à fournir des informations </w:t>
      </w:r>
      <w:r w:rsidR="00E874F6">
        <w:rPr>
          <w:lang w:val="fr"/>
        </w:rPr>
        <w:t>générales concernant</w:t>
      </w:r>
      <w:r>
        <w:rPr>
          <w:lang w:val="fr"/>
        </w:rPr>
        <w:t xml:space="preserve"> la réunion </w:t>
      </w:r>
      <w:r w:rsidRPr="003101DE">
        <w:rPr>
          <w:lang w:val="fr-FR"/>
        </w:rPr>
        <w:t>d</w:t>
      </w:r>
      <w:r w:rsidR="000D054C" w:rsidRPr="003101DE">
        <w:rPr>
          <w:lang w:val="fr-FR"/>
        </w:rPr>
        <w:t>’</w:t>
      </w:r>
      <w:r w:rsidRPr="003101DE">
        <w:rPr>
          <w:lang w:val="fr-FR"/>
        </w:rPr>
        <w:t>experts</w:t>
      </w:r>
      <w:r>
        <w:rPr>
          <w:lang w:val="fr"/>
        </w:rPr>
        <w:t xml:space="preserve"> de catégorie VI (19 au 21 avril 2023, Stockholm, Suède), qui </w:t>
      </w:r>
      <w:r w:rsidR="00E874F6">
        <w:rPr>
          <w:lang w:val="fr"/>
        </w:rPr>
        <w:t xml:space="preserve">a été </w:t>
      </w:r>
      <w:r w:rsidR="001B2605">
        <w:rPr>
          <w:lang w:val="fr"/>
        </w:rPr>
        <w:t>invitée</w:t>
      </w:r>
      <w:r w:rsidR="00E874F6">
        <w:rPr>
          <w:lang w:val="fr"/>
        </w:rPr>
        <w:t xml:space="preserve"> à </w:t>
      </w:r>
      <w:r>
        <w:rPr>
          <w:lang w:val="fr"/>
        </w:rPr>
        <w:t>réfléchir à une mise en œuvre plus large de l</w:t>
      </w:r>
      <w:r w:rsidR="000D054C">
        <w:rPr>
          <w:lang w:val="fr"/>
        </w:rPr>
        <w:t>’</w:t>
      </w:r>
      <w:r>
        <w:rPr>
          <w:lang w:val="fr"/>
        </w:rPr>
        <w:t>article 18 de la Convention de 2003 pour la sauvegarde du patrimoine culturel immatériel.</w:t>
      </w:r>
    </w:p>
    <w:p w14:paraId="4639D3D9" w14:textId="2B75205D" w:rsidR="00B82B6E" w:rsidRPr="00EB73D7" w:rsidRDefault="00DA0BD4" w:rsidP="00EB73D7">
      <w:pPr>
        <w:pStyle w:val="1GAPara"/>
        <w:numPr>
          <w:ilvl w:val="0"/>
          <w:numId w:val="0"/>
        </w:numPr>
        <w:spacing w:before="240"/>
        <w:rPr>
          <w:b/>
          <w:bCs/>
          <w:lang w:val="fr-FR"/>
        </w:rPr>
      </w:pPr>
      <w:r w:rsidRPr="00EB73D7">
        <w:rPr>
          <w:b/>
          <w:bCs/>
          <w:lang w:val="fr"/>
        </w:rPr>
        <w:t>Le Registre des bonnes pratiques de sauvegarde dans le cadre du système d</w:t>
      </w:r>
      <w:r w:rsidR="000D054C">
        <w:rPr>
          <w:b/>
          <w:bCs/>
          <w:lang w:val="fr"/>
        </w:rPr>
        <w:t>’</w:t>
      </w:r>
      <w:r w:rsidRPr="00EB73D7">
        <w:rPr>
          <w:b/>
          <w:bCs/>
          <w:lang w:val="fr"/>
        </w:rPr>
        <w:t>inscription</w:t>
      </w:r>
    </w:p>
    <w:p w14:paraId="412417EA" w14:textId="6B616755" w:rsidR="002F2591" w:rsidRPr="00EB73D7" w:rsidRDefault="002F2591" w:rsidP="00EB73D7">
      <w:pPr>
        <w:pStyle w:val="1GAPara"/>
        <w:ind w:left="567" w:hanging="567"/>
        <w:rPr>
          <w:lang w:val="fr-FR"/>
        </w:rPr>
      </w:pPr>
      <w:r>
        <w:rPr>
          <w:lang w:val="fr"/>
        </w:rPr>
        <w:t>Le système d</w:t>
      </w:r>
      <w:r w:rsidR="000D054C">
        <w:rPr>
          <w:lang w:val="fr"/>
        </w:rPr>
        <w:t>’</w:t>
      </w:r>
      <w:r>
        <w:rPr>
          <w:lang w:val="fr"/>
        </w:rPr>
        <w:t>inscription international de la Convention de 2003 est composé de trois mécanismes :</w:t>
      </w:r>
    </w:p>
    <w:p w14:paraId="20B6366A" w14:textId="61861C40" w:rsidR="002F2591" w:rsidRPr="00EB73D7" w:rsidRDefault="002F2591" w:rsidP="00EB73D7">
      <w:pPr>
        <w:pStyle w:val="COMPara"/>
        <w:numPr>
          <w:ilvl w:val="0"/>
          <w:numId w:val="11"/>
        </w:numPr>
        <w:ind w:left="1134" w:hanging="567"/>
        <w:jc w:val="both"/>
        <w:rPr>
          <w:lang w:val="fr-FR"/>
        </w:rPr>
      </w:pPr>
      <w:r>
        <w:rPr>
          <w:lang w:val="fr"/>
        </w:rPr>
        <w:t>La Liste représentative du patrimoine culturel immatériel de l</w:t>
      </w:r>
      <w:r w:rsidR="000D054C">
        <w:rPr>
          <w:lang w:val="fr"/>
        </w:rPr>
        <w:t>’</w:t>
      </w:r>
      <w:r>
        <w:rPr>
          <w:lang w:val="fr"/>
        </w:rPr>
        <w:t>humanité (ci-après, « Liste représentative ») ;</w:t>
      </w:r>
    </w:p>
    <w:p w14:paraId="09524226" w14:textId="2CF0AB44" w:rsidR="002F2591" w:rsidRPr="00EB73D7" w:rsidRDefault="002F2591" w:rsidP="00EB73D7">
      <w:pPr>
        <w:pStyle w:val="COMPara"/>
        <w:numPr>
          <w:ilvl w:val="0"/>
          <w:numId w:val="11"/>
        </w:numPr>
        <w:ind w:left="1134" w:hanging="567"/>
        <w:jc w:val="both"/>
        <w:rPr>
          <w:lang w:val="fr-FR"/>
        </w:rPr>
      </w:pPr>
      <w:r>
        <w:rPr>
          <w:lang w:val="fr"/>
        </w:rPr>
        <w:t>La Liste du patrimoine culturel immatériel nécessitant une sauvegarde urgente (ci-après « Liste de sauvegarde urgente ») ;</w:t>
      </w:r>
    </w:p>
    <w:p w14:paraId="33C063C7" w14:textId="3812F591" w:rsidR="002F2591" w:rsidRPr="00EB73D7" w:rsidRDefault="002F2591" w:rsidP="00EB73D7">
      <w:pPr>
        <w:pStyle w:val="COMPara"/>
        <w:numPr>
          <w:ilvl w:val="0"/>
          <w:numId w:val="11"/>
        </w:numPr>
        <w:ind w:left="1134" w:hanging="567"/>
        <w:jc w:val="both"/>
        <w:rPr>
          <w:lang w:val="fr-FR"/>
        </w:rPr>
      </w:pPr>
      <w:r>
        <w:rPr>
          <w:lang w:val="fr"/>
        </w:rPr>
        <w:t>Le Registre des programmes, projets et activités qui reflètent le mieux les principes et objectifs de la Convention (ci-après, « Registre des bonnes pratiques de sauvegarde » ou « </w:t>
      </w:r>
      <w:r w:rsidRPr="003101DE">
        <w:rPr>
          <w:lang w:val="fr-FR"/>
        </w:rPr>
        <w:t>Registre</w:t>
      </w:r>
      <w:r>
        <w:rPr>
          <w:lang w:val="fr"/>
        </w:rPr>
        <w:t> »).</w:t>
      </w:r>
    </w:p>
    <w:p w14:paraId="433BCFBC" w14:textId="24508FED" w:rsidR="000F7B6E" w:rsidRPr="000F7B6E" w:rsidRDefault="00B82B6E" w:rsidP="000F7B6E">
      <w:pPr>
        <w:pStyle w:val="1GAPara"/>
        <w:ind w:left="567" w:hanging="567"/>
        <w:rPr>
          <w:lang w:val="fr"/>
        </w:rPr>
      </w:pPr>
      <w:r w:rsidRPr="00E874F6">
        <w:rPr>
          <w:lang w:val="fr"/>
        </w:rPr>
        <w:t>Ces deux listes et le Registre ont tous des objectifs distincts mais largement complémentaires, comme indiqué dans les articles 16, 17 et 18 de la Convention, respectivement, et comme précisé dans les Directives opérationnelles.</w:t>
      </w:r>
      <w:r w:rsidR="00E874F6" w:rsidRPr="00E874F6">
        <w:rPr>
          <w:lang w:val="fr"/>
        </w:rPr>
        <w:t xml:space="preserve"> </w:t>
      </w:r>
      <w:r w:rsidR="00DA0BD4" w:rsidRPr="00E874F6">
        <w:rPr>
          <w:lang w:val="fr"/>
        </w:rPr>
        <w:t xml:space="preserve">Le Registre des bonnes (anciennement : </w:t>
      </w:r>
      <w:r w:rsidR="002F75DB">
        <w:rPr>
          <w:lang w:val="fr"/>
        </w:rPr>
        <w:t>m</w:t>
      </w:r>
      <w:r w:rsidR="00DA0BD4" w:rsidRPr="00E874F6">
        <w:rPr>
          <w:lang w:val="fr"/>
        </w:rPr>
        <w:t>eilleures) pratiques de sauvegarde, qui repose sur l</w:t>
      </w:r>
      <w:r w:rsidR="000D054C">
        <w:rPr>
          <w:lang w:val="fr"/>
        </w:rPr>
        <w:t>’</w:t>
      </w:r>
      <w:r w:rsidR="00DA0BD4" w:rsidRPr="00E874F6">
        <w:rPr>
          <w:lang w:val="fr"/>
        </w:rPr>
        <w:t>article 18, n</w:t>
      </w:r>
      <w:r w:rsidR="000D054C">
        <w:rPr>
          <w:lang w:val="fr"/>
        </w:rPr>
        <w:t>’</w:t>
      </w:r>
      <w:r w:rsidR="00DA0BD4" w:rsidRPr="00E874F6">
        <w:rPr>
          <w:lang w:val="fr"/>
        </w:rPr>
        <w:t>est pas mentionné en tant que tel dans cet article. Il a été créé par les organes directeurs de la Convention de 2003 lorsqu</w:t>
      </w:r>
      <w:r w:rsidR="000D054C">
        <w:rPr>
          <w:lang w:val="fr"/>
        </w:rPr>
        <w:t>’</w:t>
      </w:r>
      <w:r w:rsidR="00DA0BD4" w:rsidRPr="00E874F6">
        <w:rPr>
          <w:lang w:val="fr"/>
        </w:rPr>
        <w:t>ils ont cherché à trouver une solution pratique pour la mise en œuvre de l</w:t>
      </w:r>
      <w:r w:rsidR="000D054C">
        <w:rPr>
          <w:lang w:val="fr"/>
        </w:rPr>
        <w:t>’</w:t>
      </w:r>
      <w:r w:rsidR="00DA0BD4" w:rsidRPr="00E874F6">
        <w:rPr>
          <w:lang w:val="fr"/>
        </w:rPr>
        <w:t>article 18 lors de la préparation de la première série de Directives opérationnelles.</w:t>
      </w:r>
    </w:p>
    <w:p w14:paraId="17B1CEAF" w14:textId="6784FF58" w:rsidR="00C457E9" w:rsidRPr="0041250F" w:rsidRDefault="00C457E9" w:rsidP="004B7A3D">
      <w:pPr>
        <w:pStyle w:val="1GAPara"/>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ind w:left="567"/>
        <w:rPr>
          <w:u w:val="single"/>
        </w:rPr>
      </w:pPr>
      <w:r>
        <w:rPr>
          <w:u w:val="single"/>
          <w:lang w:val="fr"/>
        </w:rPr>
        <w:t>Article 18</w:t>
      </w:r>
    </w:p>
    <w:p w14:paraId="29712B7A" w14:textId="72EBAB65" w:rsidR="003E62B9" w:rsidRPr="00EB73D7" w:rsidRDefault="003E62B9" w:rsidP="00266858">
      <w:pPr>
        <w:pStyle w:val="1GAPara"/>
        <w:numPr>
          <w:ilvl w:val="0"/>
          <w:numId w:val="12"/>
        </w:numPr>
        <w:pBdr>
          <w:top w:val="single" w:sz="4" w:space="1" w:color="auto"/>
          <w:left w:val="single" w:sz="4" w:space="4" w:color="auto"/>
          <w:bottom w:val="single" w:sz="4" w:space="1" w:color="auto"/>
          <w:right w:val="single" w:sz="4" w:space="4" w:color="auto"/>
        </w:pBdr>
        <w:shd w:val="clear" w:color="auto" w:fill="DAEEF3" w:themeFill="accent5" w:themeFillTint="33"/>
        <w:ind w:left="1134" w:hanging="567"/>
        <w:rPr>
          <w:lang w:val="fr-FR"/>
        </w:rPr>
      </w:pPr>
      <w:r>
        <w:rPr>
          <w:lang w:val="fr"/>
        </w:rPr>
        <w:t>Sur la base des propositions soumises par les États parties, et conformément aux critères définis par le Comité et approuvés par l</w:t>
      </w:r>
      <w:r w:rsidR="000D054C">
        <w:rPr>
          <w:lang w:val="fr"/>
        </w:rPr>
        <w:t>’</w:t>
      </w:r>
      <w:r>
        <w:rPr>
          <w:lang w:val="fr"/>
        </w:rPr>
        <w:t xml:space="preserve">Assemblée générale, le Comité sélectionne et encourage périodiquement les programmes, projets et activités </w:t>
      </w:r>
      <w:r w:rsidR="00E874F6">
        <w:rPr>
          <w:lang w:val="fr"/>
        </w:rPr>
        <w:t>de caractère</w:t>
      </w:r>
      <w:r w:rsidR="000D054C">
        <w:rPr>
          <w:lang w:val="fr"/>
        </w:rPr>
        <w:t xml:space="preserve"> national, sous-régional ou régional </w:t>
      </w:r>
      <w:r>
        <w:rPr>
          <w:lang w:val="fr"/>
        </w:rPr>
        <w:t>de sauvegarde du patrimoine qu</w:t>
      </w:r>
      <w:r w:rsidR="000D054C">
        <w:rPr>
          <w:lang w:val="fr"/>
        </w:rPr>
        <w:t>’</w:t>
      </w:r>
      <w:r>
        <w:rPr>
          <w:lang w:val="fr"/>
        </w:rPr>
        <w:t xml:space="preserve">il </w:t>
      </w:r>
      <w:r w:rsidR="000D054C">
        <w:rPr>
          <w:lang w:val="fr"/>
        </w:rPr>
        <w:t xml:space="preserve">estime </w:t>
      </w:r>
      <w:r>
        <w:rPr>
          <w:lang w:val="fr"/>
        </w:rPr>
        <w:t>comme reflétant le mieux les principes et objectifs de la présente Convention, en tenant compte des besoins particuliers des pays en développement.</w:t>
      </w:r>
    </w:p>
    <w:p w14:paraId="20DB03E9" w14:textId="6DFB2887" w:rsidR="003E62B9" w:rsidRPr="00EB73D7" w:rsidRDefault="003E62B9" w:rsidP="00266858">
      <w:pPr>
        <w:pStyle w:val="1GAPara"/>
        <w:numPr>
          <w:ilvl w:val="0"/>
          <w:numId w:val="12"/>
        </w:numPr>
        <w:pBdr>
          <w:top w:val="single" w:sz="4" w:space="1" w:color="auto"/>
          <w:left w:val="single" w:sz="4" w:space="4" w:color="auto"/>
          <w:bottom w:val="single" w:sz="4" w:space="1" w:color="auto"/>
          <w:right w:val="single" w:sz="4" w:space="4" w:color="auto"/>
        </w:pBdr>
        <w:shd w:val="clear" w:color="auto" w:fill="DAEEF3" w:themeFill="accent5" w:themeFillTint="33"/>
        <w:ind w:left="1134" w:hanging="567"/>
        <w:rPr>
          <w:lang w:val="fr-FR"/>
        </w:rPr>
      </w:pPr>
      <w:r>
        <w:rPr>
          <w:lang w:val="fr"/>
        </w:rPr>
        <w:t>À cette fin, il reçoit, examine et approuve les demandes d</w:t>
      </w:r>
      <w:r w:rsidR="000D054C">
        <w:rPr>
          <w:lang w:val="fr"/>
        </w:rPr>
        <w:t>’</w:t>
      </w:r>
      <w:r>
        <w:rPr>
          <w:lang w:val="fr"/>
        </w:rPr>
        <w:t>assistance internationale des États parties pour l</w:t>
      </w:r>
      <w:r w:rsidR="000D054C">
        <w:rPr>
          <w:lang w:val="fr"/>
        </w:rPr>
        <w:t>’</w:t>
      </w:r>
      <w:r>
        <w:rPr>
          <w:lang w:val="fr"/>
        </w:rPr>
        <w:t>élaboration de ces propositions.</w:t>
      </w:r>
    </w:p>
    <w:p w14:paraId="75C7115A" w14:textId="716B7335" w:rsidR="003E62B9" w:rsidRPr="00EB73D7" w:rsidRDefault="003E62B9" w:rsidP="00266858">
      <w:pPr>
        <w:pStyle w:val="1GAPara"/>
        <w:numPr>
          <w:ilvl w:val="0"/>
          <w:numId w:val="12"/>
        </w:numPr>
        <w:pBdr>
          <w:top w:val="single" w:sz="4" w:space="1" w:color="auto"/>
          <w:left w:val="single" w:sz="4" w:space="4" w:color="auto"/>
          <w:bottom w:val="single" w:sz="4" w:space="1" w:color="auto"/>
          <w:right w:val="single" w:sz="4" w:space="4" w:color="auto"/>
        </w:pBdr>
        <w:shd w:val="clear" w:color="auto" w:fill="DAEEF3" w:themeFill="accent5" w:themeFillTint="33"/>
        <w:ind w:left="1134" w:hanging="567"/>
        <w:rPr>
          <w:lang w:val="fr-FR"/>
        </w:rPr>
      </w:pPr>
      <w:r>
        <w:rPr>
          <w:lang w:val="fr"/>
        </w:rPr>
        <w:t xml:space="preserve">Le Comité accompagne la mise en œuvre </w:t>
      </w:r>
      <w:r w:rsidR="000D054C">
        <w:rPr>
          <w:lang w:val="fr"/>
        </w:rPr>
        <w:t xml:space="preserve">desdits </w:t>
      </w:r>
      <w:r>
        <w:rPr>
          <w:lang w:val="fr"/>
        </w:rPr>
        <w:t xml:space="preserve">projets, programmes et activités </w:t>
      </w:r>
      <w:r w:rsidR="000D054C">
        <w:rPr>
          <w:lang w:val="fr"/>
        </w:rPr>
        <w:t xml:space="preserve">par la diffusion des </w:t>
      </w:r>
      <w:r>
        <w:rPr>
          <w:lang w:val="fr"/>
        </w:rPr>
        <w:t xml:space="preserve">meilleures pratiques </w:t>
      </w:r>
      <w:r w:rsidR="000D054C" w:rsidRPr="000D054C">
        <w:rPr>
          <w:lang w:val="fr"/>
        </w:rPr>
        <w:t>selon les modalités qu</w:t>
      </w:r>
      <w:r w:rsidR="000D054C">
        <w:rPr>
          <w:lang w:val="fr"/>
        </w:rPr>
        <w:t>’</w:t>
      </w:r>
      <w:r w:rsidR="000D054C" w:rsidRPr="000D054C">
        <w:rPr>
          <w:lang w:val="fr"/>
        </w:rPr>
        <w:t>il aura déterminées</w:t>
      </w:r>
      <w:r>
        <w:rPr>
          <w:lang w:val="fr"/>
        </w:rPr>
        <w:t>.</w:t>
      </w:r>
    </w:p>
    <w:p w14:paraId="1502B26D" w14:textId="0F855F11" w:rsidR="006903E6" w:rsidRPr="00EB73D7" w:rsidRDefault="006903E6" w:rsidP="00AD6FF7">
      <w:pPr>
        <w:pStyle w:val="1GAPara"/>
        <w:ind w:left="567" w:hanging="567"/>
        <w:rPr>
          <w:lang w:val="fr-FR"/>
        </w:rPr>
      </w:pPr>
      <w:r>
        <w:rPr>
          <w:lang w:val="fr"/>
        </w:rPr>
        <w:t>L</w:t>
      </w:r>
      <w:r w:rsidR="000D054C">
        <w:rPr>
          <w:lang w:val="fr"/>
        </w:rPr>
        <w:t>’</w:t>
      </w:r>
      <w:r>
        <w:rPr>
          <w:lang w:val="fr"/>
        </w:rPr>
        <w:t>idée d</w:t>
      </w:r>
      <w:r w:rsidR="000D054C">
        <w:rPr>
          <w:lang w:val="fr"/>
        </w:rPr>
        <w:t>’</w:t>
      </w:r>
      <w:r>
        <w:rPr>
          <w:lang w:val="fr"/>
        </w:rPr>
        <w:t>inclure la notion de « meilleures pratiques » dans le futur instrument normatif est apparue très tôt au cours de la préparation de la Convention. Elle a déjà été discutée en mars 2002 lors de la deuxième réunion d</w:t>
      </w:r>
      <w:r w:rsidR="000D054C">
        <w:rPr>
          <w:lang w:val="fr"/>
        </w:rPr>
        <w:t>’</w:t>
      </w:r>
      <w:r>
        <w:rPr>
          <w:lang w:val="fr"/>
        </w:rPr>
        <w:t>experts organisée par l</w:t>
      </w:r>
      <w:r w:rsidR="000D054C">
        <w:rPr>
          <w:lang w:val="fr"/>
        </w:rPr>
        <w:t>’</w:t>
      </w:r>
      <w:r>
        <w:rPr>
          <w:lang w:val="fr"/>
        </w:rPr>
        <w:t>UNESCO pour préparer le processus de rédaction de la Convention (Rio de Janeiro, Brésil, janvier 2002). La Convention de 2003 devait se fonder spécifiquement sur l</w:t>
      </w:r>
      <w:r w:rsidR="000D054C">
        <w:rPr>
          <w:lang w:val="fr"/>
        </w:rPr>
        <w:t>’</w:t>
      </w:r>
      <w:r>
        <w:rPr>
          <w:lang w:val="fr"/>
        </w:rPr>
        <w:t xml:space="preserve">expérience acquise dans le cadre du programme de </w:t>
      </w:r>
      <w:r w:rsidR="000D054C">
        <w:rPr>
          <w:lang w:val="fr"/>
        </w:rPr>
        <w:t>la P</w:t>
      </w:r>
      <w:r>
        <w:rPr>
          <w:lang w:val="fr"/>
        </w:rPr>
        <w:t>roclamation des chefs-d</w:t>
      </w:r>
      <w:r w:rsidR="000D054C">
        <w:rPr>
          <w:lang w:val="fr"/>
        </w:rPr>
        <w:t>’</w:t>
      </w:r>
      <w:r>
        <w:rPr>
          <w:lang w:val="fr"/>
        </w:rPr>
        <w:t>œuvre du patrimoine oral et immatériel de l</w:t>
      </w:r>
      <w:r w:rsidR="000D054C">
        <w:rPr>
          <w:lang w:val="fr"/>
        </w:rPr>
        <w:t>’</w:t>
      </w:r>
      <w:r>
        <w:rPr>
          <w:lang w:val="fr"/>
        </w:rPr>
        <w:t>humanité et sur les « meilleures pratiques pour la sauvegarde et la protection du patrimoine culturel immatériel »</w:t>
      </w:r>
      <w:r>
        <w:rPr>
          <w:rStyle w:val="FootnoteReference"/>
          <w:lang w:val="fr"/>
        </w:rPr>
        <w:footnoteReference w:id="1"/>
      </w:r>
      <w:r>
        <w:rPr>
          <w:lang w:val="fr"/>
        </w:rPr>
        <w:t>. Si la formulation a évolué au cours des différentes étapes de la préparation de la Convention, l</w:t>
      </w:r>
      <w:r w:rsidR="000D054C">
        <w:rPr>
          <w:lang w:val="fr"/>
        </w:rPr>
        <w:t>’</w:t>
      </w:r>
      <w:r>
        <w:rPr>
          <w:lang w:val="fr"/>
        </w:rPr>
        <w:t>idée générale a survécu et a fait surface sous la forme d</w:t>
      </w:r>
      <w:r w:rsidR="000D054C">
        <w:rPr>
          <w:lang w:val="fr"/>
        </w:rPr>
        <w:t>’</w:t>
      </w:r>
      <w:r>
        <w:rPr>
          <w:lang w:val="fr"/>
        </w:rPr>
        <w:t>un Registre des bonnes pratiques de sauvegarde lorsque la deuxième session de l</w:t>
      </w:r>
      <w:r w:rsidR="000D054C">
        <w:rPr>
          <w:lang w:val="fr"/>
        </w:rPr>
        <w:t>’</w:t>
      </w:r>
      <w:r>
        <w:rPr>
          <w:lang w:val="fr"/>
        </w:rPr>
        <w:t xml:space="preserve">Assemblée générale en 2008 a approuvé </w:t>
      </w:r>
      <w:r w:rsidR="000D054C">
        <w:rPr>
          <w:lang w:val="fr"/>
        </w:rPr>
        <w:t xml:space="preserve">les </w:t>
      </w:r>
      <w:r>
        <w:rPr>
          <w:lang w:val="fr"/>
        </w:rPr>
        <w:t>première</w:t>
      </w:r>
      <w:r w:rsidR="000D054C">
        <w:rPr>
          <w:lang w:val="fr"/>
        </w:rPr>
        <w:t>s</w:t>
      </w:r>
      <w:r>
        <w:rPr>
          <w:lang w:val="fr"/>
        </w:rPr>
        <w:t xml:space="preserve"> Directives opérationnelles de la Convention.</w:t>
      </w:r>
    </w:p>
    <w:p w14:paraId="6E397AAB" w14:textId="5C9C1603" w:rsidR="006903E6" w:rsidRPr="00EB73D7" w:rsidRDefault="006903E6" w:rsidP="00266858">
      <w:pPr>
        <w:pStyle w:val="1GAPara"/>
        <w:keepLines/>
        <w:ind w:left="567" w:hanging="567"/>
        <w:rPr>
          <w:lang w:val="fr-FR"/>
        </w:rPr>
      </w:pPr>
      <w:r>
        <w:rPr>
          <w:lang w:val="fr"/>
        </w:rPr>
        <w:lastRenderedPageBreak/>
        <w:t xml:space="preserve">Le Registre est devenu opérationnel en 2009. Le fonctionnement du Registre a été précisé dans les Directives opérationnelles (paragraphes 42 à 46). Neuf critères </w:t>
      </w:r>
      <w:r w:rsidR="00620F1C">
        <w:rPr>
          <w:lang w:val="fr"/>
        </w:rPr>
        <w:t xml:space="preserve">de </w:t>
      </w:r>
      <w:r w:rsidR="00620F1C" w:rsidRPr="001B2605">
        <w:rPr>
          <w:lang w:val="fr"/>
        </w:rPr>
        <w:t>sélections</w:t>
      </w:r>
      <w:r>
        <w:rPr>
          <w:lang w:val="fr"/>
        </w:rPr>
        <w:t xml:space="preserve"> ont été élaborés - voir </w:t>
      </w:r>
      <w:r w:rsidR="00620F1C">
        <w:rPr>
          <w:lang w:val="fr"/>
        </w:rPr>
        <w:t xml:space="preserve">le paragraphe 7 des </w:t>
      </w:r>
      <w:r>
        <w:rPr>
          <w:lang w:val="fr"/>
        </w:rPr>
        <w:t>Directive</w:t>
      </w:r>
      <w:r w:rsidR="00620F1C">
        <w:rPr>
          <w:lang w:val="fr"/>
        </w:rPr>
        <w:t xml:space="preserve">s </w:t>
      </w:r>
      <w:r>
        <w:rPr>
          <w:lang w:val="fr"/>
        </w:rPr>
        <w:t>opérationnelle</w:t>
      </w:r>
      <w:r w:rsidR="00620F1C">
        <w:rPr>
          <w:lang w:val="fr"/>
        </w:rPr>
        <w:t>s</w:t>
      </w:r>
      <w:r>
        <w:rPr>
          <w:lang w:val="fr"/>
        </w:rPr>
        <w:t xml:space="preserve"> - et ont déterminé la structure du formulaire ICH-03 à utiliser pour </w:t>
      </w:r>
      <w:r w:rsidR="00620F1C">
        <w:rPr>
          <w:lang w:val="fr"/>
        </w:rPr>
        <w:t xml:space="preserve">soumettre des candidatures de </w:t>
      </w:r>
      <w:r>
        <w:rPr>
          <w:lang w:val="fr"/>
        </w:rPr>
        <w:t xml:space="preserve">programmes, </w:t>
      </w:r>
      <w:r w:rsidR="00620F1C">
        <w:rPr>
          <w:lang w:val="fr"/>
        </w:rPr>
        <w:t xml:space="preserve">de </w:t>
      </w:r>
      <w:r>
        <w:rPr>
          <w:lang w:val="fr"/>
        </w:rPr>
        <w:t xml:space="preserve">projets et </w:t>
      </w:r>
      <w:r w:rsidR="00620F1C">
        <w:rPr>
          <w:lang w:val="fr"/>
        </w:rPr>
        <w:t>d’</w:t>
      </w:r>
      <w:r>
        <w:rPr>
          <w:lang w:val="fr"/>
        </w:rPr>
        <w:t>activités en vue de leur sélection comme meilleures pratiques.</w:t>
      </w:r>
    </w:p>
    <w:p w14:paraId="1B527BC6" w14:textId="58531ABD" w:rsidR="005C578F" w:rsidRPr="00EB73D7" w:rsidRDefault="00DC27E2" w:rsidP="00AD6FF7">
      <w:pPr>
        <w:pStyle w:val="1GAPara"/>
        <w:ind w:left="567" w:hanging="567"/>
        <w:rPr>
          <w:lang w:val="fr-FR"/>
        </w:rPr>
      </w:pPr>
      <w:r w:rsidRPr="00620F1C">
        <w:rPr>
          <w:lang w:val="fr"/>
        </w:rPr>
        <w:t>Bien qu</w:t>
      </w:r>
      <w:r w:rsidR="000D054C" w:rsidRPr="00620F1C">
        <w:rPr>
          <w:lang w:val="fr"/>
        </w:rPr>
        <w:t>’</w:t>
      </w:r>
      <w:r w:rsidRPr="00620F1C">
        <w:rPr>
          <w:lang w:val="fr"/>
        </w:rPr>
        <w:t>il soit novateur pour un instrument normatif d</w:t>
      </w:r>
      <w:r w:rsidR="000D054C" w:rsidRPr="00620F1C">
        <w:rPr>
          <w:lang w:val="fr"/>
        </w:rPr>
        <w:t>’</w:t>
      </w:r>
      <w:r w:rsidRPr="00620F1C">
        <w:rPr>
          <w:lang w:val="fr"/>
        </w:rPr>
        <w:t>inclure un mécanisme d</w:t>
      </w:r>
      <w:r w:rsidR="000D054C" w:rsidRPr="00620F1C">
        <w:rPr>
          <w:lang w:val="fr"/>
        </w:rPr>
        <w:t>’</w:t>
      </w:r>
      <w:r w:rsidRPr="00620F1C">
        <w:rPr>
          <w:lang w:val="fr"/>
        </w:rPr>
        <w:t>inscription pour le partage des bonnes pratiques, le Registre a été sous-utilisé par rapport aux deux autres mécanismes d</w:t>
      </w:r>
      <w:r w:rsidR="000D054C" w:rsidRPr="00620F1C">
        <w:rPr>
          <w:lang w:val="fr"/>
        </w:rPr>
        <w:t>’</w:t>
      </w:r>
      <w:r w:rsidRPr="00620F1C">
        <w:rPr>
          <w:lang w:val="fr"/>
        </w:rPr>
        <w:t>inscription de la Convention.</w:t>
      </w:r>
      <w:r w:rsidR="00620F1C">
        <w:rPr>
          <w:lang w:val="fr"/>
        </w:rPr>
        <w:t xml:space="preserve"> </w:t>
      </w:r>
      <w:r w:rsidR="005C578F" w:rsidRPr="00620F1C">
        <w:rPr>
          <w:lang w:val="fr"/>
        </w:rPr>
        <w:t>À ce jour, le Comité a inscrit un total de 676</w:t>
      </w:r>
      <w:r w:rsidR="001611FD">
        <w:rPr>
          <w:lang w:val="fr"/>
        </w:rPr>
        <w:t> </w:t>
      </w:r>
      <w:r w:rsidR="005C578F" w:rsidRPr="00620F1C">
        <w:rPr>
          <w:lang w:val="fr"/>
        </w:rPr>
        <w:t xml:space="preserve">éléments du patrimoine vivant, </w:t>
      </w:r>
      <w:r w:rsidR="0070150F">
        <w:rPr>
          <w:lang w:val="fr"/>
        </w:rPr>
        <w:t xml:space="preserve">pratiqués </w:t>
      </w:r>
      <w:r w:rsidR="005C578F" w:rsidRPr="00620F1C">
        <w:rPr>
          <w:lang w:val="fr"/>
        </w:rPr>
        <w:t>dans 140 pays. La Liste représentative est le mécanisme le plus utilisé, et contient 567 éléments (correspondant à 136 États parties), tandis que 76 éléments sont inclus à la Liste de sauvegarde urgente (correspondant à 40 États). Seules 33 bonnes pratiques (correspondant à 31 États) figurent à ce jour dans le Registre. Des informations complètes sur chacun des éléments inscrits et sur les bonnes pratiques sélectionnées sont disponibles sur la page Web de la Convention de 2003 qui présente les mécanismes d</w:t>
      </w:r>
      <w:r w:rsidR="000D054C" w:rsidRPr="00620F1C">
        <w:rPr>
          <w:lang w:val="fr"/>
        </w:rPr>
        <w:t>’</w:t>
      </w:r>
      <w:r w:rsidR="005C578F" w:rsidRPr="00620F1C">
        <w:rPr>
          <w:lang w:val="fr"/>
        </w:rPr>
        <w:t xml:space="preserve">inscription : </w:t>
      </w:r>
      <w:r w:rsidR="00681281">
        <w:fldChar w:fldCharType="begin"/>
      </w:r>
      <w:r w:rsidR="00681281" w:rsidRPr="00681281">
        <w:rPr>
          <w:lang w:val="fr-FR"/>
        </w:rPr>
        <w:instrText xml:space="preserve"> HYPERLINK "https://ich.unesco.org/fr/listes" </w:instrText>
      </w:r>
      <w:r w:rsidR="00681281">
        <w:fldChar w:fldCharType="separate"/>
      </w:r>
      <w:r w:rsidR="0070150F">
        <w:rPr>
          <w:rStyle w:val="Hyperlink"/>
          <w:lang w:val="fr"/>
        </w:rPr>
        <w:t>https://ich.unesco.org/fr/listes</w:t>
      </w:r>
      <w:r w:rsidR="00681281">
        <w:rPr>
          <w:rStyle w:val="Hyperlink"/>
          <w:lang w:val="fr"/>
        </w:rPr>
        <w:fldChar w:fldCharType="end"/>
      </w:r>
      <w:r w:rsidR="005C578F" w:rsidRPr="00620F1C">
        <w:rPr>
          <w:lang w:val="fr"/>
        </w:rPr>
        <w:t>.</w:t>
      </w:r>
    </w:p>
    <w:p w14:paraId="5755576A" w14:textId="207F1C82" w:rsidR="000E6FC5" w:rsidRPr="00EB73D7" w:rsidRDefault="0070150F" w:rsidP="00AD6FF7">
      <w:pPr>
        <w:pStyle w:val="1GAPara"/>
        <w:numPr>
          <w:ilvl w:val="0"/>
          <w:numId w:val="0"/>
        </w:numPr>
        <w:spacing w:before="240"/>
        <w:rPr>
          <w:b/>
          <w:bCs/>
          <w:lang w:val="fr-FR"/>
        </w:rPr>
      </w:pPr>
      <w:r>
        <w:rPr>
          <w:b/>
          <w:bCs/>
          <w:lang w:val="fr"/>
        </w:rPr>
        <w:t>T</w:t>
      </w:r>
      <w:r w:rsidR="000E6FC5">
        <w:rPr>
          <w:b/>
          <w:bCs/>
          <w:lang w:val="fr"/>
        </w:rPr>
        <w:t xml:space="preserve">entative précédente : </w:t>
      </w:r>
      <w:r w:rsidR="00325B77">
        <w:rPr>
          <w:b/>
          <w:bCs/>
          <w:lang w:val="fr"/>
        </w:rPr>
        <w:t>Autres m</w:t>
      </w:r>
      <w:r w:rsidR="000E6FC5">
        <w:rPr>
          <w:b/>
          <w:bCs/>
          <w:lang w:val="fr"/>
        </w:rPr>
        <w:t xml:space="preserve">oyens plus légers </w:t>
      </w:r>
      <w:r w:rsidR="00325B77">
        <w:rPr>
          <w:b/>
          <w:bCs/>
          <w:lang w:val="fr"/>
        </w:rPr>
        <w:t xml:space="preserve">de </w:t>
      </w:r>
      <w:r w:rsidR="000E6FC5">
        <w:rPr>
          <w:b/>
          <w:bCs/>
          <w:lang w:val="fr"/>
        </w:rPr>
        <w:t>partage</w:t>
      </w:r>
      <w:r w:rsidR="00325B77">
        <w:rPr>
          <w:b/>
          <w:bCs/>
          <w:lang w:val="fr"/>
        </w:rPr>
        <w:t xml:space="preserve"> des </w:t>
      </w:r>
      <w:r w:rsidR="000E6FC5">
        <w:rPr>
          <w:b/>
          <w:bCs/>
          <w:lang w:val="fr"/>
        </w:rPr>
        <w:t>bonnes</w:t>
      </w:r>
      <w:r>
        <w:rPr>
          <w:b/>
          <w:bCs/>
          <w:lang w:val="fr"/>
        </w:rPr>
        <w:t xml:space="preserve"> </w:t>
      </w:r>
      <w:r w:rsidR="000E6FC5">
        <w:rPr>
          <w:b/>
          <w:bCs/>
          <w:lang w:val="fr"/>
        </w:rPr>
        <w:t>pratiques de sauvegarde</w:t>
      </w:r>
    </w:p>
    <w:p w14:paraId="53464E84" w14:textId="15DD5376" w:rsidR="00613A1A" w:rsidRPr="00EB73D7" w:rsidRDefault="00D509EB" w:rsidP="00AD6FF7">
      <w:pPr>
        <w:pStyle w:val="1GAPara"/>
        <w:ind w:left="567" w:hanging="567"/>
        <w:rPr>
          <w:lang w:val="fr-FR"/>
        </w:rPr>
      </w:pPr>
      <w:r>
        <w:rPr>
          <w:lang w:val="fr"/>
        </w:rPr>
        <w:t>Lorsqu</w:t>
      </w:r>
      <w:r w:rsidR="000D054C">
        <w:rPr>
          <w:lang w:val="fr"/>
        </w:rPr>
        <w:t>’</w:t>
      </w:r>
      <w:r>
        <w:rPr>
          <w:lang w:val="fr"/>
        </w:rPr>
        <w:t xml:space="preserve">il est apparu que le Registre des bonnes pratiques de sauvegarde ne fonctionnait pas comme prévu, une tentative a été faite pour trouver des « moyens alternatifs et plus légers » de partager les bonnes pratiques de sauvegarde, en complément du Registre. Suite aux demandes formulées par le Comité lors de sa huitième (décision </w:t>
      </w:r>
      <w:r w:rsidR="00681281">
        <w:fldChar w:fldCharType="begin"/>
      </w:r>
      <w:r w:rsidR="00681281" w:rsidRPr="00681281">
        <w:rPr>
          <w:lang w:val="fr-FR"/>
        </w:rPr>
        <w:instrText xml:space="preserve"> HYPERLINK "https://ich.unesco.org/fr/decisions/</w:instrText>
      </w:r>
      <w:r w:rsidR="00681281" w:rsidRPr="00681281">
        <w:rPr>
          <w:lang w:val="fr-FR"/>
        </w:rPr>
        <w:instrText xml:space="preserve">8.COM/5.C.1?dec=decisions&amp;ref_decision=8.COM" </w:instrText>
      </w:r>
      <w:r w:rsidR="00681281">
        <w:fldChar w:fldCharType="separate"/>
      </w:r>
      <w:r>
        <w:rPr>
          <w:rStyle w:val="Hyperlink"/>
          <w:rFonts w:asciiTheme="minorBidi" w:hAnsiTheme="minorBidi" w:cstheme="minorBidi"/>
          <w:lang w:val="fr"/>
        </w:rPr>
        <w:t>8.COM 5.c.1</w:t>
      </w:r>
      <w:r w:rsidR="00681281">
        <w:rPr>
          <w:rStyle w:val="Hyperlink"/>
          <w:rFonts w:asciiTheme="minorBidi" w:hAnsiTheme="minorBidi" w:cstheme="minorBidi"/>
          <w:lang w:val="fr"/>
        </w:rPr>
        <w:fldChar w:fldCharType="end"/>
      </w:r>
      <w:r>
        <w:rPr>
          <w:lang w:val="fr"/>
        </w:rPr>
        <w:t xml:space="preserve">, paragraphe 5), neuvième (décision </w:t>
      </w:r>
      <w:r w:rsidR="00681281">
        <w:fldChar w:fldCharType="begin"/>
      </w:r>
      <w:r w:rsidR="00681281" w:rsidRPr="00681281">
        <w:rPr>
          <w:lang w:val="fr-FR"/>
        </w:rPr>
        <w:instrText xml:space="preserve"> HYPERLINK "https://ich.unesco.org/fr/D%C3%A9cisions/9.COM/9.b" </w:instrText>
      </w:r>
      <w:r w:rsidR="00681281">
        <w:fldChar w:fldCharType="separate"/>
      </w:r>
      <w:r>
        <w:rPr>
          <w:rStyle w:val="Hyperlink"/>
          <w:rFonts w:asciiTheme="minorBidi" w:hAnsiTheme="minorBidi" w:cstheme="minorBidi"/>
          <w:lang w:val="fr"/>
        </w:rPr>
        <w:t>9.COM 9.b</w:t>
      </w:r>
      <w:r w:rsidR="00681281">
        <w:rPr>
          <w:rStyle w:val="Hyperlink"/>
          <w:rFonts w:asciiTheme="minorBidi" w:hAnsiTheme="minorBidi" w:cstheme="minorBidi"/>
          <w:lang w:val="fr"/>
        </w:rPr>
        <w:fldChar w:fldCharType="end"/>
      </w:r>
      <w:r>
        <w:rPr>
          <w:lang w:val="fr"/>
        </w:rPr>
        <w:t xml:space="preserve">) et dixième (décision </w:t>
      </w:r>
      <w:r w:rsidR="00681281">
        <w:fldChar w:fldCharType="begin"/>
      </w:r>
      <w:r w:rsidR="00681281" w:rsidRPr="00681281">
        <w:rPr>
          <w:lang w:val="fr-FR"/>
        </w:rPr>
        <w:instrText xml:space="preserve"> HYPERLINK "https://ich.unesco.org/fr/Decisions/10.COM/10" </w:instrText>
      </w:r>
      <w:r w:rsidR="00681281">
        <w:fldChar w:fldCharType="separate"/>
      </w:r>
      <w:r>
        <w:rPr>
          <w:rStyle w:val="Hyperlink"/>
          <w:rFonts w:asciiTheme="minorBidi" w:hAnsiTheme="minorBidi" w:cstheme="minorBidi"/>
          <w:lang w:val="fr"/>
        </w:rPr>
        <w:t>10.COM 10</w:t>
      </w:r>
      <w:r w:rsidR="00681281">
        <w:rPr>
          <w:rStyle w:val="Hyperlink"/>
          <w:rFonts w:asciiTheme="minorBidi" w:hAnsiTheme="minorBidi" w:cstheme="minorBidi"/>
          <w:lang w:val="fr"/>
        </w:rPr>
        <w:fldChar w:fldCharType="end"/>
      </w:r>
      <w:r>
        <w:rPr>
          <w:lang w:val="fr"/>
        </w:rPr>
        <w:t xml:space="preserve">, paragraphe 10) sessions, </w:t>
      </w:r>
      <w:r>
        <w:rPr>
          <w:rStyle w:val="hps"/>
          <w:lang w:val="fr"/>
        </w:rPr>
        <w:t>le</w:t>
      </w:r>
      <w:r>
        <w:rPr>
          <w:lang w:val="fr"/>
        </w:rPr>
        <w:t xml:space="preserve"> Secrétariat </w:t>
      </w:r>
      <w:r>
        <w:rPr>
          <w:rStyle w:val="hps"/>
          <w:lang w:val="fr"/>
        </w:rPr>
        <w:t>a mené une étude</w:t>
      </w:r>
      <w:r>
        <w:rPr>
          <w:rStyle w:val="FootnoteReference"/>
          <w:lang w:val="fr"/>
        </w:rPr>
        <w:footnoteReference w:id="2"/>
      </w:r>
      <w:r>
        <w:rPr>
          <w:rStyle w:val="hps"/>
          <w:lang w:val="fr"/>
        </w:rPr>
        <w:t xml:space="preserve"> en 2018.</w:t>
      </w:r>
    </w:p>
    <w:p w14:paraId="2EE4B580" w14:textId="6CA57B1A" w:rsidR="00717372" w:rsidRPr="00EB73D7" w:rsidRDefault="00717372" w:rsidP="00AD6FF7">
      <w:pPr>
        <w:pStyle w:val="1GAPara"/>
        <w:ind w:left="567" w:hanging="567"/>
        <w:rPr>
          <w:lang w:val="fr-FR"/>
        </w:rPr>
      </w:pPr>
      <w:r>
        <w:rPr>
          <w:lang w:val="fr"/>
        </w:rPr>
        <w:t>Les résultats de l</w:t>
      </w:r>
      <w:r w:rsidR="000D054C">
        <w:rPr>
          <w:lang w:val="fr"/>
        </w:rPr>
        <w:t>’</w:t>
      </w:r>
      <w:r>
        <w:rPr>
          <w:lang w:val="fr"/>
        </w:rPr>
        <w:t xml:space="preserve">étude, qui ne </w:t>
      </w:r>
      <w:r w:rsidR="00325B77">
        <w:rPr>
          <w:lang w:val="fr"/>
        </w:rPr>
        <w:t xml:space="preserve">furent </w:t>
      </w:r>
      <w:r>
        <w:rPr>
          <w:lang w:val="fr"/>
        </w:rPr>
        <w:t xml:space="preserve">pas concluants, </w:t>
      </w:r>
      <w:r w:rsidR="00325B77">
        <w:rPr>
          <w:lang w:val="fr"/>
        </w:rPr>
        <w:t xml:space="preserve">ont mis en évidence </w:t>
      </w:r>
      <w:r>
        <w:rPr>
          <w:lang w:val="fr"/>
        </w:rPr>
        <w:t xml:space="preserve">les points suivants (cliquer </w:t>
      </w:r>
      <w:r w:rsidR="00681281">
        <w:fldChar w:fldCharType="begin"/>
      </w:r>
      <w:r w:rsidR="00681281" w:rsidRPr="00681281">
        <w:rPr>
          <w:lang w:val="fr-FR"/>
        </w:rPr>
        <w:instrText xml:space="preserve"> HYPERLINK "https://ich.unesco.org/fr/partager-facilement-les-expriences-de-sauvegarde-00999" </w:instrText>
      </w:r>
      <w:r w:rsidR="00681281">
        <w:fldChar w:fldCharType="separate"/>
      </w:r>
      <w:r>
        <w:rPr>
          <w:rStyle w:val="Hyperlink"/>
          <w:lang w:val="fr"/>
        </w:rPr>
        <w:t>ici</w:t>
      </w:r>
      <w:r w:rsidR="00681281">
        <w:rPr>
          <w:rStyle w:val="Hyperlink"/>
          <w:lang w:val="fr"/>
        </w:rPr>
        <w:fldChar w:fldCharType="end"/>
      </w:r>
      <w:r>
        <w:rPr>
          <w:lang w:val="fr"/>
        </w:rPr>
        <w:t xml:space="preserve"> pour le résumé et le rapport de l</w:t>
      </w:r>
      <w:r w:rsidR="000D054C">
        <w:rPr>
          <w:lang w:val="fr"/>
        </w:rPr>
        <w:t>’</w:t>
      </w:r>
      <w:r>
        <w:rPr>
          <w:lang w:val="fr"/>
        </w:rPr>
        <w:t>étude) :</w:t>
      </w:r>
    </w:p>
    <w:p w14:paraId="1713B350" w14:textId="32E1905E" w:rsidR="00717372" w:rsidRPr="00EB73D7" w:rsidRDefault="00D509EB" w:rsidP="00AD6FF7">
      <w:pPr>
        <w:pStyle w:val="1GAPara"/>
        <w:numPr>
          <w:ilvl w:val="0"/>
          <w:numId w:val="7"/>
        </w:numPr>
        <w:ind w:left="1134" w:hanging="567"/>
        <w:rPr>
          <w:lang w:val="fr-FR"/>
        </w:rPr>
      </w:pPr>
      <w:r>
        <w:rPr>
          <w:lang w:val="fr"/>
        </w:rPr>
        <w:t>Les bonnes pratiques de sauvegarde sont partagées de diverses manières, principalement au niveau local ou national, puis au niveau régional ;</w:t>
      </w:r>
    </w:p>
    <w:p w14:paraId="560E4154" w14:textId="5F913CD5" w:rsidR="00717372" w:rsidRPr="00EB73D7" w:rsidRDefault="00717372" w:rsidP="00AD6FF7">
      <w:pPr>
        <w:pStyle w:val="1GAPara"/>
        <w:numPr>
          <w:ilvl w:val="0"/>
          <w:numId w:val="7"/>
        </w:numPr>
        <w:ind w:left="1134" w:hanging="567"/>
        <w:rPr>
          <w:lang w:val="fr-FR"/>
        </w:rPr>
      </w:pPr>
      <w:r>
        <w:rPr>
          <w:lang w:val="fr"/>
        </w:rPr>
        <w:t xml:space="preserve">Si les réseaux sociaux sont les canaux les plus fréquemment utilisés, ces modalités </w:t>
      </w:r>
      <w:r w:rsidR="00453FCE">
        <w:rPr>
          <w:lang w:val="fr"/>
        </w:rPr>
        <w:t xml:space="preserve">ne </w:t>
      </w:r>
      <w:r>
        <w:rPr>
          <w:lang w:val="fr"/>
        </w:rPr>
        <w:t xml:space="preserve">sont </w:t>
      </w:r>
      <w:r w:rsidR="00453FCE">
        <w:rPr>
          <w:lang w:val="fr"/>
        </w:rPr>
        <w:t xml:space="preserve">pas </w:t>
      </w:r>
      <w:r>
        <w:rPr>
          <w:lang w:val="fr"/>
        </w:rPr>
        <w:t>considérées comme un moyen efficace d</w:t>
      </w:r>
      <w:r w:rsidR="000D054C">
        <w:rPr>
          <w:lang w:val="fr"/>
        </w:rPr>
        <w:t>’</w:t>
      </w:r>
      <w:r>
        <w:rPr>
          <w:lang w:val="fr"/>
        </w:rPr>
        <w:t>obtenir des informations auprès d</w:t>
      </w:r>
      <w:r w:rsidR="000D054C">
        <w:rPr>
          <w:lang w:val="fr"/>
        </w:rPr>
        <w:t>’</w:t>
      </w:r>
      <w:r>
        <w:rPr>
          <w:lang w:val="fr"/>
        </w:rPr>
        <w:t>autres personnes ;</w:t>
      </w:r>
    </w:p>
    <w:p w14:paraId="7BED06AF" w14:textId="0C4FE12C" w:rsidR="00717372" w:rsidRPr="00EB73D7" w:rsidRDefault="00D509EB" w:rsidP="00AD6FF7">
      <w:pPr>
        <w:pStyle w:val="1GAPara"/>
        <w:numPr>
          <w:ilvl w:val="0"/>
          <w:numId w:val="7"/>
        </w:numPr>
        <w:ind w:left="1134" w:hanging="567"/>
        <w:rPr>
          <w:lang w:val="fr-FR"/>
        </w:rPr>
      </w:pPr>
      <w:r>
        <w:rPr>
          <w:lang w:val="fr"/>
        </w:rPr>
        <w:t xml:space="preserve">Une préférence largement partagée a été exprimée en faveur du maintien du Registre de la Convention, mais avec un mécanisme de </w:t>
      </w:r>
      <w:r w:rsidR="00325B77">
        <w:rPr>
          <w:lang w:val="fr"/>
        </w:rPr>
        <w:t xml:space="preserve">sélection </w:t>
      </w:r>
      <w:r>
        <w:rPr>
          <w:lang w:val="fr"/>
        </w:rPr>
        <w:t>et de validation plus léger par l</w:t>
      </w:r>
      <w:r w:rsidR="000D054C">
        <w:rPr>
          <w:lang w:val="fr"/>
        </w:rPr>
        <w:t>’</w:t>
      </w:r>
      <w:r>
        <w:rPr>
          <w:lang w:val="fr"/>
        </w:rPr>
        <w:t>intermédiaire de l</w:t>
      </w:r>
      <w:r w:rsidR="000D054C">
        <w:rPr>
          <w:lang w:val="fr"/>
        </w:rPr>
        <w:t>’</w:t>
      </w:r>
      <w:r>
        <w:rPr>
          <w:lang w:val="fr"/>
        </w:rPr>
        <w:t>UNESCO.</w:t>
      </w:r>
    </w:p>
    <w:p w14:paraId="45117141" w14:textId="402DF16F" w:rsidR="000E6FC5" w:rsidRPr="00EB73D7" w:rsidRDefault="00717372" w:rsidP="00AD6FF7">
      <w:pPr>
        <w:pStyle w:val="1GAPara"/>
        <w:ind w:left="567" w:hanging="567"/>
        <w:rPr>
          <w:rFonts w:asciiTheme="minorBidi" w:hAnsiTheme="minorBidi" w:cstheme="minorBidi"/>
          <w:lang w:val="fr-FR"/>
        </w:rPr>
      </w:pPr>
      <w:r>
        <w:rPr>
          <w:lang w:val="fr"/>
        </w:rPr>
        <w:t>Les résultats de l</w:t>
      </w:r>
      <w:r w:rsidR="000D054C">
        <w:rPr>
          <w:lang w:val="fr"/>
        </w:rPr>
        <w:t>’</w:t>
      </w:r>
      <w:r>
        <w:rPr>
          <w:lang w:val="fr"/>
        </w:rPr>
        <w:t xml:space="preserve">étude </w:t>
      </w:r>
      <w:r>
        <w:rPr>
          <w:rStyle w:val="hps"/>
          <w:lang w:val="fr"/>
        </w:rPr>
        <w:t>ont été présentés au Comité lors de sa quatorzième session (</w:t>
      </w:r>
      <w:r w:rsidRPr="003101DE">
        <w:rPr>
          <w:lang w:val="fr-FR"/>
        </w:rPr>
        <w:t>décision</w:t>
      </w:r>
      <w:r w:rsidR="0096741E">
        <w:rPr>
          <w:rStyle w:val="hps"/>
          <w:lang w:val="fr"/>
        </w:rPr>
        <w:t> </w:t>
      </w:r>
      <w:r w:rsidR="00681281">
        <w:fldChar w:fldCharType="begin"/>
      </w:r>
      <w:r w:rsidR="00681281" w:rsidRPr="00681281">
        <w:rPr>
          <w:lang w:val="fr-FR"/>
        </w:rPr>
        <w:instrText xml:space="preserve"> HY</w:instrText>
      </w:r>
      <w:r w:rsidR="00681281" w:rsidRPr="00681281">
        <w:rPr>
          <w:lang w:val="fr-FR"/>
        </w:rPr>
        <w:instrText xml:space="preserve">PERLINK "https://ich.unesco.org/fr/Decisions/13.COM/5" </w:instrText>
      </w:r>
      <w:r w:rsidR="00681281">
        <w:fldChar w:fldCharType="separate"/>
      </w:r>
      <w:r>
        <w:rPr>
          <w:rStyle w:val="Hyperlink"/>
          <w:lang w:val="fr"/>
        </w:rPr>
        <w:t>13.COM 5</w:t>
      </w:r>
      <w:r w:rsidR="00681281">
        <w:rPr>
          <w:rStyle w:val="Hyperlink"/>
          <w:lang w:val="fr"/>
        </w:rPr>
        <w:fldChar w:fldCharType="end"/>
      </w:r>
      <w:r>
        <w:rPr>
          <w:rStyle w:val="hps"/>
          <w:lang w:val="fr"/>
        </w:rPr>
        <w:t xml:space="preserve">) ; document </w:t>
      </w:r>
      <w:r w:rsidR="00681281">
        <w:fldChar w:fldCharType="begin"/>
      </w:r>
      <w:r w:rsidR="00681281" w:rsidRPr="00681281">
        <w:rPr>
          <w:lang w:val="fr-FR"/>
        </w:rPr>
        <w:instrText xml:space="preserve"> HYPERLINK "https://ich.unesco.org/doc/src/LHE-19-14.COM-5.b-FR.docx" </w:instrText>
      </w:r>
      <w:r w:rsidR="00681281">
        <w:fldChar w:fldCharType="separate"/>
      </w:r>
      <w:r>
        <w:rPr>
          <w:rStyle w:val="Hyperlink"/>
          <w:lang w:val="fr"/>
        </w:rPr>
        <w:t>LHE/19/14.COM 5.b</w:t>
      </w:r>
      <w:r w:rsidR="00681281">
        <w:rPr>
          <w:rStyle w:val="Hyperlink"/>
          <w:lang w:val="fr"/>
        </w:rPr>
        <w:fldChar w:fldCharType="end"/>
      </w:r>
      <w:r>
        <w:rPr>
          <w:rStyle w:val="hps"/>
          <w:lang w:val="fr"/>
        </w:rPr>
        <w:t>). Le Comité a décidé de prendre ces résultats en considération dans le cadre de la réflexion globale en cours sur les mécanismes d</w:t>
      </w:r>
      <w:r w:rsidR="000D054C">
        <w:rPr>
          <w:rStyle w:val="hps"/>
          <w:lang w:val="fr"/>
        </w:rPr>
        <w:t>’</w:t>
      </w:r>
      <w:r>
        <w:rPr>
          <w:rStyle w:val="hps"/>
          <w:lang w:val="fr"/>
        </w:rPr>
        <w:t xml:space="preserve">inscription </w:t>
      </w:r>
      <w:r w:rsidR="00A1279B">
        <w:rPr>
          <w:rStyle w:val="hps"/>
          <w:lang w:val="fr"/>
        </w:rPr>
        <w:t xml:space="preserve">sur les listes </w:t>
      </w:r>
      <w:r>
        <w:rPr>
          <w:rStyle w:val="hps"/>
          <w:lang w:val="fr"/>
        </w:rPr>
        <w:t xml:space="preserve">de la Convention (décision </w:t>
      </w:r>
      <w:r w:rsidR="00681281">
        <w:fldChar w:fldCharType="begin"/>
      </w:r>
      <w:r w:rsidR="00681281" w:rsidRPr="00681281">
        <w:rPr>
          <w:lang w:val="fr-FR"/>
        </w:rPr>
        <w:instrText xml:space="preserve"> HYPERLINK "https://ich.unesco.org/fr/Decisions/14.COM/5.b" </w:instrText>
      </w:r>
      <w:r w:rsidR="00681281">
        <w:fldChar w:fldCharType="separate"/>
      </w:r>
      <w:r>
        <w:rPr>
          <w:rStyle w:val="Hyperlink"/>
          <w:lang w:val="fr"/>
        </w:rPr>
        <w:t>14.COM 5.b</w:t>
      </w:r>
      <w:r w:rsidR="00681281">
        <w:rPr>
          <w:rStyle w:val="Hyperlink"/>
          <w:lang w:val="fr"/>
        </w:rPr>
        <w:fldChar w:fldCharType="end"/>
      </w:r>
      <w:r>
        <w:rPr>
          <w:rStyle w:val="hps"/>
          <w:lang w:val="fr"/>
        </w:rPr>
        <w:t>).</w:t>
      </w:r>
    </w:p>
    <w:p w14:paraId="385456DF" w14:textId="1FF0D8ED" w:rsidR="000E6FC5" w:rsidRPr="00EB73D7" w:rsidRDefault="000E6FC5" w:rsidP="00AD6FF7">
      <w:pPr>
        <w:pStyle w:val="1GAPara"/>
        <w:numPr>
          <w:ilvl w:val="0"/>
          <w:numId w:val="0"/>
        </w:numPr>
        <w:spacing w:before="240"/>
        <w:rPr>
          <w:b/>
          <w:bCs/>
          <w:lang w:val="fr-FR"/>
        </w:rPr>
      </w:pPr>
      <w:r>
        <w:rPr>
          <w:b/>
          <w:bCs/>
          <w:lang w:val="fr"/>
        </w:rPr>
        <w:t>Réflexion globale sur les mécanismes d</w:t>
      </w:r>
      <w:r w:rsidR="000D054C">
        <w:rPr>
          <w:b/>
          <w:bCs/>
          <w:lang w:val="fr"/>
        </w:rPr>
        <w:t>’</w:t>
      </w:r>
      <w:r>
        <w:rPr>
          <w:b/>
          <w:bCs/>
          <w:lang w:val="fr"/>
        </w:rPr>
        <w:t xml:space="preserve">inscription </w:t>
      </w:r>
      <w:r w:rsidR="00325B77">
        <w:rPr>
          <w:b/>
          <w:bCs/>
          <w:lang w:val="fr"/>
        </w:rPr>
        <w:t xml:space="preserve">sur les listes </w:t>
      </w:r>
      <w:r>
        <w:rPr>
          <w:b/>
          <w:bCs/>
          <w:lang w:val="fr"/>
        </w:rPr>
        <w:t>de la Convention</w:t>
      </w:r>
    </w:p>
    <w:p w14:paraId="2BF12DA2" w14:textId="26FB7E16" w:rsidR="0027411D" w:rsidRPr="00EB73D7" w:rsidRDefault="0027411D" w:rsidP="00AD6FF7">
      <w:pPr>
        <w:pStyle w:val="1GAPara"/>
        <w:ind w:left="567" w:hanging="567"/>
        <w:rPr>
          <w:lang w:val="fr-FR"/>
        </w:rPr>
      </w:pPr>
      <w:r>
        <w:rPr>
          <w:lang w:val="fr"/>
        </w:rPr>
        <w:t>La réflexion globale sur les mécanismes d</w:t>
      </w:r>
      <w:r w:rsidR="000D054C">
        <w:rPr>
          <w:lang w:val="fr"/>
        </w:rPr>
        <w:t>’</w:t>
      </w:r>
      <w:r>
        <w:rPr>
          <w:lang w:val="fr"/>
        </w:rPr>
        <w:t xml:space="preserve">inscription </w:t>
      </w:r>
      <w:r w:rsidR="00325B77">
        <w:rPr>
          <w:lang w:val="fr"/>
        </w:rPr>
        <w:t xml:space="preserve">sur les listes </w:t>
      </w:r>
      <w:r>
        <w:rPr>
          <w:lang w:val="fr"/>
        </w:rPr>
        <w:t>de la Convention s</w:t>
      </w:r>
      <w:r w:rsidR="000D054C">
        <w:rPr>
          <w:lang w:val="fr"/>
        </w:rPr>
        <w:t>’</w:t>
      </w:r>
      <w:r>
        <w:rPr>
          <w:lang w:val="fr"/>
        </w:rPr>
        <w:t>est déroulée de 2018 à 2022</w:t>
      </w:r>
      <w:r w:rsidR="00500ED2">
        <w:rPr>
          <w:rStyle w:val="FootnoteReference"/>
          <w:lang w:val="fr"/>
        </w:rPr>
        <w:footnoteReference w:id="3"/>
      </w:r>
      <w:r>
        <w:rPr>
          <w:lang w:val="fr"/>
        </w:rPr>
        <w:t> ; elle comprenait des consultations avec des experts ainsi qu</w:t>
      </w:r>
      <w:r w:rsidR="000D054C">
        <w:rPr>
          <w:lang w:val="fr"/>
        </w:rPr>
        <w:t>’</w:t>
      </w:r>
      <w:r>
        <w:rPr>
          <w:lang w:val="fr"/>
        </w:rPr>
        <w:t>une réunion en trois parties d</w:t>
      </w:r>
      <w:r w:rsidR="000D054C">
        <w:rPr>
          <w:lang w:val="fr"/>
        </w:rPr>
        <w:t>’</w:t>
      </w:r>
      <w:r>
        <w:rPr>
          <w:lang w:val="fr"/>
        </w:rPr>
        <w:t xml:space="preserve">un groupe de travail intergouvernemental à composition non </w:t>
      </w:r>
      <w:r w:rsidRPr="003101DE">
        <w:rPr>
          <w:rStyle w:val="hps"/>
          <w:lang w:val="fr-FR"/>
        </w:rPr>
        <w:t>limitée</w:t>
      </w:r>
      <w:r>
        <w:rPr>
          <w:lang w:val="fr"/>
        </w:rPr>
        <w:t>. La réflexion globale a surtout cherché à rendre les mécanismes d</w:t>
      </w:r>
      <w:r w:rsidR="000D054C">
        <w:rPr>
          <w:lang w:val="fr"/>
        </w:rPr>
        <w:t>’</w:t>
      </w:r>
      <w:r>
        <w:rPr>
          <w:lang w:val="fr"/>
        </w:rPr>
        <w:t>inscription plus dynamiques et plus fluides en reliant mieux les deux Listes et le Registre. Un tel changement pourrait non seulement rendre le Registre plus attrayant, mais aussi contribuer à mieux faire prendre conscience de l</w:t>
      </w:r>
      <w:r w:rsidR="000D054C">
        <w:rPr>
          <w:lang w:val="fr"/>
        </w:rPr>
        <w:t>’</w:t>
      </w:r>
      <w:r>
        <w:rPr>
          <w:lang w:val="fr"/>
        </w:rPr>
        <w:t xml:space="preserve">importance de la sauvegarde du patrimoine culturel immatériel pour le développement durable des communautés, des groupes et des individus concernés, et pour </w:t>
      </w:r>
      <w:r w:rsidR="001B2605">
        <w:rPr>
          <w:lang w:val="fr"/>
        </w:rPr>
        <w:t xml:space="preserve">une valorisation </w:t>
      </w:r>
      <w:r>
        <w:rPr>
          <w:lang w:val="fr"/>
        </w:rPr>
        <w:t>de la diversité culturelle.</w:t>
      </w:r>
    </w:p>
    <w:p w14:paraId="0AB81CC5" w14:textId="1C15DDCF" w:rsidR="00FC2D1F" w:rsidRPr="00EB73D7" w:rsidRDefault="005E3EC7" w:rsidP="00AD6FF7">
      <w:pPr>
        <w:pStyle w:val="1GAPara"/>
        <w:ind w:left="567" w:hanging="567"/>
        <w:rPr>
          <w:lang w:val="fr-FR"/>
        </w:rPr>
      </w:pPr>
      <w:r>
        <w:rPr>
          <w:lang w:val="fr"/>
        </w:rPr>
        <w:lastRenderedPageBreak/>
        <w:t>En ce qui concerne le Registre des bonnes pratiques de sauvegarde, la neuvième session de l</w:t>
      </w:r>
      <w:r w:rsidR="000D054C">
        <w:rPr>
          <w:lang w:val="fr"/>
        </w:rPr>
        <w:t>’</w:t>
      </w:r>
      <w:r>
        <w:rPr>
          <w:lang w:val="fr"/>
        </w:rPr>
        <w:t>Assemblée générale a formalisé deux résultats concrets de la réflexion globale sur les mécanismes d</w:t>
      </w:r>
      <w:r w:rsidR="000D054C">
        <w:rPr>
          <w:lang w:val="fr"/>
        </w:rPr>
        <w:t>’</w:t>
      </w:r>
      <w:r>
        <w:rPr>
          <w:lang w:val="fr"/>
        </w:rPr>
        <w:t xml:space="preserve">inscription </w:t>
      </w:r>
      <w:r w:rsidR="00205231">
        <w:rPr>
          <w:lang w:val="fr"/>
        </w:rPr>
        <w:t xml:space="preserve">sur les listes </w:t>
      </w:r>
      <w:r>
        <w:rPr>
          <w:lang w:val="fr"/>
        </w:rPr>
        <w:t xml:space="preserve">de la Convention de 2003 (résolution </w:t>
      </w:r>
      <w:r w:rsidR="00681281">
        <w:fldChar w:fldCharType="begin"/>
      </w:r>
      <w:r w:rsidR="00681281" w:rsidRPr="00681281">
        <w:rPr>
          <w:lang w:val="fr-FR"/>
        </w:rPr>
        <w:instrText xml:space="preserve"> HYPERLINK "https://ich.unesco.org/fr/Decisions/9.GA/9" </w:instrText>
      </w:r>
      <w:r w:rsidR="00681281">
        <w:fldChar w:fldCharType="separate"/>
      </w:r>
      <w:r w:rsidRPr="00205231">
        <w:rPr>
          <w:rStyle w:val="Hyperlink"/>
          <w:lang w:val="fr"/>
        </w:rPr>
        <w:t>9.GA.9</w:t>
      </w:r>
      <w:r w:rsidR="00681281">
        <w:rPr>
          <w:rStyle w:val="Hyperlink"/>
          <w:lang w:val="fr"/>
        </w:rPr>
        <w:fldChar w:fldCharType="end"/>
      </w:r>
      <w:r>
        <w:rPr>
          <w:lang w:val="fr"/>
        </w:rPr>
        <w:t>) :</w:t>
      </w:r>
    </w:p>
    <w:p w14:paraId="5CB2502D" w14:textId="0DB9ECE0" w:rsidR="00237682" w:rsidRPr="00237682" w:rsidRDefault="00237682" w:rsidP="00AD6FF7">
      <w:pPr>
        <w:pStyle w:val="ListParagraph"/>
        <w:spacing w:after="120"/>
        <w:ind w:left="567"/>
        <w:contextualSpacing w:val="0"/>
        <w:jc w:val="both"/>
        <w:rPr>
          <w:rFonts w:ascii="Arial" w:hAnsi="Arial" w:cs="Arial"/>
          <w:sz w:val="22"/>
          <w:szCs w:val="22"/>
        </w:rPr>
      </w:pPr>
      <w:r w:rsidRPr="0096741E">
        <w:rPr>
          <w:rFonts w:ascii="Arial" w:hAnsi="Arial" w:cs="Arial"/>
          <w:sz w:val="22"/>
          <w:szCs w:val="22"/>
          <w:lang w:val="fr"/>
        </w:rPr>
        <w:t xml:space="preserve">a. </w:t>
      </w:r>
      <w:r>
        <w:rPr>
          <w:rFonts w:ascii="Arial" w:hAnsi="Arial" w:cs="Arial"/>
          <w:sz w:val="22"/>
          <w:szCs w:val="22"/>
          <w:u w:val="single"/>
          <w:lang w:val="fr"/>
        </w:rPr>
        <w:t>Suppression du critère P.9</w:t>
      </w:r>
      <w:r w:rsidRPr="001C0388">
        <w:rPr>
          <w:rStyle w:val="FootnoteReference"/>
          <w:rFonts w:ascii="Arial" w:hAnsi="Arial" w:cs="Arial"/>
          <w:lang w:val="fr"/>
        </w:rPr>
        <w:footnoteReference w:id="4"/>
      </w:r>
      <w:r w:rsidR="001C0388" w:rsidRPr="001C0388">
        <w:rPr>
          <w:rFonts w:ascii="Arial" w:hAnsi="Arial" w:cs="Arial"/>
          <w:sz w:val="22"/>
          <w:szCs w:val="22"/>
          <w:lang w:val="fr"/>
        </w:rPr>
        <w:t> </w:t>
      </w:r>
      <w:r>
        <w:rPr>
          <w:rFonts w:ascii="Arial" w:hAnsi="Arial" w:cs="Arial"/>
          <w:sz w:val="22"/>
          <w:szCs w:val="22"/>
          <w:lang w:val="fr"/>
        </w:rPr>
        <w:t xml:space="preserve">: Il a été considéré </w:t>
      </w:r>
      <w:r w:rsidR="00500ED2">
        <w:rPr>
          <w:rFonts w:ascii="Arial" w:hAnsi="Arial" w:cs="Arial"/>
          <w:sz w:val="22"/>
          <w:szCs w:val="22"/>
          <w:lang w:val="fr"/>
        </w:rPr>
        <w:t xml:space="preserve">que la </w:t>
      </w:r>
      <w:r>
        <w:rPr>
          <w:rFonts w:ascii="Arial" w:hAnsi="Arial" w:cs="Arial"/>
          <w:sz w:val="22"/>
          <w:szCs w:val="22"/>
          <w:lang w:val="fr"/>
        </w:rPr>
        <w:t>manière d</w:t>
      </w:r>
      <w:r w:rsidR="000D054C">
        <w:rPr>
          <w:rFonts w:ascii="Arial" w:hAnsi="Arial" w:cs="Arial"/>
          <w:sz w:val="22"/>
          <w:szCs w:val="22"/>
          <w:lang w:val="fr"/>
        </w:rPr>
        <w:t>’</w:t>
      </w:r>
      <w:r>
        <w:rPr>
          <w:rFonts w:ascii="Arial" w:hAnsi="Arial" w:cs="Arial"/>
          <w:sz w:val="22"/>
          <w:szCs w:val="22"/>
          <w:lang w:val="fr"/>
        </w:rPr>
        <w:t>évaluer « les besoins des pays en développement »</w:t>
      </w:r>
      <w:r w:rsidR="00500ED2">
        <w:rPr>
          <w:rFonts w:ascii="Arial" w:hAnsi="Arial" w:cs="Arial"/>
          <w:sz w:val="22"/>
          <w:szCs w:val="22"/>
          <w:lang w:val="fr"/>
        </w:rPr>
        <w:t xml:space="preserve"> n’était pas claire</w:t>
      </w:r>
      <w:r>
        <w:rPr>
          <w:rFonts w:ascii="Arial" w:hAnsi="Arial" w:cs="Arial"/>
          <w:sz w:val="22"/>
          <w:szCs w:val="22"/>
          <w:lang w:val="fr"/>
        </w:rPr>
        <w:t>. Ce critère a également donné l</w:t>
      </w:r>
      <w:r w:rsidR="000D054C">
        <w:rPr>
          <w:rFonts w:ascii="Arial" w:hAnsi="Arial" w:cs="Arial"/>
          <w:sz w:val="22"/>
          <w:szCs w:val="22"/>
          <w:lang w:val="fr"/>
        </w:rPr>
        <w:t>’</w:t>
      </w:r>
      <w:r>
        <w:rPr>
          <w:rFonts w:ascii="Arial" w:hAnsi="Arial" w:cs="Arial"/>
          <w:sz w:val="22"/>
          <w:szCs w:val="22"/>
          <w:lang w:val="fr"/>
        </w:rPr>
        <w:t>impression erronée que les pays développés pouvaient fournir de bons exemples aux pays en développement, mais pas l</w:t>
      </w:r>
      <w:r w:rsidR="000D054C">
        <w:rPr>
          <w:rFonts w:ascii="Arial" w:hAnsi="Arial" w:cs="Arial"/>
          <w:sz w:val="22"/>
          <w:szCs w:val="22"/>
          <w:lang w:val="fr"/>
        </w:rPr>
        <w:t>’</w:t>
      </w:r>
      <w:r>
        <w:rPr>
          <w:rFonts w:ascii="Arial" w:hAnsi="Arial" w:cs="Arial"/>
          <w:sz w:val="22"/>
          <w:szCs w:val="22"/>
          <w:lang w:val="fr"/>
        </w:rPr>
        <w:t>inverse. En conséquence, le critère P.9 a été supprimé du paragraphe 7 des Directives opérationnelles.</w:t>
      </w:r>
    </w:p>
    <w:p w14:paraId="544392CD" w14:textId="196621DC" w:rsidR="00AD59E7" w:rsidRPr="00C301CB" w:rsidRDefault="00AD59E7" w:rsidP="00AD6FF7">
      <w:pPr>
        <w:pStyle w:val="ListParagraph"/>
        <w:spacing w:after="120"/>
        <w:ind w:left="567"/>
        <w:contextualSpacing w:val="0"/>
        <w:jc w:val="both"/>
        <w:rPr>
          <w:rFonts w:asciiTheme="minorBidi" w:hAnsiTheme="minorBidi" w:cstheme="minorBidi"/>
        </w:rPr>
      </w:pPr>
      <w:r>
        <w:rPr>
          <w:rFonts w:ascii="Arial" w:hAnsi="Arial" w:cs="Arial"/>
          <w:snapToGrid w:val="0"/>
          <w:sz w:val="22"/>
          <w:szCs w:val="22"/>
          <w:lang w:val="fr"/>
        </w:rPr>
        <w:t xml:space="preserve">b. </w:t>
      </w:r>
      <w:r w:rsidRPr="00500ED2">
        <w:rPr>
          <w:rFonts w:ascii="Arial" w:hAnsi="Arial" w:cs="Arial"/>
          <w:snapToGrid w:val="0"/>
          <w:sz w:val="22"/>
          <w:szCs w:val="22"/>
          <w:u w:val="single"/>
          <w:lang w:val="fr"/>
        </w:rPr>
        <w:t xml:space="preserve">Inclusion </w:t>
      </w:r>
      <w:r w:rsidR="00F42208">
        <w:rPr>
          <w:rFonts w:ascii="Arial" w:hAnsi="Arial" w:cs="Arial"/>
          <w:snapToGrid w:val="0"/>
          <w:sz w:val="22"/>
          <w:szCs w:val="22"/>
          <w:u w:val="single"/>
          <w:lang w:val="fr"/>
        </w:rPr>
        <w:t xml:space="preserve">au Registre des </w:t>
      </w:r>
      <w:r w:rsidRPr="00500ED2">
        <w:rPr>
          <w:rFonts w:ascii="Arial" w:hAnsi="Arial" w:cs="Arial"/>
          <w:snapToGrid w:val="0"/>
          <w:sz w:val="22"/>
          <w:szCs w:val="22"/>
          <w:u w:val="single"/>
          <w:lang w:val="fr"/>
        </w:rPr>
        <w:t>expériences de sauvegarde</w:t>
      </w:r>
      <w:r w:rsidRPr="00EB73D7">
        <w:rPr>
          <w:rFonts w:ascii="Arial" w:hAnsi="Arial" w:cs="Arial"/>
          <w:snapToGrid w:val="0"/>
          <w:sz w:val="22"/>
          <w:szCs w:val="22"/>
          <w:u w:val="single"/>
          <w:lang w:val="fr"/>
        </w:rPr>
        <w:t xml:space="preserve"> réussies </w:t>
      </w:r>
      <w:r w:rsidR="00500ED2">
        <w:rPr>
          <w:rFonts w:ascii="Arial" w:hAnsi="Arial" w:cs="Arial"/>
          <w:snapToGrid w:val="0"/>
          <w:sz w:val="22"/>
          <w:szCs w:val="22"/>
          <w:u w:val="single"/>
          <w:lang w:val="fr"/>
        </w:rPr>
        <w:t xml:space="preserve">observées sur </w:t>
      </w:r>
      <w:r w:rsidRPr="00500ED2">
        <w:rPr>
          <w:rFonts w:ascii="Arial" w:hAnsi="Arial" w:cs="Arial"/>
          <w:snapToGrid w:val="0"/>
          <w:sz w:val="22"/>
          <w:szCs w:val="22"/>
          <w:u w:val="single"/>
          <w:lang w:val="fr"/>
        </w:rPr>
        <w:t>des éléments inscrits sur la Liste de sauvegarde urgente</w:t>
      </w:r>
      <w:r w:rsidRPr="0096741E">
        <w:rPr>
          <w:rFonts w:ascii="Arial" w:hAnsi="Arial" w:cs="Arial"/>
          <w:snapToGrid w:val="0"/>
          <w:sz w:val="22"/>
          <w:szCs w:val="22"/>
          <w:lang w:val="fr"/>
        </w:rPr>
        <w:t> </w:t>
      </w:r>
      <w:r>
        <w:rPr>
          <w:rFonts w:ascii="Arial" w:hAnsi="Arial" w:cs="Arial"/>
          <w:snapToGrid w:val="0"/>
          <w:sz w:val="22"/>
          <w:szCs w:val="22"/>
          <w:lang w:val="fr"/>
        </w:rPr>
        <w:t xml:space="preserve">: le nouveau paragraphe 39.3 des Directives opérationnelles donne la </w:t>
      </w:r>
      <w:r>
        <w:rPr>
          <w:rFonts w:ascii="Arial" w:hAnsi="Arial" w:cs="Arial"/>
          <w:sz w:val="22"/>
          <w:szCs w:val="22"/>
          <w:lang w:val="fr"/>
        </w:rPr>
        <w:t>possibilité</w:t>
      </w:r>
      <w:r>
        <w:rPr>
          <w:rFonts w:ascii="Arial" w:hAnsi="Arial" w:cs="Arial"/>
          <w:snapToGrid w:val="0"/>
          <w:sz w:val="22"/>
          <w:szCs w:val="22"/>
          <w:lang w:val="fr"/>
        </w:rPr>
        <w:t xml:space="preserve"> à l</w:t>
      </w:r>
      <w:r w:rsidR="000D054C">
        <w:rPr>
          <w:rFonts w:ascii="Arial" w:hAnsi="Arial" w:cs="Arial"/>
          <w:snapToGrid w:val="0"/>
          <w:sz w:val="22"/>
          <w:szCs w:val="22"/>
          <w:lang w:val="fr"/>
        </w:rPr>
        <w:t>’</w:t>
      </w:r>
      <w:r>
        <w:rPr>
          <w:rFonts w:ascii="Arial" w:hAnsi="Arial" w:cs="Arial"/>
          <w:snapToGrid w:val="0"/>
          <w:sz w:val="22"/>
          <w:szCs w:val="22"/>
          <w:lang w:val="fr"/>
        </w:rPr>
        <w:t>Organe d</w:t>
      </w:r>
      <w:r w:rsidR="000D054C">
        <w:rPr>
          <w:rFonts w:ascii="Arial" w:hAnsi="Arial" w:cs="Arial"/>
          <w:snapToGrid w:val="0"/>
          <w:sz w:val="22"/>
          <w:szCs w:val="22"/>
          <w:lang w:val="fr"/>
        </w:rPr>
        <w:t>’</w:t>
      </w:r>
      <w:r>
        <w:rPr>
          <w:rFonts w:ascii="Arial" w:hAnsi="Arial" w:cs="Arial"/>
          <w:snapToGrid w:val="0"/>
          <w:sz w:val="22"/>
          <w:szCs w:val="22"/>
          <w:lang w:val="fr"/>
        </w:rPr>
        <w:t>évaluation de recommander au Comité - après avoir évalué une demande à cet effet - d</w:t>
      </w:r>
      <w:r w:rsidR="000D054C">
        <w:rPr>
          <w:rFonts w:ascii="Arial" w:hAnsi="Arial" w:cs="Arial"/>
          <w:snapToGrid w:val="0"/>
          <w:sz w:val="22"/>
          <w:szCs w:val="22"/>
          <w:lang w:val="fr"/>
        </w:rPr>
        <w:t>’</w:t>
      </w:r>
      <w:r>
        <w:rPr>
          <w:rFonts w:ascii="Arial" w:hAnsi="Arial" w:cs="Arial"/>
          <w:snapToGrid w:val="0"/>
          <w:sz w:val="22"/>
          <w:szCs w:val="22"/>
          <w:lang w:val="fr"/>
        </w:rPr>
        <w:t>inclure dans le Registre une expérience de sauvegarde qui a été appliquée avec succès à un élément inscrit sur la Liste de sauvegarde urgente. L</w:t>
      </w:r>
      <w:r w:rsidR="000D054C">
        <w:rPr>
          <w:rFonts w:ascii="Arial" w:hAnsi="Arial" w:cs="Arial"/>
          <w:snapToGrid w:val="0"/>
          <w:sz w:val="22"/>
          <w:szCs w:val="22"/>
          <w:lang w:val="fr"/>
        </w:rPr>
        <w:t>’</w:t>
      </w:r>
      <w:r>
        <w:rPr>
          <w:rFonts w:ascii="Arial" w:hAnsi="Arial" w:cs="Arial"/>
          <w:snapToGrid w:val="0"/>
          <w:sz w:val="22"/>
          <w:szCs w:val="22"/>
          <w:lang w:val="fr"/>
        </w:rPr>
        <w:t xml:space="preserve">intention </w:t>
      </w:r>
      <w:r w:rsidRPr="001B2605">
        <w:rPr>
          <w:rFonts w:ascii="Arial" w:hAnsi="Arial" w:cs="Arial"/>
          <w:snapToGrid w:val="0"/>
          <w:sz w:val="22"/>
          <w:szCs w:val="22"/>
          <w:lang w:val="fr"/>
        </w:rPr>
        <w:t>était de mieux connecter les Listes et le Registre, de rendre l</w:t>
      </w:r>
      <w:r w:rsidR="000D054C" w:rsidRPr="001B2605">
        <w:rPr>
          <w:rFonts w:ascii="Arial" w:hAnsi="Arial" w:cs="Arial"/>
          <w:snapToGrid w:val="0"/>
          <w:sz w:val="22"/>
          <w:szCs w:val="22"/>
          <w:lang w:val="fr"/>
        </w:rPr>
        <w:t>’</w:t>
      </w:r>
      <w:r w:rsidRPr="001B2605">
        <w:rPr>
          <w:rFonts w:ascii="Arial" w:hAnsi="Arial" w:cs="Arial"/>
          <w:snapToGrid w:val="0"/>
          <w:sz w:val="22"/>
          <w:szCs w:val="22"/>
          <w:lang w:val="fr"/>
        </w:rPr>
        <w:t>inscription sur la Liste de sauvegarde urgente plus</w:t>
      </w:r>
      <w:r>
        <w:rPr>
          <w:rFonts w:ascii="Arial" w:hAnsi="Arial" w:cs="Arial"/>
          <w:snapToGrid w:val="0"/>
          <w:sz w:val="22"/>
          <w:szCs w:val="22"/>
          <w:lang w:val="fr"/>
        </w:rPr>
        <w:t xml:space="preserve"> attrayante et d</w:t>
      </w:r>
      <w:r w:rsidR="000D054C">
        <w:rPr>
          <w:rFonts w:ascii="Arial" w:hAnsi="Arial" w:cs="Arial"/>
          <w:snapToGrid w:val="0"/>
          <w:sz w:val="22"/>
          <w:szCs w:val="22"/>
          <w:lang w:val="fr"/>
        </w:rPr>
        <w:t>’</w:t>
      </w:r>
      <w:r>
        <w:rPr>
          <w:rFonts w:ascii="Arial" w:hAnsi="Arial" w:cs="Arial"/>
          <w:snapToGrid w:val="0"/>
          <w:sz w:val="22"/>
          <w:szCs w:val="22"/>
          <w:lang w:val="fr"/>
        </w:rPr>
        <w:t>enrichir les mécanismes d</w:t>
      </w:r>
      <w:r w:rsidR="000D054C">
        <w:rPr>
          <w:rFonts w:ascii="Arial" w:hAnsi="Arial" w:cs="Arial"/>
          <w:snapToGrid w:val="0"/>
          <w:sz w:val="22"/>
          <w:szCs w:val="22"/>
          <w:lang w:val="fr"/>
        </w:rPr>
        <w:t>’</w:t>
      </w:r>
      <w:r>
        <w:rPr>
          <w:rFonts w:ascii="Arial" w:hAnsi="Arial" w:cs="Arial"/>
          <w:snapToGrid w:val="0"/>
          <w:sz w:val="22"/>
          <w:szCs w:val="22"/>
          <w:lang w:val="fr"/>
        </w:rPr>
        <w:t>inscription avec des exemples inspirants, sans nécessairement passer par le processus habituel mais plus lourd de sélection des bonnes pratiques soumises par les États parties.</w:t>
      </w:r>
    </w:p>
    <w:p w14:paraId="3816DF6B" w14:textId="5BBF91C4" w:rsidR="003C20D5" w:rsidRPr="00EB73D7" w:rsidRDefault="003C20D5" w:rsidP="00AD6FF7">
      <w:pPr>
        <w:pStyle w:val="1GAPara"/>
        <w:ind w:left="567" w:hanging="567"/>
        <w:rPr>
          <w:lang w:val="fr-FR"/>
        </w:rPr>
      </w:pPr>
      <w:r>
        <w:rPr>
          <w:lang w:val="fr"/>
        </w:rPr>
        <w:t>Un autre résultat de la réflexion globale sur les mécanismes d</w:t>
      </w:r>
      <w:r w:rsidR="000D054C">
        <w:rPr>
          <w:lang w:val="fr"/>
        </w:rPr>
        <w:t>’</w:t>
      </w:r>
      <w:r>
        <w:rPr>
          <w:lang w:val="fr"/>
        </w:rPr>
        <w:t>inscription</w:t>
      </w:r>
      <w:r w:rsidR="00F42208">
        <w:rPr>
          <w:lang w:val="fr"/>
        </w:rPr>
        <w:t xml:space="preserve"> sur les listes </w:t>
      </w:r>
      <w:r>
        <w:rPr>
          <w:lang w:val="fr"/>
        </w:rPr>
        <w:t xml:space="preserve">a conduit à une décision du Comité (décision </w:t>
      </w:r>
      <w:r w:rsidR="00681281">
        <w:fldChar w:fldCharType="begin"/>
      </w:r>
      <w:r w:rsidR="00681281" w:rsidRPr="00681281">
        <w:rPr>
          <w:lang w:val="fr-FR"/>
        </w:rPr>
        <w:instrText xml:space="preserve"> HYPERLINK "https://ich.unesco.org/fr/Decisions/16.COM/14" </w:instrText>
      </w:r>
      <w:r w:rsidR="00681281">
        <w:fldChar w:fldCharType="separate"/>
      </w:r>
      <w:r>
        <w:rPr>
          <w:rStyle w:val="Hyperlink"/>
          <w:lang w:val="fr"/>
        </w:rPr>
        <w:t>16.COM 14</w:t>
      </w:r>
      <w:r w:rsidR="00681281">
        <w:rPr>
          <w:rStyle w:val="Hyperlink"/>
          <w:lang w:val="fr"/>
        </w:rPr>
        <w:fldChar w:fldCharType="end"/>
      </w:r>
      <w:r w:rsidRPr="0096741E">
        <w:rPr>
          <w:lang w:val="fr"/>
        </w:rPr>
        <w:t> </w:t>
      </w:r>
      <w:r>
        <w:rPr>
          <w:lang w:val="fr"/>
        </w:rPr>
        <w:t xml:space="preserve">; paragraphe 9) de lancer une réflexion </w:t>
      </w:r>
      <w:r w:rsidRPr="001B2605">
        <w:rPr>
          <w:lang w:val="fr"/>
        </w:rPr>
        <w:t>distincte</w:t>
      </w:r>
      <w:r>
        <w:rPr>
          <w:lang w:val="fr"/>
        </w:rPr>
        <w:t xml:space="preserve"> pour explorer les moyens de mettre en œuvre plus largement l</w:t>
      </w:r>
      <w:r w:rsidR="000D054C">
        <w:rPr>
          <w:lang w:val="fr"/>
        </w:rPr>
        <w:t>’</w:t>
      </w:r>
      <w:r>
        <w:rPr>
          <w:lang w:val="fr"/>
        </w:rPr>
        <w:t>article 18 de la Convention. Compte tenu de la nature complexe et technique de la réflexion globale, et en se fondant sur l</w:t>
      </w:r>
      <w:r w:rsidR="000D054C">
        <w:rPr>
          <w:lang w:val="fr"/>
        </w:rPr>
        <w:t>’</w:t>
      </w:r>
      <w:r>
        <w:rPr>
          <w:lang w:val="fr"/>
        </w:rPr>
        <w:t xml:space="preserve">avis des experts et du groupe de travail </w:t>
      </w:r>
      <w:r>
        <w:rPr>
          <w:snapToGrid/>
          <w:lang w:val="fr"/>
        </w:rPr>
        <w:t>intergouvernemental</w:t>
      </w:r>
      <w:r>
        <w:rPr>
          <w:lang w:val="fr"/>
        </w:rPr>
        <w:t xml:space="preserve"> à composition non limitée, le Comité a estimé que la réflexion globale n</w:t>
      </w:r>
      <w:r w:rsidR="000D054C">
        <w:rPr>
          <w:lang w:val="fr"/>
        </w:rPr>
        <w:t>’</w:t>
      </w:r>
      <w:r>
        <w:rPr>
          <w:lang w:val="fr"/>
        </w:rPr>
        <w:t>avait pas encore exploré toutes les possibilités offertes par l</w:t>
      </w:r>
      <w:r w:rsidR="000D054C">
        <w:rPr>
          <w:lang w:val="fr"/>
        </w:rPr>
        <w:t>’</w:t>
      </w:r>
      <w:r>
        <w:rPr>
          <w:lang w:val="fr"/>
        </w:rPr>
        <w:t>article 18, étant donné que certaines questions n</w:t>
      </w:r>
      <w:r w:rsidR="000D054C">
        <w:rPr>
          <w:lang w:val="fr"/>
        </w:rPr>
        <w:t>’</w:t>
      </w:r>
      <w:r>
        <w:rPr>
          <w:lang w:val="fr"/>
        </w:rPr>
        <w:t xml:space="preserve">ont pas pu être abordées ou couvertes dans leur intégralité. </w:t>
      </w:r>
      <w:r w:rsidRPr="00EB73D7">
        <w:rPr>
          <w:u w:val="single"/>
          <w:lang w:val="fr"/>
        </w:rPr>
        <w:t>L</w:t>
      </w:r>
      <w:r w:rsidR="000D054C" w:rsidRPr="00EB73D7">
        <w:rPr>
          <w:u w:val="single"/>
          <w:lang w:val="fr"/>
        </w:rPr>
        <w:t>’</w:t>
      </w:r>
      <w:r w:rsidRPr="00D155BD">
        <w:rPr>
          <w:u w:val="single"/>
          <w:lang w:val="fr"/>
        </w:rPr>
        <w:t>idée</w:t>
      </w:r>
      <w:r>
        <w:rPr>
          <w:u w:val="single"/>
          <w:lang w:val="fr"/>
        </w:rPr>
        <w:t xml:space="preserve"> était non seulement de continuer à discuter des questions soulevées </w:t>
      </w:r>
      <w:r w:rsidR="00F42208">
        <w:rPr>
          <w:u w:val="single"/>
          <w:lang w:val="fr"/>
        </w:rPr>
        <w:t xml:space="preserve">au cours </w:t>
      </w:r>
      <w:r>
        <w:rPr>
          <w:u w:val="single"/>
          <w:lang w:val="fr"/>
        </w:rPr>
        <w:t xml:space="preserve">de la réflexion globale concernant la gestion du Registre des bonnes pratiques de sauvegarde, mais </w:t>
      </w:r>
      <w:r w:rsidR="00D155BD">
        <w:rPr>
          <w:u w:val="single"/>
          <w:lang w:val="fr"/>
        </w:rPr>
        <w:t xml:space="preserve">également de porter une </w:t>
      </w:r>
      <w:r>
        <w:rPr>
          <w:u w:val="single"/>
          <w:lang w:val="fr"/>
        </w:rPr>
        <w:t xml:space="preserve">attention </w:t>
      </w:r>
      <w:r w:rsidR="00D155BD">
        <w:rPr>
          <w:u w:val="single"/>
          <w:lang w:val="fr"/>
        </w:rPr>
        <w:t xml:space="preserve">particulière </w:t>
      </w:r>
      <w:r>
        <w:rPr>
          <w:u w:val="single"/>
          <w:lang w:val="fr"/>
        </w:rPr>
        <w:t>à la mise en œuvre de l</w:t>
      </w:r>
      <w:r w:rsidR="000D054C">
        <w:rPr>
          <w:u w:val="single"/>
          <w:lang w:val="fr"/>
        </w:rPr>
        <w:t>’</w:t>
      </w:r>
      <w:r>
        <w:rPr>
          <w:u w:val="single"/>
          <w:lang w:val="fr"/>
        </w:rPr>
        <w:t>article 18 au-delà du Registre</w:t>
      </w:r>
      <w:r>
        <w:rPr>
          <w:lang w:val="fr"/>
        </w:rPr>
        <w:t>.</w:t>
      </w:r>
      <w:r w:rsidR="00D155BD">
        <w:rPr>
          <w:lang w:val="fr"/>
        </w:rPr>
        <w:t xml:space="preserve"> La création d’un « observatoire » en ligne en est un exemple.</w:t>
      </w:r>
    </w:p>
    <w:p w14:paraId="288FE445" w14:textId="3C7C2314" w:rsidR="00C945B7" w:rsidRPr="00EB73D7" w:rsidRDefault="00C945B7" w:rsidP="00AD6FF7">
      <w:pPr>
        <w:pStyle w:val="1GAPara"/>
        <w:ind w:left="567" w:hanging="567"/>
        <w:rPr>
          <w:rStyle w:val="hps"/>
          <w:lang w:val="fr-FR"/>
        </w:rPr>
      </w:pPr>
      <w:r>
        <w:rPr>
          <w:rStyle w:val="hps"/>
          <w:rFonts w:asciiTheme="minorBidi" w:hAnsiTheme="minorBidi" w:cstheme="minorBidi"/>
          <w:snapToGrid/>
          <w:lang w:val="fr"/>
        </w:rPr>
        <w:t xml:space="preserve">Ce nouveau cycle de réflexion a été rendu possible grâce à une contribution du Royaume de Suède en septembre 2021 </w:t>
      </w:r>
      <w:r>
        <w:rPr>
          <w:lang w:val="fr"/>
        </w:rPr>
        <w:t>sous la forme d</w:t>
      </w:r>
      <w:r w:rsidR="000D054C">
        <w:rPr>
          <w:lang w:val="fr"/>
        </w:rPr>
        <w:t>’</w:t>
      </w:r>
      <w:r>
        <w:rPr>
          <w:lang w:val="fr"/>
        </w:rPr>
        <w:t>un</w:t>
      </w:r>
      <w:r w:rsidR="00D155BD">
        <w:rPr>
          <w:lang w:val="fr"/>
        </w:rPr>
        <w:t xml:space="preserve"> crédit supplémentaire </w:t>
      </w:r>
      <w:r>
        <w:rPr>
          <w:lang w:val="fr"/>
        </w:rPr>
        <w:t>au Programme ordinaire de l</w:t>
      </w:r>
      <w:r w:rsidR="000D054C">
        <w:rPr>
          <w:lang w:val="fr"/>
        </w:rPr>
        <w:t>’</w:t>
      </w:r>
      <w:r>
        <w:rPr>
          <w:lang w:val="fr"/>
        </w:rPr>
        <w:t>UNESCO (</w:t>
      </w:r>
      <w:r w:rsidRPr="00A1279B">
        <w:rPr>
          <w:lang w:val="fr"/>
        </w:rPr>
        <w:t xml:space="preserve">document </w:t>
      </w:r>
      <w:r w:rsidR="00681281">
        <w:fldChar w:fldCharType="begin"/>
      </w:r>
      <w:r w:rsidR="00681281" w:rsidRPr="00681281">
        <w:rPr>
          <w:lang w:val="fr-FR"/>
        </w:rPr>
        <w:instrText xml:space="preserve"> HYPERLINK "https://ich.unesco.org/doc/src/LHE</w:instrText>
      </w:r>
      <w:r w:rsidR="00681281" w:rsidRPr="00681281">
        <w:rPr>
          <w:lang w:val="fr-FR"/>
        </w:rPr>
        <w:instrText xml:space="preserve">-22-17.COM-12-FR.docx" </w:instrText>
      </w:r>
      <w:r w:rsidR="00681281">
        <w:fldChar w:fldCharType="separate"/>
      </w:r>
      <w:r w:rsidRPr="00A1279B">
        <w:rPr>
          <w:rStyle w:val="Hyperlink"/>
          <w:lang w:val="fr"/>
        </w:rPr>
        <w:t>LHE/</w:t>
      </w:r>
      <w:r w:rsidR="00A1279B" w:rsidRPr="00EB73D7">
        <w:rPr>
          <w:rStyle w:val="Hyperlink"/>
          <w:lang w:val="fr"/>
        </w:rPr>
        <w:t>22</w:t>
      </w:r>
      <w:r w:rsidRPr="00A1279B">
        <w:rPr>
          <w:rStyle w:val="Hyperlink"/>
          <w:lang w:val="fr"/>
        </w:rPr>
        <w:t>/1</w:t>
      </w:r>
      <w:r w:rsidR="00A1279B" w:rsidRPr="00EB73D7">
        <w:rPr>
          <w:rStyle w:val="Hyperlink"/>
          <w:lang w:val="fr"/>
        </w:rPr>
        <w:t>7</w:t>
      </w:r>
      <w:r w:rsidRPr="00A1279B">
        <w:rPr>
          <w:rStyle w:val="Hyperlink"/>
          <w:lang w:val="fr"/>
        </w:rPr>
        <w:t>.COM/12</w:t>
      </w:r>
      <w:r w:rsidR="00681281">
        <w:rPr>
          <w:rStyle w:val="Hyperlink"/>
          <w:lang w:val="fr"/>
        </w:rPr>
        <w:fldChar w:fldCharType="end"/>
      </w:r>
      <w:r w:rsidR="00A1279B">
        <w:rPr>
          <w:rStyle w:val="Hyperlink"/>
          <w:lang w:val="fr"/>
        </w:rPr>
        <w:t>)</w:t>
      </w:r>
      <w:r w:rsidR="00A1279B">
        <w:rPr>
          <w:lang w:val="fr"/>
        </w:rPr>
        <w:t>.</w:t>
      </w:r>
    </w:p>
    <w:p w14:paraId="12924880" w14:textId="015A7B34" w:rsidR="00A15E6D" w:rsidRPr="00EB73D7" w:rsidRDefault="00A92A2C" w:rsidP="00AD6FF7">
      <w:pPr>
        <w:pStyle w:val="1GAPara"/>
        <w:numPr>
          <w:ilvl w:val="0"/>
          <w:numId w:val="0"/>
        </w:numPr>
        <w:spacing w:before="240"/>
        <w:rPr>
          <w:b/>
          <w:bCs/>
          <w:lang w:val="fr-FR"/>
        </w:rPr>
      </w:pPr>
      <w:r>
        <w:rPr>
          <w:b/>
          <w:bCs/>
          <w:lang w:val="fr"/>
        </w:rPr>
        <w:t>Nouvelle réflexion sur une mise en œuvre plus large de l</w:t>
      </w:r>
      <w:r w:rsidR="000D054C">
        <w:rPr>
          <w:b/>
          <w:bCs/>
          <w:lang w:val="fr"/>
        </w:rPr>
        <w:t>’</w:t>
      </w:r>
      <w:r>
        <w:rPr>
          <w:b/>
          <w:bCs/>
          <w:lang w:val="fr"/>
        </w:rPr>
        <w:t>article 18 de la Convention de 2003</w:t>
      </w:r>
    </w:p>
    <w:p w14:paraId="6637D934" w14:textId="3870BAC5" w:rsidR="00F4218A" w:rsidRPr="00EB73D7" w:rsidRDefault="00922946" w:rsidP="00AD6FF7">
      <w:pPr>
        <w:pStyle w:val="1GAPara"/>
        <w:ind w:left="567" w:hanging="567"/>
        <w:rPr>
          <w:lang w:val="fr-FR"/>
        </w:rPr>
      </w:pPr>
      <w:r w:rsidRPr="00F4218A">
        <w:rPr>
          <w:lang w:val="fr"/>
        </w:rPr>
        <w:t>La nouvelle réflexion sera un processus en plusieurs étapes qui devrait se poursuivre au moins jusqu</w:t>
      </w:r>
      <w:r w:rsidR="000D054C" w:rsidRPr="00F4218A">
        <w:rPr>
          <w:lang w:val="fr"/>
        </w:rPr>
        <w:t>’</w:t>
      </w:r>
      <w:r w:rsidRPr="00F4218A">
        <w:rPr>
          <w:lang w:val="fr"/>
        </w:rPr>
        <w:t>à la</w:t>
      </w:r>
      <w:r w:rsidR="00D155BD" w:rsidRPr="00F4218A">
        <w:rPr>
          <w:lang w:val="fr"/>
        </w:rPr>
        <w:t xml:space="preserve"> </w:t>
      </w:r>
      <w:r w:rsidRPr="00F4218A">
        <w:rPr>
          <w:rStyle w:val="hps"/>
          <w:rFonts w:asciiTheme="minorBidi" w:hAnsiTheme="minorBidi" w:cstheme="minorBidi"/>
          <w:snapToGrid/>
          <w:lang w:val="fr"/>
        </w:rPr>
        <w:t>mi-2024</w:t>
      </w:r>
      <w:r w:rsidRPr="00F4218A">
        <w:rPr>
          <w:lang w:val="fr"/>
        </w:rPr>
        <w:t>. Le calendrier du processus de réflexion, tel qu</w:t>
      </w:r>
      <w:r w:rsidR="000D054C" w:rsidRPr="00F4218A">
        <w:rPr>
          <w:lang w:val="fr"/>
        </w:rPr>
        <w:t>’</w:t>
      </w:r>
      <w:r w:rsidRPr="00F4218A">
        <w:rPr>
          <w:lang w:val="fr"/>
        </w:rPr>
        <w:t xml:space="preserve">approuvé par la dix-septième session du Comité (document </w:t>
      </w:r>
      <w:r w:rsidR="00681281">
        <w:fldChar w:fldCharType="begin"/>
      </w:r>
      <w:r w:rsidR="00681281" w:rsidRPr="00681281">
        <w:rPr>
          <w:lang w:val="fr-FR"/>
        </w:rPr>
        <w:instrText xml:space="preserve"> HYPERLINK "https://ich.unesco.org/doc/src/LHE-22-17.COM-10-FR.docx" </w:instrText>
      </w:r>
      <w:r w:rsidR="00681281">
        <w:fldChar w:fldCharType="separate"/>
      </w:r>
      <w:r w:rsidRPr="00F4218A">
        <w:rPr>
          <w:rStyle w:val="Hyperlink"/>
          <w:lang w:val="fr"/>
        </w:rPr>
        <w:t>LHE/22/17.COM 10 </w:t>
      </w:r>
      <w:r w:rsidR="00681281">
        <w:rPr>
          <w:rStyle w:val="Hyperlink"/>
          <w:lang w:val="fr"/>
        </w:rPr>
        <w:fldChar w:fldCharType="end"/>
      </w:r>
      <w:r w:rsidRPr="00F4218A">
        <w:rPr>
          <w:lang w:val="fr"/>
        </w:rPr>
        <w:t>; annexe), prévoit la présente réunion d</w:t>
      </w:r>
      <w:r w:rsidR="000D054C" w:rsidRPr="00F4218A">
        <w:rPr>
          <w:lang w:val="fr"/>
        </w:rPr>
        <w:t>’</w:t>
      </w:r>
      <w:r w:rsidRPr="00F4218A">
        <w:rPr>
          <w:lang w:val="fr"/>
        </w:rPr>
        <w:t xml:space="preserve">experts, qui sera </w:t>
      </w:r>
      <w:r w:rsidRPr="00F4218A">
        <w:rPr>
          <w:rStyle w:val="hps"/>
          <w:rFonts w:asciiTheme="minorBidi" w:hAnsiTheme="minorBidi" w:cstheme="minorBidi"/>
          <w:snapToGrid/>
          <w:lang w:val="fr"/>
        </w:rPr>
        <w:t>suivie</w:t>
      </w:r>
      <w:r w:rsidRPr="00F4218A">
        <w:rPr>
          <w:lang w:val="fr"/>
        </w:rPr>
        <w:t xml:space="preserve"> d</w:t>
      </w:r>
      <w:r w:rsidR="000D054C" w:rsidRPr="00F4218A">
        <w:rPr>
          <w:lang w:val="fr"/>
        </w:rPr>
        <w:t>’</w:t>
      </w:r>
      <w:r w:rsidRPr="00F4218A">
        <w:rPr>
          <w:lang w:val="fr"/>
        </w:rPr>
        <w:t>une réunion d</w:t>
      </w:r>
      <w:r w:rsidR="000D054C" w:rsidRPr="00F4218A">
        <w:rPr>
          <w:lang w:val="fr"/>
        </w:rPr>
        <w:t>’</w:t>
      </w:r>
      <w:r w:rsidRPr="00F4218A">
        <w:rPr>
          <w:lang w:val="fr"/>
        </w:rPr>
        <w:t>un groupe de travail intergouvernemental à composition non limitée (qu</w:t>
      </w:r>
      <w:r w:rsidR="00F4218A" w:rsidRPr="00F4218A">
        <w:rPr>
          <w:lang w:val="fr"/>
        </w:rPr>
        <w:t xml:space="preserve">i </w:t>
      </w:r>
      <w:r w:rsidRPr="00F4218A">
        <w:rPr>
          <w:lang w:val="fr"/>
        </w:rPr>
        <w:t>est prévu de</w:t>
      </w:r>
      <w:r w:rsidR="00F4218A" w:rsidRPr="00F4218A">
        <w:rPr>
          <w:lang w:val="fr"/>
        </w:rPr>
        <w:t xml:space="preserve"> se </w:t>
      </w:r>
      <w:r w:rsidRPr="00F4218A">
        <w:rPr>
          <w:lang w:val="fr"/>
        </w:rPr>
        <w:t>tenir du 4 au 6 juillet 2023, au siège de l</w:t>
      </w:r>
      <w:r w:rsidR="000D054C" w:rsidRPr="00F4218A">
        <w:rPr>
          <w:lang w:val="fr"/>
        </w:rPr>
        <w:t>’</w:t>
      </w:r>
      <w:r w:rsidRPr="00F4218A">
        <w:rPr>
          <w:lang w:val="fr"/>
        </w:rPr>
        <w:t xml:space="preserve">UNESCO). La dix-huitième session du Comité (4 au 8 décembre 2023, </w:t>
      </w:r>
      <w:proofErr w:type="spellStart"/>
      <w:r w:rsidRPr="00F4218A">
        <w:rPr>
          <w:lang w:val="fr"/>
        </w:rPr>
        <w:t>Kasane</w:t>
      </w:r>
      <w:proofErr w:type="spellEnd"/>
      <w:r w:rsidRPr="00F4218A">
        <w:rPr>
          <w:lang w:val="fr"/>
        </w:rPr>
        <w:t>, République du Botswana) sera l</w:t>
      </w:r>
      <w:r w:rsidR="000D054C" w:rsidRPr="00F4218A">
        <w:rPr>
          <w:lang w:val="fr"/>
        </w:rPr>
        <w:t>’</w:t>
      </w:r>
      <w:r w:rsidRPr="00F4218A">
        <w:rPr>
          <w:lang w:val="fr"/>
        </w:rPr>
        <w:t>occasion de poursuivre les discussions intergouvernementales sur ce sujet. On peut s</w:t>
      </w:r>
      <w:r w:rsidR="000D054C" w:rsidRPr="00F4218A">
        <w:rPr>
          <w:lang w:val="fr"/>
        </w:rPr>
        <w:t>’</w:t>
      </w:r>
      <w:r w:rsidRPr="00F4218A">
        <w:rPr>
          <w:lang w:val="fr"/>
        </w:rPr>
        <w:t>attendre à ce que les résultats de la réflexion nécessitent des amendements aux Directives opérationnelles, qui seront soumis pour examen à la dixième session de l</w:t>
      </w:r>
      <w:r w:rsidR="000D054C" w:rsidRPr="00F4218A">
        <w:rPr>
          <w:lang w:val="fr"/>
        </w:rPr>
        <w:t>’</w:t>
      </w:r>
      <w:r w:rsidRPr="00F4218A">
        <w:rPr>
          <w:lang w:val="fr"/>
        </w:rPr>
        <w:t xml:space="preserve">Assemblée générale, qui se tiendra </w:t>
      </w:r>
      <w:proofErr w:type="gramStart"/>
      <w:r w:rsidRPr="00F4218A">
        <w:rPr>
          <w:lang w:val="fr"/>
        </w:rPr>
        <w:t>d</w:t>
      </w:r>
      <w:r w:rsidR="000D054C" w:rsidRPr="00F4218A">
        <w:rPr>
          <w:lang w:val="fr"/>
        </w:rPr>
        <w:t>’</w:t>
      </w:r>
      <w:r w:rsidRPr="00F4218A">
        <w:rPr>
          <w:lang w:val="fr"/>
        </w:rPr>
        <w:t>ici la</w:t>
      </w:r>
      <w:proofErr w:type="gramEnd"/>
      <w:r w:rsidRPr="00F4218A">
        <w:rPr>
          <w:lang w:val="fr"/>
        </w:rPr>
        <w:t xml:space="preserve"> mi-2024. Les informations concernant </w:t>
      </w:r>
      <w:r w:rsidR="00F4218A" w:rsidRPr="00F4218A">
        <w:rPr>
          <w:lang w:val="fr"/>
        </w:rPr>
        <w:t xml:space="preserve">ce </w:t>
      </w:r>
      <w:r w:rsidRPr="00F4218A">
        <w:rPr>
          <w:lang w:val="fr"/>
        </w:rPr>
        <w:t xml:space="preserve">processus de réflexion seront régulièrement mises à jour sur une page dédiée de la Convention 2003 : </w:t>
      </w:r>
      <w:r w:rsidR="00681281">
        <w:fldChar w:fldCharType="begin"/>
      </w:r>
      <w:r w:rsidR="00681281" w:rsidRPr="00681281">
        <w:rPr>
          <w:lang w:val="fr-FR"/>
        </w:rPr>
        <w:instrText xml:space="preserve"> HYPERLINK "https://ich.unesco.org/fr/-01302" </w:instrText>
      </w:r>
      <w:r w:rsidR="00681281">
        <w:fldChar w:fldCharType="separate"/>
      </w:r>
      <w:r w:rsidR="00F4218A" w:rsidRPr="00033579">
        <w:rPr>
          <w:rStyle w:val="Hyperlink"/>
          <w:lang w:val="fr"/>
        </w:rPr>
        <w:t>https://ich.unesco.org/fr/-01302</w:t>
      </w:r>
      <w:r w:rsidR="00681281">
        <w:rPr>
          <w:rStyle w:val="Hyperlink"/>
          <w:lang w:val="fr"/>
        </w:rPr>
        <w:fldChar w:fldCharType="end"/>
      </w:r>
      <w:r w:rsidR="00F4218A">
        <w:rPr>
          <w:lang w:val="fr"/>
        </w:rPr>
        <w:t>.</w:t>
      </w:r>
    </w:p>
    <w:p w14:paraId="0DA1F1F5" w14:textId="7069DFE1" w:rsidR="00326317" w:rsidRPr="00EB73D7" w:rsidRDefault="00326317" w:rsidP="00266858">
      <w:pPr>
        <w:pStyle w:val="1GAPara"/>
        <w:keepLines/>
        <w:ind w:left="567" w:hanging="567"/>
        <w:rPr>
          <w:lang w:val="fr-FR"/>
        </w:rPr>
      </w:pPr>
      <w:r w:rsidRPr="00F4218A">
        <w:rPr>
          <w:lang w:val="fr"/>
        </w:rPr>
        <w:t xml:space="preserve">La mise en œuvre du Registre de bonnes listes de sauvegarde soulève de nombreuses questions, </w:t>
      </w:r>
      <w:r w:rsidR="002B64D9">
        <w:rPr>
          <w:lang w:val="fr"/>
        </w:rPr>
        <w:t>alors</w:t>
      </w:r>
      <w:r w:rsidR="002B64D9" w:rsidRPr="00F4218A">
        <w:rPr>
          <w:lang w:val="fr"/>
        </w:rPr>
        <w:t xml:space="preserve"> </w:t>
      </w:r>
      <w:r w:rsidRPr="00F4218A">
        <w:rPr>
          <w:lang w:val="fr"/>
        </w:rPr>
        <w:t xml:space="preserve">que différentes approches pourraient être envisagées pour mieux explorer </w:t>
      </w:r>
      <w:r w:rsidR="002B64D9">
        <w:rPr>
          <w:lang w:val="fr"/>
        </w:rPr>
        <w:t>son</w:t>
      </w:r>
      <w:r w:rsidR="002B64D9" w:rsidRPr="00F4218A">
        <w:rPr>
          <w:lang w:val="fr"/>
        </w:rPr>
        <w:t xml:space="preserve"> </w:t>
      </w:r>
      <w:r w:rsidRPr="00F4218A">
        <w:rPr>
          <w:lang w:val="fr"/>
        </w:rPr>
        <w:t>potentiel. Afin de structurer le processus de réflexion, la réunion sera invitée à aborder les trois thèmes suivants, déjà présentés à la dix-septième session du Comité (document</w:t>
      </w:r>
      <w:r w:rsidR="00040FF8">
        <w:rPr>
          <w:lang w:val="fr"/>
        </w:rPr>
        <w:t> </w:t>
      </w:r>
      <w:r w:rsidR="00681281">
        <w:fldChar w:fldCharType="begin"/>
      </w:r>
      <w:r w:rsidR="00681281" w:rsidRPr="00681281">
        <w:rPr>
          <w:lang w:val="fr-FR"/>
        </w:rPr>
        <w:instrText xml:space="preserve"> HYPERLINK "https://ich.unesco.org/doc/src/LHE-22-17.COM-10-FR.docx" </w:instrText>
      </w:r>
      <w:r w:rsidR="00681281">
        <w:fldChar w:fldCharType="separate"/>
      </w:r>
      <w:r w:rsidRPr="00F4218A">
        <w:rPr>
          <w:rStyle w:val="Hyperlink"/>
          <w:lang w:val="fr"/>
        </w:rPr>
        <w:t>LHE/22/17.COM/10</w:t>
      </w:r>
      <w:r w:rsidR="00681281">
        <w:rPr>
          <w:rStyle w:val="Hyperlink"/>
          <w:lang w:val="fr"/>
        </w:rPr>
        <w:fldChar w:fldCharType="end"/>
      </w:r>
      <w:r w:rsidRPr="00F4218A">
        <w:rPr>
          <w:lang w:val="fr"/>
        </w:rPr>
        <w:t>).</w:t>
      </w:r>
    </w:p>
    <w:tbl>
      <w:tblPr>
        <w:tblStyle w:val="TableGrid"/>
        <w:tblW w:w="9065" w:type="dxa"/>
        <w:tblInd w:w="569" w:type="dxa"/>
        <w:tblLook w:val="04A0" w:firstRow="1" w:lastRow="0" w:firstColumn="1" w:lastColumn="0" w:noHBand="0" w:noVBand="1"/>
      </w:tblPr>
      <w:tblGrid>
        <w:gridCol w:w="9065"/>
      </w:tblGrid>
      <w:tr w:rsidR="005C7DA5" w14:paraId="35B982B6" w14:textId="77777777" w:rsidTr="00460198">
        <w:tc>
          <w:tcPr>
            <w:tcW w:w="9065" w:type="dxa"/>
            <w:shd w:val="clear" w:color="auto" w:fill="DBE5F1" w:themeFill="accent1" w:themeFillTint="33"/>
          </w:tcPr>
          <w:p w14:paraId="177D66EE" w14:textId="71436E9C" w:rsidR="005C7DA5" w:rsidRPr="00EB73D7" w:rsidRDefault="005C7DA5" w:rsidP="00266858">
            <w:pPr>
              <w:pStyle w:val="1GAPara"/>
              <w:keepNext/>
              <w:numPr>
                <w:ilvl w:val="0"/>
                <w:numId w:val="8"/>
              </w:numPr>
              <w:ind w:left="589" w:hanging="567"/>
              <w:rPr>
                <w:lang w:val="fr-FR"/>
              </w:rPr>
            </w:pPr>
            <w:r>
              <w:rPr>
                <w:lang w:val="fr"/>
              </w:rPr>
              <w:t>Sujet 1 : Améliorer l</w:t>
            </w:r>
            <w:r w:rsidR="000D054C">
              <w:rPr>
                <w:lang w:val="fr"/>
              </w:rPr>
              <w:t>’</w:t>
            </w:r>
            <w:r>
              <w:rPr>
                <w:lang w:val="fr"/>
              </w:rPr>
              <w:t xml:space="preserve">accès et </w:t>
            </w:r>
            <w:r w:rsidR="002B64D9">
              <w:rPr>
                <w:lang w:val="fr"/>
              </w:rPr>
              <w:t xml:space="preserve">augmenter </w:t>
            </w:r>
            <w:r>
              <w:rPr>
                <w:lang w:val="fr"/>
              </w:rPr>
              <w:t>la visibilité du Registre des bonnes pratiques de sauvegarde</w:t>
            </w:r>
          </w:p>
          <w:p w14:paraId="40E274DA" w14:textId="42F75587" w:rsidR="005C7DA5" w:rsidRPr="00EB73D7" w:rsidRDefault="005C7DA5" w:rsidP="00266858">
            <w:pPr>
              <w:pStyle w:val="1GAPara"/>
              <w:keepNext/>
              <w:numPr>
                <w:ilvl w:val="0"/>
                <w:numId w:val="8"/>
              </w:numPr>
              <w:ind w:left="589" w:hanging="567"/>
              <w:rPr>
                <w:lang w:val="fr-FR"/>
              </w:rPr>
            </w:pPr>
            <w:r>
              <w:rPr>
                <w:lang w:val="fr"/>
              </w:rPr>
              <w:t>Sujet 2 : Vers la création d</w:t>
            </w:r>
            <w:r w:rsidR="000D054C">
              <w:rPr>
                <w:lang w:val="fr"/>
              </w:rPr>
              <w:t>’</w:t>
            </w:r>
            <w:r>
              <w:rPr>
                <w:lang w:val="fr"/>
              </w:rPr>
              <w:t>un « observatoire » pour le partage des bonnes pratiques de sauvegarde</w:t>
            </w:r>
          </w:p>
          <w:p w14:paraId="44421201" w14:textId="499EAF5D" w:rsidR="005C7DA5" w:rsidRPr="00EB73D7" w:rsidRDefault="005C7DA5" w:rsidP="00266858">
            <w:pPr>
              <w:pStyle w:val="1GAPara"/>
              <w:keepNext/>
              <w:numPr>
                <w:ilvl w:val="0"/>
                <w:numId w:val="8"/>
              </w:numPr>
              <w:ind w:left="589" w:hanging="567"/>
              <w:rPr>
                <w:lang w:val="fr-FR"/>
              </w:rPr>
            </w:pPr>
            <w:r>
              <w:rPr>
                <w:lang w:val="fr"/>
              </w:rPr>
              <w:t>Sujet 3 : Toute autre question à identifier</w:t>
            </w:r>
          </w:p>
        </w:tc>
      </w:tr>
    </w:tbl>
    <w:p w14:paraId="358CAE33" w14:textId="2598E374" w:rsidR="00C856B4" w:rsidRPr="00C856B4" w:rsidRDefault="00C856B4" w:rsidP="00AD6FF7">
      <w:pPr>
        <w:pStyle w:val="1GAPara"/>
        <w:numPr>
          <w:ilvl w:val="0"/>
          <w:numId w:val="0"/>
        </w:numPr>
        <w:spacing w:before="240"/>
        <w:rPr>
          <w:b/>
          <w:bCs/>
        </w:rPr>
      </w:pPr>
      <w:r>
        <w:rPr>
          <w:b/>
          <w:bCs/>
          <w:lang w:val="fr"/>
        </w:rPr>
        <w:t>Réunion d</w:t>
      </w:r>
      <w:r w:rsidR="000D054C">
        <w:rPr>
          <w:b/>
          <w:bCs/>
          <w:lang w:val="fr"/>
        </w:rPr>
        <w:t>’</w:t>
      </w:r>
      <w:r>
        <w:rPr>
          <w:b/>
          <w:bCs/>
          <w:lang w:val="fr"/>
        </w:rPr>
        <w:t>experts de catégorie VI</w:t>
      </w:r>
    </w:p>
    <w:p w14:paraId="385F3AB7" w14:textId="7D1E727B" w:rsidR="00C97FCB" w:rsidRPr="00EB73D7" w:rsidRDefault="00C97FCB" w:rsidP="00AD6FF7">
      <w:pPr>
        <w:pStyle w:val="1GAPara"/>
        <w:ind w:left="567" w:hanging="567"/>
        <w:rPr>
          <w:lang w:val="fr-FR"/>
        </w:rPr>
      </w:pPr>
      <w:r>
        <w:rPr>
          <w:lang w:val="fr"/>
        </w:rPr>
        <w:t>La présente réunion d</w:t>
      </w:r>
      <w:r w:rsidR="000D054C">
        <w:rPr>
          <w:lang w:val="fr"/>
        </w:rPr>
        <w:t>’</w:t>
      </w:r>
      <w:r>
        <w:rPr>
          <w:lang w:val="fr"/>
        </w:rPr>
        <w:t xml:space="preserve">experts est convoquée à Stora </w:t>
      </w:r>
      <w:proofErr w:type="spellStart"/>
      <w:r>
        <w:rPr>
          <w:lang w:val="fr"/>
        </w:rPr>
        <w:t>Sessionssalen</w:t>
      </w:r>
      <w:proofErr w:type="spellEnd"/>
      <w:r>
        <w:rPr>
          <w:lang w:val="fr"/>
        </w:rPr>
        <w:t xml:space="preserve">, National Heritage </w:t>
      </w:r>
      <w:proofErr w:type="spellStart"/>
      <w:r>
        <w:rPr>
          <w:lang w:val="fr"/>
        </w:rPr>
        <w:t>Board</w:t>
      </w:r>
      <w:proofErr w:type="spellEnd"/>
      <w:r>
        <w:rPr>
          <w:lang w:val="fr"/>
        </w:rPr>
        <w:t xml:space="preserve"> of </w:t>
      </w:r>
      <w:proofErr w:type="spellStart"/>
      <w:r>
        <w:rPr>
          <w:lang w:val="fr"/>
        </w:rPr>
        <w:t>Sweden</w:t>
      </w:r>
      <w:proofErr w:type="spellEnd"/>
      <w:r>
        <w:rPr>
          <w:lang w:val="fr"/>
        </w:rPr>
        <w:t xml:space="preserve"> (</w:t>
      </w:r>
      <w:proofErr w:type="spellStart"/>
      <w:r>
        <w:rPr>
          <w:lang w:val="fr"/>
        </w:rPr>
        <w:t>Riksantikvarieämbetet</w:t>
      </w:r>
      <w:proofErr w:type="spellEnd"/>
      <w:r>
        <w:rPr>
          <w:lang w:val="fr"/>
        </w:rPr>
        <w:t>), du 19 au 21 avril 2023 à Stockholm, et est organisée conjointement par le Ministère de la culture de la Suède, la Commission nationale suédoise pour l</w:t>
      </w:r>
      <w:r w:rsidR="000D054C">
        <w:rPr>
          <w:lang w:val="fr"/>
        </w:rPr>
        <w:t>’</w:t>
      </w:r>
      <w:r>
        <w:rPr>
          <w:lang w:val="fr"/>
        </w:rPr>
        <w:t>UNESCO et l</w:t>
      </w:r>
      <w:r w:rsidR="000D054C">
        <w:rPr>
          <w:lang w:val="fr"/>
        </w:rPr>
        <w:t>’</w:t>
      </w:r>
      <w:r>
        <w:rPr>
          <w:lang w:val="fr"/>
        </w:rPr>
        <w:t>Institut de</w:t>
      </w:r>
      <w:r w:rsidR="002B64D9">
        <w:rPr>
          <w:lang w:val="fr"/>
        </w:rPr>
        <w:t>s</w:t>
      </w:r>
      <w:r>
        <w:rPr>
          <w:lang w:val="fr"/>
        </w:rPr>
        <w:t xml:space="preserve"> langue</w:t>
      </w:r>
      <w:r w:rsidR="002B64D9">
        <w:rPr>
          <w:lang w:val="fr"/>
        </w:rPr>
        <w:t>s</w:t>
      </w:r>
      <w:r>
        <w:rPr>
          <w:lang w:val="fr"/>
        </w:rPr>
        <w:t xml:space="preserve"> et du folklore (document </w:t>
      </w:r>
      <w:r w:rsidR="00681281">
        <w:fldChar w:fldCharType="begin"/>
      </w:r>
      <w:r w:rsidR="00681281" w:rsidRPr="00681281">
        <w:rPr>
          <w:lang w:val="fr-FR"/>
        </w:rPr>
        <w:instrText xml:space="preserve"> HYPERLINK "https://ich.unesco.org/doc/src/LHE-23-EXP_ART18-INF.1.1_FR.docx" </w:instrText>
      </w:r>
      <w:r w:rsidR="00681281">
        <w:fldChar w:fldCharType="separate"/>
      </w:r>
      <w:r w:rsidRPr="0096741E">
        <w:rPr>
          <w:rStyle w:val="Hyperlink"/>
          <w:lang w:val="fr"/>
        </w:rPr>
        <w:t>LHE/23/EXP ART18/INF.</w:t>
      </w:r>
      <w:r w:rsidR="00271E83" w:rsidRPr="0096741E">
        <w:rPr>
          <w:rStyle w:val="Hyperlink"/>
          <w:lang w:val="fr"/>
        </w:rPr>
        <w:t>1.</w:t>
      </w:r>
      <w:r w:rsidRPr="0096741E">
        <w:rPr>
          <w:rStyle w:val="Hyperlink"/>
          <w:lang w:val="fr"/>
        </w:rPr>
        <w:t>1</w:t>
      </w:r>
      <w:r w:rsidR="00681281">
        <w:rPr>
          <w:rStyle w:val="Hyperlink"/>
          <w:lang w:val="fr"/>
        </w:rPr>
        <w:fldChar w:fldCharType="end"/>
      </w:r>
      <w:r>
        <w:rPr>
          <w:lang w:val="fr"/>
        </w:rPr>
        <w:t>).</w:t>
      </w:r>
    </w:p>
    <w:p w14:paraId="04567B8D" w14:textId="49706D9C" w:rsidR="00291191" w:rsidRPr="00EB73D7" w:rsidRDefault="00EA28F3" w:rsidP="00AD6FF7">
      <w:pPr>
        <w:pStyle w:val="1GAPara"/>
        <w:ind w:left="567" w:hanging="567"/>
        <w:rPr>
          <w:lang w:val="fr-FR"/>
        </w:rPr>
      </w:pPr>
      <w:r>
        <w:rPr>
          <w:lang w:val="fr"/>
        </w:rPr>
        <w:t xml:space="preserve">Pour la présente réunion, vingt-cinq experts ont été identifiés, comme indiqué dans la liste des participants (document </w:t>
      </w:r>
      <w:r w:rsidR="00681281">
        <w:fldChar w:fldCharType="begin"/>
      </w:r>
      <w:r w:rsidR="00681281" w:rsidRPr="00681281">
        <w:rPr>
          <w:lang w:val="fr-FR"/>
        </w:rPr>
        <w:instrText xml:space="preserve"> HYPERLINK "https://ich.unesco.org/doc/src/LHE-23-EXP_ART18-INF.1.2_EN_FR.docx" </w:instrText>
      </w:r>
      <w:r w:rsidR="00681281">
        <w:fldChar w:fldCharType="separate"/>
      </w:r>
      <w:r w:rsidRPr="0096741E">
        <w:rPr>
          <w:rStyle w:val="Hyperlink"/>
          <w:lang w:val="fr"/>
        </w:rPr>
        <w:t>LHE/23/EXP ART18/INF</w:t>
      </w:r>
      <w:r w:rsidR="00BD7F22" w:rsidRPr="0096741E">
        <w:rPr>
          <w:rStyle w:val="Hyperlink"/>
          <w:lang w:val="fr"/>
        </w:rPr>
        <w:t>.</w:t>
      </w:r>
      <w:r w:rsidR="00271E83" w:rsidRPr="0096741E">
        <w:rPr>
          <w:rStyle w:val="Hyperlink"/>
          <w:lang w:val="fr"/>
        </w:rPr>
        <w:t>1</w:t>
      </w:r>
      <w:r w:rsidRPr="0096741E">
        <w:rPr>
          <w:rStyle w:val="Hyperlink"/>
          <w:lang w:val="fr"/>
        </w:rPr>
        <w:t>.2</w:t>
      </w:r>
      <w:r w:rsidR="00681281">
        <w:rPr>
          <w:rStyle w:val="Hyperlink"/>
          <w:lang w:val="fr"/>
        </w:rPr>
        <w:fldChar w:fldCharType="end"/>
      </w:r>
      <w:r>
        <w:rPr>
          <w:lang w:val="fr"/>
        </w:rPr>
        <w:t>), par le biais d</w:t>
      </w:r>
      <w:r w:rsidR="000D054C">
        <w:rPr>
          <w:lang w:val="fr"/>
        </w:rPr>
        <w:t>’</w:t>
      </w:r>
      <w:r>
        <w:rPr>
          <w:lang w:val="fr"/>
        </w:rPr>
        <w:t xml:space="preserve">un appel demandant aux États parties de nommer des experts </w:t>
      </w:r>
      <w:r w:rsidR="002B64D9">
        <w:rPr>
          <w:lang w:val="fr"/>
        </w:rPr>
        <w:t>compétents</w:t>
      </w:r>
      <w:r>
        <w:rPr>
          <w:lang w:val="fr"/>
        </w:rPr>
        <w:t>, en tenant compte de leur profil et de leur expérience, et de critères tels que l</w:t>
      </w:r>
      <w:r w:rsidR="000D054C">
        <w:rPr>
          <w:lang w:val="fr"/>
        </w:rPr>
        <w:t>’</w:t>
      </w:r>
      <w:r>
        <w:rPr>
          <w:lang w:val="fr"/>
        </w:rPr>
        <w:t>équilibre géographique et le genre. Cette réunion étant organisée en tant que réunion de catégorie VI, les experts participeront à titre privé et ne représenteront aucun</w:t>
      </w:r>
      <w:r w:rsidR="002B64D9">
        <w:rPr>
          <w:lang w:val="fr"/>
        </w:rPr>
        <w:t xml:space="preserve"> </w:t>
      </w:r>
      <w:r>
        <w:rPr>
          <w:lang w:val="fr"/>
        </w:rPr>
        <w:t xml:space="preserve">gouvernement ou organisation en particulier. </w:t>
      </w:r>
      <w:r w:rsidR="00E053C1">
        <w:rPr>
          <w:lang w:val="fr"/>
        </w:rPr>
        <w:t>Il ne leur est pas demandé de formuler de recommandation commune ou de trouver un consensus sur les sujets mentionnés ci-dessus (</w:t>
      </w:r>
      <w:r>
        <w:rPr>
          <w:lang w:val="fr"/>
        </w:rPr>
        <w:t>les recommandations formulées au cours de la réunion ne seront pas attribuées nominativement à l</w:t>
      </w:r>
      <w:r w:rsidR="000D054C">
        <w:rPr>
          <w:lang w:val="fr"/>
        </w:rPr>
        <w:t>’</w:t>
      </w:r>
      <w:r>
        <w:rPr>
          <w:lang w:val="fr"/>
        </w:rPr>
        <w:t>un ou l</w:t>
      </w:r>
      <w:r w:rsidR="000D054C">
        <w:rPr>
          <w:lang w:val="fr"/>
        </w:rPr>
        <w:t>’</w:t>
      </w:r>
      <w:r>
        <w:rPr>
          <w:lang w:val="fr"/>
        </w:rPr>
        <w:t>autre des participants</w:t>
      </w:r>
      <w:r w:rsidR="00E053C1">
        <w:rPr>
          <w:lang w:val="fr"/>
        </w:rPr>
        <w:t xml:space="preserve">), </w:t>
      </w:r>
      <w:r w:rsidR="00E053C1" w:rsidRPr="00E053C1">
        <w:rPr>
          <w:lang w:val="fr"/>
        </w:rPr>
        <w:t>mais de définir</w:t>
      </w:r>
      <w:r w:rsidR="00E053C1">
        <w:rPr>
          <w:lang w:val="fr"/>
        </w:rPr>
        <w:t xml:space="preserve"> </w:t>
      </w:r>
      <w:r w:rsidR="00E053C1" w:rsidRPr="00E053C1">
        <w:rPr>
          <w:lang w:val="fr"/>
        </w:rPr>
        <w:t>aussi clairement que possible</w:t>
      </w:r>
      <w:r w:rsidR="00E053C1">
        <w:rPr>
          <w:lang w:val="fr"/>
        </w:rPr>
        <w:t xml:space="preserve"> des approches </w:t>
      </w:r>
      <w:r w:rsidR="00E053C1" w:rsidRPr="00E053C1">
        <w:rPr>
          <w:lang w:val="fr"/>
        </w:rPr>
        <w:t>alternatives</w:t>
      </w:r>
      <w:r w:rsidR="00E053C1">
        <w:rPr>
          <w:lang w:val="fr"/>
        </w:rPr>
        <w:t xml:space="preserve">, leurs </w:t>
      </w:r>
      <w:r w:rsidR="00E053C1" w:rsidRPr="00E053C1">
        <w:rPr>
          <w:lang w:val="fr"/>
        </w:rPr>
        <w:t>arguments et contre-arguments.</w:t>
      </w:r>
      <w:r w:rsidR="00E82D5D">
        <w:rPr>
          <w:lang w:val="fr"/>
        </w:rPr>
        <w:t xml:space="preserve"> Si certaines questions font l’objet d’un consensus entre les experts, elles seront rapportées, mais cela n’est pas l’objectif principale de la présente réunion.</w:t>
      </w:r>
    </w:p>
    <w:p w14:paraId="242C2E5B" w14:textId="0BA263A0" w:rsidR="00291191" w:rsidRPr="00EB73D7" w:rsidRDefault="00C3665D" w:rsidP="00AD6FF7">
      <w:pPr>
        <w:pStyle w:val="1GAPara"/>
        <w:ind w:left="567" w:hanging="567"/>
        <w:rPr>
          <w:lang w:val="fr-FR"/>
        </w:rPr>
      </w:pPr>
      <w:r>
        <w:rPr>
          <w:lang w:val="fr"/>
        </w:rPr>
        <w:t>Il est proposé de structurer la réunion autour des trois sujets susmentionnés, - voir également l</w:t>
      </w:r>
      <w:r w:rsidR="000D054C">
        <w:rPr>
          <w:lang w:val="fr"/>
        </w:rPr>
        <w:t>’</w:t>
      </w:r>
      <w:r>
        <w:rPr>
          <w:lang w:val="fr"/>
        </w:rPr>
        <w:t xml:space="preserve">ordre du jour et le calendrier de la réunion (document </w:t>
      </w:r>
      <w:r w:rsidR="00681281">
        <w:fldChar w:fldCharType="begin"/>
      </w:r>
      <w:r w:rsidR="00681281" w:rsidRPr="00681281">
        <w:rPr>
          <w:lang w:val="fr-FR"/>
        </w:rPr>
        <w:instrText xml:space="preserve"> HYPERLINK "https://ich.unesco.org/doc/src/LHE-23-EXP_ART18-1_FR.docx" </w:instrText>
      </w:r>
      <w:r w:rsidR="00681281">
        <w:fldChar w:fldCharType="separate"/>
      </w:r>
      <w:r w:rsidRPr="003E731E">
        <w:rPr>
          <w:rStyle w:val="Hyperlink"/>
          <w:lang w:val="fr"/>
        </w:rPr>
        <w:t>LHE/23/EXP ART18/1</w:t>
      </w:r>
      <w:r w:rsidR="00681281">
        <w:rPr>
          <w:rStyle w:val="Hyperlink"/>
          <w:lang w:val="fr"/>
        </w:rPr>
        <w:fldChar w:fldCharType="end"/>
      </w:r>
      <w:r>
        <w:rPr>
          <w:lang w:val="fr"/>
        </w:rPr>
        <w:t>). Pour chaque sujet, une brève session plénière présentera d</w:t>
      </w:r>
      <w:r w:rsidR="000D054C">
        <w:rPr>
          <w:lang w:val="fr"/>
        </w:rPr>
        <w:t>’</w:t>
      </w:r>
      <w:r>
        <w:rPr>
          <w:lang w:val="fr"/>
        </w:rPr>
        <w:t xml:space="preserve">abord les principales questions à débattre ; les discussions seront ensuite organisées en deux </w:t>
      </w:r>
      <w:r w:rsidR="00E82D5D">
        <w:rPr>
          <w:lang w:val="fr"/>
        </w:rPr>
        <w:t xml:space="preserve">petits </w:t>
      </w:r>
      <w:r>
        <w:rPr>
          <w:lang w:val="fr"/>
        </w:rPr>
        <w:t>groupes (les experts seront affectés aux groupes comme indiqué dans l</w:t>
      </w:r>
      <w:r w:rsidR="000D054C">
        <w:rPr>
          <w:lang w:val="fr"/>
        </w:rPr>
        <w:t>’</w:t>
      </w:r>
      <w:r>
        <w:rPr>
          <w:lang w:val="fr"/>
        </w:rPr>
        <w:t xml:space="preserve">ordre du jour et le calendrier). </w:t>
      </w:r>
      <w:r w:rsidR="00E82D5D">
        <w:rPr>
          <w:lang w:val="fr"/>
        </w:rPr>
        <w:t xml:space="preserve">Les informations générales spécifiques relatives à chacun de ces sujets sont incluses dans le document principal de travail </w:t>
      </w:r>
      <w:r>
        <w:rPr>
          <w:lang w:val="fr"/>
        </w:rPr>
        <w:t xml:space="preserve">(document </w:t>
      </w:r>
      <w:r w:rsidR="00681281">
        <w:fldChar w:fldCharType="begin"/>
      </w:r>
      <w:r w:rsidR="00681281" w:rsidRPr="00681281">
        <w:rPr>
          <w:lang w:val="fr-FR"/>
        </w:rPr>
        <w:instrText xml:space="preserve"> HYPERLINK "https://ich.unesco.org/doc/src/LHE-23-EXP_ART18-3_FR.docx" </w:instrText>
      </w:r>
      <w:r w:rsidR="00681281">
        <w:fldChar w:fldCharType="separate"/>
      </w:r>
      <w:r w:rsidRPr="003E731E">
        <w:rPr>
          <w:rStyle w:val="Hyperlink"/>
          <w:lang w:val="fr"/>
        </w:rPr>
        <w:t>LHE/23/EXP ART 18/3</w:t>
      </w:r>
      <w:r w:rsidR="00681281">
        <w:rPr>
          <w:rStyle w:val="Hyperlink"/>
          <w:lang w:val="fr"/>
        </w:rPr>
        <w:fldChar w:fldCharType="end"/>
      </w:r>
      <w:r>
        <w:rPr>
          <w:lang w:val="fr"/>
        </w:rPr>
        <w:t xml:space="preserve">). Les résultats des travaux de groupes sur </w:t>
      </w:r>
      <w:r w:rsidR="00E82D5D">
        <w:rPr>
          <w:lang w:val="fr"/>
        </w:rPr>
        <w:t xml:space="preserve">ces </w:t>
      </w:r>
      <w:r>
        <w:rPr>
          <w:lang w:val="fr"/>
        </w:rPr>
        <w:t xml:space="preserve">trois sujets seront présentés en séance plénière. </w:t>
      </w:r>
      <w:r w:rsidR="00E82D5D">
        <w:rPr>
          <w:lang w:val="fr"/>
        </w:rPr>
        <w:t xml:space="preserve">Les </w:t>
      </w:r>
      <w:r>
        <w:rPr>
          <w:lang w:val="fr"/>
        </w:rPr>
        <w:t>résultats de la réunion d</w:t>
      </w:r>
      <w:r w:rsidR="000D054C">
        <w:rPr>
          <w:lang w:val="fr"/>
        </w:rPr>
        <w:t>’</w:t>
      </w:r>
      <w:r>
        <w:rPr>
          <w:lang w:val="fr"/>
        </w:rPr>
        <w:t>experts</w:t>
      </w:r>
      <w:r w:rsidR="00D123E0">
        <w:rPr>
          <w:lang w:val="fr"/>
        </w:rPr>
        <w:t xml:space="preserve"> qui </w:t>
      </w:r>
      <w:r>
        <w:rPr>
          <w:lang w:val="fr"/>
        </w:rPr>
        <w:t>devraient être formulés sur les trois sujets de réflexion</w:t>
      </w:r>
      <w:r w:rsidR="00D123E0">
        <w:rPr>
          <w:lang w:val="fr"/>
        </w:rPr>
        <w:t xml:space="preserve"> </w:t>
      </w:r>
      <w:r>
        <w:rPr>
          <w:lang w:val="fr"/>
        </w:rPr>
        <w:t>seront présentés au groupe de travail intergouvernemental à composition non limitée, qui sera organisé en juillet 2023.</w:t>
      </w:r>
    </w:p>
    <w:p w14:paraId="3ED3F168" w14:textId="658E274E" w:rsidR="00A50DE6" w:rsidRDefault="00A50DE6">
      <w:pPr>
        <w:rPr>
          <w:rFonts w:ascii="Arial" w:eastAsia="DengXian" w:hAnsi="Arial" w:cs="Arial"/>
          <w:snapToGrid w:val="0"/>
          <w:sz w:val="22"/>
          <w:szCs w:val="22"/>
        </w:rPr>
      </w:pPr>
      <w:r>
        <w:rPr>
          <w:rFonts w:ascii="Arial" w:eastAsia="DengXian" w:hAnsi="Arial" w:cs="Arial"/>
          <w:snapToGrid w:val="0"/>
          <w:sz w:val="22"/>
          <w:szCs w:val="22"/>
          <w:lang w:val="fr"/>
        </w:rPr>
        <w:br w:type="page"/>
      </w:r>
    </w:p>
    <w:p w14:paraId="1986CFA1" w14:textId="77777777" w:rsidR="00C01170" w:rsidRDefault="00C01170">
      <w:pPr>
        <w:rPr>
          <w:rFonts w:ascii="Arial" w:eastAsia="DengXian" w:hAnsi="Arial" w:cs="Arial"/>
          <w:snapToGrid w:val="0"/>
          <w:sz w:val="22"/>
          <w:szCs w:val="22"/>
        </w:rPr>
      </w:pPr>
    </w:p>
    <w:p w14:paraId="4A50A589" w14:textId="397C1C60" w:rsidR="00C01170" w:rsidRPr="00EB73D7" w:rsidRDefault="00C01170" w:rsidP="00C01170">
      <w:pPr>
        <w:pStyle w:val="1GAPara"/>
        <w:numPr>
          <w:ilvl w:val="0"/>
          <w:numId w:val="0"/>
        </w:numPr>
        <w:ind w:left="720" w:hanging="360"/>
        <w:jc w:val="center"/>
        <w:rPr>
          <w:b/>
          <w:bCs/>
          <w:lang w:val="fr-FR"/>
        </w:rPr>
      </w:pPr>
      <w:r>
        <w:rPr>
          <w:b/>
          <w:bCs/>
          <w:lang w:val="fr"/>
        </w:rPr>
        <w:t>Annexe</w:t>
      </w:r>
    </w:p>
    <w:p w14:paraId="29B1C045" w14:textId="704AF086" w:rsidR="003E1329" w:rsidRPr="00EB73D7" w:rsidRDefault="003E1329" w:rsidP="00460198">
      <w:pPr>
        <w:pStyle w:val="1GAPara"/>
        <w:numPr>
          <w:ilvl w:val="0"/>
          <w:numId w:val="0"/>
        </w:numPr>
        <w:rPr>
          <w:lang w:val="fr-FR"/>
        </w:rPr>
      </w:pPr>
      <w:r>
        <w:rPr>
          <w:b/>
          <w:bCs/>
          <w:lang w:val="fr"/>
        </w:rPr>
        <w:t>Note explicative sur le système d</w:t>
      </w:r>
      <w:r w:rsidR="000D054C">
        <w:rPr>
          <w:b/>
          <w:bCs/>
          <w:lang w:val="fr"/>
        </w:rPr>
        <w:t>’</w:t>
      </w:r>
      <w:r>
        <w:rPr>
          <w:b/>
          <w:bCs/>
          <w:lang w:val="fr"/>
        </w:rPr>
        <w:t>inscription de la Convention de 2003 :</w:t>
      </w:r>
    </w:p>
    <w:p w14:paraId="5325104A" w14:textId="695C32D1" w:rsidR="00974292" w:rsidRPr="00EB73D7" w:rsidRDefault="00974292" w:rsidP="00460198">
      <w:pPr>
        <w:pStyle w:val="1GAPara"/>
        <w:numPr>
          <w:ilvl w:val="0"/>
          <w:numId w:val="10"/>
        </w:numPr>
        <w:ind w:left="567" w:hanging="567"/>
        <w:rPr>
          <w:lang w:val="fr-FR"/>
        </w:rPr>
      </w:pPr>
      <w:r>
        <w:rPr>
          <w:b/>
          <w:bCs/>
          <w:lang w:val="fr"/>
        </w:rPr>
        <w:t>Procédures </w:t>
      </w:r>
      <w:r>
        <w:rPr>
          <w:lang w:val="fr"/>
        </w:rPr>
        <w:t>: Les procédures de soumission, d</w:t>
      </w:r>
      <w:r w:rsidR="000D054C">
        <w:rPr>
          <w:lang w:val="fr"/>
        </w:rPr>
        <w:t>’</w:t>
      </w:r>
      <w:r>
        <w:rPr>
          <w:lang w:val="fr"/>
        </w:rPr>
        <w:t>évaluation et d</w:t>
      </w:r>
      <w:r w:rsidR="000D054C">
        <w:rPr>
          <w:lang w:val="fr"/>
        </w:rPr>
        <w:t>’</w:t>
      </w:r>
      <w:r>
        <w:rPr>
          <w:lang w:val="fr"/>
        </w:rPr>
        <w:t xml:space="preserve">examen des dossiers de candidature figurent aux sous-chapitres I.7 </w:t>
      </w:r>
      <w:proofErr w:type="spellStart"/>
      <w:r>
        <w:rPr>
          <w:lang w:val="fr"/>
        </w:rPr>
        <w:t>à</w:t>
      </w:r>
      <w:proofErr w:type="spellEnd"/>
      <w:r>
        <w:rPr>
          <w:lang w:val="fr"/>
        </w:rPr>
        <w:t xml:space="preserve"> I.10 des Directives opérationnelles. Le chapitre I.15 comprend le calendrier du cycle d</w:t>
      </w:r>
      <w:r w:rsidR="000D054C">
        <w:rPr>
          <w:lang w:val="fr"/>
        </w:rPr>
        <w:t>’</w:t>
      </w:r>
      <w:r>
        <w:rPr>
          <w:lang w:val="fr"/>
        </w:rPr>
        <w:t>inscription de vingt</w:t>
      </w:r>
      <w:r w:rsidR="00D123E0">
        <w:rPr>
          <w:lang w:val="fr"/>
        </w:rPr>
        <w:t>-</w:t>
      </w:r>
      <w:r>
        <w:rPr>
          <w:lang w:val="fr"/>
        </w:rPr>
        <w:t>et</w:t>
      </w:r>
      <w:r w:rsidR="00D123E0">
        <w:rPr>
          <w:lang w:val="fr"/>
        </w:rPr>
        <w:t>-</w:t>
      </w:r>
      <w:r>
        <w:rPr>
          <w:lang w:val="fr"/>
        </w:rPr>
        <w:t>un mois. Seuls les États parties peuvent soumettre des dossiers de candidature pour les Listes et le Registre, en utilisant les formulaires de candidature spécialement conçus à cet effet.</w:t>
      </w:r>
    </w:p>
    <w:p w14:paraId="70FDF52F" w14:textId="30C11E6D" w:rsidR="00027C4C" w:rsidRPr="00EB73D7" w:rsidRDefault="00027C4C" w:rsidP="00460198">
      <w:pPr>
        <w:pStyle w:val="1GAPara"/>
        <w:numPr>
          <w:ilvl w:val="0"/>
          <w:numId w:val="10"/>
        </w:numPr>
        <w:ind w:left="567" w:hanging="567"/>
        <w:rPr>
          <w:lang w:val="fr-FR"/>
        </w:rPr>
      </w:pPr>
      <w:r>
        <w:rPr>
          <w:b/>
          <w:bCs/>
          <w:lang w:val="fr"/>
        </w:rPr>
        <w:t>Critères </w:t>
      </w:r>
      <w:r>
        <w:rPr>
          <w:lang w:val="fr"/>
        </w:rPr>
        <w:t>: Les États soumissionnaires doivent démontrer que leurs candidatures satisfont à l</w:t>
      </w:r>
      <w:r w:rsidR="000D054C">
        <w:rPr>
          <w:lang w:val="fr"/>
        </w:rPr>
        <w:t>’</w:t>
      </w:r>
      <w:r>
        <w:rPr>
          <w:lang w:val="fr"/>
        </w:rPr>
        <w:t>ensemble des critères de sélection appropriés. Tous ces critères doivent être remplis pour qu</w:t>
      </w:r>
      <w:r w:rsidR="000D054C">
        <w:rPr>
          <w:lang w:val="fr"/>
        </w:rPr>
        <w:t>’</w:t>
      </w:r>
      <w:r>
        <w:rPr>
          <w:lang w:val="fr"/>
        </w:rPr>
        <w:t>une inscription sur la Liste représentative et sur la Liste de sauvegarde urgente ait lieu, comme le prévoient les Directives opérationnelles. Dans le cas du Registre des bonnes pratiques de sauvegarde, l</w:t>
      </w:r>
      <w:r w:rsidR="000D054C">
        <w:rPr>
          <w:lang w:val="fr"/>
        </w:rPr>
        <w:t>’</w:t>
      </w:r>
      <w:r>
        <w:rPr>
          <w:lang w:val="fr"/>
        </w:rPr>
        <w:t>expression « </w:t>
      </w:r>
      <w:r w:rsidR="00D123E0">
        <w:rPr>
          <w:lang w:val="fr"/>
        </w:rPr>
        <w:t xml:space="preserve">répondre </w:t>
      </w:r>
      <w:r>
        <w:rPr>
          <w:lang w:val="fr"/>
        </w:rPr>
        <w:t>au mieux », telle que stipulée au paragraphe 7 des Directives opérationnelles, a jusqu</w:t>
      </w:r>
      <w:r w:rsidR="000D054C">
        <w:rPr>
          <w:lang w:val="fr"/>
        </w:rPr>
        <w:t>’</w:t>
      </w:r>
      <w:r>
        <w:rPr>
          <w:lang w:val="fr"/>
        </w:rPr>
        <w:t>à présent été interprétée comme signifiant qu</w:t>
      </w:r>
      <w:r w:rsidR="000D054C">
        <w:rPr>
          <w:lang w:val="fr"/>
        </w:rPr>
        <w:t>’</w:t>
      </w:r>
      <w:r>
        <w:rPr>
          <w:lang w:val="fr"/>
        </w:rPr>
        <w:t>il n</w:t>
      </w:r>
      <w:r w:rsidR="000D054C">
        <w:rPr>
          <w:lang w:val="fr"/>
        </w:rPr>
        <w:t>’</w:t>
      </w:r>
      <w:r>
        <w:rPr>
          <w:lang w:val="fr"/>
        </w:rPr>
        <w:t>était pas obligatoire de satisfaire à tous les critères.</w:t>
      </w:r>
    </w:p>
    <w:p w14:paraId="0365E1FD" w14:textId="10311746" w:rsidR="009D389F" w:rsidRPr="00EB73D7" w:rsidRDefault="009D389F" w:rsidP="00460198">
      <w:pPr>
        <w:pStyle w:val="1GAPara"/>
        <w:numPr>
          <w:ilvl w:val="0"/>
          <w:numId w:val="10"/>
        </w:numPr>
        <w:ind w:left="567" w:hanging="567"/>
        <w:rPr>
          <w:lang w:val="fr-FR"/>
        </w:rPr>
      </w:pPr>
      <w:r>
        <w:rPr>
          <w:b/>
          <w:bCs/>
          <w:lang w:val="fr"/>
        </w:rPr>
        <w:t>Organe d</w:t>
      </w:r>
      <w:r w:rsidR="000D054C">
        <w:rPr>
          <w:b/>
          <w:bCs/>
          <w:lang w:val="fr"/>
        </w:rPr>
        <w:t>’</w:t>
      </w:r>
      <w:r>
        <w:rPr>
          <w:b/>
          <w:bCs/>
          <w:lang w:val="fr"/>
        </w:rPr>
        <w:t>évaluation </w:t>
      </w:r>
      <w:r>
        <w:rPr>
          <w:lang w:val="fr"/>
        </w:rPr>
        <w:t>: un organe consultatif appelé « Organe d</w:t>
      </w:r>
      <w:r w:rsidR="000D054C">
        <w:rPr>
          <w:lang w:val="fr"/>
        </w:rPr>
        <w:t>’</w:t>
      </w:r>
      <w:r>
        <w:rPr>
          <w:lang w:val="fr"/>
        </w:rPr>
        <w:t>évaluation » évalue les dossiers de candidature soumis par les États parties, comme stipulé au paragraphe 27 des Directives opérationnelles. Cet organe est composé de douze membres : six experts en patrimoine culturel immatériel représentant des États parties non membres du Comité, et six organisations non gouvernementales accréditées. Après l</w:t>
      </w:r>
      <w:r w:rsidR="000D054C">
        <w:rPr>
          <w:lang w:val="fr"/>
        </w:rPr>
        <w:t>’</w:t>
      </w:r>
      <w:r>
        <w:rPr>
          <w:lang w:val="fr"/>
        </w:rPr>
        <w:t>examen de chaque dossier, d</w:t>
      </w:r>
      <w:r w:rsidR="000D054C">
        <w:rPr>
          <w:lang w:val="fr"/>
        </w:rPr>
        <w:t>’</w:t>
      </w:r>
      <w:r>
        <w:rPr>
          <w:lang w:val="fr"/>
        </w:rPr>
        <w:t>abord individuellement puis collectivement, l</w:t>
      </w:r>
      <w:r w:rsidR="000D054C">
        <w:rPr>
          <w:lang w:val="fr"/>
        </w:rPr>
        <w:t>’</w:t>
      </w:r>
      <w:r>
        <w:rPr>
          <w:lang w:val="fr"/>
        </w:rPr>
        <w:t>Organe d</w:t>
      </w:r>
      <w:r w:rsidR="000D054C">
        <w:rPr>
          <w:lang w:val="fr"/>
        </w:rPr>
        <w:t>’</w:t>
      </w:r>
      <w:r>
        <w:rPr>
          <w:lang w:val="fr"/>
        </w:rPr>
        <w:t>évaluation recommande au Comité les éléments à inscrire/sélectionner ou à ne pas inscrire/sélectionner et les candidatures ou propositions à renvoyer aux États soumissionnaires pour complément d</w:t>
      </w:r>
      <w:r w:rsidR="000D054C">
        <w:rPr>
          <w:lang w:val="fr"/>
        </w:rPr>
        <w:t>’</w:t>
      </w:r>
      <w:r>
        <w:rPr>
          <w:lang w:val="fr"/>
        </w:rPr>
        <w:t>information.</w:t>
      </w:r>
    </w:p>
    <w:p w14:paraId="407034E8" w14:textId="70A609EC" w:rsidR="00835CCB" w:rsidRPr="00EB73D7" w:rsidRDefault="007159A6" w:rsidP="00460198">
      <w:pPr>
        <w:pStyle w:val="1GAPara"/>
        <w:numPr>
          <w:ilvl w:val="0"/>
          <w:numId w:val="10"/>
        </w:numPr>
        <w:ind w:left="567" w:hanging="567"/>
        <w:rPr>
          <w:lang w:val="fr-FR"/>
        </w:rPr>
      </w:pPr>
      <w:r>
        <w:rPr>
          <w:b/>
          <w:bCs/>
          <w:lang w:val="fr"/>
        </w:rPr>
        <w:t>Candidatures multinationales </w:t>
      </w:r>
      <w:r>
        <w:rPr>
          <w:lang w:val="fr"/>
        </w:rPr>
        <w:t>: Considérant que le patrimoine culturel immatériel est souvent partagé par des communautés présentes sur le territoire de plus d</w:t>
      </w:r>
      <w:r w:rsidR="000D054C">
        <w:rPr>
          <w:lang w:val="fr"/>
        </w:rPr>
        <w:t>’</w:t>
      </w:r>
      <w:r>
        <w:rPr>
          <w:lang w:val="fr"/>
        </w:rPr>
        <w:t>un État et que la coopération internationale est l</w:t>
      </w:r>
      <w:r w:rsidR="000D054C">
        <w:rPr>
          <w:lang w:val="fr"/>
        </w:rPr>
        <w:t>’</w:t>
      </w:r>
      <w:r>
        <w:rPr>
          <w:lang w:val="fr"/>
        </w:rPr>
        <w:t xml:space="preserve">un des objectifs clés de la Convention de 2003, la soumission de </w:t>
      </w:r>
      <w:r>
        <w:rPr>
          <w:snapToGrid/>
          <w:lang w:val="fr"/>
        </w:rPr>
        <w:t>candidatures multinationales aux Listes et au Registre est encouragée dans les Directives opérationnelles et par les décisions du Comité et les recommandations de ses Organes d</w:t>
      </w:r>
      <w:r w:rsidR="000D054C">
        <w:rPr>
          <w:snapToGrid/>
          <w:lang w:val="fr"/>
        </w:rPr>
        <w:t>’</w:t>
      </w:r>
      <w:r>
        <w:rPr>
          <w:snapToGrid/>
          <w:lang w:val="fr"/>
        </w:rPr>
        <w:t>évaluation. Il existe actuellement 74 éléments multinationaux, correspondant à 101 pays.</w:t>
      </w:r>
    </w:p>
    <w:p w14:paraId="4BC3F467" w14:textId="6A813F01" w:rsidR="00013468" w:rsidRPr="00EB73D7" w:rsidRDefault="00013468" w:rsidP="00460198">
      <w:pPr>
        <w:pStyle w:val="1GAPara"/>
        <w:numPr>
          <w:ilvl w:val="0"/>
          <w:numId w:val="10"/>
        </w:numPr>
        <w:ind w:left="567" w:hanging="567"/>
        <w:rPr>
          <w:lang w:val="fr-FR"/>
        </w:rPr>
      </w:pPr>
      <w:r>
        <w:rPr>
          <w:b/>
          <w:bCs/>
          <w:lang w:val="fr"/>
        </w:rPr>
        <w:t>Transfert d</w:t>
      </w:r>
      <w:r w:rsidR="000D054C">
        <w:rPr>
          <w:b/>
          <w:bCs/>
          <w:lang w:val="fr"/>
        </w:rPr>
        <w:t>’</w:t>
      </w:r>
      <w:r>
        <w:rPr>
          <w:b/>
          <w:bCs/>
          <w:lang w:val="fr"/>
        </w:rPr>
        <w:t>un élément </w:t>
      </w:r>
      <w:r>
        <w:rPr>
          <w:lang w:val="fr"/>
        </w:rPr>
        <w:t>: La réflexion globale sur les mécanismes d</w:t>
      </w:r>
      <w:r w:rsidR="000D054C">
        <w:rPr>
          <w:lang w:val="fr"/>
        </w:rPr>
        <w:t>’</w:t>
      </w:r>
      <w:r>
        <w:rPr>
          <w:lang w:val="fr"/>
        </w:rPr>
        <w:t xml:space="preserve">inscription </w:t>
      </w:r>
      <w:r w:rsidR="00D123E0">
        <w:rPr>
          <w:lang w:val="fr"/>
        </w:rPr>
        <w:t xml:space="preserve">sur les listes </w:t>
      </w:r>
      <w:r>
        <w:rPr>
          <w:lang w:val="fr"/>
        </w:rPr>
        <w:t>de la Convention de 2003 a permis d</w:t>
      </w:r>
      <w:r w:rsidR="000D054C">
        <w:rPr>
          <w:lang w:val="fr"/>
        </w:rPr>
        <w:t>’</w:t>
      </w:r>
      <w:r>
        <w:rPr>
          <w:lang w:val="fr"/>
        </w:rPr>
        <w:t>établir une procédure de transfert d</w:t>
      </w:r>
      <w:r w:rsidR="000D054C">
        <w:rPr>
          <w:lang w:val="fr"/>
        </w:rPr>
        <w:t>’</w:t>
      </w:r>
      <w:r>
        <w:rPr>
          <w:lang w:val="fr"/>
        </w:rPr>
        <w:t xml:space="preserve">éléments entre les Listes. </w:t>
      </w:r>
      <w:r>
        <w:rPr>
          <w:color w:val="000000"/>
          <w:kern w:val="24"/>
          <w:lang w:val="fr"/>
        </w:rPr>
        <w:t>Le premier type de transfert s</w:t>
      </w:r>
      <w:r w:rsidR="000D054C">
        <w:rPr>
          <w:color w:val="000000"/>
          <w:kern w:val="24"/>
          <w:lang w:val="fr"/>
        </w:rPr>
        <w:t>’</w:t>
      </w:r>
      <w:r>
        <w:rPr>
          <w:color w:val="000000"/>
          <w:kern w:val="24"/>
          <w:lang w:val="fr"/>
        </w:rPr>
        <w:t xml:space="preserve">effectue de la Liste représentative à la Liste de </w:t>
      </w:r>
      <w:r w:rsidRPr="00460198">
        <w:rPr>
          <w:lang w:val="fr"/>
        </w:rPr>
        <w:t>sauvegarde</w:t>
      </w:r>
      <w:r>
        <w:rPr>
          <w:color w:val="000000"/>
          <w:kern w:val="24"/>
          <w:lang w:val="fr"/>
        </w:rPr>
        <w:t xml:space="preserve"> urgente. La procédure prévoit la possibilité de demander simultanément une assistance internationale pour la mise en œuvre du plan de sauvegarde. Le deuxième type de transfert s</w:t>
      </w:r>
      <w:r w:rsidR="000D054C">
        <w:rPr>
          <w:color w:val="000000"/>
          <w:kern w:val="24"/>
          <w:lang w:val="fr"/>
        </w:rPr>
        <w:t>’</w:t>
      </w:r>
      <w:r>
        <w:rPr>
          <w:color w:val="000000"/>
          <w:kern w:val="24"/>
          <w:lang w:val="fr"/>
        </w:rPr>
        <w:t xml:space="preserve">effectue de la Liste de sauvegarde urgente </w:t>
      </w:r>
      <w:r w:rsidR="009E4367">
        <w:rPr>
          <w:color w:val="000000"/>
          <w:kern w:val="24"/>
          <w:lang w:val="fr"/>
        </w:rPr>
        <w:t xml:space="preserve">vers </w:t>
      </w:r>
      <w:r>
        <w:rPr>
          <w:color w:val="000000"/>
          <w:kern w:val="24"/>
          <w:lang w:val="fr"/>
        </w:rPr>
        <w:t>la Liste représentative. La demande doit être présentée en même temps que les rapports périodiques sur l</w:t>
      </w:r>
      <w:r w:rsidR="000D054C">
        <w:rPr>
          <w:color w:val="000000"/>
          <w:kern w:val="24"/>
          <w:lang w:val="fr"/>
        </w:rPr>
        <w:t>’</w:t>
      </w:r>
      <w:r>
        <w:rPr>
          <w:color w:val="000000"/>
          <w:kern w:val="24"/>
          <w:lang w:val="fr"/>
        </w:rPr>
        <w:t xml:space="preserve">élément concerné inscrit sur la Liste de sauvegarde urgente. </w:t>
      </w:r>
      <w:r w:rsidR="009E4367">
        <w:rPr>
          <w:color w:val="000000"/>
          <w:kern w:val="24"/>
          <w:lang w:val="fr"/>
        </w:rPr>
        <w:t xml:space="preserve">L’Organe </w:t>
      </w:r>
      <w:r>
        <w:rPr>
          <w:color w:val="000000"/>
          <w:kern w:val="24"/>
          <w:lang w:val="fr"/>
        </w:rPr>
        <w:t>d</w:t>
      </w:r>
      <w:r w:rsidR="000D054C">
        <w:rPr>
          <w:color w:val="000000"/>
          <w:kern w:val="24"/>
          <w:lang w:val="fr"/>
        </w:rPr>
        <w:t>’</w:t>
      </w:r>
      <w:r>
        <w:rPr>
          <w:color w:val="000000"/>
          <w:kern w:val="24"/>
          <w:lang w:val="fr"/>
        </w:rPr>
        <w:t>évaluation a également la possibilité de recommander, en cas de transfert réussi, que l</w:t>
      </w:r>
      <w:r w:rsidR="000D054C">
        <w:rPr>
          <w:color w:val="000000"/>
          <w:kern w:val="24"/>
          <w:lang w:val="fr"/>
        </w:rPr>
        <w:t>’</w:t>
      </w:r>
      <w:r>
        <w:rPr>
          <w:color w:val="000000"/>
          <w:kern w:val="24"/>
          <w:lang w:val="fr"/>
        </w:rPr>
        <w:t xml:space="preserve">expérience de sauvegarde soit inscrite au Registre des bonnes pratiques de sauvegarde (voir le paragraphe </w:t>
      </w:r>
      <w:r w:rsidR="00C301CB">
        <w:rPr>
          <w:color w:val="000000"/>
          <w:kern w:val="24"/>
          <w:lang w:val="fr"/>
        </w:rPr>
        <w:t>11</w:t>
      </w:r>
      <w:r>
        <w:rPr>
          <w:color w:val="000000"/>
          <w:kern w:val="24"/>
          <w:lang w:val="fr"/>
        </w:rPr>
        <w:t>.b du présent document).</w:t>
      </w:r>
    </w:p>
    <w:p w14:paraId="7FFA67C3" w14:textId="14E31FD5" w:rsidR="007159A6" w:rsidRPr="00EB73D7" w:rsidRDefault="00835CCB" w:rsidP="00460198">
      <w:pPr>
        <w:pStyle w:val="1GAPara"/>
        <w:numPr>
          <w:ilvl w:val="0"/>
          <w:numId w:val="10"/>
        </w:numPr>
        <w:ind w:left="567" w:hanging="567"/>
        <w:rPr>
          <w:lang w:val="fr-FR"/>
        </w:rPr>
      </w:pPr>
      <w:r>
        <w:rPr>
          <w:b/>
          <w:bCs/>
          <w:lang w:val="fr"/>
        </w:rPr>
        <w:t xml:space="preserve">Inscription sur une base </w:t>
      </w:r>
      <w:r w:rsidR="009E4367">
        <w:rPr>
          <w:b/>
          <w:bCs/>
          <w:lang w:val="fr"/>
        </w:rPr>
        <w:t xml:space="preserve">élargie </w:t>
      </w:r>
      <w:r>
        <w:rPr>
          <w:b/>
          <w:bCs/>
          <w:lang w:val="fr"/>
        </w:rPr>
        <w:t>ou réduite</w:t>
      </w:r>
      <w:r w:rsidR="00A1279B">
        <w:rPr>
          <w:b/>
          <w:bCs/>
          <w:lang w:val="fr"/>
        </w:rPr>
        <w:t xml:space="preserve"> </w:t>
      </w:r>
      <w:r>
        <w:rPr>
          <w:snapToGrid/>
          <w:lang w:val="fr"/>
        </w:rPr>
        <w:t>: Les éléments inscrits sur les Listes de la Convention peuvent être étendus à d</w:t>
      </w:r>
      <w:r w:rsidR="000D054C">
        <w:rPr>
          <w:snapToGrid/>
          <w:lang w:val="fr"/>
        </w:rPr>
        <w:t>’</w:t>
      </w:r>
      <w:r>
        <w:rPr>
          <w:snapToGrid/>
          <w:lang w:val="fr"/>
        </w:rPr>
        <w:t xml:space="preserve">autres communautés, groupes et, le cas échéant, individus, au niveau national et/ou international. </w:t>
      </w:r>
      <w:r w:rsidR="009E4367">
        <w:rPr>
          <w:snapToGrid/>
          <w:lang w:val="fr"/>
        </w:rPr>
        <w:t xml:space="preserve">Faisant suite </w:t>
      </w:r>
      <w:r>
        <w:rPr>
          <w:snapToGrid/>
          <w:lang w:val="fr"/>
        </w:rPr>
        <w:t xml:space="preserve">à la réflexion globale sur les </w:t>
      </w:r>
      <w:r w:rsidRPr="00460198">
        <w:rPr>
          <w:lang w:val="fr"/>
        </w:rPr>
        <w:t>mécanismes</w:t>
      </w:r>
      <w:r>
        <w:rPr>
          <w:snapToGrid/>
          <w:lang w:val="fr"/>
        </w:rPr>
        <w:t xml:space="preserve"> d</w:t>
      </w:r>
      <w:r w:rsidR="000D054C">
        <w:rPr>
          <w:snapToGrid/>
          <w:lang w:val="fr"/>
        </w:rPr>
        <w:t>’</w:t>
      </w:r>
      <w:r>
        <w:rPr>
          <w:snapToGrid/>
          <w:lang w:val="fr"/>
        </w:rPr>
        <w:t>inscription</w:t>
      </w:r>
      <w:r w:rsidR="009E4367">
        <w:rPr>
          <w:snapToGrid/>
          <w:lang w:val="fr"/>
        </w:rPr>
        <w:t xml:space="preserve"> sur les listes </w:t>
      </w:r>
      <w:r>
        <w:rPr>
          <w:snapToGrid/>
          <w:lang w:val="fr"/>
        </w:rPr>
        <w:t>de la Convention, les Directives opérationnelles ont été modifiées afin de simplifier les procédures d</w:t>
      </w:r>
      <w:r w:rsidR="000D054C">
        <w:rPr>
          <w:snapToGrid/>
          <w:lang w:val="fr"/>
        </w:rPr>
        <w:t>’</w:t>
      </w:r>
      <w:r>
        <w:rPr>
          <w:snapToGrid/>
          <w:lang w:val="fr"/>
        </w:rPr>
        <w:t>extension et de réduction des éléments nationaux et multinationaux (voir le sous-chapitre I.6 des Directives opérationnelles).</w:t>
      </w:r>
    </w:p>
    <w:p w14:paraId="3A7A18A2" w14:textId="3B25229E" w:rsidR="008D40F4" w:rsidRPr="00EB73D7" w:rsidRDefault="008D40F4" w:rsidP="00266858">
      <w:pPr>
        <w:pStyle w:val="1GAPara"/>
        <w:keepLines/>
        <w:numPr>
          <w:ilvl w:val="0"/>
          <w:numId w:val="10"/>
        </w:numPr>
        <w:ind w:left="567" w:hanging="567"/>
        <w:rPr>
          <w:lang w:val="fr-FR"/>
        </w:rPr>
      </w:pPr>
      <w:r>
        <w:rPr>
          <w:b/>
          <w:bCs/>
          <w:lang w:val="fr"/>
        </w:rPr>
        <w:t>Suivi des éléments inscrits </w:t>
      </w:r>
      <w:r>
        <w:rPr>
          <w:lang w:val="fr"/>
        </w:rPr>
        <w:t xml:space="preserve">: En plus des rapports périodiques, qui suivent un calendrier spécifique pour les éléments inscrits sur la Liste représentative et la Liste de sauvegarde urgente, le suivi des éléments inscrits est également effectué </w:t>
      </w:r>
      <w:r w:rsidR="009E4367">
        <w:rPr>
          <w:lang w:val="fr"/>
        </w:rPr>
        <w:t xml:space="preserve">selon les orientations concernant le </w:t>
      </w:r>
      <w:r>
        <w:rPr>
          <w:lang w:val="fr"/>
        </w:rPr>
        <w:t xml:space="preserve">traitement de la correspondance </w:t>
      </w:r>
      <w:r w:rsidR="009E4367" w:rsidRPr="00EB73D7">
        <w:rPr>
          <w:noProof/>
          <w:spacing w:val="-2"/>
          <w:lang w:val="fr-FR"/>
        </w:rPr>
        <w:t>du public ou d’autres parties concernées au sujet des candidatures</w:t>
      </w:r>
      <w:r>
        <w:rPr>
          <w:lang w:val="fr"/>
        </w:rPr>
        <w:t xml:space="preserve">, tels que définis par le Comité (décision </w:t>
      </w:r>
      <w:hyperlink r:id="rId8" w:history="1">
        <w:r w:rsidRPr="009E4367">
          <w:rPr>
            <w:rStyle w:val="Hyperlink"/>
            <w:lang w:val="fr"/>
          </w:rPr>
          <w:t>7.COM 15</w:t>
        </w:r>
      </w:hyperlink>
      <w:r>
        <w:rPr>
          <w:lang w:val="fr"/>
        </w:rPr>
        <w:t>). La réflexion globale sur les mécanismes d</w:t>
      </w:r>
      <w:r w:rsidR="000D054C">
        <w:rPr>
          <w:lang w:val="fr"/>
        </w:rPr>
        <w:t>’</w:t>
      </w:r>
      <w:r>
        <w:rPr>
          <w:lang w:val="fr"/>
        </w:rPr>
        <w:t xml:space="preserve">inscription </w:t>
      </w:r>
      <w:r w:rsidR="001B2605">
        <w:rPr>
          <w:lang w:val="fr"/>
        </w:rPr>
        <w:t xml:space="preserve">sur les listes </w:t>
      </w:r>
      <w:r>
        <w:rPr>
          <w:lang w:val="fr"/>
        </w:rPr>
        <w:t>a abouti à la mise en place d</w:t>
      </w:r>
      <w:r w:rsidR="000D054C">
        <w:rPr>
          <w:lang w:val="fr"/>
        </w:rPr>
        <w:t>’</w:t>
      </w:r>
      <w:r>
        <w:rPr>
          <w:lang w:val="fr"/>
        </w:rPr>
        <w:t>un « système bidirectionnel » (selon que la question est soulevée par les États parties concernés ou par les tiers) pour assurer le suivi des éléments inscrits, y compris une procédure de « suivi renforcé » ou de retrait des éléments inscrits. La mise en œuvre du système d</w:t>
      </w:r>
      <w:r w:rsidR="000D054C">
        <w:rPr>
          <w:lang w:val="fr"/>
        </w:rPr>
        <w:t>’</w:t>
      </w:r>
      <w:r>
        <w:rPr>
          <w:lang w:val="fr"/>
        </w:rPr>
        <w:t>inscription a donné lieu jusqu</w:t>
      </w:r>
      <w:r w:rsidR="001B2605">
        <w:rPr>
          <w:lang w:val="fr"/>
        </w:rPr>
        <w:t>’</w:t>
      </w:r>
      <w:r>
        <w:rPr>
          <w:lang w:val="fr"/>
        </w:rPr>
        <w:t>à présent au retrait d</w:t>
      </w:r>
      <w:r w:rsidR="000D054C">
        <w:rPr>
          <w:lang w:val="fr"/>
        </w:rPr>
        <w:t>’</w:t>
      </w:r>
      <w:r>
        <w:rPr>
          <w:lang w:val="fr"/>
        </w:rPr>
        <w:t>un seul élément national (avant l</w:t>
      </w:r>
      <w:r w:rsidR="000D054C">
        <w:rPr>
          <w:lang w:val="fr"/>
        </w:rPr>
        <w:t>’</w:t>
      </w:r>
      <w:r>
        <w:rPr>
          <w:lang w:val="fr"/>
        </w:rPr>
        <w:t>établissement de la procédure formelle de retrait) ainsi qu</w:t>
      </w:r>
      <w:r w:rsidR="000D054C">
        <w:rPr>
          <w:lang w:val="fr"/>
        </w:rPr>
        <w:t>’</w:t>
      </w:r>
      <w:r>
        <w:rPr>
          <w:lang w:val="fr"/>
        </w:rPr>
        <w:t>au retrait partiel d</w:t>
      </w:r>
      <w:r w:rsidR="000D054C">
        <w:rPr>
          <w:lang w:val="fr"/>
        </w:rPr>
        <w:t>’</w:t>
      </w:r>
      <w:r>
        <w:rPr>
          <w:lang w:val="fr"/>
        </w:rPr>
        <w:t>un élément multinational en 2022 (décision</w:t>
      </w:r>
      <w:r w:rsidR="00266858">
        <w:rPr>
          <w:lang w:val="fr"/>
        </w:rPr>
        <w:t> </w:t>
      </w:r>
      <w:hyperlink r:id="rId9" w:history="1">
        <w:r w:rsidRPr="001B2605">
          <w:rPr>
            <w:rStyle w:val="Hyperlink"/>
            <w:lang w:val="fr"/>
          </w:rPr>
          <w:t>17.COM 8.a</w:t>
        </w:r>
      </w:hyperlink>
      <w:r>
        <w:rPr>
          <w:lang w:val="fr"/>
        </w:rPr>
        <w:t>), tous deux de la Liste représentative.</w:t>
      </w:r>
    </w:p>
    <w:sectPr w:rsidR="008D40F4" w:rsidRPr="00EB73D7" w:rsidSect="00655736">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E677" w14:textId="77777777" w:rsidR="003B7522" w:rsidRDefault="003B7522" w:rsidP="00655736">
      <w:r>
        <w:separator/>
      </w:r>
    </w:p>
  </w:endnote>
  <w:endnote w:type="continuationSeparator" w:id="0">
    <w:p w14:paraId="58A2B457" w14:textId="77777777" w:rsidR="003B7522" w:rsidRDefault="003B752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3322" w14:textId="77777777" w:rsidR="003B7522" w:rsidRDefault="003B7522" w:rsidP="00655736">
      <w:r>
        <w:separator/>
      </w:r>
    </w:p>
  </w:footnote>
  <w:footnote w:type="continuationSeparator" w:id="0">
    <w:p w14:paraId="150646F0" w14:textId="77777777" w:rsidR="003B7522" w:rsidRDefault="003B7522" w:rsidP="00655736">
      <w:r>
        <w:continuationSeparator/>
      </w:r>
    </w:p>
  </w:footnote>
  <w:footnote w:id="1">
    <w:p w14:paraId="2383CB21" w14:textId="1708458E" w:rsidR="006903E6" w:rsidRPr="008B2244" w:rsidRDefault="006903E6" w:rsidP="004D6451">
      <w:pPr>
        <w:pStyle w:val="FootnoteText"/>
        <w:ind w:left="567" w:hanging="567"/>
        <w:rPr>
          <w:rFonts w:asciiTheme="minorBidi" w:hAnsiTheme="minorBidi" w:cstheme="minorBidi"/>
          <w:sz w:val="18"/>
          <w:szCs w:val="18"/>
        </w:rPr>
      </w:pPr>
      <w:r>
        <w:rPr>
          <w:rStyle w:val="FootnoteReference"/>
          <w:rFonts w:asciiTheme="minorBidi" w:hAnsiTheme="minorBidi" w:cstheme="minorBidi"/>
          <w:sz w:val="18"/>
          <w:szCs w:val="18"/>
          <w:lang w:val="fr"/>
        </w:rPr>
        <w:footnoteRef/>
      </w:r>
      <w:r>
        <w:rPr>
          <w:rFonts w:asciiTheme="minorBidi" w:hAnsiTheme="minorBidi" w:cstheme="minorBidi"/>
          <w:sz w:val="18"/>
          <w:szCs w:val="18"/>
          <w:lang w:val="fr"/>
        </w:rPr>
        <w:t xml:space="preserve"> </w:t>
      </w:r>
      <w:r>
        <w:rPr>
          <w:rFonts w:asciiTheme="minorBidi" w:hAnsiTheme="minorBidi" w:cstheme="minorBidi"/>
          <w:sz w:val="18"/>
          <w:szCs w:val="18"/>
          <w:lang w:val="fr"/>
        </w:rPr>
        <w:tab/>
        <w:t>Réunion internationale d</w:t>
      </w:r>
      <w:r w:rsidR="001C0388" w:rsidRPr="001C0388">
        <w:rPr>
          <w:rFonts w:asciiTheme="minorBidi" w:hAnsiTheme="minorBidi" w:cstheme="minorBidi"/>
          <w:sz w:val="18"/>
          <w:szCs w:val="18"/>
          <w:lang w:val="fr"/>
        </w:rPr>
        <w:t>’</w:t>
      </w:r>
      <w:r>
        <w:rPr>
          <w:rFonts w:asciiTheme="minorBidi" w:hAnsiTheme="minorBidi" w:cstheme="minorBidi"/>
          <w:sz w:val="18"/>
          <w:szCs w:val="18"/>
          <w:lang w:val="fr"/>
        </w:rPr>
        <w:t>experts sur le patrimoine culturel immatériel : Domaines prioritaires pour une Convention internationale : Rapport final (22-24 janvier 2002).</w:t>
      </w:r>
    </w:p>
  </w:footnote>
  <w:footnote w:id="2">
    <w:p w14:paraId="14B99434" w14:textId="1F6C0241" w:rsidR="00717372" w:rsidRPr="007154C3" w:rsidRDefault="00717372" w:rsidP="00266858">
      <w:pPr>
        <w:pStyle w:val="FootnoteText"/>
        <w:ind w:left="567" w:hanging="567"/>
        <w:rPr>
          <w:rFonts w:asciiTheme="minorBidi" w:hAnsiTheme="minorBidi" w:cstheme="minorBidi"/>
          <w:sz w:val="18"/>
          <w:szCs w:val="18"/>
        </w:rPr>
      </w:pPr>
      <w:r>
        <w:rPr>
          <w:rStyle w:val="FootnoteReference"/>
          <w:rFonts w:asciiTheme="minorBidi" w:hAnsiTheme="minorBidi" w:cstheme="minorBidi"/>
          <w:sz w:val="18"/>
          <w:szCs w:val="18"/>
          <w:lang w:val="fr"/>
        </w:rPr>
        <w:footnoteRef/>
      </w:r>
      <w:r>
        <w:rPr>
          <w:rFonts w:asciiTheme="minorBidi" w:hAnsiTheme="minorBidi" w:cstheme="minorBidi"/>
          <w:sz w:val="18"/>
          <w:szCs w:val="18"/>
          <w:lang w:val="fr"/>
        </w:rPr>
        <w:t xml:space="preserve"> </w:t>
      </w:r>
      <w:r w:rsidR="00266858">
        <w:rPr>
          <w:rFonts w:asciiTheme="minorBidi" w:hAnsiTheme="minorBidi" w:cstheme="minorBidi"/>
          <w:sz w:val="18"/>
          <w:szCs w:val="18"/>
          <w:lang w:val="fr"/>
        </w:rPr>
        <w:tab/>
      </w:r>
      <w:r>
        <w:rPr>
          <w:rFonts w:asciiTheme="minorBidi" w:hAnsiTheme="minorBidi" w:cstheme="minorBidi"/>
          <w:noProof/>
          <w:sz w:val="18"/>
          <w:szCs w:val="18"/>
          <w:lang w:val="fr"/>
        </w:rPr>
        <w:t>Pour</w:t>
      </w:r>
      <w:r>
        <w:rPr>
          <w:rFonts w:asciiTheme="minorBidi" w:hAnsiTheme="minorBidi" w:cstheme="minorBidi"/>
          <w:sz w:val="18"/>
          <w:szCs w:val="18"/>
          <w:lang w:val="fr"/>
        </w:rPr>
        <w:t xml:space="preserve"> le résumé et le rapport de l</w:t>
      </w:r>
      <w:r w:rsidR="001C0388" w:rsidRPr="001C0388">
        <w:rPr>
          <w:rFonts w:asciiTheme="minorBidi" w:hAnsiTheme="minorBidi" w:cstheme="minorBidi"/>
          <w:sz w:val="18"/>
          <w:szCs w:val="18"/>
          <w:lang w:val="fr"/>
        </w:rPr>
        <w:t>’</w:t>
      </w:r>
      <w:r>
        <w:rPr>
          <w:rFonts w:asciiTheme="minorBidi" w:hAnsiTheme="minorBidi" w:cstheme="minorBidi"/>
          <w:sz w:val="18"/>
          <w:szCs w:val="18"/>
          <w:lang w:val="fr"/>
        </w:rPr>
        <w:t xml:space="preserve">étude, cliquer </w:t>
      </w:r>
      <w:hyperlink r:id="rId1" w:history="1">
        <w:r>
          <w:rPr>
            <w:rStyle w:val="Hyperlink"/>
            <w:rFonts w:asciiTheme="minorBidi" w:hAnsiTheme="minorBidi" w:cstheme="minorBidi"/>
            <w:sz w:val="18"/>
            <w:szCs w:val="18"/>
            <w:lang w:val="fr"/>
          </w:rPr>
          <w:t>ici</w:t>
        </w:r>
      </w:hyperlink>
    </w:p>
  </w:footnote>
  <w:footnote w:id="3">
    <w:p w14:paraId="5D69F480" w14:textId="22ADCC1F" w:rsidR="00500ED2" w:rsidRPr="004D6451" w:rsidRDefault="00500ED2" w:rsidP="00266858">
      <w:pPr>
        <w:pStyle w:val="FootnoteText"/>
        <w:ind w:left="567" w:hanging="567"/>
        <w:rPr>
          <w:rFonts w:asciiTheme="minorBidi" w:hAnsiTheme="minorBidi" w:cstheme="minorBidi"/>
          <w:noProof/>
          <w:sz w:val="18"/>
          <w:szCs w:val="18"/>
        </w:rPr>
      </w:pPr>
      <w:r w:rsidRPr="004D6451">
        <w:rPr>
          <w:rStyle w:val="FootnoteReference"/>
          <w:rFonts w:asciiTheme="minorBidi" w:hAnsiTheme="minorBidi" w:cstheme="minorBidi"/>
          <w:sz w:val="18"/>
          <w:szCs w:val="18"/>
        </w:rPr>
        <w:footnoteRef/>
      </w:r>
      <w:r w:rsidRPr="004D6451">
        <w:rPr>
          <w:rFonts w:asciiTheme="minorBidi" w:hAnsiTheme="minorBidi" w:cstheme="minorBidi"/>
          <w:sz w:val="18"/>
          <w:szCs w:val="18"/>
        </w:rPr>
        <w:t xml:space="preserve"> </w:t>
      </w:r>
      <w:r w:rsidR="00266858">
        <w:rPr>
          <w:rFonts w:asciiTheme="minorBidi" w:hAnsiTheme="minorBidi" w:cstheme="minorBidi"/>
          <w:sz w:val="18"/>
          <w:szCs w:val="18"/>
        </w:rPr>
        <w:tab/>
      </w:r>
      <w:r w:rsidRPr="004D6451">
        <w:rPr>
          <w:rFonts w:asciiTheme="minorBidi" w:hAnsiTheme="minorBidi" w:cstheme="minorBidi"/>
          <w:noProof/>
          <w:sz w:val="18"/>
          <w:szCs w:val="18"/>
        </w:rPr>
        <w:t xml:space="preserve">Voir : </w:t>
      </w:r>
      <w:hyperlink r:id="rId2" w:history="1">
        <w:r w:rsidRPr="004D6451">
          <w:rPr>
            <w:rStyle w:val="Hyperlink"/>
            <w:rFonts w:asciiTheme="minorBidi" w:hAnsiTheme="minorBidi" w:cstheme="minorBidi"/>
            <w:sz w:val="18"/>
            <w:szCs w:val="18"/>
          </w:rPr>
          <w:t>https://ich.unesco.org/fr/rflexion-globale-sur-les-mcanismes-dinscription-sur-les-listes-01164</w:t>
        </w:r>
      </w:hyperlink>
    </w:p>
  </w:footnote>
  <w:footnote w:id="4">
    <w:p w14:paraId="400EE717" w14:textId="1FE6E867" w:rsidR="00237682" w:rsidRPr="0089321B" w:rsidRDefault="00237682" w:rsidP="003E731E">
      <w:pPr>
        <w:pStyle w:val="FootnoteText"/>
        <w:ind w:left="567" w:hanging="567"/>
        <w:jc w:val="both"/>
        <w:rPr>
          <w:rFonts w:asciiTheme="minorBidi" w:hAnsiTheme="minorBidi" w:cstheme="minorBidi"/>
          <w:sz w:val="18"/>
          <w:szCs w:val="18"/>
        </w:rPr>
      </w:pPr>
      <w:r>
        <w:rPr>
          <w:rStyle w:val="FootnoteReference"/>
          <w:rFonts w:asciiTheme="minorBidi" w:hAnsiTheme="minorBidi" w:cstheme="minorBidi"/>
          <w:sz w:val="18"/>
          <w:szCs w:val="18"/>
          <w:lang w:val="fr"/>
        </w:rPr>
        <w:footnoteRef/>
      </w:r>
      <w:r w:rsidR="003E731E">
        <w:rPr>
          <w:rFonts w:asciiTheme="minorBidi" w:hAnsiTheme="minorBidi" w:cstheme="minorBidi"/>
          <w:sz w:val="18"/>
          <w:szCs w:val="18"/>
          <w:lang w:val="fr"/>
        </w:rPr>
        <w:tab/>
      </w:r>
      <w:r>
        <w:rPr>
          <w:rFonts w:asciiTheme="minorBidi" w:hAnsiTheme="minorBidi" w:cstheme="minorBidi"/>
          <w:sz w:val="18"/>
          <w:szCs w:val="18"/>
          <w:lang w:val="fr"/>
        </w:rPr>
        <w:t>Critère P.9 : le programme, le projet ou l</w:t>
      </w:r>
      <w:r w:rsidR="001C0388" w:rsidRPr="001C0388">
        <w:rPr>
          <w:rFonts w:asciiTheme="minorBidi" w:hAnsiTheme="minorBidi" w:cstheme="minorBidi"/>
          <w:sz w:val="18"/>
          <w:szCs w:val="18"/>
          <w:lang w:val="fr"/>
        </w:rPr>
        <w:t>’</w:t>
      </w:r>
      <w:r>
        <w:rPr>
          <w:rFonts w:asciiTheme="minorBidi" w:hAnsiTheme="minorBidi" w:cstheme="minorBidi"/>
          <w:sz w:val="18"/>
          <w:szCs w:val="18"/>
          <w:lang w:val="fr"/>
        </w:rPr>
        <w:t>activité est parfaitement applicable aux besoins particuliers des pays en développement.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22C3D4E2" w:rsidR="00D95C4C" w:rsidRPr="004E1760" w:rsidRDefault="00C5776D" w:rsidP="00C5776D">
    <w:pPr>
      <w:pStyle w:val="Header"/>
      <w:rPr>
        <w:rFonts w:ascii="Arial" w:hAnsi="Arial" w:cs="Arial"/>
      </w:rPr>
    </w:pPr>
    <w:r>
      <w:rPr>
        <w:rFonts w:ascii="Arial" w:hAnsi="Arial" w:cs="Arial"/>
        <w:sz w:val="20"/>
        <w:szCs w:val="20"/>
        <w:lang w:val="fr"/>
      </w:rPr>
      <w:t xml:space="preserve">LHE/23/EXP ART18/2 </w:t>
    </w:r>
    <w:r w:rsidR="00453FCE">
      <w:rPr>
        <w:rFonts w:ascii="Arial" w:hAnsi="Arial" w:cs="Arial"/>
        <w:sz w:val="20"/>
        <w:szCs w:val="20"/>
        <w:lang w:val="fr"/>
      </w:rPr>
      <w:t xml:space="preserve">Rev. </w:t>
    </w:r>
    <w:r>
      <w:rPr>
        <w:rFonts w:ascii="Arial" w:hAnsi="Arial" w:cs="Arial"/>
        <w:sz w:val="20"/>
        <w:szCs w:val="20"/>
        <w:lang w:val="fr"/>
      </w:rPr>
      <w:t xml:space="preserve">– page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noProof/>
        <w:sz w:val="20"/>
        <w:szCs w:val="20"/>
        <w:lang w:val="fr"/>
      </w:rPr>
      <w:t>2</w:t>
    </w:r>
    <w:r>
      <w:rPr>
        <w:rStyle w:val="PageNumber"/>
        <w:rFonts w:ascii="Arial" w:hAnsi="Arial" w:cs="Arial"/>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4255671A" w:rsidR="00D95C4C" w:rsidRPr="0063300C" w:rsidRDefault="00C5776D" w:rsidP="00C5776D">
    <w:pPr>
      <w:pStyle w:val="Header"/>
      <w:jc w:val="right"/>
      <w:rPr>
        <w:rFonts w:ascii="Arial" w:hAnsi="Arial" w:cs="Arial"/>
      </w:rPr>
    </w:pPr>
    <w:r>
      <w:rPr>
        <w:rFonts w:ascii="Arial" w:hAnsi="Arial" w:cs="Arial"/>
        <w:sz w:val="20"/>
        <w:szCs w:val="20"/>
        <w:lang w:val="fr"/>
      </w:rPr>
      <w:t>LHE/23/EXP ART18/2</w:t>
    </w:r>
    <w:r w:rsidR="00453FCE">
      <w:rPr>
        <w:rFonts w:ascii="Arial" w:hAnsi="Arial" w:cs="Arial"/>
        <w:sz w:val="20"/>
        <w:szCs w:val="20"/>
        <w:lang w:val="fr"/>
      </w:rPr>
      <w:t xml:space="preserve"> Rev.</w:t>
    </w:r>
    <w:r>
      <w:rPr>
        <w:rFonts w:ascii="Arial" w:hAnsi="Arial" w:cs="Arial"/>
        <w:sz w:val="20"/>
        <w:szCs w:val="20"/>
        <w:lang w:val="fr"/>
      </w:rPr>
      <w:t xml:space="preserve"> – page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noProof/>
        <w:sz w:val="20"/>
        <w:szCs w:val="20"/>
        <w:lang w:val="fr"/>
      </w:rPr>
      <w:t>3</w:t>
    </w:r>
    <w:r>
      <w:rPr>
        <w:rStyle w:val="PageNumber"/>
        <w:rFonts w:ascii="Arial" w:hAnsi="Arial" w:cs="Arial"/>
        <w:sz w:val="20"/>
        <w:szCs w:val="20"/>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051B002F" w:rsidR="00D95C4C" w:rsidRPr="00E95AE2" w:rsidRDefault="00EB73D7">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77E2BE8C" wp14:editId="50B4F8E5">
          <wp:simplePos x="0" y="0"/>
          <wp:positionH relativeFrom="column">
            <wp:posOffset>0</wp:posOffset>
          </wp:positionH>
          <wp:positionV relativeFrom="paragraph">
            <wp:posOffset>160655</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3DFA611B" w:rsidR="004E1760" w:rsidRPr="00EB73D7" w:rsidRDefault="00A53F11" w:rsidP="004E1760">
    <w:pPr>
      <w:pStyle w:val="Header"/>
      <w:spacing w:after="520"/>
      <w:jc w:val="right"/>
      <w:rPr>
        <w:rFonts w:ascii="Arial" w:hAnsi="Arial" w:cs="Arial"/>
        <w:b/>
        <w:sz w:val="44"/>
        <w:szCs w:val="44"/>
        <w:lang w:val="en-US"/>
      </w:rPr>
    </w:pPr>
    <w:r w:rsidRPr="00EB73D7">
      <w:rPr>
        <w:rFonts w:ascii="Arial" w:hAnsi="Arial" w:cs="Arial"/>
        <w:b/>
        <w:bCs/>
        <w:sz w:val="44"/>
        <w:szCs w:val="44"/>
        <w:lang w:val="en-US"/>
      </w:rPr>
      <w:t>EXP ART18</w:t>
    </w:r>
  </w:p>
  <w:p w14:paraId="6D1B3489" w14:textId="156A26FB" w:rsidR="004E1760" w:rsidRPr="00681281" w:rsidRDefault="004E1760" w:rsidP="004E1760">
    <w:pPr>
      <w:jc w:val="right"/>
      <w:rPr>
        <w:rFonts w:ascii="Arial" w:hAnsi="Arial" w:cs="Arial"/>
        <w:b/>
        <w:sz w:val="22"/>
        <w:szCs w:val="22"/>
        <w:lang w:val="en-US"/>
      </w:rPr>
    </w:pPr>
    <w:r w:rsidRPr="00681281">
      <w:rPr>
        <w:rFonts w:ascii="Arial" w:hAnsi="Arial" w:cs="Arial"/>
        <w:b/>
        <w:bCs/>
        <w:sz w:val="22"/>
        <w:szCs w:val="22"/>
        <w:lang w:val="en-US"/>
      </w:rPr>
      <w:t>LHE/23/</w:t>
    </w:r>
    <w:bookmarkStart w:id="1" w:name="_Hlk94624970"/>
    <w:r w:rsidRPr="00681281">
      <w:rPr>
        <w:rFonts w:ascii="Arial" w:hAnsi="Arial" w:cs="Arial"/>
        <w:b/>
        <w:bCs/>
        <w:sz w:val="22"/>
        <w:szCs w:val="22"/>
        <w:lang w:val="en-US"/>
      </w:rPr>
      <w:t>EXP ART18/2</w:t>
    </w:r>
    <w:r w:rsidR="00453FCE" w:rsidRPr="00681281">
      <w:rPr>
        <w:rFonts w:ascii="Arial" w:hAnsi="Arial" w:cs="Arial"/>
        <w:b/>
        <w:bCs/>
        <w:sz w:val="22"/>
        <w:szCs w:val="22"/>
        <w:lang w:val="en-US"/>
      </w:rPr>
      <w:t xml:space="preserve"> Rev.</w:t>
    </w:r>
  </w:p>
  <w:bookmarkEnd w:id="1"/>
  <w:p w14:paraId="1B4446C3" w14:textId="407CA192" w:rsidR="00D95C4C" w:rsidRPr="009F7EC5" w:rsidRDefault="00D95C4C" w:rsidP="00655736">
    <w:pPr>
      <w:jc w:val="right"/>
      <w:rPr>
        <w:rFonts w:ascii="Arial" w:eastAsiaTheme="minorEastAsia" w:hAnsi="Arial" w:cs="Arial"/>
        <w:b/>
        <w:sz w:val="22"/>
        <w:szCs w:val="22"/>
      </w:rPr>
    </w:pPr>
    <w:r>
      <w:rPr>
        <w:rFonts w:ascii="Arial" w:hAnsi="Arial" w:cs="Arial"/>
        <w:b/>
        <w:bCs/>
        <w:sz w:val="22"/>
        <w:szCs w:val="22"/>
        <w:lang w:val="fr"/>
      </w:rPr>
      <w:t xml:space="preserve">Paris, le </w:t>
    </w:r>
    <w:r w:rsidR="00453FCE">
      <w:rPr>
        <w:rFonts w:ascii="Arial" w:hAnsi="Arial" w:cs="Arial"/>
        <w:b/>
        <w:bCs/>
        <w:sz w:val="22"/>
        <w:szCs w:val="22"/>
        <w:lang w:val="fr"/>
      </w:rPr>
      <w:t xml:space="preserve">16 </w:t>
    </w:r>
    <w:r>
      <w:rPr>
        <w:rFonts w:ascii="Arial" w:hAnsi="Arial" w:cs="Arial"/>
        <w:b/>
        <w:bCs/>
        <w:sz w:val="22"/>
        <w:szCs w:val="22"/>
        <w:lang w:val="fr"/>
      </w:rPr>
      <w:t>avril 2023</w:t>
    </w:r>
  </w:p>
  <w:p w14:paraId="255B57FF" w14:textId="3B814BD3" w:rsidR="00D95C4C" w:rsidRPr="00151E44" w:rsidRDefault="00D95C4C" w:rsidP="00962034">
    <w:pPr>
      <w:spacing w:after="120"/>
      <w:jc w:val="right"/>
      <w:rPr>
        <w:rFonts w:ascii="Arial" w:hAnsi="Arial" w:cs="Arial"/>
        <w:b/>
        <w:sz w:val="22"/>
        <w:szCs w:val="22"/>
      </w:rPr>
    </w:pPr>
    <w:r>
      <w:rPr>
        <w:rFonts w:ascii="Arial" w:hAnsi="Arial" w:cs="Arial"/>
        <w:b/>
        <w:bCs/>
        <w:sz w:val="22"/>
        <w:szCs w:val="22"/>
        <w:lang w:val="fr"/>
      </w:rPr>
      <w:t>Original : anglais</w:t>
    </w:r>
  </w:p>
  <w:p w14:paraId="3C4B8B1B" w14:textId="77777777" w:rsidR="00D95C4C" w:rsidRPr="00151E44"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B64026C"/>
    <w:multiLevelType w:val="hybridMultilevel"/>
    <w:tmpl w:val="47C6FB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E1D6D65"/>
    <w:multiLevelType w:val="hybridMultilevel"/>
    <w:tmpl w:val="F58C85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F69485A"/>
    <w:multiLevelType w:val="hybridMultilevel"/>
    <w:tmpl w:val="CDD0303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1FCB6519"/>
    <w:multiLevelType w:val="hybridMultilevel"/>
    <w:tmpl w:val="8C54D918"/>
    <w:lvl w:ilvl="0" w:tplc="10ACF596">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 w15:restartNumberingAfterBreak="0">
    <w:nsid w:val="2C196BF0"/>
    <w:multiLevelType w:val="hybridMultilevel"/>
    <w:tmpl w:val="4F528278"/>
    <w:lvl w:ilvl="0" w:tplc="D480F024">
      <w:start w:val="1"/>
      <w:numFmt w:val="decimal"/>
      <w:pStyle w:val="1GAPara"/>
      <w:lvlText w:val="%1."/>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7818A0"/>
    <w:multiLevelType w:val="hybridMultilevel"/>
    <w:tmpl w:val="384E60A0"/>
    <w:lvl w:ilvl="0" w:tplc="AF362A68">
      <w:start w:val="1"/>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B30AE6"/>
    <w:multiLevelType w:val="hybridMultilevel"/>
    <w:tmpl w:val="A20633A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25900E4"/>
    <w:multiLevelType w:val="hybridMultilevel"/>
    <w:tmpl w:val="61A4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9D6BE0"/>
    <w:multiLevelType w:val="hybridMultilevel"/>
    <w:tmpl w:val="ABE4CADA"/>
    <w:lvl w:ilvl="0" w:tplc="C13A629E">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5FBA3651"/>
    <w:multiLevelType w:val="hybridMultilevel"/>
    <w:tmpl w:val="41FCD3C6"/>
    <w:lvl w:ilvl="0" w:tplc="7D7ED0D0">
      <w:start w:val="1"/>
      <w:numFmt w:val="lowerLetter"/>
      <w:lvlText w:val="%1."/>
      <w:lvlJc w:val="left"/>
      <w:pPr>
        <w:ind w:left="1494" w:hanging="360"/>
      </w:pPr>
      <w:rPr>
        <w:rFonts w:ascii="Arial" w:hAnsi="Arial" w:cs="Arial"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4" w15:restartNumberingAfterBreak="0">
    <w:nsid w:val="65954BA2"/>
    <w:multiLevelType w:val="hybridMultilevel"/>
    <w:tmpl w:val="92289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920C48"/>
    <w:multiLevelType w:val="hybridMultilevel"/>
    <w:tmpl w:val="53928F66"/>
    <w:lvl w:ilvl="0" w:tplc="9F5867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577862344">
    <w:abstractNumId w:val="0"/>
  </w:num>
  <w:num w:numId="2" w16cid:durableId="217087148">
    <w:abstractNumId w:val="8"/>
  </w:num>
  <w:num w:numId="3" w16cid:durableId="347945616">
    <w:abstractNumId w:val="9"/>
  </w:num>
  <w:num w:numId="4" w16cid:durableId="1119109097">
    <w:abstractNumId w:val="10"/>
  </w:num>
  <w:num w:numId="5" w16cid:durableId="1445689247">
    <w:abstractNumId w:val="16"/>
  </w:num>
  <w:num w:numId="6" w16cid:durableId="443156798">
    <w:abstractNumId w:val="5"/>
  </w:num>
  <w:num w:numId="7" w16cid:durableId="1813909069">
    <w:abstractNumId w:val="2"/>
  </w:num>
  <w:num w:numId="8" w16cid:durableId="1732844772">
    <w:abstractNumId w:val="1"/>
  </w:num>
  <w:num w:numId="9" w16cid:durableId="153767748">
    <w:abstractNumId w:val="7"/>
  </w:num>
  <w:num w:numId="10" w16cid:durableId="2143375658">
    <w:abstractNumId w:val="5"/>
    <w:lvlOverride w:ilvl="0">
      <w:startOverride w:val="1"/>
    </w:lvlOverride>
  </w:num>
  <w:num w:numId="11" w16cid:durableId="1824083705">
    <w:abstractNumId w:val="3"/>
  </w:num>
  <w:num w:numId="12" w16cid:durableId="65611916">
    <w:abstractNumId w:val="4"/>
  </w:num>
  <w:num w:numId="13" w16cid:durableId="862206908">
    <w:abstractNumId w:val="14"/>
  </w:num>
  <w:num w:numId="14" w16cid:durableId="1065103389">
    <w:abstractNumId w:val="5"/>
  </w:num>
  <w:num w:numId="15" w16cid:durableId="2072728695">
    <w:abstractNumId w:val="5"/>
  </w:num>
  <w:num w:numId="16" w16cid:durableId="1792279267">
    <w:abstractNumId w:val="12"/>
  </w:num>
  <w:num w:numId="17" w16cid:durableId="1574851471">
    <w:abstractNumId w:val="11"/>
  </w:num>
  <w:num w:numId="18" w16cid:durableId="1193763323">
    <w:abstractNumId w:val="5"/>
  </w:num>
  <w:num w:numId="19" w16cid:durableId="1221598219">
    <w:abstractNumId w:val="5"/>
  </w:num>
  <w:num w:numId="20" w16cid:durableId="41949350">
    <w:abstractNumId w:val="15"/>
  </w:num>
  <w:num w:numId="21" w16cid:durableId="1045636663">
    <w:abstractNumId w:val="13"/>
  </w:num>
  <w:num w:numId="22" w16cid:durableId="1410541525">
    <w:abstractNumId w:val="6"/>
  </w:num>
  <w:num w:numId="23" w16cid:durableId="2041709134">
    <w:abstractNumId w:val="5"/>
  </w:num>
  <w:num w:numId="24" w16cid:durableId="1709187341">
    <w:abstractNumId w:val="5"/>
  </w:num>
  <w:num w:numId="25" w16cid:durableId="1609434251">
    <w:abstractNumId w:val="5"/>
  </w:num>
  <w:num w:numId="26" w16cid:durableId="201671402">
    <w:abstractNumId w:val="5"/>
  </w:num>
  <w:num w:numId="27" w16cid:durableId="810368360">
    <w:abstractNumId w:val="5"/>
  </w:num>
  <w:num w:numId="28" w16cid:durableId="1596015648">
    <w:abstractNumId w:val="5"/>
  </w:num>
  <w:num w:numId="29" w16cid:durableId="1416786069">
    <w:abstractNumId w:val="5"/>
  </w:num>
  <w:num w:numId="30" w16cid:durableId="614947727">
    <w:abstractNumId w:val="5"/>
  </w:num>
  <w:num w:numId="31" w16cid:durableId="1385257959">
    <w:abstractNumId w:val="5"/>
  </w:num>
  <w:num w:numId="32" w16cid:durableId="890847776">
    <w:abstractNumId w:val="5"/>
  </w:num>
  <w:num w:numId="33" w16cid:durableId="1188106149">
    <w:abstractNumId w:val="5"/>
  </w:num>
  <w:num w:numId="34" w16cid:durableId="1383868986">
    <w:abstractNumId w:val="5"/>
  </w:num>
  <w:num w:numId="35" w16cid:durableId="138305788">
    <w:abstractNumId w:val="5"/>
  </w:num>
  <w:num w:numId="36" w16cid:durableId="1991060556">
    <w:abstractNumId w:val="5"/>
  </w:num>
  <w:num w:numId="37" w16cid:durableId="1195119169">
    <w:abstractNumId w:val="5"/>
  </w:num>
  <w:num w:numId="38" w16cid:durableId="1454787557">
    <w:abstractNumId w:val="5"/>
  </w:num>
  <w:num w:numId="39" w16cid:durableId="1423070284">
    <w:abstractNumId w:val="5"/>
  </w:num>
  <w:num w:numId="40" w16cid:durableId="1719621831">
    <w:abstractNumId w:val="5"/>
  </w:num>
  <w:num w:numId="41" w16cid:durableId="355471513">
    <w:abstractNumId w:val="5"/>
  </w:num>
  <w:num w:numId="42" w16cid:durableId="604196671">
    <w:abstractNumId w:val="5"/>
  </w:num>
  <w:num w:numId="43" w16cid:durableId="262425198">
    <w:abstractNumId w:val="5"/>
  </w:num>
  <w:num w:numId="44" w16cid:durableId="1588227433">
    <w:abstractNumId w:val="5"/>
  </w:num>
  <w:num w:numId="45" w16cid:durableId="922491683">
    <w:abstractNumId w:val="5"/>
  </w:num>
  <w:num w:numId="46" w16cid:durableId="1245459658">
    <w:abstractNumId w:val="5"/>
  </w:num>
  <w:num w:numId="47" w16cid:durableId="160390942">
    <w:abstractNumId w:val="5"/>
  </w:num>
  <w:num w:numId="48" w16cid:durableId="1663044513">
    <w:abstractNumId w:val="5"/>
  </w:num>
  <w:num w:numId="49" w16cid:durableId="87631199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04CC6"/>
    <w:rsid w:val="00013468"/>
    <w:rsid w:val="00014915"/>
    <w:rsid w:val="000202E7"/>
    <w:rsid w:val="00021C3F"/>
    <w:rsid w:val="00026B44"/>
    <w:rsid w:val="00027C4C"/>
    <w:rsid w:val="00034D52"/>
    <w:rsid w:val="000370CE"/>
    <w:rsid w:val="00040FF8"/>
    <w:rsid w:val="00041A66"/>
    <w:rsid w:val="00042D88"/>
    <w:rsid w:val="0005176E"/>
    <w:rsid w:val="000765F7"/>
    <w:rsid w:val="00077AB7"/>
    <w:rsid w:val="00081CD8"/>
    <w:rsid w:val="00091385"/>
    <w:rsid w:val="000A7F0E"/>
    <w:rsid w:val="000B1C8F"/>
    <w:rsid w:val="000C0D61"/>
    <w:rsid w:val="000D054C"/>
    <w:rsid w:val="000E6FC5"/>
    <w:rsid w:val="000F207F"/>
    <w:rsid w:val="000F3A3F"/>
    <w:rsid w:val="000F7B6E"/>
    <w:rsid w:val="00102557"/>
    <w:rsid w:val="001061F0"/>
    <w:rsid w:val="00106BAF"/>
    <w:rsid w:val="001244A2"/>
    <w:rsid w:val="00130A5E"/>
    <w:rsid w:val="00133733"/>
    <w:rsid w:val="00151E44"/>
    <w:rsid w:val="001611FD"/>
    <w:rsid w:val="00164D56"/>
    <w:rsid w:val="00167B10"/>
    <w:rsid w:val="0017402F"/>
    <w:rsid w:val="00190205"/>
    <w:rsid w:val="00196C1B"/>
    <w:rsid w:val="001B0F73"/>
    <w:rsid w:val="001B2605"/>
    <w:rsid w:val="001C0388"/>
    <w:rsid w:val="001C2296"/>
    <w:rsid w:val="001C2DB7"/>
    <w:rsid w:val="001D14FE"/>
    <w:rsid w:val="001D5C04"/>
    <w:rsid w:val="001E5CA4"/>
    <w:rsid w:val="001F26CF"/>
    <w:rsid w:val="001F4E62"/>
    <w:rsid w:val="00205231"/>
    <w:rsid w:val="00222A2D"/>
    <w:rsid w:val="00223029"/>
    <w:rsid w:val="00234745"/>
    <w:rsid w:val="002351A6"/>
    <w:rsid w:val="00237682"/>
    <w:rsid w:val="002407AF"/>
    <w:rsid w:val="00254DCC"/>
    <w:rsid w:val="00256C88"/>
    <w:rsid w:val="0026221A"/>
    <w:rsid w:val="00266858"/>
    <w:rsid w:val="00271E83"/>
    <w:rsid w:val="0027307B"/>
    <w:rsid w:val="0027411D"/>
    <w:rsid w:val="0027466B"/>
    <w:rsid w:val="002772E1"/>
    <w:rsid w:val="002838A5"/>
    <w:rsid w:val="00285BB4"/>
    <w:rsid w:val="002868ED"/>
    <w:rsid w:val="00291191"/>
    <w:rsid w:val="002A42A0"/>
    <w:rsid w:val="002B4E0A"/>
    <w:rsid w:val="002B64D9"/>
    <w:rsid w:val="002C09E3"/>
    <w:rsid w:val="002D1244"/>
    <w:rsid w:val="002D6958"/>
    <w:rsid w:val="002F2591"/>
    <w:rsid w:val="002F75DB"/>
    <w:rsid w:val="003101DE"/>
    <w:rsid w:val="0031456C"/>
    <w:rsid w:val="0032344B"/>
    <w:rsid w:val="00325B77"/>
    <w:rsid w:val="00326317"/>
    <w:rsid w:val="00330EB5"/>
    <w:rsid w:val="00337CEB"/>
    <w:rsid w:val="00344B58"/>
    <w:rsid w:val="0034539A"/>
    <w:rsid w:val="00345CB4"/>
    <w:rsid w:val="0037482D"/>
    <w:rsid w:val="00375D42"/>
    <w:rsid w:val="003A4332"/>
    <w:rsid w:val="003B7522"/>
    <w:rsid w:val="003C20D5"/>
    <w:rsid w:val="003C2A09"/>
    <w:rsid w:val="003C3534"/>
    <w:rsid w:val="003C70B4"/>
    <w:rsid w:val="003C7DA6"/>
    <w:rsid w:val="003D069C"/>
    <w:rsid w:val="003D7646"/>
    <w:rsid w:val="003E1329"/>
    <w:rsid w:val="003E62B9"/>
    <w:rsid w:val="003E731E"/>
    <w:rsid w:val="003F113A"/>
    <w:rsid w:val="003F3E63"/>
    <w:rsid w:val="00407480"/>
    <w:rsid w:val="0041250F"/>
    <w:rsid w:val="00414643"/>
    <w:rsid w:val="004421E5"/>
    <w:rsid w:val="00452284"/>
    <w:rsid w:val="00453FCE"/>
    <w:rsid w:val="00457C8E"/>
    <w:rsid w:val="00460198"/>
    <w:rsid w:val="0046204B"/>
    <w:rsid w:val="004755C5"/>
    <w:rsid w:val="004856CA"/>
    <w:rsid w:val="00487E67"/>
    <w:rsid w:val="004938CE"/>
    <w:rsid w:val="0049705E"/>
    <w:rsid w:val="004A0713"/>
    <w:rsid w:val="004A2875"/>
    <w:rsid w:val="004A34A0"/>
    <w:rsid w:val="004B7A3D"/>
    <w:rsid w:val="004C7C82"/>
    <w:rsid w:val="004D6451"/>
    <w:rsid w:val="004E1760"/>
    <w:rsid w:val="004F04CD"/>
    <w:rsid w:val="005008A8"/>
    <w:rsid w:val="00500ED2"/>
    <w:rsid w:val="00517FD8"/>
    <w:rsid w:val="005257F2"/>
    <w:rsid w:val="00526B7B"/>
    <w:rsid w:val="005308CE"/>
    <w:rsid w:val="0053302D"/>
    <w:rsid w:val="0053318C"/>
    <w:rsid w:val="00534E1E"/>
    <w:rsid w:val="00560862"/>
    <w:rsid w:val="0057439C"/>
    <w:rsid w:val="0058349B"/>
    <w:rsid w:val="0059771E"/>
    <w:rsid w:val="005B0127"/>
    <w:rsid w:val="005B5AF6"/>
    <w:rsid w:val="005B7A35"/>
    <w:rsid w:val="005C4B73"/>
    <w:rsid w:val="005C578F"/>
    <w:rsid w:val="005C58D3"/>
    <w:rsid w:val="005C7DA5"/>
    <w:rsid w:val="005D58F4"/>
    <w:rsid w:val="005D78D9"/>
    <w:rsid w:val="005E0C8E"/>
    <w:rsid w:val="005E1D2B"/>
    <w:rsid w:val="005E3EC7"/>
    <w:rsid w:val="005E7074"/>
    <w:rsid w:val="005F2BAF"/>
    <w:rsid w:val="005F5172"/>
    <w:rsid w:val="00600D93"/>
    <w:rsid w:val="006105BF"/>
    <w:rsid w:val="00613A1A"/>
    <w:rsid w:val="00620F1C"/>
    <w:rsid w:val="0062499F"/>
    <w:rsid w:val="00626BEA"/>
    <w:rsid w:val="0063300C"/>
    <w:rsid w:val="00644A06"/>
    <w:rsid w:val="00650E82"/>
    <w:rsid w:val="00651A5B"/>
    <w:rsid w:val="00655736"/>
    <w:rsid w:val="00656A6B"/>
    <w:rsid w:val="00663B8D"/>
    <w:rsid w:val="00666615"/>
    <w:rsid w:val="00681281"/>
    <w:rsid w:val="006903E6"/>
    <w:rsid w:val="00696C8D"/>
    <w:rsid w:val="006A2AC2"/>
    <w:rsid w:val="006A2EFD"/>
    <w:rsid w:val="006A3617"/>
    <w:rsid w:val="006B4452"/>
    <w:rsid w:val="006B63EC"/>
    <w:rsid w:val="006D7EE0"/>
    <w:rsid w:val="006E3F3C"/>
    <w:rsid w:val="006E46E4"/>
    <w:rsid w:val="006E75EB"/>
    <w:rsid w:val="0070150F"/>
    <w:rsid w:val="007159A6"/>
    <w:rsid w:val="00717372"/>
    <w:rsid w:val="00717DA5"/>
    <w:rsid w:val="00720A85"/>
    <w:rsid w:val="007213F2"/>
    <w:rsid w:val="00744484"/>
    <w:rsid w:val="00747566"/>
    <w:rsid w:val="0075296C"/>
    <w:rsid w:val="007569DF"/>
    <w:rsid w:val="00773188"/>
    <w:rsid w:val="00775390"/>
    <w:rsid w:val="00783782"/>
    <w:rsid w:val="00784B8C"/>
    <w:rsid w:val="007854CF"/>
    <w:rsid w:val="00786087"/>
    <w:rsid w:val="007879E1"/>
    <w:rsid w:val="007A00CE"/>
    <w:rsid w:val="007B1D1D"/>
    <w:rsid w:val="007B48F7"/>
    <w:rsid w:val="007D7A9B"/>
    <w:rsid w:val="007F22E9"/>
    <w:rsid w:val="0080202E"/>
    <w:rsid w:val="00823A11"/>
    <w:rsid w:val="00835CCB"/>
    <w:rsid w:val="00841AB4"/>
    <w:rsid w:val="008478AC"/>
    <w:rsid w:val="0085188D"/>
    <w:rsid w:val="0085405E"/>
    <w:rsid w:val="0085414A"/>
    <w:rsid w:val="00857EB9"/>
    <w:rsid w:val="0086269D"/>
    <w:rsid w:val="0086543A"/>
    <w:rsid w:val="008724E5"/>
    <w:rsid w:val="00884A9D"/>
    <w:rsid w:val="0088512B"/>
    <w:rsid w:val="0089321B"/>
    <w:rsid w:val="008A2B2D"/>
    <w:rsid w:val="008A4334"/>
    <w:rsid w:val="008A4E1E"/>
    <w:rsid w:val="008B2244"/>
    <w:rsid w:val="008C296C"/>
    <w:rsid w:val="008D40F4"/>
    <w:rsid w:val="008D4305"/>
    <w:rsid w:val="008D7715"/>
    <w:rsid w:val="008E1A85"/>
    <w:rsid w:val="009163A7"/>
    <w:rsid w:val="00922946"/>
    <w:rsid w:val="00946D0B"/>
    <w:rsid w:val="00955877"/>
    <w:rsid w:val="00962034"/>
    <w:rsid w:val="00962E6C"/>
    <w:rsid w:val="0096741E"/>
    <w:rsid w:val="00974292"/>
    <w:rsid w:val="009A18CD"/>
    <w:rsid w:val="009D389F"/>
    <w:rsid w:val="009D53D9"/>
    <w:rsid w:val="009D5428"/>
    <w:rsid w:val="009D7982"/>
    <w:rsid w:val="009E2C20"/>
    <w:rsid w:val="009E4367"/>
    <w:rsid w:val="009F7EC5"/>
    <w:rsid w:val="00A12558"/>
    <w:rsid w:val="00A1279B"/>
    <w:rsid w:val="00A13903"/>
    <w:rsid w:val="00A15E6D"/>
    <w:rsid w:val="00A34ED5"/>
    <w:rsid w:val="00A36405"/>
    <w:rsid w:val="00A45DBF"/>
    <w:rsid w:val="00A50DE6"/>
    <w:rsid w:val="00A50FFA"/>
    <w:rsid w:val="00A53F11"/>
    <w:rsid w:val="00A725CF"/>
    <w:rsid w:val="00A737FC"/>
    <w:rsid w:val="00A755A2"/>
    <w:rsid w:val="00A75932"/>
    <w:rsid w:val="00A85C32"/>
    <w:rsid w:val="00A92A2C"/>
    <w:rsid w:val="00A952F8"/>
    <w:rsid w:val="00A974D0"/>
    <w:rsid w:val="00AA6660"/>
    <w:rsid w:val="00AB2C36"/>
    <w:rsid w:val="00AB421B"/>
    <w:rsid w:val="00AB6DDE"/>
    <w:rsid w:val="00AB70B6"/>
    <w:rsid w:val="00AC6639"/>
    <w:rsid w:val="00AD1A86"/>
    <w:rsid w:val="00AD59E7"/>
    <w:rsid w:val="00AD6FF7"/>
    <w:rsid w:val="00AE103E"/>
    <w:rsid w:val="00AF0A07"/>
    <w:rsid w:val="00AF4771"/>
    <w:rsid w:val="00AF4AEC"/>
    <w:rsid w:val="00AF625E"/>
    <w:rsid w:val="00AF70EC"/>
    <w:rsid w:val="00B139BE"/>
    <w:rsid w:val="00B17089"/>
    <w:rsid w:val="00B2172B"/>
    <w:rsid w:val="00B22B85"/>
    <w:rsid w:val="00B304CC"/>
    <w:rsid w:val="00B3420C"/>
    <w:rsid w:val="00B512C2"/>
    <w:rsid w:val="00B525AA"/>
    <w:rsid w:val="00B75682"/>
    <w:rsid w:val="00B829B5"/>
    <w:rsid w:val="00B82B6E"/>
    <w:rsid w:val="00B8632F"/>
    <w:rsid w:val="00B9146E"/>
    <w:rsid w:val="00B917D2"/>
    <w:rsid w:val="00BA241A"/>
    <w:rsid w:val="00BB04AF"/>
    <w:rsid w:val="00BC0EB8"/>
    <w:rsid w:val="00BD330E"/>
    <w:rsid w:val="00BD52C9"/>
    <w:rsid w:val="00BD7F22"/>
    <w:rsid w:val="00BE6354"/>
    <w:rsid w:val="00C01170"/>
    <w:rsid w:val="00C138D1"/>
    <w:rsid w:val="00C163C8"/>
    <w:rsid w:val="00C22B32"/>
    <w:rsid w:val="00C23A97"/>
    <w:rsid w:val="00C25B18"/>
    <w:rsid w:val="00C26AFB"/>
    <w:rsid w:val="00C301CB"/>
    <w:rsid w:val="00C3665D"/>
    <w:rsid w:val="00C457E9"/>
    <w:rsid w:val="00C51B28"/>
    <w:rsid w:val="00C52EBE"/>
    <w:rsid w:val="00C5776D"/>
    <w:rsid w:val="00C64855"/>
    <w:rsid w:val="00C673E1"/>
    <w:rsid w:val="00C67805"/>
    <w:rsid w:val="00C70EA7"/>
    <w:rsid w:val="00C7433F"/>
    <w:rsid w:val="00C7516E"/>
    <w:rsid w:val="00C75374"/>
    <w:rsid w:val="00C75770"/>
    <w:rsid w:val="00C77DC6"/>
    <w:rsid w:val="00C82A1C"/>
    <w:rsid w:val="00C856B4"/>
    <w:rsid w:val="00C90C7B"/>
    <w:rsid w:val="00C945B7"/>
    <w:rsid w:val="00C97FCB"/>
    <w:rsid w:val="00CA56BB"/>
    <w:rsid w:val="00CB0542"/>
    <w:rsid w:val="00CB0FAC"/>
    <w:rsid w:val="00CB732B"/>
    <w:rsid w:val="00CC31EC"/>
    <w:rsid w:val="00CC43BF"/>
    <w:rsid w:val="00CC4E31"/>
    <w:rsid w:val="00D00B2B"/>
    <w:rsid w:val="00D123E0"/>
    <w:rsid w:val="00D155BD"/>
    <w:rsid w:val="00D16BF4"/>
    <w:rsid w:val="00D24877"/>
    <w:rsid w:val="00D24D84"/>
    <w:rsid w:val="00D34229"/>
    <w:rsid w:val="00D37CB8"/>
    <w:rsid w:val="00D509EB"/>
    <w:rsid w:val="00D53E1F"/>
    <w:rsid w:val="00D566D3"/>
    <w:rsid w:val="00D67931"/>
    <w:rsid w:val="00D7105A"/>
    <w:rsid w:val="00D8250F"/>
    <w:rsid w:val="00D86BB3"/>
    <w:rsid w:val="00D92C98"/>
    <w:rsid w:val="00D95C4C"/>
    <w:rsid w:val="00DA0BD4"/>
    <w:rsid w:val="00DA36ED"/>
    <w:rsid w:val="00DB11ED"/>
    <w:rsid w:val="00DB48FE"/>
    <w:rsid w:val="00DC27E2"/>
    <w:rsid w:val="00DD1E8B"/>
    <w:rsid w:val="00DD345F"/>
    <w:rsid w:val="00DD4BFB"/>
    <w:rsid w:val="00DE34F1"/>
    <w:rsid w:val="00DE6160"/>
    <w:rsid w:val="00DF4942"/>
    <w:rsid w:val="00DF66B4"/>
    <w:rsid w:val="00E019FC"/>
    <w:rsid w:val="00E053C1"/>
    <w:rsid w:val="00E109A2"/>
    <w:rsid w:val="00E16EFD"/>
    <w:rsid w:val="00E2125F"/>
    <w:rsid w:val="00E244E1"/>
    <w:rsid w:val="00E26607"/>
    <w:rsid w:val="00E4150C"/>
    <w:rsid w:val="00E627B1"/>
    <w:rsid w:val="00E62E44"/>
    <w:rsid w:val="00E70169"/>
    <w:rsid w:val="00E82D5D"/>
    <w:rsid w:val="00E874F6"/>
    <w:rsid w:val="00E91357"/>
    <w:rsid w:val="00E91BFE"/>
    <w:rsid w:val="00E9376C"/>
    <w:rsid w:val="00E95AE2"/>
    <w:rsid w:val="00EA28F3"/>
    <w:rsid w:val="00EA335E"/>
    <w:rsid w:val="00EA528C"/>
    <w:rsid w:val="00EA580C"/>
    <w:rsid w:val="00EB44FB"/>
    <w:rsid w:val="00EB6D2D"/>
    <w:rsid w:val="00EB73D7"/>
    <w:rsid w:val="00EC1040"/>
    <w:rsid w:val="00EC39D4"/>
    <w:rsid w:val="00EC6F8D"/>
    <w:rsid w:val="00ED39B2"/>
    <w:rsid w:val="00EE3DA1"/>
    <w:rsid w:val="00EE49F4"/>
    <w:rsid w:val="00EE5D4A"/>
    <w:rsid w:val="00EF1F88"/>
    <w:rsid w:val="00EF34E2"/>
    <w:rsid w:val="00EF69F4"/>
    <w:rsid w:val="00F30DC6"/>
    <w:rsid w:val="00F32C23"/>
    <w:rsid w:val="00F41958"/>
    <w:rsid w:val="00F4218A"/>
    <w:rsid w:val="00F42208"/>
    <w:rsid w:val="00F4335B"/>
    <w:rsid w:val="00F53DE9"/>
    <w:rsid w:val="00F56FA1"/>
    <w:rsid w:val="00F576CB"/>
    <w:rsid w:val="00F65E2F"/>
    <w:rsid w:val="00F7035D"/>
    <w:rsid w:val="00F71A02"/>
    <w:rsid w:val="00FA0D63"/>
    <w:rsid w:val="00FB1829"/>
    <w:rsid w:val="00FC14D5"/>
    <w:rsid w:val="00FC2D1F"/>
    <w:rsid w:val="00FD1226"/>
    <w:rsid w:val="00FD5A35"/>
    <w:rsid w:val="00FD70C6"/>
    <w:rsid w:val="00FD73BA"/>
    <w:rsid w:val="00FE18CF"/>
    <w:rsid w:val="00FE525A"/>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paragraph" w:customStyle="1" w:styleId="1GAPara">
    <w:name w:val="1. GA Para"/>
    <w:qFormat/>
    <w:rsid w:val="00A15E6D"/>
    <w:pPr>
      <w:numPr>
        <w:numId w:val="6"/>
      </w:numPr>
      <w:spacing w:after="120"/>
      <w:jc w:val="both"/>
    </w:pPr>
    <w:rPr>
      <w:rFonts w:ascii="Arial" w:eastAsia="DengXian" w:hAnsi="Arial" w:cs="Arial"/>
      <w:snapToGrid w:val="0"/>
      <w:sz w:val="22"/>
      <w:szCs w:val="22"/>
      <w:lang w:val="en-US" w:eastAsia="zh-CN"/>
    </w:rPr>
  </w:style>
  <w:style w:type="character" w:styleId="Hyperlink">
    <w:name w:val="Hyperlink"/>
    <w:basedOn w:val="DefaultParagraphFont"/>
    <w:uiPriority w:val="99"/>
    <w:unhideWhenUsed/>
    <w:rsid w:val="002B4E0A"/>
    <w:rPr>
      <w:color w:val="0000FF" w:themeColor="hyperlink"/>
      <w:u w:val="single"/>
    </w:rPr>
  </w:style>
  <w:style w:type="character" w:customStyle="1" w:styleId="hps">
    <w:name w:val="hps"/>
    <w:rsid w:val="002B4E0A"/>
  </w:style>
  <w:style w:type="paragraph" w:styleId="FootnoteText">
    <w:name w:val="footnote text"/>
    <w:basedOn w:val="Normal"/>
    <w:link w:val="FootnoteTextChar"/>
    <w:uiPriority w:val="99"/>
    <w:semiHidden/>
    <w:unhideWhenUsed/>
    <w:rsid w:val="00717372"/>
    <w:rPr>
      <w:sz w:val="20"/>
      <w:szCs w:val="20"/>
    </w:rPr>
  </w:style>
  <w:style w:type="character" w:customStyle="1" w:styleId="FootnoteTextChar">
    <w:name w:val="Footnote Text Char"/>
    <w:basedOn w:val="DefaultParagraphFont"/>
    <w:link w:val="FootnoteText"/>
    <w:uiPriority w:val="99"/>
    <w:semiHidden/>
    <w:rsid w:val="00717372"/>
    <w:rPr>
      <w:rFonts w:ascii="Times New Roman" w:eastAsia="Times New Roman" w:hAnsi="Times New Roman"/>
    </w:rPr>
  </w:style>
  <w:style w:type="character" w:styleId="FootnoteReference">
    <w:name w:val="footnote reference"/>
    <w:basedOn w:val="DefaultParagraphFont"/>
    <w:uiPriority w:val="99"/>
    <w:semiHidden/>
    <w:unhideWhenUsed/>
    <w:rsid w:val="00717372"/>
    <w:rPr>
      <w:vertAlign w:val="superscript"/>
    </w:rPr>
  </w:style>
  <w:style w:type="character" w:styleId="UnresolvedMention">
    <w:name w:val="Unresolved Mention"/>
    <w:basedOn w:val="DefaultParagraphFont"/>
    <w:uiPriority w:val="99"/>
    <w:semiHidden/>
    <w:unhideWhenUsed/>
    <w:rsid w:val="00130A5E"/>
    <w:rPr>
      <w:color w:val="605E5C"/>
      <w:shd w:val="clear" w:color="auto" w:fill="E1DFDD"/>
    </w:rPr>
  </w:style>
  <w:style w:type="character" w:styleId="FollowedHyperlink">
    <w:name w:val="FollowedHyperlink"/>
    <w:basedOn w:val="DefaultParagraphFont"/>
    <w:uiPriority w:val="99"/>
    <w:semiHidden/>
    <w:unhideWhenUsed/>
    <w:rsid w:val="00613A1A"/>
    <w:rPr>
      <w:color w:val="800080" w:themeColor="followedHyperlink"/>
      <w:u w:val="single"/>
    </w:rPr>
  </w:style>
  <w:style w:type="character" w:customStyle="1" w:styleId="BODYTEXTChar">
    <w:name w:val="¬BODY TEXT Char"/>
    <w:link w:val="BODYTEXT"/>
    <w:locked/>
    <w:rsid w:val="00291191"/>
    <w:rPr>
      <w:rFonts w:ascii="Arial" w:eastAsia="Times New Roman" w:hAnsi="Arial" w:cs="Arial"/>
      <w:sz w:val="22"/>
      <w:szCs w:val="24"/>
      <w:lang w:val="en-GB"/>
    </w:rPr>
  </w:style>
  <w:style w:type="paragraph" w:customStyle="1" w:styleId="BODYTEXT">
    <w:name w:val="¬BODY TEXT"/>
    <w:basedOn w:val="Normal"/>
    <w:link w:val="BODYTEXTChar"/>
    <w:qFormat/>
    <w:rsid w:val="00291191"/>
    <w:pPr>
      <w:spacing w:after="120"/>
      <w:ind w:left="567"/>
      <w:jc w:val="both"/>
    </w:pPr>
    <w:rPr>
      <w:rFonts w:ascii="Arial" w:hAnsi="Arial" w:cs="Arial"/>
      <w:sz w:val="22"/>
      <w:lang w:val="en-GB"/>
    </w:rPr>
  </w:style>
  <w:style w:type="character" w:customStyle="1" w:styleId="MargeChar">
    <w:name w:val="Marge Char"/>
    <w:basedOn w:val="DefaultParagraphFont"/>
    <w:link w:val="Marge"/>
    <w:locked/>
    <w:rsid w:val="00291191"/>
    <w:rPr>
      <w:rFonts w:ascii="Arial" w:eastAsia="Times New Roman" w:hAnsi="Arial"/>
      <w:snapToGrid w:val="0"/>
      <w:sz w:val="22"/>
      <w:szCs w:val="24"/>
      <w:lang w:eastAsia="en-US"/>
    </w:rPr>
  </w:style>
  <w:style w:type="character" w:styleId="CommentReference">
    <w:name w:val="annotation reference"/>
    <w:basedOn w:val="DefaultParagraphFont"/>
    <w:uiPriority w:val="99"/>
    <w:semiHidden/>
    <w:unhideWhenUsed/>
    <w:rsid w:val="00133733"/>
    <w:rPr>
      <w:sz w:val="16"/>
      <w:szCs w:val="16"/>
    </w:rPr>
  </w:style>
  <w:style w:type="paragraph" w:styleId="CommentText">
    <w:name w:val="annotation text"/>
    <w:basedOn w:val="Normal"/>
    <w:link w:val="CommentTextChar"/>
    <w:uiPriority w:val="99"/>
    <w:semiHidden/>
    <w:unhideWhenUsed/>
    <w:rsid w:val="00133733"/>
    <w:rPr>
      <w:sz w:val="20"/>
      <w:szCs w:val="20"/>
    </w:rPr>
  </w:style>
  <w:style w:type="character" w:customStyle="1" w:styleId="CommentTextChar">
    <w:name w:val="Comment Text Char"/>
    <w:basedOn w:val="DefaultParagraphFont"/>
    <w:link w:val="CommentText"/>
    <w:uiPriority w:val="99"/>
    <w:semiHidden/>
    <w:rsid w:val="001337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33733"/>
    <w:rPr>
      <w:b/>
      <w:bCs/>
    </w:rPr>
  </w:style>
  <w:style w:type="character" w:customStyle="1" w:styleId="CommentSubjectChar">
    <w:name w:val="Comment Subject Char"/>
    <w:basedOn w:val="CommentTextChar"/>
    <w:link w:val="CommentSubject"/>
    <w:uiPriority w:val="99"/>
    <w:semiHidden/>
    <w:rsid w:val="00133733"/>
    <w:rPr>
      <w:rFonts w:ascii="Times New Roman" w:eastAsia="Times New Roman" w:hAnsi="Times New Roman"/>
      <w:b/>
      <w:bCs/>
    </w:rPr>
  </w:style>
  <w:style w:type="paragraph" w:styleId="Revision">
    <w:name w:val="Revision"/>
    <w:hidden/>
    <w:uiPriority w:val="99"/>
    <w:semiHidden/>
    <w:rsid w:val="00DA0BD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7.COM/15?dec=decisions&amp;ref_decision=7.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fr/D%C3%A9cisions/17.COM/8.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fr/rflexion-globale-sur-les-mcanismes-dinscription-sur-les-listes-01164" TargetMode="External"/><Relationship Id="rId1" Type="http://schemas.openxmlformats.org/officeDocument/2006/relationships/hyperlink" Target="https://ich.unesco.org/fr/partager-facilement-les-expriences-de-sauvegarde-0099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3</TotalTime>
  <Pages>7</Pages>
  <Words>3157</Words>
  <Characters>17368</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Nakata Glenat, Keiichi Julien</cp:lastModifiedBy>
  <cp:revision>4</cp:revision>
  <cp:lastPrinted>2011-08-06T10:22:00Z</cp:lastPrinted>
  <dcterms:created xsi:type="dcterms:W3CDTF">2023-04-16T18:03:00Z</dcterms:created>
  <dcterms:modified xsi:type="dcterms:W3CDTF">2023-04-16T18:14:00Z</dcterms:modified>
</cp:coreProperties>
</file>