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7772B8" w:rsidRDefault="00EC6F8D" w:rsidP="00EC6F8D">
      <w:pPr>
        <w:spacing w:before="1440"/>
        <w:jc w:val="center"/>
        <w:rPr>
          <w:rFonts w:ascii="Arial" w:hAnsi="Arial" w:cs="Arial"/>
          <w:b/>
          <w:sz w:val="22"/>
          <w:szCs w:val="22"/>
          <w:lang w:val="en-GB"/>
        </w:rPr>
      </w:pPr>
      <w:r w:rsidRPr="007772B8">
        <w:rPr>
          <w:rFonts w:ascii="Arial" w:hAnsi="Arial" w:cs="Arial"/>
          <w:b/>
          <w:sz w:val="22"/>
          <w:szCs w:val="22"/>
          <w:lang w:val="en-GB"/>
        </w:rPr>
        <w:t>CONVENTION FOR THE SAFEGUARDING OF THE</w:t>
      </w:r>
      <w:r w:rsidRPr="007772B8">
        <w:rPr>
          <w:rFonts w:ascii="Arial" w:hAnsi="Arial" w:cs="Arial"/>
          <w:b/>
          <w:sz w:val="22"/>
          <w:szCs w:val="22"/>
          <w:lang w:val="en-GB"/>
        </w:rPr>
        <w:br/>
        <w:t>INTANGIBLE CULTURAL HERITAGE</w:t>
      </w:r>
    </w:p>
    <w:p w14:paraId="3D556B12" w14:textId="5DFC8608" w:rsidR="00091385" w:rsidRPr="00AE7B9E" w:rsidRDefault="00091385" w:rsidP="00091385">
      <w:pPr>
        <w:spacing w:before="1200"/>
        <w:ind w:left="1530" w:right="1448" w:firstLine="180"/>
        <w:jc w:val="center"/>
        <w:rPr>
          <w:rFonts w:ascii="Arial" w:eastAsia="Calibri" w:hAnsi="Arial" w:cs="Arial"/>
          <w:b/>
          <w:bCs/>
          <w:sz w:val="22"/>
          <w:szCs w:val="22"/>
          <w:lang w:val="en-GB" w:eastAsia="en-US"/>
        </w:rPr>
      </w:pPr>
      <w:bookmarkStart w:id="0" w:name="_Hlk70514086"/>
      <w:r w:rsidRPr="00AE7B9E">
        <w:rPr>
          <w:rFonts w:ascii="Arial" w:eastAsia="Calibri" w:hAnsi="Arial" w:cs="Arial"/>
          <w:b/>
          <w:bCs/>
          <w:sz w:val="22"/>
          <w:szCs w:val="22"/>
          <w:lang w:val="en-GB"/>
        </w:rPr>
        <w:t xml:space="preserve">Expert meeting in the framework of the reflection </w:t>
      </w:r>
      <w:r w:rsidR="003864E4" w:rsidRPr="00AE7B9E">
        <w:rPr>
          <w:rFonts w:ascii="Arial" w:eastAsia="Calibri" w:hAnsi="Arial" w:cs="Arial"/>
          <w:b/>
          <w:bCs/>
          <w:sz w:val="22"/>
          <w:szCs w:val="22"/>
          <w:lang w:val="en-GB"/>
        </w:rPr>
        <w:t>on</w:t>
      </w:r>
      <w:r w:rsidRPr="00AE7B9E">
        <w:rPr>
          <w:rFonts w:ascii="Arial" w:eastAsia="Calibri" w:hAnsi="Arial" w:cs="Arial"/>
          <w:b/>
          <w:bCs/>
          <w:sz w:val="22"/>
          <w:szCs w:val="22"/>
          <w:lang w:val="en-GB"/>
        </w:rPr>
        <w:t xml:space="preserve"> </w:t>
      </w:r>
      <w:r w:rsidR="003864E4" w:rsidRPr="00AE7B9E">
        <w:rPr>
          <w:rFonts w:ascii="Arial" w:eastAsia="Calibri" w:hAnsi="Arial" w:cs="Arial"/>
          <w:b/>
          <w:bCs/>
          <w:sz w:val="22"/>
          <w:szCs w:val="22"/>
          <w:lang w:val="en-GB"/>
        </w:rPr>
        <w:t>a</w:t>
      </w:r>
      <w:r w:rsidRPr="00AE7B9E">
        <w:rPr>
          <w:rFonts w:ascii="Arial" w:eastAsia="Calibri" w:hAnsi="Arial" w:cs="Arial"/>
          <w:b/>
          <w:bCs/>
          <w:sz w:val="22"/>
          <w:szCs w:val="22"/>
          <w:lang w:val="en-GB"/>
        </w:rPr>
        <w:t xml:space="preserve"> broader implementation of Article 18 of the 2003 Convention for the Safeguarding of the Intangible Cultural Heritage</w:t>
      </w:r>
    </w:p>
    <w:bookmarkEnd w:id="0"/>
    <w:p w14:paraId="1FD89575" w14:textId="4698CCE9" w:rsidR="00B2172B" w:rsidRPr="007772B8" w:rsidRDefault="00B9146E" w:rsidP="004E1760">
      <w:pPr>
        <w:spacing w:before="840"/>
        <w:jc w:val="center"/>
        <w:rPr>
          <w:rFonts w:ascii="Arial" w:hAnsi="Arial" w:cs="Arial"/>
          <w:b/>
          <w:sz w:val="22"/>
          <w:szCs w:val="22"/>
          <w:lang w:val="en-GB"/>
        </w:rPr>
      </w:pPr>
      <w:r w:rsidRPr="007772B8">
        <w:rPr>
          <w:rFonts w:ascii="Arial" w:hAnsi="Arial" w:cs="Arial"/>
          <w:b/>
          <w:sz w:val="22"/>
          <w:szCs w:val="22"/>
          <w:lang w:val="en-GB"/>
        </w:rPr>
        <w:t>Stockholm</w:t>
      </w:r>
      <w:r w:rsidR="00962034" w:rsidRPr="007772B8">
        <w:rPr>
          <w:rFonts w:ascii="Arial" w:hAnsi="Arial" w:cs="Arial"/>
          <w:b/>
          <w:sz w:val="22"/>
          <w:szCs w:val="22"/>
          <w:lang w:val="en-GB"/>
        </w:rPr>
        <w:t xml:space="preserve">, </w:t>
      </w:r>
      <w:r w:rsidRPr="007772B8">
        <w:rPr>
          <w:rFonts w:ascii="Arial" w:hAnsi="Arial" w:cs="Arial"/>
          <w:b/>
          <w:sz w:val="22"/>
          <w:szCs w:val="22"/>
          <w:lang w:val="en-GB"/>
        </w:rPr>
        <w:t>Sweden</w:t>
      </w:r>
    </w:p>
    <w:p w14:paraId="45E52760" w14:textId="2F260755" w:rsidR="001F4E62" w:rsidRPr="007772B8" w:rsidRDefault="00B9146E" w:rsidP="0031456C">
      <w:pPr>
        <w:spacing w:after="1200"/>
        <w:jc w:val="center"/>
        <w:rPr>
          <w:rFonts w:ascii="Arial" w:hAnsi="Arial" w:cs="Arial"/>
          <w:b/>
          <w:sz w:val="22"/>
          <w:szCs w:val="22"/>
          <w:lang w:val="en-GB"/>
        </w:rPr>
      </w:pPr>
      <w:r w:rsidRPr="007772B8">
        <w:rPr>
          <w:rFonts w:ascii="Arial" w:hAnsi="Arial" w:cs="Arial"/>
          <w:b/>
          <w:sz w:val="22"/>
          <w:szCs w:val="22"/>
          <w:lang w:val="en-GB"/>
        </w:rPr>
        <w:t>1</w:t>
      </w:r>
      <w:r w:rsidR="003C3534" w:rsidRPr="007772B8">
        <w:rPr>
          <w:rFonts w:ascii="Arial" w:hAnsi="Arial" w:cs="Arial"/>
          <w:b/>
          <w:sz w:val="22"/>
          <w:szCs w:val="22"/>
          <w:lang w:val="en-GB"/>
        </w:rPr>
        <w:t>9</w:t>
      </w:r>
      <w:r w:rsidR="0032344B" w:rsidRPr="007772B8">
        <w:rPr>
          <w:rFonts w:ascii="Arial" w:hAnsi="Arial" w:cs="Arial"/>
          <w:b/>
          <w:sz w:val="22"/>
          <w:szCs w:val="22"/>
          <w:lang w:val="en-GB"/>
        </w:rPr>
        <w:t xml:space="preserve"> to </w:t>
      </w:r>
      <w:r w:rsidRPr="007772B8">
        <w:rPr>
          <w:rFonts w:ascii="Arial" w:hAnsi="Arial" w:cs="Arial"/>
          <w:b/>
          <w:sz w:val="22"/>
          <w:szCs w:val="22"/>
          <w:lang w:val="en-GB"/>
        </w:rPr>
        <w:t>21 April</w:t>
      </w:r>
      <w:r w:rsidR="004E1760" w:rsidRPr="007772B8">
        <w:rPr>
          <w:rFonts w:ascii="Arial" w:hAnsi="Arial" w:cs="Arial"/>
          <w:b/>
          <w:sz w:val="22"/>
          <w:szCs w:val="22"/>
          <w:lang w:val="en-GB"/>
        </w:rPr>
        <w:t xml:space="preserve"> 202</w:t>
      </w:r>
      <w:r w:rsidR="00F56FA1" w:rsidRPr="007772B8">
        <w:rPr>
          <w:rFonts w:ascii="Arial" w:hAnsi="Arial" w:cs="Arial"/>
          <w:b/>
          <w:sz w:val="22"/>
          <w:szCs w:val="22"/>
          <w:lang w:val="en-GB"/>
        </w:rPr>
        <w:t>3</w:t>
      </w:r>
    </w:p>
    <w:p w14:paraId="59920478" w14:textId="0BDD63FF" w:rsidR="004A2875" w:rsidRPr="007772B8" w:rsidRDefault="0080202E" w:rsidP="0031456C">
      <w:pPr>
        <w:pStyle w:val="Sansinterligne2"/>
        <w:spacing w:after="1200"/>
        <w:jc w:val="center"/>
        <w:rPr>
          <w:rFonts w:ascii="Arial" w:hAnsi="Arial" w:cs="Arial"/>
          <w:b/>
          <w:sz w:val="22"/>
          <w:szCs w:val="22"/>
          <w:lang w:val="en-GB"/>
        </w:rPr>
      </w:pPr>
      <w:r w:rsidRPr="007772B8">
        <w:rPr>
          <w:rFonts w:ascii="Arial" w:hAnsi="Arial" w:cs="Arial"/>
          <w:b/>
          <w:sz w:val="22"/>
          <w:szCs w:val="22"/>
          <w:lang w:val="en-GB"/>
        </w:rPr>
        <w:t>Background and objectives</w:t>
      </w:r>
    </w:p>
    <w:p w14:paraId="713D819F" w14:textId="77777777" w:rsidR="004A2875" w:rsidRPr="007772B8" w:rsidRDefault="00655736" w:rsidP="00775390">
      <w:pPr>
        <w:pStyle w:val="ListParagraph"/>
        <w:keepLines/>
        <w:numPr>
          <w:ilvl w:val="0"/>
          <w:numId w:val="5"/>
        </w:numPr>
        <w:spacing w:after="240"/>
        <w:ind w:left="567" w:hanging="567"/>
        <w:contextualSpacing w:val="0"/>
        <w:rPr>
          <w:rFonts w:ascii="Arial" w:hAnsi="Arial" w:cs="Arial"/>
          <w:b/>
          <w:snapToGrid w:val="0"/>
          <w:sz w:val="22"/>
          <w:szCs w:val="22"/>
          <w:lang w:val="en-GB" w:eastAsia="en-US"/>
        </w:rPr>
      </w:pPr>
      <w:r w:rsidRPr="00AE7B9E">
        <w:rPr>
          <w:lang w:val="en-GB"/>
        </w:rPr>
        <w:br w:type="page"/>
      </w:r>
    </w:p>
    <w:p w14:paraId="6ADBEF46" w14:textId="2799D906" w:rsidR="00A15E6D" w:rsidRPr="007772B8" w:rsidRDefault="0080202E" w:rsidP="00AE7B9E">
      <w:pPr>
        <w:pStyle w:val="1GAPara"/>
        <w:numPr>
          <w:ilvl w:val="0"/>
          <w:numId w:val="0"/>
        </w:numPr>
        <w:spacing w:before="240"/>
        <w:rPr>
          <w:b/>
          <w:bCs/>
          <w:lang w:val="en-GB"/>
        </w:rPr>
      </w:pPr>
      <w:r w:rsidRPr="00AE7B9E">
        <w:rPr>
          <w:b/>
          <w:bCs/>
          <w:lang w:val="en-GB"/>
        </w:rPr>
        <w:lastRenderedPageBreak/>
        <w:t>Introduction</w:t>
      </w:r>
    </w:p>
    <w:p w14:paraId="6E973AB5" w14:textId="02222005" w:rsidR="00B82B6E" w:rsidRPr="00AE7B9E" w:rsidRDefault="00B82B6E" w:rsidP="00AE7B9E">
      <w:pPr>
        <w:pStyle w:val="1GAPara"/>
        <w:ind w:left="567" w:hanging="567"/>
        <w:rPr>
          <w:lang w:val="en-GB"/>
        </w:rPr>
      </w:pPr>
      <w:r w:rsidRPr="00AE7B9E">
        <w:rPr>
          <w:lang w:val="en-GB"/>
        </w:rPr>
        <w:t xml:space="preserve">The present document aims to provide background </w:t>
      </w:r>
      <w:r w:rsidR="00DA0BD4" w:rsidRPr="00AE7B9E">
        <w:rPr>
          <w:lang w:val="en-GB"/>
        </w:rPr>
        <w:t xml:space="preserve">information </w:t>
      </w:r>
      <w:r w:rsidR="008128CD" w:rsidRPr="00AE7B9E">
        <w:rPr>
          <w:lang w:val="en-GB"/>
        </w:rPr>
        <w:t>concerning</w:t>
      </w:r>
      <w:r w:rsidRPr="00AE7B9E">
        <w:rPr>
          <w:lang w:val="en-GB"/>
        </w:rPr>
        <w:t xml:space="preserve"> the Category VI meeting of experts (19 to 21 April 2023, Stockholm, Sweden), </w:t>
      </w:r>
      <w:r w:rsidR="008128CD" w:rsidRPr="00AE7B9E">
        <w:rPr>
          <w:lang w:val="en-GB"/>
        </w:rPr>
        <w:t>which has been</w:t>
      </w:r>
      <w:r w:rsidR="00DA0BD4" w:rsidRPr="00AE7B9E">
        <w:rPr>
          <w:lang w:val="en-GB"/>
        </w:rPr>
        <w:t xml:space="preserve"> </w:t>
      </w:r>
      <w:r w:rsidRPr="00AE7B9E">
        <w:rPr>
          <w:lang w:val="en-GB"/>
        </w:rPr>
        <w:t xml:space="preserve">convened to reflect </w:t>
      </w:r>
      <w:r w:rsidR="008128CD" w:rsidRPr="00AE7B9E">
        <w:rPr>
          <w:lang w:val="en-GB"/>
        </w:rPr>
        <w:t>on</w:t>
      </w:r>
      <w:r w:rsidRPr="00AE7B9E">
        <w:rPr>
          <w:lang w:val="en-GB"/>
        </w:rPr>
        <w:t xml:space="preserve"> a broader implementation of Article 18 of the 2003 Convention for the Safeguarding of the Intangible Cultural Herita</w:t>
      </w:r>
      <w:r w:rsidR="00C163C8" w:rsidRPr="00AE7B9E">
        <w:rPr>
          <w:lang w:val="en-GB"/>
        </w:rPr>
        <w:t>ge</w:t>
      </w:r>
      <w:r w:rsidRPr="00AE7B9E">
        <w:rPr>
          <w:lang w:val="en-GB"/>
        </w:rPr>
        <w:t>.</w:t>
      </w:r>
    </w:p>
    <w:p w14:paraId="4639D3D9" w14:textId="3E31E1E9" w:rsidR="00B82B6E" w:rsidRPr="00AE7B9E" w:rsidRDefault="00DA0BD4" w:rsidP="00AE7B9E">
      <w:pPr>
        <w:pStyle w:val="1GAPara"/>
        <w:numPr>
          <w:ilvl w:val="0"/>
          <w:numId w:val="0"/>
        </w:numPr>
        <w:spacing w:before="240"/>
        <w:rPr>
          <w:b/>
          <w:bCs/>
          <w:lang w:val="en-GB"/>
        </w:rPr>
      </w:pPr>
      <w:r w:rsidRPr="00AE7B9E">
        <w:rPr>
          <w:b/>
          <w:bCs/>
          <w:lang w:val="en-GB"/>
        </w:rPr>
        <w:t>The Register of Good Safeguarding Practices as part of the listing system</w:t>
      </w:r>
    </w:p>
    <w:p w14:paraId="412417EA" w14:textId="01C0383B" w:rsidR="002F2591" w:rsidRPr="00AE7B9E" w:rsidRDefault="002F2591" w:rsidP="00AE7B9E">
      <w:pPr>
        <w:pStyle w:val="1GAPara"/>
        <w:ind w:left="567" w:hanging="567"/>
        <w:rPr>
          <w:lang w:val="en-GB"/>
        </w:rPr>
      </w:pPr>
      <w:r w:rsidRPr="00AE7B9E">
        <w:rPr>
          <w:lang w:val="en-GB"/>
        </w:rPr>
        <w:t xml:space="preserve">The international listing system of the 2003 Convention is composed of three mechanisms: </w:t>
      </w:r>
    </w:p>
    <w:p w14:paraId="20B6366A" w14:textId="481062E0" w:rsidR="002F2591" w:rsidRPr="007772B8" w:rsidRDefault="002F2591" w:rsidP="00AE7B9E">
      <w:pPr>
        <w:pStyle w:val="COMPara"/>
        <w:numPr>
          <w:ilvl w:val="0"/>
          <w:numId w:val="11"/>
        </w:numPr>
        <w:ind w:left="1134" w:hanging="567"/>
        <w:jc w:val="both"/>
      </w:pPr>
      <w:r w:rsidRPr="007772B8">
        <w:t>The Representative List of the Intangible Cultural Heritage of Humanity (hereafter,</w:t>
      </w:r>
      <w:r w:rsidR="00DC27E2" w:rsidRPr="007772B8">
        <w:t> </w:t>
      </w:r>
      <w:r w:rsidRPr="007772B8">
        <w:t>‘</w:t>
      </w:r>
      <w:r w:rsidR="003F570E" w:rsidRPr="007772B8">
        <w:t xml:space="preserve">the </w:t>
      </w:r>
      <w:r w:rsidRPr="007772B8">
        <w:t>Representative List’);</w:t>
      </w:r>
    </w:p>
    <w:p w14:paraId="09524226" w14:textId="723320B4" w:rsidR="002F2591" w:rsidRPr="007772B8" w:rsidRDefault="002F2591" w:rsidP="00AE7B9E">
      <w:pPr>
        <w:pStyle w:val="COMPara"/>
        <w:numPr>
          <w:ilvl w:val="0"/>
          <w:numId w:val="11"/>
        </w:numPr>
        <w:ind w:left="1134" w:hanging="567"/>
        <w:jc w:val="both"/>
      </w:pPr>
      <w:r w:rsidRPr="007772B8">
        <w:t>The List of Intangible Cultural Heritage in Need of Urgent Safeguarding (hereafter,</w:t>
      </w:r>
      <w:r w:rsidR="008128CD" w:rsidRPr="007772B8">
        <w:t xml:space="preserve"> </w:t>
      </w:r>
      <w:r w:rsidRPr="007772B8">
        <w:t>‘</w:t>
      </w:r>
      <w:r w:rsidR="003F570E" w:rsidRPr="007772B8">
        <w:t xml:space="preserve">the </w:t>
      </w:r>
      <w:r w:rsidRPr="007772B8">
        <w:t>Urgent Safeguarding List’);</w:t>
      </w:r>
    </w:p>
    <w:p w14:paraId="33C063C7" w14:textId="49A60C1E" w:rsidR="002F2591" w:rsidRPr="007772B8" w:rsidRDefault="002F2591" w:rsidP="00AE7B9E">
      <w:pPr>
        <w:pStyle w:val="COMPara"/>
        <w:numPr>
          <w:ilvl w:val="0"/>
          <w:numId w:val="11"/>
        </w:numPr>
        <w:ind w:left="1134" w:hanging="567"/>
        <w:jc w:val="both"/>
      </w:pPr>
      <w:r w:rsidRPr="007772B8">
        <w:t>The Register of programmes, projects and activities that best reflect the principles and objectives of the Convention (hereafter,</w:t>
      </w:r>
      <w:r w:rsidR="00DC27E2" w:rsidRPr="007772B8">
        <w:t> </w:t>
      </w:r>
      <w:r w:rsidRPr="007772B8">
        <w:t>‘</w:t>
      </w:r>
      <w:r w:rsidR="003F570E" w:rsidRPr="007772B8">
        <w:t xml:space="preserve">the </w:t>
      </w:r>
      <w:r w:rsidRPr="007772B8">
        <w:t>Register of Good Safeguarding Practices’</w:t>
      </w:r>
      <w:r w:rsidR="00DA0BD4" w:rsidRPr="007772B8">
        <w:t xml:space="preserve"> or ‘</w:t>
      </w:r>
      <w:r w:rsidR="003F570E" w:rsidRPr="007772B8">
        <w:t xml:space="preserve">the </w:t>
      </w:r>
      <w:r w:rsidR="00DA0BD4" w:rsidRPr="007772B8">
        <w:t>Register’</w:t>
      </w:r>
      <w:r w:rsidRPr="007772B8">
        <w:t>).</w:t>
      </w:r>
    </w:p>
    <w:p w14:paraId="37ACF3CE" w14:textId="4751E143" w:rsidR="006903E6" w:rsidRPr="007772B8" w:rsidRDefault="00B82B6E" w:rsidP="00AE7B9E">
      <w:pPr>
        <w:pStyle w:val="1GAPara"/>
        <w:ind w:left="567" w:hanging="567"/>
        <w:rPr>
          <w:lang w:val="en-GB"/>
        </w:rPr>
      </w:pPr>
      <w:r w:rsidRPr="00AE7B9E">
        <w:rPr>
          <w:lang w:val="en-GB"/>
        </w:rPr>
        <w:t xml:space="preserve">The </w:t>
      </w:r>
      <w:r w:rsidR="00DA0BD4" w:rsidRPr="00AE7B9E">
        <w:rPr>
          <w:lang w:val="en-GB"/>
        </w:rPr>
        <w:t xml:space="preserve">two </w:t>
      </w:r>
      <w:r w:rsidRPr="00AE7B9E">
        <w:rPr>
          <w:lang w:val="en-GB"/>
        </w:rPr>
        <w:t>Lists and</w:t>
      </w:r>
      <w:r w:rsidR="00DA0BD4" w:rsidRPr="00AE7B9E">
        <w:rPr>
          <w:lang w:val="en-GB"/>
        </w:rPr>
        <w:t xml:space="preserve"> the</w:t>
      </w:r>
      <w:r w:rsidRPr="00AE7B9E">
        <w:rPr>
          <w:lang w:val="en-GB"/>
        </w:rPr>
        <w:t xml:space="preserve"> Register </w:t>
      </w:r>
      <w:r w:rsidR="00DA0BD4" w:rsidRPr="00AE7B9E">
        <w:rPr>
          <w:lang w:val="en-GB"/>
        </w:rPr>
        <w:t xml:space="preserve">all </w:t>
      </w:r>
      <w:r w:rsidRPr="00AE7B9E">
        <w:rPr>
          <w:lang w:val="en-GB"/>
        </w:rPr>
        <w:t>ha</w:t>
      </w:r>
      <w:r w:rsidR="00DA0BD4" w:rsidRPr="00AE7B9E">
        <w:rPr>
          <w:lang w:val="en-GB"/>
        </w:rPr>
        <w:t>ve</w:t>
      </w:r>
      <w:r w:rsidRPr="00AE7B9E">
        <w:rPr>
          <w:lang w:val="en-GB"/>
        </w:rPr>
        <w:t xml:space="preserve"> distinct but </w:t>
      </w:r>
      <w:r w:rsidR="00DA0BD4" w:rsidRPr="00AE7B9E">
        <w:rPr>
          <w:lang w:val="en-GB"/>
        </w:rPr>
        <w:t xml:space="preserve">largely </w:t>
      </w:r>
      <w:r w:rsidRPr="00AE7B9E">
        <w:rPr>
          <w:lang w:val="en-GB"/>
        </w:rPr>
        <w:t xml:space="preserve">complementary objectives, as set out </w:t>
      </w:r>
      <w:r w:rsidR="00DA0BD4" w:rsidRPr="00AE7B9E">
        <w:rPr>
          <w:lang w:val="en-GB"/>
        </w:rPr>
        <w:t xml:space="preserve">in </w:t>
      </w:r>
      <w:r w:rsidRPr="00AE7B9E">
        <w:rPr>
          <w:lang w:val="en-GB"/>
        </w:rPr>
        <w:t>Articles 16, 17 and 18 of the Convention, respectively, and as further elaborated in the Operational Directives.</w:t>
      </w:r>
      <w:r w:rsidR="00DE70F9" w:rsidRPr="007772B8">
        <w:rPr>
          <w:lang w:val="en-GB"/>
        </w:rPr>
        <w:t xml:space="preserve"> </w:t>
      </w:r>
      <w:r w:rsidR="00DA0BD4" w:rsidRPr="007772B8">
        <w:rPr>
          <w:lang w:val="en-GB"/>
        </w:rPr>
        <w:t>The Register of Good (formerly: Best) Safeguarding Practices, which is based on Article 18, is not mentioned in that article as such. It was created by the governing bodies of the 2003 Convention when they sought to find a practical solution for the implementation of Article 18 during the preparation of the first set of Operational Dire</w:t>
      </w:r>
      <w:r w:rsidR="008128CD" w:rsidRPr="007772B8">
        <w:rPr>
          <w:lang w:val="en-GB"/>
        </w:rPr>
        <w:t>c</w:t>
      </w:r>
      <w:r w:rsidR="00DA0BD4" w:rsidRPr="007772B8">
        <w:rPr>
          <w:lang w:val="en-GB"/>
        </w:rPr>
        <w:t>tives</w:t>
      </w:r>
      <w:r w:rsidR="00CC31EC" w:rsidRPr="007772B8">
        <w:rPr>
          <w:lang w:val="en-GB"/>
        </w:rPr>
        <w:t>.</w:t>
      </w:r>
    </w:p>
    <w:p w14:paraId="17B1CEAF" w14:textId="6784FF58" w:rsidR="00C457E9" w:rsidRPr="007772B8" w:rsidRDefault="00C457E9" w:rsidP="00AE7B9E">
      <w:pPr>
        <w:pStyle w:val="1GAPara"/>
        <w:numPr>
          <w:ilvl w:val="0"/>
          <w:numId w:val="0"/>
        </w:numPr>
        <w:pBdr>
          <w:top w:val="single" w:sz="4" w:space="1" w:color="auto"/>
          <w:left w:val="single" w:sz="4" w:space="4" w:color="auto"/>
          <w:bottom w:val="single" w:sz="4" w:space="1" w:color="auto"/>
          <w:right w:val="single" w:sz="4" w:space="4" w:color="auto"/>
        </w:pBdr>
        <w:shd w:val="clear" w:color="auto" w:fill="DAEEF3" w:themeFill="accent5" w:themeFillTint="33"/>
        <w:ind w:left="1134" w:hanging="425"/>
        <w:rPr>
          <w:u w:val="single"/>
          <w:lang w:val="en-GB"/>
        </w:rPr>
      </w:pPr>
      <w:r w:rsidRPr="007772B8">
        <w:rPr>
          <w:u w:val="single"/>
          <w:lang w:val="en-GB"/>
        </w:rPr>
        <w:t>Article 18</w:t>
      </w:r>
    </w:p>
    <w:p w14:paraId="29712B7A" w14:textId="645AD9EE" w:rsidR="003E62B9" w:rsidRPr="007772B8" w:rsidRDefault="003E62B9" w:rsidP="00AE7B9E">
      <w:pPr>
        <w:pStyle w:val="1GAPara"/>
        <w:numPr>
          <w:ilvl w:val="0"/>
          <w:numId w:val="12"/>
        </w:numPr>
        <w:pBdr>
          <w:top w:val="single" w:sz="4" w:space="1" w:color="auto"/>
          <w:left w:val="single" w:sz="4" w:space="4" w:color="auto"/>
          <w:bottom w:val="single" w:sz="4" w:space="1" w:color="auto"/>
          <w:right w:val="single" w:sz="4" w:space="4" w:color="auto"/>
        </w:pBdr>
        <w:shd w:val="clear" w:color="auto" w:fill="DAEEF3" w:themeFill="accent5" w:themeFillTint="33"/>
        <w:ind w:left="1134" w:hanging="425"/>
        <w:rPr>
          <w:lang w:val="en-GB"/>
        </w:rPr>
      </w:pPr>
      <w:r w:rsidRPr="007772B8">
        <w:rPr>
          <w:lang w:val="en-GB"/>
        </w:rPr>
        <w:t>On the basis of proposals submitted by States Parties, and in accordance with criteria to be defined by the Committee and approved by the General Assembly, the Committee shall periodically select and promote national, subregional and regional programmes, projects and activities for the safeguarding of the heritage which it considers best reflect</w:t>
      </w:r>
      <w:r w:rsidR="008128CD" w:rsidRPr="007772B8">
        <w:rPr>
          <w:lang w:val="en-GB"/>
        </w:rPr>
        <w:t>s</w:t>
      </w:r>
      <w:r w:rsidRPr="007772B8">
        <w:rPr>
          <w:lang w:val="en-GB"/>
        </w:rPr>
        <w:t xml:space="preserve"> the principles and objectives of this Convention, taking into account the special needs of developing countries.</w:t>
      </w:r>
    </w:p>
    <w:p w14:paraId="20DB03E9" w14:textId="455B4BD2" w:rsidR="003E62B9" w:rsidRPr="007772B8" w:rsidRDefault="003E62B9" w:rsidP="00AE7B9E">
      <w:pPr>
        <w:pStyle w:val="1GAPara"/>
        <w:numPr>
          <w:ilvl w:val="0"/>
          <w:numId w:val="12"/>
        </w:numPr>
        <w:pBdr>
          <w:top w:val="single" w:sz="4" w:space="1" w:color="auto"/>
          <w:left w:val="single" w:sz="4" w:space="4" w:color="auto"/>
          <w:bottom w:val="single" w:sz="4" w:space="1" w:color="auto"/>
          <w:right w:val="single" w:sz="4" w:space="4" w:color="auto"/>
        </w:pBdr>
        <w:shd w:val="clear" w:color="auto" w:fill="DAEEF3" w:themeFill="accent5" w:themeFillTint="33"/>
        <w:ind w:left="1134" w:hanging="425"/>
        <w:rPr>
          <w:lang w:val="en-GB"/>
        </w:rPr>
      </w:pPr>
      <w:r w:rsidRPr="007772B8">
        <w:rPr>
          <w:lang w:val="en-GB"/>
        </w:rPr>
        <w:t xml:space="preserve">To this end, it shall receive, examine and approve requests for </w:t>
      </w:r>
      <w:r w:rsidR="008128CD" w:rsidRPr="007772B8">
        <w:rPr>
          <w:lang w:val="en-GB"/>
        </w:rPr>
        <w:t>I</w:t>
      </w:r>
      <w:r w:rsidRPr="007772B8">
        <w:rPr>
          <w:lang w:val="en-GB"/>
        </w:rPr>
        <w:t xml:space="preserve">nternational </w:t>
      </w:r>
      <w:r w:rsidR="008128CD" w:rsidRPr="007772B8">
        <w:rPr>
          <w:lang w:val="en-GB"/>
        </w:rPr>
        <w:t xml:space="preserve">Assistance </w:t>
      </w:r>
      <w:r w:rsidRPr="007772B8">
        <w:rPr>
          <w:lang w:val="en-GB"/>
        </w:rPr>
        <w:t>from States Parties for the preparation of such proposals.</w:t>
      </w:r>
    </w:p>
    <w:p w14:paraId="75C7115A" w14:textId="51CCEF1B" w:rsidR="003E62B9" w:rsidRPr="007772B8" w:rsidRDefault="003E62B9" w:rsidP="00AE7B9E">
      <w:pPr>
        <w:pStyle w:val="1GAPara"/>
        <w:numPr>
          <w:ilvl w:val="0"/>
          <w:numId w:val="12"/>
        </w:numPr>
        <w:pBdr>
          <w:top w:val="single" w:sz="4" w:space="1" w:color="auto"/>
          <w:left w:val="single" w:sz="4" w:space="4" w:color="auto"/>
          <w:bottom w:val="single" w:sz="4" w:space="1" w:color="auto"/>
          <w:right w:val="single" w:sz="4" w:space="4" w:color="auto"/>
        </w:pBdr>
        <w:shd w:val="clear" w:color="auto" w:fill="DAEEF3" w:themeFill="accent5" w:themeFillTint="33"/>
        <w:ind w:left="1134" w:hanging="425"/>
        <w:rPr>
          <w:lang w:val="en-GB"/>
        </w:rPr>
      </w:pPr>
      <w:r w:rsidRPr="007772B8">
        <w:rPr>
          <w:lang w:val="en-GB"/>
        </w:rPr>
        <w:t>The Committee shall accompany the implementation of such projects, programmes and activities by disseminating best practices using means to be determined by it.</w:t>
      </w:r>
    </w:p>
    <w:p w14:paraId="1502B26D" w14:textId="29AFB89C" w:rsidR="006903E6" w:rsidRPr="00AE7B9E" w:rsidRDefault="006903E6" w:rsidP="00AE7B9E">
      <w:pPr>
        <w:pStyle w:val="1GAPara"/>
        <w:ind w:left="567" w:hanging="567"/>
        <w:rPr>
          <w:lang w:val="en-GB"/>
        </w:rPr>
      </w:pPr>
      <w:r w:rsidRPr="00AE7B9E">
        <w:rPr>
          <w:lang w:val="en-GB"/>
        </w:rPr>
        <w:t xml:space="preserve">The idea </w:t>
      </w:r>
      <w:r w:rsidR="008128CD" w:rsidRPr="00AE7B9E">
        <w:rPr>
          <w:lang w:val="en-GB"/>
        </w:rPr>
        <w:t>of</w:t>
      </w:r>
      <w:r w:rsidRPr="00AE7B9E">
        <w:rPr>
          <w:lang w:val="en-GB"/>
        </w:rPr>
        <w:t xml:space="preserve"> includ</w:t>
      </w:r>
      <w:r w:rsidR="008128CD" w:rsidRPr="00AE7B9E">
        <w:rPr>
          <w:lang w:val="en-GB"/>
        </w:rPr>
        <w:t>ing</w:t>
      </w:r>
      <w:r w:rsidRPr="00AE7B9E">
        <w:rPr>
          <w:lang w:val="en-GB"/>
        </w:rPr>
        <w:t xml:space="preserve"> the notion of ‘best practices’ in the future normative instrument appeared early </w:t>
      </w:r>
      <w:r w:rsidR="00935E00" w:rsidRPr="00AE7B9E">
        <w:rPr>
          <w:lang w:val="en-GB"/>
        </w:rPr>
        <w:t xml:space="preserve">on in </w:t>
      </w:r>
      <w:r w:rsidRPr="00AE7B9E">
        <w:rPr>
          <w:lang w:val="en-GB"/>
        </w:rPr>
        <w:t xml:space="preserve">the preparation of the Convention. It was </w:t>
      </w:r>
      <w:r w:rsidR="008128CD" w:rsidRPr="00AE7B9E">
        <w:rPr>
          <w:lang w:val="en-GB"/>
        </w:rPr>
        <w:t xml:space="preserve">in fact </w:t>
      </w:r>
      <w:r w:rsidRPr="00AE7B9E">
        <w:rPr>
          <w:lang w:val="en-GB"/>
        </w:rPr>
        <w:t>discussed in March 2002 during the second meeting of experts that UNESCO organized to prepare the drafting process of the Convention (Rio de Janeiro, Brazil, January 2002). The 2003 Convention was to be based specifically on the experience gained through the programme for the Proclamation of the Masterpieces of the Oral and Intangible Heritage of Humanity and on ‘best practices for safeguarding and protecting intangible cultural heritage’</w:t>
      </w:r>
      <w:r w:rsidRPr="007772B8">
        <w:rPr>
          <w:rStyle w:val="FootnoteReference"/>
          <w:lang w:val="en-GB"/>
        </w:rPr>
        <w:footnoteReference w:id="1"/>
      </w:r>
      <w:r w:rsidRPr="00AE7B9E">
        <w:rPr>
          <w:lang w:val="en-GB"/>
        </w:rPr>
        <w:t xml:space="preserve">. While the wording evolved </w:t>
      </w:r>
      <w:r w:rsidR="008128CD" w:rsidRPr="00AE7B9E">
        <w:rPr>
          <w:lang w:val="en-GB"/>
        </w:rPr>
        <w:t xml:space="preserve">during </w:t>
      </w:r>
      <w:r w:rsidRPr="00AE7B9E">
        <w:rPr>
          <w:lang w:val="en-GB"/>
        </w:rPr>
        <w:t>the different stages of the preparation of the Convention, the general understanding survived, and surfaced in the form of a Register of Good Safeguarding Practices when the second session of the General Assembly in 2008 approved the first of Operational Directives of the Convention.</w:t>
      </w:r>
    </w:p>
    <w:p w14:paraId="6E397AAB" w14:textId="47DB9729" w:rsidR="006903E6" w:rsidRPr="00AE7B9E" w:rsidRDefault="006903E6" w:rsidP="00AE7B9E">
      <w:pPr>
        <w:pStyle w:val="1GAPara"/>
        <w:ind w:left="567" w:hanging="567"/>
        <w:rPr>
          <w:lang w:val="en-GB"/>
        </w:rPr>
      </w:pPr>
      <w:r w:rsidRPr="00AE7B9E">
        <w:rPr>
          <w:lang w:val="en-GB"/>
        </w:rPr>
        <w:t xml:space="preserve">The Register became operational in 2009. </w:t>
      </w:r>
      <w:r w:rsidR="004E5238" w:rsidRPr="00AE7B9E">
        <w:rPr>
          <w:lang w:val="en-GB"/>
        </w:rPr>
        <w:t>In the Operational Directives, t</w:t>
      </w:r>
      <w:r w:rsidRPr="00AE7B9E">
        <w:rPr>
          <w:lang w:val="en-GB"/>
        </w:rPr>
        <w:t xml:space="preserve">he functioning of the Register </w:t>
      </w:r>
      <w:r w:rsidR="00DE70F9" w:rsidRPr="00AE7B9E">
        <w:rPr>
          <w:lang w:val="en-GB"/>
        </w:rPr>
        <w:t xml:space="preserve">was </w:t>
      </w:r>
      <w:r w:rsidRPr="00AE7B9E">
        <w:rPr>
          <w:lang w:val="en-GB"/>
        </w:rPr>
        <w:t xml:space="preserve">specified in paragraphs 42 to 46 </w:t>
      </w:r>
      <w:r w:rsidR="004E5238" w:rsidRPr="00AE7B9E">
        <w:rPr>
          <w:lang w:val="en-GB"/>
        </w:rPr>
        <w:t>and n</w:t>
      </w:r>
      <w:r w:rsidRPr="00AE7B9E">
        <w:rPr>
          <w:lang w:val="en-GB"/>
        </w:rPr>
        <w:t xml:space="preserve">ine </w:t>
      </w:r>
      <w:r w:rsidR="00AE7B9E">
        <w:rPr>
          <w:lang w:val="en-GB"/>
        </w:rPr>
        <w:t>s</w:t>
      </w:r>
      <w:r w:rsidRPr="00AE7B9E">
        <w:rPr>
          <w:lang w:val="en-GB"/>
        </w:rPr>
        <w:t xml:space="preserve">election criteria were developed </w:t>
      </w:r>
      <w:r w:rsidR="004E5238" w:rsidRPr="00AE7B9E">
        <w:rPr>
          <w:lang w:val="en-GB"/>
        </w:rPr>
        <w:t xml:space="preserve">in </w:t>
      </w:r>
      <w:r w:rsidR="00DE70F9" w:rsidRPr="00AE7B9E">
        <w:rPr>
          <w:lang w:val="en-GB"/>
        </w:rPr>
        <w:t>paragraph 7</w:t>
      </w:r>
      <w:r w:rsidRPr="00AE7B9E">
        <w:rPr>
          <w:lang w:val="en-GB"/>
        </w:rPr>
        <w:t xml:space="preserve"> – which determined the structure of Form ICH-03</w:t>
      </w:r>
      <w:r w:rsidR="008128CD" w:rsidRPr="00AE7B9E">
        <w:rPr>
          <w:lang w:val="en-GB"/>
        </w:rPr>
        <w:t>,</w:t>
      </w:r>
      <w:r w:rsidRPr="00AE7B9E">
        <w:rPr>
          <w:lang w:val="en-GB"/>
        </w:rPr>
        <w:t xml:space="preserve"> to be used </w:t>
      </w:r>
      <w:r w:rsidR="008128CD" w:rsidRPr="00AE7B9E">
        <w:rPr>
          <w:lang w:val="en-GB"/>
        </w:rPr>
        <w:t xml:space="preserve">for </w:t>
      </w:r>
      <w:r w:rsidRPr="00AE7B9E">
        <w:rPr>
          <w:lang w:val="en-GB"/>
        </w:rPr>
        <w:t>submit</w:t>
      </w:r>
      <w:r w:rsidR="008128CD" w:rsidRPr="00AE7B9E">
        <w:rPr>
          <w:lang w:val="en-GB"/>
        </w:rPr>
        <w:t>ting</w:t>
      </w:r>
      <w:r w:rsidRPr="00AE7B9E">
        <w:rPr>
          <w:lang w:val="en-GB"/>
        </w:rPr>
        <w:t xml:space="preserve"> nomination</w:t>
      </w:r>
      <w:r w:rsidR="008128CD" w:rsidRPr="00AE7B9E">
        <w:rPr>
          <w:lang w:val="en-GB"/>
        </w:rPr>
        <w:t>s</w:t>
      </w:r>
      <w:r w:rsidRPr="00AE7B9E">
        <w:rPr>
          <w:lang w:val="en-GB"/>
        </w:rPr>
        <w:t xml:space="preserve"> of programmes, projects and activities for selection as best practices.</w:t>
      </w:r>
    </w:p>
    <w:p w14:paraId="1B527BC6" w14:textId="1D945274" w:rsidR="005C578F" w:rsidRPr="00AE7B9E" w:rsidRDefault="00DC27E2" w:rsidP="00AE7B9E">
      <w:pPr>
        <w:pStyle w:val="1GAPara"/>
        <w:ind w:left="567" w:hanging="567"/>
        <w:rPr>
          <w:lang w:val="en-GB"/>
        </w:rPr>
      </w:pPr>
      <w:r w:rsidRPr="007772B8">
        <w:rPr>
          <w:lang w:val="en-GB"/>
        </w:rPr>
        <w:lastRenderedPageBreak/>
        <w:t xml:space="preserve">While it </w:t>
      </w:r>
      <w:r w:rsidR="005C578F" w:rsidRPr="007772B8">
        <w:rPr>
          <w:lang w:val="en-GB"/>
        </w:rPr>
        <w:t xml:space="preserve">was </w:t>
      </w:r>
      <w:r w:rsidRPr="007772B8">
        <w:rPr>
          <w:lang w:val="en-GB"/>
        </w:rPr>
        <w:t>innovative for a normative instrument to include a listing mechanism for sharing good practices, the Register has been underutilized</w:t>
      </w:r>
      <w:r w:rsidR="005C578F" w:rsidRPr="007772B8">
        <w:rPr>
          <w:lang w:val="en-GB"/>
        </w:rPr>
        <w:t xml:space="preserve"> </w:t>
      </w:r>
      <w:r w:rsidRPr="007772B8">
        <w:rPr>
          <w:lang w:val="en-GB"/>
        </w:rPr>
        <w:t xml:space="preserve">compared to the other two </w:t>
      </w:r>
      <w:r w:rsidR="005C578F" w:rsidRPr="007772B8">
        <w:rPr>
          <w:lang w:val="en-GB"/>
        </w:rPr>
        <w:t xml:space="preserve">listing mechanisms </w:t>
      </w:r>
      <w:r w:rsidRPr="007772B8">
        <w:rPr>
          <w:lang w:val="en-GB"/>
        </w:rPr>
        <w:t>of the Convention</w:t>
      </w:r>
      <w:r w:rsidR="001C2296" w:rsidRPr="007772B8">
        <w:rPr>
          <w:lang w:val="en-GB"/>
        </w:rPr>
        <w:t>.</w:t>
      </w:r>
      <w:r w:rsidR="004E5238" w:rsidRPr="00AE7B9E">
        <w:rPr>
          <w:lang w:val="en-GB"/>
        </w:rPr>
        <w:t xml:space="preserve"> </w:t>
      </w:r>
      <w:r w:rsidR="005C578F" w:rsidRPr="00AE7B9E">
        <w:rPr>
          <w:lang w:val="en-GB"/>
        </w:rPr>
        <w:t>The Committee has so far inscribed a total of 676 living heritage elements, practi</w:t>
      </w:r>
      <w:r w:rsidR="008128CD" w:rsidRPr="00AE7B9E">
        <w:rPr>
          <w:lang w:val="en-GB"/>
        </w:rPr>
        <w:t>s</w:t>
      </w:r>
      <w:r w:rsidR="005C578F" w:rsidRPr="00AE7B9E">
        <w:rPr>
          <w:lang w:val="en-GB"/>
        </w:rPr>
        <w:t xml:space="preserve">ed in 140 countries. The Representative List is the most used mechanism, containing 567 elements (corresponding to 136 States Parties), while 76 elements are included in the Urgent Safeguarding List (corresponding to 40 States). Only </w:t>
      </w:r>
      <w:r w:rsidR="008128CD" w:rsidRPr="00AE7B9E">
        <w:rPr>
          <w:lang w:val="en-GB"/>
        </w:rPr>
        <w:t>thirty-three</w:t>
      </w:r>
      <w:r w:rsidR="005C578F" w:rsidRPr="00AE7B9E">
        <w:rPr>
          <w:lang w:val="en-GB"/>
        </w:rPr>
        <w:t xml:space="preserve"> good practices (corresponding to </w:t>
      </w:r>
      <w:r w:rsidR="008128CD" w:rsidRPr="00AE7B9E">
        <w:rPr>
          <w:lang w:val="en-GB"/>
        </w:rPr>
        <w:t>thirty-one</w:t>
      </w:r>
      <w:r w:rsidR="005C578F" w:rsidRPr="00AE7B9E">
        <w:rPr>
          <w:lang w:val="en-GB"/>
        </w:rPr>
        <w:t xml:space="preserve"> States) are so far included in the Register. Full information on each of the inscribed elements and selected good practices can be accessed through the webpage of the 2003 Convention</w:t>
      </w:r>
      <w:r w:rsidR="008128CD" w:rsidRPr="00AE7B9E">
        <w:rPr>
          <w:lang w:val="en-GB"/>
        </w:rPr>
        <w:t>,</w:t>
      </w:r>
      <w:r w:rsidR="005C578F" w:rsidRPr="00AE7B9E">
        <w:rPr>
          <w:lang w:val="en-GB"/>
        </w:rPr>
        <w:t xml:space="preserve"> </w:t>
      </w:r>
      <w:r w:rsidR="008128CD" w:rsidRPr="00AE7B9E">
        <w:rPr>
          <w:lang w:val="en-GB"/>
        </w:rPr>
        <w:t xml:space="preserve">which provides </w:t>
      </w:r>
      <w:r w:rsidR="005C578F" w:rsidRPr="00AE7B9E">
        <w:rPr>
          <w:lang w:val="en-GB"/>
        </w:rPr>
        <w:t>inform</w:t>
      </w:r>
      <w:r w:rsidR="008128CD" w:rsidRPr="00AE7B9E">
        <w:rPr>
          <w:lang w:val="en-GB"/>
        </w:rPr>
        <w:t>ation</w:t>
      </w:r>
      <w:r w:rsidR="005C578F" w:rsidRPr="00AE7B9E">
        <w:rPr>
          <w:lang w:val="en-GB"/>
        </w:rPr>
        <w:t xml:space="preserve"> about the listing mechanisms: </w:t>
      </w:r>
      <w:hyperlink r:id="rId8" w:history="1">
        <w:r w:rsidR="005C578F" w:rsidRPr="00AE7B9E">
          <w:rPr>
            <w:rStyle w:val="Hyperlink"/>
            <w:lang w:val="en-GB"/>
          </w:rPr>
          <w:t>https://ich.unesco.org/en/lists</w:t>
        </w:r>
      </w:hyperlink>
      <w:r w:rsidR="005C578F" w:rsidRPr="00AE7B9E">
        <w:rPr>
          <w:lang w:val="en-GB"/>
        </w:rPr>
        <w:t xml:space="preserve">. </w:t>
      </w:r>
    </w:p>
    <w:p w14:paraId="5755576A" w14:textId="3FB95629" w:rsidR="000E6FC5" w:rsidRPr="00AE7B9E" w:rsidRDefault="000E6FC5" w:rsidP="00AE7B9E">
      <w:pPr>
        <w:pStyle w:val="1GAPara"/>
        <w:numPr>
          <w:ilvl w:val="0"/>
          <w:numId w:val="0"/>
        </w:numPr>
        <w:spacing w:before="240"/>
        <w:rPr>
          <w:b/>
          <w:bCs/>
          <w:lang w:val="en-GB"/>
        </w:rPr>
      </w:pPr>
      <w:r w:rsidRPr="00AE7B9E">
        <w:rPr>
          <w:b/>
          <w:bCs/>
          <w:lang w:val="en-GB"/>
        </w:rPr>
        <w:t>Earlier attempt</w:t>
      </w:r>
      <w:r w:rsidR="00717372" w:rsidRPr="00AE7B9E">
        <w:rPr>
          <w:b/>
          <w:bCs/>
          <w:lang w:val="en-GB"/>
        </w:rPr>
        <w:t>: Alternate and lighter ways to share good safeguarding practices</w:t>
      </w:r>
    </w:p>
    <w:p w14:paraId="53464E84" w14:textId="13713043" w:rsidR="00613A1A" w:rsidRPr="007772B8" w:rsidRDefault="00D509EB" w:rsidP="00AE7B9E">
      <w:pPr>
        <w:pStyle w:val="1GAPara"/>
        <w:ind w:left="567" w:hanging="567"/>
        <w:rPr>
          <w:lang w:val="en-GB"/>
        </w:rPr>
      </w:pPr>
      <w:r w:rsidRPr="007772B8">
        <w:rPr>
          <w:lang w:val="en-GB"/>
        </w:rPr>
        <w:t xml:space="preserve">When it was understood that the Register of Good Safeguarding Practices </w:t>
      </w:r>
      <w:r w:rsidR="008128CD" w:rsidRPr="007772B8">
        <w:rPr>
          <w:lang w:val="en-GB"/>
        </w:rPr>
        <w:t xml:space="preserve">was </w:t>
      </w:r>
      <w:r w:rsidRPr="007772B8">
        <w:rPr>
          <w:lang w:val="en-GB"/>
        </w:rPr>
        <w:t>not function</w:t>
      </w:r>
      <w:r w:rsidR="008128CD" w:rsidRPr="007772B8">
        <w:rPr>
          <w:lang w:val="en-GB"/>
        </w:rPr>
        <w:t>ing</w:t>
      </w:r>
      <w:r w:rsidRPr="007772B8">
        <w:rPr>
          <w:lang w:val="en-GB"/>
        </w:rPr>
        <w:t xml:space="preserve"> as expected, an </w:t>
      </w:r>
      <w:r w:rsidR="002B4E0A" w:rsidRPr="007772B8">
        <w:rPr>
          <w:lang w:val="en-GB"/>
        </w:rPr>
        <w:t xml:space="preserve">attempt </w:t>
      </w:r>
      <w:r w:rsidRPr="007772B8">
        <w:rPr>
          <w:lang w:val="en-GB"/>
        </w:rPr>
        <w:t xml:space="preserve">was made </w:t>
      </w:r>
      <w:r w:rsidR="002B4E0A" w:rsidRPr="007772B8">
        <w:rPr>
          <w:lang w:val="en-GB"/>
        </w:rPr>
        <w:t>to seek ‘alternate and lighter ways’ to share good safeguarding practices</w:t>
      </w:r>
      <w:r w:rsidRPr="007772B8">
        <w:rPr>
          <w:lang w:val="en-GB"/>
        </w:rPr>
        <w:t>,</w:t>
      </w:r>
      <w:r w:rsidR="002B4E0A" w:rsidRPr="007772B8">
        <w:rPr>
          <w:lang w:val="en-GB"/>
        </w:rPr>
        <w:t xml:space="preserve"> to complement the Register. </w:t>
      </w:r>
      <w:r w:rsidR="00717372" w:rsidRPr="007772B8">
        <w:rPr>
          <w:lang w:val="en-GB"/>
        </w:rPr>
        <w:t xml:space="preserve">Following the requests by the Committee at </w:t>
      </w:r>
      <w:r w:rsidRPr="007772B8">
        <w:rPr>
          <w:lang w:val="en-GB"/>
        </w:rPr>
        <w:t>its</w:t>
      </w:r>
      <w:r w:rsidR="00717372" w:rsidRPr="007772B8">
        <w:rPr>
          <w:lang w:val="en-GB"/>
        </w:rPr>
        <w:t xml:space="preserve"> eighth (Decision </w:t>
      </w:r>
      <w:hyperlink r:id="rId9" w:history="1">
        <w:r w:rsidR="00717372" w:rsidRPr="007772B8">
          <w:rPr>
            <w:rStyle w:val="Hyperlink"/>
            <w:rFonts w:asciiTheme="minorBidi" w:hAnsiTheme="minorBidi" w:cstheme="minorBidi"/>
            <w:lang w:val="en-GB"/>
          </w:rPr>
          <w:t>8.COM 5.c.1</w:t>
        </w:r>
      </w:hyperlink>
      <w:r w:rsidR="00717372" w:rsidRPr="007772B8">
        <w:rPr>
          <w:lang w:val="en-GB"/>
        </w:rPr>
        <w:t xml:space="preserve">, paragraph 5), ninth (Decision </w:t>
      </w:r>
      <w:hyperlink r:id="rId10" w:history="1">
        <w:r w:rsidR="00717372" w:rsidRPr="007772B8">
          <w:rPr>
            <w:rStyle w:val="Hyperlink"/>
            <w:rFonts w:asciiTheme="minorBidi" w:hAnsiTheme="minorBidi" w:cstheme="minorBidi"/>
            <w:lang w:val="en-GB"/>
          </w:rPr>
          <w:t>9.COM 9.b</w:t>
        </w:r>
      </w:hyperlink>
      <w:r w:rsidR="00717372" w:rsidRPr="007772B8">
        <w:rPr>
          <w:lang w:val="en-GB"/>
        </w:rPr>
        <w:t xml:space="preserve">) and tenth (Decision </w:t>
      </w:r>
      <w:hyperlink r:id="rId11" w:history="1">
        <w:r w:rsidR="00717372" w:rsidRPr="007772B8">
          <w:rPr>
            <w:rStyle w:val="Hyperlink"/>
            <w:rFonts w:asciiTheme="minorBidi" w:hAnsiTheme="minorBidi" w:cstheme="minorBidi"/>
            <w:lang w:val="en-GB"/>
          </w:rPr>
          <w:t>10.COM 10</w:t>
        </w:r>
      </w:hyperlink>
      <w:r w:rsidR="00717372" w:rsidRPr="007772B8">
        <w:rPr>
          <w:lang w:val="en-GB"/>
        </w:rPr>
        <w:t>, paragraph 10) sessions</w:t>
      </w:r>
      <w:r w:rsidR="00A737FC" w:rsidRPr="007772B8">
        <w:rPr>
          <w:lang w:val="en-GB"/>
        </w:rPr>
        <w:t>,</w:t>
      </w:r>
      <w:r w:rsidR="006B63EC" w:rsidRPr="007772B8">
        <w:rPr>
          <w:lang w:val="en-GB"/>
        </w:rPr>
        <w:t xml:space="preserve"> </w:t>
      </w:r>
      <w:r w:rsidR="00717372" w:rsidRPr="007772B8">
        <w:rPr>
          <w:rStyle w:val="hps"/>
          <w:lang w:val="en-GB"/>
        </w:rPr>
        <w:t>the</w:t>
      </w:r>
      <w:r w:rsidR="00717372" w:rsidRPr="007772B8">
        <w:rPr>
          <w:lang w:val="en-GB"/>
        </w:rPr>
        <w:t xml:space="preserve"> Secretariat </w:t>
      </w:r>
      <w:r w:rsidRPr="007772B8">
        <w:rPr>
          <w:rStyle w:val="hps"/>
          <w:lang w:val="en-GB"/>
        </w:rPr>
        <w:t xml:space="preserve">conducted </w:t>
      </w:r>
      <w:r w:rsidR="00717372" w:rsidRPr="007772B8">
        <w:rPr>
          <w:rStyle w:val="hps"/>
          <w:lang w:val="en-GB"/>
        </w:rPr>
        <w:t>a survey</w:t>
      </w:r>
      <w:r w:rsidR="00717372" w:rsidRPr="007772B8">
        <w:rPr>
          <w:rStyle w:val="FootnoteReference"/>
          <w:lang w:val="en-GB"/>
        </w:rPr>
        <w:footnoteReference w:id="2"/>
      </w:r>
      <w:r w:rsidR="00717372" w:rsidRPr="007772B8">
        <w:rPr>
          <w:rStyle w:val="hps"/>
          <w:lang w:val="en-GB"/>
        </w:rPr>
        <w:t xml:space="preserve"> </w:t>
      </w:r>
      <w:r w:rsidR="006B63EC" w:rsidRPr="007772B8">
        <w:rPr>
          <w:rStyle w:val="hps"/>
          <w:lang w:val="en-GB"/>
        </w:rPr>
        <w:t>in 2018</w:t>
      </w:r>
      <w:r w:rsidR="00717372" w:rsidRPr="007772B8">
        <w:rPr>
          <w:rStyle w:val="hps"/>
          <w:lang w:val="en-GB"/>
        </w:rPr>
        <w:t>.</w:t>
      </w:r>
    </w:p>
    <w:p w14:paraId="2EE4B580" w14:textId="3E5D7D7C" w:rsidR="00717372" w:rsidRPr="007772B8" w:rsidRDefault="00717372" w:rsidP="00AE7B9E">
      <w:pPr>
        <w:pStyle w:val="1GAPara"/>
        <w:ind w:left="567" w:hanging="567"/>
        <w:rPr>
          <w:lang w:val="en-GB"/>
        </w:rPr>
      </w:pPr>
      <w:r w:rsidRPr="007772B8">
        <w:rPr>
          <w:lang w:val="en-GB"/>
        </w:rPr>
        <w:t>The results of the survey</w:t>
      </w:r>
      <w:r w:rsidR="00D509EB" w:rsidRPr="007772B8">
        <w:rPr>
          <w:lang w:val="en-GB"/>
        </w:rPr>
        <w:t>, which were not conclusive,</w:t>
      </w:r>
      <w:r w:rsidRPr="007772B8">
        <w:rPr>
          <w:lang w:val="en-GB"/>
        </w:rPr>
        <w:t xml:space="preserve"> pointed to the following</w:t>
      </w:r>
      <w:r w:rsidR="00C51B28" w:rsidRPr="007772B8">
        <w:rPr>
          <w:lang w:val="en-GB"/>
        </w:rPr>
        <w:t xml:space="preserve"> (see </w:t>
      </w:r>
      <w:hyperlink r:id="rId12" w:history="1">
        <w:r w:rsidR="00C51B28" w:rsidRPr="007772B8">
          <w:rPr>
            <w:rStyle w:val="Hyperlink"/>
            <w:lang w:val="en-GB"/>
          </w:rPr>
          <w:t>here</w:t>
        </w:r>
      </w:hyperlink>
      <w:r w:rsidR="00C51B28" w:rsidRPr="007772B8">
        <w:rPr>
          <w:lang w:val="en-GB"/>
        </w:rPr>
        <w:t xml:space="preserve"> for the executive summary and the report of the survey)</w:t>
      </w:r>
      <w:r w:rsidRPr="007772B8">
        <w:rPr>
          <w:lang w:val="en-GB"/>
        </w:rPr>
        <w:t>:</w:t>
      </w:r>
    </w:p>
    <w:p w14:paraId="1713B350" w14:textId="32E1905E" w:rsidR="00717372" w:rsidRPr="007772B8" w:rsidRDefault="00D509EB" w:rsidP="00AE7B9E">
      <w:pPr>
        <w:pStyle w:val="1GAPara"/>
        <w:numPr>
          <w:ilvl w:val="0"/>
          <w:numId w:val="7"/>
        </w:numPr>
        <w:ind w:left="1134" w:hanging="567"/>
        <w:rPr>
          <w:lang w:val="en-GB"/>
        </w:rPr>
      </w:pPr>
      <w:r w:rsidRPr="007772B8">
        <w:rPr>
          <w:lang w:val="en-GB"/>
        </w:rPr>
        <w:t>Good s</w:t>
      </w:r>
      <w:r w:rsidR="00717372" w:rsidRPr="007772B8">
        <w:rPr>
          <w:lang w:val="en-GB"/>
        </w:rPr>
        <w:t xml:space="preserve">afeguarding practices are being </w:t>
      </w:r>
      <w:r w:rsidRPr="007772B8">
        <w:rPr>
          <w:lang w:val="en-GB"/>
        </w:rPr>
        <w:t>shared</w:t>
      </w:r>
      <w:r w:rsidR="00717372" w:rsidRPr="007772B8">
        <w:rPr>
          <w:lang w:val="en-GB"/>
        </w:rPr>
        <w:t xml:space="preserve"> in various ways, mainly at the local or country levels, followed by the regional level;</w:t>
      </w:r>
    </w:p>
    <w:p w14:paraId="560E4154" w14:textId="45562E7F" w:rsidR="00717372" w:rsidRPr="007772B8" w:rsidRDefault="00717372" w:rsidP="00AE7B9E">
      <w:pPr>
        <w:pStyle w:val="1GAPara"/>
        <w:numPr>
          <w:ilvl w:val="0"/>
          <w:numId w:val="7"/>
        </w:numPr>
        <w:ind w:left="1134" w:hanging="567"/>
        <w:rPr>
          <w:lang w:val="en-GB"/>
        </w:rPr>
      </w:pPr>
      <w:r w:rsidRPr="007772B8">
        <w:rPr>
          <w:lang w:val="en-GB"/>
        </w:rPr>
        <w:t>While social media are the most frequently used channels, the</w:t>
      </w:r>
      <w:r w:rsidR="00D509EB" w:rsidRPr="007772B8">
        <w:rPr>
          <w:lang w:val="en-GB"/>
        </w:rPr>
        <w:t>se modalities</w:t>
      </w:r>
      <w:r w:rsidRPr="007772B8">
        <w:rPr>
          <w:lang w:val="en-GB"/>
        </w:rPr>
        <w:t xml:space="preserve"> are </w:t>
      </w:r>
      <w:r w:rsidR="00F37977">
        <w:rPr>
          <w:lang w:val="en-GB"/>
        </w:rPr>
        <w:t xml:space="preserve">not </w:t>
      </w:r>
      <w:r w:rsidR="00D509EB" w:rsidRPr="007772B8">
        <w:rPr>
          <w:lang w:val="en-GB"/>
        </w:rPr>
        <w:t xml:space="preserve">considered </w:t>
      </w:r>
      <w:r w:rsidRPr="007772B8">
        <w:rPr>
          <w:lang w:val="en-GB"/>
        </w:rPr>
        <w:t xml:space="preserve">as </w:t>
      </w:r>
      <w:r w:rsidR="00D509EB" w:rsidRPr="007772B8">
        <w:rPr>
          <w:lang w:val="en-GB"/>
        </w:rPr>
        <w:t>a</w:t>
      </w:r>
      <w:r w:rsidRPr="007772B8">
        <w:rPr>
          <w:lang w:val="en-GB"/>
        </w:rPr>
        <w:t xml:space="preserve"> meaningful way to obtain information from others;</w:t>
      </w:r>
    </w:p>
    <w:p w14:paraId="7BED06AF" w14:textId="36EA6E66" w:rsidR="00717372" w:rsidRPr="007772B8" w:rsidRDefault="00D509EB" w:rsidP="00AE7B9E">
      <w:pPr>
        <w:pStyle w:val="1GAPara"/>
        <w:numPr>
          <w:ilvl w:val="0"/>
          <w:numId w:val="7"/>
        </w:numPr>
        <w:ind w:left="1134" w:hanging="567"/>
        <w:rPr>
          <w:lang w:val="en-GB"/>
        </w:rPr>
      </w:pPr>
      <w:r w:rsidRPr="007772B8">
        <w:rPr>
          <w:lang w:val="en-GB"/>
        </w:rPr>
        <w:t xml:space="preserve">There was a widely shared </w:t>
      </w:r>
      <w:r w:rsidR="0046204B" w:rsidRPr="007772B8">
        <w:rPr>
          <w:lang w:val="en-GB"/>
        </w:rPr>
        <w:t>preference</w:t>
      </w:r>
      <w:r w:rsidRPr="007772B8">
        <w:rPr>
          <w:lang w:val="en-GB"/>
        </w:rPr>
        <w:t xml:space="preserve"> for</w:t>
      </w:r>
      <w:r w:rsidR="0046204B" w:rsidRPr="007772B8">
        <w:rPr>
          <w:lang w:val="en-GB"/>
        </w:rPr>
        <w:t xml:space="preserve"> </w:t>
      </w:r>
      <w:r w:rsidR="00717372" w:rsidRPr="007772B8">
        <w:rPr>
          <w:lang w:val="en-GB"/>
        </w:rPr>
        <w:t>retain</w:t>
      </w:r>
      <w:r w:rsidRPr="007772B8">
        <w:rPr>
          <w:lang w:val="en-GB"/>
        </w:rPr>
        <w:t>ing</w:t>
      </w:r>
      <w:r w:rsidR="00717372" w:rsidRPr="007772B8">
        <w:rPr>
          <w:lang w:val="en-GB"/>
        </w:rPr>
        <w:t xml:space="preserve"> the Convention</w:t>
      </w:r>
      <w:r w:rsidR="007772B8" w:rsidRPr="007772B8">
        <w:rPr>
          <w:lang w:val="en-GB"/>
        </w:rPr>
        <w:t>'</w:t>
      </w:r>
      <w:r w:rsidR="00717372" w:rsidRPr="007772B8">
        <w:rPr>
          <w:lang w:val="en-GB"/>
        </w:rPr>
        <w:t>s Register but with a lighter filtering and validation mechanism</w:t>
      </w:r>
      <w:r w:rsidR="0046204B" w:rsidRPr="007772B8">
        <w:rPr>
          <w:lang w:val="en-GB"/>
        </w:rPr>
        <w:t xml:space="preserve"> through UNESCO</w:t>
      </w:r>
      <w:r w:rsidR="00717372" w:rsidRPr="007772B8">
        <w:rPr>
          <w:lang w:val="en-GB"/>
        </w:rPr>
        <w:t>.</w:t>
      </w:r>
    </w:p>
    <w:p w14:paraId="45117141" w14:textId="61CBB39E" w:rsidR="000E6FC5" w:rsidRPr="007772B8" w:rsidRDefault="00717372" w:rsidP="00AE7B9E">
      <w:pPr>
        <w:pStyle w:val="1GAPara"/>
        <w:ind w:left="567" w:hanging="567"/>
        <w:rPr>
          <w:rFonts w:asciiTheme="minorBidi" w:hAnsiTheme="minorBidi" w:cstheme="minorBidi"/>
          <w:lang w:val="en-GB"/>
        </w:rPr>
      </w:pPr>
      <w:r w:rsidRPr="007772B8">
        <w:rPr>
          <w:lang w:val="en-GB"/>
        </w:rPr>
        <w:t xml:space="preserve">The survey results </w:t>
      </w:r>
      <w:r w:rsidRPr="007772B8">
        <w:rPr>
          <w:rStyle w:val="hps"/>
          <w:lang w:val="en-GB"/>
        </w:rPr>
        <w:t>were presented to the Committee at its fourteenth session</w:t>
      </w:r>
      <w:r w:rsidR="00613A1A" w:rsidRPr="007772B8">
        <w:rPr>
          <w:rStyle w:val="hps"/>
          <w:lang w:val="en-GB"/>
        </w:rPr>
        <w:t xml:space="preserve"> (</w:t>
      </w:r>
      <w:r w:rsidR="0022500C" w:rsidRPr="007772B8">
        <w:rPr>
          <w:rStyle w:val="hps"/>
          <w:lang w:val="en-GB"/>
        </w:rPr>
        <w:t>Decision </w:t>
      </w:r>
      <w:hyperlink r:id="rId13" w:history="1">
        <w:r w:rsidR="00613A1A" w:rsidRPr="007772B8">
          <w:rPr>
            <w:rStyle w:val="Hyperlink"/>
            <w:lang w:val="en-GB"/>
          </w:rPr>
          <w:t>13.COM 5</w:t>
        </w:r>
      </w:hyperlink>
      <w:r w:rsidR="00613A1A" w:rsidRPr="007772B8">
        <w:rPr>
          <w:rStyle w:val="hps"/>
          <w:lang w:val="en-GB"/>
        </w:rPr>
        <w:t xml:space="preserve">); </w:t>
      </w:r>
      <w:r w:rsidR="00F91DD4">
        <w:rPr>
          <w:rStyle w:val="hps"/>
          <w:lang w:val="en-GB"/>
        </w:rPr>
        <w:t>d</w:t>
      </w:r>
      <w:r w:rsidR="00613A1A" w:rsidRPr="007772B8">
        <w:rPr>
          <w:rStyle w:val="hps"/>
          <w:lang w:val="en-GB"/>
        </w:rPr>
        <w:t xml:space="preserve">ocument </w:t>
      </w:r>
      <w:hyperlink r:id="rId14" w:history="1">
        <w:r w:rsidR="00C51B28" w:rsidRPr="007772B8">
          <w:rPr>
            <w:rStyle w:val="Hyperlink"/>
            <w:lang w:val="en-GB"/>
          </w:rPr>
          <w:t>LHE/19/14.COM 5.b</w:t>
        </w:r>
      </w:hyperlink>
      <w:r w:rsidR="00613A1A" w:rsidRPr="007772B8">
        <w:rPr>
          <w:rStyle w:val="hps"/>
          <w:lang w:val="en-GB"/>
        </w:rPr>
        <w:t>)</w:t>
      </w:r>
      <w:r w:rsidR="00E26607" w:rsidRPr="007772B8">
        <w:rPr>
          <w:rStyle w:val="hps"/>
          <w:lang w:val="en-GB"/>
        </w:rPr>
        <w:t>. The Committee decided to</w:t>
      </w:r>
      <w:r w:rsidRPr="007772B8">
        <w:rPr>
          <w:rStyle w:val="hps"/>
          <w:lang w:val="en-GB"/>
        </w:rPr>
        <w:t xml:space="preserve"> take these </w:t>
      </w:r>
      <w:r w:rsidR="00E26607" w:rsidRPr="007772B8">
        <w:rPr>
          <w:rStyle w:val="hps"/>
          <w:lang w:val="en-GB"/>
        </w:rPr>
        <w:t xml:space="preserve">outcomes </w:t>
      </w:r>
      <w:r w:rsidRPr="007772B8">
        <w:rPr>
          <w:rStyle w:val="hps"/>
          <w:lang w:val="en-GB"/>
        </w:rPr>
        <w:t xml:space="preserve">into consideration in the then ongoing </w:t>
      </w:r>
      <w:r w:rsidR="00E26607" w:rsidRPr="007772B8">
        <w:rPr>
          <w:rStyle w:val="hps"/>
          <w:lang w:val="en-GB"/>
        </w:rPr>
        <w:t>G</w:t>
      </w:r>
      <w:r w:rsidRPr="007772B8">
        <w:rPr>
          <w:rStyle w:val="hps"/>
          <w:lang w:val="en-GB"/>
        </w:rPr>
        <w:t>lobal reflection on the listing mechanism</w:t>
      </w:r>
      <w:r w:rsidR="00E26607" w:rsidRPr="007772B8">
        <w:rPr>
          <w:rStyle w:val="hps"/>
          <w:lang w:val="en-GB"/>
        </w:rPr>
        <w:t>s</w:t>
      </w:r>
      <w:r w:rsidRPr="007772B8">
        <w:rPr>
          <w:rStyle w:val="hps"/>
          <w:lang w:val="en-GB"/>
        </w:rPr>
        <w:t xml:space="preserve"> of the Convention (Decision </w:t>
      </w:r>
      <w:hyperlink r:id="rId15" w:history="1">
        <w:r w:rsidRPr="007772B8">
          <w:rPr>
            <w:rStyle w:val="Hyperlink"/>
            <w:lang w:val="en-GB"/>
          </w:rPr>
          <w:t>14.COM </w:t>
        </w:r>
        <w:proofErr w:type="gramStart"/>
        <w:r w:rsidRPr="007772B8">
          <w:rPr>
            <w:rStyle w:val="Hyperlink"/>
            <w:lang w:val="en-GB"/>
          </w:rPr>
          <w:t>5.b</w:t>
        </w:r>
        <w:proofErr w:type="gramEnd"/>
      </w:hyperlink>
      <w:r w:rsidRPr="007772B8">
        <w:rPr>
          <w:rStyle w:val="hps"/>
          <w:lang w:val="en-GB"/>
        </w:rPr>
        <w:t>).</w:t>
      </w:r>
    </w:p>
    <w:p w14:paraId="385456DF" w14:textId="2903F3D4" w:rsidR="000E6FC5" w:rsidRPr="007772B8" w:rsidRDefault="000E6FC5" w:rsidP="00AE7B9E">
      <w:pPr>
        <w:pStyle w:val="1GAPara"/>
        <w:numPr>
          <w:ilvl w:val="0"/>
          <w:numId w:val="0"/>
        </w:numPr>
        <w:spacing w:before="240"/>
        <w:rPr>
          <w:b/>
          <w:bCs/>
          <w:lang w:val="en-GB"/>
        </w:rPr>
      </w:pPr>
      <w:r w:rsidRPr="00AE7B9E">
        <w:rPr>
          <w:b/>
          <w:bCs/>
          <w:lang w:val="en-GB"/>
        </w:rPr>
        <w:t>Global</w:t>
      </w:r>
      <w:r w:rsidRPr="007772B8">
        <w:rPr>
          <w:b/>
          <w:bCs/>
          <w:lang w:val="en-GB"/>
        </w:rPr>
        <w:t xml:space="preserve"> reflection on the listing mechanisms of the Convention</w:t>
      </w:r>
    </w:p>
    <w:p w14:paraId="2BF12DA2" w14:textId="0071937E" w:rsidR="0027411D" w:rsidRPr="007772B8" w:rsidRDefault="0027411D" w:rsidP="00AE7B9E">
      <w:pPr>
        <w:pStyle w:val="1GAPara"/>
        <w:ind w:left="567" w:hanging="567"/>
        <w:rPr>
          <w:lang w:val="en-GB"/>
        </w:rPr>
      </w:pPr>
      <w:r w:rsidRPr="007772B8">
        <w:rPr>
          <w:lang w:val="en-GB"/>
        </w:rPr>
        <w:t>The Global Reflection on the listing mechanisms of the Convention took place from 2018 to 2022</w:t>
      </w:r>
      <w:r w:rsidR="00090481" w:rsidRPr="007772B8">
        <w:rPr>
          <w:rStyle w:val="FootnoteReference"/>
          <w:lang w:val="en-GB"/>
        </w:rPr>
        <w:footnoteReference w:id="3"/>
      </w:r>
      <w:r w:rsidRPr="007772B8">
        <w:rPr>
          <w:lang w:val="en-GB"/>
        </w:rPr>
        <w:t xml:space="preserve">; it included consultations with experts as well as a three-part meeting of an Open-ended intergovernmental working group. Above all, the Global Reflection sought to make the listing mechanisms more dynamic and fluid by better connecting the two Lists and the Register. Such change might not only make the Register more attractive but also contribute to better raising awareness </w:t>
      </w:r>
      <w:r w:rsidR="008128CD" w:rsidRPr="007772B8">
        <w:rPr>
          <w:lang w:val="en-GB"/>
        </w:rPr>
        <w:t xml:space="preserve">about </w:t>
      </w:r>
      <w:r w:rsidRPr="007772B8">
        <w:rPr>
          <w:lang w:val="en-GB"/>
        </w:rPr>
        <w:t xml:space="preserve">the importance of </w:t>
      </w:r>
      <w:r w:rsidR="00935E00" w:rsidRPr="007772B8">
        <w:rPr>
          <w:lang w:val="en-GB"/>
        </w:rPr>
        <w:t xml:space="preserve">safeguarding </w:t>
      </w:r>
      <w:r w:rsidRPr="007772B8">
        <w:rPr>
          <w:lang w:val="en-GB"/>
        </w:rPr>
        <w:t xml:space="preserve">intangible cultural heritage for the sustainable development of </w:t>
      </w:r>
      <w:r w:rsidR="008128CD" w:rsidRPr="007772B8">
        <w:rPr>
          <w:lang w:val="en-GB"/>
        </w:rPr>
        <w:t xml:space="preserve">the </w:t>
      </w:r>
      <w:r w:rsidRPr="007772B8">
        <w:rPr>
          <w:lang w:val="en-GB"/>
        </w:rPr>
        <w:t>communities, groups and individuals concerned, and also for the further flourishing of cultural diversity.</w:t>
      </w:r>
    </w:p>
    <w:p w14:paraId="0AB81CC5" w14:textId="5E4E2D53" w:rsidR="00FC2D1F" w:rsidRPr="007772B8" w:rsidRDefault="005E3EC7" w:rsidP="00AE7B9E">
      <w:pPr>
        <w:pStyle w:val="1GAPara"/>
        <w:ind w:left="567" w:hanging="567"/>
        <w:rPr>
          <w:lang w:val="en-GB"/>
        </w:rPr>
      </w:pPr>
      <w:r w:rsidRPr="007772B8">
        <w:rPr>
          <w:lang w:val="en-GB"/>
        </w:rPr>
        <w:t xml:space="preserve">As regards the Register of Good Safeguarding Practices, </w:t>
      </w:r>
      <w:r w:rsidR="00C26AFB" w:rsidRPr="007772B8">
        <w:rPr>
          <w:lang w:val="en-GB"/>
        </w:rPr>
        <w:t xml:space="preserve">the ninth session of the General Assembly </w:t>
      </w:r>
      <w:r w:rsidR="00B512C2" w:rsidRPr="007772B8">
        <w:rPr>
          <w:lang w:val="en-GB"/>
        </w:rPr>
        <w:t xml:space="preserve">formalized two concrete outcomes of the Global reflection on the listing mechanisms of the 2003 Convention </w:t>
      </w:r>
      <w:r w:rsidR="00C26AFB" w:rsidRPr="007772B8">
        <w:rPr>
          <w:lang w:val="en-GB"/>
        </w:rPr>
        <w:t xml:space="preserve">(Resolution </w:t>
      </w:r>
      <w:hyperlink r:id="rId16" w:history="1">
        <w:r w:rsidR="0022500C" w:rsidRPr="007772B8">
          <w:rPr>
            <w:rStyle w:val="Hyperlink"/>
            <w:lang w:val="en-GB"/>
          </w:rPr>
          <w:t>9.GA 9</w:t>
        </w:r>
      </w:hyperlink>
      <w:r w:rsidR="00C26AFB" w:rsidRPr="007772B8">
        <w:rPr>
          <w:lang w:val="en-GB"/>
        </w:rPr>
        <w:t>)</w:t>
      </w:r>
      <w:r w:rsidRPr="007772B8">
        <w:rPr>
          <w:lang w:val="en-GB"/>
        </w:rPr>
        <w:t>:</w:t>
      </w:r>
    </w:p>
    <w:p w14:paraId="5CB2502D" w14:textId="226BFD4C" w:rsidR="00237682" w:rsidRPr="007772B8" w:rsidRDefault="00237682" w:rsidP="00AE7B9E">
      <w:pPr>
        <w:pStyle w:val="ListParagraph"/>
        <w:spacing w:after="120"/>
        <w:ind w:left="567"/>
        <w:contextualSpacing w:val="0"/>
        <w:jc w:val="both"/>
        <w:rPr>
          <w:rFonts w:ascii="Arial" w:hAnsi="Arial" w:cs="Arial"/>
          <w:sz w:val="22"/>
          <w:szCs w:val="22"/>
          <w:lang w:val="en-GB"/>
        </w:rPr>
      </w:pPr>
      <w:r w:rsidRPr="00AE7B9E">
        <w:rPr>
          <w:rFonts w:ascii="Arial" w:hAnsi="Arial" w:cs="Arial"/>
          <w:sz w:val="22"/>
          <w:szCs w:val="22"/>
          <w:lang w:val="en-GB"/>
        </w:rPr>
        <w:t xml:space="preserve">a. </w:t>
      </w:r>
      <w:r w:rsidR="00935E00" w:rsidRPr="007772B8">
        <w:rPr>
          <w:rFonts w:ascii="Arial" w:hAnsi="Arial" w:cs="Arial"/>
          <w:sz w:val="22"/>
          <w:szCs w:val="22"/>
          <w:u w:val="single"/>
          <w:lang w:val="en-GB"/>
        </w:rPr>
        <w:t xml:space="preserve">The deletion </w:t>
      </w:r>
      <w:r w:rsidRPr="007772B8">
        <w:rPr>
          <w:rFonts w:ascii="Arial" w:hAnsi="Arial" w:cs="Arial"/>
          <w:sz w:val="22"/>
          <w:szCs w:val="22"/>
          <w:u w:val="single"/>
          <w:lang w:val="en-GB"/>
        </w:rPr>
        <w:t>of criterion P.9</w:t>
      </w:r>
      <w:r w:rsidRPr="007772B8">
        <w:rPr>
          <w:rStyle w:val="FootnoteReference"/>
          <w:rFonts w:ascii="Arial" w:hAnsi="Arial" w:cs="Arial"/>
          <w:lang w:val="en-GB"/>
        </w:rPr>
        <w:footnoteReference w:id="4"/>
      </w:r>
      <w:r w:rsidRPr="007772B8">
        <w:rPr>
          <w:rFonts w:ascii="Arial" w:hAnsi="Arial" w:cs="Arial"/>
          <w:sz w:val="22"/>
          <w:szCs w:val="22"/>
          <w:lang w:val="en-GB"/>
        </w:rPr>
        <w:t xml:space="preserve">: It was considered that there was no clarity </w:t>
      </w:r>
      <w:r w:rsidR="00935E00" w:rsidRPr="007772B8">
        <w:rPr>
          <w:rFonts w:ascii="Arial" w:hAnsi="Arial" w:cs="Arial"/>
          <w:sz w:val="22"/>
          <w:szCs w:val="22"/>
          <w:lang w:val="en-GB"/>
        </w:rPr>
        <w:t>regarding</w:t>
      </w:r>
      <w:r w:rsidRPr="007772B8">
        <w:rPr>
          <w:rFonts w:ascii="Arial" w:hAnsi="Arial" w:cs="Arial"/>
          <w:sz w:val="22"/>
          <w:szCs w:val="22"/>
          <w:lang w:val="en-GB"/>
        </w:rPr>
        <w:t xml:space="preserve"> how to evaluate </w:t>
      </w:r>
      <w:r w:rsidR="00AD59E7" w:rsidRPr="007772B8">
        <w:rPr>
          <w:rFonts w:ascii="Arial" w:hAnsi="Arial" w:cs="Arial"/>
          <w:sz w:val="22"/>
          <w:szCs w:val="22"/>
          <w:lang w:val="en-GB"/>
        </w:rPr>
        <w:t>‘</w:t>
      </w:r>
      <w:r w:rsidRPr="007772B8">
        <w:rPr>
          <w:rFonts w:ascii="Arial" w:hAnsi="Arial" w:cs="Arial"/>
          <w:sz w:val="22"/>
          <w:szCs w:val="22"/>
          <w:lang w:val="en-GB"/>
        </w:rPr>
        <w:t xml:space="preserve">the needs of developing </w:t>
      </w:r>
      <w:proofErr w:type="gramStart"/>
      <w:r w:rsidRPr="007772B8">
        <w:rPr>
          <w:rFonts w:ascii="Arial" w:hAnsi="Arial" w:cs="Arial"/>
          <w:sz w:val="22"/>
          <w:szCs w:val="22"/>
          <w:lang w:val="en-GB"/>
        </w:rPr>
        <w:t>countries</w:t>
      </w:r>
      <w:r w:rsidR="00AD59E7" w:rsidRPr="007772B8">
        <w:rPr>
          <w:rFonts w:ascii="Arial" w:hAnsi="Arial" w:cs="Arial"/>
          <w:sz w:val="22"/>
          <w:szCs w:val="22"/>
          <w:lang w:val="en-GB"/>
        </w:rPr>
        <w:t>’</w:t>
      </w:r>
      <w:proofErr w:type="gramEnd"/>
      <w:r w:rsidRPr="007772B8">
        <w:rPr>
          <w:rFonts w:ascii="Arial" w:hAnsi="Arial" w:cs="Arial"/>
          <w:sz w:val="22"/>
          <w:szCs w:val="22"/>
          <w:lang w:val="en-GB"/>
        </w:rPr>
        <w:t xml:space="preserve">. This criterion was also seen to give </w:t>
      </w:r>
      <w:r w:rsidR="00AD59E7" w:rsidRPr="007772B8">
        <w:rPr>
          <w:rFonts w:ascii="Arial" w:hAnsi="Arial" w:cs="Arial"/>
          <w:sz w:val="22"/>
          <w:szCs w:val="22"/>
          <w:lang w:val="en-GB"/>
        </w:rPr>
        <w:t xml:space="preserve">the </w:t>
      </w:r>
      <w:r w:rsidRPr="007772B8">
        <w:rPr>
          <w:rFonts w:ascii="Arial" w:hAnsi="Arial" w:cs="Arial"/>
          <w:sz w:val="22"/>
          <w:szCs w:val="22"/>
          <w:lang w:val="en-GB"/>
        </w:rPr>
        <w:t>misguided impression that developed countries can provide good examples to developing countries</w:t>
      </w:r>
      <w:r w:rsidR="00AD59E7" w:rsidRPr="007772B8">
        <w:rPr>
          <w:rFonts w:ascii="Arial" w:hAnsi="Arial" w:cs="Arial"/>
          <w:sz w:val="22"/>
          <w:szCs w:val="22"/>
          <w:lang w:val="en-GB"/>
        </w:rPr>
        <w:t>,</w:t>
      </w:r>
      <w:r w:rsidRPr="007772B8">
        <w:rPr>
          <w:rFonts w:ascii="Arial" w:hAnsi="Arial" w:cs="Arial"/>
          <w:sz w:val="22"/>
          <w:szCs w:val="22"/>
          <w:lang w:val="en-GB"/>
        </w:rPr>
        <w:t xml:space="preserve"> but not vice versa. Consequently, criterion P.9 was deleted </w:t>
      </w:r>
      <w:r w:rsidR="00AD59E7" w:rsidRPr="007772B8">
        <w:rPr>
          <w:rFonts w:ascii="Arial" w:hAnsi="Arial" w:cs="Arial"/>
          <w:sz w:val="22"/>
          <w:szCs w:val="22"/>
          <w:lang w:val="en-GB"/>
        </w:rPr>
        <w:t xml:space="preserve">from </w:t>
      </w:r>
      <w:r w:rsidRPr="007772B8">
        <w:rPr>
          <w:rFonts w:ascii="Arial" w:hAnsi="Arial" w:cs="Arial"/>
          <w:sz w:val="22"/>
          <w:szCs w:val="22"/>
          <w:lang w:val="en-GB"/>
        </w:rPr>
        <w:t>paragraph 7 of the Operational Directives.</w:t>
      </w:r>
    </w:p>
    <w:p w14:paraId="544392CD" w14:textId="39E2EDAF" w:rsidR="00AD59E7" w:rsidRPr="007772B8" w:rsidRDefault="00AD59E7" w:rsidP="00AE7B9E">
      <w:pPr>
        <w:pStyle w:val="ListParagraph"/>
        <w:spacing w:after="120"/>
        <w:ind w:left="567"/>
        <w:contextualSpacing w:val="0"/>
        <w:jc w:val="both"/>
        <w:rPr>
          <w:lang w:val="en-GB"/>
        </w:rPr>
      </w:pPr>
      <w:r w:rsidRPr="007772B8">
        <w:rPr>
          <w:rFonts w:ascii="Arial" w:eastAsia="DengXian" w:hAnsi="Arial" w:cs="Arial"/>
          <w:snapToGrid w:val="0"/>
          <w:sz w:val="22"/>
          <w:szCs w:val="22"/>
          <w:lang w:val="en-GB"/>
        </w:rPr>
        <w:lastRenderedPageBreak/>
        <w:t xml:space="preserve">b. </w:t>
      </w:r>
      <w:r w:rsidR="00935E00" w:rsidRPr="007772B8">
        <w:rPr>
          <w:rFonts w:ascii="Arial" w:eastAsia="DengXian" w:hAnsi="Arial" w:cs="Arial"/>
          <w:snapToGrid w:val="0"/>
          <w:sz w:val="22"/>
          <w:szCs w:val="22"/>
          <w:u w:val="single"/>
          <w:lang w:val="en-GB"/>
        </w:rPr>
        <w:t xml:space="preserve">The inclusion </w:t>
      </w:r>
      <w:r w:rsidRPr="007772B8">
        <w:rPr>
          <w:rFonts w:ascii="Arial" w:eastAsia="DengXian" w:hAnsi="Arial" w:cs="Arial"/>
          <w:snapToGrid w:val="0"/>
          <w:sz w:val="22"/>
          <w:szCs w:val="22"/>
          <w:u w:val="single"/>
          <w:lang w:val="en-GB"/>
        </w:rPr>
        <w:t>in the register of successful safeguarding experiences witnessed in elements inscribed on the Urgent Safeguarding List</w:t>
      </w:r>
      <w:r w:rsidRPr="007772B8">
        <w:rPr>
          <w:rFonts w:ascii="Arial" w:eastAsia="DengXian" w:hAnsi="Arial" w:cs="Arial"/>
          <w:snapToGrid w:val="0"/>
          <w:sz w:val="22"/>
          <w:szCs w:val="22"/>
          <w:lang w:val="en-GB"/>
        </w:rPr>
        <w:t xml:space="preserve">: new paragraph 39.3 of the Operational Directives opened up the </w:t>
      </w:r>
      <w:r w:rsidRPr="007772B8">
        <w:rPr>
          <w:rFonts w:ascii="Arial" w:hAnsi="Arial" w:cs="Arial"/>
          <w:sz w:val="22"/>
          <w:szCs w:val="22"/>
          <w:lang w:val="en-GB"/>
        </w:rPr>
        <w:t>possibility</w:t>
      </w:r>
      <w:r w:rsidRPr="007772B8">
        <w:rPr>
          <w:rFonts w:ascii="Arial" w:eastAsia="DengXian" w:hAnsi="Arial" w:cs="Arial"/>
          <w:snapToGrid w:val="0"/>
          <w:sz w:val="22"/>
          <w:szCs w:val="22"/>
          <w:lang w:val="en-GB"/>
        </w:rPr>
        <w:t xml:space="preserve"> for the Evaluation Body to recommend – after evaluating a request to that effect – </w:t>
      </w:r>
      <w:r w:rsidR="00F02EA1" w:rsidRPr="007772B8">
        <w:rPr>
          <w:rFonts w:ascii="Arial" w:eastAsia="DengXian" w:hAnsi="Arial" w:cs="Arial"/>
          <w:snapToGrid w:val="0"/>
          <w:sz w:val="22"/>
          <w:szCs w:val="22"/>
          <w:lang w:val="en-GB"/>
        </w:rPr>
        <w:t xml:space="preserve">that </w:t>
      </w:r>
      <w:r w:rsidRPr="007772B8">
        <w:rPr>
          <w:rFonts w:ascii="Arial" w:eastAsia="DengXian" w:hAnsi="Arial" w:cs="Arial"/>
          <w:snapToGrid w:val="0"/>
          <w:sz w:val="22"/>
          <w:szCs w:val="22"/>
          <w:lang w:val="en-GB"/>
        </w:rPr>
        <w:t xml:space="preserve">the Committee include a safeguarding experience successfully applied </w:t>
      </w:r>
      <w:r w:rsidR="00F02EA1" w:rsidRPr="007772B8">
        <w:rPr>
          <w:rFonts w:ascii="Arial" w:eastAsia="DengXian" w:hAnsi="Arial" w:cs="Arial"/>
          <w:snapToGrid w:val="0"/>
          <w:sz w:val="22"/>
          <w:szCs w:val="22"/>
          <w:lang w:val="en-GB"/>
        </w:rPr>
        <w:t>for</w:t>
      </w:r>
      <w:r w:rsidRPr="007772B8">
        <w:rPr>
          <w:rFonts w:ascii="Arial" w:eastAsia="DengXian" w:hAnsi="Arial" w:cs="Arial"/>
          <w:snapToGrid w:val="0"/>
          <w:sz w:val="22"/>
          <w:szCs w:val="22"/>
          <w:lang w:val="en-GB"/>
        </w:rPr>
        <w:t xml:space="preserve"> an element inscribed on the Urgent Safeguarding List in the Register. The intention was to better interconnect the Lists and the Register, to make nominati</w:t>
      </w:r>
      <w:r w:rsidR="00F02EA1" w:rsidRPr="007772B8">
        <w:rPr>
          <w:rFonts w:ascii="Arial" w:eastAsia="DengXian" w:hAnsi="Arial" w:cs="Arial"/>
          <w:snapToGrid w:val="0"/>
          <w:sz w:val="22"/>
          <w:szCs w:val="22"/>
          <w:lang w:val="en-GB"/>
        </w:rPr>
        <w:t>ons</w:t>
      </w:r>
      <w:r w:rsidRPr="007772B8">
        <w:rPr>
          <w:rFonts w:ascii="Arial" w:eastAsia="DengXian" w:hAnsi="Arial" w:cs="Arial"/>
          <w:snapToGrid w:val="0"/>
          <w:sz w:val="22"/>
          <w:szCs w:val="22"/>
          <w:lang w:val="en-GB"/>
        </w:rPr>
        <w:t xml:space="preserve"> to the Urgent Safeguarding List more attractive, and to enrich the listing mechanisms with inspiring examples, without necessarily going through the usual but heavier process of selecting good practices submitted by States Parties.</w:t>
      </w:r>
    </w:p>
    <w:p w14:paraId="3816DF6B" w14:textId="483CA4AC" w:rsidR="003C20D5" w:rsidRPr="00AE7B9E" w:rsidRDefault="003C20D5" w:rsidP="00AE7B9E">
      <w:pPr>
        <w:pStyle w:val="1GAPara"/>
        <w:ind w:left="567" w:hanging="567"/>
        <w:rPr>
          <w:lang w:val="en-GB"/>
        </w:rPr>
      </w:pPr>
      <w:r w:rsidRPr="007772B8">
        <w:rPr>
          <w:lang w:val="en-GB"/>
        </w:rPr>
        <w:t xml:space="preserve">Another outcome of the Global reflection on the listing mechanisms </w:t>
      </w:r>
      <w:r w:rsidR="00F02EA1" w:rsidRPr="007772B8">
        <w:rPr>
          <w:lang w:val="en-GB"/>
        </w:rPr>
        <w:t xml:space="preserve">was that it </w:t>
      </w:r>
      <w:r w:rsidRPr="007772B8">
        <w:rPr>
          <w:lang w:val="en-GB"/>
        </w:rPr>
        <w:t xml:space="preserve">led to a decision by the Committee (Decision </w:t>
      </w:r>
      <w:hyperlink r:id="rId17" w:history="1">
        <w:r w:rsidRPr="007772B8">
          <w:rPr>
            <w:rStyle w:val="Hyperlink"/>
            <w:lang w:val="en-GB"/>
          </w:rPr>
          <w:t>16.COM 14</w:t>
        </w:r>
      </w:hyperlink>
      <w:r w:rsidRPr="007772B8">
        <w:rPr>
          <w:lang w:val="en-GB"/>
        </w:rPr>
        <w:t>; paragraph 9) to initiate a separate reflection</w:t>
      </w:r>
      <w:r w:rsidRPr="007772B8">
        <w:rPr>
          <w:rStyle w:val="FootnoteReference"/>
          <w:lang w:val="en-GB"/>
        </w:rPr>
        <w:footnoteReference w:id="5"/>
      </w:r>
      <w:r w:rsidRPr="007772B8">
        <w:rPr>
          <w:lang w:val="en-GB"/>
        </w:rPr>
        <w:t xml:space="preserve"> to explore ways to more broadly implement Article 18 of the Convention. </w:t>
      </w:r>
      <w:r w:rsidRPr="00AE7B9E">
        <w:rPr>
          <w:lang w:val="en-GB"/>
        </w:rPr>
        <w:t xml:space="preserve">Given the complex and technical nature of the Global </w:t>
      </w:r>
      <w:proofErr w:type="gramStart"/>
      <w:r w:rsidRPr="00AE7B9E">
        <w:rPr>
          <w:lang w:val="en-GB"/>
        </w:rPr>
        <w:t>Reflection, and</w:t>
      </w:r>
      <w:proofErr w:type="gramEnd"/>
      <w:r w:rsidRPr="00AE7B9E">
        <w:rPr>
          <w:lang w:val="en-GB"/>
        </w:rPr>
        <w:t xml:space="preserve"> </w:t>
      </w:r>
      <w:r w:rsidR="00F02EA1" w:rsidRPr="00AE7B9E">
        <w:rPr>
          <w:lang w:val="en-GB"/>
        </w:rPr>
        <w:t>drawing upon</w:t>
      </w:r>
      <w:r w:rsidRPr="00AE7B9E">
        <w:rPr>
          <w:lang w:val="en-GB"/>
        </w:rPr>
        <w:t xml:space="preserve"> the advice of experts and the Open-ended </w:t>
      </w:r>
      <w:r w:rsidRPr="007772B8">
        <w:rPr>
          <w:snapToGrid/>
          <w:lang w:val="en-GB"/>
        </w:rPr>
        <w:t>intergovernmental</w:t>
      </w:r>
      <w:r w:rsidRPr="00AE7B9E">
        <w:rPr>
          <w:lang w:val="en-GB"/>
        </w:rPr>
        <w:t xml:space="preserve"> working group, the </w:t>
      </w:r>
      <w:r w:rsidRPr="007772B8">
        <w:rPr>
          <w:lang w:val="en-GB"/>
        </w:rPr>
        <w:t>Committee</w:t>
      </w:r>
      <w:r w:rsidRPr="00AE7B9E">
        <w:rPr>
          <w:lang w:val="en-GB"/>
        </w:rPr>
        <w:t xml:space="preserve"> considered that the Global Reflection </w:t>
      </w:r>
      <w:r w:rsidR="00F02EA1" w:rsidRPr="00AE7B9E">
        <w:rPr>
          <w:lang w:val="en-GB"/>
        </w:rPr>
        <w:t xml:space="preserve">had </w:t>
      </w:r>
      <w:r w:rsidRPr="00AE7B9E">
        <w:rPr>
          <w:lang w:val="en-GB"/>
        </w:rPr>
        <w:t>not yet explore</w:t>
      </w:r>
      <w:r w:rsidR="00F02EA1" w:rsidRPr="00AE7B9E">
        <w:rPr>
          <w:lang w:val="en-GB"/>
        </w:rPr>
        <w:t>d</w:t>
      </w:r>
      <w:r w:rsidRPr="00AE7B9E">
        <w:rPr>
          <w:lang w:val="en-GB"/>
        </w:rPr>
        <w:t xml:space="preserve"> the full potential of Article 18 since certain issues could not be addressed or covered in full. </w:t>
      </w:r>
      <w:r w:rsidRPr="00AE7B9E">
        <w:rPr>
          <w:u w:val="single"/>
          <w:lang w:val="en-GB"/>
        </w:rPr>
        <w:t xml:space="preserve">The idea was not only to continue discussing issues raised during the Global Reflection concerning the management of the Register of Good Safeguarding Practices, but also to pay attention to the implementation of Article 18 beyond </w:t>
      </w:r>
      <w:r w:rsidR="00F02EA1" w:rsidRPr="00AE7B9E">
        <w:rPr>
          <w:u w:val="single"/>
          <w:lang w:val="en-GB"/>
        </w:rPr>
        <w:t>it</w:t>
      </w:r>
      <w:r w:rsidRPr="00AE7B9E">
        <w:rPr>
          <w:lang w:val="en-GB"/>
        </w:rPr>
        <w:t>.</w:t>
      </w:r>
      <w:r w:rsidR="008D724A" w:rsidRPr="00AE7B9E">
        <w:rPr>
          <w:lang w:val="en-GB"/>
        </w:rPr>
        <w:t xml:space="preserve"> The establishment of an online ‘observatory’ for example is a case in point.</w:t>
      </w:r>
    </w:p>
    <w:p w14:paraId="288FE445" w14:textId="13CBD2D3" w:rsidR="00C945B7" w:rsidRPr="007772B8" w:rsidRDefault="00C945B7" w:rsidP="00AE7B9E">
      <w:pPr>
        <w:pStyle w:val="1GAPara"/>
        <w:ind w:left="567" w:hanging="567"/>
        <w:rPr>
          <w:rStyle w:val="hps"/>
          <w:lang w:val="en-GB"/>
        </w:rPr>
      </w:pPr>
      <w:r w:rsidRPr="007772B8">
        <w:rPr>
          <w:lang w:val="en-GB"/>
        </w:rPr>
        <w:t>T</w:t>
      </w:r>
      <w:r w:rsidRPr="007772B8">
        <w:rPr>
          <w:rStyle w:val="hps"/>
          <w:rFonts w:asciiTheme="minorBidi" w:hAnsiTheme="minorBidi" w:cstheme="minorBidi"/>
          <w:snapToGrid/>
          <w:lang w:val="en-GB"/>
        </w:rPr>
        <w:t xml:space="preserve">his new </w:t>
      </w:r>
      <w:r w:rsidR="007854CF" w:rsidRPr="007772B8">
        <w:rPr>
          <w:rStyle w:val="hps"/>
          <w:rFonts w:asciiTheme="minorBidi" w:hAnsiTheme="minorBidi" w:cstheme="minorBidi"/>
          <w:snapToGrid/>
          <w:lang w:val="en-GB"/>
        </w:rPr>
        <w:t>round of reflection</w:t>
      </w:r>
      <w:r w:rsidR="00F02EA1" w:rsidRPr="007772B8">
        <w:rPr>
          <w:rStyle w:val="hps"/>
          <w:rFonts w:asciiTheme="minorBidi" w:hAnsiTheme="minorBidi" w:cstheme="minorBidi"/>
          <w:snapToGrid/>
          <w:lang w:val="en-GB"/>
        </w:rPr>
        <w:t>s</w:t>
      </w:r>
      <w:r w:rsidR="007854CF" w:rsidRPr="007772B8">
        <w:rPr>
          <w:rStyle w:val="hps"/>
          <w:rFonts w:asciiTheme="minorBidi" w:hAnsiTheme="minorBidi" w:cstheme="minorBidi"/>
          <w:snapToGrid/>
          <w:lang w:val="en-GB"/>
        </w:rPr>
        <w:t xml:space="preserve"> </w:t>
      </w:r>
      <w:r w:rsidRPr="007772B8">
        <w:rPr>
          <w:rStyle w:val="hps"/>
          <w:rFonts w:asciiTheme="minorBidi" w:hAnsiTheme="minorBidi" w:cstheme="minorBidi"/>
          <w:snapToGrid/>
          <w:lang w:val="en-GB"/>
        </w:rPr>
        <w:t xml:space="preserve">was made possible thanks to a contribution by the Kingdom of Sweden in September 2021 in </w:t>
      </w:r>
      <w:r w:rsidRPr="007772B8">
        <w:rPr>
          <w:lang w:val="en-GB"/>
        </w:rPr>
        <w:t>the form of an additional contribution to the Regular Programme of UNESCO</w:t>
      </w:r>
      <w:r w:rsidR="00FE525A" w:rsidRPr="007772B8">
        <w:rPr>
          <w:lang w:val="en-GB"/>
        </w:rPr>
        <w:t xml:space="preserve"> </w:t>
      </w:r>
      <w:r w:rsidR="003B2CB5">
        <w:rPr>
          <w:lang w:val="en-GB"/>
        </w:rPr>
        <w:t xml:space="preserve">(document </w:t>
      </w:r>
      <w:hyperlink r:id="rId18" w:history="1">
        <w:r w:rsidR="003B2CB5" w:rsidRPr="002B143B">
          <w:rPr>
            <w:rStyle w:val="Hyperlink"/>
            <w:lang w:val="en-GB"/>
          </w:rPr>
          <w:t>LHE/21/17.COM/12</w:t>
        </w:r>
      </w:hyperlink>
      <w:r w:rsidR="003B2CB5">
        <w:rPr>
          <w:lang w:val="en-GB"/>
        </w:rPr>
        <w:t>).</w:t>
      </w:r>
    </w:p>
    <w:p w14:paraId="12924880" w14:textId="63997A32" w:rsidR="00A15E6D" w:rsidRPr="00AE7B9E" w:rsidRDefault="00A92A2C" w:rsidP="00AE7B9E">
      <w:pPr>
        <w:pStyle w:val="1GAPara"/>
        <w:numPr>
          <w:ilvl w:val="0"/>
          <w:numId w:val="0"/>
        </w:numPr>
        <w:spacing w:before="240"/>
        <w:rPr>
          <w:b/>
          <w:bCs/>
          <w:lang w:val="en-GB"/>
        </w:rPr>
      </w:pPr>
      <w:r w:rsidRPr="00AE7B9E">
        <w:rPr>
          <w:b/>
          <w:bCs/>
          <w:lang w:val="en-GB"/>
        </w:rPr>
        <w:t>New reflection on a broader implementation of Article 18 of the 2003 Convention</w:t>
      </w:r>
    </w:p>
    <w:p w14:paraId="7EC5DDDD" w14:textId="5CC7679A" w:rsidR="00922946" w:rsidRPr="00AE7B9E" w:rsidRDefault="00922946" w:rsidP="00AE7B9E">
      <w:pPr>
        <w:pStyle w:val="1GAPara"/>
        <w:ind w:left="567" w:hanging="567"/>
        <w:rPr>
          <w:lang w:val="en-GB"/>
        </w:rPr>
      </w:pPr>
      <w:r w:rsidRPr="007772B8">
        <w:rPr>
          <w:lang w:val="en-GB"/>
        </w:rPr>
        <w:t>The</w:t>
      </w:r>
      <w:r w:rsidRPr="00AE7B9E">
        <w:rPr>
          <w:lang w:val="en-GB"/>
        </w:rPr>
        <w:t xml:space="preserve"> new reflection will be a multi-step process that is expected to continue until at least mid-</w:t>
      </w:r>
      <w:r w:rsidRPr="007772B8">
        <w:rPr>
          <w:rStyle w:val="hps"/>
          <w:rFonts w:asciiTheme="minorBidi" w:hAnsiTheme="minorBidi" w:cstheme="minorBidi"/>
          <w:snapToGrid/>
          <w:lang w:val="en-GB"/>
        </w:rPr>
        <w:t>2024</w:t>
      </w:r>
      <w:r w:rsidRPr="00AE7B9E">
        <w:rPr>
          <w:lang w:val="en-GB"/>
        </w:rPr>
        <w:t xml:space="preserve">. The timetable for the reflection process, as approved by the seventeenth session of the Committee (document </w:t>
      </w:r>
      <w:hyperlink r:id="rId19" w:history="1">
        <w:r w:rsidRPr="00AE7B9E">
          <w:rPr>
            <w:rStyle w:val="Hyperlink"/>
            <w:lang w:val="en-GB"/>
          </w:rPr>
          <w:t>LHE/22/17.COM 10</w:t>
        </w:r>
      </w:hyperlink>
      <w:r w:rsidRPr="00AE7B9E">
        <w:rPr>
          <w:lang w:val="en-GB"/>
        </w:rPr>
        <w:t xml:space="preserve">; annex), includes the present gathering of experts, to be </w:t>
      </w:r>
      <w:r w:rsidRPr="007772B8">
        <w:rPr>
          <w:rStyle w:val="hps"/>
          <w:rFonts w:asciiTheme="minorBidi" w:hAnsiTheme="minorBidi" w:cstheme="minorBidi"/>
          <w:snapToGrid/>
          <w:lang w:val="en-GB"/>
        </w:rPr>
        <w:t>followed</w:t>
      </w:r>
      <w:r w:rsidRPr="00AE7B9E">
        <w:rPr>
          <w:lang w:val="en-GB"/>
        </w:rPr>
        <w:t xml:space="preserve"> by a meeting of an Open-ended intergovernmental working group (which is now foreseen to take place from 4 to 6 July 2023, at </w:t>
      </w:r>
      <w:r w:rsidR="00F02EA1" w:rsidRPr="00AE7B9E">
        <w:rPr>
          <w:lang w:val="en-GB"/>
        </w:rPr>
        <w:t xml:space="preserve">the </w:t>
      </w:r>
      <w:r w:rsidRPr="00AE7B9E">
        <w:rPr>
          <w:lang w:val="en-GB"/>
        </w:rPr>
        <w:t>UNESCO Headquarters). The eighteenth session of the Committee (4 to 8 December 2023, Kasane, Republic of Botswana) will provide an opportunity for further, intergovernmental discussions on this topic. It may be expected that the outcomes of the reflection will require amendments to the Operational Directives, to be submitted for examination to the tenth session of the General Assembly</w:t>
      </w:r>
      <w:r w:rsidR="00935E00" w:rsidRPr="00AE7B9E">
        <w:rPr>
          <w:lang w:val="en-GB"/>
        </w:rPr>
        <w:t>,</w:t>
      </w:r>
      <w:r w:rsidRPr="00AE7B9E">
        <w:rPr>
          <w:lang w:val="en-GB"/>
        </w:rPr>
        <w:t xml:space="preserve"> which will be held by mid-2024. Information concerning the reflection process will </w:t>
      </w:r>
      <w:r w:rsidR="00F02EA1" w:rsidRPr="00AE7B9E">
        <w:rPr>
          <w:lang w:val="en-GB"/>
        </w:rPr>
        <w:t xml:space="preserve">be </w:t>
      </w:r>
      <w:r w:rsidRPr="00AE7B9E">
        <w:rPr>
          <w:lang w:val="en-GB"/>
        </w:rPr>
        <w:t xml:space="preserve">regularly updated on a dedicated page of the 2003 Convention: </w:t>
      </w:r>
      <w:hyperlink r:id="rId20" w:history="1">
        <w:r w:rsidRPr="00AE7B9E">
          <w:rPr>
            <w:rStyle w:val="Hyperlink"/>
            <w:rFonts w:asciiTheme="minorBidi" w:hAnsiTheme="minorBidi" w:cstheme="minorBidi"/>
            <w:lang w:val="en-GB"/>
          </w:rPr>
          <w:t>https://ich.unesco.org/en/reflection-on-a-broader-implementation-of-article-18-01302</w:t>
        </w:r>
      </w:hyperlink>
      <w:r w:rsidR="00F02EA1" w:rsidRPr="00AE7B9E">
        <w:rPr>
          <w:rStyle w:val="Hyperlink"/>
          <w:rFonts w:asciiTheme="minorBidi" w:hAnsiTheme="minorBidi" w:cstheme="minorBidi"/>
          <w:color w:val="auto"/>
          <w:u w:val="none"/>
          <w:lang w:val="en-GB"/>
        </w:rPr>
        <w:t>.</w:t>
      </w:r>
    </w:p>
    <w:p w14:paraId="0DA1F1F5" w14:textId="1E33A2AE" w:rsidR="00326317" w:rsidRPr="007772B8" w:rsidRDefault="00326317" w:rsidP="00AE7B9E">
      <w:pPr>
        <w:pStyle w:val="1GAPara"/>
        <w:ind w:left="567" w:hanging="567"/>
        <w:rPr>
          <w:lang w:val="en-GB"/>
        </w:rPr>
      </w:pPr>
      <w:r w:rsidRPr="007772B8">
        <w:rPr>
          <w:lang w:val="en-GB"/>
        </w:rPr>
        <w:t xml:space="preserve">There are numerous issues surrounding the implementation of the Register of Good Safeguarding List, while different approaches might be envisaged for better exploring </w:t>
      </w:r>
      <w:r w:rsidR="00F02EA1" w:rsidRPr="007772B8">
        <w:rPr>
          <w:lang w:val="en-GB"/>
        </w:rPr>
        <w:t>its</w:t>
      </w:r>
      <w:r w:rsidRPr="007772B8">
        <w:rPr>
          <w:lang w:val="en-GB"/>
        </w:rPr>
        <w:t xml:space="preserve"> potential. For the purpose of structuring the reflection process, </w:t>
      </w:r>
      <w:r w:rsidR="00F02EA1" w:rsidRPr="007772B8">
        <w:rPr>
          <w:lang w:val="en-GB"/>
        </w:rPr>
        <w:t xml:space="preserve">it will be requested that </w:t>
      </w:r>
      <w:r w:rsidRPr="007772B8">
        <w:rPr>
          <w:lang w:val="en-GB"/>
        </w:rPr>
        <w:t xml:space="preserve">the meeting address the following three topics, as already presented to the seventeenth session of the Committee (document </w:t>
      </w:r>
      <w:hyperlink r:id="rId21" w:history="1">
        <w:r w:rsidRPr="007772B8">
          <w:rPr>
            <w:rStyle w:val="Hyperlink"/>
            <w:lang w:val="en-GB"/>
          </w:rPr>
          <w:t>LHE/22/17.COM/10</w:t>
        </w:r>
      </w:hyperlink>
      <w:r w:rsidRPr="007772B8">
        <w:rPr>
          <w:lang w:val="en-GB"/>
        </w:rPr>
        <w:t>).</w:t>
      </w:r>
    </w:p>
    <w:tbl>
      <w:tblPr>
        <w:tblStyle w:val="TableGrid"/>
        <w:tblW w:w="9072" w:type="dxa"/>
        <w:tblInd w:w="562" w:type="dxa"/>
        <w:tblLook w:val="04A0" w:firstRow="1" w:lastRow="0" w:firstColumn="1" w:lastColumn="0" w:noHBand="0" w:noVBand="1"/>
      </w:tblPr>
      <w:tblGrid>
        <w:gridCol w:w="9072"/>
      </w:tblGrid>
      <w:tr w:rsidR="005C7DA5" w:rsidRPr="00B66333" w14:paraId="35B982B6" w14:textId="77777777" w:rsidTr="00AE7B9E">
        <w:tc>
          <w:tcPr>
            <w:tcW w:w="9072" w:type="dxa"/>
            <w:shd w:val="clear" w:color="auto" w:fill="DBE5F1" w:themeFill="accent1" w:themeFillTint="33"/>
          </w:tcPr>
          <w:p w14:paraId="177D66EE" w14:textId="18A7B35E" w:rsidR="005C7DA5" w:rsidRPr="007772B8" w:rsidRDefault="005C7DA5" w:rsidP="00AE7B9E">
            <w:pPr>
              <w:pStyle w:val="1GAPara"/>
              <w:numPr>
                <w:ilvl w:val="0"/>
                <w:numId w:val="8"/>
              </w:numPr>
              <w:ind w:left="453" w:hanging="425"/>
              <w:rPr>
                <w:lang w:val="en-GB"/>
              </w:rPr>
            </w:pPr>
            <w:r w:rsidRPr="007772B8">
              <w:rPr>
                <w:lang w:val="en-GB"/>
              </w:rPr>
              <w:t>Topic 1: Improving access to and increasing the visibility of the Register of Good Safeguarding Practices</w:t>
            </w:r>
          </w:p>
          <w:p w14:paraId="40E274DA" w14:textId="1A75AE1F" w:rsidR="005C7DA5" w:rsidRPr="007772B8" w:rsidRDefault="005C7DA5" w:rsidP="00AE7B9E">
            <w:pPr>
              <w:pStyle w:val="1GAPara"/>
              <w:numPr>
                <w:ilvl w:val="0"/>
                <w:numId w:val="8"/>
              </w:numPr>
              <w:ind w:left="453" w:hanging="425"/>
              <w:rPr>
                <w:lang w:val="en-GB"/>
              </w:rPr>
            </w:pPr>
            <w:r w:rsidRPr="007772B8">
              <w:rPr>
                <w:lang w:val="en-GB"/>
              </w:rPr>
              <w:t>Topic 2: Towards the creation of an ‘observatory’ for sharing good safeguarding practices</w:t>
            </w:r>
          </w:p>
          <w:p w14:paraId="44421201" w14:textId="499EAF5D" w:rsidR="005C7DA5" w:rsidRPr="007772B8" w:rsidRDefault="005C7DA5" w:rsidP="00AE7B9E">
            <w:pPr>
              <w:pStyle w:val="1GAPara"/>
              <w:numPr>
                <w:ilvl w:val="0"/>
                <w:numId w:val="8"/>
              </w:numPr>
              <w:ind w:left="453" w:hanging="425"/>
              <w:rPr>
                <w:lang w:val="en-GB"/>
              </w:rPr>
            </w:pPr>
            <w:r w:rsidRPr="007772B8">
              <w:rPr>
                <w:lang w:val="en-GB"/>
              </w:rPr>
              <w:t>Topic 3: Any other issues to be identified</w:t>
            </w:r>
          </w:p>
        </w:tc>
      </w:tr>
    </w:tbl>
    <w:p w14:paraId="358CAE33" w14:textId="7577D7E2" w:rsidR="00C856B4" w:rsidRPr="007772B8" w:rsidRDefault="00C856B4" w:rsidP="00AE7B9E">
      <w:pPr>
        <w:pStyle w:val="1GAPara"/>
        <w:keepNext/>
        <w:numPr>
          <w:ilvl w:val="0"/>
          <w:numId w:val="0"/>
        </w:numPr>
        <w:spacing w:before="240"/>
        <w:rPr>
          <w:b/>
          <w:bCs/>
          <w:lang w:val="en-GB"/>
        </w:rPr>
      </w:pPr>
      <w:r w:rsidRPr="007772B8">
        <w:rPr>
          <w:b/>
          <w:bCs/>
          <w:lang w:val="en-GB"/>
        </w:rPr>
        <w:lastRenderedPageBreak/>
        <w:t>Category VI meeting of experts</w:t>
      </w:r>
    </w:p>
    <w:p w14:paraId="385F3AB7" w14:textId="089BD1A8" w:rsidR="00C97FCB" w:rsidRPr="007772B8" w:rsidRDefault="00C97FCB" w:rsidP="00AE7B9E">
      <w:pPr>
        <w:pStyle w:val="1GAPara"/>
        <w:keepLines/>
        <w:spacing w:before="120"/>
        <w:ind w:left="567" w:hanging="567"/>
        <w:rPr>
          <w:lang w:val="en-GB"/>
        </w:rPr>
      </w:pPr>
      <w:r w:rsidRPr="007772B8">
        <w:rPr>
          <w:lang w:val="en-GB"/>
        </w:rPr>
        <w:t xml:space="preserve">The present meeting of experts is </w:t>
      </w:r>
      <w:r w:rsidR="00935E00" w:rsidRPr="007772B8">
        <w:rPr>
          <w:lang w:val="en-GB"/>
        </w:rPr>
        <w:t xml:space="preserve">planned </w:t>
      </w:r>
      <w:r w:rsidRPr="007772B8">
        <w:rPr>
          <w:lang w:val="en-GB"/>
        </w:rPr>
        <w:t>to take place</w:t>
      </w:r>
      <w:r w:rsidR="00291191" w:rsidRPr="007772B8">
        <w:rPr>
          <w:lang w:val="en-GB"/>
        </w:rPr>
        <w:t xml:space="preserve"> at Stora Sessionssalen, National Heritage Board of Sweden</w:t>
      </w:r>
      <w:r w:rsidRPr="007772B8">
        <w:rPr>
          <w:lang w:val="en-GB"/>
        </w:rPr>
        <w:t xml:space="preserve"> </w:t>
      </w:r>
      <w:r w:rsidR="00291191" w:rsidRPr="007772B8">
        <w:rPr>
          <w:lang w:val="en-GB"/>
        </w:rPr>
        <w:t>(</w:t>
      </w:r>
      <w:r w:rsidR="00291191" w:rsidRPr="00AE7B9E">
        <w:rPr>
          <w:lang w:val="en-GB"/>
        </w:rPr>
        <w:t>Riksantikvarieämbetet</w:t>
      </w:r>
      <w:r w:rsidR="00291191" w:rsidRPr="007772B8">
        <w:rPr>
          <w:lang w:val="en-GB"/>
        </w:rPr>
        <w:t xml:space="preserve">) </w:t>
      </w:r>
      <w:r w:rsidRPr="007772B8">
        <w:rPr>
          <w:lang w:val="en-GB"/>
        </w:rPr>
        <w:t xml:space="preserve">from 19 to 21 April 2023 in Stockholm, </w:t>
      </w:r>
      <w:r w:rsidR="00291191" w:rsidRPr="007772B8">
        <w:rPr>
          <w:lang w:val="en-GB"/>
        </w:rPr>
        <w:t>co-</w:t>
      </w:r>
      <w:r w:rsidRPr="007772B8">
        <w:rPr>
          <w:lang w:val="en-GB"/>
        </w:rPr>
        <w:t>hosted by the Ministry of Culture of</w:t>
      </w:r>
      <w:r w:rsidR="005C58D3" w:rsidRPr="007772B8">
        <w:rPr>
          <w:lang w:val="en-GB"/>
        </w:rPr>
        <w:t xml:space="preserve"> Sweden</w:t>
      </w:r>
      <w:r w:rsidRPr="007772B8">
        <w:rPr>
          <w:lang w:val="en-GB"/>
        </w:rPr>
        <w:t>, the Swedish National Commission for UNESCO</w:t>
      </w:r>
      <w:r w:rsidR="00291191" w:rsidRPr="007772B8">
        <w:rPr>
          <w:lang w:val="en-GB"/>
        </w:rPr>
        <w:t>,</w:t>
      </w:r>
      <w:r w:rsidRPr="007772B8">
        <w:rPr>
          <w:lang w:val="en-GB"/>
        </w:rPr>
        <w:t xml:space="preserve"> </w:t>
      </w:r>
      <w:r w:rsidR="00291191" w:rsidRPr="007772B8">
        <w:rPr>
          <w:lang w:val="en-GB"/>
        </w:rPr>
        <w:t xml:space="preserve">and the Institute of Language and Folklore </w:t>
      </w:r>
      <w:r w:rsidRPr="007772B8">
        <w:rPr>
          <w:lang w:val="en-GB"/>
        </w:rPr>
        <w:t xml:space="preserve">(document </w:t>
      </w:r>
      <w:hyperlink r:id="rId22" w:history="1">
        <w:r w:rsidR="00291191" w:rsidRPr="00C9296C">
          <w:rPr>
            <w:rStyle w:val="Hyperlink"/>
            <w:lang w:val="en-GB"/>
          </w:rPr>
          <w:t>LHE/23/EXP ART18/INF.</w:t>
        </w:r>
        <w:r w:rsidR="00B22024" w:rsidRPr="00C9296C">
          <w:rPr>
            <w:rStyle w:val="Hyperlink"/>
            <w:lang w:val="en-GB"/>
          </w:rPr>
          <w:t>1.</w:t>
        </w:r>
        <w:r w:rsidR="00291191" w:rsidRPr="00C9296C">
          <w:rPr>
            <w:rStyle w:val="Hyperlink"/>
            <w:lang w:val="en-GB"/>
          </w:rPr>
          <w:t>1</w:t>
        </w:r>
      </w:hyperlink>
      <w:r w:rsidRPr="007772B8">
        <w:rPr>
          <w:lang w:val="en-GB"/>
        </w:rPr>
        <w:t>)</w:t>
      </w:r>
      <w:r w:rsidR="00291191" w:rsidRPr="007772B8">
        <w:rPr>
          <w:lang w:val="en-GB"/>
        </w:rPr>
        <w:t>.</w:t>
      </w:r>
    </w:p>
    <w:p w14:paraId="11038441" w14:textId="5C1EEE53" w:rsidR="00665001" w:rsidRPr="00AE7B9E" w:rsidRDefault="00EA28F3" w:rsidP="00AE7B9E">
      <w:pPr>
        <w:pStyle w:val="1GAPara"/>
        <w:spacing w:before="120"/>
        <w:ind w:left="567" w:hanging="567"/>
        <w:rPr>
          <w:lang w:val="en-GB"/>
        </w:rPr>
      </w:pPr>
      <w:r w:rsidRPr="007772B8">
        <w:rPr>
          <w:lang w:val="en-GB"/>
        </w:rPr>
        <w:t>For the present meeting, twenty-five experts were identified</w:t>
      </w:r>
      <w:r w:rsidR="002868ED" w:rsidRPr="007772B8">
        <w:rPr>
          <w:lang w:val="en-GB"/>
        </w:rPr>
        <w:t xml:space="preserve">, as </w:t>
      </w:r>
      <w:r w:rsidR="00034D52" w:rsidRPr="007772B8">
        <w:rPr>
          <w:lang w:val="en-GB"/>
        </w:rPr>
        <w:t>included</w:t>
      </w:r>
      <w:r w:rsidR="002868ED" w:rsidRPr="007772B8">
        <w:rPr>
          <w:lang w:val="en-GB"/>
        </w:rPr>
        <w:t xml:space="preserve"> in the list of participants (</w:t>
      </w:r>
      <w:r w:rsidR="005257F2" w:rsidRPr="007772B8">
        <w:rPr>
          <w:lang w:val="en-GB"/>
        </w:rPr>
        <w:t xml:space="preserve">document </w:t>
      </w:r>
      <w:hyperlink r:id="rId23" w:history="1">
        <w:r w:rsidR="002868ED" w:rsidRPr="00C9296C">
          <w:rPr>
            <w:rStyle w:val="Hyperlink"/>
            <w:lang w:val="en-GB"/>
          </w:rPr>
          <w:t>LHE/23/EXP ART18/</w:t>
        </w:r>
        <w:r w:rsidR="005257F2" w:rsidRPr="00C9296C">
          <w:rPr>
            <w:rStyle w:val="Hyperlink"/>
            <w:lang w:val="en-GB"/>
          </w:rPr>
          <w:t>INF</w:t>
        </w:r>
        <w:r w:rsidR="00C9296C">
          <w:rPr>
            <w:rStyle w:val="Hyperlink"/>
            <w:lang w:val="en-GB"/>
          </w:rPr>
          <w:t>.1</w:t>
        </w:r>
        <w:r w:rsidR="005257F2" w:rsidRPr="00C9296C">
          <w:rPr>
            <w:rStyle w:val="Hyperlink"/>
            <w:lang w:val="en-GB"/>
          </w:rPr>
          <w:t>.</w:t>
        </w:r>
        <w:r w:rsidR="002868ED" w:rsidRPr="00C9296C">
          <w:rPr>
            <w:rStyle w:val="Hyperlink"/>
            <w:lang w:val="en-GB"/>
          </w:rPr>
          <w:t>2</w:t>
        </w:r>
      </w:hyperlink>
      <w:r w:rsidR="002868ED" w:rsidRPr="007772B8">
        <w:rPr>
          <w:lang w:val="en-GB"/>
        </w:rPr>
        <w:t>)</w:t>
      </w:r>
      <w:r w:rsidR="00034D52" w:rsidRPr="007772B8">
        <w:rPr>
          <w:lang w:val="en-GB"/>
        </w:rPr>
        <w:t>,</w:t>
      </w:r>
      <w:r w:rsidRPr="007772B8">
        <w:rPr>
          <w:lang w:val="en-GB"/>
        </w:rPr>
        <w:t xml:space="preserve"> through a call requesting that States Parties</w:t>
      </w:r>
      <w:r w:rsidR="005C58D3" w:rsidRPr="007772B8">
        <w:rPr>
          <w:lang w:val="en-GB"/>
        </w:rPr>
        <w:t xml:space="preserve"> </w:t>
      </w:r>
      <w:r w:rsidRPr="007772B8">
        <w:rPr>
          <w:lang w:val="en-GB"/>
        </w:rPr>
        <w:t xml:space="preserve">nominate </w:t>
      </w:r>
      <w:r w:rsidR="005C58D3" w:rsidRPr="007772B8">
        <w:rPr>
          <w:lang w:val="en-GB"/>
        </w:rPr>
        <w:t>appropriate</w:t>
      </w:r>
      <w:r w:rsidRPr="007772B8">
        <w:rPr>
          <w:lang w:val="en-GB"/>
        </w:rPr>
        <w:t xml:space="preserve"> experts, taking into account their profiles</w:t>
      </w:r>
      <w:r w:rsidR="005C58D3" w:rsidRPr="007772B8">
        <w:rPr>
          <w:lang w:val="en-GB"/>
        </w:rPr>
        <w:t xml:space="preserve"> and</w:t>
      </w:r>
      <w:r w:rsidRPr="007772B8">
        <w:rPr>
          <w:lang w:val="en-GB"/>
        </w:rPr>
        <w:t xml:space="preserve"> experience, </w:t>
      </w:r>
      <w:r w:rsidR="005C58D3" w:rsidRPr="007772B8">
        <w:rPr>
          <w:lang w:val="en-GB"/>
        </w:rPr>
        <w:t>as well as criteria suc</w:t>
      </w:r>
      <w:r w:rsidR="0037482D" w:rsidRPr="007772B8">
        <w:rPr>
          <w:lang w:val="en-GB"/>
        </w:rPr>
        <w:t>h</w:t>
      </w:r>
      <w:r w:rsidR="005C58D3" w:rsidRPr="007772B8">
        <w:rPr>
          <w:lang w:val="en-GB"/>
        </w:rPr>
        <w:t xml:space="preserve"> as </w:t>
      </w:r>
      <w:r w:rsidRPr="007772B8">
        <w:rPr>
          <w:lang w:val="en-GB"/>
        </w:rPr>
        <w:t>geographical balance and gender.</w:t>
      </w:r>
      <w:r w:rsidR="00291191" w:rsidRPr="00AE7B9E">
        <w:rPr>
          <w:lang w:val="en-GB"/>
        </w:rPr>
        <w:t xml:space="preserve"> </w:t>
      </w:r>
      <w:r w:rsidR="005C58D3" w:rsidRPr="00AE7B9E">
        <w:rPr>
          <w:lang w:val="en-GB"/>
        </w:rPr>
        <w:t xml:space="preserve">Since </w:t>
      </w:r>
      <w:r w:rsidR="00291191" w:rsidRPr="00AE7B9E">
        <w:rPr>
          <w:lang w:val="en-GB"/>
        </w:rPr>
        <w:t>this gathering is organized as a category VI meeting</w:t>
      </w:r>
      <w:r w:rsidR="005C58D3" w:rsidRPr="00AE7B9E">
        <w:rPr>
          <w:lang w:val="en-GB"/>
        </w:rPr>
        <w:t>,</w:t>
      </w:r>
      <w:r w:rsidR="00291191" w:rsidRPr="00AE7B9E">
        <w:rPr>
          <w:lang w:val="en-GB"/>
        </w:rPr>
        <w:t xml:space="preserve"> </w:t>
      </w:r>
      <w:r w:rsidR="005C58D3" w:rsidRPr="00AE7B9E">
        <w:rPr>
          <w:lang w:val="en-GB"/>
        </w:rPr>
        <w:t>t</w:t>
      </w:r>
      <w:r w:rsidR="00291191" w:rsidRPr="00AE7B9E">
        <w:rPr>
          <w:lang w:val="en-GB"/>
        </w:rPr>
        <w:t xml:space="preserve">he experts will </w:t>
      </w:r>
      <w:r w:rsidR="005C58D3" w:rsidRPr="00AE7B9E">
        <w:rPr>
          <w:lang w:val="en-GB"/>
        </w:rPr>
        <w:t xml:space="preserve">participate </w:t>
      </w:r>
      <w:r w:rsidR="00291191" w:rsidRPr="00AE7B9E">
        <w:rPr>
          <w:lang w:val="en-GB"/>
        </w:rPr>
        <w:t xml:space="preserve">in </w:t>
      </w:r>
      <w:r w:rsidR="00F02EA1" w:rsidRPr="00AE7B9E">
        <w:rPr>
          <w:lang w:val="en-GB"/>
        </w:rPr>
        <w:t xml:space="preserve">a </w:t>
      </w:r>
      <w:r w:rsidR="00291191" w:rsidRPr="00AE7B9E">
        <w:rPr>
          <w:lang w:val="en-GB"/>
        </w:rPr>
        <w:t xml:space="preserve">private capacity and </w:t>
      </w:r>
      <w:r w:rsidR="00F02EA1" w:rsidRPr="00AE7B9E">
        <w:rPr>
          <w:lang w:val="en-GB"/>
        </w:rPr>
        <w:t xml:space="preserve">will </w:t>
      </w:r>
      <w:r w:rsidR="00291191" w:rsidRPr="00AE7B9E">
        <w:rPr>
          <w:lang w:val="en-GB"/>
        </w:rPr>
        <w:t xml:space="preserve">not </w:t>
      </w:r>
      <w:r w:rsidR="005C58D3" w:rsidRPr="00AE7B9E">
        <w:rPr>
          <w:lang w:val="en-GB"/>
        </w:rPr>
        <w:t xml:space="preserve">represent </w:t>
      </w:r>
      <w:r w:rsidR="00291191" w:rsidRPr="00AE7B9E">
        <w:rPr>
          <w:lang w:val="en-GB"/>
        </w:rPr>
        <w:t xml:space="preserve">any particular government or organization. </w:t>
      </w:r>
      <w:r w:rsidR="00665001" w:rsidRPr="00AE7B9E">
        <w:rPr>
          <w:lang w:val="en-GB"/>
        </w:rPr>
        <w:t xml:space="preserve">They are not asked to offer a unified recommendation or consensus position on the above topics (the recommendations made during the meeting will not be ascribed to any participant by name.), but to frame as clearly as possible alternative positions and their anticipated arguments and </w:t>
      </w:r>
      <w:proofErr w:type="gramStart"/>
      <w:r w:rsidR="00665001" w:rsidRPr="00AE7B9E">
        <w:rPr>
          <w:lang w:val="en-GB"/>
        </w:rPr>
        <w:t>counter</w:t>
      </w:r>
      <w:r w:rsidR="00665001" w:rsidRPr="00AE7B9E">
        <w:rPr>
          <w:rFonts w:ascii="Cambria Math" w:hAnsi="Cambria Math" w:cs="Cambria Math" w:hint="eastAsia"/>
          <w:lang w:val="en-GB"/>
        </w:rPr>
        <w:t>‐</w:t>
      </w:r>
      <w:r w:rsidR="00665001" w:rsidRPr="00AE7B9E">
        <w:rPr>
          <w:lang w:val="en-GB"/>
        </w:rPr>
        <w:t>arguments</w:t>
      </w:r>
      <w:proofErr w:type="gramEnd"/>
      <w:r w:rsidR="00665001" w:rsidRPr="00AE7B9E">
        <w:rPr>
          <w:lang w:val="en-GB"/>
        </w:rPr>
        <w:t>. Should there be certain issues on which a consensus emerges among the experts, such will be reported, but that is not the primary objective of the present meeting.</w:t>
      </w:r>
    </w:p>
    <w:p w14:paraId="242C2E5B" w14:textId="69D483AB" w:rsidR="00291191" w:rsidRPr="007772B8" w:rsidRDefault="00F02EA1" w:rsidP="00AE7B9E">
      <w:pPr>
        <w:pStyle w:val="1GAPara"/>
        <w:spacing w:before="120"/>
        <w:ind w:left="567" w:hanging="567"/>
        <w:rPr>
          <w:lang w:val="en-GB"/>
        </w:rPr>
      </w:pPr>
      <w:r w:rsidRPr="007772B8">
        <w:rPr>
          <w:lang w:val="en-GB"/>
        </w:rPr>
        <w:t xml:space="preserve">It is proposed that the </w:t>
      </w:r>
      <w:r w:rsidR="00FD5A35" w:rsidRPr="007772B8">
        <w:rPr>
          <w:lang w:val="en-GB"/>
        </w:rPr>
        <w:t>meeting</w:t>
      </w:r>
      <w:r w:rsidR="00C3665D" w:rsidRPr="007772B8">
        <w:rPr>
          <w:lang w:val="en-GB"/>
        </w:rPr>
        <w:t xml:space="preserve"> be structured along the three </w:t>
      </w:r>
      <w:r w:rsidR="00A75932" w:rsidRPr="007772B8">
        <w:rPr>
          <w:lang w:val="en-GB"/>
        </w:rPr>
        <w:t>aforementioned</w:t>
      </w:r>
      <w:r w:rsidR="00C3665D" w:rsidRPr="007772B8">
        <w:rPr>
          <w:lang w:val="en-GB"/>
        </w:rPr>
        <w:t xml:space="preserve"> topics</w:t>
      </w:r>
      <w:r w:rsidR="00A75932" w:rsidRPr="007772B8">
        <w:rPr>
          <w:lang w:val="en-GB"/>
        </w:rPr>
        <w:t xml:space="preserve">, </w:t>
      </w:r>
      <w:r w:rsidR="00FD5A35" w:rsidRPr="007772B8">
        <w:rPr>
          <w:lang w:val="en-GB"/>
        </w:rPr>
        <w:t xml:space="preserve">– see </w:t>
      </w:r>
      <w:r w:rsidR="0037482D" w:rsidRPr="007772B8">
        <w:rPr>
          <w:lang w:val="en-GB"/>
        </w:rPr>
        <w:t xml:space="preserve">also </w:t>
      </w:r>
      <w:r w:rsidRPr="007772B8">
        <w:rPr>
          <w:lang w:val="en-GB"/>
        </w:rPr>
        <w:t xml:space="preserve">the </w:t>
      </w:r>
      <w:r w:rsidR="00FD5A35" w:rsidRPr="007772B8">
        <w:rPr>
          <w:lang w:val="en-GB"/>
        </w:rPr>
        <w:t xml:space="preserve">agenda and timetable of the meeting (document </w:t>
      </w:r>
      <w:hyperlink r:id="rId24" w:history="1">
        <w:r w:rsidR="00FD5A35" w:rsidRPr="006F17AF">
          <w:rPr>
            <w:rStyle w:val="Hyperlink"/>
            <w:lang w:val="en-GB"/>
          </w:rPr>
          <w:t>LHE/23/EXP ART18/1</w:t>
        </w:r>
      </w:hyperlink>
      <w:r w:rsidR="00FD5A35" w:rsidRPr="007772B8">
        <w:rPr>
          <w:lang w:val="en-GB"/>
        </w:rPr>
        <w:t xml:space="preserve">). For each topic, a short plenary session will first outline </w:t>
      </w:r>
      <w:r w:rsidRPr="007772B8">
        <w:rPr>
          <w:lang w:val="en-GB"/>
        </w:rPr>
        <w:t xml:space="preserve">the </w:t>
      </w:r>
      <w:r w:rsidR="00FD5A35" w:rsidRPr="007772B8">
        <w:rPr>
          <w:lang w:val="en-GB"/>
        </w:rPr>
        <w:t>main issues to be discussed</w:t>
      </w:r>
      <w:r w:rsidR="0037482D" w:rsidRPr="007772B8">
        <w:rPr>
          <w:lang w:val="en-GB"/>
        </w:rPr>
        <w:t xml:space="preserve">; </w:t>
      </w:r>
      <w:r w:rsidR="00FD5A35" w:rsidRPr="007772B8">
        <w:rPr>
          <w:lang w:val="en-GB"/>
        </w:rPr>
        <w:t>breakout discussion</w:t>
      </w:r>
      <w:r w:rsidR="00B8632F" w:rsidRPr="007772B8">
        <w:rPr>
          <w:lang w:val="en-GB"/>
        </w:rPr>
        <w:t>s</w:t>
      </w:r>
      <w:r w:rsidR="00FD5A35" w:rsidRPr="007772B8">
        <w:rPr>
          <w:lang w:val="en-GB"/>
        </w:rPr>
        <w:t xml:space="preserve"> </w:t>
      </w:r>
      <w:r w:rsidR="0037482D" w:rsidRPr="007772B8">
        <w:rPr>
          <w:lang w:val="en-GB"/>
        </w:rPr>
        <w:t xml:space="preserve">will then be organized </w:t>
      </w:r>
      <w:r w:rsidR="00FD5A35" w:rsidRPr="007772B8">
        <w:rPr>
          <w:lang w:val="en-GB"/>
        </w:rPr>
        <w:t xml:space="preserve">in two groups </w:t>
      </w:r>
      <w:r w:rsidR="00B8632F" w:rsidRPr="007772B8">
        <w:rPr>
          <w:lang w:val="en-GB"/>
        </w:rPr>
        <w:t>(</w:t>
      </w:r>
      <w:r w:rsidR="00FD5A35" w:rsidRPr="007772B8">
        <w:rPr>
          <w:lang w:val="en-GB"/>
        </w:rPr>
        <w:t>the experts will be assigned to groups as indicated in the agenda and timetable</w:t>
      </w:r>
      <w:r w:rsidR="00B8632F" w:rsidRPr="007772B8">
        <w:rPr>
          <w:lang w:val="en-GB"/>
        </w:rPr>
        <w:t xml:space="preserve">). Specific background information for each of these topics </w:t>
      </w:r>
      <w:r w:rsidR="0037482D" w:rsidRPr="007772B8">
        <w:rPr>
          <w:lang w:val="en-GB"/>
        </w:rPr>
        <w:t xml:space="preserve">is </w:t>
      </w:r>
      <w:r w:rsidR="00B8632F" w:rsidRPr="007772B8">
        <w:rPr>
          <w:lang w:val="en-GB"/>
        </w:rPr>
        <w:t xml:space="preserve">provided in the main working document of the present expert meeting (document </w:t>
      </w:r>
      <w:hyperlink r:id="rId25" w:history="1">
        <w:r w:rsidR="00B8632F" w:rsidRPr="006F17AF">
          <w:rPr>
            <w:rStyle w:val="Hyperlink"/>
            <w:lang w:val="en-GB"/>
          </w:rPr>
          <w:t>LHE/23/EXP ART 18/3</w:t>
        </w:r>
      </w:hyperlink>
      <w:r w:rsidR="00B8632F" w:rsidRPr="007772B8">
        <w:rPr>
          <w:lang w:val="en-GB"/>
        </w:rPr>
        <w:t xml:space="preserve">). The results of </w:t>
      </w:r>
      <w:r w:rsidR="00D37CB8" w:rsidRPr="007772B8">
        <w:rPr>
          <w:lang w:val="en-GB"/>
        </w:rPr>
        <w:t>the work of the breakout groups on</w:t>
      </w:r>
      <w:r w:rsidRPr="007772B8">
        <w:rPr>
          <w:lang w:val="en-GB"/>
        </w:rPr>
        <w:t xml:space="preserve"> the</w:t>
      </w:r>
      <w:r w:rsidR="00D37CB8" w:rsidRPr="007772B8">
        <w:rPr>
          <w:lang w:val="en-GB"/>
        </w:rPr>
        <w:t xml:space="preserve"> three topics will be presented in plenary. It is expected that </w:t>
      </w:r>
      <w:r w:rsidRPr="007772B8">
        <w:rPr>
          <w:lang w:val="en-GB"/>
        </w:rPr>
        <w:t>t</w:t>
      </w:r>
      <w:r w:rsidR="00D37CB8" w:rsidRPr="007772B8">
        <w:rPr>
          <w:lang w:val="en-GB"/>
        </w:rPr>
        <w:t xml:space="preserve">he results of the expert meeting will be formulated </w:t>
      </w:r>
      <w:r w:rsidR="0037482D" w:rsidRPr="007772B8">
        <w:rPr>
          <w:lang w:val="en-GB"/>
        </w:rPr>
        <w:t>on the three reflection topics that will be presented to</w:t>
      </w:r>
      <w:r w:rsidR="00D37CB8" w:rsidRPr="007772B8">
        <w:rPr>
          <w:lang w:val="en-GB"/>
        </w:rPr>
        <w:t xml:space="preserve"> the Open-ended intergovernmental working group</w:t>
      </w:r>
      <w:r w:rsidR="00856B2A" w:rsidRPr="007772B8">
        <w:rPr>
          <w:lang w:val="en-GB"/>
        </w:rPr>
        <w:t xml:space="preserve"> on the reflection</w:t>
      </w:r>
      <w:r w:rsidR="00D37CB8" w:rsidRPr="007772B8">
        <w:rPr>
          <w:lang w:val="en-GB"/>
        </w:rPr>
        <w:t>, to be organi</w:t>
      </w:r>
      <w:r w:rsidRPr="007772B8">
        <w:rPr>
          <w:lang w:val="en-GB"/>
        </w:rPr>
        <w:t>z</w:t>
      </w:r>
      <w:r w:rsidR="00D37CB8" w:rsidRPr="007772B8">
        <w:rPr>
          <w:lang w:val="en-GB"/>
        </w:rPr>
        <w:t>ed in July 2023.</w:t>
      </w:r>
    </w:p>
    <w:p w14:paraId="3ED3F168" w14:textId="658E274E" w:rsidR="00A50DE6" w:rsidRPr="007772B8" w:rsidRDefault="00A50DE6">
      <w:pPr>
        <w:rPr>
          <w:rFonts w:ascii="Arial" w:eastAsia="DengXian" w:hAnsi="Arial" w:cs="Arial"/>
          <w:snapToGrid w:val="0"/>
          <w:sz w:val="22"/>
          <w:szCs w:val="22"/>
          <w:lang w:val="en-GB" w:eastAsia="zh-CN"/>
        </w:rPr>
      </w:pPr>
      <w:r w:rsidRPr="007772B8">
        <w:rPr>
          <w:rFonts w:ascii="Arial" w:eastAsia="DengXian" w:hAnsi="Arial" w:cs="Arial"/>
          <w:snapToGrid w:val="0"/>
          <w:sz w:val="22"/>
          <w:szCs w:val="22"/>
          <w:lang w:val="en-GB" w:eastAsia="zh-CN"/>
        </w:rPr>
        <w:br w:type="page"/>
      </w:r>
    </w:p>
    <w:p w14:paraId="4A50A589" w14:textId="397C1C60" w:rsidR="00C01170" w:rsidRPr="007772B8" w:rsidRDefault="00C01170" w:rsidP="00AE7B9E">
      <w:pPr>
        <w:pStyle w:val="1GAPara"/>
        <w:numPr>
          <w:ilvl w:val="0"/>
          <w:numId w:val="0"/>
        </w:numPr>
        <w:spacing w:before="240" w:after="240"/>
        <w:jc w:val="center"/>
        <w:rPr>
          <w:b/>
          <w:bCs/>
          <w:lang w:val="en-GB"/>
        </w:rPr>
      </w:pPr>
      <w:r w:rsidRPr="007772B8">
        <w:rPr>
          <w:b/>
          <w:bCs/>
          <w:lang w:val="en-GB"/>
        </w:rPr>
        <w:lastRenderedPageBreak/>
        <w:t>Annex</w:t>
      </w:r>
    </w:p>
    <w:p w14:paraId="29B1C045" w14:textId="5B8BAFE2" w:rsidR="003E1329" w:rsidRPr="007772B8" w:rsidRDefault="003E1329" w:rsidP="00AE7B9E">
      <w:pPr>
        <w:pStyle w:val="1GAPara"/>
        <w:numPr>
          <w:ilvl w:val="0"/>
          <w:numId w:val="0"/>
        </w:numPr>
        <w:spacing w:before="240"/>
        <w:rPr>
          <w:lang w:val="en-GB"/>
        </w:rPr>
      </w:pPr>
      <w:r w:rsidRPr="007772B8">
        <w:rPr>
          <w:b/>
          <w:bCs/>
          <w:lang w:val="en-GB"/>
        </w:rPr>
        <w:t xml:space="preserve">Explanatory note on </w:t>
      </w:r>
      <w:r w:rsidR="009D389F" w:rsidRPr="007772B8">
        <w:rPr>
          <w:b/>
          <w:bCs/>
          <w:lang w:val="en-GB"/>
        </w:rPr>
        <w:t>t</w:t>
      </w:r>
      <w:r w:rsidR="00C01170" w:rsidRPr="007772B8">
        <w:rPr>
          <w:b/>
          <w:bCs/>
          <w:lang w:val="en-GB"/>
        </w:rPr>
        <w:t>he listing system of the 2003 Convention:</w:t>
      </w:r>
    </w:p>
    <w:p w14:paraId="5325104A" w14:textId="582A0DD5" w:rsidR="00974292" w:rsidRPr="007772B8" w:rsidRDefault="00974292" w:rsidP="00AE7B9E">
      <w:pPr>
        <w:pStyle w:val="1GAPara"/>
        <w:numPr>
          <w:ilvl w:val="0"/>
          <w:numId w:val="10"/>
        </w:numPr>
        <w:ind w:left="567" w:hanging="567"/>
        <w:rPr>
          <w:lang w:val="en-GB"/>
        </w:rPr>
      </w:pPr>
      <w:r w:rsidRPr="007772B8">
        <w:rPr>
          <w:b/>
          <w:bCs/>
          <w:lang w:val="en-GB"/>
        </w:rPr>
        <w:t>Procedures</w:t>
      </w:r>
      <w:r w:rsidRPr="007772B8">
        <w:rPr>
          <w:lang w:val="en-GB"/>
        </w:rPr>
        <w:t xml:space="preserve">: The procedures for the submission, evaluation and examination of nomination files </w:t>
      </w:r>
      <w:r w:rsidR="00F02EA1" w:rsidRPr="007772B8">
        <w:rPr>
          <w:lang w:val="en-GB"/>
        </w:rPr>
        <w:t xml:space="preserve">can be </w:t>
      </w:r>
      <w:r w:rsidRPr="007772B8">
        <w:rPr>
          <w:lang w:val="en-GB"/>
        </w:rPr>
        <w:t xml:space="preserve">found in </w:t>
      </w:r>
      <w:r w:rsidR="005E0C8E" w:rsidRPr="007772B8">
        <w:rPr>
          <w:lang w:val="en-GB"/>
        </w:rPr>
        <w:t>sub-c</w:t>
      </w:r>
      <w:r w:rsidRPr="007772B8">
        <w:rPr>
          <w:lang w:val="en-GB"/>
        </w:rPr>
        <w:t xml:space="preserve">hapters </w:t>
      </w:r>
      <w:r w:rsidR="005E0C8E" w:rsidRPr="007772B8">
        <w:rPr>
          <w:lang w:val="en-GB"/>
        </w:rPr>
        <w:t>I.7 to I.10</w:t>
      </w:r>
      <w:r w:rsidRPr="007772B8">
        <w:rPr>
          <w:lang w:val="en-GB"/>
        </w:rPr>
        <w:t xml:space="preserve"> of the Operational Directives. Chapter </w:t>
      </w:r>
      <w:r w:rsidR="00B304CC" w:rsidRPr="007772B8">
        <w:rPr>
          <w:lang w:val="en-GB"/>
        </w:rPr>
        <w:t xml:space="preserve">I.15 </w:t>
      </w:r>
      <w:r w:rsidRPr="007772B8">
        <w:rPr>
          <w:lang w:val="en-GB"/>
        </w:rPr>
        <w:t>includes the timetable for the twenty-one-month inscription cycle. Only States Parties may submit nomination files to the Lists and the Register, using the nomination forms designed specifically for that purpose.</w:t>
      </w:r>
    </w:p>
    <w:p w14:paraId="70FDF52F" w14:textId="4E24AFB7" w:rsidR="00027C4C" w:rsidRPr="007772B8" w:rsidRDefault="00027C4C" w:rsidP="00AE7B9E">
      <w:pPr>
        <w:pStyle w:val="1GAPara"/>
        <w:numPr>
          <w:ilvl w:val="0"/>
          <w:numId w:val="10"/>
        </w:numPr>
        <w:ind w:left="567" w:hanging="567"/>
        <w:rPr>
          <w:lang w:val="en-GB"/>
        </w:rPr>
      </w:pPr>
      <w:r w:rsidRPr="007772B8">
        <w:rPr>
          <w:b/>
          <w:bCs/>
          <w:lang w:val="en-GB"/>
        </w:rPr>
        <w:t>Criteria</w:t>
      </w:r>
      <w:r w:rsidRPr="007772B8">
        <w:rPr>
          <w:lang w:val="en-GB"/>
        </w:rPr>
        <w:t xml:space="preserve">: Submitting States shall demonstrate that their nominations satisfy </w:t>
      </w:r>
      <w:r w:rsidR="00BD330E" w:rsidRPr="007772B8">
        <w:rPr>
          <w:lang w:val="en-GB"/>
        </w:rPr>
        <w:t xml:space="preserve">the appropriate </w:t>
      </w:r>
      <w:r w:rsidRPr="007772B8">
        <w:rPr>
          <w:lang w:val="en-GB"/>
        </w:rPr>
        <w:t xml:space="preserve">set of </w:t>
      </w:r>
      <w:r w:rsidR="00BD330E" w:rsidRPr="007772B8">
        <w:rPr>
          <w:lang w:val="en-GB"/>
        </w:rPr>
        <w:t xml:space="preserve">selection </w:t>
      </w:r>
      <w:r w:rsidRPr="007772B8">
        <w:rPr>
          <w:lang w:val="en-GB"/>
        </w:rPr>
        <w:t xml:space="preserve">criteria. All these criteria </w:t>
      </w:r>
      <w:r w:rsidR="00F02EA1" w:rsidRPr="007772B8">
        <w:rPr>
          <w:lang w:val="en-GB"/>
        </w:rPr>
        <w:t>must</w:t>
      </w:r>
      <w:r w:rsidRPr="007772B8">
        <w:rPr>
          <w:lang w:val="en-GB"/>
        </w:rPr>
        <w:t xml:space="preserve"> be met for an inscription on the Representative Lis </w:t>
      </w:r>
      <w:r w:rsidR="00935E00" w:rsidRPr="007772B8">
        <w:rPr>
          <w:lang w:val="en-GB"/>
        </w:rPr>
        <w:t xml:space="preserve">or </w:t>
      </w:r>
      <w:r w:rsidRPr="007772B8">
        <w:rPr>
          <w:lang w:val="en-GB"/>
        </w:rPr>
        <w:t>the Urgent Safeguarding List to take place, as set out in the Operational Directives. In the case of the Register of Good Safeguarding Practices, ‘best satisfy’</w:t>
      </w:r>
      <w:r w:rsidR="00F02EA1" w:rsidRPr="007772B8">
        <w:rPr>
          <w:lang w:val="en-GB"/>
        </w:rPr>
        <w:t>,</w:t>
      </w:r>
      <w:r w:rsidRPr="007772B8">
        <w:rPr>
          <w:lang w:val="en-GB"/>
        </w:rPr>
        <w:t xml:space="preserve"> </w:t>
      </w:r>
      <w:r w:rsidR="00BD330E" w:rsidRPr="007772B8">
        <w:rPr>
          <w:lang w:val="en-GB"/>
        </w:rPr>
        <w:t xml:space="preserve">as stipulated in paragraph 7 of the Operational Directives, </w:t>
      </w:r>
      <w:r w:rsidRPr="007772B8">
        <w:rPr>
          <w:lang w:val="en-GB"/>
        </w:rPr>
        <w:t xml:space="preserve">has </w:t>
      </w:r>
      <w:r w:rsidR="00F02EA1" w:rsidRPr="007772B8">
        <w:rPr>
          <w:lang w:val="en-GB"/>
        </w:rPr>
        <w:t xml:space="preserve">to date </w:t>
      </w:r>
      <w:r w:rsidRPr="007772B8">
        <w:rPr>
          <w:lang w:val="en-GB"/>
        </w:rPr>
        <w:t>been interpreted to mean that it is not obligatory to satisfy all the criteria.</w:t>
      </w:r>
    </w:p>
    <w:p w14:paraId="0365E1FD" w14:textId="261CC584" w:rsidR="009D389F" w:rsidRPr="007772B8" w:rsidRDefault="009D389F" w:rsidP="00AE7B9E">
      <w:pPr>
        <w:pStyle w:val="1GAPara"/>
        <w:numPr>
          <w:ilvl w:val="0"/>
          <w:numId w:val="10"/>
        </w:numPr>
        <w:ind w:left="567" w:hanging="567"/>
        <w:rPr>
          <w:lang w:val="en-GB"/>
        </w:rPr>
      </w:pPr>
      <w:r w:rsidRPr="007772B8">
        <w:rPr>
          <w:b/>
          <w:bCs/>
          <w:lang w:val="en-GB"/>
        </w:rPr>
        <w:t>Evaluation Body</w:t>
      </w:r>
      <w:r w:rsidRPr="007772B8">
        <w:rPr>
          <w:lang w:val="en-GB"/>
        </w:rPr>
        <w:t>: a consultative body known as the ‘Evaluation Body’ evaluates the nomination files submitted by States Parties</w:t>
      </w:r>
      <w:r w:rsidR="00BD330E" w:rsidRPr="007772B8">
        <w:rPr>
          <w:lang w:val="en-GB"/>
        </w:rPr>
        <w:t>, as stipulated in paragraph 27 of the Operational Directives</w:t>
      </w:r>
      <w:r w:rsidRPr="007772B8">
        <w:rPr>
          <w:lang w:val="en-GB"/>
        </w:rPr>
        <w:t xml:space="preserve">. This body is composed of twelve members: six experts in intangible cultural heritage representatives of States Parties non-members of the Committee and six accredited non-governmental organizations. Following the examination of each file, first individually and then as a group, the Evaluation Body recommends to the Committee which elements to inscribe/select or </w:t>
      </w:r>
      <w:r w:rsidR="00BD330E" w:rsidRPr="007772B8">
        <w:rPr>
          <w:lang w:val="en-GB"/>
        </w:rPr>
        <w:t xml:space="preserve">not to </w:t>
      </w:r>
      <w:r w:rsidRPr="007772B8">
        <w:rPr>
          <w:lang w:val="en-GB"/>
        </w:rPr>
        <w:t>inscribe/select and which nominations or proposals to refer back to the submitting States for additional information.</w:t>
      </w:r>
    </w:p>
    <w:p w14:paraId="407034E8" w14:textId="619E7BDA" w:rsidR="00835CCB" w:rsidRPr="00AE7B9E" w:rsidRDefault="007159A6" w:rsidP="00AE7B9E">
      <w:pPr>
        <w:pStyle w:val="1GAPara"/>
        <w:numPr>
          <w:ilvl w:val="0"/>
          <w:numId w:val="10"/>
        </w:numPr>
        <w:ind w:left="567" w:hanging="567"/>
        <w:rPr>
          <w:lang w:val="en-GB"/>
        </w:rPr>
      </w:pPr>
      <w:r w:rsidRPr="00AE7B9E">
        <w:rPr>
          <w:b/>
          <w:lang w:val="en-GB"/>
        </w:rPr>
        <w:t>Multinational nominations</w:t>
      </w:r>
      <w:r w:rsidRPr="00AE7B9E">
        <w:rPr>
          <w:lang w:val="en-GB"/>
        </w:rPr>
        <w:t xml:space="preserve">: Considering that intangible cultural heritage is often shared by communities </w:t>
      </w:r>
      <w:r w:rsidR="003C2A09" w:rsidRPr="00AE7B9E">
        <w:rPr>
          <w:lang w:val="en-GB"/>
        </w:rPr>
        <w:t xml:space="preserve">present </w:t>
      </w:r>
      <w:r w:rsidRPr="00AE7B9E">
        <w:rPr>
          <w:lang w:val="en-GB"/>
        </w:rPr>
        <w:t xml:space="preserve">on the </w:t>
      </w:r>
      <w:r w:rsidR="003C2A09" w:rsidRPr="00AE7B9E">
        <w:rPr>
          <w:lang w:val="en-GB"/>
        </w:rPr>
        <w:t xml:space="preserve">territory </w:t>
      </w:r>
      <w:r w:rsidRPr="00AE7B9E">
        <w:rPr>
          <w:lang w:val="en-GB"/>
        </w:rPr>
        <w:t>of more than one State</w:t>
      </w:r>
      <w:r w:rsidR="003C2A09" w:rsidRPr="00AE7B9E">
        <w:rPr>
          <w:lang w:val="en-GB"/>
        </w:rPr>
        <w:t xml:space="preserve"> and that international cooperation is one of the key objectives of the 2003 Convention</w:t>
      </w:r>
      <w:r w:rsidRPr="00AE7B9E">
        <w:rPr>
          <w:lang w:val="en-GB"/>
        </w:rPr>
        <w:t xml:space="preserve">, </w:t>
      </w:r>
      <w:r w:rsidR="003C2A09" w:rsidRPr="00AE7B9E">
        <w:rPr>
          <w:lang w:val="en-GB"/>
        </w:rPr>
        <w:t xml:space="preserve">the submission </w:t>
      </w:r>
      <w:r w:rsidRPr="00AE7B9E">
        <w:rPr>
          <w:lang w:val="en-GB"/>
        </w:rPr>
        <w:t xml:space="preserve">of </w:t>
      </w:r>
      <w:r w:rsidRPr="00AE7B9E">
        <w:rPr>
          <w:snapToGrid/>
          <w:lang w:val="en-GB"/>
        </w:rPr>
        <w:t xml:space="preserve">multinational nominations to the Lists and the Register is encouraged </w:t>
      </w:r>
      <w:r w:rsidR="003C2A09" w:rsidRPr="00AE7B9E">
        <w:rPr>
          <w:snapToGrid/>
          <w:lang w:val="en-GB"/>
        </w:rPr>
        <w:t>in</w:t>
      </w:r>
      <w:r w:rsidRPr="00AE7B9E">
        <w:rPr>
          <w:snapToGrid/>
          <w:lang w:val="en-GB"/>
        </w:rPr>
        <w:t xml:space="preserve"> the Operational Directives and by the decisions of the Committee and the recommendations of its Evaluation Bodies. There are currently </w:t>
      </w:r>
      <w:r w:rsidR="00EF69F4" w:rsidRPr="00AE7B9E">
        <w:rPr>
          <w:snapToGrid/>
          <w:lang w:val="en-GB"/>
        </w:rPr>
        <w:t xml:space="preserve">74 </w:t>
      </w:r>
      <w:r w:rsidRPr="00AE7B9E">
        <w:rPr>
          <w:snapToGrid/>
          <w:lang w:val="en-GB"/>
        </w:rPr>
        <w:t xml:space="preserve">multinational elements, corresponding to </w:t>
      </w:r>
      <w:r w:rsidR="00EF69F4" w:rsidRPr="00AE7B9E">
        <w:rPr>
          <w:snapToGrid/>
          <w:lang w:val="en-GB"/>
        </w:rPr>
        <w:t>101</w:t>
      </w:r>
      <w:r w:rsidR="003C2A09" w:rsidRPr="00AE7B9E">
        <w:rPr>
          <w:snapToGrid/>
          <w:lang w:val="en-GB"/>
        </w:rPr>
        <w:t xml:space="preserve"> </w:t>
      </w:r>
      <w:r w:rsidRPr="00AE7B9E">
        <w:rPr>
          <w:snapToGrid/>
          <w:lang w:val="en-GB"/>
        </w:rPr>
        <w:t>countries.</w:t>
      </w:r>
    </w:p>
    <w:p w14:paraId="4BC3F467" w14:textId="6AA762E8" w:rsidR="00013468" w:rsidRPr="00AE7B9E" w:rsidRDefault="00013468" w:rsidP="00AE7B9E">
      <w:pPr>
        <w:pStyle w:val="1GAPara"/>
        <w:numPr>
          <w:ilvl w:val="0"/>
          <w:numId w:val="10"/>
        </w:numPr>
        <w:ind w:left="567" w:hanging="567"/>
        <w:rPr>
          <w:lang w:val="en-GB"/>
        </w:rPr>
      </w:pPr>
      <w:r w:rsidRPr="007772B8">
        <w:rPr>
          <w:b/>
          <w:bCs/>
          <w:lang w:val="en-GB"/>
        </w:rPr>
        <w:t>Transfer of an element</w:t>
      </w:r>
      <w:r w:rsidRPr="00AE7B9E">
        <w:rPr>
          <w:lang w:val="en-GB"/>
        </w:rPr>
        <w:t xml:space="preserve">: The global reflection on the listing mechanisms of the 2003 Convention </w:t>
      </w:r>
      <w:r w:rsidRPr="00AE7B9E">
        <w:rPr>
          <w:rFonts w:eastAsia="Malgun Gothic"/>
          <w:lang w:val="en-GB" w:eastAsia="ko-KR"/>
        </w:rPr>
        <w:t xml:space="preserve">established </w:t>
      </w:r>
      <w:r w:rsidR="00852321" w:rsidRPr="00AE7B9E">
        <w:rPr>
          <w:rFonts w:eastAsia="Malgun Gothic"/>
          <w:lang w:val="en-GB" w:eastAsia="ko-KR"/>
        </w:rPr>
        <w:t xml:space="preserve">a </w:t>
      </w:r>
      <w:r w:rsidRPr="00AE7B9E">
        <w:rPr>
          <w:rFonts w:eastAsia="Malgun Gothic"/>
          <w:lang w:val="en-GB" w:eastAsia="ko-KR"/>
        </w:rPr>
        <w:t xml:space="preserve">procedure for </w:t>
      </w:r>
      <w:r w:rsidR="00935E00" w:rsidRPr="00AE7B9E">
        <w:rPr>
          <w:rFonts w:eastAsia="Malgun Gothic"/>
          <w:lang w:val="en-GB" w:eastAsia="ko-KR"/>
        </w:rPr>
        <w:t xml:space="preserve">the transfer of </w:t>
      </w:r>
      <w:r w:rsidRPr="00AE7B9E">
        <w:rPr>
          <w:rFonts w:eastAsia="Malgun Gothic"/>
          <w:lang w:val="en-GB" w:eastAsia="ko-KR"/>
        </w:rPr>
        <w:t xml:space="preserve">elements between the Lists. </w:t>
      </w:r>
      <w:r w:rsidRPr="00AE7B9E">
        <w:rPr>
          <w:rFonts w:eastAsiaTheme="minorEastAsia"/>
          <w:color w:val="000000"/>
          <w:kern w:val="24"/>
          <w:lang w:val="en-GB"/>
        </w:rPr>
        <w:t xml:space="preserve">The first kind of transfer is from the Representative List to the Urgent Safeguarding List. The procedure includes the possibility </w:t>
      </w:r>
      <w:r w:rsidR="00852321" w:rsidRPr="00AE7B9E">
        <w:rPr>
          <w:rFonts w:eastAsiaTheme="minorEastAsia"/>
          <w:color w:val="000000"/>
          <w:kern w:val="24"/>
          <w:lang w:val="en-GB"/>
        </w:rPr>
        <w:t>of</w:t>
      </w:r>
      <w:r w:rsidRPr="00AE7B9E">
        <w:rPr>
          <w:rFonts w:eastAsiaTheme="minorEastAsia"/>
          <w:color w:val="000000"/>
          <w:kern w:val="24"/>
          <w:lang w:val="en-GB"/>
        </w:rPr>
        <w:t xml:space="preserve"> simultaneously request</w:t>
      </w:r>
      <w:r w:rsidR="00852321" w:rsidRPr="00AE7B9E">
        <w:rPr>
          <w:rFonts w:eastAsiaTheme="minorEastAsia"/>
          <w:color w:val="000000"/>
          <w:kern w:val="24"/>
          <w:lang w:val="en-GB"/>
        </w:rPr>
        <w:t>ing</w:t>
      </w:r>
      <w:r w:rsidRPr="00AE7B9E">
        <w:rPr>
          <w:rFonts w:eastAsiaTheme="minorEastAsia"/>
          <w:color w:val="000000"/>
          <w:kern w:val="24"/>
          <w:lang w:val="en-GB"/>
        </w:rPr>
        <w:t xml:space="preserve"> International Assistance for the implementation of the safeguarding plan. The second kind of transfer is from the Urgent Safeguarding List to the Representative List.</w:t>
      </w:r>
      <w:r w:rsidR="002D6958" w:rsidRPr="00AE7B9E">
        <w:rPr>
          <w:rFonts w:eastAsiaTheme="minorEastAsia"/>
          <w:color w:val="000000"/>
          <w:kern w:val="24"/>
          <w:lang w:val="en-GB"/>
        </w:rPr>
        <w:t xml:space="preserve"> The request is to be submitted together with the submission of periodic reports on the element inscribed on the Urgent Safeguarding List.</w:t>
      </w:r>
      <w:r w:rsidRPr="00AE7B9E">
        <w:rPr>
          <w:rFonts w:eastAsiaTheme="minorEastAsia"/>
          <w:color w:val="000000"/>
          <w:kern w:val="24"/>
          <w:lang w:val="en-GB"/>
        </w:rPr>
        <w:t xml:space="preserve"> There is also an option for the Evaluation Body to recommend, in the event of a successful transfer, that the safeguarding experience be placed on the Register of Good Safeguarding Practices (see paragraph </w:t>
      </w:r>
      <w:r w:rsidR="00821AE7">
        <w:rPr>
          <w:rFonts w:eastAsiaTheme="minorEastAsia"/>
          <w:color w:val="000000"/>
          <w:kern w:val="24"/>
          <w:lang w:val="en-GB"/>
        </w:rPr>
        <w:t>11</w:t>
      </w:r>
      <w:r w:rsidR="00534E1E" w:rsidRPr="00AE7B9E">
        <w:rPr>
          <w:rFonts w:eastAsiaTheme="minorEastAsia"/>
          <w:color w:val="000000"/>
          <w:kern w:val="24"/>
          <w:lang w:val="en-GB"/>
        </w:rPr>
        <w:t>.b of this document</w:t>
      </w:r>
      <w:r w:rsidRPr="00AE7B9E">
        <w:rPr>
          <w:rFonts w:eastAsiaTheme="minorEastAsia"/>
          <w:color w:val="000000"/>
          <w:kern w:val="24"/>
          <w:lang w:val="en-GB"/>
        </w:rPr>
        <w:t>).</w:t>
      </w:r>
    </w:p>
    <w:p w14:paraId="7FFA67C3" w14:textId="6ECD413D" w:rsidR="007159A6" w:rsidRPr="00AE7B9E" w:rsidRDefault="00835CCB" w:rsidP="00AE7B9E">
      <w:pPr>
        <w:pStyle w:val="1GAPara"/>
        <w:numPr>
          <w:ilvl w:val="0"/>
          <w:numId w:val="10"/>
        </w:numPr>
        <w:ind w:left="567" w:hanging="567"/>
        <w:rPr>
          <w:lang w:val="en-GB"/>
        </w:rPr>
      </w:pPr>
      <w:r w:rsidRPr="00AE7B9E">
        <w:rPr>
          <w:b/>
          <w:lang w:val="en-GB"/>
        </w:rPr>
        <w:t>Inscription on an extended or reduced basis</w:t>
      </w:r>
      <w:r w:rsidRPr="00AE7B9E">
        <w:rPr>
          <w:snapToGrid/>
          <w:lang w:val="en-GB"/>
        </w:rPr>
        <w:t xml:space="preserve">: </w:t>
      </w:r>
      <w:r w:rsidR="00D34229" w:rsidRPr="00AE7B9E">
        <w:rPr>
          <w:snapToGrid/>
          <w:lang w:val="en-GB"/>
        </w:rPr>
        <w:t>Elements inscribed</w:t>
      </w:r>
      <w:r w:rsidRPr="00AE7B9E">
        <w:rPr>
          <w:snapToGrid/>
          <w:lang w:val="en-GB"/>
        </w:rPr>
        <w:t xml:space="preserve"> on the Lists of the Convention can be extended to other communities, groups and</w:t>
      </w:r>
      <w:r w:rsidR="00852321" w:rsidRPr="00AE7B9E">
        <w:rPr>
          <w:snapToGrid/>
          <w:lang w:val="en-GB"/>
        </w:rPr>
        <w:t>,</w:t>
      </w:r>
      <w:r w:rsidRPr="00AE7B9E">
        <w:rPr>
          <w:snapToGrid/>
          <w:lang w:val="en-GB"/>
        </w:rPr>
        <w:t xml:space="preserve"> if applicable, individuals, at the national and/or international level. </w:t>
      </w:r>
      <w:r w:rsidR="004755C5" w:rsidRPr="00AE7B9E">
        <w:rPr>
          <w:snapToGrid/>
          <w:lang w:val="en-GB"/>
        </w:rPr>
        <w:t>As a result of the global reflection o</w:t>
      </w:r>
      <w:r w:rsidR="00D34229" w:rsidRPr="00AE7B9E">
        <w:rPr>
          <w:snapToGrid/>
          <w:lang w:val="en-GB"/>
        </w:rPr>
        <w:t>n</w:t>
      </w:r>
      <w:r w:rsidR="004755C5" w:rsidRPr="00AE7B9E">
        <w:rPr>
          <w:snapToGrid/>
          <w:lang w:val="en-GB"/>
        </w:rPr>
        <w:t xml:space="preserve"> the listing mechanisms of the Convention, t</w:t>
      </w:r>
      <w:r w:rsidR="007159A6" w:rsidRPr="00AE7B9E">
        <w:rPr>
          <w:snapToGrid/>
          <w:lang w:val="en-GB"/>
        </w:rPr>
        <w:t xml:space="preserve">he </w:t>
      </w:r>
      <w:r w:rsidR="007159A6" w:rsidRPr="007772B8">
        <w:rPr>
          <w:lang w:val="en-GB"/>
        </w:rPr>
        <w:t>Operational</w:t>
      </w:r>
      <w:r w:rsidR="007159A6" w:rsidRPr="00AE7B9E">
        <w:rPr>
          <w:snapToGrid/>
          <w:lang w:val="en-GB"/>
        </w:rPr>
        <w:t xml:space="preserve"> Directives </w:t>
      </w:r>
      <w:r w:rsidR="004755C5" w:rsidRPr="00AE7B9E">
        <w:rPr>
          <w:snapToGrid/>
          <w:lang w:val="en-GB"/>
        </w:rPr>
        <w:t xml:space="preserve">have been amended to simplify the procedures for </w:t>
      </w:r>
      <w:r w:rsidR="003864E4" w:rsidRPr="00AE7B9E">
        <w:rPr>
          <w:snapToGrid/>
          <w:lang w:val="en-GB"/>
        </w:rPr>
        <w:t xml:space="preserve">inscription on an extended or reduced basis </w:t>
      </w:r>
      <w:r w:rsidR="00D34229" w:rsidRPr="00AE7B9E">
        <w:rPr>
          <w:snapToGrid/>
          <w:lang w:val="en-GB"/>
        </w:rPr>
        <w:t xml:space="preserve">of </w:t>
      </w:r>
      <w:r w:rsidR="004755C5" w:rsidRPr="00AE7B9E">
        <w:rPr>
          <w:snapToGrid/>
          <w:lang w:val="en-GB"/>
        </w:rPr>
        <w:t xml:space="preserve">national </w:t>
      </w:r>
      <w:r w:rsidR="00852321" w:rsidRPr="00AE7B9E">
        <w:rPr>
          <w:snapToGrid/>
          <w:lang w:val="en-GB"/>
        </w:rPr>
        <w:t>and</w:t>
      </w:r>
      <w:r w:rsidR="004755C5" w:rsidRPr="00AE7B9E">
        <w:rPr>
          <w:snapToGrid/>
          <w:lang w:val="en-GB"/>
        </w:rPr>
        <w:t xml:space="preserve"> multinational elements (see sub-chapter I.6 of the Operational Directives).</w:t>
      </w:r>
    </w:p>
    <w:p w14:paraId="3A7A18A2" w14:textId="2104D796" w:rsidR="008D40F4" w:rsidRPr="00AE7B9E" w:rsidRDefault="008D40F4" w:rsidP="00AE7B9E">
      <w:pPr>
        <w:pStyle w:val="1GAPara"/>
        <w:keepLines/>
        <w:numPr>
          <w:ilvl w:val="0"/>
          <w:numId w:val="10"/>
        </w:numPr>
        <w:ind w:left="567" w:hanging="567"/>
        <w:rPr>
          <w:lang w:val="en-GB"/>
        </w:rPr>
      </w:pPr>
      <w:r w:rsidRPr="00AE7B9E">
        <w:rPr>
          <w:b/>
          <w:lang w:val="en-GB"/>
        </w:rPr>
        <w:lastRenderedPageBreak/>
        <w:t>Follow-up of inscribed elements</w:t>
      </w:r>
      <w:r w:rsidRPr="00AE7B9E">
        <w:rPr>
          <w:lang w:val="en-GB"/>
        </w:rPr>
        <w:t xml:space="preserve">: In addition to periodic reporting, which follows a specific timeline </w:t>
      </w:r>
      <w:r w:rsidR="003E1329" w:rsidRPr="00AE7B9E">
        <w:rPr>
          <w:lang w:val="en-GB"/>
        </w:rPr>
        <w:t>for elements inscribed on the Representative List and the Urgent Safeguarding List</w:t>
      </w:r>
      <w:r w:rsidRPr="00AE7B9E">
        <w:rPr>
          <w:lang w:val="en-GB"/>
        </w:rPr>
        <w:t xml:space="preserve">, the follow-up of inscribed elements is </w:t>
      </w:r>
      <w:r w:rsidR="003E1329" w:rsidRPr="00AE7B9E">
        <w:rPr>
          <w:lang w:val="en-GB"/>
        </w:rPr>
        <w:t xml:space="preserve">incidentally also </w:t>
      </w:r>
      <w:r w:rsidRPr="00AE7B9E">
        <w:rPr>
          <w:lang w:val="en-GB"/>
        </w:rPr>
        <w:t xml:space="preserve">carried out </w:t>
      </w:r>
      <w:r w:rsidR="008508A4" w:rsidRPr="00AE7B9E">
        <w:rPr>
          <w:lang w:val="en-GB"/>
        </w:rPr>
        <w:t>according to</w:t>
      </w:r>
      <w:r w:rsidRPr="00AE7B9E">
        <w:rPr>
          <w:lang w:val="en-GB"/>
        </w:rPr>
        <w:t xml:space="preserve"> the guidelines for treating correspondence concerning nominations from the public or other parties concerned, as </w:t>
      </w:r>
      <w:r w:rsidR="003E1329" w:rsidRPr="00AE7B9E">
        <w:rPr>
          <w:lang w:val="en-GB"/>
        </w:rPr>
        <w:t>defined by the Committee (</w:t>
      </w:r>
      <w:r w:rsidRPr="00AE7B9E">
        <w:rPr>
          <w:lang w:val="en-GB"/>
        </w:rPr>
        <w:t xml:space="preserve">Decision </w:t>
      </w:r>
      <w:hyperlink r:id="rId26" w:history="1">
        <w:r w:rsidRPr="00AE7B9E">
          <w:rPr>
            <w:rStyle w:val="Hyperlink"/>
            <w:lang w:val="en-GB"/>
          </w:rPr>
          <w:t>7.COM 15</w:t>
        </w:r>
      </w:hyperlink>
      <w:r w:rsidR="003E1329" w:rsidRPr="00AE7B9E">
        <w:rPr>
          <w:lang w:val="en-GB"/>
        </w:rPr>
        <w:t>)</w:t>
      </w:r>
      <w:r w:rsidR="00254DCC" w:rsidRPr="00AE7B9E">
        <w:rPr>
          <w:lang w:val="en-GB"/>
        </w:rPr>
        <w:t>. The global reflection on the listing mechanisms led to the establishment of a ‘two</w:t>
      </w:r>
      <w:r w:rsidR="00852321" w:rsidRPr="00AE7B9E">
        <w:rPr>
          <w:lang w:val="en-GB"/>
        </w:rPr>
        <w:t>-</w:t>
      </w:r>
      <w:r w:rsidR="00254DCC" w:rsidRPr="00AE7B9E">
        <w:rPr>
          <w:lang w:val="en-GB"/>
        </w:rPr>
        <w:t xml:space="preserve">directional system’ (depending </w:t>
      </w:r>
      <w:r w:rsidR="00852321" w:rsidRPr="00AE7B9E">
        <w:rPr>
          <w:lang w:val="en-GB"/>
        </w:rPr>
        <w:t xml:space="preserve">on </w:t>
      </w:r>
      <w:r w:rsidR="00254DCC" w:rsidRPr="00AE7B9E">
        <w:rPr>
          <w:lang w:val="en-GB"/>
        </w:rPr>
        <w:t xml:space="preserve">whether </w:t>
      </w:r>
      <w:r w:rsidR="003E1329" w:rsidRPr="00AE7B9E">
        <w:rPr>
          <w:lang w:val="en-GB"/>
        </w:rPr>
        <w:t xml:space="preserve">an </w:t>
      </w:r>
      <w:r w:rsidR="00254DCC" w:rsidRPr="00AE7B9E">
        <w:rPr>
          <w:lang w:val="en-GB"/>
        </w:rPr>
        <w:t xml:space="preserve">issue </w:t>
      </w:r>
      <w:r w:rsidR="003E1329" w:rsidRPr="00AE7B9E">
        <w:rPr>
          <w:lang w:val="en-GB"/>
        </w:rPr>
        <w:t>is</w:t>
      </w:r>
      <w:r w:rsidR="00254DCC" w:rsidRPr="00AE7B9E">
        <w:rPr>
          <w:lang w:val="en-GB"/>
        </w:rPr>
        <w:t xml:space="preserve"> raised by </w:t>
      </w:r>
      <w:r w:rsidR="003F570E" w:rsidRPr="00AE7B9E">
        <w:rPr>
          <w:lang w:val="en-GB"/>
        </w:rPr>
        <w:t xml:space="preserve">the </w:t>
      </w:r>
      <w:r w:rsidR="00254DCC" w:rsidRPr="00AE7B9E">
        <w:rPr>
          <w:lang w:val="en-GB"/>
        </w:rPr>
        <w:t>States Parties concerned or by third parties) to follow</w:t>
      </w:r>
      <w:r w:rsidR="003F570E" w:rsidRPr="00AE7B9E">
        <w:rPr>
          <w:lang w:val="en-GB"/>
        </w:rPr>
        <w:t xml:space="preserve"> </w:t>
      </w:r>
      <w:r w:rsidR="00254DCC" w:rsidRPr="00AE7B9E">
        <w:rPr>
          <w:lang w:val="en-GB"/>
        </w:rPr>
        <w:t xml:space="preserve">up </w:t>
      </w:r>
      <w:r w:rsidR="003F570E" w:rsidRPr="00AE7B9E">
        <w:rPr>
          <w:lang w:val="en-GB"/>
        </w:rPr>
        <w:t>on</w:t>
      </w:r>
      <w:r w:rsidR="00254DCC" w:rsidRPr="00AE7B9E">
        <w:rPr>
          <w:lang w:val="en-GB"/>
        </w:rPr>
        <w:t xml:space="preserve"> inscribed elements, including a procedure for an </w:t>
      </w:r>
      <w:r w:rsidR="007772B8" w:rsidRPr="00AE7B9E">
        <w:rPr>
          <w:lang w:val="en-GB"/>
        </w:rPr>
        <w:t>‘</w:t>
      </w:r>
      <w:r w:rsidR="00254DCC" w:rsidRPr="00AE7B9E">
        <w:rPr>
          <w:lang w:val="en-GB"/>
        </w:rPr>
        <w:t>enhanced follow</w:t>
      </w:r>
      <w:r w:rsidR="00852321" w:rsidRPr="00AE7B9E">
        <w:rPr>
          <w:lang w:val="en-GB"/>
        </w:rPr>
        <w:t>-up</w:t>
      </w:r>
      <w:r w:rsidR="007772B8" w:rsidRPr="00AE7B9E">
        <w:rPr>
          <w:lang w:val="en-GB"/>
        </w:rPr>
        <w:t>’</w:t>
      </w:r>
      <w:r w:rsidR="00254DCC" w:rsidRPr="00AE7B9E">
        <w:rPr>
          <w:lang w:val="en-GB"/>
        </w:rPr>
        <w:t xml:space="preserve"> or </w:t>
      </w:r>
      <w:r w:rsidR="00852321" w:rsidRPr="00AE7B9E">
        <w:rPr>
          <w:lang w:val="en-GB"/>
        </w:rPr>
        <w:t xml:space="preserve">the </w:t>
      </w:r>
      <w:r w:rsidR="00254DCC" w:rsidRPr="00AE7B9E">
        <w:rPr>
          <w:lang w:val="en-GB"/>
        </w:rPr>
        <w:t>remov</w:t>
      </w:r>
      <w:r w:rsidR="003E1329" w:rsidRPr="00AE7B9E">
        <w:rPr>
          <w:lang w:val="en-GB"/>
        </w:rPr>
        <w:t>al of</w:t>
      </w:r>
      <w:r w:rsidR="00254DCC" w:rsidRPr="00AE7B9E">
        <w:rPr>
          <w:lang w:val="en-GB"/>
        </w:rPr>
        <w:t xml:space="preserve"> inscribed elements. The implementation of the listing system has so far </w:t>
      </w:r>
      <w:r w:rsidR="008508A4" w:rsidRPr="00AE7B9E">
        <w:rPr>
          <w:lang w:val="en-GB"/>
        </w:rPr>
        <w:t xml:space="preserve">only </w:t>
      </w:r>
      <w:r w:rsidR="003F570E" w:rsidRPr="00AE7B9E">
        <w:rPr>
          <w:lang w:val="en-GB"/>
        </w:rPr>
        <w:t xml:space="preserve">seen </w:t>
      </w:r>
      <w:r w:rsidR="00254DCC" w:rsidRPr="00AE7B9E">
        <w:rPr>
          <w:lang w:val="en-GB"/>
        </w:rPr>
        <w:t xml:space="preserve">the removal of one national element (before the establishment of the formal removal procedure) as well as </w:t>
      </w:r>
      <w:r w:rsidR="003E1329" w:rsidRPr="00AE7B9E">
        <w:rPr>
          <w:lang w:val="en-GB"/>
        </w:rPr>
        <w:t xml:space="preserve">the </w:t>
      </w:r>
      <w:r w:rsidR="00254DCC" w:rsidRPr="00AE7B9E">
        <w:rPr>
          <w:lang w:val="en-GB"/>
        </w:rPr>
        <w:t>partial removal of a multinational element in 2022</w:t>
      </w:r>
      <w:r w:rsidR="00D34229" w:rsidRPr="00AE7B9E">
        <w:rPr>
          <w:lang w:val="en-GB"/>
        </w:rPr>
        <w:t xml:space="preserve"> (Decision </w:t>
      </w:r>
      <w:hyperlink r:id="rId27" w:history="1">
        <w:r w:rsidR="00D34229" w:rsidRPr="00AE7B9E">
          <w:rPr>
            <w:rStyle w:val="Hyperlink"/>
            <w:lang w:val="en-GB"/>
          </w:rPr>
          <w:t>17.COM 8.a</w:t>
        </w:r>
      </w:hyperlink>
      <w:r w:rsidR="00D34229" w:rsidRPr="00AE7B9E">
        <w:rPr>
          <w:lang w:val="en-GB"/>
        </w:rPr>
        <w:t>)</w:t>
      </w:r>
      <w:r w:rsidR="00254DCC" w:rsidRPr="00AE7B9E">
        <w:rPr>
          <w:lang w:val="en-GB"/>
        </w:rPr>
        <w:t>, both from the Representative List.</w:t>
      </w:r>
    </w:p>
    <w:sectPr w:rsidR="008D40F4" w:rsidRPr="00AE7B9E" w:rsidSect="00655736">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FC8F" w14:textId="77777777" w:rsidR="002E1A13" w:rsidRDefault="002E1A13" w:rsidP="00655736">
      <w:r>
        <w:separator/>
      </w:r>
    </w:p>
  </w:endnote>
  <w:endnote w:type="continuationSeparator" w:id="0">
    <w:p w14:paraId="627D419E" w14:textId="77777777" w:rsidR="002E1A13" w:rsidRDefault="002E1A1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C3D2" w14:textId="77777777" w:rsidR="00B66333" w:rsidRDefault="00B66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00B7" w14:textId="77777777" w:rsidR="00B66333" w:rsidRDefault="00B66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8B88" w14:textId="77777777" w:rsidR="00B66333" w:rsidRDefault="00B66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4DD5" w14:textId="77777777" w:rsidR="002E1A13" w:rsidRDefault="002E1A13" w:rsidP="00655736">
      <w:r>
        <w:separator/>
      </w:r>
    </w:p>
  </w:footnote>
  <w:footnote w:type="continuationSeparator" w:id="0">
    <w:p w14:paraId="275ACE4B" w14:textId="77777777" w:rsidR="002E1A13" w:rsidRDefault="002E1A13" w:rsidP="00655736">
      <w:r>
        <w:continuationSeparator/>
      </w:r>
    </w:p>
  </w:footnote>
  <w:footnote w:id="1">
    <w:p w14:paraId="2383CB21" w14:textId="77777777" w:rsidR="006903E6" w:rsidRPr="008B2244" w:rsidRDefault="006903E6" w:rsidP="00AE7B9E">
      <w:pPr>
        <w:pStyle w:val="FootnoteText"/>
        <w:ind w:left="567" w:hanging="567"/>
        <w:rPr>
          <w:rFonts w:asciiTheme="minorBidi" w:hAnsiTheme="minorBidi" w:cstheme="minorBidi"/>
          <w:sz w:val="18"/>
          <w:szCs w:val="18"/>
          <w:lang w:val="en-GB"/>
        </w:rPr>
      </w:pPr>
      <w:r w:rsidRPr="008B2244">
        <w:rPr>
          <w:rStyle w:val="FootnoteReference"/>
          <w:rFonts w:asciiTheme="minorBidi" w:hAnsiTheme="minorBidi" w:cstheme="minorBidi"/>
          <w:sz w:val="18"/>
          <w:szCs w:val="18"/>
          <w:lang w:val="en-GB"/>
        </w:rPr>
        <w:footnoteRef/>
      </w:r>
      <w:r w:rsidRPr="008B2244">
        <w:rPr>
          <w:rFonts w:asciiTheme="minorBidi" w:hAnsiTheme="minorBidi" w:cstheme="minorBidi"/>
          <w:sz w:val="18"/>
          <w:szCs w:val="18"/>
          <w:lang w:val="en-GB"/>
        </w:rPr>
        <w:t xml:space="preserve"> </w:t>
      </w:r>
      <w:r w:rsidRPr="008B2244">
        <w:rPr>
          <w:rFonts w:asciiTheme="minorBidi" w:hAnsiTheme="minorBidi" w:cstheme="minorBidi"/>
          <w:sz w:val="18"/>
          <w:szCs w:val="18"/>
          <w:lang w:val="en-GB"/>
        </w:rPr>
        <w:tab/>
        <w:t>International Meeting of Experts, Intangible Cultural Heritage: Priority Domains for an International Convention: Final Report (22 to 24 January 2002).</w:t>
      </w:r>
    </w:p>
  </w:footnote>
  <w:footnote w:id="2">
    <w:p w14:paraId="14B99434" w14:textId="1492E212" w:rsidR="00717372" w:rsidRPr="007154C3" w:rsidRDefault="00717372" w:rsidP="00AE7B9E">
      <w:pPr>
        <w:pStyle w:val="FootnoteText"/>
        <w:ind w:left="567" w:hanging="567"/>
        <w:rPr>
          <w:rFonts w:asciiTheme="minorBidi" w:hAnsiTheme="minorBidi" w:cstheme="minorBidi"/>
          <w:sz w:val="18"/>
          <w:szCs w:val="18"/>
          <w:lang w:val="en-GB"/>
        </w:rPr>
      </w:pPr>
      <w:r w:rsidRPr="007154C3">
        <w:rPr>
          <w:rStyle w:val="FootnoteReference"/>
          <w:rFonts w:asciiTheme="minorBidi" w:hAnsiTheme="minorBidi" w:cstheme="minorBidi"/>
          <w:sz w:val="18"/>
          <w:szCs w:val="18"/>
        </w:rPr>
        <w:footnoteRef/>
      </w:r>
      <w:r w:rsidR="005769ED">
        <w:rPr>
          <w:rFonts w:asciiTheme="minorBidi" w:hAnsiTheme="minorBidi" w:cstheme="minorBidi"/>
          <w:sz w:val="18"/>
          <w:szCs w:val="18"/>
          <w:lang w:val="en-GB"/>
        </w:rPr>
        <w:tab/>
      </w:r>
      <w:r w:rsidRPr="007154C3">
        <w:rPr>
          <w:rFonts w:asciiTheme="minorBidi" w:hAnsiTheme="minorBidi" w:cstheme="minorBidi"/>
          <w:noProof/>
          <w:sz w:val="18"/>
          <w:szCs w:val="18"/>
          <w:lang w:val="en-GB"/>
        </w:rPr>
        <w:t>For</w:t>
      </w:r>
      <w:r w:rsidRPr="007154C3">
        <w:rPr>
          <w:rFonts w:asciiTheme="minorBidi" w:hAnsiTheme="minorBidi" w:cstheme="minorBidi"/>
          <w:sz w:val="18"/>
          <w:szCs w:val="18"/>
          <w:lang w:val="en-GB"/>
        </w:rPr>
        <w:t xml:space="preserve"> the executive summary and the report of the survey, see </w:t>
      </w:r>
      <w:r w:rsidR="00B66333">
        <w:fldChar w:fldCharType="begin"/>
      </w:r>
      <w:r w:rsidR="00B66333" w:rsidRPr="00B66333">
        <w:rPr>
          <w:lang w:val="en-US"/>
        </w:rPr>
        <w:instrText xml:space="preserve"> HYPERLINK "https://ich.unesco.org/en/lighter-ways-of-sharing-ich-safeguarding-practices-00999" </w:instrText>
      </w:r>
      <w:r w:rsidR="00B66333">
        <w:fldChar w:fldCharType="separate"/>
      </w:r>
      <w:r w:rsidRPr="007154C3">
        <w:rPr>
          <w:rStyle w:val="Hyperlink"/>
          <w:rFonts w:asciiTheme="minorBidi" w:hAnsiTheme="minorBidi" w:cstheme="minorBidi"/>
          <w:sz w:val="18"/>
          <w:szCs w:val="18"/>
          <w:lang w:val="en-GB"/>
        </w:rPr>
        <w:t>here</w:t>
      </w:r>
      <w:r w:rsidR="00B66333">
        <w:rPr>
          <w:rStyle w:val="Hyperlink"/>
          <w:rFonts w:asciiTheme="minorBidi" w:hAnsiTheme="minorBidi" w:cstheme="minorBidi"/>
          <w:sz w:val="18"/>
          <w:szCs w:val="18"/>
          <w:lang w:val="en-GB"/>
        </w:rPr>
        <w:fldChar w:fldCharType="end"/>
      </w:r>
    </w:p>
  </w:footnote>
  <w:footnote w:id="3">
    <w:p w14:paraId="2033ECBE" w14:textId="74D52563" w:rsidR="00090481" w:rsidRPr="00AE7B9E" w:rsidRDefault="00090481" w:rsidP="00AE7B9E">
      <w:pPr>
        <w:pStyle w:val="FootnoteText"/>
        <w:ind w:left="567" w:hanging="567"/>
        <w:rPr>
          <w:rFonts w:asciiTheme="minorBidi" w:hAnsiTheme="minorBidi" w:cstheme="minorBidi"/>
          <w:lang w:val="en-GB"/>
        </w:rPr>
      </w:pPr>
      <w:r>
        <w:rPr>
          <w:rStyle w:val="FootnoteReference"/>
        </w:rPr>
        <w:footnoteRef/>
      </w:r>
      <w:r w:rsidR="005769ED">
        <w:rPr>
          <w:lang w:val="en-GB"/>
        </w:rPr>
        <w:tab/>
      </w:r>
      <w:r w:rsidRPr="00645F5C">
        <w:rPr>
          <w:rFonts w:asciiTheme="minorBidi" w:hAnsiTheme="minorBidi" w:cstheme="minorBidi"/>
          <w:sz w:val="18"/>
          <w:szCs w:val="18"/>
          <w:lang w:val="en-GB"/>
        </w:rPr>
        <w:t xml:space="preserve">See </w:t>
      </w:r>
      <w:r w:rsidR="00B66333">
        <w:fldChar w:fldCharType="begin"/>
      </w:r>
      <w:r w:rsidR="00B66333" w:rsidRPr="00B66333">
        <w:rPr>
          <w:lang w:val="en-US"/>
        </w:rPr>
        <w:instrText xml:space="preserve"> HYPERLINK "https://ich.unesco.org/en/global-reflection-on-the-listing-mechanisms-01164" </w:instrText>
      </w:r>
      <w:r w:rsidR="00B66333">
        <w:fldChar w:fldCharType="separate"/>
      </w:r>
      <w:r w:rsidRPr="00645F5C">
        <w:rPr>
          <w:rStyle w:val="Hyperlink"/>
          <w:rFonts w:asciiTheme="minorBidi" w:hAnsiTheme="minorBidi" w:cstheme="minorBidi"/>
          <w:sz w:val="18"/>
          <w:szCs w:val="18"/>
          <w:lang w:val="en-GB"/>
        </w:rPr>
        <w:t>https://ich.unesco.org/en/global-reflection-on-the-listing-mechanisms-01164</w:t>
      </w:r>
      <w:r w:rsidR="00B66333">
        <w:rPr>
          <w:rStyle w:val="Hyperlink"/>
          <w:rFonts w:asciiTheme="minorBidi" w:hAnsiTheme="minorBidi" w:cstheme="minorBidi"/>
          <w:sz w:val="18"/>
          <w:szCs w:val="18"/>
          <w:lang w:val="en-GB"/>
        </w:rPr>
        <w:fldChar w:fldCharType="end"/>
      </w:r>
      <w:r w:rsidRPr="00645F5C">
        <w:rPr>
          <w:rFonts w:asciiTheme="minorBidi" w:hAnsiTheme="minorBidi" w:cstheme="minorBidi"/>
          <w:sz w:val="18"/>
          <w:szCs w:val="18"/>
          <w:lang w:val="en-GB"/>
        </w:rPr>
        <w:t>.</w:t>
      </w:r>
    </w:p>
  </w:footnote>
  <w:footnote w:id="4">
    <w:p w14:paraId="400EE717" w14:textId="24088DBF" w:rsidR="00237682" w:rsidRPr="00AE7B9E" w:rsidRDefault="00237682" w:rsidP="005769ED">
      <w:pPr>
        <w:pStyle w:val="FootnoteText"/>
        <w:ind w:left="567" w:hanging="567"/>
        <w:jc w:val="both"/>
        <w:rPr>
          <w:rFonts w:asciiTheme="minorBidi" w:hAnsiTheme="minorBidi" w:cstheme="minorBidi"/>
          <w:sz w:val="18"/>
          <w:szCs w:val="18"/>
          <w:lang w:val="en-GB"/>
        </w:rPr>
      </w:pPr>
      <w:r w:rsidRPr="0089321B">
        <w:rPr>
          <w:rStyle w:val="FootnoteReference"/>
          <w:rFonts w:asciiTheme="minorBidi" w:hAnsiTheme="minorBidi" w:cstheme="minorBidi"/>
          <w:sz w:val="18"/>
          <w:szCs w:val="18"/>
        </w:rPr>
        <w:footnoteRef/>
      </w:r>
      <w:r w:rsidR="005769ED">
        <w:rPr>
          <w:rFonts w:asciiTheme="minorBidi" w:hAnsiTheme="minorBidi" w:cstheme="minorBidi"/>
          <w:sz w:val="18"/>
          <w:szCs w:val="18"/>
          <w:lang w:val="en-GB"/>
        </w:rPr>
        <w:tab/>
      </w:r>
      <w:r w:rsidRPr="00AE7B9E">
        <w:rPr>
          <w:rFonts w:asciiTheme="minorBidi" w:hAnsiTheme="minorBidi" w:cstheme="minorBidi"/>
          <w:sz w:val="18"/>
          <w:szCs w:val="18"/>
          <w:lang w:val="en-GB"/>
        </w:rPr>
        <w:t xml:space="preserve">Criterion </w:t>
      </w:r>
      <w:proofErr w:type="gramStart"/>
      <w:r w:rsidRPr="00AE7B9E">
        <w:rPr>
          <w:rFonts w:asciiTheme="minorBidi" w:hAnsiTheme="minorBidi" w:cstheme="minorBidi"/>
          <w:sz w:val="18"/>
          <w:szCs w:val="18"/>
          <w:lang w:val="en-GB"/>
        </w:rPr>
        <w:t>P.9 :</w:t>
      </w:r>
      <w:proofErr w:type="gramEnd"/>
      <w:r w:rsidRPr="00AE7B9E">
        <w:rPr>
          <w:rFonts w:asciiTheme="minorBidi" w:hAnsiTheme="minorBidi" w:cstheme="minorBidi"/>
          <w:sz w:val="18"/>
          <w:szCs w:val="18"/>
          <w:lang w:val="en-GB"/>
        </w:rPr>
        <w:t xml:space="preserve"> ‘The programme, project or activity is pri</w:t>
      </w:r>
      <w:r w:rsidR="003F570E" w:rsidRPr="00AE7B9E">
        <w:rPr>
          <w:rFonts w:asciiTheme="minorBidi" w:hAnsiTheme="minorBidi" w:cstheme="minorBidi"/>
          <w:sz w:val="18"/>
          <w:szCs w:val="18"/>
          <w:lang w:val="en-GB"/>
        </w:rPr>
        <w:t>m</w:t>
      </w:r>
      <w:r w:rsidRPr="00AE7B9E">
        <w:rPr>
          <w:rFonts w:asciiTheme="minorBidi" w:hAnsiTheme="minorBidi" w:cstheme="minorBidi"/>
          <w:sz w:val="18"/>
          <w:szCs w:val="18"/>
          <w:lang w:val="en-GB"/>
        </w:rPr>
        <w:t>arily applicable to the particular needs of developing countries’.</w:t>
      </w:r>
    </w:p>
  </w:footnote>
  <w:footnote w:id="5">
    <w:p w14:paraId="6085D214" w14:textId="77777777" w:rsidR="003C20D5" w:rsidRPr="00A9285E" w:rsidRDefault="003C20D5" w:rsidP="003C20D5">
      <w:pPr>
        <w:pStyle w:val="FootnoteText"/>
        <w:rPr>
          <w:rFonts w:asciiTheme="minorBidi" w:hAnsiTheme="minorBidi" w:cstheme="minorBidi"/>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44080AE9"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F56FA1">
      <w:rPr>
        <w:rFonts w:ascii="Arial" w:hAnsi="Arial" w:cs="Arial"/>
        <w:sz w:val="20"/>
        <w:szCs w:val="20"/>
      </w:rPr>
      <w:t>3</w:t>
    </w:r>
    <w:r w:rsidR="00CB0542" w:rsidRPr="004E1760">
      <w:rPr>
        <w:rFonts w:ascii="Arial" w:hAnsi="Arial" w:cs="Arial"/>
        <w:sz w:val="20"/>
        <w:szCs w:val="20"/>
      </w:rPr>
      <w:t>/</w:t>
    </w:r>
    <w:r w:rsidR="00B9146E">
      <w:rPr>
        <w:rFonts w:ascii="Arial" w:hAnsi="Arial" w:cs="Arial"/>
        <w:sz w:val="20"/>
        <w:szCs w:val="20"/>
      </w:rPr>
      <w:t>EXP ART18</w:t>
    </w:r>
    <w:r w:rsidR="004E1760" w:rsidRPr="000363E7">
      <w:rPr>
        <w:rFonts w:ascii="Arial" w:hAnsi="Arial" w:cs="Arial"/>
        <w:sz w:val="20"/>
        <w:szCs w:val="20"/>
      </w:rPr>
      <w:t>/</w:t>
    </w:r>
    <w:r w:rsidR="0080202E">
      <w:rPr>
        <w:rFonts w:ascii="Arial" w:hAnsi="Arial" w:cs="Arial"/>
        <w:sz w:val="20"/>
        <w:szCs w:val="20"/>
      </w:rPr>
      <w:t>2</w:t>
    </w:r>
    <w:r w:rsidR="00F37977">
      <w:rPr>
        <w:rFonts w:ascii="Arial" w:hAnsi="Arial" w:cs="Arial"/>
        <w:sz w:val="20"/>
        <w:szCs w:val="20"/>
      </w:rPr>
      <w:t xml:space="preserve"> Rev.</w:t>
    </w:r>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2BA5A503"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F56FA1">
      <w:rPr>
        <w:rFonts w:ascii="Arial" w:hAnsi="Arial" w:cs="Arial"/>
        <w:sz w:val="20"/>
        <w:szCs w:val="20"/>
        <w:lang w:val="en-GB"/>
      </w:rPr>
      <w:t>3</w:t>
    </w:r>
    <w:r w:rsidR="0053318C">
      <w:rPr>
        <w:rFonts w:ascii="Arial" w:hAnsi="Arial" w:cs="Arial"/>
        <w:sz w:val="20"/>
        <w:szCs w:val="20"/>
        <w:lang w:val="en-GB"/>
      </w:rPr>
      <w:t>/</w:t>
    </w:r>
    <w:r w:rsidR="00E019FC" w:rsidRPr="00E019FC">
      <w:rPr>
        <w:rFonts w:ascii="Arial" w:hAnsi="Arial" w:cs="Arial"/>
        <w:sz w:val="20"/>
        <w:szCs w:val="20"/>
      </w:rPr>
      <w:t xml:space="preserve"> </w:t>
    </w:r>
    <w:r w:rsidR="00E019FC">
      <w:rPr>
        <w:rFonts w:ascii="Arial" w:hAnsi="Arial" w:cs="Arial"/>
        <w:sz w:val="20"/>
        <w:szCs w:val="20"/>
      </w:rPr>
      <w:t>EXP ART18</w:t>
    </w:r>
    <w:r w:rsidR="004A34A0" w:rsidRPr="0063300C">
      <w:rPr>
        <w:rFonts w:ascii="Arial" w:hAnsi="Arial" w:cs="Arial"/>
        <w:sz w:val="20"/>
        <w:szCs w:val="20"/>
        <w:lang w:val="en-GB"/>
      </w:rPr>
      <w:t>/</w:t>
    </w:r>
    <w:r w:rsidR="00A92A2C">
      <w:rPr>
        <w:rFonts w:ascii="Arial" w:hAnsi="Arial" w:cs="Arial"/>
        <w:sz w:val="20"/>
        <w:szCs w:val="20"/>
        <w:lang w:val="en-GB"/>
      </w:rPr>
      <w:t>2</w:t>
    </w:r>
    <w:r w:rsidR="004A34A0" w:rsidRPr="00E2125F">
      <w:rPr>
        <w:rFonts w:ascii="Arial" w:hAnsi="Arial" w:cs="Arial"/>
        <w:sz w:val="20"/>
        <w:szCs w:val="20"/>
        <w:lang w:val="en-GB"/>
      </w:rPr>
      <w:t xml:space="preserve"> </w:t>
    </w:r>
    <w:r w:rsidR="00B66333">
      <w:rPr>
        <w:rFonts w:ascii="Arial" w:hAnsi="Arial" w:cs="Arial"/>
        <w:sz w:val="20"/>
        <w:szCs w:val="20"/>
        <w:lang w:val="en-GB"/>
      </w:rPr>
      <w:t xml:space="preserve">Rev. </w:t>
    </w:r>
    <w:r w:rsidR="004A34A0" w:rsidRPr="00E2125F">
      <w:rPr>
        <w:rFonts w:ascii="Arial" w:hAnsi="Arial" w:cs="Arial"/>
        <w:sz w:val="20"/>
        <w:szCs w:val="20"/>
        <w:lang w:val="en-GB"/>
      </w:rPr>
      <w:t>–</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D7105A" w:rsidRDefault="00A53F11" w:rsidP="004E1760">
    <w:pPr>
      <w:pStyle w:val="Header"/>
      <w:spacing w:after="520"/>
      <w:jc w:val="right"/>
      <w:rPr>
        <w:rFonts w:ascii="Arial" w:hAnsi="Arial" w:cs="Arial"/>
        <w:b/>
        <w:sz w:val="44"/>
        <w:szCs w:val="44"/>
        <w:lang w:val="pt-PT"/>
      </w:rPr>
    </w:pPr>
    <w:r>
      <w:rPr>
        <w:rFonts w:ascii="Arial" w:hAnsi="Arial" w:cs="Arial"/>
        <w:b/>
        <w:sz w:val="44"/>
        <w:szCs w:val="44"/>
        <w:lang w:val="pt-PT"/>
      </w:rPr>
      <w:t>EXP</w:t>
    </w:r>
    <w:r w:rsidR="00091385">
      <w:rPr>
        <w:rFonts w:ascii="Arial" w:hAnsi="Arial" w:cs="Arial"/>
        <w:b/>
        <w:sz w:val="44"/>
        <w:szCs w:val="44"/>
        <w:lang w:val="pt-PT"/>
      </w:rPr>
      <w:t xml:space="preserve"> ART18</w:t>
    </w:r>
  </w:p>
  <w:p w14:paraId="6D1B3489" w14:textId="704F97E2"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F56FA1">
      <w:rPr>
        <w:rFonts w:ascii="Arial" w:hAnsi="Arial" w:cs="Arial"/>
        <w:b/>
        <w:sz w:val="22"/>
        <w:szCs w:val="22"/>
        <w:lang w:val="pt-PT"/>
      </w:rPr>
      <w:t>3</w:t>
    </w:r>
    <w:r w:rsidRPr="00D7105A">
      <w:rPr>
        <w:rFonts w:ascii="Arial" w:hAnsi="Arial" w:cs="Arial"/>
        <w:b/>
        <w:sz w:val="22"/>
        <w:szCs w:val="22"/>
        <w:lang w:val="pt-PT"/>
      </w:rPr>
      <w:t>/</w:t>
    </w:r>
    <w:bookmarkStart w:id="1" w:name="_Hlk94624970"/>
    <w:r w:rsidR="00B9146E">
      <w:rPr>
        <w:rFonts w:ascii="Arial" w:hAnsi="Arial" w:cs="Arial"/>
        <w:b/>
        <w:sz w:val="22"/>
        <w:szCs w:val="22"/>
        <w:lang w:val="pt-PT"/>
      </w:rPr>
      <w:t>EXP ART18</w:t>
    </w:r>
    <w:r w:rsidRPr="00D7105A">
      <w:rPr>
        <w:rFonts w:ascii="Arial" w:hAnsi="Arial" w:cs="Arial"/>
        <w:b/>
        <w:sz w:val="22"/>
        <w:szCs w:val="22"/>
        <w:lang w:val="pt-PT"/>
      </w:rPr>
      <w:t>/</w:t>
    </w:r>
    <w:r w:rsidR="0080202E">
      <w:rPr>
        <w:rFonts w:ascii="Arial" w:hAnsi="Arial" w:cs="Arial"/>
        <w:b/>
        <w:sz w:val="22"/>
        <w:szCs w:val="22"/>
        <w:lang w:val="pt-PT"/>
      </w:rPr>
      <w:t>2</w:t>
    </w:r>
    <w:r w:rsidR="00F37977">
      <w:rPr>
        <w:rFonts w:ascii="Arial" w:hAnsi="Arial" w:cs="Arial"/>
        <w:b/>
        <w:sz w:val="22"/>
        <w:szCs w:val="22"/>
        <w:lang w:val="pt-PT"/>
      </w:rPr>
      <w:t xml:space="preserve"> Rev.</w:t>
    </w:r>
  </w:p>
  <w:bookmarkEnd w:id="1"/>
  <w:p w14:paraId="1B4446C3" w14:textId="5146EF10" w:rsidR="00D95C4C" w:rsidRPr="009F7EC5"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F37977">
      <w:rPr>
        <w:rFonts w:ascii="Arial" w:hAnsi="Arial" w:cs="Arial"/>
        <w:b/>
        <w:sz w:val="22"/>
        <w:szCs w:val="22"/>
        <w:lang w:val="pt-PT"/>
      </w:rPr>
      <w:t>16</w:t>
    </w:r>
    <w:r w:rsidR="00F37977" w:rsidRPr="009F7EC5">
      <w:rPr>
        <w:rFonts w:ascii="Arial" w:hAnsi="Arial" w:cs="Arial"/>
        <w:b/>
        <w:sz w:val="22"/>
        <w:szCs w:val="22"/>
        <w:lang w:val="pt-PT"/>
      </w:rPr>
      <w:t xml:space="preserve"> </w:t>
    </w:r>
    <w:r w:rsidR="00E019FC" w:rsidRPr="009F7EC5">
      <w:rPr>
        <w:rFonts w:ascii="Arial" w:hAnsi="Arial" w:cs="Arial"/>
        <w:b/>
        <w:sz w:val="22"/>
        <w:szCs w:val="22"/>
        <w:lang w:val="pt-PT"/>
      </w:rPr>
      <w:t>April</w:t>
    </w:r>
    <w:r w:rsidRPr="009F7EC5">
      <w:rPr>
        <w:rFonts w:ascii="Arial" w:hAnsi="Arial" w:cs="Arial"/>
        <w:b/>
        <w:sz w:val="22"/>
        <w:szCs w:val="22"/>
        <w:lang w:val="pt-PT"/>
      </w:rPr>
      <w:t xml:space="preserve"> </w:t>
    </w:r>
    <w:r w:rsidR="00337CEB" w:rsidRPr="009F7EC5">
      <w:rPr>
        <w:rFonts w:ascii="Arial" w:hAnsi="Arial" w:cs="Arial"/>
        <w:b/>
        <w:sz w:val="22"/>
        <w:szCs w:val="22"/>
        <w:lang w:val="pt-PT"/>
      </w:rPr>
      <w:t>20</w:t>
    </w:r>
    <w:r w:rsidR="00D7105A" w:rsidRPr="009F7EC5">
      <w:rPr>
        <w:rFonts w:ascii="Arial" w:hAnsi="Arial" w:cs="Arial"/>
        <w:b/>
        <w:sz w:val="22"/>
        <w:szCs w:val="22"/>
        <w:lang w:val="pt-PT"/>
      </w:rPr>
      <w:t>2</w:t>
    </w:r>
    <w:r w:rsidR="00F56FA1" w:rsidRPr="009F7EC5">
      <w:rPr>
        <w:rFonts w:ascii="Arial" w:hAnsi="Arial" w:cs="Arial"/>
        <w:b/>
        <w:sz w:val="22"/>
        <w:szCs w:val="22"/>
        <w:lang w:val="pt-PT"/>
      </w:rPr>
      <w:t>3</w:t>
    </w:r>
  </w:p>
  <w:p w14:paraId="255B57FF" w14:textId="3B814BD3" w:rsidR="00D95C4C" w:rsidRPr="00151E44" w:rsidRDefault="00D95C4C" w:rsidP="00962034">
    <w:pPr>
      <w:spacing w:after="120"/>
      <w:jc w:val="right"/>
      <w:rPr>
        <w:rFonts w:ascii="Arial" w:hAnsi="Arial" w:cs="Arial"/>
        <w:b/>
        <w:sz w:val="22"/>
        <w:szCs w:val="22"/>
        <w:lang w:val="en-US"/>
      </w:rPr>
    </w:pPr>
    <w:r w:rsidRPr="009F7EC5">
      <w:rPr>
        <w:rFonts w:ascii="Arial" w:hAnsi="Arial" w:cs="Arial"/>
        <w:b/>
        <w:sz w:val="22"/>
        <w:szCs w:val="22"/>
        <w:lang w:val="en-US"/>
      </w:rPr>
      <w:t xml:space="preserve">Original: </w:t>
    </w:r>
    <w:r w:rsidR="00151E44" w:rsidRPr="009F7EC5">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64026C"/>
    <w:multiLevelType w:val="hybridMultilevel"/>
    <w:tmpl w:val="47C6FB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E1D6D65"/>
    <w:multiLevelType w:val="hybridMultilevel"/>
    <w:tmpl w:val="F58C85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F69485A"/>
    <w:multiLevelType w:val="hybridMultilevel"/>
    <w:tmpl w:val="CDD0303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FCB6519"/>
    <w:multiLevelType w:val="hybridMultilevel"/>
    <w:tmpl w:val="8C54D918"/>
    <w:lvl w:ilvl="0" w:tplc="10ACF596">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15:restartNumberingAfterBreak="0">
    <w:nsid w:val="2C196BF0"/>
    <w:multiLevelType w:val="hybridMultilevel"/>
    <w:tmpl w:val="4F528278"/>
    <w:lvl w:ilvl="0" w:tplc="D480F024">
      <w:start w:val="1"/>
      <w:numFmt w:val="decimal"/>
      <w:pStyle w:val="1GAPara"/>
      <w:lvlText w:val="%1."/>
      <w:lvlJc w:val="left"/>
      <w:pPr>
        <w:ind w:left="153" w:hanging="360"/>
      </w:p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15:restartNumberingAfterBreak="0">
    <w:nsid w:val="307818A0"/>
    <w:multiLevelType w:val="hybridMultilevel"/>
    <w:tmpl w:val="384E60A0"/>
    <w:lvl w:ilvl="0" w:tplc="AF362A68">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B30AE6"/>
    <w:multiLevelType w:val="hybridMultilevel"/>
    <w:tmpl w:val="A20633A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5900E4"/>
    <w:multiLevelType w:val="hybridMultilevel"/>
    <w:tmpl w:val="61A4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D6BE0"/>
    <w:multiLevelType w:val="hybridMultilevel"/>
    <w:tmpl w:val="ABE4CADA"/>
    <w:lvl w:ilvl="0" w:tplc="C13A629E">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15:restartNumberingAfterBreak="0">
    <w:nsid w:val="5FBA3651"/>
    <w:multiLevelType w:val="hybridMultilevel"/>
    <w:tmpl w:val="41FCD3C6"/>
    <w:lvl w:ilvl="0" w:tplc="7D7ED0D0">
      <w:start w:val="1"/>
      <w:numFmt w:val="lowerLetter"/>
      <w:lvlText w:val="%1."/>
      <w:lvlJc w:val="left"/>
      <w:pPr>
        <w:ind w:left="1494" w:hanging="360"/>
      </w:pPr>
      <w:rPr>
        <w:rFonts w:ascii="Arial" w:hAnsi="Arial" w:cs="Arial"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65954BA2"/>
    <w:multiLevelType w:val="hybridMultilevel"/>
    <w:tmpl w:val="92289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920C48"/>
    <w:multiLevelType w:val="hybridMultilevel"/>
    <w:tmpl w:val="53928F66"/>
    <w:lvl w:ilvl="0" w:tplc="9F5867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0"/>
  </w:num>
  <w:num w:numId="2" w16cid:durableId="217087148">
    <w:abstractNumId w:val="8"/>
  </w:num>
  <w:num w:numId="3" w16cid:durableId="347945616">
    <w:abstractNumId w:val="9"/>
  </w:num>
  <w:num w:numId="4" w16cid:durableId="1119109097">
    <w:abstractNumId w:val="10"/>
  </w:num>
  <w:num w:numId="5" w16cid:durableId="1445689247">
    <w:abstractNumId w:val="16"/>
  </w:num>
  <w:num w:numId="6" w16cid:durableId="443156798">
    <w:abstractNumId w:val="5"/>
  </w:num>
  <w:num w:numId="7" w16cid:durableId="1813909069">
    <w:abstractNumId w:val="2"/>
  </w:num>
  <w:num w:numId="8" w16cid:durableId="1732844772">
    <w:abstractNumId w:val="1"/>
  </w:num>
  <w:num w:numId="9" w16cid:durableId="153767748">
    <w:abstractNumId w:val="7"/>
  </w:num>
  <w:num w:numId="10" w16cid:durableId="2143375658">
    <w:abstractNumId w:val="5"/>
    <w:lvlOverride w:ilvl="0">
      <w:startOverride w:val="1"/>
    </w:lvlOverride>
  </w:num>
  <w:num w:numId="11" w16cid:durableId="1824083705">
    <w:abstractNumId w:val="3"/>
  </w:num>
  <w:num w:numId="12" w16cid:durableId="65611916">
    <w:abstractNumId w:val="4"/>
  </w:num>
  <w:num w:numId="13" w16cid:durableId="862206908">
    <w:abstractNumId w:val="14"/>
  </w:num>
  <w:num w:numId="14" w16cid:durableId="1065103389">
    <w:abstractNumId w:val="5"/>
  </w:num>
  <w:num w:numId="15" w16cid:durableId="2072728695">
    <w:abstractNumId w:val="5"/>
  </w:num>
  <w:num w:numId="16" w16cid:durableId="1792279267">
    <w:abstractNumId w:val="12"/>
  </w:num>
  <w:num w:numId="17" w16cid:durableId="1574851471">
    <w:abstractNumId w:val="11"/>
  </w:num>
  <w:num w:numId="18" w16cid:durableId="1193763323">
    <w:abstractNumId w:val="5"/>
  </w:num>
  <w:num w:numId="19" w16cid:durableId="1221598219">
    <w:abstractNumId w:val="5"/>
  </w:num>
  <w:num w:numId="20" w16cid:durableId="41949350">
    <w:abstractNumId w:val="15"/>
  </w:num>
  <w:num w:numId="21" w16cid:durableId="1045636663">
    <w:abstractNumId w:val="13"/>
  </w:num>
  <w:num w:numId="22" w16cid:durableId="1410541525">
    <w:abstractNumId w:val="6"/>
  </w:num>
  <w:num w:numId="23" w16cid:durableId="2041709134">
    <w:abstractNumId w:val="5"/>
  </w:num>
  <w:num w:numId="24" w16cid:durableId="1709187341">
    <w:abstractNumId w:val="5"/>
  </w:num>
  <w:num w:numId="25" w16cid:durableId="160943425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04CC6"/>
    <w:rsid w:val="00013468"/>
    <w:rsid w:val="00014915"/>
    <w:rsid w:val="000202E7"/>
    <w:rsid w:val="00021C3F"/>
    <w:rsid w:val="00026B44"/>
    <w:rsid w:val="00027C4C"/>
    <w:rsid w:val="00034D52"/>
    <w:rsid w:val="000370CE"/>
    <w:rsid w:val="00041A66"/>
    <w:rsid w:val="00042D88"/>
    <w:rsid w:val="0005090A"/>
    <w:rsid w:val="0005176E"/>
    <w:rsid w:val="000765F7"/>
    <w:rsid w:val="00077AB7"/>
    <w:rsid w:val="00081CD8"/>
    <w:rsid w:val="00090481"/>
    <w:rsid w:val="00091385"/>
    <w:rsid w:val="000A7F0E"/>
    <w:rsid w:val="000B1C8F"/>
    <w:rsid w:val="000C0D61"/>
    <w:rsid w:val="000E6FC5"/>
    <w:rsid w:val="000F3A3F"/>
    <w:rsid w:val="00102557"/>
    <w:rsid w:val="001061F0"/>
    <w:rsid w:val="00106BAF"/>
    <w:rsid w:val="001244A2"/>
    <w:rsid w:val="00130A5E"/>
    <w:rsid w:val="00133733"/>
    <w:rsid w:val="00151E44"/>
    <w:rsid w:val="00164D56"/>
    <w:rsid w:val="00167B10"/>
    <w:rsid w:val="0017402F"/>
    <w:rsid w:val="00190205"/>
    <w:rsid w:val="00196C1B"/>
    <w:rsid w:val="001B0F73"/>
    <w:rsid w:val="001C2296"/>
    <w:rsid w:val="001C2DB7"/>
    <w:rsid w:val="001D14FE"/>
    <w:rsid w:val="001D5C04"/>
    <w:rsid w:val="001E5CA4"/>
    <w:rsid w:val="001F26CF"/>
    <w:rsid w:val="001F4E62"/>
    <w:rsid w:val="00222A2D"/>
    <w:rsid w:val="00222C94"/>
    <w:rsid w:val="00223029"/>
    <w:rsid w:val="0022500C"/>
    <w:rsid w:val="00234745"/>
    <w:rsid w:val="002351A6"/>
    <w:rsid w:val="00237682"/>
    <w:rsid w:val="002407AF"/>
    <w:rsid w:val="00254DCC"/>
    <w:rsid w:val="00256C88"/>
    <w:rsid w:val="0026221A"/>
    <w:rsid w:val="0027307B"/>
    <w:rsid w:val="0027411D"/>
    <w:rsid w:val="0027466B"/>
    <w:rsid w:val="002772E1"/>
    <w:rsid w:val="002838A5"/>
    <w:rsid w:val="00285BB4"/>
    <w:rsid w:val="002868ED"/>
    <w:rsid w:val="00291191"/>
    <w:rsid w:val="002B143B"/>
    <w:rsid w:val="002B4E0A"/>
    <w:rsid w:val="002C09E3"/>
    <w:rsid w:val="002D1244"/>
    <w:rsid w:val="002D6958"/>
    <w:rsid w:val="002E1A13"/>
    <w:rsid w:val="002F2591"/>
    <w:rsid w:val="0031456C"/>
    <w:rsid w:val="0032344B"/>
    <w:rsid w:val="00326317"/>
    <w:rsid w:val="00330EB5"/>
    <w:rsid w:val="00334860"/>
    <w:rsid w:val="00337CEB"/>
    <w:rsid w:val="00344B58"/>
    <w:rsid w:val="0034539A"/>
    <w:rsid w:val="00345CB4"/>
    <w:rsid w:val="0037482D"/>
    <w:rsid w:val="00375D42"/>
    <w:rsid w:val="003864E4"/>
    <w:rsid w:val="003A4332"/>
    <w:rsid w:val="003B2CB5"/>
    <w:rsid w:val="003B7522"/>
    <w:rsid w:val="003C20D5"/>
    <w:rsid w:val="003C2A09"/>
    <w:rsid w:val="003C3534"/>
    <w:rsid w:val="003C70B4"/>
    <w:rsid w:val="003C7DA6"/>
    <w:rsid w:val="003D069C"/>
    <w:rsid w:val="003D7646"/>
    <w:rsid w:val="003E1329"/>
    <w:rsid w:val="003E62B9"/>
    <w:rsid w:val="003F113A"/>
    <w:rsid w:val="003F3E63"/>
    <w:rsid w:val="003F570E"/>
    <w:rsid w:val="00407480"/>
    <w:rsid w:val="0041250F"/>
    <w:rsid w:val="00414643"/>
    <w:rsid w:val="004421E5"/>
    <w:rsid w:val="00452284"/>
    <w:rsid w:val="00457C8E"/>
    <w:rsid w:val="0046204B"/>
    <w:rsid w:val="004755C5"/>
    <w:rsid w:val="004856CA"/>
    <w:rsid w:val="00487E67"/>
    <w:rsid w:val="004938CE"/>
    <w:rsid w:val="0049705E"/>
    <w:rsid w:val="004A0713"/>
    <w:rsid w:val="004A2875"/>
    <w:rsid w:val="004A34A0"/>
    <w:rsid w:val="004C7C82"/>
    <w:rsid w:val="004E1760"/>
    <w:rsid w:val="004E5238"/>
    <w:rsid w:val="004F04CD"/>
    <w:rsid w:val="004F3B57"/>
    <w:rsid w:val="005008A8"/>
    <w:rsid w:val="00517FD8"/>
    <w:rsid w:val="005257F2"/>
    <w:rsid w:val="00526B7B"/>
    <w:rsid w:val="005308CE"/>
    <w:rsid w:val="0053302D"/>
    <w:rsid w:val="0053318C"/>
    <w:rsid w:val="00534E1E"/>
    <w:rsid w:val="0057439C"/>
    <w:rsid w:val="005769ED"/>
    <w:rsid w:val="0058349B"/>
    <w:rsid w:val="0059771E"/>
    <w:rsid w:val="005B0127"/>
    <w:rsid w:val="005B5AF6"/>
    <w:rsid w:val="005B7A35"/>
    <w:rsid w:val="005C4B73"/>
    <w:rsid w:val="005C578F"/>
    <w:rsid w:val="005C58D3"/>
    <w:rsid w:val="005C7DA5"/>
    <w:rsid w:val="005D58F4"/>
    <w:rsid w:val="005D78D9"/>
    <w:rsid w:val="005E0C8E"/>
    <w:rsid w:val="005E1D2B"/>
    <w:rsid w:val="005E3EC7"/>
    <w:rsid w:val="005E7074"/>
    <w:rsid w:val="005F2BAF"/>
    <w:rsid w:val="005F5172"/>
    <w:rsid w:val="00600D93"/>
    <w:rsid w:val="006105BF"/>
    <w:rsid w:val="00613A1A"/>
    <w:rsid w:val="00626BEA"/>
    <w:rsid w:val="0063300C"/>
    <w:rsid w:val="00644A06"/>
    <w:rsid w:val="00645F5C"/>
    <w:rsid w:val="00650E82"/>
    <w:rsid w:val="00651A5B"/>
    <w:rsid w:val="00655736"/>
    <w:rsid w:val="00656A6B"/>
    <w:rsid w:val="00663B8D"/>
    <w:rsid w:val="00665001"/>
    <w:rsid w:val="00666615"/>
    <w:rsid w:val="006804F1"/>
    <w:rsid w:val="006903E6"/>
    <w:rsid w:val="00696C8D"/>
    <w:rsid w:val="006A2AC2"/>
    <w:rsid w:val="006A2EFD"/>
    <w:rsid w:val="006A3617"/>
    <w:rsid w:val="006B4452"/>
    <w:rsid w:val="006B63EC"/>
    <w:rsid w:val="006D7EE0"/>
    <w:rsid w:val="006E3F3C"/>
    <w:rsid w:val="006E46E4"/>
    <w:rsid w:val="006E75EB"/>
    <w:rsid w:val="006F17AF"/>
    <w:rsid w:val="007159A6"/>
    <w:rsid w:val="00717372"/>
    <w:rsid w:val="00717DA5"/>
    <w:rsid w:val="007213F2"/>
    <w:rsid w:val="00744484"/>
    <w:rsid w:val="00747566"/>
    <w:rsid w:val="007569DF"/>
    <w:rsid w:val="00773188"/>
    <w:rsid w:val="00775390"/>
    <w:rsid w:val="007772B8"/>
    <w:rsid w:val="00783782"/>
    <w:rsid w:val="00784B8C"/>
    <w:rsid w:val="007854CF"/>
    <w:rsid w:val="00786087"/>
    <w:rsid w:val="007879E1"/>
    <w:rsid w:val="00795D7F"/>
    <w:rsid w:val="007A00CE"/>
    <w:rsid w:val="007B1D1D"/>
    <w:rsid w:val="007B48F7"/>
    <w:rsid w:val="007D7A9B"/>
    <w:rsid w:val="007F22E9"/>
    <w:rsid w:val="007F421A"/>
    <w:rsid w:val="0080202E"/>
    <w:rsid w:val="008128CD"/>
    <w:rsid w:val="00821AE7"/>
    <w:rsid w:val="00823A11"/>
    <w:rsid w:val="00835CCB"/>
    <w:rsid w:val="00841AB4"/>
    <w:rsid w:val="008478AC"/>
    <w:rsid w:val="008508A4"/>
    <w:rsid w:val="0085188D"/>
    <w:rsid w:val="00852321"/>
    <w:rsid w:val="0085405E"/>
    <w:rsid w:val="0085414A"/>
    <w:rsid w:val="00856B2A"/>
    <w:rsid w:val="00857EB9"/>
    <w:rsid w:val="0086269D"/>
    <w:rsid w:val="0086543A"/>
    <w:rsid w:val="008724E5"/>
    <w:rsid w:val="00884A9D"/>
    <w:rsid w:val="0088512B"/>
    <w:rsid w:val="0089321B"/>
    <w:rsid w:val="008A2B2D"/>
    <w:rsid w:val="008A4334"/>
    <w:rsid w:val="008A4E1E"/>
    <w:rsid w:val="008B2244"/>
    <w:rsid w:val="008C296C"/>
    <w:rsid w:val="008D40F4"/>
    <w:rsid w:val="008D4305"/>
    <w:rsid w:val="008D724A"/>
    <w:rsid w:val="008D7715"/>
    <w:rsid w:val="008E1A85"/>
    <w:rsid w:val="009163A7"/>
    <w:rsid w:val="00922946"/>
    <w:rsid w:val="00935E00"/>
    <w:rsid w:val="00946D0B"/>
    <w:rsid w:val="00955877"/>
    <w:rsid w:val="00962034"/>
    <w:rsid w:val="00962E6C"/>
    <w:rsid w:val="00974292"/>
    <w:rsid w:val="009A18CD"/>
    <w:rsid w:val="009D389F"/>
    <w:rsid w:val="009D53D9"/>
    <w:rsid w:val="009D5428"/>
    <w:rsid w:val="009D7982"/>
    <w:rsid w:val="009E2C20"/>
    <w:rsid w:val="009F7EC5"/>
    <w:rsid w:val="00A12558"/>
    <w:rsid w:val="00A13903"/>
    <w:rsid w:val="00A15E6D"/>
    <w:rsid w:val="00A34ED5"/>
    <w:rsid w:val="00A36405"/>
    <w:rsid w:val="00A45DBF"/>
    <w:rsid w:val="00A50DE6"/>
    <w:rsid w:val="00A50FFA"/>
    <w:rsid w:val="00A53F11"/>
    <w:rsid w:val="00A725CF"/>
    <w:rsid w:val="00A737FC"/>
    <w:rsid w:val="00A755A2"/>
    <w:rsid w:val="00A75932"/>
    <w:rsid w:val="00A85C32"/>
    <w:rsid w:val="00A92A2C"/>
    <w:rsid w:val="00A952F8"/>
    <w:rsid w:val="00A974D0"/>
    <w:rsid w:val="00AA6660"/>
    <w:rsid w:val="00AB2C36"/>
    <w:rsid w:val="00AB421B"/>
    <w:rsid w:val="00AB6DDE"/>
    <w:rsid w:val="00AB70B6"/>
    <w:rsid w:val="00AC6639"/>
    <w:rsid w:val="00AD1A86"/>
    <w:rsid w:val="00AD59E7"/>
    <w:rsid w:val="00AE103E"/>
    <w:rsid w:val="00AE7B9E"/>
    <w:rsid w:val="00AF0A07"/>
    <w:rsid w:val="00AF4AEC"/>
    <w:rsid w:val="00AF625E"/>
    <w:rsid w:val="00AF70EC"/>
    <w:rsid w:val="00B139BE"/>
    <w:rsid w:val="00B17089"/>
    <w:rsid w:val="00B2172B"/>
    <w:rsid w:val="00B22024"/>
    <w:rsid w:val="00B22B85"/>
    <w:rsid w:val="00B304CC"/>
    <w:rsid w:val="00B3420C"/>
    <w:rsid w:val="00B512C2"/>
    <w:rsid w:val="00B525AA"/>
    <w:rsid w:val="00B66333"/>
    <w:rsid w:val="00B829B5"/>
    <w:rsid w:val="00B82B6E"/>
    <w:rsid w:val="00B8632F"/>
    <w:rsid w:val="00B9146E"/>
    <w:rsid w:val="00B917D2"/>
    <w:rsid w:val="00BA241A"/>
    <w:rsid w:val="00BB04AF"/>
    <w:rsid w:val="00BD330E"/>
    <w:rsid w:val="00BD52C9"/>
    <w:rsid w:val="00BE6354"/>
    <w:rsid w:val="00C01170"/>
    <w:rsid w:val="00C138D1"/>
    <w:rsid w:val="00C163C8"/>
    <w:rsid w:val="00C22B32"/>
    <w:rsid w:val="00C23A97"/>
    <w:rsid w:val="00C25B18"/>
    <w:rsid w:val="00C26AFB"/>
    <w:rsid w:val="00C3665D"/>
    <w:rsid w:val="00C457E9"/>
    <w:rsid w:val="00C4766A"/>
    <w:rsid w:val="00C51B28"/>
    <w:rsid w:val="00C52EBE"/>
    <w:rsid w:val="00C5776D"/>
    <w:rsid w:val="00C64855"/>
    <w:rsid w:val="00C673E1"/>
    <w:rsid w:val="00C67805"/>
    <w:rsid w:val="00C70EA7"/>
    <w:rsid w:val="00C7433F"/>
    <w:rsid w:val="00C7516E"/>
    <w:rsid w:val="00C75374"/>
    <w:rsid w:val="00C75770"/>
    <w:rsid w:val="00C77DC6"/>
    <w:rsid w:val="00C82A1C"/>
    <w:rsid w:val="00C856B4"/>
    <w:rsid w:val="00C9036A"/>
    <w:rsid w:val="00C90C7B"/>
    <w:rsid w:val="00C9296C"/>
    <w:rsid w:val="00C945B7"/>
    <w:rsid w:val="00C97FCB"/>
    <w:rsid w:val="00CA13D1"/>
    <w:rsid w:val="00CA56BB"/>
    <w:rsid w:val="00CB0542"/>
    <w:rsid w:val="00CB0FAC"/>
    <w:rsid w:val="00CB732B"/>
    <w:rsid w:val="00CC31EC"/>
    <w:rsid w:val="00CC43BF"/>
    <w:rsid w:val="00CC4E31"/>
    <w:rsid w:val="00D00B2B"/>
    <w:rsid w:val="00D02992"/>
    <w:rsid w:val="00D16BF4"/>
    <w:rsid w:val="00D24877"/>
    <w:rsid w:val="00D24D84"/>
    <w:rsid w:val="00D34229"/>
    <w:rsid w:val="00D37CB8"/>
    <w:rsid w:val="00D509EB"/>
    <w:rsid w:val="00D53E1F"/>
    <w:rsid w:val="00D67931"/>
    <w:rsid w:val="00D7105A"/>
    <w:rsid w:val="00D8250F"/>
    <w:rsid w:val="00D86BB3"/>
    <w:rsid w:val="00D92C98"/>
    <w:rsid w:val="00D95C4C"/>
    <w:rsid w:val="00DA0BD4"/>
    <w:rsid w:val="00DA36ED"/>
    <w:rsid w:val="00DB11ED"/>
    <w:rsid w:val="00DB48FE"/>
    <w:rsid w:val="00DC27E2"/>
    <w:rsid w:val="00DD1E8B"/>
    <w:rsid w:val="00DD345F"/>
    <w:rsid w:val="00DD4BFB"/>
    <w:rsid w:val="00DE34F1"/>
    <w:rsid w:val="00DE6160"/>
    <w:rsid w:val="00DE70F9"/>
    <w:rsid w:val="00DF4942"/>
    <w:rsid w:val="00DF66B4"/>
    <w:rsid w:val="00E019FC"/>
    <w:rsid w:val="00E109A2"/>
    <w:rsid w:val="00E16EFD"/>
    <w:rsid w:val="00E2125F"/>
    <w:rsid w:val="00E244E1"/>
    <w:rsid w:val="00E26607"/>
    <w:rsid w:val="00E4150C"/>
    <w:rsid w:val="00E627B1"/>
    <w:rsid w:val="00E62E44"/>
    <w:rsid w:val="00E70169"/>
    <w:rsid w:val="00E91357"/>
    <w:rsid w:val="00E91BFE"/>
    <w:rsid w:val="00E9376C"/>
    <w:rsid w:val="00E95AE2"/>
    <w:rsid w:val="00EA28F3"/>
    <w:rsid w:val="00EA335E"/>
    <w:rsid w:val="00EA528C"/>
    <w:rsid w:val="00EA580C"/>
    <w:rsid w:val="00EB44FB"/>
    <w:rsid w:val="00EB6D2D"/>
    <w:rsid w:val="00EC1040"/>
    <w:rsid w:val="00EC39D4"/>
    <w:rsid w:val="00EC6F8D"/>
    <w:rsid w:val="00ED39B2"/>
    <w:rsid w:val="00EE3DA1"/>
    <w:rsid w:val="00EE49F4"/>
    <w:rsid w:val="00EE5D4A"/>
    <w:rsid w:val="00EF1F88"/>
    <w:rsid w:val="00EF34E2"/>
    <w:rsid w:val="00EF69F4"/>
    <w:rsid w:val="00F02EA1"/>
    <w:rsid w:val="00F30DC6"/>
    <w:rsid w:val="00F32C23"/>
    <w:rsid w:val="00F37977"/>
    <w:rsid w:val="00F41958"/>
    <w:rsid w:val="00F53DE9"/>
    <w:rsid w:val="00F56FA1"/>
    <w:rsid w:val="00F576CB"/>
    <w:rsid w:val="00F65E2F"/>
    <w:rsid w:val="00F7035D"/>
    <w:rsid w:val="00F71A02"/>
    <w:rsid w:val="00F91DD4"/>
    <w:rsid w:val="00FA0D63"/>
    <w:rsid w:val="00FB1829"/>
    <w:rsid w:val="00FC14D5"/>
    <w:rsid w:val="00FC2D1F"/>
    <w:rsid w:val="00FD1226"/>
    <w:rsid w:val="00FD5A35"/>
    <w:rsid w:val="00FD70C6"/>
    <w:rsid w:val="00FD73BA"/>
    <w:rsid w:val="00FE18CF"/>
    <w:rsid w:val="00FE525A"/>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customStyle="1" w:styleId="1GAPara">
    <w:name w:val="1. GA Para"/>
    <w:qFormat/>
    <w:rsid w:val="00A15E6D"/>
    <w:pPr>
      <w:numPr>
        <w:numId w:val="6"/>
      </w:numPr>
      <w:spacing w:after="120"/>
      <w:jc w:val="both"/>
    </w:pPr>
    <w:rPr>
      <w:rFonts w:ascii="Arial" w:eastAsia="DengXian" w:hAnsi="Arial" w:cs="Arial"/>
      <w:snapToGrid w:val="0"/>
      <w:sz w:val="22"/>
      <w:szCs w:val="22"/>
      <w:lang w:val="en-US" w:eastAsia="zh-CN"/>
    </w:rPr>
  </w:style>
  <w:style w:type="character" w:styleId="Hyperlink">
    <w:name w:val="Hyperlink"/>
    <w:basedOn w:val="DefaultParagraphFont"/>
    <w:uiPriority w:val="99"/>
    <w:unhideWhenUsed/>
    <w:rsid w:val="002B4E0A"/>
    <w:rPr>
      <w:color w:val="0000FF" w:themeColor="hyperlink"/>
      <w:u w:val="single"/>
    </w:rPr>
  </w:style>
  <w:style w:type="character" w:customStyle="1" w:styleId="hps">
    <w:name w:val="hps"/>
    <w:rsid w:val="002B4E0A"/>
  </w:style>
  <w:style w:type="paragraph" w:styleId="FootnoteText">
    <w:name w:val="footnote text"/>
    <w:basedOn w:val="Normal"/>
    <w:link w:val="FootnoteTextChar"/>
    <w:uiPriority w:val="99"/>
    <w:semiHidden/>
    <w:unhideWhenUsed/>
    <w:rsid w:val="00717372"/>
    <w:rPr>
      <w:sz w:val="20"/>
      <w:szCs w:val="20"/>
    </w:rPr>
  </w:style>
  <w:style w:type="character" w:customStyle="1" w:styleId="FootnoteTextChar">
    <w:name w:val="Footnote Text Char"/>
    <w:basedOn w:val="DefaultParagraphFont"/>
    <w:link w:val="FootnoteText"/>
    <w:uiPriority w:val="99"/>
    <w:semiHidden/>
    <w:rsid w:val="00717372"/>
    <w:rPr>
      <w:rFonts w:ascii="Times New Roman" w:eastAsia="Times New Roman" w:hAnsi="Times New Roman"/>
    </w:rPr>
  </w:style>
  <w:style w:type="character" w:styleId="FootnoteReference">
    <w:name w:val="footnote reference"/>
    <w:basedOn w:val="DefaultParagraphFont"/>
    <w:uiPriority w:val="99"/>
    <w:semiHidden/>
    <w:unhideWhenUsed/>
    <w:rsid w:val="00717372"/>
    <w:rPr>
      <w:vertAlign w:val="superscript"/>
    </w:rPr>
  </w:style>
  <w:style w:type="character" w:styleId="UnresolvedMention">
    <w:name w:val="Unresolved Mention"/>
    <w:basedOn w:val="DefaultParagraphFont"/>
    <w:uiPriority w:val="99"/>
    <w:semiHidden/>
    <w:unhideWhenUsed/>
    <w:rsid w:val="00130A5E"/>
    <w:rPr>
      <w:color w:val="605E5C"/>
      <w:shd w:val="clear" w:color="auto" w:fill="E1DFDD"/>
    </w:rPr>
  </w:style>
  <w:style w:type="character" w:styleId="FollowedHyperlink">
    <w:name w:val="FollowedHyperlink"/>
    <w:basedOn w:val="DefaultParagraphFont"/>
    <w:uiPriority w:val="99"/>
    <w:semiHidden/>
    <w:unhideWhenUsed/>
    <w:rsid w:val="00613A1A"/>
    <w:rPr>
      <w:color w:val="800080" w:themeColor="followedHyperlink"/>
      <w:u w:val="single"/>
    </w:rPr>
  </w:style>
  <w:style w:type="character" w:customStyle="1" w:styleId="BODYTEXTChar">
    <w:name w:val="¬BODY TEXT Char"/>
    <w:link w:val="BODYTEXT"/>
    <w:locked/>
    <w:rsid w:val="00291191"/>
    <w:rPr>
      <w:rFonts w:ascii="Arial" w:eastAsia="Times New Roman" w:hAnsi="Arial" w:cs="Arial"/>
      <w:sz w:val="22"/>
      <w:szCs w:val="24"/>
      <w:lang w:val="en-GB"/>
    </w:rPr>
  </w:style>
  <w:style w:type="paragraph" w:customStyle="1" w:styleId="BODYTEXT">
    <w:name w:val="¬BODY TEXT"/>
    <w:basedOn w:val="Normal"/>
    <w:link w:val="BODYTEXTChar"/>
    <w:qFormat/>
    <w:rsid w:val="00291191"/>
    <w:pPr>
      <w:spacing w:after="120"/>
      <w:ind w:left="567"/>
      <w:jc w:val="both"/>
    </w:pPr>
    <w:rPr>
      <w:rFonts w:ascii="Arial" w:hAnsi="Arial" w:cs="Arial"/>
      <w:sz w:val="22"/>
      <w:lang w:val="en-GB"/>
    </w:rPr>
  </w:style>
  <w:style w:type="character" w:customStyle="1" w:styleId="MargeChar">
    <w:name w:val="Marge Char"/>
    <w:basedOn w:val="DefaultParagraphFont"/>
    <w:link w:val="Marge"/>
    <w:locked/>
    <w:rsid w:val="00291191"/>
    <w:rPr>
      <w:rFonts w:ascii="Arial" w:eastAsia="Times New Roman" w:hAnsi="Arial"/>
      <w:snapToGrid w:val="0"/>
      <w:sz w:val="22"/>
      <w:szCs w:val="24"/>
      <w:lang w:eastAsia="en-US"/>
    </w:rPr>
  </w:style>
  <w:style w:type="character" w:styleId="CommentReference">
    <w:name w:val="annotation reference"/>
    <w:basedOn w:val="DefaultParagraphFont"/>
    <w:uiPriority w:val="99"/>
    <w:semiHidden/>
    <w:unhideWhenUsed/>
    <w:rsid w:val="00133733"/>
    <w:rPr>
      <w:sz w:val="16"/>
      <w:szCs w:val="16"/>
    </w:rPr>
  </w:style>
  <w:style w:type="paragraph" w:styleId="CommentText">
    <w:name w:val="annotation text"/>
    <w:basedOn w:val="Normal"/>
    <w:link w:val="CommentTextChar"/>
    <w:uiPriority w:val="99"/>
    <w:unhideWhenUsed/>
    <w:rsid w:val="00133733"/>
    <w:rPr>
      <w:sz w:val="20"/>
      <w:szCs w:val="20"/>
    </w:rPr>
  </w:style>
  <w:style w:type="character" w:customStyle="1" w:styleId="CommentTextChar">
    <w:name w:val="Comment Text Char"/>
    <w:basedOn w:val="DefaultParagraphFont"/>
    <w:link w:val="CommentText"/>
    <w:uiPriority w:val="99"/>
    <w:rsid w:val="0013373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33733"/>
    <w:rPr>
      <w:b/>
      <w:bCs/>
    </w:rPr>
  </w:style>
  <w:style w:type="character" w:customStyle="1" w:styleId="CommentSubjectChar">
    <w:name w:val="Comment Subject Char"/>
    <w:basedOn w:val="CommentTextChar"/>
    <w:link w:val="CommentSubject"/>
    <w:uiPriority w:val="99"/>
    <w:semiHidden/>
    <w:rsid w:val="00133733"/>
    <w:rPr>
      <w:rFonts w:ascii="Times New Roman" w:eastAsia="Times New Roman" w:hAnsi="Times New Roman"/>
      <w:b/>
      <w:bCs/>
    </w:rPr>
  </w:style>
  <w:style w:type="paragraph" w:styleId="Revision">
    <w:name w:val="Revision"/>
    <w:hidden/>
    <w:uiPriority w:val="99"/>
    <w:semiHidden/>
    <w:rsid w:val="00DA0BD4"/>
    <w:rPr>
      <w:rFonts w:ascii="Times New Roman" w:eastAsia="Times New Roman" w:hAnsi="Times New Roman"/>
      <w:sz w:val="24"/>
      <w:szCs w:val="24"/>
    </w:rPr>
  </w:style>
  <w:style w:type="paragraph" w:customStyle="1" w:styleId="wiki-text">
    <w:name w:val="wiki-text"/>
    <w:basedOn w:val="Normal"/>
    <w:rsid w:val="00665001"/>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lists" TargetMode="External"/><Relationship Id="rId13" Type="http://schemas.openxmlformats.org/officeDocument/2006/relationships/hyperlink" Target="https://ich.unesco.org/en/Decisions/13.COM/5" TargetMode="External"/><Relationship Id="rId18" Type="http://schemas.openxmlformats.org/officeDocument/2006/relationships/hyperlink" Target="https://ich.unesco.org/doc/src/LHE-22-17.COM-12-FR.docxhttps:/ich.unesco.org/doc/src/LHE-22-17.COM-12-FR.docx" TargetMode="External"/><Relationship Id="rId26" Type="http://schemas.openxmlformats.org/officeDocument/2006/relationships/hyperlink" Target="https://ich.unesco.org/en/Decisions/7.COM/15" TargetMode="External"/><Relationship Id="rId3" Type="http://schemas.openxmlformats.org/officeDocument/2006/relationships/styles" Target="styles.xml"/><Relationship Id="rId21" Type="http://schemas.openxmlformats.org/officeDocument/2006/relationships/hyperlink" Target="https://ich.unesco.org/doc/src/LHE-22-17.COM-10-EN.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en/lighter-ways-of-sharing-ich-safeguarding-practices-00999" TargetMode="External"/><Relationship Id="rId17" Type="http://schemas.openxmlformats.org/officeDocument/2006/relationships/hyperlink" Target="https://ich.unesco.org/en/Decisions/16.COM/14" TargetMode="External"/><Relationship Id="rId25" Type="http://schemas.openxmlformats.org/officeDocument/2006/relationships/hyperlink" Target="https://ich.unesco.org/doc/src/LHE-23-EXP-ART18-3-EN.doc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ch.unesco.org/en/Decisions/9.GA/9" TargetMode="External"/><Relationship Id="rId20" Type="http://schemas.openxmlformats.org/officeDocument/2006/relationships/hyperlink" Target="https://ich.unesco.org/en/reflection-on-a-broader-implementation-of-article-18-0130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0.COM/10" TargetMode="External"/><Relationship Id="rId24" Type="http://schemas.openxmlformats.org/officeDocument/2006/relationships/hyperlink" Target="https://ich.unesco.org/doc/src/LHE-23-EXP-ART18-1-EN.docx"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en/Decisions/14.COM/5.b" TargetMode="External"/><Relationship Id="rId23" Type="http://schemas.openxmlformats.org/officeDocument/2006/relationships/hyperlink" Target="https://ich.unesco.org/doc/src/LHE-23-EXP_ART18-INF.1.2_EN_FR.docx" TargetMode="External"/><Relationship Id="rId28" Type="http://schemas.openxmlformats.org/officeDocument/2006/relationships/header" Target="header1.xml"/><Relationship Id="rId10" Type="http://schemas.openxmlformats.org/officeDocument/2006/relationships/hyperlink" Target="https://ich.unesco.org/en/Decisions/9.COM/9.b" TargetMode="External"/><Relationship Id="rId19" Type="http://schemas.openxmlformats.org/officeDocument/2006/relationships/hyperlink" Target="https://ich.unesco.org/doc/src/LHE-22-17.COM-10-EN.doc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ch.unesco.org/en/Decisions/8.COM/5.c.1" TargetMode="External"/><Relationship Id="rId14" Type="http://schemas.openxmlformats.org/officeDocument/2006/relationships/hyperlink" Target="https://ich.unesco.org/doc/src/LHE-19-14.COM-5.b-EN.docx" TargetMode="External"/><Relationship Id="rId22" Type="http://schemas.openxmlformats.org/officeDocument/2006/relationships/hyperlink" Target="https://ich.unesco.org/doc/src/LHE-23-EXP_ART18-INF.1.1_EN.docx" TargetMode="External"/><Relationship Id="rId27" Type="http://schemas.openxmlformats.org/officeDocument/2006/relationships/hyperlink" Target="https://ich.unesco.org/en/Decisions/17.COM/8.a"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1278</TotalTime>
  <Pages>7</Pages>
  <Words>2981</Words>
  <Characters>16399</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31</cp:revision>
  <cp:lastPrinted>2023-04-07T09:49:00Z</cp:lastPrinted>
  <dcterms:created xsi:type="dcterms:W3CDTF">2023-04-03T12:55:00Z</dcterms:created>
  <dcterms:modified xsi:type="dcterms:W3CDTF">2023-04-16T18:13:00Z</dcterms:modified>
</cp:coreProperties>
</file>