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1D025" w14:textId="77777777" w:rsidR="00BC3420" w:rsidRPr="00AF0344" w:rsidRDefault="00BC3420" w:rsidP="00BC3420">
      <w:pPr>
        <w:spacing w:before="1440"/>
        <w:jc w:val="center"/>
        <w:rPr>
          <w:rFonts w:ascii="Arial" w:hAnsi="Arial" w:cs="Arial"/>
          <w:b/>
          <w:sz w:val="22"/>
          <w:szCs w:val="22"/>
        </w:rPr>
      </w:pPr>
      <w:r w:rsidRPr="00AF0344">
        <w:rPr>
          <w:rFonts w:ascii="Arial" w:hAnsi="Arial" w:cs="Arial"/>
          <w:b/>
          <w:sz w:val="22"/>
          <w:szCs w:val="22"/>
        </w:rPr>
        <w:t>CONVENTION POUR LA SAUVEGARDE DU</w:t>
      </w:r>
      <w:r w:rsidRPr="00AF0344">
        <w:rPr>
          <w:rFonts w:ascii="Arial" w:hAnsi="Arial" w:cs="Arial"/>
          <w:b/>
          <w:sz w:val="22"/>
          <w:szCs w:val="22"/>
        </w:rPr>
        <w:br/>
        <w:t>PATRIMOINE CULTUREL IMMATÉRIEL</w:t>
      </w:r>
    </w:p>
    <w:p w14:paraId="373419DA" w14:textId="2B7385DB" w:rsidR="00461629" w:rsidRPr="00AF0344" w:rsidRDefault="00966ECD" w:rsidP="00966ECD">
      <w:pPr>
        <w:spacing w:before="1200"/>
        <w:jc w:val="center"/>
        <w:rPr>
          <w:rFonts w:ascii="Arial" w:hAnsi="Arial" w:cs="Arial"/>
          <w:b/>
          <w:sz w:val="22"/>
          <w:szCs w:val="22"/>
        </w:rPr>
      </w:pPr>
      <w:r w:rsidRPr="00AF0344">
        <w:rPr>
          <w:rFonts w:ascii="Arial" w:hAnsi="Arial" w:cs="Arial"/>
          <w:b/>
          <w:sz w:val="22"/>
          <w:szCs w:val="22"/>
        </w:rPr>
        <w:t>Groupe de travail intergouvernemental à composition non limitée</w:t>
      </w:r>
    </w:p>
    <w:p w14:paraId="2F1AD104" w14:textId="2B7BA00C" w:rsidR="00BC3420" w:rsidRPr="00AF0344" w:rsidRDefault="00966ECD" w:rsidP="00461629">
      <w:pPr>
        <w:jc w:val="center"/>
        <w:rPr>
          <w:rFonts w:ascii="Arial" w:hAnsi="Arial" w:cs="Arial"/>
          <w:b/>
          <w:sz w:val="22"/>
          <w:szCs w:val="22"/>
        </w:rPr>
      </w:pPr>
      <w:r w:rsidRPr="00AF0344">
        <w:rPr>
          <w:rFonts w:ascii="Arial" w:hAnsi="Arial" w:cs="Arial"/>
          <w:b/>
          <w:sz w:val="22"/>
          <w:szCs w:val="22"/>
        </w:rPr>
        <w:t>dans le cadre de</w:t>
      </w:r>
      <w:r w:rsidR="00461629" w:rsidRPr="00AF0344">
        <w:rPr>
          <w:rFonts w:ascii="Arial" w:hAnsi="Arial" w:cs="Arial"/>
          <w:b/>
          <w:sz w:val="22"/>
          <w:szCs w:val="22"/>
        </w:rPr>
        <w:t xml:space="preserve"> </w:t>
      </w:r>
      <w:r w:rsidRPr="00AF0344">
        <w:rPr>
          <w:rFonts w:ascii="Arial" w:hAnsi="Arial" w:cs="Arial"/>
          <w:b/>
          <w:sz w:val="22"/>
          <w:szCs w:val="22"/>
        </w:rPr>
        <w:t>la réflexion sur une mise en œuvre plus large de l</w:t>
      </w:r>
      <w:r w:rsidR="001A0378">
        <w:rPr>
          <w:rFonts w:ascii="Arial" w:hAnsi="Arial" w:cs="Arial"/>
          <w:b/>
          <w:sz w:val="22"/>
          <w:szCs w:val="22"/>
        </w:rPr>
        <w:t>’</w:t>
      </w:r>
      <w:r w:rsidRPr="00AF0344">
        <w:rPr>
          <w:rFonts w:ascii="Arial" w:hAnsi="Arial" w:cs="Arial"/>
          <w:b/>
          <w:sz w:val="22"/>
          <w:szCs w:val="22"/>
        </w:rPr>
        <w:t>article 18 de la Convention de 2003 pour la sauvegarde du patrimoine culturel immatériel</w:t>
      </w:r>
    </w:p>
    <w:p w14:paraId="32D15B6C" w14:textId="61D46B62" w:rsidR="00BC3420" w:rsidRPr="00AF0344" w:rsidRDefault="00E3198B" w:rsidP="00F4581D">
      <w:pPr>
        <w:spacing w:before="840"/>
        <w:jc w:val="center"/>
        <w:rPr>
          <w:rFonts w:ascii="Arial" w:eastAsiaTheme="minorEastAsia" w:hAnsi="Arial" w:cs="Arial"/>
          <w:b/>
          <w:sz w:val="22"/>
          <w:szCs w:val="22"/>
          <w:lang w:eastAsia="ko-KR"/>
        </w:rPr>
      </w:pPr>
      <w:r w:rsidRPr="00AF0344">
        <w:rPr>
          <w:rFonts w:ascii="Arial" w:hAnsi="Arial" w:cs="Arial"/>
          <w:b/>
          <w:sz w:val="22"/>
          <w:szCs w:val="22"/>
        </w:rPr>
        <w:t>Siège de l</w:t>
      </w:r>
      <w:r w:rsidR="001A0378">
        <w:rPr>
          <w:rFonts w:ascii="Arial" w:hAnsi="Arial" w:cs="Arial"/>
          <w:b/>
          <w:sz w:val="22"/>
          <w:szCs w:val="22"/>
        </w:rPr>
        <w:t>’</w:t>
      </w:r>
      <w:r w:rsidRPr="00AF0344">
        <w:rPr>
          <w:rFonts w:ascii="Arial" w:hAnsi="Arial" w:cs="Arial"/>
          <w:b/>
          <w:sz w:val="22"/>
          <w:szCs w:val="22"/>
        </w:rPr>
        <w:t>UNESCO, Salle</w:t>
      </w:r>
      <w:r w:rsidR="00B6092A" w:rsidRPr="00AF0344">
        <w:rPr>
          <w:rFonts w:ascii="Arial" w:hAnsi="Arial" w:cs="Arial"/>
          <w:b/>
          <w:sz w:val="22"/>
          <w:szCs w:val="22"/>
        </w:rPr>
        <w:t xml:space="preserve"> </w:t>
      </w:r>
      <w:r w:rsidR="00230FA8" w:rsidRPr="00AF0344">
        <w:rPr>
          <w:rFonts w:ascii="Arial" w:hAnsi="Arial" w:cs="Arial"/>
          <w:b/>
          <w:sz w:val="22"/>
          <w:szCs w:val="22"/>
        </w:rPr>
        <w:t>X</w:t>
      </w:r>
      <w:r w:rsidR="000D456C" w:rsidRPr="00AF0344">
        <w:rPr>
          <w:rFonts w:ascii="Arial" w:hAnsi="Arial" w:cs="Arial"/>
          <w:b/>
          <w:sz w:val="22"/>
          <w:szCs w:val="22"/>
        </w:rPr>
        <w:t>I</w:t>
      </w:r>
    </w:p>
    <w:p w14:paraId="552550E8" w14:textId="64F8188E" w:rsidR="00EF74E3" w:rsidRPr="00AF0344" w:rsidRDefault="00E3198B" w:rsidP="00F4581D">
      <w:pPr>
        <w:jc w:val="center"/>
        <w:rPr>
          <w:rFonts w:ascii="Arial" w:hAnsi="Arial"/>
          <w:b/>
          <w:sz w:val="22"/>
        </w:rPr>
      </w:pPr>
      <w:r w:rsidRPr="00AF0344">
        <w:rPr>
          <w:rFonts w:ascii="Arial" w:hAnsi="Arial"/>
          <w:b/>
          <w:sz w:val="22"/>
        </w:rPr>
        <w:t>4</w:t>
      </w:r>
      <w:r w:rsidR="00F4581D" w:rsidRPr="00AF0344">
        <w:rPr>
          <w:rFonts w:ascii="Arial" w:hAnsi="Arial"/>
          <w:b/>
          <w:sz w:val="22"/>
        </w:rPr>
        <w:t> </w:t>
      </w:r>
      <w:r w:rsidR="007A000F" w:rsidRPr="00AF0344">
        <w:rPr>
          <w:rFonts w:ascii="Arial" w:hAnsi="Arial"/>
          <w:b/>
          <w:sz w:val="22"/>
        </w:rPr>
        <w:t>–</w:t>
      </w:r>
      <w:r w:rsidR="00F4581D" w:rsidRPr="00AF0344">
        <w:rPr>
          <w:rFonts w:ascii="Arial" w:hAnsi="Arial"/>
          <w:b/>
          <w:sz w:val="22"/>
        </w:rPr>
        <w:t xml:space="preserve"> </w:t>
      </w:r>
      <w:r w:rsidRPr="00AF0344">
        <w:rPr>
          <w:rFonts w:ascii="Arial" w:hAnsi="Arial"/>
          <w:b/>
          <w:sz w:val="22"/>
        </w:rPr>
        <w:t>6</w:t>
      </w:r>
      <w:r w:rsidR="007A000F" w:rsidRPr="00AF0344">
        <w:rPr>
          <w:rFonts w:ascii="Arial" w:hAnsi="Arial"/>
          <w:b/>
          <w:sz w:val="22"/>
        </w:rPr>
        <w:t xml:space="preserve"> </w:t>
      </w:r>
      <w:r w:rsidRPr="00AF0344">
        <w:rPr>
          <w:rFonts w:ascii="Arial" w:hAnsi="Arial"/>
          <w:b/>
          <w:sz w:val="22"/>
        </w:rPr>
        <w:t>juillet</w:t>
      </w:r>
      <w:r w:rsidR="00F4581D" w:rsidRPr="00AF0344">
        <w:rPr>
          <w:rFonts w:ascii="Arial" w:hAnsi="Arial"/>
          <w:b/>
          <w:sz w:val="22"/>
        </w:rPr>
        <w:t> 202</w:t>
      </w:r>
      <w:r w:rsidR="008F5A4F" w:rsidRPr="00AF0344">
        <w:rPr>
          <w:rFonts w:ascii="Arial" w:hAnsi="Arial"/>
          <w:b/>
          <w:sz w:val="22"/>
        </w:rPr>
        <w:t>3</w:t>
      </w:r>
    </w:p>
    <w:p w14:paraId="72EF57E2" w14:textId="713D2758" w:rsidR="008F09EC" w:rsidRPr="00AF0344" w:rsidRDefault="008F09EC" w:rsidP="008F09EC">
      <w:pPr>
        <w:pStyle w:val="Sansinterligne2"/>
        <w:spacing w:before="1200"/>
        <w:jc w:val="center"/>
        <w:rPr>
          <w:rFonts w:ascii="Arial" w:hAnsi="Arial" w:cs="Arial"/>
          <w:b/>
          <w:sz w:val="22"/>
          <w:szCs w:val="22"/>
        </w:rPr>
      </w:pPr>
      <w:r w:rsidRPr="00AF0344">
        <w:rPr>
          <w:rFonts w:ascii="Arial" w:hAnsi="Arial" w:cs="Arial"/>
          <w:b/>
          <w:sz w:val="22"/>
          <w:szCs w:val="22"/>
          <w:u w:val="single"/>
        </w:rPr>
        <w:t xml:space="preserve">Point </w:t>
      </w:r>
      <w:r w:rsidR="00D25D87" w:rsidRPr="00AF0344">
        <w:rPr>
          <w:rFonts w:ascii="Arial" w:hAnsi="Arial" w:cs="Arial"/>
          <w:b/>
          <w:sz w:val="22"/>
          <w:szCs w:val="22"/>
          <w:u w:val="single"/>
        </w:rPr>
        <w:t>3</w:t>
      </w:r>
      <w:r w:rsidRPr="00AF0344">
        <w:rPr>
          <w:rFonts w:ascii="Arial" w:hAnsi="Arial" w:cs="Arial"/>
          <w:b/>
          <w:sz w:val="22"/>
          <w:szCs w:val="22"/>
        </w:rPr>
        <w:t> :</w:t>
      </w:r>
    </w:p>
    <w:p w14:paraId="0445ADAA" w14:textId="45A2CC22" w:rsidR="00D25D87" w:rsidRPr="00AF0344" w:rsidRDefault="00D25D87" w:rsidP="00D25D87">
      <w:pPr>
        <w:pStyle w:val="NoSpacing"/>
        <w:tabs>
          <w:tab w:val="left" w:pos="4410"/>
          <w:tab w:val="center" w:pos="4819"/>
        </w:tabs>
        <w:jc w:val="center"/>
        <w:rPr>
          <w:rFonts w:ascii="Arial" w:eastAsiaTheme="minorEastAsia" w:hAnsi="Arial" w:cs="Arial"/>
          <w:b/>
          <w:bCs/>
          <w:sz w:val="22"/>
          <w:szCs w:val="22"/>
          <w:lang w:eastAsia="ko-KR"/>
        </w:rPr>
      </w:pPr>
      <w:r w:rsidRPr="00AF0344">
        <w:rPr>
          <w:rFonts w:ascii="Arial" w:eastAsiaTheme="minorEastAsia" w:hAnsi="Arial" w:cs="Arial"/>
          <w:b/>
          <w:bCs/>
          <w:sz w:val="22"/>
          <w:szCs w:val="22"/>
          <w:lang w:eastAsia="ko-KR"/>
        </w:rPr>
        <w:t>Comment partager plus largement les bonnes expériences</w:t>
      </w:r>
    </w:p>
    <w:p w14:paraId="630B69F1" w14:textId="2E772281" w:rsidR="008F09EC" w:rsidRPr="00AF0344" w:rsidRDefault="00D25D87" w:rsidP="00114C01">
      <w:pPr>
        <w:pStyle w:val="NoSpacing"/>
        <w:tabs>
          <w:tab w:val="left" w:pos="4410"/>
          <w:tab w:val="center" w:pos="4819"/>
        </w:tabs>
        <w:spacing w:after="1200"/>
        <w:jc w:val="center"/>
        <w:rPr>
          <w:rFonts w:ascii="Arial" w:hAnsi="Arial" w:cs="Arial"/>
          <w:b/>
          <w:sz w:val="22"/>
          <w:szCs w:val="22"/>
        </w:rPr>
      </w:pPr>
      <w:r w:rsidRPr="00AF0344">
        <w:rPr>
          <w:rFonts w:ascii="Arial" w:eastAsiaTheme="minorEastAsia" w:hAnsi="Arial" w:cs="Arial"/>
          <w:b/>
          <w:bCs/>
          <w:sz w:val="22"/>
          <w:szCs w:val="22"/>
          <w:lang w:eastAsia="ko-KR"/>
        </w:rPr>
        <w:t>de sauvegarde du patrimoine vivant ?</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8F09EC" w:rsidRPr="00AF0344" w14:paraId="730CE323" w14:textId="77777777" w:rsidTr="00FF2F30">
        <w:trPr>
          <w:jc w:val="center"/>
        </w:trPr>
        <w:tc>
          <w:tcPr>
            <w:tcW w:w="7825" w:type="dxa"/>
            <w:vAlign w:val="center"/>
          </w:tcPr>
          <w:p w14:paraId="47EC31AB" w14:textId="77777777" w:rsidR="008F09EC" w:rsidRPr="00AF0344" w:rsidRDefault="008F09EC" w:rsidP="00FF2F30">
            <w:pPr>
              <w:pStyle w:val="Sansinterligne1"/>
              <w:spacing w:before="200" w:after="200"/>
              <w:jc w:val="center"/>
              <w:rPr>
                <w:rFonts w:ascii="Arial" w:hAnsi="Arial" w:cs="Arial"/>
                <w:b/>
                <w:sz w:val="22"/>
                <w:szCs w:val="22"/>
              </w:rPr>
            </w:pPr>
            <w:r w:rsidRPr="00AF0344">
              <w:rPr>
                <w:rFonts w:ascii="Arial" w:hAnsi="Arial" w:cs="Arial"/>
                <w:b/>
                <w:sz w:val="22"/>
                <w:szCs w:val="22"/>
              </w:rPr>
              <w:t>Résumé</w:t>
            </w:r>
          </w:p>
          <w:p w14:paraId="17E62457" w14:textId="0BEDB5C8" w:rsidR="008F09EC" w:rsidRPr="00AF0344" w:rsidRDefault="00D25D87" w:rsidP="001A0378">
            <w:pPr>
              <w:pStyle w:val="Sansinterligne2"/>
              <w:spacing w:before="200" w:after="200"/>
              <w:ind w:right="46"/>
              <w:jc w:val="both"/>
              <w:rPr>
                <w:rFonts w:ascii="Arial" w:hAnsi="Arial" w:cs="Arial"/>
                <w:b/>
                <w:sz w:val="22"/>
                <w:szCs w:val="22"/>
              </w:rPr>
            </w:pPr>
            <w:r w:rsidRPr="00AF0344">
              <w:rPr>
                <w:rFonts w:ascii="Arial" w:hAnsi="Arial" w:cs="Arial"/>
                <w:sz w:val="22"/>
                <w:szCs w:val="22"/>
              </w:rPr>
              <w:t xml:space="preserve">Le Comité a demandé que le groupe de travail intergouvernemental à composition non limitée réfléchisse à la manière de partager plus largement les bonnes expériences de sauvegarde du patrimoine vivant. </w:t>
            </w:r>
            <w:r w:rsidR="00651F36" w:rsidRPr="00AF0344">
              <w:rPr>
                <w:rFonts w:ascii="Arial" w:hAnsi="Arial" w:cs="Arial"/>
                <w:sz w:val="22"/>
                <w:szCs w:val="22"/>
              </w:rPr>
              <w:t xml:space="preserve">Ce </w:t>
            </w:r>
            <w:r w:rsidRPr="00AF0344">
              <w:rPr>
                <w:rFonts w:ascii="Arial" w:hAnsi="Arial" w:cs="Arial"/>
                <w:sz w:val="22"/>
                <w:szCs w:val="22"/>
              </w:rPr>
              <w:t xml:space="preserve">document fournit des éléments de </w:t>
            </w:r>
            <w:r w:rsidR="008F38AA" w:rsidRPr="00AF0344">
              <w:rPr>
                <w:rFonts w:ascii="Arial" w:hAnsi="Arial" w:cs="Arial"/>
                <w:sz w:val="22"/>
                <w:szCs w:val="22"/>
              </w:rPr>
              <w:t>discussion autour</w:t>
            </w:r>
            <w:r w:rsidR="00BE29AC" w:rsidRPr="00AF0344">
              <w:rPr>
                <w:rFonts w:ascii="Arial" w:hAnsi="Arial" w:cs="Arial"/>
                <w:sz w:val="22"/>
                <w:szCs w:val="22"/>
              </w:rPr>
              <w:t xml:space="preserve"> de </w:t>
            </w:r>
            <w:r w:rsidRPr="00AF0344">
              <w:rPr>
                <w:rFonts w:ascii="Arial" w:hAnsi="Arial" w:cs="Arial"/>
                <w:sz w:val="22"/>
                <w:szCs w:val="22"/>
              </w:rPr>
              <w:t>trois</w:t>
            </w:r>
            <w:r w:rsidR="00BE29AC" w:rsidRPr="00AF0344">
              <w:rPr>
                <w:rFonts w:ascii="Arial" w:hAnsi="Arial" w:cs="Arial"/>
                <w:sz w:val="22"/>
                <w:szCs w:val="22"/>
              </w:rPr>
              <w:t xml:space="preserve"> sujets de réflexion</w:t>
            </w:r>
            <w:r w:rsidRPr="00AF0344">
              <w:rPr>
                <w:rFonts w:ascii="Arial" w:hAnsi="Arial" w:cs="Arial"/>
                <w:sz w:val="22"/>
                <w:szCs w:val="22"/>
              </w:rPr>
              <w:t>, sur la base des recommandations de la réunion d</w:t>
            </w:r>
            <w:r w:rsidR="001A0378">
              <w:rPr>
                <w:rFonts w:ascii="Arial" w:hAnsi="Arial" w:cs="Arial"/>
                <w:sz w:val="22"/>
                <w:szCs w:val="22"/>
              </w:rPr>
              <w:t>’</w:t>
            </w:r>
            <w:r w:rsidRPr="00AF0344">
              <w:rPr>
                <w:rFonts w:ascii="Arial" w:hAnsi="Arial" w:cs="Arial"/>
                <w:sz w:val="22"/>
                <w:szCs w:val="22"/>
              </w:rPr>
              <w:t>experts de catégorie</w:t>
            </w:r>
            <w:r w:rsidR="001A0378">
              <w:rPr>
                <w:rFonts w:ascii="Arial" w:hAnsi="Arial" w:cs="Arial"/>
                <w:sz w:val="22"/>
                <w:szCs w:val="22"/>
              </w:rPr>
              <w:t> </w:t>
            </w:r>
            <w:r w:rsidRPr="00AF0344">
              <w:rPr>
                <w:rFonts w:ascii="Arial" w:hAnsi="Arial" w:cs="Arial"/>
                <w:sz w:val="22"/>
                <w:szCs w:val="22"/>
              </w:rPr>
              <w:t xml:space="preserve">VI, qui a été </w:t>
            </w:r>
            <w:r w:rsidR="001A0378">
              <w:rPr>
                <w:rFonts w:ascii="Arial" w:hAnsi="Arial" w:cs="Arial"/>
                <w:sz w:val="22"/>
                <w:szCs w:val="22"/>
              </w:rPr>
              <w:t>organisée</w:t>
            </w:r>
            <w:r w:rsidRPr="00AF0344">
              <w:rPr>
                <w:rFonts w:ascii="Arial" w:hAnsi="Arial" w:cs="Arial"/>
                <w:sz w:val="22"/>
                <w:szCs w:val="22"/>
              </w:rPr>
              <w:t xml:space="preserve"> en avril 2023 pour jeter les bases des discussions du groupe de travail.</w:t>
            </w:r>
          </w:p>
        </w:tc>
      </w:tr>
    </w:tbl>
    <w:p w14:paraId="5072A522" w14:textId="77777777" w:rsidR="009B5302" w:rsidRPr="00AF0344" w:rsidRDefault="00BC3420" w:rsidP="007E60C6">
      <w:pPr>
        <w:pStyle w:val="COMTitleDecision"/>
        <w:spacing w:before="360" w:after="240"/>
        <w:ind w:left="0"/>
      </w:pPr>
      <w:r w:rsidRPr="00AF0344">
        <w:br w:type="page"/>
      </w:r>
    </w:p>
    <w:p w14:paraId="0E64E358" w14:textId="0BDBD9DB" w:rsidR="008F5A4F" w:rsidRPr="008F38AA" w:rsidRDefault="00C57C91" w:rsidP="008F5A4F">
      <w:pPr>
        <w:pStyle w:val="COMPara"/>
        <w:spacing w:before="240"/>
        <w:ind w:left="0" w:firstLine="0"/>
        <w:jc w:val="both"/>
        <w:rPr>
          <w:b/>
          <w:bCs/>
          <w:lang w:val="fr-FR"/>
        </w:rPr>
      </w:pPr>
      <w:r w:rsidRPr="008F38AA">
        <w:rPr>
          <w:b/>
          <w:bCs/>
          <w:lang w:val="fr-FR"/>
        </w:rPr>
        <w:lastRenderedPageBreak/>
        <w:t>Introduction</w:t>
      </w:r>
    </w:p>
    <w:p w14:paraId="5935E716" w14:textId="306A98E9" w:rsidR="007E60C6" w:rsidRPr="00AF0344" w:rsidRDefault="00C57C91" w:rsidP="00C57C91">
      <w:pPr>
        <w:pStyle w:val="COMParabodytext"/>
        <w:numPr>
          <w:ilvl w:val="0"/>
          <w:numId w:val="18"/>
        </w:numPr>
        <w:ind w:left="567" w:hanging="567"/>
        <w:rPr>
          <w:lang w:val="fr-FR"/>
        </w:rPr>
      </w:pPr>
      <w:r w:rsidRPr="00AF0344">
        <w:rPr>
          <w:lang w:val="fr-FR"/>
        </w:rPr>
        <w:t xml:space="preserve">Après avoir </w:t>
      </w:r>
      <w:r w:rsidR="00651F36" w:rsidRPr="00AF0344">
        <w:rPr>
          <w:lang w:val="fr-FR"/>
        </w:rPr>
        <w:t xml:space="preserve">initié </w:t>
      </w:r>
      <w:r w:rsidRPr="00AF0344">
        <w:rPr>
          <w:lang w:val="fr-FR"/>
        </w:rPr>
        <w:t>une réflexion sur l</w:t>
      </w:r>
      <w:r w:rsidR="001A0378">
        <w:rPr>
          <w:lang w:val="fr-FR"/>
        </w:rPr>
        <w:t>’</w:t>
      </w:r>
      <w:r w:rsidRPr="00AF0344">
        <w:rPr>
          <w:lang w:val="fr-FR"/>
        </w:rPr>
        <w:t xml:space="preserve">article 18 en 2021 (décision </w:t>
      </w:r>
      <w:hyperlink r:id="rId8" w:history="1">
        <w:r w:rsidRPr="00AF0344">
          <w:rPr>
            <w:rStyle w:val="Hyperlink"/>
            <w:lang w:val="fr-FR"/>
          </w:rPr>
          <w:t>16.COM 14</w:t>
        </w:r>
      </w:hyperlink>
      <w:r w:rsidRPr="00AF0344">
        <w:rPr>
          <w:lang w:val="fr-FR"/>
        </w:rPr>
        <w:t xml:space="preserve">), le Comité a demandé, lors de sa dix-septième session en 2022, que le groupe de travail intergouvernemental à composition non limitée (ci-après, le « groupe de travail ») réfléchisse à la manière de partager plus largement les bonnes expériences en matière de sauvegarde du patrimoine vivant (décision </w:t>
      </w:r>
      <w:hyperlink r:id="rId9" w:history="1">
        <w:r w:rsidRPr="00AF0344">
          <w:rPr>
            <w:rStyle w:val="Hyperlink"/>
            <w:lang w:val="fr-FR"/>
          </w:rPr>
          <w:t>17.COM 10</w:t>
        </w:r>
      </w:hyperlink>
      <w:r w:rsidRPr="00AF0344">
        <w:rPr>
          <w:lang w:val="fr-FR"/>
        </w:rPr>
        <w:t xml:space="preserve">). Voir le document </w:t>
      </w:r>
      <w:r w:rsidR="005408FB">
        <w:fldChar w:fldCharType="begin"/>
      </w:r>
      <w:r w:rsidR="005408FB" w:rsidRPr="006E47BB">
        <w:rPr>
          <w:lang w:val="fr-FR"/>
        </w:rPr>
        <w:instrText>HYPERLINK "https://ich.unesco.org/doc/src/LHE-23-18.COM_WG_ART18-1_FR_.docx"</w:instrText>
      </w:r>
      <w:r w:rsidR="005408FB">
        <w:fldChar w:fldCharType="separate"/>
      </w:r>
      <w:r w:rsidRPr="00AF0344">
        <w:rPr>
          <w:rStyle w:val="Hyperlink"/>
          <w:lang w:val="fr-FR"/>
        </w:rPr>
        <w:t>LHE/23/18.COM WG ART18/1</w:t>
      </w:r>
      <w:r w:rsidR="005408FB">
        <w:rPr>
          <w:rStyle w:val="Hyperlink"/>
          <w:lang w:val="fr-FR"/>
        </w:rPr>
        <w:fldChar w:fldCharType="end"/>
      </w:r>
      <w:r w:rsidRPr="00AF0344">
        <w:rPr>
          <w:lang w:val="fr-FR"/>
        </w:rPr>
        <w:t xml:space="preserve"> pour l</w:t>
      </w:r>
      <w:r w:rsidR="001A0378">
        <w:rPr>
          <w:lang w:val="fr-FR"/>
        </w:rPr>
        <w:t>’</w:t>
      </w:r>
      <w:r w:rsidRPr="00AF0344">
        <w:rPr>
          <w:lang w:val="fr-FR"/>
        </w:rPr>
        <w:t xml:space="preserve">ordre du jour et le calendrier du groupe de travail. Le contexte de cette réflexion est présenté dans le document </w:t>
      </w:r>
      <w:r w:rsidR="000A3579">
        <w:fldChar w:fldCharType="begin"/>
      </w:r>
      <w:r w:rsidR="000A3579" w:rsidRPr="006E47BB">
        <w:rPr>
          <w:lang w:val="fr-FR"/>
        </w:rPr>
        <w:instrText>HYPERLINK "https://ich.unesco.org/doc/src/LHE-23-18.COM_WG_ART18-2_FR.docx"</w:instrText>
      </w:r>
      <w:r w:rsidR="000A3579">
        <w:fldChar w:fldCharType="separate"/>
      </w:r>
      <w:r w:rsidRPr="00AF0344">
        <w:rPr>
          <w:rStyle w:val="Hyperlink"/>
          <w:lang w:val="fr-FR"/>
        </w:rPr>
        <w:t>LHE/23/18.COM WG ART18/2</w:t>
      </w:r>
      <w:r w:rsidR="000A3579">
        <w:rPr>
          <w:rStyle w:val="Hyperlink"/>
          <w:lang w:val="fr-FR"/>
        </w:rPr>
        <w:fldChar w:fldCharType="end"/>
      </w:r>
      <w:r w:rsidRPr="00AF0344">
        <w:rPr>
          <w:lang w:val="fr-FR"/>
        </w:rPr>
        <w:t>.</w:t>
      </w:r>
    </w:p>
    <w:p w14:paraId="03EF19C0" w14:textId="3D52D44B" w:rsidR="007E60C6" w:rsidRPr="00AF0344" w:rsidRDefault="00651F36" w:rsidP="00D00FBB">
      <w:pPr>
        <w:pStyle w:val="COMParabodytext"/>
        <w:numPr>
          <w:ilvl w:val="0"/>
          <w:numId w:val="18"/>
        </w:numPr>
        <w:ind w:left="567" w:hanging="567"/>
        <w:rPr>
          <w:lang w:val="fr-FR"/>
        </w:rPr>
      </w:pPr>
      <w:r w:rsidRPr="00AF0344">
        <w:rPr>
          <w:lang w:val="fr-FR"/>
        </w:rPr>
        <w:t>Ce</w:t>
      </w:r>
      <w:r w:rsidR="00D00FBB" w:rsidRPr="00AF0344">
        <w:rPr>
          <w:lang w:val="fr-FR"/>
        </w:rPr>
        <w:t xml:space="preserve"> document fournit des informations et des éléments de </w:t>
      </w:r>
      <w:r w:rsidR="00C040AC" w:rsidRPr="00AF0344">
        <w:rPr>
          <w:lang w:val="fr-FR"/>
        </w:rPr>
        <w:t>discussion</w:t>
      </w:r>
      <w:r w:rsidR="0016587A">
        <w:rPr>
          <w:lang w:val="fr-FR"/>
        </w:rPr>
        <w:t xml:space="preserve"> autour de</w:t>
      </w:r>
      <w:r w:rsidR="00D00FBB" w:rsidRPr="00AF0344">
        <w:rPr>
          <w:lang w:val="fr-FR"/>
        </w:rPr>
        <w:t xml:space="preserve"> trois sujets de réflexion. Il s</w:t>
      </w:r>
      <w:r w:rsidR="001A0378">
        <w:rPr>
          <w:lang w:val="fr-FR"/>
        </w:rPr>
        <w:t>’</w:t>
      </w:r>
      <w:r w:rsidR="00D00FBB" w:rsidRPr="00AF0344">
        <w:rPr>
          <w:lang w:val="fr-FR"/>
        </w:rPr>
        <w:t>appuie sur les recommandations de la réunion d</w:t>
      </w:r>
      <w:r w:rsidR="001A0378">
        <w:rPr>
          <w:lang w:val="fr-FR"/>
        </w:rPr>
        <w:t>’</w:t>
      </w:r>
      <w:r w:rsidR="00D00FBB" w:rsidRPr="00AF0344">
        <w:rPr>
          <w:lang w:val="fr-FR"/>
        </w:rPr>
        <w:t>experts de catégorie VI qui s</w:t>
      </w:r>
      <w:r w:rsidR="001A0378">
        <w:rPr>
          <w:lang w:val="fr-FR"/>
        </w:rPr>
        <w:t>’</w:t>
      </w:r>
      <w:r w:rsidR="00D00FBB" w:rsidRPr="00AF0344">
        <w:rPr>
          <w:lang w:val="fr-FR"/>
        </w:rPr>
        <w:t>est tenue du 19 au 21 avril 2023 à Stockholm</w:t>
      </w:r>
      <w:r w:rsidR="009E117F" w:rsidRPr="00AF0344">
        <w:rPr>
          <w:lang w:val="fr-FR"/>
        </w:rPr>
        <w:t>,</w:t>
      </w:r>
      <w:r w:rsidR="00D00FBB" w:rsidRPr="00AF0344">
        <w:rPr>
          <w:lang w:val="fr-FR"/>
        </w:rPr>
        <w:t xml:space="preserve"> Suède, afin de jeter les bases des discussions du groupe de travail, telles que présentées dans le document </w:t>
      </w:r>
      <w:r w:rsidR="006E47BB">
        <w:fldChar w:fldCharType="begin"/>
      </w:r>
      <w:r w:rsidR="006E47BB" w:rsidRPr="006E47BB">
        <w:rPr>
          <w:lang w:val="fr-FR"/>
        </w:rPr>
        <w:instrText>HYPERLINK "https://ich.unesco.org/doc/src/LHE-23-18.COM_EXP-4_FR.docx"</w:instrText>
      </w:r>
      <w:r w:rsidR="006E47BB">
        <w:fldChar w:fldCharType="separate"/>
      </w:r>
      <w:r w:rsidR="00D00FBB" w:rsidRPr="00AF0344">
        <w:rPr>
          <w:rStyle w:val="Hyperlink"/>
          <w:lang w:val="fr-FR"/>
        </w:rPr>
        <w:t>LHE/23/18.COM EXP/4</w:t>
      </w:r>
      <w:r w:rsidR="006E47BB">
        <w:rPr>
          <w:rStyle w:val="Hyperlink"/>
          <w:lang w:val="fr-FR"/>
        </w:rPr>
        <w:fldChar w:fldCharType="end"/>
      </w:r>
      <w:r w:rsidR="00D00FBB" w:rsidRPr="00AF0344">
        <w:rPr>
          <w:lang w:val="fr-FR"/>
        </w:rPr>
        <w:t>. Bien que de nombreuses sections du présent document aient été reprises directement des recommandations des experts, elles sont présentées dans un ordre différent et avec des ajustements afin de faciliter les discussions du groupe de travail. Il est prévu que le groupe de travail fournisse ses recommandations à la dix-huitième session du Comité, qui se tiendra du 4 au 9 décembre 2023 à Kasane,</w:t>
      </w:r>
      <w:r w:rsidR="001A0378">
        <w:rPr>
          <w:lang w:val="fr-FR"/>
        </w:rPr>
        <w:t xml:space="preserve"> </w:t>
      </w:r>
      <w:r w:rsidR="00D00FBB" w:rsidRPr="00AF0344">
        <w:rPr>
          <w:lang w:val="fr-FR"/>
        </w:rPr>
        <w:t xml:space="preserve">République du Botswana. À cet égard, le document </w:t>
      </w:r>
      <w:r w:rsidR="006E47BB">
        <w:fldChar w:fldCharType="begin"/>
      </w:r>
      <w:r w:rsidR="006E47BB" w:rsidRPr="006E47BB">
        <w:rPr>
          <w:lang w:val="fr-FR"/>
        </w:rPr>
        <w:instrText>HYPERLINK "https://ich.unesco.org/doc/src/LHE-23-18.COM_WG_ART18-4_FR.docx"</w:instrText>
      </w:r>
      <w:r w:rsidR="006E47BB">
        <w:fldChar w:fldCharType="separate"/>
      </w:r>
      <w:r w:rsidR="00D00FBB" w:rsidRPr="00AF0344">
        <w:rPr>
          <w:rStyle w:val="Hyperlink"/>
          <w:lang w:val="fr-FR"/>
        </w:rPr>
        <w:t>LHE/23/18.COM WG ART18/4</w:t>
      </w:r>
      <w:r w:rsidR="006E47BB">
        <w:rPr>
          <w:rStyle w:val="Hyperlink"/>
          <w:lang w:val="fr-FR"/>
        </w:rPr>
        <w:fldChar w:fldCharType="end"/>
      </w:r>
      <w:r w:rsidR="00D00FBB" w:rsidRPr="00AF0344">
        <w:rPr>
          <w:lang w:val="fr-FR"/>
        </w:rPr>
        <w:t xml:space="preserve">, qui a été publié en tant que </w:t>
      </w:r>
      <w:r w:rsidR="00951087" w:rsidRPr="008F38AA">
        <w:rPr>
          <w:lang w:val="fr-FR"/>
        </w:rPr>
        <w:t>canevas</w:t>
      </w:r>
      <w:r w:rsidR="00D00FBB" w:rsidRPr="00AF0344">
        <w:rPr>
          <w:lang w:val="fr-FR"/>
        </w:rPr>
        <w:t xml:space="preserve"> des recommandations du groupe de travail à élaborer, sera révisé au cours de la réunion pour refléter les discussions du groupe de travail afin que celui-ci puisse adopter les recommandations le dernier jour de sa réunion.</w:t>
      </w:r>
    </w:p>
    <w:p w14:paraId="60D19A40" w14:textId="7851054D" w:rsidR="008F5A4F" w:rsidRPr="00AF0344" w:rsidRDefault="00DA4F9A" w:rsidP="00DA4F9A">
      <w:pPr>
        <w:pStyle w:val="COMPara"/>
        <w:spacing w:before="240"/>
        <w:ind w:left="0" w:firstLine="0"/>
        <w:jc w:val="both"/>
        <w:rPr>
          <w:lang w:val="fr-FR"/>
        </w:rPr>
      </w:pPr>
      <w:r w:rsidRPr="008F38AA">
        <w:rPr>
          <w:b/>
          <w:bCs/>
          <w:lang w:val="fr-FR"/>
        </w:rPr>
        <w:t>Considérations</w:t>
      </w:r>
      <w:r w:rsidRPr="00AF0344">
        <w:rPr>
          <w:b/>
          <w:bCs/>
          <w:lang w:val="fr-FR"/>
        </w:rPr>
        <w:t xml:space="preserve"> générales</w:t>
      </w:r>
    </w:p>
    <w:p w14:paraId="06BB9DAA" w14:textId="3B75714D" w:rsidR="007E60C6" w:rsidRPr="00AF0344" w:rsidRDefault="00DA4F9A" w:rsidP="00DA4F9A">
      <w:pPr>
        <w:pStyle w:val="COMParabodytext"/>
        <w:numPr>
          <w:ilvl w:val="0"/>
          <w:numId w:val="18"/>
        </w:numPr>
        <w:ind w:left="567" w:hanging="567"/>
        <w:rPr>
          <w:lang w:val="fr-FR"/>
        </w:rPr>
      </w:pPr>
      <w:r w:rsidRPr="00AF0344">
        <w:rPr>
          <w:lang w:val="fr-FR"/>
        </w:rPr>
        <w:t>L</w:t>
      </w:r>
      <w:r w:rsidR="001A0378">
        <w:rPr>
          <w:lang w:val="fr-FR"/>
        </w:rPr>
        <w:t>’</w:t>
      </w:r>
      <w:r w:rsidRPr="00AF0344">
        <w:rPr>
          <w:lang w:val="fr-FR"/>
        </w:rPr>
        <w:t xml:space="preserve">article 18 de la </w:t>
      </w:r>
      <w:r w:rsidR="00951087" w:rsidRPr="00AF0344">
        <w:rPr>
          <w:lang w:val="fr-FR"/>
        </w:rPr>
        <w:t>C</w:t>
      </w:r>
      <w:r w:rsidRPr="00AF0344">
        <w:rPr>
          <w:lang w:val="fr-FR"/>
        </w:rPr>
        <w:t xml:space="preserve">onvention de 2003 </w:t>
      </w:r>
      <w:r w:rsidR="00B06E90" w:rsidRPr="00AF0344">
        <w:rPr>
          <w:lang w:val="fr-FR"/>
        </w:rPr>
        <w:t xml:space="preserve">a le potentiel de </w:t>
      </w:r>
      <w:r w:rsidRPr="00AF0344">
        <w:rPr>
          <w:lang w:val="fr-FR"/>
        </w:rPr>
        <w:t xml:space="preserve">contribuer à la réalisation de tous les objectifs de la </w:t>
      </w:r>
      <w:r w:rsidR="00951087" w:rsidRPr="00AF0344">
        <w:rPr>
          <w:lang w:val="fr-FR"/>
        </w:rPr>
        <w:t>C</w:t>
      </w:r>
      <w:r w:rsidRPr="00AF0344">
        <w:rPr>
          <w:lang w:val="fr-FR"/>
        </w:rPr>
        <w:t>onvention, tels qu</w:t>
      </w:r>
      <w:r w:rsidR="001A0378">
        <w:rPr>
          <w:lang w:val="fr-FR"/>
        </w:rPr>
        <w:t>’</w:t>
      </w:r>
      <w:r w:rsidRPr="00AF0344">
        <w:rPr>
          <w:lang w:val="fr-FR"/>
        </w:rPr>
        <w:t>ils sont énoncés à l</w:t>
      </w:r>
      <w:r w:rsidR="001A0378">
        <w:rPr>
          <w:lang w:val="fr-FR"/>
        </w:rPr>
        <w:t>’</w:t>
      </w:r>
      <w:r w:rsidRPr="00AF0344">
        <w:rPr>
          <w:lang w:val="fr-FR"/>
        </w:rPr>
        <w:t xml:space="preserve">article </w:t>
      </w:r>
      <w:r w:rsidR="001A0378">
        <w:rPr>
          <w:lang w:val="fr-FR"/>
        </w:rPr>
        <w:t>premi</w:t>
      </w:r>
      <w:r w:rsidRPr="00AF0344">
        <w:rPr>
          <w:lang w:val="fr-FR"/>
        </w:rPr>
        <w:t xml:space="preserve">er de celle-ci. À cet égard, il est important de souligner le double </w:t>
      </w:r>
      <w:r w:rsidRPr="00E5777B">
        <w:rPr>
          <w:lang w:val="fr-FR"/>
        </w:rPr>
        <w:t>principe directeur</w:t>
      </w:r>
      <w:r w:rsidRPr="00AF0344">
        <w:rPr>
          <w:lang w:val="fr-FR"/>
        </w:rPr>
        <w:t xml:space="preserve"> que le groupe de travail souhaiter</w:t>
      </w:r>
      <w:r w:rsidR="00A437B6" w:rsidRPr="00AF0344">
        <w:rPr>
          <w:lang w:val="fr-FR"/>
        </w:rPr>
        <w:t>ait</w:t>
      </w:r>
      <w:r w:rsidRPr="00AF0344">
        <w:rPr>
          <w:lang w:val="fr-FR"/>
        </w:rPr>
        <w:t xml:space="preserve"> garder à l</w:t>
      </w:r>
      <w:r w:rsidR="001A0378">
        <w:rPr>
          <w:lang w:val="fr-FR"/>
        </w:rPr>
        <w:t>’</w:t>
      </w:r>
      <w:r w:rsidRPr="00AF0344">
        <w:rPr>
          <w:lang w:val="fr-FR"/>
        </w:rPr>
        <w:t>esprit. Cela permettra d</w:t>
      </w:r>
      <w:r w:rsidR="001A0378">
        <w:rPr>
          <w:lang w:val="fr-FR"/>
        </w:rPr>
        <w:t>’</w:t>
      </w:r>
      <w:r w:rsidRPr="00AF0344">
        <w:rPr>
          <w:lang w:val="fr-FR"/>
        </w:rPr>
        <w:t>assurer la continuité avec la réflexion globale sur les mécanismes d</w:t>
      </w:r>
      <w:r w:rsidR="001A0378">
        <w:rPr>
          <w:lang w:val="fr-FR"/>
        </w:rPr>
        <w:t>’</w:t>
      </w:r>
      <w:r w:rsidRPr="00AF0344">
        <w:rPr>
          <w:lang w:val="fr-FR"/>
        </w:rPr>
        <w:t xml:space="preserve">inscription </w:t>
      </w:r>
      <w:r w:rsidR="00D93E09" w:rsidRPr="00AF0344">
        <w:rPr>
          <w:lang w:val="fr-FR"/>
        </w:rPr>
        <w:t xml:space="preserve">sur les listes </w:t>
      </w:r>
      <w:r w:rsidRPr="00AF0344">
        <w:rPr>
          <w:lang w:val="fr-FR"/>
        </w:rPr>
        <w:t>de la Convention de 2003, qui a suivi le même principe (</w:t>
      </w:r>
      <w:r w:rsidR="003B58FA" w:rsidRPr="00AF0344">
        <w:rPr>
          <w:lang w:val="fr-FR"/>
        </w:rPr>
        <w:t>d</w:t>
      </w:r>
      <w:r w:rsidRPr="00AF0344">
        <w:rPr>
          <w:lang w:val="fr-FR"/>
        </w:rPr>
        <w:t xml:space="preserve">écision </w:t>
      </w:r>
      <w:r w:rsidR="006E47BB">
        <w:fldChar w:fldCharType="begin"/>
      </w:r>
      <w:r w:rsidR="006E47BB" w:rsidRPr="006E47BB">
        <w:rPr>
          <w:lang w:val="fr-FR"/>
        </w:rPr>
        <w:instrText>HYPERLINK "https://ich.unesco.org/fr/D%C3%A9cisions/16.COM/14"</w:instrText>
      </w:r>
      <w:r w:rsidR="006E47BB">
        <w:fldChar w:fldCharType="separate"/>
      </w:r>
      <w:r w:rsidRPr="00AF0344">
        <w:rPr>
          <w:rStyle w:val="Hyperlink"/>
          <w:lang w:val="fr-FR"/>
        </w:rPr>
        <w:t>16.COM 14</w:t>
      </w:r>
      <w:r w:rsidR="006E47BB">
        <w:rPr>
          <w:rStyle w:val="Hyperlink"/>
          <w:lang w:val="fr-FR"/>
        </w:rPr>
        <w:fldChar w:fldCharType="end"/>
      </w:r>
      <w:r w:rsidRPr="00AF0344">
        <w:rPr>
          <w:lang w:val="fr-FR"/>
        </w:rPr>
        <w:t>), à savoir que :</w:t>
      </w:r>
    </w:p>
    <w:p w14:paraId="1A42B8A1" w14:textId="7A763CDA" w:rsidR="00DA4F9A" w:rsidRPr="00AF0344" w:rsidRDefault="00DA4F9A" w:rsidP="00032A69">
      <w:pPr>
        <w:pStyle w:val="COMPara"/>
        <w:numPr>
          <w:ilvl w:val="0"/>
          <w:numId w:val="20"/>
        </w:numPr>
        <w:ind w:left="1134" w:hanging="567"/>
        <w:jc w:val="both"/>
        <w:rPr>
          <w:lang w:val="fr-FR"/>
        </w:rPr>
      </w:pPr>
      <w:r w:rsidRPr="00AF0344">
        <w:rPr>
          <w:lang w:val="fr-FR"/>
        </w:rPr>
        <w:t xml:space="preserve">Les communautés, les groupes et, le cas échéant, les individus (ci-après </w:t>
      </w:r>
      <w:r w:rsidR="00032A69" w:rsidRPr="00AF0344">
        <w:rPr>
          <w:lang w:val="fr-FR"/>
        </w:rPr>
        <w:t>« </w:t>
      </w:r>
      <w:r w:rsidRPr="00AF0344">
        <w:rPr>
          <w:lang w:val="fr-FR"/>
        </w:rPr>
        <w:t>les communautés</w:t>
      </w:r>
      <w:r w:rsidR="00032A69" w:rsidRPr="00AF0344">
        <w:rPr>
          <w:lang w:val="fr-FR"/>
        </w:rPr>
        <w:t> »</w:t>
      </w:r>
      <w:r w:rsidRPr="00AF0344">
        <w:rPr>
          <w:lang w:val="fr-FR"/>
        </w:rPr>
        <w:t>) doivent être placés au centre des efforts de sauvegarde de leur patrimoine culturel immatériel dans l</w:t>
      </w:r>
      <w:r w:rsidR="001A0378">
        <w:rPr>
          <w:lang w:val="fr-FR"/>
        </w:rPr>
        <w:t>’</w:t>
      </w:r>
      <w:r w:rsidRPr="00AF0344">
        <w:rPr>
          <w:lang w:val="fr-FR"/>
        </w:rPr>
        <w:t>esprit de l</w:t>
      </w:r>
      <w:r w:rsidR="001A0378">
        <w:rPr>
          <w:lang w:val="fr-FR"/>
        </w:rPr>
        <w:t>’</w:t>
      </w:r>
      <w:r w:rsidRPr="00AF0344">
        <w:rPr>
          <w:lang w:val="fr-FR"/>
        </w:rPr>
        <w:t xml:space="preserve">article 15 de la Convention et des </w:t>
      </w:r>
      <w:r w:rsidR="006E47BB">
        <w:fldChar w:fldCharType="begin"/>
      </w:r>
      <w:r w:rsidR="006E47BB" w:rsidRPr="006E47BB">
        <w:rPr>
          <w:lang w:val="fr-FR"/>
        </w:rPr>
        <w:instrText>HYPERLINK "https://ich.unesco.org/fr/ethique-et-pci-00866"</w:instrText>
      </w:r>
      <w:r w:rsidR="006E47BB">
        <w:fldChar w:fldCharType="separate"/>
      </w:r>
      <w:r w:rsidRPr="00AF0344">
        <w:rPr>
          <w:rStyle w:val="Hyperlink"/>
          <w:lang w:val="fr-FR"/>
        </w:rPr>
        <w:t>Principes éthiques</w:t>
      </w:r>
      <w:r w:rsidR="006E47BB">
        <w:rPr>
          <w:rStyle w:val="Hyperlink"/>
          <w:lang w:val="fr-FR"/>
        </w:rPr>
        <w:fldChar w:fldCharType="end"/>
      </w:r>
      <w:r w:rsidRPr="00AF0344">
        <w:rPr>
          <w:lang w:val="fr-FR"/>
        </w:rPr>
        <w:t xml:space="preserve"> pour la sauvegarde du patrimoine culturel immatériel, ainsi que de la Déclaration universelle des droits de l</w:t>
      </w:r>
      <w:r w:rsidR="001A0378">
        <w:rPr>
          <w:lang w:val="fr-FR"/>
        </w:rPr>
        <w:t>’</w:t>
      </w:r>
      <w:r w:rsidRPr="00AF0344">
        <w:rPr>
          <w:lang w:val="fr-FR"/>
        </w:rPr>
        <w:t>homme (en particulier son article 27)</w:t>
      </w:r>
      <w:r w:rsidR="00032A69" w:rsidRPr="00AF0344">
        <w:rPr>
          <w:lang w:val="fr-FR"/>
        </w:rPr>
        <w:t> ;</w:t>
      </w:r>
    </w:p>
    <w:p w14:paraId="72D4CE69" w14:textId="0F551E92" w:rsidR="003F332A" w:rsidRPr="00AF0344" w:rsidRDefault="003F332A" w:rsidP="00032A69">
      <w:pPr>
        <w:pStyle w:val="COMPara"/>
        <w:numPr>
          <w:ilvl w:val="0"/>
          <w:numId w:val="20"/>
        </w:numPr>
        <w:ind w:left="1134" w:hanging="567"/>
        <w:jc w:val="both"/>
        <w:rPr>
          <w:lang w:val="fr-FR"/>
        </w:rPr>
      </w:pPr>
      <w:r w:rsidRPr="00AF0344">
        <w:rPr>
          <w:lang w:val="fr-FR"/>
        </w:rPr>
        <w:t>La participation active des communautés doit être assurée dans la mise en œuvre de l</w:t>
      </w:r>
      <w:r w:rsidR="001A0378">
        <w:rPr>
          <w:lang w:val="fr-FR"/>
        </w:rPr>
        <w:t>’</w:t>
      </w:r>
      <w:r w:rsidRPr="00AF0344">
        <w:rPr>
          <w:lang w:val="fr-FR"/>
        </w:rPr>
        <w:t xml:space="preserve">article 18, y compris le </w:t>
      </w:r>
      <w:r w:rsidR="00B06E90" w:rsidRPr="00AF0344">
        <w:rPr>
          <w:lang w:val="fr-FR"/>
        </w:rPr>
        <w:t>R</w:t>
      </w:r>
      <w:r w:rsidRPr="00AF0344">
        <w:rPr>
          <w:lang w:val="fr-FR"/>
        </w:rPr>
        <w:t>egistre de bonnes pratiques de sauvegarde.</w:t>
      </w:r>
    </w:p>
    <w:p w14:paraId="46A1787A" w14:textId="7983ABAA" w:rsidR="00E47AD3" w:rsidRPr="00AF0344" w:rsidRDefault="0017147D" w:rsidP="0017147D">
      <w:pPr>
        <w:pStyle w:val="COMParabodytext"/>
        <w:numPr>
          <w:ilvl w:val="0"/>
          <w:numId w:val="18"/>
        </w:numPr>
        <w:ind w:left="567" w:hanging="567"/>
        <w:rPr>
          <w:u w:val="single"/>
          <w:lang w:val="fr-FR"/>
        </w:rPr>
      </w:pPr>
      <w:r w:rsidRPr="00AF0344">
        <w:rPr>
          <w:lang w:val="fr-FR"/>
        </w:rPr>
        <w:t>Le groupe de travail pourrait rappeler l</w:t>
      </w:r>
      <w:r w:rsidR="001A0378">
        <w:rPr>
          <w:lang w:val="fr-FR"/>
        </w:rPr>
        <w:t>’</w:t>
      </w:r>
      <w:r w:rsidRPr="00AF0344">
        <w:rPr>
          <w:lang w:val="fr-FR"/>
        </w:rPr>
        <w:t>intention initiale de l</w:t>
      </w:r>
      <w:r w:rsidR="001A0378">
        <w:rPr>
          <w:lang w:val="fr-FR"/>
        </w:rPr>
        <w:t>’</w:t>
      </w:r>
      <w:r w:rsidRPr="00AF0344">
        <w:rPr>
          <w:lang w:val="fr-FR"/>
        </w:rPr>
        <w:t>article 18. D</w:t>
      </w:r>
      <w:r w:rsidR="001A0378">
        <w:rPr>
          <w:lang w:val="fr-FR"/>
        </w:rPr>
        <w:t>’</w:t>
      </w:r>
      <w:r w:rsidRPr="00AF0344">
        <w:rPr>
          <w:lang w:val="fr-FR"/>
        </w:rPr>
        <w:t xml:space="preserve">une part, il invite le Comité à </w:t>
      </w:r>
      <w:r w:rsidR="00B06E90" w:rsidRPr="00AF0344">
        <w:rPr>
          <w:lang w:val="fr-FR"/>
        </w:rPr>
        <w:t>fournir une source d</w:t>
      </w:r>
      <w:r w:rsidR="001A0378">
        <w:rPr>
          <w:lang w:val="fr-FR"/>
        </w:rPr>
        <w:t>’</w:t>
      </w:r>
      <w:r w:rsidR="00B06E90" w:rsidRPr="00AF0344">
        <w:rPr>
          <w:lang w:val="fr-FR"/>
        </w:rPr>
        <w:t>inspiration</w:t>
      </w:r>
      <w:r w:rsidR="009D06EF" w:rsidRPr="00AF0344">
        <w:rPr>
          <w:lang w:val="fr-FR"/>
        </w:rPr>
        <w:t xml:space="preserve"> </w:t>
      </w:r>
      <w:r w:rsidR="00B06E90" w:rsidRPr="00AF0344">
        <w:rPr>
          <w:lang w:val="fr-FR"/>
        </w:rPr>
        <w:t>aux</w:t>
      </w:r>
      <w:r w:rsidRPr="00AF0344">
        <w:rPr>
          <w:lang w:val="fr-FR"/>
        </w:rPr>
        <w:t xml:space="preserve"> communautés du monde entier en sélectionnant et en promouvant des programmes, des projets et des activités de sauvegarde du patrimoine vivant qui reflètent le mieux les principes et les objectifs de la Convention. En même temps, l</w:t>
      </w:r>
      <w:r w:rsidR="001A0378">
        <w:rPr>
          <w:lang w:val="fr-FR"/>
        </w:rPr>
        <w:t>’</w:t>
      </w:r>
      <w:r w:rsidRPr="00AF0344">
        <w:rPr>
          <w:lang w:val="fr-FR"/>
        </w:rPr>
        <w:t xml:space="preserve">article 18 doit être </w:t>
      </w:r>
      <w:r w:rsidR="001F7AE9" w:rsidRPr="00AF0344">
        <w:rPr>
          <w:lang w:val="fr-FR"/>
        </w:rPr>
        <w:t>envisagé</w:t>
      </w:r>
      <w:r w:rsidRPr="00AF0344">
        <w:rPr>
          <w:lang w:val="fr-FR"/>
        </w:rPr>
        <w:t xml:space="preserve"> en relation avec les articles 19 à 24 </w:t>
      </w:r>
      <w:r w:rsidR="00B06E90" w:rsidRPr="00AF0344">
        <w:rPr>
          <w:lang w:val="fr-FR"/>
        </w:rPr>
        <w:t xml:space="preserve">pour </w:t>
      </w:r>
      <w:r w:rsidRPr="00AF0344">
        <w:rPr>
          <w:lang w:val="fr-FR"/>
        </w:rPr>
        <w:t>facilit</w:t>
      </w:r>
      <w:r w:rsidR="00B06E90" w:rsidRPr="00AF0344">
        <w:rPr>
          <w:lang w:val="fr-FR"/>
        </w:rPr>
        <w:t>er</w:t>
      </w:r>
      <w:r w:rsidR="009D06EF" w:rsidRPr="00AF0344">
        <w:rPr>
          <w:lang w:val="fr-FR"/>
        </w:rPr>
        <w:t xml:space="preserve"> </w:t>
      </w:r>
      <w:r w:rsidRPr="00AF0344">
        <w:rPr>
          <w:lang w:val="fr-FR"/>
        </w:rPr>
        <w:t>la coopération et</w:t>
      </w:r>
      <w:r w:rsidR="00B06E90" w:rsidRPr="00AF0344">
        <w:rPr>
          <w:lang w:val="fr-FR"/>
        </w:rPr>
        <w:t xml:space="preserve"> fournir une </w:t>
      </w:r>
      <w:r w:rsidRPr="00AF0344">
        <w:rPr>
          <w:lang w:val="fr-FR"/>
        </w:rPr>
        <w:t xml:space="preserve">assistance aux États parties et aux communautés concernées </w:t>
      </w:r>
      <w:r w:rsidR="001F7AE9" w:rsidRPr="00AF0344">
        <w:rPr>
          <w:lang w:val="fr-FR"/>
        </w:rPr>
        <w:t>pour</w:t>
      </w:r>
      <w:r w:rsidRPr="00AF0344">
        <w:rPr>
          <w:lang w:val="fr-FR"/>
        </w:rPr>
        <w:t xml:space="preserve"> la planification, la mise en œuvre et le suivi de leurs efforts de sauvegarde. Enfin, l</w:t>
      </w:r>
      <w:r w:rsidR="001A0378">
        <w:rPr>
          <w:lang w:val="fr-FR"/>
        </w:rPr>
        <w:t>’</w:t>
      </w:r>
      <w:r w:rsidRPr="00AF0344">
        <w:rPr>
          <w:lang w:val="fr-FR"/>
        </w:rPr>
        <w:t xml:space="preserve">article 18 </w:t>
      </w:r>
      <w:r w:rsidR="001A0378" w:rsidRPr="001A0378">
        <w:rPr>
          <w:lang w:val="fr-FR"/>
        </w:rPr>
        <w:t>–</w:t>
      </w:r>
      <w:r w:rsidRPr="00AF0344">
        <w:rPr>
          <w:lang w:val="fr-FR"/>
        </w:rPr>
        <w:t xml:space="preserve"> ainsi que les articles 16 et 17 qui introduisent les deux listes de la Convention </w:t>
      </w:r>
      <w:r w:rsidR="001A0378" w:rsidRPr="001A0378">
        <w:rPr>
          <w:lang w:val="fr-FR"/>
        </w:rPr>
        <w:t>–</w:t>
      </w:r>
      <w:r w:rsidRPr="00AF0344">
        <w:rPr>
          <w:lang w:val="fr-FR"/>
        </w:rPr>
        <w:t xml:space="preserve"> fait partie d</w:t>
      </w:r>
      <w:r w:rsidR="001A0378">
        <w:rPr>
          <w:lang w:val="fr-FR"/>
        </w:rPr>
        <w:t>’</w:t>
      </w:r>
      <w:r w:rsidRPr="00AF0344">
        <w:rPr>
          <w:lang w:val="fr-FR"/>
        </w:rPr>
        <w:t xml:space="preserve">un chapitre de la Convention intitulé </w:t>
      </w:r>
      <w:r w:rsidR="00FF5379" w:rsidRPr="00AF0344">
        <w:rPr>
          <w:lang w:val="fr-FR"/>
        </w:rPr>
        <w:t>« </w:t>
      </w:r>
      <w:r w:rsidRPr="00AF0344">
        <w:rPr>
          <w:lang w:val="fr-FR"/>
        </w:rPr>
        <w:t xml:space="preserve">Sauvegarde du patrimoine culturel immatériel au niveau international </w:t>
      </w:r>
      <w:r w:rsidR="00FF5379" w:rsidRPr="00AF0344">
        <w:rPr>
          <w:lang w:val="fr-FR"/>
        </w:rPr>
        <w:t>»</w:t>
      </w:r>
      <w:r w:rsidRPr="00AF0344">
        <w:rPr>
          <w:lang w:val="fr-FR"/>
        </w:rPr>
        <w:t>. Comme pour les deux listes de la Convention, la mise en œuvre de l</w:t>
      </w:r>
      <w:r w:rsidR="001A0378">
        <w:rPr>
          <w:lang w:val="fr-FR"/>
        </w:rPr>
        <w:t>’</w:t>
      </w:r>
      <w:r w:rsidRPr="00AF0344">
        <w:rPr>
          <w:lang w:val="fr-FR"/>
        </w:rPr>
        <w:t>article 18 devrait contribuer à la sauvegarde du patrimoine culturel immatériel des communautés du monde entier par des actions concertées au niveau international. La responsabilité spécifique du Comité à cet égard est également confirmée à l</w:t>
      </w:r>
      <w:r w:rsidR="001A0378">
        <w:rPr>
          <w:lang w:val="fr-FR"/>
        </w:rPr>
        <w:t>’</w:t>
      </w:r>
      <w:r w:rsidRPr="00AF0344">
        <w:rPr>
          <w:lang w:val="fr-FR"/>
        </w:rPr>
        <w:t>article 7(b) de la Convention.</w:t>
      </w:r>
    </w:p>
    <w:p w14:paraId="0A62B9E5" w14:textId="17C9A4C3" w:rsidR="00E47AD3" w:rsidRPr="00AF0344" w:rsidRDefault="00CC4780" w:rsidP="00257818">
      <w:pPr>
        <w:pStyle w:val="COMParabodytext"/>
        <w:numPr>
          <w:ilvl w:val="0"/>
          <w:numId w:val="18"/>
        </w:numPr>
        <w:ind w:left="567" w:hanging="567"/>
        <w:rPr>
          <w:u w:val="single"/>
          <w:lang w:val="fr-FR"/>
        </w:rPr>
      </w:pPr>
      <w:r w:rsidRPr="00AF0344">
        <w:rPr>
          <w:lang w:val="fr-FR"/>
        </w:rPr>
        <w:lastRenderedPageBreak/>
        <w:t>La réunion d</w:t>
      </w:r>
      <w:r w:rsidR="001A0378">
        <w:rPr>
          <w:lang w:val="fr-FR"/>
        </w:rPr>
        <w:t>’</w:t>
      </w:r>
      <w:r w:rsidRPr="00AF0344">
        <w:rPr>
          <w:lang w:val="fr-FR"/>
        </w:rPr>
        <w:t>experts de catégorie VI a permis d</w:t>
      </w:r>
      <w:r w:rsidR="001A0378">
        <w:rPr>
          <w:lang w:val="fr-FR"/>
        </w:rPr>
        <w:t>’</w:t>
      </w:r>
      <w:r w:rsidRPr="00AF0344">
        <w:rPr>
          <w:lang w:val="fr-FR"/>
        </w:rPr>
        <w:t xml:space="preserve">identifier les </w:t>
      </w:r>
      <w:r w:rsidR="001A0378">
        <w:rPr>
          <w:lang w:val="fr-FR"/>
        </w:rPr>
        <w:t>points</w:t>
      </w:r>
      <w:r w:rsidRPr="00AF0344">
        <w:rPr>
          <w:lang w:val="fr-FR"/>
        </w:rPr>
        <w:t xml:space="preserve"> clés suivants</w:t>
      </w:r>
      <w:r w:rsidR="00834496" w:rsidRPr="00AF0344">
        <w:rPr>
          <w:rStyle w:val="FootnoteReference"/>
          <w:lang w:val="fr-FR"/>
        </w:rPr>
        <w:footnoteReference w:id="1"/>
      </w:r>
      <w:r w:rsidR="00257818" w:rsidRPr="00AF0344">
        <w:rPr>
          <w:lang w:val="fr-FR"/>
        </w:rPr>
        <w:t> :</w:t>
      </w:r>
    </w:p>
    <w:p w14:paraId="0F463929" w14:textId="4802F107" w:rsidR="00E47AD3" w:rsidRPr="001A0378" w:rsidRDefault="001A0378" w:rsidP="001A0378">
      <w:pPr>
        <w:pStyle w:val="COMParabodytext"/>
        <w:numPr>
          <w:ilvl w:val="0"/>
          <w:numId w:val="21"/>
        </w:numPr>
        <w:tabs>
          <w:tab w:val="clear" w:pos="567"/>
          <w:tab w:val="left" w:pos="1134"/>
        </w:tabs>
        <w:rPr>
          <w:lang w:val="fr-FR"/>
        </w:rPr>
      </w:pPr>
      <w:r w:rsidRPr="0016587A">
        <w:rPr>
          <w:lang w:val="fr-FR"/>
        </w:rPr>
        <w:t xml:space="preserve">Davantage de bonnes pratiques de sauvegarde, par le biais de programmes, de projets et d’activités, devraient être mises à disposition que ne le permet actuellement le </w:t>
      </w:r>
      <w:r w:rsidRPr="001A0378">
        <w:rPr>
          <w:lang w:val="fr-FR"/>
        </w:rPr>
        <w:t>Registre</w:t>
      </w:r>
      <w:r w:rsidRPr="0016587A">
        <w:rPr>
          <w:lang w:val="fr-FR"/>
        </w:rPr>
        <w:t xml:space="preserve"> de bonnes pratiques de sauvegarde (ci-après le « Registre »), qui ne compte que 33 pratiques</w:t>
      </w:r>
      <w:r w:rsidR="00DE7D9B" w:rsidRPr="001A0378">
        <w:rPr>
          <w:lang w:val="fr-FR"/>
        </w:rPr>
        <w:t>.</w:t>
      </w:r>
    </w:p>
    <w:p w14:paraId="0B86306F" w14:textId="77777777" w:rsidR="001A0378" w:rsidRPr="0016587A" w:rsidRDefault="001A0378" w:rsidP="001A0378">
      <w:pPr>
        <w:pStyle w:val="COMParabodytext"/>
        <w:numPr>
          <w:ilvl w:val="0"/>
          <w:numId w:val="21"/>
        </w:numPr>
        <w:tabs>
          <w:tab w:val="clear" w:pos="567"/>
          <w:tab w:val="left" w:pos="1134"/>
        </w:tabs>
        <w:rPr>
          <w:lang w:val="fr-FR"/>
        </w:rPr>
      </w:pPr>
      <w:r w:rsidRPr="0016587A">
        <w:rPr>
          <w:lang w:val="fr-FR"/>
        </w:rPr>
        <w:t>Les bonnes pratiques de sauvegarde partagées dans le cadre de la Convention devraient être réparties géographiquement plus équitablement, en référence au paragraphe 6 des Directives opérationnelles, facilitant ainsi la coopération Sud-Sud et Nord-Sud-Sud.</w:t>
      </w:r>
    </w:p>
    <w:p w14:paraId="58EC37CE" w14:textId="74845729" w:rsidR="00DE7D9B" w:rsidRPr="00AF0344" w:rsidRDefault="00DE7D9B" w:rsidP="00DE7D9B">
      <w:pPr>
        <w:pStyle w:val="COMParabodytext"/>
        <w:numPr>
          <w:ilvl w:val="0"/>
          <w:numId w:val="21"/>
        </w:numPr>
        <w:tabs>
          <w:tab w:val="clear" w:pos="567"/>
          <w:tab w:val="left" w:pos="1134"/>
        </w:tabs>
        <w:rPr>
          <w:lang w:val="fr-FR"/>
        </w:rPr>
      </w:pPr>
      <w:r w:rsidRPr="00AF0344">
        <w:rPr>
          <w:lang w:val="fr-FR"/>
        </w:rPr>
        <w:t>Il faut partager non seulement un plus grand nombre mais aussi un plus large éventail de bonnes pratiques de sauvegarde, reflétant la diversité du patrimoine vivant couvert par les articles 2.1 et 2.2. Ces pratiques doivent également refléter l</w:t>
      </w:r>
      <w:r w:rsidR="001A0378">
        <w:rPr>
          <w:lang w:val="fr-FR"/>
        </w:rPr>
        <w:t>’</w:t>
      </w:r>
      <w:r w:rsidRPr="00AF0344">
        <w:rPr>
          <w:lang w:val="fr-FR"/>
        </w:rPr>
        <w:t>éventail des menaces qui pèsent sur la viabilité du patrimoine vivant ainsi que les mesures de sauvegarde possibles indiquées à l</w:t>
      </w:r>
      <w:r w:rsidR="001A0378">
        <w:rPr>
          <w:lang w:val="fr-FR"/>
        </w:rPr>
        <w:t>’</w:t>
      </w:r>
      <w:r w:rsidRPr="00AF0344">
        <w:rPr>
          <w:lang w:val="fr-FR"/>
        </w:rPr>
        <w:t>article 2.3 de la Convention et des Directives opérationnelles (en référence au paragraphe 14 pour les propositions multinationales).</w:t>
      </w:r>
    </w:p>
    <w:p w14:paraId="315F2808" w14:textId="28E3ECB9" w:rsidR="00DE7D9B" w:rsidRPr="008C00E4" w:rsidRDefault="008C00E4" w:rsidP="008C00E4">
      <w:pPr>
        <w:pStyle w:val="COMParabodytext"/>
        <w:numPr>
          <w:ilvl w:val="0"/>
          <w:numId w:val="21"/>
        </w:numPr>
        <w:tabs>
          <w:tab w:val="clear" w:pos="567"/>
          <w:tab w:val="left" w:pos="1134"/>
        </w:tabs>
        <w:rPr>
          <w:lang w:val="fr-FR"/>
        </w:rPr>
      </w:pPr>
      <w:r w:rsidRPr="008C00E4">
        <w:rPr>
          <w:lang w:val="fr-FR"/>
        </w:rPr>
        <w:t>Une mise en œuvre plus large de l’article 18 devrait être accompagnée d’une implication large des parties prenantes, y compris</w:t>
      </w:r>
      <w:r>
        <w:rPr>
          <w:lang w:val="fr-FR"/>
        </w:rPr>
        <w:t xml:space="preserve"> (mais pas exclusivement)</w:t>
      </w:r>
      <w:r w:rsidRPr="008C00E4">
        <w:rPr>
          <w:lang w:val="fr-FR"/>
        </w:rPr>
        <w:t xml:space="preserve"> les personnes contact des communautés des éléments inscrits et des pratiques sélectionnées, les points focaux nationaux pour les rapports périodiques, les centres de catégorie 2, les organisations non gouvernementales accréditées, les chaires UNESCO et autres experts</w:t>
      </w:r>
      <w:r>
        <w:rPr>
          <w:lang w:val="fr-FR"/>
        </w:rPr>
        <w:t xml:space="preserve"> individuels</w:t>
      </w:r>
      <w:r w:rsidRPr="008C00E4">
        <w:rPr>
          <w:lang w:val="fr-FR"/>
        </w:rPr>
        <w:t xml:space="preserve">. Une utilisation plus large des bonnes </w:t>
      </w:r>
      <w:r>
        <w:rPr>
          <w:lang w:val="fr-FR"/>
        </w:rPr>
        <w:t>expériences</w:t>
      </w:r>
      <w:r w:rsidRPr="008C00E4">
        <w:rPr>
          <w:lang w:val="fr-FR"/>
        </w:rPr>
        <w:t xml:space="preserve"> de sauvegarde par de multiples parties prenantes devrait être encouragée pour atteindre les objectifs de la Convention, pour atteindre les objectifs du Cadre </w:t>
      </w:r>
      <w:r>
        <w:rPr>
          <w:lang w:val="fr-FR"/>
        </w:rPr>
        <w:t>g</w:t>
      </w:r>
      <w:r w:rsidRPr="008C00E4">
        <w:rPr>
          <w:lang w:val="fr-FR"/>
        </w:rPr>
        <w:t xml:space="preserve">lobal de </w:t>
      </w:r>
      <w:r>
        <w:rPr>
          <w:lang w:val="fr-FR"/>
        </w:rPr>
        <w:t>r</w:t>
      </w:r>
      <w:r w:rsidRPr="008C00E4">
        <w:rPr>
          <w:lang w:val="fr-FR"/>
        </w:rPr>
        <w:t>ésultats (CGR) et les besoins du développement durable</w:t>
      </w:r>
      <w:r w:rsidR="00DE7D9B" w:rsidRPr="008C00E4">
        <w:rPr>
          <w:lang w:val="fr-FR"/>
        </w:rPr>
        <w:t>.</w:t>
      </w:r>
    </w:p>
    <w:p w14:paraId="1255B834" w14:textId="04B46347" w:rsidR="008546C0" w:rsidRPr="00AF0344" w:rsidRDefault="008546C0" w:rsidP="008546C0">
      <w:pPr>
        <w:pStyle w:val="COMPara"/>
        <w:spacing w:before="240"/>
        <w:ind w:left="0" w:firstLine="0"/>
        <w:jc w:val="both"/>
        <w:rPr>
          <w:b/>
          <w:bCs/>
          <w:lang w:val="fr-FR"/>
        </w:rPr>
      </w:pPr>
      <w:r w:rsidRPr="00AF0344">
        <w:rPr>
          <w:b/>
          <w:bCs/>
          <w:lang w:val="fr-FR"/>
        </w:rPr>
        <w:t>Sujet 1</w:t>
      </w:r>
      <w:r w:rsidR="000D3E1C" w:rsidRPr="00AF0344">
        <w:rPr>
          <w:b/>
          <w:bCs/>
          <w:lang w:val="fr-FR"/>
        </w:rPr>
        <w:t xml:space="preserve"> </w:t>
      </w:r>
      <w:r w:rsidRPr="00AF0344">
        <w:rPr>
          <w:b/>
          <w:bCs/>
          <w:lang w:val="fr-FR"/>
        </w:rPr>
        <w:t>: Améliorer l</w:t>
      </w:r>
      <w:r w:rsidR="001A0378">
        <w:rPr>
          <w:b/>
          <w:bCs/>
          <w:lang w:val="fr-FR"/>
        </w:rPr>
        <w:t>’</w:t>
      </w:r>
      <w:r w:rsidRPr="00AF0344">
        <w:rPr>
          <w:b/>
          <w:bCs/>
          <w:lang w:val="fr-FR"/>
        </w:rPr>
        <w:t xml:space="preserve">accès et </w:t>
      </w:r>
      <w:r w:rsidR="00672E93" w:rsidRPr="00AF0344">
        <w:rPr>
          <w:b/>
          <w:bCs/>
          <w:lang w:val="fr-FR"/>
        </w:rPr>
        <w:t xml:space="preserve">augmenter </w:t>
      </w:r>
      <w:r w:rsidRPr="00AF0344">
        <w:rPr>
          <w:b/>
          <w:bCs/>
          <w:lang w:val="fr-FR"/>
        </w:rPr>
        <w:t xml:space="preserve">la visibilité du </w:t>
      </w:r>
      <w:r w:rsidR="001A4522" w:rsidRPr="00AF0344">
        <w:rPr>
          <w:b/>
          <w:bCs/>
          <w:lang w:val="fr-FR"/>
        </w:rPr>
        <w:t>R</w:t>
      </w:r>
      <w:r w:rsidRPr="00AF0344">
        <w:rPr>
          <w:b/>
          <w:bCs/>
          <w:lang w:val="fr-FR"/>
        </w:rPr>
        <w:t>egistre de bonnes pratiques de sauvegarde</w:t>
      </w:r>
    </w:p>
    <w:p w14:paraId="6EDE09E7" w14:textId="6D35548A" w:rsidR="008546C0" w:rsidRPr="00AF0344" w:rsidRDefault="004E0EFF" w:rsidP="004E0EFF">
      <w:pPr>
        <w:pStyle w:val="COMParabodytext"/>
        <w:numPr>
          <w:ilvl w:val="0"/>
          <w:numId w:val="18"/>
        </w:numPr>
        <w:ind w:left="567" w:hanging="567"/>
        <w:rPr>
          <w:lang w:val="fr-FR"/>
        </w:rPr>
      </w:pPr>
      <w:r w:rsidRPr="00AF0344">
        <w:rPr>
          <w:lang w:val="fr-FR"/>
        </w:rPr>
        <w:t xml:space="preserve">Le premier </w:t>
      </w:r>
      <w:r w:rsidR="0063205E" w:rsidRPr="00AF0344">
        <w:rPr>
          <w:lang w:val="fr-FR"/>
        </w:rPr>
        <w:t>sujet</w:t>
      </w:r>
      <w:r w:rsidRPr="00AF0344">
        <w:rPr>
          <w:lang w:val="fr-FR"/>
        </w:rPr>
        <w:t xml:space="preserve"> de réflexion vise à améliorer l</w:t>
      </w:r>
      <w:r w:rsidR="001A0378">
        <w:rPr>
          <w:lang w:val="fr-FR"/>
        </w:rPr>
        <w:t>’</w:t>
      </w:r>
      <w:r w:rsidRPr="00AF0344">
        <w:rPr>
          <w:lang w:val="fr-FR"/>
        </w:rPr>
        <w:t xml:space="preserve">utilisation du </w:t>
      </w:r>
      <w:r w:rsidR="00B06E90" w:rsidRPr="00AF0344">
        <w:rPr>
          <w:lang w:val="fr-FR"/>
        </w:rPr>
        <w:t>R</w:t>
      </w:r>
      <w:r w:rsidRPr="00AF0344">
        <w:rPr>
          <w:lang w:val="fr-FR"/>
        </w:rPr>
        <w:t>egistre de bonnes pratiques de sauvegarde lui-même, à la fois en termes d</w:t>
      </w:r>
      <w:r w:rsidR="001A0378">
        <w:rPr>
          <w:lang w:val="fr-FR"/>
        </w:rPr>
        <w:t>’</w:t>
      </w:r>
      <w:r w:rsidRPr="00AF0344">
        <w:rPr>
          <w:lang w:val="fr-FR"/>
        </w:rPr>
        <w:t xml:space="preserve">accès et de visibilité. Le </w:t>
      </w:r>
      <w:r w:rsidR="00B06E90" w:rsidRPr="00AF0344">
        <w:rPr>
          <w:lang w:val="fr-FR"/>
        </w:rPr>
        <w:t>R</w:t>
      </w:r>
      <w:r w:rsidRPr="00AF0344">
        <w:rPr>
          <w:lang w:val="fr-FR"/>
        </w:rPr>
        <w:t>egistre, qui reflète directement les activités de sauvegarde des communautés et de ceux qui coopèrent avec elles, n</w:t>
      </w:r>
      <w:r w:rsidR="001A0378">
        <w:rPr>
          <w:lang w:val="fr-FR"/>
        </w:rPr>
        <w:t>’</w:t>
      </w:r>
      <w:r w:rsidRPr="00AF0344">
        <w:rPr>
          <w:lang w:val="fr-FR"/>
        </w:rPr>
        <w:t>a pas encore atteint son plein potentiel pour servir d</w:t>
      </w:r>
      <w:r w:rsidR="001A0378">
        <w:rPr>
          <w:lang w:val="fr-FR"/>
        </w:rPr>
        <w:t>’</w:t>
      </w:r>
      <w:r w:rsidRPr="00AF0344">
        <w:rPr>
          <w:lang w:val="fr-FR"/>
        </w:rPr>
        <w:t>outil de renforcement des capacités et pour soutenir et enrichir les efforts de sauvegarde des communautés concerné</w:t>
      </w:r>
      <w:r w:rsidR="0016587A">
        <w:rPr>
          <w:lang w:val="fr-FR"/>
        </w:rPr>
        <w:t>e</w:t>
      </w:r>
      <w:r w:rsidRPr="00AF0344">
        <w:rPr>
          <w:lang w:val="fr-FR"/>
        </w:rPr>
        <w:t>s. Le groupe de travail souhaitera peut-être donner la priorité aux questions suivantes dans ses délibérations</w:t>
      </w:r>
      <w:r w:rsidR="008546C0" w:rsidRPr="00AF0344">
        <w:rPr>
          <w:lang w:val="fr-FR"/>
        </w:rPr>
        <w:t> </w:t>
      </w:r>
      <w:r w:rsidRPr="00AF0344">
        <w:rPr>
          <w:lang w:val="fr-FR"/>
        </w:rPr>
        <w:t xml:space="preserve">: (1) critères de </w:t>
      </w:r>
      <w:r w:rsidR="005728DF" w:rsidRPr="00AF0344">
        <w:rPr>
          <w:lang w:val="fr-FR"/>
        </w:rPr>
        <w:t>sélection</w:t>
      </w:r>
      <w:r w:rsidR="008546C0" w:rsidRPr="00AF0344">
        <w:rPr>
          <w:lang w:val="fr-FR"/>
        </w:rPr>
        <w:t> </w:t>
      </w:r>
      <w:r w:rsidRPr="00AF0344">
        <w:rPr>
          <w:lang w:val="fr-FR"/>
        </w:rPr>
        <w:t>; (2) accessibilité et visibilité</w:t>
      </w:r>
      <w:r w:rsidR="008546C0" w:rsidRPr="00AF0344">
        <w:rPr>
          <w:lang w:val="fr-FR"/>
        </w:rPr>
        <w:t> </w:t>
      </w:r>
      <w:r w:rsidRPr="00AF0344">
        <w:rPr>
          <w:lang w:val="fr-FR"/>
        </w:rPr>
        <w:t>; et (3)</w:t>
      </w:r>
      <w:r w:rsidR="008546C0" w:rsidRPr="00AF0344">
        <w:rPr>
          <w:lang w:val="fr-FR"/>
        </w:rPr>
        <w:t> </w:t>
      </w:r>
      <w:r w:rsidRPr="00AF0344">
        <w:rPr>
          <w:lang w:val="fr-FR"/>
        </w:rPr>
        <w:t>relations avec les mécanismes de coopération internationale de la Convention.</w:t>
      </w:r>
    </w:p>
    <w:p w14:paraId="28CC2AA2" w14:textId="222FAFA3" w:rsidR="00147799" w:rsidRPr="00AF0344" w:rsidRDefault="00B04725" w:rsidP="00147799">
      <w:pPr>
        <w:pStyle w:val="COMPara"/>
        <w:rPr>
          <w:rFonts w:eastAsiaTheme="minorEastAsia"/>
          <w:u w:val="single"/>
          <w:lang w:val="fr-FR" w:eastAsia="ko-KR"/>
        </w:rPr>
      </w:pPr>
      <w:r w:rsidRPr="00AF0344">
        <w:rPr>
          <w:rFonts w:eastAsiaTheme="minorEastAsia"/>
          <w:u w:val="single"/>
          <w:lang w:val="fr-FR" w:eastAsia="ko-KR"/>
        </w:rPr>
        <w:t xml:space="preserve">Point de discussion 1 : </w:t>
      </w:r>
      <w:r w:rsidR="004A49BB" w:rsidRPr="00AF0344">
        <w:rPr>
          <w:rFonts w:eastAsiaTheme="minorEastAsia"/>
          <w:u w:val="single"/>
          <w:lang w:val="fr-FR" w:eastAsia="ko-KR"/>
        </w:rPr>
        <w:t>Ajustements</w:t>
      </w:r>
      <w:r w:rsidRPr="00AF0344">
        <w:rPr>
          <w:rFonts w:eastAsiaTheme="minorEastAsia"/>
          <w:u w:val="single"/>
          <w:lang w:val="fr-FR" w:eastAsia="ko-KR"/>
        </w:rPr>
        <w:t xml:space="preserve"> </w:t>
      </w:r>
      <w:r w:rsidR="0090504C">
        <w:rPr>
          <w:rFonts w:eastAsiaTheme="minorEastAsia"/>
          <w:u w:val="single"/>
          <w:lang w:val="fr-FR" w:eastAsia="ko-KR"/>
        </w:rPr>
        <w:t>aux</w:t>
      </w:r>
      <w:r w:rsidRPr="00AF0344">
        <w:rPr>
          <w:rFonts w:eastAsiaTheme="minorEastAsia"/>
          <w:u w:val="single"/>
          <w:lang w:val="fr-FR" w:eastAsia="ko-KR"/>
        </w:rPr>
        <w:t xml:space="preserve"> critères de sélection</w:t>
      </w:r>
    </w:p>
    <w:p w14:paraId="3B244AE4" w14:textId="2DA724C1" w:rsidR="00147799" w:rsidRPr="00AF0344" w:rsidRDefault="00147799" w:rsidP="004E0EFF">
      <w:pPr>
        <w:pStyle w:val="COMParabodytext"/>
        <w:numPr>
          <w:ilvl w:val="0"/>
          <w:numId w:val="18"/>
        </w:numPr>
        <w:ind w:left="567" w:hanging="567"/>
        <w:rPr>
          <w:lang w:val="fr-FR"/>
        </w:rPr>
      </w:pPr>
      <w:r w:rsidRPr="00AF0344">
        <w:rPr>
          <w:lang w:val="fr-FR"/>
        </w:rPr>
        <w:t>Un résultat concret de la réflexion globale sur les mécanismes d</w:t>
      </w:r>
      <w:r w:rsidR="001A0378">
        <w:rPr>
          <w:lang w:val="fr-FR"/>
        </w:rPr>
        <w:t>’</w:t>
      </w:r>
      <w:r w:rsidRPr="00AF0344">
        <w:rPr>
          <w:lang w:val="fr-FR"/>
        </w:rPr>
        <w:t>inscription</w:t>
      </w:r>
      <w:r w:rsidR="00D93E09" w:rsidRPr="00AF0344">
        <w:rPr>
          <w:lang w:val="fr-FR"/>
        </w:rPr>
        <w:t xml:space="preserve"> sur les listes</w:t>
      </w:r>
      <w:r w:rsidRPr="00AF0344">
        <w:rPr>
          <w:lang w:val="fr-FR"/>
        </w:rPr>
        <w:t xml:space="preserve"> de la Convention a été la suppression du critère de sélection P.9 de </w:t>
      </w:r>
      <w:r w:rsidR="0090504C">
        <w:rPr>
          <w:lang w:val="fr-FR"/>
        </w:rPr>
        <w:t>la série de</w:t>
      </w:r>
      <w:r w:rsidRPr="00AF0344">
        <w:rPr>
          <w:lang w:val="fr-FR"/>
        </w:rPr>
        <w:t xml:space="preserve"> critères présentés au paragraphe 7 des Directives opérationnelles (document </w:t>
      </w:r>
      <w:hyperlink r:id="rId10" w:history="1">
        <w:r w:rsidR="004A49BB" w:rsidRPr="00AF0344">
          <w:rPr>
            <w:rStyle w:val="Hyperlink"/>
            <w:lang w:val="fr-FR"/>
          </w:rPr>
          <w:t>LHE/23/EXP ART18/2</w:t>
        </w:r>
        <w:r w:rsidR="00FF5379" w:rsidRPr="00AF0344">
          <w:rPr>
            <w:rStyle w:val="Hyperlink"/>
            <w:lang w:val="fr-FR"/>
          </w:rPr>
          <w:t xml:space="preserve"> </w:t>
        </w:r>
        <w:r w:rsidR="00FF5379" w:rsidRPr="008F38AA">
          <w:rPr>
            <w:rStyle w:val="Hyperlink"/>
            <w:lang w:val="fr-FR"/>
          </w:rPr>
          <w:t>Rev.</w:t>
        </w:r>
      </w:hyperlink>
      <w:r w:rsidRPr="00AF0344">
        <w:rPr>
          <w:lang w:val="fr-FR"/>
        </w:rPr>
        <w:t xml:space="preserve">). Les </w:t>
      </w:r>
      <w:r w:rsidR="0090504C" w:rsidRPr="00AF0344">
        <w:rPr>
          <w:lang w:val="fr-FR"/>
        </w:rPr>
        <w:t xml:space="preserve">parties I et II </w:t>
      </w:r>
      <w:r w:rsidR="0090504C">
        <w:rPr>
          <w:lang w:val="fr-FR"/>
        </w:rPr>
        <w:t xml:space="preserve">des </w:t>
      </w:r>
      <w:r w:rsidRPr="00AF0344">
        <w:rPr>
          <w:lang w:val="fr-FR"/>
        </w:rPr>
        <w:t xml:space="preserve">réunions </w:t>
      </w:r>
      <w:r w:rsidR="0090504C">
        <w:rPr>
          <w:lang w:val="fr-FR"/>
        </w:rPr>
        <w:t>d</w:t>
      </w:r>
      <w:r w:rsidRPr="00AF0344">
        <w:rPr>
          <w:lang w:val="fr-FR"/>
        </w:rPr>
        <w:t>u groupe de travail intergouvernemental à composition non limitée dans le cadre de la réflexion globale sur les mécanismes d</w:t>
      </w:r>
      <w:r w:rsidR="001A0378">
        <w:rPr>
          <w:lang w:val="fr-FR"/>
        </w:rPr>
        <w:t>’</w:t>
      </w:r>
      <w:r w:rsidRPr="00AF0344">
        <w:rPr>
          <w:lang w:val="fr-FR"/>
        </w:rPr>
        <w:t xml:space="preserve">inscription sur </w:t>
      </w:r>
      <w:r w:rsidR="00FF5379" w:rsidRPr="00AF0344">
        <w:rPr>
          <w:lang w:val="fr-FR"/>
        </w:rPr>
        <w:t>les</w:t>
      </w:r>
      <w:r w:rsidRPr="00AF0344">
        <w:rPr>
          <w:lang w:val="fr-FR"/>
        </w:rPr>
        <w:t xml:space="preserve"> liste</w:t>
      </w:r>
      <w:r w:rsidR="00FF5379" w:rsidRPr="00AF0344">
        <w:rPr>
          <w:lang w:val="fr-FR"/>
        </w:rPr>
        <w:t>s</w:t>
      </w:r>
      <w:r w:rsidRPr="00AF0344">
        <w:rPr>
          <w:lang w:val="fr-FR"/>
        </w:rPr>
        <w:t xml:space="preserve"> de la Convention ont également recommandé que la suppression ou la reformulation des critères, autres que le critère P.9, puisse être examinée </w:t>
      </w:r>
      <w:r w:rsidR="0090504C">
        <w:rPr>
          <w:lang w:val="fr-FR"/>
        </w:rPr>
        <w:t>de manière plus approfondie</w:t>
      </w:r>
      <w:r w:rsidRPr="00AF0344">
        <w:rPr>
          <w:lang w:val="fr-FR"/>
        </w:rPr>
        <w:t xml:space="preserve"> dans le cadre d</w:t>
      </w:r>
      <w:r w:rsidR="001A0378">
        <w:rPr>
          <w:lang w:val="fr-FR"/>
        </w:rPr>
        <w:t>’</w:t>
      </w:r>
      <w:r w:rsidRPr="00AF0344">
        <w:rPr>
          <w:lang w:val="fr-FR"/>
        </w:rPr>
        <w:t>une discussion plus large sur la mise en œuvre de l</w:t>
      </w:r>
      <w:r w:rsidR="001A0378">
        <w:rPr>
          <w:lang w:val="fr-FR"/>
        </w:rPr>
        <w:t>’</w:t>
      </w:r>
      <w:r w:rsidRPr="00AF0344">
        <w:rPr>
          <w:lang w:val="fr-FR"/>
        </w:rPr>
        <w:t>article 18 de la Convention.</w:t>
      </w:r>
    </w:p>
    <w:p w14:paraId="45F9585A" w14:textId="2F44D2D4" w:rsidR="006C0402" w:rsidRPr="00AF0344" w:rsidRDefault="006C0402" w:rsidP="006C0402">
      <w:pPr>
        <w:pStyle w:val="COMParabodytext"/>
        <w:numPr>
          <w:ilvl w:val="0"/>
          <w:numId w:val="18"/>
        </w:numPr>
        <w:ind w:left="567" w:hanging="567"/>
        <w:rPr>
          <w:lang w:val="fr-FR"/>
        </w:rPr>
      </w:pPr>
      <w:r w:rsidRPr="00AF0344">
        <w:rPr>
          <w:lang w:val="fr-FR"/>
        </w:rPr>
        <w:t>Les critères de sélection pourraient être révisés en tenant compte des éléments suivants :</w:t>
      </w:r>
    </w:p>
    <w:p w14:paraId="09BF5FEC" w14:textId="3AE7DB44" w:rsidR="006C0402" w:rsidRPr="00AF0344" w:rsidRDefault="006C0402" w:rsidP="006C0402">
      <w:pPr>
        <w:pStyle w:val="COMPara"/>
        <w:numPr>
          <w:ilvl w:val="0"/>
          <w:numId w:val="22"/>
        </w:numPr>
        <w:ind w:left="1134" w:hanging="567"/>
        <w:jc w:val="both"/>
        <w:rPr>
          <w:lang w:val="fr-FR"/>
        </w:rPr>
      </w:pPr>
      <w:r w:rsidRPr="00AF0344">
        <w:rPr>
          <w:lang w:val="fr-FR"/>
        </w:rPr>
        <w:lastRenderedPageBreak/>
        <w:t>Les critères devraient se concentrer sur la description du programme, projet ou activité au sens de l</w:t>
      </w:r>
      <w:r w:rsidR="001A0378">
        <w:rPr>
          <w:lang w:val="fr-FR"/>
        </w:rPr>
        <w:t>’</w:t>
      </w:r>
      <w:r w:rsidRPr="00AF0344">
        <w:rPr>
          <w:lang w:val="fr-FR"/>
        </w:rPr>
        <w:t xml:space="preserve">article 2.3 de la Convention, </w:t>
      </w:r>
      <w:r w:rsidR="00EF67FE" w:rsidRPr="00AF0344">
        <w:rPr>
          <w:lang w:val="fr-FR"/>
        </w:rPr>
        <w:t xml:space="preserve">sur </w:t>
      </w:r>
      <w:r w:rsidRPr="00AF0344">
        <w:rPr>
          <w:lang w:val="fr-FR"/>
        </w:rPr>
        <w:t xml:space="preserve">les références aux mesures de sauvegarde dans les Directives opérationnelles, </w:t>
      </w:r>
      <w:r w:rsidR="00EF67FE" w:rsidRPr="00AF0344">
        <w:rPr>
          <w:lang w:val="fr-FR"/>
        </w:rPr>
        <w:t>sur</w:t>
      </w:r>
      <w:r w:rsidRPr="00AF0344">
        <w:rPr>
          <w:lang w:val="fr-FR"/>
        </w:rPr>
        <w:t xml:space="preserve"> les principes et objectifs de la Convention </w:t>
      </w:r>
      <w:r w:rsidR="00EF67FE" w:rsidRPr="00AF0344">
        <w:rPr>
          <w:lang w:val="fr-FR"/>
        </w:rPr>
        <w:t xml:space="preserve">ainsi que sur </w:t>
      </w:r>
      <w:r w:rsidRPr="00AF0344">
        <w:rPr>
          <w:lang w:val="fr-FR"/>
        </w:rPr>
        <w:t>les Principes éthiques pour la sauvegarde du patrimoine culturel immatériel (</w:t>
      </w:r>
      <w:r w:rsidR="00EF67FE" w:rsidRPr="00AF0344">
        <w:rPr>
          <w:lang w:val="fr-FR"/>
        </w:rPr>
        <w:t xml:space="preserve">les </w:t>
      </w:r>
      <w:r w:rsidRPr="00AF0344">
        <w:rPr>
          <w:lang w:val="fr-FR"/>
        </w:rPr>
        <w:t xml:space="preserve">critères P.1 et P.3, qui </w:t>
      </w:r>
      <w:r w:rsidR="00EF67FE" w:rsidRPr="00AF0344">
        <w:rPr>
          <w:lang w:val="fr-FR"/>
        </w:rPr>
        <w:t>devraient</w:t>
      </w:r>
      <w:r w:rsidRPr="00AF0344">
        <w:rPr>
          <w:lang w:val="fr-FR"/>
        </w:rPr>
        <w:t xml:space="preserve"> être </w:t>
      </w:r>
      <w:r w:rsidR="00EF67FE" w:rsidRPr="00AF0344">
        <w:rPr>
          <w:lang w:val="fr-FR"/>
        </w:rPr>
        <w:t>combinés</w:t>
      </w:r>
      <w:r w:rsidRPr="00AF0344">
        <w:rPr>
          <w:lang w:val="fr-FR"/>
        </w:rPr>
        <w:t>).</w:t>
      </w:r>
    </w:p>
    <w:p w14:paraId="0DCF9171" w14:textId="53B73115" w:rsidR="006C0402" w:rsidRPr="00AF0344" w:rsidRDefault="006C0402" w:rsidP="006C0402">
      <w:pPr>
        <w:pStyle w:val="COMPara"/>
        <w:numPr>
          <w:ilvl w:val="0"/>
          <w:numId w:val="22"/>
        </w:numPr>
        <w:ind w:left="1134" w:hanging="567"/>
        <w:jc w:val="both"/>
        <w:rPr>
          <w:lang w:val="fr-FR"/>
        </w:rPr>
      </w:pPr>
      <w:r w:rsidRPr="00AF0344">
        <w:rPr>
          <w:lang w:val="fr-FR"/>
        </w:rPr>
        <w:t xml:space="preserve">La participation des communautés concernées </w:t>
      </w:r>
      <w:r w:rsidR="00EF67FE" w:rsidRPr="00AF0344">
        <w:rPr>
          <w:lang w:val="fr-FR"/>
        </w:rPr>
        <w:t>doit</w:t>
      </w:r>
      <w:r w:rsidRPr="00AF0344">
        <w:rPr>
          <w:lang w:val="fr-FR"/>
        </w:rPr>
        <w:t xml:space="preserve"> être une exigence </w:t>
      </w:r>
      <w:r w:rsidR="00EF67FE" w:rsidRPr="00AF0344">
        <w:rPr>
          <w:lang w:val="fr-FR"/>
        </w:rPr>
        <w:t>majeure</w:t>
      </w:r>
      <w:r w:rsidRPr="00AF0344">
        <w:rPr>
          <w:lang w:val="fr-FR"/>
        </w:rPr>
        <w:t xml:space="preserve"> (</w:t>
      </w:r>
      <w:r w:rsidR="00EF67FE" w:rsidRPr="00AF0344">
        <w:rPr>
          <w:lang w:val="fr-FR"/>
        </w:rPr>
        <w:t xml:space="preserve">les </w:t>
      </w:r>
      <w:r w:rsidRPr="00AF0344">
        <w:rPr>
          <w:lang w:val="fr-FR"/>
        </w:rPr>
        <w:t xml:space="preserve">critères P.5 et </w:t>
      </w:r>
      <w:r w:rsidR="00EF67FE" w:rsidRPr="00AF0344">
        <w:rPr>
          <w:lang w:val="fr-FR"/>
        </w:rPr>
        <w:t>partiellement</w:t>
      </w:r>
      <w:r w:rsidRPr="00AF0344">
        <w:rPr>
          <w:lang w:val="fr-FR"/>
        </w:rPr>
        <w:t xml:space="preserve"> P.7 en référence au Principe éthique 4).</w:t>
      </w:r>
    </w:p>
    <w:p w14:paraId="6F0B5212" w14:textId="56C71B2A" w:rsidR="006C0402" w:rsidRPr="00AF0344" w:rsidRDefault="006C0402" w:rsidP="006C0402">
      <w:pPr>
        <w:pStyle w:val="COMPara"/>
        <w:numPr>
          <w:ilvl w:val="0"/>
          <w:numId w:val="22"/>
        </w:numPr>
        <w:ind w:left="1134" w:hanging="567"/>
        <w:jc w:val="both"/>
        <w:rPr>
          <w:lang w:val="fr-FR"/>
        </w:rPr>
      </w:pPr>
      <w:r w:rsidRPr="00AF0344">
        <w:rPr>
          <w:lang w:val="fr-FR"/>
        </w:rPr>
        <w:t>En outre, la démonstration de l</w:t>
      </w:r>
      <w:r w:rsidR="001A0378">
        <w:rPr>
          <w:lang w:val="fr-FR"/>
        </w:rPr>
        <w:t>’</w:t>
      </w:r>
      <w:r w:rsidRPr="00AF0344">
        <w:rPr>
          <w:lang w:val="fr-FR"/>
        </w:rPr>
        <w:t xml:space="preserve">efficacité du programme, projet ou activité restera une exigence, rendant </w:t>
      </w:r>
      <w:r w:rsidR="003A5EFF" w:rsidRPr="00AF0344">
        <w:rPr>
          <w:lang w:val="fr-FR"/>
        </w:rPr>
        <w:t>redondante</w:t>
      </w:r>
      <w:r w:rsidRPr="00AF0344">
        <w:rPr>
          <w:lang w:val="fr-FR"/>
        </w:rPr>
        <w:t xml:space="preserve"> l</w:t>
      </w:r>
      <w:r w:rsidR="001A0378">
        <w:rPr>
          <w:lang w:val="fr-FR"/>
        </w:rPr>
        <w:t>’</w:t>
      </w:r>
      <w:r w:rsidRPr="00AF0344">
        <w:rPr>
          <w:lang w:val="fr-FR"/>
        </w:rPr>
        <w:t xml:space="preserve">obligation de procéder à une évaluation des résultats (le critère P.4 pourrait </w:t>
      </w:r>
      <w:r w:rsidR="003A5EFF" w:rsidRPr="00AF0344">
        <w:rPr>
          <w:lang w:val="fr-FR"/>
        </w:rPr>
        <w:t xml:space="preserve">ainsi </w:t>
      </w:r>
      <w:r w:rsidRPr="00AF0344">
        <w:rPr>
          <w:lang w:val="fr-FR"/>
        </w:rPr>
        <w:t xml:space="preserve">être </w:t>
      </w:r>
      <w:r w:rsidR="003A5EFF" w:rsidRPr="00AF0344">
        <w:rPr>
          <w:lang w:val="fr-FR"/>
        </w:rPr>
        <w:t>maintenu</w:t>
      </w:r>
      <w:r w:rsidRPr="00AF0344">
        <w:rPr>
          <w:lang w:val="fr-FR"/>
        </w:rPr>
        <w:t xml:space="preserve"> et le critère P.8 supprimé). Une telle démonstration pourrait inclure une description de la situation initiale qui a nécessité la mise en place de mesures de sauvegarde et de la situation une fois que </w:t>
      </w:r>
      <w:r w:rsidR="00C31DA9" w:rsidRPr="00AF0344">
        <w:rPr>
          <w:lang w:val="fr-FR"/>
        </w:rPr>
        <w:t>celles-ci</w:t>
      </w:r>
      <w:r w:rsidRPr="00AF0344">
        <w:rPr>
          <w:lang w:val="fr-FR"/>
        </w:rPr>
        <w:t xml:space="preserve"> ont été exécutées avec succès.</w:t>
      </w:r>
    </w:p>
    <w:p w14:paraId="20587B52" w14:textId="7EB80192" w:rsidR="006C0402" w:rsidRPr="00AF0344" w:rsidRDefault="006C0402" w:rsidP="006C0402">
      <w:pPr>
        <w:pStyle w:val="COMPara"/>
        <w:numPr>
          <w:ilvl w:val="0"/>
          <w:numId w:val="22"/>
        </w:numPr>
        <w:ind w:left="1134" w:hanging="567"/>
        <w:jc w:val="both"/>
        <w:rPr>
          <w:lang w:val="fr-FR"/>
        </w:rPr>
      </w:pPr>
      <w:r w:rsidRPr="00AF0344">
        <w:rPr>
          <w:lang w:val="fr-FR"/>
        </w:rPr>
        <w:t xml:space="preserve">Le critère P.7 pourrait être </w:t>
      </w:r>
      <w:r w:rsidR="00DC20E3" w:rsidRPr="00AF0344">
        <w:rPr>
          <w:lang w:val="fr-FR"/>
        </w:rPr>
        <w:t>ajusté</w:t>
      </w:r>
      <w:r w:rsidRPr="00AF0344">
        <w:rPr>
          <w:lang w:val="fr-FR"/>
        </w:rPr>
        <w:t xml:space="preserve"> pour faire référence aux </w:t>
      </w:r>
      <w:r w:rsidR="00FF5379" w:rsidRPr="00AF0344">
        <w:rPr>
          <w:lang w:val="fr-FR"/>
        </w:rPr>
        <w:t>« </w:t>
      </w:r>
      <w:r w:rsidRPr="00AF0344">
        <w:rPr>
          <w:lang w:val="fr-FR"/>
        </w:rPr>
        <w:t>bonnes pratiques</w:t>
      </w:r>
      <w:r w:rsidR="00FF5379" w:rsidRPr="00AF0344">
        <w:rPr>
          <w:lang w:val="fr-FR"/>
        </w:rPr>
        <w:t> »</w:t>
      </w:r>
      <w:r w:rsidRPr="00AF0344">
        <w:rPr>
          <w:lang w:val="fr-FR"/>
        </w:rPr>
        <w:t xml:space="preserve"> </w:t>
      </w:r>
      <w:r w:rsidR="00DC20E3" w:rsidRPr="00AF0344">
        <w:rPr>
          <w:lang w:val="fr-FR"/>
        </w:rPr>
        <w:t>au lieu des</w:t>
      </w:r>
      <w:r w:rsidR="00C91F92" w:rsidRPr="00AF0344">
        <w:rPr>
          <w:lang w:val="fr-FR"/>
        </w:rPr>
        <w:t> « </w:t>
      </w:r>
      <w:r w:rsidRPr="00AF0344">
        <w:rPr>
          <w:lang w:val="fr-FR"/>
        </w:rPr>
        <w:t>meilleures pratiques</w:t>
      </w:r>
      <w:r w:rsidR="00C91F92" w:rsidRPr="00AF0344">
        <w:rPr>
          <w:lang w:val="fr-FR"/>
        </w:rPr>
        <w:t> »</w:t>
      </w:r>
      <w:r w:rsidRPr="00AF0344">
        <w:rPr>
          <w:lang w:val="fr-FR"/>
        </w:rPr>
        <w:t>.</w:t>
      </w:r>
    </w:p>
    <w:p w14:paraId="7D7FB926" w14:textId="1310435B" w:rsidR="006C0402" w:rsidRPr="00AF0344" w:rsidRDefault="006C0402" w:rsidP="006C0402">
      <w:pPr>
        <w:pStyle w:val="COMPara"/>
        <w:numPr>
          <w:ilvl w:val="0"/>
          <w:numId w:val="22"/>
        </w:numPr>
        <w:ind w:left="1134" w:hanging="567"/>
        <w:jc w:val="both"/>
        <w:rPr>
          <w:lang w:val="fr-FR"/>
        </w:rPr>
      </w:pPr>
      <w:r w:rsidRPr="00AF0344">
        <w:rPr>
          <w:lang w:val="fr-FR"/>
        </w:rPr>
        <w:t>La référence à la possibilité d</w:t>
      </w:r>
      <w:r w:rsidR="001A0378">
        <w:rPr>
          <w:lang w:val="fr-FR"/>
        </w:rPr>
        <w:t>’</w:t>
      </w:r>
      <w:r w:rsidRPr="00AF0344">
        <w:rPr>
          <w:lang w:val="fr-FR"/>
        </w:rPr>
        <w:t>utiliser les bonnes pratiques de sauvegarde comme modèle (P.6) pourrait être incluse dans le critère combiné pour P.1 et P.3, mais ne devrait pas être limitée au niveau international, car les modèles peuvent être pertinents au niveau national ou local.</w:t>
      </w:r>
    </w:p>
    <w:p w14:paraId="7CFD1E37" w14:textId="053F0615" w:rsidR="00EC016E" w:rsidRPr="00AF0344" w:rsidRDefault="006C0402" w:rsidP="006C0402">
      <w:pPr>
        <w:pStyle w:val="COMPara"/>
        <w:numPr>
          <w:ilvl w:val="0"/>
          <w:numId w:val="22"/>
        </w:numPr>
        <w:ind w:left="1134" w:hanging="567"/>
        <w:jc w:val="both"/>
        <w:rPr>
          <w:lang w:val="fr-FR"/>
        </w:rPr>
      </w:pPr>
      <w:r w:rsidRPr="00AF0344">
        <w:rPr>
          <w:lang w:val="fr-FR"/>
        </w:rPr>
        <w:t xml:space="preserve">Certaines bonnes pratiques de sauvegarde peuvent être limitées à des activités locales et le critère P.2 peut donc limiter inutilement la diversité du </w:t>
      </w:r>
      <w:r w:rsidR="00B06E90" w:rsidRPr="00AF0344">
        <w:rPr>
          <w:lang w:val="fr-FR"/>
        </w:rPr>
        <w:t>R</w:t>
      </w:r>
      <w:r w:rsidRPr="00AF0344">
        <w:rPr>
          <w:lang w:val="fr-FR"/>
        </w:rPr>
        <w:t>egistre et pourrait être supprimé.</w:t>
      </w:r>
    </w:p>
    <w:p w14:paraId="1D4261DE" w14:textId="479CF151" w:rsidR="007826CB" w:rsidRPr="00AF0344" w:rsidRDefault="007826CB" w:rsidP="007826CB">
      <w:pPr>
        <w:pStyle w:val="COMParabodytext"/>
        <w:numPr>
          <w:ilvl w:val="0"/>
          <w:numId w:val="18"/>
        </w:numPr>
        <w:ind w:left="567" w:hanging="567"/>
        <w:rPr>
          <w:lang w:val="fr-FR"/>
        </w:rPr>
      </w:pPr>
      <w:r w:rsidRPr="00AF0344">
        <w:rPr>
          <w:lang w:val="fr-FR"/>
        </w:rPr>
        <w:t>Alors que le critère P.9 a été supprimé des critères de sélection à la suite de la réflexion globale sur les mécanismes d</w:t>
      </w:r>
      <w:r w:rsidR="001A0378">
        <w:rPr>
          <w:lang w:val="fr-FR"/>
        </w:rPr>
        <w:t>’</w:t>
      </w:r>
      <w:r w:rsidRPr="00AF0344">
        <w:rPr>
          <w:lang w:val="fr-FR"/>
        </w:rPr>
        <w:t>inscription</w:t>
      </w:r>
      <w:r w:rsidR="00D93E09" w:rsidRPr="00AF0344">
        <w:rPr>
          <w:lang w:val="fr-FR"/>
        </w:rPr>
        <w:t xml:space="preserve"> sur les </w:t>
      </w:r>
      <w:r w:rsidR="00DC20E3" w:rsidRPr="00AF0344">
        <w:rPr>
          <w:lang w:val="fr-FR"/>
        </w:rPr>
        <w:t>l</w:t>
      </w:r>
      <w:r w:rsidR="00D93E09" w:rsidRPr="00AF0344">
        <w:rPr>
          <w:lang w:val="fr-FR"/>
        </w:rPr>
        <w:t>istes</w:t>
      </w:r>
      <w:r w:rsidRPr="00AF0344">
        <w:rPr>
          <w:lang w:val="fr-FR"/>
        </w:rPr>
        <w:t xml:space="preserve"> de la Convention, le paragraphe 6 des Directives opérationnelles continue de mentionner les </w:t>
      </w:r>
      <w:r w:rsidR="00DC20E3" w:rsidRPr="00AF0344">
        <w:rPr>
          <w:lang w:val="fr-FR"/>
        </w:rPr>
        <w:t>« </w:t>
      </w:r>
      <w:r w:rsidRPr="00AF0344">
        <w:rPr>
          <w:lang w:val="fr-FR"/>
        </w:rPr>
        <w:t>besoins des pays en développement</w:t>
      </w:r>
      <w:r w:rsidR="00DC20E3" w:rsidRPr="00AF0344">
        <w:rPr>
          <w:lang w:val="fr-FR"/>
        </w:rPr>
        <w:t> »</w:t>
      </w:r>
      <w:r w:rsidRPr="00AF0344">
        <w:rPr>
          <w:lang w:val="fr-FR"/>
        </w:rPr>
        <w:t>. La suppression du critère P.9 ne signifie pas que les besoins des pays en développement ne sont pas importants, mais plutôt que des pratiques de sauvegarde spécifiques peuvent être pertinentes pour les communautés et les pays partout dans le monde. À cet égard, il convient de rappeler l</w:t>
      </w:r>
      <w:r w:rsidR="001A0378">
        <w:rPr>
          <w:lang w:val="fr-FR"/>
        </w:rPr>
        <w:t>’</w:t>
      </w:r>
      <w:r w:rsidRPr="00AF0344">
        <w:rPr>
          <w:lang w:val="fr-FR"/>
        </w:rPr>
        <w:t>importance de</w:t>
      </w:r>
      <w:r w:rsidR="0016587A">
        <w:rPr>
          <w:lang w:val="fr-FR"/>
        </w:rPr>
        <w:t xml:space="preserve"> plaider en faveur de</w:t>
      </w:r>
      <w:r w:rsidRPr="00AF0344">
        <w:rPr>
          <w:lang w:val="fr-FR"/>
        </w:rPr>
        <w:t xml:space="preserve"> la coopération internationale dans la mise en œuvre de l</w:t>
      </w:r>
      <w:r w:rsidR="001A0378">
        <w:rPr>
          <w:lang w:val="fr-FR"/>
        </w:rPr>
        <w:t>’</w:t>
      </w:r>
      <w:r w:rsidRPr="00AF0344">
        <w:rPr>
          <w:lang w:val="fr-FR"/>
        </w:rPr>
        <w:t>article</w:t>
      </w:r>
      <w:r w:rsidR="003470C7">
        <w:rPr>
          <w:lang w:val="fr-FR"/>
        </w:rPr>
        <w:t> </w:t>
      </w:r>
      <w:r w:rsidRPr="00AF0344">
        <w:rPr>
          <w:lang w:val="fr-FR"/>
        </w:rPr>
        <w:t>18.</w:t>
      </w:r>
    </w:p>
    <w:p w14:paraId="0D09C5A3" w14:textId="180D4BEE" w:rsidR="00EC016E" w:rsidRPr="00AF0344" w:rsidRDefault="007826CB" w:rsidP="007826CB">
      <w:pPr>
        <w:pStyle w:val="COMParabodytext"/>
        <w:numPr>
          <w:ilvl w:val="0"/>
          <w:numId w:val="18"/>
        </w:numPr>
        <w:ind w:left="567" w:hanging="567"/>
        <w:rPr>
          <w:lang w:val="fr-FR"/>
        </w:rPr>
      </w:pPr>
      <w:r w:rsidRPr="00AF0344">
        <w:rPr>
          <w:lang w:val="fr-FR"/>
        </w:rPr>
        <w:t>Le groupe de travail souhaitera peut-être demander au Secrétariat de présenter des projets d</w:t>
      </w:r>
      <w:r w:rsidR="001A0378">
        <w:rPr>
          <w:lang w:val="fr-FR"/>
        </w:rPr>
        <w:t>’</w:t>
      </w:r>
      <w:r w:rsidRPr="00AF0344">
        <w:rPr>
          <w:lang w:val="fr-FR"/>
        </w:rPr>
        <w:t>amendements aux Directives opérationnelles afin de refléter les recommandations du groupe de travail concernant les critères de sélection pour examen par la dix-huitième session du Comité. Si le Comité le souhaite, ces amendements pourront être portés à l</w:t>
      </w:r>
      <w:r w:rsidR="001A0378">
        <w:rPr>
          <w:lang w:val="fr-FR"/>
        </w:rPr>
        <w:t>’</w:t>
      </w:r>
      <w:r w:rsidRPr="00AF0344">
        <w:rPr>
          <w:lang w:val="fr-FR"/>
        </w:rPr>
        <w:t>attention de la dixième session de l</w:t>
      </w:r>
      <w:r w:rsidR="001A0378">
        <w:rPr>
          <w:lang w:val="fr-FR"/>
        </w:rPr>
        <w:t>’</w:t>
      </w:r>
      <w:r w:rsidRPr="00AF0344">
        <w:rPr>
          <w:lang w:val="fr-FR"/>
        </w:rPr>
        <w:t>Assemblée générale à la mi-2024. Par la suite, il pourrait être envisagé d</w:t>
      </w:r>
      <w:r w:rsidR="001A0378">
        <w:rPr>
          <w:lang w:val="fr-FR"/>
        </w:rPr>
        <w:t>’</w:t>
      </w:r>
      <w:r w:rsidRPr="00AF0344">
        <w:rPr>
          <w:lang w:val="fr-FR"/>
        </w:rPr>
        <w:t xml:space="preserve">apporter des ajustements au formulaire ICH-03 au cours du second semestre 2024, afin de soutenir les États parties qui souhaitent proposer des </w:t>
      </w:r>
      <w:r w:rsidR="00866B8B">
        <w:rPr>
          <w:lang w:val="fr-FR"/>
        </w:rPr>
        <w:t xml:space="preserve">programmes, des </w:t>
      </w:r>
      <w:r w:rsidRPr="00AF0344">
        <w:rPr>
          <w:lang w:val="fr-FR"/>
        </w:rPr>
        <w:t>projets</w:t>
      </w:r>
      <w:r w:rsidR="00866B8B">
        <w:rPr>
          <w:lang w:val="fr-FR"/>
        </w:rPr>
        <w:t xml:space="preserve"> </w:t>
      </w:r>
      <w:r w:rsidRPr="00AF0344">
        <w:rPr>
          <w:lang w:val="fr-FR"/>
        </w:rPr>
        <w:t xml:space="preserve">et des activités à inclure dans le </w:t>
      </w:r>
      <w:r w:rsidR="00B06E90" w:rsidRPr="00AF0344">
        <w:rPr>
          <w:lang w:val="fr-FR"/>
        </w:rPr>
        <w:t>R</w:t>
      </w:r>
      <w:r w:rsidRPr="00AF0344">
        <w:rPr>
          <w:lang w:val="fr-FR"/>
        </w:rPr>
        <w:t>egistre de bonnes pratiques de sauvegarde. Le formulaire révisé pourrait être mis à disposition pour l</w:t>
      </w:r>
      <w:r w:rsidR="001A0378">
        <w:rPr>
          <w:lang w:val="fr-FR"/>
        </w:rPr>
        <w:t>’</w:t>
      </w:r>
      <w:r w:rsidRPr="00AF0344">
        <w:rPr>
          <w:lang w:val="fr-FR"/>
        </w:rPr>
        <w:t>examen des propositions dans le cadre du cycle 2026, pour lequel la date limite de soumission est fixée au 31 mars 2025.</w:t>
      </w:r>
    </w:p>
    <w:p w14:paraId="797A6982" w14:textId="54254821" w:rsidR="003F68B0" w:rsidRPr="00AF0344" w:rsidRDefault="003F68B0" w:rsidP="003F68B0">
      <w:pPr>
        <w:pStyle w:val="COMPara"/>
        <w:rPr>
          <w:rFonts w:eastAsiaTheme="minorEastAsia"/>
          <w:u w:val="single"/>
          <w:lang w:val="fr-FR" w:eastAsia="ko-KR"/>
        </w:rPr>
      </w:pPr>
      <w:r w:rsidRPr="00AF0344">
        <w:rPr>
          <w:rFonts w:eastAsiaTheme="minorEastAsia"/>
          <w:u w:val="single"/>
          <w:lang w:val="fr-FR" w:eastAsia="ko-KR"/>
        </w:rPr>
        <w:t xml:space="preserve">Point de discussion 2 : Accessibilité et visibilité du </w:t>
      </w:r>
      <w:r w:rsidR="00B06E90" w:rsidRPr="00AF0344">
        <w:rPr>
          <w:rFonts w:eastAsiaTheme="minorEastAsia"/>
          <w:u w:val="single"/>
          <w:lang w:val="fr-FR" w:eastAsia="ko-KR"/>
        </w:rPr>
        <w:t>R</w:t>
      </w:r>
      <w:r w:rsidRPr="00AF0344">
        <w:rPr>
          <w:rFonts w:eastAsiaTheme="minorEastAsia"/>
          <w:u w:val="single"/>
          <w:lang w:val="fr-FR" w:eastAsia="ko-KR"/>
        </w:rPr>
        <w:t>egistre</w:t>
      </w:r>
    </w:p>
    <w:p w14:paraId="682E9BEE" w14:textId="1D099660" w:rsidR="003F68B0" w:rsidRPr="00AF0344" w:rsidRDefault="003F68B0" w:rsidP="00B70BC5">
      <w:pPr>
        <w:pStyle w:val="COMParabodytext"/>
        <w:numPr>
          <w:ilvl w:val="0"/>
          <w:numId w:val="18"/>
        </w:numPr>
        <w:ind w:left="567" w:hanging="567"/>
        <w:rPr>
          <w:rFonts w:eastAsiaTheme="minorEastAsia"/>
          <w:lang w:val="fr-FR" w:eastAsia="ko-KR"/>
        </w:rPr>
      </w:pPr>
      <w:r w:rsidRPr="00AF0344">
        <w:rPr>
          <w:rFonts w:eastAsiaTheme="minorEastAsia"/>
          <w:lang w:val="fr-FR" w:eastAsia="ko-KR"/>
        </w:rPr>
        <w:t>L</w:t>
      </w:r>
      <w:r w:rsidR="001A0378">
        <w:rPr>
          <w:rFonts w:eastAsiaTheme="minorEastAsia"/>
          <w:lang w:val="fr-FR" w:eastAsia="ko-KR"/>
        </w:rPr>
        <w:t>’</w:t>
      </w:r>
      <w:r w:rsidRPr="00AF0344">
        <w:rPr>
          <w:rFonts w:eastAsiaTheme="minorEastAsia"/>
          <w:lang w:val="fr-FR" w:eastAsia="ko-KR"/>
        </w:rPr>
        <w:t xml:space="preserve">une des faiblesses identifiées dans le fonctionnement du </w:t>
      </w:r>
      <w:r w:rsidR="00B06E90" w:rsidRPr="00AF0344">
        <w:rPr>
          <w:rFonts w:eastAsiaTheme="minorEastAsia"/>
          <w:lang w:val="fr-FR" w:eastAsia="ko-KR"/>
        </w:rPr>
        <w:t>R</w:t>
      </w:r>
      <w:r w:rsidRPr="00AF0344">
        <w:rPr>
          <w:rFonts w:eastAsiaTheme="minorEastAsia"/>
          <w:lang w:val="fr-FR" w:eastAsia="ko-KR"/>
        </w:rPr>
        <w:t>egistre est qu</w:t>
      </w:r>
      <w:r w:rsidR="001A0378">
        <w:rPr>
          <w:rFonts w:eastAsiaTheme="minorEastAsia"/>
          <w:lang w:val="fr-FR" w:eastAsia="ko-KR"/>
        </w:rPr>
        <w:t>’</w:t>
      </w:r>
      <w:r w:rsidRPr="00AF0344">
        <w:rPr>
          <w:rFonts w:eastAsiaTheme="minorEastAsia"/>
          <w:lang w:val="fr-FR" w:eastAsia="ko-KR"/>
        </w:rPr>
        <w:t>il n</w:t>
      </w:r>
      <w:r w:rsidR="001A0378">
        <w:rPr>
          <w:rFonts w:eastAsiaTheme="minorEastAsia"/>
          <w:lang w:val="fr-FR" w:eastAsia="ko-KR"/>
        </w:rPr>
        <w:t>’</w:t>
      </w:r>
      <w:r w:rsidRPr="00AF0344">
        <w:rPr>
          <w:rFonts w:eastAsiaTheme="minorEastAsia"/>
          <w:lang w:val="fr-FR" w:eastAsia="ko-KR"/>
        </w:rPr>
        <w:t>a pas été en mesure de servir de manière satisfaisante de source d</w:t>
      </w:r>
      <w:r w:rsidR="001A0378">
        <w:rPr>
          <w:rFonts w:eastAsiaTheme="minorEastAsia"/>
          <w:lang w:val="fr-FR" w:eastAsia="ko-KR"/>
        </w:rPr>
        <w:t>’</w:t>
      </w:r>
      <w:r w:rsidRPr="00AF0344">
        <w:rPr>
          <w:rFonts w:eastAsiaTheme="minorEastAsia"/>
          <w:lang w:val="fr-FR" w:eastAsia="ko-KR"/>
        </w:rPr>
        <w:t>inspiration et d</w:t>
      </w:r>
      <w:r w:rsidR="001A0378">
        <w:rPr>
          <w:rFonts w:eastAsiaTheme="minorEastAsia"/>
          <w:lang w:val="fr-FR" w:eastAsia="ko-KR"/>
        </w:rPr>
        <w:t>’</w:t>
      </w:r>
      <w:r w:rsidRPr="00AF0344">
        <w:rPr>
          <w:rFonts w:eastAsiaTheme="minorEastAsia"/>
          <w:lang w:val="fr-FR" w:eastAsia="ko-KR"/>
        </w:rPr>
        <w:t xml:space="preserve">information pour les communautés et les autres parties prenantes du monde entier à la recherche de conseils en matière de </w:t>
      </w:r>
      <w:r w:rsidRPr="00AF0344">
        <w:rPr>
          <w:lang w:val="fr-FR"/>
        </w:rPr>
        <w:t>sauvegarde</w:t>
      </w:r>
      <w:r w:rsidRPr="00AF0344">
        <w:rPr>
          <w:rFonts w:eastAsiaTheme="minorEastAsia"/>
          <w:lang w:val="fr-FR" w:eastAsia="ko-KR"/>
        </w:rPr>
        <w:t>. Le problème est en partie quantitatif puisque le nombre de programmes, de projets ou d</w:t>
      </w:r>
      <w:r w:rsidR="001A0378">
        <w:rPr>
          <w:rFonts w:eastAsiaTheme="minorEastAsia"/>
          <w:lang w:val="fr-FR" w:eastAsia="ko-KR"/>
        </w:rPr>
        <w:t>’</w:t>
      </w:r>
      <w:r w:rsidRPr="00AF0344">
        <w:rPr>
          <w:rFonts w:eastAsiaTheme="minorEastAsia"/>
          <w:lang w:val="fr-FR" w:eastAsia="ko-KR"/>
        </w:rPr>
        <w:t>activités sélectionnés n</w:t>
      </w:r>
      <w:r w:rsidR="001A0378">
        <w:rPr>
          <w:rFonts w:eastAsiaTheme="minorEastAsia"/>
          <w:lang w:val="fr-FR" w:eastAsia="ko-KR"/>
        </w:rPr>
        <w:t>’</w:t>
      </w:r>
      <w:r w:rsidRPr="00AF0344">
        <w:rPr>
          <w:rFonts w:eastAsiaTheme="minorEastAsia"/>
          <w:lang w:val="fr-FR" w:eastAsia="ko-KR"/>
        </w:rPr>
        <w:t>est pas suffisant pour couvrir un éventail suffisamment large de questions de sauvegarde et constituer un ensemble utile d</w:t>
      </w:r>
      <w:r w:rsidR="001A0378">
        <w:rPr>
          <w:rFonts w:eastAsiaTheme="minorEastAsia"/>
          <w:lang w:val="fr-FR" w:eastAsia="ko-KR"/>
        </w:rPr>
        <w:t>’</w:t>
      </w:r>
      <w:r w:rsidRPr="00AF0344">
        <w:rPr>
          <w:rFonts w:eastAsiaTheme="minorEastAsia"/>
          <w:lang w:val="fr-FR" w:eastAsia="ko-KR"/>
        </w:rPr>
        <w:t>expériences.</w:t>
      </w:r>
    </w:p>
    <w:p w14:paraId="5F20F577" w14:textId="3E72D844" w:rsidR="003F68B0" w:rsidRPr="00AF0344" w:rsidRDefault="003F68B0" w:rsidP="00B70BC5">
      <w:pPr>
        <w:pStyle w:val="COMParabodytext"/>
        <w:numPr>
          <w:ilvl w:val="0"/>
          <w:numId w:val="18"/>
        </w:numPr>
        <w:ind w:left="567" w:hanging="567"/>
        <w:rPr>
          <w:rFonts w:eastAsiaTheme="minorEastAsia"/>
          <w:lang w:val="fr-FR" w:eastAsia="ko-KR"/>
        </w:rPr>
      </w:pPr>
      <w:r w:rsidRPr="00AF0344">
        <w:rPr>
          <w:rFonts w:eastAsiaTheme="minorEastAsia"/>
          <w:lang w:val="fr-FR" w:eastAsia="ko-KR"/>
        </w:rPr>
        <w:t>À cet égard, les recommandations de la réunion d</w:t>
      </w:r>
      <w:r w:rsidR="001A0378">
        <w:rPr>
          <w:rFonts w:eastAsiaTheme="minorEastAsia"/>
          <w:lang w:val="fr-FR" w:eastAsia="ko-KR"/>
        </w:rPr>
        <w:t>’</w:t>
      </w:r>
      <w:r w:rsidRPr="00AF0344">
        <w:rPr>
          <w:rFonts w:eastAsiaTheme="minorEastAsia"/>
          <w:lang w:val="fr-FR" w:eastAsia="ko-KR"/>
        </w:rPr>
        <w:t xml:space="preserve">experts de catégorie VI soulignent que les </w:t>
      </w:r>
      <w:r w:rsidR="005E55EC" w:rsidRPr="00AF0344">
        <w:rPr>
          <w:rFonts w:eastAsiaTheme="minorEastAsia"/>
          <w:lang w:val="fr-FR" w:eastAsia="ko-KR"/>
        </w:rPr>
        <w:t xml:space="preserve">propositions </w:t>
      </w:r>
      <w:r w:rsidRPr="00AF0344">
        <w:rPr>
          <w:rFonts w:eastAsiaTheme="minorEastAsia"/>
          <w:lang w:val="fr-FR" w:eastAsia="ko-KR"/>
        </w:rPr>
        <w:t xml:space="preserve">au </w:t>
      </w:r>
      <w:r w:rsidR="00B06E90" w:rsidRPr="00AF0344">
        <w:rPr>
          <w:rFonts w:eastAsiaTheme="minorEastAsia"/>
          <w:lang w:val="fr-FR" w:eastAsia="ko-KR"/>
        </w:rPr>
        <w:t>R</w:t>
      </w:r>
      <w:r w:rsidRPr="00AF0344">
        <w:rPr>
          <w:rFonts w:eastAsiaTheme="minorEastAsia"/>
          <w:lang w:val="fr-FR" w:eastAsia="ko-KR"/>
        </w:rPr>
        <w:t xml:space="preserve">egistre doivent être examinées séparément des candidatures à la Liste représentative et à la Liste de sauvegarde urgente, ce qui pourrait amener les États parties à soumettre simultanément une proposition pour le </w:t>
      </w:r>
      <w:r w:rsidR="00B06E90" w:rsidRPr="00AF0344">
        <w:rPr>
          <w:rFonts w:eastAsiaTheme="minorEastAsia"/>
          <w:lang w:val="fr-FR" w:eastAsia="ko-KR"/>
        </w:rPr>
        <w:t>R</w:t>
      </w:r>
      <w:r w:rsidRPr="00AF0344">
        <w:rPr>
          <w:rFonts w:eastAsiaTheme="minorEastAsia"/>
          <w:lang w:val="fr-FR" w:eastAsia="ko-KR"/>
        </w:rPr>
        <w:t>egistre et une candidature à l</w:t>
      </w:r>
      <w:r w:rsidR="001A0378">
        <w:rPr>
          <w:rFonts w:eastAsiaTheme="minorEastAsia"/>
          <w:lang w:val="fr-FR" w:eastAsia="ko-KR"/>
        </w:rPr>
        <w:t>’</w:t>
      </w:r>
      <w:r w:rsidRPr="00AF0344">
        <w:rPr>
          <w:rFonts w:eastAsiaTheme="minorEastAsia"/>
          <w:lang w:val="fr-FR" w:eastAsia="ko-KR"/>
        </w:rPr>
        <w:t xml:space="preserve">une des deux </w:t>
      </w:r>
      <w:r w:rsidRPr="00AF0344">
        <w:rPr>
          <w:rFonts w:eastAsiaTheme="minorEastAsia"/>
          <w:lang w:val="fr-FR" w:eastAsia="ko-KR"/>
        </w:rPr>
        <w:lastRenderedPageBreak/>
        <w:t>listes, au lieu d</w:t>
      </w:r>
      <w:r w:rsidR="001A0378">
        <w:rPr>
          <w:rFonts w:eastAsiaTheme="minorEastAsia"/>
          <w:lang w:val="fr-FR" w:eastAsia="ko-KR"/>
        </w:rPr>
        <w:t>’</w:t>
      </w:r>
      <w:r w:rsidRPr="00AF0344">
        <w:rPr>
          <w:rFonts w:eastAsiaTheme="minorEastAsia"/>
          <w:lang w:val="fr-FR" w:eastAsia="ko-KR"/>
        </w:rPr>
        <w:t xml:space="preserve">avoir à choisir entre ces deux options. Toutefois, il ne semble peut-être pas opportun de rouvrir une discussion sur ce point, </w:t>
      </w:r>
      <w:r w:rsidR="005E55EC" w:rsidRPr="00AF0344">
        <w:rPr>
          <w:rFonts w:eastAsiaTheme="minorEastAsia"/>
          <w:lang w:val="fr-FR" w:eastAsia="ko-KR"/>
        </w:rPr>
        <w:t>à la suite de</w:t>
      </w:r>
      <w:r w:rsidRPr="00AF0344">
        <w:rPr>
          <w:rFonts w:eastAsiaTheme="minorEastAsia"/>
          <w:lang w:val="fr-FR" w:eastAsia="ko-KR"/>
        </w:rPr>
        <w:t xml:space="preserve"> l</w:t>
      </w:r>
      <w:r w:rsidR="001A0378">
        <w:rPr>
          <w:rFonts w:eastAsiaTheme="minorEastAsia"/>
          <w:lang w:val="fr-FR" w:eastAsia="ko-KR"/>
        </w:rPr>
        <w:t>’</w:t>
      </w:r>
      <w:r w:rsidRPr="00AF0344">
        <w:rPr>
          <w:rFonts w:eastAsiaTheme="minorEastAsia"/>
          <w:lang w:val="fr-FR" w:eastAsia="ko-KR"/>
        </w:rPr>
        <w:t>achèvement de la réflexion globale sur les mécanismes d</w:t>
      </w:r>
      <w:r w:rsidR="001A0378">
        <w:rPr>
          <w:rFonts w:eastAsiaTheme="minorEastAsia"/>
          <w:lang w:val="fr-FR" w:eastAsia="ko-KR"/>
        </w:rPr>
        <w:t>’</w:t>
      </w:r>
      <w:r w:rsidRPr="00AF0344">
        <w:rPr>
          <w:rFonts w:eastAsiaTheme="minorEastAsia"/>
          <w:lang w:val="fr-FR" w:eastAsia="ko-KR"/>
        </w:rPr>
        <w:t xml:space="preserve">inscription sur </w:t>
      </w:r>
      <w:r w:rsidR="00D93E09" w:rsidRPr="00AF0344">
        <w:rPr>
          <w:rFonts w:eastAsiaTheme="minorEastAsia"/>
          <w:lang w:val="fr-FR" w:eastAsia="ko-KR"/>
        </w:rPr>
        <w:t>les</w:t>
      </w:r>
      <w:r w:rsidRPr="00AF0344">
        <w:rPr>
          <w:rFonts w:eastAsiaTheme="minorEastAsia"/>
          <w:lang w:val="fr-FR" w:eastAsia="ko-KR"/>
        </w:rPr>
        <w:t xml:space="preserve"> liste</w:t>
      </w:r>
      <w:r w:rsidR="00D93E09" w:rsidRPr="00AF0344">
        <w:rPr>
          <w:rFonts w:eastAsiaTheme="minorEastAsia"/>
          <w:lang w:val="fr-FR" w:eastAsia="ko-KR"/>
        </w:rPr>
        <w:t>s</w:t>
      </w:r>
      <w:r w:rsidRPr="00AF0344">
        <w:rPr>
          <w:rFonts w:eastAsiaTheme="minorEastAsia"/>
          <w:lang w:val="fr-FR" w:eastAsia="ko-KR"/>
        </w:rPr>
        <w:t xml:space="preserve"> (2018-2022), qui a conclu à un ajustement du système existant plutôt qu</w:t>
      </w:r>
      <w:r w:rsidR="001A0378">
        <w:rPr>
          <w:rFonts w:eastAsiaTheme="minorEastAsia"/>
          <w:lang w:val="fr-FR" w:eastAsia="ko-KR"/>
        </w:rPr>
        <w:t>’</w:t>
      </w:r>
      <w:r w:rsidRPr="00AF0344">
        <w:rPr>
          <w:rFonts w:eastAsiaTheme="minorEastAsia"/>
          <w:lang w:val="fr-FR" w:eastAsia="ko-KR"/>
        </w:rPr>
        <w:t xml:space="preserve">à une modification radicale de la structure des listes et du </w:t>
      </w:r>
      <w:r w:rsidR="00B06E90" w:rsidRPr="00AF0344">
        <w:rPr>
          <w:rFonts w:eastAsiaTheme="minorEastAsia"/>
          <w:lang w:val="fr-FR" w:eastAsia="ko-KR"/>
        </w:rPr>
        <w:t>R</w:t>
      </w:r>
      <w:r w:rsidRPr="00AF0344">
        <w:rPr>
          <w:rFonts w:eastAsiaTheme="minorEastAsia"/>
          <w:lang w:val="fr-FR" w:eastAsia="ko-KR"/>
        </w:rPr>
        <w:t>egistre. Le groupe de travail souhaitera peut-être plutôt prévoir un délai suffisant pour évaluer les résultats des ajustements supplémentaires qui pourraient être apportés aux critères de sélection et au formulaire ICH-03.</w:t>
      </w:r>
    </w:p>
    <w:p w14:paraId="12BC9F0F" w14:textId="3C28E955" w:rsidR="003F68B0" w:rsidRPr="00AF0344" w:rsidRDefault="003F68B0" w:rsidP="00B70BC5">
      <w:pPr>
        <w:pStyle w:val="COMParabodytext"/>
        <w:numPr>
          <w:ilvl w:val="0"/>
          <w:numId w:val="18"/>
        </w:numPr>
        <w:ind w:left="567" w:hanging="567"/>
        <w:rPr>
          <w:rFonts w:eastAsiaTheme="minorEastAsia"/>
          <w:lang w:val="fr-FR" w:eastAsia="ko-KR"/>
        </w:rPr>
      </w:pPr>
      <w:r w:rsidRPr="00AF0344">
        <w:rPr>
          <w:rFonts w:eastAsiaTheme="minorEastAsia"/>
          <w:lang w:val="fr-FR" w:eastAsia="ko-KR"/>
        </w:rPr>
        <w:t>En termes de présentation, conformément aux paragraphes 44 et 45 des Directives opérationnelles, les bonnes pratiques de sauvegarde devraient être analysées et présentées de manière à pouvoir être facilement recherchées grâce à un système d</w:t>
      </w:r>
      <w:r w:rsidR="001A0378">
        <w:rPr>
          <w:rFonts w:eastAsiaTheme="minorEastAsia"/>
          <w:lang w:val="fr-FR" w:eastAsia="ko-KR"/>
        </w:rPr>
        <w:t>’</w:t>
      </w:r>
      <w:r w:rsidRPr="00AF0344">
        <w:rPr>
          <w:rFonts w:eastAsiaTheme="minorEastAsia"/>
          <w:lang w:val="fr-FR" w:eastAsia="ko-KR"/>
        </w:rPr>
        <w:t>indexation, afin que les communautés et les autres parties prenantes puissent comprendre et appliquer les différentes approches utilisées pour traiter les questions de sauvegarde. Outre les adaptations nécessaires pour refléter les éventuels ajustements des critères de sélection mentionnés ci-dessus, le formulaire ICH-03 peut être révisé pour garantir une plus grande accessibilité en incluant, par exemple, des questions qui facilitent la caractérisation des approches de sauvegarde et de leur efficacité, et en tenant compte des domaines thématiques et des facteurs d</w:t>
      </w:r>
      <w:r w:rsidR="001A0378">
        <w:rPr>
          <w:rFonts w:eastAsiaTheme="minorEastAsia"/>
          <w:lang w:val="fr-FR" w:eastAsia="ko-KR"/>
        </w:rPr>
        <w:t>’</w:t>
      </w:r>
      <w:r w:rsidRPr="00AF0344">
        <w:rPr>
          <w:rFonts w:eastAsiaTheme="minorEastAsia"/>
          <w:lang w:val="fr-FR" w:eastAsia="ko-KR"/>
        </w:rPr>
        <w:t xml:space="preserve">évaluation définis dans le </w:t>
      </w:r>
      <w:r w:rsidR="00164830" w:rsidRPr="00AF0344">
        <w:rPr>
          <w:rFonts w:eastAsiaTheme="minorEastAsia"/>
          <w:lang w:val="fr-FR" w:eastAsia="ko-KR"/>
        </w:rPr>
        <w:t>C</w:t>
      </w:r>
      <w:r w:rsidRPr="00AF0344">
        <w:rPr>
          <w:rFonts w:eastAsiaTheme="minorEastAsia"/>
          <w:lang w:val="fr-FR" w:eastAsia="ko-KR"/>
        </w:rPr>
        <w:t xml:space="preserve">adre </w:t>
      </w:r>
      <w:r w:rsidR="00866B8B">
        <w:rPr>
          <w:rFonts w:eastAsiaTheme="minorEastAsia"/>
          <w:lang w:val="fr-FR" w:eastAsia="ko-KR"/>
        </w:rPr>
        <w:t>g</w:t>
      </w:r>
      <w:r w:rsidR="00164830" w:rsidRPr="00AF0344">
        <w:rPr>
          <w:rFonts w:eastAsiaTheme="minorEastAsia"/>
          <w:lang w:val="fr-FR" w:eastAsia="ko-KR"/>
        </w:rPr>
        <w:t>lobal</w:t>
      </w:r>
      <w:r w:rsidRPr="00AF0344">
        <w:rPr>
          <w:rFonts w:eastAsiaTheme="minorEastAsia"/>
          <w:lang w:val="fr-FR" w:eastAsia="ko-KR"/>
        </w:rPr>
        <w:t xml:space="preserve"> de </w:t>
      </w:r>
      <w:r w:rsidR="00BF3050">
        <w:rPr>
          <w:rFonts w:eastAsiaTheme="minorEastAsia"/>
          <w:lang w:val="fr-FR" w:eastAsia="ko-KR"/>
        </w:rPr>
        <w:t>r</w:t>
      </w:r>
      <w:r w:rsidR="00BF3050" w:rsidRPr="00AF0344">
        <w:rPr>
          <w:rFonts w:eastAsiaTheme="minorEastAsia"/>
          <w:lang w:val="fr-FR" w:eastAsia="ko-KR"/>
        </w:rPr>
        <w:t>ésultats</w:t>
      </w:r>
      <w:r w:rsidRPr="00AF0344">
        <w:rPr>
          <w:rFonts w:eastAsiaTheme="minorEastAsia"/>
          <w:lang w:val="fr-FR" w:eastAsia="ko-KR"/>
        </w:rPr>
        <w:t>.</w:t>
      </w:r>
    </w:p>
    <w:p w14:paraId="657CF972" w14:textId="77777777" w:rsidR="00C06D4C" w:rsidRPr="00AF0344" w:rsidRDefault="00C06D4C" w:rsidP="00866B8B">
      <w:pPr>
        <w:pStyle w:val="COMPara"/>
        <w:ind w:left="0" w:firstLine="0"/>
        <w:jc w:val="both"/>
        <w:rPr>
          <w:rFonts w:eastAsiaTheme="minorEastAsia"/>
          <w:u w:val="single"/>
          <w:lang w:val="fr-FR" w:eastAsia="ko-KR"/>
        </w:rPr>
      </w:pPr>
      <w:r w:rsidRPr="00AF0344">
        <w:rPr>
          <w:rFonts w:eastAsiaTheme="minorEastAsia"/>
          <w:u w:val="single"/>
          <w:lang w:val="fr-FR" w:eastAsia="ko-KR"/>
        </w:rPr>
        <w:t>Point de discussion 3 : Relations avec les mécanismes de coopération internationale de la Convention</w:t>
      </w:r>
    </w:p>
    <w:p w14:paraId="067A6DEC" w14:textId="53BE827B" w:rsidR="00C06D4C" w:rsidRPr="00AF0344" w:rsidRDefault="00C06D4C" w:rsidP="00B70BC5">
      <w:pPr>
        <w:pStyle w:val="COMParabodytext"/>
        <w:numPr>
          <w:ilvl w:val="0"/>
          <w:numId w:val="18"/>
        </w:numPr>
        <w:ind w:left="567" w:hanging="567"/>
        <w:rPr>
          <w:rFonts w:eastAsiaTheme="minorEastAsia"/>
          <w:lang w:val="fr-FR" w:eastAsia="ko-KR"/>
        </w:rPr>
      </w:pPr>
      <w:r w:rsidRPr="00AF0344">
        <w:rPr>
          <w:rFonts w:eastAsiaTheme="minorEastAsia"/>
          <w:lang w:val="fr-FR" w:eastAsia="ko-KR"/>
        </w:rPr>
        <w:t>Conformément aux articles 18.2 et 18.3 ainsi qu</w:t>
      </w:r>
      <w:r w:rsidR="001A0378">
        <w:rPr>
          <w:rFonts w:eastAsiaTheme="minorEastAsia"/>
          <w:lang w:val="fr-FR" w:eastAsia="ko-KR"/>
        </w:rPr>
        <w:t>’</w:t>
      </w:r>
      <w:r w:rsidR="00220E88" w:rsidRPr="00AF0344">
        <w:rPr>
          <w:rFonts w:eastAsiaTheme="minorEastAsia"/>
          <w:lang w:val="fr-FR" w:eastAsia="ko-KR"/>
        </w:rPr>
        <w:t xml:space="preserve">en référence </w:t>
      </w:r>
      <w:r w:rsidRPr="00AF0344">
        <w:rPr>
          <w:rFonts w:eastAsiaTheme="minorEastAsia"/>
          <w:lang w:val="fr-FR" w:eastAsia="ko-KR"/>
        </w:rPr>
        <w:t>aux paragraphes 9(c), 21(b) et 42 des Directives opérationnelles, les Etats parties et les autres parties prenantes devraient être encouragés à recourir à l</w:t>
      </w:r>
      <w:r w:rsidR="001A0378">
        <w:rPr>
          <w:rFonts w:eastAsiaTheme="minorEastAsia"/>
          <w:lang w:val="fr-FR" w:eastAsia="ko-KR"/>
        </w:rPr>
        <w:t>’</w:t>
      </w:r>
      <w:r w:rsidRPr="00AF0344">
        <w:rPr>
          <w:rFonts w:eastAsiaTheme="minorEastAsia"/>
          <w:lang w:val="fr-FR" w:eastAsia="ko-KR"/>
        </w:rPr>
        <w:t>assistance internationale et/ou à coopérer par d</w:t>
      </w:r>
      <w:r w:rsidR="001A0378">
        <w:rPr>
          <w:rFonts w:eastAsiaTheme="minorEastAsia"/>
          <w:lang w:val="fr-FR" w:eastAsia="ko-KR"/>
        </w:rPr>
        <w:t>’</w:t>
      </w:r>
      <w:r w:rsidRPr="00AF0344">
        <w:rPr>
          <w:rFonts w:eastAsiaTheme="minorEastAsia"/>
          <w:lang w:val="fr-FR" w:eastAsia="ko-KR"/>
        </w:rPr>
        <w:t>autres moyens au niveau international. Une approche possible pourrait être de cofinancer les efforts de préparation, de mise en œuvre et de suivi des propositions de programmes, de projets ou d</w:t>
      </w:r>
      <w:r w:rsidR="001A0378">
        <w:rPr>
          <w:rFonts w:eastAsiaTheme="minorEastAsia"/>
          <w:lang w:val="fr-FR" w:eastAsia="ko-KR"/>
        </w:rPr>
        <w:t>’</w:t>
      </w:r>
      <w:r w:rsidRPr="00AF0344">
        <w:rPr>
          <w:rFonts w:eastAsiaTheme="minorEastAsia"/>
          <w:lang w:val="fr-FR" w:eastAsia="ko-KR"/>
        </w:rPr>
        <w:t xml:space="preserve">activités (voir également le paragraphe 9 du document </w:t>
      </w:r>
      <w:hyperlink r:id="rId11" w:history="1">
        <w:r w:rsidRPr="00AF0344">
          <w:rPr>
            <w:rStyle w:val="Hyperlink"/>
            <w:rFonts w:eastAsiaTheme="minorEastAsia"/>
            <w:lang w:val="fr-FR" w:eastAsia="ko-KR"/>
          </w:rPr>
          <w:t>LHE/23/18.COM WG ART18</w:t>
        </w:r>
        <w:r w:rsidRPr="009E493C">
          <w:rPr>
            <w:rStyle w:val="Hyperlink"/>
            <w:rFonts w:eastAsiaTheme="minorEastAsia"/>
            <w:lang w:val="fr-FR" w:eastAsia="ko-KR"/>
          </w:rPr>
          <w:t>/</w:t>
        </w:r>
        <w:r w:rsidR="00220E88" w:rsidRPr="009E493C">
          <w:rPr>
            <w:rStyle w:val="Hyperlink"/>
            <w:rFonts w:eastAsiaTheme="minorEastAsia"/>
            <w:lang w:val="fr-FR" w:eastAsia="ko-KR"/>
          </w:rPr>
          <w:t>2</w:t>
        </w:r>
      </w:hyperlink>
      <w:r w:rsidRPr="00AF0344">
        <w:rPr>
          <w:rFonts w:eastAsiaTheme="minorEastAsia"/>
          <w:lang w:val="fr-FR" w:eastAsia="ko-KR"/>
        </w:rPr>
        <w:t xml:space="preserve"> concernant la sous-utilisation des mécanismes d</w:t>
      </w:r>
      <w:r w:rsidR="001A0378">
        <w:rPr>
          <w:rFonts w:eastAsiaTheme="minorEastAsia"/>
          <w:lang w:val="fr-FR" w:eastAsia="ko-KR"/>
        </w:rPr>
        <w:t>’</w:t>
      </w:r>
      <w:r w:rsidRPr="00AF0344">
        <w:rPr>
          <w:rFonts w:eastAsiaTheme="minorEastAsia"/>
          <w:lang w:val="fr-FR" w:eastAsia="ko-KR"/>
        </w:rPr>
        <w:t xml:space="preserve">assistance internationale pour le Registre). Pour promouvoir cet effort, il </w:t>
      </w:r>
      <w:r w:rsidRPr="00866B8B">
        <w:rPr>
          <w:rFonts w:eastAsiaTheme="minorEastAsia"/>
          <w:lang w:val="fr-FR" w:eastAsia="ko-KR"/>
        </w:rPr>
        <w:t>faudrait veiller à entreprendre des activités axées sur le renforcement des capacités, sur l</w:t>
      </w:r>
      <w:r w:rsidR="001A0378" w:rsidRPr="00866B8B">
        <w:rPr>
          <w:rFonts w:eastAsiaTheme="minorEastAsia"/>
          <w:lang w:val="fr-FR" w:eastAsia="ko-KR"/>
        </w:rPr>
        <w:t>’</w:t>
      </w:r>
      <w:r w:rsidRPr="00866B8B">
        <w:rPr>
          <w:rFonts w:eastAsiaTheme="minorEastAsia"/>
          <w:lang w:val="fr-FR" w:eastAsia="ko-KR"/>
        </w:rPr>
        <w:t>échange et le partage d</w:t>
      </w:r>
      <w:r w:rsidR="001A0378" w:rsidRPr="00866B8B">
        <w:rPr>
          <w:rFonts w:eastAsiaTheme="minorEastAsia"/>
          <w:lang w:val="fr-FR" w:eastAsia="ko-KR"/>
        </w:rPr>
        <w:t>’</w:t>
      </w:r>
      <w:r w:rsidRPr="00866B8B">
        <w:rPr>
          <w:rFonts w:eastAsiaTheme="minorEastAsia"/>
          <w:lang w:val="fr-FR" w:eastAsia="ko-KR"/>
        </w:rPr>
        <w:t xml:space="preserve">expériences et sur la sensibilisation. La préparation des propositions </w:t>
      </w:r>
      <w:r w:rsidR="00866B8B">
        <w:rPr>
          <w:rFonts w:eastAsiaTheme="minorEastAsia"/>
          <w:lang w:val="fr-FR" w:eastAsia="ko-KR"/>
        </w:rPr>
        <w:t>pour sélection</w:t>
      </w:r>
      <w:r w:rsidRPr="00866B8B">
        <w:rPr>
          <w:rFonts w:eastAsiaTheme="minorEastAsia"/>
          <w:lang w:val="fr-FR" w:eastAsia="ko-KR"/>
        </w:rPr>
        <w:t xml:space="preserve"> </w:t>
      </w:r>
      <w:r w:rsidR="00866B8B">
        <w:rPr>
          <w:rFonts w:eastAsiaTheme="minorEastAsia"/>
          <w:lang w:val="fr-FR" w:eastAsia="ko-KR"/>
        </w:rPr>
        <w:t xml:space="preserve">en tant que </w:t>
      </w:r>
      <w:r w:rsidR="00220E88" w:rsidRPr="00866B8B">
        <w:rPr>
          <w:rFonts w:eastAsiaTheme="minorEastAsia"/>
          <w:lang w:val="fr-FR" w:eastAsia="ko-KR"/>
        </w:rPr>
        <w:t xml:space="preserve">bonnes </w:t>
      </w:r>
      <w:r w:rsidRPr="00866B8B">
        <w:rPr>
          <w:rFonts w:eastAsiaTheme="minorEastAsia"/>
          <w:lang w:val="fr-FR" w:eastAsia="ko-KR"/>
        </w:rPr>
        <w:t xml:space="preserve">pratiques de sauvegarde </w:t>
      </w:r>
      <w:proofErr w:type="gramStart"/>
      <w:r w:rsidRPr="00866B8B">
        <w:rPr>
          <w:rFonts w:eastAsiaTheme="minorEastAsia"/>
          <w:lang w:val="fr-FR" w:eastAsia="ko-KR"/>
        </w:rPr>
        <w:t>pourrait</w:t>
      </w:r>
      <w:proofErr w:type="gramEnd"/>
      <w:r w:rsidRPr="00866B8B">
        <w:rPr>
          <w:rFonts w:eastAsiaTheme="minorEastAsia"/>
          <w:lang w:val="fr-FR" w:eastAsia="ko-KR"/>
        </w:rPr>
        <w:t xml:space="preserve"> être soutenue par des ONG accréditées et par des représentants des communautés ayant </w:t>
      </w:r>
      <w:r w:rsidR="00866B8B">
        <w:rPr>
          <w:rFonts w:eastAsiaTheme="minorEastAsia"/>
          <w:lang w:val="fr-FR" w:eastAsia="ko-KR"/>
        </w:rPr>
        <w:t>des</w:t>
      </w:r>
      <w:r w:rsidRPr="00866B8B">
        <w:rPr>
          <w:rFonts w:eastAsiaTheme="minorEastAsia"/>
          <w:lang w:val="fr-FR" w:eastAsia="ko-KR"/>
        </w:rPr>
        <w:t xml:space="preserve"> expérience</w:t>
      </w:r>
      <w:r w:rsidR="00866B8B">
        <w:rPr>
          <w:rFonts w:eastAsiaTheme="minorEastAsia"/>
          <w:lang w:val="fr-FR" w:eastAsia="ko-KR"/>
        </w:rPr>
        <w:t>s</w:t>
      </w:r>
      <w:r w:rsidRPr="00866B8B">
        <w:rPr>
          <w:rFonts w:eastAsiaTheme="minorEastAsia"/>
          <w:lang w:val="fr-FR" w:eastAsia="ko-KR"/>
        </w:rPr>
        <w:t xml:space="preserve"> réussie</w:t>
      </w:r>
      <w:r w:rsidR="00866B8B">
        <w:rPr>
          <w:rFonts w:eastAsiaTheme="minorEastAsia"/>
          <w:lang w:val="fr-FR" w:eastAsia="ko-KR"/>
        </w:rPr>
        <w:t>s</w:t>
      </w:r>
      <w:r w:rsidRPr="00866B8B">
        <w:rPr>
          <w:rFonts w:eastAsiaTheme="minorEastAsia"/>
          <w:lang w:val="fr-FR" w:eastAsia="ko-KR"/>
        </w:rPr>
        <w:t xml:space="preserve"> dans ce domaine, et pourrait être complétée par des lignes directrices et du matériel de renforcement des capacités afin d</w:t>
      </w:r>
      <w:r w:rsidR="001A0378" w:rsidRPr="00866B8B">
        <w:rPr>
          <w:rFonts w:eastAsiaTheme="minorEastAsia"/>
          <w:lang w:val="fr-FR" w:eastAsia="ko-KR"/>
        </w:rPr>
        <w:t>’</w:t>
      </w:r>
      <w:r w:rsidRPr="00866B8B">
        <w:rPr>
          <w:rFonts w:eastAsiaTheme="minorEastAsia"/>
          <w:lang w:val="fr-FR" w:eastAsia="ko-KR"/>
        </w:rPr>
        <w:t>accroître l</w:t>
      </w:r>
      <w:r w:rsidR="001A0378" w:rsidRPr="00866B8B">
        <w:rPr>
          <w:rFonts w:eastAsiaTheme="minorEastAsia"/>
          <w:lang w:val="fr-FR" w:eastAsia="ko-KR"/>
        </w:rPr>
        <w:t>’</w:t>
      </w:r>
      <w:r w:rsidRPr="00866B8B">
        <w:rPr>
          <w:rFonts w:eastAsiaTheme="minorEastAsia"/>
          <w:lang w:val="fr-FR" w:eastAsia="ko-KR"/>
        </w:rPr>
        <w:t xml:space="preserve">accessibilité pour les communautés. Pour réaliser et exploiter pleinement le </w:t>
      </w:r>
      <w:r w:rsidR="00866B8B">
        <w:rPr>
          <w:rFonts w:eastAsiaTheme="minorEastAsia"/>
          <w:lang w:val="fr-FR" w:eastAsia="ko-KR"/>
        </w:rPr>
        <w:t xml:space="preserve">plein </w:t>
      </w:r>
      <w:r w:rsidRPr="00866B8B">
        <w:rPr>
          <w:rFonts w:eastAsiaTheme="minorEastAsia"/>
          <w:lang w:val="fr-FR" w:eastAsia="ko-KR"/>
        </w:rPr>
        <w:t>potentiel de l</w:t>
      </w:r>
      <w:r w:rsidR="001A0378" w:rsidRPr="00866B8B">
        <w:rPr>
          <w:rFonts w:eastAsiaTheme="minorEastAsia"/>
          <w:lang w:val="fr-FR" w:eastAsia="ko-KR"/>
        </w:rPr>
        <w:t>’</w:t>
      </w:r>
      <w:r w:rsidRPr="00866B8B">
        <w:rPr>
          <w:rFonts w:eastAsiaTheme="minorEastAsia"/>
          <w:lang w:val="fr-FR" w:eastAsia="ko-KR"/>
        </w:rPr>
        <w:t>article 18, toutes</w:t>
      </w:r>
      <w:r w:rsidRPr="00AF0344">
        <w:rPr>
          <w:rFonts w:eastAsiaTheme="minorEastAsia"/>
          <w:lang w:val="fr-FR" w:eastAsia="ko-KR"/>
        </w:rPr>
        <w:t xml:space="preserve"> les informations disponibles devraient être évaluées en permanence et dûment prises en compte.</w:t>
      </w:r>
    </w:p>
    <w:p w14:paraId="1A3C1E66" w14:textId="3D44B9D7" w:rsidR="00C06D4C" w:rsidRPr="00AF0344" w:rsidRDefault="00C06D4C" w:rsidP="00DC7981">
      <w:pPr>
        <w:pStyle w:val="COMParabodytext"/>
        <w:numPr>
          <w:ilvl w:val="0"/>
          <w:numId w:val="18"/>
        </w:numPr>
        <w:ind w:left="567" w:hanging="567"/>
        <w:rPr>
          <w:rFonts w:eastAsiaTheme="minorEastAsia"/>
          <w:lang w:val="fr-FR" w:eastAsia="ko-KR"/>
        </w:rPr>
      </w:pPr>
      <w:r w:rsidRPr="00AF0344">
        <w:rPr>
          <w:rFonts w:eastAsiaTheme="minorEastAsia"/>
          <w:lang w:val="fr-FR" w:eastAsia="ko-KR"/>
        </w:rPr>
        <w:t>Nonobstant l</w:t>
      </w:r>
      <w:r w:rsidR="001A0378">
        <w:rPr>
          <w:rFonts w:eastAsiaTheme="minorEastAsia"/>
          <w:lang w:val="fr-FR" w:eastAsia="ko-KR"/>
        </w:rPr>
        <w:t>’</w:t>
      </w:r>
      <w:r w:rsidRPr="00AF0344">
        <w:rPr>
          <w:rFonts w:eastAsiaTheme="minorEastAsia"/>
          <w:lang w:val="fr-FR" w:eastAsia="ko-KR"/>
        </w:rPr>
        <w:t>article 7(b) de la Convention et le paragraphe 45 des Directives opérationnelles, la configuration actuelle du Registre n</w:t>
      </w:r>
      <w:r w:rsidR="001A0378">
        <w:rPr>
          <w:rFonts w:eastAsiaTheme="minorEastAsia"/>
          <w:lang w:val="fr-FR" w:eastAsia="ko-KR"/>
        </w:rPr>
        <w:t>’</w:t>
      </w:r>
      <w:r w:rsidRPr="00AF0344">
        <w:rPr>
          <w:rFonts w:eastAsiaTheme="minorEastAsia"/>
          <w:lang w:val="fr-FR" w:eastAsia="ko-KR"/>
        </w:rPr>
        <w:t xml:space="preserve">inclut pas de système de suivi dédié, contrairement à la Liste de sauvegarde urgente et à la Liste représentative. Pourtant, un intérêt a été exprimé pour les expériences </w:t>
      </w:r>
      <w:r w:rsidR="00866B8B">
        <w:rPr>
          <w:rFonts w:eastAsiaTheme="minorEastAsia"/>
          <w:lang w:val="fr-FR" w:eastAsia="ko-KR"/>
        </w:rPr>
        <w:t xml:space="preserve">après leur </w:t>
      </w:r>
      <w:r w:rsidRPr="00AF0344">
        <w:rPr>
          <w:rFonts w:eastAsiaTheme="minorEastAsia"/>
          <w:lang w:val="fr-FR" w:eastAsia="ko-KR"/>
        </w:rPr>
        <w:t>sélection : que s</w:t>
      </w:r>
      <w:r w:rsidR="001A0378">
        <w:rPr>
          <w:rFonts w:eastAsiaTheme="minorEastAsia"/>
          <w:lang w:val="fr-FR" w:eastAsia="ko-KR"/>
        </w:rPr>
        <w:t>’</w:t>
      </w:r>
      <w:r w:rsidRPr="00AF0344">
        <w:rPr>
          <w:rFonts w:eastAsiaTheme="minorEastAsia"/>
          <w:lang w:val="fr-FR" w:eastAsia="ko-KR"/>
        </w:rPr>
        <w:t xml:space="preserve">est-il passé après la sélection (les résultats positifs ont-ils été durables ?); comment les idées et les méthodes de sauvegarde ont-elles été partagées, </w:t>
      </w:r>
      <w:r w:rsidR="00206F0C" w:rsidRPr="00AF0344">
        <w:rPr>
          <w:rFonts w:eastAsiaTheme="minorEastAsia"/>
          <w:lang w:val="fr-FR" w:eastAsia="ko-KR"/>
        </w:rPr>
        <w:t xml:space="preserve">et </w:t>
      </w:r>
      <w:r w:rsidRPr="00AF0344">
        <w:rPr>
          <w:rFonts w:eastAsiaTheme="minorEastAsia"/>
          <w:lang w:val="fr-FR" w:eastAsia="ko-KR"/>
        </w:rPr>
        <w:t>à quelle fréquence et avec qui ? Il serait pertinent de réfléchir à la question de savoir si, et le cas échéant comment, les informations sur le suivi pourraient être intégrées dans le cadre des rapports périodiques. Il serait pertinent d</w:t>
      </w:r>
      <w:r w:rsidR="001A0378">
        <w:rPr>
          <w:rFonts w:eastAsiaTheme="minorEastAsia"/>
          <w:lang w:val="fr-FR" w:eastAsia="ko-KR"/>
        </w:rPr>
        <w:t>’</w:t>
      </w:r>
      <w:r w:rsidR="00866B8B">
        <w:rPr>
          <w:rFonts w:eastAsiaTheme="minorEastAsia"/>
          <w:lang w:val="fr-FR" w:eastAsia="ko-KR"/>
        </w:rPr>
        <w:t>impliquer</w:t>
      </w:r>
      <w:r w:rsidRPr="00AF0344">
        <w:rPr>
          <w:rFonts w:eastAsiaTheme="minorEastAsia"/>
          <w:lang w:val="fr-FR" w:eastAsia="ko-KR"/>
        </w:rPr>
        <w:t xml:space="preserve"> des chercheurs pour approfondir ces questions. En outre, les mécanismes de rapports périodiques, et en particulier le formulaire ICH-10, pourraient être révisés pour encourager les États parties à fournir des mises à jour sur les programmes inscrits au </w:t>
      </w:r>
      <w:r w:rsidR="00B06E90" w:rsidRPr="00AF0344">
        <w:rPr>
          <w:rFonts w:eastAsiaTheme="minorEastAsia"/>
          <w:lang w:val="fr-FR" w:eastAsia="ko-KR"/>
        </w:rPr>
        <w:t>R</w:t>
      </w:r>
      <w:r w:rsidRPr="00AF0344">
        <w:rPr>
          <w:rFonts w:eastAsiaTheme="minorEastAsia"/>
          <w:lang w:val="fr-FR" w:eastAsia="ko-KR"/>
        </w:rPr>
        <w:t>egistre et à décrire les actions entreprises dans la mise en œuvre de l</w:t>
      </w:r>
      <w:r w:rsidR="001A0378">
        <w:rPr>
          <w:rFonts w:eastAsiaTheme="minorEastAsia"/>
          <w:lang w:val="fr-FR" w:eastAsia="ko-KR"/>
        </w:rPr>
        <w:t>’</w:t>
      </w:r>
      <w:r w:rsidRPr="00AF0344">
        <w:rPr>
          <w:rFonts w:eastAsiaTheme="minorEastAsia"/>
          <w:lang w:val="fr-FR" w:eastAsia="ko-KR"/>
        </w:rPr>
        <w:t>article 18 (voir le paragraphe</w:t>
      </w:r>
      <w:r w:rsidR="00DC7981" w:rsidRPr="00AF0344">
        <w:rPr>
          <w:rFonts w:eastAsiaTheme="minorEastAsia"/>
          <w:lang w:val="fr-FR" w:eastAsia="ko-KR"/>
        </w:rPr>
        <w:t> </w:t>
      </w:r>
      <w:r w:rsidRPr="00AF0344">
        <w:rPr>
          <w:rFonts w:eastAsiaTheme="minorEastAsia"/>
          <w:lang w:val="fr-FR" w:eastAsia="ko-KR"/>
        </w:rPr>
        <w:t>13,</w:t>
      </w:r>
      <w:r w:rsidR="00DC7981" w:rsidRPr="00AF0344">
        <w:rPr>
          <w:rFonts w:eastAsiaTheme="minorEastAsia"/>
          <w:lang w:val="fr-FR" w:eastAsia="ko-KR"/>
        </w:rPr>
        <w:t xml:space="preserve"> document</w:t>
      </w:r>
      <w:r w:rsidRPr="00AF0344">
        <w:rPr>
          <w:rFonts w:eastAsiaTheme="minorEastAsia"/>
          <w:lang w:val="fr-FR" w:eastAsia="ko-KR"/>
        </w:rPr>
        <w:t xml:space="preserve"> </w:t>
      </w:r>
      <w:hyperlink r:id="rId12" w:history="1">
        <w:r w:rsidRPr="00AF0344">
          <w:rPr>
            <w:rStyle w:val="Hyperlink"/>
            <w:rFonts w:eastAsiaTheme="minorEastAsia"/>
            <w:lang w:val="fr-FR" w:eastAsia="ko-KR"/>
          </w:rPr>
          <w:t>LHE/23/18.COM EXP/4</w:t>
        </w:r>
      </w:hyperlink>
      <w:r w:rsidRPr="00AF0344">
        <w:rPr>
          <w:rFonts w:eastAsiaTheme="minorEastAsia"/>
          <w:lang w:val="fr-FR" w:eastAsia="ko-KR"/>
        </w:rPr>
        <w:t>).</w:t>
      </w:r>
    </w:p>
    <w:p w14:paraId="0FBABB95" w14:textId="1061E507" w:rsidR="00C06D4C" w:rsidRPr="008F38AA" w:rsidRDefault="004A49BB" w:rsidP="008F38AA">
      <w:pPr>
        <w:pStyle w:val="COMPara"/>
        <w:spacing w:before="240"/>
        <w:ind w:left="0" w:firstLine="0"/>
        <w:jc w:val="both"/>
        <w:rPr>
          <w:b/>
          <w:bCs/>
          <w:lang w:val="fr-FR"/>
        </w:rPr>
      </w:pPr>
      <w:r w:rsidRPr="00AF0344">
        <w:rPr>
          <w:b/>
          <w:bCs/>
          <w:lang w:val="fr-FR"/>
        </w:rPr>
        <w:t>Sujet</w:t>
      </w:r>
      <w:r w:rsidR="00C06D4C" w:rsidRPr="008F38AA">
        <w:rPr>
          <w:b/>
          <w:bCs/>
          <w:lang w:val="fr-FR"/>
        </w:rPr>
        <w:t xml:space="preserve"> 2 : Vers la création d</w:t>
      </w:r>
      <w:r w:rsidR="001A0378">
        <w:rPr>
          <w:b/>
          <w:bCs/>
          <w:lang w:val="fr-FR"/>
        </w:rPr>
        <w:t>’</w:t>
      </w:r>
      <w:r w:rsidR="00C06D4C" w:rsidRPr="008F38AA">
        <w:rPr>
          <w:b/>
          <w:bCs/>
          <w:lang w:val="fr-FR"/>
        </w:rPr>
        <w:t xml:space="preserve">une plateforme en ligne pour le partage de bonnes </w:t>
      </w:r>
      <w:r w:rsidR="00681696" w:rsidRPr="00AF0344">
        <w:rPr>
          <w:b/>
          <w:bCs/>
          <w:lang w:val="fr-FR"/>
        </w:rPr>
        <w:t>e</w:t>
      </w:r>
      <w:r w:rsidR="00C06D4C" w:rsidRPr="008F38AA">
        <w:rPr>
          <w:b/>
          <w:bCs/>
          <w:lang w:val="fr-FR"/>
        </w:rPr>
        <w:t>xpériences de sauvegarde</w:t>
      </w:r>
    </w:p>
    <w:p w14:paraId="09BAEDC4" w14:textId="40FCDC6F" w:rsidR="00C06D4C" w:rsidRPr="00AF0344" w:rsidRDefault="00C06D4C" w:rsidP="00B70BC5">
      <w:pPr>
        <w:pStyle w:val="COMParabodytext"/>
        <w:numPr>
          <w:ilvl w:val="0"/>
          <w:numId w:val="18"/>
        </w:numPr>
        <w:ind w:left="567" w:hanging="567"/>
        <w:rPr>
          <w:rFonts w:eastAsiaTheme="minorEastAsia"/>
          <w:lang w:val="fr-FR" w:eastAsia="ko-KR"/>
        </w:rPr>
      </w:pPr>
      <w:r w:rsidRPr="00AF0344">
        <w:rPr>
          <w:rFonts w:eastAsiaTheme="minorEastAsia"/>
          <w:lang w:val="fr-FR" w:eastAsia="ko-KR"/>
        </w:rPr>
        <w:t>Le Registre de bonnes pratiques de sauvegarde n</w:t>
      </w:r>
      <w:r w:rsidR="001A0378">
        <w:rPr>
          <w:rFonts w:eastAsiaTheme="minorEastAsia"/>
          <w:lang w:val="fr-FR" w:eastAsia="ko-KR"/>
        </w:rPr>
        <w:t>’</w:t>
      </w:r>
      <w:r w:rsidRPr="00AF0344">
        <w:rPr>
          <w:rFonts w:eastAsiaTheme="minorEastAsia"/>
          <w:lang w:val="fr-FR" w:eastAsia="ko-KR"/>
        </w:rPr>
        <w:t>est pas mentionné en tant que tel dans l</w:t>
      </w:r>
      <w:r w:rsidR="001A0378">
        <w:rPr>
          <w:rFonts w:eastAsiaTheme="minorEastAsia"/>
          <w:lang w:val="fr-FR" w:eastAsia="ko-KR"/>
        </w:rPr>
        <w:t>’</w:t>
      </w:r>
      <w:r w:rsidRPr="00AF0344">
        <w:rPr>
          <w:rFonts w:eastAsiaTheme="minorEastAsia"/>
          <w:lang w:val="fr-FR" w:eastAsia="ko-KR"/>
        </w:rPr>
        <w:t>article 18 de la Convention. L</w:t>
      </w:r>
      <w:r w:rsidR="001A0378">
        <w:rPr>
          <w:rFonts w:eastAsiaTheme="minorEastAsia"/>
          <w:lang w:val="fr-FR" w:eastAsia="ko-KR"/>
        </w:rPr>
        <w:t>’</w:t>
      </w:r>
      <w:r w:rsidRPr="00AF0344">
        <w:rPr>
          <w:rFonts w:eastAsiaTheme="minorEastAsia"/>
          <w:lang w:val="fr-FR" w:eastAsia="ko-KR"/>
        </w:rPr>
        <w:t>idée derrière cette réflexion est non seulement de continuer à discuter des questions soulevées lors de la réflexion globale concernant la gestion du Registre de bonnes pratiques de sauvegarde, mais aussi d</w:t>
      </w:r>
      <w:r w:rsidR="001A0378">
        <w:rPr>
          <w:rFonts w:eastAsiaTheme="minorEastAsia"/>
          <w:lang w:val="fr-FR" w:eastAsia="ko-KR"/>
        </w:rPr>
        <w:t>’</w:t>
      </w:r>
      <w:r w:rsidRPr="00AF0344">
        <w:rPr>
          <w:rFonts w:eastAsiaTheme="minorEastAsia"/>
          <w:lang w:val="fr-FR" w:eastAsia="ko-KR"/>
        </w:rPr>
        <w:t>explorer la mise en œuvre de l</w:t>
      </w:r>
      <w:r w:rsidR="001A0378">
        <w:rPr>
          <w:rFonts w:eastAsiaTheme="minorEastAsia"/>
          <w:lang w:val="fr-FR" w:eastAsia="ko-KR"/>
        </w:rPr>
        <w:t>’</w:t>
      </w:r>
      <w:r w:rsidRPr="00AF0344">
        <w:rPr>
          <w:rFonts w:eastAsiaTheme="minorEastAsia"/>
          <w:lang w:val="fr-FR" w:eastAsia="ko-KR"/>
        </w:rPr>
        <w:t>article 18 au-delà de celui-ci.</w:t>
      </w:r>
    </w:p>
    <w:p w14:paraId="6340393D" w14:textId="726350B7" w:rsidR="00C06D4C" w:rsidRPr="00AF0344" w:rsidRDefault="00C06D4C" w:rsidP="00C06D4C">
      <w:pPr>
        <w:pStyle w:val="COMPara"/>
        <w:rPr>
          <w:rFonts w:eastAsiaTheme="minorEastAsia"/>
          <w:u w:val="single"/>
          <w:lang w:val="fr-FR" w:eastAsia="ko-KR"/>
        </w:rPr>
      </w:pPr>
      <w:r w:rsidRPr="00AF0344">
        <w:rPr>
          <w:rFonts w:eastAsiaTheme="minorEastAsia"/>
          <w:u w:val="single"/>
          <w:lang w:val="fr-FR" w:eastAsia="ko-KR"/>
        </w:rPr>
        <w:lastRenderedPageBreak/>
        <w:t>Point de discussion 4 : Pertinence d</w:t>
      </w:r>
      <w:r w:rsidR="001A0378">
        <w:rPr>
          <w:rFonts w:eastAsiaTheme="minorEastAsia"/>
          <w:u w:val="single"/>
          <w:lang w:val="fr-FR" w:eastAsia="ko-KR"/>
        </w:rPr>
        <w:t>’</w:t>
      </w:r>
      <w:r w:rsidRPr="00AF0344">
        <w:rPr>
          <w:rFonts w:eastAsiaTheme="minorEastAsia"/>
          <w:u w:val="single"/>
          <w:lang w:val="fr-FR" w:eastAsia="ko-KR"/>
        </w:rPr>
        <w:t>une plateforme en ligne</w:t>
      </w:r>
    </w:p>
    <w:p w14:paraId="31E0CC7A" w14:textId="7ADD2953" w:rsidR="00C06D4C" w:rsidRPr="00AF0344" w:rsidRDefault="00C06D4C" w:rsidP="00B70BC5">
      <w:pPr>
        <w:pStyle w:val="COMParabodytext"/>
        <w:numPr>
          <w:ilvl w:val="0"/>
          <w:numId w:val="18"/>
        </w:numPr>
        <w:ind w:left="567" w:hanging="567"/>
        <w:rPr>
          <w:rFonts w:eastAsiaTheme="minorEastAsia"/>
          <w:lang w:val="fr-FR" w:eastAsia="ko-KR"/>
        </w:rPr>
      </w:pPr>
      <w:r w:rsidRPr="00AF0344">
        <w:rPr>
          <w:rFonts w:eastAsiaTheme="minorEastAsia"/>
          <w:lang w:val="fr-FR" w:eastAsia="ko-KR"/>
        </w:rPr>
        <w:t>Il semble pertinent d</w:t>
      </w:r>
      <w:r w:rsidR="001A0378">
        <w:rPr>
          <w:rFonts w:eastAsiaTheme="minorEastAsia"/>
          <w:lang w:val="fr-FR" w:eastAsia="ko-KR"/>
        </w:rPr>
        <w:t>’</w:t>
      </w:r>
      <w:r w:rsidRPr="00AF0344">
        <w:rPr>
          <w:rFonts w:eastAsiaTheme="minorEastAsia"/>
          <w:lang w:val="fr-FR" w:eastAsia="ko-KR"/>
        </w:rPr>
        <w:t xml:space="preserve">explorer la possibilité de mettre en place une </w:t>
      </w:r>
      <w:r w:rsidR="0047531A" w:rsidRPr="00AF0344">
        <w:rPr>
          <w:rFonts w:eastAsiaTheme="minorEastAsia"/>
          <w:lang w:val="fr-FR" w:eastAsia="ko-KR"/>
        </w:rPr>
        <w:t>« </w:t>
      </w:r>
      <w:r w:rsidRPr="00AF0344">
        <w:rPr>
          <w:rFonts w:eastAsiaTheme="minorEastAsia"/>
          <w:lang w:val="fr-FR" w:eastAsia="ko-KR"/>
        </w:rPr>
        <w:t>plateforme</w:t>
      </w:r>
      <w:r w:rsidR="0047531A" w:rsidRPr="00AF0344">
        <w:rPr>
          <w:rFonts w:eastAsiaTheme="minorEastAsia"/>
          <w:lang w:val="fr-FR" w:eastAsia="ko-KR"/>
        </w:rPr>
        <w:t> »</w:t>
      </w:r>
      <w:r w:rsidRPr="00AF0344">
        <w:rPr>
          <w:rFonts w:eastAsiaTheme="minorEastAsia"/>
          <w:lang w:val="fr-FR" w:eastAsia="ko-KR"/>
        </w:rPr>
        <w:t xml:space="preserve"> en ligne et modérée (précédemment également appelée </w:t>
      </w:r>
      <w:r w:rsidR="0047531A" w:rsidRPr="00AF0344">
        <w:rPr>
          <w:rFonts w:eastAsiaTheme="minorEastAsia"/>
          <w:lang w:val="fr-FR" w:eastAsia="ko-KR"/>
        </w:rPr>
        <w:t>« </w:t>
      </w:r>
      <w:r w:rsidRPr="00AF0344">
        <w:rPr>
          <w:rFonts w:eastAsiaTheme="minorEastAsia"/>
          <w:lang w:val="fr-FR" w:eastAsia="ko-KR"/>
        </w:rPr>
        <w:t>organe indépendant</w:t>
      </w:r>
      <w:r w:rsidR="0047531A" w:rsidRPr="00AF0344">
        <w:rPr>
          <w:rFonts w:eastAsiaTheme="minorEastAsia"/>
          <w:lang w:val="fr-FR" w:eastAsia="ko-KR"/>
        </w:rPr>
        <w:t> »</w:t>
      </w:r>
      <w:r w:rsidRPr="00AF0344">
        <w:rPr>
          <w:rFonts w:eastAsiaTheme="minorEastAsia"/>
          <w:lang w:val="fr-FR" w:eastAsia="ko-KR"/>
        </w:rPr>
        <w:t xml:space="preserve"> ou </w:t>
      </w:r>
      <w:r w:rsidR="0047531A" w:rsidRPr="00AF0344">
        <w:rPr>
          <w:rFonts w:eastAsiaTheme="minorEastAsia"/>
          <w:lang w:val="fr-FR" w:eastAsia="ko-KR"/>
        </w:rPr>
        <w:t>« </w:t>
      </w:r>
      <w:r w:rsidRPr="00AF0344">
        <w:rPr>
          <w:rFonts w:eastAsiaTheme="minorEastAsia"/>
          <w:lang w:val="fr-FR" w:eastAsia="ko-KR"/>
        </w:rPr>
        <w:t>observatoire</w:t>
      </w:r>
      <w:r w:rsidR="0047531A" w:rsidRPr="00AF0344">
        <w:rPr>
          <w:rFonts w:eastAsiaTheme="minorEastAsia"/>
          <w:lang w:val="fr-FR" w:eastAsia="ko-KR"/>
        </w:rPr>
        <w:t> »</w:t>
      </w:r>
      <w:r w:rsidRPr="00AF0344">
        <w:rPr>
          <w:rFonts w:eastAsiaTheme="minorEastAsia"/>
          <w:lang w:val="fr-FR" w:eastAsia="ko-KR"/>
        </w:rPr>
        <w:t>) qui permettrait aux communautés de différentes parties du monde de bénéficier de tout le potentiel de l</w:t>
      </w:r>
      <w:r w:rsidR="001A0378">
        <w:rPr>
          <w:rFonts w:eastAsiaTheme="minorEastAsia"/>
          <w:lang w:val="fr-FR" w:eastAsia="ko-KR"/>
        </w:rPr>
        <w:t>’</w:t>
      </w:r>
      <w:r w:rsidRPr="00AF0344">
        <w:rPr>
          <w:rFonts w:eastAsiaTheme="minorEastAsia"/>
          <w:lang w:val="fr-FR" w:eastAsia="ko-KR"/>
        </w:rPr>
        <w:t>article 18 de la Convention. Des idées allant dans ce sens ont été soulevées précédemment, par exemple dans le contexte de l</w:t>
      </w:r>
      <w:r w:rsidR="001A0378">
        <w:rPr>
          <w:rFonts w:eastAsiaTheme="minorEastAsia"/>
          <w:lang w:val="fr-FR" w:eastAsia="ko-KR"/>
        </w:rPr>
        <w:t>’</w:t>
      </w:r>
      <w:r w:rsidRPr="00AF0344">
        <w:rPr>
          <w:rFonts w:eastAsiaTheme="minorEastAsia"/>
          <w:lang w:val="fr-FR" w:eastAsia="ko-KR"/>
        </w:rPr>
        <w:t xml:space="preserve">évaluation </w:t>
      </w:r>
      <w:r w:rsidR="0047531A" w:rsidRPr="00AF0344">
        <w:rPr>
          <w:rFonts w:eastAsiaTheme="minorEastAsia"/>
          <w:lang w:val="fr-FR" w:eastAsia="ko-KR"/>
        </w:rPr>
        <w:t>de l</w:t>
      </w:r>
      <w:r w:rsidR="001A0378">
        <w:rPr>
          <w:rFonts w:eastAsiaTheme="minorEastAsia"/>
          <w:lang w:val="fr-FR" w:eastAsia="ko-KR"/>
        </w:rPr>
        <w:t>’</w:t>
      </w:r>
      <w:r w:rsidR="0047531A" w:rsidRPr="00AF0344">
        <w:rPr>
          <w:rFonts w:eastAsiaTheme="minorEastAsia"/>
          <w:lang w:val="fr-FR" w:eastAsia="ko-KR"/>
        </w:rPr>
        <w:t>action</w:t>
      </w:r>
      <w:r w:rsidRPr="00AF0344">
        <w:rPr>
          <w:rFonts w:eastAsiaTheme="minorEastAsia"/>
          <w:lang w:val="fr-FR" w:eastAsia="ko-KR"/>
        </w:rPr>
        <w:t xml:space="preserve"> normati</w:t>
      </w:r>
      <w:r w:rsidR="0047531A" w:rsidRPr="00AF0344">
        <w:rPr>
          <w:rFonts w:eastAsiaTheme="minorEastAsia"/>
          <w:lang w:val="fr-FR" w:eastAsia="ko-KR"/>
        </w:rPr>
        <w:t>ve</w:t>
      </w:r>
      <w:r w:rsidRPr="00AF0344">
        <w:rPr>
          <w:rFonts w:eastAsiaTheme="minorEastAsia"/>
          <w:lang w:val="fr-FR" w:eastAsia="ko-KR"/>
        </w:rPr>
        <w:t xml:space="preserve"> </w:t>
      </w:r>
      <w:r w:rsidR="0047531A" w:rsidRPr="00AF0344">
        <w:rPr>
          <w:rFonts w:eastAsiaTheme="minorEastAsia"/>
          <w:lang w:val="fr-FR" w:eastAsia="ko-KR"/>
        </w:rPr>
        <w:t>du</w:t>
      </w:r>
      <w:r w:rsidRPr="00AF0344">
        <w:rPr>
          <w:rFonts w:eastAsiaTheme="minorEastAsia"/>
          <w:lang w:val="fr-FR" w:eastAsia="ko-KR"/>
        </w:rPr>
        <w:t xml:space="preserve"> secteur de la culture</w:t>
      </w:r>
      <w:r w:rsidR="0047531A" w:rsidRPr="00AF0344">
        <w:rPr>
          <w:rFonts w:eastAsiaTheme="minorEastAsia"/>
          <w:lang w:val="fr-FR" w:eastAsia="ko-KR"/>
        </w:rPr>
        <w:t xml:space="preserve"> de l</w:t>
      </w:r>
      <w:r w:rsidR="001A0378">
        <w:rPr>
          <w:rFonts w:eastAsiaTheme="minorEastAsia"/>
          <w:lang w:val="fr-FR" w:eastAsia="ko-KR"/>
        </w:rPr>
        <w:t>’</w:t>
      </w:r>
      <w:r w:rsidR="0047531A" w:rsidRPr="00AF0344">
        <w:rPr>
          <w:rFonts w:eastAsiaTheme="minorEastAsia"/>
          <w:lang w:val="fr-FR" w:eastAsia="ko-KR"/>
        </w:rPr>
        <w:t>UNESCO</w:t>
      </w:r>
      <w:r w:rsidRPr="00AF0344">
        <w:rPr>
          <w:rFonts w:eastAsiaTheme="minorEastAsia"/>
          <w:lang w:val="fr-FR" w:eastAsia="ko-KR"/>
        </w:rPr>
        <w:t>, menée par la</w:t>
      </w:r>
      <w:r w:rsidR="004E0267" w:rsidRPr="00AF0344">
        <w:rPr>
          <w:rFonts w:eastAsiaTheme="minorEastAsia"/>
          <w:lang w:val="fr-FR" w:eastAsia="ko-KR"/>
        </w:rPr>
        <w:t xml:space="preserve"> </w:t>
      </w:r>
      <w:r w:rsidR="004E0267" w:rsidRPr="009E493C">
        <w:rPr>
          <w:rFonts w:eastAsiaTheme="minorEastAsia"/>
          <w:lang w:val="fr-FR" w:eastAsia="ko-KR"/>
        </w:rPr>
        <w:t>Division des s</w:t>
      </w:r>
      <w:r w:rsidR="0047531A" w:rsidRPr="009E493C">
        <w:rPr>
          <w:rFonts w:eastAsiaTheme="minorEastAsia"/>
          <w:lang w:val="fr-FR" w:eastAsia="ko-KR"/>
        </w:rPr>
        <w:t>ervice</w:t>
      </w:r>
      <w:r w:rsidR="004E0267" w:rsidRPr="009E493C">
        <w:rPr>
          <w:rFonts w:eastAsiaTheme="minorEastAsia"/>
          <w:lang w:val="fr-FR" w:eastAsia="ko-KR"/>
        </w:rPr>
        <w:t>s</w:t>
      </w:r>
      <w:r w:rsidR="0047531A" w:rsidRPr="009E493C">
        <w:rPr>
          <w:rFonts w:eastAsiaTheme="minorEastAsia"/>
          <w:lang w:val="fr-FR" w:eastAsia="ko-KR"/>
        </w:rPr>
        <w:t xml:space="preserve"> </w:t>
      </w:r>
      <w:r w:rsidR="00CF4075">
        <w:rPr>
          <w:rFonts w:eastAsiaTheme="minorEastAsia"/>
          <w:lang w:val="fr-FR" w:eastAsia="ko-KR"/>
        </w:rPr>
        <w:t>d’évaluation et d’audit</w:t>
      </w:r>
      <w:r w:rsidRPr="00AF0344">
        <w:rPr>
          <w:rFonts w:eastAsiaTheme="minorEastAsia"/>
          <w:lang w:val="fr-FR" w:eastAsia="ko-KR"/>
        </w:rPr>
        <w:t xml:space="preserve"> de l</w:t>
      </w:r>
      <w:r w:rsidR="001A0378">
        <w:rPr>
          <w:rFonts w:eastAsiaTheme="minorEastAsia"/>
          <w:lang w:val="fr-FR" w:eastAsia="ko-KR"/>
        </w:rPr>
        <w:t>’</w:t>
      </w:r>
      <w:r w:rsidRPr="00AF0344">
        <w:rPr>
          <w:rFonts w:eastAsiaTheme="minorEastAsia"/>
          <w:lang w:val="fr-FR" w:eastAsia="ko-KR"/>
        </w:rPr>
        <w:t xml:space="preserve">UNESCO en 2013 (décision </w:t>
      </w:r>
      <w:hyperlink r:id="rId13" w:history="1">
        <w:r w:rsidRPr="00AF0344">
          <w:rPr>
            <w:rStyle w:val="Hyperlink"/>
            <w:rFonts w:eastAsiaTheme="minorEastAsia"/>
            <w:lang w:val="fr-FR" w:eastAsia="ko-KR"/>
          </w:rPr>
          <w:t>8.COM 5.c.1</w:t>
        </w:r>
      </w:hyperlink>
      <w:r w:rsidRPr="00AF0344">
        <w:rPr>
          <w:rFonts w:eastAsiaTheme="minorEastAsia"/>
          <w:lang w:val="fr-FR" w:eastAsia="ko-KR"/>
        </w:rPr>
        <w:t>).</w:t>
      </w:r>
    </w:p>
    <w:p w14:paraId="18112CB4" w14:textId="678ACF40" w:rsidR="00C06D4C" w:rsidRPr="00AF0344" w:rsidRDefault="00C06D4C" w:rsidP="00B70BC5">
      <w:pPr>
        <w:pStyle w:val="COMParabodytext"/>
        <w:numPr>
          <w:ilvl w:val="0"/>
          <w:numId w:val="18"/>
        </w:numPr>
        <w:ind w:left="567" w:hanging="567"/>
        <w:rPr>
          <w:rFonts w:eastAsiaTheme="minorEastAsia"/>
          <w:lang w:val="fr-FR" w:eastAsia="ko-KR"/>
        </w:rPr>
      </w:pPr>
      <w:r w:rsidRPr="00AF0344">
        <w:rPr>
          <w:rFonts w:eastAsiaTheme="minorEastAsia"/>
          <w:lang w:val="fr-FR" w:eastAsia="ko-KR"/>
        </w:rPr>
        <w:t>L</w:t>
      </w:r>
      <w:r w:rsidR="001A0378">
        <w:rPr>
          <w:rFonts w:eastAsiaTheme="minorEastAsia"/>
          <w:lang w:val="fr-FR" w:eastAsia="ko-KR"/>
        </w:rPr>
        <w:t>’</w:t>
      </w:r>
      <w:r w:rsidRPr="00AF0344">
        <w:rPr>
          <w:rFonts w:eastAsiaTheme="minorEastAsia"/>
          <w:lang w:val="fr-FR" w:eastAsia="ko-KR"/>
        </w:rPr>
        <w:t>idée a été approfondie lorsque des experts ont été consultés au cours de la première phase de la réflexion globale sur les mécanismes d</w:t>
      </w:r>
      <w:r w:rsidR="001A0378">
        <w:rPr>
          <w:rFonts w:eastAsiaTheme="minorEastAsia"/>
          <w:lang w:val="fr-FR" w:eastAsia="ko-KR"/>
        </w:rPr>
        <w:t>’</w:t>
      </w:r>
      <w:r w:rsidRPr="00AF0344">
        <w:rPr>
          <w:rFonts w:eastAsiaTheme="minorEastAsia"/>
          <w:lang w:val="fr-FR" w:eastAsia="ko-KR"/>
        </w:rPr>
        <w:t xml:space="preserve">inscription </w:t>
      </w:r>
      <w:r w:rsidR="00D93E09" w:rsidRPr="00AF0344">
        <w:rPr>
          <w:rFonts w:eastAsiaTheme="minorEastAsia"/>
          <w:lang w:val="fr-FR" w:eastAsia="ko-KR"/>
        </w:rPr>
        <w:t xml:space="preserve">sur les listes </w:t>
      </w:r>
      <w:r w:rsidRPr="00AF0344">
        <w:rPr>
          <w:rFonts w:eastAsiaTheme="minorEastAsia"/>
          <w:lang w:val="fr-FR" w:eastAsia="ko-KR"/>
        </w:rPr>
        <w:t xml:space="preserve">de la Convention (document </w:t>
      </w:r>
      <w:hyperlink r:id="rId14" w:history="1">
        <w:r w:rsidRPr="00AF0344">
          <w:rPr>
            <w:rStyle w:val="Hyperlink"/>
            <w:rFonts w:eastAsiaTheme="minorEastAsia"/>
            <w:lang w:val="fr-FR" w:eastAsia="ko-KR"/>
          </w:rPr>
          <w:t>LHE/21/16.COM EXP/7</w:t>
        </w:r>
      </w:hyperlink>
      <w:r w:rsidRPr="00AF0344">
        <w:rPr>
          <w:rFonts w:eastAsiaTheme="minorEastAsia"/>
          <w:lang w:val="fr-FR" w:eastAsia="ko-KR"/>
        </w:rPr>
        <w:t xml:space="preserve">). Étant donné le grand nombre de questions </w:t>
      </w:r>
      <w:r w:rsidR="00CF4075">
        <w:rPr>
          <w:rFonts w:eastAsiaTheme="minorEastAsia"/>
          <w:lang w:val="fr-FR" w:eastAsia="ko-KR"/>
        </w:rPr>
        <w:t xml:space="preserve">procédurales </w:t>
      </w:r>
      <w:r w:rsidRPr="00AF0344">
        <w:rPr>
          <w:rFonts w:eastAsiaTheme="minorEastAsia"/>
          <w:lang w:val="fr-FR" w:eastAsia="ko-KR"/>
        </w:rPr>
        <w:t>complexes, la réflexion globale n</w:t>
      </w:r>
      <w:r w:rsidR="001A0378">
        <w:rPr>
          <w:rFonts w:eastAsiaTheme="minorEastAsia"/>
          <w:lang w:val="fr-FR" w:eastAsia="ko-KR"/>
        </w:rPr>
        <w:t>’</w:t>
      </w:r>
      <w:r w:rsidRPr="00AF0344">
        <w:rPr>
          <w:rFonts w:eastAsiaTheme="minorEastAsia"/>
          <w:lang w:val="fr-FR" w:eastAsia="ko-KR"/>
        </w:rPr>
        <w:t>a pas été concluante sur la possibilité de créer une plateforme en ligne. La récente réunion d</w:t>
      </w:r>
      <w:r w:rsidR="001A0378">
        <w:rPr>
          <w:rFonts w:eastAsiaTheme="minorEastAsia"/>
          <w:lang w:val="fr-FR" w:eastAsia="ko-KR"/>
        </w:rPr>
        <w:t>’</w:t>
      </w:r>
      <w:r w:rsidRPr="00AF0344">
        <w:rPr>
          <w:rFonts w:eastAsiaTheme="minorEastAsia"/>
          <w:lang w:val="fr-FR" w:eastAsia="ko-KR"/>
        </w:rPr>
        <w:t>experts de catégorie VI a estimé que la création d</w:t>
      </w:r>
      <w:r w:rsidR="001A0378">
        <w:rPr>
          <w:rFonts w:eastAsiaTheme="minorEastAsia"/>
          <w:lang w:val="fr-FR" w:eastAsia="ko-KR"/>
        </w:rPr>
        <w:t>’</w:t>
      </w:r>
      <w:r w:rsidRPr="00AF0344">
        <w:rPr>
          <w:rFonts w:eastAsiaTheme="minorEastAsia"/>
          <w:lang w:val="fr-FR" w:eastAsia="ko-KR"/>
        </w:rPr>
        <w:t xml:space="preserve">une </w:t>
      </w:r>
      <w:r w:rsidR="0073751C" w:rsidRPr="00AF0344">
        <w:rPr>
          <w:rFonts w:eastAsiaTheme="minorEastAsia"/>
          <w:lang w:val="fr-FR" w:eastAsia="ko-KR"/>
        </w:rPr>
        <w:t>« </w:t>
      </w:r>
      <w:r w:rsidRPr="00AF0344">
        <w:rPr>
          <w:rFonts w:eastAsiaTheme="minorEastAsia"/>
          <w:lang w:val="fr-FR" w:eastAsia="ko-KR"/>
        </w:rPr>
        <w:t>plateforme</w:t>
      </w:r>
      <w:r w:rsidR="0073751C" w:rsidRPr="00AF0344">
        <w:rPr>
          <w:rFonts w:eastAsiaTheme="minorEastAsia"/>
          <w:lang w:val="fr-FR" w:eastAsia="ko-KR"/>
        </w:rPr>
        <w:t> »</w:t>
      </w:r>
      <w:r w:rsidRPr="00AF0344">
        <w:rPr>
          <w:rFonts w:eastAsiaTheme="minorEastAsia"/>
          <w:lang w:val="fr-FR" w:eastAsia="ko-KR"/>
        </w:rPr>
        <w:t xml:space="preserve"> en ligne </w:t>
      </w:r>
      <w:r w:rsidR="0073751C" w:rsidRPr="00AF0344">
        <w:rPr>
          <w:rFonts w:eastAsiaTheme="minorEastAsia"/>
          <w:lang w:val="fr-FR" w:eastAsia="ko-KR"/>
        </w:rPr>
        <w:t>et modérée</w:t>
      </w:r>
      <w:r w:rsidRPr="00AF0344">
        <w:rPr>
          <w:rFonts w:eastAsiaTheme="minorEastAsia"/>
          <w:lang w:val="fr-FR" w:eastAsia="ko-KR"/>
        </w:rPr>
        <w:t xml:space="preserve"> pour le partage de bonnes pratiques de sauvegarde pourrait être essentielle pour rendre l</w:t>
      </w:r>
      <w:r w:rsidR="001A0378">
        <w:rPr>
          <w:rFonts w:eastAsiaTheme="minorEastAsia"/>
          <w:lang w:val="fr-FR" w:eastAsia="ko-KR"/>
        </w:rPr>
        <w:t>’</w:t>
      </w:r>
      <w:r w:rsidRPr="00AF0344">
        <w:rPr>
          <w:rFonts w:eastAsiaTheme="minorEastAsia"/>
          <w:lang w:val="fr-FR" w:eastAsia="ko-KR"/>
        </w:rPr>
        <w:t xml:space="preserve">article 18 pleinement opérationnel. En référence à la </w:t>
      </w:r>
      <w:r w:rsidR="003B58FA" w:rsidRPr="00AF0344">
        <w:rPr>
          <w:rFonts w:eastAsiaTheme="minorEastAsia"/>
          <w:lang w:val="fr-FR" w:eastAsia="ko-KR"/>
        </w:rPr>
        <w:t>d</w:t>
      </w:r>
      <w:r w:rsidRPr="00AF0344">
        <w:rPr>
          <w:rFonts w:eastAsiaTheme="minorEastAsia"/>
          <w:lang w:val="fr-FR" w:eastAsia="ko-KR"/>
        </w:rPr>
        <w:t xml:space="preserve">écision </w:t>
      </w:r>
      <w:hyperlink r:id="rId15" w:history="1">
        <w:r w:rsidRPr="00AF0344">
          <w:rPr>
            <w:rStyle w:val="Hyperlink"/>
            <w:rFonts w:eastAsiaTheme="minorEastAsia"/>
            <w:lang w:val="fr-FR" w:eastAsia="ko-KR"/>
          </w:rPr>
          <w:t>16.COM 14</w:t>
        </w:r>
      </w:hyperlink>
      <w:r w:rsidRPr="00AF0344">
        <w:rPr>
          <w:rFonts w:eastAsiaTheme="minorEastAsia"/>
          <w:lang w:val="fr-FR" w:eastAsia="ko-KR"/>
        </w:rPr>
        <w:t xml:space="preserve"> (paragraphe 9), il est important d</w:t>
      </w:r>
      <w:r w:rsidR="001A0378">
        <w:rPr>
          <w:rFonts w:eastAsiaTheme="minorEastAsia"/>
          <w:lang w:val="fr-FR" w:eastAsia="ko-KR"/>
        </w:rPr>
        <w:t>’</w:t>
      </w:r>
      <w:r w:rsidRPr="00AF0344">
        <w:rPr>
          <w:rFonts w:eastAsiaTheme="minorEastAsia"/>
          <w:lang w:val="fr-FR" w:eastAsia="ko-KR"/>
        </w:rPr>
        <w:t>examiner comment une telle plateforme en ligne pourrait renforcer le dialogue et la communication entre toutes les parties prenantes de la Convention de manière concrète, en mettant particulièrement l</w:t>
      </w:r>
      <w:r w:rsidR="001A0378">
        <w:rPr>
          <w:rFonts w:eastAsiaTheme="minorEastAsia"/>
          <w:lang w:val="fr-FR" w:eastAsia="ko-KR"/>
        </w:rPr>
        <w:t>’</w:t>
      </w:r>
      <w:r w:rsidRPr="00AF0344">
        <w:rPr>
          <w:rFonts w:eastAsiaTheme="minorEastAsia"/>
          <w:lang w:val="fr-FR" w:eastAsia="ko-KR"/>
        </w:rPr>
        <w:t>accent sur les communautés, les groupes et, le cas échéant, les individus et leurs besoins en matière de sauvegarde.</w:t>
      </w:r>
    </w:p>
    <w:p w14:paraId="65ECBAB3" w14:textId="3996E18D" w:rsidR="00C06D4C" w:rsidRPr="00AF0344" w:rsidRDefault="00C06D4C" w:rsidP="00C06D4C">
      <w:pPr>
        <w:pStyle w:val="COMPara"/>
        <w:rPr>
          <w:rFonts w:eastAsiaTheme="minorEastAsia"/>
          <w:u w:val="single"/>
          <w:lang w:val="fr-FR" w:eastAsia="ko-KR"/>
        </w:rPr>
      </w:pPr>
      <w:r w:rsidRPr="00AF0344">
        <w:rPr>
          <w:rFonts w:eastAsiaTheme="minorEastAsia"/>
          <w:u w:val="single"/>
          <w:lang w:val="fr-FR" w:eastAsia="ko-KR"/>
        </w:rPr>
        <w:t>Point de discussion 5 : Les objectifs d</w:t>
      </w:r>
      <w:r w:rsidR="001A0378">
        <w:rPr>
          <w:rFonts w:eastAsiaTheme="minorEastAsia"/>
          <w:u w:val="single"/>
          <w:lang w:val="fr-FR" w:eastAsia="ko-KR"/>
        </w:rPr>
        <w:t>’</w:t>
      </w:r>
      <w:r w:rsidRPr="00AF0344">
        <w:rPr>
          <w:rFonts w:eastAsiaTheme="minorEastAsia"/>
          <w:u w:val="single"/>
          <w:lang w:val="fr-FR" w:eastAsia="ko-KR"/>
        </w:rPr>
        <w:t>une plateforme en ligne</w:t>
      </w:r>
    </w:p>
    <w:p w14:paraId="4B11F716" w14:textId="37A2175E" w:rsidR="00C06D4C" w:rsidRPr="00AF0344" w:rsidRDefault="00C06D4C" w:rsidP="00B70BC5">
      <w:pPr>
        <w:pStyle w:val="COMParabodytext"/>
        <w:numPr>
          <w:ilvl w:val="0"/>
          <w:numId w:val="18"/>
        </w:numPr>
        <w:ind w:left="567" w:hanging="567"/>
        <w:rPr>
          <w:rFonts w:eastAsiaTheme="minorEastAsia"/>
          <w:lang w:val="fr-FR" w:eastAsia="ko-KR"/>
        </w:rPr>
      </w:pPr>
      <w:r w:rsidRPr="00AF0344">
        <w:rPr>
          <w:rFonts w:eastAsiaTheme="minorEastAsia"/>
          <w:lang w:val="fr-FR" w:eastAsia="ko-KR"/>
        </w:rPr>
        <w:t>L</w:t>
      </w:r>
      <w:r w:rsidR="001A0378">
        <w:rPr>
          <w:rFonts w:eastAsiaTheme="minorEastAsia"/>
          <w:lang w:val="fr-FR" w:eastAsia="ko-KR"/>
        </w:rPr>
        <w:t>’</w:t>
      </w:r>
      <w:r w:rsidRPr="00AF0344">
        <w:rPr>
          <w:rFonts w:eastAsiaTheme="minorEastAsia"/>
          <w:lang w:val="fr-FR" w:eastAsia="ko-KR"/>
        </w:rPr>
        <w:t>objectif principal d</w:t>
      </w:r>
      <w:r w:rsidR="001A0378">
        <w:rPr>
          <w:rFonts w:eastAsiaTheme="minorEastAsia"/>
          <w:lang w:val="fr-FR" w:eastAsia="ko-KR"/>
        </w:rPr>
        <w:t>’</w:t>
      </w:r>
      <w:r w:rsidRPr="00AF0344">
        <w:rPr>
          <w:rFonts w:eastAsiaTheme="minorEastAsia"/>
          <w:lang w:val="fr-FR" w:eastAsia="ko-KR"/>
        </w:rPr>
        <w:t xml:space="preserve">une plateforme en ligne pourrait être de renforcer le dialogue </w:t>
      </w:r>
      <w:r w:rsidR="00B151CF" w:rsidRPr="00AF0344">
        <w:rPr>
          <w:rFonts w:eastAsiaTheme="minorEastAsia"/>
          <w:lang w:val="fr-FR" w:eastAsia="ko-KR"/>
        </w:rPr>
        <w:t>en vue</w:t>
      </w:r>
      <w:r w:rsidRPr="00AF0344">
        <w:rPr>
          <w:rFonts w:eastAsiaTheme="minorEastAsia"/>
          <w:lang w:val="fr-FR" w:eastAsia="ko-KR"/>
        </w:rPr>
        <w:t xml:space="preserve"> de partager les bonnes pratiques en matière de sauvegarde, notamment en termes de partage, de suivi, de communication, de collaboration et de renforcement des capacités. Le dialogue par le biais d</w:t>
      </w:r>
      <w:r w:rsidR="001A0378">
        <w:rPr>
          <w:rFonts w:eastAsiaTheme="minorEastAsia"/>
          <w:lang w:val="fr-FR" w:eastAsia="ko-KR"/>
        </w:rPr>
        <w:t>’</w:t>
      </w:r>
      <w:r w:rsidRPr="00AF0344">
        <w:rPr>
          <w:rFonts w:eastAsiaTheme="minorEastAsia"/>
          <w:lang w:val="fr-FR" w:eastAsia="ko-KR"/>
        </w:rPr>
        <w:t>une telle plateforme en ligne permettrait en premier lieu l</w:t>
      </w:r>
      <w:r w:rsidR="001A0378">
        <w:rPr>
          <w:rFonts w:eastAsiaTheme="minorEastAsia"/>
          <w:lang w:val="fr-FR" w:eastAsia="ko-KR"/>
        </w:rPr>
        <w:t>’</w:t>
      </w:r>
      <w:r w:rsidRPr="00AF0344">
        <w:rPr>
          <w:rFonts w:eastAsiaTheme="minorEastAsia"/>
          <w:lang w:val="fr-FR" w:eastAsia="ko-KR"/>
        </w:rPr>
        <w:t>échange d</w:t>
      </w:r>
      <w:r w:rsidR="001A0378">
        <w:rPr>
          <w:rFonts w:eastAsiaTheme="minorEastAsia"/>
          <w:lang w:val="fr-FR" w:eastAsia="ko-KR"/>
        </w:rPr>
        <w:t>’</w:t>
      </w:r>
      <w:r w:rsidRPr="00AF0344">
        <w:rPr>
          <w:rFonts w:eastAsiaTheme="minorEastAsia"/>
          <w:lang w:val="fr-FR" w:eastAsia="ko-KR"/>
        </w:rPr>
        <w:t>informations entre et parmi les membres des communautés de différentes parties du monde afin de soutenir leurs efforts de sauvegarde. Dans le même temps, ce dialogue pourrait également permettre un engagement plus direct des organes directeurs de la Convention avec les communautés et les détenteurs du patrimoine vivant. L</w:t>
      </w:r>
      <w:r w:rsidR="001A0378">
        <w:rPr>
          <w:rFonts w:eastAsiaTheme="minorEastAsia"/>
          <w:lang w:val="fr-FR" w:eastAsia="ko-KR"/>
        </w:rPr>
        <w:t>’</w:t>
      </w:r>
      <w:r w:rsidRPr="00AF0344">
        <w:rPr>
          <w:rFonts w:eastAsiaTheme="minorEastAsia"/>
          <w:lang w:val="fr-FR" w:eastAsia="ko-KR"/>
        </w:rPr>
        <w:t>une des conséquences directes de la plateforme en ligne pourrait également être une utilisation accrue du Registre par les États parties, avec une sensibilisation accrue à ce mécanisme et à l</w:t>
      </w:r>
      <w:r w:rsidR="001A0378">
        <w:rPr>
          <w:rFonts w:eastAsiaTheme="minorEastAsia"/>
          <w:lang w:val="fr-FR" w:eastAsia="ko-KR"/>
        </w:rPr>
        <w:t>’</w:t>
      </w:r>
      <w:r w:rsidRPr="00AF0344">
        <w:rPr>
          <w:rFonts w:eastAsiaTheme="minorEastAsia"/>
          <w:lang w:val="fr-FR" w:eastAsia="ko-KR"/>
        </w:rPr>
        <w:t>importance du partage de bonnes pratiques de sauvegarde, à mettre en évidence par le biais de la plateforme en ligne.</w:t>
      </w:r>
    </w:p>
    <w:p w14:paraId="42B32702" w14:textId="2BFA0BE7" w:rsidR="00C06D4C" w:rsidRPr="00CF4075" w:rsidRDefault="00C06D4C" w:rsidP="00CF4075">
      <w:pPr>
        <w:pStyle w:val="COMParabodytext"/>
        <w:numPr>
          <w:ilvl w:val="0"/>
          <w:numId w:val="18"/>
        </w:numPr>
        <w:ind w:left="567" w:hanging="567"/>
        <w:rPr>
          <w:rFonts w:eastAsiaTheme="minorEastAsia"/>
          <w:lang w:val="fr-FR" w:eastAsia="ko-KR"/>
        </w:rPr>
      </w:pPr>
      <w:r w:rsidRPr="00AF0344">
        <w:rPr>
          <w:rFonts w:eastAsiaTheme="minorEastAsia"/>
          <w:lang w:val="fr-FR" w:eastAsia="ko-KR"/>
        </w:rPr>
        <w:t xml:space="preserve">En résumé, en ce qui concerne les liens avec la mise en œuvre des différents mécanismes de </w:t>
      </w:r>
      <w:r w:rsidRPr="00CF4075">
        <w:rPr>
          <w:rFonts w:eastAsiaTheme="minorEastAsia"/>
          <w:lang w:val="fr-FR" w:eastAsia="ko-KR"/>
        </w:rPr>
        <w:t>la Convention, une plateforme en ligne pourrait être utilisée, par exemple, pour :</w:t>
      </w:r>
    </w:p>
    <w:p w14:paraId="652FE392" w14:textId="5E85FC96" w:rsidR="00CC61A6" w:rsidRPr="00CF4075" w:rsidRDefault="00CC61A6" w:rsidP="00CF4075">
      <w:pPr>
        <w:pStyle w:val="COMPara"/>
        <w:ind w:left="1134"/>
        <w:jc w:val="both"/>
        <w:rPr>
          <w:szCs w:val="24"/>
          <w:lang w:val="fr-FR"/>
        </w:rPr>
      </w:pPr>
      <w:r w:rsidRPr="00CF4075">
        <w:rPr>
          <w:szCs w:val="24"/>
          <w:lang w:val="fr-FR"/>
        </w:rPr>
        <w:t xml:space="preserve">a) </w:t>
      </w:r>
      <w:r w:rsidR="00CF4075" w:rsidRPr="00CF4075">
        <w:rPr>
          <w:szCs w:val="24"/>
          <w:lang w:val="fr-FR"/>
        </w:rPr>
        <w:tab/>
      </w:r>
      <w:r w:rsidRPr="00CF4075">
        <w:rPr>
          <w:szCs w:val="24"/>
          <w:lang w:val="fr-FR"/>
        </w:rPr>
        <w:t xml:space="preserve">Former un </w:t>
      </w:r>
      <w:r w:rsidR="00B151CF" w:rsidRPr="00CF4075">
        <w:rPr>
          <w:szCs w:val="24"/>
          <w:lang w:val="fr-FR"/>
        </w:rPr>
        <w:t>« </w:t>
      </w:r>
      <w:r w:rsidRPr="00CF4075">
        <w:rPr>
          <w:szCs w:val="24"/>
          <w:lang w:val="fr-FR"/>
        </w:rPr>
        <w:t>réseau d</w:t>
      </w:r>
      <w:r w:rsidR="001A0378" w:rsidRPr="00CF4075">
        <w:rPr>
          <w:szCs w:val="24"/>
          <w:lang w:val="fr-FR"/>
        </w:rPr>
        <w:t>’</w:t>
      </w:r>
      <w:r w:rsidRPr="00CF4075">
        <w:rPr>
          <w:szCs w:val="24"/>
          <w:lang w:val="fr-FR"/>
        </w:rPr>
        <w:t>éléments et de pratiques inscrits</w:t>
      </w:r>
      <w:r w:rsidR="00B151CF" w:rsidRPr="00CF4075">
        <w:rPr>
          <w:szCs w:val="24"/>
          <w:lang w:val="fr-FR"/>
        </w:rPr>
        <w:t> »</w:t>
      </w:r>
      <w:r w:rsidRPr="00CF4075">
        <w:rPr>
          <w:szCs w:val="24"/>
          <w:lang w:val="fr-FR"/>
        </w:rPr>
        <w:t xml:space="preserve"> afin d</w:t>
      </w:r>
      <w:r w:rsidR="001A0378" w:rsidRPr="00CF4075">
        <w:rPr>
          <w:szCs w:val="24"/>
          <w:lang w:val="fr-FR"/>
        </w:rPr>
        <w:t>’</w:t>
      </w:r>
      <w:r w:rsidRPr="00CF4075">
        <w:rPr>
          <w:szCs w:val="24"/>
          <w:lang w:val="fr-FR"/>
        </w:rPr>
        <w:t xml:space="preserve">échanger des informations sur les éléments/programmes </w:t>
      </w:r>
      <w:proofErr w:type="gramStart"/>
      <w:r w:rsidRPr="00CF4075">
        <w:rPr>
          <w:szCs w:val="24"/>
          <w:lang w:val="fr-FR"/>
        </w:rPr>
        <w:t>suite à</w:t>
      </w:r>
      <w:proofErr w:type="gramEnd"/>
      <w:r w:rsidRPr="00CF4075">
        <w:rPr>
          <w:szCs w:val="24"/>
          <w:lang w:val="fr-FR"/>
        </w:rPr>
        <w:t xml:space="preserve"> leur inscription/sélection sur les listes et le </w:t>
      </w:r>
      <w:r w:rsidR="00B06E90" w:rsidRPr="00CF4075">
        <w:rPr>
          <w:szCs w:val="24"/>
          <w:lang w:val="fr-FR"/>
        </w:rPr>
        <w:t>R</w:t>
      </w:r>
      <w:r w:rsidRPr="00CF4075">
        <w:rPr>
          <w:szCs w:val="24"/>
          <w:lang w:val="fr-FR"/>
        </w:rPr>
        <w:t>egistre et de suivre les plans de sauvegarde et le partage des méthodes de sauvegarde ;</w:t>
      </w:r>
    </w:p>
    <w:p w14:paraId="793A38B2" w14:textId="5537DCA9" w:rsidR="00CC61A6" w:rsidRPr="00CF4075" w:rsidRDefault="00CC61A6" w:rsidP="00CF4075">
      <w:pPr>
        <w:pStyle w:val="COMPara"/>
        <w:ind w:left="1134"/>
        <w:jc w:val="both"/>
        <w:rPr>
          <w:szCs w:val="24"/>
          <w:lang w:val="fr-FR"/>
        </w:rPr>
      </w:pPr>
      <w:r w:rsidRPr="00CF4075">
        <w:rPr>
          <w:szCs w:val="24"/>
          <w:lang w:val="fr-FR"/>
        </w:rPr>
        <w:t xml:space="preserve">b) </w:t>
      </w:r>
      <w:r w:rsidR="00CF4075" w:rsidRPr="00CF4075">
        <w:rPr>
          <w:szCs w:val="24"/>
          <w:lang w:val="fr-FR"/>
        </w:rPr>
        <w:tab/>
      </w:r>
      <w:r w:rsidRPr="00CF4075">
        <w:rPr>
          <w:szCs w:val="24"/>
          <w:lang w:val="fr-FR"/>
        </w:rPr>
        <w:t>Sensibiliser aux événements locaux, régionaux, nationaux et internationaux liés à la sauvegarde du patrimoine culturel immatériel, avec la contribution directe des communautés.</w:t>
      </w:r>
    </w:p>
    <w:p w14:paraId="68536E06" w14:textId="6C432BF8" w:rsidR="00CC61A6" w:rsidRPr="00AF0344" w:rsidRDefault="00CC61A6" w:rsidP="00CC61A6">
      <w:pPr>
        <w:pStyle w:val="COMPara"/>
        <w:rPr>
          <w:rFonts w:eastAsiaTheme="minorEastAsia"/>
          <w:u w:val="single"/>
          <w:lang w:val="fr-FR" w:eastAsia="ko-KR"/>
        </w:rPr>
      </w:pPr>
      <w:r w:rsidRPr="00AF0344">
        <w:rPr>
          <w:rFonts w:eastAsiaTheme="minorEastAsia"/>
          <w:u w:val="single"/>
          <w:lang w:val="fr-FR" w:eastAsia="ko-KR"/>
        </w:rPr>
        <w:t xml:space="preserve">Point de discussion 6 : </w:t>
      </w:r>
      <w:r w:rsidR="00CF4075">
        <w:rPr>
          <w:rFonts w:eastAsiaTheme="minorEastAsia"/>
          <w:u w:val="single"/>
          <w:lang w:val="fr-FR" w:eastAsia="ko-KR"/>
        </w:rPr>
        <w:t>C</w:t>
      </w:r>
      <w:r w:rsidRPr="00AF0344">
        <w:rPr>
          <w:rFonts w:eastAsiaTheme="minorEastAsia"/>
          <w:u w:val="single"/>
          <w:lang w:val="fr-FR" w:eastAsia="ko-KR"/>
        </w:rPr>
        <w:t>onsidérations pratiques</w:t>
      </w:r>
    </w:p>
    <w:p w14:paraId="40EE9BCD" w14:textId="2D24A677" w:rsidR="00C06D4C" w:rsidRPr="00AF0344" w:rsidRDefault="00B151CF" w:rsidP="00CC61A6">
      <w:pPr>
        <w:pStyle w:val="COMParabodytext"/>
        <w:numPr>
          <w:ilvl w:val="0"/>
          <w:numId w:val="18"/>
        </w:numPr>
        <w:ind w:left="567" w:hanging="567"/>
        <w:rPr>
          <w:rFonts w:eastAsiaTheme="minorEastAsia"/>
          <w:lang w:val="fr-FR" w:eastAsia="ko-KR"/>
        </w:rPr>
      </w:pPr>
      <w:r w:rsidRPr="00AF0344">
        <w:rPr>
          <w:rFonts w:eastAsiaTheme="minorEastAsia"/>
          <w:b/>
          <w:bCs/>
          <w:lang w:val="fr-FR" w:eastAsia="ko-KR"/>
        </w:rPr>
        <w:t>M</w:t>
      </w:r>
      <w:r w:rsidR="00C06D4C" w:rsidRPr="00AF0344">
        <w:rPr>
          <w:rFonts w:eastAsiaTheme="minorEastAsia"/>
          <w:b/>
          <w:bCs/>
          <w:lang w:val="fr-FR" w:eastAsia="ko-KR"/>
        </w:rPr>
        <w:t>odération</w:t>
      </w:r>
      <w:r w:rsidR="00C06D4C" w:rsidRPr="00AF0344">
        <w:rPr>
          <w:rFonts w:eastAsiaTheme="minorEastAsia"/>
          <w:lang w:val="fr-FR" w:eastAsia="ko-KR"/>
        </w:rPr>
        <w:t xml:space="preserve"> : Il est important de gérer le volume, la qualité et les types d</w:t>
      </w:r>
      <w:r w:rsidR="001A0378">
        <w:rPr>
          <w:rFonts w:eastAsiaTheme="minorEastAsia"/>
          <w:lang w:val="fr-FR" w:eastAsia="ko-KR"/>
        </w:rPr>
        <w:t>’</w:t>
      </w:r>
      <w:r w:rsidR="00C06D4C" w:rsidRPr="00AF0344">
        <w:rPr>
          <w:rFonts w:eastAsiaTheme="minorEastAsia"/>
          <w:lang w:val="fr-FR" w:eastAsia="ko-KR"/>
        </w:rPr>
        <w:t>informations à échanger. Un équilibre doit être trouvé pour permettre aux communautés du monde entier d</w:t>
      </w:r>
      <w:r w:rsidR="001A0378">
        <w:rPr>
          <w:rFonts w:eastAsiaTheme="minorEastAsia"/>
          <w:lang w:val="fr-FR" w:eastAsia="ko-KR"/>
        </w:rPr>
        <w:t>’</w:t>
      </w:r>
      <w:r w:rsidR="00C06D4C" w:rsidRPr="00AF0344">
        <w:rPr>
          <w:rFonts w:eastAsiaTheme="minorEastAsia"/>
          <w:lang w:val="fr-FR" w:eastAsia="ko-KR"/>
        </w:rPr>
        <w:t>apporter des contributions directes et de partager des informations par l</w:t>
      </w:r>
      <w:r w:rsidR="001A0378">
        <w:rPr>
          <w:rFonts w:eastAsiaTheme="minorEastAsia"/>
          <w:lang w:val="fr-FR" w:eastAsia="ko-KR"/>
        </w:rPr>
        <w:t>’</w:t>
      </w:r>
      <w:r w:rsidR="00C06D4C" w:rsidRPr="00AF0344">
        <w:rPr>
          <w:rFonts w:eastAsiaTheme="minorEastAsia"/>
          <w:lang w:val="fr-FR" w:eastAsia="ko-KR"/>
        </w:rPr>
        <w:t>intermédiaire d</w:t>
      </w:r>
      <w:r w:rsidR="001A0378">
        <w:rPr>
          <w:rFonts w:eastAsiaTheme="minorEastAsia"/>
          <w:lang w:val="fr-FR" w:eastAsia="ko-KR"/>
        </w:rPr>
        <w:t>’</w:t>
      </w:r>
      <w:r w:rsidR="00C06D4C" w:rsidRPr="00AF0344">
        <w:rPr>
          <w:rFonts w:eastAsiaTheme="minorEastAsia"/>
          <w:lang w:val="fr-FR" w:eastAsia="ko-KR"/>
        </w:rPr>
        <w:t>une plateforme en ligne. Dans le même temps, le flux d</w:t>
      </w:r>
      <w:r w:rsidR="001A0378">
        <w:rPr>
          <w:rFonts w:eastAsiaTheme="minorEastAsia"/>
          <w:lang w:val="fr-FR" w:eastAsia="ko-KR"/>
        </w:rPr>
        <w:t>’</w:t>
      </w:r>
      <w:r w:rsidR="00C06D4C" w:rsidRPr="00AF0344">
        <w:rPr>
          <w:rFonts w:eastAsiaTheme="minorEastAsia"/>
          <w:lang w:val="fr-FR" w:eastAsia="ko-KR"/>
        </w:rPr>
        <w:t xml:space="preserve">informations doit être géré de manière significative pour la mise en œuvre de la Convention. La modération régulière des </w:t>
      </w:r>
      <w:r w:rsidRPr="00AF0344">
        <w:rPr>
          <w:rFonts w:eastAsiaTheme="minorEastAsia"/>
          <w:lang w:val="fr-FR" w:eastAsia="ko-KR"/>
        </w:rPr>
        <w:t>« </w:t>
      </w:r>
      <w:r w:rsidR="00CF4075">
        <w:rPr>
          <w:rFonts w:eastAsiaTheme="minorEastAsia"/>
          <w:lang w:val="fr-FR" w:eastAsia="ko-KR"/>
        </w:rPr>
        <w:t>conversations</w:t>
      </w:r>
      <w:r w:rsidRPr="00AF0344">
        <w:rPr>
          <w:rFonts w:eastAsiaTheme="minorEastAsia"/>
          <w:lang w:val="fr-FR" w:eastAsia="ko-KR"/>
        </w:rPr>
        <w:t> »</w:t>
      </w:r>
      <w:r w:rsidR="00C06D4C" w:rsidRPr="00AF0344">
        <w:rPr>
          <w:rFonts w:eastAsiaTheme="minorEastAsia"/>
          <w:lang w:val="fr-FR" w:eastAsia="ko-KR"/>
        </w:rPr>
        <w:t xml:space="preserve"> demande beaucoup de travail, mais un minimum d</w:t>
      </w:r>
      <w:r w:rsidR="001A0378">
        <w:rPr>
          <w:rFonts w:eastAsiaTheme="minorEastAsia"/>
          <w:lang w:val="fr-FR" w:eastAsia="ko-KR"/>
        </w:rPr>
        <w:t>’</w:t>
      </w:r>
      <w:r w:rsidR="00C06D4C" w:rsidRPr="00AF0344">
        <w:rPr>
          <w:rFonts w:eastAsiaTheme="minorEastAsia"/>
          <w:lang w:val="fr-FR" w:eastAsia="ko-KR"/>
        </w:rPr>
        <w:t>intervention semble nécessaire.</w:t>
      </w:r>
    </w:p>
    <w:p w14:paraId="1CDBDE2B" w14:textId="50669D96" w:rsidR="00C06D4C" w:rsidRPr="00AF0344" w:rsidRDefault="00C06D4C" w:rsidP="00B70BC5">
      <w:pPr>
        <w:pStyle w:val="COMParabodytext"/>
        <w:numPr>
          <w:ilvl w:val="0"/>
          <w:numId w:val="18"/>
        </w:numPr>
        <w:ind w:left="567" w:hanging="567"/>
        <w:rPr>
          <w:rFonts w:eastAsiaTheme="minorEastAsia"/>
          <w:lang w:val="fr-FR" w:eastAsia="ko-KR"/>
        </w:rPr>
      </w:pPr>
      <w:r w:rsidRPr="00AF0344">
        <w:rPr>
          <w:rFonts w:eastAsiaTheme="minorEastAsia"/>
          <w:b/>
          <w:bCs/>
          <w:lang w:val="fr-FR" w:eastAsia="ko-KR"/>
        </w:rPr>
        <w:t>Possibilités en ligne</w:t>
      </w:r>
      <w:r w:rsidRPr="00AF0344">
        <w:rPr>
          <w:rFonts w:eastAsiaTheme="minorEastAsia"/>
          <w:lang w:val="fr-FR" w:eastAsia="ko-KR"/>
        </w:rPr>
        <w:t xml:space="preserve"> : La modalité en ligne ouvrirait des possibilités qui n</w:t>
      </w:r>
      <w:r w:rsidR="001A0378">
        <w:rPr>
          <w:rFonts w:eastAsiaTheme="minorEastAsia"/>
          <w:lang w:val="fr-FR" w:eastAsia="ko-KR"/>
        </w:rPr>
        <w:t>’</w:t>
      </w:r>
      <w:r w:rsidRPr="00AF0344">
        <w:rPr>
          <w:rFonts w:eastAsiaTheme="minorEastAsia"/>
          <w:lang w:val="fr-FR" w:eastAsia="ko-KR"/>
        </w:rPr>
        <w:t xml:space="preserve">étaient pas concevables lorsque la Convention a été adoptée il y a </w:t>
      </w:r>
      <w:r w:rsidR="00B151CF" w:rsidRPr="00AF0344">
        <w:rPr>
          <w:rFonts w:eastAsiaTheme="minorEastAsia"/>
          <w:lang w:val="fr-FR" w:eastAsia="ko-KR"/>
        </w:rPr>
        <w:t>deux décennies</w:t>
      </w:r>
      <w:r w:rsidRPr="00AF0344">
        <w:rPr>
          <w:rFonts w:eastAsiaTheme="minorEastAsia"/>
          <w:lang w:val="fr-FR" w:eastAsia="ko-KR"/>
        </w:rPr>
        <w:t xml:space="preserve">. Elle faciliterait, par </w:t>
      </w:r>
      <w:r w:rsidRPr="00AF0344">
        <w:rPr>
          <w:rFonts w:eastAsiaTheme="minorEastAsia"/>
          <w:lang w:val="fr-FR" w:eastAsia="ko-KR"/>
        </w:rPr>
        <w:lastRenderedPageBreak/>
        <w:t xml:space="preserve">exemple, la diffusion de matériel audiovisuel créé par des communautés, des groupes ou des individus souhaitant partager leurs bonnes pratiques en matière de sauvegarde. La plateforme pourrait être envisagée en partie comme un </w:t>
      </w:r>
      <w:r w:rsidR="008D3582" w:rsidRPr="009E493C">
        <w:rPr>
          <w:rFonts w:eastAsiaTheme="minorEastAsia"/>
          <w:lang w:val="fr-FR" w:eastAsia="ko-KR"/>
        </w:rPr>
        <w:t>média social</w:t>
      </w:r>
      <w:r w:rsidRPr="009E493C">
        <w:rPr>
          <w:rFonts w:eastAsiaTheme="minorEastAsia"/>
          <w:lang w:val="fr-FR" w:eastAsia="ko-KR"/>
        </w:rPr>
        <w:t>/forum</w:t>
      </w:r>
      <w:r w:rsidRPr="00AF0344">
        <w:rPr>
          <w:rFonts w:eastAsiaTheme="minorEastAsia"/>
          <w:lang w:val="fr-FR" w:eastAsia="ko-KR"/>
        </w:rPr>
        <w:t xml:space="preserve"> pour le partage informel et direct des connaissances concernant les bonnes pratiques de sauvegarde. Différentes langues pourraient également être utilisées pour communiquer sur la plateforme grâce au mécanisme de traduction automatique. En outre, les bonnes pratiques de sauvegarde doivent être indexées, ce qui est également une exigence pour </w:t>
      </w:r>
      <w:r w:rsidR="00B151CF" w:rsidRPr="00AF0344">
        <w:rPr>
          <w:rFonts w:eastAsiaTheme="minorEastAsia"/>
          <w:lang w:val="fr-FR" w:eastAsia="ko-KR"/>
        </w:rPr>
        <w:t>la poursuite</w:t>
      </w:r>
      <w:r w:rsidRPr="00AF0344">
        <w:rPr>
          <w:rFonts w:eastAsiaTheme="minorEastAsia"/>
          <w:lang w:val="fr-FR" w:eastAsia="ko-KR"/>
        </w:rPr>
        <w:t xml:space="preserve"> </w:t>
      </w:r>
      <w:r w:rsidR="00B151CF" w:rsidRPr="00AF0344">
        <w:rPr>
          <w:rFonts w:eastAsiaTheme="minorEastAsia"/>
          <w:lang w:val="fr-FR" w:eastAsia="ko-KR"/>
        </w:rPr>
        <w:t xml:space="preserve">du </w:t>
      </w:r>
      <w:r w:rsidRPr="00AF0344">
        <w:rPr>
          <w:rFonts w:eastAsiaTheme="minorEastAsia"/>
          <w:lang w:val="fr-FR" w:eastAsia="ko-KR"/>
        </w:rPr>
        <w:t xml:space="preserve">développement du </w:t>
      </w:r>
      <w:r w:rsidR="00B06E90" w:rsidRPr="00AF0344">
        <w:rPr>
          <w:rFonts w:eastAsiaTheme="minorEastAsia"/>
          <w:lang w:val="fr-FR" w:eastAsia="ko-KR"/>
        </w:rPr>
        <w:t>R</w:t>
      </w:r>
      <w:r w:rsidRPr="00AF0344">
        <w:rPr>
          <w:rFonts w:eastAsiaTheme="minorEastAsia"/>
          <w:lang w:val="fr-FR" w:eastAsia="ko-KR"/>
        </w:rPr>
        <w:t>egistre.</w:t>
      </w:r>
    </w:p>
    <w:p w14:paraId="39E6D12B" w14:textId="67A71558" w:rsidR="00C06D4C" w:rsidRPr="00AF0344" w:rsidRDefault="00C06D4C" w:rsidP="00B70BC5">
      <w:pPr>
        <w:pStyle w:val="COMParabodytext"/>
        <w:numPr>
          <w:ilvl w:val="0"/>
          <w:numId w:val="18"/>
        </w:numPr>
        <w:ind w:left="567" w:hanging="567"/>
        <w:rPr>
          <w:rFonts w:eastAsiaTheme="minorEastAsia"/>
          <w:lang w:val="fr-FR" w:eastAsia="ko-KR"/>
        </w:rPr>
      </w:pPr>
      <w:r w:rsidRPr="00AF0344">
        <w:rPr>
          <w:rFonts w:eastAsiaTheme="minorEastAsia"/>
          <w:b/>
          <w:bCs/>
          <w:lang w:val="fr-FR" w:eastAsia="ko-KR"/>
        </w:rPr>
        <w:t>Participation des communautés</w:t>
      </w:r>
      <w:r w:rsidRPr="00AF0344">
        <w:rPr>
          <w:rFonts w:eastAsiaTheme="minorEastAsia"/>
          <w:lang w:val="fr-FR" w:eastAsia="ko-KR"/>
        </w:rPr>
        <w:t xml:space="preserve"> : </w:t>
      </w:r>
      <w:r w:rsidR="00896EAE">
        <w:rPr>
          <w:rFonts w:eastAsiaTheme="minorEastAsia"/>
          <w:lang w:val="fr-FR" w:eastAsia="ko-KR"/>
        </w:rPr>
        <w:t>Afin de</w:t>
      </w:r>
      <w:r w:rsidRPr="00AF0344">
        <w:rPr>
          <w:rFonts w:eastAsiaTheme="minorEastAsia"/>
          <w:lang w:val="fr-FR" w:eastAsia="ko-KR"/>
        </w:rPr>
        <w:t xml:space="preserve"> faciliter une large participation des communautés à l</w:t>
      </w:r>
      <w:r w:rsidR="001A0378">
        <w:rPr>
          <w:rFonts w:eastAsiaTheme="minorEastAsia"/>
          <w:lang w:val="fr-FR" w:eastAsia="ko-KR"/>
        </w:rPr>
        <w:t>’</w:t>
      </w:r>
      <w:r w:rsidRPr="00AF0344">
        <w:rPr>
          <w:rFonts w:eastAsiaTheme="minorEastAsia"/>
          <w:lang w:val="fr-FR" w:eastAsia="ko-KR"/>
        </w:rPr>
        <w:t>utilisation et à la modération d</w:t>
      </w:r>
      <w:r w:rsidR="001A0378">
        <w:rPr>
          <w:rFonts w:eastAsiaTheme="minorEastAsia"/>
          <w:lang w:val="fr-FR" w:eastAsia="ko-KR"/>
        </w:rPr>
        <w:t>’</w:t>
      </w:r>
      <w:r w:rsidRPr="00AF0344">
        <w:rPr>
          <w:rFonts w:eastAsiaTheme="minorEastAsia"/>
          <w:lang w:val="fr-FR" w:eastAsia="ko-KR"/>
        </w:rPr>
        <w:t>une plateforme en ligne : a) l</w:t>
      </w:r>
      <w:r w:rsidR="001A0378">
        <w:rPr>
          <w:rFonts w:eastAsiaTheme="minorEastAsia"/>
          <w:lang w:val="fr-FR" w:eastAsia="ko-KR"/>
        </w:rPr>
        <w:t>’</w:t>
      </w:r>
      <w:r w:rsidRPr="00AF0344">
        <w:rPr>
          <w:rFonts w:eastAsiaTheme="minorEastAsia"/>
          <w:lang w:val="fr-FR" w:eastAsia="ko-KR"/>
        </w:rPr>
        <w:t>utilisation des langues maternelles devrait être encouragée ; b) d</w:t>
      </w:r>
      <w:r w:rsidR="001A0378">
        <w:rPr>
          <w:rFonts w:eastAsiaTheme="minorEastAsia"/>
          <w:lang w:val="fr-FR" w:eastAsia="ko-KR"/>
        </w:rPr>
        <w:t>’</w:t>
      </w:r>
      <w:r w:rsidRPr="00AF0344">
        <w:rPr>
          <w:rFonts w:eastAsiaTheme="minorEastAsia"/>
          <w:lang w:val="fr-FR" w:eastAsia="ko-KR"/>
        </w:rPr>
        <w:t>autres modalités de communication telles que la télévision et la radio et d</w:t>
      </w:r>
      <w:r w:rsidR="001A0378">
        <w:rPr>
          <w:rFonts w:eastAsiaTheme="minorEastAsia"/>
          <w:lang w:val="fr-FR" w:eastAsia="ko-KR"/>
        </w:rPr>
        <w:t>’</w:t>
      </w:r>
      <w:r w:rsidRPr="00AF0344">
        <w:rPr>
          <w:rFonts w:eastAsiaTheme="minorEastAsia"/>
          <w:lang w:val="fr-FR" w:eastAsia="ko-KR"/>
        </w:rPr>
        <w:t xml:space="preserve">autres technologies analogiques et numériques pourraient être utilisées </w:t>
      </w:r>
      <w:r w:rsidR="00896EAE" w:rsidRPr="00896EAE">
        <w:rPr>
          <w:rFonts w:eastAsiaTheme="minorEastAsia"/>
          <w:lang w:val="fr-FR" w:eastAsia="ko-KR"/>
        </w:rPr>
        <w:t>en complément des outils en ligne de partage de l’information</w:t>
      </w:r>
      <w:r w:rsidRPr="00AF0344">
        <w:rPr>
          <w:rFonts w:eastAsiaTheme="minorEastAsia"/>
          <w:lang w:val="fr-FR" w:eastAsia="ko-KR"/>
        </w:rPr>
        <w:t xml:space="preserve"> ; et c) les possibilités pour les communautés de partager des événements planifiés par le biais d</w:t>
      </w:r>
      <w:r w:rsidR="001A0378">
        <w:rPr>
          <w:rFonts w:eastAsiaTheme="minorEastAsia"/>
          <w:lang w:val="fr-FR" w:eastAsia="ko-KR"/>
        </w:rPr>
        <w:t>’</w:t>
      </w:r>
      <w:r w:rsidRPr="00AF0344">
        <w:rPr>
          <w:rFonts w:eastAsiaTheme="minorEastAsia"/>
          <w:lang w:val="fr-FR" w:eastAsia="ko-KR"/>
        </w:rPr>
        <w:t>un calendrier  pourraient être prévues dans un espace en ligne. Dans le même esprit, afin d</w:t>
      </w:r>
      <w:r w:rsidR="001A0378">
        <w:rPr>
          <w:rFonts w:eastAsiaTheme="minorEastAsia"/>
          <w:lang w:val="fr-FR" w:eastAsia="ko-KR"/>
        </w:rPr>
        <w:t>’</w:t>
      </w:r>
      <w:r w:rsidRPr="00AF0344">
        <w:rPr>
          <w:rFonts w:eastAsiaTheme="minorEastAsia"/>
          <w:lang w:val="fr-FR" w:eastAsia="ko-KR"/>
        </w:rPr>
        <w:t>encourager la participation des communautés au partage des bonnes pratiques de sauvegarde, la réunion d</w:t>
      </w:r>
      <w:r w:rsidR="001A0378">
        <w:rPr>
          <w:rFonts w:eastAsiaTheme="minorEastAsia"/>
          <w:lang w:val="fr-FR" w:eastAsia="ko-KR"/>
        </w:rPr>
        <w:t>’</w:t>
      </w:r>
      <w:r w:rsidRPr="00AF0344">
        <w:rPr>
          <w:rFonts w:eastAsiaTheme="minorEastAsia"/>
          <w:lang w:val="fr-FR" w:eastAsia="ko-KR"/>
        </w:rPr>
        <w:t xml:space="preserve">experts de catégorie VI a également suggéré que le nom de la plateforme en ligne incorpore une terminologie dans une langue nationale </w:t>
      </w:r>
      <w:r w:rsidR="00541EAB" w:rsidRPr="00AF0344">
        <w:rPr>
          <w:rFonts w:eastAsiaTheme="minorEastAsia"/>
          <w:lang w:val="fr-FR" w:eastAsia="ko-KR"/>
        </w:rPr>
        <w:t>avec une signification</w:t>
      </w:r>
      <w:r w:rsidR="00681696" w:rsidRPr="00AF0344">
        <w:rPr>
          <w:rFonts w:eastAsiaTheme="minorEastAsia"/>
          <w:lang w:val="fr-FR" w:eastAsia="ko-KR"/>
        </w:rPr>
        <w:t xml:space="preserve"> </w:t>
      </w:r>
      <w:r w:rsidR="00541EAB" w:rsidRPr="00AF0344">
        <w:rPr>
          <w:rFonts w:eastAsiaTheme="minorEastAsia"/>
          <w:lang w:val="fr-FR" w:eastAsia="ko-KR"/>
        </w:rPr>
        <w:t>de</w:t>
      </w:r>
      <w:r w:rsidRPr="00AF0344">
        <w:rPr>
          <w:rFonts w:eastAsiaTheme="minorEastAsia"/>
          <w:lang w:val="fr-FR" w:eastAsia="ko-KR"/>
        </w:rPr>
        <w:t xml:space="preserve"> partage (par exemple, </w:t>
      </w:r>
      <w:r w:rsidR="00541EAB" w:rsidRPr="00AF0344">
        <w:rPr>
          <w:rFonts w:eastAsiaTheme="minorEastAsia"/>
          <w:lang w:val="fr-FR" w:eastAsia="ko-KR"/>
        </w:rPr>
        <w:t>« </w:t>
      </w:r>
      <w:proofErr w:type="spellStart"/>
      <w:r w:rsidRPr="00AF0344">
        <w:rPr>
          <w:rFonts w:eastAsiaTheme="minorEastAsia"/>
          <w:lang w:val="fr-FR" w:eastAsia="ko-KR"/>
        </w:rPr>
        <w:t>delning</w:t>
      </w:r>
      <w:proofErr w:type="spellEnd"/>
      <w:r w:rsidR="00541EAB" w:rsidRPr="00AF0344">
        <w:rPr>
          <w:rFonts w:eastAsiaTheme="minorEastAsia"/>
          <w:lang w:val="fr-FR" w:eastAsia="ko-KR"/>
        </w:rPr>
        <w:t> »</w:t>
      </w:r>
      <w:r w:rsidRPr="00AF0344">
        <w:rPr>
          <w:rFonts w:eastAsiaTheme="minorEastAsia"/>
          <w:lang w:val="fr-FR" w:eastAsia="ko-KR"/>
        </w:rPr>
        <w:t xml:space="preserve">en suédois, </w:t>
      </w:r>
      <w:r w:rsidR="00541EAB" w:rsidRPr="00AF0344">
        <w:rPr>
          <w:rFonts w:eastAsiaTheme="minorEastAsia"/>
          <w:lang w:val="fr-FR" w:eastAsia="ko-KR"/>
        </w:rPr>
        <w:t>« </w:t>
      </w:r>
      <w:proofErr w:type="spellStart"/>
      <w:r w:rsidRPr="00AF0344">
        <w:rPr>
          <w:rFonts w:eastAsiaTheme="minorEastAsia"/>
          <w:lang w:val="fr-FR" w:eastAsia="ko-KR"/>
        </w:rPr>
        <w:t>yirkonguii</w:t>
      </w:r>
      <w:proofErr w:type="spellEnd"/>
      <w:r w:rsidR="00541EAB" w:rsidRPr="00AF0344">
        <w:rPr>
          <w:rFonts w:eastAsiaTheme="minorEastAsia"/>
          <w:lang w:val="fr-FR" w:eastAsia="ko-KR"/>
        </w:rPr>
        <w:t> »</w:t>
      </w:r>
      <w:r w:rsidRPr="00AF0344">
        <w:rPr>
          <w:rFonts w:eastAsiaTheme="minorEastAsia"/>
          <w:lang w:val="fr-FR" w:eastAsia="ko-KR"/>
        </w:rPr>
        <w:t xml:space="preserve"> en </w:t>
      </w:r>
      <w:r w:rsidR="00541EAB" w:rsidRPr="00AF0344">
        <w:rPr>
          <w:rFonts w:eastAsiaTheme="minorEastAsia"/>
          <w:lang w:val="fr-FR" w:eastAsia="ko-KR"/>
        </w:rPr>
        <w:t>peul</w:t>
      </w:r>
      <w:r w:rsidRPr="00AF0344">
        <w:rPr>
          <w:rFonts w:eastAsiaTheme="minorEastAsia"/>
          <w:lang w:val="fr-FR" w:eastAsia="ko-KR"/>
        </w:rPr>
        <w:t xml:space="preserve">, </w:t>
      </w:r>
      <w:r w:rsidR="00541EAB" w:rsidRPr="00AF0344">
        <w:rPr>
          <w:rFonts w:eastAsiaTheme="minorEastAsia"/>
          <w:lang w:val="fr-FR" w:eastAsia="ko-KR"/>
        </w:rPr>
        <w:t>« </w:t>
      </w:r>
      <w:proofErr w:type="spellStart"/>
      <w:r w:rsidRPr="00AF0344">
        <w:rPr>
          <w:rFonts w:eastAsiaTheme="minorEastAsia"/>
          <w:lang w:val="fr-FR" w:eastAsia="ko-KR"/>
        </w:rPr>
        <w:t>shiriki</w:t>
      </w:r>
      <w:proofErr w:type="spellEnd"/>
      <w:r w:rsidR="00541EAB" w:rsidRPr="00AF0344">
        <w:rPr>
          <w:rFonts w:eastAsiaTheme="minorEastAsia"/>
          <w:lang w:val="fr-FR" w:eastAsia="ko-KR"/>
        </w:rPr>
        <w:t> »</w:t>
      </w:r>
      <w:r w:rsidRPr="00AF0344">
        <w:rPr>
          <w:rFonts w:eastAsiaTheme="minorEastAsia"/>
          <w:lang w:val="fr-FR" w:eastAsia="ko-KR"/>
        </w:rPr>
        <w:t xml:space="preserve"> en swahili).</w:t>
      </w:r>
    </w:p>
    <w:p w14:paraId="20AB9D29" w14:textId="5CF57EFD" w:rsidR="00C06D4C" w:rsidRPr="00AF0344" w:rsidRDefault="00C06D4C" w:rsidP="00B70BC5">
      <w:pPr>
        <w:pStyle w:val="COMParabodytext"/>
        <w:numPr>
          <w:ilvl w:val="0"/>
          <w:numId w:val="18"/>
        </w:numPr>
        <w:ind w:left="567" w:hanging="567"/>
        <w:rPr>
          <w:rFonts w:eastAsiaTheme="minorEastAsia"/>
          <w:lang w:val="fr-FR" w:eastAsia="ko-KR"/>
        </w:rPr>
      </w:pPr>
      <w:r w:rsidRPr="00AF0344">
        <w:rPr>
          <w:rFonts w:eastAsiaTheme="minorEastAsia"/>
          <w:b/>
          <w:bCs/>
          <w:lang w:val="fr-FR" w:eastAsia="ko-KR"/>
        </w:rPr>
        <w:t>Considérations éthiques</w:t>
      </w:r>
      <w:r w:rsidRPr="00AF0344">
        <w:rPr>
          <w:rFonts w:eastAsiaTheme="minorEastAsia"/>
          <w:lang w:val="fr-FR" w:eastAsia="ko-KR"/>
        </w:rPr>
        <w:t xml:space="preserve"> : La coopération avec les communautés, les groupes et, le cas échéant, les individus doit être fondée sur le plein respect des </w:t>
      </w:r>
      <w:hyperlink r:id="rId16" w:history="1">
        <w:r w:rsidRPr="00AF0344">
          <w:rPr>
            <w:rStyle w:val="Hyperlink"/>
            <w:rFonts w:eastAsiaTheme="minorEastAsia"/>
            <w:lang w:val="fr-FR" w:eastAsia="ko-KR"/>
          </w:rPr>
          <w:t>Principes éthiques</w:t>
        </w:r>
      </w:hyperlink>
      <w:r w:rsidRPr="00AF0344">
        <w:rPr>
          <w:rFonts w:eastAsiaTheme="minorEastAsia"/>
          <w:lang w:val="fr-FR" w:eastAsia="ko-KR"/>
        </w:rPr>
        <w:t xml:space="preserve"> pour la sauvegarde du patrimoine culturel immatériel ainsi que de la Déclaration universelle des droits de l</w:t>
      </w:r>
      <w:r w:rsidR="001A0378">
        <w:rPr>
          <w:rFonts w:eastAsiaTheme="minorEastAsia"/>
          <w:lang w:val="fr-FR" w:eastAsia="ko-KR"/>
        </w:rPr>
        <w:t>’</w:t>
      </w:r>
      <w:r w:rsidRPr="00AF0344">
        <w:rPr>
          <w:rFonts w:eastAsiaTheme="minorEastAsia"/>
          <w:lang w:val="fr-FR" w:eastAsia="ko-KR"/>
        </w:rPr>
        <w:t>homme (en particulier son article 27), avec une référence spécifique au principe du consentement libre, préalable</w:t>
      </w:r>
      <w:r w:rsidR="003A4FC0" w:rsidRPr="00AF0344">
        <w:rPr>
          <w:rFonts w:eastAsiaTheme="minorEastAsia"/>
          <w:lang w:val="fr-FR" w:eastAsia="ko-KR"/>
        </w:rPr>
        <w:t xml:space="preserve">, </w:t>
      </w:r>
      <w:r w:rsidR="003A4FC0" w:rsidRPr="009E493C">
        <w:rPr>
          <w:rFonts w:eastAsiaTheme="minorEastAsia"/>
          <w:lang w:val="fr-FR" w:eastAsia="ko-KR"/>
        </w:rPr>
        <w:t>durable</w:t>
      </w:r>
      <w:r w:rsidRPr="00AF0344">
        <w:rPr>
          <w:rFonts w:eastAsiaTheme="minorEastAsia"/>
          <w:lang w:val="fr-FR" w:eastAsia="ko-KR"/>
        </w:rPr>
        <w:t xml:space="preserve"> et éclairé. Le partage d</w:t>
      </w:r>
      <w:r w:rsidR="001A0378">
        <w:rPr>
          <w:rFonts w:eastAsiaTheme="minorEastAsia"/>
          <w:lang w:val="fr-FR" w:eastAsia="ko-KR"/>
        </w:rPr>
        <w:t>’</w:t>
      </w:r>
      <w:r w:rsidRPr="00AF0344">
        <w:rPr>
          <w:rFonts w:eastAsiaTheme="minorEastAsia"/>
          <w:lang w:val="fr-FR" w:eastAsia="ko-KR"/>
        </w:rPr>
        <w:t>images ou la diffusion d</w:t>
      </w:r>
      <w:r w:rsidR="001A0378">
        <w:rPr>
          <w:rFonts w:eastAsiaTheme="minorEastAsia"/>
          <w:lang w:val="fr-FR" w:eastAsia="ko-KR"/>
        </w:rPr>
        <w:t>’</w:t>
      </w:r>
      <w:r w:rsidRPr="00AF0344">
        <w:rPr>
          <w:rFonts w:eastAsiaTheme="minorEastAsia"/>
          <w:lang w:val="fr-FR" w:eastAsia="ko-KR"/>
        </w:rPr>
        <w:t>informations pouvant conduire à l</w:t>
      </w:r>
      <w:r w:rsidR="001A0378">
        <w:rPr>
          <w:rFonts w:eastAsiaTheme="minorEastAsia"/>
          <w:lang w:val="fr-FR" w:eastAsia="ko-KR"/>
        </w:rPr>
        <w:t>’</w:t>
      </w:r>
      <w:r w:rsidRPr="00AF0344">
        <w:rPr>
          <w:rFonts w:eastAsiaTheme="minorEastAsia"/>
          <w:lang w:val="fr-FR" w:eastAsia="ko-KR"/>
        </w:rPr>
        <w:t>identification d</w:t>
      </w:r>
      <w:r w:rsidR="001A0378">
        <w:rPr>
          <w:rFonts w:eastAsiaTheme="minorEastAsia"/>
          <w:lang w:val="fr-FR" w:eastAsia="ko-KR"/>
        </w:rPr>
        <w:t>’</w:t>
      </w:r>
      <w:r w:rsidRPr="00AF0344">
        <w:rPr>
          <w:rFonts w:eastAsiaTheme="minorEastAsia"/>
          <w:lang w:val="fr-FR" w:eastAsia="ko-KR"/>
        </w:rPr>
        <w:t>individus peut ne pas être approprié dans de nombreuses circonstances. Il peut être nécessaire d</w:t>
      </w:r>
      <w:r w:rsidR="001A0378">
        <w:rPr>
          <w:rFonts w:eastAsiaTheme="minorEastAsia"/>
          <w:lang w:val="fr-FR" w:eastAsia="ko-KR"/>
        </w:rPr>
        <w:t>’</w:t>
      </w:r>
      <w:r w:rsidRPr="00AF0344">
        <w:rPr>
          <w:rFonts w:eastAsiaTheme="minorEastAsia"/>
          <w:lang w:val="fr-FR" w:eastAsia="ko-KR"/>
        </w:rPr>
        <w:t>établir des lignes directrices spécifiquement axées sur le partage d</w:t>
      </w:r>
      <w:r w:rsidR="001A0378">
        <w:rPr>
          <w:rFonts w:eastAsiaTheme="minorEastAsia"/>
          <w:lang w:val="fr-FR" w:eastAsia="ko-KR"/>
        </w:rPr>
        <w:t>’</w:t>
      </w:r>
      <w:r w:rsidRPr="00AF0344">
        <w:rPr>
          <w:rFonts w:eastAsiaTheme="minorEastAsia"/>
          <w:lang w:val="fr-FR" w:eastAsia="ko-KR"/>
        </w:rPr>
        <w:t>informations en ligne.</w:t>
      </w:r>
    </w:p>
    <w:p w14:paraId="149B1C4C" w14:textId="518E076C" w:rsidR="00C06D4C" w:rsidRPr="00AF0344" w:rsidRDefault="00C06D4C" w:rsidP="00B70BC5">
      <w:pPr>
        <w:pStyle w:val="COMParabodytext"/>
        <w:numPr>
          <w:ilvl w:val="0"/>
          <w:numId w:val="18"/>
        </w:numPr>
        <w:ind w:left="567" w:hanging="567"/>
        <w:rPr>
          <w:rFonts w:eastAsiaTheme="minorEastAsia"/>
          <w:lang w:val="fr-FR" w:eastAsia="ko-KR"/>
        </w:rPr>
      </w:pPr>
      <w:r w:rsidRPr="00AF0344">
        <w:rPr>
          <w:rFonts w:eastAsiaTheme="minorEastAsia"/>
          <w:b/>
          <w:bCs/>
          <w:lang w:val="fr-FR" w:eastAsia="ko-KR"/>
        </w:rPr>
        <w:t xml:space="preserve">Une approche </w:t>
      </w:r>
      <w:r w:rsidR="00896EAE">
        <w:rPr>
          <w:rFonts w:eastAsiaTheme="minorEastAsia"/>
          <w:b/>
          <w:bCs/>
          <w:lang w:val="fr-FR" w:eastAsia="ko-KR"/>
        </w:rPr>
        <w:t>étape par étape</w:t>
      </w:r>
      <w:r w:rsidRPr="00AF0344">
        <w:rPr>
          <w:rFonts w:eastAsiaTheme="minorEastAsia"/>
          <w:lang w:val="fr-FR" w:eastAsia="ko-KR"/>
        </w:rPr>
        <w:t xml:space="preserve"> : La récente réunion d</w:t>
      </w:r>
      <w:r w:rsidR="001A0378">
        <w:rPr>
          <w:rFonts w:eastAsiaTheme="minorEastAsia"/>
          <w:lang w:val="fr-FR" w:eastAsia="ko-KR"/>
        </w:rPr>
        <w:t>’</w:t>
      </w:r>
      <w:r w:rsidRPr="00AF0344">
        <w:rPr>
          <w:rFonts w:eastAsiaTheme="minorEastAsia"/>
          <w:lang w:val="fr-FR" w:eastAsia="ko-KR"/>
        </w:rPr>
        <w:t>experts de la catégorie VI a fortement préconisé l</w:t>
      </w:r>
      <w:r w:rsidR="001A0378">
        <w:rPr>
          <w:rFonts w:eastAsiaTheme="minorEastAsia"/>
          <w:lang w:val="fr-FR" w:eastAsia="ko-KR"/>
        </w:rPr>
        <w:t>’</w:t>
      </w:r>
      <w:r w:rsidRPr="00AF0344">
        <w:rPr>
          <w:rFonts w:eastAsiaTheme="minorEastAsia"/>
          <w:lang w:val="fr-FR" w:eastAsia="ko-KR"/>
        </w:rPr>
        <w:t>adoption d</w:t>
      </w:r>
      <w:r w:rsidR="001A0378">
        <w:rPr>
          <w:rFonts w:eastAsiaTheme="minorEastAsia"/>
          <w:lang w:val="fr-FR" w:eastAsia="ko-KR"/>
        </w:rPr>
        <w:t>’</w:t>
      </w:r>
      <w:r w:rsidRPr="00AF0344">
        <w:rPr>
          <w:rFonts w:eastAsiaTheme="minorEastAsia"/>
          <w:lang w:val="fr-FR" w:eastAsia="ko-KR"/>
        </w:rPr>
        <w:t xml:space="preserve">une approche </w:t>
      </w:r>
      <w:r w:rsidR="00896EAE">
        <w:rPr>
          <w:rFonts w:eastAsiaTheme="minorEastAsia"/>
          <w:lang w:val="fr-FR" w:eastAsia="ko-KR"/>
        </w:rPr>
        <w:t xml:space="preserve">étape par étape </w:t>
      </w:r>
      <w:r w:rsidRPr="00AF0344">
        <w:rPr>
          <w:rFonts w:eastAsiaTheme="minorEastAsia"/>
          <w:lang w:val="fr-FR" w:eastAsia="ko-KR"/>
        </w:rPr>
        <w:t>lors de la création d</w:t>
      </w:r>
      <w:r w:rsidR="001A0378">
        <w:rPr>
          <w:rFonts w:eastAsiaTheme="minorEastAsia"/>
          <w:lang w:val="fr-FR" w:eastAsia="ko-KR"/>
        </w:rPr>
        <w:t>’</w:t>
      </w:r>
      <w:r w:rsidRPr="00AF0344">
        <w:rPr>
          <w:rFonts w:eastAsiaTheme="minorEastAsia"/>
          <w:lang w:val="fr-FR" w:eastAsia="ko-KR"/>
        </w:rPr>
        <w:t xml:space="preserve">une plateforme en ligne pour le partage de bonnes pratiques de sauvegarde (pour plus de détails, voir le </w:t>
      </w:r>
      <w:hyperlink r:id="rId17" w:history="1">
        <w:r w:rsidRPr="00AF0344">
          <w:rPr>
            <w:rStyle w:val="Hyperlink"/>
            <w:rFonts w:eastAsiaTheme="minorEastAsia"/>
            <w:lang w:val="fr-FR" w:eastAsia="ko-KR"/>
          </w:rPr>
          <w:t>rapport</w:t>
        </w:r>
      </w:hyperlink>
      <w:r w:rsidRPr="00AF0344">
        <w:rPr>
          <w:rFonts w:eastAsiaTheme="minorEastAsia"/>
          <w:lang w:val="fr-FR" w:eastAsia="ko-KR"/>
        </w:rPr>
        <w:t xml:space="preserve"> du groupe de </w:t>
      </w:r>
      <w:r w:rsidR="00896EAE">
        <w:rPr>
          <w:rFonts w:eastAsiaTheme="minorEastAsia"/>
          <w:lang w:val="fr-FR" w:eastAsia="ko-KR"/>
        </w:rPr>
        <w:t>travail</w:t>
      </w:r>
      <w:r w:rsidRPr="00AF0344">
        <w:rPr>
          <w:rFonts w:eastAsiaTheme="minorEastAsia"/>
          <w:lang w:val="fr-FR" w:eastAsia="ko-KR"/>
        </w:rPr>
        <w:t xml:space="preserve"> B </w:t>
      </w:r>
      <w:r w:rsidR="00896EAE">
        <w:rPr>
          <w:rFonts w:eastAsiaTheme="minorEastAsia"/>
          <w:lang w:val="fr-FR" w:eastAsia="ko-KR"/>
        </w:rPr>
        <w:t>pour</w:t>
      </w:r>
      <w:r w:rsidRPr="00AF0344">
        <w:rPr>
          <w:rFonts w:eastAsiaTheme="minorEastAsia"/>
          <w:lang w:val="fr-FR" w:eastAsia="ko-KR"/>
        </w:rPr>
        <w:t xml:space="preserve"> le </w:t>
      </w:r>
      <w:r w:rsidR="00896EAE">
        <w:rPr>
          <w:rFonts w:eastAsiaTheme="minorEastAsia"/>
          <w:lang w:val="fr-FR" w:eastAsia="ko-KR"/>
        </w:rPr>
        <w:t xml:space="preserve">sujet </w:t>
      </w:r>
      <w:r w:rsidRPr="00AF0344">
        <w:rPr>
          <w:rFonts w:eastAsiaTheme="minorEastAsia"/>
          <w:lang w:val="fr-FR" w:eastAsia="ko-KR"/>
        </w:rPr>
        <w:t xml:space="preserve">2). Pour commencer le processus, la page </w:t>
      </w:r>
      <w:r w:rsidR="00896EAE">
        <w:rPr>
          <w:rFonts w:eastAsiaTheme="minorEastAsia"/>
          <w:lang w:val="fr-FR" w:eastAsia="ko-KR"/>
        </w:rPr>
        <w:t>Internet</w:t>
      </w:r>
      <w:r w:rsidRPr="00AF0344">
        <w:rPr>
          <w:rFonts w:eastAsiaTheme="minorEastAsia"/>
          <w:lang w:val="fr-FR" w:eastAsia="ko-KR"/>
        </w:rPr>
        <w:t xml:space="preserve"> existante de la Convention pourrait être utilisée pour mettre en évidence les bonnes pratiques de sauvegarde déjà incluses dans les documents existants (tels que les programmes existants sélectionnés dans le Registre, les plans de sauvegarde dans les </w:t>
      </w:r>
      <w:r w:rsidR="00AA1EA8" w:rsidRPr="00AF0344">
        <w:rPr>
          <w:rFonts w:eastAsiaTheme="minorEastAsia"/>
          <w:lang w:val="fr-FR" w:eastAsia="ko-KR"/>
        </w:rPr>
        <w:t>candidatures</w:t>
      </w:r>
      <w:r w:rsidRPr="00AF0344">
        <w:rPr>
          <w:rFonts w:eastAsiaTheme="minorEastAsia"/>
          <w:lang w:val="fr-FR" w:eastAsia="ko-KR"/>
        </w:rPr>
        <w:t xml:space="preserve">, y compris les éléments transférés de la Liste de sauvegarde urgente </w:t>
      </w:r>
      <w:r w:rsidR="00AA1EA8" w:rsidRPr="00AF0344">
        <w:rPr>
          <w:rFonts w:eastAsiaTheme="minorEastAsia"/>
          <w:lang w:val="fr-FR" w:eastAsia="ko-KR"/>
        </w:rPr>
        <w:t>vers</w:t>
      </w:r>
      <w:r w:rsidRPr="00AF0344">
        <w:rPr>
          <w:rFonts w:eastAsiaTheme="minorEastAsia"/>
          <w:lang w:val="fr-FR" w:eastAsia="ko-KR"/>
        </w:rPr>
        <w:t xml:space="preserve"> la Liste représentative, les exemples tirés des rapports périodiques et des projets d</w:t>
      </w:r>
      <w:r w:rsidR="001A0378">
        <w:rPr>
          <w:rFonts w:eastAsiaTheme="minorEastAsia"/>
          <w:lang w:val="fr-FR" w:eastAsia="ko-KR"/>
        </w:rPr>
        <w:t>’</w:t>
      </w:r>
      <w:r w:rsidRPr="00AF0344">
        <w:rPr>
          <w:rFonts w:eastAsiaTheme="minorEastAsia"/>
          <w:lang w:val="fr-FR" w:eastAsia="ko-KR"/>
        </w:rPr>
        <w:t>assistance internationale). Une fois l</w:t>
      </w:r>
      <w:r w:rsidR="001A0378">
        <w:rPr>
          <w:rFonts w:eastAsiaTheme="minorEastAsia"/>
          <w:lang w:val="fr-FR" w:eastAsia="ko-KR"/>
        </w:rPr>
        <w:t>’</w:t>
      </w:r>
      <w:r w:rsidRPr="00AF0344">
        <w:rPr>
          <w:rFonts w:eastAsiaTheme="minorEastAsia"/>
          <w:lang w:val="fr-FR" w:eastAsia="ko-KR"/>
        </w:rPr>
        <w:t xml:space="preserve">étape initiale franchie avec succès, la plateforme pourrait être développée </w:t>
      </w:r>
      <w:r w:rsidR="00127C3E" w:rsidRPr="00AF0344">
        <w:rPr>
          <w:rFonts w:eastAsiaTheme="minorEastAsia"/>
          <w:lang w:val="fr-FR" w:eastAsia="ko-KR"/>
        </w:rPr>
        <w:t xml:space="preserve">davantage </w:t>
      </w:r>
      <w:r w:rsidRPr="00AF0344">
        <w:rPr>
          <w:rFonts w:eastAsiaTheme="minorEastAsia"/>
          <w:lang w:val="fr-FR" w:eastAsia="ko-KR"/>
        </w:rPr>
        <w:t>en tant que plateforme entièrement interactive, offrant un moyen facilement accessible de partager et de générer des connaissances et des expériences sur les bonnes pratiques de sauvegarde parmi les communautés et les autres parties prenantes.</w:t>
      </w:r>
    </w:p>
    <w:p w14:paraId="328EB168" w14:textId="744ECF44" w:rsidR="00C06D4C" w:rsidRPr="00AF0344" w:rsidRDefault="00C06D4C" w:rsidP="00C06D4C">
      <w:pPr>
        <w:pStyle w:val="COMPara"/>
        <w:rPr>
          <w:rFonts w:eastAsiaTheme="minorEastAsia"/>
          <w:u w:val="single"/>
          <w:lang w:val="fr-FR" w:eastAsia="ko-KR"/>
        </w:rPr>
      </w:pPr>
      <w:r w:rsidRPr="00AF0344">
        <w:rPr>
          <w:rFonts w:eastAsiaTheme="minorEastAsia"/>
          <w:u w:val="single"/>
          <w:lang w:val="fr-FR" w:eastAsia="ko-KR"/>
        </w:rPr>
        <w:t xml:space="preserve">Point de discussion </w:t>
      </w:r>
      <w:r w:rsidR="00D23279">
        <w:rPr>
          <w:rFonts w:eastAsiaTheme="minorEastAsia"/>
          <w:u w:val="single"/>
          <w:lang w:val="fr-FR" w:eastAsia="ko-KR"/>
        </w:rPr>
        <w:t>7</w:t>
      </w:r>
      <w:r w:rsidRPr="00AF0344">
        <w:rPr>
          <w:rFonts w:eastAsiaTheme="minorEastAsia"/>
          <w:u w:val="single"/>
          <w:lang w:val="fr-FR" w:eastAsia="ko-KR"/>
        </w:rPr>
        <w:t xml:space="preserve"> : </w:t>
      </w:r>
      <w:r w:rsidR="00127C3E" w:rsidRPr="00AF0344">
        <w:rPr>
          <w:rFonts w:eastAsiaTheme="minorEastAsia"/>
          <w:u w:val="single"/>
          <w:lang w:val="fr-FR" w:eastAsia="ko-KR"/>
        </w:rPr>
        <w:t>O</w:t>
      </w:r>
      <w:r w:rsidRPr="00AF0344">
        <w:rPr>
          <w:rFonts w:eastAsiaTheme="minorEastAsia"/>
          <w:u w:val="single"/>
          <w:lang w:val="fr-FR" w:eastAsia="ko-KR"/>
        </w:rPr>
        <w:t>rganisation administrative et implications financières et opérationnelles</w:t>
      </w:r>
    </w:p>
    <w:p w14:paraId="2738AD43" w14:textId="5B5C44F8" w:rsidR="00C06D4C" w:rsidRPr="00AF0344" w:rsidRDefault="00C06D4C" w:rsidP="00B70BC5">
      <w:pPr>
        <w:pStyle w:val="COMParabodytext"/>
        <w:numPr>
          <w:ilvl w:val="0"/>
          <w:numId w:val="18"/>
        </w:numPr>
        <w:ind w:left="567" w:hanging="567"/>
        <w:rPr>
          <w:rFonts w:eastAsiaTheme="minorEastAsia"/>
          <w:lang w:val="fr-FR" w:eastAsia="ko-KR"/>
        </w:rPr>
      </w:pPr>
      <w:r w:rsidRPr="00AF0344">
        <w:rPr>
          <w:rFonts w:eastAsiaTheme="minorEastAsia"/>
          <w:lang w:val="fr-FR" w:eastAsia="ko-KR"/>
        </w:rPr>
        <w:t>Il va sans dire qu</w:t>
      </w:r>
      <w:r w:rsidR="001A0378">
        <w:rPr>
          <w:rFonts w:eastAsiaTheme="minorEastAsia"/>
          <w:lang w:val="fr-FR" w:eastAsia="ko-KR"/>
        </w:rPr>
        <w:t>’</w:t>
      </w:r>
      <w:r w:rsidRPr="00AF0344">
        <w:rPr>
          <w:rFonts w:eastAsiaTheme="minorEastAsia"/>
          <w:lang w:val="fr-FR" w:eastAsia="ko-KR"/>
        </w:rPr>
        <w:t>une clarification est nécessaire en ce qui concerne l</w:t>
      </w:r>
      <w:r w:rsidR="001A0378">
        <w:rPr>
          <w:rFonts w:eastAsiaTheme="minorEastAsia"/>
          <w:lang w:val="fr-FR" w:eastAsia="ko-KR"/>
        </w:rPr>
        <w:t>’</w:t>
      </w:r>
      <w:r w:rsidRPr="00AF0344">
        <w:rPr>
          <w:rFonts w:eastAsiaTheme="minorEastAsia"/>
          <w:lang w:val="fr-FR" w:eastAsia="ko-KR"/>
        </w:rPr>
        <w:t>organisation administrative possible ainsi que les implications financières et opérationnelles d</w:t>
      </w:r>
      <w:r w:rsidR="001A0378">
        <w:rPr>
          <w:rFonts w:eastAsiaTheme="minorEastAsia"/>
          <w:lang w:val="fr-FR" w:eastAsia="ko-KR"/>
        </w:rPr>
        <w:t>’</w:t>
      </w:r>
      <w:r w:rsidRPr="00AF0344">
        <w:rPr>
          <w:rFonts w:eastAsiaTheme="minorEastAsia"/>
          <w:lang w:val="fr-FR" w:eastAsia="ko-KR"/>
        </w:rPr>
        <w:t xml:space="preserve">une telle plateforme en ligne. Un plan de base pourrait consister à établir la plateforme sur une base mondiale avec des </w:t>
      </w:r>
      <w:r w:rsidR="00127C3E" w:rsidRPr="00AF0344">
        <w:rPr>
          <w:rFonts w:eastAsiaTheme="minorEastAsia"/>
          <w:lang w:val="fr-FR" w:eastAsia="ko-KR"/>
        </w:rPr>
        <w:t>« </w:t>
      </w:r>
      <w:r w:rsidRPr="00AF0344">
        <w:rPr>
          <w:rFonts w:eastAsiaTheme="minorEastAsia"/>
          <w:lang w:val="fr-FR" w:eastAsia="ko-KR"/>
        </w:rPr>
        <w:t>salles</w:t>
      </w:r>
      <w:r w:rsidR="00127C3E" w:rsidRPr="00AF0344">
        <w:rPr>
          <w:rFonts w:eastAsiaTheme="minorEastAsia"/>
          <w:lang w:val="fr-FR" w:eastAsia="ko-KR"/>
        </w:rPr>
        <w:t xml:space="preserve"> » </w:t>
      </w:r>
      <w:r w:rsidRPr="00AF0344">
        <w:rPr>
          <w:rFonts w:eastAsiaTheme="minorEastAsia"/>
          <w:lang w:val="fr-FR" w:eastAsia="ko-KR"/>
        </w:rPr>
        <w:t xml:space="preserve">régionales, impliquant toutes les parties prenantes de la Convention. </w:t>
      </w:r>
      <w:r w:rsidR="00127C3E" w:rsidRPr="00AF0344">
        <w:rPr>
          <w:rFonts w:eastAsiaTheme="minorEastAsia"/>
          <w:lang w:val="fr-FR" w:eastAsia="ko-KR"/>
        </w:rPr>
        <w:t>De telles</w:t>
      </w:r>
      <w:r w:rsidRPr="00AF0344">
        <w:rPr>
          <w:rFonts w:eastAsiaTheme="minorEastAsia"/>
          <w:lang w:val="fr-FR" w:eastAsia="ko-KR"/>
        </w:rPr>
        <w:t xml:space="preserve"> considérations administratives devraient prendre en compte les décisions, basées sur la pleine participation des praticiens et autres détenteurs de traditions, concernant la manière dont une plateforme en ligne serait mise en place et </w:t>
      </w:r>
      <w:r w:rsidR="00127C3E" w:rsidRPr="00AF0344">
        <w:rPr>
          <w:rFonts w:eastAsiaTheme="minorEastAsia"/>
          <w:lang w:val="fr-FR" w:eastAsia="ko-KR"/>
        </w:rPr>
        <w:t>entretenue</w:t>
      </w:r>
      <w:r w:rsidRPr="00AF0344">
        <w:rPr>
          <w:rFonts w:eastAsiaTheme="minorEastAsia"/>
          <w:lang w:val="fr-FR" w:eastAsia="ko-KR"/>
        </w:rPr>
        <w:t>.</w:t>
      </w:r>
    </w:p>
    <w:p w14:paraId="0BE03D22" w14:textId="2B6975D7" w:rsidR="00C06D4C" w:rsidRPr="00AF0344" w:rsidRDefault="00C06D4C" w:rsidP="00B1273B">
      <w:pPr>
        <w:pStyle w:val="COMParabodytext"/>
        <w:numPr>
          <w:ilvl w:val="0"/>
          <w:numId w:val="18"/>
        </w:numPr>
        <w:ind w:left="567" w:hanging="567"/>
        <w:rPr>
          <w:rFonts w:eastAsiaTheme="minorEastAsia"/>
          <w:lang w:val="fr-FR" w:eastAsia="ko-KR"/>
        </w:rPr>
      </w:pPr>
      <w:r w:rsidRPr="00AF0344">
        <w:rPr>
          <w:rFonts w:eastAsiaTheme="minorEastAsia"/>
          <w:lang w:val="fr-FR" w:eastAsia="ko-KR"/>
        </w:rPr>
        <w:t>Une analyse préliminaire montre que la mise en place initiale d</w:t>
      </w:r>
      <w:r w:rsidR="001A0378">
        <w:rPr>
          <w:rFonts w:eastAsiaTheme="minorEastAsia"/>
          <w:lang w:val="fr-FR" w:eastAsia="ko-KR"/>
        </w:rPr>
        <w:t>’</w:t>
      </w:r>
      <w:r w:rsidRPr="00AF0344">
        <w:rPr>
          <w:rFonts w:eastAsiaTheme="minorEastAsia"/>
          <w:lang w:val="fr-FR" w:eastAsia="ko-KR"/>
        </w:rPr>
        <w:t>une plate-forme en ligne</w:t>
      </w:r>
      <w:r w:rsidR="00E5777B">
        <w:rPr>
          <w:rFonts w:eastAsiaTheme="minorEastAsia"/>
          <w:lang w:val="fr-FR" w:eastAsia="ko-KR"/>
        </w:rPr>
        <w:t xml:space="preserve"> </w:t>
      </w:r>
      <w:r w:rsidR="00E5777B" w:rsidRPr="009E493C">
        <w:rPr>
          <w:rFonts w:eastAsiaTheme="minorEastAsia"/>
          <w:lang w:val="fr-FR" w:eastAsia="ko-KR"/>
        </w:rPr>
        <w:t xml:space="preserve">(laquelle </w:t>
      </w:r>
      <w:r w:rsidR="00E5777B">
        <w:rPr>
          <w:rFonts w:eastAsiaTheme="minorEastAsia"/>
          <w:lang w:val="fr-FR" w:eastAsia="ko-KR"/>
        </w:rPr>
        <w:t xml:space="preserve">devrait être </w:t>
      </w:r>
      <w:r w:rsidR="00E5777B" w:rsidRPr="009E493C">
        <w:rPr>
          <w:rFonts w:eastAsiaTheme="minorEastAsia"/>
          <w:lang w:val="fr-FR" w:eastAsia="ko-KR"/>
        </w:rPr>
        <w:t>établie au sein du Secrétariat</w:t>
      </w:r>
      <w:r w:rsidR="00E5777B" w:rsidRPr="00AF0344">
        <w:rPr>
          <w:rFonts w:eastAsiaTheme="minorEastAsia"/>
          <w:lang w:val="fr-FR" w:eastAsia="ko-KR"/>
        </w:rPr>
        <w:t>)</w:t>
      </w:r>
      <w:r w:rsidRPr="00AF0344">
        <w:rPr>
          <w:rFonts w:eastAsiaTheme="minorEastAsia"/>
          <w:lang w:val="fr-FR" w:eastAsia="ko-KR"/>
        </w:rPr>
        <w:t xml:space="preserve">, sur une période de six mois, nécessiterait un </w:t>
      </w:r>
      <w:r w:rsidRPr="008F38AA">
        <w:rPr>
          <w:rFonts w:eastAsiaTheme="minorEastAsia"/>
          <w:u w:val="single"/>
          <w:lang w:val="fr-FR" w:eastAsia="ko-KR"/>
        </w:rPr>
        <w:t xml:space="preserve">budget </w:t>
      </w:r>
      <w:r w:rsidR="00896EAE">
        <w:rPr>
          <w:rFonts w:eastAsiaTheme="minorEastAsia"/>
          <w:u w:val="single"/>
          <w:lang w:val="fr-FR" w:eastAsia="ko-KR"/>
        </w:rPr>
        <w:t>ponctuel</w:t>
      </w:r>
      <w:r w:rsidRPr="008F38AA">
        <w:rPr>
          <w:rFonts w:eastAsiaTheme="minorEastAsia"/>
          <w:u w:val="single"/>
          <w:lang w:val="fr-FR" w:eastAsia="ko-KR"/>
        </w:rPr>
        <w:t xml:space="preserve"> de 300</w:t>
      </w:r>
      <w:r w:rsidR="00906FAC" w:rsidRPr="008F38AA">
        <w:rPr>
          <w:rFonts w:eastAsiaTheme="minorEastAsia"/>
          <w:u w:val="single"/>
          <w:lang w:val="fr-FR" w:eastAsia="ko-KR"/>
        </w:rPr>
        <w:t> </w:t>
      </w:r>
      <w:r w:rsidRPr="008F38AA">
        <w:rPr>
          <w:rFonts w:eastAsiaTheme="minorEastAsia"/>
          <w:u w:val="single"/>
          <w:lang w:val="fr-FR" w:eastAsia="ko-KR"/>
        </w:rPr>
        <w:t>000 dollars des États-Unis</w:t>
      </w:r>
      <w:r w:rsidRPr="00AF0344">
        <w:rPr>
          <w:rFonts w:eastAsiaTheme="minorEastAsia"/>
          <w:lang w:val="fr-FR" w:eastAsia="ko-KR"/>
        </w:rPr>
        <w:t xml:space="preserve">, essentiellement pour les développements informatiques, la préparation du contenu et les tests initiaux du système. Une fois mise en place, le fonctionnement de la plateforme nécessiterait un </w:t>
      </w:r>
      <w:r w:rsidRPr="008F38AA">
        <w:rPr>
          <w:rFonts w:eastAsiaTheme="minorEastAsia"/>
          <w:u w:val="single"/>
          <w:lang w:val="fr-FR" w:eastAsia="ko-KR"/>
        </w:rPr>
        <w:t xml:space="preserve">budget annuel de </w:t>
      </w:r>
      <w:r w:rsidRPr="008F38AA">
        <w:rPr>
          <w:rFonts w:eastAsiaTheme="minorEastAsia"/>
          <w:u w:val="single"/>
          <w:lang w:val="fr-FR" w:eastAsia="ko-KR"/>
        </w:rPr>
        <w:lastRenderedPageBreak/>
        <w:t>500</w:t>
      </w:r>
      <w:r w:rsidR="00E5777B">
        <w:rPr>
          <w:rFonts w:eastAsiaTheme="minorEastAsia"/>
          <w:u w:val="single"/>
          <w:lang w:val="fr-FR" w:eastAsia="ko-KR"/>
        </w:rPr>
        <w:t> </w:t>
      </w:r>
      <w:r w:rsidRPr="008F38AA">
        <w:rPr>
          <w:rFonts w:eastAsiaTheme="minorEastAsia"/>
          <w:u w:val="single"/>
          <w:lang w:val="fr-FR" w:eastAsia="ko-KR"/>
        </w:rPr>
        <w:t xml:space="preserve">000 </w:t>
      </w:r>
      <w:r w:rsidR="00B1273B" w:rsidRPr="008F38AA">
        <w:rPr>
          <w:rFonts w:eastAsiaTheme="minorEastAsia"/>
          <w:u w:val="single"/>
          <w:lang w:val="fr-FR" w:eastAsia="ko-KR"/>
        </w:rPr>
        <w:t>dollars des États-Unis</w:t>
      </w:r>
      <w:r w:rsidRPr="00AF0344">
        <w:rPr>
          <w:rFonts w:eastAsiaTheme="minorEastAsia"/>
          <w:lang w:val="fr-FR" w:eastAsia="ko-KR"/>
        </w:rPr>
        <w:t>, afin de fournir une large gamme de services pour soutenir le partage de bonnes expériences de sauvegarde. Le budget comprendrait des contrats pour des développeurs informatiques externes, le temps de travail du personnel de l</w:t>
      </w:r>
      <w:r w:rsidR="001A0378">
        <w:rPr>
          <w:rFonts w:eastAsiaTheme="minorEastAsia"/>
          <w:lang w:val="fr-FR" w:eastAsia="ko-KR"/>
        </w:rPr>
        <w:t>’</w:t>
      </w:r>
      <w:r w:rsidRPr="00AF0344">
        <w:rPr>
          <w:rFonts w:eastAsiaTheme="minorEastAsia"/>
          <w:lang w:val="fr-FR" w:eastAsia="ko-KR"/>
        </w:rPr>
        <w:t>UNESCO pour un responsable informatique à mi-temps au niveau</w:t>
      </w:r>
      <w:r w:rsidR="00B1273B" w:rsidRPr="00AF0344">
        <w:rPr>
          <w:rFonts w:eastAsiaTheme="minorEastAsia"/>
          <w:lang w:val="fr-FR" w:eastAsia="ko-KR"/>
        </w:rPr>
        <w:t xml:space="preserve"> P-3 </w:t>
      </w:r>
      <w:r w:rsidRPr="00AF0344">
        <w:rPr>
          <w:rFonts w:eastAsiaTheme="minorEastAsia"/>
          <w:lang w:val="fr-FR" w:eastAsia="ko-KR"/>
        </w:rPr>
        <w:t>, un coordinateur de contenu à temps plein au niveau P-3, deux assistants à temps plein au niveau G-4</w:t>
      </w:r>
      <w:r w:rsidR="00B1273B" w:rsidRPr="00AF0344">
        <w:rPr>
          <w:rFonts w:eastAsiaTheme="minorEastAsia"/>
          <w:lang w:val="fr-FR" w:eastAsia="ko-KR"/>
        </w:rPr>
        <w:t>,</w:t>
      </w:r>
      <w:r w:rsidRPr="00AF0344">
        <w:rPr>
          <w:rFonts w:eastAsiaTheme="minorEastAsia"/>
          <w:lang w:val="fr-FR" w:eastAsia="ko-KR"/>
        </w:rPr>
        <w:t xml:space="preserve"> </w:t>
      </w:r>
      <w:r w:rsidR="00E5777B">
        <w:rPr>
          <w:rFonts w:eastAsiaTheme="minorEastAsia"/>
          <w:lang w:val="fr-FR" w:eastAsia="ko-KR"/>
        </w:rPr>
        <w:t xml:space="preserve">et </w:t>
      </w:r>
      <w:r w:rsidRPr="00AF0344">
        <w:rPr>
          <w:rFonts w:eastAsiaTheme="minorEastAsia"/>
          <w:lang w:val="fr-FR" w:eastAsia="ko-KR"/>
        </w:rPr>
        <w:t>des ressources pour entreprendre des activités visant à encourager le partage de bonnes expériences de sauvegarde et pour coordonner le développement du contenu avec les parties prenantes de la Convention ; ainsi que la traduction, l</w:t>
      </w:r>
      <w:r w:rsidR="001A0378">
        <w:rPr>
          <w:rFonts w:eastAsiaTheme="minorEastAsia"/>
          <w:lang w:val="fr-FR" w:eastAsia="ko-KR"/>
        </w:rPr>
        <w:t>’</w:t>
      </w:r>
      <w:r w:rsidRPr="00AF0344">
        <w:rPr>
          <w:rFonts w:eastAsiaTheme="minorEastAsia"/>
          <w:lang w:val="fr-FR" w:eastAsia="ko-KR"/>
        </w:rPr>
        <w:t>équipement et d</w:t>
      </w:r>
      <w:r w:rsidR="001A0378">
        <w:rPr>
          <w:rFonts w:eastAsiaTheme="minorEastAsia"/>
          <w:lang w:val="fr-FR" w:eastAsia="ko-KR"/>
        </w:rPr>
        <w:t>’</w:t>
      </w:r>
      <w:r w:rsidRPr="00AF0344">
        <w:rPr>
          <w:rFonts w:eastAsiaTheme="minorEastAsia"/>
          <w:lang w:val="fr-FR" w:eastAsia="ko-KR"/>
        </w:rPr>
        <w:t>autres exigences administratives.</w:t>
      </w:r>
      <w:r w:rsidR="00CC4780" w:rsidRPr="00AF0344">
        <w:rPr>
          <w:rFonts w:eastAsiaTheme="minorEastAsia"/>
          <w:lang w:val="fr-FR" w:eastAsia="ko-KR"/>
        </w:rPr>
        <w:t xml:space="preserve"> </w:t>
      </w:r>
      <w:r w:rsidR="00B1273B" w:rsidRPr="00AF0344">
        <w:rPr>
          <w:rFonts w:eastAsiaTheme="minorEastAsia"/>
          <w:lang w:val="fr-FR" w:eastAsia="ko-KR"/>
        </w:rPr>
        <w:t>Il convient de noter que c</w:t>
      </w:r>
      <w:r w:rsidRPr="00AF0344">
        <w:rPr>
          <w:rFonts w:eastAsiaTheme="minorEastAsia"/>
          <w:lang w:val="fr-FR" w:eastAsia="ko-KR"/>
        </w:rPr>
        <w:t>e scénario nécessiterait une dotation durable en personnel au sein du Secrétariat pour assurer le service de la plateforme en ligne de manière fiable.</w:t>
      </w:r>
    </w:p>
    <w:p w14:paraId="153C0DDE" w14:textId="3B946024" w:rsidR="00CC4780" w:rsidRPr="00AF0344" w:rsidRDefault="00C06D4C" w:rsidP="00CC4780">
      <w:pPr>
        <w:pStyle w:val="COMParabodytext"/>
        <w:numPr>
          <w:ilvl w:val="0"/>
          <w:numId w:val="18"/>
        </w:numPr>
        <w:ind w:left="567" w:hanging="567"/>
        <w:rPr>
          <w:rFonts w:eastAsiaTheme="minorEastAsia"/>
          <w:lang w:val="fr-FR" w:eastAsia="ko-KR"/>
        </w:rPr>
      </w:pPr>
      <w:r w:rsidRPr="00AF0344">
        <w:rPr>
          <w:rFonts w:eastAsiaTheme="minorEastAsia"/>
          <w:lang w:val="fr-FR" w:eastAsia="ko-KR"/>
        </w:rPr>
        <w:t>La réunion d</w:t>
      </w:r>
      <w:r w:rsidR="001A0378">
        <w:rPr>
          <w:rFonts w:eastAsiaTheme="minorEastAsia"/>
          <w:lang w:val="fr-FR" w:eastAsia="ko-KR"/>
        </w:rPr>
        <w:t>’</w:t>
      </w:r>
      <w:r w:rsidRPr="00AF0344">
        <w:rPr>
          <w:rFonts w:eastAsiaTheme="minorEastAsia"/>
          <w:lang w:val="fr-FR" w:eastAsia="ko-KR"/>
        </w:rPr>
        <w:t>experts de catégorie VI a également proposé la création d</w:t>
      </w:r>
      <w:r w:rsidR="001A0378">
        <w:rPr>
          <w:rFonts w:eastAsiaTheme="minorEastAsia"/>
          <w:lang w:val="fr-FR" w:eastAsia="ko-KR"/>
        </w:rPr>
        <w:t>’</w:t>
      </w:r>
      <w:r w:rsidRPr="00AF0344">
        <w:rPr>
          <w:rFonts w:eastAsiaTheme="minorEastAsia"/>
          <w:lang w:val="fr-FR" w:eastAsia="ko-KR"/>
        </w:rPr>
        <w:t xml:space="preserve">un groupe consultatif chargé de superviser la mise en place et le fonctionnement de la plate-forme. Ce groupe consultatif pourrait être composé de membres sélectionnés par le Comité, représentant des experts </w:t>
      </w:r>
      <w:r w:rsidR="001735CA" w:rsidRPr="00AF0344">
        <w:rPr>
          <w:rFonts w:eastAsiaTheme="minorEastAsia"/>
          <w:lang w:val="fr-FR" w:eastAsia="ko-KR"/>
        </w:rPr>
        <w:t>des communautés</w:t>
      </w:r>
      <w:r w:rsidRPr="00AF0344">
        <w:rPr>
          <w:rFonts w:eastAsiaTheme="minorEastAsia"/>
          <w:lang w:val="fr-FR" w:eastAsia="ko-KR"/>
        </w:rPr>
        <w:t xml:space="preserve"> et des personnes contact </w:t>
      </w:r>
      <w:r w:rsidR="001735CA" w:rsidRPr="00AF0344">
        <w:rPr>
          <w:rFonts w:eastAsiaTheme="minorEastAsia"/>
          <w:lang w:val="fr-FR" w:eastAsia="ko-KR"/>
        </w:rPr>
        <w:t xml:space="preserve">des </w:t>
      </w:r>
      <w:r w:rsidRPr="00AF0344">
        <w:rPr>
          <w:rFonts w:eastAsiaTheme="minorEastAsia"/>
          <w:lang w:val="fr-FR" w:eastAsia="ko-KR"/>
        </w:rPr>
        <w:t>communaut</w:t>
      </w:r>
      <w:r w:rsidR="001735CA" w:rsidRPr="00AF0344">
        <w:rPr>
          <w:rFonts w:eastAsiaTheme="minorEastAsia"/>
          <w:lang w:val="fr-FR" w:eastAsia="ko-KR"/>
        </w:rPr>
        <w:t>és</w:t>
      </w:r>
      <w:r w:rsidRPr="00AF0344">
        <w:rPr>
          <w:rFonts w:eastAsiaTheme="minorEastAsia"/>
          <w:lang w:val="fr-FR" w:eastAsia="ko-KR"/>
        </w:rPr>
        <w:t xml:space="preserve"> pour les éléments inscrits et les pratiques sélectionnées, ainsi que des représentants des centres de catégorie</w:t>
      </w:r>
      <w:r w:rsidR="00BF3050">
        <w:rPr>
          <w:rFonts w:eastAsiaTheme="minorEastAsia"/>
          <w:lang w:val="fr-FR" w:eastAsia="ko-KR"/>
        </w:rPr>
        <w:t> </w:t>
      </w:r>
      <w:r w:rsidRPr="00AF0344">
        <w:rPr>
          <w:rFonts w:eastAsiaTheme="minorEastAsia"/>
          <w:lang w:val="fr-FR" w:eastAsia="ko-KR"/>
        </w:rPr>
        <w:t xml:space="preserve">2, du </w:t>
      </w:r>
      <w:r w:rsidR="00BF3050">
        <w:rPr>
          <w:rFonts w:eastAsiaTheme="minorEastAsia"/>
          <w:lang w:val="fr-FR" w:eastAsia="ko-KR"/>
        </w:rPr>
        <w:t>F</w:t>
      </w:r>
      <w:r w:rsidRPr="00AF0344">
        <w:rPr>
          <w:rFonts w:eastAsiaTheme="minorEastAsia"/>
          <w:lang w:val="fr-FR" w:eastAsia="ko-KR"/>
        </w:rPr>
        <w:t>orum des ONG du PCI et des chaires UNESCO. Les points focaux nationaux pour les rapports périodiques et les représentants des communautés pourraient conseiller le Secrétariat ou une équipe technique à mettre en place au sein d</w:t>
      </w:r>
      <w:r w:rsidR="001A0378">
        <w:rPr>
          <w:rFonts w:eastAsiaTheme="minorEastAsia"/>
          <w:lang w:val="fr-FR" w:eastAsia="ko-KR"/>
        </w:rPr>
        <w:t>’</w:t>
      </w:r>
      <w:r w:rsidRPr="00AF0344">
        <w:rPr>
          <w:rFonts w:eastAsiaTheme="minorEastAsia"/>
          <w:lang w:val="fr-FR" w:eastAsia="ko-KR"/>
        </w:rPr>
        <w:t>une institution hôte sur la création et le fonctionnement de la plateforme en ligne pour la mise en œuvre de l</w:t>
      </w:r>
      <w:r w:rsidR="001A0378">
        <w:rPr>
          <w:rFonts w:eastAsiaTheme="minorEastAsia"/>
          <w:lang w:val="fr-FR" w:eastAsia="ko-KR"/>
        </w:rPr>
        <w:t>’</w:t>
      </w:r>
      <w:r w:rsidRPr="00AF0344">
        <w:rPr>
          <w:rFonts w:eastAsiaTheme="minorEastAsia"/>
          <w:lang w:val="fr-FR" w:eastAsia="ko-KR"/>
        </w:rPr>
        <w:t>article 18.</w:t>
      </w:r>
    </w:p>
    <w:p w14:paraId="2DB68C57" w14:textId="1476623E" w:rsidR="00CC4780" w:rsidRPr="00AF0344" w:rsidRDefault="004A49BB" w:rsidP="00BF3050">
      <w:pPr>
        <w:pStyle w:val="COMPara"/>
        <w:spacing w:before="240"/>
        <w:ind w:left="0" w:firstLine="0"/>
        <w:jc w:val="both"/>
        <w:rPr>
          <w:rFonts w:eastAsiaTheme="minorEastAsia"/>
          <w:b/>
          <w:bCs/>
          <w:lang w:val="fr-FR" w:eastAsia="ko-KR"/>
        </w:rPr>
      </w:pPr>
      <w:r w:rsidRPr="00AF0344">
        <w:rPr>
          <w:rFonts w:eastAsiaTheme="minorEastAsia"/>
          <w:b/>
          <w:bCs/>
          <w:lang w:val="fr-FR" w:eastAsia="ko-KR"/>
        </w:rPr>
        <w:t>Sujet</w:t>
      </w:r>
      <w:r w:rsidR="00CC4780" w:rsidRPr="00AF0344">
        <w:rPr>
          <w:rFonts w:eastAsiaTheme="minorEastAsia"/>
          <w:b/>
          <w:bCs/>
          <w:lang w:val="fr-FR" w:eastAsia="ko-KR"/>
        </w:rPr>
        <w:t xml:space="preserve"> 3 : </w:t>
      </w:r>
      <w:r w:rsidRPr="00AF0344">
        <w:rPr>
          <w:rFonts w:eastAsiaTheme="minorEastAsia"/>
          <w:b/>
          <w:bCs/>
          <w:lang w:val="fr-FR" w:eastAsia="ko-KR"/>
        </w:rPr>
        <w:t xml:space="preserve">Toute </w:t>
      </w:r>
      <w:proofErr w:type="spellStart"/>
      <w:r w:rsidRPr="00BF3050">
        <w:rPr>
          <w:b/>
          <w:bCs/>
        </w:rPr>
        <w:t>a</w:t>
      </w:r>
      <w:r w:rsidR="00CC4780" w:rsidRPr="00BF3050">
        <w:rPr>
          <w:b/>
          <w:bCs/>
        </w:rPr>
        <w:t>utre</w:t>
      </w:r>
      <w:proofErr w:type="spellEnd"/>
      <w:r w:rsidR="00CC4780" w:rsidRPr="00AF0344">
        <w:rPr>
          <w:rFonts w:eastAsiaTheme="minorEastAsia"/>
          <w:b/>
          <w:bCs/>
          <w:lang w:val="fr-FR" w:eastAsia="ko-KR"/>
        </w:rPr>
        <w:t xml:space="preserve"> question</w:t>
      </w:r>
    </w:p>
    <w:p w14:paraId="1B20EC54" w14:textId="016326B7" w:rsidR="00CC4780" w:rsidRPr="00AF0344" w:rsidRDefault="00CC4780" w:rsidP="00CC4780">
      <w:pPr>
        <w:pStyle w:val="COMParabodytext"/>
        <w:numPr>
          <w:ilvl w:val="0"/>
          <w:numId w:val="18"/>
        </w:numPr>
        <w:ind w:left="567" w:hanging="567"/>
        <w:rPr>
          <w:rFonts w:eastAsiaTheme="minorEastAsia"/>
          <w:lang w:val="fr-FR" w:eastAsia="ko-KR"/>
        </w:rPr>
      </w:pPr>
      <w:r w:rsidRPr="00AF0344">
        <w:rPr>
          <w:rFonts w:eastAsiaTheme="minorEastAsia"/>
          <w:lang w:val="fr-FR" w:eastAsia="ko-KR"/>
        </w:rPr>
        <w:t>La réunion d</w:t>
      </w:r>
      <w:r w:rsidR="001A0378">
        <w:rPr>
          <w:rFonts w:eastAsiaTheme="minorEastAsia"/>
          <w:lang w:val="fr-FR" w:eastAsia="ko-KR"/>
        </w:rPr>
        <w:t>’</w:t>
      </w:r>
      <w:r w:rsidRPr="00AF0344">
        <w:rPr>
          <w:rFonts w:eastAsiaTheme="minorEastAsia"/>
          <w:lang w:val="fr-FR" w:eastAsia="ko-KR"/>
        </w:rPr>
        <w:t>experts de catégorie VI a soumis les questions suivantes à l</w:t>
      </w:r>
      <w:r w:rsidR="001A0378">
        <w:rPr>
          <w:rFonts w:eastAsiaTheme="minorEastAsia"/>
          <w:lang w:val="fr-FR" w:eastAsia="ko-KR"/>
        </w:rPr>
        <w:t>’</w:t>
      </w:r>
      <w:r w:rsidRPr="00AF0344">
        <w:rPr>
          <w:rFonts w:eastAsiaTheme="minorEastAsia"/>
          <w:lang w:val="fr-FR" w:eastAsia="ko-KR"/>
        </w:rPr>
        <w:t>examen du groupe de travail :</w:t>
      </w:r>
    </w:p>
    <w:p w14:paraId="591721B7" w14:textId="6F75F834" w:rsidR="00CC4780" w:rsidRPr="00BF3050" w:rsidRDefault="00BF3050" w:rsidP="00BF3050">
      <w:pPr>
        <w:pStyle w:val="Marge"/>
        <w:tabs>
          <w:tab w:val="clear" w:pos="567"/>
        </w:tabs>
        <w:spacing w:before="120" w:after="120"/>
        <w:ind w:left="1134" w:hanging="567"/>
        <w:rPr>
          <w:rFonts w:cs="Arial"/>
        </w:rPr>
      </w:pPr>
      <w:r>
        <w:rPr>
          <w:rFonts w:cs="Arial"/>
        </w:rPr>
        <w:t xml:space="preserve">a) </w:t>
      </w:r>
      <w:r>
        <w:rPr>
          <w:rFonts w:cs="Arial"/>
        </w:rPr>
        <w:tab/>
      </w:r>
      <w:r w:rsidR="00CC4780" w:rsidRPr="00BF3050">
        <w:rPr>
          <w:rFonts w:cs="Arial"/>
        </w:rPr>
        <w:t xml:space="preserve">Ressources : Des ressources financières supplémentaires, </w:t>
      </w:r>
      <w:r>
        <w:rPr>
          <w:rFonts w:cs="Arial"/>
        </w:rPr>
        <w:t>en complément du</w:t>
      </w:r>
      <w:r w:rsidR="00CC4780" w:rsidRPr="00BF3050">
        <w:rPr>
          <w:rFonts w:cs="Arial"/>
        </w:rPr>
        <w:t xml:space="preserve"> mécanisme d</w:t>
      </w:r>
      <w:r w:rsidR="001A0378" w:rsidRPr="00BF3050">
        <w:rPr>
          <w:rFonts w:cs="Arial"/>
        </w:rPr>
        <w:t>’</w:t>
      </w:r>
      <w:r w:rsidR="00CC4780" w:rsidRPr="00BF3050">
        <w:rPr>
          <w:rFonts w:cs="Arial"/>
        </w:rPr>
        <w:t>assistance internationale, doivent être mises à la disposition des communautés pour les aider à préparer, mettre en œuvre et assurer le suivi des programmes, projets et activités refl</w:t>
      </w:r>
      <w:r w:rsidR="004E0267" w:rsidRPr="00BF3050">
        <w:rPr>
          <w:rFonts w:cs="Arial"/>
        </w:rPr>
        <w:t>é</w:t>
      </w:r>
      <w:r w:rsidR="00CC4780" w:rsidRPr="00BF3050">
        <w:rPr>
          <w:rFonts w:cs="Arial"/>
        </w:rPr>
        <w:t>t</w:t>
      </w:r>
      <w:r w:rsidR="001735CA" w:rsidRPr="00BF3050">
        <w:rPr>
          <w:rFonts w:cs="Arial"/>
        </w:rPr>
        <w:t>a</w:t>
      </w:r>
      <w:r w:rsidR="00CC4780" w:rsidRPr="00BF3050">
        <w:rPr>
          <w:rFonts w:cs="Arial"/>
        </w:rPr>
        <w:t>nt le mieux les principes de la Convention.</w:t>
      </w:r>
    </w:p>
    <w:p w14:paraId="65261340" w14:textId="4B820EC0" w:rsidR="002E2F53" w:rsidRPr="00BF3050" w:rsidRDefault="00CC4780" w:rsidP="00BF3050">
      <w:pPr>
        <w:pStyle w:val="COMPara"/>
        <w:ind w:left="1134"/>
        <w:jc w:val="both"/>
        <w:rPr>
          <w:lang w:val="fr-FR"/>
        </w:rPr>
      </w:pPr>
      <w:r w:rsidRPr="00BF3050">
        <w:rPr>
          <w:lang w:val="fr-FR"/>
        </w:rPr>
        <w:t>b</w:t>
      </w:r>
      <w:r w:rsidR="00BF3050" w:rsidRPr="00BF3050">
        <w:rPr>
          <w:lang w:val="fr-FR"/>
        </w:rPr>
        <w:t>)</w:t>
      </w:r>
      <w:r w:rsidR="00BF3050">
        <w:rPr>
          <w:lang w:val="fr-FR"/>
        </w:rPr>
        <w:tab/>
      </w:r>
      <w:r w:rsidRPr="00BF3050">
        <w:rPr>
          <w:lang w:val="fr-FR"/>
        </w:rPr>
        <w:t>Des initiatives spécifiques visant à sensibiliser à la portée de l</w:t>
      </w:r>
      <w:r w:rsidR="001A0378" w:rsidRPr="00BF3050">
        <w:rPr>
          <w:lang w:val="fr-FR"/>
        </w:rPr>
        <w:t>’</w:t>
      </w:r>
      <w:r w:rsidRPr="00BF3050">
        <w:rPr>
          <w:lang w:val="fr-FR"/>
        </w:rPr>
        <w:t xml:space="preserve">article 18, y compris les avantages du Registre, pourraient être </w:t>
      </w:r>
      <w:r w:rsidR="00BF3050">
        <w:rPr>
          <w:lang w:val="fr-FR"/>
        </w:rPr>
        <w:t>menées</w:t>
      </w:r>
      <w:r w:rsidRPr="00BF3050">
        <w:rPr>
          <w:lang w:val="fr-FR"/>
        </w:rPr>
        <w:t xml:space="preserve"> pour reconnaître les efforts de sauvegarde de</w:t>
      </w:r>
      <w:r w:rsidR="003C5D0A" w:rsidRPr="00BF3050">
        <w:rPr>
          <w:lang w:val="fr-FR"/>
        </w:rPr>
        <w:t>s</w:t>
      </w:r>
      <w:r w:rsidRPr="00BF3050">
        <w:rPr>
          <w:lang w:val="fr-FR"/>
        </w:rPr>
        <w:t xml:space="preserve"> communauté</w:t>
      </w:r>
      <w:r w:rsidR="003C5D0A" w:rsidRPr="00BF3050">
        <w:rPr>
          <w:lang w:val="fr-FR"/>
        </w:rPr>
        <w:t>s</w:t>
      </w:r>
      <w:r w:rsidRPr="00BF3050">
        <w:rPr>
          <w:lang w:val="fr-FR"/>
        </w:rPr>
        <w:t>, par exemple : a) prix, récompenses, labels ou certifications pour les pratiques de sauvegarde, mis en place sur une base non compétitive ; et b) les journées de</w:t>
      </w:r>
      <w:r w:rsidR="00BF3050">
        <w:rPr>
          <w:lang w:val="fr-FR"/>
        </w:rPr>
        <w:t>s</w:t>
      </w:r>
      <w:r w:rsidRPr="00BF3050">
        <w:rPr>
          <w:lang w:val="fr-FR"/>
        </w:rPr>
        <w:t xml:space="preserve"> </w:t>
      </w:r>
      <w:r w:rsidR="003C5D0A" w:rsidRPr="00BF3050">
        <w:rPr>
          <w:lang w:val="fr-FR"/>
        </w:rPr>
        <w:t>« </w:t>
      </w:r>
      <w:r w:rsidRPr="00BF3050">
        <w:rPr>
          <w:lang w:val="fr-FR"/>
        </w:rPr>
        <w:t>bonnes pratiques de sauvegarde</w:t>
      </w:r>
      <w:r w:rsidR="003C5D0A" w:rsidRPr="00BF3050">
        <w:rPr>
          <w:lang w:val="fr-FR"/>
        </w:rPr>
        <w:t> »</w:t>
      </w:r>
      <w:r w:rsidRPr="00BF3050">
        <w:rPr>
          <w:lang w:val="fr-FR"/>
        </w:rPr>
        <w:t>.</w:t>
      </w:r>
    </w:p>
    <w:sectPr w:rsidR="002E2F53" w:rsidRPr="00BF3050" w:rsidSect="00655736">
      <w:headerReference w:type="even" r:id="rId18"/>
      <w:headerReference w:type="default" r:id="rId19"/>
      <w:headerReference w:type="first" r:id="rId20"/>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F2C9A" w14:textId="77777777" w:rsidR="00993211" w:rsidRDefault="00993211" w:rsidP="00655736">
      <w:r>
        <w:separator/>
      </w:r>
    </w:p>
    <w:p w14:paraId="5B4ED301" w14:textId="77777777" w:rsidR="00993211" w:rsidRDefault="00993211"/>
    <w:p w14:paraId="7A01BD01" w14:textId="77777777" w:rsidR="00993211" w:rsidRDefault="00993211" w:rsidP="002E58D4"/>
    <w:p w14:paraId="2FBCCD65" w14:textId="77777777" w:rsidR="00993211" w:rsidRDefault="00993211" w:rsidP="002E58D4"/>
    <w:p w14:paraId="7920633F" w14:textId="77777777" w:rsidR="00993211" w:rsidRDefault="00993211" w:rsidP="002E58D4"/>
  </w:endnote>
  <w:endnote w:type="continuationSeparator" w:id="0">
    <w:p w14:paraId="24714F7C" w14:textId="77777777" w:rsidR="00993211" w:rsidRDefault="00993211" w:rsidP="00655736">
      <w:r>
        <w:continuationSeparator/>
      </w:r>
    </w:p>
    <w:p w14:paraId="2A031586" w14:textId="77777777" w:rsidR="00993211" w:rsidRDefault="00993211"/>
    <w:p w14:paraId="535D8879" w14:textId="77777777" w:rsidR="00993211" w:rsidRDefault="00993211" w:rsidP="002E58D4"/>
    <w:p w14:paraId="46497F25" w14:textId="77777777" w:rsidR="00993211" w:rsidRDefault="00993211" w:rsidP="002E58D4"/>
    <w:p w14:paraId="0C9F8B95" w14:textId="77777777" w:rsidR="00993211" w:rsidRDefault="00993211" w:rsidP="002E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9410C" w14:textId="77777777" w:rsidR="00993211" w:rsidRDefault="00993211" w:rsidP="00655736">
      <w:r>
        <w:separator/>
      </w:r>
    </w:p>
  </w:footnote>
  <w:footnote w:type="continuationSeparator" w:id="0">
    <w:p w14:paraId="0E96A285" w14:textId="77777777" w:rsidR="00993211" w:rsidRDefault="00993211" w:rsidP="00655736">
      <w:r>
        <w:continuationSeparator/>
      </w:r>
    </w:p>
    <w:p w14:paraId="43E57DAA" w14:textId="77777777" w:rsidR="00993211" w:rsidRDefault="00993211"/>
    <w:p w14:paraId="5612C92F" w14:textId="77777777" w:rsidR="00993211" w:rsidRDefault="00993211" w:rsidP="002E58D4"/>
    <w:p w14:paraId="29BCF587" w14:textId="77777777" w:rsidR="00993211" w:rsidRDefault="00993211" w:rsidP="002E58D4"/>
    <w:p w14:paraId="512413A2" w14:textId="77777777" w:rsidR="00993211" w:rsidRDefault="00993211" w:rsidP="002E58D4"/>
  </w:footnote>
  <w:footnote w:id="1">
    <w:p w14:paraId="4342BE5C" w14:textId="59AF654F" w:rsidR="00834496" w:rsidRDefault="00834496" w:rsidP="008F38AA">
      <w:pPr>
        <w:pStyle w:val="FootnoteText"/>
        <w:ind w:left="567" w:hanging="567"/>
        <w:jc w:val="both"/>
      </w:pPr>
      <w:r>
        <w:rPr>
          <w:rStyle w:val="FootnoteReference"/>
        </w:rPr>
        <w:footnoteRef/>
      </w:r>
      <w:r>
        <w:t xml:space="preserve"> </w:t>
      </w:r>
      <w:r>
        <w:tab/>
      </w:r>
      <w:r w:rsidRPr="008F38AA">
        <w:rPr>
          <w:rFonts w:ascii="Arial" w:hAnsi="Arial" w:cs="Arial"/>
          <w:sz w:val="18"/>
          <w:szCs w:val="18"/>
        </w:rPr>
        <w:t xml:space="preserve">En outre, les experts ont estimé que </w:t>
      </w:r>
      <w:r w:rsidR="00FF5379">
        <w:rPr>
          <w:rFonts w:ascii="Arial" w:hAnsi="Arial" w:cs="Arial"/>
          <w:sz w:val="18"/>
          <w:szCs w:val="18"/>
        </w:rPr>
        <w:t>« </w:t>
      </w:r>
      <w:r w:rsidR="0090504C">
        <w:rPr>
          <w:rFonts w:ascii="Arial" w:hAnsi="Arial" w:cs="Arial"/>
          <w:sz w:val="18"/>
          <w:szCs w:val="18"/>
        </w:rPr>
        <w:t>L</w:t>
      </w:r>
      <w:r w:rsidRPr="008F38AA">
        <w:rPr>
          <w:rFonts w:ascii="Arial" w:hAnsi="Arial" w:cs="Arial"/>
          <w:sz w:val="18"/>
          <w:szCs w:val="18"/>
        </w:rPr>
        <w:t xml:space="preserve">a poursuite </w:t>
      </w:r>
      <w:r w:rsidR="0090504C" w:rsidRPr="0090504C">
        <w:rPr>
          <w:rFonts w:ascii="Arial" w:hAnsi="Arial" w:cs="Arial"/>
          <w:sz w:val="18"/>
          <w:szCs w:val="18"/>
        </w:rPr>
        <w:t>de la mise en œuvre de l’article 18 doit être étudiée globalement, lorsque cela est possible, et en faisant référence aux dispositions existantes des Directives opérationnelles (paragraphes 3 à 7, 9(c), 10, 12, 14, 20.1, 21(b), 27, 42 à 46, 70, 80(c), 96(c), 106, 107, 118, 121 et 123), au CGR de la Convention avec ses thématiques, au mécanisme des rapports périodiques réformé pour s’aligner sur le CGR, aux Principes éthiques pour la sauvegarde du patrimoine culturel immatériel, ainsi qu’aux mécanismes de coopération internationale de la Convention tels que le système d’inscription sur les listes et l’assistance internationale</w:t>
      </w:r>
      <w:r w:rsidR="00FF5379">
        <w:rPr>
          <w:rFonts w:ascii="Arial" w:hAnsi="Arial" w:cs="Arial"/>
          <w:sz w:val="18"/>
          <w:szCs w:val="18"/>
        </w:rPr>
        <w:t> »</w:t>
      </w:r>
      <w:r w:rsidRPr="008F38AA">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5C5C" w14:textId="6550AEFA" w:rsidR="006B5001" w:rsidRPr="002E58D4" w:rsidRDefault="000A3579" w:rsidP="00461168">
    <w:pPr>
      <w:pStyle w:val="Header"/>
      <w:rPr>
        <w:rFonts w:ascii="Arial" w:hAnsi="Arial" w:cs="Arial"/>
        <w:lang w:val="en-US"/>
      </w:rPr>
    </w:pPr>
    <w:r>
      <w:rPr>
        <w:rFonts w:ascii="Arial" w:hAnsi="Arial" w:cs="Arial"/>
        <w:sz w:val="20"/>
        <w:szCs w:val="20"/>
        <w:lang w:val="en-US"/>
      </w:rPr>
      <w:t xml:space="preserve">LHE/23/18.COM WG ART18/3 </w:t>
    </w:r>
    <w:r w:rsidR="00D23279">
      <w:rPr>
        <w:rFonts w:ascii="Arial" w:hAnsi="Arial" w:cs="Arial"/>
        <w:sz w:val="20"/>
        <w:szCs w:val="20"/>
        <w:lang w:val="en-US"/>
      </w:rPr>
      <w:t>R</w:t>
    </w:r>
    <w:r w:rsidR="005408FB">
      <w:rPr>
        <w:rFonts w:ascii="Arial" w:hAnsi="Arial" w:cs="Arial"/>
        <w:sz w:val="20"/>
        <w:szCs w:val="20"/>
        <w:lang w:val="en-US"/>
      </w:rPr>
      <w:t>ev.</w:t>
    </w:r>
    <w:r w:rsidR="00E9376C" w:rsidRPr="00EF563B">
      <w:rPr>
        <w:rFonts w:ascii="Arial" w:hAnsi="Arial" w:cs="Arial"/>
        <w:sz w:val="20"/>
        <w:szCs w:val="20"/>
        <w:lang w:val="en-US"/>
      </w:rPr>
      <w:t xml:space="preserve"> – page </w:t>
    </w:r>
    <w:r w:rsidR="00E9376C" w:rsidRPr="00EF563B">
      <w:rPr>
        <w:rStyle w:val="PageNumber"/>
        <w:rFonts w:ascii="Arial" w:hAnsi="Arial" w:cs="Arial"/>
        <w:sz w:val="20"/>
        <w:szCs w:val="20"/>
      </w:rPr>
      <w:fldChar w:fldCharType="begin"/>
    </w:r>
    <w:r w:rsidR="00E9376C" w:rsidRPr="00EF563B">
      <w:rPr>
        <w:rStyle w:val="PageNumber"/>
        <w:rFonts w:ascii="Arial" w:hAnsi="Arial" w:cs="Arial"/>
        <w:sz w:val="20"/>
        <w:szCs w:val="20"/>
        <w:lang w:val="en-US"/>
      </w:rPr>
      <w:instrText xml:space="preserve"> </w:instrText>
    </w:r>
    <w:r w:rsidR="00E9376C">
      <w:rPr>
        <w:rStyle w:val="PageNumber"/>
        <w:rFonts w:ascii="Arial" w:hAnsi="Arial" w:cs="Arial"/>
        <w:sz w:val="20"/>
        <w:szCs w:val="20"/>
        <w:lang w:val="en-US"/>
      </w:rPr>
      <w:instrText>PAGE</w:instrText>
    </w:r>
    <w:r w:rsidR="00E9376C" w:rsidRPr="00EF563B">
      <w:rPr>
        <w:rStyle w:val="PageNumber"/>
        <w:rFonts w:ascii="Arial" w:hAnsi="Arial" w:cs="Arial"/>
        <w:sz w:val="20"/>
        <w:szCs w:val="20"/>
        <w:lang w:val="en-US"/>
      </w:rPr>
      <w:instrText xml:space="preserve"> </w:instrText>
    </w:r>
    <w:r w:rsidR="00E9376C" w:rsidRPr="00EF563B">
      <w:rPr>
        <w:rStyle w:val="PageNumber"/>
        <w:rFonts w:ascii="Arial" w:hAnsi="Arial" w:cs="Arial"/>
        <w:sz w:val="20"/>
        <w:szCs w:val="20"/>
      </w:rPr>
      <w:fldChar w:fldCharType="separate"/>
    </w:r>
    <w:r w:rsidR="009B223B">
      <w:rPr>
        <w:rStyle w:val="PageNumber"/>
        <w:rFonts w:ascii="Arial" w:hAnsi="Arial" w:cs="Arial"/>
        <w:noProof/>
        <w:sz w:val="20"/>
        <w:szCs w:val="20"/>
        <w:lang w:val="en-US"/>
      </w:rPr>
      <w:t>2</w:t>
    </w:r>
    <w:r w:rsidR="00E9376C" w:rsidRPr="00EF563B">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0CBE" w14:textId="0DED9B5A" w:rsidR="006B5001" w:rsidRPr="00BC3420" w:rsidRDefault="000A3579" w:rsidP="00461168">
    <w:pPr>
      <w:pStyle w:val="Header"/>
      <w:jc w:val="right"/>
      <w:rPr>
        <w:rFonts w:ascii="Arial" w:hAnsi="Arial" w:cs="Arial"/>
        <w:lang w:val="en-US"/>
      </w:rPr>
    </w:pPr>
    <w:r>
      <w:rPr>
        <w:rFonts w:ascii="Arial" w:hAnsi="Arial" w:cs="Arial"/>
        <w:sz w:val="20"/>
        <w:szCs w:val="20"/>
        <w:lang w:val="en-US"/>
      </w:rPr>
      <w:t xml:space="preserve">LHE/23/18.COM WG ART18/3 </w:t>
    </w:r>
    <w:r w:rsidR="00D23279">
      <w:rPr>
        <w:rFonts w:ascii="Arial" w:hAnsi="Arial" w:cs="Arial"/>
        <w:sz w:val="20"/>
        <w:szCs w:val="20"/>
        <w:lang w:val="en-US"/>
      </w:rPr>
      <w:t>R</w:t>
    </w:r>
    <w:r w:rsidR="005408FB">
      <w:rPr>
        <w:rFonts w:ascii="Arial" w:hAnsi="Arial" w:cs="Arial"/>
        <w:sz w:val="20"/>
        <w:szCs w:val="20"/>
        <w:lang w:val="en-US"/>
      </w:rPr>
      <w:t>ev.</w:t>
    </w:r>
    <w:r w:rsidR="002C0D14" w:rsidRPr="00EF563B">
      <w:rPr>
        <w:rFonts w:ascii="Arial" w:hAnsi="Arial" w:cs="Arial"/>
        <w:sz w:val="20"/>
        <w:szCs w:val="20"/>
        <w:lang w:val="en-US"/>
      </w:rPr>
      <w:t xml:space="preserve"> – page </w:t>
    </w:r>
    <w:r w:rsidR="002C0D14" w:rsidRPr="00EF563B">
      <w:rPr>
        <w:rStyle w:val="PageNumber"/>
        <w:rFonts w:ascii="Arial" w:hAnsi="Arial" w:cs="Arial"/>
        <w:sz w:val="20"/>
        <w:szCs w:val="20"/>
      </w:rPr>
      <w:fldChar w:fldCharType="begin"/>
    </w:r>
    <w:r w:rsidR="002C0D14" w:rsidRPr="00EF563B">
      <w:rPr>
        <w:rStyle w:val="PageNumber"/>
        <w:rFonts w:ascii="Arial" w:hAnsi="Arial" w:cs="Arial"/>
        <w:sz w:val="20"/>
        <w:szCs w:val="20"/>
        <w:lang w:val="en-US"/>
      </w:rPr>
      <w:instrText xml:space="preserve"> </w:instrText>
    </w:r>
    <w:r w:rsidR="002C0D14">
      <w:rPr>
        <w:rStyle w:val="PageNumber"/>
        <w:rFonts w:ascii="Arial" w:hAnsi="Arial" w:cs="Arial"/>
        <w:sz w:val="20"/>
        <w:szCs w:val="20"/>
        <w:lang w:val="en-US"/>
      </w:rPr>
      <w:instrText>PAGE</w:instrText>
    </w:r>
    <w:r w:rsidR="002C0D14" w:rsidRPr="00EF563B">
      <w:rPr>
        <w:rStyle w:val="PageNumber"/>
        <w:rFonts w:ascii="Arial" w:hAnsi="Arial" w:cs="Arial"/>
        <w:sz w:val="20"/>
        <w:szCs w:val="20"/>
        <w:lang w:val="en-US"/>
      </w:rPr>
      <w:instrText xml:space="preserve"> </w:instrText>
    </w:r>
    <w:r w:rsidR="002C0D14" w:rsidRPr="00EF563B">
      <w:rPr>
        <w:rStyle w:val="PageNumber"/>
        <w:rFonts w:ascii="Arial" w:hAnsi="Arial" w:cs="Arial"/>
        <w:sz w:val="20"/>
        <w:szCs w:val="20"/>
      </w:rPr>
      <w:fldChar w:fldCharType="separate"/>
    </w:r>
    <w:r w:rsidR="007C354B">
      <w:rPr>
        <w:rStyle w:val="PageNumber"/>
        <w:rFonts w:ascii="Arial" w:hAnsi="Arial" w:cs="Arial"/>
        <w:noProof/>
        <w:sz w:val="20"/>
        <w:szCs w:val="20"/>
        <w:lang w:val="en-US"/>
      </w:rPr>
      <w:t>3</w:t>
    </w:r>
    <w:r w:rsidR="002C0D14"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E5A4" w14:textId="645F339E" w:rsidR="00E9376C" w:rsidRPr="008B64DF" w:rsidRDefault="00F84A0B">
    <w:pPr>
      <w:pStyle w:val="Header"/>
      <w:rPr>
        <w:sz w:val="22"/>
        <w:szCs w:val="22"/>
      </w:rPr>
    </w:pPr>
    <w:r>
      <w:rPr>
        <w:rFonts w:ascii="Arial" w:hAnsi="Arial" w:cs="Arial"/>
        <w:b/>
        <w:noProof/>
        <w:sz w:val="44"/>
        <w:szCs w:val="44"/>
        <w:lang w:val="pt-PT"/>
      </w:rPr>
      <w:drawing>
        <wp:anchor distT="0" distB="0" distL="114300" distR="114300" simplePos="0" relativeHeight="251659264" behindDoc="0" locked="0" layoutInCell="1" allowOverlap="1" wp14:anchorId="334C283D" wp14:editId="42A0A2A2">
          <wp:simplePos x="0" y="0"/>
          <wp:positionH relativeFrom="margin">
            <wp:align>left</wp:align>
          </wp:positionH>
          <wp:positionV relativeFrom="paragraph">
            <wp:posOffset>60960</wp:posOffset>
          </wp:positionV>
          <wp:extent cx="1710000" cy="1436138"/>
          <wp:effectExtent l="0" t="0" r="508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00" cy="14361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FEAA2E" w14:textId="5D9C24EE" w:rsidR="00E9376C" w:rsidRPr="00AF0344" w:rsidRDefault="005237E1" w:rsidP="008F09EC">
    <w:pPr>
      <w:pStyle w:val="Header"/>
      <w:spacing w:after="520"/>
      <w:jc w:val="right"/>
      <w:rPr>
        <w:rFonts w:ascii="Arial" w:hAnsi="Arial" w:cs="Arial"/>
        <w:b/>
        <w:sz w:val="44"/>
        <w:szCs w:val="44"/>
        <w:lang w:val="en-US"/>
      </w:rPr>
    </w:pPr>
    <w:r w:rsidRPr="00AF0344">
      <w:rPr>
        <w:rFonts w:ascii="Arial" w:hAnsi="Arial" w:cs="Arial"/>
        <w:b/>
        <w:sz w:val="44"/>
        <w:szCs w:val="44"/>
        <w:lang w:val="en-US"/>
      </w:rPr>
      <w:t>18.COM WG ART18</w:t>
    </w:r>
  </w:p>
  <w:p w14:paraId="4AD38C3D" w14:textId="0607DC47" w:rsidR="00E9376C" w:rsidRPr="00AF0344" w:rsidRDefault="000A3579" w:rsidP="008F09EC">
    <w:pPr>
      <w:jc w:val="right"/>
      <w:rPr>
        <w:rFonts w:ascii="Arial" w:hAnsi="Arial" w:cs="Arial"/>
        <w:b/>
        <w:sz w:val="22"/>
        <w:szCs w:val="22"/>
        <w:lang w:val="en-US"/>
      </w:rPr>
    </w:pPr>
    <w:r>
      <w:rPr>
        <w:rFonts w:ascii="Arial" w:hAnsi="Arial" w:cs="Arial"/>
        <w:b/>
        <w:sz w:val="22"/>
        <w:szCs w:val="22"/>
        <w:lang w:val="en-US"/>
      </w:rPr>
      <w:t xml:space="preserve">LHE/23/18.COM WG ART18/3 </w:t>
    </w:r>
    <w:r w:rsidR="00D23279">
      <w:rPr>
        <w:rFonts w:ascii="Arial" w:hAnsi="Arial" w:cs="Arial"/>
        <w:b/>
        <w:sz w:val="22"/>
        <w:szCs w:val="22"/>
        <w:lang w:val="en-US"/>
      </w:rPr>
      <w:t>R</w:t>
    </w:r>
    <w:r w:rsidR="005408FB">
      <w:rPr>
        <w:rFonts w:ascii="Arial" w:hAnsi="Arial" w:cs="Arial"/>
        <w:b/>
        <w:sz w:val="22"/>
        <w:szCs w:val="22"/>
        <w:lang w:val="en-US"/>
      </w:rPr>
      <w:t>ev.</w:t>
    </w:r>
  </w:p>
  <w:p w14:paraId="30B7DEB9" w14:textId="02A26FED" w:rsidR="00E9376C" w:rsidRPr="008F38AA" w:rsidRDefault="008F09EC" w:rsidP="007E60C6">
    <w:pPr>
      <w:jc w:val="right"/>
      <w:rPr>
        <w:rFonts w:ascii="Arial" w:hAnsi="Arial" w:cs="Arial"/>
        <w:b/>
        <w:sz w:val="22"/>
        <w:szCs w:val="22"/>
      </w:rPr>
    </w:pPr>
    <w:r w:rsidRPr="00C318BF">
      <w:rPr>
        <w:rFonts w:ascii="Arial" w:hAnsi="Arial" w:cs="Arial"/>
        <w:b/>
        <w:sz w:val="22"/>
        <w:szCs w:val="22"/>
        <w:lang w:val="pt-PT"/>
      </w:rPr>
      <w:t>Paris</w:t>
    </w:r>
    <w:r w:rsidR="00E9376C" w:rsidRPr="00C318BF">
      <w:rPr>
        <w:rFonts w:ascii="Arial" w:hAnsi="Arial" w:cs="Arial"/>
        <w:b/>
        <w:sz w:val="22"/>
        <w:szCs w:val="22"/>
        <w:lang w:val="pt-PT"/>
      </w:rPr>
      <w:t xml:space="preserve">, </w:t>
    </w:r>
    <w:r w:rsidR="00962119" w:rsidRPr="00C318BF">
      <w:rPr>
        <w:rFonts w:ascii="Arial" w:hAnsi="Arial" w:cs="Arial"/>
        <w:b/>
        <w:sz w:val="22"/>
        <w:szCs w:val="22"/>
        <w:lang w:val="pt-PT"/>
      </w:rPr>
      <w:t xml:space="preserve">le </w:t>
    </w:r>
    <w:r w:rsidR="00D23279">
      <w:rPr>
        <w:rFonts w:ascii="Arial" w:hAnsi="Arial" w:cs="Arial"/>
        <w:b/>
        <w:sz w:val="22"/>
        <w:szCs w:val="22"/>
        <w:lang w:val="pt-PT"/>
      </w:rPr>
      <w:t>30</w:t>
    </w:r>
    <w:r w:rsidR="007E60C6" w:rsidRPr="008F38AA">
      <w:rPr>
        <w:rFonts w:ascii="Arial" w:hAnsi="Arial" w:cs="Arial"/>
        <w:b/>
        <w:sz w:val="22"/>
        <w:szCs w:val="22"/>
      </w:rPr>
      <w:t xml:space="preserve"> </w:t>
    </w:r>
    <w:r w:rsidR="00966ECD" w:rsidRPr="008F38AA">
      <w:rPr>
        <w:rFonts w:ascii="Arial" w:hAnsi="Arial" w:cs="Arial"/>
        <w:b/>
        <w:sz w:val="22"/>
        <w:szCs w:val="22"/>
      </w:rPr>
      <w:t>juin</w:t>
    </w:r>
    <w:r w:rsidR="0057439C" w:rsidRPr="008F38AA">
      <w:rPr>
        <w:rFonts w:ascii="Arial" w:hAnsi="Arial" w:cs="Arial"/>
        <w:b/>
        <w:sz w:val="22"/>
        <w:szCs w:val="22"/>
      </w:rPr>
      <w:t xml:space="preserve"> </w:t>
    </w:r>
    <w:r w:rsidR="00495C25" w:rsidRPr="008F38AA">
      <w:rPr>
        <w:rFonts w:ascii="Arial" w:hAnsi="Arial" w:cs="Arial"/>
        <w:b/>
        <w:sz w:val="22"/>
        <w:szCs w:val="22"/>
      </w:rPr>
      <w:t>20</w:t>
    </w:r>
    <w:r w:rsidR="00D520C1" w:rsidRPr="008F38AA">
      <w:rPr>
        <w:rFonts w:ascii="Arial" w:hAnsi="Arial" w:cs="Arial"/>
        <w:b/>
        <w:sz w:val="22"/>
        <w:szCs w:val="22"/>
      </w:rPr>
      <w:t>2</w:t>
    </w:r>
    <w:r w:rsidR="008F5A4F" w:rsidRPr="008F38AA">
      <w:rPr>
        <w:rFonts w:ascii="Arial" w:hAnsi="Arial" w:cs="Arial"/>
        <w:b/>
        <w:sz w:val="22"/>
        <w:szCs w:val="22"/>
      </w:rPr>
      <w:t>3</w:t>
    </w:r>
  </w:p>
  <w:p w14:paraId="18E81B87" w14:textId="7B1112E0" w:rsidR="00E9376C" w:rsidRPr="0020150F" w:rsidRDefault="00E9376C" w:rsidP="00F84A0B">
    <w:pPr>
      <w:spacing w:after="240"/>
      <w:jc w:val="right"/>
      <w:rPr>
        <w:rFonts w:ascii="Arial" w:hAnsi="Arial" w:cs="Arial"/>
        <w:b/>
        <w:sz w:val="22"/>
        <w:szCs w:val="22"/>
      </w:rPr>
    </w:pPr>
    <w:r w:rsidRPr="00022428">
      <w:rPr>
        <w:rFonts w:ascii="Arial" w:hAnsi="Arial" w:cs="Arial"/>
        <w:b/>
        <w:sz w:val="22"/>
        <w:szCs w:val="22"/>
      </w:rPr>
      <w:t>Original</w:t>
    </w:r>
    <w:r w:rsidR="003E2A08" w:rsidRPr="00022428">
      <w:rPr>
        <w:rFonts w:ascii="Arial" w:hAnsi="Arial" w:cs="Arial"/>
        <w:b/>
        <w:sz w:val="22"/>
        <w:szCs w:val="22"/>
      </w:rPr>
      <w:t> </w:t>
    </w:r>
    <w:r w:rsidRPr="00022428">
      <w:rPr>
        <w:rFonts w:ascii="Arial" w:hAnsi="Arial" w:cs="Arial"/>
        <w:b/>
        <w:sz w:val="22"/>
        <w:szCs w:val="22"/>
      </w:rPr>
      <w:t xml:space="preserve">: </w:t>
    </w:r>
    <w:r w:rsidR="00D25D87">
      <w:rPr>
        <w:rFonts w:ascii="Arial" w:hAnsi="Arial" w:cs="Arial"/>
        <w:b/>
        <w:sz w:val="22"/>
        <w:szCs w:val="22"/>
      </w:rPr>
      <w:t>anglais</w:t>
    </w:r>
  </w:p>
  <w:p w14:paraId="1B74C5FD" w14:textId="77777777" w:rsidR="00E9376C" w:rsidRPr="008B64DF" w:rsidRDefault="00E9376C">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3D3C"/>
    <w:multiLevelType w:val="hybridMultilevel"/>
    <w:tmpl w:val="F154B79C"/>
    <w:lvl w:ilvl="0" w:tplc="8CFC23AC">
      <w:start w:val="1"/>
      <w:numFmt w:val="lowerLetter"/>
      <w:lvlText w:val="%1."/>
      <w:lvlJc w:val="left"/>
      <w:pPr>
        <w:ind w:left="720" w:hanging="360"/>
      </w:pPr>
    </w:lvl>
    <w:lvl w:ilvl="1" w:tplc="E82C65D6">
      <w:start w:val="1"/>
      <w:numFmt w:val="lowerLetter"/>
      <w:lvlText w:val="%2."/>
      <w:lvlJc w:val="left"/>
      <w:pPr>
        <w:ind w:left="720" w:hanging="360"/>
      </w:pPr>
    </w:lvl>
    <w:lvl w:ilvl="2" w:tplc="63CE61F8">
      <w:start w:val="1"/>
      <w:numFmt w:val="lowerLetter"/>
      <w:lvlText w:val="%3."/>
      <w:lvlJc w:val="left"/>
      <w:pPr>
        <w:ind w:left="720" w:hanging="360"/>
      </w:pPr>
    </w:lvl>
    <w:lvl w:ilvl="3" w:tplc="EFB4868A">
      <w:start w:val="1"/>
      <w:numFmt w:val="lowerLetter"/>
      <w:lvlText w:val="%4."/>
      <w:lvlJc w:val="left"/>
      <w:pPr>
        <w:ind w:left="720" w:hanging="360"/>
      </w:pPr>
    </w:lvl>
    <w:lvl w:ilvl="4" w:tplc="EAE60D48">
      <w:start w:val="1"/>
      <w:numFmt w:val="lowerLetter"/>
      <w:lvlText w:val="%5."/>
      <w:lvlJc w:val="left"/>
      <w:pPr>
        <w:ind w:left="720" w:hanging="360"/>
      </w:pPr>
    </w:lvl>
    <w:lvl w:ilvl="5" w:tplc="EDDEF1E0">
      <w:start w:val="1"/>
      <w:numFmt w:val="lowerLetter"/>
      <w:lvlText w:val="%6."/>
      <w:lvlJc w:val="left"/>
      <w:pPr>
        <w:ind w:left="720" w:hanging="360"/>
      </w:pPr>
    </w:lvl>
    <w:lvl w:ilvl="6" w:tplc="D28276F8">
      <w:start w:val="1"/>
      <w:numFmt w:val="lowerLetter"/>
      <w:lvlText w:val="%7."/>
      <w:lvlJc w:val="left"/>
      <w:pPr>
        <w:ind w:left="720" w:hanging="360"/>
      </w:pPr>
    </w:lvl>
    <w:lvl w:ilvl="7" w:tplc="6A549CB8">
      <w:start w:val="1"/>
      <w:numFmt w:val="lowerLetter"/>
      <w:lvlText w:val="%8."/>
      <w:lvlJc w:val="left"/>
      <w:pPr>
        <w:ind w:left="720" w:hanging="360"/>
      </w:pPr>
    </w:lvl>
    <w:lvl w:ilvl="8" w:tplc="DB3AD8E2">
      <w:start w:val="1"/>
      <w:numFmt w:val="lowerLetter"/>
      <w:lvlText w:val="%9."/>
      <w:lvlJc w:val="left"/>
      <w:pPr>
        <w:ind w:left="720" w:hanging="36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0050957"/>
    <w:multiLevelType w:val="hybridMultilevel"/>
    <w:tmpl w:val="14208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42C71"/>
    <w:multiLevelType w:val="hybridMultilevel"/>
    <w:tmpl w:val="835ABCCE"/>
    <w:lvl w:ilvl="0" w:tplc="1832A8A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 w15:restartNumberingAfterBreak="0">
    <w:nsid w:val="344E47B5"/>
    <w:multiLevelType w:val="hybridMultilevel"/>
    <w:tmpl w:val="68FE4832"/>
    <w:lvl w:ilvl="0" w:tplc="1BC24516">
      <w:start w:val="1"/>
      <w:numFmt w:val="upperRoman"/>
      <w:pStyle w:val="Heading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F07BFE"/>
    <w:multiLevelType w:val="hybridMultilevel"/>
    <w:tmpl w:val="1A1C2972"/>
    <w:lvl w:ilvl="0" w:tplc="6FB8652A">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397A4DB1"/>
    <w:multiLevelType w:val="hybridMultilevel"/>
    <w:tmpl w:val="41360434"/>
    <w:lvl w:ilvl="0" w:tplc="B35A244C">
      <w:start w:val="1"/>
      <w:numFmt w:val="decimal"/>
      <w:pStyle w:val="COMParaDecision"/>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A464FFC"/>
    <w:multiLevelType w:val="hybridMultilevel"/>
    <w:tmpl w:val="8FA2D8B6"/>
    <w:lvl w:ilvl="0" w:tplc="7CD8DD8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827481"/>
    <w:multiLevelType w:val="hybridMultilevel"/>
    <w:tmpl w:val="A6FC9344"/>
    <w:lvl w:ilvl="0" w:tplc="49D6FAE4">
      <w:start w:val="1"/>
      <w:numFmt w:val="lowerLetter"/>
      <w:lvlText w:val="%1)"/>
      <w:lvlJc w:val="left"/>
      <w:pPr>
        <w:ind w:left="1137" w:hanging="57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2" w15:restartNumberingAfterBreak="0">
    <w:nsid w:val="3E8368E4"/>
    <w:multiLevelType w:val="hybridMultilevel"/>
    <w:tmpl w:val="D8C0C314"/>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0386563"/>
    <w:multiLevelType w:val="hybridMultilevel"/>
    <w:tmpl w:val="31667218"/>
    <w:lvl w:ilvl="0" w:tplc="040C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5" w15:restartNumberingAfterBreak="0">
    <w:nsid w:val="46237627"/>
    <w:multiLevelType w:val="hybridMultilevel"/>
    <w:tmpl w:val="F4286508"/>
    <w:lvl w:ilvl="0" w:tplc="3A1CC938">
      <w:start w:val="1"/>
      <w:numFmt w:val="lowerLetter"/>
      <w:lvlText w:val="%1."/>
      <w:lvlJc w:val="left"/>
      <w:pPr>
        <w:ind w:left="720" w:hanging="360"/>
      </w:pPr>
    </w:lvl>
    <w:lvl w:ilvl="1" w:tplc="FD320C36">
      <w:start w:val="1"/>
      <w:numFmt w:val="lowerLetter"/>
      <w:lvlText w:val="%2."/>
      <w:lvlJc w:val="left"/>
      <w:pPr>
        <w:ind w:left="720" w:hanging="360"/>
      </w:pPr>
    </w:lvl>
    <w:lvl w:ilvl="2" w:tplc="CA300E6C">
      <w:start w:val="1"/>
      <w:numFmt w:val="lowerLetter"/>
      <w:lvlText w:val="%3."/>
      <w:lvlJc w:val="left"/>
      <w:pPr>
        <w:ind w:left="720" w:hanging="360"/>
      </w:pPr>
    </w:lvl>
    <w:lvl w:ilvl="3" w:tplc="BAC01114">
      <w:start w:val="1"/>
      <w:numFmt w:val="lowerLetter"/>
      <w:lvlText w:val="%4."/>
      <w:lvlJc w:val="left"/>
      <w:pPr>
        <w:ind w:left="720" w:hanging="360"/>
      </w:pPr>
    </w:lvl>
    <w:lvl w:ilvl="4" w:tplc="8940BE10">
      <w:start w:val="1"/>
      <w:numFmt w:val="lowerLetter"/>
      <w:lvlText w:val="%5."/>
      <w:lvlJc w:val="left"/>
      <w:pPr>
        <w:ind w:left="720" w:hanging="360"/>
      </w:pPr>
    </w:lvl>
    <w:lvl w:ilvl="5" w:tplc="E32EF784">
      <w:start w:val="1"/>
      <w:numFmt w:val="lowerLetter"/>
      <w:lvlText w:val="%6."/>
      <w:lvlJc w:val="left"/>
      <w:pPr>
        <w:ind w:left="720" w:hanging="360"/>
      </w:pPr>
    </w:lvl>
    <w:lvl w:ilvl="6" w:tplc="34923104">
      <w:start w:val="1"/>
      <w:numFmt w:val="lowerLetter"/>
      <w:lvlText w:val="%7."/>
      <w:lvlJc w:val="left"/>
      <w:pPr>
        <w:ind w:left="720" w:hanging="360"/>
      </w:pPr>
    </w:lvl>
    <w:lvl w:ilvl="7" w:tplc="BC685F6C">
      <w:start w:val="1"/>
      <w:numFmt w:val="lowerLetter"/>
      <w:lvlText w:val="%8."/>
      <w:lvlJc w:val="left"/>
      <w:pPr>
        <w:ind w:left="720" w:hanging="360"/>
      </w:pPr>
    </w:lvl>
    <w:lvl w:ilvl="8" w:tplc="47E46752">
      <w:start w:val="1"/>
      <w:numFmt w:val="lowerLetter"/>
      <w:lvlText w:val="%9."/>
      <w:lvlJc w:val="left"/>
      <w:pPr>
        <w:ind w:left="720" w:hanging="360"/>
      </w:pPr>
    </w:lvl>
  </w:abstractNum>
  <w:abstractNum w:abstractNumId="16" w15:restartNumberingAfterBreak="0">
    <w:nsid w:val="520A0815"/>
    <w:multiLevelType w:val="hybridMultilevel"/>
    <w:tmpl w:val="5B7886E6"/>
    <w:lvl w:ilvl="0" w:tplc="2BB8A730">
      <w:start w:val="4"/>
      <w:numFmt w:val="bullet"/>
      <w:lvlText w:val="-"/>
      <w:lvlJc w:val="left"/>
      <w:pPr>
        <w:ind w:left="1494" w:hanging="360"/>
      </w:pPr>
      <w:rPr>
        <w:rFonts w:ascii="Arial" w:eastAsia="SimSu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7" w15:restartNumberingAfterBreak="0">
    <w:nsid w:val="55961390"/>
    <w:multiLevelType w:val="hybridMultilevel"/>
    <w:tmpl w:val="50E4B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9"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701643F"/>
    <w:multiLevelType w:val="hybridMultilevel"/>
    <w:tmpl w:val="1BB8B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104979"/>
    <w:multiLevelType w:val="hybridMultilevel"/>
    <w:tmpl w:val="F7808A7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76332148">
    <w:abstractNumId w:val="18"/>
  </w:num>
  <w:num w:numId="2" w16cid:durableId="853350057">
    <w:abstractNumId w:val="8"/>
  </w:num>
  <w:num w:numId="3" w16cid:durableId="1589851626">
    <w:abstractNumId w:val="2"/>
  </w:num>
  <w:num w:numId="4" w16cid:durableId="1870560250">
    <w:abstractNumId w:val="22"/>
  </w:num>
  <w:num w:numId="5" w16cid:durableId="1596859225">
    <w:abstractNumId w:val="19"/>
  </w:num>
  <w:num w:numId="6" w16cid:durableId="2080975943">
    <w:abstractNumId w:val="1"/>
  </w:num>
  <w:num w:numId="7" w16cid:durableId="1851137970">
    <w:abstractNumId w:val="3"/>
  </w:num>
  <w:num w:numId="8" w16cid:durableId="1715739635">
    <w:abstractNumId w:val="14"/>
  </w:num>
  <w:num w:numId="9" w16cid:durableId="1954705027">
    <w:abstractNumId w:val="7"/>
  </w:num>
  <w:num w:numId="10" w16cid:durableId="1949507549">
    <w:abstractNumId w:val="9"/>
  </w:num>
  <w:num w:numId="11" w16cid:durableId="671029231">
    <w:abstractNumId w:val="6"/>
  </w:num>
  <w:num w:numId="12" w16cid:durableId="1165126896">
    <w:abstractNumId w:val="5"/>
  </w:num>
  <w:num w:numId="13" w16cid:durableId="90053317">
    <w:abstractNumId w:val="17"/>
  </w:num>
  <w:num w:numId="14" w16cid:durableId="1645357661">
    <w:abstractNumId w:val="4"/>
  </w:num>
  <w:num w:numId="15" w16cid:durableId="797996451">
    <w:abstractNumId w:val="21"/>
  </w:num>
  <w:num w:numId="16" w16cid:durableId="164127508">
    <w:abstractNumId w:val="16"/>
  </w:num>
  <w:num w:numId="17" w16cid:durableId="1405369454">
    <w:abstractNumId w:val="9"/>
    <w:lvlOverride w:ilvl="0">
      <w:startOverride w:val="1"/>
    </w:lvlOverride>
  </w:num>
  <w:num w:numId="18" w16cid:durableId="918949064">
    <w:abstractNumId w:val="20"/>
  </w:num>
  <w:num w:numId="19" w16cid:durableId="1916747193">
    <w:abstractNumId w:val="10"/>
  </w:num>
  <w:num w:numId="20" w16cid:durableId="1353844998">
    <w:abstractNumId w:val="12"/>
  </w:num>
  <w:num w:numId="21" w16cid:durableId="1528642107">
    <w:abstractNumId w:val="11"/>
  </w:num>
  <w:num w:numId="22" w16cid:durableId="588851276">
    <w:abstractNumId w:val="13"/>
  </w:num>
  <w:num w:numId="23" w16cid:durableId="1843159208">
    <w:abstractNumId w:val="0"/>
  </w:num>
  <w:num w:numId="24" w16cid:durableId="1466757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02C"/>
    <w:rsid w:val="00020BFC"/>
    <w:rsid w:val="00022428"/>
    <w:rsid w:val="000263BA"/>
    <w:rsid w:val="00032A69"/>
    <w:rsid w:val="0003530D"/>
    <w:rsid w:val="0005176E"/>
    <w:rsid w:val="000573DC"/>
    <w:rsid w:val="00077AB7"/>
    <w:rsid w:val="00081CD8"/>
    <w:rsid w:val="0008329C"/>
    <w:rsid w:val="00084F78"/>
    <w:rsid w:val="000A3579"/>
    <w:rsid w:val="000A7F0E"/>
    <w:rsid w:val="000C6E29"/>
    <w:rsid w:val="000D3E1C"/>
    <w:rsid w:val="000D456C"/>
    <w:rsid w:val="000E6CD7"/>
    <w:rsid w:val="000F3A3F"/>
    <w:rsid w:val="0010468A"/>
    <w:rsid w:val="00114C01"/>
    <w:rsid w:val="00127C3E"/>
    <w:rsid w:val="00147799"/>
    <w:rsid w:val="00157B23"/>
    <w:rsid w:val="00164830"/>
    <w:rsid w:val="00164D56"/>
    <w:rsid w:val="00165170"/>
    <w:rsid w:val="0016587A"/>
    <w:rsid w:val="00167B10"/>
    <w:rsid w:val="0017147D"/>
    <w:rsid w:val="001735CA"/>
    <w:rsid w:val="0019264E"/>
    <w:rsid w:val="00196C1B"/>
    <w:rsid w:val="001A0378"/>
    <w:rsid w:val="001A4522"/>
    <w:rsid w:val="001A766C"/>
    <w:rsid w:val="001B0F73"/>
    <w:rsid w:val="001B28AF"/>
    <w:rsid w:val="001F7AE9"/>
    <w:rsid w:val="0020150F"/>
    <w:rsid w:val="00206F0C"/>
    <w:rsid w:val="00220E88"/>
    <w:rsid w:val="00222A2D"/>
    <w:rsid w:val="00230FA8"/>
    <w:rsid w:val="002407AF"/>
    <w:rsid w:val="00257818"/>
    <w:rsid w:val="00280D62"/>
    <w:rsid w:val="002A6C11"/>
    <w:rsid w:val="002A6F73"/>
    <w:rsid w:val="002C0D14"/>
    <w:rsid w:val="002E2F53"/>
    <w:rsid w:val="002E3D25"/>
    <w:rsid w:val="002E58D4"/>
    <w:rsid w:val="0032583C"/>
    <w:rsid w:val="003470C7"/>
    <w:rsid w:val="003732E4"/>
    <w:rsid w:val="003845BE"/>
    <w:rsid w:val="003A4FC0"/>
    <w:rsid w:val="003A5EFF"/>
    <w:rsid w:val="003B58FA"/>
    <w:rsid w:val="003C1678"/>
    <w:rsid w:val="003C5D0A"/>
    <w:rsid w:val="003D069C"/>
    <w:rsid w:val="003D17D0"/>
    <w:rsid w:val="003E07D8"/>
    <w:rsid w:val="003E2A08"/>
    <w:rsid w:val="003F113A"/>
    <w:rsid w:val="003F332A"/>
    <w:rsid w:val="003F68B0"/>
    <w:rsid w:val="004239C7"/>
    <w:rsid w:val="00440F9B"/>
    <w:rsid w:val="004417A7"/>
    <w:rsid w:val="004421E5"/>
    <w:rsid w:val="00443880"/>
    <w:rsid w:val="00452284"/>
    <w:rsid w:val="00461168"/>
    <w:rsid w:val="00461629"/>
    <w:rsid w:val="00467FBE"/>
    <w:rsid w:val="0047531A"/>
    <w:rsid w:val="00486948"/>
    <w:rsid w:val="00495C25"/>
    <w:rsid w:val="0049705E"/>
    <w:rsid w:val="004A49BB"/>
    <w:rsid w:val="004E0267"/>
    <w:rsid w:val="004E0EFF"/>
    <w:rsid w:val="004F2408"/>
    <w:rsid w:val="005158FF"/>
    <w:rsid w:val="005237E1"/>
    <w:rsid w:val="00526B7B"/>
    <w:rsid w:val="005308CE"/>
    <w:rsid w:val="005408FB"/>
    <w:rsid w:val="00541EAB"/>
    <w:rsid w:val="005678AF"/>
    <w:rsid w:val="005728DF"/>
    <w:rsid w:val="0057439C"/>
    <w:rsid w:val="005B0127"/>
    <w:rsid w:val="005C094D"/>
    <w:rsid w:val="005C4B73"/>
    <w:rsid w:val="005E55EC"/>
    <w:rsid w:val="00600D93"/>
    <w:rsid w:val="006042C6"/>
    <w:rsid w:val="00616C7B"/>
    <w:rsid w:val="00627C5C"/>
    <w:rsid w:val="0063205E"/>
    <w:rsid w:val="00637FCA"/>
    <w:rsid w:val="00651F36"/>
    <w:rsid w:val="00655736"/>
    <w:rsid w:val="00663B8D"/>
    <w:rsid w:val="00672E93"/>
    <w:rsid w:val="00677502"/>
    <w:rsid w:val="00681696"/>
    <w:rsid w:val="006923BD"/>
    <w:rsid w:val="00696C8D"/>
    <w:rsid w:val="006A2AC2"/>
    <w:rsid w:val="006A3617"/>
    <w:rsid w:val="006B5001"/>
    <w:rsid w:val="006C0402"/>
    <w:rsid w:val="006D21D9"/>
    <w:rsid w:val="006D2536"/>
    <w:rsid w:val="006E46E4"/>
    <w:rsid w:val="006E47BB"/>
    <w:rsid w:val="006F444F"/>
    <w:rsid w:val="00717AAB"/>
    <w:rsid w:val="00717DBD"/>
    <w:rsid w:val="0073751C"/>
    <w:rsid w:val="00741016"/>
    <w:rsid w:val="00764CF9"/>
    <w:rsid w:val="007826CB"/>
    <w:rsid w:val="00784B8C"/>
    <w:rsid w:val="007A000F"/>
    <w:rsid w:val="007A5BD8"/>
    <w:rsid w:val="007C354B"/>
    <w:rsid w:val="007E60C6"/>
    <w:rsid w:val="008064F0"/>
    <w:rsid w:val="00823A11"/>
    <w:rsid w:val="00824EF7"/>
    <w:rsid w:val="00834496"/>
    <w:rsid w:val="00850505"/>
    <w:rsid w:val="0085414A"/>
    <w:rsid w:val="008546C0"/>
    <w:rsid w:val="0086269D"/>
    <w:rsid w:val="00863302"/>
    <w:rsid w:val="00866B8B"/>
    <w:rsid w:val="008712A2"/>
    <w:rsid w:val="00871C8F"/>
    <w:rsid w:val="008724E5"/>
    <w:rsid w:val="00884A9D"/>
    <w:rsid w:val="00891092"/>
    <w:rsid w:val="00896EAE"/>
    <w:rsid w:val="008A4E1E"/>
    <w:rsid w:val="008B4FF0"/>
    <w:rsid w:val="008B64DF"/>
    <w:rsid w:val="008C00E4"/>
    <w:rsid w:val="008C0E44"/>
    <w:rsid w:val="008C296C"/>
    <w:rsid w:val="008D3582"/>
    <w:rsid w:val="008D4305"/>
    <w:rsid w:val="008D4D0D"/>
    <w:rsid w:val="008F09EC"/>
    <w:rsid w:val="008F38AA"/>
    <w:rsid w:val="008F3BB7"/>
    <w:rsid w:val="008F5A4F"/>
    <w:rsid w:val="0090504C"/>
    <w:rsid w:val="00906FAC"/>
    <w:rsid w:val="00913D86"/>
    <w:rsid w:val="009163A7"/>
    <w:rsid w:val="00922E3E"/>
    <w:rsid w:val="00933C6B"/>
    <w:rsid w:val="00950F68"/>
    <w:rsid w:val="00951087"/>
    <w:rsid w:val="00962119"/>
    <w:rsid w:val="00966ECD"/>
    <w:rsid w:val="00974249"/>
    <w:rsid w:val="00993211"/>
    <w:rsid w:val="009A18CD"/>
    <w:rsid w:val="009B223B"/>
    <w:rsid w:val="009B5302"/>
    <w:rsid w:val="009D06EF"/>
    <w:rsid w:val="009E117F"/>
    <w:rsid w:val="009E1B50"/>
    <w:rsid w:val="009E493C"/>
    <w:rsid w:val="00A12558"/>
    <w:rsid w:val="00A13903"/>
    <w:rsid w:val="00A22951"/>
    <w:rsid w:val="00A34ED5"/>
    <w:rsid w:val="00A437B6"/>
    <w:rsid w:val="00A45DBF"/>
    <w:rsid w:val="00A60C74"/>
    <w:rsid w:val="00A61C6E"/>
    <w:rsid w:val="00A755A2"/>
    <w:rsid w:val="00A90761"/>
    <w:rsid w:val="00AA1EA8"/>
    <w:rsid w:val="00AB2C36"/>
    <w:rsid w:val="00AC35FB"/>
    <w:rsid w:val="00AD1A86"/>
    <w:rsid w:val="00AE103E"/>
    <w:rsid w:val="00AE3322"/>
    <w:rsid w:val="00AF0344"/>
    <w:rsid w:val="00AF0A07"/>
    <w:rsid w:val="00AF1C02"/>
    <w:rsid w:val="00AF5AE5"/>
    <w:rsid w:val="00AF625E"/>
    <w:rsid w:val="00AF721B"/>
    <w:rsid w:val="00B04725"/>
    <w:rsid w:val="00B06E90"/>
    <w:rsid w:val="00B1273B"/>
    <w:rsid w:val="00B151CF"/>
    <w:rsid w:val="00B152B1"/>
    <w:rsid w:val="00B43974"/>
    <w:rsid w:val="00B45750"/>
    <w:rsid w:val="00B6092A"/>
    <w:rsid w:val="00B675B6"/>
    <w:rsid w:val="00B70BC5"/>
    <w:rsid w:val="00B711A1"/>
    <w:rsid w:val="00B727ED"/>
    <w:rsid w:val="00B90701"/>
    <w:rsid w:val="00B907C4"/>
    <w:rsid w:val="00BC3420"/>
    <w:rsid w:val="00BC3C2B"/>
    <w:rsid w:val="00BD52C9"/>
    <w:rsid w:val="00BD7F27"/>
    <w:rsid w:val="00BE29AC"/>
    <w:rsid w:val="00BE6354"/>
    <w:rsid w:val="00BF3050"/>
    <w:rsid w:val="00C03ACA"/>
    <w:rsid w:val="00C040AC"/>
    <w:rsid w:val="00C06C42"/>
    <w:rsid w:val="00C06D4C"/>
    <w:rsid w:val="00C318BF"/>
    <w:rsid w:val="00C31DA9"/>
    <w:rsid w:val="00C358C4"/>
    <w:rsid w:val="00C377F5"/>
    <w:rsid w:val="00C57C91"/>
    <w:rsid w:val="00C70EA7"/>
    <w:rsid w:val="00C7516E"/>
    <w:rsid w:val="00C91F92"/>
    <w:rsid w:val="00CC4780"/>
    <w:rsid w:val="00CC61A6"/>
    <w:rsid w:val="00CD0D5A"/>
    <w:rsid w:val="00CD51C0"/>
    <w:rsid w:val="00CF4075"/>
    <w:rsid w:val="00D00FBB"/>
    <w:rsid w:val="00D02494"/>
    <w:rsid w:val="00D23279"/>
    <w:rsid w:val="00D246C9"/>
    <w:rsid w:val="00D24877"/>
    <w:rsid w:val="00D25D87"/>
    <w:rsid w:val="00D44D92"/>
    <w:rsid w:val="00D520C1"/>
    <w:rsid w:val="00D5368D"/>
    <w:rsid w:val="00D75D42"/>
    <w:rsid w:val="00D93E09"/>
    <w:rsid w:val="00DA36ED"/>
    <w:rsid w:val="00DA4F9A"/>
    <w:rsid w:val="00DB4A84"/>
    <w:rsid w:val="00DC0F3C"/>
    <w:rsid w:val="00DC20E3"/>
    <w:rsid w:val="00DC7981"/>
    <w:rsid w:val="00DE34F1"/>
    <w:rsid w:val="00DE7D9B"/>
    <w:rsid w:val="00DF4942"/>
    <w:rsid w:val="00E154CE"/>
    <w:rsid w:val="00E22288"/>
    <w:rsid w:val="00E3198B"/>
    <w:rsid w:val="00E47AD3"/>
    <w:rsid w:val="00E5777B"/>
    <w:rsid w:val="00E60B9D"/>
    <w:rsid w:val="00E627B1"/>
    <w:rsid w:val="00E62B4C"/>
    <w:rsid w:val="00E9376C"/>
    <w:rsid w:val="00EA602C"/>
    <w:rsid w:val="00EC016E"/>
    <w:rsid w:val="00ED3691"/>
    <w:rsid w:val="00EF67FE"/>
    <w:rsid w:val="00EF74E3"/>
    <w:rsid w:val="00F134B7"/>
    <w:rsid w:val="00F3600B"/>
    <w:rsid w:val="00F4581D"/>
    <w:rsid w:val="00F576CB"/>
    <w:rsid w:val="00F62542"/>
    <w:rsid w:val="00F84A0B"/>
    <w:rsid w:val="00FC2940"/>
    <w:rsid w:val="00FC4715"/>
    <w:rsid w:val="00FD1226"/>
    <w:rsid w:val="00FF5379"/>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A776BAF"/>
  <w15:docId w15:val="{2FF0263D-516F-47B5-AAAF-68E7F0CE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3420"/>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2E58D4"/>
    <w:pPr>
      <w:keepNext/>
      <w:numPr>
        <w:numId w:val="11"/>
      </w:numPr>
      <w:spacing w:before="360" w:after="240"/>
      <w:ind w:hanging="720"/>
      <w:contextualSpacing/>
      <w:outlineLvl w:val="3"/>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bodytext">
    <w:name w:val="COM Para body text"/>
    <w:basedOn w:val="Marge"/>
    <w:qFormat/>
    <w:rsid w:val="001A766C"/>
    <w:pPr>
      <w:spacing w:after="120"/>
    </w:pPr>
    <w:rPr>
      <w:rFonts w:cs="Arial"/>
      <w:szCs w:val="22"/>
      <w:lang w:val="en-US"/>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qFormat/>
    <w:rsid w:val="001A766C"/>
    <w:pPr>
      <w:numPr>
        <w:numId w:val="10"/>
      </w:numPr>
      <w:autoSpaceDE w:val="0"/>
      <w:autoSpaceDN w:val="0"/>
      <w:adjustRightInd w:val="0"/>
      <w:spacing w:after="120"/>
      <w:ind w:left="1134" w:hanging="567"/>
      <w:jc w:val="both"/>
    </w:pPr>
    <w:rPr>
      <w:rFonts w:ascii="Arial" w:hAnsi="Arial" w:cs="Arial"/>
      <w:sz w:val="22"/>
      <w:szCs w:val="22"/>
      <w:u w:val="single"/>
    </w:rPr>
  </w:style>
  <w:style w:type="paragraph" w:styleId="NoSpacing">
    <w:name w:val="No Spacing"/>
    <w:uiPriority w:val="1"/>
    <w:qFormat/>
    <w:rsid w:val="00BC3420"/>
    <w:rPr>
      <w:rFonts w:ascii="Times New Roman" w:eastAsia="Times New Roman" w:hAnsi="Times New Roman"/>
      <w:sz w:val="24"/>
      <w:szCs w:val="24"/>
    </w:rPr>
  </w:style>
  <w:style w:type="table" w:customStyle="1" w:styleId="TableGrid1">
    <w:name w:val="Table Grid1"/>
    <w:basedOn w:val="TableNormal"/>
    <w:next w:val="TableGrid"/>
    <w:uiPriority w:val="59"/>
    <w:rsid w:val="008B64D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TitleDecision">
    <w:name w:val="COM Title Decision"/>
    <w:basedOn w:val="Normal"/>
    <w:qFormat/>
    <w:rsid w:val="005158FF"/>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5158FF"/>
    <w:pPr>
      <w:keepNext/>
      <w:spacing w:after="120"/>
      <w:ind w:left="567"/>
      <w:jc w:val="both"/>
    </w:pPr>
    <w:rPr>
      <w:rFonts w:ascii="Arial" w:hAnsi="Arial" w:cs="Arial"/>
      <w:sz w:val="22"/>
      <w:szCs w:val="22"/>
    </w:rPr>
  </w:style>
  <w:style w:type="paragraph" w:styleId="ListParagraph">
    <w:name w:val="List Paragraph"/>
    <w:basedOn w:val="Normal"/>
    <w:uiPriority w:val="34"/>
    <w:rsid w:val="005158FF"/>
    <w:pPr>
      <w:ind w:left="720"/>
      <w:contextualSpacing/>
    </w:pPr>
  </w:style>
  <w:style w:type="character" w:styleId="Hyperlink">
    <w:name w:val="Hyperlink"/>
    <w:basedOn w:val="DefaultParagraphFont"/>
    <w:uiPriority w:val="99"/>
    <w:unhideWhenUsed/>
    <w:rsid w:val="009B5302"/>
    <w:rPr>
      <w:color w:val="0000FF" w:themeColor="hyperlink"/>
      <w:u w:val="single"/>
    </w:rPr>
  </w:style>
  <w:style w:type="paragraph" w:styleId="FootnoteText">
    <w:name w:val="footnote text"/>
    <w:basedOn w:val="Normal"/>
    <w:link w:val="FootnoteTextChar"/>
    <w:uiPriority w:val="99"/>
    <w:semiHidden/>
    <w:unhideWhenUsed/>
    <w:rsid w:val="008F5A4F"/>
    <w:rPr>
      <w:sz w:val="20"/>
      <w:szCs w:val="20"/>
    </w:rPr>
  </w:style>
  <w:style w:type="character" w:customStyle="1" w:styleId="FootnoteTextChar">
    <w:name w:val="Footnote Text Char"/>
    <w:basedOn w:val="DefaultParagraphFont"/>
    <w:link w:val="FootnoteText"/>
    <w:uiPriority w:val="99"/>
    <w:semiHidden/>
    <w:rsid w:val="008F5A4F"/>
    <w:rPr>
      <w:rFonts w:ascii="Times New Roman" w:eastAsia="Times New Roman" w:hAnsi="Times New Roman"/>
    </w:rPr>
  </w:style>
  <w:style w:type="character" w:styleId="FootnoteReference">
    <w:name w:val="footnote reference"/>
    <w:basedOn w:val="DefaultParagraphFont"/>
    <w:uiPriority w:val="99"/>
    <w:semiHidden/>
    <w:unhideWhenUsed/>
    <w:rsid w:val="008F5A4F"/>
    <w:rPr>
      <w:vertAlign w:val="superscript"/>
    </w:rPr>
  </w:style>
  <w:style w:type="paragraph" w:customStyle="1" w:styleId="COMPara">
    <w:name w:val="COM Para"/>
    <w:qFormat/>
    <w:rsid w:val="008F5A4F"/>
    <w:pPr>
      <w:spacing w:after="120"/>
      <w:ind w:left="567" w:hanging="567"/>
    </w:pPr>
    <w:rPr>
      <w:rFonts w:ascii="Arial" w:eastAsia="Times New Roman" w:hAnsi="Arial" w:cs="Arial"/>
      <w:snapToGrid w:val="0"/>
      <w:sz w:val="22"/>
      <w:szCs w:val="22"/>
      <w:lang w:val="en-GB" w:eastAsia="en-US"/>
    </w:rPr>
  </w:style>
  <w:style w:type="paragraph" w:styleId="Revision">
    <w:name w:val="Revision"/>
    <w:hidden/>
    <w:uiPriority w:val="99"/>
    <w:semiHidden/>
    <w:rsid w:val="00F62542"/>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672E93"/>
    <w:rPr>
      <w:color w:val="605E5C"/>
      <w:shd w:val="clear" w:color="auto" w:fill="E1DFDD"/>
    </w:rPr>
  </w:style>
  <w:style w:type="character" w:styleId="CommentReference">
    <w:name w:val="annotation reference"/>
    <w:basedOn w:val="DefaultParagraphFont"/>
    <w:uiPriority w:val="99"/>
    <w:semiHidden/>
    <w:unhideWhenUsed/>
    <w:rsid w:val="00F3600B"/>
    <w:rPr>
      <w:sz w:val="16"/>
      <w:szCs w:val="16"/>
    </w:rPr>
  </w:style>
  <w:style w:type="paragraph" w:styleId="CommentText">
    <w:name w:val="annotation text"/>
    <w:basedOn w:val="Normal"/>
    <w:link w:val="CommentTextChar"/>
    <w:uiPriority w:val="99"/>
    <w:unhideWhenUsed/>
    <w:rsid w:val="00F3600B"/>
    <w:rPr>
      <w:sz w:val="20"/>
      <w:szCs w:val="20"/>
    </w:rPr>
  </w:style>
  <w:style w:type="character" w:customStyle="1" w:styleId="CommentTextChar">
    <w:name w:val="Comment Text Char"/>
    <w:basedOn w:val="DefaultParagraphFont"/>
    <w:link w:val="CommentText"/>
    <w:uiPriority w:val="99"/>
    <w:rsid w:val="00F3600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3600B"/>
    <w:rPr>
      <w:b/>
      <w:bCs/>
    </w:rPr>
  </w:style>
  <w:style w:type="character" w:customStyle="1" w:styleId="CommentSubjectChar">
    <w:name w:val="Comment Subject Char"/>
    <w:basedOn w:val="CommentTextChar"/>
    <w:link w:val="CommentSubject"/>
    <w:uiPriority w:val="99"/>
    <w:semiHidden/>
    <w:rsid w:val="00F3600B"/>
    <w:rPr>
      <w:rFonts w:ascii="Times New Roman" w:eastAsia="Times New Roman" w:hAnsi="Times New Roman"/>
      <w:b/>
      <w:bCs/>
    </w:rPr>
  </w:style>
  <w:style w:type="character" w:styleId="FollowedHyperlink">
    <w:name w:val="FollowedHyperlink"/>
    <w:basedOn w:val="DefaultParagraphFont"/>
    <w:uiPriority w:val="99"/>
    <w:semiHidden/>
    <w:unhideWhenUsed/>
    <w:rsid w:val="00651F36"/>
    <w:rPr>
      <w:color w:val="800080" w:themeColor="followedHyperlink"/>
      <w:u w:val="single"/>
    </w:rPr>
  </w:style>
  <w:style w:type="character" w:customStyle="1" w:styleId="MargeChar">
    <w:name w:val="Marge Char"/>
    <w:link w:val="Marge"/>
    <w:rsid w:val="00BF3050"/>
    <w:rPr>
      <w:rFonts w:ascii="Arial" w:eastAsia="Times New Roman" w:hAnsi="Arial"/>
      <w:snapToGrid w:val="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D%C3%A9cisions/16.COM/14" TargetMode="External"/><Relationship Id="rId13" Type="http://schemas.openxmlformats.org/officeDocument/2006/relationships/hyperlink" Target="https://ich.unesco.org/fr/D%C3%A9cisions/8.COM/5.c.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ch.unesco.org/doc/src/LHE-23-18.COM_EXP-4_FR.docx" TargetMode="External"/><Relationship Id="rId17" Type="http://schemas.openxmlformats.org/officeDocument/2006/relationships/hyperlink" Target="https://ich.unesco.org/doc/src/59530-FR.docx" TargetMode="External"/><Relationship Id="rId2" Type="http://schemas.openxmlformats.org/officeDocument/2006/relationships/numbering" Target="numbering.xml"/><Relationship Id="rId16" Type="http://schemas.openxmlformats.org/officeDocument/2006/relationships/hyperlink" Target="https://ich.unesco.org/fr/ethique-et-pci-00866"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LHE-23-18.COM_WG_ART18-2_FR.docx" TargetMode="External"/><Relationship Id="rId5" Type="http://schemas.openxmlformats.org/officeDocument/2006/relationships/webSettings" Target="webSettings.xml"/><Relationship Id="rId15" Type="http://schemas.openxmlformats.org/officeDocument/2006/relationships/hyperlink" Target="https://ich.unesco.org/fr/D%C3%A9cisions/16.COM/14" TargetMode="External"/><Relationship Id="rId10" Type="http://schemas.openxmlformats.org/officeDocument/2006/relationships/hyperlink" Target="https://ich.unesco.org/doc/src/LHE-23-EXP_ART18-2_REV_FR.doc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ich.unesco.org/fr/D%C3%A9cisions/17.COM/10" TargetMode="External"/><Relationship Id="rId14" Type="http://schemas.openxmlformats.org/officeDocument/2006/relationships/hyperlink" Target="https://ich.unesco.org/doc/src/LHE-21-EXP-7-FR.docx"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EB52B-5D0D-4AF3-ABDF-CEE7C6568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document_FR</Template>
  <TotalTime>10</TotalTime>
  <Pages>8</Pages>
  <Words>4549</Words>
  <Characters>25021</Characters>
  <Application>Microsoft Office Word</Application>
  <DocSecurity>0</DocSecurity>
  <Lines>208</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Nakata Glenat, Keiichi Julien</cp:lastModifiedBy>
  <cp:revision>6</cp:revision>
  <cp:lastPrinted>2023-06-13T08:21:00Z</cp:lastPrinted>
  <dcterms:created xsi:type="dcterms:W3CDTF">2023-06-30T14:18:00Z</dcterms:created>
  <dcterms:modified xsi:type="dcterms:W3CDTF">2023-06-30T19:43:00Z</dcterms:modified>
</cp:coreProperties>
</file>