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830B" w14:textId="77777777" w:rsidR="002938F2" w:rsidRPr="008F54FA" w:rsidRDefault="002938F2" w:rsidP="00AE1B18">
      <w:pPr>
        <w:spacing w:before="1440"/>
        <w:jc w:val="center"/>
        <w:rPr>
          <w:rFonts w:ascii="Arial" w:hAnsi="Arial" w:cs="Arial"/>
          <w:b/>
          <w:szCs w:val="22"/>
        </w:rPr>
      </w:pPr>
      <w:r w:rsidRPr="008F54FA">
        <w:rPr>
          <w:rFonts w:ascii="Arial" w:hAnsi="Arial" w:cs="Arial"/>
          <w:b/>
          <w:szCs w:val="22"/>
        </w:rPr>
        <w:t>CONVENT</w:t>
      </w:r>
      <w:r w:rsidR="00E72B36" w:rsidRPr="008F54FA">
        <w:rPr>
          <w:rFonts w:ascii="Arial" w:hAnsi="Arial" w:cs="Arial"/>
          <w:b/>
          <w:szCs w:val="22"/>
        </w:rPr>
        <w:t>ION FOR THE SAFEGUARDING OF THE</w:t>
      </w:r>
      <w:r w:rsidRPr="008F54FA">
        <w:rPr>
          <w:rFonts w:ascii="Arial" w:hAnsi="Arial" w:cs="Arial"/>
          <w:b/>
          <w:szCs w:val="22"/>
        </w:rPr>
        <w:br/>
        <w:t>INTANGIBLE CULTURAL HERITAGE</w:t>
      </w:r>
    </w:p>
    <w:p w14:paraId="1D2DE622" w14:textId="77777777" w:rsidR="007E4E37" w:rsidRPr="008F54FA" w:rsidRDefault="007E4E37" w:rsidP="007E4E37">
      <w:pPr>
        <w:spacing w:before="1200"/>
        <w:jc w:val="center"/>
        <w:rPr>
          <w:rFonts w:ascii="Arial" w:hAnsi="Arial" w:cs="Arial"/>
          <w:b/>
          <w:szCs w:val="22"/>
        </w:rPr>
      </w:pPr>
      <w:r w:rsidRPr="008F54FA">
        <w:rPr>
          <w:rFonts w:ascii="Arial" w:hAnsi="Arial" w:cs="Arial"/>
          <w:b/>
          <w:szCs w:val="22"/>
        </w:rPr>
        <w:t>INTERGOVERNMENTAL COMMITTEE FOR THE</w:t>
      </w:r>
      <w:r w:rsidRPr="008F54FA">
        <w:rPr>
          <w:rFonts w:ascii="Arial" w:hAnsi="Arial" w:cs="Arial"/>
          <w:b/>
          <w:szCs w:val="22"/>
        </w:rPr>
        <w:br/>
        <w:t>SAFEGUARDING OF THE INTANGIBLE CULTURAL HERITAGE</w:t>
      </w:r>
    </w:p>
    <w:p w14:paraId="04E2757B" w14:textId="78D43A04" w:rsidR="00FD1941" w:rsidRPr="008F54FA" w:rsidRDefault="00025B58" w:rsidP="00FD1941">
      <w:pPr>
        <w:spacing w:before="840" w:after="0"/>
        <w:jc w:val="center"/>
        <w:rPr>
          <w:rFonts w:ascii="Arial" w:eastAsiaTheme="minorEastAsia" w:hAnsi="Arial" w:cs="Arial"/>
          <w:b/>
          <w:szCs w:val="22"/>
          <w:lang w:eastAsia="ko-KR"/>
        </w:rPr>
      </w:pPr>
      <w:bookmarkStart w:id="0" w:name="_Hlk70514086"/>
      <w:r w:rsidRPr="008F54FA">
        <w:rPr>
          <w:rFonts w:ascii="Arial" w:eastAsiaTheme="minorEastAsia" w:hAnsi="Arial" w:cs="Arial"/>
          <w:b/>
          <w:szCs w:val="22"/>
          <w:lang w:eastAsia="ko-KR"/>
        </w:rPr>
        <w:t>Eight</w:t>
      </w:r>
      <w:r w:rsidR="007F3697" w:rsidRPr="008F54FA">
        <w:rPr>
          <w:rFonts w:ascii="Arial" w:eastAsiaTheme="minorEastAsia" w:hAnsi="Arial" w:cs="Arial"/>
          <w:b/>
          <w:szCs w:val="22"/>
          <w:lang w:eastAsia="ko-KR"/>
        </w:rPr>
        <w:t>eenth</w:t>
      </w:r>
      <w:r w:rsidR="00483688" w:rsidRPr="008F54FA">
        <w:rPr>
          <w:rFonts w:ascii="Arial" w:eastAsiaTheme="minorEastAsia" w:hAnsi="Arial" w:cs="Arial"/>
          <w:b/>
          <w:szCs w:val="22"/>
          <w:lang w:eastAsia="ko-KR"/>
        </w:rPr>
        <w:t xml:space="preserve"> </w:t>
      </w:r>
      <w:bookmarkEnd w:id="0"/>
      <w:r w:rsidR="00FD1941" w:rsidRPr="008F54FA">
        <w:rPr>
          <w:rFonts w:ascii="Arial" w:eastAsiaTheme="minorEastAsia" w:hAnsi="Arial" w:cs="Arial"/>
          <w:b/>
          <w:szCs w:val="22"/>
          <w:lang w:eastAsia="ko-KR"/>
        </w:rPr>
        <w:t>session</w:t>
      </w:r>
    </w:p>
    <w:p w14:paraId="7EC19BF6" w14:textId="7B8562BA" w:rsidR="00FD1941" w:rsidRPr="008F54FA" w:rsidRDefault="00517D40" w:rsidP="00483688">
      <w:pPr>
        <w:spacing w:after="0"/>
        <w:jc w:val="center"/>
        <w:rPr>
          <w:rFonts w:ascii="Arial" w:eastAsiaTheme="minorEastAsia" w:hAnsi="Arial" w:cs="Arial"/>
          <w:b/>
          <w:szCs w:val="22"/>
          <w:lang w:eastAsia="ko-KR"/>
        </w:rPr>
      </w:pPr>
      <w:bookmarkStart w:id="1" w:name="_Hlk70514101"/>
      <w:r w:rsidRPr="008F54FA">
        <w:rPr>
          <w:rFonts w:ascii="Arial" w:eastAsiaTheme="minorEastAsia" w:hAnsi="Arial" w:cs="Arial"/>
          <w:b/>
          <w:szCs w:val="22"/>
          <w:lang w:eastAsia="ko-KR"/>
        </w:rPr>
        <w:t>Kasane</w:t>
      </w:r>
      <w:r w:rsidR="00FD3235" w:rsidRPr="008F54FA">
        <w:rPr>
          <w:rFonts w:ascii="Arial" w:eastAsiaTheme="minorEastAsia" w:hAnsi="Arial" w:cs="Arial"/>
          <w:b/>
          <w:szCs w:val="22"/>
          <w:lang w:eastAsia="ko-KR"/>
        </w:rPr>
        <w:t xml:space="preserve">, </w:t>
      </w:r>
      <w:r w:rsidR="00025B58" w:rsidRPr="008F54FA">
        <w:rPr>
          <w:rFonts w:ascii="Arial" w:eastAsiaTheme="minorEastAsia" w:hAnsi="Arial" w:cs="Arial"/>
          <w:b/>
          <w:szCs w:val="22"/>
          <w:lang w:eastAsia="ko-KR"/>
        </w:rPr>
        <w:t>Republic of Botswana</w:t>
      </w:r>
    </w:p>
    <w:p w14:paraId="1F8ED81E" w14:textId="670848D9" w:rsidR="00F228E9" w:rsidRPr="008F54FA" w:rsidRDefault="00025B58" w:rsidP="00F228E9">
      <w:pPr>
        <w:spacing w:after="0"/>
        <w:jc w:val="center"/>
        <w:rPr>
          <w:rFonts w:ascii="Arial" w:eastAsiaTheme="minorEastAsia" w:hAnsi="Arial" w:cs="Arial"/>
          <w:b/>
          <w:szCs w:val="22"/>
          <w:lang w:eastAsia="ko-KR"/>
        </w:rPr>
      </w:pPr>
      <w:r w:rsidRPr="008F54FA">
        <w:rPr>
          <w:rFonts w:ascii="Arial" w:eastAsiaTheme="minorEastAsia" w:hAnsi="Arial" w:cs="Arial"/>
          <w:b/>
          <w:szCs w:val="22"/>
          <w:lang w:eastAsia="ko-KR"/>
        </w:rPr>
        <w:t>4</w:t>
      </w:r>
      <w:r w:rsidR="00F228E9" w:rsidRPr="008F54FA">
        <w:rPr>
          <w:rFonts w:ascii="Arial" w:eastAsiaTheme="minorEastAsia" w:hAnsi="Arial" w:cs="Arial"/>
          <w:b/>
          <w:szCs w:val="22"/>
          <w:lang w:eastAsia="ko-KR"/>
        </w:rPr>
        <w:t xml:space="preserve"> to </w:t>
      </w:r>
      <w:r w:rsidRPr="008F54FA">
        <w:rPr>
          <w:rFonts w:ascii="Arial" w:eastAsiaTheme="minorEastAsia" w:hAnsi="Arial" w:cs="Arial"/>
          <w:b/>
          <w:szCs w:val="22"/>
          <w:lang w:eastAsia="ko-KR"/>
        </w:rPr>
        <w:t>9</w:t>
      </w:r>
      <w:r w:rsidR="00F228E9" w:rsidRPr="008F54FA">
        <w:rPr>
          <w:rFonts w:ascii="Arial" w:eastAsiaTheme="minorEastAsia" w:hAnsi="Arial" w:cs="Arial"/>
          <w:b/>
          <w:szCs w:val="22"/>
          <w:lang w:eastAsia="ko-KR"/>
        </w:rPr>
        <w:t xml:space="preserve"> December 202</w:t>
      </w:r>
      <w:r w:rsidRPr="008F54FA">
        <w:rPr>
          <w:rFonts w:ascii="Arial" w:eastAsiaTheme="minorEastAsia" w:hAnsi="Arial" w:cs="Arial"/>
          <w:b/>
          <w:szCs w:val="22"/>
          <w:lang w:eastAsia="ko-KR"/>
        </w:rPr>
        <w:t>3</w:t>
      </w:r>
    </w:p>
    <w:bookmarkEnd w:id="1"/>
    <w:p w14:paraId="6F539E8D" w14:textId="01B714B1" w:rsidR="00323D91" w:rsidRDefault="000326D5" w:rsidP="00323D91">
      <w:pPr>
        <w:spacing w:before="1200" w:after="0"/>
        <w:jc w:val="center"/>
        <w:rPr>
          <w:rFonts w:ascii="Arial" w:eastAsiaTheme="minorEastAsia" w:hAnsi="Arial" w:cs="Arial"/>
          <w:b/>
          <w:szCs w:val="22"/>
          <w:u w:val="single"/>
          <w:lang w:eastAsia="ko-KR"/>
        </w:rPr>
      </w:pPr>
      <w:r w:rsidRPr="008F54FA">
        <w:rPr>
          <w:rFonts w:ascii="Arial" w:eastAsiaTheme="minorEastAsia" w:hAnsi="Arial" w:cs="Arial"/>
          <w:b/>
          <w:szCs w:val="22"/>
          <w:u w:val="single"/>
          <w:lang w:eastAsia="ko-KR"/>
        </w:rPr>
        <w:t>Report on the use of the resources of</w:t>
      </w:r>
      <w:r w:rsidR="00323D91">
        <w:rPr>
          <w:rFonts w:ascii="Arial" w:eastAsiaTheme="minorEastAsia" w:hAnsi="Arial" w:cs="Arial"/>
          <w:b/>
          <w:szCs w:val="22"/>
          <w:u w:val="single"/>
          <w:lang w:eastAsia="ko-KR"/>
        </w:rPr>
        <w:t xml:space="preserve"> </w:t>
      </w:r>
      <w:r w:rsidRPr="008F54FA">
        <w:rPr>
          <w:rFonts w:ascii="Arial" w:eastAsiaTheme="minorEastAsia" w:hAnsi="Arial" w:cs="Arial"/>
          <w:b/>
          <w:szCs w:val="22"/>
          <w:u w:val="single"/>
          <w:lang w:eastAsia="ko-KR"/>
        </w:rPr>
        <w:t>the Intangible Cultural Heritage Fund</w:t>
      </w:r>
    </w:p>
    <w:p w14:paraId="0767739C" w14:textId="291D97C1" w:rsidR="00884E20" w:rsidRPr="008F54FA" w:rsidRDefault="000326D5" w:rsidP="00323D91">
      <w:pPr>
        <w:spacing w:after="960"/>
        <w:jc w:val="center"/>
        <w:rPr>
          <w:rFonts w:ascii="Arial" w:eastAsiaTheme="minorEastAsia" w:hAnsi="Arial" w:cs="Arial"/>
          <w:b/>
          <w:szCs w:val="22"/>
          <w:u w:val="single"/>
          <w:lang w:eastAsia="ko-KR"/>
        </w:rPr>
      </w:pPr>
      <w:r w:rsidRPr="008F54FA">
        <w:rPr>
          <w:rFonts w:ascii="Arial" w:eastAsiaTheme="minorEastAsia" w:hAnsi="Arial" w:cs="Arial"/>
          <w:b/>
          <w:szCs w:val="22"/>
          <w:u w:val="single"/>
          <w:lang w:eastAsia="ko-KR"/>
        </w:rPr>
        <w:t xml:space="preserve"> </w:t>
      </w:r>
      <w:r w:rsidR="00323D91" w:rsidRPr="00323D91">
        <w:rPr>
          <w:rFonts w:ascii="Arial" w:eastAsiaTheme="minorEastAsia" w:hAnsi="Arial" w:cs="Arial"/>
          <w:b/>
          <w:szCs w:val="22"/>
          <w:u w:val="single"/>
          <w:lang w:eastAsia="ko-KR"/>
        </w:rPr>
        <w:t>for the period 1 January 2022 to 30 June 2023</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BB0067" w:rsidRPr="008F54FA" w14:paraId="6F07654A" w14:textId="77777777" w:rsidTr="00507D7B">
        <w:trPr>
          <w:jc w:val="center"/>
        </w:trPr>
        <w:tc>
          <w:tcPr>
            <w:tcW w:w="5669" w:type="dxa"/>
          </w:tcPr>
          <w:p w14:paraId="342FC511" w14:textId="77777777" w:rsidR="00BB0067" w:rsidRPr="008F54FA" w:rsidRDefault="00BB0067" w:rsidP="00507D7B">
            <w:pPr>
              <w:pStyle w:val="NoSpacing"/>
              <w:spacing w:before="200" w:after="200"/>
              <w:ind w:left="284" w:right="284"/>
              <w:jc w:val="center"/>
              <w:rPr>
                <w:rFonts w:ascii="Arial" w:hAnsi="Arial" w:cs="Arial"/>
                <w:b/>
                <w:sz w:val="22"/>
                <w:szCs w:val="22"/>
                <w:lang w:val="en-GB"/>
              </w:rPr>
            </w:pPr>
            <w:r w:rsidRPr="008F54FA">
              <w:rPr>
                <w:rFonts w:ascii="Arial" w:hAnsi="Arial" w:cs="Arial"/>
                <w:b/>
                <w:sz w:val="22"/>
                <w:szCs w:val="22"/>
                <w:lang w:val="en-GB"/>
              </w:rPr>
              <w:t>Summary</w:t>
            </w:r>
          </w:p>
          <w:p w14:paraId="27A7E4F5" w14:textId="72B93251" w:rsidR="00BB0067" w:rsidRPr="008F54FA" w:rsidRDefault="00BB0067" w:rsidP="00507D7B">
            <w:pPr>
              <w:pStyle w:val="Pranumrotrecommenc1"/>
              <w:tabs>
                <w:tab w:val="clear" w:pos="360"/>
              </w:tabs>
              <w:spacing w:before="200" w:after="200"/>
              <w:ind w:left="0" w:firstLine="0"/>
              <w:jc w:val="both"/>
              <w:rPr>
                <w:rFonts w:cs="Arial"/>
                <w:sz w:val="22"/>
                <w:szCs w:val="22"/>
                <w:lang w:val="en-GB"/>
              </w:rPr>
            </w:pPr>
            <w:r w:rsidRPr="008F54FA">
              <w:rPr>
                <w:rFonts w:cs="Arial"/>
                <w:sz w:val="22"/>
                <w:szCs w:val="22"/>
                <w:lang w:val="en-GB"/>
              </w:rPr>
              <w:t xml:space="preserve">In conformity with Article 10 of the </w:t>
            </w:r>
            <w:r w:rsidR="000A5E8D" w:rsidRPr="008F54FA">
              <w:rPr>
                <w:rFonts w:cs="Arial"/>
                <w:sz w:val="22"/>
                <w:szCs w:val="22"/>
                <w:lang w:val="en-GB"/>
              </w:rPr>
              <w:t xml:space="preserve">Financial Regulations of the </w:t>
            </w:r>
            <w:r w:rsidRPr="008F54FA">
              <w:rPr>
                <w:rFonts w:cs="Arial"/>
                <w:sz w:val="22"/>
                <w:szCs w:val="22"/>
                <w:lang w:val="en-GB"/>
              </w:rPr>
              <w:t xml:space="preserve">Special Account for the Fund for the Safeguarding of the Intangible Cultural Heritage, </w:t>
            </w:r>
            <w:bookmarkStart w:id="2" w:name="_Hlk101342700"/>
            <w:r w:rsidRPr="008F54FA">
              <w:rPr>
                <w:rFonts w:cs="Arial"/>
                <w:sz w:val="22"/>
                <w:szCs w:val="22"/>
                <w:lang w:val="en-GB"/>
              </w:rPr>
              <w:t>the present document includes</w:t>
            </w:r>
            <w:r w:rsidR="00735A94" w:rsidRPr="008F54FA">
              <w:rPr>
                <w:rFonts w:cs="Arial"/>
                <w:sz w:val="22"/>
                <w:szCs w:val="22"/>
                <w:lang w:val="en-GB"/>
              </w:rPr>
              <w:t xml:space="preserve"> </w:t>
            </w:r>
            <w:r w:rsidRPr="008F54FA">
              <w:rPr>
                <w:rFonts w:cs="Arial"/>
                <w:sz w:val="22"/>
                <w:szCs w:val="22"/>
                <w:lang w:val="en-GB"/>
              </w:rPr>
              <w:t>narrative and financial reports for the Intangible Cultural Heritage Fund for the period 1 January 2022 to 30 June 2023.</w:t>
            </w:r>
            <w:bookmarkEnd w:id="2"/>
          </w:p>
        </w:tc>
      </w:tr>
    </w:tbl>
    <w:p w14:paraId="3A8E0795" w14:textId="77777777" w:rsidR="00735A94" w:rsidRPr="008F54FA" w:rsidRDefault="00851458" w:rsidP="004C5C23">
      <w:pPr>
        <w:pStyle w:val="1GAPara"/>
        <w:ind w:left="567" w:hanging="567"/>
        <w:jc w:val="both"/>
      </w:pPr>
      <w:r w:rsidRPr="008F54FA">
        <w:br w:type="page"/>
      </w:r>
    </w:p>
    <w:p w14:paraId="5EE62E12" w14:textId="77777777" w:rsidR="00735A94" w:rsidRPr="008F54FA" w:rsidRDefault="00735A94" w:rsidP="00513825">
      <w:pPr>
        <w:pStyle w:val="1GAPara"/>
        <w:numPr>
          <w:ilvl w:val="0"/>
          <w:numId w:val="0"/>
        </w:numPr>
        <w:ind w:left="720" w:hanging="153"/>
        <w:rPr>
          <w:b/>
          <w:bCs/>
        </w:rPr>
      </w:pPr>
      <w:r w:rsidRPr="008F54FA">
        <w:rPr>
          <w:b/>
          <w:bCs/>
        </w:rPr>
        <w:lastRenderedPageBreak/>
        <w:t xml:space="preserve">Background </w:t>
      </w:r>
    </w:p>
    <w:p w14:paraId="41A01FAD" w14:textId="1A4EF1E8" w:rsidR="00E22B99" w:rsidRPr="008F54FA" w:rsidRDefault="00CA07FE" w:rsidP="00AD1D70">
      <w:pPr>
        <w:pStyle w:val="1GAPara"/>
        <w:numPr>
          <w:ilvl w:val="0"/>
          <w:numId w:val="7"/>
        </w:numPr>
        <w:ind w:left="567" w:hanging="567"/>
        <w:jc w:val="both"/>
      </w:pPr>
      <w:r w:rsidRPr="008F54FA">
        <w:t xml:space="preserve">The Special Account for the Fund for the Safeguarding of the Intangible Cultural Heritage (hereafter ‘the Fund’) is governed by its Financial Regulations, adopted by the Committee at its first extraordinary session and last amended by the General Assembly at its eighth session (Resolution </w:t>
      </w:r>
      <w:hyperlink r:id="rId8" w:history="1">
        <w:r w:rsidRPr="008F54FA">
          <w:rPr>
            <w:rStyle w:val="Hyperlink"/>
          </w:rPr>
          <w:t>8.GA 7</w:t>
        </w:r>
      </w:hyperlink>
      <w:r w:rsidRPr="008F54FA">
        <w:t xml:space="preserve">). </w:t>
      </w:r>
      <w:r w:rsidR="00395970" w:rsidRPr="008F54FA">
        <w:t xml:space="preserve">In conformity with Article 10 of the Financial Regulations, a biennial financial report showing the income and expenditure and a biennial narrative report shall be submitted to the Committee. </w:t>
      </w:r>
      <w:r w:rsidR="00735A94" w:rsidRPr="008F54FA">
        <w:t>The present document includes such reports, covering the period from 1 January 2022 to 30 June 2023</w:t>
      </w:r>
      <w:r w:rsidR="00395970" w:rsidRPr="008F54FA">
        <w:t>.</w:t>
      </w:r>
      <w:r w:rsidR="000A5E8D" w:rsidRPr="008F54FA">
        <w:t xml:space="preserve"> A document covering the entire biennium from 1 January 2022 to 31 December 2023 will then be presented to the tenth session of the General Assembly in mid-2024.</w:t>
      </w:r>
    </w:p>
    <w:p w14:paraId="4A7EE787" w14:textId="1D38E9B4" w:rsidR="004C5C23" w:rsidRPr="008F54FA" w:rsidRDefault="007F5A76" w:rsidP="001E0929">
      <w:pPr>
        <w:pStyle w:val="1GAPara"/>
        <w:ind w:left="567" w:hanging="567"/>
        <w:jc w:val="both"/>
      </w:pPr>
      <w:r w:rsidRPr="008F54FA">
        <w:t>The reports should be read in conjunction with</w:t>
      </w:r>
      <w:r w:rsidR="007F2304" w:rsidRPr="008F54FA">
        <w:t xml:space="preserve"> the overview of status and trends of the Fund contained in document </w:t>
      </w:r>
      <w:bookmarkStart w:id="3" w:name="_Hlk147410912"/>
      <w:r w:rsidR="001460CA" w:rsidRPr="008F54FA">
        <w:fldChar w:fldCharType="begin"/>
      </w:r>
      <w:r w:rsidR="001460CA" w:rsidRPr="008F54FA">
        <w:instrText>HYPERLINK "https://ich.unesco.org/doc/src/LHE-23-18.COM-14_EN.docx"</w:instrText>
      </w:r>
      <w:r w:rsidR="001460CA" w:rsidRPr="008F54FA">
        <w:fldChar w:fldCharType="separate"/>
      </w:r>
      <w:r w:rsidR="007F2304" w:rsidRPr="008F54FA">
        <w:rPr>
          <w:rStyle w:val="Hyperlink"/>
        </w:rPr>
        <w:t>LHE/23/18.COM/14</w:t>
      </w:r>
      <w:bookmarkEnd w:id="3"/>
      <w:r w:rsidR="001460CA" w:rsidRPr="008F54FA">
        <w:fldChar w:fldCharType="end"/>
      </w:r>
      <w:r w:rsidR="000A5E8D" w:rsidRPr="008F54FA">
        <w:t xml:space="preserve">, </w:t>
      </w:r>
      <w:r w:rsidR="007F2304" w:rsidRPr="008F54FA">
        <w:t xml:space="preserve">the Report by the Secretariat on its activities during the same reporting period (document </w:t>
      </w:r>
      <w:hyperlink r:id="rId9" w:history="1">
        <w:r w:rsidR="007F2304" w:rsidRPr="008F54FA">
          <w:rPr>
            <w:rStyle w:val="Hyperlink"/>
          </w:rPr>
          <w:t>LHE/23/18.COM/5</w:t>
        </w:r>
      </w:hyperlink>
      <w:r w:rsidR="007F2304" w:rsidRPr="008F54FA">
        <w:t>)</w:t>
      </w:r>
      <w:r w:rsidR="000A5E8D" w:rsidRPr="008F54FA">
        <w:t xml:space="preserve"> and the two reports on voluntary supplementary contributions received during the period (documents </w:t>
      </w:r>
      <w:hyperlink r:id="rId10" w:history="1">
        <w:r w:rsidR="000A5E8D" w:rsidRPr="008F54FA">
          <w:rPr>
            <w:rStyle w:val="Hyperlink"/>
          </w:rPr>
          <w:t>LHE/22/17.COM/12</w:t>
        </w:r>
      </w:hyperlink>
      <w:r w:rsidR="000A5E8D" w:rsidRPr="008F54FA">
        <w:t xml:space="preserve"> and </w:t>
      </w:r>
      <w:hyperlink r:id="rId11" w:history="1">
        <w:r w:rsidR="000A5E8D" w:rsidRPr="008F54FA">
          <w:rPr>
            <w:rStyle w:val="Hyperlink"/>
          </w:rPr>
          <w:t>LHE/23/18.COM/13</w:t>
        </w:r>
      </w:hyperlink>
      <w:r w:rsidR="000A5E8D" w:rsidRPr="008F54FA">
        <w:t>)</w:t>
      </w:r>
      <w:r w:rsidR="007F2304" w:rsidRPr="008F54FA">
        <w:t>.</w:t>
      </w:r>
    </w:p>
    <w:p w14:paraId="712F44DA" w14:textId="1C225F43" w:rsidR="004C5C23" w:rsidRPr="008F54FA" w:rsidRDefault="004C5C23" w:rsidP="004C5C23">
      <w:pPr>
        <w:pStyle w:val="1GAPara"/>
        <w:ind w:left="567" w:hanging="567"/>
      </w:pPr>
      <w:r w:rsidRPr="008F54FA">
        <w:t xml:space="preserve">The present document contains: </w:t>
      </w:r>
    </w:p>
    <w:p w14:paraId="3D71538F" w14:textId="77777777" w:rsidR="004C5C23" w:rsidRPr="008F54FA" w:rsidRDefault="004C5C23" w:rsidP="00AD1D70">
      <w:pPr>
        <w:pStyle w:val="1GAPara"/>
        <w:numPr>
          <w:ilvl w:val="0"/>
          <w:numId w:val="4"/>
        </w:numPr>
        <w:ind w:left="992" w:hanging="425"/>
        <w:jc w:val="both"/>
      </w:pPr>
      <w:r w:rsidRPr="008F54FA">
        <w:t>an overview of the income of the Fund (Part A);</w:t>
      </w:r>
    </w:p>
    <w:p w14:paraId="3F9F723C" w14:textId="77777777" w:rsidR="004C5C23" w:rsidRPr="008F54FA" w:rsidRDefault="004C5C23" w:rsidP="00AD1D70">
      <w:pPr>
        <w:pStyle w:val="1GAPara"/>
        <w:numPr>
          <w:ilvl w:val="0"/>
          <w:numId w:val="4"/>
        </w:numPr>
        <w:ind w:left="992" w:hanging="425"/>
        <w:jc w:val="both"/>
      </w:pPr>
      <w:r w:rsidRPr="008F54FA">
        <w:t>a report on the use of the financial resources of the Fund (Part B);</w:t>
      </w:r>
    </w:p>
    <w:p w14:paraId="62EE471B" w14:textId="278E843C" w:rsidR="004C5C23" w:rsidRPr="008F54FA" w:rsidRDefault="004C5C23" w:rsidP="00AD1D70">
      <w:pPr>
        <w:pStyle w:val="1GAPara"/>
        <w:numPr>
          <w:ilvl w:val="0"/>
          <w:numId w:val="4"/>
        </w:numPr>
        <w:ind w:left="992" w:hanging="425"/>
        <w:jc w:val="both"/>
      </w:pPr>
      <w:r w:rsidRPr="008F54FA">
        <w:t>Annex I – the financial report of the Fund for the reporting period (Statement I) and the associated schedule of appropriations and expenditure for the same period (Schedule</w:t>
      </w:r>
      <w:r w:rsidR="00776DAE" w:rsidRPr="008F54FA">
        <w:t> </w:t>
      </w:r>
      <w:r w:rsidRPr="008F54FA">
        <w:t>1.1);</w:t>
      </w:r>
    </w:p>
    <w:p w14:paraId="6A2AB272" w14:textId="2173B11D" w:rsidR="004C5C23" w:rsidRPr="008F54FA" w:rsidRDefault="004C5C23" w:rsidP="00AD1D70">
      <w:pPr>
        <w:pStyle w:val="1GAPara"/>
        <w:numPr>
          <w:ilvl w:val="0"/>
          <w:numId w:val="4"/>
        </w:numPr>
        <w:ind w:left="992" w:hanging="425"/>
        <w:jc w:val="both"/>
      </w:pPr>
      <w:r w:rsidRPr="008F54FA">
        <w:t xml:space="preserve">Annex II – the list of voluntary supplementary contributions paid between 1 January 2022 </w:t>
      </w:r>
      <w:r w:rsidR="00776DAE" w:rsidRPr="008F54FA">
        <w:t xml:space="preserve">and </w:t>
      </w:r>
      <w:r w:rsidRPr="008F54FA">
        <w:t xml:space="preserve">30 June 2023 for specific purposes, as stipulated in Article 25.5 of the Convention, following a decision of the Committee; </w:t>
      </w:r>
    </w:p>
    <w:p w14:paraId="030C9EE0" w14:textId="2133F0FD" w:rsidR="004C5C23" w:rsidRPr="008F54FA" w:rsidRDefault="004C5C23" w:rsidP="00AD1D70">
      <w:pPr>
        <w:pStyle w:val="1GAPara"/>
        <w:numPr>
          <w:ilvl w:val="0"/>
          <w:numId w:val="4"/>
        </w:numPr>
        <w:ind w:left="992" w:hanging="425"/>
        <w:jc w:val="both"/>
      </w:pPr>
      <w:r w:rsidRPr="008F54FA">
        <w:t>Annex III – the total expenditure incurred for each specific activity/project approved by the Committee, from its beginning until 3</w:t>
      </w:r>
      <w:r w:rsidR="005D3BB6" w:rsidRPr="008F54FA">
        <w:t>0</w:t>
      </w:r>
      <w:r w:rsidRPr="008F54FA">
        <w:t xml:space="preserve"> </w:t>
      </w:r>
      <w:r w:rsidR="005D3BB6" w:rsidRPr="008F54FA">
        <w:t>June 2023</w:t>
      </w:r>
      <w:r w:rsidRPr="008F54FA">
        <w:t>;</w:t>
      </w:r>
    </w:p>
    <w:p w14:paraId="1637BA97" w14:textId="77777777" w:rsidR="004C5C23" w:rsidRPr="008F54FA" w:rsidRDefault="004C5C23" w:rsidP="00AD1D70">
      <w:pPr>
        <w:pStyle w:val="1GAPara"/>
        <w:numPr>
          <w:ilvl w:val="0"/>
          <w:numId w:val="4"/>
        </w:numPr>
        <w:ind w:left="992" w:hanging="425"/>
        <w:jc w:val="both"/>
      </w:pPr>
      <w:r w:rsidRPr="008F54FA">
        <w:t>Annex IV – the forecasts, based on the Secretariat’s estimation, for the future use of the funds allocated to ongoing specific activities/projects approved by the Committee;</w:t>
      </w:r>
    </w:p>
    <w:p w14:paraId="72FDE3B5" w14:textId="13DB05F6" w:rsidR="004C5C23" w:rsidRPr="008F54FA" w:rsidRDefault="004C5C23" w:rsidP="00AD1D70">
      <w:pPr>
        <w:pStyle w:val="1GAPara"/>
        <w:numPr>
          <w:ilvl w:val="0"/>
          <w:numId w:val="4"/>
        </w:numPr>
        <w:ind w:left="992" w:hanging="425"/>
        <w:jc w:val="both"/>
      </w:pPr>
      <w:r w:rsidRPr="008F54FA">
        <w:t>Annex V –</w:t>
      </w:r>
      <w:r w:rsidR="00776DAE" w:rsidRPr="008F54FA">
        <w:t xml:space="preserve"> a</w:t>
      </w:r>
      <w:r w:rsidRPr="008F54FA">
        <w:t xml:space="preserve"> </w:t>
      </w:r>
      <w:r w:rsidR="005D3BB6" w:rsidRPr="008F54FA">
        <w:t xml:space="preserve">detailed report on the progress of the implementation of the spending plan for the ‘other functions of the Committee’ for the period 1 January 2022 to 30 June 2023. </w:t>
      </w:r>
    </w:p>
    <w:p w14:paraId="1E26CC9B" w14:textId="54717264" w:rsidR="000326D5" w:rsidRPr="008F54FA" w:rsidRDefault="000326D5" w:rsidP="00AD1D70">
      <w:pPr>
        <w:pStyle w:val="1GAPara"/>
        <w:numPr>
          <w:ilvl w:val="0"/>
          <w:numId w:val="3"/>
        </w:numPr>
        <w:ind w:left="567" w:hanging="567"/>
        <w:rPr>
          <w:b/>
          <w:bCs/>
        </w:rPr>
      </w:pPr>
      <w:r w:rsidRPr="008F54FA">
        <w:rPr>
          <w:b/>
          <w:bCs/>
        </w:rPr>
        <w:t>Income (</w:t>
      </w:r>
      <w:r w:rsidR="004C5C23" w:rsidRPr="008F54FA">
        <w:rPr>
          <w:b/>
          <w:bCs/>
        </w:rPr>
        <w:t>Statement I in Annex I and Annex II</w:t>
      </w:r>
      <w:r w:rsidRPr="008F54FA">
        <w:rPr>
          <w:b/>
          <w:bCs/>
        </w:rPr>
        <w:t>)</w:t>
      </w:r>
      <w:r w:rsidR="007F5A76" w:rsidRPr="008F54FA">
        <w:rPr>
          <w:rStyle w:val="FootnoteReference"/>
          <w:b/>
          <w:bCs/>
        </w:rPr>
        <w:footnoteReference w:id="2"/>
      </w:r>
    </w:p>
    <w:p w14:paraId="4C83C717" w14:textId="30D17DDA" w:rsidR="007F5A76" w:rsidRPr="008F54FA" w:rsidRDefault="007F5A76" w:rsidP="00507D7B">
      <w:pPr>
        <w:pStyle w:val="1GAPara"/>
        <w:ind w:left="567" w:hanging="567"/>
        <w:jc w:val="both"/>
        <w:rPr>
          <w:rFonts w:asciiTheme="minorBidi" w:hAnsiTheme="minorBidi" w:cstheme="minorBidi"/>
        </w:rPr>
      </w:pPr>
      <w:r w:rsidRPr="008F54FA">
        <w:t xml:space="preserve">The sources of income are governed by Article 25.3 of the Convention and Article 5 of the above-mentioned Financial Regulations. </w:t>
      </w:r>
      <w:r w:rsidRPr="008F54FA">
        <w:rPr>
          <w:rFonts w:asciiTheme="minorBidi" w:hAnsiTheme="minorBidi" w:cstheme="minorBidi"/>
        </w:rPr>
        <w:t>During the reporting period, income of the Fund consisted of:</w:t>
      </w:r>
    </w:p>
    <w:tbl>
      <w:tblPr>
        <w:tblStyle w:val="TableGrid"/>
        <w:tblW w:w="0" w:type="auto"/>
        <w:tblInd w:w="567" w:type="dxa"/>
        <w:tblLook w:val="04A0" w:firstRow="1" w:lastRow="0" w:firstColumn="1" w:lastColumn="0" w:noHBand="0" w:noVBand="1"/>
      </w:tblPr>
      <w:tblGrid>
        <w:gridCol w:w="7077"/>
        <w:gridCol w:w="1984"/>
      </w:tblGrid>
      <w:tr w:rsidR="008E464F" w:rsidRPr="008F54FA" w14:paraId="732B9637" w14:textId="77777777" w:rsidTr="00FA40E0">
        <w:trPr>
          <w:cantSplit/>
        </w:trPr>
        <w:tc>
          <w:tcPr>
            <w:tcW w:w="9061" w:type="dxa"/>
            <w:gridSpan w:val="2"/>
          </w:tcPr>
          <w:p w14:paraId="407C1482" w14:textId="30DF58EB" w:rsidR="008E464F" w:rsidRPr="008F54FA" w:rsidRDefault="008E464F" w:rsidP="00AD1D70">
            <w:pPr>
              <w:pStyle w:val="1GAPara"/>
              <w:numPr>
                <w:ilvl w:val="0"/>
                <w:numId w:val="5"/>
              </w:numPr>
              <w:ind w:left="318"/>
              <w:jc w:val="both"/>
              <w:rPr>
                <w:sz w:val="20"/>
                <w:szCs w:val="20"/>
              </w:rPr>
            </w:pPr>
            <w:r w:rsidRPr="008F54FA">
              <w:rPr>
                <w:rFonts w:eastAsia="SimSun"/>
                <w:bCs/>
                <w:color w:val="000000"/>
                <w:sz w:val="20"/>
                <w:szCs w:val="20"/>
                <w:u w:val="single"/>
                <w:lang w:eastAsia="zh-CN"/>
              </w:rPr>
              <w:t>Compulsory and voluntary assessed contributions from States Parties</w:t>
            </w:r>
            <w:r w:rsidRPr="008F54FA">
              <w:rPr>
                <w:rFonts w:eastAsia="SimSun"/>
                <w:bCs/>
                <w:color w:val="000000"/>
                <w:sz w:val="20"/>
                <w:szCs w:val="20"/>
                <w:vertAlign w:val="superscript"/>
                <w:lang w:eastAsia="zh-CN"/>
              </w:rPr>
              <w:footnoteReference w:id="3"/>
            </w:r>
          </w:p>
        </w:tc>
      </w:tr>
      <w:tr w:rsidR="008E464F" w:rsidRPr="008F54FA" w14:paraId="7842248D" w14:textId="77777777" w:rsidTr="00FA40E0">
        <w:trPr>
          <w:cantSplit/>
        </w:trPr>
        <w:tc>
          <w:tcPr>
            <w:tcW w:w="7077" w:type="dxa"/>
            <w:vAlign w:val="center"/>
          </w:tcPr>
          <w:p w14:paraId="1D4C9061" w14:textId="484D3E0B" w:rsidR="008E464F" w:rsidRPr="008F54FA" w:rsidRDefault="008E464F" w:rsidP="007D43A7">
            <w:pPr>
              <w:pStyle w:val="1GAPara"/>
              <w:numPr>
                <w:ilvl w:val="0"/>
                <w:numId w:val="0"/>
              </w:numPr>
              <w:ind w:left="318"/>
              <w:jc w:val="both"/>
              <w:rPr>
                <w:sz w:val="20"/>
                <w:szCs w:val="20"/>
              </w:rPr>
            </w:pPr>
            <w:r w:rsidRPr="008F54FA">
              <w:rPr>
                <w:rFonts w:eastAsia="SimSun"/>
                <w:bCs/>
                <w:color w:val="000000"/>
                <w:sz w:val="20"/>
                <w:szCs w:val="20"/>
                <w:lang w:eastAsia="zh-CN"/>
              </w:rPr>
              <w:t xml:space="preserve">Compulsory </w:t>
            </w:r>
            <w:r w:rsidRPr="008F54FA">
              <w:rPr>
                <w:rFonts w:eastAsia="MS Mincho"/>
                <w:color w:val="000000"/>
                <w:sz w:val="20"/>
                <w:szCs w:val="20"/>
                <w:lang w:eastAsia="zh-CN"/>
              </w:rPr>
              <w:t>contributions</w:t>
            </w:r>
            <w:r w:rsidRPr="008F54FA">
              <w:rPr>
                <w:rFonts w:eastAsia="SimSun"/>
                <w:bCs/>
                <w:color w:val="000000"/>
                <w:sz w:val="20"/>
                <w:szCs w:val="20"/>
                <w:lang w:eastAsia="zh-CN"/>
              </w:rPr>
              <w:t xml:space="preserve"> from 175 States Parties to the Convention, as described in Article 26.1 of the Convention</w:t>
            </w:r>
          </w:p>
        </w:tc>
        <w:tc>
          <w:tcPr>
            <w:tcW w:w="1984" w:type="dxa"/>
          </w:tcPr>
          <w:p w14:paraId="1D4B993B" w14:textId="2FD772A5" w:rsidR="008E464F" w:rsidRPr="008F54FA" w:rsidRDefault="008E464F" w:rsidP="008E464F">
            <w:pPr>
              <w:pStyle w:val="1GAPara"/>
              <w:numPr>
                <w:ilvl w:val="0"/>
                <w:numId w:val="0"/>
              </w:numPr>
              <w:jc w:val="right"/>
              <w:rPr>
                <w:sz w:val="20"/>
                <w:szCs w:val="20"/>
              </w:rPr>
            </w:pPr>
            <w:r w:rsidRPr="008F54FA">
              <w:rPr>
                <w:rFonts w:eastAsia="SimSun"/>
                <w:bCs/>
                <w:color w:val="000000"/>
                <w:sz w:val="20"/>
                <w:szCs w:val="20"/>
                <w:lang w:eastAsia="zh-CN"/>
              </w:rPr>
              <w:t>US$3,956,410</w:t>
            </w:r>
          </w:p>
        </w:tc>
      </w:tr>
      <w:tr w:rsidR="008E464F" w:rsidRPr="008F54FA" w14:paraId="4DBB43CC" w14:textId="77777777" w:rsidTr="00FA40E0">
        <w:trPr>
          <w:cantSplit/>
        </w:trPr>
        <w:tc>
          <w:tcPr>
            <w:tcW w:w="7077" w:type="dxa"/>
            <w:vAlign w:val="center"/>
          </w:tcPr>
          <w:p w14:paraId="2433450A" w14:textId="22E92DA0" w:rsidR="008E464F" w:rsidRPr="008F54FA" w:rsidRDefault="008E464F" w:rsidP="007D43A7">
            <w:pPr>
              <w:pStyle w:val="1GAPara"/>
              <w:numPr>
                <w:ilvl w:val="0"/>
                <w:numId w:val="0"/>
              </w:numPr>
              <w:ind w:left="318"/>
              <w:jc w:val="both"/>
              <w:rPr>
                <w:sz w:val="20"/>
                <w:szCs w:val="20"/>
              </w:rPr>
            </w:pPr>
            <w:r w:rsidRPr="008F54FA">
              <w:rPr>
                <w:rFonts w:eastAsia="MS Mincho"/>
                <w:color w:val="000000"/>
                <w:sz w:val="20"/>
                <w:szCs w:val="20"/>
                <w:lang w:eastAsia="zh-CN"/>
              </w:rPr>
              <w:t>Voluntary</w:t>
            </w:r>
            <w:r w:rsidRPr="008F54FA">
              <w:rPr>
                <w:rFonts w:eastAsia="SimSun"/>
                <w:bCs/>
                <w:color w:val="000000"/>
                <w:sz w:val="20"/>
                <w:szCs w:val="20"/>
                <w:lang w:eastAsia="zh-CN"/>
              </w:rPr>
              <w:t xml:space="preserve"> contributions received from </w:t>
            </w:r>
            <w:r w:rsidRPr="008F54FA">
              <w:rPr>
                <w:rFonts w:eastAsia="SimSun"/>
                <w:bCs/>
                <w:sz w:val="20"/>
                <w:szCs w:val="20"/>
                <w:lang w:eastAsia="zh-CN"/>
              </w:rPr>
              <w:t xml:space="preserve">three </w:t>
            </w:r>
            <w:r w:rsidRPr="008F54FA">
              <w:rPr>
                <w:rFonts w:eastAsia="SimSun"/>
                <w:bCs/>
                <w:color w:val="000000"/>
                <w:sz w:val="20"/>
                <w:szCs w:val="20"/>
                <w:lang w:eastAsia="zh-CN"/>
              </w:rPr>
              <w:t xml:space="preserve">of the five States Parties, which, at the time of their ratification, had recourse to Article 26.2 of the Convention </w:t>
            </w:r>
          </w:p>
        </w:tc>
        <w:tc>
          <w:tcPr>
            <w:tcW w:w="1984" w:type="dxa"/>
          </w:tcPr>
          <w:p w14:paraId="5DEC4FB9" w14:textId="511E1176" w:rsidR="008E464F" w:rsidRPr="008F54FA" w:rsidRDefault="008E464F" w:rsidP="007D43A7">
            <w:pPr>
              <w:pStyle w:val="1GAPara"/>
              <w:numPr>
                <w:ilvl w:val="0"/>
                <w:numId w:val="0"/>
              </w:numPr>
              <w:jc w:val="right"/>
              <w:rPr>
                <w:sz w:val="20"/>
                <w:szCs w:val="20"/>
              </w:rPr>
            </w:pPr>
            <w:r w:rsidRPr="008F54FA">
              <w:rPr>
                <w:rFonts w:eastAsia="SimSun"/>
                <w:bCs/>
                <w:color w:val="000000"/>
                <w:sz w:val="20"/>
                <w:szCs w:val="20"/>
                <w:lang w:eastAsia="zh-CN"/>
              </w:rPr>
              <w:t>US$541,684</w:t>
            </w:r>
          </w:p>
        </w:tc>
      </w:tr>
      <w:tr w:rsidR="008E464F" w:rsidRPr="008F54FA" w14:paraId="100E156E" w14:textId="77777777" w:rsidTr="00FA40E0">
        <w:trPr>
          <w:cantSplit/>
        </w:trPr>
        <w:tc>
          <w:tcPr>
            <w:tcW w:w="9061" w:type="dxa"/>
            <w:gridSpan w:val="2"/>
          </w:tcPr>
          <w:p w14:paraId="128193C1" w14:textId="35D6D3CD" w:rsidR="008E464F" w:rsidRPr="008F54FA" w:rsidRDefault="008E464F" w:rsidP="00AD1D70">
            <w:pPr>
              <w:pStyle w:val="1GAPara"/>
              <w:keepNext/>
              <w:numPr>
                <w:ilvl w:val="0"/>
                <w:numId w:val="5"/>
              </w:numPr>
              <w:ind w:left="318"/>
              <w:jc w:val="both"/>
              <w:rPr>
                <w:sz w:val="20"/>
                <w:szCs w:val="20"/>
              </w:rPr>
            </w:pPr>
            <w:r w:rsidRPr="008F54FA">
              <w:rPr>
                <w:rFonts w:eastAsia="SimSun"/>
                <w:bCs/>
                <w:color w:val="000000"/>
                <w:sz w:val="20"/>
                <w:szCs w:val="20"/>
                <w:u w:val="single"/>
                <w:lang w:eastAsia="zh-CN"/>
              </w:rPr>
              <w:lastRenderedPageBreak/>
              <w:t>Voluntary supplementary contributions</w:t>
            </w:r>
          </w:p>
        </w:tc>
      </w:tr>
      <w:tr w:rsidR="008E464F" w:rsidRPr="008F54FA" w14:paraId="47350430" w14:textId="77777777" w:rsidTr="00FA40E0">
        <w:trPr>
          <w:cantSplit/>
        </w:trPr>
        <w:tc>
          <w:tcPr>
            <w:tcW w:w="7077" w:type="dxa"/>
          </w:tcPr>
          <w:p w14:paraId="73D41AC8" w14:textId="0F75E64E" w:rsidR="008E464F" w:rsidRPr="008F54FA" w:rsidRDefault="008E464F" w:rsidP="00FA40E0">
            <w:pPr>
              <w:pStyle w:val="1GAPara"/>
              <w:keepNext/>
              <w:numPr>
                <w:ilvl w:val="0"/>
                <w:numId w:val="0"/>
              </w:numPr>
              <w:jc w:val="both"/>
              <w:rPr>
                <w:sz w:val="20"/>
                <w:szCs w:val="20"/>
              </w:rPr>
            </w:pPr>
            <w:r w:rsidRPr="008F54FA">
              <w:rPr>
                <w:rFonts w:eastAsia="MS Mincho"/>
                <w:i/>
                <w:iCs/>
                <w:color w:val="000000"/>
                <w:sz w:val="20"/>
                <w:szCs w:val="20"/>
                <w:lang w:eastAsia="zh-CN"/>
              </w:rPr>
              <w:t>Contributions made for specific purposes relating to specific projects approved by the Committee, in accordance with Article 25.5 of the Convention:</w:t>
            </w:r>
          </w:p>
        </w:tc>
        <w:tc>
          <w:tcPr>
            <w:tcW w:w="1984" w:type="dxa"/>
          </w:tcPr>
          <w:p w14:paraId="2B145CB3" w14:textId="77777777" w:rsidR="008E464F" w:rsidRPr="008F54FA" w:rsidRDefault="008E464F" w:rsidP="00FA40E0">
            <w:pPr>
              <w:pStyle w:val="1GAPara"/>
              <w:keepNext/>
              <w:numPr>
                <w:ilvl w:val="0"/>
                <w:numId w:val="0"/>
              </w:numPr>
              <w:jc w:val="both"/>
              <w:rPr>
                <w:sz w:val="20"/>
                <w:szCs w:val="20"/>
              </w:rPr>
            </w:pPr>
          </w:p>
        </w:tc>
      </w:tr>
      <w:tr w:rsidR="008E464F" w:rsidRPr="008F54FA" w14:paraId="5506BC19" w14:textId="77777777" w:rsidTr="00FA40E0">
        <w:trPr>
          <w:cantSplit/>
        </w:trPr>
        <w:tc>
          <w:tcPr>
            <w:tcW w:w="7077" w:type="dxa"/>
          </w:tcPr>
          <w:p w14:paraId="7198CF5A" w14:textId="243F4595" w:rsidR="008E464F" w:rsidRPr="008F54FA" w:rsidRDefault="007D43A7" w:rsidP="007D43A7">
            <w:pPr>
              <w:pStyle w:val="1GAPara"/>
              <w:numPr>
                <w:ilvl w:val="0"/>
                <w:numId w:val="0"/>
              </w:numPr>
              <w:ind w:left="318"/>
              <w:jc w:val="both"/>
              <w:rPr>
                <w:sz w:val="20"/>
                <w:szCs w:val="20"/>
              </w:rPr>
            </w:pPr>
            <w:r w:rsidRPr="008F54FA">
              <w:rPr>
                <w:sz w:val="20"/>
                <w:szCs w:val="20"/>
              </w:rPr>
              <w:t xml:space="preserve">From </w:t>
            </w:r>
            <w:r w:rsidR="001C5A09" w:rsidRPr="008F54FA">
              <w:rPr>
                <w:sz w:val="20"/>
                <w:szCs w:val="20"/>
              </w:rPr>
              <w:t xml:space="preserve">the </w:t>
            </w:r>
            <w:r w:rsidRPr="008F54FA">
              <w:rPr>
                <w:sz w:val="20"/>
                <w:szCs w:val="20"/>
              </w:rPr>
              <w:t>Netherlands for</w:t>
            </w:r>
            <w:r w:rsidR="00905AC4" w:rsidRPr="008F54FA">
              <w:rPr>
                <w:sz w:val="20"/>
                <w:szCs w:val="20"/>
              </w:rPr>
              <w:t xml:space="preserve"> the implementation of the programme ‘Strengthening capacities for preparing nomination files for the Lists of the 2003 Convention in Small Island and Developing States (SIDS) in Latin America and the Caribbean’ </w:t>
            </w:r>
            <w:r w:rsidRPr="008F54FA">
              <w:rPr>
                <w:sz w:val="20"/>
                <w:szCs w:val="20"/>
              </w:rPr>
              <w:t xml:space="preserve">(Decision </w:t>
            </w:r>
            <w:hyperlink r:id="rId12" w:history="1">
              <w:r w:rsidRPr="008F54FA">
                <w:rPr>
                  <w:rStyle w:val="Hyperlink"/>
                  <w:sz w:val="20"/>
                  <w:szCs w:val="20"/>
                </w:rPr>
                <w:t>16.COM 12</w:t>
              </w:r>
            </w:hyperlink>
            <w:r w:rsidRPr="008F54FA">
              <w:rPr>
                <w:sz w:val="20"/>
                <w:szCs w:val="20"/>
              </w:rPr>
              <w:t>)</w:t>
            </w:r>
          </w:p>
        </w:tc>
        <w:tc>
          <w:tcPr>
            <w:tcW w:w="1984" w:type="dxa"/>
          </w:tcPr>
          <w:p w14:paraId="0E57AFFA" w14:textId="1C9A9C85" w:rsidR="008E464F" w:rsidRPr="008F54FA" w:rsidRDefault="008E464F" w:rsidP="007D43A7">
            <w:pPr>
              <w:pStyle w:val="1GAPara"/>
              <w:numPr>
                <w:ilvl w:val="0"/>
                <w:numId w:val="0"/>
              </w:numPr>
              <w:jc w:val="right"/>
              <w:rPr>
                <w:sz w:val="20"/>
                <w:szCs w:val="20"/>
              </w:rPr>
            </w:pPr>
            <w:r w:rsidRPr="008F54FA">
              <w:rPr>
                <w:rFonts w:eastAsia="SimSun"/>
                <w:bCs/>
                <w:color w:val="000000"/>
                <w:sz w:val="20"/>
                <w:szCs w:val="20"/>
                <w:lang w:eastAsia="zh-CN"/>
              </w:rPr>
              <w:t>US$</w:t>
            </w:r>
            <w:r w:rsidR="007D43A7" w:rsidRPr="008F54FA">
              <w:rPr>
                <w:rFonts w:eastAsia="SimSun"/>
                <w:bCs/>
                <w:color w:val="000000"/>
                <w:sz w:val="20"/>
                <w:szCs w:val="20"/>
                <w:lang w:eastAsia="zh-CN"/>
              </w:rPr>
              <w:t>74,776</w:t>
            </w:r>
          </w:p>
        </w:tc>
      </w:tr>
      <w:tr w:rsidR="007D43A7" w:rsidRPr="008F54FA" w14:paraId="02FD75BF" w14:textId="77777777" w:rsidTr="00FA40E0">
        <w:trPr>
          <w:cantSplit/>
        </w:trPr>
        <w:tc>
          <w:tcPr>
            <w:tcW w:w="7077" w:type="dxa"/>
          </w:tcPr>
          <w:p w14:paraId="59B96F00" w14:textId="26A5E9FC" w:rsidR="007D43A7" w:rsidRPr="008F54FA" w:rsidRDefault="007D43A7" w:rsidP="007D43A7">
            <w:pPr>
              <w:pStyle w:val="1GAPara"/>
              <w:numPr>
                <w:ilvl w:val="0"/>
                <w:numId w:val="0"/>
              </w:numPr>
              <w:ind w:left="318"/>
              <w:jc w:val="both"/>
              <w:rPr>
                <w:sz w:val="20"/>
                <w:szCs w:val="20"/>
              </w:rPr>
            </w:pPr>
            <w:r w:rsidRPr="008F54FA">
              <w:rPr>
                <w:sz w:val="20"/>
                <w:szCs w:val="20"/>
              </w:rPr>
              <w:t xml:space="preserve">From ICHCAP (International Information and Networking Centre for Intangible Cultural Heritage in the Asia-Pacific Region) for the implementation of the programme ‘Strengthening capacities at the national and local levels for the safeguarding of intangible cultural heritage in the United Republic of Tanzania and contributing to sustainable development’ (Decision </w:t>
            </w:r>
            <w:hyperlink r:id="rId13" w:history="1">
              <w:r w:rsidRPr="008F54FA">
                <w:rPr>
                  <w:rStyle w:val="Hyperlink"/>
                  <w:sz w:val="20"/>
                  <w:szCs w:val="20"/>
                </w:rPr>
                <w:t>16.COM 12</w:t>
              </w:r>
            </w:hyperlink>
            <w:r w:rsidRPr="008F54FA">
              <w:rPr>
                <w:sz w:val="20"/>
                <w:szCs w:val="20"/>
              </w:rPr>
              <w:t>)</w:t>
            </w:r>
          </w:p>
        </w:tc>
        <w:tc>
          <w:tcPr>
            <w:tcW w:w="1984" w:type="dxa"/>
          </w:tcPr>
          <w:p w14:paraId="39E43621" w14:textId="2F278A9F" w:rsidR="007D43A7" w:rsidRPr="008F54FA" w:rsidRDefault="00905AC4" w:rsidP="007D43A7">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US$81,271</w:t>
            </w:r>
          </w:p>
        </w:tc>
      </w:tr>
      <w:tr w:rsidR="008E464F" w:rsidRPr="008F54FA" w14:paraId="4673D7B6" w14:textId="77777777" w:rsidTr="00FA40E0">
        <w:trPr>
          <w:cantSplit/>
        </w:trPr>
        <w:tc>
          <w:tcPr>
            <w:tcW w:w="7077" w:type="dxa"/>
          </w:tcPr>
          <w:p w14:paraId="652DAB4B" w14:textId="68A65AE2" w:rsidR="008E464F" w:rsidRPr="008F54FA" w:rsidRDefault="007D43A7" w:rsidP="007D43A7">
            <w:pPr>
              <w:pStyle w:val="1GAPara"/>
              <w:numPr>
                <w:ilvl w:val="0"/>
                <w:numId w:val="0"/>
              </w:numPr>
              <w:ind w:left="318"/>
              <w:jc w:val="both"/>
              <w:rPr>
                <w:sz w:val="20"/>
                <w:szCs w:val="20"/>
              </w:rPr>
            </w:pPr>
            <w:r w:rsidRPr="008F54FA">
              <w:rPr>
                <w:sz w:val="20"/>
                <w:szCs w:val="20"/>
              </w:rPr>
              <w:t>From ICHCAP (International Information and Networking Centre for Intangible Cultural Heritage in the Asia-Pacific Region) for the implementation of the programme ‘Practical handbook on periodic reporting with a self-learning tool on the Overall results framework for the implementation of the Convention for the Safeguarding of the Intangible Cultural Heritage’ (Decision</w:t>
            </w:r>
            <w:r w:rsidRPr="008F54FA">
              <w:rPr>
                <w:rFonts w:eastAsia="MS Mincho"/>
                <w:sz w:val="20"/>
                <w:szCs w:val="20"/>
              </w:rPr>
              <w:t xml:space="preserve"> </w:t>
            </w:r>
            <w:hyperlink r:id="rId14" w:history="1">
              <w:r w:rsidRPr="008F54FA">
                <w:rPr>
                  <w:rStyle w:val="Hyperlink"/>
                  <w:sz w:val="20"/>
                  <w:szCs w:val="20"/>
                </w:rPr>
                <w:t>16.COM 12</w:t>
              </w:r>
            </w:hyperlink>
            <w:r w:rsidRPr="008F54FA">
              <w:rPr>
                <w:rFonts w:eastAsia="MS Mincho"/>
                <w:sz w:val="20"/>
                <w:szCs w:val="20"/>
              </w:rPr>
              <w:t>)</w:t>
            </w:r>
          </w:p>
        </w:tc>
        <w:tc>
          <w:tcPr>
            <w:tcW w:w="1984" w:type="dxa"/>
          </w:tcPr>
          <w:p w14:paraId="24114AEB" w14:textId="20970C3D" w:rsidR="008E464F" w:rsidRPr="008F54FA" w:rsidRDefault="008E464F" w:rsidP="007D43A7">
            <w:pPr>
              <w:pStyle w:val="1GAPara"/>
              <w:numPr>
                <w:ilvl w:val="0"/>
                <w:numId w:val="0"/>
              </w:numPr>
              <w:jc w:val="right"/>
              <w:rPr>
                <w:sz w:val="20"/>
                <w:szCs w:val="20"/>
              </w:rPr>
            </w:pPr>
            <w:r w:rsidRPr="008F54FA">
              <w:rPr>
                <w:rFonts w:eastAsia="SimSun"/>
                <w:bCs/>
                <w:color w:val="000000"/>
                <w:sz w:val="20"/>
                <w:szCs w:val="20"/>
                <w:lang w:eastAsia="zh-CN"/>
              </w:rPr>
              <w:t>US$</w:t>
            </w:r>
            <w:r w:rsidR="007D43A7" w:rsidRPr="008F54FA">
              <w:rPr>
                <w:rFonts w:eastAsia="SimSun"/>
                <w:bCs/>
                <w:color w:val="000000"/>
                <w:sz w:val="20"/>
                <w:szCs w:val="20"/>
                <w:lang w:eastAsia="zh-CN"/>
              </w:rPr>
              <w:t>40,000</w:t>
            </w:r>
          </w:p>
        </w:tc>
      </w:tr>
      <w:tr w:rsidR="008E464F" w:rsidRPr="008F54FA" w14:paraId="67183812" w14:textId="77777777" w:rsidTr="00FA40E0">
        <w:trPr>
          <w:cantSplit/>
        </w:trPr>
        <w:tc>
          <w:tcPr>
            <w:tcW w:w="7077" w:type="dxa"/>
          </w:tcPr>
          <w:p w14:paraId="48FD4139" w14:textId="1A7BEA52" w:rsidR="008E464F" w:rsidRPr="008F54FA" w:rsidRDefault="008E464F" w:rsidP="008E464F">
            <w:pPr>
              <w:pStyle w:val="1GAPara"/>
              <w:numPr>
                <w:ilvl w:val="0"/>
                <w:numId w:val="0"/>
              </w:numPr>
              <w:jc w:val="both"/>
              <w:rPr>
                <w:sz w:val="20"/>
                <w:szCs w:val="20"/>
              </w:rPr>
            </w:pPr>
            <w:r w:rsidRPr="008F54FA">
              <w:rPr>
                <w:rFonts w:eastAsia="MS Mincho"/>
                <w:i/>
                <w:iCs/>
                <w:color w:val="000000"/>
                <w:sz w:val="20"/>
                <w:szCs w:val="20"/>
                <w:lang w:eastAsia="zh-CN"/>
              </w:rPr>
              <w:t>Sub-fund intended exclusively to strengthen the human capacities of the Secretariat</w:t>
            </w:r>
            <w:r w:rsidRPr="008F54FA" w:rsidDel="00F4192C">
              <w:rPr>
                <w:rFonts w:eastAsia="SimSun"/>
                <w:bCs/>
                <w:i/>
                <w:iCs/>
                <w:color w:val="000000"/>
                <w:sz w:val="20"/>
                <w:szCs w:val="20"/>
                <w:lang w:eastAsia="zh-CN"/>
              </w:rPr>
              <w:t xml:space="preserve"> </w:t>
            </w:r>
            <w:r w:rsidRPr="008F54FA">
              <w:rPr>
                <w:rFonts w:eastAsia="SimSun"/>
                <w:bCs/>
                <w:i/>
                <w:iCs/>
                <w:sz w:val="20"/>
                <w:szCs w:val="20"/>
                <w:lang w:eastAsia="zh-CN"/>
              </w:rPr>
              <w:t>(</w:t>
            </w:r>
            <w:r w:rsidR="001C5A09" w:rsidRPr="008F54FA">
              <w:rPr>
                <w:rFonts w:eastAsia="SimSun"/>
                <w:bCs/>
                <w:i/>
                <w:iCs/>
                <w:sz w:val="20"/>
                <w:szCs w:val="20"/>
                <w:lang w:eastAsia="zh-CN"/>
              </w:rPr>
              <w:t xml:space="preserve">Resolution </w:t>
            </w:r>
            <w:hyperlink r:id="rId15" w:history="1">
              <w:r w:rsidR="001C5A09" w:rsidRPr="008F54FA">
                <w:rPr>
                  <w:rStyle w:val="Hyperlink"/>
                  <w:rFonts w:eastAsia="SimSun"/>
                  <w:sz w:val="20"/>
                  <w:szCs w:val="20"/>
                </w:rPr>
                <w:t>3.GA 9</w:t>
              </w:r>
            </w:hyperlink>
            <w:r w:rsidRPr="008F54FA">
              <w:rPr>
                <w:rFonts w:eastAsia="SimSun"/>
                <w:bCs/>
                <w:i/>
                <w:iCs/>
                <w:sz w:val="20"/>
                <w:szCs w:val="20"/>
                <w:lang w:eastAsia="zh-CN"/>
              </w:rPr>
              <w:t>)</w:t>
            </w:r>
          </w:p>
        </w:tc>
        <w:tc>
          <w:tcPr>
            <w:tcW w:w="1984" w:type="dxa"/>
          </w:tcPr>
          <w:p w14:paraId="36BC0BAA" w14:textId="522D48A6" w:rsidR="008E464F" w:rsidRPr="008F54FA" w:rsidRDefault="008E464F" w:rsidP="008E464F">
            <w:pPr>
              <w:pStyle w:val="1GAPara"/>
              <w:numPr>
                <w:ilvl w:val="0"/>
                <w:numId w:val="0"/>
              </w:numPr>
              <w:jc w:val="both"/>
              <w:rPr>
                <w:rFonts w:eastAsia="SimSun"/>
                <w:bCs/>
                <w:color w:val="000000"/>
                <w:sz w:val="20"/>
                <w:szCs w:val="20"/>
                <w:lang w:eastAsia="zh-CN"/>
              </w:rPr>
            </w:pPr>
          </w:p>
        </w:tc>
      </w:tr>
      <w:tr w:rsidR="008E464F" w:rsidRPr="008F54FA" w14:paraId="3C3C840D" w14:textId="77777777" w:rsidTr="00FA40E0">
        <w:trPr>
          <w:cantSplit/>
        </w:trPr>
        <w:tc>
          <w:tcPr>
            <w:tcW w:w="7077" w:type="dxa"/>
          </w:tcPr>
          <w:p w14:paraId="048565B3" w14:textId="694B0207" w:rsidR="008E464F" w:rsidRPr="008F54FA" w:rsidRDefault="00403DB8" w:rsidP="008E464F">
            <w:pPr>
              <w:pStyle w:val="1GAPara"/>
              <w:numPr>
                <w:ilvl w:val="0"/>
                <w:numId w:val="0"/>
              </w:numPr>
              <w:jc w:val="both"/>
              <w:rPr>
                <w:sz w:val="20"/>
                <w:szCs w:val="20"/>
              </w:rPr>
            </w:pPr>
            <w:r w:rsidRPr="008F54FA">
              <w:rPr>
                <w:sz w:val="20"/>
                <w:szCs w:val="20"/>
              </w:rPr>
              <w:t>France</w:t>
            </w:r>
          </w:p>
        </w:tc>
        <w:tc>
          <w:tcPr>
            <w:tcW w:w="1984" w:type="dxa"/>
          </w:tcPr>
          <w:p w14:paraId="0C9B4897" w14:textId="0BB00A00" w:rsidR="008E464F" w:rsidRPr="008F54FA" w:rsidRDefault="008E464F" w:rsidP="00403DB8">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w:t>
            </w:r>
            <w:r w:rsidR="005E4BA4" w:rsidRPr="008F54FA">
              <w:rPr>
                <w:rFonts w:eastAsia="SimSun"/>
                <w:bCs/>
                <w:color w:val="000000"/>
                <w:sz w:val="20"/>
                <w:szCs w:val="20"/>
                <w:lang w:eastAsia="zh-CN"/>
              </w:rPr>
              <w:t>105,597</w:t>
            </w:r>
          </w:p>
        </w:tc>
      </w:tr>
      <w:tr w:rsidR="005E4BA4" w:rsidRPr="008F54FA" w14:paraId="17510503" w14:textId="77777777" w:rsidTr="00FA40E0">
        <w:trPr>
          <w:cantSplit/>
        </w:trPr>
        <w:tc>
          <w:tcPr>
            <w:tcW w:w="7077" w:type="dxa"/>
          </w:tcPr>
          <w:p w14:paraId="1F873E3F" w14:textId="0AD42ECF" w:rsidR="005E4BA4" w:rsidRPr="008F54FA" w:rsidRDefault="005E4BA4" w:rsidP="008E464F">
            <w:pPr>
              <w:pStyle w:val="1GAPara"/>
              <w:numPr>
                <w:ilvl w:val="0"/>
                <w:numId w:val="0"/>
              </w:numPr>
              <w:jc w:val="both"/>
              <w:rPr>
                <w:sz w:val="20"/>
                <w:szCs w:val="20"/>
              </w:rPr>
            </w:pPr>
            <w:r w:rsidRPr="008F54FA">
              <w:rPr>
                <w:sz w:val="20"/>
                <w:szCs w:val="20"/>
              </w:rPr>
              <w:t>Lithuania</w:t>
            </w:r>
          </w:p>
        </w:tc>
        <w:tc>
          <w:tcPr>
            <w:tcW w:w="1984" w:type="dxa"/>
          </w:tcPr>
          <w:p w14:paraId="226BA977" w14:textId="3CA88E74" w:rsidR="005E4BA4" w:rsidRPr="008F54FA" w:rsidRDefault="005E4BA4" w:rsidP="00403DB8">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US$5,056</w:t>
            </w:r>
          </w:p>
        </w:tc>
      </w:tr>
      <w:tr w:rsidR="005E4BA4" w:rsidRPr="008F54FA" w14:paraId="52568B24" w14:textId="77777777" w:rsidTr="00FA40E0">
        <w:trPr>
          <w:cantSplit/>
        </w:trPr>
        <w:tc>
          <w:tcPr>
            <w:tcW w:w="7077" w:type="dxa"/>
          </w:tcPr>
          <w:p w14:paraId="7923EC4E" w14:textId="339EF8ED" w:rsidR="005E4BA4" w:rsidRPr="008F54FA" w:rsidRDefault="005E4BA4" w:rsidP="008E464F">
            <w:pPr>
              <w:pStyle w:val="1GAPara"/>
              <w:numPr>
                <w:ilvl w:val="0"/>
                <w:numId w:val="0"/>
              </w:numPr>
              <w:jc w:val="both"/>
              <w:rPr>
                <w:sz w:val="20"/>
                <w:szCs w:val="20"/>
              </w:rPr>
            </w:pPr>
            <w:r w:rsidRPr="008F54FA">
              <w:rPr>
                <w:sz w:val="20"/>
                <w:szCs w:val="20"/>
              </w:rPr>
              <w:t>Monaco</w:t>
            </w:r>
          </w:p>
        </w:tc>
        <w:tc>
          <w:tcPr>
            <w:tcW w:w="1984" w:type="dxa"/>
          </w:tcPr>
          <w:p w14:paraId="722D63B2" w14:textId="59F0FBA8" w:rsidR="005E4BA4" w:rsidRPr="008F54FA" w:rsidRDefault="005E4BA4" w:rsidP="00403DB8">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US$9,690</w:t>
            </w:r>
          </w:p>
        </w:tc>
      </w:tr>
      <w:tr w:rsidR="005E4BA4" w:rsidRPr="008F54FA" w14:paraId="38C12BA3" w14:textId="77777777" w:rsidTr="00FA40E0">
        <w:trPr>
          <w:cantSplit/>
        </w:trPr>
        <w:tc>
          <w:tcPr>
            <w:tcW w:w="7077" w:type="dxa"/>
          </w:tcPr>
          <w:p w14:paraId="2CAAF488" w14:textId="61F6BF45" w:rsidR="005E4BA4" w:rsidRPr="008F54FA" w:rsidRDefault="005E4BA4" w:rsidP="008E464F">
            <w:pPr>
              <w:pStyle w:val="1GAPara"/>
              <w:numPr>
                <w:ilvl w:val="0"/>
                <w:numId w:val="0"/>
              </w:numPr>
              <w:jc w:val="both"/>
              <w:rPr>
                <w:sz w:val="20"/>
                <w:szCs w:val="20"/>
              </w:rPr>
            </w:pPr>
            <w:r w:rsidRPr="008F54FA">
              <w:rPr>
                <w:sz w:val="20"/>
                <w:szCs w:val="20"/>
              </w:rPr>
              <w:t>Slovakia</w:t>
            </w:r>
          </w:p>
        </w:tc>
        <w:tc>
          <w:tcPr>
            <w:tcW w:w="1984" w:type="dxa"/>
          </w:tcPr>
          <w:p w14:paraId="3573DBBA" w14:textId="4793E3AC" w:rsidR="005E4BA4" w:rsidRPr="008F54FA" w:rsidRDefault="005E4BA4" w:rsidP="00403DB8">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US$8,529</w:t>
            </w:r>
          </w:p>
        </w:tc>
      </w:tr>
      <w:tr w:rsidR="005E4BA4" w:rsidRPr="008F54FA" w14:paraId="78DEC709" w14:textId="77777777" w:rsidTr="00FA40E0">
        <w:trPr>
          <w:cantSplit/>
        </w:trPr>
        <w:tc>
          <w:tcPr>
            <w:tcW w:w="7077" w:type="dxa"/>
          </w:tcPr>
          <w:p w14:paraId="292A5FD0" w14:textId="0D18A6B0" w:rsidR="005E4BA4" w:rsidRPr="008F54FA" w:rsidRDefault="005E4BA4" w:rsidP="008E464F">
            <w:pPr>
              <w:pStyle w:val="1GAPara"/>
              <w:numPr>
                <w:ilvl w:val="0"/>
                <w:numId w:val="0"/>
              </w:numPr>
              <w:jc w:val="both"/>
              <w:rPr>
                <w:sz w:val="20"/>
                <w:szCs w:val="20"/>
              </w:rPr>
            </w:pPr>
            <w:r w:rsidRPr="008F54FA">
              <w:rPr>
                <w:sz w:val="20"/>
                <w:szCs w:val="20"/>
              </w:rPr>
              <w:t>Slovenia</w:t>
            </w:r>
          </w:p>
        </w:tc>
        <w:tc>
          <w:tcPr>
            <w:tcW w:w="1984" w:type="dxa"/>
          </w:tcPr>
          <w:p w14:paraId="59AA6482" w14:textId="16A4B430" w:rsidR="005E4BA4" w:rsidRPr="008F54FA" w:rsidRDefault="005E4BA4" w:rsidP="00403DB8">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US$5,330</w:t>
            </w:r>
          </w:p>
        </w:tc>
      </w:tr>
      <w:tr w:rsidR="008E464F" w:rsidRPr="008F54FA" w14:paraId="0B1E43C6" w14:textId="77777777" w:rsidTr="00FA40E0">
        <w:trPr>
          <w:cantSplit/>
        </w:trPr>
        <w:tc>
          <w:tcPr>
            <w:tcW w:w="7077" w:type="dxa"/>
          </w:tcPr>
          <w:p w14:paraId="0AC278D0" w14:textId="622D8C81" w:rsidR="008E464F" w:rsidRPr="008F54FA" w:rsidRDefault="008E464F" w:rsidP="00AD1D70">
            <w:pPr>
              <w:pStyle w:val="1GAPara"/>
              <w:numPr>
                <w:ilvl w:val="0"/>
                <w:numId w:val="5"/>
              </w:numPr>
              <w:ind w:left="318"/>
              <w:jc w:val="both"/>
              <w:rPr>
                <w:sz w:val="20"/>
                <w:szCs w:val="20"/>
              </w:rPr>
            </w:pPr>
            <w:r w:rsidRPr="008F54FA">
              <w:rPr>
                <w:rFonts w:eastAsia="SimSun"/>
                <w:bCs/>
                <w:color w:val="000000"/>
                <w:sz w:val="20"/>
                <w:szCs w:val="20"/>
                <w:u w:val="single"/>
                <w:lang w:eastAsia="zh-CN"/>
              </w:rPr>
              <w:t>Interest credited to the Fund</w:t>
            </w:r>
          </w:p>
        </w:tc>
        <w:tc>
          <w:tcPr>
            <w:tcW w:w="1984" w:type="dxa"/>
          </w:tcPr>
          <w:p w14:paraId="61A17BFB" w14:textId="1706DE2C" w:rsidR="008E464F" w:rsidRPr="008F54FA" w:rsidRDefault="008E464F" w:rsidP="00403DB8">
            <w:pPr>
              <w:pStyle w:val="1GAPara"/>
              <w:numPr>
                <w:ilvl w:val="0"/>
                <w:numId w:val="0"/>
              </w:numPr>
              <w:jc w:val="right"/>
              <w:rPr>
                <w:rFonts w:eastAsia="SimSun"/>
                <w:bCs/>
                <w:color w:val="000000"/>
                <w:sz w:val="20"/>
                <w:szCs w:val="20"/>
                <w:lang w:eastAsia="zh-CN"/>
              </w:rPr>
            </w:pPr>
            <w:r w:rsidRPr="008F54FA">
              <w:rPr>
                <w:rFonts w:eastAsia="SimSun"/>
                <w:bCs/>
                <w:color w:val="000000"/>
                <w:sz w:val="20"/>
                <w:szCs w:val="20"/>
                <w:lang w:eastAsia="zh-CN"/>
              </w:rPr>
              <w:t>US$</w:t>
            </w:r>
            <w:r w:rsidR="00403DB8" w:rsidRPr="008F54FA">
              <w:rPr>
                <w:rFonts w:eastAsia="SimSun"/>
                <w:bCs/>
                <w:color w:val="000000"/>
                <w:sz w:val="20"/>
                <w:szCs w:val="20"/>
                <w:lang w:eastAsia="zh-CN"/>
              </w:rPr>
              <w:t>471,598</w:t>
            </w:r>
          </w:p>
        </w:tc>
      </w:tr>
      <w:tr w:rsidR="008E464F" w:rsidRPr="008F54FA" w14:paraId="5D03D75C" w14:textId="77777777" w:rsidTr="00FA40E0">
        <w:trPr>
          <w:cantSplit/>
        </w:trPr>
        <w:tc>
          <w:tcPr>
            <w:tcW w:w="7077" w:type="dxa"/>
          </w:tcPr>
          <w:p w14:paraId="2DC59266" w14:textId="77777777" w:rsidR="008E464F" w:rsidRPr="008F54FA" w:rsidRDefault="008E464F" w:rsidP="008E464F">
            <w:pPr>
              <w:pStyle w:val="1GAPara"/>
              <w:numPr>
                <w:ilvl w:val="0"/>
                <w:numId w:val="0"/>
              </w:numPr>
              <w:jc w:val="both"/>
              <w:rPr>
                <w:sz w:val="20"/>
                <w:szCs w:val="20"/>
              </w:rPr>
            </w:pPr>
          </w:p>
        </w:tc>
        <w:tc>
          <w:tcPr>
            <w:tcW w:w="1984" w:type="dxa"/>
          </w:tcPr>
          <w:p w14:paraId="0F8E313E" w14:textId="2E48D7BB" w:rsidR="008E464F" w:rsidRPr="008F54FA" w:rsidRDefault="008E464F" w:rsidP="00403DB8">
            <w:pPr>
              <w:pStyle w:val="1GAPara"/>
              <w:numPr>
                <w:ilvl w:val="0"/>
                <w:numId w:val="0"/>
              </w:numPr>
              <w:jc w:val="right"/>
              <w:rPr>
                <w:sz w:val="20"/>
                <w:szCs w:val="20"/>
              </w:rPr>
            </w:pPr>
          </w:p>
        </w:tc>
      </w:tr>
      <w:tr w:rsidR="008E464F" w:rsidRPr="008F54FA" w14:paraId="55451B68" w14:textId="77777777" w:rsidTr="00FA40E0">
        <w:trPr>
          <w:cantSplit/>
        </w:trPr>
        <w:tc>
          <w:tcPr>
            <w:tcW w:w="7077" w:type="dxa"/>
            <w:vAlign w:val="center"/>
          </w:tcPr>
          <w:p w14:paraId="1CAE7C33" w14:textId="785350D7" w:rsidR="008E464F" w:rsidRPr="008F54FA" w:rsidRDefault="008E464F" w:rsidP="008E464F">
            <w:pPr>
              <w:pStyle w:val="1GAPara"/>
              <w:numPr>
                <w:ilvl w:val="0"/>
                <w:numId w:val="0"/>
              </w:numPr>
              <w:jc w:val="right"/>
              <w:rPr>
                <w:sz w:val="20"/>
                <w:szCs w:val="20"/>
              </w:rPr>
            </w:pPr>
            <w:r w:rsidRPr="008F54FA">
              <w:rPr>
                <w:rFonts w:eastAsia="SimSun"/>
                <w:b/>
                <w:bCs/>
                <w:color w:val="000000"/>
                <w:sz w:val="20"/>
                <w:szCs w:val="20"/>
                <w:lang w:eastAsia="zh-CN"/>
              </w:rPr>
              <w:t>TOTAL</w:t>
            </w:r>
          </w:p>
        </w:tc>
        <w:tc>
          <w:tcPr>
            <w:tcW w:w="1984" w:type="dxa"/>
            <w:vAlign w:val="center"/>
          </w:tcPr>
          <w:p w14:paraId="6CDF802C" w14:textId="0C4414B3" w:rsidR="008E464F" w:rsidRPr="008F54FA" w:rsidRDefault="008E464F" w:rsidP="00403DB8">
            <w:pPr>
              <w:pStyle w:val="1GAPara"/>
              <w:numPr>
                <w:ilvl w:val="0"/>
                <w:numId w:val="0"/>
              </w:numPr>
              <w:jc w:val="right"/>
              <w:rPr>
                <w:rFonts w:eastAsia="SimSun"/>
                <w:bCs/>
                <w:color w:val="000000"/>
                <w:sz w:val="20"/>
                <w:szCs w:val="20"/>
                <w:lang w:eastAsia="zh-CN"/>
              </w:rPr>
            </w:pPr>
            <w:r w:rsidRPr="008F54FA">
              <w:rPr>
                <w:rFonts w:eastAsia="SimSun"/>
                <w:b/>
                <w:bCs/>
                <w:color w:val="000000"/>
                <w:sz w:val="20"/>
                <w:szCs w:val="20"/>
                <w:lang w:eastAsia="zh-CN"/>
              </w:rPr>
              <w:t>US$5,</w:t>
            </w:r>
            <w:r w:rsidR="00403DB8" w:rsidRPr="008F54FA">
              <w:rPr>
                <w:rFonts w:eastAsia="SimSun"/>
                <w:b/>
                <w:bCs/>
                <w:color w:val="000000"/>
                <w:sz w:val="20"/>
                <w:szCs w:val="20"/>
                <w:lang w:eastAsia="zh-CN"/>
              </w:rPr>
              <w:t>299,941</w:t>
            </w:r>
          </w:p>
        </w:tc>
      </w:tr>
    </w:tbl>
    <w:p w14:paraId="4B965A77" w14:textId="77777777" w:rsidR="008E464F" w:rsidRPr="008F54FA" w:rsidRDefault="008E464F" w:rsidP="008E464F">
      <w:pPr>
        <w:pStyle w:val="1GAPara"/>
        <w:numPr>
          <w:ilvl w:val="0"/>
          <w:numId w:val="0"/>
        </w:numPr>
        <w:ind w:left="567"/>
        <w:jc w:val="both"/>
        <w:rPr>
          <w:rFonts w:asciiTheme="minorBidi" w:hAnsiTheme="minorBidi" w:cstheme="minorBidi"/>
        </w:rPr>
      </w:pPr>
    </w:p>
    <w:p w14:paraId="709A13EA" w14:textId="5215ECC9" w:rsidR="00517D40" w:rsidRPr="008F54FA" w:rsidRDefault="00155371" w:rsidP="00775C3C">
      <w:pPr>
        <w:pStyle w:val="1GAPara"/>
        <w:ind w:left="567" w:hanging="567"/>
        <w:jc w:val="both"/>
        <w:rPr>
          <w:rFonts w:asciiTheme="minorBidi" w:hAnsiTheme="minorBidi" w:cstheme="minorBidi"/>
        </w:rPr>
      </w:pPr>
      <w:r w:rsidRPr="008F54FA">
        <w:rPr>
          <w:rFonts w:asciiTheme="minorBidi" w:hAnsiTheme="minorBidi" w:cstheme="minorBidi"/>
        </w:rPr>
        <w:t>Compared to the same period in the preceding biennium</w:t>
      </w:r>
      <w:r w:rsidR="00964884" w:rsidRPr="008F54FA">
        <w:rPr>
          <w:rFonts w:asciiTheme="minorBidi" w:hAnsiTheme="minorBidi" w:cstheme="minorBidi"/>
        </w:rPr>
        <w:t>, the total income during the reporting</w:t>
      </w:r>
      <w:r w:rsidR="00035240" w:rsidRPr="008F54FA">
        <w:rPr>
          <w:rFonts w:asciiTheme="minorBidi" w:hAnsiTheme="minorBidi" w:cstheme="minorBidi"/>
        </w:rPr>
        <w:t xml:space="preserve"> period remained relatively unchanged</w:t>
      </w:r>
      <w:r w:rsidR="00336946" w:rsidRPr="008F54FA">
        <w:rPr>
          <w:rFonts w:asciiTheme="minorBidi" w:hAnsiTheme="minorBidi" w:cstheme="minorBidi"/>
        </w:rPr>
        <w:t>,</w:t>
      </w:r>
      <w:r w:rsidR="00035240" w:rsidRPr="008F54FA">
        <w:rPr>
          <w:rFonts w:asciiTheme="minorBidi" w:hAnsiTheme="minorBidi" w:cstheme="minorBidi"/>
        </w:rPr>
        <w:t xml:space="preserve"> increasing slightly by </w:t>
      </w:r>
      <w:r w:rsidR="00964884" w:rsidRPr="008F54FA">
        <w:rPr>
          <w:rFonts w:asciiTheme="minorBidi" w:hAnsiTheme="minorBidi" w:cstheme="minorBidi"/>
        </w:rPr>
        <w:t>2%</w:t>
      </w:r>
      <w:r w:rsidR="0075157E" w:rsidRPr="008F54FA">
        <w:rPr>
          <w:rFonts w:asciiTheme="minorBidi" w:hAnsiTheme="minorBidi" w:cstheme="minorBidi"/>
        </w:rPr>
        <w:t>, due to a</w:t>
      </w:r>
      <w:r w:rsidR="00336946" w:rsidRPr="008F54FA">
        <w:rPr>
          <w:rFonts w:asciiTheme="minorBidi" w:hAnsiTheme="minorBidi" w:cstheme="minorBidi"/>
        </w:rPr>
        <w:t>n</w:t>
      </w:r>
      <w:r w:rsidR="0075157E" w:rsidRPr="008F54FA">
        <w:rPr>
          <w:rFonts w:asciiTheme="minorBidi" w:hAnsiTheme="minorBidi" w:cstheme="minorBidi"/>
        </w:rPr>
        <w:t xml:space="preserve"> increase of (i)</w:t>
      </w:r>
      <w:r w:rsidR="006C6907" w:rsidRPr="008F54FA">
        <w:rPr>
          <w:rFonts w:asciiTheme="minorBidi" w:hAnsiTheme="minorBidi" w:cstheme="minorBidi"/>
        </w:rPr>
        <w:t> </w:t>
      </w:r>
      <w:r w:rsidR="0075157E" w:rsidRPr="008F54FA">
        <w:rPr>
          <w:rFonts w:asciiTheme="minorBidi" w:hAnsiTheme="minorBidi" w:cstheme="minorBidi"/>
        </w:rPr>
        <w:t>v</w:t>
      </w:r>
      <w:r w:rsidR="00035240" w:rsidRPr="008F54FA">
        <w:rPr>
          <w:rFonts w:asciiTheme="minorBidi" w:hAnsiTheme="minorBidi" w:cstheme="minorBidi"/>
        </w:rPr>
        <w:t>oluntary assessed contributions by 26% (from US$430,019 to US$541,684)</w:t>
      </w:r>
      <w:r w:rsidR="006C6907" w:rsidRPr="008F54FA">
        <w:rPr>
          <w:rFonts w:asciiTheme="minorBidi" w:hAnsiTheme="minorBidi" w:cstheme="minorBidi"/>
        </w:rPr>
        <w:t>,</w:t>
      </w:r>
      <w:r w:rsidR="00035240" w:rsidRPr="008F54FA">
        <w:rPr>
          <w:rFonts w:asciiTheme="minorBidi" w:hAnsiTheme="minorBidi" w:cstheme="minorBidi"/>
        </w:rPr>
        <w:t xml:space="preserve"> </w:t>
      </w:r>
      <w:r w:rsidR="00793897" w:rsidRPr="008F54FA">
        <w:rPr>
          <w:rFonts w:asciiTheme="minorBidi" w:hAnsiTheme="minorBidi" w:cstheme="minorBidi"/>
        </w:rPr>
        <w:t>(ii)</w:t>
      </w:r>
      <w:r w:rsidR="00336946" w:rsidRPr="008F54FA">
        <w:rPr>
          <w:rFonts w:asciiTheme="minorBidi" w:hAnsiTheme="minorBidi" w:cstheme="minorBidi"/>
        </w:rPr>
        <w:t> </w:t>
      </w:r>
      <w:r w:rsidR="00035240" w:rsidRPr="008F54FA">
        <w:rPr>
          <w:rFonts w:asciiTheme="minorBidi" w:hAnsiTheme="minorBidi" w:cstheme="minorBidi"/>
        </w:rPr>
        <w:t>compulsory assessed contributions by 4% (from US$3,800,602 to US$3,956,410)</w:t>
      </w:r>
      <w:r w:rsidR="006C6907" w:rsidRPr="008F54FA">
        <w:rPr>
          <w:rFonts w:asciiTheme="minorBidi" w:hAnsiTheme="minorBidi" w:cstheme="minorBidi"/>
        </w:rPr>
        <w:t>,</w:t>
      </w:r>
      <w:r w:rsidR="00547BCA" w:rsidRPr="008F54FA">
        <w:rPr>
          <w:rFonts w:asciiTheme="minorBidi" w:hAnsiTheme="minorBidi" w:cstheme="minorBidi"/>
        </w:rPr>
        <w:t xml:space="preserve"> </w:t>
      </w:r>
      <w:r w:rsidR="006C6907" w:rsidRPr="008F54FA">
        <w:rPr>
          <w:rFonts w:asciiTheme="minorBidi" w:hAnsiTheme="minorBidi" w:cstheme="minorBidi"/>
        </w:rPr>
        <w:t>a</w:t>
      </w:r>
      <w:r w:rsidR="00793897" w:rsidRPr="008F54FA">
        <w:rPr>
          <w:rFonts w:asciiTheme="minorBidi" w:hAnsiTheme="minorBidi" w:cstheme="minorBidi"/>
        </w:rPr>
        <w:t>nd (iii)</w:t>
      </w:r>
      <w:r w:rsidR="00336946" w:rsidRPr="008F54FA">
        <w:rPr>
          <w:rFonts w:asciiTheme="minorBidi" w:hAnsiTheme="minorBidi" w:cstheme="minorBidi"/>
        </w:rPr>
        <w:t> </w:t>
      </w:r>
      <w:r w:rsidR="006C6907" w:rsidRPr="008F54FA">
        <w:rPr>
          <w:rFonts w:asciiTheme="minorBidi" w:hAnsiTheme="minorBidi" w:cstheme="minorBidi"/>
        </w:rPr>
        <w:t>inter</w:t>
      </w:r>
      <w:r w:rsidR="00547BCA" w:rsidRPr="008F54FA">
        <w:rPr>
          <w:rFonts w:asciiTheme="minorBidi" w:hAnsiTheme="minorBidi" w:cstheme="minorBidi"/>
        </w:rPr>
        <w:t>est</w:t>
      </w:r>
      <w:r w:rsidR="006C6907" w:rsidRPr="008F54FA">
        <w:rPr>
          <w:rFonts w:asciiTheme="minorBidi" w:hAnsiTheme="minorBidi" w:cstheme="minorBidi"/>
        </w:rPr>
        <w:t xml:space="preserve"> by 155%</w:t>
      </w:r>
      <w:r w:rsidR="00547BCA" w:rsidRPr="008F54FA">
        <w:rPr>
          <w:rFonts w:asciiTheme="minorBidi" w:hAnsiTheme="minorBidi" w:cstheme="minorBidi"/>
        </w:rPr>
        <w:t xml:space="preserve"> (from US$184,853 to US$471,598). In contrast, t</w:t>
      </w:r>
      <w:r w:rsidR="00035240" w:rsidRPr="008F54FA">
        <w:rPr>
          <w:rFonts w:asciiTheme="minorBidi" w:hAnsiTheme="minorBidi" w:cstheme="minorBidi"/>
        </w:rPr>
        <w:t xml:space="preserve">he </w:t>
      </w:r>
      <w:r w:rsidR="00EF4342" w:rsidRPr="008F54FA">
        <w:rPr>
          <w:rFonts w:asciiTheme="minorBidi" w:hAnsiTheme="minorBidi" w:cstheme="minorBidi"/>
        </w:rPr>
        <w:t>voluntary supplementary contributions decreased by 56% (from US$757,268 to US$330,248)</w:t>
      </w:r>
      <w:r w:rsidR="005E4BA4" w:rsidRPr="008F54FA">
        <w:rPr>
          <w:rFonts w:asciiTheme="minorBidi" w:hAnsiTheme="minorBidi" w:cstheme="minorBidi"/>
        </w:rPr>
        <w:t xml:space="preserve">, as detailed in document </w:t>
      </w:r>
      <w:hyperlink r:id="rId16" w:history="1">
        <w:r w:rsidR="005E4BA4" w:rsidRPr="008F54FA">
          <w:rPr>
            <w:rStyle w:val="Hyperlink"/>
            <w:rFonts w:asciiTheme="minorBidi" w:hAnsiTheme="minorBidi" w:cstheme="minorBidi"/>
          </w:rPr>
          <w:t>LHE/23/18.COM/13</w:t>
        </w:r>
      </w:hyperlink>
      <w:r w:rsidR="00035240" w:rsidRPr="008F54FA">
        <w:rPr>
          <w:rFonts w:asciiTheme="minorBidi" w:hAnsiTheme="minorBidi" w:cstheme="minorBidi"/>
        </w:rPr>
        <w:t xml:space="preserve">. </w:t>
      </w:r>
    </w:p>
    <w:p w14:paraId="7A2A1181" w14:textId="3165560E" w:rsidR="000326D5" w:rsidRPr="008F54FA" w:rsidRDefault="004C5C23" w:rsidP="00AD1D70">
      <w:pPr>
        <w:pStyle w:val="1GAPara"/>
        <w:numPr>
          <w:ilvl w:val="0"/>
          <w:numId w:val="3"/>
        </w:numPr>
        <w:ind w:left="567" w:hanging="567"/>
        <w:rPr>
          <w:b/>
          <w:bCs/>
        </w:rPr>
      </w:pPr>
      <w:r w:rsidRPr="008F54FA">
        <w:rPr>
          <w:b/>
          <w:bCs/>
        </w:rPr>
        <w:t>Use of the financial resources of the Fund</w:t>
      </w:r>
      <w:r w:rsidRPr="008F54FA">
        <w:t xml:space="preserve"> </w:t>
      </w:r>
      <w:r w:rsidRPr="008F54FA">
        <w:rPr>
          <w:rFonts w:eastAsia="SimSun"/>
          <w:b/>
          <w:bCs/>
          <w:lang w:eastAsia="zh-CN"/>
        </w:rPr>
        <w:t>(</w:t>
      </w:r>
      <w:r w:rsidR="000326D5" w:rsidRPr="008F54FA">
        <w:rPr>
          <w:b/>
          <w:bCs/>
        </w:rPr>
        <w:t xml:space="preserve">Statement I and Schedule 1.1, pages </w:t>
      </w:r>
      <w:r w:rsidR="00A87C0D" w:rsidRPr="008F54FA">
        <w:rPr>
          <w:b/>
          <w:bCs/>
        </w:rPr>
        <w:t xml:space="preserve">6 </w:t>
      </w:r>
      <w:r w:rsidR="000326D5" w:rsidRPr="008F54FA">
        <w:rPr>
          <w:b/>
          <w:bCs/>
        </w:rPr>
        <w:t>–</w:t>
      </w:r>
      <w:r w:rsidR="00A87C0D" w:rsidRPr="008F54FA">
        <w:rPr>
          <w:b/>
          <w:bCs/>
        </w:rPr>
        <w:t xml:space="preserve"> 7</w:t>
      </w:r>
      <w:r w:rsidR="000326D5" w:rsidRPr="008F54FA">
        <w:rPr>
          <w:b/>
          <w:bCs/>
        </w:rPr>
        <w:t>)</w:t>
      </w:r>
    </w:p>
    <w:p w14:paraId="70292DEF" w14:textId="716F6E59" w:rsidR="00D03172" w:rsidRPr="008F54FA" w:rsidRDefault="00155371" w:rsidP="00775C3C">
      <w:pPr>
        <w:pStyle w:val="1GAPara"/>
        <w:ind w:left="567" w:hanging="567"/>
        <w:jc w:val="both"/>
      </w:pPr>
      <w:r w:rsidRPr="008F54FA">
        <w:t xml:space="preserve">By its Resolution </w:t>
      </w:r>
      <w:hyperlink r:id="rId17" w:history="1">
        <w:r w:rsidRPr="008F54FA">
          <w:rPr>
            <w:rStyle w:val="Hyperlink"/>
          </w:rPr>
          <w:t>9.GA 10</w:t>
        </w:r>
      </w:hyperlink>
      <w:r w:rsidRPr="008F54FA">
        <w:t>, the General Assembly approved a budget of</w:t>
      </w:r>
      <w:r w:rsidR="00C15A3F" w:rsidRPr="008F54FA">
        <w:t xml:space="preserve"> US$8,732,653</w:t>
      </w:r>
      <w:r w:rsidR="00D03172" w:rsidRPr="008F54FA">
        <w:t xml:space="preserve"> for the period 1 January 2022 to 31 December 2023.</w:t>
      </w:r>
      <w:r w:rsidR="00C41F8A" w:rsidRPr="008F54FA">
        <w:t xml:space="preserve"> </w:t>
      </w:r>
      <w:r w:rsidR="00D03172" w:rsidRPr="008F54FA">
        <w:t xml:space="preserve">This corresponds to the balance of the Fund (excluding the sub-fund dedicated to specific activities approved by the Committee and the sub-fund for </w:t>
      </w:r>
      <w:r w:rsidR="00793897" w:rsidRPr="008F54FA">
        <w:t>e</w:t>
      </w:r>
      <w:r w:rsidR="00D03172" w:rsidRPr="008F54FA">
        <w:t>nhancing the human capacities of the Secretariat) on 1 January 2022 (US$9,732,653) less the Reserve Fund accumulated up to that date (US$1,000,000).</w:t>
      </w:r>
    </w:p>
    <w:p w14:paraId="731E902A" w14:textId="408953C7" w:rsidR="00775C3C" w:rsidRPr="008F54FA" w:rsidRDefault="00775C3C" w:rsidP="00775C3C">
      <w:pPr>
        <w:pStyle w:val="1GAPara"/>
        <w:ind w:left="567" w:hanging="567"/>
        <w:jc w:val="both"/>
      </w:pPr>
      <w:r w:rsidRPr="008F54FA">
        <w:t xml:space="preserve">The Financial Report (Schedule 1.1) shows a total expenditure of US$5,277,305 as of 30 June 2023, which </w:t>
      </w:r>
      <w:r w:rsidR="006C6907" w:rsidRPr="008F54FA">
        <w:t xml:space="preserve">corresponds to </w:t>
      </w:r>
      <w:r w:rsidRPr="008F54FA">
        <w:t>60</w:t>
      </w:r>
      <w:r w:rsidR="00AC3B77" w:rsidRPr="008F54FA">
        <w:t>.4</w:t>
      </w:r>
      <w:r w:rsidRPr="008F54FA">
        <w:t>% of the approved budget. This represents a significant increase compared to the 2020</w:t>
      </w:r>
      <w:r w:rsidR="006C6907" w:rsidRPr="008F54FA">
        <w:t xml:space="preserve"> – </w:t>
      </w:r>
      <w:r w:rsidRPr="008F54FA">
        <w:t xml:space="preserve">2021 biennium </w:t>
      </w:r>
      <w:r w:rsidR="006C6907" w:rsidRPr="008F54FA">
        <w:t xml:space="preserve">marked by the COVID-19 pandemic </w:t>
      </w:r>
      <w:r w:rsidRPr="008F54FA">
        <w:t>(32</w:t>
      </w:r>
      <w:r w:rsidR="00AC3B77" w:rsidRPr="008F54FA">
        <w:t>.4</w:t>
      </w:r>
      <w:r w:rsidRPr="008F54FA">
        <w:t>% expenditure rate on 30 June 2021)</w:t>
      </w:r>
      <w:r w:rsidR="006C6907" w:rsidRPr="008F54FA">
        <w:t xml:space="preserve"> and even the 2018 – 2019 biennium (47.2% expenditure rate on 30 June 2019)</w:t>
      </w:r>
      <w:r w:rsidRPr="008F54FA">
        <w:t xml:space="preserve">. Explanations for each budget line of the schedule of appropriations and expenditure are provided below. </w:t>
      </w:r>
    </w:p>
    <w:p w14:paraId="74442453" w14:textId="5F6F8AA8" w:rsidR="006B692E" w:rsidRPr="008F54FA" w:rsidRDefault="001704EE" w:rsidP="00B92DA4">
      <w:pPr>
        <w:pStyle w:val="1GAPara"/>
        <w:ind w:left="567" w:hanging="567"/>
        <w:jc w:val="both"/>
      </w:pPr>
      <w:r w:rsidRPr="008F54FA">
        <w:lastRenderedPageBreak/>
        <w:t>In line with the priorities set by the Guidelines for the use of the resources of the Fund in Chapter II.1 of the Operational Directives, the General Assembly decided that the majority of the resources (</w:t>
      </w:r>
      <w:r w:rsidRPr="008F54FA">
        <w:rPr>
          <w:b/>
          <w:bCs/>
        </w:rPr>
        <w:t>budget line 1</w:t>
      </w:r>
      <w:r w:rsidRPr="008F54FA">
        <w:t xml:space="preserve">, 50% of the approved </w:t>
      </w:r>
      <w:r w:rsidR="006B692E" w:rsidRPr="008F54FA">
        <w:t>Plan excluding budget line 1.1</w:t>
      </w:r>
      <w:r w:rsidRPr="008F54FA">
        <w:t xml:space="preserve">) would continue to be allocated to the provision of International Assistance to States Parties in order to supplement their national efforts to safeguard intangible cultural heritage. </w:t>
      </w:r>
    </w:p>
    <w:p w14:paraId="409BF6C8" w14:textId="6FC90861" w:rsidR="00774CCE" w:rsidRPr="008F54FA" w:rsidRDefault="001704EE" w:rsidP="00774CCE">
      <w:pPr>
        <w:pStyle w:val="1GAPara"/>
        <w:ind w:left="567" w:hanging="567"/>
        <w:jc w:val="both"/>
      </w:pPr>
      <w:r w:rsidRPr="008F54FA">
        <w:t>As at 30 June 2023, the expenditures under budget line 1 more than doubled compared to the same period in the previous biennium</w:t>
      </w:r>
      <w:r w:rsidR="008E2DC4" w:rsidRPr="008F54FA">
        <w:t xml:space="preserve"> (</w:t>
      </w:r>
      <w:r w:rsidRPr="008F54FA">
        <w:t>from US$1.</w:t>
      </w:r>
      <w:r w:rsidR="00DC75A2" w:rsidRPr="008F54FA">
        <w:t>03</w:t>
      </w:r>
      <w:r w:rsidRPr="008F54FA">
        <w:t xml:space="preserve"> million </w:t>
      </w:r>
      <w:r w:rsidR="006C6907" w:rsidRPr="008F54FA">
        <w:t>for the</w:t>
      </w:r>
      <w:r w:rsidRPr="008F54FA">
        <w:t xml:space="preserve"> 1 January 2020 to 30 June 2021 </w:t>
      </w:r>
      <w:r w:rsidR="006C6907" w:rsidRPr="008F54FA">
        <w:t xml:space="preserve">period </w:t>
      </w:r>
      <w:r w:rsidRPr="008F54FA">
        <w:t>to US$</w:t>
      </w:r>
      <w:r w:rsidR="00DC75A2" w:rsidRPr="008F54FA">
        <w:t>2.2</w:t>
      </w:r>
      <w:r w:rsidRPr="008F54FA">
        <w:t xml:space="preserve"> million from 1 January 2022 to 30 June 2023</w:t>
      </w:r>
      <w:r w:rsidR="008E2DC4" w:rsidRPr="008F54FA">
        <w:t>)</w:t>
      </w:r>
      <w:r w:rsidRPr="008F54FA">
        <w:t xml:space="preserve">. </w:t>
      </w:r>
      <w:r w:rsidR="00E047ED" w:rsidRPr="008F54FA">
        <w:t xml:space="preserve">It </w:t>
      </w:r>
      <w:r w:rsidR="00DC75A2" w:rsidRPr="008F54FA">
        <w:t>correspond</w:t>
      </w:r>
      <w:r w:rsidR="00E047ED" w:rsidRPr="008F54FA">
        <w:t>s</w:t>
      </w:r>
      <w:r w:rsidR="00DC75A2" w:rsidRPr="008F54FA">
        <w:t xml:space="preserve"> to</w:t>
      </w:r>
      <w:r w:rsidR="006B692E" w:rsidRPr="008F54FA">
        <w:t xml:space="preserve"> </w:t>
      </w:r>
      <w:r w:rsidR="00A12DEC" w:rsidRPr="008F54FA">
        <w:t>eighteen</w:t>
      </w:r>
      <w:r w:rsidR="008E2DC4" w:rsidRPr="008F54FA">
        <w:t xml:space="preserve"> </w:t>
      </w:r>
      <w:r w:rsidR="00DC75A2" w:rsidRPr="008F54FA">
        <w:t xml:space="preserve">International Assistance </w:t>
      </w:r>
      <w:r w:rsidR="006B692E" w:rsidRPr="008F54FA">
        <w:t xml:space="preserve">projects </w:t>
      </w:r>
      <w:r w:rsidR="005D198E" w:rsidRPr="008F54FA">
        <w:t>contract</w:t>
      </w:r>
      <w:r w:rsidR="006B217A" w:rsidRPr="008F54FA">
        <w:t>ed</w:t>
      </w:r>
      <w:r w:rsidR="005D198E" w:rsidRPr="008F54FA">
        <w:t xml:space="preserve"> </w:t>
      </w:r>
      <w:r w:rsidR="006B217A" w:rsidRPr="008F54FA">
        <w:t xml:space="preserve">during the </w:t>
      </w:r>
      <w:r w:rsidR="005D198E" w:rsidRPr="008F54FA">
        <w:t>reporting period</w:t>
      </w:r>
      <w:r w:rsidR="006B692E" w:rsidRPr="008F54FA">
        <w:t xml:space="preserve">, including </w:t>
      </w:r>
      <w:r w:rsidR="00A12DEC" w:rsidRPr="008F54FA">
        <w:t>five</w:t>
      </w:r>
      <w:r w:rsidR="00DC75A2" w:rsidRPr="008F54FA">
        <w:t xml:space="preserve"> in </w:t>
      </w:r>
      <w:r w:rsidR="006B692E" w:rsidRPr="008F54FA">
        <w:t xml:space="preserve">the </w:t>
      </w:r>
      <w:r w:rsidR="00DC75A2" w:rsidRPr="008F54FA">
        <w:t xml:space="preserve">Africa </w:t>
      </w:r>
      <w:r w:rsidR="006B692E" w:rsidRPr="008F54FA">
        <w:t>region</w:t>
      </w:r>
      <w:r w:rsidR="001D7B07" w:rsidRPr="008F54FA">
        <w:t xml:space="preserve"> (</w:t>
      </w:r>
      <w:r w:rsidR="00F771DA" w:rsidRPr="008F54FA">
        <w:t>39</w:t>
      </w:r>
      <w:r w:rsidR="001D7B07" w:rsidRPr="008F54FA">
        <w:t>% of the total expenditure related to International Assistance)</w:t>
      </w:r>
      <w:r w:rsidR="00A12DEC" w:rsidRPr="008F54FA">
        <w:t xml:space="preserve"> and six in</w:t>
      </w:r>
      <w:r w:rsidR="00AE2290" w:rsidRPr="008F54FA">
        <w:t xml:space="preserve"> Small Island Developing States</w:t>
      </w:r>
      <w:r w:rsidR="001D7B07" w:rsidRPr="008F54FA">
        <w:t xml:space="preserve"> (</w:t>
      </w:r>
      <w:r w:rsidR="00773F9E" w:rsidRPr="008F54FA">
        <w:t>30</w:t>
      </w:r>
      <w:r w:rsidR="001D7B07" w:rsidRPr="008F54FA">
        <w:t>% of the total expenditure related to International Assistance)</w:t>
      </w:r>
      <w:r w:rsidR="006B692E" w:rsidRPr="008F54FA">
        <w:t>.</w:t>
      </w:r>
      <w:r w:rsidR="008D7989" w:rsidRPr="008F54FA">
        <w:t xml:space="preserve"> </w:t>
      </w:r>
      <w:r w:rsidR="00774CCE" w:rsidRPr="008F54FA">
        <w:t xml:space="preserve">For </w:t>
      </w:r>
      <w:r w:rsidR="00886DA3" w:rsidRPr="008F54FA">
        <w:t>10</w:t>
      </w:r>
      <w:r w:rsidR="00774CCE" w:rsidRPr="008F54FA">
        <w:t xml:space="preserve"> beneficiary States Parties (</w:t>
      </w:r>
      <w:r w:rsidR="00886DA3" w:rsidRPr="008F54FA">
        <w:t>4</w:t>
      </w:r>
      <w:r w:rsidR="00774CCE" w:rsidRPr="008F54FA">
        <w:t xml:space="preserve"> Small Island Developing States), this constituted the first project supported by the Fund under the International Assistance mechanisms, thereby demonstrating the continued expansion of their geographical outreach. </w:t>
      </w:r>
      <w:r w:rsidR="00503C3C" w:rsidRPr="008F54FA">
        <w:t>Document</w:t>
      </w:r>
      <w:r w:rsidR="00774CCE" w:rsidRPr="008F54FA">
        <w:t xml:space="preserve">s </w:t>
      </w:r>
      <w:hyperlink r:id="rId18" w:history="1">
        <w:r w:rsidR="00774CCE" w:rsidRPr="008F54FA">
          <w:rPr>
            <w:rStyle w:val="Hyperlink"/>
          </w:rPr>
          <w:t>LHE/22/17.COM/6.d</w:t>
        </w:r>
      </w:hyperlink>
      <w:r w:rsidR="00774CCE" w:rsidRPr="008F54FA">
        <w:t xml:space="preserve"> and</w:t>
      </w:r>
      <w:r w:rsidR="00503C3C" w:rsidRPr="008F54FA">
        <w:t xml:space="preserve"> </w:t>
      </w:r>
      <w:hyperlink r:id="rId19" w:history="1">
        <w:r w:rsidR="00503C3C" w:rsidRPr="008F54FA">
          <w:rPr>
            <w:rStyle w:val="Hyperlink"/>
          </w:rPr>
          <w:t>LHE/23/18.COM/10</w:t>
        </w:r>
      </w:hyperlink>
      <w:r w:rsidR="00503C3C" w:rsidRPr="008F54FA">
        <w:t xml:space="preserve"> provide an overview of the implementation of the </w:t>
      </w:r>
      <w:r w:rsidR="00336946" w:rsidRPr="008F54FA">
        <w:t>I</w:t>
      </w:r>
      <w:r w:rsidR="00503C3C" w:rsidRPr="008F54FA">
        <w:t xml:space="preserve">nternational </w:t>
      </w:r>
      <w:r w:rsidR="00336946" w:rsidRPr="008F54FA">
        <w:t>A</w:t>
      </w:r>
      <w:r w:rsidR="00503C3C" w:rsidRPr="008F54FA">
        <w:t>ssistance mechanism</w:t>
      </w:r>
      <w:r w:rsidR="00336946" w:rsidRPr="008F54FA">
        <w:t>s</w:t>
      </w:r>
      <w:r w:rsidR="00774CCE" w:rsidRPr="008F54FA">
        <w:t xml:space="preserve"> – cumulatively covering the perio</w:t>
      </w:r>
      <w:r w:rsidR="00CF694E" w:rsidRPr="008F54FA">
        <w:t>d from July 2021 to June 202</w:t>
      </w:r>
      <w:r w:rsidR="00475F32" w:rsidRPr="008F54FA">
        <w:t>3</w:t>
      </w:r>
      <w:r w:rsidR="00CF694E" w:rsidRPr="008F54FA">
        <w:t xml:space="preserve"> –</w:t>
      </w:r>
      <w:r w:rsidR="00503C3C" w:rsidRPr="008F54FA">
        <w:t xml:space="preserve"> and</w:t>
      </w:r>
      <w:r w:rsidR="00CF694E" w:rsidRPr="008F54FA">
        <w:t xml:space="preserve"> </w:t>
      </w:r>
      <w:r w:rsidR="00503C3C" w:rsidRPr="008F54FA">
        <w:t xml:space="preserve">contain, in </w:t>
      </w:r>
      <w:r w:rsidR="00CF694E" w:rsidRPr="008F54FA">
        <w:t xml:space="preserve">their </w:t>
      </w:r>
      <w:r w:rsidR="00503C3C" w:rsidRPr="008F54FA">
        <w:t xml:space="preserve">Annex I, a list of </w:t>
      </w:r>
      <w:r w:rsidR="00475F32" w:rsidRPr="008F54FA">
        <w:t xml:space="preserve">narrative </w:t>
      </w:r>
      <w:r w:rsidR="00503C3C" w:rsidRPr="008F54FA">
        <w:t xml:space="preserve">reports submitted by beneficiary States Parties on the use of the assistance provided. </w:t>
      </w:r>
    </w:p>
    <w:p w14:paraId="15F2BE9C" w14:textId="6D2BEF0E" w:rsidR="00DC75A2" w:rsidRPr="008F54FA" w:rsidRDefault="00E34401" w:rsidP="00503C3C">
      <w:pPr>
        <w:pStyle w:val="1GAPara"/>
        <w:ind w:left="567" w:hanging="567"/>
        <w:jc w:val="both"/>
      </w:pPr>
      <w:r w:rsidRPr="008F54FA">
        <w:t>Furthermore, e</w:t>
      </w:r>
      <w:r w:rsidR="00861A2C" w:rsidRPr="008F54FA">
        <w:t xml:space="preserve">xpenditures related to fifteen other </w:t>
      </w:r>
      <w:r w:rsidR="0068212C" w:rsidRPr="008F54FA">
        <w:t xml:space="preserve">approved </w:t>
      </w:r>
      <w:r w:rsidR="00861A2C" w:rsidRPr="008F54FA">
        <w:t xml:space="preserve">International Assistance </w:t>
      </w:r>
      <w:r w:rsidRPr="008F54FA">
        <w:t xml:space="preserve">requests </w:t>
      </w:r>
      <w:r w:rsidR="00861A2C" w:rsidRPr="008F54FA">
        <w:t>have not yet been reflected in Schedule 1.1. This is due to the fact that c</w:t>
      </w:r>
      <w:r w:rsidR="00331641" w:rsidRPr="008F54FA">
        <w:t xml:space="preserve">ontracts for seven </w:t>
      </w:r>
      <w:r w:rsidRPr="008F54FA">
        <w:t>of them</w:t>
      </w:r>
      <w:r w:rsidR="0068212C" w:rsidRPr="008F54FA">
        <w:t xml:space="preserve"> </w:t>
      </w:r>
      <w:r w:rsidR="00331641" w:rsidRPr="008F54FA">
        <w:t>have been established after</w:t>
      </w:r>
      <w:r w:rsidR="0041518D" w:rsidRPr="008F54FA">
        <w:t xml:space="preserve"> </w:t>
      </w:r>
      <w:r w:rsidR="0068212C" w:rsidRPr="008F54FA">
        <w:t xml:space="preserve">30 June 2023 </w:t>
      </w:r>
      <w:r w:rsidR="00861A2C" w:rsidRPr="008F54FA">
        <w:t xml:space="preserve">and contracts for </w:t>
      </w:r>
      <w:r w:rsidR="0041518D" w:rsidRPr="008F54FA">
        <w:t xml:space="preserve">eight </w:t>
      </w:r>
      <w:r w:rsidR="00861A2C" w:rsidRPr="008F54FA">
        <w:t>other</w:t>
      </w:r>
      <w:r w:rsidR="00336946" w:rsidRPr="008F54FA">
        <w:t>s</w:t>
      </w:r>
      <w:r w:rsidR="00861A2C" w:rsidRPr="008F54FA">
        <w:t xml:space="preserve"> are expected to be established before the end of the </w:t>
      </w:r>
      <w:r w:rsidR="0068212C" w:rsidRPr="008F54FA">
        <w:t>year</w:t>
      </w:r>
      <w:r w:rsidR="00861A2C" w:rsidRPr="008F54FA">
        <w:t xml:space="preserve">. </w:t>
      </w:r>
      <w:r w:rsidR="00D61969" w:rsidRPr="008F54FA">
        <w:t xml:space="preserve">The expenditure rate </w:t>
      </w:r>
      <w:r w:rsidRPr="008F54FA">
        <w:t>is foreseen to</w:t>
      </w:r>
      <w:r w:rsidR="00D61969" w:rsidRPr="008F54FA">
        <w:t xml:space="preserve"> rise</w:t>
      </w:r>
      <w:r w:rsidRPr="008F54FA">
        <w:t xml:space="preserve"> up</w:t>
      </w:r>
      <w:r w:rsidR="00D61969" w:rsidRPr="008F54FA">
        <w:t xml:space="preserve"> to 82% at the end of biennium when the above-mentioned contracts are established.</w:t>
      </w:r>
    </w:p>
    <w:p w14:paraId="17F4F823" w14:textId="222C9F26" w:rsidR="005A2F82" w:rsidRPr="008F54FA" w:rsidRDefault="005A2F82" w:rsidP="00AD1D70">
      <w:pPr>
        <w:pStyle w:val="COMPara"/>
        <w:numPr>
          <w:ilvl w:val="0"/>
          <w:numId w:val="2"/>
        </w:numPr>
        <w:tabs>
          <w:tab w:val="left" w:pos="567"/>
        </w:tabs>
        <w:snapToGrid/>
        <w:ind w:left="567" w:hanging="567"/>
        <w:jc w:val="both"/>
      </w:pPr>
      <w:r w:rsidRPr="008F54FA">
        <w:t xml:space="preserve">The </w:t>
      </w:r>
      <w:r w:rsidRPr="008F54FA">
        <w:rPr>
          <w:b/>
        </w:rPr>
        <w:t>budget line 1.1</w:t>
      </w:r>
      <w:r w:rsidRPr="008F54FA">
        <w:t xml:space="preserve"> (10% of the approved Plan) was used to cover the biennial costs of three extra-budgetary fixed-term posts (one P3, one P2 and one G5) that were created by the General Assembly at its seventh session in 2018 to fully activate the International Assistance mechanisms and effectively monitor and evaluate their implementation (Resolution </w:t>
      </w:r>
      <w:hyperlink r:id="rId20" w:history="1">
        <w:r w:rsidRPr="008F54FA">
          <w:rPr>
            <w:rStyle w:val="Hyperlink"/>
          </w:rPr>
          <w:t>7.GA 8</w:t>
        </w:r>
      </w:hyperlink>
      <w:r w:rsidRPr="008F54FA">
        <w:t xml:space="preserve">). The ‘Safeguarding Implementation and Monitoring (SIM) Team’ was established and </w:t>
      </w:r>
      <w:r w:rsidR="00E34401" w:rsidRPr="008F54FA">
        <w:t>continues to be</w:t>
      </w:r>
      <w:r w:rsidRPr="008F54FA">
        <w:t xml:space="preserve"> operational since February 2020.</w:t>
      </w:r>
    </w:p>
    <w:p w14:paraId="6F390523" w14:textId="51790F90" w:rsidR="005A2F82" w:rsidRPr="008F54FA" w:rsidRDefault="005A2F82" w:rsidP="005A2F82">
      <w:pPr>
        <w:pStyle w:val="1GAPara"/>
        <w:snapToGrid w:val="0"/>
        <w:ind w:left="562" w:hanging="562"/>
        <w:jc w:val="both"/>
      </w:pPr>
      <w:r w:rsidRPr="008F54FA">
        <w:t xml:space="preserve">Concerning the </w:t>
      </w:r>
      <w:r w:rsidRPr="008F54FA">
        <w:rPr>
          <w:b/>
        </w:rPr>
        <w:t>budget line 2</w:t>
      </w:r>
      <w:r w:rsidRPr="008F54FA">
        <w:t xml:space="preserve"> (2.6% of approved Plan), the expenditures reflected include the provision of technical assistance to </w:t>
      </w:r>
      <w:r w:rsidR="00346CD5" w:rsidRPr="008F54FA">
        <w:t xml:space="preserve">nine </w:t>
      </w:r>
      <w:r w:rsidRPr="008F54FA">
        <w:t xml:space="preserve">States Parties for the development and revision of their International Assistance requests, in accordance with Decision </w:t>
      </w:r>
      <w:hyperlink r:id="rId21" w:history="1">
        <w:r w:rsidRPr="008F54FA">
          <w:rPr>
            <w:rStyle w:val="Hyperlink"/>
          </w:rPr>
          <w:t>8.COM 7.c</w:t>
        </w:r>
      </w:hyperlink>
      <w:r w:rsidR="008E2DC4" w:rsidRPr="008F54FA">
        <w:t xml:space="preserve">. Among the nine States Parties, </w:t>
      </w:r>
      <w:r w:rsidR="00987A4B" w:rsidRPr="008F54FA">
        <w:t xml:space="preserve">four </w:t>
      </w:r>
      <w:r w:rsidR="008E2DC4" w:rsidRPr="008F54FA">
        <w:t xml:space="preserve">are from the </w:t>
      </w:r>
      <w:r w:rsidR="00987A4B" w:rsidRPr="008F54FA">
        <w:t>Africa region and fo</w:t>
      </w:r>
      <w:r w:rsidR="008E2DC4" w:rsidRPr="008F54FA">
        <w:t>u</w:t>
      </w:r>
      <w:r w:rsidR="00987A4B" w:rsidRPr="008F54FA">
        <w:t>r</w:t>
      </w:r>
      <w:r w:rsidR="008E2DC4" w:rsidRPr="008F54FA">
        <w:t xml:space="preserve"> are </w:t>
      </w:r>
      <w:r w:rsidR="00987A4B" w:rsidRPr="008F54FA">
        <w:t xml:space="preserve">Small Island Developing States. </w:t>
      </w:r>
      <w:r w:rsidRPr="008F54FA">
        <w:t xml:space="preserve">The expenditure rate of this budget line </w:t>
      </w:r>
      <w:r w:rsidR="004814AB" w:rsidRPr="008F54FA">
        <w:t>reached 40.5</w:t>
      </w:r>
      <w:r w:rsidR="00105335" w:rsidRPr="008F54FA">
        <w:t>%</w:t>
      </w:r>
      <w:r w:rsidR="00987A4B" w:rsidRPr="008F54FA">
        <w:t xml:space="preserve"> against </w:t>
      </w:r>
      <w:r w:rsidR="00105335" w:rsidRPr="008F54FA">
        <w:t>6.7% during the same period in the 2020</w:t>
      </w:r>
      <w:r w:rsidR="00503C3C" w:rsidRPr="008F54FA">
        <w:t xml:space="preserve"> – </w:t>
      </w:r>
      <w:r w:rsidR="00105335" w:rsidRPr="008F54FA">
        <w:t>2021</w:t>
      </w:r>
      <w:r w:rsidR="00503C3C" w:rsidRPr="008F54FA">
        <w:t xml:space="preserve"> </w:t>
      </w:r>
      <w:r w:rsidR="00105335" w:rsidRPr="008F54FA">
        <w:t>biennium</w:t>
      </w:r>
      <w:r w:rsidRPr="008F54FA">
        <w:t xml:space="preserve">. During the reporting period, </w:t>
      </w:r>
      <w:r w:rsidR="00556B45" w:rsidRPr="008F54FA">
        <w:t>five</w:t>
      </w:r>
      <w:r w:rsidRPr="008F54FA">
        <w:t xml:space="preserve"> </w:t>
      </w:r>
      <w:r w:rsidR="00556B45" w:rsidRPr="008F54FA">
        <w:t xml:space="preserve">International Assistance </w:t>
      </w:r>
      <w:r w:rsidRPr="008F54FA">
        <w:t>request</w:t>
      </w:r>
      <w:r w:rsidR="00556B45" w:rsidRPr="008F54FA">
        <w:t>s</w:t>
      </w:r>
      <w:r w:rsidRPr="008F54FA">
        <w:t xml:space="preserve"> w</w:t>
      </w:r>
      <w:r w:rsidR="00556B45" w:rsidRPr="008F54FA">
        <w:t xml:space="preserve">ere </w:t>
      </w:r>
      <w:r w:rsidRPr="008F54FA">
        <w:t>finalized through this support mechanism</w:t>
      </w:r>
      <w:r w:rsidR="00503C3C" w:rsidRPr="008F54FA">
        <w:t>, all of which were</w:t>
      </w:r>
      <w:r w:rsidRPr="008F54FA">
        <w:t xml:space="preserve"> approved by the Bureau. </w:t>
      </w:r>
      <w:r w:rsidR="00503C3C" w:rsidRPr="008F54FA">
        <w:t>In addition, o</w:t>
      </w:r>
      <w:r w:rsidR="00556B45" w:rsidRPr="008F54FA">
        <w:t>ne r</w:t>
      </w:r>
      <w:r w:rsidRPr="008F54FA">
        <w:t>equest that ha</w:t>
      </w:r>
      <w:r w:rsidR="00556B45" w:rsidRPr="008F54FA">
        <w:t>s</w:t>
      </w:r>
      <w:r w:rsidRPr="008F54FA">
        <w:t xml:space="preserve"> benefitted from this mechanism w</w:t>
      </w:r>
      <w:r w:rsidR="00556B45" w:rsidRPr="008F54FA">
        <w:t xml:space="preserve">as </w:t>
      </w:r>
      <w:r w:rsidRPr="008F54FA">
        <w:t xml:space="preserve">examined </w:t>
      </w:r>
      <w:r w:rsidR="00556B45" w:rsidRPr="008F54FA">
        <w:t xml:space="preserve">and approved </w:t>
      </w:r>
      <w:r w:rsidRPr="008F54FA">
        <w:t xml:space="preserve">by the Bureau in </w:t>
      </w:r>
      <w:r w:rsidR="00556B45" w:rsidRPr="008F54FA">
        <w:t xml:space="preserve">October </w:t>
      </w:r>
      <w:r w:rsidRPr="008F54FA">
        <w:t>202</w:t>
      </w:r>
      <w:r w:rsidR="00556B45" w:rsidRPr="008F54FA">
        <w:t>3 while three other requests are expected to be finalized in 2024</w:t>
      </w:r>
      <w:r w:rsidRPr="008F54FA">
        <w:t xml:space="preserve">. </w:t>
      </w:r>
    </w:p>
    <w:p w14:paraId="60DA0CA8" w14:textId="0A1221AF" w:rsidR="006C6B75" w:rsidRPr="008F54FA" w:rsidRDefault="00440C23" w:rsidP="00507D7B">
      <w:pPr>
        <w:pStyle w:val="1GAPara"/>
        <w:ind w:left="567" w:hanging="567"/>
        <w:jc w:val="both"/>
      </w:pPr>
      <w:r w:rsidRPr="008F54FA">
        <w:t xml:space="preserve">The </w:t>
      </w:r>
      <w:r w:rsidR="00987A4B" w:rsidRPr="008F54FA">
        <w:t xml:space="preserve">use of the budget for the </w:t>
      </w:r>
      <w:r w:rsidRPr="008F54FA">
        <w:t>‘other functions of the Committee’ (</w:t>
      </w:r>
      <w:r w:rsidRPr="008F54FA">
        <w:rPr>
          <w:b/>
          <w:bCs/>
        </w:rPr>
        <w:t>budget line 3</w:t>
      </w:r>
      <w:r w:rsidRPr="008F54FA">
        <w:t xml:space="preserve">: 20% of approved Plan) </w:t>
      </w:r>
      <w:r w:rsidR="00987A4B" w:rsidRPr="008F54FA">
        <w:t xml:space="preserve">is based on a percentage breakdown in terms of Expected Results </w:t>
      </w:r>
      <w:r w:rsidR="00432703" w:rsidRPr="008F54FA">
        <w:t xml:space="preserve">which </w:t>
      </w:r>
      <w:r w:rsidR="00432703" w:rsidRPr="008F54FA">
        <w:rPr>
          <w:rStyle w:val="hps"/>
        </w:rPr>
        <w:t xml:space="preserve">are aligned with the </w:t>
      </w:r>
      <w:r w:rsidR="00432703" w:rsidRPr="008F54FA">
        <w:t xml:space="preserve">performance indicators defined in the approved </w:t>
      </w:r>
      <w:hyperlink r:id="rId22" w:history="1">
        <w:r w:rsidR="00432703" w:rsidRPr="008F54FA">
          <w:rPr>
            <w:rStyle w:val="Hyperlink"/>
          </w:rPr>
          <w:t>41 C/5</w:t>
        </w:r>
      </w:hyperlink>
      <w:r w:rsidR="00432703" w:rsidRPr="008F54FA">
        <w:t xml:space="preserve"> for the Major Programme IV Culture, Outcome 5, Output 5.CLT4 ‘Member States’ and communities’ capacities strengthened to identify, safeguard and promote living heritage’. According to the Plan approved </w:t>
      </w:r>
      <w:r w:rsidR="00402C3F" w:rsidRPr="008F54FA">
        <w:t>by the General Assembly (</w:t>
      </w:r>
      <w:r w:rsidR="008E2DC4" w:rsidRPr="008F54FA">
        <w:t xml:space="preserve">see document </w:t>
      </w:r>
      <w:hyperlink r:id="rId23" w:history="1">
        <w:r w:rsidR="00DB70D3" w:rsidRPr="008F54FA">
          <w:rPr>
            <w:rStyle w:val="Hyperlink"/>
          </w:rPr>
          <w:t>LHE/22/9.GA/10</w:t>
        </w:r>
      </w:hyperlink>
      <w:r w:rsidR="00402C3F" w:rsidRPr="008F54FA">
        <w:t xml:space="preserve">), these funds were dedicated to: </w:t>
      </w:r>
      <w:r w:rsidR="008D7989" w:rsidRPr="008F54FA">
        <w:t>capacity-building and guidance on safeguarding measures and good practices (33%</w:t>
      </w:r>
      <w:r w:rsidR="00503C3C" w:rsidRPr="008F54FA">
        <w:t xml:space="preserve"> of budget line 3</w:t>
      </w:r>
      <w:r w:rsidR="008D7989" w:rsidRPr="008F54FA">
        <w:t xml:space="preserve">); </w:t>
      </w:r>
      <w:r w:rsidR="00402C3F" w:rsidRPr="008F54FA">
        <w:t xml:space="preserve">enhanced monitoring and knowledge management services (25% of budget line 3); </w:t>
      </w:r>
      <w:r w:rsidR="008D7989" w:rsidRPr="008F54FA">
        <w:t>awareness-raising and outreach (23%</w:t>
      </w:r>
      <w:r w:rsidR="00503C3C" w:rsidRPr="008F54FA">
        <w:t xml:space="preserve"> of budget line 3</w:t>
      </w:r>
      <w:r w:rsidR="008D7989" w:rsidRPr="008F54FA">
        <w:t>); and the i</w:t>
      </w:r>
      <w:r w:rsidR="00402C3F" w:rsidRPr="008F54FA">
        <w:t>ntegration of intangible cultural heritage into development plans, policies and programmes</w:t>
      </w:r>
      <w:r w:rsidR="008D7989" w:rsidRPr="008F54FA">
        <w:t xml:space="preserve"> (19%</w:t>
      </w:r>
      <w:r w:rsidR="00503C3C" w:rsidRPr="008F54FA">
        <w:t xml:space="preserve"> of budget line 3</w:t>
      </w:r>
      <w:r w:rsidR="008D7989" w:rsidRPr="008F54FA">
        <w:t>).</w:t>
      </w:r>
      <w:r w:rsidR="001D3DE5" w:rsidRPr="008F54FA">
        <w:t xml:space="preserve"> As at 30 June 2023, </w:t>
      </w:r>
      <w:r w:rsidR="005D198E" w:rsidRPr="008F54FA">
        <w:t xml:space="preserve">the expenditure rate of this budget line stood at </w:t>
      </w:r>
      <w:r w:rsidR="001D3DE5" w:rsidRPr="008F54FA">
        <w:t>72.7%</w:t>
      </w:r>
      <w:r w:rsidR="00F16800" w:rsidRPr="008F54FA">
        <w:t>.</w:t>
      </w:r>
      <w:r w:rsidR="005D198E" w:rsidRPr="008F54FA">
        <w:t xml:space="preserve"> </w:t>
      </w:r>
      <w:r w:rsidR="00F16800" w:rsidRPr="008F54FA">
        <w:t xml:space="preserve">It is a considerable increase compared to 44.3% at the same period in the previous biennium. The expenditure rate </w:t>
      </w:r>
      <w:r w:rsidR="005D198E" w:rsidRPr="008F54FA">
        <w:t xml:space="preserve">is expected to </w:t>
      </w:r>
      <w:r w:rsidR="00041409" w:rsidRPr="008F54FA">
        <w:t>surpass</w:t>
      </w:r>
      <w:r w:rsidR="005D198E" w:rsidRPr="008F54FA">
        <w:t xml:space="preserve"> </w:t>
      </w:r>
      <w:r w:rsidR="00041409" w:rsidRPr="008F54FA">
        <w:t>80</w:t>
      </w:r>
      <w:r w:rsidR="005D198E" w:rsidRPr="008F54FA">
        <w:t>% at the end of biennium.</w:t>
      </w:r>
      <w:r w:rsidR="00C71078" w:rsidRPr="008F54FA">
        <w:t xml:space="preserve"> </w:t>
      </w:r>
      <w:r w:rsidR="006C6B75" w:rsidRPr="008F54FA">
        <w:t>A detailed</w:t>
      </w:r>
      <w:r w:rsidR="003846C7" w:rsidRPr="008F54FA">
        <w:t xml:space="preserve"> narrative</w:t>
      </w:r>
      <w:r w:rsidR="006C6B75" w:rsidRPr="008F54FA">
        <w:t xml:space="preserve"> report on the progress of the implementation of these funds can be found in Annex V.</w:t>
      </w:r>
      <w:r w:rsidR="00AA6C70" w:rsidRPr="008F54FA">
        <w:t xml:space="preserve"> </w:t>
      </w:r>
    </w:p>
    <w:p w14:paraId="0C2F6C1A" w14:textId="058EF993" w:rsidR="001332C9" w:rsidRPr="008F54FA" w:rsidRDefault="001332C9" w:rsidP="0067230D">
      <w:pPr>
        <w:pStyle w:val="1GAPara"/>
        <w:ind w:left="567" w:hanging="567"/>
        <w:jc w:val="both"/>
      </w:pPr>
      <w:r w:rsidRPr="008F54FA">
        <w:rPr>
          <w:b/>
          <w:bCs/>
        </w:rPr>
        <w:lastRenderedPageBreak/>
        <w:t>Budget line</w:t>
      </w:r>
      <w:r w:rsidR="00DB70D3" w:rsidRPr="008F54FA">
        <w:rPr>
          <w:b/>
          <w:bCs/>
        </w:rPr>
        <w:t xml:space="preserve"> </w:t>
      </w:r>
      <w:r w:rsidRPr="008F54FA">
        <w:rPr>
          <w:b/>
          <w:bCs/>
        </w:rPr>
        <w:t xml:space="preserve">4 </w:t>
      </w:r>
      <w:r w:rsidRPr="008F54FA">
        <w:t>(</w:t>
      </w:r>
      <w:r w:rsidR="004270CF" w:rsidRPr="008F54FA">
        <w:t>3.1% of the approved Plan)</w:t>
      </w:r>
      <w:r w:rsidR="00A052F1" w:rsidRPr="008F54FA">
        <w:t xml:space="preserve"> </w:t>
      </w:r>
      <w:r w:rsidR="007104E1" w:rsidRPr="008F54FA">
        <w:t>is</w:t>
      </w:r>
      <w:r w:rsidR="00A052F1" w:rsidRPr="008F54FA">
        <w:t xml:space="preserve"> </w:t>
      </w:r>
      <w:r w:rsidRPr="008F54FA">
        <w:t xml:space="preserve">used to finance the participation of experts representing developing States Members </w:t>
      </w:r>
      <w:r w:rsidR="00F16800" w:rsidRPr="008F54FA">
        <w:t>in</w:t>
      </w:r>
      <w:r w:rsidRPr="008F54FA">
        <w:t xml:space="preserve"> the Committee, its Bureau and subsidiary bodies</w:t>
      </w:r>
      <w:r w:rsidR="007104E1" w:rsidRPr="008F54FA">
        <w:t>. The expenditure rate of 40.1% correspond</w:t>
      </w:r>
      <w:r w:rsidR="00C429A4" w:rsidRPr="008F54FA">
        <w:t>s</w:t>
      </w:r>
      <w:r w:rsidR="007104E1" w:rsidRPr="008F54FA">
        <w:t xml:space="preserve"> to </w:t>
      </w:r>
      <w:r w:rsidR="00774CCE" w:rsidRPr="008F54FA">
        <w:t xml:space="preserve">(a) </w:t>
      </w:r>
      <w:r w:rsidR="007104E1" w:rsidRPr="008F54FA">
        <w:t xml:space="preserve">the participation </w:t>
      </w:r>
      <w:r w:rsidR="0002389E" w:rsidRPr="008F54FA">
        <w:t xml:space="preserve">costs </w:t>
      </w:r>
      <w:r w:rsidR="007104E1" w:rsidRPr="008F54FA">
        <w:t xml:space="preserve">of </w:t>
      </w:r>
      <w:r w:rsidR="00470D63" w:rsidRPr="008F54FA">
        <w:t>fourteen ex</w:t>
      </w:r>
      <w:r w:rsidR="007104E1" w:rsidRPr="008F54FA">
        <w:t>perts in the seventeenth session of the Committee</w:t>
      </w:r>
      <w:r w:rsidR="00AA41AB" w:rsidRPr="008F54FA">
        <w:t>, and</w:t>
      </w:r>
      <w:r w:rsidR="00C167FD" w:rsidRPr="008F54FA">
        <w:t xml:space="preserve"> </w:t>
      </w:r>
      <w:r w:rsidR="00774CCE" w:rsidRPr="008F54FA">
        <w:t xml:space="preserve">(b) </w:t>
      </w:r>
      <w:r w:rsidR="009F7FBA" w:rsidRPr="008F54FA">
        <w:t xml:space="preserve">a </w:t>
      </w:r>
      <w:r w:rsidR="00DE4CB9" w:rsidRPr="008F54FA">
        <w:t xml:space="preserve">provision </w:t>
      </w:r>
      <w:r w:rsidR="00470D63" w:rsidRPr="008F54FA">
        <w:t xml:space="preserve">for the </w:t>
      </w:r>
      <w:r w:rsidR="009F7FBA" w:rsidRPr="008F54FA">
        <w:t xml:space="preserve">costs </w:t>
      </w:r>
      <w:r w:rsidR="00470D63" w:rsidRPr="008F54FA">
        <w:t xml:space="preserve">of </w:t>
      </w:r>
      <w:r w:rsidR="00581F19" w:rsidRPr="008F54FA">
        <w:t xml:space="preserve">participation </w:t>
      </w:r>
      <w:r w:rsidR="00C167FD" w:rsidRPr="008F54FA">
        <w:t xml:space="preserve">of </w:t>
      </w:r>
      <w:r w:rsidR="00470D63" w:rsidRPr="008F54FA">
        <w:t xml:space="preserve">eligible </w:t>
      </w:r>
      <w:r w:rsidR="007104E1" w:rsidRPr="008F54FA">
        <w:t>experts in the eighteen</w:t>
      </w:r>
      <w:r w:rsidR="001C5A09" w:rsidRPr="008F54FA">
        <w:t>th</w:t>
      </w:r>
      <w:r w:rsidR="007104E1" w:rsidRPr="008F54FA">
        <w:t xml:space="preserve"> session of the Committee.</w:t>
      </w:r>
    </w:p>
    <w:p w14:paraId="46FA299B" w14:textId="6C6903D4" w:rsidR="004270CF" w:rsidRPr="008F54FA" w:rsidRDefault="004270CF" w:rsidP="00055A0C">
      <w:pPr>
        <w:pStyle w:val="1GAPara"/>
        <w:ind w:left="567" w:hanging="567"/>
        <w:jc w:val="both"/>
      </w:pPr>
      <w:r w:rsidRPr="008F54FA">
        <w:rPr>
          <w:snapToGrid/>
        </w:rPr>
        <w:t xml:space="preserve">The expenditure rate of </w:t>
      </w:r>
      <w:r w:rsidRPr="008F54FA">
        <w:rPr>
          <w:b/>
          <w:bCs/>
          <w:snapToGrid/>
        </w:rPr>
        <w:t>budget line</w:t>
      </w:r>
      <w:r w:rsidR="00DB70D3" w:rsidRPr="008F54FA">
        <w:rPr>
          <w:b/>
          <w:bCs/>
          <w:snapToGrid/>
        </w:rPr>
        <w:t xml:space="preserve"> </w:t>
      </w:r>
      <w:r w:rsidRPr="008F54FA">
        <w:rPr>
          <w:b/>
          <w:bCs/>
          <w:snapToGrid/>
        </w:rPr>
        <w:t>5</w:t>
      </w:r>
      <w:r w:rsidRPr="008F54FA">
        <w:rPr>
          <w:snapToGrid/>
        </w:rPr>
        <w:t xml:space="preserve"> (3.3% of approved Plan)</w:t>
      </w:r>
      <w:r w:rsidR="00BA7E21" w:rsidRPr="008F54FA">
        <w:rPr>
          <w:snapToGrid/>
        </w:rPr>
        <w:t xml:space="preserve">, used for </w:t>
      </w:r>
      <w:r w:rsidR="00BA7E21" w:rsidRPr="008F54FA">
        <w:t xml:space="preserve">facilitating the participation of experts from developing States Parties non-members of the Committee in Committee sessions and those serving in the Evaluation Body to meetings of the Body, </w:t>
      </w:r>
      <w:r w:rsidR="006C5E5E" w:rsidRPr="008F54FA">
        <w:rPr>
          <w:snapToGrid/>
        </w:rPr>
        <w:t xml:space="preserve">has </w:t>
      </w:r>
      <w:r w:rsidRPr="008F54FA">
        <w:rPr>
          <w:snapToGrid/>
        </w:rPr>
        <w:t xml:space="preserve">reached 100%. </w:t>
      </w:r>
      <w:r w:rsidR="00BA7E21" w:rsidRPr="008F54FA">
        <w:rPr>
          <w:snapToGrid/>
        </w:rPr>
        <w:t>It reflects</w:t>
      </w:r>
      <w:r w:rsidR="00C429A4" w:rsidRPr="008F54FA">
        <w:rPr>
          <w:snapToGrid/>
        </w:rPr>
        <w:t xml:space="preserve">: </w:t>
      </w:r>
      <w:bookmarkStart w:id="4" w:name="_Hlk147489302"/>
      <w:r w:rsidR="00C429A4" w:rsidRPr="008F54FA">
        <w:rPr>
          <w:snapToGrid/>
        </w:rPr>
        <w:t>(a)</w:t>
      </w:r>
      <w:r w:rsidR="00BA7E21" w:rsidRPr="008F54FA">
        <w:rPr>
          <w:snapToGrid/>
        </w:rPr>
        <w:t xml:space="preserve"> </w:t>
      </w:r>
      <w:r w:rsidRPr="008F54FA">
        <w:rPr>
          <w:snapToGrid/>
        </w:rPr>
        <w:t xml:space="preserve">the participation of </w:t>
      </w:r>
      <w:r w:rsidR="00DB70D3" w:rsidRPr="008F54FA">
        <w:rPr>
          <w:snapToGrid/>
        </w:rPr>
        <w:t xml:space="preserve">thirty-one </w:t>
      </w:r>
      <w:r w:rsidRPr="008F54FA">
        <w:rPr>
          <w:snapToGrid/>
        </w:rPr>
        <w:t xml:space="preserve">experts </w:t>
      </w:r>
      <w:r w:rsidR="008E2DC4" w:rsidRPr="008F54FA">
        <w:rPr>
          <w:snapToGrid/>
        </w:rPr>
        <w:t xml:space="preserve">in </w:t>
      </w:r>
      <w:r w:rsidR="007104E1" w:rsidRPr="008F54FA">
        <w:rPr>
          <w:snapToGrid/>
        </w:rPr>
        <w:t xml:space="preserve">the seventeenth session </w:t>
      </w:r>
      <w:r w:rsidR="00581F19" w:rsidRPr="008F54FA">
        <w:rPr>
          <w:snapToGrid/>
        </w:rPr>
        <w:t>of the Committee</w:t>
      </w:r>
      <w:r w:rsidR="00C429A4" w:rsidRPr="008F54FA">
        <w:rPr>
          <w:snapToGrid/>
        </w:rPr>
        <w:t xml:space="preserve">; (b) the </w:t>
      </w:r>
      <w:r w:rsidR="00BA7E21" w:rsidRPr="008F54FA">
        <w:t xml:space="preserve">participation of </w:t>
      </w:r>
      <w:r w:rsidR="003846C7" w:rsidRPr="008F54FA">
        <w:t>seven</w:t>
      </w:r>
      <w:r w:rsidR="00BA7E21" w:rsidRPr="008F54FA">
        <w:t xml:space="preserve"> members of the Evaluation Body eligible for such support in the meetings of the Evaluation Body held </w:t>
      </w:r>
      <w:r w:rsidR="00503C3C" w:rsidRPr="008F54FA">
        <w:t xml:space="preserve">at UNESCO Headquarters </w:t>
      </w:r>
      <w:r w:rsidR="00BA7E21" w:rsidRPr="008F54FA">
        <w:t>during the reporting period</w:t>
      </w:r>
      <w:bookmarkEnd w:id="4"/>
      <w:r w:rsidR="00C429A4" w:rsidRPr="008F54FA">
        <w:t>;</w:t>
      </w:r>
      <w:r w:rsidR="00BA7E21" w:rsidRPr="008F54FA">
        <w:t xml:space="preserve"> and</w:t>
      </w:r>
      <w:r w:rsidR="00C429A4" w:rsidRPr="008F54FA">
        <w:t xml:space="preserve"> (c) a</w:t>
      </w:r>
      <w:r w:rsidR="00BA7E21" w:rsidRPr="008F54FA">
        <w:t xml:space="preserve"> provision of funds for the participation of </w:t>
      </w:r>
      <w:r w:rsidR="00C429A4" w:rsidRPr="008F54FA">
        <w:t>eligible e</w:t>
      </w:r>
      <w:r w:rsidR="00BA7E21" w:rsidRPr="008F54FA">
        <w:t>xperts in the eighteenth session of the Committee.</w:t>
      </w:r>
    </w:p>
    <w:p w14:paraId="387DE0FD" w14:textId="3DD2DFDA" w:rsidR="00097940" w:rsidRPr="008F54FA" w:rsidRDefault="00C167FD" w:rsidP="00C429A4">
      <w:pPr>
        <w:pStyle w:val="1GAPara"/>
        <w:ind w:left="567" w:hanging="567"/>
        <w:jc w:val="both"/>
      </w:pPr>
      <w:r w:rsidRPr="008F54FA">
        <w:rPr>
          <w:b/>
          <w:bCs/>
          <w:snapToGrid/>
        </w:rPr>
        <w:t xml:space="preserve">Budget line </w:t>
      </w:r>
      <w:r w:rsidR="0067230D" w:rsidRPr="008F54FA">
        <w:rPr>
          <w:b/>
          <w:bCs/>
          <w:snapToGrid/>
        </w:rPr>
        <w:t>6</w:t>
      </w:r>
      <w:r w:rsidRPr="008F54FA">
        <w:rPr>
          <w:snapToGrid/>
        </w:rPr>
        <w:t xml:space="preserve"> shows an expenditure rate of 99.9%</w:t>
      </w:r>
      <w:r w:rsidR="00581F19" w:rsidRPr="008F54FA">
        <w:rPr>
          <w:snapToGrid/>
        </w:rPr>
        <w:t xml:space="preserve"> </w:t>
      </w:r>
      <w:r w:rsidR="00D061D2" w:rsidRPr="008F54FA">
        <w:rPr>
          <w:snapToGrid/>
        </w:rPr>
        <w:t>and</w:t>
      </w:r>
      <w:r w:rsidR="00581F19" w:rsidRPr="008F54FA">
        <w:t xml:space="preserve"> reflects the participation costs of</w:t>
      </w:r>
      <w:r w:rsidR="00D76ADD" w:rsidRPr="008F54FA">
        <w:t xml:space="preserve"> </w:t>
      </w:r>
      <w:r w:rsidR="00171DD0" w:rsidRPr="008F54FA">
        <w:t>the seven</w:t>
      </w:r>
      <w:r w:rsidR="00D76ADD" w:rsidRPr="008F54FA">
        <w:t xml:space="preserve"> accredited non-governmental organizations (NGOs) serving on the Evaluation Body in 2022 and</w:t>
      </w:r>
      <w:r w:rsidR="00171DD0" w:rsidRPr="008F54FA">
        <w:t>/or</w:t>
      </w:r>
      <w:r w:rsidR="00D76ADD" w:rsidRPr="008F54FA">
        <w:t xml:space="preserve"> 2023</w:t>
      </w:r>
      <w:r w:rsidR="00774CCE" w:rsidRPr="008F54FA">
        <w:t>, as well as</w:t>
      </w:r>
      <w:r w:rsidR="00D76ADD" w:rsidRPr="008F54FA">
        <w:t xml:space="preserve"> the participation of forty-six NGOs in the seventeenth session of the Committee. It also includes a provision for the participation costs of accredited NGOs from developing countries in the eighteenth session of the Committee.</w:t>
      </w:r>
      <w:r w:rsidR="00097940" w:rsidRPr="008F54FA">
        <w:t xml:space="preserve"> </w:t>
      </w:r>
    </w:p>
    <w:p w14:paraId="5F970009" w14:textId="402D1D3D" w:rsidR="00B94EDB" w:rsidRPr="008F54FA" w:rsidRDefault="00055A0C" w:rsidP="00507D7B">
      <w:pPr>
        <w:pStyle w:val="1GAPara"/>
        <w:ind w:left="567" w:hanging="567"/>
        <w:jc w:val="both"/>
      </w:pPr>
      <w:r w:rsidRPr="008F54FA">
        <w:t xml:space="preserve">Lastly, </w:t>
      </w:r>
      <w:r w:rsidR="006C6B75" w:rsidRPr="008F54FA">
        <w:rPr>
          <w:b/>
          <w:bCs/>
        </w:rPr>
        <w:t xml:space="preserve">budget line </w:t>
      </w:r>
      <w:r w:rsidR="0067230D" w:rsidRPr="008F54FA">
        <w:rPr>
          <w:b/>
          <w:bCs/>
        </w:rPr>
        <w:t>7</w:t>
      </w:r>
      <w:r w:rsidR="0002389E" w:rsidRPr="008F54FA">
        <w:rPr>
          <w:b/>
          <w:bCs/>
        </w:rPr>
        <w:t xml:space="preserve"> </w:t>
      </w:r>
      <w:r w:rsidR="0002389E" w:rsidRPr="008F54FA">
        <w:t>shows an expenditure rate of 40.8%, corresponding to the fees of the eligible members of the Evaluation Body (</w:t>
      </w:r>
      <w:r w:rsidR="0045085A" w:rsidRPr="008F54FA">
        <w:t>eleven</w:t>
      </w:r>
      <w:r w:rsidR="0002389E" w:rsidRPr="008F54FA">
        <w:t xml:space="preserve"> in 2022 and </w:t>
      </w:r>
      <w:r w:rsidR="0045085A" w:rsidRPr="008F54FA">
        <w:t xml:space="preserve">eleven </w:t>
      </w:r>
      <w:r w:rsidR="0002389E" w:rsidRPr="008F54FA">
        <w:t xml:space="preserve">in 2023) </w:t>
      </w:r>
      <w:r w:rsidR="0045085A" w:rsidRPr="008F54FA">
        <w:t xml:space="preserve">including </w:t>
      </w:r>
      <w:r w:rsidR="00503C3C" w:rsidRPr="008F54FA">
        <w:t>those of</w:t>
      </w:r>
      <w:r w:rsidR="0002389E" w:rsidRPr="008F54FA">
        <w:t xml:space="preserve"> the Chairperson</w:t>
      </w:r>
      <w:r w:rsidR="00503C3C" w:rsidRPr="008F54FA">
        <w:t>s, Vice-Chairpersons</w:t>
      </w:r>
      <w:r w:rsidR="0002389E" w:rsidRPr="008F54FA">
        <w:t xml:space="preserve"> and Rapporteur</w:t>
      </w:r>
      <w:r w:rsidR="00503C3C" w:rsidRPr="008F54FA">
        <w:t>s</w:t>
      </w:r>
      <w:r w:rsidR="0002389E" w:rsidRPr="008F54FA">
        <w:t xml:space="preserve"> of the Body for the additional tasks they perform. </w:t>
      </w:r>
      <w:r w:rsidR="00C46E50" w:rsidRPr="008F54FA">
        <w:t>A total of fifty-</w:t>
      </w:r>
      <w:r w:rsidR="007C0F7E" w:rsidRPr="008F54FA">
        <w:t xml:space="preserve">seven </w:t>
      </w:r>
      <w:r w:rsidR="00C46E50" w:rsidRPr="008F54FA">
        <w:t xml:space="preserve">files were </w:t>
      </w:r>
      <w:r w:rsidR="00503C3C" w:rsidRPr="008F54FA">
        <w:t xml:space="preserve">assessed </w:t>
      </w:r>
      <w:r w:rsidR="00C46E50" w:rsidRPr="008F54FA">
        <w:t xml:space="preserve">by the Evaluation Body in 2022, </w:t>
      </w:r>
      <w:r w:rsidR="00F90407" w:rsidRPr="008F54FA">
        <w:t xml:space="preserve">and </w:t>
      </w:r>
      <w:r w:rsidR="004D677D" w:rsidRPr="008F54FA">
        <w:t xml:space="preserve">fifty-nine </w:t>
      </w:r>
      <w:r w:rsidR="00F90407" w:rsidRPr="008F54FA">
        <w:t xml:space="preserve">other files were </w:t>
      </w:r>
      <w:r w:rsidR="004D677D" w:rsidRPr="008F54FA">
        <w:t xml:space="preserve">evaluated in 2023. </w:t>
      </w:r>
      <w:r w:rsidR="00BC48F6" w:rsidRPr="008F54FA">
        <w:t xml:space="preserve">In line with previous biennia, the expenditure </w:t>
      </w:r>
      <w:r w:rsidRPr="008F54FA">
        <w:t>rate remains relatively low</w:t>
      </w:r>
      <w:r w:rsidR="007B7AF4" w:rsidRPr="008F54FA">
        <w:t>,</w:t>
      </w:r>
      <w:r w:rsidRPr="008F54FA">
        <w:t xml:space="preserve"> </w:t>
      </w:r>
      <w:r w:rsidR="00BC48F6" w:rsidRPr="008F54FA">
        <w:t xml:space="preserve">because the amount </w:t>
      </w:r>
      <w:r w:rsidR="007B7AF4" w:rsidRPr="008F54FA">
        <w:t xml:space="preserve">approved for this </w:t>
      </w:r>
      <w:r w:rsidR="00BC48F6" w:rsidRPr="008F54FA">
        <w:t xml:space="preserve">line is set high to </w:t>
      </w:r>
      <w:r w:rsidR="007B7AF4" w:rsidRPr="008F54FA">
        <w:t xml:space="preserve">ensure sufficient funds </w:t>
      </w:r>
      <w:r w:rsidR="00C429A4" w:rsidRPr="008F54FA">
        <w:t xml:space="preserve">for </w:t>
      </w:r>
      <w:r w:rsidR="00BC48F6" w:rsidRPr="008F54FA">
        <w:t>establish</w:t>
      </w:r>
      <w:r w:rsidR="00C429A4" w:rsidRPr="008F54FA">
        <w:t xml:space="preserve">ing </w:t>
      </w:r>
      <w:r w:rsidR="00BC48F6" w:rsidRPr="008F54FA">
        <w:t>contract</w:t>
      </w:r>
      <w:r w:rsidR="007B7AF4" w:rsidRPr="008F54FA">
        <w:t>s</w:t>
      </w:r>
      <w:r w:rsidR="00BC48F6" w:rsidRPr="008F54FA">
        <w:t xml:space="preserve"> of the members of the Evaluation Body at the beginning of the evaluation cycle, when only one-</w:t>
      </w:r>
      <w:r w:rsidR="00F80B91" w:rsidRPr="008F54FA">
        <w:t>f</w:t>
      </w:r>
      <w:r w:rsidR="00BC48F6" w:rsidRPr="008F54FA">
        <w:t xml:space="preserve">ourth of the total budget is available. </w:t>
      </w:r>
    </w:p>
    <w:p w14:paraId="6AADEC0C" w14:textId="77777777" w:rsidR="00B94EDB" w:rsidRPr="008F54FA" w:rsidRDefault="00B94EDB">
      <w:pPr>
        <w:spacing w:after="0"/>
        <w:rPr>
          <w:rFonts w:ascii="Arial" w:hAnsi="Arial" w:cs="Arial"/>
          <w:snapToGrid w:val="0"/>
          <w:szCs w:val="22"/>
          <w:lang w:eastAsia="en-US"/>
        </w:rPr>
      </w:pPr>
      <w:r w:rsidRPr="008F54FA">
        <w:br w:type="page"/>
      </w:r>
    </w:p>
    <w:p w14:paraId="211BA746" w14:textId="6A86A820" w:rsidR="00BC48F6" w:rsidRPr="008F54FA" w:rsidRDefault="00B94EDB" w:rsidP="00B94EDB">
      <w:pPr>
        <w:pStyle w:val="1GAPara"/>
        <w:numPr>
          <w:ilvl w:val="0"/>
          <w:numId w:val="0"/>
        </w:numPr>
        <w:ind w:left="567"/>
        <w:jc w:val="center"/>
        <w:rPr>
          <w:b/>
          <w:bCs/>
        </w:rPr>
      </w:pPr>
      <w:r w:rsidRPr="008F54FA">
        <w:rPr>
          <w:b/>
          <w:bCs/>
        </w:rPr>
        <w:lastRenderedPageBreak/>
        <w:t>ANNEX I</w:t>
      </w:r>
    </w:p>
    <w:p w14:paraId="662975B2" w14:textId="2EFDCE41" w:rsidR="00B94EDB" w:rsidRPr="008F54FA" w:rsidRDefault="00B94EDB" w:rsidP="00513825">
      <w:pPr>
        <w:pStyle w:val="1GAPara"/>
        <w:numPr>
          <w:ilvl w:val="0"/>
          <w:numId w:val="0"/>
        </w:numPr>
        <w:ind w:left="567"/>
        <w:jc w:val="right"/>
      </w:pPr>
      <w:r w:rsidRPr="008F54FA">
        <w:t>Statement I</w:t>
      </w:r>
    </w:p>
    <w:p w14:paraId="7713C172" w14:textId="0991EA85" w:rsidR="00B94EDB" w:rsidRPr="008F54FA" w:rsidRDefault="00B94EDB" w:rsidP="00B94EDB">
      <w:pPr>
        <w:pStyle w:val="1GAPara"/>
        <w:numPr>
          <w:ilvl w:val="0"/>
          <w:numId w:val="0"/>
        </w:numPr>
        <w:ind w:left="284"/>
        <w:jc w:val="center"/>
        <w:rPr>
          <w:b/>
          <w:bCs/>
        </w:rPr>
      </w:pPr>
      <w:r w:rsidRPr="008F54FA">
        <w:rPr>
          <w:noProof/>
        </w:rPr>
        <w:drawing>
          <wp:inline distT="0" distB="0" distL="0" distR="0" wp14:anchorId="72C960F4" wp14:editId="2C26F38F">
            <wp:extent cx="6120130" cy="5433695"/>
            <wp:effectExtent l="0" t="0" r="0" b="0"/>
            <wp:docPr id="339549208" name="Picture 33954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5433695"/>
                    </a:xfrm>
                    <a:prstGeom prst="rect">
                      <a:avLst/>
                    </a:prstGeom>
                    <a:noFill/>
                    <a:ln>
                      <a:noFill/>
                    </a:ln>
                  </pic:spPr>
                </pic:pic>
              </a:graphicData>
            </a:graphic>
          </wp:inline>
        </w:drawing>
      </w:r>
    </w:p>
    <w:p w14:paraId="3DDE9781" w14:textId="77777777" w:rsidR="00B94EDB" w:rsidRPr="008F54FA" w:rsidRDefault="00B94EDB">
      <w:pPr>
        <w:spacing w:after="0"/>
        <w:rPr>
          <w:rFonts w:ascii="Arial" w:hAnsi="Arial" w:cs="Arial"/>
          <w:b/>
          <w:bCs/>
          <w:snapToGrid w:val="0"/>
          <w:szCs w:val="22"/>
          <w:lang w:eastAsia="en-US"/>
        </w:rPr>
      </w:pPr>
      <w:r w:rsidRPr="008F54FA">
        <w:rPr>
          <w:b/>
          <w:bCs/>
        </w:rPr>
        <w:br w:type="page"/>
      </w:r>
    </w:p>
    <w:p w14:paraId="55C88B39" w14:textId="0EF20603" w:rsidR="00B94EDB" w:rsidRPr="008F54FA" w:rsidRDefault="00B94EDB" w:rsidP="00B94EDB">
      <w:pPr>
        <w:pStyle w:val="1GAPara"/>
        <w:numPr>
          <w:ilvl w:val="0"/>
          <w:numId w:val="0"/>
        </w:numPr>
        <w:ind w:left="284"/>
        <w:jc w:val="right"/>
      </w:pPr>
      <w:r w:rsidRPr="008F54FA">
        <w:lastRenderedPageBreak/>
        <w:t>Schedule 1.1</w:t>
      </w:r>
    </w:p>
    <w:p w14:paraId="04271EF2" w14:textId="5D8B43C2" w:rsidR="00B94EDB" w:rsidRPr="008F54FA" w:rsidRDefault="00B94EDB" w:rsidP="00B94EDB">
      <w:pPr>
        <w:pStyle w:val="1GAPara"/>
        <w:numPr>
          <w:ilvl w:val="0"/>
          <w:numId w:val="0"/>
        </w:numPr>
        <w:ind w:left="284"/>
        <w:jc w:val="center"/>
      </w:pPr>
      <w:r w:rsidRPr="008F54FA">
        <w:rPr>
          <w:noProof/>
        </w:rPr>
        <w:drawing>
          <wp:inline distT="0" distB="0" distL="0" distR="0" wp14:anchorId="6355D3A8" wp14:editId="48055494">
            <wp:extent cx="6028825" cy="8553450"/>
            <wp:effectExtent l="0" t="0" r="0" b="0"/>
            <wp:docPr id="1699163055" name="Picture 1699163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29095" cy="8553833"/>
                    </a:xfrm>
                    <a:prstGeom prst="rect">
                      <a:avLst/>
                    </a:prstGeom>
                    <a:noFill/>
                    <a:ln>
                      <a:noFill/>
                    </a:ln>
                  </pic:spPr>
                </pic:pic>
              </a:graphicData>
            </a:graphic>
          </wp:inline>
        </w:drawing>
      </w:r>
    </w:p>
    <w:p w14:paraId="42B34CFB" w14:textId="77777777" w:rsidR="00B94EDB" w:rsidRPr="008F54FA" w:rsidRDefault="00B94EDB">
      <w:pPr>
        <w:spacing w:after="0"/>
        <w:rPr>
          <w:rFonts w:ascii="Arial" w:hAnsi="Arial" w:cs="Arial"/>
          <w:snapToGrid w:val="0"/>
          <w:szCs w:val="22"/>
          <w:lang w:eastAsia="en-US"/>
        </w:rPr>
      </w:pPr>
      <w:r w:rsidRPr="008F54FA">
        <w:br w:type="page"/>
      </w:r>
    </w:p>
    <w:p w14:paraId="3DF43B14" w14:textId="4E78E4D1" w:rsidR="00B94EDB" w:rsidRPr="008F54FA" w:rsidRDefault="001B3D4B" w:rsidP="00B94EDB">
      <w:pPr>
        <w:pStyle w:val="1GAPara"/>
        <w:numPr>
          <w:ilvl w:val="0"/>
          <w:numId w:val="0"/>
        </w:numPr>
        <w:ind w:left="284"/>
        <w:jc w:val="center"/>
        <w:rPr>
          <w:b/>
          <w:bCs/>
        </w:rPr>
      </w:pPr>
      <w:r w:rsidRPr="008F54FA">
        <w:rPr>
          <w:b/>
          <w:bCs/>
        </w:rPr>
        <w:lastRenderedPageBreak/>
        <w:t>ANNEX II</w:t>
      </w:r>
    </w:p>
    <w:p w14:paraId="0DC28A5E" w14:textId="77777777" w:rsidR="001B3D4B" w:rsidRPr="008F54FA" w:rsidRDefault="001B3D4B" w:rsidP="00B94EDB">
      <w:pPr>
        <w:pStyle w:val="1GAPara"/>
        <w:numPr>
          <w:ilvl w:val="0"/>
          <w:numId w:val="0"/>
        </w:numPr>
        <w:ind w:left="284"/>
        <w:jc w:val="center"/>
        <w:rPr>
          <w:b/>
          <w:bCs/>
        </w:rPr>
      </w:pPr>
    </w:p>
    <w:p w14:paraId="12B72B03" w14:textId="0C7410F5" w:rsidR="002D739F" w:rsidRPr="008F54FA" w:rsidRDefault="001B3D4B" w:rsidP="002D739F">
      <w:pPr>
        <w:pStyle w:val="1GAPara"/>
        <w:numPr>
          <w:ilvl w:val="0"/>
          <w:numId w:val="0"/>
        </w:numPr>
        <w:ind w:left="142"/>
        <w:jc w:val="center"/>
        <w:rPr>
          <w:b/>
          <w:bCs/>
        </w:rPr>
      </w:pPr>
      <w:r w:rsidRPr="008F54FA">
        <w:rPr>
          <w:noProof/>
        </w:rPr>
        <w:drawing>
          <wp:inline distT="0" distB="0" distL="0" distR="0" wp14:anchorId="013D913F" wp14:editId="62DF1247">
            <wp:extent cx="6080760" cy="5387340"/>
            <wp:effectExtent l="0" t="0" r="0" b="0"/>
            <wp:docPr id="1570414299" name="Picture 157041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80760" cy="5387340"/>
                    </a:xfrm>
                    <a:prstGeom prst="rect">
                      <a:avLst/>
                    </a:prstGeom>
                    <a:noFill/>
                    <a:ln>
                      <a:noFill/>
                    </a:ln>
                  </pic:spPr>
                </pic:pic>
              </a:graphicData>
            </a:graphic>
          </wp:inline>
        </w:drawing>
      </w:r>
    </w:p>
    <w:p w14:paraId="6068DD4D" w14:textId="77777777" w:rsidR="001F701D" w:rsidRPr="008F54FA" w:rsidRDefault="002D739F">
      <w:pPr>
        <w:spacing w:after="0"/>
        <w:rPr>
          <w:b/>
          <w:bCs/>
        </w:rPr>
        <w:sectPr w:rsidR="001F701D" w:rsidRPr="008F54FA" w:rsidSect="002D739F">
          <w:headerReference w:type="even" r:id="rId27"/>
          <w:headerReference w:type="default" r:id="rId28"/>
          <w:headerReference w:type="first" r:id="rId29"/>
          <w:pgSz w:w="11906" w:h="16838" w:code="9"/>
          <w:pgMar w:top="1418" w:right="1134" w:bottom="1134" w:left="1134" w:header="397" w:footer="284" w:gutter="0"/>
          <w:cols w:space="708"/>
          <w:titlePg/>
          <w:docGrid w:linePitch="360"/>
        </w:sectPr>
      </w:pPr>
      <w:r w:rsidRPr="008F54FA">
        <w:rPr>
          <w:b/>
          <w:bCs/>
        </w:rPr>
        <w:br w:type="page"/>
      </w:r>
    </w:p>
    <w:p w14:paraId="5BBB31A3" w14:textId="77777777" w:rsidR="002D739F" w:rsidRPr="008F54FA" w:rsidRDefault="002D739F">
      <w:pPr>
        <w:spacing w:after="0"/>
        <w:rPr>
          <w:rFonts w:ascii="Arial" w:hAnsi="Arial" w:cs="Arial"/>
          <w:b/>
          <w:bCs/>
          <w:snapToGrid w:val="0"/>
          <w:szCs w:val="22"/>
          <w:lang w:eastAsia="en-US"/>
        </w:rPr>
      </w:pPr>
    </w:p>
    <w:p w14:paraId="0F7F4663" w14:textId="27A95CDA" w:rsidR="002D739F" w:rsidRPr="008F54FA" w:rsidRDefault="002D739F" w:rsidP="002D739F">
      <w:pPr>
        <w:pStyle w:val="1GAPara"/>
        <w:numPr>
          <w:ilvl w:val="0"/>
          <w:numId w:val="0"/>
        </w:numPr>
        <w:ind w:left="142"/>
        <w:jc w:val="center"/>
        <w:rPr>
          <w:b/>
          <w:bCs/>
        </w:rPr>
      </w:pPr>
      <w:r w:rsidRPr="008F54FA">
        <w:rPr>
          <w:b/>
          <w:bCs/>
        </w:rPr>
        <w:t>ANNEX III</w:t>
      </w:r>
    </w:p>
    <w:p w14:paraId="656E4043" w14:textId="3B0B5495" w:rsidR="009965B9" w:rsidRPr="008F54FA" w:rsidRDefault="002D739F" w:rsidP="002D739F">
      <w:pPr>
        <w:pStyle w:val="1GAPara"/>
        <w:numPr>
          <w:ilvl w:val="0"/>
          <w:numId w:val="0"/>
        </w:numPr>
        <w:ind w:left="142"/>
        <w:jc w:val="center"/>
        <w:rPr>
          <w:b/>
          <w:bCs/>
        </w:rPr>
      </w:pPr>
      <w:r w:rsidRPr="008F54FA">
        <w:rPr>
          <w:noProof/>
        </w:rPr>
        <w:drawing>
          <wp:inline distT="0" distB="0" distL="0" distR="0" wp14:anchorId="750E3993" wp14:editId="13C212E4">
            <wp:extent cx="6007242" cy="5676900"/>
            <wp:effectExtent l="0" t="0" r="0" b="0"/>
            <wp:docPr id="499632684" name="Picture 499632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07242" cy="5676900"/>
                    </a:xfrm>
                    <a:prstGeom prst="rect">
                      <a:avLst/>
                    </a:prstGeom>
                    <a:noFill/>
                    <a:ln>
                      <a:noFill/>
                    </a:ln>
                  </pic:spPr>
                </pic:pic>
              </a:graphicData>
            </a:graphic>
          </wp:inline>
        </w:drawing>
      </w:r>
    </w:p>
    <w:p w14:paraId="5361D748" w14:textId="77777777" w:rsidR="00171DD0" w:rsidRPr="008F54FA" w:rsidRDefault="00171DD0">
      <w:pPr>
        <w:spacing w:after="0"/>
        <w:rPr>
          <w:rFonts w:asciiTheme="minorBidi" w:hAnsiTheme="minorBidi" w:cstheme="minorBidi"/>
          <w:b/>
          <w:bCs/>
        </w:rPr>
      </w:pPr>
      <w:r w:rsidRPr="008F54FA">
        <w:rPr>
          <w:rFonts w:asciiTheme="minorBidi" w:hAnsiTheme="minorBidi" w:cstheme="minorBidi"/>
          <w:b/>
          <w:bCs/>
        </w:rPr>
        <w:br w:type="page"/>
      </w:r>
    </w:p>
    <w:p w14:paraId="78676B6E" w14:textId="5DE272FA" w:rsidR="002D739F" w:rsidRPr="008F54FA" w:rsidRDefault="001F701D" w:rsidP="00171DD0">
      <w:pPr>
        <w:pStyle w:val="1GAPara"/>
        <w:numPr>
          <w:ilvl w:val="0"/>
          <w:numId w:val="0"/>
        </w:numPr>
        <w:ind w:left="142"/>
        <w:jc w:val="center"/>
        <w:rPr>
          <w:rFonts w:asciiTheme="minorBidi" w:hAnsiTheme="minorBidi" w:cstheme="minorBidi"/>
          <w:b/>
          <w:bCs/>
          <w:snapToGrid/>
          <w:szCs w:val="24"/>
          <w:lang w:eastAsia="fr-FR"/>
        </w:rPr>
      </w:pPr>
      <w:r w:rsidRPr="008F54FA">
        <w:rPr>
          <w:b/>
          <w:bCs/>
        </w:rPr>
        <w:lastRenderedPageBreak/>
        <w:t>ANNEX</w:t>
      </w:r>
      <w:r w:rsidRPr="008F54FA">
        <w:rPr>
          <w:rFonts w:asciiTheme="minorBidi" w:hAnsiTheme="minorBidi" w:cstheme="minorBidi"/>
          <w:b/>
          <w:bCs/>
          <w:snapToGrid/>
          <w:szCs w:val="24"/>
          <w:lang w:eastAsia="fr-FR"/>
        </w:rPr>
        <w:t xml:space="preserve"> IV</w:t>
      </w:r>
    </w:p>
    <w:p w14:paraId="57AC848C" w14:textId="7EAA8F53" w:rsidR="002D739F" w:rsidRPr="008F54FA" w:rsidRDefault="009965B9" w:rsidP="00513825">
      <w:pPr>
        <w:spacing w:after="0"/>
        <w:jc w:val="center"/>
        <w:rPr>
          <w:b/>
          <w:bCs/>
        </w:rPr>
      </w:pPr>
      <w:r w:rsidRPr="008F54FA">
        <w:rPr>
          <w:noProof/>
        </w:rPr>
        <w:drawing>
          <wp:inline distT="0" distB="0" distL="0" distR="0" wp14:anchorId="70496B98" wp14:editId="17D1ED80">
            <wp:extent cx="5747340" cy="5609590"/>
            <wp:effectExtent l="0" t="0" r="6350" b="0"/>
            <wp:docPr id="339893640" name="Picture 33989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8614" cy="5620594"/>
                    </a:xfrm>
                    <a:prstGeom prst="rect">
                      <a:avLst/>
                    </a:prstGeom>
                    <a:noFill/>
                    <a:ln>
                      <a:noFill/>
                    </a:ln>
                  </pic:spPr>
                </pic:pic>
              </a:graphicData>
            </a:graphic>
          </wp:inline>
        </w:drawing>
      </w:r>
    </w:p>
    <w:p w14:paraId="77323307" w14:textId="2A789EAE" w:rsidR="009965B9" w:rsidRPr="008F54FA" w:rsidRDefault="009965B9">
      <w:pPr>
        <w:spacing w:after="0"/>
        <w:rPr>
          <w:rFonts w:ascii="Arial" w:hAnsi="Arial" w:cs="Arial"/>
          <w:b/>
          <w:bCs/>
          <w:snapToGrid w:val="0"/>
          <w:szCs w:val="22"/>
          <w:lang w:eastAsia="en-US"/>
        </w:rPr>
      </w:pPr>
      <w:r w:rsidRPr="008F54FA">
        <w:rPr>
          <w:rFonts w:ascii="Arial" w:hAnsi="Arial" w:cs="Arial"/>
          <w:b/>
          <w:bCs/>
          <w:snapToGrid w:val="0"/>
          <w:szCs w:val="22"/>
          <w:lang w:eastAsia="en-US"/>
        </w:rPr>
        <w:br w:type="page"/>
      </w:r>
    </w:p>
    <w:p w14:paraId="30CBB604" w14:textId="3753CC93" w:rsidR="00D16560" w:rsidRPr="008F54FA" w:rsidRDefault="00D16560" w:rsidP="00D16560">
      <w:pPr>
        <w:spacing w:after="0"/>
        <w:jc w:val="center"/>
        <w:rPr>
          <w:rFonts w:ascii="Arial" w:eastAsiaTheme="minorEastAsia" w:hAnsi="Arial" w:cs="Arial"/>
          <w:b/>
          <w:szCs w:val="22"/>
          <w:lang w:eastAsia="ko-KR"/>
        </w:rPr>
      </w:pPr>
      <w:r w:rsidRPr="008F54FA">
        <w:rPr>
          <w:rFonts w:ascii="Arial" w:eastAsiaTheme="minorEastAsia" w:hAnsi="Arial" w:cs="Arial"/>
          <w:b/>
          <w:szCs w:val="22"/>
          <w:lang w:eastAsia="ko-KR"/>
        </w:rPr>
        <w:lastRenderedPageBreak/>
        <w:t>ANNEX V</w:t>
      </w:r>
    </w:p>
    <w:p w14:paraId="12128C80" w14:textId="77777777" w:rsidR="00D16560" w:rsidRPr="008F54FA" w:rsidRDefault="00D16560" w:rsidP="00D16560">
      <w:pPr>
        <w:spacing w:after="0"/>
        <w:jc w:val="center"/>
        <w:rPr>
          <w:rFonts w:ascii="Arial" w:eastAsiaTheme="minorEastAsia" w:hAnsi="Arial" w:cs="Arial"/>
          <w:b/>
          <w:szCs w:val="22"/>
          <w:lang w:eastAsia="ko-KR"/>
        </w:rPr>
      </w:pPr>
    </w:p>
    <w:p w14:paraId="6CA4C431" w14:textId="77777777" w:rsidR="00D16560" w:rsidRPr="008F54FA" w:rsidRDefault="00D16560" w:rsidP="00D16560">
      <w:pPr>
        <w:spacing w:after="0"/>
        <w:jc w:val="center"/>
        <w:rPr>
          <w:rFonts w:asciiTheme="minorBidi" w:eastAsiaTheme="minorEastAsia" w:hAnsiTheme="minorBidi" w:cstheme="minorBidi"/>
          <w:b/>
          <w:bCs/>
        </w:rPr>
      </w:pPr>
      <w:r w:rsidRPr="008F54FA">
        <w:rPr>
          <w:rFonts w:asciiTheme="minorBidi" w:eastAsiaTheme="minorEastAsia" w:hAnsiTheme="minorBidi" w:cstheme="minorBidi"/>
          <w:b/>
          <w:bCs/>
        </w:rPr>
        <w:t xml:space="preserve">IMPLEMENTATION REPORT OF THE SPENDING PLAN FOR </w:t>
      </w:r>
    </w:p>
    <w:p w14:paraId="080786C3" w14:textId="77777777" w:rsidR="00D16560" w:rsidRPr="008F54FA" w:rsidRDefault="00D16560" w:rsidP="00D16560">
      <w:pPr>
        <w:spacing w:after="0"/>
        <w:jc w:val="center"/>
        <w:rPr>
          <w:rFonts w:asciiTheme="minorBidi" w:eastAsiaTheme="minorEastAsia" w:hAnsiTheme="minorBidi" w:cstheme="minorBidi"/>
          <w:b/>
          <w:bCs/>
        </w:rPr>
      </w:pPr>
      <w:r w:rsidRPr="008F54FA">
        <w:rPr>
          <w:rFonts w:asciiTheme="minorBidi" w:eastAsiaTheme="minorEastAsia" w:hAnsiTheme="minorBidi" w:cstheme="minorBidi"/>
          <w:b/>
          <w:bCs/>
        </w:rPr>
        <w:t>THE ‘OTHER FUNCTIONS OF THE COMMITTEE’</w:t>
      </w:r>
    </w:p>
    <w:p w14:paraId="23C99D2A" w14:textId="77777777" w:rsidR="00D16560" w:rsidRPr="008F54FA" w:rsidRDefault="00D16560" w:rsidP="00D16560">
      <w:pPr>
        <w:spacing w:after="0"/>
        <w:jc w:val="center"/>
        <w:rPr>
          <w:rFonts w:asciiTheme="minorBidi" w:eastAsiaTheme="minorEastAsia" w:hAnsiTheme="minorBidi" w:cstheme="minorBidi"/>
          <w:b/>
          <w:bCs/>
        </w:rPr>
      </w:pPr>
    </w:p>
    <w:p w14:paraId="089F2230" w14:textId="77777777" w:rsidR="00D16560" w:rsidRPr="008F54FA" w:rsidRDefault="00D16560" w:rsidP="00D16560">
      <w:pPr>
        <w:spacing w:after="360"/>
        <w:jc w:val="center"/>
        <w:rPr>
          <w:rFonts w:asciiTheme="minorBidi" w:eastAsiaTheme="minorEastAsia" w:hAnsiTheme="minorBidi" w:cstheme="minorBidi"/>
          <w:b/>
          <w:bCs/>
        </w:rPr>
      </w:pPr>
      <w:r w:rsidRPr="008F54FA">
        <w:rPr>
          <w:rFonts w:asciiTheme="minorBidi" w:eastAsiaTheme="minorEastAsia" w:hAnsiTheme="minorBidi" w:cstheme="minorBidi"/>
          <w:b/>
          <w:bCs/>
        </w:rPr>
        <w:t>1 JANUARY 2022 TO 30 JUNE 2023</w:t>
      </w:r>
    </w:p>
    <w:p w14:paraId="5BEF3B51" w14:textId="5F4DF927" w:rsidR="00D16560" w:rsidRPr="008F54FA" w:rsidRDefault="00D16560" w:rsidP="00D16560">
      <w:pPr>
        <w:jc w:val="both"/>
        <w:rPr>
          <w:rFonts w:ascii="Arial" w:hAnsi="Arial" w:cs="Arial"/>
          <w:snapToGrid w:val="0"/>
          <w:szCs w:val="22"/>
          <w:lang w:eastAsia="en-US"/>
        </w:rPr>
      </w:pPr>
      <w:r w:rsidRPr="008F54FA">
        <w:rPr>
          <w:rFonts w:ascii="Arial" w:hAnsi="Arial" w:cs="Arial"/>
          <w:snapToGrid w:val="0"/>
          <w:szCs w:val="22"/>
          <w:lang w:eastAsia="en-US"/>
        </w:rPr>
        <w:t xml:space="preserve">For the period 1 January 2022 to 31 December 2023, the spending plan for the </w:t>
      </w:r>
      <w:bookmarkStart w:id="5" w:name="_Hlk101342770"/>
      <w:r w:rsidRPr="008F54FA">
        <w:rPr>
          <w:rFonts w:ascii="Arial" w:hAnsi="Arial" w:cs="Arial"/>
          <w:snapToGrid w:val="0"/>
          <w:szCs w:val="22"/>
          <w:lang w:eastAsia="en-US"/>
        </w:rPr>
        <w:t xml:space="preserve">‘other functions of the Committee’ </w:t>
      </w:r>
      <w:bookmarkEnd w:id="5"/>
      <w:r w:rsidRPr="008F54FA">
        <w:rPr>
          <w:rFonts w:ascii="Arial" w:hAnsi="Arial" w:cs="Arial"/>
          <w:snapToGrid w:val="0"/>
          <w:szCs w:val="22"/>
          <w:lang w:eastAsia="en-US"/>
        </w:rPr>
        <w:t>was approved by the General Assembly</w:t>
      </w:r>
      <w:r w:rsidR="004A2055" w:rsidRPr="008F54FA">
        <w:rPr>
          <w:rFonts w:ascii="Arial" w:hAnsi="Arial" w:cs="Arial"/>
          <w:snapToGrid w:val="0"/>
          <w:szCs w:val="22"/>
          <w:lang w:eastAsia="en-US"/>
        </w:rPr>
        <w:t xml:space="preserve"> in July 2022</w:t>
      </w:r>
      <w:r w:rsidRPr="008F54FA">
        <w:rPr>
          <w:rFonts w:ascii="Arial" w:hAnsi="Arial" w:cs="Arial"/>
          <w:snapToGrid w:val="0"/>
          <w:szCs w:val="22"/>
          <w:lang w:eastAsia="en-US"/>
        </w:rPr>
        <w:t xml:space="preserve"> (Resolution </w:t>
      </w:r>
      <w:hyperlink r:id="rId32" w:history="1">
        <w:r w:rsidRPr="008F54FA">
          <w:rPr>
            <w:rFonts w:ascii="Arial" w:hAnsi="Arial" w:cs="Arial"/>
            <w:snapToGrid w:val="0"/>
            <w:color w:val="0000FF" w:themeColor="hyperlink"/>
            <w:szCs w:val="22"/>
            <w:u w:val="single"/>
            <w:lang w:eastAsia="en-US"/>
          </w:rPr>
          <w:t>9.GA 10</w:t>
        </w:r>
      </w:hyperlink>
      <w:r w:rsidRPr="008F54FA">
        <w:rPr>
          <w:rFonts w:ascii="Arial" w:hAnsi="Arial" w:cs="Arial"/>
          <w:snapToGrid w:val="0"/>
          <w:szCs w:val="22"/>
          <w:lang w:eastAsia="en-US"/>
        </w:rPr>
        <w:t>)</w:t>
      </w:r>
      <w:r w:rsidRPr="008F54FA">
        <w:rPr>
          <w:rFonts w:ascii="Arial" w:hAnsi="Arial" w:cs="Arial"/>
          <w:bCs/>
          <w:snapToGrid w:val="0"/>
          <w:szCs w:val="22"/>
          <w:lang w:eastAsia="en-US"/>
        </w:rPr>
        <w:t xml:space="preserve">. </w:t>
      </w:r>
      <w:r w:rsidRPr="008F54FA">
        <w:rPr>
          <w:rFonts w:ascii="Arial" w:hAnsi="Arial" w:cs="Arial"/>
          <w:snapToGrid w:val="0"/>
          <w:szCs w:val="22"/>
          <w:lang w:eastAsia="en-US"/>
        </w:rPr>
        <w:t>The tables below provide information on (a) the implementation of activities for the period from 1 January 2022 to 30 June 2023 as approved in the spending plan along with (b) a table under each expected result providing an analysis of the main challenges encountered and the corrective measures adopted.</w:t>
      </w:r>
    </w:p>
    <w:p w14:paraId="03C36EE4" w14:textId="77777777" w:rsidR="00D16560" w:rsidRPr="008F54FA" w:rsidRDefault="00D16560" w:rsidP="00D16560">
      <w:pPr>
        <w:pStyle w:val="1GAPara"/>
        <w:numPr>
          <w:ilvl w:val="0"/>
          <w:numId w:val="0"/>
        </w:numPr>
        <w:spacing w:before="360"/>
        <w:ind w:left="567" w:hanging="567"/>
        <w:jc w:val="both"/>
        <w:rPr>
          <w:b/>
          <w:bCs/>
          <w:caps/>
        </w:rPr>
      </w:pPr>
      <w:r w:rsidRPr="008F54FA">
        <w:rPr>
          <w:b/>
          <w:bCs/>
          <w:caps/>
        </w:rPr>
        <w:t>Assessment by Expected Result</w:t>
      </w:r>
      <w:r w:rsidRPr="008F54FA">
        <w:rPr>
          <w:rStyle w:val="FootnoteReference"/>
          <w:b/>
          <w:bCs/>
          <w:caps/>
        </w:rPr>
        <w:footnoteReference w:id="4"/>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4083"/>
        <w:gridCol w:w="1700"/>
      </w:tblGrid>
      <w:tr w:rsidR="00D16560" w:rsidRPr="008F54FA" w14:paraId="45EC8021" w14:textId="77777777" w:rsidTr="00507D7B">
        <w:trPr>
          <w:trHeight w:val="465"/>
          <w:jc w:val="center"/>
        </w:trPr>
        <w:tc>
          <w:tcPr>
            <w:tcW w:w="2000" w:type="pct"/>
            <w:shd w:val="clear" w:color="auto" w:fill="C6D9F1"/>
            <w:vAlign w:val="center"/>
          </w:tcPr>
          <w:p w14:paraId="7B81D9D8" w14:textId="77777777" w:rsidR="00D16560" w:rsidRPr="008F54FA" w:rsidRDefault="00D16560" w:rsidP="00507D7B">
            <w:pPr>
              <w:keepNext/>
              <w:spacing w:before="120"/>
              <w:jc w:val="center"/>
              <w:rPr>
                <w:rFonts w:ascii="Arial" w:eastAsia="Calibri" w:hAnsi="Arial" w:cs="Arial"/>
                <w:b/>
                <w:sz w:val="20"/>
                <w:szCs w:val="20"/>
              </w:rPr>
            </w:pPr>
            <w:r w:rsidRPr="008F54FA">
              <w:rPr>
                <w:rFonts w:ascii="Arial" w:eastAsia="Calibri" w:hAnsi="Arial" w:cs="Arial"/>
                <w:b/>
                <w:sz w:val="20"/>
                <w:szCs w:val="20"/>
              </w:rPr>
              <w:t>Budget approved for 2022/2023</w:t>
            </w:r>
          </w:p>
        </w:tc>
        <w:tc>
          <w:tcPr>
            <w:tcW w:w="2118" w:type="pct"/>
            <w:shd w:val="clear" w:color="auto" w:fill="C6D9F1"/>
            <w:vAlign w:val="center"/>
          </w:tcPr>
          <w:p w14:paraId="3F8F3C70" w14:textId="77777777" w:rsidR="00D16560" w:rsidRPr="008F54FA" w:rsidRDefault="00D16560" w:rsidP="00507D7B">
            <w:pPr>
              <w:keepNext/>
              <w:spacing w:before="120"/>
              <w:jc w:val="center"/>
              <w:rPr>
                <w:rFonts w:ascii="Arial" w:eastAsia="Calibri" w:hAnsi="Arial" w:cs="Arial"/>
                <w:b/>
                <w:sz w:val="20"/>
                <w:szCs w:val="20"/>
              </w:rPr>
            </w:pPr>
            <w:r w:rsidRPr="008F54FA">
              <w:rPr>
                <w:rFonts w:ascii="Arial" w:eastAsia="Calibri" w:hAnsi="Arial" w:cs="Arial"/>
                <w:b/>
                <w:sz w:val="20"/>
                <w:szCs w:val="20"/>
              </w:rPr>
              <w:t>Expenditures at 30/06/2023</w:t>
            </w:r>
          </w:p>
        </w:tc>
        <w:tc>
          <w:tcPr>
            <w:tcW w:w="882" w:type="pct"/>
            <w:shd w:val="clear" w:color="auto" w:fill="C6D9F1"/>
            <w:vAlign w:val="center"/>
          </w:tcPr>
          <w:p w14:paraId="750E7006" w14:textId="77777777" w:rsidR="00D16560" w:rsidRPr="008F54FA" w:rsidRDefault="00D16560" w:rsidP="00507D7B">
            <w:pPr>
              <w:keepNext/>
              <w:spacing w:before="120"/>
              <w:jc w:val="center"/>
              <w:rPr>
                <w:rFonts w:ascii="Arial" w:eastAsia="Calibri" w:hAnsi="Arial" w:cs="Arial"/>
                <w:b/>
                <w:sz w:val="20"/>
                <w:szCs w:val="20"/>
              </w:rPr>
            </w:pPr>
            <w:r w:rsidRPr="008F54FA">
              <w:rPr>
                <w:rFonts w:ascii="Arial" w:eastAsia="Calibri" w:hAnsi="Arial" w:cs="Arial"/>
                <w:b/>
                <w:sz w:val="20"/>
                <w:szCs w:val="20"/>
              </w:rPr>
              <w:t>Exp. Rate %</w:t>
            </w:r>
            <w:r w:rsidRPr="008F54FA">
              <w:rPr>
                <w:rFonts w:ascii="Arial" w:eastAsia="Calibri" w:hAnsi="Arial" w:cs="Arial"/>
                <w:b/>
                <w:sz w:val="20"/>
                <w:szCs w:val="20"/>
              </w:rPr>
              <w:br/>
              <w:t>at 30/06/2023</w:t>
            </w:r>
          </w:p>
        </w:tc>
      </w:tr>
      <w:tr w:rsidR="00D16560" w:rsidRPr="008F54FA" w14:paraId="6A3B4684" w14:textId="77777777" w:rsidTr="00507D7B">
        <w:trPr>
          <w:trHeight w:val="465"/>
          <w:jc w:val="center"/>
        </w:trPr>
        <w:tc>
          <w:tcPr>
            <w:tcW w:w="2000" w:type="pct"/>
            <w:shd w:val="clear" w:color="auto" w:fill="auto"/>
          </w:tcPr>
          <w:p w14:paraId="1CFC45D6" w14:textId="77777777" w:rsidR="00D16560" w:rsidRPr="008F54FA" w:rsidRDefault="00D16560" w:rsidP="00507D7B">
            <w:pPr>
              <w:keepNext/>
              <w:spacing w:before="120"/>
              <w:jc w:val="center"/>
              <w:rPr>
                <w:rFonts w:ascii="Arial" w:eastAsia="Calibri" w:hAnsi="Arial" w:cs="Arial"/>
                <w:sz w:val="20"/>
                <w:szCs w:val="20"/>
              </w:rPr>
            </w:pPr>
            <w:r w:rsidRPr="008F54FA">
              <w:rPr>
                <w:rFonts w:ascii="Arial" w:eastAsia="Calibri" w:hAnsi="Arial" w:cs="Arial"/>
                <w:sz w:val="20"/>
                <w:szCs w:val="20"/>
              </w:rPr>
              <w:t>1,746,531.00</w:t>
            </w:r>
          </w:p>
        </w:tc>
        <w:tc>
          <w:tcPr>
            <w:tcW w:w="2118" w:type="pct"/>
            <w:shd w:val="clear" w:color="auto" w:fill="auto"/>
          </w:tcPr>
          <w:p w14:paraId="150FE009" w14:textId="77777777" w:rsidR="00D16560" w:rsidRPr="008F54FA" w:rsidRDefault="00D16560" w:rsidP="00507D7B">
            <w:pPr>
              <w:keepNext/>
              <w:spacing w:before="120"/>
              <w:jc w:val="center"/>
              <w:rPr>
                <w:rFonts w:ascii="Arial" w:eastAsia="Calibri" w:hAnsi="Arial" w:cs="Arial"/>
                <w:sz w:val="20"/>
                <w:szCs w:val="20"/>
              </w:rPr>
            </w:pPr>
            <w:r w:rsidRPr="008F54FA">
              <w:rPr>
                <w:rFonts w:ascii="Arial" w:eastAsia="Calibri" w:hAnsi="Arial" w:cs="Arial"/>
                <w:sz w:val="20"/>
                <w:szCs w:val="20"/>
              </w:rPr>
              <w:t>1,269,614.19</w:t>
            </w:r>
          </w:p>
        </w:tc>
        <w:tc>
          <w:tcPr>
            <w:tcW w:w="882" w:type="pct"/>
            <w:shd w:val="clear" w:color="auto" w:fill="auto"/>
          </w:tcPr>
          <w:p w14:paraId="1D128314" w14:textId="77777777" w:rsidR="00D16560" w:rsidRPr="008F54FA" w:rsidRDefault="00D16560" w:rsidP="00507D7B">
            <w:pPr>
              <w:keepNext/>
              <w:spacing w:before="120"/>
              <w:jc w:val="center"/>
              <w:rPr>
                <w:rFonts w:ascii="Arial" w:eastAsia="Calibri" w:hAnsi="Arial" w:cs="Arial"/>
                <w:sz w:val="20"/>
                <w:szCs w:val="20"/>
              </w:rPr>
            </w:pPr>
            <w:r w:rsidRPr="008F54FA">
              <w:rPr>
                <w:rFonts w:ascii="Arial" w:eastAsia="Calibri" w:hAnsi="Arial" w:cs="Arial"/>
                <w:sz w:val="20"/>
                <w:szCs w:val="20"/>
              </w:rPr>
              <w:t>72.7%</w:t>
            </w:r>
          </w:p>
        </w:tc>
      </w:tr>
    </w:tbl>
    <w:p w14:paraId="7F0D3541" w14:textId="77777777" w:rsidR="00D16560" w:rsidRPr="008F54FA" w:rsidRDefault="00D16560" w:rsidP="00D16560">
      <w:pPr>
        <w:keepNext/>
        <w:spacing w:before="240"/>
        <w:jc w:val="both"/>
        <w:rPr>
          <w:rFonts w:ascii="Arial" w:hAnsi="Arial" w:cs="Arial"/>
          <w:b/>
          <w:bCs/>
          <w:szCs w:val="22"/>
        </w:rPr>
      </w:pPr>
      <w:r w:rsidRPr="008F54FA">
        <w:rPr>
          <w:rFonts w:ascii="Arial" w:hAnsi="Arial" w:cs="Arial"/>
          <w:b/>
          <w:szCs w:val="22"/>
        </w:rPr>
        <w:t>Expected Result 1:</w:t>
      </w:r>
      <w:r w:rsidRPr="008F54FA">
        <w:rPr>
          <w:rFonts w:ascii="Arial" w:hAnsi="Arial" w:cs="Arial"/>
          <w:b/>
          <w:szCs w:val="22"/>
        </w:rPr>
        <w:tab/>
      </w:r>
      <w:r w:rsidRPr="008F54FA">
        <w:rPr>
          <w:rFonts w:ascii="Arial" w:hAnsi="Arial" w:cs="Arial"/>
          <w:b/>
          <w:bCs/>
          <w:szCs w:val="22"/>
        </w:rPr>
        <w:t>Sound governance of the 2003 Convention facilitated by enhanced monitoring and knowledge management services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D16560" w:rsidRPr="008F54FA" w14:paraId="50EA58B5" w14:textId="77777777" w:rsidTr="00507D7B">
        <w:trPr>
          <w:jc w:val="center"/>
        </w:trPr>
        <w:tc>
          <w:tcPr>
            <w:tcW w:w="1999" w:type="pct"/>
            <w:shd w:val="clear" w:color="auto" w:fill="C6D9F1"/>
            <w:vAlign w:val="center"/>
          </w:tcPr>
          <w:p w14:paraId="38C0EFC1" w14:textId="77777777" w:rsidR="00D16560" w:rsidRPr="008F54FA" w:rsidRDefault="00D16560" w:rsidP="00507D7B">
            <w:pPr>
              <w:keepNext/>
              <w:spacing w:before="120"/>
              <w:jc w:val="center"/>
              <w:rPr>
                <w:rFonts w:ascii="Arial" w:eastAsia="Calibri" w:hAnsi="Arial" w:cs="Arial"/>
                <w:b/>
                <w:sz w:val="20"/>
                <w:szCs w:val="20"/>
              </w:rPr>
            </w:pPr>
            <w:bookmarkStart w:id="6" w:name="_Hlk81489931"/>
            <w:r w:rsidRPr="008F54FA">
              <w:rPr>
                <w:rFonts w:ascii="Arial" w:eastAsia="Calibri" w:hAnsi="Arial" w:cs="Arial"/>
                <w:b/>
                <w:sz w:val="20"/>
                <w:szCs w:val="20"/>
              </w:rPr>
              <w:t>Allocation</w:t>
            </w:r>
          </w:p>
        </w:tc>
        <w:tc>
          <w:tcPr>
            <w:tcW w:w="2118" w:type="pct"/>
            <w:shd w:val="clear" w:color="auto" w:fill="C6D9F1"/>
            <w:vAlign w:val="center"/>
          </w:tcPr>
          <w:p w14:paraId="5CBAA3BE"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Expenditures</w:t>
            </w:r>
          </w:p>
        </w:tc>
        <w:tc>
          <w:tcPr>
            <w:tcW w:w="883" w:type="pct"/>
            <w:shd w:val="clear" w:color="auto" w:fill="C6D9F1"/>
            <w:vAlign w:val="center"/>
          </w:tcPr>
          <w:p w14:paraId="7F2887B0"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 Rate %</w:t>
            </w:r>
            <w:r w:rsidRPr="008F54FA">
              <w:rPr>
                <w:rFonts w:ascii="Arial" w:eastAsia="Calibri" w:hAnsi="Arial" w:cs="Arial"/>
                <w:b/>
                <w:sz w:val="20"/>
                <w:szCs w:val="20"/>
              </w:rPr>
              <w:br/>
              <w:t>at 30/06/2023</w:t>
            </w:r>
          </w:p>
        </w:tc>
      </w:tr>
      <w:tr w:rsidR="00D16560" w:rsidRPr="008F54FA" w14:paraId="7C0E9E84" w14:textId="77777777" w:rsidTr="00507D7B">
        <w:trPr>
          <w:jc w:val="center"/>
        </w:trPr>
        <w:tc>
          <w:tcPr>
            <w:tcW w:w="1999" w:type="pct"/>
            <w:shd w:val="clear" w:color="auto" w:fill="auto"/>
          </w:tcPr>
          <w:p w14:paraId="4959F5A4"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436,633.00</w:t>
            </w:r>
          </w:p>
        </w:tc>
        <w:tc>
          <w:tcPr>
            <w:tcW w:w="2118" w:type="pct"/>
            <w:shd w:val="clear" w:color="auto" w:fill="auto"/>
          </w:tcPr>
          <w:p w14:paraId="1B315EE9"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398,808.19</w:t>
            </w:r>
          </w:p>
        </w:tc>
        <w:tc>
          <w:tcPr>
            <w:tcW w:w="883" w:type="pct"/>
            <w:shd w:val="clear" w:color="auto" w:fill="auto"/>
          </w:tcPr>
          <w:p w14:paraId="5012CB50"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91.3%</w:t>
            </w:r>
          </w:p>
        </w:tc>
      </w:tr>
    </w:tbl>
    <w:p w14:paraId="57E421B7" w14:textId="77777777" w:rsidR="00D16560" w:rsidRPr="008F54FA" w:rsidRDefault="00D16560" w:rsidP="00D16560">
      <w:pPr>
        <w:spacing w:after="0"/>
        <w:rPr>
          <w:rFonts w:ascii="Arial" w:hAnsi="Arial" w:cs="Arial"/>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5E4BA4" w:rsidRPr="008F54FA" w14:paraId="0030BE4F" w14:textId="77777777" w:rsidTr="001E0929">
        <w:trPr>
          <w:tblHeader/>
          <w:jc w:val="center"/>
        </w:trPr>
        <w:tc>
          <w:tcPr>
            <w:tcW w:w="9640" w:type="dxa"/>
            <w:shd w:val="clear" w:color="auto" w:fill="D9D9D9"/>
            <w:vAlign w:val="center"/>
          </w:tcPr>
          <w:p w14:paraId="0442884E" w14:textId="2C56E87F" w:rsidR="005E4BA4" w:rsidRPr="008F54FA" w:rsidRDefault="005E4BA4" w:rsidP="00507D7B">
            <w:pPr>
              <w:spacing w:before="60" w:after="60"/>
              <w:jc w:val="center"/>
              <w:rPr>
                <w:rFonts w:ascii="Arial" w:eastAsia="Calibri" w:hAnsi="Arial" w:cs="Arial"/>
                <w:b/>
                <w:sz w:val="20"/>
                <w:szCs w:val="20"/>
              </w:rPr>
            </w:pPr>
            <w:r w:rsidRPr="008F54FA">
              <w:rPr>
                <w:rFonts w:ascii="Arial" w:eastAsia="Calibri" w:hAnsi="Arial" w:cs="Arial"/>
                <w:b/>
                <w:sz w:val="20"/>
                <w:szCs w:val="20"/>
              </w:rPr>
              <w:t>Main achievements:</w:t>
            </w:r>
            <w:r w:rsidRPr="008F54FA">
              <w:rPr>
                <w:rFonts w:ascii="Arial" w:eastAsia="Calibri" w:hAnsi="Arial" w:cs="Arial"/>
                <w:b/>
                <w:sz w:val="20"/>
                <w:szCs w:val="20"/>
              </w:rPr>
              <w:br/>
              <w:t>01/01/2022 to 30/06/2023</w:t>
            </w:r>
          </w:p>
        </w:tc>
      </w:tr>
      <w:tr w:rsidR="005E4BA4" w:rsidRPr="008F54FA" w14:paraId="50F90818" w14:textId="77777777" w:rsidTr="001E0929">
        <w:trPr>
          <w:trHeight w:val="2663"/>
          <w:jc w:val="center"/>
        </w:trPr>
        <w:tc>
          <w:tcPr>
            <w:tcW w:w="9640" w:type="dxa"/>
            <w:shd w:val="clear" w:color="auto" w:fill="auto"/>
          </w:tcPr>
          <w:p w14:paraId="1B0BF6E6" w14:textId="55FF2BA2" w:rsidR="005E4BA4" w:rsidRPr="008F54FA" w:rsidRDefault="005E4BA4" w:rsidP="00507D7B">
            <w:pPr>
              <w:spacing w:before="60" w:after="60"/>
              <w:jc w:val="both"/>
              <w:rPr>
                <w:rFonts w:asciiTheme="minorBidi" w:eastAsia="Calibri" w:hAnsiTheme="minorBidi" w:cstheme="minorBidi"/>
                <w:b/>
                <w:bCs/>
                <w:sz w:val="20"/>
                <w:szCs w:val="20"/>
              </w:rPr>
            </w:pPr>
            <w:r w:rsidRPr="008F54FA">
              <w:rPr>
                <w:rFonts w:asciiTheme="minorBidi" w:eastAsia="Calibri" w:hAnsiTheme="minorBidi" w:cstheme="minorBidi"/>
                <w:b/>
                <w:bCs/>
                <w:sz w:val="20"/>
                <w:szCs w:val="20"/>
              </w:rPr>
              <w:t>Knowledge management processes and data analysis optimized through monitoring interfaces and online workflows</w:t>
            </w:r>
          </w:p>
          <w:p w14:paraId="19636940" w14:textId="3442605D" w:rsidR="005E4BA4" w:rsidRPr="008F54FA" w:rsidRDefault="005E4BA4" w:rsidP="00AD1D70">
            <w:pPr>
              <w:numPr>
                <w:ilvl w:val="0"/>
                <w:numId w:val="8"/>
              </w:numPr>
              <w:spacing w:before="60" w:after="60"/>
              <w:ind w:left="357" w:hanging="357"/>
              <w:jc w:val="both"/>
              <w:rPr>
                <w:rFonts w:asciiTheme="minorBidi" w:eastAsia="Calibri" w:hAnsiTheme="minorBidi" w:cstheme="minorBidi"/>
                <w:sz w:val="20"/>
                <w:szCs w:val="20"/>
              </w:rPr>
            </w:pPr>
            <w:r w:rsidRPr="008F54FA">
              <w:rPr>
                <w:rFonts w:asciiTheme="minorBidi" w:eastAsia="Calibri" w:hAnsiTheme="minorBidi" w:cstheme="minorBidi"/>
                <w:sz w:val="20"/>
                <w:szCs w:val="20"/>
              </w:rPr>
              <w:t>Internal knowledge management services and workflows updated to reflect outcomes of the global reflection on the listing mechanisms of the Convention (transfers between Lists and Register, submission of new types of video materials as part of the nomination process).</w:t>
            </w:r>
          </w:p>
          <w:p w14:paraId="21261C54" w14:textId="7B588E7B" w:rsidR="005E4BA4" w:rsidRPr="008F54FA" w:rsidRDefault="005E4BA4" w:rsidP="00AD1D70">
            <w:pPr>
              <w:numPr>
                <w:ilvl w:val="0"/>
                <w:numId w:val="8"/>
              </w:numPr>
              <w:spacing w:before="60" w:after="60"/>
              <w:ind w:left="357" w:hanging="357"/>
              <w:jc w:val="both"/>
              <w:rPr>
                <w:rFonts w:asciiTheme="minorBidi" w:eastAsia="Calibri" w:hAnsiTheme="minorBidi" w:cstheme="minorBidi"/>
                <w:sz w:val="20"/>
                <w:szCs w:val="20"/>
              </w:rPr>
            </w:pPr>
            <w:r w:rsidRPr="008F54FA">
              <w:rPr>
                <w:rFonts w:asciiTheme="minorBidi" w:eastAsia="Calibri" w:hAnsiTheme="minorBidi" w:cstheme="minorBidi"/>
                <w:sz w:val="20"/>
                <w:szCs w:val="20"/>
              </w:rPr>
              <w:t>Infrastructure of knowledge management system updated and performance issues solved to better face peaks of traffic during important statutory events and deadlines.</w:t>
            </w:r>
          </w:p>
          <w:p w14:paraId="6C937B72" w14:textId="02C4E183" w:rsidR="005E4BA4" w:rsidRPr="008F54FA" w:rsidRDefault="005E4BA4" w:rsidP="00AD1D70">
            <w:pPr>
              <w:numPr>
                <w:ilvl w:val="0"/>
                <w:numId w:val="8"/>
              </w:numPr>
              <w:spacing w:before="60" w:after="60"/>
              <w:ind w:left="357" w:hanging="357"/>
              <w:jc w:val="both"/>
              <w:rPr>
                <w:rFonts w:asciiTheme="minorBidi" w:eastAsia="Calibri" w:hAnsiTheme="minorBidi" w:cstheme="minorBidi"/>
                <w:sz w:val="20"/>
                <w:szCs w:val="20"/>
              </w:rPr>
            </w:pPr>
            <w:r w:rsidRPr="008F54FA">
              <w:rPr>
                <w:rFonts w:asciiTheme="minorBidi" w:eastAsia="Calibri" w:hAnsiTheme="minorBidi" w:cstheme="minorBidi"/>
                <w:sz w:val="20"/>
                <w:szCs w:val="20"/>
              </w:rPr>
              <w:t xml:space="preserve">Creation of a new internal dashboard initiated to manage the increasing amount of data, focusing on maintaining current data and preventing any interruption to operations. </w:t>
            </w:r>
          </w:p>
        </w:tc>
      </w:tr>
      <w:tr w:rsidR="005E4BA4" w:rsidRPr="008F54FA" w14:paraId="382BA5F6" w14:textId="77777777" w:rsidTr="001E0929">
        <w:trPr>
          <w:trHeight w:val="2800"/>
          <w:jc w:val="center"/>
        </w:trPr>
        <w:tc>
          <w:tcPr>
            <w:tcW w:w="9640" w:type="dxa"/>
            <w:shd w:val="clear" w:color="auto" w:fill="auto"/>
          </w:tcPr>
          <w:p w14:paraId="4AC40B99" w14:textId="614E5FE8" w:rsidR="005E4BA4" w:rsidRPr="008F54FA" w:rsidRDefault="005E4BA4" w:rsidP="00507D7B">
            <w:pPr>
              <w:keepNext/>
              <w:spacing w:before="60" w:after="60"/>
              <w:jc w:val="both"/>
              <w:rPr>
                <w:rFonts w:asciiTheme="minorBidi" w:eastAsia="Calibri" w:hAnsiTheme="minorBidi" w:cstheme="minorBidi"/>
                <w:b/>
                <w:bCs/>
                <w:sz w:val="20"/>
                <w:szCs w:val="20"/>
              </w:rPr>
            </w:pPr>
            <w:r w:rsidRPr="008F54FA">
              <w:rPr>
                <w:rFonts w:asciiTheme="minorBidi" w:eastAsia="Calibri" w:hAnsiTheme="minorBidi" w:cstheme="minorBidi"/>
                <w:b/>
                <w:bCs/>
                <w:sz w:val="20"/>
                <w:szCs w:val="20"/>
              </w:rPr>
              <w:lastRenderedPageBreak/>
              <w:t>Provision of guidance on good practices on measures for the safeguarding of intangible cultural heritage facilitated</w:t>
            </w:r>
          </w:p>
          <w:p w14:paraId="7A9C6EFE" w14:textId="047539B0" w:rsidR="005E4BA4" w:rsidRPr="008F54FA" w:rsidRDefault="00323D91" w:rsidP="00AD1D70">
            <w:pPr>
              <w:numPr>
                <w:ilvl w:val="0"/>
                <w:numId w:val="8"/>
              </w:numPr>
              <w:spacing w:before="60" w:after="60"/>
              <w:ind w:left="357" w:hanging="357"/>
              <w:jc w:val="both"/>
              <w:rPr>
                <w:rFonts w:asciiTheme="minorBidi" w:eastAsia="Calibri" w:hAnsiTheme="minorBidi" w:cstheme="minorBidi"/>
                <w:b/>
                <w:bCs/>
                <w:sz w:val="20"/>
                <w:szCs w:val="20"/>
              </w:rPr>
            </w:pPr>
            <w:hyperlink r:id="rId33" w:history="1">
              <w:r w:rsidR="005E4BA4" w:rsidRPr="008F54FA">
                <w:rPr>
                  <w:rStyle w:val="Hyperlink"/>
                  <w:rFonts w:asciiTheme="minorBidi" w:eastAsia="Calibri" w:hAnsiTheme="minorBidi" w:cstheme="minorBidi"/>
                  <w:sz w:val="20"/>
                  <w:szCs w:val="20"/>
                </w:rPr>
                <w:t>Reflection on a broader implementation of Article 18 of the 2003 Convention</w:t>
              </w:r>
            </w:hyperlink>
            <w:r w:rsidR="005E4BA4" w:rsidRPr="008F54FA">
              <w:rPr>
                <w:rFonts w:asciiTheme="minorBidi" w:eastAsia="Calibri" w:hAnsiTheme="minorBidi" w:cstheme="minorBidi"/>
                <w:sz w:val="20"/>
                <w:szCs w:val="20"/>
              </w:rPr>
              <w:t xml:space="preserve"> carried out through the organization of a Category VI expert meeting (Stockholm, Sweden, April 2023) and meeting of an Open-ended intergovernmental working group (UNESCO Headquarters, July 2023) with support from the Government of Sweden. Outcomes of the reflection, including proposed amendments to the Operational Directives, are presented to the eighteenth session of the Committee.</w:t>
            </w:r>
          </w:p>
          <w:p w14:paraId="6E07D401" w14:textId="1FD5DACF" w:rsidR="005E4BA4" w:rsidRPr="008F54FA" w:rsidRDefault="005E4BA4" w:rsidP="00AD1D70">
            <w:pPr>
              <w:numPr>
                <w:ilvl w:val="0"/>
                <w:numId w:val="8"/>
              </w:numPr>
              <w:spacing w:before="60" w:after="60"/>
              <w:ind w:left="357" w:hanging="357"/>
              <w:jc w:val="both"/>
              <w:rPr>
                <w:rFonts w:asciiTheme="minorBidi" w:eastAsia="Calibri" w:hAnsiTheme="minorBidi" w:cstheme="minorBidi"/>
                <w:b/>
                <w:bCs/>
                <w:sz w:val="20"/>
                <w:szCs w:val="20"/>
              </w:rPr>
            </w:pPr>
            <w:r w:rsidRPr="008F54FA">
              <w:rPr>
                <w:rFonts w:asciiTheme="minorBidi" w:eastAsia="Calibri" w:hAnsiTheme="minorBidi" w:cstheme="minorBidi"/>
                <w:sz w:val="20"/>
                <w:szCs w:val="20"/>
              </w:rPr>
              <w:t>Data gathered through periodic reports analyzed in the form of an in-depth analytical report in three languages (English, French, Spanish) for States Parties in Latin America and the Caribbean (</w:t>
            </w:r>
            <w:hyperlink r:id="rId34" w:history="1">
              <w:r w:rsidRPr="008F54FA">
                <w:rPr>
                  <w:rStyle w:val="Hyperlink"/>
                  <w:rFonts w:asciiTheme="minorBidi" w:eastAsia="Calibri" w:hAnsiTheme="minorBidi" w:cstheme="minorBidi"/>
                  <w:sz w:val="20"/>
                  <w:szCs w:val="20"/>
                </w:rPr>
                <w:t>2022</w:t>
              </w:r>
            </w:hyperlink>
            <w:r w:rsidRPr="008F54FA">
              <w:rPr>
                <w:rFonts w:asciiTheme="minorBidi" w:eastAsia="Calibri" w:hAnsiTheme="minorBidi" w:cstheme="minorBidi"/>
                <w:sz w:val="20"/>
                <w:szCs w:val="20"/>
              </w:rPr>
              <w:t>)</w:t>
            </w:r>
            <w:r w:rsidRPr="008F54FA">
              <w:rPr>
                <w:rFonts w:asciiTheme="minorBidi" w:eastAsia="Calibri" w:hAnsiTheme="minorBidi" w:cstheme="minorBidi"/>
                <w:b/>
                <w:bCs/>
                <w:sz w:val="20"/>
                <w:szCs w:val="20"/>
              </w:rPr>
              <w:t xml:space="preserve"> </w:t>
            </w:r>
            <w:r w:rsidRPr="008F54FA">
              <w:rPr>
                <w:rFonts w:asciiTheme="minorBidi" w:eastAsia="Calibri" w:hAnsiTheme="minorBidi" w:cstheme="minorBidi"/>
                <w:sz w:val="20"/>
                <w:szCs w:val="20"/>
              </w:rPr>
              <w:t>and an analytical overview in two languages (English, French) of the 42 reports submitted by States Parties in Europe (</w:t>
            </w:r>
            <w:hyperlink r:id="rId35" w:history="1">
              <w:r w:rsidRPr="008F54FA">
                <w:rPr>
                  <w:rStyle w:val="Hyperlink"/>
                  <w:rFonts w:asciiTheme="minorBidi" w:eastAsia="Calibri" w:hAnsiTheme="minorBidi" w:cstheme="minorBidi"/>
                  <w:sz w:val="20"/>
                  <w:szCs w:val="20"/>
                </w:rPr>
                <w:t>2022</w:t>
              </w:r>
            </w:hyperlink>
            <w:r w:rsidRPr="008F54FA">
              <w:rPr>
                <w:rFonts w:asciiTheme="minorBidi" w:eastAsia="Calibri" w:hAnsiTheme="minorBidi" w:cstheme="minorBidi"/>
                <w:sz w:val="20"/>
                <w:szCs w:val="20"/>
              </w:rPr>
              <w:t>).</w:t>
            </w:r>
          </w:p>
        </w:tc>
      </w:tr>
      <w:tr w:rsidR="005E4BA4" w:rsidRPr="008F54FA" w14:paraId="24C8A8F9" w14:textId="77777777" w:rsidTr="001E0929">
        <w:trPr>
          <w:trHeight w:val="1832"/>
          <w:jc w:val="center"/>
        </w:trPr>
        <w:tc>
          <w:tcPr>
            <w:tcW w:w="9640" w:type="dxa"/>
            <w:shd w:val="clear" w:color="auto" w:fill="auto"/>
          </w:tcPr>
          <w:p w14:paraId="49C8BD6B" w14:textId="7970E9B8" w:rsidR="005E4BA4" w:rsidRPr="008F54FA" w:rsidRDefault="005E4BA4" w:rsidP="00507D7B">
            <w:pPr>
              <w:keepNext/>
              <w:spacing w:before="60" w:after="60"/>
              <w:jc w:val="both"/>
              <w:rPr>
                <w:rFonts w:asciiTheme="minorBidi" w:eastAsia="Calibri" w:hAnsiTheme="minorBidi" w:cstheme="minorBidi"/>
                <w:b/>
                <w:bCs/>
                <w:sz w:val="20"/>
                <w:szCs w:val="20"/>
              </w:rPr>
            </w:pPr>
            <w:r w:rsidRPr="008F54FA">
              <w:rPr>
                <w:rFonts w:asciiTheme="minorBidi" w:eastAsia="Calibri" w:hAnsiTheme="minorBidi" w:cstheme="minorBidi"/>
                <w:b/>
                <w:bCs/>
                <w:sz w:val="20"/>
                <w:szCs w:val="20"/>
              </w:rPr>
              <w:t>International Assistance mechanisms promoted among partners and stakeholders</w:t>
            </w:r>
          </w:p>
          <w:p w14:paraId="3BC31118" w14:textId="1D221A2B" w:rsidR="005E4BA4" w:rsidRPr="008F54FA" w:rsidRDefault="005E4BA4" w:rsidP="001E0929">
            <w:pPr>
              <w:pStyle w:val="ListParagraph"/>
              <w:numPr>
                <w:ilvl w:val="0"/>
                <w:numId w:val="13"/>
              </w:numPr>
              <w:tabs>
                <w:tab w:val="clear" w:pos="567"/>
              </w:tabs>
              <w:snapToGrid/>
              <w:spacing w:before="60" w:after="60"/>
              <w:ind w:left="374" w:hanging="357"/>
              <w:rPr>
                <w:rFonts w:asciiTheme="minorBidi" w:eastAsia="Calibri" w:hAnsiTheme="minorBidi" w:cstheme="minorBidi"/>
                <w:sz w:val="20"/>
                <w:szCs w:val="20"/>
              </w:rPr>
            </w:pPr>
            <w:r w:rsidRPr="008F54FA">
              <w:rPr>
                <w:rFonts w:asciiTheme="minorBidi" w:eastAsia="Calibri" w:hAnsiTheme="minorBidi" w:cstheme="minorBidi"/>
                <w:sz w:val="20"/>
                <w:szCs w:val="20"/>
              </w:rPr>
              <w:t xml:space="preserve">Revised </w:t>
            </w:r>
            <w:hyperlink r:id="rId36" w:history="1">
              <w:r w:rsidRPr="008F54FA">
                <w:rPr>
                  <w:rStyle w:val="Hyperlink"/>
                  <w:rFonts w:asciiTheme="minorBidi" w:eastAsia="Calibri" w:hAnsiTheme="minorBidi" w:cstheme="minorBidi"/>
                  <w:i/>
                  <w:iCs/>
                  <w:sz w:val="20"/>
                  <w:szCs w:val="20"/>
                </w:rPr>
                <w:t>Toolkit for requesting International Assistance from the 2003 Convention for the Safeguarding of the Intangible Cultural Heritage</w:t>
              </w:r>
            </w:hyperlink>
            <w:r w:rsidRPr="008F54FA">
              <w:rPr>
                <w:rFonts w:asciiTheme="minorBidi" w:eastAsia="Calibri" w:hAnsiTheme="minorBidi" w:cstheme="minorBidi"/>
                <w:i/>
                <w:iCs/>
                <w:sz w:val="20"/>
                <w:szCs w:val="20"/>
              </w:rPr>
              <w:t xml:space="preserve"> </w:t>
            </w:r>
            <w:r w:rsidRPr="008F54FA">
              <w:rPr>
                <w:rFonts w:asciiTheme="minorBidi" w:eastAsia="Calibri" w:hAnsiTheme="minorBidi" w:cstheme="minorBidi"/>
                <w:sz w:val="20"/>
                <w:szCs w:val="20"/>
              </w:rPr>
              <w:t>published in English and French</w:t>
            </w:r>
            <w:r w:rsidRPr="008F54FA">
              <w:rPr>
                <w:rFonts w:asciiTheme="minorBidi" w:eastAsia="Calibri" w:hAnsiTheme="minorBidi" w:cstheme="minorBidi"/>
                <w:i/>
                <w:iCs/>
                <w:sz w:val="20"/>
                <w:szCs w:val="20"/>
              </w:rPr>
              <w:t xml:space="preserve"> </w:t>
            </w:r>
            <w:r w:rsidRPr="008F54FA">
              <w:rPr>
                <w:rFonts w:asciiTheme="minorBidi" w:eastAsia="Calibri" w:hAnsiTheme="minorBidi" w:cstheme="minorBidi"/>
                <w:sz w:val="20"/>
                <w:szCs w:val="20"/>
              </w:rPr>
              <w:t>to reflect the amendments made to the Operational Directives by the ninth session of the General Assembly in July 2022.</w:t>
            </w:r>
          </w:p>
          <w:p w14:paraId="7C9B06B3" w14:textId="2032D9E0" w:rsidR="005E4BA4" w:rsidRPr="008F54FA" w:rsidRDefault="005E4BA4" w:rsidP="00AD1D70">
            <w:pPr>
              <w:pStyle w:val="ListParagraph"/>
              <w:numPr>
                <w:ilvl w:val="0"/>
                <w:numId w:val="13"/>
              </w:numPr>
              <w:tabs>
                <w:tab w:val="clear" w:pos="567"/>
              </w:tabs>
              <w:snapToGrid/>
              <w:spacing w:before="60" w:after="60"/>
              <w:ind w:left="379"/>
              <w:contextualSpacing/>
              <w:rPr>
                <w:rFonts w:asciiTheme="minorBidi" w:eastAsia="Calibri" w:hAnsiTheme="minorBidi" w:cstheme="minorBidi"/>
                <w:sz w:val="20"/>
                <w:szCs w:val="20"/>
              </w:rPr>
            </w:pPr>
            <w:r w:rsidRPr="008F54FA">
              <w:rPr>
                <w:rFonts w:asciiTheme="minorBidi" w:eastAsia="Calibri" w:hAnsiTheme="minorBidi" w:cstheme="minorBidi"/>
                <w:sz w:val="20"/>
                <w:szCs w:val="20"/>
              </w:rPr>
              <w:t xml:space="preserve">Six </w:t>
            </w:r>
            <w:hyperlink r:id="rId37" w:history="1">
              <w:r w:rsidRPr="008F54FA">
                <w:rPr>
                  <w:rStyle w:val="Hyperlink"/>
                  <w:rFonts w:asciiTheme="minorBidi" w:eastAsia="Calibri" w:hAnsiTheme="minorBidi" w:cstheme="minorBidi"/>
                  <w:sz w:val="20"/>
                  <w:szCs w:val="20"/>
                </w:rPr>
                <w:t>online sessions</w:t>
              </w:r>
            </w:hyperlink>
            <w:r w:rsidRPr="008F54FA">
              <w:rPr>
                <w:rFonts w:asciiTheme="minorBidi" w:eastAsia="Calibri" w:hAnsiTheme="minorBidi" w:cstheme="minorBidi"/>
                <w:sz w:val="20"/>
                <w:szCs w:val="20"/>
              </w:rPr>
              <w:t xml:space="preserve"> organized in four languages (Arabic, English, French and Spanish) in March 2022 and April 2023 to raise the awareness of various stakeholders of the Convention about International Assistance mechanisms.</w:t>
            </w:r>
          </w:p>
        </w:tc>
      </w:tr>
      <w:tr w:rsidR="005E4BA4" w:rsidRPr="008F54FA" w14:paraId="77A7D993" w14:textId="77777777" w:rsidTr="001E0929">
        <w:trPr>
          <w:trHeight w:val="1054"/>
          <w:jc w:val="center"/>
        </w:trPr>
        <w:tc>
          <w:tcPr>
            <w:tcW w:w="9640" w:type="dxa"/>
            <w:shd w:val="clear" w:color="auto" w:fill="auto"/>
          </w:tcPr>
          <w:p w14:paraId="49DF9947" w14:textId="77777777" w:rsidR="005E4BA4" w:rsidRPr="008F54FA" w:rsidRDefault="005E4BA4" w:rsidP="00507D7B">
            <w:pPr>
              <w:keepNext/>
              <w:spacing w:before="60" w:after="60"/>
              <w:jc w:val="both"/>
              <w:rPr>
                <w:rFonts w:asciiTheme="minorBidi" w:eastAsia="Calibri" w:hAnsiTheme="minorBidi" w:cstheme="minorBidi"/>
                <w:b/>
                <w:bCs/>
                <w:sz w:val="20"/>
                <w:szCs w:val="20"/>
              </w:rPr>
            </w:pPr>
            <w:r w:rsidRPr="008F54FA">
              <w:rPr>
                <w:rFonts w:asciiTheme="minorBidi" w:eastAsia="Calibri" w:hAnsiTheme="minorBidi" w:cstheme="minorBidi"/>
                <w:b/>
                <w:bCs/>
                <w:sz w:val="20"/>
                <w:szCs w:val="20"/>
              </w:rPr>
              <w:t>Basic Texts of the Convention revised and published</w:t>
            </w:r>
          </w:p>
          <w:p w14:paraId="22080286" w14:textId="6D74A9FB" w:rsidR="005E4BA4" w:rsidRPr="008F54FA" w:rsidRDefault="00323D91" w:rsidP="00AD1D70">
            <w:pPr>
              <w:pStyle w:val="ListParagraph"/>
              <w:numPr>
                <w:ilvl w:val="0"/>
                <w:numId w:val="9"/>
              </w:numPr>
              <w:tabs>
                <w:tab w:val="clear" w:pos="567"/>
              </w:tabs>
              <w:snapToGrid/>
              <w:spacing w:before="60" w:after="60"/>
              <w:ind w:left="322"/>
              <w:contextualSpacing/>
              <w:rPr>
                <w:rFonts w:asciiTheme="minorBidi" w:eastAsia="Calibri" w:hAnsiTheme="minorBidi" w:cstheme="minorBidi"/>
                <w:sz w:val="20"/>
                <w:szCs w:val="20"/>
              </w:rPr>
            </w:pPr>
            <w:hyperlink r:id="rId38" w:history="1">
              <w:r w:rsidR="005E4BA4" w:rsidRPr="008F54FA">
                <w:rPr>
                  <w:rStyle w:val="Hyperlink"/>
                  <w:rFonts w:asciiTheme="minorBidi" w:eastAsia="Calibri" w:hAnsiTheme="minorBidi" w:cstheme="minorBidi"/>
                  <w:sz w:val="20"/>
                  <w:szCs w:val="20"/>
                </w:rPr>
                <w:t>2022 edition of the Basic Texts</w:t>
              </w:r>
            </w:hyperlink>
            <w:r w:rsidR="005E4BA4" w:rsidRPr="008F54FA">
              <w:rPr>
                <w:rFonts w:asciiTheme="minorBidi" w:eastAsia="Calibri" w:hAnsiTheme="minorBidi" w:cstheme="minorBidi"/>
                <w:sz w:val="20"/>
                <w:szCs w:val="20"/>
              </w:rPr>
              <w:t xml:space="preserve"> of the Convention designed, edited and published in the six working languages of the General Assembly. This version integrates the amendments to the Operational Directives adopted by the ninth session of the General Assembly in 2022.</w:t>
            </w:r>
          </w:p>
        </w:tc>
      </w:tr>
    </w:tbl>
    <w:bookmarkEnd w:id="6"/>
    <w:p w14:paraId="7D52CD2A" w14:textId="77777777" w:rsidR="00D16560" w:rsidRPr="008F54FA" w:rsidRDefault="00D16560" w:rsidP="00D16560">
      <w:pPr>
        <w:keepNext/>
        <w:spacing w:before="240"/>
        <w:rPr>
          <w:rFonts w:ascii="Arial" w:hAnsi="Arial" w:cs="Arial"/>
          <w:b/>
          <w:szCs w:val="22"/>
        </w:rPr>
      </w:pPr>
      <w:r w:rsidRPr="008F54FA">
        <w:rPr>
          <w:rFonts w:ascii="Arial" w:hAnsi="Arial" w:cs="Arial"/>
          <w:b/>
          <w:szCs w:val="22"/>
        </w:rPr>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16560" w:rsidRPr="008F54FA" w14:paraId="63C662B1" w14:textId="77777777" w:rsidTr="00507D7B">
        <w:trPr>
          <w:tblHeader/>
          <w:jc w:val="center"/>
        </w:trPr>
        <w:tc>
          <w:tcPr>
            <w:tcW w:w="2500" w:type="pct"/>
            <w:shd w:val="clear" w:color="auto" w:fill="D9D9D9"/>
            <w:vAlign w:val="center"/>
          </w:tcPr>
          <w:p w14:paraId="6C95D2B2"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Key challenges</w:t>
            </w:r>
          </w:p>
        </w:tc>
        <w:tc>
          <w:tcPr>
            <w:tcW w:w="2500" w:type="pct"/>
            <w:shd w:val="clear" w:color="auto" w:fill="D9D9D9"/>
            <w:vAlign w:val="center"/>
          </w:tcPr>
          <w:p w14:paraId="4AC0DC0B"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Remedial actions</w:t>
            </w:r>
          </w:p>
        </w:tc>
      </w:tr>
      <w:tr w:rsidR="00D16560" w:rsidRPr="008F54FA" w14:paraId="24504E0B" w14:textId="77777777" w:rsidTr="00507D7B">
        <w:trPr>
          <w:jc w:val="center"/>
        </w:trPr>
        <w:tc>
          <w:tcPr>
            <w:tcW w:w="2500" w:type="pct"/>
            <w:shd w:val="clear" w:color="auto" w:fill="auto"/>
          </w:tcPr>
          <w:p w14:paraId="4CC51231" w14:textId="5BE2982E" w:rsidR="00D16560" w:rsidRPr="008F54FA" w:rsidRDefault="009C0E80" w:rsidP="009C0E80">
            <w:pPr>
              <w:spacing w:before="60" w:after="60"/>
              <w:jc w:val="both"/>
              <w:rPr>
                <w:rFonts w:ascii="Arial" w:hAnsi="Arial" w:cs="Arial"/>
                <w:sz w:val="20"/>
                <w:szCs w:val="20"/>
              </w:rPr>
            </w:pPr>
            <w:r w:rsidRPr="008F54FA">
              <w:rPr>
                <w:rFonts w:ascii="Arial" w:hAnsi="Arial" w:cs="Arial"/>
                <w:sz w:val="20"/>
                <w:szCs w:val="20"/>
              </w:rPr>
              <w:t xml:space="preserve">The recent reflections and reforms undertaken concerning the listing mechanisms, International Assistance or periodic reporting have led the governing bodies of the Convention and through them the Secretariat, to receive an exponentially increasing amount of information and data, coming in various forms (forms, </w:t>
            </w:r>
            <w:r w:rsidR="00171DD0" w:rsidRPr="008F54FA">
              <w:rPr>
                <w:rFonts w:ascii="Arial" w:hAnsi="Arial" w:cs="Arial"/>
                <w:sz w:val="20"/>
                <w:szCs w:val="20"/>
              </w:rPr>
              <w:t xml:space="preserve">reports, </w:t>
            </w:r>
            <w:r w:rsidRPr="008F54FA">
              <w:rPr>
                <w:rFonts w:ascii="Arial" w:hAnsi="Arial" w:cs="Arial"/>
                <w:sz w:val="20"/>
                <w:szCs w:val="20"/>
              </w:rPr>
              <w:t>online tools), formats (written, audio, video) and languages</w:t>
            </w:r>
            <w:r w:rsidR="005E4BA4" w:rsidRPr="008F54FA">
              <w:rPr>
                <w:rFonts w:ascii="Arial" w:hAnsi="Arial" w:cs="Arial"/>
                <w:sz w:val="20"/>
                <w:szCs w:val="20"/>
              </w:rPr>
              <w:t>.</w:t>
            </w:r>
            <w:r w:rsidRPr="008F54FA">
              <w:rPr>
                <w:rFonts w:ascii="Arial" w:hAnsi="Arial" w:cs="Arial"/>
                <w:sz w:val="20"/>
                <w:szCs w:val="20"/>
              </w:rPr>
              <w:t xml:space="preserve"> </w:t>
            </w:r>
          </w:p>
        </w:tc>
        <w:tc>
          <w:tcPr>
            <w:tcW w:w="2500" w:type="pct"/>
            <w:shd w:val="clear" w:color="auto" w:fill="auto"/>
          </w:tcPr>
          <w:p w14:paraId="3F57BF3D" w14:textId="58CF7E74" w:rsidR="00D16560" w:rsidRPr="008F54FA" w:rsidRDefault="00D16560" w:rsidP="00507D7B">
            <w:pPr>
              <w:spacing w:before="60" w:after="60"/>
              <w:jc w:val="both"/>
              <w:rPr>
                <w:rFonts w:ascii="Arial" w:eastAsia="Calibri" w:hAnsi="Arial" w:cs="Arial"/>
                <w:sz w:val="20"/>
                <w:szCs w:val="20"/>
              </w:rPr>
            </w:pPr>
            <w:r w:rsidRPr="008F54FA">
              <w:rPr>
                <w:rFonts w:ascii="Arial" w:hAnsi="Arial" w:cs="Arial"/>
                <w:sz w:val="20"/>
                <w:szCs w:val="20"/>
              </w:rPr>
              <w:t>Priority was given</w:t>
            </w:r>
            <w:r w:rsidR="009C0E80" w:rsidRPr="008F54FA">
              <w:rPr>
                <w:rFonts w:ascii="Arial" w:hAnsi="Arial" w:cs="Arial"/>
                <w:sz w:val="20"/>
                <w:szCs w:val="20"/>
              </w:rPr>
              <w:t xml:space="preserve"> in the operations of the Secretariat</w:t>
            </w:r>
            <w:r w:rsidRPr="008F54FA">
              <w:rPr>
                <w:rFonts w:ascii="Arial" w:hAnsi="Arial" w:cs="Arial"/>
                <w:sz w:val="20"/>
                <w:szCs w:val="20"/>
              </w:rPr>
              <w:t xml:space="preserve"> during the biennium to the </w:t>
            </w:r>
            <w:r w:rsidR="009C0E80" w:rsidRPr="008F54FA">
              <w:rPr>
                <w:rFonts w:ascii="Arial" w:hAnsi="Arial" w:cs="Arial"/>
                <w:sz w:val="20"/>
                <w:szCs w:val="20"/>
              </w:rPr>
              <w:t>ongoing adaptation</w:t>
            </w:r>
            <w:r w:rsidRPr="008F54FA">
              <w:rPr>
                <w:rFonts w:ascii="Arial" w:hAnsi="Arial" w:cs="Arial"/>
                <w:sz w:val="20"/>
                <w:szCs w:val="20"/>
              </w:rPr>
              <w:t xml:space="preserve"> and enhancement of online tools and interfaces for the governing bodies of the Convention</w:t>
            </w:r>
            <w:r w:rsidR="009C0E80" w:rsidRPr="008F54FA">
              <w:rPr>
                <w:rFonts w:ascii="Arial" w:hAnsi="Arial" w:cs="Arial"/>
                <w:sz w:val="20"/>
                <w:szCs w:val="20"/>
              </w:rPr>
              <w:t>, the Secretariat</w:t>
            </w:r>
            <w:r w:rsidRPr="008F54FA">
              <w:rPr>
                <w:rFonts w:ascii="Arial" w:hAnsi="Arial" w:cs="Arial"/>
                <w:sz w:val="20"/>
                <w:szCs w:val="20"/>
              </w:rPr>
              <w:t xml:space="preserve"> and </w:t>
            </w:r>
            <w:r w:rsidR="009C0E80" w:rsidRPr="008F54FA">
              <w:rPr>
                <w:rFonts w:ascii="Arial" w:hAnsi="Arial" w:cs="Arial"/>
                <w:sz w:val="20"/>
                <w:szCs w:val="20"/>
              </w:rPr>
              <w:t xml:space="preserve">other stakeholders </w:t>
            </w:r>
            <w:r w:rsidR="00171DD0" w:rsidRPr="008F54FA">
              <w:rPr>
                <w:rFonts w:ascii="Arial" w:hAnsi="Arial" w:cs="Arial"/>
                <w:sz w:val="20"/>
                <w:szCs w:val="20"/>
              </w:rPr>
              <w:t>for</w:t>
            </w:r>
            <w:r w:rsidR="009C0E80" w:rsidRPr="008F54FA">
              <w:rPr>
                <w:rFonts w:ascii="Arial" w:hAnsi="Arial" w:cs="Arial"/>
                <w:sz w:val="20"/>
                <w:szCs w:val="20"/>
              </w:rPr>
              <w:t xml:space="preserve"> improved data management and information dissemination.</w:t>
            </w:r>
          </w:p>
        </w:tc>
      </w:tr>
    </w:tbl>
    <w:p w14:paraId="13F70F8A" w14:textId="4AF903CD" w:rsidR="00D16560" w:rsidRPr="008F54FA" w:rsidRDefault="00D16560" w:rsidP="00D16560">
      <w:pPr>
        <w:spacing w:after="0"/>
        <w:rPr>
          <w:rFonts w:ascii="Arial" w:hAnsi="Arial" w:cs="Arial"/>
          <w:b/>
          <w:szCs w:val="22"/>
        </w:rPr>
      </w:pPr>
    </w:p>
    <w:p w14:paraId="081BDD4E" w14:textId="2B330C06" w:rsidR="00D16560" w:rsidRPr="008F54FA" w:rsidRDefault="00D16560" w:rsidP="001E0929">
      <w:pPr>
        <w:spacing w:before="240"/>
        <w:jc w:val="both"/>
        <w:rPr>
          <w:rFonts w:ascii="Arial" w:hAnsi="Arial" w:cs="Arial"/>
          <w:b/>
          <w:szCs w:val="22"/>
        </w:rPr>
      </w:pPr>
      <w:r w:rsidRPr="008F54FA">
        <w:rPr>
          <w:rFonts w:ascii="Arial" w:hAnsi="Arial" w:cs="Arial"/>
          <w:b/>
          <w:szCs w:val="22"/>
        </w:rPr>
        <w:t xml:space="preserve">Expected Result 2: </w:t>
      </w:r>
      <w:r w:rsidRPr="008F54FA">
        <w:rPr>
          <w:rFonts w:ascii="Arial" w:hAnsi="Arial" w:cs="Arial"/>
          <w:b/>
          <w:bCs/>
          <w:szCs w:val="22"/>
        </w:rPr>
        <w:t>Implementation of the Convention in Member States encouraged through a strengthened capacity-building programme and guidance on safeguarding measures and good practices</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D16560" w:rsidRPr="008F54FA" w14:paraId="73F93CDC" w14:textId="77777777" w:rsidTr="00507D7B">
        <w:trPr>
          <w:jc w:val="center"/>
        </w:trPr>
        <w:tc>
          <w:tcPr>
            <w:tcW w:w="1999" w:type="pct"/>
            <w:shd w:val="clear" w:color="auto" w:fill="C6D9F1"/>
            <w:vAlign w:val="center"/>
          </w:tcPr>
          <w:p w14:paraId="3005A758" w14:textId="77777777" w:rsidR="00D16560" w:rsidRPr="008F54FA" w:rsidRDefault="00D16560" w:rsidP="00507D7B">
            <w:pPr>
              <w:keepNext/>
              <w:spacing w:before="120"/>
              <w:jc w:val="center"/>
              <w:rPr>
                <w:rFonts w:ascii="Arial" w:eastAsia="Calibri" w:hAnsi="Arial" w:cs="Arial"/>
                <w:b/>
                <w:sz w:val="20"/>
                <w:szCs w:val="20"/>
              </w:rPr>
            </w:pPr>
            <w:bookmarkStart w:id="7" w:name="_Hlk81490153"/>
            <w:r w:rsidRPr="008F54FA">
              <w:rPr>
                <w:rFonts w:ascii="Arial" w:eastAsia="Calibri" w:hAnsi="Arial" w:cs="Arial"/>
                <w:b/>
                <w:sz w:val="20"/>
                <w:szCs w:val="20"/>
              </w:rPr>
              <w:t>Allocation</w:t>
            </w:r>
          </w:p>
        </w:tc>
        <w:tc>
          <w:tcPr>
            <w:tcW w:w="2118" w:type="pct"/>
            <w:shd w:val="clear" w:color="auto" w:fill="C6D9F1"/>
            <w:vAlign w:val="center"/>
          </w:tcPr>
          <w:p w14:paraId="63F1A2AC"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Expenditures</w:t>
            </w:r>
          </w:p>
        </w:tc>
        <w:tc>
          <w:tcPr>
            <w:tcW w:w="883" w:type="pct"/>
            <w:shd w:val="clear" w:color="auto" w:fill="C6D9F1"/>
            <w:vAlign w:val="center"/>
          </w:tcPr>
          <w:p w14:paraId="47FA9A2B"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 Rate %</w:t>
            </w:r>
            <w:r w:rsidRPr="008F54FA">
              <w:rPr>
                <w:rFonts w:ascii="Arial" w:eastAsia="Calibri" w:hAnsi="Arial" w:cs="Arial"/>
                <w:b/>
                <w:sz w:val="20"/>
                <w:szCs w:val="20"/>
              </w:rPr>
              <w:br/>
              <w:t>at 30/06/2023</w:t>
            </w:r>
          </w:p>
        </w:tc>
      </w:tr>
      <w:tr w:rsidR="00D16560" w:rsidRPr="008F54FA" w14:paraId="37D00EDD" w14:textId="77777777" w:rsidTr="00507D7B">
        <w:trPr>
          <w:jc w:val="center"/>
        </w:trPr>
        <w:tc>
          <w:tcPr>
            <w:tcW w:w="1999" w:type="pct"/>
            <w:shd w:val="clear" w:color="auto" w:fill="auto"/>
          </w:tcPr>
          <w:p w14:paraId="3BA0AA93"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576,355.00</w:t>
            </w:r>
          </w:p>
        </w:tc>
        <w:tc>
          <w:tcPr>
            <w:tcW w:w="2118" w:type="pct"/>
            <w:shd w:val="clear" w:color="auto" w:fill="auto"/>
          </w:tcPr>
          <w:p w14:paraId="1DBC9D8D"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450,782.77</w:t>
            </w:r>
          </w:p>
        </w:tc>
        <w:tc>
          <w:tcPr>
            <w:tcW w:w="883" w:type="pct"/>
            <w:shd w:val="clear" w:color="auto" w:fill="auto"/>
          </w:tcPr>
          <w:p w14:paraId="67F4DD06"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78.2%</w:t>
            </w:r>
          </w:p>
        </w:tc>
      </w:tr>
    </w:tbl>
    <w:p w14:paraId="43D70C67" w14:textId="77777777" w:rsidR="00D16560" w:rsidRPr="008F54FA" w:rsidRDefault="00D16560" w:rsidP="00D16560">
      <w:pPr>
        <w:spacing w:after="0"/>
        <w:jc w:val="both"/>
        <w:rPr>
          <w:rFonts w:ascii="Arial" w:hAnsi="Arial" w:cs="Arial"/>
          <w:szCs w:val="22"/>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9634"/>
      </w:tblGrid>
      <w:tr w:rsidR="005E4BA4" w:rsidRPr="008F54FA" w14:paraId="45225D56" w14:textId="77777777" w:rsidTr="001E0929">
        <w:trPr>
          <w:tblHeader/>
        </w:trPr>
        <w:tc>
          <w:tcPr>
            <w:tcW w:w="9634" w:type="dxa"/>
            <w:shd w:val="clear" w:color="auto" w:fill="D9D9D9"/>
            <w:vAlign w:val="center"/>
          </w:tcPr>
          <w:p w14:paraId="20A8C084" w14:textId="4B3FF364" w:rsidR="005E4BA4" w:rsidRPr="008F54FA" w:rsidRDefault="005E4BA4" w:rsidP="00507D7B">
            <w:pPr>
              <w:spacing w:before="60" w:after="60"/>
              <w:jc w:val="center"/>
              <w:rPr>
                <w:rFonts w:ascii="Arial" w:eastAsia="Calibri" w:hAnsi="Arial" w:cs="Arial"/>
                <w:b/>
                <w:sz w:val="20"/>
                <w:szCs w:val="20"/>
              </w:rPr>
            </w:pPr>
            <w:r w:rsidRPr="008F54FA">
              <w:rPr>
                <w:rFonts w:ascii="Arial" w:eastAsia="Calibri" w:hAnsi="Arial" w:cs="Arial"/>
                <w:b/>
                <w:sz w:val="20"/>
                <w:szCs w:val="20"/>
              </w:rPr>
              <w:t>Main achievements:</w:t>
            </w:r>
            <w:r w:rsidRPr="008F54FA">
              <w:rPr>
                <w:rFonts w:ascii="Arial" w:eastAsia="Calibri" w:hAnsi="Arial" w:cs="Arial"/>
                <w:b/>
                <w:sz w:val="20"/>
                <w:szCs w:val="20"/>
              </w:rPr>
              <w:br/>
              <w:t>01/01/2022 to 30/06/2023</w:t>
            </w:r>
          </w:p>
        </w:tc>
      </w:tr>
      <w:tr w:rsidR="005E4BA4" w:rsidRPr="008F54FA" w14:paraId="00ECBE33" w14:textId="77777777" w:rsidTr="001E0929">
        <w:tc>
          <w:tcPr>
            <w:tcW w:w="9634" w:type="dxa"/>
            <w:shd w:val="clear" w:color="auto" w:fill="auto"/>
          </w:tcPr>
          <w:p w14:paraId="0FA376D3" w14:textId="77777777" w:rsidR="005E4BA4" w:rsidRPr="008F54FA" w:rsidRDefault="005E4BA4" w:rsidP="00507D7B">
            <w:pPr>
              <w:spacing w:before="60" w:after="60"/>
              <w:jc w:val="both"/>
              <w:rPr>
                <w:rFonts w:ascii="Arial" w:eastAsia="Calibri" w:hAnsi="Arial" w:cs="Arial"/>
                <w:b/>
                <w:bCs/>
                <w:sz w:val="20"/>
                <w:szCs w:val="20"/>
              </w:rPr>
            </w:pPr>
            <w:r w:rsidRPr="008F54FA">
              <w:rPr>
                <w:rFonts w:ascii="Arial" w:eastAsia="Calibri" w:hAnsi="Arial" w:cs="Arial"/>
                <w:b/>
                <w:bCs/>
                <w:sz w:val="20"/>
                <w:szCs w:val="20"/>
              </w:rPr>
              <w:t>Facilitators’ network strengthened</w:t>
            </w:r>
          </w:p>
          <w:p w14:paraId="0DBBF471" w14:textId="3602F5FF"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 xml:space="preserve">Global network of facilitators significantly strengthened with ninety-five new members (60% women) from all regions following a global call for expression of interest. Series of online orientation sessions completed for the new members to equip them with the basic knowledge on </w:t>
            </w:r>
            <w:bookmarkStart w:id="8" w:name="_Hlk147919606"/>
            <w:r w:rsidRPr="008F54FA">
              <w:rPr>
                <w:rFonts w:ascii="Arial" w:eastAsia="Calibri" w:hAnsi="Arial" w:cs="Arial"/>
                <w:sz w:val="20"/>
                <w:szCs w:val="20"/>
              </w:rPr>
              <w:t xml:space="preserve">the </w:t>
            </w:r>
            <w:bookmarkEnd w:id="8"/>
            <w:r w:rsidRPr="008F54FA">
              <w:rPr>
                <w:rFonts w:ascii="Arial" w:eastAsia="Calibri" w:hAnsi="Arial" w:cs="Arial"/>
                <w:sz w:val="20"/>
                <w:szCs w:val="20"/>
              </w:rPr>
              <w:t>Convention and the network.</w:t>
            </w:r>
          </w:p>
          <w:p w14:paraId="7E9D3870" w14:textId="2B6688AF"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lastRenderedPageBreak/>
              <w:t>New strategy for regional, contextualised training on the implementation of the Convention for the new members developed and currently implemented in all regions in cooperation with the field offices and with the support of Category 2 Centers.</w:t>
            </w:r>
          </w:p>
          <w:p w14:paraId="2265D494" w14:textId="2DECF3AA" w:rsidR="005E4BA4" w:rsidRPr="008F54FA" w:rsidRDefault="005E4BA4" w:rsidP="001E0929">
            <w:pPr>
              <w:numPr>
                <w:ilvl w:val="0"/>
                <w:numId w:val="10"/>
              </w:numPr>
              <w:spacing w:before="60" w:after="60"/>
              <w:jc w:val="both"/>
              <w:rPr>
                <w:rFonts w:asciiTheme="minorBidi" w:eastAsia="Calibri" w:hAnsiTheme="minorBidi" w:cstheme="minorBidi"/>
                <w:color w:val="000000" w:themeColor="text1"/>
                <w:sz w:val="20"/>
                <w:szCs w:val="20"/>
              </w:rPr>
            </w:pPr>
            <w:r w:rsidRPr="008F54FA">
              <w:rPr>
                <w:rFonts w:ascii="Arial" w:eastAsia="Calibri" w:hAnsi="Arial" w:cs="Arial"/>
                <w:sz w:val="20"/>
                <w:szCs w:val="20"/>
              </w:rPr>
              <w:t>Knowledge of experienced network members enhanced on periodic reporting under the Convention through two 18-hour online courses completed in support of the regional reporting cycles in Africa and Asia and the Pacific.</w:t>
            </w:r>
          </w:p>
        </w:tc>
      </w:tr>
      <w:tr w:rsidR="005E4BA4" w:rsidRPr="008F54FA" w14:paraId="14C63724" w14:textId="77777777" w:rsidTr="001E0929">
        <w:tc>
          <w:tcPr>
            <w:tcW w:w="9634" w:type="dxa"/>
            <w:shd w:val="clear" w:color="auto" w:fill="auto"/>
          </w:tcPr>
          <w:p w14:paraId="605F8C13" w14:textId="77777777" w:rsidR="005E4BA4" w:rsidRPr="008F54FA" w:rsidRDefault="005E4BA4" w:rsidP="00507D7B">
            <w:pPr>
              <w:spacing w:before="60" w:after="60"/>
              <w:jc w:val="both"/>
              <w:rPr>
                <w:rFonts w:ascii="Arial" w:eastAsia="Calibri" w:hAnsi="Arial" w:cs="Arial"/>
                <w:b/>
                <w:bCs/>
                <w:sz w:val="20"/>
                <w:szCs w:val="20"/>
              </w:rPr>
            </w:pPr>
            <w:r w:rsidRPr="008F54FA">
              <w:rPr>
                <w:rFonts w:ascii="Arial" w:eastAsia="Calibri" w:hAnsi="Arial" w:cs="Arial"/>
                <w:b/>
                <w:bCs/>
                <w:sz w:val="20"/>
                <w:szCs w:val="20"/>
              </w:rPr>
              <w:lastRenderedPageBreak/>
              <w:t>Reorienting the capacity-building programme for multimodal delivery and thematic expansion advanced</w:t>
            </w:r>
          </w:p>
          <w:p w14:paraId="72782957" w14:textId="764C9EF1" w:rsidR="005E4BA4" w:rsidRPr="008F54FA" w:rsidRDefault="005E4BA4" w:rsidP="005E4BA4">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Learning Management System (LMS) for the programme designed and established. Conversion of 3 modules (&gt; 35 thematic units) of capacity-building materials for online learning courses and multimodal delivery formats on the LMS advanced through a partnership agreement with the International Labour Organization’s International Training Centre and in collaboration with senior facilitators.</w:t>
            </w:r>
          </w:p>
          <w:p w14:paraId="06D6EF43" w14:textId="0E97461B"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 xml:space="preserve">Training course on periodic reporting for country focal points updated and adapted to combine online and presential training sessions for the roll-out of the reformed periodic reporting mechanism in the Arab States and Africa Region. </w:t>
            </w:r>
          </w:p>
          <w:p w14:paraId="7EA58C2B" w14:textId="0089370F"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Eighteen country focal points from the Arab States trained in collaboration with the Sharjah Institute for Heritage and forty-four country focal points from Africa trained in collaboration with the Regional Centre for the safeguarding of Intangible Cultural Heritage in Africa (CRESPIAF).</w:t>
            </w:r>
          </w:p>
          <w:p w14:paraId="2FFF3B9E" w14:textId="0910B087"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Twelve senior facilitators from the Asia and the Pacific region equipped to support capacity building for country focal points on periodic reporting through their participation in an online training course (18 hours) organized on the topic in collaboration with the International Training Center for Intangible Cultural Heritage in the Asia-Pacific Region (CRIHAP).</w:t>
            </w:r>
          </w:p>
          <w:p w14:paraId="6D9EE8BF" w14:textId="2556C8C6"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 xml:space="preserve">Capacity-building materials on nominations (18 hours) updated to align with the results of the global reflection on the listing mechanisms of the 2003 Convention. </w:t>
            </w:r>
          </w:p>
          <w:p w14:paraId="65C346DC" w14:textId="6F27FF62" w:rsidR="005E4BA4" w:rsidRPr="008F54FA" w:rsidRDefault="005E4BA4" w:rsidP="00AD1D70">
            <w:pPr>
              <w:numPr>
                <w:ilvl w:val="0"/>
                <w:numId w:val="10"/>
              </w:numPr>
              <w:spacing w:before="60" w:after="60"/>
              <w:jc w:val="both"/>
              <w:rPr>
                <w:rFonts w:asciiTheme="minorBidi" w:eastAsia="Calibri" w:hAnsiTheme="minorBidi" w:cstheme="minorBidi"/>
                <w:sz w:val="20"/>
                <w:szCs w:val="20"/>
              </w:rPr>
            </w:pPr>
            <w:r w:rsidRPr="008F54FA">
              <w:rPr>
                <w:rFonts w:ascii="Arial" w:eastAsia="Calibri" w:hAnsi="Arial"/>
                <w:sz w:val="20"/>
              </w:rPr>
              <w:t xml:space="preserve">Side event exhibition on the first Massive Open Online Course (MOOC) on Living heritage and sustainable development, organized during the </w:t>
            </w:r>
            <w:r w:rsidR="00AA41AB" w:rsidRPr="008F54FA">
              <w:rPr>
                <w:rFonts w:ascii="Arial" w:eastAsia="Calibri" w:hAnsi="Arial"/>
                <w:sz w:val="20"/>
              </w:rPr>
              <w:t>ninth session of the General Assembly</w:t>
            </w:r>
            <w:r w:rsidRPr="008F54FA">
              <w:rPr>
                <w:rFonts w:ascii="Arial" w:eastAsia="Calibri" w:hAnsi="Arial"/>
                <w:sz w:val="20"/>
              </w:rPr>
              <w:t xml:space="preserve"> and the </w:t>
            </w:r>
            <w:r w:rsidR="00AA41AB" w:rsidRPr="008F54FA">
              <w:rPr>
                <w:rFonts w:ascii="Arial" w:eastAsia="Calibri" w:hAnsi="Arial"/>
                <w:sz w:val="20"/>
              </w:rPr>
              <w:t>seventeenth session of the Committee</w:t>
            </w:r>
            <w:r w:rsidRPr="008F54FA">
              <w:rPr>
                <w:rFonts w:ascii="Arial" w:eastAsia="Calibri" w:hAnsi="Arial"/>
                <w:sz w:val="20"/>
              </w:rPr>
              <w:t>, to raise awareness for this innovative learning opportunity.</w:t>
            </w:r>
          </w:p>
        </w:tc>
      </w:tr>
      <w:tr w:rsidR="005E4BA4" w:rsidRPr="008F54FA" w14:paraId="4CBD6D23" w14:textId="77777777" w:rsidTr="001E0929">
        <w:tc>
          <w:tcPr>
            <w:tcW w:w="9634" w:type="dxa"/>
            <w:shd w:val="clear" w:color="auto" w:fill="auto"/>
          </w:tcPr>
          <w:p w14:paraId="51D4057D" w14:textId="6D63C6F4" w:rsidR="005E4BA4" w:rsidRPr="008F54FA" w:rsidRDefault="005E4BA4" w:rsidP="00507D7B">
            <w:pPr>
              <w:keepNext/>
              <w:spacing w:before="60" w:after="60"/>
              <w:rPr>
                <w:rFonts w:asciiTheme="minorBidi" w:eastAsia="Calibri" w:hAnsiTheme="minorBidi" w:cstheme="minorBidi"/>
                <w:b/>
                <w:bCs/>
                <w:color w:val="000000" w:themeColor="text1"/>
                <w:sz w:val="20"/>
                <w:szCs w:val="20"/>
              </w:rPr>
            </w:pPr>
            <w:r w:rsidRPr="008F54FA">
              <w:rPr>
                <w:rFonts w:ascii="Arial" w:eastAsia="Calibri" w:hAnsi="Arial" w:cs="Arial"/>
                <w:b/>
                <w:bCs/>
                <w:color w:val="000000" w:themeColor="text1"/>
                <w:sz w:val="20"/>
                <w:szCs w:val="20"/>
              </w:rPr>
              <w:t>Networking, partnerships and youth involvement strengthened</w:t>
            </w:r>
          </w:p>
          <w:p w14:paraId="4DE35CBC" w14:textId="684B6762"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Annual coordination meeting with Category 2 centres working in the field of living heritage organized, resulting in networking and planning for joint actions (10</w:t>
            </w:r>
            <w:r w:rsidRPr="008F54FA">
              <w:rPr>
                <w:rFonts w:ascii="Arial" w:eastAsia="Calibri" w:hAnsi="Arial"/>
                <w:sz w:val="20"/>
                <w:vertAlign w:val="superscript"/>
              </w:rPr>
              <w:t>th</w:t>
            </w:r>
            <w:r w:rsidRPr="008F54FA">
              <w:rPr>
                <w:rFonts w:ascii="Arial" w:eastAsia="Calibri" w:hAnsi="Arial" w:cs="Arial"/>
                <w:sz w:val="20"/>
                <w:szCs w:val="20"/>
              </w:rPr>
              <w:t xml:space="preserve"> and 11</w:t>
            </w:r>
            <w:r w:rsidRPr="008F54FA">
              <w:rPr>
                <w:rFonts w:ascii="Arial" w:eastAsia="Calibri" w:hAnsi="Arial"/>
                <w:sz w:val="20"/>
                <w:vertAlign w:val="superscript"/>
              </w:rPr>
              <w:t>th</w:t>
            </w:r>
            <w:r w:rsidRPr="008F54FA">
              <w:rPr>
                <w:rFonts w:ascii="Arial" w:eastAsia="Calibri" w:hAnsi="Arial" w:cs="Arial"/>
                <w:sz w:val="20"/>
                <w:szCs w:val="20"/>
              </w:rPr>
              <w:t xml:space="preserve"> sessions in 2022 and 2023). </w:t>
            </w:r>
          </w:p>
          <w:p w14:paraId="26696759" w14:textId="1B848E53" w:rsidR="005E4BA4" w:rsidRPr="008F54FA" w:rsidRDefault="005E4BA4" w:rsidP="00AD1D70">
            <w:pPr>
              <w:numPr>
                <w:ilvl w:val="0"/>
                <w:numId w:val="10"/>
              </w:numPr>
              <w:spacing w:before="60" w:after="60"/>
              <w:jc w:val="both"/>
              <w:rPr>
                <w:rFonts w:ascii="Arial" w:eastAsia="Calibri" w:hAnsi="Arial" w:cs="Arial"/>
                <w:sz w:val="20"/>
                <w:szCs w:val="20"/>
              </w:rPr>
            </w:pPr>
            <w:r w:rsidRPr="008F54FA">
              <w:rPr>
                <w:rFonts w:ascii="Arial" w:eastAsia="Calibri" w:hAnsi="Arial" w:cs="Arial"/>
                <w:sz w:val="20"/>
                <w:szCs w:val="20"/>
              </w:rPr>
              <w:t xml:space="preserve">Side event with UNESCO Chairs organized at </w:t>
            </w:r>
            <w:r w:rsidR="00AA41AB" w:rsidRPr="008F54FA">
              <w:rPr>
                <w:rFonts w:ascii="Arial" w:eastAsia="Calibri" w:hAnsi="Arial" w:cs="Arial"/>
                <w:sz w:val="20"/>
                <w:szCs w:val="20"/>
              </w:rPr>
              <w:t>seventeenth session of the Committee</w:t>
            </w:r>
            <w:r w:rsidRPr="008F54FA">
              <w:rPr>
                <w:rFonts w:ascii="Arial" w:eastAsia="Calibri" w:hAnsi="Arial" w:cs="Arial"/>
                <w:sz w:val="20"/>
                <w:szCs w:val="20"/>
              </w:rPr>
              <w:t>, facilitating experience sharing and identification of future collaboration facilitated.</w:t>
            </w:r>
          </w:p>
          <w:p w14:paraId="34AE8D03" w14:textId="74048314" w:rsidR="005E4BA4" w:rsidRPr="008F54FA" w:rsidRDefault="005E4BA4" w:rsidP="00AD1D70">
            <w:pPr>
              <w:numPr>
                <w:ilvl w:val="0"/>
                <w:numId w:val="10"/>
              </w:numPr>
              <w:spacing w:before="60" w:after="60"/>
              <w:jc w:val="both"/>
              <w:rPr>
                <w:rFonts w:asciiTheme="minorBidi" w:eastAsia="Calibri" w:hAnsiTheme="minorBidi" w:cstheme="minorBidi"/>
                <w:color w:val="000000" w:themeColor="text1"/>
                <w:sz w:val="20"/>
                <w:szCs w:val="20"/>
              </w:rPr>
            </w:pPr>
            <w:r w:rsidRPr="008F54FA">
              <w:rPr>
                <w:rFonts w:asciiTheme="minorBidi" w:eastAsia="Calibri" w:hAnsiTheme="minorBidi" w:cstheme="minorBidi"/>
                <w:color w:val="000000" w:themeColor="text1"/>
                <w:sz w:val="20"/>
                <w:szCs w:val="20"/>
              </w:rPr>
              <w:t>New audiences of young people engaged in learning about living heritage and sustainable development through the roll-out of the first comprehensive Massive Open Online Course (MOOC) in 3 languages on the topic, in partnership with ICHCAP and the SDG Academy (&gt; 3500 learners from &gt; 160 countries as of October 2023).</w:t>
            </w:r>
          </w:p>
          <w:p w14:paraId="2764711A" w14:textId="77777777" w:rsidR="005E4BA4" w:rsidRPr="008F54FA" w:rsidRDefault="005E4BA4" w:rsidP="00AD1D70">
            <w:pPr>
              <w:pStyle w:val="ListParagraph"/>
              <w:numPr>
                <w:ilvl w:val="0"/>
                <w:numId w:val="10"/>
              </w:numPr>
              <w:tabs>
                <w:tab w:val="clear" w:pos="567"/>
              </w:tabs>
              <w:snapToGrid/>
              <w:spacing w:before="60" w:after="60"/>
              <w:contextualSpacing/>
              <w:rPr>
                <w:rFonts w:eastAsia="Calibri"/>
                <w:b/>
                <w:bCs/>
                <w:sz w:val="20"/>
                <w:szCs w:val="20"/>
              </w:rPr>
            </w:pPr>
            <w:r w:rsidRPr="008F54FA">
              <w:rPr>
                <w:rFonts w:eastAsia="Calibri"/>
                <w:sz w:val="20"/>
                <w:szCs w:val="20"/>
              </w:rPr>
              <w:t>Increased information and resources available on global tertiary education networking for integrating living heritage safeguarding in universities through updating the webpage.</w:t>
            </w:r>
          </w:p>
        </w:tc>
      </w:tr>
    </w:tbl>
    <w:p w14:paraId="1A10B0E2" w14:textId="747A69C0" w:rsidR="00D16560" w:rsidRPr="008F54FA" w:rsidRDefault="00D16560" w:rsidP="00D16560">
      <w:pPr>
        <w:keepNext/>
        <w:spacing w:before="240"/>
        <w:rPr>
          <w:rFonts w:ascii="Arial" w:hAnsi="Arial" w:cs="Arial"/>
          <w:b/>
          <w:szCs w:val="22"/>
        </w:rPr>
      </w:pPr>
      <w:r w:rsidRPr="008F54FA">
        <w:rPr>
          <w:rFonts w:ascii="Arial" w:hAnsi="Arial" w:cs="Arial"/>
          <w:b/>
          <w:szCs w:val="22"/>
        </w:rPr>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16560" w:rsidRPr="008F54FA" w14:paraId="4592D18C" w14:textId="77777777" w:rsidTr="00507D7B">
        <w:trPr>
          <w:tblHeader/>
          <w:jc w:val="center"/>
        </w:trPr>
        <w:tc>
          <w:tcPr>
            <w:tcW w:w="2500" w:type="pct"/>
            <w:shd w:val="clear" w:color="auto" w:fill="D9D9D9"/>
            <w:vAlign w:val="center"/>
          </w:tcPr>
          <w:p w14:paraId="0D5E876D"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Key challenges</w:t>
            </w:r>
          </w:p>
        </w:tc>
        <w:tc>
          <w:tcPr>
            <w:tcW w:w="2500" w:type="pct"/>
            <w:shd w:val="clear" w:color="auto" w:fill="D9D9D9"/>
            <w:vAlign w:val="center"/>
          </w:tcPr>
          <w:p w14:paraId="7E7E1259"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Remedial actions</w:t>
            </w:r>
          </w:p>
        </w:tc>
      </w:tr>
      <w:tr w:rsidR="00D16560" w:rsidRPr="008F54FA" w14:paraId="0017E1CB" w14:textId="77777777" w:rsidTr="00507D7B">
        <w:trPr>
          <w:jc w:val="center"/>
        </w:trPr>
        <w:tc>
          <w:tcPr>
            <w:tcW w:w="2500" w:type="pct"/>
            <w:shd w:val="clear" w:color="auto" w:fill="auto"/>
          </w:tcPr>
          <w:p w14:paraId="7223232D" w14:textId="400CC1D1" w:rsidR="00D16560" w:rsidRPr="008F54FA" w:rsidRDefault="00D16560" w:rsidP="00AD1D70">
            <w:pPr>
              <w:spacing w:before="60" w:after="60"/>
              <w:jc w:val="both"/>
              <w:rPr>
                <w:rFonts w:asciiTheme="minorBidi" w:hAnsiTheme="minorBidi" w:cstheme="minorBidi"/>
                <w:sz w:val="20"/>
                <w:szCs w:val="20"/>
              </w:rPr>
            </w:pPr>
            <w:r w:rsidRPr="008F54FA">
              <w:rPr>
                <w:rFonts w:asciiTheme="minorBidi" w:hAnsiTheme="minorBidi" w:cstheme="minorBidi"/>
                <w:sz w:val="20"/>
                <w:szCs w:val="20"/>
              </w:rPr>
              <w:t>The capacity building approach for periodic reporting has contributed to ensuring high submission rates across all regions</w:t>
            </w:r>
            <w:r w:rsidR="005E4BA4" w:rsidRPr="008F54FA">
              <w:rPr>
                <w:rFonts w:asciiTheme="minorBidi" w:hAnsiTheme="minorBidi" w:cstheme="minorBidi"/>
                <w:sz w:val="20"/>
                <w:szCs w:val="20"/>
              </w:rPr>
              <w:t xml:space="preserve"> so far</w:t>
            </w:r>
            <w:r w:rsidRPr="008F54FA">
              <w:rPr>
                <w:rFonts w:asciiTheme="minorBidi" w:hAnsiTheme="minorBidi" w:cstheme="minorBidi"/>
                <w:sz w:val="20"/>
                <w:szCs w:val="20"/>
              </w:rPr>
              <w:t>.</w:t>
            </w:r>
            <w:r w:rsidR="00AD1D70" w:rsidRPr="008F54FA">
              <w:rPr>
                <w:rFonts w:asciiTheme="minorBidi" w:hAnsiTheme="minorBidi" w:cstheme="minorBidi"/>
                <w:sz w:val="20"/>
                <w:szCs w:val="20"/>
              </w:rPr>
              <w:t xml:space="preserve"> </w:t>
            </w:r>
            <w:r w:rsidRPr="008F54FA">
              <w:rPr>
                <w:rFonts w:asciiTheme="minorBidi" w:hAnsiTheme="minorBidi" w:cstheme="minorBidi"/>
                <w:sz w:val="20"/>
                <w:szCs w:val="20"/>
              </w:rPr>
              <w:t>However, periodic reporting requires coordinated teamwork with many stakeholders at the national level, who may not all have access to the synchronous capacity building activities, but are looking for user-friendly guidance.</w:t>
            </w:r>
          </w:p>
        </w:tc>
        <w:tc>
          <w:tcPr>
            <w:tcW w:w="2500" w:type="pct"/>
            <w:shd w:val="clear" w:color="auto" w:fill="auto"/>
          </w:tcPr>
          <w:p w14:paraId="08D8CC07" w14:textId="0E6F8063" w:rsidR="00D16560" w:rsidRPr="008F54FA" w:rsidRDefault="00D16560" w:rsidP="00AD1D70">
            <w:pPr>
              <w:spacing w:before="60" w:after="60"/>
              <w:jc w:val="both"/>
              <w:rPr>
                <w:rFonts w:asciiTheme="minorBidi" w:eastAsia="Calibri" w:hAnsiTheme="minorBidi" w:cstheme="minorBidi"/>
                <w:sz w:val="20"/>
                <w:szCs w:val="20"/>
              </w:rPr>
            </w:pPr>
            <w:r w:rsidRPr="008F54FA">
              <w:rPr>
                <w:rFonts w:asciiTheme="minorBidi" w:eastAsia="Calibri" w:hAnsiTheme="minorBidi" w:cstheme="minorBidi"/>
                <w:sz w:val="20"/>
                <w:szCs w:val="20"/>
              </w:rPr>
              <w:t xml:space="preserve">To respond to this challenge, and thanks to the generous contribution from the Republic of Korea, the Secretariat is working on the development of a handbook for periodic reporting, </w:t>
            </w:r>
            <w:r w:rsidR="00BB1FA8" w:rsidRPr="008F54FA">
              <w:rPr>
                <w:rFonts w:asciiTheme="minorBidi" w:eastAsia="Calibri" w:hAnsiTheme="minorBidi" w:cstheme="minorBidi"/>
                <w:sz w:val="20"/>
                <w:szCs w:val="20"/>
              </w:rPr>
              <w:t>which</w:t>
            </w:r>
            <w:r w:rsidRPr="008F54FA">
              <w:rPr>
                <w:rFonts w:asciiTheme="minorBidi" w:eastAsia="Calibri" w:hAnsiTheme="minorBidi" w:cstheme="minorBidi"/>
                <w:sz w:val="20"/>
                <w:szCs w:val="20"/>
              </w:rPr>
              <w:t xml:space="preserve"> will display user-friendly tools (both online and offline) </w:t>
            </w:r>
            <w:r w:rsidRPr="008F54FA">
              <w:rPr>
                <w:rFonts w:asciiTheme="minorBidi" w:hAnsiTheme="minorBidi" w:cstheme="minorBidi"/>
                <w:sz w:val="20"/>
                <w:szCs w:val="20"/>
              </w:rPr>
              <w:t>for asynchronous learning, easily shareable with stakeholders involved.</w:t>
            </w:r>
          </w:p>
        </w:tc>
      </w:tr>
      <w:tr w:rsidR="00D16560" w:rsidRPr="008F54FA" w14:paraId="48E0E1BB" w14:textId="77777777" w:rsidTr="00507D7B">
        <w:trPr>
          <w:jc w:val="center"/>
        </w:trPr>
        <w:tc>
          <w:tcPr>
            <w:tcW w:w="2500" w:type="pct"/>
            <w:shd w:val="clear" w:color="auto" w:fill="auto"/>
          </w:tcPr>
          <w:p w14:paraId="2F3DD388" w14:textId="77777777" w:rsidR="00D16560" w:rsidRPr="008F54FA" w:rsidRDefault="00D16560" w:rsidP="00507D7B">
            <w:pPr>
              <w:spacing w:before="60" w:after="60"/>
              <w:jc w:val="both"/>
              <w:rPr>
                <w:rFonts w:ascii="Arial" w:hAnsi="Arial" w:cs="Arial"/>
                <w:sz w:val="20"/>
                <w:szCs w:val="20"/>
              </w:rPr>
            </w:pPr>
            <w:r w:rsidRPr="008F54FA">
              <w:rPr>
                <w:rFonts w:ascii="Arial" w:hAnsi="Arial" w:cs="Arial"/>
                <w:sz w:val="20"/>
                <w:szCs w:val="20"/>
              </w:rPr>
              <w:t xml:space="preserve">Finding a suitable partner to design and develop online learning courses and multimodal delivery formats for the Learning Management System of the capacity-building programme for safeguarding living </w:t>
            </w:r>
            <w:r w:rsidRPr="008F54FA">
              <w:rPr>
                <w:rFonts w:ascii="Arial" w:hAnsi="Arial" w:cs="Arial"/>
                <w:sz w:val="20"/>
                <w:szCs w:val="20"/>
              </w:rPr>
              <w:lastRenderedPageBreak/>
              <w:t xml:space="preserve">heritage and sustainable development was a considerable challenge. </w:t>
            </w:r>
          </w:p>
          <w:p w14:paraId="71E8D761" w14:textId="77777777" w:rsidR="00D16560" w:rsidRPr="008F54FA" w:rsidRDefault="00D16560" w:rsidP="00507D7B">
            <w:pPr>
              <w:spacing w:before="60" w:after="60"/>
              <w:jc w:val="both"/>
              <w:rPr>
                <w:rFonts w:ascii="Arial" w:hAnsi="Arial" w:cs="Arial"/>
                <w:sz w:val="20"/>
                <w:szCs w:val="20"/>
              </w:rPr>
            </w:pPr>
            <w:r w:rsidRPr="008F54FA">
              <w:rPr>
                <w:rFonts w:ascii="Arial" w:hAnsi="Arial" w:cs="Arial"/>
                <w:sz w:val="20"/>
                <w:szCs w:val="20"/>
              </w:rPr>
              <w:t>The task requires a specific skill sets in the field of instructional design combined with a thorough understanding of the programme goals and the multistakeholder audiences served by this programme (government officials, bearer communities of living heritage, civil society organizations, actors from various development sectors).</w:t>
            </w:r>
          </w:p>
        </w:tc>
        <w:tc>
          <w:tcPr>
            <w:tcW w:w="2500" w:type="pct"/>
            <w:shd w:val="clear" w:color="auto" w:fill="auto"/>
          </w:tcPr>
          <w:p w14:paraId="0C9B9CF4" w14:textId="4B406246" w:rsidR="00D16560" w:rsidRPr="008F54FA" w:rsidRDefault="00D16560" w:rsidP="00507D7B">
            <w:pPr>
              <w:spacing w:before="60" w:after="60"/>
              <w:jc w:val="both"/>
              <w:rPr>
                <w:rFonts w:asciiTheme="minorBidi" w:eastAsia="Calibri" w:hAnsiTheme="minorBidi" w:cstheme="minorBidi"/>
                <w:sz w:val="20"/>
                <w:szCs w:val="20"/>
              </w:rPr>
            </w:pPr>
            <w:r w:rsidRPr="008F54FA">
              <w:rPr>
                <w:rFonts w:asciiTheme="minorBidi" w:eastAsia="Calibri" w:hAnsiTheme="minorBidi" w:cstheme="minorBidi"/>
                <w:sz w:val="20"/>
                <w:szCs w:val="20"/>
              </w:rPr>
              <w:lastRenderedPageBreak/>
              <w:t xml:space="preserve">To overcome the challenge, UNESCO engaged in a UN-to-UN partnership with the International Training Centre for ILO, which has the specific combination of knowledge, skills and experiences and is now </w:t>
            </w:r>
            <w:r w:rsidRPr="008F54FA">
              <w:rPr>
                <w:rFonts w:asciiTheme="minorBidi" w:eastAsia="Calibri" w:hAnsiTheme="minorBidi" w:cstheme="minorBidi"/>
                <w:sz w:val="20"/>
                <w:szCs w:val="20"/>
              </w:rPr>
              <w:lastRenderedPageBreak/>
              <w:t xml:space="preserve">working closely with the </w:t>
            </w:r>
            <w:r w:rsidR="00AA41AB" w:rsidRPr="008F54FA">
              <w:rPr>
                <w:rFonts w:asciiTheme="minorBidi" w:eastAsia="Calibri" w:hAnsiTheme="minorBidi" w:cstheme="minorBidi"/>
                <w:sz w:val="20"/>
                <w:szCs w:val="20"/>
              </w:rPr>
              <w:t>S</w:t>
            </w:r>
            <w:r w:rsidRPr="008F54FA">
              <w:rPr>
                <w:rFonts w:asciiTheme="minorBidi" w:eastAsia="Calibri" w:hAnsiTheme="minorBidi" w:cstheme="minorBidi"/>
                <w:sz w:val="20"/>
                <w:szCs w:val="20"/>
              </w:rPr>
              <w:t>ecretariat and experienced facilitators to produce the online courses and training formats best tailored to the programme needs.</w:t>
            </w:r>
          </w:p>
        </w:tc>
      </w:tr>
      <w:bookmarkEnd w:id="7"/>
    </w:tbl>
    <w:p w14:paraId="2749CF6C" w14:textId="06565263" w:rsidR="00D16560" w:rsidRPr="008F54FA" w:rsidRDefault="00D16560" w:rsidP="00D16560">
      <w:pPr>
        <w:spacing w:after="0"/>
        <w:rPr>
          <w:rFonts w:ascii="Arial" w:hAnsi="Arial" w:cs="Arial"/>
          <w:b/>
          <w:szCs w:val="22"/>
        </w:rPr>
      </w:pPr>
    </w:p>
    <w:p w14:paraId="55A73554" w14:textId="5E500530" w:rsidR="00D16560" w:rsidRPr="008F54FA" w:rsidRDefault="00D16560" w:rsidP="001E0929">
      <w:pPr>
        <w:spacing w:before="240"/>
        <w:jc w:val="both"/>
        <w:rPr>
          <w:rFonts w:ascii="Arial" w:hAnsi="Arial" w:cs="Arial"/>
          <w:b/>
          <w:szCs w:val="22"/>
        </w:rPr>
      </w:pPr>
      <w:r w:rsidRPr="008F54FA">
        <w:rPr>
          <w:rFonts w:ascii="Arial" w:hAnsi="Arial" w:cs="Arial"/>
          <w:b/>
          <w:szCs w:val="22"/>
        </w:rPr>
        <w:t>Expected Result 3:</w:t>
      </w:r>
      <w:r w:rsidRPr="008F54FA">
        <w:rPr>
          <w:rFonts w:ascii="Arial" w:hAnsi="Arial" w:cs="Arial"/>
          <w:b/>
          <w:szCs w:val="22"/>
        </w:rPr>
        <w:tab/>
      </w:r>
      <w:r w:rsidRPr="008F54FA">
        <w:rPr>
          <w:rFonts w:ascii="Arial" w:hAnsi="Arial" w:cs="Arial"/>
          <w:b/>
          <w:bCs/>
          <w:szCs w:val="22"/>
        </w:rPr>
        <w:t>Integration of intangible cultural heritage into development plans, policies and programmes supported</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D16560" w:rsidRPr="008F54FA" w14:paraId="565C4826" w14:textId="77777777" w:rsidTr="00507D7B">
        <w:trPr>
          <w:jc w:val="center"/>
        </w:trPr>
        <w:tc>
          <w:tcPr>
            <w:tcW w:w="1999" w:type="pct"/>
            <w:shd w:val="clear" w:color="auto" w:fill="C6D9F1" w:themeFill="text2" w:themeFillTint="33"/>
            <w:vAlign w:val="center"/>
          </w:tcPr>
          <w:p w14:paraId="0AB5C238" w14:textId="77777777" w:rsidR="00D16560" w:rsidRPr="008F54FA" w:rsidRDefault="00D16560" w:rsidP="00507D7B">
            <w:pPr>
              <w:keepNext/>
              <w:spacing w:before="120"/>
              <w:jc w:val="center"/>
              <w:rPr>
                <w:rFonts w:ascii="Arial" w:eastAsia="Calibri" w:hAnsi="Arial" w:cs="Arial"/>
                <w:b/>
                <w:sz w:val="20"/>
                <w:szCs w:val="20"/>
              </w:rPr>
            </w:pPr>
            <w:r w:rsidRPr="008F54FA">
              <w:rPr>
                <w:rFonts w:ascii="Arial" w:eastAsia="Calibri" w:hAnsi="Arial" w:cs="Arial"/>
                <w:b/>
                <w:sz w:val="20"/>
                <w:szCs w:val="20"/>
              </w:rPr>
              <w:t>Allocation</w:t>
            </w:r>
          </w:p>
        </w:tc>
        <w:tc>
          <w:tcPr>
            <w:tcW w:w="2118" w:type="pct"/>
            <w:shd w:val="clear" w:color="auto" w:fill="C6D9F1" w:themeFill="text2" w:themeFillTint="33"/>
            <w:vAlign w:val="center"/>
          </w:tcPr>
          <w:p w14:paraId="79E884A1"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Expenditures</w:t>
            </w:r>
          </w:p>
        </w:tc>
        <w:tc>
          <w:tcPr>
            <w:tcW w:w="883" w:type="pct"/>
            <w:shd w:val="clear" w:color="auto" w:fill="C6D9F1" w:themeFill="text2" w:themeFillTint="33"/>
            <w:vAlign w:val="center"/>
          </w:tcPr>
          <w:p w14:paraId="68350DB8"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 Rate %</w:t>
            </w:r>
            <w:r w:rsidRPr="008F54FA">
              <w:rPr>
                <w:rFonts w:ascii="Arial" w:eastAsia="Calibri" w:hAnsi="Arial" w:cs="Arial"/>
                <w:b/>
                <w:sz w:val="20"/>
                <w:szCs w:val="20"/>
              </w:rPr>
              <w:br/>
              <w:t>at 30/06/2023</w:t>
            </w:r>
          </w:p>
        </w:tc>
      </w:tr>
      <w:tr w:rsidR="00D16560" w:rsidRPr="008F54FA" w14:paraId="131B794F" w14:textId="77777777" w:rsidTr="00507D7B">
        <w:trPr>
          <w:jc w:val="center"/>
        </w:trPr>
        <w:tc>
          <w:tcPr>
            <w:tcW w:w="1999" w:type="pct"/>
            <w:shd w:val="clear" w:color="auto" w:fill="auto"/>
          </w:tcPr>
          <w:p w14:paraId="2D48C0C2"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323,108.00</w:t>
            </w:r>
          </w:p>
        </w:tc>
        <w:tc>
          <w:tcPr>
            <w:tcW w:w="2118" w:type="pct"/>
            <w:shd w:val="clear" w:color="auto" w:fill="auto"/>
          </w:tcPr>
          <w:p w14:paraId="5B179BFB" w14:textId="7DA5525E" w:rsidR="00D16560" w:rsidRPr="008F54FA" w:rsidRDefault="00F771DA" w:rsidP="00507D7B">
            <w:pPr>
              <w:spacing w:before="120"/>
              <w:jc w:val="center"/>
              <w:rPr>
                <w:rFonts w:ascii="Arial" w:eastAsia="Calibri" w:hAnsi="Arial" w:cs="Arial"/>
                <w:sz w:val="20"/>
                <w:szCs w:val="20"/>
              </w:rPr>
            </w:pPr>
            <w:r w:rsidRPr="008F54FA">
              <w:rPr>
                <w:rFonts w:ascii="Arial" w:eastAsia="Calibri" w:hAnsi="Arial" w:cs="Arial"/>
                <w:sz w:val="20"/>
                <w:szCs w:val="20"/>
              </w:rPr>
              <w:t>187,075.71</w:t>
            </w:r>
          </w:p>
        </w:tc>
        <w:tc>
          <w:tcPr>
            <w:tcW w:w="883" w:type="pct"/>
            <w:shd w:val="clear" w:color="auto" w:fill="auto"/>
          </w:tcPr>
          <w:p w14:paraId="33C7CD4B"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57.9%</w:t>
            </w:r>
          </w:p>
        </w:tc>
      </w:tr>
    </w:tbl>
    <w:p w14:paraId="200994FB" w14:textId="77777777" w:rsidR="00D16560" w:rsidRPr="008F54FA" w:rsidRDefault="00D16560" w:rsidP="00D16560">
      <w:pPr>
        <w:spacing w:after="0"/>
        <w:rPr>
          <w:rFonts w:ascii="Arial" w:hAnsi="Arial" w:cs="Arial"/>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146B2" w:rsidRPr="008F54FA" w14:paraId="57350DD0" w14:textId="77777777" w:rsidTr="001E0929">
        <w:trPr>
          <w:tblHeader/>
        </w:trPr>
        <w:tc>
          <w:tcPr>
            <w:tcW w:w="9639" w:type="dxa"/>
            <w:shd w:val="clear" w:color="auto" w:fill="D9D9D9"/>
            <w:vAlign w:val="center"/>
          </w:tcPr>
          <w:p w14:paraId="1DCAFE64" w14:textId="58C6E859" w:rsidR="00F146B2" w:rsidRPr="008F54FA" w:rsidRDefault="00F146B2" w:rsidP="00507D7B">
            <w:pPr>
              <w:spacing w:before="60" w:after="60"/>
              <w:jc w:val="center"/>
              <w:rPr>
                <w:rFonts w:ascii="Arial" w:eastAsia="Calibri" w:hAnsi="Arial" w:cs="Arial"/>
                <w:b/>
                <w:sz w:val="20"/>
                <w:szCs w:val="20"/>
              </w:rPr>
            </w:pPr>
            <w:r w:rsidRPr="008F54FA">
              <w:rPr>
                <w:rFonts w:ascii="Arial" w:eastAsia="Calibri" w:hAnsi="Arial" w:cs="Arial"/>
                <w:b/>
                <w:sz w:val="20"/>
                <w:szCs w:val="20"/>
              </w:rPr>
              <w:t>Main achievements:</w:t>
            </w:r>
            <w:r w:rsidRPr="008F54FA">
              <w:rPr>
                <w:rFonts w:ascii="Arial" w:eastAsia="Calibri" w:hAnsi="Arial" w:cs="Arial"/>
                <w:b/>
                <w:sz w:val="20"/>
                <w:szCs w:val="20"/>
              </w:rPr>
              <w:br/>
              <w:t>01/01/2022 to 30/06/2023</w:t>
            </w:r>
          </w:p>
        </w:tc>
      </w:tr>
      <w:tr w:rsidR="00F146B2" w:rsidRPr="008F54FA" w14:paraId="42F37C0F" w14:textId="77777777" w:rsidTr="001E0929">
        <w:tc>
          <w:tcPr>
            <w:tcW w:w="9639" w:type="dxa"/>
            <w:shd w:val="clear" w:color="auto" w:fill="auto"/>
          </w:tcPr>
          <w:p w14:paraId="7D67C63F" w14:textId="77777777" w:rsidR="00F146B2" w:rsidRPr="008F54FA" w:rsidRDefault="00F146B2" w:rsidP="00507D7B">
            <w:pPr>
              <w:spacing w:before="60" w:after="60"/>
              <w:rPr>
                <w:rFonts w:asciiTheme="minorBidi" w:eastAsia="Calibri" w:hAnsiTheme="minorBidi" w:cstheme="minorBidi"/>
                <w:b/>
                <w:bCs/>
                <w:color w:val="000000" w:themeColor="text1"/>
                <w:sz w:val="20"/>
                <w:szCs w:val="20"/>
              </w:rPr>
            </w:pPr>
            <w:r w:rsidRPr="008F54FA">
              <w:rPr>
                <w:rFonts w:asciiTheme="minorBidi" w:eastAsia="Calibri" w:hAnsiTheme="minorBidi" w:cstheme="minorBidi"/>
                <w:b/>
                <w:bCs/>
                <w:color w:val="000000" w:themeColor="text1"/>
                <w:sz w:val="20"/>
                <w:szCs w:val="20"/>
              </w:rPr>
              <w:t xml:space="preserve">Partnerships and tools for the implementation of the living heritage and education programme developed </w:t>
            </w:r>
          </w:p>
          <w:p w14:paraId="112D50DB" w14:textId="40E38070" w:rsidR="00F146B2" w:rsidRPr="008F54FA" w:rsidRDefault="00F146B2" w:rsidP="00AD1D70">
            <w:pPr>
              <w:pStyle w:val="ListParagraph"/>
              <w:numPr>
                <w:ilvl w:val="0"/>
                <w:numId w:val="11"/>
              </w:numPr>
              <w:tabs>
                <w:tab w:val="clear" w:pos="567"/>
              </w:tabs>
              <w:snapToGrid/>
              <w:spacing w:before="60"/>
              <w:ind w:left="357" w:hanging="357"/>
              <w:rPr>
                <w:rFonts w:eastAsia="Calibri"/>
                <w:sz w:val="20"/>
                <w:szCs w:val="20"/>
              </w:rPr>
            </w:pPr>
            <w:r w:rsidRPr="008F54FA">
              <w:rPr>
                <w:rFonts w:eastAsia="Calibri"/>
                <w:sz w:val="20"/>
                <w:szCs w:val="20"/>
              </w:rPr>
              <w:t>Collaboration with the Education Sector further strengthened through providing technical support for the integration of living heritage safeguarding in key international standard-setting instruments and frameworks, such as the Culture and Arts Education Framework and the revision of the ‘</w:t>
            </w:r>
            <w:hyperlink r:id="rId39" w:history="1">
              <w:r w:rsidRPr="008F54FA">
                <w:rPr>
                  <w:rStyle w:val="Hyperlink"/>
                  <w:rFonts w:eastAsia="Calibri"/>
                  <w:sz w:val="20"/>
                  <w:szCs w:val="20"/>
                </w:rPr>
                <w:t>1974 Recommendation</w:t>
              </w:r>
            </w:hyperlink>
            <w:r w:rsidRPr="008F54FA">
              <w:rPr>
                <w:rFonts w:eastAsia="Calibri"/>
                <w:sz w:val="20"/>
                <w:szCs w:val="20"/>
              </w:rPr>
              <w:t>’</w:t>
            </w:r>
            <w:r w:rsidRPr="008F54FA">
              <w:rPr>
                <w:rStyle w:val="FootnoteReference"/>
                <w:rFonts w:eastAsia="Calibri"/>
                <w:sz w:val="20"/>
                <w:szCs w:val="20"/>
              </w:rPr>
              <w:footnoteReference w:id="5"/>
            </w:r>
            <w:r w:rsidRPr="008F54FA">
              <w:rPr>
                <w:rFonts w:eastAsia="Calibri"/>
                <w:sz w:val="20"/>
                <w:szCs w:val="20"/>
              </w:rPr>
              <w:t>.</w:t>
            </w:r>
          </w:p>
          <w:p w14:paraId="12839FAD" w14:textId="0C02F257" w:rsidR="00F146B2" w:rsidRPr="008F54FA" w:rsidRDefault="00F146B2" w:rsidP="00AD1D70">
            <w:pPr>
              <w:pStyle w:val="ListParagraph"/>
              <w:numPr>
                <w:ilvl w:val="0"/>
                <w:numId w:val="11"/>
              </w:numPr>
              <w:tabs>
                <w:tab w:val="clear" w:pos="567"/>
              </w:tabs>
              <w:snapToGrid/>
              <w:spacing w:before="60" w:after="0"/>
              <w:contextualSpacing/>
              <w:rPr>
                <w:rFonts w:eastAsia="Calibri"/>
                <w:sz w:val="20"/>
                <w:szCs w:val="20"/>
              </w:rPr>
            </w:pPr>
            <w:r w:rsidRPr="008F54FA">
              <w:rPr>
                <w:rFonts w:eastAsia="Calibri"/>
                <w:sz w:val="20"/>
                <w:szCs w:val="20"/>
              </w:rPr>
              <w:t>Paper on Global Citizenship Education and Intangible Cultural Heritage commissioned and peer-reviewed jointly with the Education Sector to further build understanding of all stakeholders on these linkages for future action in this field.</w:t>
            </w:r>
          </w:p>
          <w:p w14:paraId="5E917993" w14:textId="6195FB2D" w:rsidR="00F146B2" w:rsidRPr="008F54FA" w:rsidRDefault="00F146B2" w:rsidP="00AD1D70">
            <w:pPr>
              <w:pStyle w:val="ListParagraph"/>
              <w:numPr>
                <w:ilvl w:val="0"/>
                <w:numId w:val="11"/>
              </w:numPr>
              <w:tabs>
                <w:tab w:val="clear" w:pos="567"/>
              </w:tabs>
              <w:snapToGrid/>
              <w:spacing w:before="60"/>
              <w:ind w:left="357" w:hanging="357"/>
              <w:rPr>
                <w:rFonts w:eastAsia="Calibri"/>
                <w:sz w:val="20"/>
                <w:szCs w:val="20"/>
              </w:rPr>
            </w:pPr>
            <w:r w:rsidRPr="008F54FA">
              <w:rPr>
                <w:rFonts w:eastAsia="Calibri"/>
                <w:sz w:val="20"/>
                <w:szCs w:val="20"/>
              </w:rPr>
              <w:t>Partnership under establishment with a university in Africa to design and test tools to assess learning achievement that results from integrating living heritage in formal education with a view to demonstrate better the benefits of this approach for the learners, their communities and for improving educational quality and relevance.</w:t>
            </w:r>
          </w:p>
          <w:p w14:paraId="0DF1F26B" w14:textId="5D02A071" w:rsidR="00F146B2" w:rsidRPr="008F54FA" w:rsidRDefault="00F146B2" w:rsidP="00AD1D70">
            <w:pPr>
              <w:pStyle w:val="ListParagraph"/>
              <w:numPr>
                <w:ilvl w:val="0"/>
                <w:numId w:val="11"/>
              </w:numPr>
              <w:tabs>
                <w:tab w:val="clear" w:pos="567"/>
              </w:tabs>
              <w:snapToGrid/>
              <w:spacing w:before="60"/>
              <w:ind w:left="357" w:hanging="357"/>
              <w:rPr>
                <w:rFonts w:eastAsia="Calibri"/>
                <w:sz w:val="20"/>
                <w:szCs w:val="20"/>
              </w:rPr>
            </w:pPr>
            <w:r w:rsidRPr="008F54FA">
              <w:rPr>
                <w:rFonts w:eastAsia="Calibri"/>
                <w:sz w:val="20"/>
                <w:szCs w:val="20"/>
              </w:rPr>
              <w:t>Joint theory of change prepared with Education Sector at UNESCO Harare Office to guide a project on living heritage and education in Zimbabwe and Namibia (in line with Recommendation 4 of the 2021 IOS Evaluation).</w:t>
            </w:r>
          </w:p>
          <w:p w14:paraId="598F1071" w14:textId="6D063958" w:rsidR="00F146B2" w:rsidRPr="008F54FA" w:rsidRDefault="00323D91" w:rsidP="00F146B2">
            <w:pPr>
              <w:pStyle w:val="ListParagraph"/>
              <w:numPr>
                <w:ilvl w:val="0"/>
                <w:numId w:val="11"/>
              </w:numPr>
              <w:tabs>
                <w:tab w:val="clear" w:pos="567"/>
              </w:tabs>
              <w:snapToGrid/>
              <w:spacing w:before="60"/>
              <w:ind w:left="357" w:hanging="357"/>
              <w:rPr>
                <w:rFonts w:asciiTheme="minorBidi" w:eastAsia="Calibri" w:hAnsiTheme="minorBidi" w:cstheme="minorBidi"/>
                <w:b/>
                <w:bCs/>
                <w:color w:val="000000" w:themeColor="text1"/>
                <w:sz w:val="20"/>
                <w:szCs w:val="20"/>
              </w:rPr>
            </w:pPr>
            <w:hyperlink r:id="rId40" w:history="1">
              <w:r w:rsidR="00F146B2" w:rsidRPr="008F54FA">
                <w:rPr>
                  <w:rStyle w:val="Hyperlink"/>
                  <w:rFonts w:eastAsia="Calibri"/>
                  <w:sz w:val="20"/>
                  <w:szCs w:val="20"/>
                </w:rPr>
                <w:t>Clearinghouse on living heritage and education</w:t>
              </w:r>
            </w:hyperlink>
            <w:r w:rsidR="00F146B2" w:rsidRPr="008F54FA">
              <w:rPr>
                <w:rFonts w:eastAsia="Calibri"/>
                <w:sz w:val="20"/>
                <w:szCs w:val="20"/>
              </w:rPr>
              <w:t xml:space="preserve"> now accessible in two additional languages (French and Spanish) and updated with 55 resources for learners, teachers, educators and experts, 30 projects, 25 events and 22 news.</w:t>
            </w:r>
          </w:p>
        </w:tc>
      </w:tr>
      <w:tr w:rsidR="00F146B2" w:rsidRPr="008F54FA" w14:paraId="279368CC" w14:textId="77777777" w:rsidTr="001E0929">
        <w:tc>
          <w:tcPr>
            <w:tcW w:w="9639" w:type="dxa"/>
            <w:shd w:val="clear" w:color="auto" w:fill="auto"/>
          </w:tcPr>
          <w:p w14:paraId="793BF5C0" w14:textId="245C6E86" w:rsidR="00F146B2" w:rsidRPr="008F54FA" w:rsidRDefault="00F146B2" w:rsidP="00507D7B">
            <w:pPr>
              <w:spacing w:before="60" w:after="60"/>
              <w:rPr>
                <w:rFonts w:asciiTheme="minorBidi" w:eastAsia="Calibri" w:hAnsiTheme="minorBidi" w:cstheme="minorBidi"/>
                <w:b/>
                <w:bCs/>
                <w:color w:val="000000" w:themeColor="text1"/>
                <w:sz w:val="20"/>
                <w:szCs w:val="20"/>
              </w:rPr>
            </w:pPr>
            <w:r w:rsidRPr="008F54FA">
              <w:rPr>
                <w:rFonts w:asciiTheme="minorBidi" w:eastAsia="Calibri" w:hAnsiTheme="minorBidi" w:cstheme="minorBidi"/>
                <w:b/>
                <w:bCs/>
                <w:color w:val="000000" w:themeColor="text1"/>
                <w:sz w:val="20"/>
                <w:szCs w:val="20"/>
              </w:rPr>
              <w:t>Importance of safeguarding living heritage for sustainable development demonstrated through thematic initiatives</w:t>
            </w:r>
          </w:p>
          <w:p w14:paraId="2A81DAF7" w14:textId="725C91E2" w:rsidR="00F146B2" w:rsidRPr="008F54FA" w:rsidRDefault="00F146B2" w:rsidP="00AD1D70">
            <w:pPr>
              <w:pStyle w:val="ListParagraph"/>
              <w:numPr>
                <w:ilvl w:val="0"/>
                <w:numId w:val="11"/>
              </w:numPr>
              <w:rPr>
                <w:rFonts w:eastAsia="Calibri"/>
                <w:sz w:val="20"/>
                <w:szCs w:val="20"/>
              </w:rPr>
            </w:pPr>
            <w:r w:rsidRPr="008F54FA">
              <w:rPr>
                <w:rFonts w:eastAsia="Calibri"/>
                <w:sz w:val="20"/>
                <w:szCs w:val="20"/>
              </w:rPr>
              <w:t xml:space="preserve">Draft guidance note and background documents on </w:t>
            </w:r>
            <w:hyperlink r:id="rId41" w:history="1">
              <w:r w:rsidRPr="008F54FA">
                <w:rPr>
                  <w:rStyle w:val="Hyperlink"/>
                  <w:rFonts w:eastAsia="Calibri"/>
                  <w:sz w:val="20"/>
                  <w:szCs w:val="20"/>
                </w:rPr>
                <w:t>economic dimensions of safeguarding intangible cultural heritage</w:t>
              </w:r>
            </w:hyperlink>
            <w:r w:rsidRPr="008F54FA">
              <w:rPr>
                <w:rFonts w:eastAsia="Calibri"/>
                <w:sz w:val="20"/>
                <w:szCs w:val="20"/>
              </w:rPr>
              <w:t xml:space="preserve"> prepared in view of a Category VI expert meeting on the topic planned for September/October 2023.</w:t>
            </w:r>
          </w:p>
          <w:p w14:paraId="0C466B25" w14:textId="2D54E7FD" w:rsidR="00F146B2" w:rsidRPr="008F54FA" w:rsidRDefault="00F146B2" w:rsidP="00AD1D70">
            <w:pPr>
              <w:pStyle w:val="ListParagraph"/>
              <w:numPr>
                <w:ilvl w:val="0"/>
                <w:numId w:val="11"/>
              </w:numPr>
              <w:rPr>
                <w:rFonts w:eastAsia="Calibri"/>
                <w:sz w:val="20"/>
                <w:szCs w:val="20"/>
              </w:rPr>
            </w:pPr>
            <w:r w:rsidRPr="008F54FA">
              <w:rPr>
                <w:rFonts w:eastAsia="Calibri"/>
                <w:sz w:val="20"/>
                <w:szCs w:val="20"/>
              </w:rPr>
              <w:lastRenderedPageBreak/>
              <w:t>Scoping literature review and background documents completed as preparatory steps for the drafting of a guidance note on safeguarding intangible cultural heritage and climate change. Background documents are foreseen to be examined by a peer review panel of experts in the second half of 2023.</w:t>
            </w:r>
          </w:p>
          <w:p w14:paraId="27EBF00A" w14:textId="41797370" w:rsidR="00F146B2" w:rsidRPr="008F54FA" w:rsidRDefault="00F146B2" w:rsidP="00AD1D70">
            <w:pPr>
              <w:pStyle w:val="ListParagraph"/>
              <w:numPr>
                <w:ilvl w:val="0"/>
                <w:numId w:val="11"/>
              </w:numPr>
              <w:tabs>
                <w:tab w:val="clear" w:pos="567"/>
              </w:tabs>
              <w:snapToGrid/>
              <w:spacing w:before="60"/>
              <w:ind w:left="357" w:hanging="357"/>
              <w:rPr>
                <w:rFonts w:eastAsia="Calibri"/>
                <w:sz w:val="20"/>
                <w:szCs w:val="20"/>
              </w:rPr>
            </w:pPr>
            <w:r w:rsidRPr="008F54FA">
              <w:rPr>
                <w:rFonts w:eastAsia="Calibri"/>
                <w:sz w:val="20"/>
                <w:szCs w:val="20"/>
              </w:rPr>
              <w:t xml:space="preserve">In preparation to a guidance note on intangible cultural heritage in urban contexts, global survey, background document; literature review and case study analysis prepared to outline key issues, challenges, and opportunities related to safeguarding living heritage in cities, and propose methodological approaches addressing the needs of intangible cultural heritage in urban settings and emphasizing urban planning perspectives. </w:t>
            </w:r>
          </w:p>
        </w:tc>
      </w:tr>
    </w:tbl>
    <w:p w14:paraId="1F757555" w14:textId="77777777" w:rsidR="00D16560" w:rsidRPr="008F54FA" w:rsidRDefault="00D16560" w:rsidP="00D16560">
      <w:pPr>
        <w:keepNext/>
        <w:spacing w:before="240"/>
        <w:rPr>
          <w:rFonts w:ascii="Arial" w:hAnsi="Arial" w:cs="Arial"/>
          <w:b/>
          <w:szCs w:val="22"/>
        </w:rPr>
      </w:pPr>
      <w:r w:rsidRPr="008F54FA">
        <w:rPr>
          <w:rFonts w:ascii="Arial" w:hAnsi="Arial" w:cs="Arial"/>
          <w:b/>
          <w:szCs w:val="22"/>
        </w:rPr>
        <w:lastRenderedPageBreak/>
        <w:t xml:space="preserve">Challenges and risks in implementation and remedial actions </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16560" w:rsidRPr="008F54FA" w14:paraId="7FBF4DBD" w14:textId="77777777" w:rsidTr="00507D7B">
        <w:trPr>
          <w:tblHeader/>
          <w:jc w:val="center"/>
        </w:trPr>
        <w:tc>
          <w:tcPr>
            <w:tcW w:w="2500" w:type="pct"/>
            <w:shd w:val="clear" w:color="auto" w:fill="D9D9D9"/>
            <w:vAlign w:val="center"/>
          </w:tcPr>
          <w:p w14:paraId="782312B2"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Key challenges</w:t>
            </w:r>
          </w:p>
        </w:tc>
        <w:tc>
          <w:tcPr>
            <w:tcW w:w="2500" w:type="pct"/>
            <w:shd w:val="clear" w:color="auto" w:fill="D9D9D9"/>
            <w:vAlign w:val="center"/>
          </w:tcPr>
          <w:p w14:paraId="7491282D"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Remedial actions</w:t>
            </w:r>
          </w:p>
        </w:tc>
      </w:tr>
      <w:tr w:rsidR="00D16560" w:rsidRPr="008F54FA" w14:paraId="31262195" w14:textId="77777777" w:rsidTr="00507D7B">
        <w:trPr>
          <w:jc w:val="center"/>
        </w:trPr>
        <w:tc>
          <w:tcPr>
            <w:tcW w:w="2500" w:type="pct"/>
            <w:shd w:val="clear" w:color="auto" w:fill="auto"/>
          </w:tcPr>
          <w:p w14:paraId="6916548D" w14:textId="22D2C5B4" w:rsidR="00D16560" w:rsidRPr="008F54FA" w:rsidRDefault="00D16560" w:rsidP="00507D7B">
            <w:pPr>
              <w:spacing w:before="60" w:after="60"/>
              <w:jc w:val="both"/>
              <w:rPr>
                <w:rFonts w:ascii="Arial" w:hAnsi="Arial" w:cs="Arial"/>
                <w:sz w:val="20"/>
                <w:szCs w:val="20"/>
              </w:rPr>
            </w:pPr>
            <w:r w:rsidRPr="008F54FA">
              <w:rPr>
                <w:rFonts w:ascii="Arial" w:hAnsi="Arial" w:cs="Arial"/>
                <w:sz w:val="20"/>
                <w:szCs w:val="20"/>
              </w:rPr>
              <w:t xml:space="preserve">The Living heritage and </w:t>
            </w:r>
            <w:r w:rsidR="00903B86" w:rsidRPr="008F54FA">
              <w:rPr>
                <w:rFonts w:ascii="Arial" w:hAnsi="Arial" w:cs="Arial"/>
                <w:sz w:val="20"/>
                <w:szCs w:val="20"/>
              </w:rPr>
              <w:t>E</w:t>
            </w:r>
            <w:r w:rsidRPr="008F54FA">
              <w:rPr>
                <w:rFonts w:ascii="Arial" w:hAnsi="Arial" w:cs="Arial"/>
                <w:sz w:val="20"/>
                <w:szCs w:val="20"/>
              </w:rPr>
              <w:t>ducation programme has contributed to a better understanding among education and culture stakeholders of the role of living heritage for attaining Sustainable Development Goal 4 on quality education and lifelong learning for all and demonstrated approaches of how to integrate living heritage in formal and non-formal education. However, anchoring the ‘learning with living heritage’ more firmly in education systems is a challenge, partly because it is not always possible, to provide the evidence of how it impacts students' learning achievement.</w:t>
            </w:r>
          </w:p>
        </w:tc>
        <w:tc>
          <w:tcPr>
            <w:tcW w:w="2500" w:type="pct"/>
            <w:shd w:val="clear" w:color="auto" w:fill="auto"/>
          </w:tcPr>
          <w:p w14:paraId="18B6A008" w14:textId="77777777" w:rsidR="00D16560" w:rsidRPr="008F54FA" w:rsidRDefault="00D16560" w:rsidP="00507D7B">
            <w:pPr>
              <w:spacing w:before="60" w:after="60"/>
              <w:jc w:val="both"/>
              <w:rPr>
                <w:rFonts w:ascii="Arial" w:eastAsia="Calibri" w:hAnsi="Arial" w:cs="Arial"/>
                <w:sz w:val="20"/>
                <w:szCs w:val="20"/>
              </w:rPr>
            </w:pPr>
            <w:r w:rsidRPr="008F54FA">
              <w:rPr>
                <w:rFonts w:ascii="Arial" w:eastAsia="Calibri" w:hAnsi="Arial" w:cs="Arial"/>
                <w:sz w:val="20"/>
                <w:szCs w:val="20"/>
              </w:rPr>
              <w:t>To address this challenge, UNESCO is developing partnerships with specialized universities, who bring together experts and educators working at the junction of living heritage and education, to develop tools to assess the learning achievement that results from integrating living heritage in education.</w:t>
            </w:r>
          </w:p>
        </w:tc>
      </w:tr>
      <w:tr w:rsidR="00903B86" w:rsidRPr="008F54FA" w14:paraId="379EBDCD" w14:textId="77777777" w:rsidTr="00507D7B">
        <w:trPr>
          <w:jc w:val="center"/>
        </w:trPr>
        <w:tc>
          <w:tcPr>
            <w:tcW w:w="2500" w:type="pct"/>
            <w:shd w:val="clear" w:color="auto" w:fill="auto"/>
          </w:tcPr>
          <w:p w14:paraId="000546A8" w14:textId="45E25193" w:rsidR="00903B86" w:rsidRPr="008F54FA" w:rsidRDefault="00903B86" w:rsidP="00507D7B">
            <w:pPr>
              <w:spacing w:before="60" w:after="60"/>
              <w:jc w:val="both"/>
              <w:rPr>
                <w:rFonts w:ascii="Arial" w:hAnsi="Arial" w:cs="Arial"/>
                <w:sz w:val="20"/>
                <w:szCs w:val="20"/>
              </w:rPr>
            </w:pPr>
            <w:r w:rsidRPr="008F54FA">
              <w:rPr>
                <w:rFonts w:ascii="Arial" w:hAnsi="Arial" w:cs="Arial"/>
                <w:sz w:val="20"/>
                <w:szCs w:val="20"/>
              </w:rPr>
              <w:t>The implementation of thematic initiatives represents new forays into the creation of important linkages between living heritage and areas of sustainable development. As such, they require tackling new and complex issues in the field and understanding the state of affairs with already ongoing actions from existing intergovernmental, international and national stakeholders.</w:t>
            </w:r>
          </w:p>
        </w:tc>
        <w:tc>
          <w:tcPr>
            <w:tcW w:w="2500" w:type="pct"/>
            <w:shd w:val="clear" w:color="auto" w:fill="auto"/>
          </w:tcPr>
          <w:p w14:paraId="65743EEC" w14:textId="30958002" w:rsidR="00903B86" w:rsidRPr="008F54FA" w:rsidRDefault="00903B86" w:rsidP="00507D7B">
            <w:pPr>
              <w:spacing w:before="60" w:after="60"/>
              <w:jc w:val="both"/>
              <w:rPr>
                <w:rFonts w:ascii="Arial" w:eastAsia="Calibri" w:hAnsi="Arial" w:cs="Arial"/>
                <w:sz w:val="20"/>
                <w:szCs w:val="20"/>
              </w:rPr>
            </w:pPr>
            <w:r w:rsidRPr="008F54FA">
              <w:rPr>
                <w:rFonts w:ascii="Arial" w:hAnsi="Arial" w:cs="Arial"/>
                <w:sz w:val="20"/>
                <w:szCs w:val="20"/>
              </w:rPr>
              <w:t xml:space="preserve">The Secretariat initiated </w:t>
            </w:r>
            <w:hyperlink r:id="rId42" w:history="1">
              <w:r w:rsidRPr="008F54FA">
                <w:rPr>
                  <w:rStyle w:val="Hyperlink"/>
                  <w:rFonts w:ascii="Arial" w:hAnsi="Arial" w:cs="Arial"/>
                  <w:sz w:val="20"/>
                  <w:szCs w:val="20"/>
                </w:rPr>
                <w:t>global surveys</w:t>
              </w:r>
            </w:hyperlink>
            <w:r w:rsidRPr="008F54FA">
              <w:rPr>
                <w:rFonts w:ascii="Arial" w:hAnsi="Arial" w:cs="Arial"/>
                <w:sz w:val="20"/>
                <w:szCs w:val="20"/>
              </w:rPr>
              <w:t xml:space="preserve"> for </w:t>
            </w:r>
            <w:r w:rsidR="00596887" w:rsidRPr="008F54FA">
              <w:rPr>
                <w:rFonts w:ascii="Arial" w:hAnsi="Arial" w:cs="Arial"/>
                <w:sz w:val="20"/>
                <w:szCs w:val="20"/>
              </w:rPr>
              <w:t>all three thematic initiatives to understand the scope of existing activities and gather insights from stakeholders. Furthermore, a wide range of professionals coming from different fields of expertise – often in the form of peer review panel</w:t>
            </w:r>
            <w:r w:rsidR="00EA38FE" w:rsidRPr="008F54FA">
              <w:rPr>
                <w:rFonts w:ascii="Arial" w:hAnsi="Arial" w:cs="Arial"/>
                <w:sz w:val="20"/>
                <w:szCs w:val="20"/>
              </w:rPr>
              <w:t>s</w:t>
            </w:r>
            <w:r w:rsidR="00596887" w:rsidRPr="008F54FA">
              <w:rPr>
                <w:rFonts w:ascii="Arial" w:hAnsi="Arial" w:cs="Arial"/>
                <w:sz w:val="20"/>
                <w:szCs w:val="20"/>
              </w:rPr>
              <w:t xml:space="preserve"> and/or through expert meetings – is involved in each initiative to develop a comprehensive approach to intangible cultural heritage safeguarding and sustainable development.</w:t>
            </w:r>
            <w:r w:rsidRPr="008F54FA">
              <w:rPr>
                <w:rFonts w:ascii="Arial" w:hAnsi="Arial" w:cs="Arial"/>
                <w:sz w:val="20"/>
                <w:szCs w:val="20"/>
              </w:rPr>
              <w:t xml:space="preserve"> </w:t>
            </w:r>
          </w:p>
        </w:tc>
      </w:tr>
    </w:tbl>
    <w:p w14:paraId="0A5C1022" w14:textId="7B74E546" w:rsidR="00D16560" w:rsidRPr="008F54FA" w:rsidRDefault="00D16560" w:rsidP="00D16560">
      <w:pPr>
        <w:spacing w:after="0"/>
        <w:rPr>
          <w:rFonts w:ascii="Arial" w:hAnsi="Arial" w:cs="Arial"/>
          <w:b/>
          <w:szCs w:val="22"/>
        </w:rPr>
      </w:pPr>
    </w:p>
    <w:p w14:paraId="08E3A51F" w14:textId="77777777" w:rsidR="00D16560" w:rsidRPr="008F54FA" w:rsidRDefault="00D16560" w:rsidP="00D16560">
      <w:pPr>
        <w:keepNext/>
        <w:spacing w:before="240"/>
        <w:jc w:val="both"/>
        <w:rPr>
          <w:rFonts w:ascii="Arial" w:hAnsi="Arial" w:cs="Arial"/>
          <w:b/>
          <w:szCs w:val="22"/>
        </w:rPr>
      </w:pPr>
      <w:r w:rsidRPr="008F54FA">
        <w:rPr>
          <w:rFonts w:ascii="Arial" w:hAnsi="Arial" w:cs="Arial"/>
          <w:b/>
          <w:szCs w:val="22"/>
        </w:rPr>
        <w:t>Expected Result 4:</w:t>
      </w:r>
      <w:r w:rsidRPr="008F54FA">
        <w:rPr>
          <w:rFonts w:ascii="Arial" w:hAnsi="Arial" w:cs="Arial"/>
          <w:b/>
          <w:szCs w:val="22"/>
        </w:rPr>
        <w:tab/>
      </w:r>
      <w:r w:rsidRPr="008F54FA">
        <w:rPr>
          <w:rFonts w:ascii="Arial" w:hAnsi="Arial" w:cs="Arial"/>
          <w:b/>
          <w:bCs/>
          <w:szCs w:val="22"/>
        </w:rPr>
        <w:t>Objectives of the Convention promoted through awareness-raising and outreach</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4081"/>
        <w:gridCol w:w="1702"/>
      </w:tblGrid>
      <w:tr w:rsidR="00D16560" w:rsidRPr="008F54FA" w14:paraId="70412487" w14:textId="77777777" w:rsidTr="00507D7B">
        <w:trPr>
          <w:jc w:val="center"/>
        </w:trPr>
        <w:tc>
          <w:tcPr>
            <w:tcW w:w="1999" w:type="pct"/>
            <w:shd w:val="clear" w:color="auto" w:fill="C6D9F1"/>
            <w:vAlign w:val="center"/>
          </w:tcPr>
          <w:p w14:paraId="204255A7" w14:textId="77777777" w:rsidR="00D16560" w:rsidRPr="008F54FA" w:rsidRDefault="00D16560" w:rsidP="00507D7B">
            <w:pPr>
              <w:keepNext/>
              <w:spacing w:before="120"/>
              <w:jc w:val="center"/>
              <w:rPr>
                <w:rFonts w:ascii="Arial" w:eastAsia="Calibri" w:hAnsi="Arial" w:cs="Arial"/>
                <w:b/>
                <w:sz w:val="20"/>
                <w:szCs w:val="20"/>
              </w:rPr>
            </w:pPr>
            <w:r w:rsidRPr="008F54FA">
              <w:rPr>
                <w:rFonts w:ascii="Arial" w:eastAsia="Calibri" w:hAnsi="Arial" w:cs="Arial"/>
                <w:b/>
                <w:sz w:val="20"/>
                <w:szCs w:val="20"/>
              </w:rPr>
              <w:t>Allocation</w:t>
            </w:r>
          </w:p>
        </w:tc>
        <w:tc>
          <w:tcPr>
            <w:tcW w:w="2118" w:type="pct"/>
            <w:shd w:val="clear" w:color="auto" w:fill="C6D9F1"/>
            <w:vAlign w:val="center"/>
          </w:tcPr>
          <w:p w14:paraId="2BDCB4C5"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Expenditures</w:t>
            </w:r>
          </w:p>
        </w:tc>
        <w:tc>
          <w:tcPr>
            <w:tcW w:w="883" w:type="pct"/>
            <w:shd w:val="clear" w:color="auto" w:fill="C6D9F1"/>
            <w:vAlign w:val="center"/>
          </w:tcPr>
          <w:p w14:paraId="4D0FBFE2" w14:textId="77777777" w:rsidR="00D16560" w:rsidRPr="008F54FA" w:rsidRDefault="00D16560" w:rsidP="00507D7B">
            <w:pPr>
              <w:spacing w:before="120"/>
              <w:jc w:val="center"/>
              <w:rPr>
                <w:rFonts w:ascii="Arial" w:eastAsia="Calibri" w:hAnsi="Arial" w:cs="Arial"/>
                <w:b/>
                <w:sz w:val="20"/>
                <w:szCs w:val="20"/>
              </w:rPr>
            </w:pPr>
            <w:r w:rsidRPr="008F54FA">
              <w:rPr>
                <w:rFonts w:ascii="Arial" w:eastAsia="Calibri" w:hAnsi="Arial" w:cs="Arial"/>
                <w:b/>
                <w:sz w:val="20"/>
                <w:szCs w:val="20"/>
              </w:rPr>
              <w:t>Exp. Rate %</w:t>
            </w:r>
            <w:r w:rsidRPr="008F54FA">
              <w:rPr>
                <w:rFonts w:ascii="Arial" w:eastAsia="Calibri" w:hAnsi="Arial" w:cs="Arial"/>
                <w:b/>
                <w:sz w:val="20"/>
                <w:szCs w:val="20"/>
              </w:rPr>
              <w:br/>
              <w:t>at 30/06/2023</w:t>
            </w:r>
          </w:p>
        </w:tc>
      </w:tr>
      <w:tr w:rsidR="00D16560" w:rsidRPr="008F54FA" w14:paraId="12EAC79E" w14:textId="77777777" w:rsidTr="00507D7B">
        <w:trPr>
          <w:jc w:val="center"/>
        </w:trPr>
        <w:tc>
          <w:tcPr>
            <w:tcW w:w="1999" w:type="pct"/>
            <w:shd w:val="clear" w:color="auto" w:fill="auto"/>
          </w:tcPr>
          <w:p w14:paraId="0E2350AC"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410,435.00</w:t>
            </w:r>
          </w:p>
        </w:tc>
        <w:tc>
          <w:tcPr>
            <w:tcW w:w="2118" w:type="pct"/>
            <w:shd w:val="clear" w:color="auto" w:fill="auto"/>
          </w:tcPr>
          <w:p w14:paraId="7BDA933F" w14:textId="5707E946" w:rsidR="00D16560" w:rsidRPr="008F54FA" w:rsidRDefault="00F771DA" w:rsidP="00507D7B">
            <w:pPr>
              <w:spacing w:before="120"/>
              <w:jc w:val="center"/>
              <w:rPr>
                <w:rFonts w:ascii="Arial" w:eastAsia="Calibri" w:hAnsi="Arial" w:cs="Arial"/>
                <w:sz w:val="20"/>
                <w:szCs w:val="20"/>
              </w:rPr>
            </w:pPr>
            <w:r w:rsidRPr="008F54FA">
              <w:rPr>
                <w:rFonts w:ascii="Arial" w:eastAsia="Calibri" w:hAnsi="Arial" w:cs="Arial"/>
                <w:sz w:val="20"/>
                <w:szCs w:val="20"/>
              </w:rPr>
              <w:t>232,947.95</w:t>
            </w:r>
          </w:p>
        </w:tc>
        <w:tc>
          <w:tcPr>
            <w:tcW w:w="883" w:type="pct"/>
            <w:shd w:val="clear" w:color="auto" w:fill="auto"/>
          </w:tcPr>
          <w:p w14:paraId="0B4FE402" w14:textId="77777777" w:rsidR="00D16560" w:rsidRPr="008F54FA" w:rsidRDefault="00D16560" w:rsidP="00507D7B">
            <w:pPr>
              <w:spacing w:before="120"/>
              <w:jc w:val="center"/>
              <w:rPr>
                <w:rFonts w:ascii="Arial" w:eastAsia="Calibri" w:hAnsi="Arial" w:cs="Arial"/>
                <w:sz w:val="20"/>
                <w:szCs w:val="20"/>
              </w:rPr>
            </w:pPr>
            <w:r w:rsidRPr="008F54FA">
              <w:rPr>
                <w:rFonts w:ascii="Arial" w:eastAsia="Calibri" w:hAnsi="Arial" w:cs="Arial"/>
                <w:sz w:val="20"/>
                <w:szCs w:val="20"/>
              </w:rPr>
              <w:t>56.8%</w:t>
            </w:r>
          </w:p>
        </w:tc>
      </w:tr>
    </w:tbl>
    <w:p w14:paraId="53F8B64A" w14:textId="77777777" w:rsidR="00D16560" w:rsidRPr="008F54FA" w:rsidRDefault="00D16560" w:rsidP="00D16560">
      <w:pPr>
        <w:spacing w:after="0"/>
        <w:rPr>
          <w:rFonts w:ascii="Arial" w:hAnsi="Arial" w:cs="Arial"/>
          <w:szCs w:val="22"/>
        </w:rPr>
      </w:pPr>
    </w:p>
    <w:tbl>
      <w:tblPr>
        <w:tblpPr w:leftFromText="141" w:rightFromText="141"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146B2" w:rsidRPr="008F54FA" w14:paraId="40D4B0DD" w14:textId="77777777" w:rsidTr="001E0929">
        <w:tc>
          <w:tcPr>
            <w:tcW w:w="9634" w:type="dxa"/>
            <w:shd w:val="clear" w:color="auto" w:fill="D9D9D9"/>
          </w:tcPr>
          <w:p w14:paraId="57535E8D" w14:textId="0AF7510D" w:rsidR="00F146B2" w:rsidRPr="008F54FA" w:rsidRDefault="00F146B2" w:rsidP="00EA38FE">
            <w:pPr>
              <w:spacing w:before="60" w:after="60"/>
              <w:jc w:val="center"/>
              <w:rPr>
                <w:rFonts w:ascii="Arial" w:eastAsia="Calibri" w:hAnsi="Arial" w:cs="Arial"/>
                <w:b/>
                <w:sz w:val="20"/>
                <w:szCs w:val="20"/>
              </w:rPr>
            </w:pPr>
            <w:r w:rsidRPr="008F54FA">
              <w:rPr>
                <w:rFonts w:ascii="Arial" w:eastAsia="Calibri" w:hAnsi="Arial" w:cs="Arial"/>
                <w:b/>
                <w:sz w:val="20"/>
                <w:szCs w:val="20"/>
              </w:rPr>
              <w:t>Main achievements:</w:t>
            </w:r>
            <w:r w:rsidRPr="008F54FA">
              <w:rPr>
                <w:rFonts w:ascii="Arial" w:eastAsia="Calibri" w:hAnsi="Arial" w:cs="Arial"/>
                <w:b/>
                <w:sz w:val="20"/>
                <w:szCs w:val="20"/>
              </w:rPr>
              <w:br/>
              <w:t>01/01/2022 to 30/06/2023</w:t>
            </w:r>
          </w:p>
        </w:tc>
      </w:tr>
      <w:tr w:rsidR="00F146B2" w:rsidRPr="008F54FA" w14:paraId="00A2E1F9" w14:textId="77777777" w:rsidTr="001E0929">
        <w:tc>
          <w:tcPr>
            <w:tcW w:w="9634" w:type="dxa"/>
            <w:shd w:val="clear" w:color="auto" w:fill="auto"/>
          </w:tcPr>
          <w:p w14:paraId="1F4F948B" w14:textId="51B2856A" w:rsidR="00F146B2" w:rsidRPr="008F54FA" w:rsidRDefault="00F146B2" w:rsidP="00EB5D16">
            <w:pPr>
              <w:keepNext/>
              <w:spacing w:before="60" w:after="60"/>
              <w:jc w:val="both"/>
              <w:rPr>
                <w:rFonts w:ascii="Arial" w:eastAsia="Calibri" w:hAnsi="Arial" w:cs="Arial"/>
                <w:b/>
                <w:bCs/>
                <w:sz w:val="20"/>
                <w:szCs w:val="20"/>
              </w:rPr>
            </w:pPr>
            <w:r w:rsidRPr="008F54FA">
              <w:rPr>
                <w:rFonts w:ascii="Arial" w:eastAsia="Calibri" w:hAnsi="Arial" w:cs="Arial"/>
                <w:b/>
                <w:bCs/>
                <w:sz w:val="20"/>
                <w:szCs w:val="20"/>
              </w:rPr>
              <w:t>Communication and outreach tools developed and implemented to promote the objectives of the Convention, in particular in the context of the twentieth anniversary of the Convention</w:t>
            </w:r>
          </w:p>
          <w:p w14:paraId="358692DE" w14:textId="35FFD18C" w:rsidR="00F146B2" w:rsidRPr="008F54FA" w:rsidRDefault="00F146B2"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rPr>
            </w:pPr>
            <w:r w:rsidRPr="008F54FA">
              <w:rPr>
                <w:rFonts w:asciiTheme="minorBidi" w:eastAsia="Calibri" w:hAnsiTheme="minorBidi" w:cstheme="minorBidi"/>
                <w:sz w:val="20"/>
                <w:szCs w:val="20"/>
              </w:rPr>
              <w:t xml:space="preserve">In line with the Global Communication's Strategy of UNESCO, </w:t>
            </w:r>
            <w:hyperlink r:id="rId43" w:history="1">
              <w:r w:rsidRPr="008F54FA">
                <w:rPr>
                  <w:rStyle w:val="Hyperlink"/>
                  <w:rFonts w:asciiTheme="minorBidi" w:eastAsia="Calibri" w:hAnsiTheme="minorBidi" w:cstheme="minorBidi"/>
                  <w:sz w:val="20"/>
                  <w:szCs w:val="20"/>
                </w:rPr>
                <w:t>new website of the 2003 Convention</w:t>
              </w:r>
            </w:hyperlink>
            <w:r w:rsidRPr="008F54FA">
              <w:rPr>
                <w:rFonts w:asciiTheme="minorBidi" w:eastAsia="Calibri" w:hAnsiTheme="minorBidi" w:cstheme="minorBidi"/>
                <w:sz w:val="20"/>
                <w:szCs w:val="20"/>
              </w:rPr>
              <w:t xml:space="preserve"> (design and organization of the content reviewed) launched in 2022 to align and harmonize it with UNESCO’s graphic charter.</w:t>
            </w:r>
          </w:p>
          <w:p w14:paraId="4B22A719" w14:textId="3390EDEE" w:rsidR="00F146B2" w:rsidRPr="008F54FA" w:rsidRDefault="00F146B2"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rPr>
            </w:pPr>
            <w:r w:rsidRPr="008F54FA">
              <w:rPr>
                <w:rFonts w:eastAsia="Calibri"/>
                <w:sz w:val="20"/>
                <w:szCs w:val="20"/>
              </w:rPr>
              <w:t xml:space="preserve">Website maintained </w:t>
            </w:r>
            <w:r w:rsidR="00BB1FA8" w:rsidRPr="008F54FA">
              <w:rPr>
                <w:rFonts w:eastAsia="Calibri"/>
                <w:sz w:val="20"/>
                <w:szCs w:val="20"/>
              </w:rPr>
              <w:t>up to date</w:t>
            </w:r>
            <w:r w:rsidRPr="008F54FA">
              <w:rPr>
                <w:rFonts w:eastAsia="Calibri"/>
                <w:sz w:val="20"/>
                <w:szCs w:val="20"/>
              </w:rPr>
              <w:t xml:space="preserve"> with interactive content: ‘Dive into intangible cultural heritage’ updated with 2022 inscriptions and </w:t>
            </w:r>
            <w:r w:rsidR="00BB1FA8" w:rsidRPr="008F54FA">
              <w:rPr>
                <w:rFonts w:eastAsia="Calibri"/>
                <w:sz w:val="20"/>
                <w:szCs w:val="20"/>
              </w:rPr>
              <w:t>audio clips</w:t>
            </w:r>
            <w:r w:rsidRPr="008F54FA">
              <w:rPr>
                <w:rFonts w:eastAsia="Calibri"/>
                <w:sz w:val="20"/>
                <w:szCs w:val="20"/>
              </w:rPr>
              <w:t xml:space="preserve"> introduced for elements inscribed up to 2022.</w:t>
            </w:r>
          </w:p>
          <w:p w14:paraId="78DBFDAC" w14:textId="11D84D42" w:rsidR="00F146B2" w:rsidRPr="008F54FA" w:rsidRDefault="00323D91" w:rsidP="00D3584A">
            <w:pPr>
              <w:pStyle w:val="ListParagraph"/>
              <w:keepNext/>
              <w:keepLines/>
              <w:numPr>
                <w:ilvl w:val="0"/>
                <w:numId w:val="12"/>
              </w:numPr>
              <w:tabs>
                <w:tab w:val="clear" w:pos="567"/>
              </w:tabs>
              <w:snapToGrid/>
              <w:spacing w:before="60" w:after="60"/>
              <w:ind w:left="340" w:hanging="357"/>
              <w:rPr>
                <w:rFonts w:asciiTheme="minorBidi" w:eastAsia="Calibri" w:hAnsiTheme="minorBidi" w:cstheme="minorBidi"/>
                <w:sz w:val="20"/>
                <w:szCs w:val="20"/>
              </w:rPr>
            </w:pPr>
            <w:hyperlink r:id="rId44" w:history="1">
              <w:r w:rsidR="00F146B2" w:rsidRPr="008F54FA">
                <w:rPr>
                  <w:rStyle w:val="Hyperlink"/>
                  <w:rFonts w:asciiTheme="minorBidi" w:eastAsia="Calibri" w:hAnsiTheme="minorBidi" w:cstheme="minorBidi"/>
                  <w:sz w:val="20"/>
                  <w:szCs w:val="20"/>
                </w:rPr>
                <w:t>Platform dedicated to the twentieth anniversary</w:t>
              </w:r>
            </w:hyperlink>
            <w:r w:rsidR="00F146B2" w:rsidRPr="008F54FA">
              <w:rPr>
                <w:rFonts w:asciiTheme="minorBidi" w:eastAsia="Calibri" w:hAnsiTheme="minorBidi" w:cstheme="minorBidi"/>
                <w:sz w:val="20"/>
                <w:szCs w:val="20"/>
              </w:rPr>
              <w:t xml:space="preserve"> of the Convention developed and launched in 2023 to highlight milestones in the history of the Convention, showcase activities organized by a broad range of Convention’s stakeholders around the world and facilitate direct engagement under the theme We Are #LivingHeritage.</w:t>
            </w:r>
          </w:p>
          <w:p w14:paraId="73FD1D37" w14:textId="611DA1B6" w:rsidR="00F146B2" w:rsidRPr="008F54FA" w:rsidRDefault="00F146B2"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rPr>
            </w:pPr>
            <w:r w:rsidRPr="008F54FA">
              <w:rPr>
                <w:rFonts w:asciiTheme="minorBidi" w:eastAsia="Calibri" w:hAnsiTheme="minorBidi" w:cstheme="minorBidi"/>
                <w:sz w:val="20"/>
                <w:szCs w:val="20"/>
              </w:rPr>
              <w:t>Photo exhibition planned to be displayed on the fences of UNESCO Headquarters during the forty-second session of UNESCO’s General Conference</w:t>
            </w:r>
            <w:r w:rsidRPr="008F54FA">
              <w:t xml:space="preserve"> to </w:t>
            </w:r>
            <w:r w:rsidRPr="008F54FA">
              <w:rPr>
                <w:rFonts w:asciiTheme="minorBidi" w:eastAsia="Calibri" w:hAnsiTheme="minorBidi" w:cstheme="minorBidi"/>
                <w:sz w:val="20"/>
                <w:szCs w:val="20"/>
              </w:rPr>
              <w:t>highlight the living and ever-changing nature of intangible cultural heritage in the context of the anniversary.</w:t>
            </w:r>
          </w:p>
          <w:p w14:paraId="3804E641" w14:textId="6A7DD5F1" w:rsidR="00F146B2" w:rsidRPr="008F54FA" w:rsidRDefault="00F146B2" w:rsidP="00AD1D70">
            <w:pPr>
              <w:pStyle w:val="ListParagraph"/>
              <w:numPr>
                <w:ilvl w:val="0"/>
                <w:numId w:val="12"/>
              </w:numPr>
              <w:tabs>
                <w:tab w:val="clear" w:pos="567"/>
              </w:tabs>
              <w:snapToGrid/>
              <w:spacing w:before="60" w:after="60"/>
              <w:ind w:left="340" w:hanging="357"/>
              <w:rPr>
                <w:rFonts w:asciiTheme="minorBidi" w:eastAsia="Calibri" w:hAnsiTheme="minorBidi" w:cstheme="minorBidi"/>
                <w:sz w:val="20"/>
                <w:szCs w:val="20"/>
              </w:rPr>
            </w:pPr>
            <w:r w:rsidRPr="008F54FA">
              <w:rPr>
                <w:rFonts w:asciiTheme="minorBidi" w:eastAsia="Calibri" w:hAnsiTheme="minorBidi" w:cstheme="minorBidi"/>
                <w:sz w:val="20"/>
                <w:szCs w:val="20"/>
              </w:rPr>
              <w:t xml:space="preserve">Development of a publication on living heritage and indigenous peoples initiated to highlight the experiences and enhance understanding of the crucial role played by indigenous peoples in safeguarding their living heritage through a selection of ten elements inscribed on the </w:t>
            </w:r>
            <w:r w:rsidR="00B62CB0" w:rsidRPr="008F54FA">
              <w:rPr>
                <w:rFonts w:asciiTheme="minorBidi" w:eastAsia="Calibri" w:hAnsiTheme="minorBidi" w:cstheme="minorBidi"/>
                <w:sz w:val="20"/>
                <w:szCs w:val="20"/>
              </w:rPr>
              <w:t>L</w:t>
            </w:r>
            <w:r w:rsidRPr="008F54FA">
              <w:rPr>
                <w:rFonts w:asciiTheme="minorBidi" w:eastAsia="Calibri" w:hAnsiTheme="minorBidi" w:cstheme="minorBidi"/>
                <w:sz w:val="20"/>
                <w:szCs w:val="20"/>
              </w:rPr>
              <w:t>ists of the 2003 Convention. It is expected to be launched at the tenth session of the General Assembly of the States Parties to the Convention (mid- 2024) and as part of UNESCO's actions in the framework of the International Decade of the World's Indigenous Languages (2023-2033).</w:t>
            </w:r>
          </w:p>
        </w:tc>
      </w:tr>
    </w:tbl>
    <w:p w14:paraId="03C3B28D" w14:textId="2A796FB7" w:rsidR="00D16560" w:rsidRPr="008F54FA" w:rsidRDefault="00EB5D16" w:rsidP="00D16560">
      <w:pPr>
        <w:keepNext/>
        <w:spacing w:before="240"/>
        <w:rPr>
          <w:rFonts w:ascii="Arial" w:hAnsi="Arial" w:cs="Arial"/>
          <w:b/>
          <w:szCs w:val="22"/>
        </w:rPr>
      </w:pPr>
      <w:r w:rsidRPr="008F54FA">
        <w:rPr>
          <w:rFonts w:ascii="Arial" w:hAnsi="Arial" w:cs="Arial"/>
          <w:b/>
          <w:szCs w:val="22"/>
        </w:rPr>
        <w:lastRenderedPageBreak/>
        <w:br w:type="textWrapping" w:clear="all"/>
      </w:r>
      <w:r w:rsidR="00D16560" w:rsidRPr="008F54FA">
        <w:rPr>
          <w:rFonts w:ascii="Arial" w:hAnsi="Arial" w:cs="Arial"/>
          <w:b/>
          <w:szCs w:val="22"/>
        </w:rPr>
        <w:t>Challenges and risks in implementation and remedial actions</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820"/>
      </w:tblGrid>
      <w:tr w:rsidR="00D16560" w:rsidRPr="008F54FA" w14:paraId="19349F7F" w14:textId="77777777" w:rsidTr="00507D7B">
        <w:trPr>
          <w:tblHeader/>
          <w:jc w:val="center"/>
        </w:trPr>
        <w:tc>
          <w:tcPr>
            <w:tcW w:w="2500" w:type="pct"/>
            <w:shd w:val="clear" w:color="auto" w:fill="D9D9D9"/>
            <w:vAlign w:val="center"/>
          </w:tcPr>
          <w:p w14:paraId="05A57B55"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Key challenges</w:t>
            </w:r>
          </w:p>
        </w:tc>
        <w:tc>
          <w:tcPr>
            <w:tcW w:w="2500" w:type="pct"/>
            <w:shd w:val="clear" w:color="auto" w:fill="D9D9D9"/>
            <w:vAlign w:val="center"/>
          </w:tcPr>
          <w:p w14:paraId="38791C04" w14:textId="77777777" w:rsidR="00D16560" w:rsidRPr="008F54FA" w:rsidRDefault="00D16560" w:rsidP="00507D7B">
            <w:pPr>
              <w:keepNext/>
              <w:spacing w:before="60" w:after="60"/>
              <w:jc w:val="center"/>
              <w:rPr>
                <w:rFonts w:ascii="Arial" w:hAnsi="Arial" w:cs="Arial"/>
                <w:b/>
                <w:sz w:val="20"/>
                <w:szCs w:val="20"/>
              </w:rPr>
            </w:pPr>
            <w:r w:rsidRPr="008F54FA">
              <w:rPr>
                <w:rFonts w:ascii="Arial" w:hAnsi="Arial" w:cs="Arial"/>
                <w:b/>
                <w:sz w:val="20"/>
                <w:szCs w:val="20"/>
              </w:rPr>
              <w:t>Remedial actions</w:t>
            </w:r>
          </w:p>
        </w:tc>
      </w:tr>
      <w:tr w:rsidR="007A7DD8" w:rsidRPr="00BB1FA8" w14:paraId="76A89AF4" w14:textId="77777777" w:rsidTr="007A7DD8">
        <w:trPr>
          <w:jc w:val="center"/>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481DF03" w14:textId="17D257A7" w:rsidR="007A7DD8" w:rsidRPr="008F54FA" w:rsidRDefault="00EB5D16" w:rsidP="00EB5D16">
            <w:pPr>
              <w:spacing w:before="60" w:after="60"/>
              <w:jc w:val="both"/>
              <w:rPr>
                <w:rFonts w:ascii="Arial" w:hAnsi="Arial" w:cs="Arial"/>
                <w:sz w:val="20"/>
                <w:szCs w:val="20"/>
              </w:rPr>
            </w:pPr>
            <w:r w:rsidRPr="008F54FA">
              <w:rPr>
                <w:rFonts w:ascii="Arial" w:hAnsi="Arial" w:cs="Arial"/>
                <w:sz w:val="20"/>
                <w:szCs w:val="20"/>
              </w:rPr>
              <w:t xml:space="preserve">The development of outreach partnerships and the opening of more interactive interfaces allowing direct engagement with stakeholders on the Convention’s website contribute positively to the visibility of living heritage but require adequate </w:t>
            </w:r>
            <w:r w:rsidR="007A7DD8" w:rsidRPr="008F54FA">
              <w:rPr>
                <w:rFonts w:ascii="Arial" w:hAnsi="Arial" w:cs="Arial"/>
                <w:sz w:val="20"/>
                <w:szCs w:val="20"/>
              </w:rPr>
              <w:t>human resources</w:t>
            </w:r>
            <w:r w:rsidRPr="008F54FA">
              <w:rPr>
                <w:rFonts w:ascii="Arial" w:hAnsi="Arial" w:cs="Arial"/>
                <w:sz w:val="20"/>
                <w:szCs w:val="20"/>
              </w:rPr>
              <w:t xml:space="preserve">, as highlighted in the 2021 </w:t>
            </w:r>
            <w:r w:rsidR="007A7DD8" w:rsidRPr="008F54FA">
              <w:rPr>
                <w:rFonts w:ascii="Arial" w:hAnsi="Arial" w:cs="Arial"/>
                <w:sz w:val="20"/>
                <w:szCs w:val="20"/>
              </w:rPr>
              <w:t>IOS Evaluation.</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45555B9E" w14:textId="4E8CA291" w:rsidR="007A7DD8" w:rsidRPr="00BB1FA8" w:rsidRDefault="007A7DD8" w:rsidP="00507D7B">
            <w:pPr>
              <w:spacing w:before="60" w:after="60"/>
              <w:jc w:val="both"/>
              <w:rPr>
                <w:rFonts w:ascii="Arial" w:hAnsi="Arial" w:cs="Arial"/>
                <w:sz w:val="20"/>
                <w:szCs w:val="20"/>
              </w:rPr>
            </w:pPr>
            <w:r w:rsidRPr="008F54FA">
              <w:rPr>
                <w:rFonts w:ascii="Arial" w:hAnsi="Arial" w:cs="Arial"/>
                <w:sz w:val="20"/>
                <w:szCs w:val="20"/>
              </w:rPr>
              <w:t xml:space="preserve">Future programming activities should </w:t>
            </w:r>
            <w:r w:rsidR="00EB5D16" w:rsidRPr="008F54FA">
              <w:rPr>
                <w:rFonts w:ascii="Arial" w:hAnsi="Arial" w:cs="Arial"/>
                <w:sz w:val="20"/>
                <w:szCs w:val="20"/>
              </w:rPr>
              <w:t>continue to better</w:t>
            </w:r>
            <w:r w:rsidRPr="008F54FA">
              <w:rPr>
                <w:rFonts w:ascii="Arial" w:hAnsi="Arial" w:cs="Arial"/>
                <w:sz w:val="20"/>
                <w:szCs w:val="20"/>
              </w:rPr>
              <w:t xml:space="preserve"> factor in the human resources dimension to ensure an efficient implementation.</w:t>
            </w:r>
            <w:r w:rsidR="00EB5D16" w:rsidRPr="008F54FA">
              <w:rPr>
                <w:rFonts w:ascii="Arial" w:hAnsi="Arial" w:cs="Arial"/>
                <w:sz w:val="20"/>
                <w:szCs w:val="20"/>
              </w:rPr>
              <w:t xml:space="preserve"> Meanwhile, the use of online tools facilitate</w:t>
            </w:r>
            <w:r w:rsidR="003A3EAA" w:rsidRPr="008F54FA">
              <w:rPr>
                <w:rFonts w:ascii="Arial" w:hAnsi="Arial" w:cs="Arial"/>
                <w:sz w:val="20"/>
                <w:szCs w:val="20"/>
              </w:rPr>
              <w:t>s</w:t>
            </w:r>
            <w:r w:rsidR="00EB5D16" w:rsidRPr="008F54FA">
              <w:rPr>
                <w:rFonts w:ascii="Arial" w:hAnsi="Arial" w:cs="Arial"/>
                <w:sz w:val="20"/>
                <w:szCs w:val="20"/>
              </w:rPr>
              <w:t xml:space="preserve"> an adequate level of visibility for a broad range of communication and outreach activities.</w:t>
            </w:r>
          </w:p>
        </w:tc>
      </w:tr>
    </w:tbl>
    <w:p w14:paraId="2FB36F0C" w14:textId="0B0B2274" w:rsidR="002D739F" w:rsidRPr="00BB1FA8" w:rsidRDefault="002D739F" w:rsidP="00513825">
      <w:pPr>
        <w:pStyle w:val="1GAPara"/>
        <w:numPr>
          <w:ilvl w:val="0"/>
          <w:numId w:val="0"/>
        </w:numPr>
        <w:rPr>
          <w:b/>
          <w:bCs/>
        </w:rPr>
      </w:pPr>
    </w:p>
    <w:sectPr w:rsidR="002D739F" w:rsidRPr="00BB1FA8" w:rsidSect="00513825">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7AD58" w14:textId="77777777" w:rsidR="00271367" w:rsidRDefault="00271367" w:rsidP="002938F2">
      <w:r>
        <w:separator/>
      </w:r>
    </w:p>
    <w:p w14:paraId="37A1EB5A" w14:textId="77777777" w:rsidR="00271367" w:rsidRDefault="00271367"/>
  </w:endnote>
  <w:endnote w:type="continuationSeparator" w:id="0">
    <w:p w14:paraId="672E9BEF" w14:textId="77777777" w:rsidR="00271367" w:rsidRDefault="00271367" w:rsidP="002938F2">
      <w:r>
        <w:continuationSeparator/>
      </w:r>
    </w:p>
    <w:p w14:paraId="022118C3" w14:textId="77777777" w:rsidR="00271367" w:rsidRDefault="00271367"/>
  </w:endnote>
  <w:endnote w:type="continuationNotice" w:id="1">
    <w:p w14:paraId="5C0ACE6A" w14:textId="77777777" w:rsidR="00271367" w:rsidRDefault="002713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BC8D0" w14:textId="77777777" w:rsidR="00271367" w:rsidRDefault="00271367" w:rsidP="00774CCE">
      <w:r>
        <w:separator/>
      </w:r>
    </w:p>
  </w:footnote>
  <w:footnote w:type="continuationSeparator" w:id="0">
    <w:p w14:paraId="750C9EA2" w14:textId="77777777" w:rsidR="00271367" w:rsidRDefault="00271367" w:rsidP="00774CCE"/>
  </w:footnote>
  <w:footnote w:type="continuationNotice" w:id="1">
    <w:p w14:paraId="16F18398" w14:textId="77777777" w:rsidR="00271367" w:rsidRPr="00776DAE" w:rsidRDefault="00271367" w:rsidP="00513825">
      <w:pPr>
        <w:pStyle w:val="Footer"/>
      </w:pPr>
    </w:p>
  </w:footnote>
  <w:footnote w:id="2">
    <w:p w14:paraId="1F3E5B38" w14:textId="1C1EEC48" w:rsidR="007F5A76" w:rsidRPr="007F5A76" w:rsidRDefault="007F5A76">
      <w:pPr>
        <w:pStyle w:val="FootnoteText"/>
        <w:rPr>
          <w:lang w:val="en-US"/>
        </w:rPr>
      </w:pPr>
      <w:r>
        <w:rPr>
          <w:rStyle w:val="FootnoteReference"/>
        </w:rPr>
        <w:footnoteRef/>
      </w:r>
      <w:r>
        <w:t xml:space="preserve"> </w:t>
      </w:r>
      <w:r w:rsidRPr="00D81733">
        <w:rPr>
          <w:rFonts w:asciiTheme="minorBidi" w:hAnsiTheme="minorBidi" w:cstheme="minorBidi"/>
          <w:sz w:val="18"/>
          <w:szCs w:val="18"/>
        </w:rPr>
        <w:t xml:space="preserve">Figures have been rounded as compared to Annexes I and II, pages </w:t>
      </w:r>
      <w:r w:rsidR="00831FFD">
        <w:rPr>
          <w:rFonts w:asciiTheme="minorBidi" w:hAnsiTheme="minorBidi" w:cstheme="minorBidi"/>
          <w:sz w:val="18"/>
          <w:szCs w:val="18"/>
        </w:rPr>
        <w:t xml:space="preserve">6 </w:t>
      </w:r>
      <w:r w:rsidR="00831FFD" w:rsidRPr="007F5A76">
        <w:rPr>
          <w:rFonts w:asciiTheme="minorBidi" w:hAnsiTheme="minorBidi" w:cstheme="minorBidi"/>
        </w:rPr>
        <w:t>–</w:t>
      </w:r>
      <w:r w:rsidR="00831FFD">
        <w:rPr>
          <w:rFonts w:asciiTheme="minorBidi" w:hAnsiTheme="minorBidi" w:cstheme="minorBidi"/>
          <w:sz w:val="18"/>
          <w:szCs w:val="18"/>
        </w:rPr>
        <w:t xml:space="preserve"> 8</w:t>
      </w:r>
      <w:r w:rsidRPr="00D81733">
        <w:rPr>
          <w:rFonts w:asciiTheme="minorBidi" w:hAnsiTheme="minorBidi" w:cstheme="minorBidi"/>
          <w:sz w:val="18"/>
          <w:szCs w:val="18"/>
        </w:rPr>
        <w:t>.</w:t>
      </w:r>
      <w:r w:rsidR="00831FFD">
        <w:rPr>
          <w:rFonts w:asciiTheme="minorBidi" w:hAnsiTheme="minorBidi" w:cstheme="minorBidi"/>
          <w:sz w:val="18"/>
          <w:szCs w:val="18"/>
        </w:rPr>
        <w:t xml:space="preserve"> </w:t>
      </w:r>
    </w:p>
  </w:footnote>
  <w:footnote w:id="3">
    <w:p w14:paraId="25154D1A" w14:textId="2FE9A1D6" w:rsidR="008E464F" w:rsidRPr="00D81733" w:rsidRDefault="008E464F" w:rsidP="00732492">
      <w:pPr>
        <w:pStyle w:val="FootnoteText"/>
        <w:ind w:left="142" w:hanging="142"/>
        <w:jc w:val="both"/>
        <w:rPr>
          <w:rFonts w:asciiTheme="minorBidi" w:hAnsiTheme="minorBidi" w:cstheme="minorBidi"/>
          <w:sz w:val="18"/>
          <w:szCs w:val="18"/>
        </w:rPr>
      </w:pPr>
      <w:r w:rsidRPr="00D81733">
        <w:rPr>
          <w:rStyle w:val="FootnoteReference"/>
          <w:rFonts w:asciiTheme="minorBidi" w:eastAsia="Calibri" w:hAnsiTheme="minorBidi" w:cstheme="minorBidi"/>
          <w:sz w:val="18"/>
          <w:szCs w:val="18"/>
          <w:lang w:eastAsia="en-US"/>
        </w:rPr>
        <w:footnoteRef/>
      </w:r>
      <w:r w:rsidRPr="00D81733">
        <w:rPr>
          <w:rFonts w:asciiTheme="minorBidi" w:eastAsia="Calibri" w:hAnsiTheme="minorBidi" w:cstheme="minorBidi"/>
          <w:sz w:val="18"/>
          <w:szCs w:val="18"/>
          <w:lang w:eastAsia="en-US"/>
        </w:rPr>
        <w:tab/>
        <w:t xml:space="preserve">In </w:t>
      </w:r>
      <w:r w:rsidRPr="00D81733">
        <w:rPr>
          <w:rFonts w:asciiTheme="minorBidi" w:hAnsiTheme="minorBidi" w:cstheme="minorBidi"/>
          <w:sz w:val="18"/>
          <w:szCs w:val="18"/>
        </w:rPr>
        <w:t>Financial Statement I (Annex I), the assessed compulsory contributions for the period 202</w:t>
      </w:r>
      <w:r>
        <w:rPr>
          <w:rFonts w:asciiTheme="minorBidi" w:hAnsiTheme="minorBidi" w:cstheme="minorBidi"/>
          <w:sz w:val="18"/>
          <w:szCs w:val="18"/>
        </w:rPr>
        <w:t>2</w:t>
      </w:r>
      <w:r w:rsidR="001C5A09">
        <w:rPr>
          <w:rFonts w:asciiTheme="minorBidi" w:hAnsiTheme="minorBidi" w:cstheme="minorBidi"/>
          <w:sz w:val="18"/>
          <w:szCs w:val="18"/>
        </w:rPr>
        <w:t xml:space="preserve"> – </w:t>
      </w:r>
      <w:r w:rsidRPr="00D81733">
        <w:rPr>
          <w:rFonts w:asciiTheme="minorBidi" w:hAnsiTheme="minorBidi" w:cstheme="minorBidi"/>
          <w:sz w:val="18"/>
          <w:szCs w:val="18"/>
        </w:rPr>
        <w:t>202</w:t>
      </w:r>
      <w:r>
        <w:rPr>
          <w:rFonts w:asciiTheme="minorBidi" w:hAnsiTheme="minorBidi" w:cstheme="minorBidi"/>
          <w:sz w:val="18"/>
          <w:szCs w:val="18"/>
        </w:rPr>
        <w:t>3</w:t>
      </w:r>
      <w:r w:rsidR="001C5A09">
        <w:rPr>
          <w:rFonts w:asciiTheme="minorBidi" w:hAnsiTheme="minorBidi" w:cstheme="minorBidi"/>
          <w:sz w:val="18"/>
          <w:szCs w:val="18"/>
        </w:rPr>
        <w:t xml:space="preserve"> </w:t>
      </w:r>
      <w:r w:rsidRPr="00D81733">
        <w:rPr>
          <w:rFonts w:asciiTheme="minorBidi" w:hAnsiTheme="minorBidi" w:cstheme="minorBidi"/>
          <w:sz w:val="18"/>
          <w:szCs w:val="18"/>
        </w:rPr>
        <w:t xml:space="preserve">are shown as income, whether they have been received or not. </w:t>
      </w:r>
      <w:r w:rsidR="00793897">
        <w:rPr>
          <w:rFonts w:asciiTheme="minorBidi" w:hAnsiTheme="minorBidi" w:cstheme="minorBidi"/>
          <w:sz w:val="18"/>
          <w:szCs w:val="18"/>
        </w:rPr>
        <w:t>As at</w:t>
      </w:r>
      <w:r w:rsidR="00793897" w:rsidRPr="00793897">
        <w:rPr>
          <w:rFonts w:asciiTheme="minorBidi" w:hAnsiTheme="minorBidi" w:cstheme="minorBidi"/>
          <w:sz w:val="18"/>
          <w:szCs w:val="18"/>
        </w:rPr>
        <w:t xml:space="preserve"> 30 June 2023, the total unpaid balance of assessed contributions represented the equivalent of </w:t>
      </w:r>
      <w:r w:rsidR="00FA40E0">
        <w:rPr>
          <w:rFonts w:asciiTheme="minorBidi" w:hAnsiTheme="minorBidi" w:cstheme="minorBidi"/>
          <w:sz w:val="18"/>
          <w:szCs w:val="18"/>
        </w:rPr>
        <w:t>38</w:t>
      </w:r>
      <w:r w:rsidR="00793897" w:rsidRPr="00793897">
        <w:rPr>
          <w:rFonts w:asciiTheme="minorBidi" w:hAnsiTheme="minorBidi" w:cstheme="minorBidi"/>
          <w:sz w:val="18"/>
          <w:szCs w:val="18"/>
        </w:rPr>
        <w:t xml:space="preserve">% of </w:t>
      </w:r>
      <w:r w:rsidR="00336946">
        <w:rPr>
          <w:rFonts w:asciiTheme="minorBidi" w:hAnsiTheme="minorBidi" w:cstheme="minorBidi"/>
          <w:sz w:val="18"/>
          <w:szCs w:val="18"/>
        </w:rPr>
        <w:t xml:space="preserve">2022 – </w:t>
      </w:r>
      <w:r w:rsidR="00793897" w:rsidRPr="00793897">
        <w:rPr>
          <w:rFonts w:asciiTheme="minorBidi" w:hAnsiTheme="minorBidi" w:cstheme="minorBidi"/>
          <w:sz w:val="18"/>
          <w:szCs w:val="18"/>
        </w:rPr>
        <w:t>2023</w:t>
      </w:r>
      <w:r w:rsidR="00336946">
        <w:rPr>
          <w:rFonts w:asciiTheme="minorBidi" w:hAnsiTheme="minorBidi" w:cstheme="minorBidi"/>
          <w:sz w:val="18"/>
          <w:szCs w:val="18"/>
        </w:rPr>
        <w:t xml:space="preserve"> </w:t>
      </w:r>
      <w:r w:rsidR="00793897" w:rsidRPr="00793897">
        <w:rPr>
          <w:rFonts w:asciiTheme="minorBidi" w:hAnsiTheme="minorBidi" w:cstheme="minorBidi"/>
          <w:sz w:val="18"/>
          <w:szCs w:val="18"/>
        </w:rPr>
        <w:t xml:space="preserve">compulsory contributions. </w:t>
      </w:r>
      <w:r w:rsidRPr="00D81733">
        <w:rPr>
          <w:rFonts w:asciiTheme="minorBidi" w:hAnsiTheme="minorBidi" w:cstheme="minorBidi"/>
          <w:sz w:val="18"/>
          <w:szCs w:val="18"/>
        </w:rPr>
        <w:t xml:space="preserve">Detailed account of assessed contributions received from each State Party is available in the </w:t>
      </w:r>
      <w:hyperlink r:id="rId1" w:history="1">
        <w:r w:rsidRPr="008E464F">
          <w:rPr>
            <w:rStyle w:val="Hyperlink"/>
            <w:rFonts w:asciiTheme="minorBidi" w:hAnsiTheme="minorBidi" w:cstheme="minorBidi"/>
            <w:sz w:val="18"/>
            <w:szCs w:val="18"/>
          </w:rPr>
          <w:t>Statement of assessed contributions for the period 1 January 2022 to 30 June 2023</w:t>
        </w:r>
      </w:hyperlink>
      <w:r w:rsidRPr="00D81733">
        <w:rPr>
          <w:rFonts w:asciiTheme="minorBidi" w:hAnsiTheme="minorBidi" w:cstheme="minorBidi"/>
          <w:sz w:val="18"/>
          <w:szCs w:val="18"/>
        </w:rPr>
        <w:t>.</w:t>
      </w:r>
    </w:p>
  </w:footnote>
  <w:footnote w:id="4">
    <w:p w14:paraId="673FF164" w14:textId="635E4C01" w:rsidR="00D16560" w:rsidRPr="00CD5991" w:rsidRDefault="00D16560" w:rsidP="00171DD0">
      <w:pPr>
        <w:pStyle w:val="FootnoteText"/>
        <w:jc w:val="both"/>
        <w:rPr>
          <w:rFonts w:asciiTheme="minorBidi" w:hAnsiTheme="minorBidi" w:cstheme="minorBidi"/>
          <w:sz w:val="18"/>
          <w:szCs w:val="18"/>
          <w:lang w:val="en-US"/>
        </w:rPr>
      </w:pPr>
      <w:r w:rsidRPr="00CD5991">
        <w:rPr>
          <w:rStyle w:val="FootnoteReference"/>
          <w:rFonts w:asciiTheme="minorBidi" w:hAnsiTheme="minorBidi" w:cstheme="minorBidi"/>
          <w:sz w:val="18"/>
          <w:szCs w:val="18"/>
        </w:rPr>
        <w:footnoteRef/>
      </w:r>
      <w:r w:rsidR="00171DD0">
        <w:rPr>
          <w:rFonts w:asciiTheme="minorBidi" w:hAnsiTheme="minorBidi" w:cstheme="minorBidi"/>
          <w:sz w:val="18"/>
          <w:szCs w:val="18"/>
        </w:rPr>
        <w:t xml:space="preserve"> </w:t>
      </w:r>
      <w:r w:rsidRPr="00CD5991">
        <w:rPr>
          <w:rFonts w:asciiTheme="minorBidi" w:hAnsiTheme="minorBidi" w:cstheme="minorBidi"/>
          <w:sz w:val="18"/>
          <w:szCs w:val="18"/>
          <w:lang w:val="en-US"/>
        </w:rPr>
        <w:t xml:space="preserve">All figures </w:t>
      </w:r>
      <w:r w:rsidRPr="00CD5991">
        <w:rPr>
          <w:rFonts w:asciiTheme="minorBidi" w:hAnsiTheme="minorBidi" w:cstheme="minorBidi"/>
          <w:sz w:val="18"/>
          <w:szCs w:val="18"/>
        </w:rPr>
        <w:t xml:space="preserve">in the tables </w:t>
      </w:r>
      <w:r w:rsidRPr="00CD5991">
        <w:rPr>
          <w:rFonts w:asciiTheme="minorBidi" w:hAnsiTheme="minorBidi" w:cstheme="minorBidi"/>
          <w:sz w:val="18"/>
          <w:szCs w:val="18"/>
          <w:lang w:val="en-US"/>
        </w:rPr>
        <w:t xml:space="preserve">are extracted </w:t>
      </w:r>
      <w:r w:rsidRPr="00171DD0">
        <w:rPr>
          <w:rFonts w:asciiTheme="minorBidi" w:hAnsiTheme="minorBidi" w:cstheme="minorBidi"/>
          <w:sz w:val="18"/>
          <w:szCs w:val="18"/>
        </w:rPr>
        <w:t>from</w:t>
      </w:r>
      <w:r w:rsidRPr="00CD5991">
        <w:rPr>
          <w:rFonts w:asciiTheme="minorBidi" w:hAnsiTheme="minorBidi" w:cstheme="minorBidi"/>
          <w:sz w:val="18"/>
          <w:szCs w:val="18"/>
          <w:lang w:val="en-US"/>
        </w:rPr>
        <w:t xml:space="preserve"> the Financial report (as of 3</w:t>
      </w:r>
      <w:r>
        <w:rPr>
          <w:rFonts w:asciiTheme="minorBidi" w:hAnsiTheme="minorBidi" w:cstheme="minorBidi"/>
          <w:sz w:val="18"/>
          <w:szCs w:val="18"/>
          <w:lang w:val="en-US"/>
        </w:rPr>
        <w:t>0 June 2023</w:t>
      </w:r>
      <w:r w:rsidRPr="00CD5991">
        <w:rPr>
          <w:rFonts w:asciiTheme="minorBidi" w:hAnsiTheme="minorBidi" w:cstheme="minorBidi"/>
          <w:sz w:val="18"/>
          <w:szCs w:val="18"/>
          <w:lang w:val="en-US"/>
        </w:rPr>
        <w:t>) issued by UNESCO’s Bureau of Strategic Planning – Grants Management Section.</w:t>
      </w:r>
      <w:r w:rsidRPr="00CD5991">
        <w:rPr>
          <w:rFonts w:asciiTheme="minorBidi" w:hAnsiTheme="minorBidi" w:cstheme="minorBidi"/>
          <w:sz w:val="18"/>
          <w:szCs w:val="18"/>
        </w:rPr>
        <w:t xml:space="preserve"> All figures in the tables are expressed in US dollars.</w:t>
      </w:r>
    </w:p>
  </w:footnote>
  <w:footnote w:id="5">
    <w:p w14:paraId="1B1C8530" w14:textId="77777777" w:rsidR="00F146B2" w:rsidRPr="000B41C3" w:rsidRDefault="00F146B2" w:rsidP="00D16560">
      <w:pPr>
        <w:pStyle w:val="FootnoteText"/>
        <w:rPr>
          <w:lang w:val="en-US"/>
        </w:rPr>
      </w:pPr>
      <w:r>
        <w:rPr>
          <w:rStyle w:val="FootnoteReference"/>
        </w:rPr>
        <w:footnoteRef/>
      </w:r>
      <w:r>
        <w:t xml:space="preserve"> </w:t>
      </w:r>
      <w:r w:rsidRPr="00FD7DF5">
        <w:rPr>
          <w:rFonts w:asciiTheme="minorBidi" w:hAnsiTheme="minorBidi" w:cstheme="minorBidi"/>
          <w:sz w:val="18"/>
          <w:szCs w:val="18"/>
        </w:rPr>
        <w:t>The Recommendation on Education for Peace and Human Rights, International Understanding, Cooperation, Fundamental Freedoms, Global Citizenship and Sustainable Development (adopted with this new title at the dedicated intergovernmental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6B9C" w14:textId="2B4B138F" w:rsidR="00B6167A" w:rsidRPr="007E4E37" w:rsidRDefault="00FD1941" w:rsidP="009B55AC">
    <w:pPr>
      <w:pStyle w:val="Header"/>
      <w:rPr>
        <w:rFonts w:ascii="Arial" w:hAnsi="Arial" w:cs="Arial"/>
      </w:rPr>
    </w:pPr>
    <w:r>
      <w:rPr>
        <w:rFonts w:ascii="Arial" w:hAnsi="Arial" w:cs="Arial"/>
        <w:sz w:val="20"/>
        <w:szCs w:val="20"/>
      </w:rPr>
      <w:t>LHE/2</w:t>
    </w:r>
    <w:r w:rsidR="00025B58">
      <w:rPr>
        <w:rFonts w:ascii="Arial" w:hAnsi="Arial" w:cs="Arial"/>
        <w:sz w:val="20"/>
        <w:szCs w:val="20"/>
      </w:rPr>
      <w:t>3</w:t>
    </w:r>
    <w:r>
      <w:rPr>
        <w:rFonts w:ascii="Arial" w:hAnsi="Arial" w:cs="Arial"/>
        <w:sz w:val="20"/>
        <w:szCs w:val="20"/>
      </w:rPr>
      <w:t>/1</w:t>
    </w:r>
    <w:r w:rsidR="00025B58">
      <w:rPr>
        <w:rFonts w:ascii="Arial" w:hAnsi="Arial" w:cs="Arial"/>
        <w:sz w:val="20"/>
        <w:szCs w:val="20"/>
      </w:rPr>
      <w:t>8</w:t>
    </w:r>
    <w:r w:rsidR="007E4E37">
      <w:rPr>
        <w:rFonts w:ascii="Arial" w:hAnsi="Arial" w:cs="Arial"/>
        <w:sz w:val="20"/>
        <w:szCs w:val="20"/>
      </w:rPr>
      <w:t>.COM</w:t>
    </w:r>
    <w:r w:rsidR="000A34CE" w:rsidRPr="00D81948">
      <w:rPr>
        <w:rFonts w:ascii="Arial" w:hAnsi="Arial" w:cs="Arial"/>
        <w:sz w:val="20"/>
        <w:szCs w:val="20"/>
      </w:rPr>
      <w:t>/INF.</w:t>
    </w:r>
    <w:r w:rsidR="001D7B07">
      <w:rPr>
        <w:rFonts w:ascii="Arial" w:hAnsi="Arial" w:cs="Arial"/>
        <w:sz w:val="20"/>
        <w:szCs w:val="20"/>
      </w:rPr>
      <w:t>14</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5B8C" w14:textId="4DCFDB3E"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8C49C6">
      <w:rPr>
        <w:rFonts w:ascii="Arial" w:hAnsi="Arial" w:cs="Arial"/>
        <w:sz w:val="20"/>
        <w:szCs w:val="20"/>
        <w:lang w:val="en-US"/>
      </w:rPr>
      <w:t>3</w:t>
    </w:r>
    <w:r>
      <w:rPr>
        <w:rFonts w:ascii="Arial" w:hAnsi="Arial" w:cs="Arial"/>
        <w:sz w:val="20"/>
        <w:szCs w:val="20"/>
        <w:lang w:val="en-US"/>
      </w:rPr>
      <w:t>/1</w:t>
    </w:r>
    <w:r w:rsidR="008C49C6">
      <w:rPr>
        <w:rFonts w:ascii="Arial" w:hAnsi="Arial" w:cs="Arial"/>
        <w:sz w:val="20"/>
        <w:szCs w:val="20"/>
        <w:lang w:val="en-US"/>
      </w:rPr>
      <w:t>8</w:t>
    </w:r>
    <w:r w:rsidR="007E4E37">
      <w:rPr>
        <w:rFonts w:ascii="Arial" w:hAnsi="Arial" w:cs="Arial"/>
        <w:sz w:val="20"/>
        <w:szCs w:val="20"/>
        <w:lang w:val="en-US"/>
      </w:rPr>
      <w:t>.COM</w:t>
    </w:r>
    <w:r w:rsidR="001E4EEB">
      <w:rPr>
        <w:rFonts w:ascii="Arial" w:hAnsi="Arial" w:cs="Arial"/>
        <w:sz w:val="20"/>
        <w:szCs w:val="20"/>
        <w:lang w:val="en-US"/>
      </w:rPr>
      <w:t>/INF.</w:t>
    </w:r>
    <w:r w:rsidR="001D7B07">
      <w:rPr>
        <w:rFonts w:ascii="Arial" w:hAnsi="Arial" w:cs="Arial"/>
        <w:sz w:val="20"/>
        <w:szCs w:val="20"/>
        <w:lang w:val="en-US"/>
      </w:rPr>
      <w:t>14</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68CC4" w14:textId="42F3E8D3" w:rsidR="00B6167A" w:rsidRPr="001460CA" w:rsidRDefault="008F7B13">
    <w:pPr>
      <w:pStyle w:val="Header"/>
    </w:pPr>
    <w:r w:rsidRPr="001460CA">
      <w:rPr>
        <w:noProof/>
      </w:rPr>
      <w:drawing>
        <wp:anchor distT="0" distB="0" distL="114300" distR="114300" simplePos="0" relativeHeight="251659264" behindDoc="0" locked="0" layoutInCell="1" allowOverlap="1" wp14:anchorId="2237BEFF" wp14:editId="3AB44170">
          <wp:simplePos x="0" y="0"/>
          <wp:positionH relativeFrom="margin">
            <wp:align>left</wp:align>
          </wp:positionH>
          <wp:positionV relativeFrom="paragraph">
            <wp:posOffset>78105</wp:posOffset>
          </wp:positionV>
          <wp:extent cx="1711325" cy="1296035"/>
          <wp:effectExtent l="0" t="0" r="3175" b="0"/>
          <wp:wrapSquare wrapText="bothSides"/>
          <wp:docPr id="150716896" name="Picture 15071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7BD20ECB" w:rsidR="00B6167A" w:rsidRPr="001460CA" w:rsidRDefault="00E3509F" w:rsidP="001943EE">
    <w:pPr>
      <w:pStyle w:val="Header"/>
      <w:spacing w:after="520"/>
      <w:jc w:val="right"/>
      <w:rPr>
        <w:rFonts w:ascii="Arial" w:hAnsi="Arial" w:cs="Arial"/>
        <w:b/>
        <w:sz w:val="44"/>
        <w:szCs w:val="44"/>
        <w:lang w:val="pt-PT"/>
      </w:rPr>
    </w:pPr>
    <w:r w:rsidRPr="001460CA">
      <w:rPr>
        <w:rFonts w:ascii="Arial" w:hAnsi="Arial" w:cs="Arial"/>
        <w:b/>
        <w:sz w:val="44"/>
        <w:szCs w:val="44"/>
        <w:lang w:val="pt-PT"/>
      </w:rPr>
      <w:t>1</w:t>
    </w:r>
    <w:r w:rsidR="00025B58" w:rsidRPr="001460CA">
      <w:rPr>
        <w:rFonts w:ascii="Arial" w:hAnsi="Arial" w:cs="Arial"/>
        <w:b/>
        <w:sz w:val="44"/>
        <w:szCs w:val="44"/>
        <w:lang w:val="pt-PT"/>
      </w:rPr>
      <w:t>8</w:t>
    </w:r>
    <w:r w:rsidR="00B6167A" w:rsidRPr="001460CA">
      <w:rPr>
        <w:rFonts w:ascii="Arial" w:hAnsi="Arial" w:cs="Arial"/>
        <w:b/>
        <w:sz w:val="44"/>
        <w:szCs w:val="44"/>
        <w:lang w:val="pt-PT"/>
      </w:rPr>
      <w:t xml:space="preserve"> </w:t>
    </w:r>
    <w:r w:rsidR="007E4E37" w:rsidRPr="001460CA">
      <w:rPr>
        <w:rFonts w:ascii="Arial" w:hAnsi="Arial" w:cs="Arial"/>
        <w:b/>
        <w:sz w:val="44"/>
        <w:szCs w:val="44"/>
        <w:lang w:val="pt-PT"/>
      </w:rPr>
      <w:t>COM</w:t>
    </w:r>
  </w:p>
  <w:p w14:paraId="49B0C39B" w14:textId="74C4FFA6" w:rsidR="00B6167A" w:rsidRPr="001460CA" w:rsidRDefault="00FD1941" w:rsidP="009B55AC">
    <w:pPr>
      <w:spacing w:after="0"/>
      <w:jc w:val="right"/>
      <w:rPr>
        <w:rFonts w:ascii="Arial" w:hAnsi="Arial" w:cs="Arial"/>
        <w:b/>
        <w:szCs w:val="22"/>
        <w:lang w:val="pt-PT"/>
      </w:rPr>
    </w:pPr>
    <w:r w:rsidRPr="001460CA">
      <w:rPr>
        <w:rFonts w:ascii="Arial" w:hAnsi="Arial" w:cs="Arial"/>
        <w:b/>
        <w:szCs w:val="22"/>
        <w:lang w:val="pt-PT"/>
      </w:rPr>
      <w:t>LHE/2</w:t>
    </w:r>
    <w:r w:rsidR="00025B58" w:rsidRPr="001460CA">
      <w:rPr>
        <w:rFonts w:ascii="Arial" w:hAnsi="Arial" w:cs="Arial"/>
        <w:b/>
        <w:szCs w:val="22"/>
        <w:lang w:val="pt-PT"/>
      </w:rPr>
      <w:t>3</w:t>
    </w:r>
    <w:r w:rsidRPr="001460CA">
      <w:rPr>
        <w:rFonts w:ascii="Arial" w:hAnsi="Arial" w:cs="Arial"/>
        <w:b/>
        <w:szCs w:val="22"/>
        <w:lang w:val="pt-PT"/>
      </w:rPr>
      <w:t>/1</w:t>
    </w:r>
    <w:r w:rsidR="00025B58" w:rsidRPr="001460CA">
      <w:rPr>
        <w:rFonts w:ascii="Arial" w:hAnsi="Arial" w:cs="Arial"/>
        <w:b/>
        <w:szCs w:val="22"/>
        <w:lang w:val="pt-PT"/>
      </w:rPr>
      <w:t>8</w:t>
    </w:r>
    <w:r w:rsidR="00B6167A" w:rsidRPr="001460CA">
      <w:rPr>
        <w:rFonts w:ascii="Arial" w:hAnsi="Arial" w:cs="Arial"/>
        <w:b/>
        <w:szCs w:val="22"/>
        <w:lang w:val="pt-PT"/>
      </w:rPr>
      <w:t>.</w:t>
    </w:r>
    <w:r w:rsidR="007E4E37" w:rsidRPr="001460CA">
      <w:rPr>
        <w:rFonts w:ascii="Arial" w:hAnsi="Arial" w:cs="Arial"/>
        <w:b/>
        <w:szCs w:val="22"/>
        <w:lang w:val="pt-PT"/>
      </w:rPr>
      <w:t>COM</w:t>
    </w:r>
    <w:r w:rsidR="00B6167A" w:rsidRPr="001460CA">
      <w:rPr>
        <w:rFonts w:ascii="Arial" w:hAnsi="Arial" w:cs="Arial"/>
        <w:b/>
        <w:szCs w:val="22"/>
        <w:lang w:val="pt-PT"/>
      </w:rPr>
      <w:t>/INF.</w:t>
    </w:r>
    <w:r w:rsidR="00395970" w:rsidRPr="001460CA">
      <w:rPr>
        <w:rFonts w:ascii="Arial" w:hAnsi="Arial" w:cs="Arial"/>
        <w:b/>
        <w:szCs w:val="22"/>
        <w:lang w:val="pt-PT"/>
      </w:rPr>
      <w:t>14</w:t>
    </w:r>
  </w:p>
  <w:p w14:paraId="1D4CE950" w14:textId="7878B94E" w:rsidR="00B6167A" w:rsidRPr="001460CA" w:rsidRDefault="00B6167A" w:rsidP="002D396D">
    <w:pPr>
      <w:spacing w:after="0"/>
      <w:jc w:val="right"/>
      <w:rPr>
        <w:rFonts w:ascii="Arial" w:eastAsiaTheme="minorEastAsia" w:hAnsi="Arial" w:cs="Arial"/>
        <w:b/>
        <w:szCs w:val="22"/>
        <w:lang w:val="pt-PT" w:eastAsia="ko-KR"/>
      </w:rPr>
    </w:pPr>
    <w:r w:rsidRPr="001460CA">
      <w:rPr>
        <w:rFonts w:ascii="Arial" w:hAnsi="Arial" w:cs="Arial"/>
        <w:b/>
        <w:szCs w:val="22"/>
        <w:lang w:val="pt-PT"/>
      </w:rPr>
      <w:t xml:space="preserve">Paris, </w:t>
    </w:r>
    <w:r w:rsidR="001460CA" w:rsidRPr="001460CA">
      <w:rPr>
        <w:rFonts w:ascii="Arial" w:hAnsi="Arial" w:cs="Arial"/>
        <w:b/>
        <w:szCs w:val="22"/>
        <w:lang w:val="pt-PT"/>
      </w:rPr>
      <w:t xml:space="preserve">8 </w:t>
    </w:r>
    <w:r w:rsidR="00770763" w:rsidRPr="001460CA">
      <w:rPr>
        <w:rFonts w:ascii="Arial" w:hAnsi="Arial" w:cs="Arial"/>
        <w:b/>
        <w:szCs w:val="22"/>
        <w:lang w:val="pt-PT"/>
      </w:rPr>
      <w:t>November</w:t>
    </w:r>
    <w:r w:rsidR="00FD1941" w:rsidRPr="001460CA">
      <w:rPr>
        <w:rFonts w:ascii="Arial" w:hAnsi="Arial" w:cs="Arial"/>
        <w:b/>
        <w:szCs w:val="22"/>
        <w:lang w:val="pt-PT"/>
      </w:rPr>
      <w:t xml:space="preserve"> 202</w:t>
    </w:r>
    <w:r w:rsidR="00025B58" w:rsidRPr="001460CA">
      <w:rPr>
        <w:rFonts w:ascii="Arial" w:hAnsi="Arial" w:cs="Arial"/>
        <w:b/>
        <w:szCs w:val="22"/>
        <w:lang w:val="pt-PT"/>
      </w:rPr>
      <w:t>3</w:t>
    </w:r>
  </w:p>
  <w:p w14:paraId="2A9F75AF" w14:textId="4A76AD5F" w:rsidR="00B6167A" w:rsidRPr="00C71078" w:rsidRDefault="00B6167A" w:rsidP="008F7B13">
    <w:pPr>
      <w:jc w:val="right"/>
      <w:rPr>
        <w:rFonts w:ascii="Arial" w:hAnsi="Arial" w:cs="Arial"/>
        <w:b/>
        <w:szCs w:val="22"/>
        <w:lang w:val="en-US"/>
      </w:rPr>
    </w:pPr>
    <w:r w:rsidRPr="001460CA">
      <w:rPr>
        <w:rFonts w:ascii="Arial" w:hAnsi="Arial" w:cs="Arial"/>
        <w:b/>
        <w:szCs w:val="22"/>
        <w:lang w:val="en-US"/>
      </w:rPr>
      <w:t xml:space="preserve">Original: </w:t>
    </w:r>
    <w:r w:rsidR="00395970" w:rsidRPr="001460CA">
      <w:rPr>
        <w:rFonts w:ascii="Arial" w:hAnsi="Arial" w:cs="Arial"/>
        <w:b/>
        <w:szCs w:val="22"/>
        <w:lang w:val="en-US"/>
      </w:rPr>
      <w:t>English</w:t>
    </w:r>
  </w:p>
  <w:p w14:paraId="42728953" w14:textId="77777777" w:rsidR="00B6167A" w:rsidRPr="00C71078" w:rsidRDefault="00B6167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A7F8F"/>
    <w:multiLevelType w:val="hybridMultilevel"/>
    <w:tmpl w:val="9F48024E"/>
    <w:lvl w:ilvl="0" w:tplc="040C0001">
      <w:start w:val="1"/>
      <w:numFmt w:val="bullet"/>
      <w:lvlText w:val=""/>
      <w:lvlJc w:val="left"/>
      <w:pPr>
        <w:ind w:left="720" w:hanging="360"/>
      </w:pPr>
      <w:rPr>
        <w:rFonts w:ascii="Symbol" w:hAnsi="Symbo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9206FC"/>
    <w:multiLevelType w:val="hybridMultilevel"/>
    <w:tmpl w:val="55E8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9E65B0"/>
    <w:multiLevelType w:val="hybridMultilevel"/>
    <w:tmpl w:val="B626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13607"/>
    <w:multiLevelType w:val="hybridMultilevel"/>
    <w:tmpl w:val="D11E195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15:restartNumberingAfterBreak="0">
    <w:nsid w:val="2F673C92"/>
    <w:multiLevelType w:val="hybridMultilevel"/>
    <w:tmpl w:val="568A4FB0"/>
    <w:lvl w:ilvl="0" w:tplc="0C6E27C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5F07BFE"/>
    <w:multiLevelType w:val="hybridMultilevel"/>
    <w:tmpl w:val="EBFA8EA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2C6347"/>
    <w:multiLevelType w:val="hybridMultilevel"/>
    <w:tmpl w:val="341A583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3CCE7D71"/>
    <w:multiLevelType w:val="hybridMultilevel"/>
    <w:tmpl w:val="CA9A18BC"/>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F802DE"/>
    <w:multiLevelType w:val="hybridMultilevel"/>
    <w:tmpl w:val="B672A3A8"/>
    <w:lvl w:ilvl="0" w:tplc="E27AF890">
      <w:start w:val="1"/>
      <w:numFmt w:val="lowerLetter"/>
      <w:lvlText w:val="%1)"/>
      <w:lvlJc w:val="left"/>
      <w:pPr>
        <w:ind w:left="720" w:hanging="360"/>
      </w:pPr>
      <w:rPr>
        <w:rFonts w:eastAsia="SimSun"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B71665"/>
    <w:multiLevelType w:val="hybridMultilevel"/>
    <w:tmpl w:val="929CF4D0"/>
    <w:lvl w:ilvl="0" w:tplc="D04ECF5C">
      <w:start w:val="1"/>
      <w:numFmt w:val="decimal"/>
      <w:pStyle w:val="ListParagraph"/>
      <w:lvlText w:val="%1."/>
      <w:lvlJc w:val="left"/>
      <w:pPr>
        <w:ind w:left="502"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917F26"/>
    <w:multiLevelType w:val="hybridMultilevel"/>
    <w:tmpl w:val="C9B8373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889413046">
    <w:abstractNumId w:val="2"/>
  </w:num>
  <w:num w:numId="2" w16cid:durableId="1683429667">
    <w:abstractNumId w:val="6"/>
  </w:num>
  <w:num w:numId="3" w16cid:durableId="1838766155">
    <w:abstractNumId w:val="5"/>
  </w:num>
  <w:num w:numId="4" w16cid:durableId="517619948">
    <w:abstractNumId w:val="8"/>
  </w:num>
  <w:num w:numId="5" w16cid:durableId="2040007478">
    <w:abstractNumId w:val="9"/>
  </w:num>
  <w:num w:numId="6" w16cid:durableId="2076783575">
    <w:abstractNumId w:val="10"/>
  </w:num>
  <w:num w:numId="7" w16cid:durableId="263080382">
    <w:abstractNumId w:val="6"/>
    <w:lvlOverride w:ilvl="0">
      <w:startOverride w:val="1"/>
    </w:lvlOverride>
  </w:num>
  <w:num w:numId="8" w16cid:durableId="1350911261">
    <w:abstractNumId w:val="0"/>
  </w:num>
  <w:num w:numId="9" w16cid:durableId="953289886">
    <w:abstractNumId w:val="4"/>
  </w:num>
  <w:num w:numId="10" w16cid:durableId="1478261462">
    <w:abstractNumId w:val="7"/>
  </w:num>
  <w:num w:numId="11" w16cid:durableId="778640863">
    <w:abstractNumId w:val="11"/>
  </w:num>
  <w:num w:numId="12" w16cid:durableId="1323578905">
    <w:abstractNumId w:val="1"/>
  </w:num>
  <w:num w:numId="13" w16cid:durableId="55091921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A1"/>
    <w:rsid w:val="000016A4"/>
    <w:rsid w:val="000019DB"/>
    <w:rsid w:val="000047CC"/>
    <w:rsid w:val="000120FD"/>
    <w:rsid w:val="00021831"/>
    <w:rsid w:val="0002389E"/>
    <w:rsid w:val="00025B58"/>
    <w:rsid w:val="00030AAA"/>
    <w:rsid w:val="000326D5"/>
    <w:rsid w:val="00035240"/>
    <w:rsid w:val="000412B0"/>
    <w:rsid w:val="00041409"/>
    <w:rsid w:val="00047E58"/>
    <w:rsid w:val="00055A0C"/>
    <w:rsid w:val="00073D20"/>
    <w:rsid w:val="000755E1"/>
    <w:rsid w:val="00085541"/>
    <w:rsid w:val="00093063"/>
    <w:rsid w:val="00095C2D"/>
    <w:rsid w:val="00097940"/>
    <w:rsid w:val="000A34CE"/>
    <w:rsid w:val="000A5E8D"/>
    <w:rsid w:val="000C6248"/>
    <w:rsid w:val="000C65E4"/>
    <w:rsid w:val="000D066E"/>
    <w:rsid w:val="000D1728"/>
    <w:rsid w:val="000E01E2"/>
    <w:rsid w:val="000E7C1F"/>
    <w:rsid w:val="000F74B9"/>
    <w:rsid w:val="00105335"/>
    <w:rsid w:val="001064D8"/>
    <w:rsid w:val="00106B72"/>
    <w:rsid w:val="00115A7E"/>
    <w:rsid w:val="0011750D"/>
    <w:rsid w:val="001332C9"/>
    <w:rsid w:val="001412DE"/>
    <w:rsid w:val="00144A4D"/>
    <w:rsid w:val="001460CA"/>
    <w:rsid w:val="00151351"/>
    <w:rsid w:val="00155371"/>
    <w:rsid w:val="001704EE"/>
    <w:rsid w:val="00171DD0"/>
    <w:rsid w:val="00174B39"/>
    <w:rsid w:val="00180B7F"/>
    <w:rsid w:val="00186BEB"/>
    <w:rsid w:val="001943EE"/>
    <w:rsid w:val="001A431C"/>
    <w:rsid w:val="001A609F"/>
    <w:rsid w:val="001A6883"/>
    <w:rsid w:val="001B3D4B"/>
    <w:rsid w:val="001C5A09"/>
    <w:rsid w:val="001C5BA7"/>
    <w:rsid w:val="001D00B5"/>
    <w:rsid w:val="001D0F22"/>
    <w:rsid w:val="001D3B29"/>
    <w:rsid w:val="001D3DE5"/>
    <w:rsid w:val="001D7B07"/>
    <w:rsid w:val="001E0929"/>
    <w:rsid w:val="001E4EEB"/>
    <w:rsid w:val="001E6026"/>
    <w:rsid w:val="001F3152"/>
    <w:rsid w:val="001F3696"/>
    <w:rsid w:val="001F37CA"/>
    <w:rsid w:val="001F701D"/>
    <w:rsid w:val="00204B37"/>
    <w:rsid w:val="002105E4"/>
    <w:rsid w:val="0023070C"/>
    <w:rsid w:val="00237E43"/>
    <w:rsid w:val="00245A94"/>
    <w:rsid w:val="002565A0"/>
    <w:rsid w:val="00260992"/>
    <w:rsid w:val="00271367"/>
    <w:rsid w:val="0027198B"/>
    <w:rsid w:val="00286C0C"/>
    <w:rsid w:val="00290D5F"/>
    <w:rsid w:val="002938F2"/>
    <w:rsid w:val="00294043"/>
    <w:rsid w:val="002C5280"/>
    <w:rsid w:val="002D396D"/>
    <w:rsid w:val="002D739F"/>
    <w:rsid w:val="002E08C2"/>
    <w:rsid w:val="00307B6A"/>
    <w:rsid w:val="00310B70"/>
    <w:rsid w:val="00323D91"/>
    <w:rsid w:val="00324EA0"/>
    <w:rsid w:val="00331641"/>
    <w:rsid w:val="00336946"/>
    <w:rsid w:val="00346CD5"/>
    <w:rsid w:val="0035100E"/>
    <w:rsid w:val="003518AD"/>
    <w:rsid w:val="0035648A"/>
    <w:rsid w:val="00360765"/>
    <w:rsid w:val="00361720"/>
    <w:rsid w:val="00363995"/>
    <w:rsid w:val="003846C7"/>
    <w:rsid w:val="0039446E"/>
    <w:rsid w:val="00395970"/>
    <w:rsid w:val="003A3EAA"/>
    <w:rsid w:val="003B019C"/>
    <w:rsid w:val="003C27D9"/>
    <w:rsid w:val="003C7065"/>
    <w:rsid w:val="004011DA"/>
    <w:rsid w:val="00402C3F"/>
    <w:rsid w:val="00403DB8"/>
    <w:rsid w:val="004108B6"/>
    <w:rsid w:val="0041518D"/>
    <w:rsid w:val="004163D1"/>
    <w:rsid w:val="004270CF"/>
    <w:rsid w:val="0043012A"/>
    <w:rsid w:val="00432703"/>
    <w:rsid w:val="00434773"/>
    <w:rsid w:val="00435EF5"/>
    <w:rsid w:val="00440C23"/>
    <w:rsid w:val="00447C66"/>
    <w:rsid w:val="0045085A"/>
    <w:rsid w:val="00470D63"/>
    <w:rsid w:val="00471B34"/>
    <w:rsid w:val="00475F32"/>
    <w:rsid w:val="004814AB"/>
    <w:rsid w:val="004817D5"/>
    <w:rsid w:val="00483688"/>
    <w:rsid w:val="004A2055"/>
    <w:rsid w:val="004A6627"/>
    <w:rsid w:val="004C5C23"/>
    <w:rsid w:val="004D677D"/>
    <w:rsid w:val="004E056C"/>
    <w:rsid w:val="004E2817"/>
    <w:rsid w:val="004F119D"/>
    <w:rsid w:val="004F6A5A"/>
    <w:rsid w:val="005016FB"/>
    <w:rsid w:val="005019D9"/>
    <w:rsid w:val="00503C3C"/>
    <w:rsid w:val="00507D7B"/>
    <w:rsid w:val="00511D17"/>
    <w:rsid w:val="00513825"/>
    <w:rsid w:val="0051699F"/>
    <w:rsid w:val="00517D40"/>
    <w:rsid w:val="005406A6"/>
    <w:rsid w:val="005414A1"/>
    <w:rsid w:val="00547BCA"/>
    <w:rsid w:val="005542D3"/>
    <w:rsid w:val="00556B45"/>
    <w:rsid w:val="00570814"/>
    <w:rsid w:val="00581F19"/>
    <w:rsid w:val="00593636"/>
    <w:rsid w:val="00596887"/>
    <w:rsid w:val="005A2F82"/>
    <w:rsid w:val="005C0660"/>
    <w:rsid w:val="005D198E"/>
    <w:rsid w:val="005D3BB6"/>
    <w:rsid w:val="005E4BA4"/>
    <w:rsid w:val="005F0B3F"/>
    <w:rsid w:val="005F6F4B"/>
    <w:rsid w:val="00601DD6"/>
    <w:rsid w:val="00603F71"/>
    <w:rsid w:val="00636760"/>
    <w:rsid w:val="006515C9"/>
    <w:rsid w:val="00652318"/>
    <w:rsid w:val="0067005F"/>
    <w:rsid w:val="0067230D"/>
    <w:rsid w:val="0068212C"/>
    <w:rsid w:val="00697AFB"/>
    <w:rsid w:val="006A0D86"/>
    <w:rsid w:val="006A475E"/>
    <w:rsid w:val="006B0B45"/>
    <w:rsid w:val="006B217A"/>
    <w:rsid w:val="006B692E"/>
    <w:rsid w:val="006C0911"/>
    <w:rsid w:val="006C361B"/>
    <w:rsid w:val="006C5E5E"/>
    <w:rsid w:val="006C6907"/>
    <w:rsid w:val="006C6B75"/>
    <w:rsid w:val="006D46FB"/>
    <w:rsid w:val="007104E1"/>
    <w:rsid w:val="007216F2"/>
    <w:rsid w:val="00732492"/>
    <w:rsid w:val="00735A94"/>
    <w:rsid w:val="00746204"/>
    <w:rsid w:val="00747715"/>
    <w:rsid w:val="00750138"/>
    <w:rsid w:val="0075157E"/>
    <w:rsid w:val="00752B6B"/>
    <w:rsid w:val="00753DA3"/>
    <w:rsid w:val="00764F50"/>
    <w:rsid w:val="0076613D"/>
    <w:rsid w:val="00770763"/>
    <w:rsid w:val="00770A92"/>
    <w:rsid w:val="00773F9E"/>
    <w:rsid w:val="00774A47"/>
    <w:rsid w:val="00774CCE"/>
    <w:rsid w:val="00775C3C"/>
    <w:rsid w:val="00776DAE"/>
    <w:rsid w:val="007867A9"/>
    <w:rsid w:val="00790C65"/>
    <w:rsid w:val="00793897"/>
    <w:rsid w:val="00795991"/>
    <w:rsid w:val="007A074A"/>
    <w:rsid w:val="007A7D45"/>
    <w:rsid w:val="007A7DD8"/>
    <w:rsid w:val="007B5137"/>
    <w:rsid w:val="007B73CF"/>
    <w:rsid w:val="007B7AF4"/>
    <w:rsid w:val="007C0F7E"/>
    <w:rsid w:val="007C1B00"/>
    <w:rsid w:val="007D13D9"/>
    <w:rsid w:val="007D31CE"/>
    <w:rsid w:val="007D43A7"/>
    <w:rsid w:val="007D5BB7"/>
    <w:rsid w:val="007E0621"/>
    <w:rsid w:val="007E4E37"/>
    <w:rsid w:val="007F2304"/>
    <w:rsid w:val="007F3697"/>
    <w:rsid w:val="007F43E8"/>
    <w:rsid w:val="007F4B07"/>
    <w:rsid w:val="007F5A76"/>
    <w:rsid w:val="00805C0C"/>
    <w:rsid w:val="00831FFD"/>
    <w:rsid w:val="0083488D"/>
    <w:rsid w:val="008412CC"/>
    <w:rsid w:val="008466C3"/>
    <w:rsid w:val="008475CB"/>
    <w:rsid w:val="00851458"/>
    <w:rsid w:val="00861A2C"/>
    <w:rsid w:val="00861A47"/>
    <w:rsid w:val="00865B13"/>
    <w:rsid w:val="008707FF"/>
    <w:rsid w:val="008724E5"/>
    <w:rsid w:val="0087482F"/>
    <w:rsid w:val="00874EE6"/>
    <w:rsid w:val="00884E20"/>
    <w:rsid w:val="00886DA3"/>
    <w:rsid w:val="008C49C6"/>
    <w:rsid w:val="008D3BF7"/>
    <w:rsid w:val="008D7989"/>
    <w:rsid w:val="008E2DC4"/>
    <w:rsid w:val="008E2EE5"/>
    <w:rsid w:val="008E464F"/>
    <w:rsid w:val="008E7DC6"/>
    <w:rsid w:val="008F16C6"/>
    <w:rsid w:val="008F34A1"/>
    <w:rsid w:val="008F54FA"/>
    <w:rsid w:val="008F7B13"/>
    <w:rsid w:val="00903B86"/>
    <w:rsid w:val="009052A5"/>
    <w:rsid w:val="00905AC4"/>
    <w:rsid w:val="00906C21"/>
    <w:rsid w:val="009101C1"/>
    <w:rsid w:val="009121CE"/>
    <w:rsid w:val="009127D8"/>
    <w:rsid w:val="00921F65"/>
    <w:rsid w:val="00926986"/>
    <w:rsid w:val="00936A1B"/>
    <w:rsid w:val="00962914"/>
    <w:rsid w:val="00964884"/>
    <w:rsid w:val="0097349C"/>
    <w:rsid w:val="00987A4B"/>
    <w:rsid w:val="00993489"/>
    <w:rsid w:val="00993578"/>
    <w:rsid w:val="009965B9"/>
    <w:rsid w:val="009A2865"/>
    <w:rsid w:val="009B333A"/>
    <w:rsid w:val="009B55AC"/>
    <w:rsid w:val="009C0E80"/>
    <w:rsid w:val="009C757B"/>
    <w:rsid w:val="009D4547"/>
    <w:rsid w:val="009D5E38"/>
    <w:rsid w:val="009F34A4"/>
    <w:rsid w:val="009F3988"/>
    <w:rsid w:val="009F7FBA"/>
    <w:rsid w:val="00A052F1"/>
    <w:rsid w:val="00A12DEC"/>
    <w:rsid w:val="00A150C7"/>
    <w:rsid w:val="00A1554F"/>
    <w:rsid w:val="00A4400E"/>
    <w:rsid w:val="00A469E4"/>
    <w:rsid w:val="00A519A2"/>
    <w:rsid w:val="00A611D6"/>
    <w:rsid w:val="00A70883"/>
    <w:rsid w:val="00A75A8E"/>
    <w:rsid w:val="00A77AEB"/>
    <w:rsid w:val="00A86042"/>
    <w:rsid w:val="00A87C0D"/>
    <w:rsid w:val="00A90A34"/>
    <w:rsid w:val="00AA41AB"/>
    <w:rsid w:val="00AA444A"/>
    <w:rsid w:val="00AA6C70"/>
    <w:rsid w:val="00AB1528"/>
    <w:rsid w:val="00AC3B77"/>
    <w:rsid w:val="00AD1D70"/>
    <w:rsid w:val="00AE042C"/>
    <w:rsid w:val="00AE1B18"/>
    <w:rsid w:val="00AE2290"/>
    <w:rsid w:val="00AF086B"/>
    <w:rsid w:val="00AF1C32"/>
    <w:rsid w:val="00B11AE3"/>
    <w:rsid w:val="00B37797"/>
    <w:rsid w:val="00B46D2E"/>
    <w:rsid w:val="00B6167A"/>
    <w:rsid w:val="00B62CB0"/>
    <w:rsid w:val="00B63630"/>
    <w:rsid w:val="00B6618F"/>
    <w:rsid w:val="00B81B26"/>
    <w:rsid w:val="00B92DA4"/>
    <w:rsid w:val="00B94EDB"/>
    <w:rsid w:val="00B973B5"/>
    <w:rsid w:val="00BA7E21"/>
    <w:rsid w:val="00BB0067"/>
    <w:rsid w:val="00BB1FA8"/>
    <w:rsid w:val="00BB50E0"/>
    <w:rsid w:val="00BB686A"/>
    <w:rsid w:val="00BC31ED"/>
    <w:rsid w:val="00BC48F6"/>
    <w:rsid w:val="00BC678F"/>
    <w:rsid w:val="00BD59BD"/>
    <w:rsid w:val="00BD7626"/>
    <w:rsid w:val="00C0520C"/>
    <w:rsid w:val="00C119B2"/>
    <w:rsid w:val="00C15A3F"/>
    <w:rsid w:val="00C1651E"/>
    <w:rsid w:val="00C167FD"/>
    <w:rsid w:val="00C3220B"/>
    <w:rsid w:val="00C32823"/>
    <w:rsid w:val="00C415F3"/>
    <w:rsid w:val="00C41697"/>
    <w:rsid w:val="00C41F8A"/>
    <w:rsid w:val="00C429A4"/>
    <w:rsid w:val="00C459A3"/>
    <w:rsid w:val="00C46E50"/>
    <w:rsid w:val="00C61521"/>
    <w:rsid w:val="00C63531"/>
    <w:rsid w:val="00C63EAB"/>
    <w:rsid w:val="00C6478B"/>
    <w:rsid w:val="00C65379"/>
    <w:rsid w:val="00C70EFC"/>
    <w:rsid w:val="00C71078"/>
    <w:rsid w:val="00C74187"/>
    <w:rsid w:val="00C86AB5"/>
    <w:rsid w:val="00CA07FE"/>
    <w:rsid w:val="00CB0F37"/>
    <w:rsid w:val="00CC2BC6"/>
    <w:rsid w:val="00CE2586"/>
    <w:rsid w:val="00CE4307"/>
    <w:rsid w:val="00CF694E"/>
    <w:rsid w:val="00D03172"/>
    <w:rsid w:val="00D061D2"/>
    <w:rsid w:val="00D16560"/>
    <w:rsid w:val="00D16706"/>
    <w:rsid w:val="00D3584A"/>
    <w:rsid w:val="00D404B7"/>
    <w:rsid w:val="00D44273"/>
    <w:rsid w:val="00D46EBD"/>
    <w:rsid w:val="00D52E44"/>
    <w:rsid w:val="00D608BF"/>
    <w:rsid w:val="00D61969"/>
    <w:rsid w:val="00D75494"/>
    <w:rsid w:val="00D76652"/>
    <w:rsid w:val="00D76ADD"/>
    <w:rsid w:val="00D809E5"/>
    <w:rsid w:val="00D81948"/>
    <w:rsid w:val="00D9501F"/>
    <w:rsid w:val="00DB50D5"/>
    <w:rsid w:val="00DB64D7"/>
    <w:rsid w:val="00DB70D3"/>
    <w:rsid w:val="00DC75A2"/>
    <w:rsid w:val="00DE4CB9"/>
    <w:rsid w:val="00DE5F33"/>
    <w:rsid w:val="00DF3DA3"/>
    <w:rsid w:val="00E047ED"/>
    <w:rsid w:val="00E06A00"/>
    <w:rsid w:val="00E22B99"/>
    <w:rsid w:val="00E258D9"/>
    <w:rsid w:val="00E34401"/>
    <w:rsid w:val="00E3509F"/>
    <w:rsid w:val="00E439CA"/>
    <w:rsid w:val="00E5219B"/>
    <w:rsid w:val="00E606F5"/>
    <w:rsid w:val="00E72B36"/>
    <w:rsid w:val="00E759B7"/>
    <w:rsid w:val="00E93F6E"/>
    <w:rsid w:val="00E979AF"/>
    <w:rsid w:val="00EA198F"/>
    <w:rsid w:val="00EA38FE"/>
    <w:rsid w:val="00EB4E63"/>
    <w:rsid w:val="00EB5D16"/>
    <w:rsid w:val="00EF0BCB"/>
    <w:rsid w:val="00EF0E74"/>
    <w:rsid w:val="00EF4342"/>
    <w:rsid w:val="00F00E8A"/>
    <w:rsid w:val="00F10A8A"/>
    <w:rsid w:val="00F146B2"/>
    <w:rsid w:val="00F16800"/>
    <w:rsid w:val="00F228E9"/>
    <w:rsid w:val="00F33650"/>
    <w:rsid w:val="00F34DB0"/>
    <w:rsid w:val="00F473CB"/>
    <w:rsid w:val="00F50245"/>
    <w:rsid w:val="00F63DDA"/>
    <w:rsid w:val="00F70858"/>
    <w:rsid w:val="00F7397F"/>
    <w:rsid w:val="00F75949"/>
    <w:rsid w:val="00F771DA"/>
    <w:rsid w:val="00F80B91"/>
    <w:rsid w:val="00F90407"/>
    <w:rsid w:val="00F941F0"/>
    <w:rsid w:val="00FA40E0"/>
    <w:rsid w:val="00FB19C6"/>
    <w:rsid w:val="00FB61E7"/>
    <w:rsid w:val="00FD1941"/>
    <w:rsid w:val="00FD323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15:docId w15:val="{0E612566-7DB5-4170-935A-B79A585C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2"/>
      </w:numPr>
      <w:spacing w:after="120"/>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sinterligne2">
    <w:name w:val="Sans interligne2"/>
    <w:uiPriority w:val="1"/>
    <w:rsid w:val="00884E20"/>
    <w:rPr>
      <w:rFonts w:ascii="Times New Roman" w:eastAsia="Times New Roman" w:hAnsi="Times New Roman"/>
      <w:sz w:val="24"/>
      <w:szCs w:val="24"/>
    </w:rPr>
  </w:style>
  <w:style w:type="paragraph" w:customStyle="1" w:styleId="COMPara">
    <w:name w:val="COM Para"/>
    <w:qFormat/>
    <w:rsid w:val="006C6B75"/>
    <w:pPr>
      <w:snapToGrid w:val="0"/>
      <w:spacing w:after="120"/>
      <w:ind w:left="720" w:hanging="360"/>
    </w:pPr>
    <w:rPr>
      <w:rFonts w:ascii="Arial" w:eastAsia="Times New Roman" w:hAnsi="Arial" w:cs="Arial"/>
      <w:sz w:val="22"/>
      <w:szCs w:val="22"/>
      <w:lang w:val="en-GB" w:eastAsia="en-US"/>
    </w:rPr>
  </w:style>
  <w:style w:type="character" w:styleId="Hyperlink">
    <w:name w:val="Hyperlink"/>
    <w:rsid w:val="007F5A76"/>
    <w:rPr>
      <w:color w:val="0000FF"/>
      <w:u w:val="single"/>
    </w:rPr>
  </w:style>
  <w:style w:type="paragraph" w:styleId="FootnoteText">
    <w:name w:val="footnote text"/>
    <w:basedOn w:val="Normal"/>
    <w:link w:val="FootnoteTextChar"/>
    <w:unhideWhenUsed/>
    <w:rsid w:val="007F5A76"/>
    <w:pPr>
      <w:spacing w:after="0"/>
    </w:pPr>
    <w:rPr>
      <w:sz w:val="20"/>
      <w:szCs w:val="20"/>
    </w:rPr>
  </w:style>
  <w:style w:type="character" w:customStyle="1" w:styleId="FootnoteTextChar">
    <w:name w:val="Footnote Text Char"/>
    <w:basedOn w:val="DefaultParagraphFont"/>
    <w:link w:val="FootnoteText"/>
    <w:rsid w:val="007F5A76"/>
    <w:rPr>
      <w:rFonts w:ascii="Times New Roman" w:eastAsia="Times New Roman" w:hAnsi="Times New Roman"/>
      <w:lang w:val="en-GB"/>
    </w:rPr>
  </w:style>
  <w:style w:type="character" w:styleId="FootnoteReference">
    <w:name w:val="footnote reference"/>
    <w:uiPriority w:val="99"/>
    <w:unhideWhenUsed/>
    <w:rsid w:val="007F5A76"/>
    <w:rPr>
      <w:vertAlign w:val="superscript"/>
    </w:rPr>
  </w:style>
  <w:style w:type="character" w:styleId="FollowedHyperlink">
    <w:name w:val="FollowedHyperlink"/>
    <w:basedOn w:val="DefaultParagraphFont"/>
    <w:semiHidden/>
    <w:unhideWhenUsed/>
    <w:rsid w:val="007F5A76"/>
    <w:rPr>
      <w:color w:val="800080" w:themeColor="followedHyperlink"/>
      <w:u w:val="single"/>
    </w:rPr>
  </w:style>
  <w:style w:type="character" w:styleId="UnresolvedMention">
    <w:name w:val="Unresolved Mention"/>
    <w:basedOn w:val="DefaultParagraphFont"/>
    <w:uiPriority w:val="99"/>
    <w:semiHidden/>
    <w:unhideWhenUsed/>
    <w:rsid w:val="008E464F"/>
    <w:rPr>
      <w:color w:val="605E5C"/>
      <w:shd w:val="clear" w:color="auto" w:fill="E1DFDD"/>
    </w:rPr>
  </w:style>
  <w:style w:type="paragraph" w:styleId="ListParagraph">
    <w:name w:val="List Paragraph"/>
    <w:basedOn w:val="Marge"/>
    <w:uiPriority w:val="34"/>
    <w:qFormat/>
    <w:rsid w:val="00DC75A2"/>
    <w:pPr>
      <w:numPr>
        <w:numId w:val="6"/>
      </w:numPr>
      <w:spacing w:after="120"/>
    </w:pPr>
    <w:rPr>
      <w:rFonts w:cs="Arial"/>
      <w:szCs w:val="22"/>
    </w:rPr>
  </w:style>
  <w:style w:type="character" w:customStyle="1" w:styleId="hps">
    <w:name w:val="hps"/>
    <w:rsid w:val="00432703"/>
  </w:style>
  <w:style w:type="paragraph" w:styleId="NoSpacing">
    <w:name w:val="No Spacing"/>
    <w:link w:val="NoSpacingChar"/>
    <w:uiPriority w:val="1"/>
    <w:qFormat/>
    <w:rsid w:val="00BB0067"/>
    <w:rPr>
      <w:rFonts w:ascii="Times New Roman" w:eastAsia="Times New Roman" w:hAnsi="Times New Roman"/>
      <w:sz w:val="24"/>
      <w:szCs w:val="24"/>
    </w:rPr>
  </w:style>
  <w:style w:type="character" w:customStyle="1" w:styleId="NoSpacingChar">
    <w:name w:val="No Spacing Char"/>
    <w:link w:val="NoSpacing"/>
    <w:uiPriority w:val="1"/>
    <w:locked/>
    <w:rsid w:val="00BB0067"/>
    <w:rPr>
      <w:rFonts w:ascii="Times New Roman" w:eastAsia="Times New Roman" w:hAnsi="Times New Roman"/>
      <w:sz w:val="24"/>
      <w:szCs w:val="24"/>
    </w:rPr>
  </w:style>
  <w:style w:type="paragraph" w:customStyle="1" w:styleId="Pranumrotrecommenc1">
    <w:name w:val="Pra numéroté recommencé à 1"/>
    <w:basedOn w:val="Normal"/>
    <w:rsid w:val="00BB0067"/>
    <w:pPr>
      <w:tabs>
        <w:tab w:val="num" w:pos="360"/>
      </w:tabs>
      <w:spacing w:after="0"/>
      <w:ind w:left="360" w:hanging="360"/>
    </w:pPr>
    <w:rPr>
      <w:rFonts w:ascii="Arial" w:hAnsi="Arial"/>
      <w:sz w:val="24"/>
      <w:lang w:val="fr-FR"/>
    </w:rPr>
  </w:style>
  <w:style w:type="paragraph" w:styleId="Revision">
    <w:name w:val="Revision"/>
    <w:hidden/>
    <w:semiHidden/>
    <w:rsid w:val="00770763"/>
    <w:rPr>
      <w:rFonts w:ascii="Times New Roman" w:eastAsia="Times New Roman" w:hAnsi="Times New Roman"/>
      <w:sz w:val="22"/>
      <w:szCs w:val="24"/>
      <w:lang w:val="en-GB"/>
    </w:rPr>
  </w:style>
  <w:style w:type="character" w:customStyle="1" w:styleId="cf01">
    <w:name w:val="cf01"/>
    <w:basedOn w:val="DefaultParagraphFont"/>
    <w:rsid w:val="00D1656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3114">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695615669">
      <w:bodyDiv w:val="1"/>
      <w:marLeft w:val="0"/>
      <w:marRight w:val="0"/>
      <w:marTop w:val="0"/>
      <w:marBottom w:val="0"/>
      <w:divBdr>
        <w:top w:val="none" w:sz="0" w:space="0" w:color="auto"/>
        <w:left w:val="none" w:sz="0" w:space="0" w:color="auto"/>
        <w:bottom w:val="none" w:sz="0" w:space="0" w:color="auto"/>
        <w:right w:val="none" w:sz="0" w:space="0" w:color="auto"/>
      </w:divBdr>
    </w:div>
    <w:div w:id="857158297">
      <w:bodyDiv w:val="1"/>
      <w:marLeft w:val="0"/>
      <w:marRight w:val="0"/>
      <w:marTop w:val="0"/>
      <w:marBottom w:val="0"/>
      <w:divBdr>
        <w:top w:val="none" w:sz="0" w:space="0" w:color="auto"/>
        <w:left w:val="none" w:sz="0" w:space="0" w:color="auto"/>
        <w:bottom w:val="none" w:sz="0" w:space="0" w:color="auto"/>
        <w:right w:val="none" w:sz="0" w:space="0" w:color="auto"/>
      </w:divBdr>
    </w:div>
    <w:div w:id="951403612">
      <w:bodyDiv w:val="1"/>
      <w:marLeft w:val="0"/>
      <w:marRight w:val="0"/>
      <w:marTop w:val="0"/>
      <w:marBottom w:val="0"/>
      <w:divBdr>
        <w:top w:val="none" w:sz="0" w:space="0" w:color="auto"/>
        <w:left w:val="none" w:sz="0" w:space="0" w:color="auto"/>
        <w:bottom w:val="none" w:sz="0" w:space="0" w:color="auto"/>
        <w:right w:val="none" w:sz="0" w:space="0" w:color="auto"/>
      </w:divBdr>
    </w:div>
    <w:div w:id="1249313252">
      <w:bodyDiv w:val="1"/>
      <w:marLeft w:val="0"/>
      <w:marRight w:val="0"/>
      <w:marTop w:val="0"/>
      <w:marBottom w:val="0"/>
      <w:divBdr>
        <w:top w:val="none" w:sz="0" w:space="0" w:color="auto"/>
        <w:left w:val="none" w:sz="0" w:space="0" w:color="auto"/>
        <w:bottom w:val="none" w:sz="0" w:space="0" w:color="auto"/>
        <w:right w:val="none" w:sz="0" w:space="0" w:color="auto"/>
      </w:divBdr>
    </w:div>
    <w:div w:id="1705910707">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7054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8.GA/7" TargetMode="External"/><Relationship Id="rId13" Type="http://schemas.openxmlformats.org/officeDocument/2006/relationships/hyperlink" Target="https://ich.unesco.org/en/Decisions/16.COM/12" TargetMode="External"/><Relationship Id="rId18" Type="http://schemas.openxmlformats.org/officeDocument/2006/relationships/hyperlink" Target="https://ich.unesco.org/doc/src/LHE-22-17.COM-6.d-EN.docx" TargetMode="External"/><Relationship Id="rId26" Type="http://schemas.openxmlformats.org/officeDocument/2006/relationships/image" Target="media/image3.emf"/><Relationship Id="rId39" Type="http://schemas.openxmlformats.org/officeDocument/2006/relationships/hyperlink" Target="https://www.unesco.org/en/education/1974recommendation" TargetMode="External"/><Relationship Id="rId3" Type="http://schemas.openxmlformats.org/officeDocument/2006/relationships/styles" Target="styles.xml"/><Relationship Id="rId21" Type="http://schemas.openxmlformats.org/officeDocument/2006/relationships/hyperlink" Target="https://ich.unesco.org/en/Decisions/8.COM/7.c" TargetMode="External"/><Relationship Id="rId34" Type="http://schemas.openxmlformats.org/officeDocument/2006/relationships/hyperlink" Target="https://ich.unesco.org/doc/src/LHE-22-17.COM-INF.6.c_Rev-EN.pdf" TargetMode="External"/><Relationship Id="rId42" Type="http://schemas.openxmlformats.org/officeDocument/2006/relationships/hyperlink" Target="mailto:https://ich.unesco.org/en/surveys-on-thematic-initiatives-01277" TargetMode="External"/><Relationship Id="rId7" Type="http://schemas.openxmlformats.org/officeDocument/2006/relationships/endnotes" Target="endnotes.xml"/><Relationship Id="rId12" Type="http://schemas.openxmlformats.org/officeDocument/2006/relationships/hyperlink" Target="https://ich.unesco.org/en/Decisions/16.COM/12" TargetMode="External"/><Relationship Id="rId17" Type="http://schemas.openxmlformats.org/officeDocument/2006/relationships/hyperlink" Target="https://ich.unesco.org/en/decisions/9.GA/10" TargetMode="External"/><Relationship Id="rId25" Type="http://schemas.openxmlformats.org/officeDocument/2006/relationships/image" Target="media/image2.emf"/><Relationship Id="rId33" Type="http://schemas.openxmlformats.org/officeDocument/2006/relationships/hyperlink" Target="https://ich.unesco.org/en/reflection-on-a-broader-implementation-of-article-18-01302" TargetMode="External"/><Relationship Id="rId38" Type="http://schemas.openxmlformats.org/officeDocument/2006/relationships/hyperlink" Target="https://ich.unesco.org/en/basic-texts-00503"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LHE-23-18.COM-13_EN.docx" TargetMode="External"/><Relationship Id="rId20" Type="http://schemas.openxmlformats.org/officeDocument/2006/relationships/hyperlink" Target="https://ich.unesco.org/en/Decisions/7.GA/8" TargetMode="External"/><Relationship Id="rId29" Type="http://schemas.openxmlformats.org/officeDocument/2006/relationships/header" Target="header3.xml"/><Relationship Id="rId41" Type="http://schemas.openxmlformats.org/officeDocument/2006/relationships/hyperlink" Target="mailto:https://ich.unesco.org/en/livelihoods-013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3-18.COM-13_EN.docx" TargetMode="External"/><Relationship Id="rId24" Type="http://schemas.openxmlformats.org/officeDocument/2006/relationships/image" Target="media/image1.emf"/><Relationship Id="rId32" Type="http://schemas.openxmlformats.org/officeDocument/2006/relationships/hyperlink" Target="https://ich.unesco.org/en/Decisions/9.GA/10" TargetMode="External"/><Relationship Id="rId37" Type="http://schemas.openxmlformats.org/officeDocument/2006/relationships/hyperlink" Target="https://ich.unesco.org/en/requesting-assistance-00039" TargetMode="External"/><Relationship Id="rId40" Type="http://schemas.openxmlformats.org/officeDocument/2006/relationships/hyperlink" Target="https://ich.unesco.org/en/clearinghouse-education"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esco.org/culture/ich/doc/src/ITH-10-3.GA-CONF.201-Resolution%20Rev.-EN.doc" TargetMode="External"/><Relationship Id="rId23" Type="http://schemas.openxmlformats.org/officeDocument/2006/relationships/hyperlink" Target="https://ich.unesco.org/doc/src/LHE-22-9.GA-10-EN.docx" TargetMode="External"/><Relationship Id="rId28" Type="http://schemas.openxmlformats.org/officeDocument/2006/relationships/header" Target="header2.xml"/><Relationship Id="rId36" Type="http://schemas.openxmlformats.org/officeDocument/2006/relationships/hyperlink" Target="https://ich.unesco.org/en/requesting-assistance-00039" TargetMode="External"/><Relationship Id="rId10" Type="http://schemas.openxmlformats.org/officeDocument/2006/relationships/hyperlink" Target="https://ich.unesco.org/doc/src/LHE-22-17.COM-12-EN.docx" TargetMode="External"/><Relationship Id="rId19" Type="http://schemas.openxmlformats.org/officeDocument/2006/relationships/hyperlink" Target="https://ich.unesco.org/doc/src/LHE-23-18.COM-10_EN.docx" TargetMode="External"/><Relationship Id="rId31" Type="http://schemas.openxmlformats.org/officeDocument/2006/relationships/image" Target="media/image6.emf"/><Relationship Id="rId44" Type="http://schemas.openxmlformats.org/officeDocument/2006/relationships/hyperlink" Target="https://ich.unesco.org/en/anniversary" TargetMode="External"/><Relationship Id="rId4" Type="http://schemas.openxmlformats.org/officeDocument/2006/relationships/settings" Target="settings.xml"/><Relationship Id="rId9" Type="http://schemas.openxmlformats.org/officeDocument/2006/relationships/hyperlink" Target="https://ich.unesco.org/doc/src/LHE-23-18.COM-5_EN.docx" TargetMode="External"/><Relationship Id="rId14" Type="http://schemas.openxmlformats.org/officeDocument/2006/relationships/hyperlink" Target="https://ich.unesco.org/en/Decisions/16.COM/12" TargetMode="External"/><Relationship Id="rId22" Type="http://schemas.openxmlformats.org/officeDocument/2006/relationships/hyperlink" Target="https://unesdoc.unesco.org/ark:/48223/pf0000380868/PDF/380868eng.pdf.multi" TargetMode="External"/><Relationship Id="rId27" Type="http://schemas.openxmlformats.org/officeDocument/2006/relationships/header" Target="header1.xml"/><Relationship Id="rId30" Type="http://schemas.openxmlformats.org/officeDocument/2006/relationships/image" Target="media/image5.emf"/><Relationship Id="rId35" Type="http://schemas.openxmlformats.org/officeDocument/2006/relationships/hyperlink" Target="https://ich.unesco.org/doc/src/LHE-22-17.COM-6.b-_Rev.-EN.docx" TargetMode="External"/><Relationship Id="rId43" Type="http://schemas.openxmlformats.org/officeDocument/2006/relationships/hyperlink" Target="https://ich.unesco.or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61535-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Template>
  <TotalTime>668</TotalTime>
  <Pages>16</Pages>
  <Words>5026</Words>
  <Characters>27643</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Nakata Glenat, Keiichi Julien</cp:lastModifiedBy>
  <cp:revision>8</cp:revision>
  <cp:lastPrinted>2011-08-09T15:26:00Z</cp:lastPrinted>
  <dcterms:created xsi:type="dcterms:W3CDTF">2023-10-22T19:25:00Z</dcterms:created>
  <dcterms:modified xsi:type="dcterms:W3CDTF">2023-11-08T18:35:00Z</dcterms:modified>
</cp:coreProperties>
</file>