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32D15B6C" w14:textId="4945904F" w:rsidR="00BC3420" w:rsidRPr="00B43974" w:rsidRDefault="007A000F" w:rsidP="00F4581D">
      <w:pPr>
        <w:spacing w:before="840"/>
        <w:jc w:val="center"/>
        <w:rPr>
          <w:rFonts w:ascii="Arial" w:hAnsi="Arial" w:cs="Arial"/>
          <w:b/>
          <w:sz w:val="22"/>
          <w:szCs w:val="22"/>
        </w:rPr>
      </w:pPr>
      <w:r>
        <w:rPr>
          <w:rFonts w:ascii="Arial" w:hAnsi="Arial" w:cs="Arial"/>
          <w:b/>
          <w:sz w:val="22"/>
          <w:szCs w:val="22"/>
        </w:rPr>
        <w:t>Dix-</w:t>
      </w:r>
      <w:r w:rsidR="008F5A4F">
        <w:rPr>
          <w:rFonts w:ascii="Arial" w:hAnsi="Arial" w:cs="Arial"/>
          <w:b/>
          <w:sz w:val="22"/>
          <w:szCs w:val="22"/>
        </w:rPr>
        <w:t>hui</w:t>
      </w:r>
      <w:r>
        <w:rPr>
          <w:rFonts w:ascii="Arial" w:hAnsi="Arial" w:cs="Arial"/>
          <w:b/>
          <w:sz w:val="22"/>
          <w:szCs w:val="22"/>
        </w:rPr>
        <w:t>tième</w:t>
      </w:r>
      <w:r w:rsidR="00F4581D" w:rsidRPr="00F4581D">
        <w:rPr>
          <w:rFonts w:ascii="Arial" w:hAnsi="Arial" w:cs="Arial"/>
          <w:b/>
          <w:sz w:val="22"/>
          <w:szCs w:val="22"/>
        </w:rPr>
        <w:t xml:space="preserve"> </w:t>
      </w:r>
      <w:r w:rsidR="00BC3420" w:rsidRPr="00B43974">
        <w:rPr>
          <w:rFonts w:ascii="Arial" w:hAnsi="Arial" w:cs="Arial"/>
          <w:b/>
          <w:sz w:val="22"/>
          <w:szCs w:val="22"/>
        </w:rPr>
        <w:t>session</w:t>
      </w:r>
    </w:p>
    <w:p w14:paraId="7309CEF6" w14:textId="1CC0FD6F" w:rsidR="00F4581D" w:rsidRPr="00F4581D" w:rsidRDefault="00F62542" w:rsidP="00F4581D">
      <w:pPr>
        <w:jc w:val="center"/>
        <w:rPr>
          <w:rFonts w:ascii="Arial" w:hAnsi="Arial"/>
          <w:b/>
          <w:sz w:val="22"/>
        </w:rPr>
      </w:pPr>
      <w:proofErr w:type="spellStart"/>
      <w:r>
        <w:rPr>
          <w:rFonts w:ascii="Arial" w:hAnsi="Arial"/>
          <w:b/>
          <w:sz w:val="22"/>
        </w:rPr>
        <w:t>Kasane</w:t>
      </w:r>
      <w:proofErr w:type="spellEnd"/>
      <w:r w:rsidR="004417A7">
        <w:rPr>
          <w:rFonts w:ascii="Arial" w:hAnsi="Arial"/>
          <w:b/>
          <w:sz w:val="22"/>
        </w:rPr>
        <w:t xml:space="preserve">, </w:t>
      </w:r>
      <w:r w:rsidR="008F5A4F">
        <w:rPr>
          <w:rFonts w:ascii="Arial" w:hAnsi="Arial"/>
          <w:b/>
          <w:sz w:val="22"/>
        </w:rPr>
        <w:t>République du Botswana</w:t>
      </w:r>
    </w:p>
    <w:p w14:paraId="552550E8" w14:textId="667F52B4" w:rsidR="00EF74E3" w:rsidRPr="00F4581D" w:rsidRDefault="008F5A4F" w:rsidP="00F4581D">
      <w:pPr>
        <w:jc w:val="center"/>
        <w:rPr>
          <w:rFonts w:ascii="Arial" w:hAnsi="Arial"/>
          <w:b/>
          <w:sz w:val="22"/>
        </w:rPr>
      </w:pPr>
      <w:r>
        <w:rPr>
          <w:rFonts w:ascii="Arial" w:hAnsi="Arial"/>
          <w:b/>
          <w:sz w:val="22"/>
        </w:rPr>
        <w:t>4</w:t>
      </w:r>
      <w:r w:rsidR="00171986">
        <w:rPr>
          <w:rFonts w:ascii="Arial" w:hAnsi="Arial"/>
          <w:b/>
          <w:sz w:val="22"/>
        </w:rPr>
        <w:t xml:space="preserve"> </w:t>
      </w:r>
      <w:r w:rsidR="007A000F">
        <w:rPr>
          <w:rFonts w:ascii="Arial" w:hAnsi="Arial"/>
          <w:b/>
          <w:sz w:val="22"/>
        </w:rPr>
        <w:t>–</w:t>
      </w:r>
      <w:r w:rsidR="00F4581D" w:rsidRPr="00F4581D">
        <w:rPr>
          <w:rFonts w:ascii="Arial" w:hAnsi="Arial"/>
          <w:b/>
          <w:sz w:val="22"/>
        </w:rPr>
        <w:t xml:space="preserve"> </w:t>
      </w:r>
      <w:r>
        <w:rPr>
          <w:rFonts w:ascii="Arial" w:hAnsi="Arial"/>
          <w:b/>
          <w:sz w:val="22"/>
        </w:rPr>
        <w:t>9</w:t>
      </w:r>
      <w:r w:rsidR="007A000F">
        <w:rPr>
          <w:rFonts w:ascii="Arial" w:hAnsi="Arial"/>
          <w:b/>
          <w:sz w:val="22"/>
        </w:rPr>
        <w:t xml:space="preserve"> </w:t>
      </w:r>
      <w:r w:rsidR="00F4581D" w:rsidRPr="00F4581D">
        <w:rPr>
          <w:rFonts w:ascii="Arial" w:hAnsi="Arial"/>
          <w:b/>
          <w:sz w:val="22"/>
        </w:rPr>
        <w:t>décembre 202</w:t>
      </w:r>
      <w:r>
        <w:rPr>
          <w:rFonts w:ascii="Arial" w:hAnsi="Arial"/>
          <w:b/>
          <w:sz w:val="22"/>
        </w:rPr>
        <w:t>3</w:t>
      </w:r>
    </w:p>
    <w:p w14:paraId="72EF57E2" w14:textId="233BA19F" w:rsidR="008F09EC" w:rsidRPr="00B43974"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2B42E9">
        <w:rPr>
          <w:rFonts w:ascii="Arial" w:hAnsi="Arial" w:cs="Arial"/>
          <w:b/>
          <w:sz w:val="22"/>
          <w:szCs w:val="22"/>
          <w:u w:val="single"/>
        </w:rPr>
        <w:t>20</w:t>
      </w:r>
      <w:r w:rsidRPr="00B43974">
        <w:rPr>
          <w:rFonts w:ascii="Arial" w:hAnsi="Arial" w:cs="Arial"/>
          <w:b/>
          <w:sz w:val="22"/>
          <w:szCs w:val="22"/>
          <w:u w:val="single"/>
        </w:rPr>
        <w:t xml:space="preserve"> de l</w:t>
      </w:r>
      <w:r w:rsidR="002B42E9">
        <w:rPr>
          <w:rFonts w:ascii="Arial" w:hAnsi="Arial" w:cs="Arial"/>
          <w:b/>
          <w:sz w:val="22"/>
          <w:szCs w:val="22"/>
          <w:u w:val="single"/>
        </w:rPr>
        <w:t>’</w:t>
      </w:r>
      <w:r w:rsidRPr="00B43974">
        <w:rPr>
          <w:rFonts w:ascii="Arial" w:hAnsi="Arial" w:cs="Arial"/>
          <w:b/>
          <w:sz w:val="22"/>
          <w:szCs w:val="22"/>
          <w:u w:val="single"/>
        </w:rPr>
        <w:t>ordre du jour provisoire</w:t>
      </w:r>
      <w:r w:rsidRPr="008F09EC">
        <w:rPr>
          <w:rFonts w:ascii="Arial" w:hAnsi="Arial" w:cs="Arial"/>
          <w:b/>
          <w:sz w:val="22"/>
          <w:szCs w:val="22"/>
        </w:rPr>
        <w:t> </w:t>
      </w:r>
      <w:r w:rsidRPr="00B43974">
        <w:rPr>
          <w:rFonts w:ascii="Arial" w:hAnsi="Arial" w:cs="Arial"/>
          <w:b/>
          <w:sz w:val="22"/>
          <w:szCs w:val="22"/>
        </w:rPr>
        <w:t>:</w:t>
      </w:r>
    </w:p>
    <w:p w14:paraId="2CF46CE7" w14:textId="37185006" w:rsidR="002B42E9" w:rsidRDefault="002B42E9" w:rsidP="002B42E9">
      <w:pPr>
        <w:pStyle w:val="Sansinterligne"/>
        <w:tabs>
          <w:tab w:val="left" w:pos="4410"/>
          <w:tab w:val="center" w:pos="4819"/>
        </w:tabs>
        <w:jc w:val="center"/>
        <w:rPr>
          <w:rFonts w:ascii="Arial" w:hAnsi="Arial" w:cs="Arial"/>
          <w:b/>
          <w:sz w:val="22"/>
          <w:szCs w:val="22"/>
        </w:rPr>
      </w:pPr>
      <w:r w:rsidRPr="002B42E9">
        <w:rPr>
          <w:rFonts w:ascii="Arial" w:hAnsi="Arial" w:cs="Arial"/>
          <w:b/>
          <w:sz w:val="22"/>
          <w:szCs w:val="22"/>
        </w:rPr>
        <w:t>Rapport du Comité à l</w:t>
      </w:r>
      <w:r>
        <w:rPr>
          <w:rFonts w:ascii="Arial" w:hAnsi="Arial" w:cs="Arial"/>
          <w:b/>
          <w:sz w:val="22"/>
          <w:szCs w:val="22"/>
        </w:rPr>
        <w:t>’</w:t>
      </w:r>
      <w:r w:rsidRPr="002B42E9">
        <w:rPr>
          <w:rFonts w:ascii="Arial" w:hAnsi="Arial" w:cs="Arial"/>
          <w:b/>
          <w:sz w:val="22"/>
          <w:szCs w:val="22"/>
        </w:rPr>
        <w:t xml:space="preserve">Assemblée générale sur ses activités </w:t>
      </w:r>
    </w:p>
    <w:p w14:paraId="630B69F1" w14:textId="7B539D9F" w:rsidR="008F09EC" w:rsidRPr="00B43974" w:rsidRDefault="002B42E9" w:rsidP="00114C01">
      <w:pPr>
        <w:pStyle w:val="Sansinterligne"/>
        <w:tabs>
          <w:tab w:val="left" w:pos="4410"/>
          <w:tab w:val="center" w:pos="4819"/>
        </w:tabs>
        <w:spacing w:after="1200"/>
        <w:jc w:val="center"/>
        <w:rPr>
          <w:rFonts w:ascii="Arial" w:hAnsi="Arial" w:cs="Arial"/>
          <w:b/>
          <w:sz w:val="22"/>
          <w:szCs w:val="22"/>
        </w:rPr>
      </w:pPr>
      <w:r w:rsidRPr="002B42E9">
        <w:rPr>
          <w:rFonts w:ascii="Arial" w:hAnsi="Arial" w:cs="Arial"/>
          <w:b/>
          <w:sz w:val="22"/>
          <w:szCs w:val="22"/>
        </w:rPr>
        <w:t>(</w:t>
      </w:r>
      <w:proofErr w:type="gramStart"/>
      <w:r w:rsidRPr="002B42E9">
        <w:rPr>
          <w:rFonts w:ascii="Arial" w:hAnsi="Arial" w:cs="Arial"/>
          <w:b/>
          <w:sz w:val="22"/>
          <w:szCs w:val="22"/>
        </w:rPr>
        <w:t>de</w:t>
      </w:r>
      <w:proofErr w:type="gramEnd"/>
      <w:r w:rsidRPr="002B42E9">
        <w:rPr>
          <w:rFonts w:ascii="Arial" w:hAnsi="Arial" w:cs="Arial"/>
          <w:b/>
          <w:sz w:val="22"/>
          <w:szCs w:val="22"/>
        </w:rPr>
        <w:t xml:space="preserve"> janvier 2022 à décembre 2023)</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FF2F30">
        <w:trPr>
          <w:jc w:val="center"/>
        </w:trPr>
        <w:tc>
          <w:tcPr>
            <w:tcW w:w="7825" w:type="dxa"/>
            <w:vAlign w:val="center"/>
          </w:tcPr>
          <w:p w14:paraId="47EC31AB" w14:textId="77777777" w:rsidR="008F09EC" w:rsidRPr="00B43974" w:rsidRDefault="008F09EC" w:rsidP="00FF2F30">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14:paraId="4D5FF84C" w14:textId="3D90D3FA" w:rsidR="002B42E9" w:rsidRDefault="002B42E9" w:rsidP="00FF2F30">
            <w:pPr>
              <w:pStyle w:val="Sansinterligne2"/>
              <w:spacing w:before="200" w:after="200"/>
              <w:ind w:right="284"/>
              <w:jc w:val="both"/>
              <w:rPr>
                <w:rFonts w:ascii="Arial" w:hAnsi="Arial" w:cs="Arial"/>
                <w:sz w:val="22"/>
                <w:szCs w:val="22"/>
              </w:rPr>
            </w:pPr>
            <w:r w:rsidRPr="002B42E9">
              <w:rPr>
                <w:rFonts w:ascii="Arial" w:hAnsi="Arial" w:cs="Arial"/>
                <w:sz w:val="22"/>
                <w:szCs w:val="22"/>
              </w:rPr>
              <w:t>L</w:t>
            </w:r>
            <w:r>
              <w:rPr>
                <w:rFonts w:ascii="Arial" w:hAnsi="Arial" w:cs="Arial"/>
                <w:sz w:val="22"/>
                <w:szCs w:val="22"/>
              </w:rPr>
              <w:t>’</w:t>
            </w:r>
            <w:r w:rsidRPr="002B42E9">
              <w:rPr>
                <w:rFonts w:ascii="Arial" w:hAnsi="Arial" w:cs="Arial"/>
                <w:sz w:val="22"/>
                <w:szCs w:val="22"/>
              </w:rPr>
              <w:t xml:space="preserve">article 30.1 de la Convention de 2003 </w:t>
            </w:r>
            <w:r w:rsidR="00BA19EB">
              <w:rPr>
                <w:rFonts w:ascii="Arial" w:hAnsi="Arial" w:cs="Arial"/>
                <w:sz w:val="22"/>
                <w:szCs w:val="22"/>
              </w:rPr>
              <w:t>prévoit</w:t>
            </w:r>
            <w:r w:rsidRPr="002B42E9">
              <w:rPr>
                <w:rFonts w:ascii="Arial" w:hAnsi="Arial" w:cs="Arial"/>
                <w:sz w:val="22"/>
                <w:szCs w:val="22"/>
              </w:rPr>
              <w:t xml:space="preserve"> que </w:t>
            </w:r>
            <w:r>
              <w:rPr>
                <w:rFonts w:ascii="Arial" w:hAnsi="Arial" w:cs="Arial"/>
                <w:sz w:val="22"/>
                <w:szCs w:val="22"/>
              </w:rPr>
              <w:t>« </w:t>
            </w:r>
            <w:r w:rsidRPr="002B42E9">
              <w:rPr>
                <w:rFonts w:ascii="Arial" w:hAnsi="Arial" w:cs="Arial"/>
                <w:sz w:val="22"/>
                <w:szCs w:val="22"/>
              </w:rPr>
              <w:t xml:space="preserve">Sur la base de ses activités [...], le Comité soumet un rapport à </w:t>
            </w:r>
            <w:r>
              <w:rPr>
                <w:rFonts w:ascii="Arial" w:hAnsi="Arial" w:cs="Arial"/>
                <w:sz w:val="22"/>
                <w:szCs w:val="22"/>
              </w:rPr>
              <w:t xml:space="preserve">chaque session de </w:t>
            </w:r>
            <w:r w:rsidRPr="002B42E9">
              <w:rPr>
                <w:rFonts w:ascii="Arial" w:hAnsi="Arial" w:cs="Arial"/>
                <w:sz w:val="22"/>
                <w:szCs w:val="22"/>
              </w:rPr>
              <w:t>l</w:t>
            </w:r>
            <w:r>
              <w:rPr>
                <w:rFonts w:ascii="Arial" w:hAnsi="Arial" w:cs="Arial"/>
                <w:sz w:val="22"/>
                <w:szCs w:val="22"/>
              </w:rPr>
              <w:t>’</w:t>
            </w:r>
            <w:r w:rsidRPr="002B42E9">
              <w:rPr>
                <w:rFonts w:ascii="Arial" w:hAnsi="Arial" w:cs="Arial"/>
                <w:sz w:val="22"/>
                <w:szCs w:val="22"/>
              </w:rPr>
              <w:t>Assemblée générale</w:t>
            </w:r>
            <w:r>
              <w:rPr>
                <w:rFonts w:ascii="Arial" w:hAnsi="Arial" w:cs="Arial"/>
                <w:sz w:val="22"/>
                <w:szCs w:val="22"/>
              </w:rPr>
              <w:t> »</w:t>
            </w:r>
            <w:r w:rsidRPr="002B42E9">
              <w:rPr>
                <w:rFonts w:ascii="Arial" w:hAnsi="Arial" w:cs="Arial"/>
                <w:sz w:val="22"/>
                <w:szCs w:val="22"/>
              </w:rPr>
              <w:t xml:space="preserve">. Le présent document contient un projet de rapport sur les activités du Comité de janvier 2022 à décembre 2023, que le Comité </w:t>
            </w:r>
            <w:r w:rsidR="00BA19EB">
              <w:rPr>
                <w:rFonts w:ascii="Arial" w:hAnsi="Arial" w:cs="Arial"/>
                <w:sz w:val="22"/>
                <w:szCs w:val="22"/>
              </w:rPr>
              <w:t xml:space="preserve">pourrait </w:t>
            </w:r>
            <w:r w:rsidRPr="002B42E9">
              <w:rPr>
                <w:rFonts w:ascii="Arial" w:hAnsi="Arial" w:cs="Arial"/>
                <w:sz w:val="22"/>
                <w:szCs w:val="22"/>
              </w:rPr>
              <w:t>souhaiter présenter à la dixième session de l</w:t>
            </w:r>
            <w:r>
              <w:rPr>
                <w:rFonts w:ascii="Arial" w:hAnsi="Arial" w:cs="Arial"/>
                <w:sz w:val="22"/>
                <w:szCs w:val="22"/>
              </w:rPr>
              <w:t>’</w:t>
            </w:r>
            <w:r w:rsidRPr="002B42E9">
              <w:rPr>
                <w:rFonts w:ascii="Arial" w:hAnsi="Arial" w:cs="Arial"/>
                <w:sz w:val="22"/>
                <w:szCs w:val="22"/>
              </w:rPr>
              <w:t>Assemblée générale à la mi-2024.</w:t>
            </w:r>
          </w:p>
          <w:p w14:paraId="17E62457" w14:textId="1204633E" w:rsidR="008F09EC" w:rsidRPr="00B43974" w:rsidRDefault="008F09EC" w:rsidP="00FF2F30">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002B42E9">
              <w:rPr>
                <w:rFonts w:ascii="Arial" w:hAnsi="Arial" w:cs="Arial"/>
                <w:bCs/>
                <w:sz w:val="22"/>
                <w:szCs w:val="22"/>
              </w:rPr>
              <w:t>4</w:t>
            </w:r>
          </w:p>
        </w:tc>
      </w:tr>
    </w:tbl>
    <w:p w14:paraId="5072A522" w14:textId="77777777" w:rsidR="009B5302" w:rsidRDefault="00BC3420" w:rsidP="007E60C6">
      <w:pPr>
        <w:pStyle w:val="COMTitleDecision"/>
        <w:spacing w:before="360" w:after="240"/>
        <w:ind w:left="0"/>
      </w:pPr>
      <w:r w:rsidRPr="00022428">
        <w:br w:type="page"/>
      </w:r>
    </w:p>
    <w:p w14:paraId="6F8ACC03" w14:textId="47024E43" w:rsidR="002B42E9" w:rsidRPr="009A78E3" w:rsidRDefault="002B42E9" w:rsidP="002B42E9">
      <w:pPr>
        <w:pStyle w:val="COMPara"/>
        <w:numPr>
          <w:ilvl w:val="0"/>
          <w:numId w:val="9"/>
        </w:numPr>
        <w:ind w:left="567" w:hanging="567"/>
        <w:jc w:val="both"/>
        <w:rPr>
          <w:lang w:val="fr-FR"/>
        </w:rPr>
      </w:pPr>
      <w:r w:rsidRPr="009A78E3">
        <w:rPr>
          <w:lang w:val="fr-FR"/>
        </w:rPr>
        <w:lastRenderedPageBreak/>
        <w:t>L</w:t>
      </w:r>
      <w:r>
        <w:rPr>
          <w:lang w:val="fr-FR"/>
        </w:rPr>
        <w:t>’</w:t>
      </w:r>
      <w:r w:rsidRPr="009A78E3">
        <w:rPr>
          <w:lang w:val="fr-FR"/>
        </w:rPr>
        <w:t xml:space="preserve">article 30.1 de la Convention de 2003 pour la sauvegarde du patrimoine culturel immatériel </w:t>
      </w:r>
      <w:r w:rsidR="00BA19EB">
        <w:rPr>
          <w:lang w:val="fr-FR"/>
        </w:rPr>
        <w:t>prévoit</w:t>
      </w:r>
      <w:r w:rsidRPr="009A78E3">
        <w:rPr>
          <w:lang w:val="fr-FR"/>
        </w:rPr>
        <w:t xml:space="preserve"> que </w:t>
      </w:r>
      <w:r>
        <w:rPr>
          <w:lang w:val="fr-FR"/>
        </w:rPr>
        <w:t>« </w:t>
      </w:r>
      <w:r w:rsidR="00BA19EB">
        <w:rPr>
          <w:lang w:val="fr-FR"/>
        </w:rPr>
        <w:t>S</w:t>
      </w:r>
      <w:r w:rsidRPr="009A78E3">
        <w:rPr>
          <w:lang w:val="fr-FR"/>
        </w:rPr>
        <w:t xml:space="preserve">ur la base de ses activités [...] le Comité soumet un rapport à </w:t>
      </w:r>
      <w:r>
        <w:rPr>
          <w:lang w:val="fr-FR"/>
        </w:rPr>
        <w:t xml:space="preserve">chaque session de </w:t>
      </w:r>
      <w:r w:rsidRPr="009A78E3">
        <w:rPr>
          <w:lang w:val="fr-FR"/>
        </w:rPr>
        <w:t>l</w:t>
      </w:r>
      <w:r>
        <w:rPr>
          <w:lang w:val="fr-FR"/>
        </w:rPr>
        <w:t>’</w:t>
      </w:r>
      <w:r w:rsidRPr="009A78E3">
        <w:rPr>
          <w:lang w:val="fr-FR"/>
        </w:rPr>
        <w:t>Assemblée générale</w:t>
      </w:r>
      <w:r>
        <w:rPr>
          <w:lang w:val="fr-FR"/>
        </w:rPr>
        <w:t> »</w:t>
      </w:r>
      <w:r w:rsidRPr="009A78E3">
        <w:rPr>
          <w:lang w:val="fr-FR"/>
        </w:rPr>
        <w:t>. L</w:t>
      </w:r>
      <w:r>
        <w:rPr>
          <w:lang w:val="fr-FR"/>
        </w:rPr>
        <w:t>’</w:t>
      </w:r>
      <w:r w:rsidRPr="009A78E3">
        <w:rPr>
          <w:lang w:val="fr-FR"/>
        </w:rPr>
        <w:t xml:space="preserve">article 30.2 </w:t>
      </w:r>
      <w:r w:rsidR="00BA19EB">
        <w:rPr>
          <w:lang w:val="fr-FR"/>
        </w:rPr>
        <w:t>précise</w:t>
      </w:r>
      <w:r w:rsidRPr="009A78E3">
        <w:rPr>
          <w:lang w:val="fr-FR"/>
        </w:rPr>
        <w:t xml:space="preserve"> que </w:t>
      </w:r>
      <w:r w:rsidR="004928AC">
        <w:rPr>
          <w:lang w:val="fr-FR"/>
        </w:rPr>
        <w:t>« </w:t>
      </w:r>
      <w:r w:rsidR="00BA19EB">
        <w:rPr>
          <w:lang w:val="fr-FR"/>
        </w:rPr>
        <w:t>Ce</w:t>
      </w:r>
      <w:r w:rsidRPr="009A78E3">
        <w:rPr>
          <w:lang w:val="fr-FR"/>
        </w:rPr>
        <w:t xml:space="preserve"> rapport est porté à la connaissance de la Conférence générale de l</w:t>
      </w:r>
      <w:r>
        <w:rPr>
          <w:lang w:val="fr-FR"/>
        </w:rPr>
        <w:t>’</w:t>
      </w:r>
      <w:r w:rsidRPr="009A78E3">
        <w:rPr>
          <w:lang w:val="fr-FR"/>
        </w:rPr>
        <w:t>UNESCO</w:t>
      </w:r>
      <w:r w:rsidR="004928AC">
        <w:rPr>
          <w:lang w:val="fr-FR"/>
        </w:rPr>
        <w:t> ».</w:t>
      </w:r>
      <w:r w:rsidRPr="009A78E3">
        <w:rPr>
          <w:lang w:val="fr-FR"/>
        </w:rPr>
        <w:t xml:space="preserve"> Ces dispositions </w:t>
      </w:r>
      <w:r w:rsidR="00BA19EB">
        <w:rPr>
          <w:lang w:val="fr-FR"/>
        </w:rPr>
        <w:t>s’appuient également sur</w:t>
      </w:r>
      <w:r w:rsidRPr="009A78E3">
        <w:rPr>
          <w:lang w:val="fr-FR"/>
        </w:rPr>
        <w:t xml:space="preserve"> l</w:t>
      </w:r>
      <w:r>
        <w:rPr>
          <w:lang w:val="fr-FR"/>
        </w:rPr>
        <w:t>’</w:t>
      </w:r>
      <w:r w:rsidRPr="009A78E3">
        <w:rPr>
          <w:lang w:val="fr-FR"/>
        </w:rPr>
        <w:t xml:space="preserve">article 46 du </w:t>
      </w:r>
      <w:r w:rsidR="004928AC">
        <w:rPr>
          <w:lang w:val="fr-FR"/>
        </w:rPr>
        <w:t>R</w:t>
      </w:r>
      <w:r w:rsidRPr="009A78E3">
        <w:rPr>
          <w:lang w:val="fr-FR"/>
        </w:rPr>
        <w:t>èglement intérieur du Comité.</w:t>
      </w:r>
    </w:p>
    <w:p w14:paraId="3AC184F4" w14:textId="6D32C513" w:rsidR="002B42E9" w:rsidRPr="009A78E3" w:rsidRDefault="00BA19EB" w:rsidP="002B42E9">
      <w:pPr>
        <w:pStyle w:val="COMPara"/>
        <w:numPr>
          <w:ilvl w:val="0"/>
          <w:numId w:val="9"/>
        </w:numPr>
        <w:ind w:left="567" w:hanging="567"/>
        <w:jc w:val="both"/>
        <w:rPr>
          <w:lang w:val="fr-FR"/>
        </w:rPr>
      </w:pPr>
      <w:r>
        <w:rPr>
          <w:lang w:val="fr-FR"/>
        </w:rPr>
        <w:t>Le présent rapport couvre l</w:t>
      </w:r>
      <w:r w:rsidR="002B42E9" w:rsidRPr="009A78E3">
        <w:rPr>
          <w:lang w:val="fr-FR"/>
        </w:rPr>
        <w:t xml:space="preserve">a période </w:t>
      </w:r>
      <w:r>
        <w:rPr>
          <w:lang w:val="fr-FR"/>
        </w:rPr>
        <w:t>allant</w:t>
      </w:r>
      <w:r w:rsidR="002B42E9" w:rsidRPr="009A78E3">
        <w:rPr>
          <w:lang w:val="fr-FR"/>
        </w:rPr>
        <w:t xml:space="preserve"> de janvier 2022 à décembre 2023. Ce calendrier </w:t>
      </w:r>
      <w:r>
        <w:rPr>
          <w:lang w:val="fr-FR"/>
        </w:rPr>
        <w:t xml:space="preserve">fait </w:t>
      </w:r>
      <w:r w:rsidR="002B42E9" w:rsidRPr="009A78E3">
        <w:rPr>
          <w:lang w:val="fr-FR"/>
        </w:rPr>
        <w:t>suit</w:t>
      </w:r>
      <w:r>
        <w:rPr>
          <w:lang w:val="fr-FR"/>
        </w:rPr>
        <w:t>e à</w:t>
      </w:r>
      <w:r w:rsidR="002B42E9" w:rsidRPr="009A78E3">
        <w:rPr>
          <w:lang w:val="fr-FR"/>
        </w:rPr>
        <w:t xml:space="preserve"> la </w:t>
      </w:r>
      <w:r w:rsidR="00E30A65">
        <w:rPr>
          <w:lang w:val="fr-FR"/>
        </w:rPr>
        <w:t>r</w:t>
      </w:r>
      <w:r w:rsidR="002B42E9" w:rsidRPr="009A78E3">
        <w:rPr>
          <w:lang w:val="fr-FR"/>
        </w:rPr>
        <w:t>ésolution</w:t>
      </w:r>
      <w:bookmarkStart w:id="0" w:name="_Hlk147741346"/>
      <w:r w:rsidR="002B42E9" w:rsidRPr="009A78E3">
        <w:rPr>
          <w:lang w:val="fr-FR"/>
        </w:rPr>
        <w:t xml:space="preserve"> </w:t>
      </w:r>
      <w:hyperlink r:id="rId8" w:history="1">
        <w:r w:rsidR="002B42E9" w:rsidRPr="009A78E3">
          <w:rPr>
            <w:rStyle w:val="Lienhypertexte"/>
            <w:lang w:val="fr-FR"/>
          </w:rPr>
          <w:t>6.</w:t>
        </w:r>
        <w:r w:rsidR="002B42E9" w:rsidRPr="009A78E3">
          <w:rPr>
            <w:rStyle w:val="Lienhypertexte"/>
            <w:lang w:val="fr-FR"/>
          </w:rPr>
          <w:t>G</w:t>
        </w:r>
        <w:r w:rsidR="002B42E9" w:rsidRPr="009A78E3">
          <w:rPr>
            <w:rStyle w:val="Lienhypertexte"/>
            <w:lang w:val="fr-FR"/>
          </w:rPr>
          <w:t>A 5</w:t>
        </w:r>
      </w:hyperlink>
      <w:bookmarkEnd w:id="0"/>
      <w:r w:rsidR="002B42E9" w:rsidRPr="009A78E3">
        <w:rPr>
          <w:lang w:val="fr-FR"/>
        </w:rPr>
        <w:t>, par laquelle l</w:t>
      </w:r>
      <w:r w:rsidR="002B42E9">
        <w:rPr>
          <w:lang w:val="fr-FR"/>
        </w:rPr>
        <w:t>’</w:t>
      </w:r>
      <w:r w:rsidR="002B42E9" w:rsidRPr="009A78E3">
        <w:rPr>
          <w:lang w:val="fr-FR"/>
        </w:rPr>
        <w:t>Assemblée générale a demandé au Comité d</w:t>
      </w:r>
      <w:r w:rsidR="002B42E9">
        <w:rPr>
          <w:lang w:val="fr-FR"/>
        </w:rPr>
        <w:t>’</w:t>
      </w:r>
      <w:r w:rsidR="002B42E9" w:rsidRPr="009A78E3">
        <w:rPr>
          <w:lang w:val="fr-FR"/>
        </w:rPr>
        <w:t xml:space="preserve">utiliser un </w:t>
      </w:r>
      <w:r w:rsidR="00036E69">
        <w:rPr>
          <w:lang w:val="fr-FR"/>
        </w:rPr>
        <w:t xml:space="preserve">calendrier </w:t>
      </w:r>
      <w:r w:rsidR="002B42E9" w:rsidRPr="009A78E3">
        <w:rPr>
          <w:lang w:val="fr-FR"/>
        </w:rPr>
        <w:t xml:space="preserve">biennal pour </w:t>
      </w:r>
      <w:r w:rsidR="00036E69">
        <w:rPr>
          <w:lang w:val="fr-FR"/>
        </w:rPr>
        <w:t>s</w:t>
      </w:r>
      <w:r w:rsidR="002B42E9" w:rsidRPr="009A78E3">
        <w:rPr>
          <w:lang w:val="fr-FR"/>
        </w:rPr>
        <w:t xml:space="preserve">es futurs rapports. </w:t>
      </w:r>
      <w:r w:rsidR="00BE21A1">
        <w:rPr>
          <w:lang w:val="fr-FR"/>
        </w:rPr>
        <w:t>L</w:t>
      </w:r>
      <w:r w:rsidR="00036E69">
        <w:rPr>
          <w:lang w:val="fr-FR"/>
        </w:rPr>
        <w:t>e présent</w:t>
      </w:r>
      <w:r w:rsidR="002B42E9" w:rsidRPr="009A78E3">
        <w:rPr>
          <w:lang w:val="fr-FR"/>
        </w:rPr>
        <w:t xml:space="preserve"> rapport devra être mis à jour par le Secrétariat après la </w:t>
      </w:r>
      <w:r w:rsidR="00036E69">
        <w:rPr>
          <w:lang w:val="fr-FR"/>
        </w:rPr>
        <w:t xml:space="preserve">dix-huitième </w:t>
      </w:r>
      <w:r w:rsidR="002B42E9" w:rsidRPr="009A78E3">
        <w:rPr>
          <w:lang w:val="fr-FR"/>
        </w:rPr>
        <w:t>session</w:t>
      </w:r>
      <w:r w:rsidR="00036E69">
        <w:rPr>
          <w:lang w:val="fr-FR"/>
        </w:rPr>
        <w:t xml:space="preserve"> du Comité</w:t>
      </w:r>
      <w:r w:rsidR="00BE21A1">
        <w:rPr>
          <w:lang w:val="fr-FR"/>
        </w:rPr>
        <w:t>, s</w:t>
      </w:r>
      <w:r w:rsidR="00BE21A1" w:rsidRPr="009A78E3">
        <w:rPr>
          <w:lang w:val="fr-FR"/>
        </w:rPr>
        <w:t>i nécessaire,</w:t>
      </w:r>
      <w:r w:rsidR="00036E69">
        <w:rPr>
          <w:lang w:val="fr-FR"/>
        </w:rPr>
        <w:t xml:space="preserve"> </w:t>
      </w:r>
      <w:r w:rsidR="002B42E9" w:rsidRPr="009A78E3">
        <w:rPr>
          <w:lang w:val="fr-FR"/>
        </w:rPr>
        <w:t xml:space="preserve">pour inclure des informations </w:t>
      </w:r>
      <w:r w:rsidR="0065397A">
        <w:rPr>
          <w:lang w:val="fr-FR"/>
        </w:rPr>
        <w:t>complémentaires</w:t>
      </w:r>
      <w:r w:rsidR="002B42E9" w:rsidRPr="009A78E3">
        <w:rPr>
          <w:lang w:val="fr-FR"/>
        </w:rPr>
        <w:t xml:space="preserve"> sur les résultats de la dix-huitième session du Comité. Le rapporteur de la dix-huitième session </w:t>
      </w:r>
      <w:r w:rsidR="00BE21A1">
        <w:rPr>
          <w:lang w:val="fr-FR"/>
        </w:rPr>
        <w:t xml:space="preserve">du Comité </w:t>
      </w:r>
      <w:r w:rsidR="002B42E9" w:rsidRPr="009A78E3">
        <w:rPr>
          <w:lang w:val="fr-FR"/>
        </w:rPr>
        <w:t xml:space="preserve">serait alors chargé de valider ces informations </w:t>
      </w:r>
      <w:r w:rsidR="00036E69">
        <w:rPr>
          <w:lang w:val="fr-FR"/>
        </w:rPr>
        <w:t>complémentaires</w:t>
      </w:r>
      <w:r w:rsidR="002B42E9" w:rsidRPr="009A78E3">
        <w:rPr>
          <w:lang w:val="fr-FR"/>
        </w:rPr>
        <w:t>.</w:t>
      </w:r>
    </w:p>
    <w:p w14:paraId="2D1653D7" w14:textId="71D97F0D" w:rsidR="002B42E9" w:rsidRPr="009A78E3" w:rsidRDefault="00036E69" w:rsidP="002B42E9">
      <w:pPr>
        <w:pStyle w:val="COMPara"/>
        <w:numPr>
          <w:ilvl w:val="0"/>
          <w:numId w:val="9"/>
        </w:numPr>
        <w:ind w:left="567" w:hanging="567"/>
        <w:jc w:val="both"/>
        <w:rPr>
          <w:lang w:val="fr-FR"/>
        </w:rPr>
      </w:pPr>
      <w:r>
        <w:rPr>
          <w:lang w:val="fr-FR"/>
        </w:rPr>
        <w:t>Le présent</w:t>
      </w:r>
      <w:r w:rsidR="002B42E9" w:rsidRPr="009A78E3">
        <w:rPr>
          <w:lang w:val="fr-FR"/>
        </w:rPr>
        <w:t xml:space="preserve"> rapport doit être lu conjointement </w:t>
      </w:r>
      <w:r>
        <w:rPr>
          <w:lang w:val="fr-FR"/>
        </w:rPr>
        <w:t>aux</w:t>
      </w:r>
      <w:r w:rsidR="002B42E9" w:rsidRPr="009A78E3">
        <w:rPr>
          <w:lang w:val="fr-FR"/>
        </w:rPr>
        <w:t xml:space="preserve"> documents de travail et </w:t>
      </w:r>
      <w:r>
        <w:rPr>
          <w:lang w:val="fr-FR"/>
        </w:rPr>
        <w:t>aux</w:t>
      </w:r>
      <w:r w:rsidR="002B42E9" w:rsidRPr="009A78E3">
        <w:rPr>
          <w:lang w:val="fr-FR"/>
        </w:rPr>
        <w:t xml:space="preserve"> décisions des organes directeurs de la Convention de 2003</w:t>
      </w:r>
      <w:r>
        <w:rPr>
          <w:lang w:val="fr-FR"/>
        </w:rPr>
        <w:t>,</w:t>
      </w:r>
      <w:r w:rsidR="002B42E9" w:rsidRPr="009A78E3">
        <w:rPr>
          <w:lang w:val="fr-FR"/>
        </w:rPr>
        <w:t xml:space="preserve"> qui se sont réunis pendant la période </w:t>
      </w:r>
      <w:r>
        <w:rPr>
          <w:lang w:val="fr-FR"/>
        </w:rPr>
        <w:t>considérée</w:t>
      </w:r>
      <w:r w:rsidR="002B42E9" w:rsidRPr="009A78E3">
        <w:rPr>
          <w:lang w:val="fr-FR"/>
        </w:rPr>
        <w:t xml:space="preserve"> (</w:t>
      </w:r>
      <w:proofErr w:type="gramStart"/>
      <w:r w:rsidR="002B42E9" w:rsidRPr="009A78E3">
        <w:rPr>
          <w:lang w:val="fr-FR"/>
        </w:rPr>
        <w:t>dix-septième et dix-huitième sessions</w:t>
      </w:r>
      <w:proofErr w:type="gramEnd"/>
      <w:r w:rsidR="002B42E9" w:rsidRPr="009A78E3">
        <w:rPr>
          <w:lang w:val="fr-FR"/>
        </w:rPr>
        <w:t xml:space="preserve"> du Comité</w:t>
      </w:r>
      <w:r>
        <w:rPr>
          <w:lang w:val="fr-FR"/>
        </w:rPr>
        <w:t>,</w:t>
      </w:r>
      <w:r w:rsidR="002B42E9" w:rsidRPr="009A78E3">
        <w:rPr>
          <w:lang w:val="fr-FR"/>
        </w:rPr>
        <w:t xml:space="preserve"> et neuvième session de l</w:t>
      </w:r>
      <w:r w:rsidR="002B42E9">
        <w:rPr>
          <w:lang w:val="fr-FR"/>
        </w:rPr>
        <w:t>’</w:t>
      </w:r>
      <w:r w:rsidR="002B42E9" w:rsidRPr="009A78E3">
        <w:rPr>
          <w:lang w:val="fr-FR"/>
        </w:rPr>
        <w:t>Assemblée générale), en particulier :</w:t>
      </w:r>
    </w:p>
    <w:p w14:paraId="4C9B38B8" w14:textId="3FEC0AFC" w:rsidR="002B42E9" w:rsidRPr="009A78E3" w:rsidRDefault="002B42E9" w:rsidP="002B42E9">
      <w:pPr>
        <w:pStyle w:val="Marge"/>
        <w:numPr>
          <w:ilvl w:val="0"/>
          <w:numId w:val="20"/>
        </w:numPr>
        <w:spacing w:after="120"/>
        <w:ind w:left="1134" w:hanging="567"/>
        <w:rPr>
          <w:szCs w:val="22"/>
        </w:rPr>
      </w:pPr>
      <w:r w:rsidRPr="009A78E3">
        <w:rPr>
          <w:szCs w:val="22"/>
        </w:rPr>
        <w:t xml:space="preserve">Le </w:t>
      </w:r>
      <w:r w:rsidRPr="00CB7E6C">
        <w:rPr>
          <w:szCs w:val="22"/>
        </w:rPr>
        <w:t xml:space="preserve">rapport du Secrétariat sur ses activités du 1er janvier 2020 au 31 décembre 2021 (document </w:t>
      </w:r>
      <w:hyperlink r:id="rId9" w:history="1">
        <w:r w:rsidRPr="00CB7E6C">
          <w:rPr>
            <w:rStyle w:val="Lienhypertexte"/>
            <w:szCs w:val="22"/>
          </w:rPr>
          <w:t>LHE/2</w:t>
        </w:r>
        <w:r w:rsidRPr="00CB7E6C">
          <w:rPr>
            <w:rStyle w:val="Lienhypertexte"/>
            <w:szCs w:val="22"/>
          </w:rPr>
          <w:t>2</w:t>
        </w:r>
        <w:r w:rsidRPr="00CB7E6C">
          <w:rPr>
            <w:rStyle w:val="Lienhypertexte"/>
            <w:szCs w:val="22"/>
          </w:rPr>
          <w:t>/9.GA/6</w:t>
        </w:r>
      </w:hyperlink>
      <w:r w:rsidRPr="00CB7E6C">
        <w:rPr>
          <w:szCs w:val="22"/>
        </w:rPr>
        <w:t>) ;</w:t>
      </w:r>
    </w:p>
    <w:p w14:paraId="79DBCDF8" w14:textId="6B0F38CA" w:rsidR="002B42E9" w:rsidRPr="009A78E3" w:rsidRDefault="00036E69" w:rsidP="002B42E9">
      <w:pPr>
        <w:pStyle w:val="Marge"/>
        <w:numPr>
          <w:ilvl w:val="0"/>
          <w:numId w:val="20"/>
        </w:numPr>
        <w:spacing w:after="120"/>
        <w:ind w:left="1134" w:hanging="567"/>
        <w:rPr>
          <w:szCs w:val="22"/>
        </w:rPr>
      </w:pPr>
      <w:r>
        <w:rPr>
          <w:szCs w:val="22"/>
        </w:rPr>
        <w:t>L’u</w:t>
      </w:r>
      <w:r w:rsidR="002B42E9" w:rsidRPr="009A78E3">
        <w:rPr>
          <w:szCs w:val="22"/>
        </w:rPr>
        <w:t xml:space="preserve">tilisation des ressources du Fonds du </w:t>
      </w:r>
      <w:r w:rsidR="002B42E9" w:rsidRPr="00CB7E6C">
        <w:rPr>
          <w:szCs w:val="22"/>
        </w:rPr>
        <w:t xml:space="preserve">patrimoine culturel immatériel pour la période 2022-2023 et le premier semestre 2024 (document </w:t>
      </w:r>
      <w:hyperlink r:id="rId10" w:history="1">
        <w:r w:rsidR="002B42E9" w:rsidRPr="00CB7E6C">
          <w:rPr>
            <w:rStyle w:val="Lienhypertexte"/>
            <w:szCs w:val="22"/>
          </w:rPr>
          <w:t>LHE/22</w:t>
        </w:r>
        <w:r w:rsidR="002B42E9" w:rsidRPr="00CB7E6C">
          <w:rPr>
            <w:rStyle w:val="Lienhypertexte"/>
            <w:szCs w:val="22"/>
          </w:rPr>
          <w:t>/</w:t>
        </w:r>
        <w:r w:rsidR="002B42E9" w:rsidRPr="00CB7E6C">
          <w:rPr>
            <w:rStyle w:val="Lienhypertexte"/>
            <w:szCs w:val="22"/>
          </w:rPr>
          <w:t xml:space="preserve">9.GA/10) </w:t>
        </w:r>
      </w:hyperlink>
      <w:hyperlink r:id="rId11" w:history="1">
        <w:r w:rsidR="002B42E9" w:rsidRPr="00CB7E6C">
          <w:rPr>
            <w:rStyle w:val="Lienhypertexte"/>
            <w:color w:val="auto"/>
            <w:szCs w:val="22"/>
            <w:u w:val="none"/>
          </w:rPr>
          <w:t>;</w:t>
        </w:r>
      </w:hyperlink>
    </w:p>
    <w:p w14:paraId="0079AF37" w14:textId="5C75BB50" w:rsidR="002B42E9" w:rsidRPr="009A78E3" w:rsidRDefault="002B42E9" w:rsidP="002B42E9">
      <w:pPr>
        <w:pStyle w:val="Marge"/>
        <w:numPr>
          <w:ilvl w:val="0"/>
          <w:numId w:val="20"/>
        </w:numPr>
        <w:spacing w:after="120"/>
        <w:ind w:left="1134" w:hanging="567"/>
        <w:rPr>
          <w:szCs w:val="22"/>
        </w:rPr>
      </w:pPr>
      <w:r w:rsidRPr="009A78E3">
        <w:rPr>
          <w:szCs w:val="22"/>
        </w:rPr>
        <w:t xml:space="preserve">Le rapport du </w:t>
      </w:r>
      <w:r w:rsidRPr="00CB7E6C">
        <w:rPr>
          <w:szCs w:val="22"/>
        </w:rPr>
        <w:t xml:space="preserve">Secrétariat sur ses activités du 1er janvier 2022 au 30 juin 2023 (document </w:t>
      </w:r>
      <w:hyperlink r:id="rId12" w:history="1">
        <w:r w:rsidRPr="00E30A65">
          <w:rPr>
            <w:rStyle w:val="Lienhypertexte"/>
            <w:szCs w:val="22"/>
          </w:rPr>
          <w:t>LHE/23/18.</w:t>
        </w:r>
        <w:r w:rsidRPr="00E30A65">
          <w:rPr>
            <w:rStyle w:val="Lienhypertexte"/>
            <w:szCs w:val="22"/>
          </w:rPr>
          <w:t>C</w:t>
        </w:r>
        <w:r w:rsidRPr="00E30A65">
          <w:rPr>
            <w:rStyle w:val="Lienhypertexte"/>
            <w:szCs w:val="22"/>
          </w:rPr>
          <w:t>OM/5</w:t>
        </w:r>
      </w:hyperlink>
      <w:r w:rsidRPr="00CB7E6C">
        <w:rPr>
          <w:szCs w:val="22"/>
        </w:rPr>
        <w:t>) ;</w:t>
      </w:r>
    </w:p>
    <w:p w14:paraId="574377DE" w14:textId="25257C47" w:rsidR="002B42E9" w:rsidRPr="009A78E3" w:rsidRDefault="002B42E9" w:rsidP="002B42E9">
      <w:pPr>
        <w:pStyle w:val="Marge"/>
        <w:numPr>
          <w:ilvl w:val="0"/>
          <w:numId w:val="20"/>
        </w:numPr>
        <w:spacing w:after="120"/>
        <w:ind w:left="1134" w:hanging="567"/>
        <w:rPr>
          <w:szCs w:val="22"/>
        </w:rPr>
      </w:pPr>
      <w:r w:rsidRPr="009A78E3">
        <w:rPr>
          <w:szCs w:val="22"/>
        </w:rPr>
        <w:t xml:space="preserve">Le </w:t>
      </w:r>
      <w:r w:rsidRPr="00CB7E6C">
        <w:rPr>
          <w:szCs w:val="22"/>
        </w:rPr>
        <w:t xml:space="preserve">rapport financier du Fonds du patrimoine culturel immatériel pour la période du 1er janvier 2024 au 31 décembre 2025 et le premier semestre 2026 (document </w:t>
      </w:r>
      <w:hyperlink r:id="rId13" w:history="1">
        <w:r w:rsidRPr="00E30A65">
          <w:rPr>
            <w:rStyle w:val="Lienhypertexte"/>
            <w:szCs w:val="22"/>
          </w:rPr>
          <w:t>LHE/23/18.COM/14</w:t>
        </w:r>
      </w:hyperlink>
      <w:r w:rsidRPr="00CB7E6C">
        <w:rPr>
          <w:szCs w:val="22"/>
        </w:rPr>
        <w:t>).</w:t>
      </w:r>
    </w:p>
    <w:p w14:paraId="525A63E7" w14:textId="42027D84" w:rsidR="002B42E9" w:rsidRPr="009A78E3" w:rsidRDefault="002B42E9" w:rsidP="002B42E9">
      <w:pPr>
        <w:pStyle w:val="COMPara"/>
        <w:numPr>
          <w:ilvl w:val="0"/>
          <w:numId w:val="9"/>
        </w:numPr>
        <w:ind w:left="567" w:hanging="567"/>
        <w:rPr>
          <w:lang w:val="fr-FR"/>
        </w:rPr>
      </w:pPr>
      <w:r w:rsidRPr="009A78E3">
        <w:rPr>
          <w:lang w:val="fr-FR"/>
        </w:rPr>
        <w:t xml:space="preserve">Le Comité </w:t>
      </w:r>
      <w:r w:rsidR="00036E69">
        <w:rPr>
          <w:lang w:val="fr-FR"/>
        </w:rPr>
        <w:t>souhaitera peut-être</w:t>
      </w:r>
      <w:r w:rsidRPr="009A78E3">
        <w:rPr>
          <w:lang w:val="fr-FR"/>
        </w:rPr>
        <w:t xml:space="preserve"> adopter la décision suivante :</w:t>
      </w:r>
    </w:p>
    <w:p w14:paraId="70B77B91" w14:textId="77777777" w:rsidR="002B42E9" w:rsidRPr="009A78E3" w:rsidRDefault="002B42E9" w:rsidP="002B42E9">
      <w:pPr>
        <w:pStyle w:val="COMTitleDecision"/>
        <w:rPr>
          <w:rFonts w:eastAsia="SimSun"/>
        </w:rPr>
      </w:pPr>
      <w:r w:rsidRPr="009A78E3">
        <w:t>PROJET DE DÉCISION 18.COM 20</w:t>
      </w:r>
    </w:p>
    <w:p w14:paraId="4A0C6409" w14:textId="5E88036D" w:rsidR="002B42E9" w:rsidRPr="009A78E3" w:rsidRDefault="002B42E9" w:rsidP="002B42E9">
      <w:pPr>
        <w:pStyle w:val="COMPreambulaDecisions"/>
        <w:rPr>
          <w:rFonts w:eastAsia="SimSun"/>
        </w:rPr>
      </w:pPr>
      <w:r>
        <w:t>Le Comité</w:t>
      </w:r>
      <w:r w:rsidRPr="009A78E3">
        <w:t>,</w:t>
      </w:r>
    </w:p>
    <w:p w14:paraId="58667892" w14:textId="77777777" w:rsidR="002B42E9" w:rsidRPr="009A78E3" w:rsidRDefault="002B42E9" w:rsidP="002B42E9">
      <w:pPr>
        <w:pStyle w:val="COMParaDecision"/>
      </w:pPr>
      <w:r w:rsidRPr="009A78E3">
        <w:t xml:space="preserve">Ayant examiné le </w:t>
      </w:r>
      <w:r w:rsidRPr="009A78E3">
        <w:rPr>
          <w:u w:val="none"/>
        </w:rPr>
        <w:t>document LHE/23/18.COM/20 et son annexe,</w:t>
      </w:r>
    </w:p>
    <w:p w14:paraId="6E2C67EE" w14:textId="00A9D2CA" w:rsidR="002B42E9" w:rsidRPr="009A78E3" w:rsidRDefault="002B42E9" w:rsidP="002B42E9">
      <w:pPr>
        <w:pStyle w:val="COMParaDecision"/>
      </w:pPr>
      <w:r w:rsidRPr="009A78E3">
        <w:t>Rappelant l</w:t>
      </w:r>
      <w:r>
        <w:t>’</w:t>
      </w:r>
      <w:r w:rsidRPr="009A78E3">
        <w:rPr>
          <w:u w:val="none"/>
        </w:rPr>
        <w:t xml:space="preserve">article 30 de la Convention ainsi que </w:t>
      </w:r>
      <w:r w:rsidR="00036E69">
        <w:rPr>
          <w:u w:val="none"/>
        </w:rPr>
        <w:t>la règle</w:t>
      </w:r>
      <w:r w:rsidRPr="009A78E3">
        <w:rPr>
          <w:u w:val="none"/>
        </w:rPr>
        <w:t xml:space="preserve"> 46 du Règlement intérieur du Comité,</w:t>
      </w:r>
    </w:p>
    <w:p w14:paraId="389C0F12" w14:textId="2D59F89A" w:rsidR="002B42E9" w:rsidRPr="009A78E3" w:rsidRDefault="002B42E9" w:rsidP="002B42E9">
      <w:pPr>
        <w:pStyle w:val="COMParaDecision"/>
        <w:rPr>
          <w:u w:val="none"/>
        </w:rPr>
      </w:pPr>
      <w:r w:rsidRPr="009A78E3">
        <w:t>Accueille l</w:t>
      </w:r>
      <w:r>
        <w:rPr>
          <w:u w:val="none"/>
        </w:rPr>
        <w:t>’</w:t>
      </w:r>
      <w:r w:rsidRPr="009A78E3">
        <w:rPr>
          <w:u w:val="none"/>
        </w:rPr>
        <w:t xml:space="preserve">État </w:t>
      </w:r>
      <w:r w:rsidR="00036E69">
        <w:rPr>
          <w:u w:val="none"/>
        </w:rPr>
        <w:t>ayant</w:t>
      </w:r>
      <w:r w:rsidRPr="009A78E3">
        <w:rPr>
          <w:u w:val="none"/>
        </w:rPr>
        <w:t xml:space="preserve"> ratifié la Convention depuis janvier 2022 ;</w:t>
      </w:r>
    </w:p>
    <w:p w14:paraId="55FAF7E2" w14:textId="6FA2F4B3" w:rsidR="002B42E9" w:rsidRPr="009A78E3" w:rsidRDefault="002B42E9" w:rsidP="002B42E9">
      <w:pPr>
        <w:pStyle w:val="COMParaDecision"/>
        <w:rPr>
          <w:u w:val="none"/>
        </w:rPr>
      </w:pPr>
      <w:r w:rsidRPr="009A78E3">
        <w:t xml:space="preserve">Adopte le </w:t>
      </w:r>
      <w:r w:rsidRPr="009A78E3">
        <w:rPr>
          <w:u w:val="none"/>
        </w:rPr>
        <w:t>rapport sur ses activités menées en 2022 et 2023</w:t>
      </w:r>
      <w:r w:rsidR="00036E69">
        <w:rPr>
          <w:u w:val="none"/>
        </w:rPr>
        <w:t>,</w:t>
      </w:r>
      <w:r w:rsidRPr="009A78E3">
        <w:rPr>
          <w:u w:val="none"/>
        </w:rPr>
        <w:t xml:space="preserve"> et </w:t>
      </w:r>
      <w:r w:rsidRPr="009A78E3">
        <w:t xml:space="preserve">demande </w:t>
      </w:r>
      <w:r w:rsidRPr="009A78E3">
        <w:rPr>
          <w:u w:val="none"/>
        </w:rPr>
        <w:t xml:space="preserve">au Secrétariat </w:t>
      </w:r>
      <w:proofErr w:type="gramStart"/>
      <w:r w:rsidRPr="009A78E3">
        <w:rPr>
          <w:u w:val="none"/>
        </w:rPr>
        <w:t>de</w:t>
      </w:r>
      <w:proofErr w:type="gramEnd"/>
      <w:r w:rsidRPr="009A78E3">
        <w:rPr>
          <w:u w:val="none"/>
        </w:rPr>
        <w:t xml:space="preserve"> le présenter pour examen </w:t>
      </w:r>
      <w:r w:rsidR="00036E69">
        <w:rPr>
          <w:u w:val="none"/>
        </w:rPr>
        <w:t>lors de</w:t>
      </w:r>
      <w:r w:rsidRPr="009A78E3">
        <w:rPr>
          <w:u w:val="none"/>
        </w:rPr>
        <w:t xml:space="preserve"> la dixième session de l</w:t>
      </w:r>
      <w:r>
        <w:rPr>
          <w:u w:val="none"/>
        </w:rPr>
        <w:t>’</w:t>
      </w:r>
      <w:r w:rsidRPr="009A78E3">
        <w:rPr>
          <w:u w:val="none"/>
        </w:rPr>
        <w:t>Assemblée générale.</w:t>
      </w:r>
    </w:p>
    <w:p w14:paraId="18048AD8" w14:textId="77777777" w:rsidR="002B42E9" w:rsidRPr="009A78E3" w:rsidRDefault="002B42E9" w:rsidP="002B42E9">
      <w:pPr>
        <w:rPr>
          <w:rFonts w:ascii="Arial" w:eastAsia="SimSun" w:hAnsi="Arial" w:cs="Arial"/>
          <w:sz w:val="22"/>
          <w:szCs w:val="22"/>
          <w:u w:val="single"/>
        </w:rPr>
      </w:pPr>
      <w:r w:rsidRPr="009A78E3">
        <w:br w:type="page"/>
      </w:r>
    </w:p>
    <w:p w14:paraId="014F4FF9" w14:textId="77777777" w:rsidR="002B42E9" w:rsidRPr="009A78E3" w:rsidRDefault="002B42E9" w:rsidP="002B42E9">
      <w:pPr>
        <w:pageBreakBefore/>
        <w:spacing w:after="240"/>
        <w:jc w:val="center"/>
        <w:rPr>
          <w:rFonts w:ascii="Arial" w:hAnsi="Arial" w:cs="Arial"/>
          <w:sz w:val="22"/>
          <w:szCs w:val="22"/>
        </w:rPr>
      </w:pPr>
      <w:r w:rsidRPr="009A78E3">
        <w:rPr>
          <w:rFonts w:ascii="Arial" w:hAnsi="Arial" w:cs="Arial"/>
          <w:b/>
          <w:bCs/>
          <w:sz w:val="22"/>
          <w:szCs w:val="22"/>
          <w:u w:val="single"/>
        </w:rPr>
        <w:lastRenderedPageBreak/>
        <w:t>ANNEXE</w:t>
      </w:r>
    </w:p>
    <w:p w14:paraId="5ABBAC37" w14:textId="0A3F266C" w:rsidR="002B42E9" w:rsidRPr="009A78E3" w:rsidRDefault="002B42E9" w:rsidP="002B42E9">
      <w:pPr>
        <w:spacing w:after="360"/>
        <w:jc w:val="center"/>
        <w:rPr>
          <w:rFonts w:ascii="Arial" w:hAnsi="Arial" w:cs="Arial"/>
          <w:sz w:val="22"/>
          <w:szCs w:val="22"/>
        </w:rPr>
      </w:pPr>
      <w:r w:rsidRPr="009A78E3">
        <w:rPr>
          <w:rFonts w:ascii="Arial" w:hAnsi="Arial" w:cs="Arial"/>
          <w:b/>
          <w:bCs/>
          <w:sz w:val="22"/>
          <w:szCs w:val="22"/>
        </w:rPr>
        <w:t xml:space="preserve">Rapport </w:t>
      </w:r>
      <w:r>
        <w:rPr>
          <w:rFonts w:ascii="Arial" w:hAnsi="Arial" w:cs="Arial"/>
          <w:b/>
          <w:bCs/>
          <w:sz w:val="22"/>
          <w:szCs w:val="22"/>
        </w:rPr>
        <w:t>du Comité</w:t>
      </w:r>
      <w:r w:rsidRPr="009A78E3">
        <w:rPr>
          <w:rFonts w:ascii="Arial" w:hAnsi="Arial" w:cs="Arial"/>
          <w:b/>
          <w:bCs/>
          <w:sz w:val="22"/>
          <w:szCs w:val="22"/>
        </w:rPr>
        <w:t xml:space="preserve"> à l</w:t>
      </w:r>
      <w:r>
        <w:rPr>
          <w:rFonts w:ascii="Arial" w:hAnsi="Arial" w:cs="Arial"/>
          <w:b/>
          <w:bCs/>
          <w:sz w:val="22"/>
          <w:szCs w:val="22"/>
        </w:rPr>
        <w:t>’</w:t>
      </w:r>
      <w:r w:rsidRPr="009A78E3">
        <w:rPr>
          <w:rFonts w:ascii="Arial" w:hAnsi="Arial" w:cs="Arial"/>
          <w:b/>
          <w:bCs/>
          <w:sz w:val="22"/>
          <w:szCs w:val="22"/>
        </w:rPr>
        <w:t>Assemblée générale sur ses activités</w:t>
      </w:r>
    </w:p>
    <w:p w14:paraId="6CCAB2FD" w14:textId="77777777" w:rsidR="002B42E9" w:rsidRDefault="002B42E9" w:rsidP="002B42E9">
      <w:pPr>
        <w:keepNext/>
        <w:numPr>
          <w:ilvl w:val="0"/>
          <w:numId w:val="22"/>
        </w:numPr>
        <w:tabs>
          <w:tab w:val="num" w:pos="567"/>
        </w:tabs>
        <w:snapToGrid w:val="0"/>
        <w:spacing w:before="240" w:after="120"/>
        <w:ind w:left="562" w:hanging="562"/>
        <w:jc w:val="both"/>
        <w:rPr>
          <w:rFonts w:asciiTheme="minorBidi" w:hAnsiTheme="minorBidi" w:cstheme="minorBidi"/>
          <w:szCs w:val="22"/>
          <w:lang w:val="en-GB"/>
        </w:rPr>
      </w:pPr>
      <w:r w:rsidRPr="003C1CCC">
        <w:rPr>
          <w:rFonts w:ascii="Arial" w:hAnsi="Arial" w:cs="Arial"/>
          <w:b/>
          <w:sz w:val="22"/>
          <w:szCs w:val="22"/>
          <w:lang w:val="en-GB"/>
        </w:rPr>
        <w:t>Introduction</w:t>
      </w:r>
    </w:p>
    <w:p w14:paraId="374186A0" w14:textId="59925F2D" w:rsidR="002B42E9" w:rsidRPr="009A78E3" w:rsidRDefault="002B42E9" w:rsidP="002B42E9">
      <w:pPr>
        <w:pStyle w:val="Marge"/>
        <w:numPr>
          <w:ilvl w:val="0"/>
          <w:numId w:val="21"/>
        </w:numPr>
        <w:tabs>
          <w:tab w:val="clear" w:pos="567"/>
          <w:tab w:val="num" w:pos="1276"/>
        </w:tabs>
        <w:spacing w:after="120"/>
        <w:ind w:left="567" w:hanging="567"/>
        <w:rPr>
          <w:rFonts w:asciiTheme="minorBidi" w:hAnsiTheme="minorBidi" w:cstheme="minorBidi"/>
          <w:szCs w:val="22"/>
        </w:rPr>
      </w:pPr>
      <w:r w:rsidRPr="009A78E3">
        <w:rPr>
          <w:rFonts w:asciiTheme="minorBidi" w:hAnsiTheme="minorBidi" w:cstheme="minorBidi"/>
          <w:szCs w:val="22"/>
        </w:rPr>
        <w:t xml:space="preserve">Les fonctions du Comité sont définies dans la Convention de 2003 pour la sauvegarde du patrimoine culturel immatériel, </w:t>
      </w:r>
      <w:r w:rsidR="00611C16">
        <w:rPr>
          <w:rFonts w:asciiTheme="minorBidi" w:hAnsiTheme="minorBidi" w:cstheme="minorBidi"/>
          <w:szCs w:val="22"/>
        </w:rPr>
        <w:t>plus précisément</w:t>
      </w:r>
      <w:r w:rsidRPr="009A78E3">
        <w:rPr>
          <w:rFonts w:asciiTheme="minorBidi" w:hAnsiTheme="minorBidi" w:cstheme="minorBidi"/>
          <w:szCs w:val="22"/>
        </w:rPr>
        <w:t xml:space="preserve"> à l</w:t>
      </w:r>
      <w:r>
        <w:rPr>
          <w:rFonts w:asciiTheme="minorBidi" w:hAnsiTheme="minorBidi" w:cstheme="minorBidi"/>
          <w:szCs w:val="22"/>
        </w:rPr>
        <w:t>’</w:t>
      </w:r>
      <w:r w:rsidRPr="009A78E3">
        <w:rPr>
          <w:rFonts w:asciiTheme="minorBidi" w:hAnsiTheme="minorBidi" w:cstheme="minorBidi"/>
          <w:szCs w:val="22"/>
        </w:rPr>
        <w:t>article 7.</w:t>
      </w:r>
    </w:p>
    <w:p w14:paraId="67D6858F" w14:textId="682E2729" w:rsidR="002B42E9" w:rsidRPr="009A78E3" w:rsidRDefault="002B42E9" w:rsidP="002B42E9">
      <w:pPr>
        <w:pStyle w:val="Marge"/>
        <w:numPr>
          <w:ilvl w:val="0"/>
          <w:numId w:val="21"/>
        </w:numPr>
        <w:tabs>
          <w:tab w:val="num" w:pos="567"/>
        </w:tabs>
        <w:spacing w:before="120" w:after="120"/>
        <w:ind w:left="567" w:hanging="567"/>
        <w:rPr>
          <w:rFonts w:asciiTheme="minorBidi" w:hAnsiTheme="minorBidi" w:cstheme="minorBidi"/>
          <w:szCs w:val="22"/>
        </w:rPr>
      </w:pPr>
      <w:r w:rsidRPr="009A78E3">
        <w:rPr>
          <w:rFonts w:asciiTheme="minorBidi" w:hAnsiTheme="minorBidi" w:cstheme="minorBidi"/>
          <w:szCs w:val="22"/>
        </w:rPr>
        <w:t>En 2022, l</w:t>
      </w:r>
      <w:r>
        <w:rPr>
          <w:rFonts w:asciiTheme="minorBidi" w:hAnsiTheme="minorBidi" w:cstheme="minorBidi"/>
          <w:szCs w:val="22"/>
        </w:rPr>
        <w:t>’</w:t>
      </w:r>
      <w:r w:rsidRPr="009A78E3">
        <w:rPr>
          <w:rFonts w:asciiTheme="minorBidi" w:hAnsiTheme="minorBidi" w:cstheme="minorBidi"/>
          <w:szCs w:val="22"/>
        </w:rPr>
        <w:t xml:space="preserve">Assemblée générale a renouvelé la moitié du Comité en élisant douze États parties </w:t>
      </w:r>
      <w:r w:rsidR="00FA21FE">
        <w:rPr>
          <w:rFonts w:asciiTheme="minorBidi" w:hAnsiTheme="minorBidi" w:cstheme="minorBidi"/>
          <w:szCs w:val="22"/>
        </w:rPr>
        <w:t>avec</w:t>
      </w:r>
      <w:r w:rsidRPr="009A78E3">
        <w:rPr>
          <w:rFonts w:asciiTheme="minorBidi" w:hAnsiTheme="minorBidi" w:cstheme="minorBidi"/>
          <w:szCs w:val="22"/>
        </w:rPr>
        <w:t xml:space="preserve"> les membres actuels : Allemagne*, Angola*, Arabie saoudite, Bangladesh*, Botswana, Brésil, Burkina Faso*, Côte d</w:t>
      </w:r>
      <w:r>
        <w:rPr>
          <w:rFonts w:asciiTheme="minorBidi" w:hAnsiTheme="minorBidi" w:cstheme="minorBidi"/>
          <w:szCs w:val="22"/>
        </w:rPr>
        <w:t>’</w:t>
      </w:r>
      <w:r w:rsidRPr="009A78E3">
        <w:rPr>
          <w:rFonts w:asciiTheme="minorBidi" w:hAnsiTheme="minorBidi" w:cstheme="minorBidi"/>
          <w:szCs w:val="22"/>
        </w:rPr>
        <w:t xml:space="preserve">Ivoire, Éthiopie*, Inde*, Malaisie*, Maroc, Mauritanie*, Panama, Paraguay*, Pérou, République de Corée, Rwanda, Slovaquie*, Suède, Suisse, </w:t>
      </w:r>
      <w:r w:rsidR="00FA21FE">
        <w:rPr>
          <w:rFonts w:asciiTheme="minorBidi" w:hAnsiTheme="minorBidi" w:cstheme="minorBidi"/>
          <w:szCs w:val="22"/>
        </w:rPr>
        <w:t xml:space="preserve">Tchéquie, </w:t>
      </w:r>
      <w:r w:rsidRPr="009A78E3">
        <w:rPr>
          <w:rFonts w:asciiTheme="minorBidi" w:hAnsiTheme="minorBidi" w:cstheme="minorBidi"/>
          <w:szCs w:val="22"/>
        </w:rPr>
        <w:t>Ouzbékistan* et Vi</w:t>
      </w:r>
      <w:r w:rsidR="00FA21FE">
        <w:rPr>
          <w:rFonts w:asciiTheme="minorBidi" w:hAnsiTheme="minorBidi" w:cstheme="minorBidi"/>
          <w:szCs w:val="22"/>
        </w:rPr>
        <w:t>e</w:t>
      </w:r>
      <w:r w:rsidRPr="009A78E3">
        <w:rPr>
          <w:rFonts w:asciiTheme="minorBidi" w:hAnsiTheme="minorBidi" w:cstheme="minorBidi"/>
          <w:szCs w:val="22"/>
        </w:rPr>
        <w:t xml:space="preserve">t Nam* (ceux </w:t>
      </w:r>
      <w:r w:rsidR="00FA21FE">
        <w:rPr>
          <w:rFonts w:asciiTheme="minorBidi" w:hAnsiTheme="minorBidi" w:cstheme="minorBidi"/>
          <w:szCs w:val="22"/>
        </w:rPr>
        <w:t>marqués</w:t>
      </w:r>
      <w:r w:rsidRPr="009A78E3">
        <w:rPr>
          <w:rFonts w:asciiTheme="minorBidi" w:hAnsiTheme="minorBidi" w:cstheme="minorBidi"/>
          <w:szCs w:val="22"/>
        </w:rPr>
        <w:t xml:space="preserve"> </w:t>
      </w:r>
      <w:r w:rsidR="00FA21FE">
        <w:rPr>
          <w:rFonts w:asciiTheme="minorBidi" w:hAnsiTheme="minorBidi" w:cstheme="minorBidi"/>
          <w:szCs w:val="22"/>
        </w:rPr>
        <w:t>par</w:t>
      </w:r>
      <w:r w:rsidRPr="009A78E3">
        <w:rPr>
          <w:rFonts w:asciiTheme="minorBidi" w:hAnsiTheme="minorBidi" w:cstheme="minorBidi"/>
          <w:szCs w:val="22"/>
        </w:rPr>
        <w:t xml:space="preserve"> un astérisque ont un mandat entre 2022 et 2026 ; le mandat de ceux sans astérisque </w:t>
      </w:r>
      <w:r w:rsidR="00FA21FE">
        <w:rPr>
          <w:rFonts w:asciiTheme="minorBidi" w:hAnsiTheme="minorBidi" w:cstheme="minorBidi"/>
          <w:szCs w:val="22"/>
        </w:rPr>
        <w:t>sera de</w:t>
      </w:r>
      <w:r w:rsidRPr="009A78E3">
        <w:rPr>
          <w:rFonts w:asciiTheme="minorBidi" w:hAnsiTheme="minorBidi" w:cstheme="minorBidi"/>
          <w:szCs w:val="22"/>
        </w:rPr>
        <w:t xml:space="preserve"> 2020 </w:t>
      </w:r>
      <w:r w:rsidR="00FA21FE">
        <w:rPr>
          <w:rFonts w:asciiTheme="minorBidi" w:hAnsiTheme="minorBidi" w:cstheme="minorBidi"/>
          <w:szCs w:val="22"/>
        </w:rPr>
        <w:t>à</w:t>
      </w:r>
      <w:r w:rsidRPr="009A78E3">
        <w:rPr>
          <w:rFonts w:asciiTheme="minorBidi" w:hAnsiTheme="minorBidi" w:cstheme="minorBidi"/>
          <w:szCs w:val="22"/>
        </w:rPr>
        <w:t xml:space="preserve"> 2024).</w:t>
      </w:r>
    </w:p>
    <w:p w14:paraId="2BCEAC32" w14:textId="5F598472" w:rsidR="002B42E9" w:rsidRPr="009A78E3" w:rsidRDefault="002B42E9" w:rsidP="002B42E9">
      <w:pPr>
        <w:pStyle w:val="Marge"/>
        <w:numPr>
          <w:ilvl w:val="0"/>
          <w:numId w:val="21"/>
        </w:numPr>
        <w:tabs>
          <w:tab w:val="num" w:pos="567"/>
        </w:tabs>
        <w:spacing w:before="120" w:after="120"/>
        <w:ind w:left="567" w:hanging="567"/>
        <w:rPr>
          <w:rFonts w:asciiTheme="minorBidi" w:hAnsiTheme="minorBidi" w:cstheme="minorBidi"/>
          <w:szCs w:val="22"/>
        </w:rPr>
      </w:pPr>
      <w:r w:rsidRPr="009A78E3">
        <w:rPr>
          <w:rFonts w:asciiTheme="minorBidi" w:hAnsiTheme="minorBidi" w:cstheme="minorBidi"/>
          <w:szCs w:val="22"/>
        </w:rPr>
        <w:t>L</w:t>
      </w:r>
      <w:r w:rsidR="00FA21FE">
        <w:rPr>
          <w:rFonts w:asciiTheme="minorBidi" w:hAnsiTheme="minorBidi" w:cstheme="minorBidi"/>
          <w:szCs w:val="22"/>
        </w:rPr>
        <w:t>a session ordinaire</w:t>
      </w:r>
      <w:r w:rsidRPr="009A78E3">
        <w:rPr>
          <w:rFonts w:asciiTheme="minorBidi" w:hAnsiTheme="minorBidi" w:cstheme="minorBidi"/>
          <w:szCs w:val="22"/>
        </w:rPr>
        <w:t xml:space="preserve"> </w:t>
      </w:r>
      <w:r w:rsidR="00FA21FE">
        <w:rPr>
          <w:rFonts w:asciiTheme="minorBidi" w:hAnsiTheme="minorBidi" w:cstheme="minorBidi"/>
          <w:szCs w:val="22"/>
        </w:rPr>
        <w:t xml:space="preserve">du </w:t>
      </w:r>
      <w:r w:rsidRPr="009A78E3">
        <w:rPr>
          <w:rFonts w:asciiTheme="minorBidi" w:hAnsiTheme="minorBidi" w:cstheme="minorBidi"/>
          <w:szCs w:val="22"/>
        </w:rPr>
        <w:t xml:space="preserve">Comité </w:t>
      </w:r>
      <w:r w:rsidR="00FA21FE">
        <w:rPr>
          <w:rFonts w:asciiTheme="minorBidi" w:hAnsiTheme="minorBidi" w:cstheme="minorBidi"/>
          <w:szCs w:val="22"/>
        </w:rPr>
        <w:t>s’est réunie</w:t>
      </w:r>
      <w:r w:rsidRPr="009A78E3">
        <w:rPr>
          <w:rFonts w:asciiTheme="minorBidi" w:hAnsiTheme="minorBidi" w:cstheme="minorBidi"/>
          <w:szCs w:val="22"/>
        </w:rPr>
        <w:t xml:space="preserve"> deux fois</w:t>
      </w:r>
      <w:r>
        <w:rPr>
          <w:rFonts w:asciiTheme="minorBidi" w:hAnsiTheme="minorBidi" w:cstheme="minorBidi"/>
          <w:szCs w:val="22"/>
        </w:rPr>
        <w:t> </w:t>
      </w:r>
      <w:r w:rsidRPr="009A78E3">
        <w:rPr>
          <w:rFonts w:asciiTheme="minorBidi" w:hAnsiTheme="minorBidi" w:cstheme="minorBidi"/>
          <w:szCs w:val="22"/>
        </w:rPr>
        <w:t>: du 28 novembre au 3 décembre 2022 (Rabat, Royaume du Maroc) pour sa dix-septième session (17.COM), et du 4 au 9 décembre 2023 (</w:t>
      </w:r>
      <w:proofErr w:type="spellStart"/>
      <w:r w:rsidRPr="009A78E3">
        <w:rPr>
          <w:rFonts w:asciiTheme="minorBidi" w:hAnsiTheme="minorBidi" w:cstheme="minorBidi"/>
          <w:szCs w:val="22"/>
        </w:rPr>
        <w:t>Kasane</w:t>
      </w:r>
      <w:proofErr w:type="spellEnd"/>
      <w:r w:rsidRPr="009A78E3">
        <w:rPr>
          <w:rFonts w:asciiTheme="minorBidi" w:hAnsiTheme="minorBidi" w:cstheme="minorBidi"/>
          <w:szCs w:val="22"/>
        </w:rPr>
        <w:t xml:space="preserve">, République du Botswana) pour sa dix-huitième session (18.COM). </w:t>
      </w:r>
      <w:r w:rsidR="00FA21FE">
        <w:rPr>
          <w:rFonts w:asciiTheme="minorBidi" w:hAnsiTheme="minorBidi" w:cstheme="minorBidi"/>
          <w:szCs w:val="22"/>
        </w:rPr>
        <w:t>En outre, elle s’est réunie une fois en ligne le 1</w:t>
      </w:r>
      <w:r w:rsidR="00FA21FE" w:rsidRPr="00E30A65">
        <w:rPr>
          <w:rFonts w:asciiTheme="minorBidi" w:hAnsiTheme="minorBidi" w:cstheme="minorBidi"/>
          <w:szCs w:val="22"/>
          <w:vertAlign w:val="superscript"/>
        </w:rPr>
        <w:t>er</w:t>
      </w:r>
      <w:r w:rsidR="00FA21FE">
        <w:rPr>
          <w:rFonts w:asciiTheme="minorBidi" w:hAnsiTheme="minorBidi" w:cstheme="minorBidi"/>
          <w:szCs w:val="22"/>
        </w:rPr>
        <w:t xml:space="preserve"> juillet 2022 pour sa cinquième session extraordinaire (5.EXT.COM). </w:t>
      </w:r>
      <w:r w:rsidRPr="009A78E3">
        <w:rPr>
          <w:rFonts w:asciiTheme="minorBidi" w:hAnsiTheme="minorBidi" w:cstheme="minorBidi"/>
          <w:szCs w:val="22"/>
        </w:rPr>
        <w:t xml:space="preserve">Le Bureau </w:t>
      </w:r>
      <w:r>
        <w:rPr>
          <w:rFonts w:asciiTheme="minorBidi" w:hAnsiTheme="minorBidi" w:cstheme="minorBidi"/>
          <w:szCs w:val="22"/>
        </w:rPr>
        <w:t>du</w:t>
      </w:r>
      <w:r w:rsidRPr="009A78E3">
        <w:rPr>
          <w:rFonts w:asciiTheme="minorBidi" w:hAnsiTheme="minorBidi" w:cstheme="minorBidi"/>
          <w:szCs w:val="22"/>
        </w:rPr>
        <w:t xml:space="preserve"> 17.COM était composé de</w:t>
      </w:r>
      <w:r w:rsidR="00FA21FE">
        <w:rPr>
          <w:rFonts w:asciiTheme="minorBidi" w:hAnsiTheme="minorBidi" w:cstheme="minorBidi"/>
          <w:szCs w:val="22"/>
        </w:rPr>
        <w:t> </w:t>
      </w:r>
      <w:r w:rsidRPr="009A78E3">
        <w:rPr>
          <w:rFonts w:asciiTheme="minorBidi" w:hAnsiTheme="minorBidi" w:cstheme="minorBidi"/>
          <w:szCs w:val="22"/>
        </w:rPr>
        <w:t xml:space="preserve">: S.E. M. Samir </w:t>
      </w:r>
      <w:proofErr w:type="spellStart"/>
      <w:r w:rsidRPr="009A78E3">
        <w:rPr>
          <w:rFonts w:asciiTheme="minorBidi" w:hAnsiTheme="minorBidi" w:cstheme="minorBidi"/>
          <w:szCs w:val="22"/>
        </w:rPr>
        <w:t>Addahre</w:t>
      </w:r>
      <w:proofErr w:type="spellEnd"/>
      <w:r w:rsidRPr="009A78E3">
        <w:rPr>
          <w:rFonts w:asciiTheme="minorBidi" w:hAnsiTheme="minorBidi" w:cstheme="minorBidi"/>
          <w:szCs w:val="22"/>
        </w:rPr>
        <w:t xml:space="preserve"> (Maroc) en </w:t>
      </w:r>
      <w:r w:rsidR="00FA21FE">
        <w:rPr>
          <w:rFonts w:asciiTheme="minorBidi" w:hAnsiTheme="minorBidi" w:cstheme="minorBidi"/>
          <w:szCs w:val="22"/>
        </w:rPr>
        <w:t>qualité de</w:t>
      </w:r>
      <w:r w:rsidRPr="009A78E3">
        <w:rPr>
          <w:rFonts w:asciiTheme="minorBidi" w:hAnsiTheme="minorBidi" w:cstheme="minorBidi"/>
          <w:szCs w:val="22"/>
        </w:rPr>
        <w:t xml:space="preserve"> Président ; la Suisse, la Tchéquie, le Panama, la République de Corée et le Botswana en </w:t>
      </w:r>
      <w:r w:rsidR="00FA21FE">
        <w:rPr>
          <w:rFonts w:asciiTheme="minorBidi" w:hAnsiTheme="minorBidi" w:cstheme="minorBidi"/>
          <w:szCs w:val="22"/>
        </w:rPr>
        <w:t>qualité de</w:t>
      </w:r>
      <w:r w:rsidRPr="009A78E3">
        <w:rPr>
          <w:rFonts w:asciiTheme="minorBidi" w:hAnsiTheme="minorBidi" w:cstheme="minorBidi"/>
          <w:szCs w:val="22"/>
        </w:rPr>
        <w:t xml:space="preserve"> Vice-présidents ; et M. Ramiro Maurice Silva Rivera (Pérou) en </w:t>
      </w:r>
      <w:r w:rsidR="00FA21FE">
        <w:rPr>
          <w:rFonts w:asciiTheme="minorBidi" w:hAnsiTheme="minorBidi" w:cstheme="minorBidi"/>
          <w:szCs w:val="22"/>
        </w:rPr>
        <w:t>qualité de</w:t>
      </w:r>
      <w:r w:rsidRPr="009A78E3">
        <w:rPr>
          <w:rFonts w:asciiTheme="minorBidi" w:hAnsiTheme="minorBidi" w:cstheme="minorBidi"/>
          <w:szCs w:val="22"/>
        </w:rPr>
        <w:t xml:space="preserve"> Rapporteur. Le Bureau du 18.COM était composé de : S.E. M. </w:t>
      </w:r>
      <w:proofErr w:type="spellStart"/>
      <w:r w:rsidRPr="009A78E3">
        <w:rPr>
          <w:rFonts w:asciiTheme="minorBidi" w:hAnsiTheme="minorBidi" w:cstheme="minorBidi"/>
          <w:szCs w:val="22"/>
        </w:rPr>
        <w:t>Mustaq</w:t>
      </w:r>
      <w:proofErr w:type="spellEnd"/>
      <w:r w:rsidRPr="009A78E3">
        <w:rPr>
          <w:rFonts w:asciiTheme="minorBidi" w:hAnsiTheme="minorBidi" w:cstheme="minorBidi"/>
          <w:szCs w:val="22"/>
        </w:rPr>
        <w:t xml:space="preserve"> </w:t>
      </w:r>
      <w:proofErr w:type="spellStart"/>
      <w:r w:rsidRPr="009A78E3">
        <w:rPr>
          <w:rFonts w:asciiTheme="minorBidi" w:hAnsiTheme="minorBidi" w:cstheme="minorBidi"/>
          <w:szCs w:val="22"/>
        </w:rPr>
        <w:t>Moorad</w:t>
      </w:r>
      <w:proofErr w:type="spellEnd"/>
      <w:r w:rsidRPr="009A78E3">
        <w:rPr>
          <w:rFonts w:asciiTheme="minorBidi" w:hAnsiTheme="minorBidi" w:cstheme="minorBidi"/>
          <w:szCs w:val="22"/>
        </w:rPr>
        <w:t xml:space="preserve"> (Botswana) en </w:t>
      </w:r>
      <w:r w:rsidR="0085526D">
        <w:rPr>
          <w:rFonts w:asciiTheme="minorBidi" w:hAnsiTheme="minorBidi" w:cstheme="minorBidi"/>
          <w:szCs w:val="22"/>
        </w:rPr>
        <w:t>qualité de</w:t>
      </w:r>
      <w:r w:rsidRPr="009A78E3">
        <w:rPr>
          <w:rFonts w:asciiTheme="minorBidi" w:hAnsiTheme="minorBidi" w:cstheme="minorBidi"/>
          <w:szCs w:val="22"/>
        </w:rPr>
        <w:t xml:space="preserve"> Président ; la Suisse, la Slovaquie, le Pérou, le Bangladesh et le Maroc en </w:t>
      </w:r>
      <w:r w:rsidR="0085526D">
        <w:rPr>
          <w:rFonts w:asciiTheme="minorBidi" w:hAnsiTheme="minorBidi" w:cstheme="minorBidi"/>
          <w:szCs w:val="22"/>
        </w:rPr>
        <w:t>qualité de</w:t>
      </w:r>
      <w:r w:rsidRPr="009A78E3">
        <w:rPr>
          <w:rFonts w:asciiTheme="minorBidi" w:hAnsiTheme="minorBidi" w:cstheme="minorBidi"/>
          <w:szCs w:val="22"/>
        </w:rPr>
        <w:t xml:space="preserve"> Vice-présidents ; et Mme Eva </w:t>
      </w:r>
      <w:proofErr w:type="spellStart"/>
      <w:r w:rsidRPr="009A78E3">
        <w:rPr>
          <w:rFonts w:asciiTheme="minorBidi" w:hAnsiTheme="minorBidi" w:cstheme="minorBidi"/>
          <w:szCs w:val="22"/>
        </w:rPr>
        <w:t>Kuminkova</w:t>
      </w:r>
      <w:proofErr w:type="spellEnd"/>
      <w:r w:rsidRPr="009A78E3">
        <w:rPr>
          <w:rFonts w:asciiTheme="minorBidi" w:hAnsiTheme="minorBidi" w:cstheme="minorBidi"/>
          <w:szCs w:val="22"/>
        </w:rPr>
        <w:t xml:space="preserve"> (Tch</w:t>
      </w:r>
      <w:r>
        <w:rPr>
          <w:rFonts w:asciiTheme="minorBidi" w:hAnsiTheme="minorBidi" w:cstheme="minorBidi"/>
          <w:szCs w:val="22"/>
        </w:rPr>
        <w:t>équie</w:t>
      </w:r>
      <w:r w:rsidRPr="009A78E3">
        <w:rPr>
          <w:rFonts w:asciiTheme="minorBidi" w:hAnsiTheme="minorBidi" w:cstheme="minorBidi"/>
          <w:szCs w:val="22"/>
        </w:rPr>
        <w:t xml:space="preserve">) en </w:t>
      </w:r>
      <w:r w:rsidR="0085526D">
        <w:rPr>
          <w:rFonts w:asciiTheme="minorBidi" w:hAnsiTheme="minorBidi" w:cstheme="minorBidi"/>
          <w:szCs w:val="22"/>
        </w:rPr>
        <w:t>qualité de</w:t>
      </w:r>
      <w:r w:rsidRPr="009A78E3">
        <w:rPr>
          <w:rFonts w:asciiTheme="minorBidi" w:hAnsiTheme="minorBidi" w:cstheme="minorBidi"/>
          <w:szCs w:val="22"/>
        </w:rPr>
        <w:t xml:space="preserve"> </w:t>
      </w:r>
      <w:proofErr w:type="spellStart"/>
      <w:r w:rsidRPr="009A78E3">
        <w:rPr>
          <w:rFonts w:asciiTheme="minorBidi" w:hAnsiTheme="minorBidi" w:cstheme="minorBidi"/>
          <w:szCs w:val="22"/>
        </w:rPr>
        <w:t>Rapporteur</w:t>
      </w:r>
      <w:r w:rsidR="0085526D">
        <w:rPr>
          <w:rFonts w:asciiTheme="minorBidi" w:hAnsiTheme="minorBidi" w:cstheme="minorBidi"/>
          <w:szCs w:val="22"/>
        </w:rPr>
        <w:t>e</w:t>
      </w:r>
      <w:proofErr w:type="spellEnd"/>
      <w:r w:rsidRPr="009A78E3">
        <w:rPr>
          <w:rFonts w:asciiTheme="minorBidi" w:hAnsiTheme="minorBidi" w:cstheme="minorBidi"/>
          <w:szCs w:val="22"/>
        </w:rPr>
        <w:t>.</w:t>
      </w:r>
      <w:r w:rsidR="00D802CD">
        <w:rPr>
          <w:rFonts w:asciiTheme="minorBidi" w:hAnsiTheme="minorBidi" w:cstheme="minorBidi"/>
          <w:szCs w:val="22"/>
        </w:rPr>
        <w:t xml:space="preserve"> Le Bureau de la 5.EXT.COM était le même que celui du 17.COM.</w:t>
      </w:r>
    </w:p>
    <w:p w14:paraId="32B0CD8F" w14:textId="48F66A8F" w:rsidR="002B42E9" w:rsidRPr="009A78E3" w:rsidRDefault="002B42E9" w:rsidP="002B42E9">
      <w:pPr>
        <w:pStyle w:val="Marge"/>
        <w:numPr>
          <w:ilvl w:val="0"/>
          <w:numId w:val="21"/>
        </w:numPr>
        <w:tabs>
          <w:tab w:val="num" w:pos="567"/>
        </w:tabs>
        <w:spacing w:before="120" w:after="120"/>
        <w:ind w:left="567" w:hanging="567"/>
        <w:rPr>
          <w:rFonts w:asciiTheme="minorBidi" w:hAnsiTheme="minorBidi" w:cstheme="minorBidi"/>
          <w:szCs w:val="22"/>
        </w:rPr>
      </w:pPr>
      <w:r w:rsidRPr="009A78E3">
        <w:rPr>
          <w:rFonts w:asciiTheme="minorBidi" w:hAnsiTheme="minorBidi" w:cstheme="minorBidi"/>
          <w:szCs w:val="22"/>
        </w:rPr>
        <w:t>Le Bureau s</w:t>
      </w:r>
      <w:r>
        <w:rPr>
          <w:rFonts w:asciiTheme="minorBidi" w:hAnsiTheme="minorBidi" w:cstheme="minorBidi"/>
          <w:szCs w:val="22"/>
        </w:rPr>
        <w:t>’</w:t>
      </w:r>
      <w:r w:rsidRPr="009A78E3">
        <w:rPr>
          <w:rFonts w:asciiTheme="minorBidi" w:hAnsiTheme="minorBidi" w:cstheme="minorBidi"/>
          <w:szCs w:val="22"/>
        </w:rPr>
        <w:t xml:space="preserve">est réuni </w:t>
      </w:r>
      <w:r w:rsidR="00C354CB">
        <w:rPr>
          <w:rFonts w:asciiTheme="minorBidi" w:hAnsiTheme="minorBidi" w:cstheme="minorBidi"/>
          <w:szCs w:val="22"/>
        </w:rPr>
        <w:t>au cours</w:t>
      </w:r>
      <w:r w:rsidRPr="009A78E3">
        <w:rPr>
          <w:rFonts w:asciiTheme="minorBidi" w:hAnsiTheme="minorBidi" w:cstheme="minorBidi"/>
          <w:szCs w:val="22"/>
        </w:rPr>
        <w:t xml:space="preserve"> </w:t>
      </w:r>
      <w:r w:rsidR="00C354CB">
        <w:rPr>
          <w:rFonts w:asciiTheme="minorBidi" w:hAnsiTheme="minorBidi" w:cstheme="minorBidi"/>
          <w:szCs w:val="22"/>
        </w:rPr>
        <w:t>d</w:t>
      </w:r>
      <w:r w:rsidRPr="009A78E3">
        <w:rPr>
          <w:rFonts w:asciiTheme="minorBidi" w:hAnsiTheme="minorBidi" w:cstheme="minorBidi"/>
          <w:szCs w:val="22"/>
        </w:rPr>
        <w:t xml:space="preserve">es sessions du Comité du mardi au samedi. </w:t>
      </w:r>
      <w:r w:rsidR="00C354CB">
        <w:rPr>
          <w:rFonts w:asciiTheme="minorBidi" w:hAnsiTheme="minorBidi" w:cstheme="minorBidi"/>
          <w:szCs w:val="22"/>
        </w:rPr>
        <w:t>Pendant</w:t>
      </w:r>
      <w:r w:rsidRPr="009A78E3">
        <w:rPr>
          <w:rFonts w:asciiTheme="minorBidi" w:hAnsiTheme="minorBidi" w:cstheme="minorBidi"/>
          <w:szCs w:val="22"/>
        </w:rPr>
        <w:t xml:space="preserve"> la période considérée, il s</w:t>
      </w:r>
      <w:r>
        <w:rPr>
          <w:rFonts w:asciiTheme="minorBidi" w:hAnsiTheme="minorBidi" w:cstheme="minorBidi"/>
          <w:szCs w:val="22"/>
        </w:rPr>
        <w:t>’</w:t>
      </w:r>
      <w:r w:rsidRPr="009A78E3">
        <w:rPr>
          <w:rFonts w:asciiTheme="minorBidi" w:hAnsiTheme="minorBidi" w:cstheme="minorBidi"/>
          <w:szCs w:val="22"/>
        </w:rPr>
        <w:t>est également réuni quatre fois au Siège de l</w:t>
      </w:r>
      <w:r>
        <w:rPr>
          <w:rFonts w:asciiTheme="minorBidi" w:hAnsiTheme="minorBidi" w:cstheme="minorBidi"/>
          <w:szCs w:val="22"/>
        </w:rPr>
        <w:t>’</w:t>
      </w:r>
      <w:r w:rsidRPr="009A78E3">
        <w:rPr>
          <w:rFonts w:asciiTheme="minorBidi" w:hAnsiTheme="minorBidi" w:cstheme="minorBidi"/>
          <w:szCs w:val="22"/>
        </w:rPr>
        <w:t>UNESCO, le 4 octobre 2022 (17.COM 5.BUR), le 22 mars 2023 (18.COM 1.BUR), le 5 juin 2023 (18.COM 2.BUR) et le 2 octobre 2023 (18.COM 3.BUR), trois fois en ligne, le 7 mars 2022 (17.COM 1.BUR), le 6 mai 2022 (17.COM 3.BUR)</w:t>
      </w:r>
      <w:r w:rsidR="00BE21A1">
        <w:rPr>
          <w:rFonts w:asciiTheme="minorBidi" w:hAnsiTheme="minorBidi" w:cstheme="minorBidi"/>
          <w:szCs w:val="22"/>
        </w:rPr>
        <w:t>,</w:t>
      </w:r>
      <w:r w:rsidRPr="009A78E3">
        <w:rPr>
          <w:rFonts w:asciiTheme="minorBidi" w:hAnsiTheme="minorBidi" w:cstheme="minorBidi"/>
          <w:szCs w:val="22"/>
        </w:rPr>
        <w:t xml:space="preserve"> le 23 juin 2022 (17.COM 4.BUR). En outre, une consultation électronique a </w:t>
      </w:r>
      <w:r w:rsidR="00C354CB">
        <w:rPr>
          <w:rFonts w:asciiTheme="minorBidi" w:hAnsiTheme="minorBidi" w:cstheme="minorBidi"/>
          <w:szCs w:val="22"/>
        </w:rPr>
        <w:t>eu lieu</w:t>
      </w:r>
      <w:r w:rsidRPr="009A78E3">
        <w:rPr>
          <w:rFonts w:asciiTheme="minorBidi" w:hAnsiTheme="minorBidi" w:cstheme="minorBidi"/>
          <w:szCs w:val="22"/>
        </w:rPr>
        <w:t xml:space="preserve"> en mars 2022 (17.COM 2.BUR).</w:t>
      </w:r>
    </w:p>
    <w:p w14:paraId="43CAC728" w14:textId="083C87F0" w:rsidR="002B42E9" w:rsidRPr="009A78E3" w:rsidRDefault="002B42E9" w:rsidP="002B42E9">
      <w:pPr>
        <w:pStyle w:val="Marge"/>
        <w:numPr>
          <w:ilvl w:val="0"/>
          <w:numId w:val="21"/>
        </w:numPr>
        <w:tabs>
          <w:tab w:val="num" w:pos="567"/>
        </w:tabs>
        <w:spacing w:before="120" w:after="120"/>
        <w:ind w:left="567" w:hanging="567"/>
        <w:rPr>
          <w:rFonts w:asciiTheme="minorBidi" w:hAnsiTheme="minorBidi" w:cstheme="minorBidi"/>
          <w:szCs w:val="22"/>
        </w:rPr>
      </w:pPr>
      <w:r w:rsidRPr="009A78E3">
        <w:rPr>
          <w:rFonts w:asciiTheme="minorBidi" w:hAnsiTheme="minorBidi" w:cstheme="minorBidi"/>
          <w:szCs w:val="22"/>
        </w:rPr>
        <w:t xml:space="preserve">Le Comité et son Bureau ont examiné un total de </w:t>
      </w:r>
      <w:r w:rsidR="00C354CB">
        <w:rPr>
          <w:rFonts w:asciiTheme="minorBidi" w:hAnsiTheme="minorBidi" w:cstheme="minorBidi"/>
          <w:szCs w:val="22"/>
        </w:rPr>
        <w:t>quatre</w:t>
      </w:r>
      <w:r w:rsidR="000A36AA">
        <w:rPr>
          <w:rFonts w:asciiTheme="minorBidi" w:hAnsiTheme="minorBidi" w:cstheme="minorBidi"/>
          <w:szCs w:val="22"/>
        </w:rPr>
        <w:t>-vingt-dix</w:t>
      </w:r>
      <w:r w:rsidRPr="009A78E3">
        <w:rPr>
          <w:rFonts w:asciiTheme="minorBidi" w:hAnsiTheme="minorBidi" w:cstheme="minorBidi"/>
          <w:szCs w:val="22"/>
        </w:rPr>
        <w:t xml:space="preserve"> points inscrits à leur ordre du jour, accompagnés de </w:t>
      </w:r>
      <w:r w:rsidR="00C354CB">
        <w:rPr>
          <w:rFonts w:asciiTheme="minorBidi" w:hAnsiTheme="minorBidi" w:cstheme="minorBidi"/>
          <w:szCs w:val="22"/>
        </w:rPr>
        <w:t>quatre</w:t>
      </w:r>
      <w:r w:rsidR="000A36AA">
        <w:rPr>
          <w:rFonts w:asciiTheme="minorBidi" w:hAnsiTheme="minorBidi" w:cstheme="minorBidi"/>
          <w:szCs w:val="22"/>
        </w:rPr>
        <w:t>-vingt-treize</w:t>
      </w:r>
      <w:r w:rsidRPr="009A78E3">
        <w:rPr>
          <w:rFonts w:asciiTheme="minorBidi" w:hAnsiTheme="minorBidi" w:cstheme="minorBidi"/>
          <w:szCs w:val="22"/>
        </w:rPr>
        <w:t xml:space="preserve"> documents de travail ou d</w:t>
      </w:r>
      <w:r>
        <w:rPr>
          <w:rFonts w:asciiTheme="minorBidi" w:hAnsiTheme="minorBidi" w:cstheme="minorBidi"/>
          <w:szCs w:val="22"/>
        </w:rPr>
        <w:t>’</w:t>
      </w:r>
      <w:r w:rsidRPr="009A78E3">
        <w:rPr>
          <w:rFonts w:asciiTheme="minorBidi" w:hAnsiTheme="minorBidi" w:cstheme="minorBidi"/>
          <w:szCs w:val="22"/>
        </w:rPr>
        <w:t xml:space="preserve">information, </w:t>
      </w:r>
      <w:r w:rsidR="00C354CB">
        <w:rPr>
          <w:rFonts w:asciiTheme="minorBidi" w:hAnsiTheme="minorBidi" w:cstheme="minorBidi"/>
          <w:szCs w:val="22"/>
        </w:rPr>
        <w:t>dix</w:t>
      </w:r>
      <w:r w:rsidRPr="009A78E3">
        <w:rPr>
          <w:rFonts w:asciiTheme="minorBidi" w:hAnsiTheme="minorBidi" w:cstheme="minorBidi"/>
          <w:szCs w:val="22"/>
        </w:rPr>
        <w:t xml:space="preserve"> candidatures pour la Liste de sauvegarde urgente, </w:t>
      </w:r>
      <w:r w:rsidR="00C354CB">
        <w:rPr>
          <w:rFonts w:asciiTheme="minorBidi" w:hAnsiTheme="minorBidi" w:cstheme="minorBidi"/>
          <w:szCs w:val="22"/>
        </w:rPr>
        <w:t>quatre</w:t>
      </w:r>
      <w:r w:rsidR="000A36AA">
        <w:rPr>
          <w:rFonts w:asciiTheme="minorBidi" w:hAnsiTheme="minorBidi" w:cstheme="minorBidi"/>
          <w:szCs w:val="22"/>
        </w:rPr>
        <w:t>-vingt-onze</w:t>
      </w:r>
      <w:r w:rsidRPr="009A78E3">
        <w:rPr>
          <w:rFonts w:asciiTheme="minorBidi" w:hAnsiTheme="minorBidi" w:cstheme="minorBidi"/>
          <w:szCs w:val="22"/>
        </w:rPr>
        <w:t xml:space="preserve"> candidatures pour la Liste représentative, </w:t>
      </w:r>
      <w:r w:rsidR="00C354CB">
        <w:rPr>
          <w:rFonts w:asciiTheme="minorBidi" w:hAnsiTheme="minorBidi" w:cstheme="minorBidi"/>
          <w:szCs w:val="22"/>
        </w:rPr>
        <w:t>dix</w:t>
      </w:r>
      <w:r w:rsidRPr="009A78E3">
        <w:rPr>
          <w:rFonts w:asciiTheme="minorBidi" w:hAnsiTheme="minorBidi" w:cstheme="minorBidi"/>
          <w:szCs w:val="22"/>
        </w:rPr>
        <w:t xml:space="preserve"> propositions de bonnes pratiques de sauvegarde, </w:t>
      </w:r>
      <w:r w:rsidR="00C354CB">
        <w:rPr>
          <w:rFonts w:asciiTheme="minorBidi" w:hAnsiTheme="minorBidi" w:cstheme="minorBidi"/>
          <w:szCs w:val="22"/>
        </w:rPr>
        <w:t>trente</w:t>
      </w:r>
      <w:r w:rsidRPr="009A78E3">
        <w:rPr>
          <w:rFonts w:asciiTheme="minorBidi" w:hAnsiTheme="minorBidi" w:cstheme="minorBidi"/>
          <w:szCs w:val="22"/>
        </w:rPr>
        <w:t xml:space="preserve"> demandes d</w:t>
      </w:r>
      <w:r>
        <w:rPr>
          <w:rFonts w:asciiTheme="minorBidi" w:hAnsiTheme="minorBidi" w:cstheme="minorBidi"/>
          <w:szCs w:val="22"/>
        </w:rPr>
        <w:t>’</w:t>
      </w:r>
      <w:r w:rsidRPr="009A78E3">
        <w:rPr>
          <w:rFonts w:asciiTheme="minorBidi" w:hAnsiTheme="minorBidi" w:cstheme="minorBidi"/>
          <w:szCs w:val="22"/>
        </w:rPr>
        <w:t xml:space="preserve">assistance internationale, </w:t>
      </w:r>
      <w:r w:rsidR="00C354CB">
        <w:rPr>
          <w:rFonts w:asciiTheme="minorBidi" w:hAnsiTheme="minorBidi" w:cstheme="minorBidi"/>
          <w:szCs w:val="22"/>
        </w:rPr>
        <w:t>cent</w:t>
      </w:r>
      <w:r w:rsidRPr="009A78E3">
        <w:rPr>
          <w:rFonts w:asciiTheme="minorBidi" w:hAnsiTheme="minorBidi" w:cstheme="minorBidi"/>
          <w:szCs w:val="22"/>
        </w:rPr>
        <w:t xml:space="preserve"> rapports soumis par les États parties et </w:t>
      </w:r>
      <w:r w:rsidR="00C354CB">
        <w:rPr>
          <w:rFonts w:asciiTheme="minorBidi" w:hAnsiTheme="minorBidi" w:cstheme="minorBidi"/>
          <w:szCs w:val="22"/>
        </w:rPr>
        <w:t>cent soixante-quatre</w:t>
      </w:r>
      <w:r w:rsidRPr="009A78E3">
        <w:rPr>
          <w:rFonts w:asciiTheme="minorBidi" w:hAnsiTheme="minorBidi" w:cstheme="minorBidi"/>
          <w:szCs w:val="22"/>
        </w:rPr>
        <w:t xml:space="preserve"> demandes d</w:t>
      </w:r>
      <w:r>
        <w:rPr>
          <w:rFonts w:asciiTheme="minorBidi" w:hAnsiTheme="minorBidi" w:cstheme="minorBidi"/>
          <w:szCs w:val="22"/>
        </w:rPr>
        <w:t>’</w:t>
      </w:r>
      <w:r w:rsidRPr="009A78E3">
        <w:rPr>
          <w:rFonts w:asciiTheme="minorBidi" w:hAnsiTheme="minorBidi" w:cstheme="minorBidi"/>
          <w:szCs w:val="22"/>
        </w:rPr>
        <w:t xml:space="preserve">accréditation ou de renouvellement </w:t>
      </w:r>
      <w:r w:rsidR="00C354CB">
        <w:rPr>
          <w:rFonts w:asciiTheme="minorBidi" w:hAnsiTheme="minorBidi" w:cstheme="minorBidi"/>
          <w:szCs w:val="22"/>
        </w:rPr>
        <w:t xml:space="preserve">de la part </w:t>
      </w:r>
      <w:r w:rsidRPr="009A78E3">
        <w:rPr>
          <w:rFonts w:asciiTheme="minorBidi" w:hAnsiTheme="minorBidi" w:cstheme="minorBidi"/>
          <w:szCs w:val="22"/>
        </w:rPr>
        <w:t>d</w:t>
      </w:r>
      <w:r>
        <w:rPr>
          <w:rFonts w:asciiTheme="minorBidi" w:hAnsiTheme="minorBidi" w:cstheme="minorBidi"/>
          <w:szCs w:val="22"/>
        </w:rPr>
        <w:t>’</w:t>
      </w:r>
      <w:r w:rsidRPr="009A78E3">
        <w:rPr>
          <w:rFonts w:asciiTheme="minorBidi" w:hAnsiTheme="minorBidi" w:cstheme="minorBidi"/>
          <w:szCs w:val="22"/>
        </w:rPr>
        <w:t>organisations non gouvernementales.</w:t>
      </w:r>
    </w:p>
    <w:p w14:paraId="55472C10" w14:textId="15130E80" w:rsidR="002B42E9" w:rsidRPr="009A78E3" w:rsidRDefault="002B42E9" w:rsidP="002B42E9">
      <w:pPr>
        <w:widowControl w:val="0"/>
        <w:numPr>
          <w:ilvl w:val="0"/>
          <w:numId w:val="22"/>
        </w:numPr>
        <w:tabs>
          <w:tab w:val="num" w:pos="567"/>
        </w:tabs>
        <w:snapToGrid w:val="0"/>
        <w:spacing w:after="120"/>
        <w:ind w:left="567" w:hanging="567"/>
        <w:jc w:val="both"/>
        <w:rPr>
          <w:rFonts w:ascii="Arial" w:hAnsi="Arial" w:cs="Arial"/>
          <w:b/>
          <w:sz w:val="22"/>
          <w:szCs w:val="22"/>
        </w:rPr>
      </w:pPr>
      <w:r w:rsidRPr="009A78E3">
        <w:rPr>
          <w:rFonts w:ascii="Arial" w:hAnsi="Arial" w:cs="Arial"/>
          <w:b/>
          <w:sz w:val="22"/>
          <w:szCs w:val="22"/>
        </w:rPr>
        <w:t xml:space="preserve">Promouvoir les objectifs de la Convention, encourager et </w:t>
      </w:r>
      <w:r w:rsidR="00C354CB">
        <w:rPr>
          <w:rFonts w:ascii="Arial" w:hAnsi="Arial" w:cs="Arial"/>
          <w:b/>
          <w:sz w:val="22"/>
          <w:szCs w:val="22"/>
        </w:rPr>
        <w:t>assurer le suivi</w:t>
      </w:r>
      <w:r w:rsidRPr="009A78E3">
        <w:rPr>
          <w:rFonts w:ascii="Arial" w:hAnsi="Arial" w:cs="Arial"/>
          <w:b/>
          <w:sz w:val="22"/>
          <w:szCs w:val="22"/>
        </w:rPr>
        <w:t xml:space="preserve"> </w:t>
      </w:r>
      <w:r w:rsidR="00C354CB">
        <w:rPr>
          <w:rFonts w:ascii="Arial" w:hAnsi="Arial" w:cs="Arial"/>
          <w:b/>
          <w:sz w:val="22"/>
          <w:szCs w:val="22"/>
        </w:rPr>
        <w:t xml:space="preserve">de </w:t>
      </w:r>
      <w:r w:rsidRPr="009A78E3">
        <w:rPr>
          <w:rFonts w:ascii="Arial" w:hAnsi="Arial" w:cs="Arial"/>
          <w:b/>
          <w:sz w:val="22"/>
          <w:szCs w:val="22"/>
        </w:rPr>
        <w:t xml:space="preserve">sa mise en œuvre, et </w:t>
      </w:r>
      <w:proofErr w:type="gramStart"/>
      <w:r w:rsidR="00C354CB">
        <w:rPr>
          <w:rFonts w:ascii="Arial" w:hAnsi="Arial" w:cs="Arial"/>
          <w:b/>
          <w:sz w:val="22"/>
          <w:szCs w:val="22"/>
        </w:rPr>
        <w:t>donner</w:t>
      </w:r>
      <w:proofErr w:type="gramEnd"/>
      <w:r w:rsidR="00C354CB">
        <w:rPr>
          <w:rFonts w:ascii="Arial" w:hAnsi="Arial" w:cs="Arial"/>
          <w:b/>
          <w:sz w:val="22"/>
          <w:szCs w:val="22"/>
        </w:rPr>
        <w:t xml:space="preserve"> des conseils</w:t>
      </w:r>
      <w:r w:rsidRPr="009A78E3">
        <w:rPr>
          <w:rFonts w:ascii="Arial" w:hAnsi="Arial" w:cs="Arial"/>
          <w:b/>
          <w:sz w:val="22"/>
          <w:szCs w:val="22"/>
        </w:rPr>
        <w:t xml:space="preserve"> sur les mesures de sauvegarde et les bonnes pratiques </w:t>
      </w:r>
      <w:r w:rsidRPr="009A78E3">
        <w:rPr>
          <w:rFonts w:ascii="Arial" w:hAnsi="Arial" w:cs="Arial"/>
          <w:sz w:val="22"/>
          <w:szCs w:val="22"/>
        </w:rPr>
        <w:t>(article 7[a] et 7[b])</w:t>
      </w:r>
    </w:p>
    <w:p w14:paraId="2672362F" w14:textId="77777777" w:rsidR="002B42E9" w:rsidRDefault="002B42E9" w:rsidP="002B42E9">
      <w:pPr>
        <w:pStyle w:val="Paragraphedeliste"/>
        <w:widowControl w:val="0"/>
        <w:numPr>
          <w:ilvl w:val="0"/>
          <w:numId w:val="23"/>
        </w:numPr>
        <w:tabs>
          <w:tab w:val="num" w:pos="567"/>
        </w:tabs>
        <w:snapToGrid w:val="0"/>
        <w:spacing w:before="240" w:after="120"/>
        <w:ind w:left="567" w:hanging="567"/>
        <w:contextualSpacing w:val="0"/>
        <w:rPr>
          <w:rFonts w:ascii="Arial" w:hAnsi="Arial" w:cs="Arial"/>
          <w:b/>
          <w:sz w:val="22"/>
          <w:szCs w:val="22"/>
          <w:lang w:val="en-GB"/>
        </w:rPr>
      </w:pPr>
      <w:r w:rsidRPr="003C1CCC">
        <w:rPr>
          <w:rFonts w:ascii="Arial" w:hAnsi="Arial" w:cs="Arial"/>
          <w:b/>
          <w:sz w:val="22"/>
          <w:szCs w:val="22"/>
          <w:lang w:val="en-GB"/>
        </w:rPr>
        <w:t>Ratification</w:t>
      </w:r>
    </w:p>
    <w:p w14:paraId="069570C9" w14:textId="29E3E387" w:rsidR="002B42E9" w:rsidRPr="009A78E3" w:rsidRDefault="00BE21A1" w:rsidP="002B42E9">
      <w:pPr>
        <w:pStyle w:val="Marge"/>
        <w:numPr>
          <w:ilvl w:val="0"/>
          <w:numId w:val="21"/>
        </w:numPr>
        <w:tabs>
          <w:tab w:val="num" w:pos="567"/>
        </w:tabs>
        <w:spacing w:before="120" w:after="120"/>
        <w:ind w:left="567" w:hanging="567"/>
        <w:rPr>
          <w:rFonts w:cs="Arial"/>
          <w:szCs w:val="22"/>
        </w:rPr>
      </w:pPr>
      <w:r>
        <w:rPr>
          <w:rFonts w:cs="Arial"/>
          <w:szCs w:val="22"/>
        </w:rPr>
        <w:t>Avec</w:t>
      </w:r>
      <w:r w:rsidR="00127F72" w:rsidRPr="008E1649">
        <w:rPr>
          <w:rFonts w:cs="Arial"/>
          <w:szCs w:val="22"/>
        </w:rPr>
        <w:t xml:space="preserve"> </w:t>
      </w:r>
      <w:r w:rsidR="002B42E9" w:rsidRPr="008E1649">
        <w:rPr>
          <w:rFonts w:cs="Arial"/>
          <w:szCs w:val="22"/>
        </w:rPr>
        <w:t>la dernière ratification de Saint-Marin, 181</w:t>
      </w:r>
      <w:r w:rsidR="002B42E9" w:rsidRPr="009A78E3">
        <w:rPr>
          <w:rFonts w:cs="Arial"/>
          <w:szCs w:val="22"/>
        </w:rPr>
        <w:t xml:space="preserve"> États seront parties à la Convention au 31</w:t>
      </w:r>
      <w:r w:rsidR="002B42E9">
        <w:rPr>
          <w:rFonts w:cs="Arial"/>
          <w:szCs w:val="22"/>
        </w:rPr>
        <w:t> </w:t>
      </w:r>
      <w:r w:rsidR="002B42E9" w:rsidRPr="009A78E3">
        <w:rPr>
          <w:rFonts w:asciiTheme="minorBidi" w:hAnsiTheme="minorBidi" w:cstheme="minorBidi"/>
          <w:szCs w:val="22"/>
        </w:rPr>
        <w:t xml:space="preserve">décembre </w:t>
      </w:r>
      <w:r w:rsidR="002B42E9" w:rsidRPr="009A78E3">
        <w:rPr>
          <w:rFonts w:cs="Arial"/>
          <w:szCs w:val="22"/>
        </w:rPr>
        <w:t>2023.</w:t>
      </w:r>
    </w:p>
    <w:p w14:paraId="2E147BFA" w14:textId="269C7B53" w:rsidR="002B42E9" w:rsidRPr="00E30A65" w:rsidRDefault="00127F72" w:rsidP="002B42E9">
      <w:pPr>
        <w:pStyle w:val="Paragraphedeliste"/>
        <w:widowControl w:val="0"/>
        <w:numPr>
          <w:ilvl w:val="0"/>
          <w:numId w:val="23"/>
        </w:numPr>
        <w:spacing w:before="240" w:after="120"/>
        <w:ind w:left="562" w:hanging="562"/>
        <w:contextualSpacing w:val="0"/>
        <w:rPr>
          <w:rFonts w:ascii="Arial" w:hAnsi="Arial" w:cs="Arial"/>
          <w:b/>
          <w:sz w:val="22"/>
          <w:szCs w:val="22"/>
        </w:rPr>
      </w:pPr>
      <w:r w:rsidRPr="00E30A65">
        <w:rPr>
          <w:rFonts w:ascii="Arial" w:hAnsi="Arial" w:cs="Arial"/>
          <w:b/>
          <w:sz w:val="22"/>
          <w:szCs w:val="22"/>
        </w:rPr>
        <w:t>Bonne gouvernance garantie</w:t>
      </w:r>
    </w:p>
    <w:p w14:paraId="62E4FF0F" w14:textId="3260296C" w:rsidR="002B42E9" w:rsidRPr="009A78E3" w:rsidRDefault="002B42E9" w:rsidP="002B42E9">
      <w:pPr>
        <w:pStyle w:val="Marge"/>
        <w:numPr>
          <w:ilvl w:val="0"/>
          <w:numId w:val="21"/>
        </w:numPr>
        <w:tabs>
          <w:tab w:val="num" w:pos="567"/>
        </w:tabs>
        <w:spacing w:before="120" w:after="120"/>
        <w:ind w:left="567" w:hanging="567"/>
        <w:rPr>
          <w:rFonts w:asciiTheme="minorBidi" w:hAnsiTheme="minorBidi" w:cstheme="minorBidi"/>
          <w:szCs w:val="22"/>
        </w:rPr>
      </w:pPr>
      <w:r w:rsidRPr="009A78E3">
        <w:rPr>
          <w:rFonts w:asciiTheme="minorBidi" w:hAnsiTheme="minorBidi" w:cstheme="minorBidi"/>
          <w:szCs w:val="22"/>
        </w:rPr>
        <w:t>La neuvième session de l</w:t>
      </w:r>
      <w:r>
        <w:rPr>
          <w:rFonts w:asciiTheme="minorBidi" w:hAnsiTheme="minorBidi" w:cstheme="minorBidi"/>
          <w:szCs w:val="22"/>
        </w:rPr>
        <w:t>’</w:t>
      </w:r>
      <w:r w:rsidRPr="009A78E3">
        <w:rPr>
          <w:rFonts w:asciiTheme="minorBidi" w:hAnsiTheme="minorBidi" w:cstheme="minorBidi"/>
          <w:szCs w:val="22"/>
        </w:rPr>
        <w:t>Assemblée générale (5</w:t>
      </w:r>
      <w:r w:rsidR="00492A45">
        <w:rPr>
          <w:rFonts w:asciiTheme="minorBidi" w:hAnsiTheme="minorBidi" w:cstheme="minorBidi"/>
          <w:szCs w:val="22"/>
        </w:rPr>
        <w:t>-</w:t>
      </w:r>
      <w:r w:rsidRPr="009A78E3">
        <w:rPr>
          <w:rFonts w:asciiTheme="minorBidi" w:hAnsiTheme="minorBidi" w:cstheme="minorBidi"/>
          <w:szCs w:val="22"/>
          <w:lang w:eastAsia="zh-CN"/>
        </w:rPr>
        <w:t xml:space="preserve">7 juillet 2022, </w:t>
      </w:r>
      <w:r w:rsidR="00492A45">
        <w:rPr>
          <w:rFonts w:asciiTheme="minorBidi" w:hAnsiTheme="minorBidi" w:cstheme="minorBidi"/>
          <w:szCs w:val="22"/>
          <w:lang w:eastAsia="zh-CN"/>
        </w:rPr>
        <w:t>s</w:t>
      </w:r>
      <w:r w:rsidRPr="009A78E3">
        <w:rPr>
          <w:rFonts w:asciiTheme="minorBidi" w:hAnsiTheme="minorBidi" w:cstheme="minorBidi"/>
          <w:szCs w:val="22"/>
          <w:lang w:eastAsia="zh-CN"/>
        </w:rPr>
        <w:t>iège de l</w:t>
      </w:r>
      <w:r>
        <w:rPr>
          <w:rFonts w:asciiTheme="minorBidi" w:hAnsiTheme="minorBidi" w:cstheme="minorBidi"/>
          <w:szCs w:val="22"/>
          <w:lang w:eastAsia="zh-CN"/>
        </w:rPr>
        <w:t>’</w:t>
      </w:r>
      <w:r w:rsidRPr="009A78E3">
        <w:rPr>
          <w:rFonts w:asciiTheme="minorBidi" w:hAnsiTheme="minorBidi" w:cstheme="minorBidi"/>
          <w:szCs w:val="22"/>
          <w:lang w:eastAsia="zh-CN"/>
        </w:rPr>
        <w:t xml:space="preserve">UNESCO ; </w:t>
      </w:r>
      <w:r w:rsidRPr="009A78E3">
        <w:rPr>
          <w:rFonts w:asciiTheme="minorBidi" w:hAnsiTheme="minorBidi" w:cstheme="minorBidi"/>
          <w:szCs w:val="22"/>
        </w:rPr>
        <w:t>ci-après</w:t>
      </w:r>
      <w:r w:rsidR="00492A45">
        <w:rPr>
          <w:rFonts w:asciiTheme="minorBidi" w:hAnsiTheme="minorBidi" w:cstheme="minorBidi"/>
          <w:szCs w:val="22"/>
        </w:rPr>
        <w:t xml:space="preserve"> dénommée le</w:t>
      </w:r>
      <w:r w:rsidRPr="009A78E3">
        <w:rPr>
          <w:rFonts w:asciiTheme="minorBidi" w:hAnsiTheme="minorBidi" w:cstheme="minorBidi"/>
          <w:szCs w:val="22"/>
        </w:rPr>
        <w:t xml:space="preserve"> </w:t>
      </w:r>
      <w:r>
        <w:rPr>
          <w:rFonts w:asciiTheme="minorBidi" w:hAnsiTheme="minorBidi" w:cstheme="minorBidi"/>
          <w:szCs w:val="22"/>
        </w:rPr>
        <w:t>« </w:t>
      </w:r>
      <w:r w:rsidRPr="009A78E3">
        <w:rPr>
          <w:rFonts w:asciiTheme="minorBidi" w:hAnsiTheme="minorBidi" w:cstheme="minorBidi"/>
          <w:szCs w:val="22"/>
        </w:rPr>
        <w:t>9.GA</w:t>
      </w:r>
      <w:r>
        <w:rPr>
          <w:rFonts w:asciiTheme="minorBidi" w:hAnsiTheme="minorBidi" w:cstheme="minorBidi"/>
          <w:szCs w:val="22"/>
        </w:rPr>
        <w:t> »</w:t>
      </w:r>
      <w:r w:rsidRPr="009A78E3">
        <w:rPr>
          <w:rFonts w:asciiTheme="minorBidi" w:hAnsiTheme="minorBidi" w:cstheme="minorBidi"/>
          <w:szCs w:val="22"/>
        </w:rPr>
        <w:t>) a approuvé un plan d</w:t>
      </w:r>
      <w:r>
        <w:rPr>
          <w:rFonts w:asciiTheme="minorBidi" w:hAnsiTheme="minorBidi" w:cstheme="minorBidi"/>
          <w:szCs w:val="22"/>
        </w:rPr>
        <w:t>’</w:t>
      </w:r>
      <w:r w:rsidRPr="009A78E3">
        <w:rPr>
          <w:rFonts w:asciiTheme="minorBidi" w:hAnsiTheme="minorBidi" w:cstheme="minorBidi"/>
          <w:szCs w:val="22"/>
        </w:rPr>
        <w:t>utilisation des ressources du Fonds du patrimoine culturel immatériel (ci-après</w:t>
      </w:r>
      <w:r w:rsidR="00492A45">
        <w:rPr>
          <w:rFonts w:asciiTheme="minorBidi" w:hAnsiTheme="minorBidi" w:cstheme="minorBidi"/>
          <w:szCs w:val="22"/>
        </w:rPr>
        <w:t xml:space="preserve"> dénommé</w:t>
      </w:r>
      <w:r w:rsidRPr="009A78E3">
        <w:rPr>
          <w:rFonts w:asciiTheme="minorBidi" w:hAnsiTheme="minorBidi" w:cstheme="minorBidi"/>
          <w:szCs w:val="22"/>
        </w:rPr>
        <w:t xml:space="preserve"> </w:t>
      </w:r>
      <w:r>
        <w:rPr>
          <w:rFonts w:asciiTheme="minorBidi" w:hAnsiTheme="minorBidi" w:cstheme="minorBidi"/>
          <w:szCs w:val="22"/>
        </w:rPr>
        <w:t>« </w:t>
      </w:r>
      <w:r w:rsidRPr="009A78E3">
        <w:rPr>
          <w:rFonts w:asciiTheme="minorBidi" w:hAnsiTheme="minorBidi" w:cstheme="minorBidi"/>
          <w:szCs w:val="22"/>
        </w:rPr>
        <w:t>le Fonds</w:t>
      </w:r>
      <w:r>
        <w:rPr>
          <w:rFonts w:asciiTheme="minorBidi" w:hAnsiTheme="minorBidi" w:cstheme="minorBidi"/>
          <w:szCs w:val="22"/>
        </w:rPr>
        <w:t> »</w:t>
      </w:r>
      <w:r w:rsidRPr="009A78E3">
        <w:rPr>
          <w:rFonts w:asciiTheme="minorBidi" w:hAnsiTheme="minorBidi" w:cstheme="minorBidi"/>
          <w:szCs w:val="22"/>
        </w:rPr>
        <w:t>) pour la période du 1er janvier 2022 au 31 décembre 2023</w:t>
      </w:r>
      <w:r w:rsidR="00492A45">
        <w:rPr>
          <w:rFonts w:asciiTheme="minorBidi" w:hAnsiTheme="minorBidi" w:cstheme="minorBidi"/>
          <w:szCs w:val="22"/>
        </w:rPr>
        <w:t>.</w:t>
      </w:r>
      <w:r w:rsidRPr="009A78E3">
        <w:rPr>
          <w:rFonts w:asciiTheme="minorBidi" w:hAnsiTheme="minorBidi" w:cstheme="minorBidi"/>
          <w:szCs w:val="22"/>
        </w:rPr>
        <w:t xml:space="preserve"> </w:t>
      </w:r>
      <w:r w:rsidR="00492A45">
        <w:rPr>
          <w:rFonts w:asciiTheme="minorBidi" w:hAnsiTheme="minorBidi" w:cstheme="minorBidi"/>
          <w:szCs w:val="22"/>
        </w:rPr>
        <w:t>Ce plan</w:t>
      </w:r>
      <w:r w:rsidRPr="009A78E3">
        <w:rPr>
          <w:rFonts w:asciiTheme="minorBidi" w:hAnsiTheme="minorBidi" w:cstheme="minorBidi"/>
          <w:szCs w:val="22"/>
        </w:rPr>
        <w:t xml:space="preserve"> a consacré 20 </w:t>
      </w:r>
      <w:r w:rsidR="00492A45">
        <w:rPr>
          <w:rFonts w:asciiTheme="minorBidi" w:hAnsiTheme="minorBidi" w:cstheme="minorBidi"/>
          <w:szCs w:val="22"/>
        </w:rPr>
        <w:t>pour cent</w:t>
      </w:r>
      <w:r w:rsidRPr="009A78E3">
        <w:rPr>
          <w:rFonts w:asciiTheme="minorBidi" w:hAnsiTheme="minorBidi" w:cstheme="minorBidi"/>
          <w:szCs w:val="22"/>
        </w:rPr>
        <w:t xml:space="preserve"> du budget (1 746 531 dollars </w:t>
      </w:r>
      <w:r w:rsidR="00492A45" w:rsidRPr="00492A45">
        <w:rPr>
          <w:rFonts w:asciiTheme="minorBidi" w:hAnsiTheme="minorBidi" w:cstheme="minorBidi"/>
          <w:szCs w:val="22"/>
        </w:rPr>
        <w:t>des États-Unis</w:t>
      </w:r>
      <w:r w:rsidRPr="009A78E3">
        <w:rPr>
          <w:rFonts w:asciiTheme="minorBidi" w:hAnsiTheme="minorBidi" w:cstheme="minorBidi"/>
          <w:szCs w:val="22"/>
        </w:rPr>
        <w:t xml:space="preserve">) aux </w:t>
      </w:r>
      <w:r>
        <w:rPr>
          <w:rFonts w:asciiTheme="minorBidi" w:hAnsiTheme="minorBidi" w:cstheme="minorBidi"/>
          <w:szCs w:val="22"/>
        </w:rPr>
        <w:t>« </w:t>
      </w:r>
      <w:r w:rsidRPr="009A78E3">
        <w:rPr>
          <w:rFonts w:asciiTheme="minorBidi" w:hAnsiTheme="minorBidi" w:cstheme="minorBidi"/>
          <w:szCs w:val="22"/>
        </w:rPr>
        <w:t>autres fonctions du Comité</w:t>
      </w:r>
      <w:r>
        <w:rPr>
          <w:rFonts w:asciiTheme="minorBidi" w:hAnsiTheme="minorBidi" w:cstheme="minorBidi"/>
          <w:szCs w:val="22"/>
        </w:rPr>
        <w:t> »</w:t>
      </w:r>
      <w:r w:rsidR="00492A45">
        <w:rPr>
          <w:rFonts w:asciiTheme="minorBidi" w:hAnsiTheme="minorBidi" w:cstheme="minorBidi"/>
          <w:szCs w:val="22"/>
        </w:rPr>
        <w:t>, et</w:t>
      </w:r>
      <w:r w:rsidRPr="009A78E3">
        <w:rPr>
          <w:rFonts w:asciiTheme="minorBidi" w:hAnsiTheme="minorBidi" w:cstheme="minorBidi"/>
          <w:szCs w:val="22"/>
        </w:rPr>
        <w:t xml:space="preserve"> une somme totale de 436 633 dollars </w:t>
      </w:r>
      <w:r w:rsidR="00492A45" w:rsidRPr="00492A45">
        <w:rPr>
          <w:rFonts w:asciiTheme="minorBidi" w:hAnsiTheme="minorBidi" w:cstheme="minorBidi"/>
          <w:szCs w:val="22"/>
        </w:rPr>
        <w:lastRenderedPageBreak/>
        <w:t>des États-Unis</w:t>
      </w:r>
      <w:r w:rsidRPr="009A78E3">
        <w:rPr>
          <w:rFonts w:asciiTheme="minorBidi" w:hAnsiTheme="minorBidi" w:cstheme="minorBidi"/>
          <w:szCs w:val="22"/>
        </w:rPr>
        <w:t xml:space="preserve"> (25 </w:t>
      </w:r>
      <w:r w:rsidR="00492A45">
        <w:rPr>
          <w:rFonts w:asciiTheme="minorBidi" w:hAnsiTheme="minorBidi" w:cstheme="minorBidi"/>
          <w:szCs w:val="22"/>
        </w:rPr>
        <w:t>pour cent</w:t>
      </w:r>
      <w:r w:rsidRPr="009A78E3">
        <w:rPr>
          <w:rFonts w:asciiTheme="minorBidi" w:hAnsiTheme="minorBidi" w:cstheme="minorBidi"/>
          <w:szCs w:val="22"/>
        </w:rPr>
        <w:t xml:space="preserve"> de la ligne </w:t>
      </w:r>
      <w:r>
        <w:rPr>
          <w:rFonts w:asciiTheme="minorBidi" w:hAnsiTheme="minorBidi" w:cstheme="minorBidi"/>
          <w:szCs w:val="22"/>
        </w:rPr>
        <w:t>« </w:t>
      </w:r>
      <w:r w:rsidRPr="009A78E3">
        <w:rPr>
          <w:rFonts w:asciiTheme="minorBidi" w:hAnsiTheme="minorBidi" w:cstheme="minorBidi"/>
          <w:szCs w:val="22"/>
        </w:rPr>
        <w:t>autres fonctions du Comité</w:t>
      </w:r>
      <w:r>
        <w:rPr>
          <w:rFonts w:asciiTheme="minorBidi" w:hAnsiTheme="minorBidi" w:cstheme="minorBidi"/>
          <w:szCs w:val="22"/>
        </w:rPr>
        <w:t> »</w:t>
      </w:r>
      <w:r w:rsidRPr="009A78E3">
        <w:rPr>
          <w:rFonts w:asciiTheme="minorBidi" w:hAnsiTheme="minorBidi" w:cstheme="minorBidi"/>
          <w:szCs w:val="22"/>
        </w:rPr>
        <w:t xml:space="preserve">) a été allouée </w:t>
      </w:r>
      <w:r w:rsidR="00492A45">
        <w:rPr>
          <w:rFonts w:asciiTheme="minorBidi" w:hAnsiTheme="minorBidi" w:cstheme="minorBidi"/>
          <w:szCs w:val="22"/>
        </w:rPr>
        <w:t>afin de garantir</w:t>
      </w:r>
      <w:r w:rsidR="006141C6">
        <w:rPr>
          <w:rFonts w:asciiTheme="minorBidi" w:hAnsiTheme="minorBidi" w:cstheme="minorBidi"/>
          <w:szCs w:val="22"/>
        </w:rPr>
        <w:t xml:space="preserve"> </w:t>
      </w:r>
      <w:r w:rsidR="00D258EF">
        <w:rPr>
          <w:rFonts w:asciiTheme="minorBidi" w:hAnsiTheme="minorBidi" w:cstheme="minorBidi"/>
          <w:szCs w:val="22"/>
        </w:rPr>
        <w:t>une</w:t>
      </w:r>
      <w:r w:rsidRPr="009A78E3">
        <w:rPr>
          <w:rFonts w:asciiTheme="minorBidi" w:hAnsiTheme="minorBidi" w:cstheme="minorBidi"/>
          <w:szCs w:val="22"/>
        </w:rPr>
        <w:t xml:space="preserve"> bonne gouvernance de la Convention (Résolution </w:t>
      </w:r>
      <w:hyperlink r:id="rId14" w:history="1">
        <w:r w:rsidRPr="009A78E3">
          <w:rPr>
            <w:rStyle w:val="Lienhypertexte"/>
            <w:rFonts w:asciiTheme="minorBidi" w:hAnsiTheme="minorBidi" w:cstheme="minorBidi"/>
            <w:szCs w:val="22"/>
          </w:rPr>
          <w:t>9.G</w:t>
        </w:r>
        <w:r w:rsidRPr="009A78E3">
          <w:rPr>
            <w:rStyle w:val="Lienhypertexte"/>
            <w:rFonts w:asciiTheme="minorBidi" w:hAnsiTheme="minorBidi" w:cstheme="minorBidi"/>
            <w:szCs w:val="22"/>
          </w:rPr>
          <w:t>A</w:t>
        </w:r>
        <w:r w:rsidRPr="009A78E3">
          <w:rPr>
            <w:rStyle w:val="Lienhypertexte"/>
            <w:rFonts w:asciiTheme="minorBidi" w:hAnsiTheme="minorBidi" w:cstheme="minorBidi"/>
            <w:szCs w:val="22"/>
          </w:rPr>
          <w:t xml:space="preserve"> 10</w:t>
        </w:r>
      </w:hyperlink>
      <w:r w:rsidRPr="009A78E3">
        <w:rPr>
          <w:rStyle w:val="Lienhypertexte"/>
          <w:rFonts w:asciiTheme="minorBidi" w:hAnsiTheme="minorBidi" w:cstheme="minorBidi"/>
          <w:bCs/>
          <w:color w:val="auto"/>
          <w:szCs w:val="22"/>
          <w:u w:val="none"/>
        </w:rPr>
        <w:t>)</w:t>
      </w:r>
      <w:r w:rsidRPr="009A78E3">
        <w:rPr>
          <w:rFonts w:asciiTheme="minorBidi" w:hAnsiTheme="minorBidi" w:cstheme="minorBidi"/>
          <w:szCs w:val="22"/>
        </w:rPr>
        <w:t>.</w:t>
      </w:r>
    </w:p>
    <w:p w14:paraId="0619C91B" w14:textId="5611523A" w:rsidR="002B42E9" w:rsidRPr="009A78E3" w:rsidRDefault="002B42E9" w:rsidP="002B42E9">
      <w:pPr>
        <w:pStyle w:val="Marge"/>
        <w:numPr>
          <w:ilvl w:val="0"/>
          <w:numId w:val="21"/>
        </w:numPr>
        <w:tabs>
          <w:tab w:val="num" w:pos="567"/>
        </w:tabs>
        <w:spacing w:before="120" w:after="120"/>
        <w:ind w:left="567" w:hanging="567"/>
        <w:rPr>
          <w:rFonts w:asciiTheme="minorBidi" w:hAnsiTheme="minorBidi" w:cstheme="minorBidi"/>
          <w:szCs w:val="22"/>
        </w:rPr>
      </w:pPr>
      <w:r w:rsidRPr="009A78E3">
        <w:rPr>
          <w:rFonts w:asciiTheme="minorBidi" w:hAnsiTheme="minorBidi" w:cstheme="minorBidi"/>
          <w:snapToGrid/>
          <w:szCs w:val="22"/>
          <w:lang w:eastAsia="fr-FR"/>
        </w:rPr>
        <w:t xml:space="preserve">La </w:t>
      </w:r>
      <w:r w:rsidRPr="009A78E3">
        <w:rPr>
          <w:rFonts w:asciiTheme="minorBidi" w:hAnsiTheme="minorBidi" w:cstheme="minorBidi"/>
          <w:szCs w:val="22"/>
        </w:rPr>
        <w:t xml:space="preserve">réflexion </w:t>
      </w:r>
      <w:r w:rsidRPr="009A78E3">
        <w:rPr>
          <w:rFonts w:asciiTheme="minorBidi" w:hAnsiTheme="minorBidi" w:cstheme="minorBidi"/>
          <w:snapToGrid/>
          <w:szCs w:val="22"/>
          <w:lang w:eastAsia="fr-FR"/>
        </w:rPr>
        <w:t xml:space="preserve">mondiale en cours </w:t>
      </w:r>
      <w:r w:rsidRPr="009A78E3">
        <w:rPr>
          <w:rFonts w:asciiTheme="minorBidi" w:hAnsiTheme="minorBidi" w:cstheme="minorBidi"/>
          <w:szCs w:val="22"/>
        </w:rPr>
        <w:t>sur une mise en œuvre plus large de l</w:t>
      </w:r>
      <w:r>
        <w:rPr>
          <w:rFonts w:asciiTheme="minorBidi" w:hAnsiTheme="minorBidi" w:cstheme="minorBidi"/>
          <w:szCs w:val="22"/>
        </w:rPr>
        <w:t>’</w:t>
      </w:r>
      <w:r w:rsidRPr="009A78E3">
        <w:rPr>
          <w:rFonts w:asciiTheme="minorBidi" w:hAnsiTheme="minorBidi" w:cstheme="minorBidi"/>
          <w:szCs w:val="22"/>
        </w:rPr>
        <w:t xml:space="preserve">article 18 de la Convention de 2003 pour la sauvegarde du patrimoine culturel immatériel examine comment partager plus largement les bonnes expériences de sauvegarde du patrimoine vivant et comment </w:t>
      </w:r>
      <w:r w:rsidR="00DB7173">
        <w:rPr>
          <w:rFonts w:asciiTheme="minorBidi" w:hAnsiTheme="minorBidi" w:cstheme="minorBidi"/>
          <w:szCs w:val="22"/>
        </w:rPr>
        <w:t>faire entendre</w:t>
      </w:r>
      <w:r w:rsidRPr="009A78E3">
        <w:rPr>
          <w:rFonts w:asciiTheme="minorBidi" w:hAnsiTheme="minorBidi" w:cstheme="minorBidi"/>
          <w:szCs w:val="22"/>
        </w:rPr>
        <w:t xml:space="preserve"> les voix des communautés et leurs aspirations en matière de sauvegarde de leur patrimoine vivant. En référence aux thèmes de réflexion établis par le 17.COM (Décision </w:t>
      </w:r>
      <w:hyperlink r:id="rId15" w:history="1">
        <w:r w:rsidRPr="009A78E3">
          <w:rPr>
            <w:rStyle w:val="Lienhypertexte"/>
            <w:rFonts w:asciiTheme="minorBidi" w:hAnsiTheme="minorBidi" w:cstheme="minorBidi"/>
            <w:szCs w:val="22"/>
          </w:rPr>
          <w:t>17.COM</w:t>
        </w:r>
        <w:r w:rsidRPr="009A78E3">
          <w:rPr>
            <w:rStyle w:val="Lienhypertexte"/>
            <w:rFonts w:asciiTheme="minorBidi" w:hAnsiTheme="minorBidi" w:cstheme="minorBidi"/>
            <w:szCs w:val="22"/>
          </w:rPr>
          <w:t xml:space="preserve"> </w:t>
        </w:r>
        <w:r w:rsidRPr="009A78E3">
          <w:rPr>
            <w:rStyle w:val="Lienhypertexte"/>
            <w:rFonts w:asciiTheme="minorBidi" w:hAnsiTheme="minorBidi" w:cstheme="minorBidi"/>
            <w:szCs w:val="22"/>
          </w:rPr>
          <w:t>10</w:t>
        </w:r>
      </w:hyperlink>
      <w:r w:rsidRPr="009A78E3">
        <w:rPr>
          <w:rFonts w:asciiTheme="minorBidi" w:hAnsiTheme="minorBidi" w:cstheme="minorBidi"/>
          <w:szCs w:val="22"/>
        </w:rPr>
        <w:t>) et sur la base établie par la réunion d</w:t>
      </w:r>
      <w:r>
        <w:rPr>
          <w:rFonts w:asciiTheme="minorBidi" w:hAnsiTheme="minorBidi" w:cstheme="minorBidi"/>
          <w:szCs w:val="22"/>
        </w:rPr>
        <w:t>’</w:t>
      </w:r>
      <w:r w:rsidRPr="009A78E3">
        <w:rPr>
          <w:rFonts w:asciiTheme="minorBidi" w:hAnsiTheme="minorBidi" w:cstheme="minorBidi"/>
          <w:szCs w:val="22"/>
        </w:rPr>
        <w:t>experts de catégorie VI (19</w:t>
      </w:r>
      <w:r w:rsidR="00DB7173">
        <w:rPr>
          <w:rFonts w:asciiTheme="minorBidi" w:hAnsiTheme="minorBidi" w:cstheme="minorBidi"/>
          <w:szCs w:val="22"/>
        </w:rPr>
        <w:t>-</w:t>
      </w:r>
      <w:r w:rsidRPr="009A78E3">
        <w:rPr>
          <w:rFonts w:asciiTheme="minorBidi" w:hAnsiTheme="minorBidi" w:cstheme="minorBidi"/>
          <w:szCs w:val="22"/>
        </w:rPr>
        <w:t xml:space="preserve"> 21 avril 2023, Stockholm, Suède), un </w:t>
      </w:r>
      <w:r w:rsidRPr="009A78E3">
        <w:rPr>
          <w:rFonts w:cs="Arial"/>
          <w:szCs w:val="22"/>
        </w:rPr>
        <w:t>groupe de travail intergouvernemental à composition non limitée a eu lieu du 4 au 5 juillet 2023 au siège de l</w:t>
      </w:r>
      <w:r>
        <w:rPr>
          <w:rFonts w:cs="Arial"/>
          <w:szCs w:val="22"/>
        </w:rPr>
        <w:t>’</w:t>
      </w:r>
      <w:r w:rsidRPr="009A78E3">
        <w:rPr>
          <w:rFonts w:cs="Arial"/>
          <w:szCs w:val="22"/>
        </w:rPr>
        <w:t>UNESCO. Les recommandations du groupe comprennent des révisions des critères du Registre et une approche progressive pour la création d</w:t>
      </w:r>
      <w:r>
        <w:rPr>
          <w:rFonts w:cs="Arial"/>
          <w:szCs w:val="22"/>
        </w:rPr>
        <w:t>’</w:t>
      </w:r>
      <w:r w:rsidRPr="009A78E3">
        <w:rPr>
          <w:rFonts w:cs="Arial"/>
          <w:szCs w:val="22"/>
        </w:rPr>
        <w:t>une plateforme en ligne pour le partage des bonnes expériences de sauvegarde. [</w:t>
      </w:r>
      <w:r w:rsidRPr="009A78E3">
        <w:rPr>
          <w:rFonts w:asciiTheme="minorBidi" w:hAnsiTheme="minorBidi" w:cstheme="minorBidi"/>
          <w:szCs w:val="22"/>
          <w:highlight w:val="yellow"/>
        </w:rPr>
        <w:t>La dix-huitième session du Comité a pris note des recommandations (</w:t>
      </w:r>
      <w:r w:rsidR="00DB7173">
        <w:rPr>
          <w:rFonts w:asciiTheme="minorBidi" w:hAnsiTheme="minorBidi" w:cstheme="minorBidi"/>
          <w:szCs w:val="22"/>
          <w:highlight w:val="yellow"/>
        </w:rPr>
        <w:t>D</w:t>
      </w:r>
      <w:r w:rsidRPr="009A78E3">
        <w:rPr>
          <w:rFonts w:asciiTheme="minorBidi" w:hAnsiTheme="minorBidi" w:cstheme="minorBidi"/>
          <w:szCs w:val="22"/>
          <w:highlight w:val="yellow"/>
        </w:rPr>
        <w:t>écision 18.COM 11)</w:t>
      </w:r>
      <w:r w:rsidRPr="009A78E3">
        <w:rPr>
          <w:rFonts w:asciiTheme="minorBidi" w:hAnsiTheme="minorBidi" w:cstheme="minorBidi"/>
          <w:szCs w:val="22"/>
        </w:rPr>
        <w:t>.</w:t>
      </w:r>
      <w:r w:rsidR="005A0BFE">
        <w:rPr>
          <w:rFonts w:asciiTheme="minorBidi" w:hAnsiTheme="minorBidi" w:cstheme="minorBidi"/>
          <w:szCs w:val="22"/>
        </w:rPr>
        <w:t>]</w:t>
      </w:r>
      <w:r w:rsidRPr="009A78E3">
        <w:rPr>
          <w:rFonts w:asciiTheme="minorBidi" w:hAnsiTheme="minorBidi" w:cstheme="minorBidi"/>
          <w:szCs w:val="22"/>
        </w:rPr>
        <w:t xml:space="preserve"> L</w:t>
      </w:r>
      <w:r>
        <w:rPr>
          <w:rFonts w:asciiTheme="minorBidi" w:hAnsiTheme="minorBidi" w:cstheme="minorBidi"/>
          <w:szCs w:val="22"/>
        </w:rPr>
        <w:t>’</w:t>
      </w:r>
      <w:r w:rsidRPr="009A78E3">
        <w:rPr>
          <w:rFonts w:asciiTheme="minorBidi" w:hAnsiTheme="minorBidi" w:cstheme="minorBidi"/>
          <w:szCs w:val="22"/>
        </w:rPr>
        <w:t>état d</w:t>
      </w:r>
      <w:r>
        <w:rPr>
          <w:rFonts w:asciiTheme="minorBidi" w:hAnsiTheme="minorBidi" w:cstheme="minorBidi"/>
          <w:szCs w:val="22"/>
        </w:rPr>
        <w:t>’</w:t>
      </w:r>
      <w:r w:rsidRPr="009A78E3">
        <w:rPr>
          <w:rFonts w:asciiTheme="minorBidi" w:hAnsiTheme="minorBidi" w:cstheme="minorBidi"/>
          <w:szCs w:val="22"/>
        </w:rPr>
        <w:t>avancement de la réflexion sera présenté à la dixième session de l</w:t>
      </w:r>
      <w:r>
        <w:rPr>
          <w:rFonts w:asciiTheme="minorBidi" w:hAnsiTheme="minorBidi" w:cstheme="minorBidi"/>
          <w:szCs w:val="22"/>
        </w:rPr>
        <w:t>’</w:t>
      </w:r>
      <w:r w:rsidRPr="009A78E3">
        <w:rPr>
          <w:rFonts w:asciiTheme="minorBidi" w:hAnsiTheme="minorBidi" w:cstheme="minorBidi"/>
          <w:szCs w:val="22"/>
        </w:rPr>
        <w:t xml:space="preserve">Assemblée générale à la mi-2024. </w:t>
      </w:r>
    </w:p>
    <w:p w14:paraId="2644BE71" w14:textId="653D6284" w:rsidR="002B42E9" w:rsidRPr="009A78E3" w:rsidRDefault="002B42E9" w:rsidP="002B42E9">
      <w:pPr>
        <w:pStyle w:val="Marge"/>
        <w:numPr>
          <w:ilvl w:val="0"/>
          <w:numId w:val="21"/>
        </w:numPr>
        <w:tabs>
          <w:tab w:val="num" w:pos="567"/>
        </w:tabs>
        <w:spacing w:before="120" w:after="120"/>
        <w:ind w:left="567" w:hanging="567"/>
        <w:rPr>
          <w:rFonts w:asciiTheme="minorBidi" w:hAnsiTheme="minorBidi" w:cstheme="minorBidi"/>
          <w:szCs w:val="22"/>
        </w:rPr>
      </w:pPr>
      <w:r w:rsidRPr="009A78E3">
        <w:t xml:space="preserve">Les services de gestion des connaissances de la Convention ont été assurés </w:t>
      </w:r>
      <w:r w:rsidR="00DB7173">
        <w:t>afin de</w:t>
      </w:r>
      <w:r w:rsidRPr="009A78E3">
        <w:t xml:space="preserve"> soutenir </w:t>
      </w:r>
      <w:r w:rsidR="005A0BFE">
        <w:t>l</w:t>
      </w:r>
      <w:r w:rsidR="005A0BFE" w:rsidRPr="009A78E3">
        <w:t xml:space="preserve">a </w:t>
      </w:r>
      <w:r w:rsidRPr="009A78E3">
        <w:t>bonne gouvernance</w:t>
      </w:r>
      <w:r w:rsidR="005A0BFE">
        <w:t xml:space="preserve"> de la Convention</w:t>
      </w:r>
      <w:r w:rsidRPr="009A78E3">
        <w:t>. C</w:t>
      </w:r>
      <w:r w:rsidR="00DB7173">
        <w:t>eci inclu</w:t>
      </w:r>
      <w:r w:rsidR="00264C38">
        <w:t>s</w:t>
      </w:r>
      <w:r w:rsidRPr="009A78E3">
        <w:t xml:space="preserve">, </w:t>
      </w:r>
      <w:r w:rsidR="00264C38">
        <w:t>parmi les autres points</w:t>
      </w:r>
      <w:r w:rsidRPr="009A78E3">
        <w:t xml:space="preserve">, le bon fonctionnement de </w:t>
      </w:r>
      <w:r w:rsidRPr="009A78E3">
        <w:rPr>
          <w:rFonts w:cs="Arial"/>
          <w:szCs w:val="22"/>
        </w:rPr>
        <w:t>l</w:t>
      </w:r>
      <w:r>
        <w:t>’</w:t>
      </w:r>
      <w:r w:rsidRPr="009A78E3">
        <w:t xml:space="preserve">interface </w:t>
      </w:r>
      <w:r w:rsidR="00264C38">
        <w:t xml:space="preserve">en ligne </w:t>
      </w:r>
      <w:r w:rsidRPr="009A78E3">
        <w:t xml:space="preserve">de rapport </w:t>
      </w:r>
      <w:r w:rsidRPr="009A78E3">
        <w:rPr>
          <w:rFonts w:asciiTheme="minorBidi" w:hAnsiTheme="minorBidi" w:cstheme="minorBidi"/>
          <w:szCs w:val="22"/>
        </w:rPr>
        <w:t>périodique</w:t>
      </w:r>
      <w:r w:rsidRPr="009A78E3">
        <w:t xml:space="preserve">, qui a été utilisée par les États parties en Europe en 2022 et dans les États arabes en 2023. Divers outils </w:t>
      </w:r>
      <w:r w:rsidR="00264C38">
        <w:t>pédagogiques</w:t>
      </w:r>
      <w:r w:rsidRPr="009A78E3">
        <w:t xml:space="preserve"> et de gestion des connaissances ont également été mis à disposition en ligne en libre accès.</w:t>
      </w:r>
    </w:p>
    <w:p w14:paraId="364AC048" w14:textId="3F9F110F" w:rsidR="002B42E9" w:rsidRPr="009A78E3" w:rsidRDefault="00264C38" w:rsidP="002B42E9">
      <w:pPr>
        <w:pStyle w:val="Paragraphedeliste"/>
        <w:keepNext/>
        <w:numPr>
          <w:ilvl w:val="0"/>
          <w:numId w:val="23"/>
        </w:numPr>
        <w:spacing w:before="240" w:after="120"/>
        <w:ind w:left="562" w:hanging="562"/>
        <w:contextualSpacing w:val="0"/>
        <w:jc w:val="both"/>
        <w:rPr>
          <w:rFonts w:ascii="Arial" w:hAnsi="Arial" w:cs="Arial"/>
          <w:b/>
          <w:sz w:val="22"/>
          <w:szCs w:val="22"/>
        </w:rPr>
      </w:pPr>
      <w:r>
        <w:rPr>
          <w:rFonts w:ascii="Arial" w:hAnsi="Arial" w:cs="Arial"/>
          <w:b/>
          <w:sz w:val="22"/>
          <w:szCs w:val="22"/>
        </w:rPr>
        <w:t>Consolidation du</w:t>
      </w:r>
      <w:r w:rsidR="002B42E9" w:rsidRPr="009A78E3">
        <w:rPr>
          <w:rFonts w:ascii="Arial" w:hAnsi="Arial" w:cs="Arial"/>
          <w:b/>
          <w:sz w:val="22"/>
          <w:szCs w:val="22"/>
        </w:rPr>
        <w:t xml:space="preserve"> programme de renforcement des capacités et </w:t>
      </w:r>
      <w:r>
        <w:rPr>
          <w:rFonts w:ascii="Arial" w:hAnsi="Arial" w:cs="Arial"/>
          <w:b/>
          <w:sz w:val="22"/>
          <w:szCs w:val="22"/>
        </w:rPr>
        <w:t>orientations</w:t>
      </w:r>
      <w:r w:rsidR="002B42E9" w:rsidRPr="009A78E3">
        <w:rPr>
          <w:rFonts w:ascii="Arial" w:hAnsi="Arial" w:cs="Arial"/>
          <w:b/>
          <w:sz w:val="22"/>
          <w:szCs w:val="22"/>
        </w:rPr>
        <w:t xml:space="preserve"> sur les mesures de sauvegarde et les bonnes pratiques</w:t>
      </w:r>
    </w:p>
    <w:p w14:paraId="6CBF4BB7" w14:textId="13DFBCDF" w:rsidR="002B42E9" w:rsidRPr="009A78E3" w:rsidRDefault="002B42E9" w:rsidP="002B42E9">
      <w:pPr>
        <w:pStyle w:val="Marge"/>
        <w:numPr>
          <w:ilvl w:val="0"/>
          <w:numId w:val="21"/>
        </w:numPr>
        <w:tabs>
          <w:tab w:val="num" w:pos="567"/>
        </w:tabs>
        <w:spacing w:before="120" w:after="120"/>
        <w:ind w:left="567" w:hanging="567"/>
        <w:rPr>
          <w:rFonts w:asciiTheme="minorBidi" w:hAnsiTheme="minorBidi" w:cstheme="minorBidi"/>
          <w:szCs w:val="22"/>
        </w:rPr>
      </w:pPr>
      <w:r w:rsidRPr="009A78E3">
        <w:t xml:space="preserve">Le renforcement des capacités </w:t>
      </w:r>
      <w:r w:rsidR="00264C38">
        <w:t>demeure un thème central</w:t>
      </w:r>
      <w:r w:rsidRPr="009A78E3">
        <w:t xml:space="preserve"> </w:t>
      </w:r>
      <w:r w:rsidR="00264C38">
        <w:t xml:space="preserve">dans le </w:t>
      </w:r>
      <w:r w:rsidRPr="009A78E3">
        <w:t>mandat de la Convention de 2003</w:t>
      </w:r>
      <w:r w:rsidR="00264C38">
        <w:t>, s’agissant de</w:t>
      </w:r>
      <w:r w:rsidRPr="009A78E3">
        <w:t xml:space="preserve"> l</w:t>
      </w:r>
      <w:r>
        <w:t>’</w:t>
      </w:r>
      <w:r w:rsidRPr="009A78E3">
        <w:t xml:space="preserve">une des deux priorités globales de financement de la Convention, </w:t>
      </w:r>
      <w:r>
        <w:t>« </w:t>
      </w:r>
      <w:r w:rsidR="00264C38">
        <w:t>Renforcement</w:t>
      </w:r>
      <w:r w:rsidRPr="009A78E3">
        <w:t xml:space="preserve"> </w:t>
      </w:r>
      <w:r w:rsidR="00264C38">
        <w:t>d</w:t>
      </w:r>
      <w:r w:rsidRPr="009A78E3">
        <w:t xml:space="preserve">es capacités de sauvegarde du patrimoine culturel immatériel </w:t>
      </w:r>
      <w:r w:rsidR="00264C38">
        <w:t>par le biais</w:t>
      </w:r>
      <w:r w:rsidRPr="009A78E3">
        <w:t xml:space="preserve"> d</w:t>
      </w:r>
      <w:r w:rsidR="00264C38">
        <w:t>’</w:t>
      </w:r>
      <w:r w:rsidRPr="009A78E3">
        <w:t xml:space="preserve">approches multimodales et </w:t>
      </w:r>
      <w:r w:rsidR="00264C38">
        <w:t xml:space="preserve">de </w:t>
      </w:r>
      <w:r w:rsidRPr="009A78E3">
        <w:t>contribu</w:t>
      </w:r>
      <w:r w:rsidR="00264C38">
        <w:t>tion</w:t>
      </w:r>
      <w:r w:rsidRPr="009A78E3">
        <w:t xml:space="preserve"> au </w:t>
      </w:r>
      <w:r w:rsidRPr="009A78E3">
        <w:rPr>
          <w:rFonts w:asciiTheme="minorBidi" w:hAnsiTheme="minorBidi" w:cstheme="minorBidi"/>
          <w:szCs w:val="22"/>
        </w:rPr>
        <w:t xml:space="preserve">développement </w:t>
      </w:r>
      <w:r w:rsidRPr="009A78E3">
        <w:t>durable</w:t>
      </w:r>
      <w:r>
        <w:t> »</w:t>
      </w:r>
      <w:r w:rsidRPr="009A78E3">
        <w:t xml:space="preserve">. </w:t>
      </w:r>
      <w:r w:rsidR="00264C38">
        <w:t>Par conséquent</w:t>
      </w:r>
      <w:r w:rsidRPr="009A78E3">
        <w:t xml:space="preserve">, une somme totale de 576 355 dollars </w:t>
      </w:r>
      <w:r w:rsidR="00264C38" w:rsidRPr="00264C38">
        <w:t>des États-Unis</w:t>
      </w:r>
      <w:r w:rsidRPr="009A78E3">
        <w:t xml:space="preserve"> - soit 33 </w:t>
      </w:r>
      <w:r w:rsidR="00264C38">
        <w:t>pour cent</w:t>
      </w:r>
      <w:r w:rsidRPr="009A78E3">
        <w:t xml:space="preserve"> de la ligne </w:t>
      </w:r>
      <w:r>
        <w:t>« </w:t>
      </w:r>
      <w:r w:rsidRPr="009A78E3">
        <w:t>autres fonctions du Comité</w:t>
      </w:r>
      <w:r>
        <w:t> »</w:t>
      </w:r>
      <w:r w:rsidRPr="009A78E3">
        <w:t xml:space="preserve"> - a été allouée pour la période allant de janvier 2022 à décembre 2023. Le taux élevé de soumission des rapports périodiques par les États des trois premières régions ayant mené l</w:t>
      </w:r>
      <w:r>
        <w:t>’</w:t>
      </w:r>
      <w:r w:rsidRPr="009A78E3">
        <w:t>exercice, à savoir l</w:t>
      </w:r>
      <w:r>
        <w:t>’</w:t>
      </w:r>
      <w:r w:rsidRPr="009A78E3">
        <w:t>Amérique latine et les Caraïbes, l</w:t>
      </w:r>
      <w:r>
        <w:t>’</w:t>
      </w:r>
      <w:r w:rsidRPr="009A78E3">
        <w:t xml:space="preserve">Europe et les États arabes, a confirmé </w:t>
      </w:r>
      <w:r w:rsidRPr="00933FB0">
        <w:t xml:space="preserve">l’efficacité de l’approche </w:t>
      </w:r>
      <w:r w:rsidR="005A0BFE">
        <w:t xml:space="preserve">mise en œuvre </w:t>
      </w:r>
      <w:r w:rsidRPr="00933FB0">
        <w:t xml:space="preserve">en matière de renforcement des capacités. Le 17.COM a salué la réorientation du programme mondial de renforcement des capacités, notamment </w:t>
      </w:r>
      <w:r w:rsidR="007A7014" w:rsidRPr="00933FB0">
        <w:t xml:space="preserve">l’évolution vers </w:t>
      </w:r>
      <w:r w:rsidR="000441EC">
        <w:t>une</w:t>
      </w:r>
      <w:r w:rsidRPr="00933FB0">
        <w:t xml:space="preserve"> approche multimodale</w:t>
      </w:r>
      <w:r w:rsidR="000441EC">
        <w:t xml:space="preserve"> de mise en œuvre </w:t>
      </w:r>
      <w:r w:rsidRPr="00933FB0">
        <w:t>et</w:t>
      </w:r>
      <w:r w:rsidRPr="009A78E3">
        <w:t xml:space="preserve"> l</w:t>
      </w:r>
      <w:r>
        <w:t>’</w:t>
      </w:r>
      <w:r w:rsidRPr="009A78E3">
        <w:t xml:space="preserve">expansion du réseau </w:t>
      </w:r>
      <w:r w:rsidR="000441EC">
        <w:t>global</w:t>
      </w:r>
      <w:r w:rsidR="000441EC" w:rsidRPr="009A78E3">
        <w:t xml:space="preserve"> </w:t>
      </w:r>
      <w:r w:rsidRPr="009A78E3">
        <w:t>de facilitateurs (</w:t>
      </w:r>
      <w:r w:rsidR="00933FB0">
        <w:t>D</w:t>
      </w:r>
      <w:r w:rsidRPr="009A78E3">
        <w:t xml:space="preserve">écision </w:t>
      </w:r>
      <w:hyperlink r:id="rId16" w:history="1">
        <w:r w:rsidRPr="009A78E3">
          <w:rPr>
            <w:rStyle w:val="Lienhypertexte"/>
          </w:rPr>
          <w:t>17.C</w:t>
        </w:r>
        <w:r w:rsidRPr="009A78E3">
          <w:rPr>
            <w:rStyle w:val="Lienhypertexte"/>
          </w:rPr>
          <w:t>O</w:t>
        </w:r>
        <w:r w:rsidRPr="009A78E3">
          <w:rPr>
            <w:rStyle w:val="Lienhypertexte"/>
          </w:rPr>
          <w:t>M 5</w:t>
        </w:r>
      </w:hyperlink>
      <w:r w:rsidRPr="009A78E3">
        <w:t>).</w:t>
      </w:r>
    </w:p>
    <w:p w14:paraId="01C8A937" w14:textId="01180E1B" w:rsidR="002B42E9" w:rsidRPr="009A78E3" w:rsidRDefault="002B42E9" w:rsidP="002B42E9">
      <w:pPr>
        <w:pStyle w:val="Paragraphedeliste"/>
        <w:keepNext/>
        <w:numPr>
          <w:ilvl w:val="0"/>
          <w:numId w:val="23"/>
        </w:numPr>
        <w:spacing w:before="240" w:after="120"/>
        <w:ind w:left="562" w:hanging="562"/>
        <w:contextualSpacing w:val="0"/>
        <w:jc w:val="both"/>
        <w:rPr>
          <w:rFonts w:asciiTheme="minorBidi" w:hAnsiTheme="minorBidi" w:cstheme="minorBidi"/>
          <w:b/>
          <w:sz w:val="22"/>
          <w:szCs w:val="22"/>
        </w:rPr>
      </w:pPr>
      <w:r w:rsidRPr="009A78E3">
        <w:rPr>
          <w:rFonts w:asciiTheme="minorBidi" w:hAnsiTheme="minorBidi" w:cstheme="minorBidi"/>
          <w:b/>
          <w:sz w:val="22"/>
          <w:szCs w:val="22"/>
        </w:rPr>
        <w:t xml:space="preserve">Intégration du patrimoine culturel immatériel dans les plans, </w:t>
      </w:r>
      <w:r w:rsidR="007A7014">
        <w:rPr>
          <w:rFonts w:asciiTheme="minorBidi" w:hAnsiTheme="minorBidi" w:cstheme="minorBidi"/>
          <w:b/>
          <w:sz w:val="22"/>
          <w:szCs w:val="22"/>
        </w:rPr>
        <w:t xml:space="preserve">les </w:t>
      </w:r>
      <w:r w:rsidRPr="009A78E3">
        <w:rPr>
          <w:rFonts w:asciiTheme="minorBidi" w:hAnsiTheme="minorBidi" w:cstheme="minorBidi"/>
          <w:b/>
          <w:sz w:val="22"/>
          <w:szCs w:val="22"/>
        </w:rPr>
        <w:t xml:space="preserve">politiques et </w:t>
      </w:r>
      <w:r w:rsidR="007A7014">
        <w:rPr>
          <w:rFonts w:asciiTheme="minorBidi" w:hAnsiTheme="minorBidi" w:cstheme="minorBidi"/>
          <w:b/>
          <w:sz w:val="22"/>
          <w:szCs w:val="22"/>
        </w:rPr>
        <w:t xml:space="preserve">les </w:t>
      </w:r>
      <w:r w:rsidRPr="009A78E3">
        <w:rPr>
          <w:rFonts w:asciiTheme="minorBidi" w:hAnsiTheme="minorBidi" w:cstheme="minorBidi"/>
          <w:b/>
          <w:sz w:val="22"/>
          <w:szCs w:val="22"/>
        </w:rPr>
        <w:t>programmes de développement</w:t>
      </w:r>
    </w:p>
    <w:p w14:paraId="0A104EAB" w14:textId="46F164F8" w:rsidR="002B42E9" w:rsidRPr="009A78E3" w:rsidRDefault="002B42E9" w:rsidP="002B42E9">
      <w:pPr>
        <w:pStyle w:val="Marge"/>
        <w:numPr>
          <w:ilvl w:val="0"/>
          <w:numId w:val="21"/>
        </w:numPr>
        <w:tabs>
          <w:tab w:val="num" w:pos="567"/>
        </w:tabs>
        <w:spacing w:before="120" w:after="120"/>
        <w:ind w:left="567" w:hanging="567"/>
        <w:rPr>
          <w:rFonts w:cs="Arial"/>
          <w:szCs w:val="22"/>
        </w:rPr>
      </w:pPr>
      <w:r w:rsidRPr="009A78E3">
        <w:rPr>
          <w:rFonts w:cs="Arial"/>
          <w:szCs w:val="22"/>
        </w:rPr>
        <w:t>L</w:t>
      </w:r>
      <w:r>
        <w:rPr>
          <w:rFonts w:cs="Arial"/>
          <w:szCs w:val="22"/>
        </w:rPr>
        <w:t>’</w:t>
      </w:r>
      <w:r w:rsidRPr="009A78E3">
        <w:rPr>
          <w:rFonts w:cs="Arial"/>
          <w:szCs w:val="22"/>
        </w:rPr>
        <w:t xml:space="preserve">intégration du patrimoine culturel immatériel dans les plans, politiques et programmes de développement est essentielle pour promouvoir les objectifs de la Convention dans le </w:t>
      </w:r>
      <w:r w:rsidR="007A7014">
        <w:rPr>
          <w:rFonts w:cs="Arial"/>
          <w:szCs w:val="22"/>
        </w:rPr>
        <w:t>cadre</w:t>
      </w:r>
      <w:r w:rsidRPr="009A78E3">
        <w:rPr>
          <w:rFonts w:cs="Arial"/>
          <w:szCs w:val="22"/>
        </w:rPr>
        <w:t xml:space="preserve"> du Programme de développement durable à l</w:t>
      </w:r>
      <w:r>
        <w:rPr>
          <w:rFonts w:cs="Arial"/>
          <w:szCs w:val="22"/>
        </w:rPr>
        <w:t>’</w:t>
      </w:r>
      <w:r w:rsidRPr="009A78E3">
        <w:rPr>
          <w:rFonts w:cs="Arial"/>
          <w:szCs w:val="22"/>
        </w:rPr>
        <w:t xml:space="preserve">horizon 2030. Une somme totale de 323 108 dollars </w:t>
      </w:r>
      <w:r w:rsidR="007A7014" w:rsidRPr="007A7014">
        <w:rPr>
          <w:rFonts w:cs="Arial"/>
          <w:szCs w:val="22"/>
        </w:rPr>
        <w:t>des États-Unis</w:t>
      </w:r>
      <w:r w:rsidRPr="009A78E3">
        <w:rPr>
          <w:rFonts w:cs="Arial"/>
          <w:szCs w:val="22"/>
        </w:rPr>
        <w:t xml:space="preserve"> - soit 19 </w:t>
      </w:r>
      <w:r w:rsidR="007A7014">
        <w:rPr>
          <w:rFonts w:cs="Arial"/>
          <w:szCs w:val="22"/>
        </w:rPr>
        <w:t>pour cent</w:t>
      </w:r>
      <w:r w:rsidRPr="009A78E3">
        <w:rPr>
          <w:rFonts w:cs="Arial"/>
          <w:szCs w:val="22"/>
        </w:rPr>
        <w:t xml:space="preserve"> de la ligne </w:t>
      </w:r>
      <w:r>
        <w:rPr>
          <w:rFonts w:cs="Arial"/>
          <w:szCs w:val="22"/>
        </w:rPr>
        <w:t>« </w:t>
      </w:r>
      <w:r w:rsidRPr="009A78E3">
        <w:rPr>
          <w:rFonts w:cs="Arial"/>
          <w:szCs w:val="22"/>
        </w:rPr>
        <w:t>autres fonctions du Comité</w:t>
      </w:r>
      <w:r>
        <w:rPr>
          <w:rFonts w:cs="Arial"/>
          <w:szCs w:val="22"/>
        </w:rPr>
        <w:t> »</w:t>
      </w:r>
      <w:r w:rsidRPr="009A78E3">
        <w:rPr>
          <w:rFonts w:cs="Arial"/>
          <w:szCs w:val="22"/>
        </w:rPr>
        <w:t xml:space="preserve"> - </w:t>
      </w:r>
      <w:r w:rsidR="007A7014">
        <w:rPr>
          <w:rFonts w:cs="Arial"/>
          <w:szCs w:val="22"/>
        </w:rPr>
        <w:t xml:space="preserve">a été alloué à cette fin </w:t>
      </w:r>
      <w:r w:rsidRPr="009A78E3">
        <w:rPr>
          <w:rFonts w:cs="Arial"/>
          <w:szCs w:val="22"/>
        </w:rPr>
        <w:t xml:space="preserve">pour la période 2022-2023. Conformément à la priorité de financement globale </w:t>
      </w:r>
      <w:r>
        <w:rPr>
          <w:rFonts w:cs="Arial"/>
          <w:szCs w:val="22"/>
        </w:rPr>
        <w:t>« </w:t>
      </w:r>
      <w:r w:rsidRPr="009A78E3">
        <w:rPr>
          <w:rFonts w:cs="Arial"/>
          <w:szCs w:val="22"/>
        </w:rPr>
        <w:t>Sauvegarde du patrimoine culturel immatériel dans l</w:t>
      </w:r>
      <w:r>
        <w:rPr>
          <w:rFonts w:cs="Arial"/>
          <w:szCs w:val="22"/>
        </w:rPr>
        <w:t>’</w:t>
      </w:r>
      <w:r w:rsidRPr="009A78E3">
        <w:rPr>
          <w:rFonts w:cs="Arial"/>
          <w:szCs w:val="22"/>
        </w:rPr>
        <w:t>éducation formelle et non formelle</w:t>
      </w:r>
      <w:r>
        <w:rPr>
          <w:rFonts w:cs="Arial"/>
          <w:szCs w:val="22"/>
        </w:rPr>
        <w:t> »</w:t>
      </w:r>
      <w:r w:rsidRPr="009A78E3">
        <w:rPr>
          <w:rFonts w:cs="Arial"/>
          <w:szCs w:val="22"/>
        </w:rPr>
        <w:t xml:space="preserve">, une cinquantaine de pays ont </w:t>
      </w:r>
      <w:r w:rsidR="00251FFD">
        <w:rPr>
          <w:rFonts w:cs="Arial"/>
          <w:szCs w:val="22"/>
        </w:rPr>
        <w:t>mis en valeur</w:t>
      </w:r>
      <w:r w:rsidRPr="009A78E3">
        <w:rPr>
          <w:rFonts w:cs="Arial"/>
          <w:szCs w:val="22"/>
        </w:rPr>
        <w:t xml:space="preserve"> l</w:t>
      </w:r>
      <w:r>
        <w:rPr>
          <w:rFonts w:cs="Arial"/>
          <w:szCs w:val="22"/>
        </w:rPr>
        <w:t>’</w:t>
      </w:r>
      <w:r w:rsidRPr="009A78E3">
        <w:rPr>
          <w:rFonts w:cs="Arial"/>
          <w:szCs w:val="22"/>
        </w:rPr>
        <w:t>intégration du patrimoine vivant dans leurs contextes éducatifs. Un réseau d</w:t>
      </w:r>
      <w:r>
        <w:rPr>
          <w:rFonts w:cs="Arial"/>
          <w:szCs w:val="22"/>
        </w:rPr>
        <w:t>’</w:t>
      </w:r>
      <w:r w:rsidRPr="009A78E3">
        <w:rPr>
          <w:rFonts w:cs="Arial"/>
          <w:szCs w:val="22"/>
        </w:rPr>
        <w:t xml:space="preserve">apprentissage </w:t>
      </w:r>
      <w:r w:rsidR="00251FFD">
        <w:rPr>
          <w:rFonts w:cs="Arial"/>
          <w:szCs w:val="22"/>
        </w:rPr>
        <w:t xml:space="preserve">mondial, </w:t>
      </w:r>
      <w:r w:rsidRPr="009A78E3">
        <w:rPr>
          <w:rFonts w:cs="Arial"/>
          <w:szCs w:val="22"/>
        </w:rPr>
        <w:t>avec des personnes ressources, le centre</w:t>
      </w:r>
      <w:r w:rsidR="00251FFD">
        <w:rPr>
          <w:rFonts w:cs="Arial"/>
          <w:szCs w:val="22"/>
        </w:rPr>
        <w:t xml:space="preserve"> mondial</w:t>
      </w:r>
      <w:r w:rsidRPr="009A78E3">
        <w:rPr>
          <w:rFonts w:cs="Arial"/>
          <w:szCs w:val="22"/>
        </w:rPr>
        <w:t xml:space="preserve"> d</w:t>
      </w:r>
      <w:r>
        <w:rPr>
          <w:rFonts w:cs="Arial"/>
          <w:szCs w:val="22"/>
        </w:rPr>
        <w:t>’</w:t>
      </w:r>
      <w:r w:rsidRPr="009A78E3">
        <w:rPr>
          <w:rFonts w:cs="Arial"/>
          <w:szCs w:val="22"/>
        </w:rPr>
        <w:t>échange pour le partage des connaissances sur le patrimoine vivant et l</w:t>
      </w:r>
      <w:r>
        <w:rPr>
          <w:rFonts w:cs="Arial"/>
          <w:szCs w:val="22"/>
        </w:rPr>
        <w:t>’</w:t>
      </w:r>
      <w:r w:rsidRPr="009A78E3">
        <w:rPr>
          <w:rFonts w:cs="Arial"/>
          <w:szCs w:val="22"/>
        </w:rPr>
        <w:t xml:space="preserve">éducation, et le cours en ligne ouvert et massif sur la sauvegarde du patrimoine culturel immatériel et le développement durable ont également été </w:t>
      </w:r>
      <w:r w:rsidRPr="009A78E3">
        <w:rPr>
          <w:rFonts w:asciiTheme="minorBidi" w:hAnsiTheme="minorBidi" w:cstheme="minorBidi"/>
          <w:szCs w:val="22"/>
        </w:rPr>
        <w:t>développés</w:t>
      </w:r>
      <w:r w:rsidRPr="009A78E3">
        <w:rPr>
          <w:rFonts w:cs="Arial"/>
          <w:szCs w:val="22"/>
        </w:rPr>
        <w:t>.</w:t>
      </w:r>
    </w:p>
    <w:p w14:paraId="2EA6A5A1" w14:textId="11575A8F" w:rsidR="002B42E9" w:rsidRPr="009A78E3" w:rsidRDefault="002B42E9" w:rsidP="002B42E9">
      <w:pPr>
        <w:pStyle w:val="Marge"/>
        <w:numPr>
          <w:ilvl w:val="0"/>
          <w:numId w:val="21"/>
        </w:numPr>
        <w:tabs>
          <w:tab w:val="num" w:pos="567"/>
        </w:tabs>
        <w:spacing w:before="120" w:after="120"/>
        <w:ind w:left="567" w:hanging="567"/>
        <w:rPr>
          <w:rFonts w:cs="Arial"/>
          <w:szCs w:val="22"/>
        </w:rPr>
      </w:pPr>
      <w:r w:rsidRPr="009A78E3">
        <w:rPr>
          <w:rFonts w:cs="Arial"/>
          <w:szCs w:val="22"/>
        </w:rPr>
        <w:t>Dans le cadre des initiatives thématiques de la Convention de 2003 et en réponse à la demande formulée par le 17.COM (</w:t>
      </w:r>
      <w:r w:rsidR="00251FFD">
        <w:rPr>
          <w:rFonts w:cs="Arial"/>
          <w:szCs w:val="22"/>
        </w:rPr>
        <w:t>D</w:t>
      </w:r>
      <w:r w:rsidRPr="009A78E3">
        <w:rPr>
          <w:rFonts w:cs="Arial"/>
          <w:szCs w:val="22"/>
        </w:rPr>
        <w:t xml:space="preserve">écision </w:t>
      </w:r>
      <w:hyperlink r:id="rId17" w:history="1">
        <w:r w:rsidRPr="009A78E3">
          <w:rPr>
            <w:rFonts w:eastAsia="SimSun" w:cs="Arial"/>
            <w:color w:val="0000FF"/>
            <w:u w:val="single"/>
            <w:lang w:eastAsia="zh-CN"/>
          </w:rPr>
          <w:t>17.CO</w:t>
        </w:r>
        <w:r w:rsidRPr="009A78E3">
          <w:rPr>
            <w:rFonts w:eastAsia="SimSun" w:cs="Arial"/>
            <w:color w:val="0000FF"/>
            <w:u w:val="single"/>
            <w:lang w:eastAsia="zh-CN"/>
          </w:rPr>
          <w:t>M</w:t>
        </w:r>
        <w:r w:rsidRPr="009A78E3">
          <w:rPr>
            <w:rFonts w:eastAsia="SimSun" w:cs="Arial"/>
            <w:color w:val="0000FF"/>
            <w:u w:val="single"/>
            <w:lang w:eastAsia="zh-CN"/>
          </w:rPr>
          <w:t xml:space="preserve"> 13</w:t>
        </w:r>
      </w:hyperlink>
      <w:r w:rsidRPr="009A78E3">
        <w:rPr>
          <w:rFonts w:cs="Arial"/>
          <w:szCs w:val="22"/>
        </w:rPr>
        <w:t>), une note d</w:t>
      </w:r>
      <w:r>
        <w:rPr>
          <w:rFonts w:cs="Arial"/>
          <w:szCs w:val="22"/>
        </w:rPr>
        <w:t>’</w:t>
      </w:r>
      <w:r w:rsidRPr="009A78E3">
        <w:rPr>
          <w:rFonts w:cs="Arial"/>
          <w:szCs w:val="22"/>
        </w:rPr>
        <w:t>orientation sur les dimensions économiques de la sauvegarde du patrimoine culturel immatériel est en cours de préparation. À cette fin, une réunion d</w:t>
      </w:r>
      <w:r>
        <w:rPr>
          <w:rFonts w:cs="Arial"/>
          <w:szCs w:val="22"/>
        </w:rPr>
        <w:t>’</w:t>
      </w:r>
      <w:r w:rsidRPr="009A78E3">
        <w:rPr>
          <w:rFonts w:cs="Arial"/>
          <w:szCs w:val="22"/>
        </w:rPr>
        <w:t>experts de catégorie VI a été organisée les 27 et 28 septembre 2023 (</w:t>
      </w:r>
      <w:r w:rsidR="00251FFD">
        <w:rPr>
          <w:rFonts w:cs="Arial"/>
          <w:szCs w:val="22"/>
        </w:rPr>
        <w:t>s</w:t>
      </w:r>
      <w:r w:rsidRPr="009A78E3">
        <w:rPr>
          <w:rFonts w:cs="Arial"/>
          <w:szCs w:val="22"/>
        </w:rPr>
        <w:t>iège de l</w:t>
      </w:r>
      <w:r>
        <w:rPr>
          <w:rFonts w:cs="Arial"/>
          <w:szCs w:val="22"/>
        </w:rPr>
        <w:t>’</w:t>
      </w:r>
      <w:r w:rsidRPr="009A78E3">
        <w:rPr>
          <w:rFonts w:cs="Arial"/>
          <w:szCs w:val="22"/>
        </w:rPr>
        <w:t>UNESCO) et le 20 octobre 2023 (en ligne) dans le but d</w:t>
      </w:r>
      <w:r>
        <w:rPr>
          <w:rFonts w:cs="Arial"/>
          <w:szCs w:val="22"/>
        </w:rPr>
        <w:t>’</w:t>
      </w:r>
      <w:r w:rsidRPr="009A78E3">
        <w:rPr>
          <w:rFonts w:cs="Arial"/>
          <w:szCs w:val="22"/>
        </w:rPr>
        <w:t xml:space="preserve">explorer </w:t>
      </w:r>
      <w:r w:rsidRPr="009A78E3">
        <w:rPr>
          <w:rFonts w:cs="Arial"/>
          <w:szCs w:val="22"/>
        </w:rPr>
        <w:lastRenderedPageBreak/>
        <w:t xml:space="preserve">les moyens de maximiser les effets positifs sur les communautés, les groupes et les individus, tout en atténuant les impacts négatifs des activités économiques sur la sauvegarde du patrimoine vivant et le développement durable. En outre, deux thèmes supplémentaires sur le patrimoine vivant et le </w:t>
      </w:r>
      <w:r w:rsidRPr="009A78E3">
        <w:rPr>
          <w:rFonts w:asciiTheme="minorBidi" w:hAnsiTheme="minorBidi" w:cstheme="minorBidi"/>
          <w:szCs w:val="22"/>
        </w:rPr>
        <w:t xml:space="preserve">développement </w:t>
      </w:r>
      <w:r w:rsidRPr="009A78E3">
        <w:rPr>
          <w:rFonts w:cs="Arial"/>
          <w:szCs w:val="22"/>
        </w:rPr>
        <w:t>durable étaient en cours, axés sur : (i) la sauvegarde du patrimoine culturel immatériel et le changement climatique, et (ii) la sauvegarde du patrimoine culturel immatériel dans les contextes urbains. Les 17.COM et 18.COM ont pris note des progrès accomplis (</w:t>
      </w:r>
      <w:r w:rsidR="00251FFD">
        <w:rPr>
          <w:rFonts w:cs="Arial"/>
          <w:szCs w:val="22"/>
        </w:rPr>
        <w:t>D</w:t>
      </w:r>
      <w:r w:rsidRPr="009A78E3">
        <w:rPr>
          <w:rFonts w:cs="Arial"/>
          <w:szCs w:val="22"/>
        </w:rPr>
        <w:t xml:space="preserve">écisions </w:t>
      </w:r>
      <w:hyperlink r:id="rId18" w:history="1">
        <w:r w:rsidRPr="009A78E3">
          <w:rPr>
            <w:rStyle w:val="Lienhypertexte"/>
            <w:rFonts w:cs="Arial"/>
            <w:szCs w:val="22"/>
          </w:rPr>
          <w:t>17.COM</w:t>
        </w:r>
        <w:r w:rsidRPr="009A78E3">
          <w:rPr>
            <w:rStyle w:val="Lienhypertexte"/>
            <w:rFonts w:cs="Arial"/>
            <w:szCs w:val="22"/>
          </w:rPr>
          <w:t xml:space="preserve"> </w:t>
        </w:r>
        <w:r w:rsidRPr="009A78E3">
          <w:rPr>
            <w:rStyle w:val="Lienhypertexte"/>
            <w:rFonts w:cs="Arial"/>
            <w:szCs w:val="22"/>
          </w:rPr>
          <w:t>13</w:t>
        </w:r>
      </w:hyperlink>
      <w:r w:rsidRPr="009A78E3">
        <w:rPr>
          <w:rFonts w:cs="Arial"/>
          <w:szCs w:val="22"/>
        </w:rPr>
        <w:t xml:space="preserve"> et </w:t>
      </w:r>
      <w:r w:rsidRPr="009A78E3">
        <w:rPr>
          <w:rFonts w:cs="Arial"/>
          <w:szCs w:val="22"/>
          <w:highlight w:val="yellow"/>
        </w:rPr>
        <w:t>18.COM 12</w:t>
      </w:r>
      <w:r w:rsidRPr="009A78E3">
        <w:rPr>
          <w:rFonts w:cs="Arial"/>
          <w:szCs w:val="22"/>
        </w:rPr>
        <w:t>).</w:t>
      </w:r>
    </w:p>
    <w:p w14:paraId="4A2CE21A" w14:textId="5F39C9AF" w:rsidR="002B42E9" w:rsidRDefault="002B42E9" w:rsidP="002B42E9">
      <w:pPr>
        <w:pStyle w:val="Paragraphedeliste"/>
        <w:keepNext/>
        <w:numPr>
          <w:ilvl w:val="0"/>
          <w:numId w:val="23"/>
        </w:numPr>
        <w:tabs>
          <w:tab w:val="num" w:pos="567"/>
        </w:tabs>
        <w:spacing w:before="240" w:after="120"/>
        <w:ind w:left="562" w:hanging="562"/>
        <w:contextualSpacing w:val="0"/>
        <w:rPr>
          <w:rFonts w:ascii="Arial" w:hAnsi="Arial" w:cs="Arial"/>
          <w:b/>
          <w:sz w:val="22"/>
          <w:szCs w:val="22"/>
          <w:lang w:val="en-GB"/>
        </w:rPr>
      </w:pPr>
      <w:r w:rsidRPr="003C1CCC">
        <w:rPr>
          <w:rFonts w:ascii="Arial" w:hAnsi="Arial" w:cs="Arial"/>
          <w:b/>
          <w:sz w:val="22"/>
          <w:szCs w:val="22"/>
          <w:lang w:val="en-GB"/>
        </w:rPr>
        <w:t xml:space="preserve">Sensibilisation et </w:t>
      </w:r>
      <w:r w:rsidR="00251FFD">
        <w:rPr>
          <w:rFonts w:ascii="Arial" w:hAnsi="Arial" w:cs="Arial"/>
          <w:b/>
          <w:sz w:val="22"/>
          <w:szCs w:val="22"/>
          <w:lang w:val="en-GB"/>
        </w:rPr>
        <w:t>diffusion</w:t>
      </w:r>
    </w:p>
    <w:p w14:paraId="36EADB1F" w14:textId="210D67B8" w:rsidR="002B42E9" w:rsidRPr="009A78E3" w:rsidRDefault="002B42E9" w:rsidP="002B42E9">
      <w:pPr>
        <w:pStyle w:val="Marge"/>
        <w:numPr>
          <w:ilvl w:val="0"/>
          <w:numId w:val="21"/>
        </w:numPr>
        <w:tabs>
          <w:tab w:val="num" w:pos="567"/>
        </w:tabs>
        <w:spacing w:before="120" w:after="120"/>
        <w:ind w:left="567" w:hanging="567"/>
        <w:rPr>
          <w:rFonts w:cs="Arial"/>
          <w:szCs w:val="22"/>
        </w:rPr>
      </w:pPr>
      <w:r w:rsidRPr="009A78E3">
        <w:rPr>
          <w:rFonts w:cs="Arial"/>
          <w:szCs w:val="22"/>
        </w:rPr>
        <w:t>La sensibilisation à l</w:t>
      </w:r>
      <w:r>
        <w:rPr>
          <w:rFonts w:cs="Arial"/>
          <w:szCs w:val="22"/>
        </w:rPr>
        <w:t>’</w:t>
      </w:r>
      <w:r w:rsidRPr="009A78E3">
        <w:rPr>
          <w:rFonts w:cs="Arial"/>
          <w:szCs w:val="22"/>
        </w:rPr>
        <w:t xml:space="preserve">importance du patrimoine culturel immatériel et la promotion des objectifs de </w:t>
      </w:r>
      <w:r w:rsidRPr="009A78E3">
        <w:rPr>
          <w:rFonts w:asciiTheme="minorBidi" w:hAnsiTheme="minorBidi" w:cstheme="minorBidi"/>
          <w:szCs w:val="22"/>
        </w:rPr>
        <w:t xml:space="preserve">la </w:t>
      </w:r>
      <w:r w:rsidRPr="009A78E3">
        <w:rPr>
          <w:rFonts w:cs="Arial"/>
          <w:szCs w:val="22"/>
        </w:rPr>
        <w:t xml:space="preserve">Convention sont considérées comme des actions de sauvegarde en </w:t>
      </w:r>
      <w:r w:rsidR="00251FFD">
        <w:rPr>
          <w:rFonts w:cs="Arial"/>
          <w:szCs w:val="22"/>
        </w:rPr>
        <w:t>elles-mêmes</w:t>
      </w:r>
      <w:r w:rsidRPr="009A78E3">
        <w:rPr>
          <w:rFonts w:cs="Arial"/>
          <w:szCs w:val="22"/>
        </w:rPr>
        <w:t>, telles que définies à l</w:t>
      </w:r>
      <w:r>
        <w:rPr>
          <w:rFonts w:cs="Arial"/>
          <w:szCs w:val="22"/>
        </w:rPr>
        <w:t>’</w:t>
      </w:r>
      <w:r w:rsidRPr="009A78E3">
        <w:rPr>
          <w:rFonts w:cs="Arial"/>
          <w:szCs w:val="22"/>
        </w:rPr>
        <w:t xml:space="preserve">article 2.3 de la Convention. Une somme totale de 410 435 dollars </w:t>
      </w:r>
      <w:r w:rsidR="0067094E" w:rsidRPr="0067094E">
        <w:rPr>
          <w:rFonts w:cs="Arial"/>
          <w:szCs w:val="22"/>
        </w:rPr>
        <w:t>des États-Unis</w:t>
      </w:r>
      <w:r w:rsidRPr="009A78E3">
        <w:rPr>
          <w:rFonts w:cs="Arial"/>
          <w:szCs w:val="22"/>
        </w:rPr>
        <w:t xml:space="preserve"> - soit 23 </w:t>
      </w:r>
      <w:r w:rsidR="0067094E">
        <w:rPr>
          <w:rFonts w:cs="Arial"/>
          <w:szCs w:val="22"/>
        </w:rPr>
        <w:t>pour cent</w:t>
      </w:r>
      <w:r w:rsidRPr="009A78E3">
        <w:rPr>
          <w:rFonts w:cs="Arial"/>
          <w:szCs w:val="22"/>
        </w:rPr>
        <w:t xml:space="preserve"> de la ligne </w:t>
      </w:r>
      <w:r>
        <w:rPr>
          <w:rFonts w:cs="Arial"/>
          <w:szCs w:val="22"/>
        </w:rPr>
        <w:t>« </w:t>
      </w:r>
      <w:r w:rsidRPr="009A78E3">
        <w:rPr>
          <w:rFonts w:cs="Arial"/>
          <w:szCs w:val="22"/>
        </w:rPr>
        <w:t>autres fonctions du Comité</w:t>
      </w:r>
      <w:r>
        <w:rPr>
          <w:rFonts w:cs="Arial"/>
          <w:szCs w:val="22"/>
        </w:rPr>
        <w:t> »</w:t>
      </w:r>
      <w:r w:rsidRPr="009A78E3">
        <w:rPr>
          <w:rFonts w:cs="Arial"/>
          <w:szCs w:val="22"/>
        </w:rPr>
        <w:t xml:space="preserve"> - a été allouée </w:t>
      </w:r>
      <w:r w:rsidR="0067094E">
        <w:rPr>
          <w:rFonts w:cs="Arial"/>
          <w:szCs w:val="22"/>
        </w:rPr>
        <w:t>en vue de soutenir</w:t>
      </w:r>
      <w:r w:rsidRPr="009A78E3">
        <w:rPr>
          <w:rFonts w:cs="Arial"/>
          <w:szCs w:val="22"/>
        </w:rPr>
        <w:t xml:space="preserve"> l</w:t>
      </w:r>
      <w:r>
        <w:rPr>
          <w:rFonts w:cs="Arial"/>
          <w:szCs w:val="22"/>
        </w:rPr>
        <w:t>’</w:t>
      </w:r>
      <w:r w:rsidRPr="009A78E3">
        <w:rPr>
          <w:rFonts w:cs="Arial"/>
          <w:szCs w:val="22"/>
        </w:rPr>
        <w:t>initiative du Secrétariat dans ces domaines d</w:t>
      </w:r>
      <w:r>
        <w:rPr>
          <w:rFonts w:cs="Arial"/>
          <w:szCs w:val="22"/>
        </w:rPr>
        <w:t>’</w:t>
      </w:r>
      <w:r w:rsidRPr="009A78E3">
        <w:rPr>
          <w:rFonts w:cs="Arial"/>
          <w:szCs w:val="22"/>
        </w:rPr>
        <w:t>action pour la période 2022-2023.</w:t>
      </w:r>
    </w:p>
    <w:p w14:paraId="6AE503FC" w14:textId="2758A9D0" w:rsidR="002B42E9" w:rsidRPr="009A78E3" w:rsidRDefault="002B42E9" w:rsidP="002B42E9">
      <w:pPr>
        <w:pStyle w:val="Marge"/>
        <w:numPr>
          <w:ilvl w:val="0"/>
          <w:numId w:val="21"/>
        </w:numPr>
        <w:tabs>
          <w:tab w:val="num" w:pos="567"/>
        </w:tabs>
        <w:spacing w:before="120" w:after="120"/>
        <w:ind w:left="567" w:hanging="567"/>
        <w:rPr>
          <w:rFonts w:asciiTheme="minorBidi" w:hAnsiTheme="minorBidi" w:cstheme="minorBidi"/>
          <w:szCs w:val="22"/>
        </w:rPr>
      </w:pPr>
      <w:r w:rsidRPr="009A78E3">
        <w:rPr>
          <w:rFonts w:asciiTheme="minorBidi" w:hAnsiTheme="minorBidi" w:cstheme="minorBidi"/>
          <w:szCs w:val="22"/>
        </w:rPr>
        <w:t>L</w:t>
      </w:r>
      <w:r>
        <w:rPr>
          <w:rFonts w:asciiTheme="minorBidi" w:hAnsiTheme="minorBidi" w:cstheme="minorBidi"/>
          <w:szCs w:val="22"/>
        </w:rPr>
        <w:t>’</w:t>
      </w:r>
      <w:r w:rsidRPr="009A78E3">
        <w:rPr>
          <w:rFonts w:asciiTheme="minorBidi" w:hAnsiTheme="minorBidi" w:cstheme="minorBidi"/>
          <w:szCs w:val="22"/>
        </w:rPr>
        <w:t>année 2023 marque le vingtième anniversaire de la Convention pour la sauvegarde du patrimoine culturel immatériel. Ce fut l</w:t>
      </w:r>
      <w:r>
        <w:rPr>
          <w:rFonts w:asciiTheme="minorBidi" w:hAnsiTheme="minorBidi" w:cstheme="minorBidi"/>
          <w:szCs w:val="22"/>
        </w:rPr>
        <w:t>’</w:t>
      </w:r>
      <w:r w:rsidRPr="009A78E3">
        <w:rPr>
          <w:rFonts w:asciiTheme="minorBidi" w:hAnsiTheme="minorBidi" w:cstheme="minorBidi"/>
          <w:szCs w:val="22"/>
        </w:rPr>
        <w:t xml:space="preserve">occasion pour toutes les parties prenantes impliquées de faire le point sur les progrès accomplis et de réfléchir aux orientations futures que devrait prendre la Convention. Organisé sous le thème </w:t>
      </w:r>
      <w:r>
        <w:rPr>
          <w:rFonts w:asciiTheme="minorBidi" w:hAnsiTheme="minorBidi" w:cstheme="minorBidi"/>
          <w:szCs w:val="22"/>
        </w:rPr>
        <w:t xml:space="preserve">« Nous </w:t>
      </w:r>
      <w:r w:rsidR="00FB09C3">
        <w:rPr>
          <w:rFonts w:asciiTheme="minorBidi" w:hAnsiTheme="minorBidi" w:cstheme="minorBidi"/>
          <w:szCs w:val="22"/>
        </w:rPr>
        <w:t>incarnons</w:t>
      </w:r>
      <w:r>
        <w:rPr>
          <w:rFonts w:asciiTheme="minorBidi" w:hAnsiTheme="minorBidi" w:cstheme="minorBidi"/>
          <w:szCs w:val="22"/>
        </w:rPr>
        <w:t xml:space="preserve"> le</w:t>
      </w:r>
      <w:r w:rsidRPr="009A78E3">
        <w:rPr>
          <w:rFonts w:asciiTheme="minorBidi" w:hAnsiTheme="minorBidi" w:cstheme="minorBidi"/>
          <w:szCs w:val="22"/>
        </w:rPr>
        <w:t xml:space="preserve"> #</w:t>
      </w:r>
      <w:r>
        <w:rPr>
          <w:rFonts w:asciiTheme="minorBidi" w:hAnsiTheme="minorBidi" w:cstheme="minorBidi"/>
          <w:szCs w:val="22"/>
        </w:rPr>
        <w:t>PatrimoineVivant »</w:t>
      </w:r>
      <w:r w:rsidRPr="009A78E3">
        <w:rPr>
          <w:rFonts w:asciiTheme="minorBidi" w:hAnsiTheme="minorBidi" w:cstheme="minorBidi"/>
          <w:szCs w:val="22"/>
        </w:rPr>
        <w:t>, cet anniversaire a également été l</w:t>
      </w:r>
      <w:r>
        <w:rPr>
          <w:rFonts w:asciiTheme="minorBidi" w:hAnsiTheme="minorBidi" w:cstheme="minorBidi"/>
          <w:szCs w:val="22"/>
        </w:rPr>
        <w:t>’</w:t>
      </w:r>
      <w:r w:rsidRPr="009A78E3">
        <w:rPr>
          <w:rFonts w:asciiTheme="minorBidi" w:hAnsiTheme="minorBidi" w:cstheme="minorBidi"/>
          <w:szCs w:val="22"/>
        </w:rPr>
        <w:t xml:space="preserve">occasion de réfléchir au rôle de la Convention de 2003 dans la sensibilisation à la diversité et à la richesse du patrimoine culturel immatériel et dans la promotion de la coopération internationale. La réunion mondiale organisée pour célébrer cet anniversaire, qui a débouché sur la </w:t>
      </w:r>
      <w:r>
        <w:rPr>
          <w:rFonts w:asciiTheme="minorBidi" w:hAnsiTheme="minorBidi" w:cstheme="minorBidi"/>
          <w:szCs w:val="22"/>
        </w:rPr>
        <w:t>« </w:t>
      </w:r>
      <w:r w:rsidRPr="009A78E3">
        <w:rPr>
          <w:rFonts w:asciiTheme="minorBidi" w:hAnsiTheme="minorBidi" w:cstheme="minorBidi"/>
          <w:szCs w:val="22"/>
        </w:rPr>
        <w:t>Vision de Séoul pour l</w:t>
      </w:r>
      <w:r>
        <w:rPr>
          <w:rFonts w:asciiTheme="minorBidi" w:hAnsiTheme="minorBidi" w:cstheme="minorBidi"/>
          <w:szCs w:val="22"/>
        </w:rPr>
        <w:t>’</w:t>
      </w:r>
      <w:r w:rsidRPr="009A78E3">
        <w:rPr>
          <w:rFonts w:asciiTheme="minorBidi" w:hAnsiTheme="minorBidi" w:cstheme="minorBidi"/>
          <w:szCs w:val="22"/>
        </w:rPr>
        <w:t>avenir de la sauvegarde du patrimoine vivant pour le développement durable et la paix</w:t>
      </w:r>
      <w:r>
        <w:rPr>
          <w:rFonts w:asciiTheme="minorBidi" w:hAnsiTheme="minorBidi" w:cstheme="minorBidi"/>
          <w:szCs w:val="22"/>
        </w:rPr>
        <w:t> »</w:t>
      </w:r>
      <w:r w:rsidRPr="009A78E3">
        <w:rPr>
          <w:rFonts w:asciiTheme="minorBidi" w:hAnsiTheme="minorBidi" w:cstheme="minorBidi"/>
          <w:szCs w:val="22"/>
        </w:rPr>
        <w:t xml:space="preserve"> (25 et 26</w:t>
      </w:r>
      <w:r>
        <w:rPr>
          <w:rFonts w:asciiTheme="minorBidi" w:hAnsiTheme="minorBidi" w:cstheme="minorBidi"/>
          <w:szCs w:val="22"/>
        </w:rPr>
        <w:t> </w:t>
      </w:r>
      <w:r w:rsidRPr="009A78E3">
        <w:rPr>
          <w:rFonts w:asciiTheme="minorBidi" w:hAnsiTheme="minorBidi" w:cstheme="minorBidi"/>
          <w:szCs w:val="22"/>
        </w:rPr>
        <w:t>juillet 2023, Séoul, République de Corée), a constitué un moment fort.</w:t>
      </w:r>
    </w:p>
    <w:p w14:paraId="6ED6BE93" w14:textId="39B47319" w:rsidR="002B42E9" w:rsidRPr="009A78E3" w:rsidRDefault="002B42E9" w:rsidP="002B42E9">
      <w:pPr>
        <w:pStyle w:val="Marge"/>
        <w:numPr>
          <w:ilvl w:val="0"/>
          <w:numId w:val="21"/>
        </w:numPr>
        <w:tabs>
          <w:tab w:val="num" w:pos="567"/>
        </w:tabs>
        <w:spacing w:before="120" w:after="120"/>
        <w:ind w:left="567" w:hanging="567"/>
        <w:rPr>
          <w:rFonts w:cs="Arial"/>
          <w:szCs w:val="22"/>
        </w:rPr>
      </w:pPr>
      <w:r w:rsidRPr="009A78E3">
        <w:rPr>
          <w:rFonts w:cs="Arial"/>
          <w:szCs w:val="22"/>
        </w:rPr>
        <w:t xml:space="preserve">Suivant la pratique </w:t>
      </w:r>
      <w:r w:rsidR="009427B2">
        <w:rPr>
          <w:rFonts w:cs="Arial"/>
          <w:szCs w:val="22"/>
        </w:rPr>
        <w:t>débutée</w:t>
      </w:r>
      <w:r w:rsidRPr="009A78E3">
        <w:rPr>
          <w:rFonts w:cs="Arial"/>
          <w:szCs w:val="22"/>
        </w:rPr>
        <w:t xml:space="preserve"> en 2020, le 17.COM [</w:t>
      </w:r>
      <w:r w:rsidRPr="009A78E3">
        <w:rPr>
          <w:rFonts w:cs="Arial"/>
          <w:szCs w:val="22"/>
          <w:highlight w:val="yellow"/>
        </w:rPr>
        <w:t>et le 18.COM</w:t>
      </w:r>
      <w:r w:rsidRPr="009A78E3">
        <w:rPr>
          <w:rFonts w:cs="Arial"/>
          <w:szCs w:val="22"/>
        </w:rPr>
        <w:t xml:space="preserve">] a examiné un </w:t>
      </w:r>
      <w:r>
        <w:rPr>
          <w:rFonts w:cs="Arial"/>
          <w:szCs w:val="22"/>
        </w:rPr>
        <w:t>« </w:t>
      </w:r>
      <w:r w:rsidRPr="009A78E3">
        <w:rPr>
          <w:rFonts w:cs="Arial"/>
          <w:szCs w:val="22"/>
        </w:rPr>
        <w:t>Rapport du forum des organisations non gouvernementales</w:t>
      </w:r>
      <w:r>
        <w:rPr>
          <w:rFonts w:cs="Arial"/>
          <w:szCs w:val="22"/>
        </w:rPr>
        <w:t> »</w:t>
      </w:r>
      <w:r w:rsidRPr="009A78E3">
        <w:rPr>
          <w:rFonts w:cs="Arial"/>
          <w:szCs w:val="22"/>
        </w:rPr>
        <w:t xml:space="preserve"> dans le cadre d</w:t>
      </w:r>
      <w:r>
        <w:rPr>
          <w:rFonts w:cs="Arial"/>
          <w:szCs w:val="22"/>
        </w:rPr>
        <w:t>’</w:t>
      </w:r>
      <w:r w:rsidRPr="009A78E3">
        <w:rPr>
          <w:rFonts w:cs="Arial"/>
          <w:szCs w:val="22"/>
        </w:rPr>
        <w:t>un point autonome de l</w:t>
      </w:r>
      <w:r>
        <w:rPr>
          <w:rFonts w:cs="Arial"/>
          <w:szCs w:val="22"/>
        </w:rPr>
        <w:t>’</w:t>
      </w:r>
      <w:r w:rsidRPr="009A78E3">
        <w:rPr>
          <w:rFonts w:cs="Arial"/>
          <w:szCs w:val="22"/>
        </w:rPr>
        <w:t>ordre du jour. Dans la continuité de la réflexion engagée (2018-2020) sur la manière d</w:t>
      </w:r>
      <w:r>
        <w:rPr>
          <w:rFonts w:cs="Arial"/>
          <w:szCs w:val="22"/>
        </w:rPr>
        <w:t>’</w:t>
      </w:r>
      <w:r w:rsidRPr="009A78E3">
        <w:rPr>
          <w:rFonts w:cs="Arial"/>
          <w:szCs w:val="22"/>
        </w:rPr>
        <w:t xml:space="preserve">explorer le potentiel inexploité des ONG accréditées, le forum ICH-NGO a entrepris un exercice de cartographie pour identifier les domaines de compétence de soixante-cinq ONG accréditées </w:t>
      </w:r>
      <w:proofErr w:type="gramStart"/>
      <w:r w:rsidRPr="009A78E3">
        <w:rPr>
          <w:rFonts w:cs="Arial"/>
          <w:szCs w:val="22"/>
          <w:highlight w:val="yellow"/>
        </w:rPr>
        <w:t>[ ;</w:t>
      </w:r>
      <w:proofErr w:type="gramEnd"/>
      <w:r w:rsidRPr="009A78E3">
        <w:rPr>
          <w:rFonts w:cs="Arial"/>
          <w:szCs w:val="22"/>
          <w:highlight w:val="yellow"/>
        </w:rPr>
        <w:t xml:space="preserve"> les infographies </w:t>
      </w:r>
      <w:r w:rsidR="009427B2">
        <w:rPr>
          <w:rFonts w:cs="Arial"/>
          <w:szCs w:val="22"/>
          <w:highlight w:val="yellow"/>
        </w:rPr>
        <w:t xml:space="preserve">résultant de </w:t>
      </w:r>
      <w:r w:rsidRPr="009A78E3">
        <w:rPr>
          <w:rFonts w:cs="Arial"/>
          <w:szCs w:val="22"/>
          <w:highlight w:val="yellow"/>
        </w:rPr>
        <w:t>cet exercice ont été présentées au 18.COM</w:t>
      </w:r>
      <w:r w:rsidRPr="009A78E3">
        <w:rPr>
          <w:rFonts w:cs="Arial"/>
          <w:szCs w:val="22"/>
        </w:rPr>
        <w:t xml:space="preserve">]. </w:t>
      </w:r>
    </w:p>
    <w:p w14:paraId="3F59FA20" w14:textId="43C97540" w:rsidR="002B42E9" w:rsidRPr="009A78E3" w:rsidRDefault="002B42E9" w:rsidP="002B42E9">
      <w:pPr>
        <w:keepNext/>
        <w:numPr>
          <w:ilvl w:val="0"/>
          <w:numId w:val="22"/>
        </w:numPr>
        <w:tabs>
          <w:tab w:val="num" w:pos="567"/>
        </w:tabs>
        <w:snapToGrid w:val="0"/>
        <w:spacing w:before="240" w:after="120"/>
        <w:ind w:left="567" w:hanging="567"/>
        <w:jc w:val="both"/>
        <w:rPr>
          <w:rFonts w:ascii="Arial" w:hAnsi="Arial" w:cs="Arial"/>
          <w:sz w:val="22"/>
          <w:szCs w:val="22"/>
        </w:rPr>
      </w:pPr>
      <w:r w:rsidRPr="009A78E3">
        <w:rPr>
          <w:rFonts w:ascii="Arial" w:hAnsi="Arial" w:cs="Arial"/>
          <w:b/>
          <w:sz w:val="22"/>
          <w:szCs w:val="22"/>
        </w:rPr>
        <w:t>Préparation d</w:t>
      </w:r>
      <w:r>
        <w:rPr>
          <w:rFonts w:ascii="Arial" w:hAnsi="Arial" w:cs="Arial"/>
          <w:b/>
          <w:sz w:val="22"/>
          <w:szCs w:val="22"/>
        </w:rPr>
        <w:t>’</w:t>
      </w:r>
      <w:r w:rsidRPr="009A78E3">
        <w:rPr>
          <w:rFonts w:ascii="Arial" w:hAnsi="Arial" w:cs="Arial"/>
          <w:b/>
          <w:sz w:val="22"/>
          <w:szCs w:val="22"/>
        </w:rPr>
        <w:t>un projet de plan d</w:t>
      </w:r>
      <w:r>
        <w:rPr>
          <w:rFonts w:ascii="Arial" w:hAnsi="Arial" w:cs="Arial"/>
          <w:b/>
          <w:sz w:val="22"/>
          <w:szCs w:val="22"/>
        </w:rPr>
        <w:t>’</w:t>
      </w:r>
      <w:r w:rsidRPr="009A78E3">
        <w:rPr>
          <w:rFonts w:ascii="Arial" w:hAnsi="Arial" w:cs="Arial"/>
          <w:b/>
          <w:sz w:val="22"/>
          <w:szCs w:val="22"/>
        </w:rPr>
        <w:t xml:space="preserve">utilisation des ressources du Fonds et augmentation des ressources du Fonds </w:t>
      </w:r>
      <w:r w:rsidRPr="009A78E3">
        <w:rPr>
          <w:rFonts w:ascii="Arial" w:hAnsi="Arial" w:cs="Arial"/>
          <w:sz w:val="22"/>
          <w:szCs w:val="22"/>
        </w:rPr>
        <w:t>(articles 7[c] et 7[d])</w:t>
      </w:r>
    </w:p>
    <w:p w14:paraId="79DD66AD" w14:textId="6D02510C" w:rsidR="002B42E9" w:rsidRPr="009A78E3" w:rsidRDefault="009427B2" w:rsidP="002B42E9">
      <w:pPr>
        <w:pStyle w:val="Marge"/>
        <w:numPr>
          <w:ilvl w:val="0"/>
          <w:numId w:val="21"/>
        </w:numPr>
        <w:tabs>
          <w:tab w:val="num" w:pos="567"/>
        </w:tabs>
        <w:spacing w:before="120" w:after="120"/>
        <w:ind w:left="567" w:hanging="567"/>
        <w:rPr>
          <w:rFonts w:asciiTheme="minorBidi" w:hAnsiTheme="minorBidi" w:cstheme="minorBidi"/>
          <w:szCs w:val="22"/>
        </w:rPr>
      </w:pPr>
      <w:r>
        <w:rPr>
          <w:rFonts w:asciiTheme="minorBidi" w:hAnsiTheme="minorBidi" w:cstheme="minorBidi"/>
          <w:szCs w:val="22"/>
        </w:rPr>
        <w:t>L</w:t>
      </w:r>
      <w:r w:rsidR="002B42E9" w:rsidRPr="009A78E3">
        <w:rPr>
          <w:rFonts w:asciiTheme="minorBidi" w:hAnsiTheme="minorBidi" w:cstheme="minorBidi"/>
          <w:szCs w:val="22"/>
        </w:rPr>
        <w:t>e Comité a examiné</w:t>
      </w:r>
      <w:r>
        <w:rPr>
          <w:rFonts w:asciiTheme="minorBidi" w:hAnsiTheme="minorBidi" w:cstheme="minorBidi"/>
          <w:szCs w:val="22"/>
        </w:rPr>
        <w:t>, l</w:t>
      </w:r>
      <w:r w:rsidRPr="009A78E3">
        <w:rPr>
          <w:rFonts w:asciiTheme="minorBidi" w:hAnsiTheme="minorBidi" w:cstheme="minorBidi"/>
          <w:szCs w:val="22"/>
        </w:rPr>
        <w:t xml:space="preserve">ors de sa dix-huitième session, </w:t>
      </w:r>
      <w:r w:rsidR="002B42E9" w:rsidRPr="009A78E3">
        <w:rPr>
          <w:rFonts w:asciiTheme="minorBidi" w:hAnsiTheme="minorBidi" w:cstheme="minorBidi"/>
          <w:szCs w:val="22"/>
        </w:rPr>
        <w:t>un projet de plan d</w:t>
      </w:r>
      <w:r w:rsidR="002B42E9">
        <w:rPr>
          <w:rFonts w:asciiTheme="minorBidi" w:hAnsiTheme="minorBidi" w:cstheme="minorBidi"/>
          <w:szCs w:val="22"/>
        </w:rPr>
        <w:t>’</w:t>
      </w:r>
      <w:r w:rsidR="002B42E9" w:rsidRPr="009A78E3">
        <w:rPr>
          <w:rFonts w:asciiTheme="minorBidi" w:hAnsiTheme="minorBidi" w:cstheme="minorBidi"/>
          <w:szCs w:val="22"/>
        </w:rPr>
        <w:t xml:space="preserve">utilisation des ressources du Fonds pour la période du 1er janvier 2024 au 31 décembre 2025 et, </w:t>
      </w:r>
      <w:r w:rsidR="00732138">
        <w:rPr>
          <w:rFonts w:asciiTheme="minorBidi" w:hAnsiTheme="minorBidi" w:cstheme="minorBidi"/>
          <w:szCs w:val="22"/>
        </w:rPr>
        <w:t>de façon</w:t>
      </w:r>
      <w:r w:rsidR="002B42E9" w:rsidRPr="009A78E3">
        <w:rPr>
          <w:rFonts w:asciiTheme="minorBidi" w:hAnsiTheme="minorBidi" w:cstheme="minorBidi"/>
          <w:szCs w:val="22"/>
        </w:rPr>
        <w:t xml:space="preserve"> provisoire, </w:t>
      </w:r>
      <w:r w:rsidR="00732138">
        <w:rPr>
          <w:rFonts w:asciiTheme="minorBidi" w:hAnsiTheme="minorBidi" w:cstheme="minorBidi"/>
          <w:szCs w:val="22"/>
        </w:rPr>
        <w:t xml:space="preserve">pour </w:t>
      </w:r>
      <w:r w:rsidR="002B42E9" w:rsidRPr="009A78E3">
        <w:rPr>
          <w:rFonts w:asciiTheme="minorBidi" w:hAnsiTheme="minorBidi" w:cstheme="minorBidi"/>
          <w:szCs w:val="22"/>
        </w:rPr>
        <w:t>le premier semestre 2026 (</w:t>
      </w:r>
      <w:r w:rsidR="00732138">
        <w:rPr>
          <w:rFonts w:asciiTheme="minorBidi" w:hAnsiTheme="minorBidi" w:cstheme="minorBidi"/>
          <w:szCs w:val="22"/>
        </w:rPr>
        <w:t>D</w:t>
      </w:r>
      <w:r w:rsidR="002B42E9" w:rsidRPr="009A78E3">
        <w:rPr>
          <w:rFonts w:asciiTheme="minorBidi" w:hAnsiTheme="minorBidi" w:cstheme="minorBidi"/>
          <w:szCs w:val="22"/>
        </w:rPr>
        <w:t xml:space="preserve">écision </w:t>
      </w:r>
      <w:r w:rsidR="002B42E9" w:rsidRPr="009A78E3">
        <w:rPr>
          <w:rFonts w:asciiTheme="minorBidi" w:hAnsiTheme="minorBidi" w:cstheme="minorBidi"/>
          <w:szCs w:val="22"/>
          <w:highlight w:val="yellow"/>
        </w:rPr>
        <w:t>18.COM 14</w:t>
      </w:r>
      <w:r w:rsidR="002B42E9" w:rsidRPr="009A78E3">
        <w:rPr>
          <w:rFonts w:asciiTheme="minorBidi" w:hAnsiTheme="minorBidi" w:cstheme="minorBidi"/>
          <w:szCs w:val="22"/>
        </w:rPr>
        <w:t>). Conformément à la procédure d</w:t>
      </w:r>
      <w:r w:rsidR="002B42E9">
        <w:rPr>
          <w:rFonts w:asciiTheme="minorBidi" w:hAnsiTheme="minorBidi" w:cstheme="minorBidi"/>
          <w:szCs w:val="22"/>
        </w:rPr>
        <w:t>’</w:t>
      </w:r>
      <w:r w:rsidR="002B42E9" w:rsidRPr="009A78E3">
        <w:rPr>
          <w:rFonts w:asciiTheme="minorBidi" w:hAnsiTheme="minorBidi" w:cstheme="minorBidi"/>
          <w:szCs w:val="22"/>
        </w:rPr>
        <w:t xml:space="preserve">approbation introduite par le Comité en 2019 pour les </w:t>
      </w:r>
      <w:r w:rsidR="002B42E9">
        <w:rPr>
          <w:rFonts w:asciiTheme="minorBidi" w:hAnsiTheme="minorBidi" w:cstheme="minorBidi"/>
          <w:szCs w:val="22"/>
        </w:rPr>
        <w:t>« </w:t>
      </w:r>
      <w:r w:rsidR="00732138">
        <w:rPr>
          <w:rFonts w:asciiTheme="minorBidi" w:hAnsiTheme="minorBidi" w:cstheme="minorBidi"/>
          <w:szCs w:val="22"/>
        </w:rPr>
        <w:t>A</w:t>
      </w:r>
      <w:r w:rsidR="002B42E9" w:rsidRPr="009A78E3">
        <w:rPr>
          <w:rFonts w:asciiTheme="minorBidi" w:hAnsiTheme="minorBidi" w:cstheme="minorBidi"/>
          <w:szCs w:val="22"/>
        </w:rPr>
        <w:t>utres fonctions du Comité</w:t>
      </w:r>
      <w:r w:rsidR="002B42E9">
        <w:rPr>
          <w:rFonts w:asciiTheme="minorBidi" w:hAnsiTheme="minorBidi" w:cstheme="minorBidi"/>
          <w:szCs w:val="22"/>
        </w:rPr>
        <w:t> »</w:t>
      </w:r>
      <w:r w:rsidR="002B42E9" w:rsidRPr="009A78E3">
        <w:rPr>
          <w:rFonts w:asciiTheme="minorBidi" w:hAnsiTheme="minorBidi" w:cstheme="minorBidi"/>
          <w:szCs w:val="22"/>
        </w:rPr>
        <w:t xml:space="preserve"> (</w:t>
      </w:r>
      <w:r w:rsidR="00FB09C3">
        <w:rPr>
          <w:rFonts w:asciiTheme="minorBidi" w:hAnsiTheme="minorBidi" w:cstheme="minorBidi"/>
          <w:szCs w:val="22"/>
        </w:rPr>
        <w:t>D</w:t>
      </w:r>
      <w:r w:rsidR="002B42E9" w:rsidRPr="009A78E3">
        <w:rPr>
          <w:rFonts w:asciiTheme="minorBidi" w:hAnsiTheme="minorBidi" w:cstheme="minorBidi"/>
          <w:szCs w:val="22"/>
        </w:rPr>
        <w:t xml:space="preserve">écision </w:t>
      </w:r>
      <w:hyperlink r:id="rId19" w:history="1">
        <w:r w:rsidR="002B42E9" w:rsidRPr="009A78E3">
          <w:rPr>
            <w:rStyle w:val="Lienhypertexte"/>
            <w:rFonts w:asciiTheme="minorBidi" w:hAnsiTheme="minorBidi" w:cstheme="minorBidi"/>
            <w:szCs w:val="22"/>
          </w:rPr>
          <w:t>14.CO</w:t>
        </w:r>
        <w:r w:rsidR="002B42E9" w:rsidRPr="009A78E3">
          <w:rPr>
            <w:rStyle w:val="Lienhypertexte"/>
            <w:rFonts w:asciiTheme="minorBidi" w:hAnsiTheme="minorBidi" w:cstheme="minorBidi"/>
            <w:szCs w:val="22"/>
          </w:rPr>
          <w:t>M</w:t>
        </w:r>
        <w:r w:rsidR="002B42E9" w:rsidRPr="009A78E3">
          <w:rPr>
            <w:rStyle w:val="Lienhypertexte"/>
            <w:rFonts w:asciiTheme="minorBidi" w:hAnsiTheme="minorBidi" w:cstheme="minorBidi"/>
            <w:szCs w:val="22"/>
          </w:rPr>
          <w:t xml:space="preserve"> 7</w:t>
        </w:r>
      </w:hyperlink>
      <w:r w:rsidR="002B42E9" w:rsidRPr="009A78E3">
        <w:rPr>
          <w:rStyle w:val="Lienhypertexte"/>
          <w:rFonts w:asciiTheme="minorBidi" w:hAnsiTheme="minorBidi" w:cstheme="minorBidi"/>
          <w:szCs w:val="22"/>
        </w:rPr>
        <w:t>)</w:t>
      </w:r>
      <w:r w:rsidR="002B42E9" w:rsidRPr="009A78E3">
        <w:rPr>
          <w:rFonts w:asciiTheme="minorBidi" w:hAnsiTheme="minorBidi" w:cstheme="minorBidi"/>
          <w:szCs w:val="22"/>
        </w:rPr>
        <w:t xml:space="preserve">, le projet de plan a été présenté </w:t>
      </w:r>
      <w:r w:rsidR="00732138">
        <w:rPr>
          <w:rFonts w:asciiTheme="minorBidi" w:hAnsiTheme="minorBidi" w:cstheme="minorBidi"/>
          <w:szCs w:val="22"/>
        </w:rPr>
        <w:t>en indiquant une répartition</w:t>
      </w:r>
      <w:r w:rsidR="002B42E9" w:rsidRPr="009A78E3">
        <w:rPr>
          <w:rFonts w:asciiTheme="minorBidi" w:hAnsiTheme="minorBidi" w:cstheme="minorBidi"/>
          <w:szCs w:val="22"/>
        </w:rPr>
        <w:t xml:space="preserve"> en pourcentage </w:t>
      </w:r>
      <w:r w:rsidR="00732138">
        <w:rPr>
          <w:rFonts w:asciiTheme="minorBidi" w:hAnsiTheme="minorBidi" w:cstheme="minorBidi"/>
          <w:szCs w:val="22"/>
        </w:rPr>
        <w:t>de</w:t>
      </w:r>
      <w:r w:rsidR="002B42E9" w:rsidRPr="009A78E3">
        <w:rPr>
          <w:rFonts w:asciiTheme="minorBidi" w:hAnsiTheme="minorBidi" w:cstheme="minorBidi"/>
          <w:szCs w:val="22"/>
        </w:rPr>
        <w:t xml:space="preserve"> la ligne budgétaire </w:t>
      </w:r>
      <w:r w:rsidR="002B42E9">
        <w:rPr>
          <w:rFonts w:asciiTheme="minorBidi" w:hAnsiTheme="minorBidi" w:cstheme="minorBidi"/>
          <w:szCs w:val="22"/>
        </w:rPr>
        <w:t>« </w:t>
      </w:r>
      <w:r w:rsidR="002B42E9" w:rsidRPr="009A78E3">
        <w:rPr>
          <w:rFonts w:asciiTheme="minorBidi" w:hAnsiTheme="minorBidi" w:cstheme="minorBidi"/>
          <w:szCs w:val="22"/>
        </w:rPr>
        <w:t>Autres fonctions du Comité</w:t>
      </w:r>
      <w:r w:rsidR="002B42E9">
        <w:rPr>
          <w:rFonts w:asciiTheme="minorBidi" w:hAnsiTheme="minorBidi" w:cstheme="minorBidi"/>
          <w:szCs w:val="22"/>
        </w:rPr>
        <w:t> »</w:t>
      </w:r>
      <w:r w:rsidR="002B42E9" w:rsidRPr="009A78E3">
        <w:rPr>
          <w:rFonts w:asciiTheme="minorBidi" w:hAnsiTheme="minorBidi" w:cstheme="minorBidi"/>
          <w:szCs w:val="22"/>
        </w:rPr>
        <w:t xml:space="preserve">, en termes de résultats </w:t>
      </w:r>
      <w:r w:rsidR="00732138">
        <w:rPr>
          <w:rFonts w:asciiTheme="minorBidi" w:hAnsiTheme="minorBidi" w:cstheme="minorBidi"/>
          <w:szCs w:val="22"/>
        </w:rPr>
        <w:t>attendus</w:t>
      </w:r>
      <w:r w:rsidR="002B42E9" w:rsidRPr="009A78E3">
        <w:rPr>
          <w:rFonts w:asciiTheme="minorBidi" w:hAnsiTheme="minorBidi" w:cstheme="minorBidi"/>
          <w:szCs w:val="22"/>
        </w:rPr>
        <w:t xml:space="preserve"> </w:t>
      </w:r>
      <w:r w:rsidR="00732138">
        <w:rPr>
          <w:rFonts w:asciiTheme="minorBidi" w:hAnsiTheme="minorBidi" w:cstheme="minorBidi"/>
          <w:szCs w:val="22"/>
        </w:rPr>
        <w:t>selon</w:t>
      </w:r>
      <w:r w:rsidR="002B42E9" w:rsidRPr="009A78E3">
        <w:rPr>
          <w:rFonts w:asciiTheme="minorBidi" w:hAnsiTheme="minorBidi" w:cstheme="minorBidi"/>
          <w:szCs w:val="22"/>
        </w:rPr>
        <w:t xml:space="preserve"> </w:t>
      </w:r>
      <w:r w:rsidR="00732138">
        <w:rPr>
          <w:rFonts w:asciiTheme="minorBidi" w:hAnsiTheme="minorBidi" w:cstheme="minorBidi"/>
          <w:szCs w:val="22"/>
        </w:rPr>
        <w:t>le</w:t>
      </w:r>
      <w:r w:rsidR="002B42E9" w:rsidRPr="009A78E3">
        <w:rPr>
          <w:rFonts w:asciiTheme="minorBidi" w:hAnsiTheme="minorBidi" w:cstheme="minorBidi"/>
          <w:szCs w:val="22"/>
        </w:rPr>
        <w:t xml:space="preserve"> C/5 approuvé. Ce projet de plan sera soumis </w:t>
      </w:r>
      <w:r w:rsidR="00732138">
        <w:rPr>
          <w:rFonts w:asciiTheme="minorBidi" w:hAnsiTheme="minorBidi" w:cstheme="minorBidi"/>
          <w:szCs w:val="22"/>
        </w:rPr>
        <w:t>pour</w:t>
      </w:r>
      <w:r w:rsidR="002B42E9" w:rsidRPr="009A78E3">
        <w:rPr>
          <w:rFonts w:asciiTheme="minorBidi" w:hAnsiTheme="minorBidi" w:cstheme="minorBidi"/>
          <w:szCs w:val="22"/>
        </w:rPr>
        <w:t xml:space="preserve"> approbation </w:t>
      </w:r>
      <w:r w:rsidR="00732138">
        <w:rPr>
          <w:rFonts w:asciiTheme="minorBidi" w:hAnsiTheme="minorBidi" w:cstheme="minorBidi"/>
          <w:szCs w:val="22"/>
        </w:rPr>
        <w:t xml:space="preserve">lors </w:t>
      </w:r>
      <w:r w:rsidR="002B42E9" w:rsidRPr="009A78E3">
        <w:rPr>
          <w:rFonts w:asciiTheme="minorBidi" w:hAnsiTheme="minorBidi" w:cstheme="minorBidi"/>
          <w:szCs w:val="22"/>
        </w:rPr>
        <w:t>de la dixième session de l</w:t>
      </w:r>
      <w:r w:rsidR="002B42E9">
        <w:rPr>
          <w:rFonts w:asciiTheme="minorBidi" w:hAnsiTheme="minorBidi" w:cstheme="minorBidi"/>
          <w:szCs w:val="22"/>
        </w:rPr>
        <w:t>’</w:t>
      </w:r>
      <w:r w:rsidR="002B42E9" w:rsidRPr="009A78E3">
        <w:rPr>
          <w:rFonts w:asciiTheme="minorBidi" w:hAnsiTheme="minorBidi" w:cstheme="minorBidi"/>
          <w:szCs w:val="22"/>
        </w:rPr>
        <w:t xml:space="preserve">Assemblée générale en 2024. Le </w:t>
      </w:r>
      <w:r w:rsidR="00732138">
        <w:rPr>
          <w:rFonts w:asciiTheme="minorBidi" w:hAnsiTheme="minorBidi" w:cstheme="minorBidi"/>
          <w:szCs w:val="22"/>
        </w:rPr>
        <w:t xml:space="preserve">plus grand </w:t>
      </w:r>
      <w:r w:rsidR="002B42E9" w:rsidRPr="009A78E3">
        <w:rPr>
          <w:rFonts w:asciiTheme="minorBidi" w:hAnsiTheme="minorBidi" w:cstheme="minorBidi"/>
          <w:szCs w:val="22"/>
        </w:rPr>
        <w:t>pourcentage continue d</w:t>
      </w:r>
      <w:r w:rsidR="002B42E9">
        <w:rPr>
          <w:rFonts w:asciiTheme="minorBidi" w:hAnsiTheme="minorBidi" w:cstheme="minorBidi"/>
          <w:szCs w:val="22"/>
        </w:rPr>
        <w:t>’</w:t>
      </w:r>
      <w:r w:rsidR="002B42E9" w:rsidRPr="009A78E3">
        <w:rPr>
          <w:rFonts w:asciiTheme="minorBidi" w:hAnsiTheme="minorBidi" w:cstheme="minorBidi"/>
          <w:szCs w:val="22"/>
        </w:rPr>
        <w:t>être consacré à l</w:t>
      </w:r>
      <w:r w:rsidR="002B42E9">
        <w:rPr>
          <w:rFonts w:asciiTheme="minorBidi" w:hAnsiTheme="minorBidi" w:cstheme="minorBidi"/>
          <w:szCs w:val="22"/>
        </w:rPr>
        <w:t>’</w:t>
      </w:r>
      <w:r w:rsidR="002B42E9" w:rsidRPr="009A78E3">
        <w:rPr>
          <w:rFonts w:asciiTheme="minorBidi" w:hAnsiTheme="minorBidi" w:cstheme="minorBidi"/>
          <w:szCs w:val="22"/>
        </w:rPr>
        <w:t>assistance internationale (</w:t>
      </w:r>
      <w:r w:rsidR="002B42E9" w:rsidRPr="009A78E3">
        <w:rPr>
          <w:rFonts w:asciiTheme="minorBidi" w:hAnsiTheme="minorBidi" w:cstheme="minorBidi"/>
          <w:szCs w:val="22"/>
          <w:highlight w:val="yellow"/>
        </w:rPr>
        <w:t xml:space="preserve">voir le document </w:t>
      </w:r>
      <w:hyperlink r:id="rId20" w:history="1">
        <w:r w:rsidR="002B42E9" w:rsidRPr="00E30A65">
          <w:rPr>
            <w:rStyle w:val="Lienhypertexte"/>
            <w:rFonts w:asciiTheme="minorBidi" w:hAnsiTheme="minorBidi" w:cstheme="minorBidi"/>
            <w:highlight w:val="yellow"/>
          </w:rPr>
          <w:t>LHE/23/18.COM/14</w:t>
        </w:r>
      </w:hyperlink>
      <w:r w:rsidR="002B42E9" w:rsidRPr="009A78E3">
        <w:rPr>
          <w:rFonts w:asciiTheme="minorBidi" w:hAnsiTheme="minorBidi" w:cstheme="minorBidi"/>
          <w:highlight w:val="yellow"/>
        </w:rPr>
        <w:t xml:space="preserve"> </w:t>
      </w:r>
      <w:r w:rsidR="002B42E9" w:rsidRPr="009A78E3">
        <w:rPr>
          <w:rFonts w:asciiTheme="minorBidi" w:hAnsiTheme="minorBidi" w:cstheme="minorBidi"/>
          <w:szCs w:val="22"/>
          <w:highlight w:val="yellow"/>
        </w:rPr>
        <w:t>pour le plan détaillé</w:t>
      </w:r>
      <w:r w:rsidR="002B42E9" w:rsidRPr="009A78E3">
        <w:rPr>
          <w:rFonts w:asciiTheme="minorBidi" w:hAnsiTheme="minorBidi" w:cstheme="minorBidi"/>
          <w:szCs w:val="22"/>
        </w:rPr>
        <w:t>).</w:t>
      </w:r>
    </w:p>
    <w:p w14:paraId="3DB8FEDF" w14:textId="24DD2625" w:rsidR="002B42E9" w:rsidRPr="009A78E3" w:rsidRDefault="00732138" w:rsidP="002B42E9">
      <w:pPr>
        <w:pStyle w:val="Marge"/>
        <w:numPr>
          <w:ilvl w:val="0"/>
          <w:numId w:val="21"/>
        </w:numPr>
        <w:tabs>
          <w:tab w:val="num" w:pos="567"/>
        </w:tabs>
        <w:spacing w:before="120" w:after="120"/>
        <w:ind w:left="567" w:hanging="567"/>
        <w:rPr>
          <w:rFonts w:asciiTheme="minorBidi" w:hAnsiTheme="minorBidi" w:cstheme="minorBidi"/>
          <w:szCs w:val="22"/>
        </w:rPr>
      </w:pPr>
      <w:bookmarkStart w:id="1" w:name="_Hlk144213364"/>
      <w:r>
        <w:rPr>
          <w:rFonts w:asciiTheme="minorBidi" w:hAnsiTheme="minorBidi" w:cstheme="minorBidi"/>
          <w:szCs w:val="22"/>
        </w:rPr>
        <w:t>Pendant la période considérée</w:t>
      </w:r>
      <w:r w:rsidR="002B42E9" w:rsidRPr="009A78E3">
        <w:rPr>
          <w:rFonts w:asciiTheme="minorBidi" w:hAnsiTheme="minorBidi" w:cstheme="minorBidi"/>
          <w:szCs w:val="22"/>
        </w:rPr>
        <w:t xml:space="preserve">, des contributions volontaires supplémentaires </w:t>
      </w:r>
      <w:r w:rsidR="0089669D">
        <w:rPr>
          <w:rFonts w:asciiTheme="minorBidi" w:hAnsiTheme="minorBidi" w:cstheme="minorBidi"/>
          <w:szCs w:val="22"/>
        </w:rPr>
        <w:t xml:space="preserve">à hauteur </w:t>
      </w:r>
      <w:r w:rsidR="002B42E9" w:rsidRPr="009A78E3">
        <w:rPr>
          <w:rFonts w:asciiTheme="minorBidi" w:hAnsiTheme="minorBidi" w:cstheme="minorBidi"/>
          <w:szCs w:val="22"/>
        </w:rPr>
        <w:t xml:space="preserve">de 196 046,80 dollars </w:t>
      </w:r>
      <w:r w:rsidRPr="00732138">
        <w:rPr>
          <w:rFonts w:asciiTheme="minorBidi" w:hAnsiTheme="minorBidi" w:cstheme="minorBidi"/>
          <w:szCs w:val="22"/>
        </w:rPr>
        <w:t xml:space="preserve">des États-Unis </w:t>
      </w:r>
      <w:r w:rsidR="0089669D">
        <w:rPr>
          <w:rFonts w:asciiTheme="minorBidi" w:hAnsiTheme="minorBidi" w:cstheme="minorBidi"/>
          <w:szCs w:val="22"/>
        </w:rPr>
        <w:t>ont été versées au Fonds par l</w:t>
      </w:r>
      <w:r w:rsidR="002B42E9" w:rsidRPr="009A78E3">
        <w:rPr>
          <w:rFonts w:asciiTheme="minorBidi" w:hAnsiTheme="minorBidi" w:cstheme="minorBidi"/>
          <w:szCs w:val="22"/>
        </w:rPr>
        <w:t xml:space="preserve">es Pays-Bas et </w:t>
      </w:r>
      <w:r w:rsidR="0089669D">
        <w:rPr>
          <w:rFonts w:asciiTheme="minorBidi" w:hAnsiTheme="minorBidi" w:cstheme="minorBidi"/>
          <w:szCs w:val="22"/>
        </w:rPr>
        <w:t>le</w:t>
      </w:r>
      <w:r w:rsidR="002B42E9" w:rsidRPr="009A78E3">
        <w:rPr>
          <w:rFonts w:asciiTheme="minorBidi" w:hAnsiTheme="minorBidi" w:cstheme="minorBidi"/>
          <w:szCs w:val="22"/>
        </w:rPr>
        <w:t xml:space="preserve"> Centre international d</w:t>
      </w:r>
      <w:r w:rsidR="002B42E9">
        <w:rPr>
          <w:rFonts w:asciiTheme="minorBidi" w:hAnsiTheme="minorBidi" w:cstheme="minorBidi"/>
          <w:szCs w:val="22"/>
        </w:rPr>
        <w:t>’</w:t>
      </w:r>
      <w:r w:rsidR="002B42E9" w:rsidRPr="009A78E3">
        <w:rPr>
          <w:rFonts w:asciiTheme="minorBidi" w:hAnsiTheme="minorBidi" w:cstheme="minorBidi"/>
          <w:szCs w:val="22"/>
        </w:rPr>
        <w:t>information et de travail en réseau sur le patrimoine culturel immatériel dans la région Asie-Pacifique sous l</w:t>
      </w:r>
      <w:r w:rsidR="002B42E9">
        <w:rPr>
          <w:rFonts w:asciiTheme="minorBidi" w:hAnsiTheme="minorBidi" w:cstheme="minorBidi"/>
          <w:szCs w:val="22"/>
        </w:rPr>
        <w:t>’</w:t>
      </w:r>
      <w:r w:rsidR="002B42E9" w:rsidRPr="009A78E3">
        <w:rPr>
          <w:rFonts w:asciiTheme="minorBidi" w:hAnsiTheme="minorBidi" w:cstheme="minorBidi"/>
          <w:szCs w:val="22"/>
        </w:rPr>
        <w:t>égide de l</w:t>
      </w:r>
      <w:r w:rsidR="002B42E9">
        <w:rPr>
          <w:rFonts w:asciiTheme="minorBidi" w:hAnsiTheme="minorBidi" w:cstheme="minorBidi"/>
          <w:szCs w:val="22"/>
        </w:rPr>
        <w:t>’</w:t>
      </w:r>
      <w:r w:rsidR="002B42E9" w:rsidRPr="009A78E3">
        <w:rPr>
          <w:rFonts w:asciiTheme="minorBidi" w:hAnsiTheme="minorBidi" w:cstheme="minorBidi"/>
          <w:szCs w:val="22"/>
        </w:rPr>
        <w:t xml:space="preserve">UNESCO (ICHCAP, République de Corée). Ces contributions ont financé la première des deux priorités de financement, </w:t>
      </w:r>
      <w:r w:rsidR="002B42E9">
        <w:rPr>
          <w:rFonts w:asciiTheme="minorBidi" w:hAnsiTheme="minorBidi" w:cstheme="minorBidi"/>
          <w:szCs w:val="22"/>
        </w:rPr>
        <w:t>« </w:t>
      </w:r>
      <w:r w:rsidR="002B42E9" w:rsidRPr="009A78E3">
        <w:rPr>
          <w:rFonts w:asciiTheme="minorBidi" w:hAnsiTheme="minorBidi" w:cstheme="minorBidi"/>
          <w:szCs w:val="22"/>
        </w:rPr>
        <w:t>Renforce</w:t>
      </w:r>
      <w:r w:rsidR="0089669D">
        <w:rPr>
          <w:rFonts w:asciiTheme="minorBidi" w:hAnsiTheme="minorBidi" w:cstheme="minorBidi"/>
          <w:szCs w:val="22"/>
        </w:rPr>
        <w:t>ment d</w:t>
      </w:r>
      <w:r w:rsidR="002B42E9" w:rsidRPr="009A78E3">
        <w:rPr>
          <w:rFonts w:asciiTheme="minorBidi" w:hAnsiTheme="minorBidi" w:cstheme="minorBidi"/>
          <w:szCs w:val="22"/>
        </w:rPr>
        <w:t>es capacités pour</w:t>
      </w:r>
      <w:r w:rsidR="0089669D">
        <w:rPr>
          <w:rFonts w:asciiTheme="minorBidi" w:hAnsiTheme="minorBidi" w:cstheme="minorBidi"/>
          <w:szCs w:val="22"/>
        </w:rPr>
        <w:t xml:space="preserve"> la</w:t>
      </w:r>
      <w:r w:rsidR="002B42E9" w:rsidRPr="009A78E3">
        <w:rPr>
          <w:rFonts w:asciiTheme="minorBidi" w:hAnsiTheme="minorBidi" w:cstheme="minorBidi"/>
          <w:szCs w:val="22"/>
        </w:rPr>
        <w:t xml:space="preserve"> sauvegarde </w:t>
      </w:r>
      <w:r w:rsidR="0089669D">
        <w:rPr>
          <w:rFonts w:asciiTheme="minorBidi" w:hAnsiTheme="minorBidi" w:cstheme="minorBidi"/>
          <w:szCs w:val="22"/>
        </w:rPr>
        <w:t>du</w:t>
      </w:r>
      <w:r w:rsidR="002B42E9" w:rsidRPr="009A78E3">
        <w:rPr>
          <w:rFonts w:asciiTheme="minorBidi" w:hAnsiTheme="minorBidi" w:cstheme="minorBidi"/>
          <w:szCs w:val="22"/>
        </w:rPr>
        <w:t xml:space="preserve"> patrimoine culturel immatériel et </w:t>
      </w:r>
      <w:r w:rsidR="0089669D">
        <w:rPr>
          <w:rFonts w:asciiTheme="minorBidi" w:hAnsiTheme="minorBidi" w:cstheme="minorBidi"/>
          <w:szCs w:val="22"/>
        </w:rPr>
        <w:t xml:space="preserve">la </w:t>
      </w:r>
      <w:r w:rsidR="002B42E9" w:rsidRPr="009A78E3">
        <w:rPr>
          <w:rFonts w:asciiTheme="minorBidi" w:hAnsiTheme="minorBidi" w:cstheme="minorBidi"/>
          <w:szCs w:val="22"/>
        </w:rPr>
        <w:t>contribu</w:t>
      </w:r>
      <w:r w:rsidR="0089669D">
        <w:rPr>
          <w:rFonts w:asciiTheme="minorBidi" w:hAnsiTheme="minorBidi" w:cstheme="minorBidi"/>
          <w:szCs w:val="22"/>
        </w:rPr>
        <w:t>tion</w:t>
      </w:r>
      <w:r w:rsidR="002B42E9" w:rsidRPr="009A78E3">
        <w:rPr>
          <w:rFonts w:asciiTheme="minorBidi" w:hAnsiTheme="minorBidi" w:cstheme="minorBidi"/>
          <w:szCs w:val="22"/>
        </w:rPr>
        <w:t xml:space="preserve"> au développement durable</w:t>
      </w:r>
      <w:r w:rsidR="002B42E9">
        <w:rPr>
          <w:rFonts w:asciiTheme="minorBidi" w:hAnsiTheme="minorBidi" w:cstheme="minorBidi"/>
          <w:szCs w:val="22"/>
        </w:rPr>
        <w:t> »</w:t>
      </w:r>
      <w:r w:rsidR="002B42E9" w:rsidRPr="009A78E3">
        <w:rPr>
          <w:rFonts w:asciiTheme="minorBidi" w:hAnsiTheme="minorBidi" w:cstheme="minorBidi"/>
          <w:szCs w:val="22"/>
        </w:rPr>
        <w:t xml:space="preserve"> et </w:t>
      </w:r>
      <w:r w:rsidR="002B42E9">
        <w:rPr>
          <w:rFonts w:asciiTheme="minorBidi" w:hAnsiTheme="minorBidi" w:cstheme="minorBidi"/>
          <w:szCs w:val="22"/>
        </w:rPr>
        <w:t>« </w:t>
      </w:r>
      <w:r w:rsidR="002B42E9" w:rsidRPr="009A78E3">
        <w:rPr>
          <w:rFonts w:asciiTheme="minorBidi" w:hAnsiTheme="minorBidi" w:cstheme="minorBidi"/>
          <w:szCs w:val="22"/>
        </w:rPr>
        <w:t>Sauvegarde du patrimoine culturel immatériel dans l</w:t>
      </w:r>
      <w:r w:rsidR="002B42E9">
        <w:rPr>
          <w:rFonts w:asciiTheme="minorBidi" w:hAnsiTheme="minorBidi" w:cstheme="minorBidi"/>
          <w:szCs w:val="22"/>
        </w:rPr>
        <w:t>’</w:t>
      </w:r>
      <w:r w:rsidR="002B42E9" w:rsidRPr="009A78E3">
        <w:rPr>
          <w:rFonts w:asciiTheme="minorBidi" w:hAnsiTheme="minorBidi" w:cstheme="minorBidi"/>
          <w:szCs w:val="22"/>
        </w:rPr>
        <w:t>éducation formelle et non formelle</w:t>
      </w:r>
      <w:r w:rsidR="002B42E9">
        <w:rPr>
          <w:rFonts w:asciiTheme="minorBidi" w:hAnsiTheme="minorBidi" w:cstheme="minorBidi"/>
          <w:szCs w:val="22"/>
        </w:rPr>
        <w:t> »</w:t>
      </w:r>
      <w:r w:rsidR="002B42E9" w:rsidRPr="009A78E3">
        <w:rPr>
          <w:rFonts w:asciiTheme="minorBidi" w:hAnsiTheme="minorBidi" w:cstheme="minorBidi"/>
          <w:szCs w:val="22"/>
        </w:rPr>
        <w:t>, qui ont été approuvées pour la période 2018-2021 (</w:t>
      </w:r>
      <w:r w:rsidR="0089669D">
        <w:rPr>
          <w:rFonts w:asciiTheme="minorBidi" w:hAnsiTheme="minorBidi" w:cstheme="minorBidi"/>
          <w:szCs w:val="22"/>
        </w:rPr>
        <w:t>D</w:t>
      </w:r>
      <w:r w:rsidR="002B42E9" w:rsidRPr="009A78E3">
        <w:rPr>
          <w:rFonts w:asciiTheme="minorBidi" w:hAnsiTheme="minorBidi" w:cstheme="minorBidi"/>
          <w:szCs w:val="22"/>
        </w:rPr>
        <w:t xml:space="preserve">écision </w:t>
      </w:r>
      <w:hyperlink r:id="rId21" w:history="1">
        <w:r w:rsidR="002B42E9" w:rsidRPr="009A78E3">
          <w:rPr>
            <w:rStyle w:val="Lienhypertexte"/>
            <w:rFonts w:asciiTheme="minorBidi" w:hAnsiTheme="minorBidi" w:cstheme="minorBidi"/>
            <w:szCs w:val="22"/>
          </w:rPr>
          <w:t>12.C</w:t>
        </w:r>
        <w:r w:rsidR="002B42E9" w:rsidRPr="009A78E3">
          <w:rPr>
            <w:rStyle w:val="Lienhypertexte"/>
            <w:rFonts w:asciiTheme="minorBidi" w:hAnsiTheme="minorBidi" w:cstheme="minorBidi"/>
            <w:szCs w:val="22"/>
          </w:rPr>
          <w:t>O</w:t>
        </w:r>
        <w:r w:rsidR="002B42E9" w:rsidRPr="009A78E3">
          <w:rPr>
            <w:rStyle w:val="Lienhypertexte"/>
            <w:rFonts w:asciiTheme="minorBidi" w:hAnsiTheme="minorBidi" w:cstheme="minorBidi"/>
            <w:szCs w:val="22"/>
          </w:rPr>
          <w:t>M 6</w:t>
        </w:r>
      </w:hyperlink>
      <w:r w:rsidR="002B42E9" w:rsidRPr="009A78E3">
        <w:rPr>
          <w:rFonts w:asciiTheme="minorBidi" w:hAnsiTheme="minorBidi" w:cstheme="minorBidi"/>
          <w:szCs w:val="22"/>
        </w:rPr>
        <w:t>) et par conséquent renouvelées lors de la seizième session du Comité (</w:t>
      </w:r>
      <w:r w:rsidR="0089669D">
        <w:rPr>
          <w:rFonts w:asciiTheme="minorBidi" w:hAnsiTheme="minorBidi" w:cstheme="minorBidi"/>
          <w:szCs w:val="22"/>
        </w:rPr>
        <w:t>D</w:t>
      </w:r>
      <w:r w:rsidR="002B42E9" w:rsidRPr="009A78E3">
        <w:rPr>
          <w:rFonts w:asciiTheme="minorBidi" w:hAnsiTheme="minorBidi" w:cstheme="minorBidi"/>
          <w:szCs w:val="22"/>
        </w:rPr>
        <w:t xml:space="preserve">écision </w:t>
      </w:r>
      <w:hyperlink r:id="rId22" w:history="1">
        <w:r w:rsidR="002B42E9" w:rsidRPr="009A78E3">
          <w:rPr>
            <w:rStyle w:val="Lienhypertexte"/>
            <w:rFonts w:asciiTheme="minorBidi" w:hAnsiTheme="minorBidi" w:cstheme="minorBidi"/>
            <w:szCs w:val="22"/>
          </w:rPr>
          <w:t>16.CO</w:t>
        </w:r>
        <w:r w:rsidR="002B42E9" w:rsidRPr="009A78E3">
          <w:rPr>
            <w:rStyle w:val="Lienhypertexte"/>
            <w:rFonts w:asciiTheme="minorBidi" w:hAnsiTheme="minorBidi" w:cstheme="minorBidi"/>
            <w:szCs w:val="22"/>
          </w:rPr>
          <w:t>M</w:t>
        </w:r>
        <w:r w:rsidR="002B42E9" w:rsidRPr="009A78E3">
          <w:rPr>
            <w:rStyle w:val="Lienhypertexte"/>
            <w:rFonts w:asciiTheme="minorBidi" w:hAnsiTheme="minorBidi" w:cstheme="minorBidi"/>
            <w:szCs w:val="22"/>
          </w:rPr>
          <w:t xml:space="preserve"> 12</w:t>
        </w:r>
      </w:hyperlink>
      <w:r w:rsidR="002B42E9" w:rsidRPr="009A78E3">
        <w:rPr>
          <w:rFonts w:asciiTheme="minorBidi" w:hAnsiTheme="minorBidi" w:cstheme="minorBidi"/>
          <w:szCs w:val="22"/>
        </w:rPr>
        <w:t xml:space="preserve">) pour la période 2022-2025. Le sous-fonds du Fonds, consacré exclusivement au renforcement des capacités humaines du Secrétariat, a également reçu des contributions de </w:t>
      </w:r>
      <w:r w:rsidR="002B42E9" w:rsidRPr="009A78E3">
        <w:rPr>
          <w:rFonts w:asciiTheme="minorBidi" w:hAnsiTheme="minorBidi" w:cstheme="minorBidi"/>
          <w:szCs w:val="22"/>
        </w:rPr>
        <w:lastRenderedPageBreak/>
        <w:t xml:space="preserve">134 201,81 dollars </w:t>
      </w:r>
      <w:r w:rsidR="0089669D" w:rsidRPr="0089669D">
        <w:rPr>
          <w:rFonts w:asciiTheme="minorBidi" w:hAnsiTheme="minorBidi" w:cstheme="minorBidi"/>
          <w:szCs w:val="22"/>
        </w:rPr>
        <w:t>des États-Unis</w:t>
      </w:r>
      <w:r w:rsidR="002B42E9" w:rsidRPr="009A78E3">
        <w:rPr>
          <w:rFonts w:asciiTheme="minorBidi" w:hAnsiTheme="minorBidi" w:cstheme="minorBidi"/>
          <w:szCs w:val="22"/>
        </w:rPr>
        <w:t xml:space="preserve"> de la part de la France, de la Lituanie, de Monaco, de la Slovaquie et de la Slovénie (</w:t>
      </w:r>
      <w:r w:rsidR="002B42E9" w:rsidRPr="009A78E3">
        <w:rPr>
          <w:rFonts w:asciiTheme="minorBidi" w:hAnsiTheme="minorBidi" w:cstheme="minorBidi"/>
          <w:szCs w:val="22"/>
          <w:highlight w:val="yellow"/>
        </w:rPr>
        <w:t xml:space="preserve">Document </w:t>
      </w:r>
      <w:hyperlink r:id="rId23" w:history="1">
        <w:r w:rsidR="002B42E9" w:rsidRPr="00E30A65">
          <w:rPr>
            <w:rStyle w:val="Lienhypertexte"/>
            <w:rFonts w:asciiTheme="minorBidi" w:hAnsiTheme="minorBidi" w:cstheme="minorBidi"/>
            <w:szCs w:val="22"/>
            <w:highlight w:val="yellow"/>
          </w:rPr>
          <w:t>LHE/23/18.COM/INF.14</w:t>
        </w:r>
      </w:hyperlink>
      <w:r w:rsidR="002B42E9" w:rsidRPr="009A78E3">
        <w:rPr>
          <w:rFonts w:asciiTheme="minorBidi" w:hAnsiTheme="minorBidi" w:cstheme="minorBidi"/>
          <w:szCs w:val="22"/>
          <w:highlight w:val="yellow"/>
        </w:rPr>
        <w:t>)</w:t>
      </w:r>
      <w:r w:rsidR="002B42E9" w:rsidRPr="009A78E3">
        <w:rPr>
          <w:rFonts w:asciiTheme="minorBidi" w:hAnsiTheme="minorBidi" w:cstheme="minorBidi"/>
          <w:szCs w:val="22"/>
        </w:rPr>
        <w:t>.</w:t>
      </w:r>
    </w:p>
    <w:bookmarkEnd w:id="1"/>
    <w:p w14:paraId="7D168CF2" w14:textId="77777777" w:rsidR="002B42E9" w:rsidRPr="009A78E3" w:rsidRDefault="002B42E9" w:rsidP="002B42E9">
      <w:pPr>
        <w:keepNext/>
        <w:numPr>
          <w:ilvl w:val="0"/>
          <w:numId w:val="22"/>
        </w:numPr>
        <w:tabs>
          <w:tab w:val="clear" w:pos="720"/>
          <w:tab w:val="num" w:pos="567"/>
        </w:tabs>
        <w:spacing w:before="240" w:after="120"/>
        <w:ind w:left="562" w:hanging="562"/>
        <w:rPr>
          <w:rFonts w:ascii="Arial" w:hAnsi="Arial" w:cs="Arial"/>
          <w:b/>
          <w:sz w:val="22"/>
          <w:szCs w:val="22"/>
        </w:rPr>
      </w:pPr>
      <w:r w:rsidRPr="009A78E3">
        <w:rPr>
          <w:rFonts w:ascii="Arial" w:hAnsi="Arial" w:cs="Arial"/>
          <w:b/>
          <w:sz w:val="22"/>
          <w:szCs w:val="22"/>
        </w:rPr>
        <w:t xml:space="preserve">Examen des rapports périodiques </w:t>
      </w:r>
      <w:r w:rsidRPr="009A78E3">
        <w:rPr>
          <w:rFonts w:ascii="Arial" w:hAnsi="Arial" w:cs="Arial"/>
          <w:sz w:val="22"/>
          <w:szCs w:val="22"/>
        </w:rPr>
        <w:t>(article 7[f])</w:t>
      </w:r>
    </w:p>
    <w:p w14:paraId="652A1B3E" w14:textId="7EFA030F" w:rsidR="002B42E9" w:rsidRPr="009A78E3" w:rsidRDefault="002B42E9" w:rsidP="002B42E9">
      <w:pPr>
        <w:pStyle w:val="Marge"/>
        <w:numPr>
          <w:ilvl w:val="0"/>
          <w:numId w:val="21"/>
        </w:numPr>
        <w:tabs>
          <w:tab w:val="num" w:pos="567"/>
        </w:tabs>
        <w:spacing w:before="120" w:after="120"/>
        <w:ind w:left="567" w:hanging="567"/>
        <w:rPr>
          <w:rFonts w:asciiTheme="minorBidi" w:hAnsiTheme="minorBidi" w:cstheme="minorBidi"/>
        </w:rPr>
      </w:pPr>
      <w:r w:rsidRPr="009A78E3">
        <w:rPr>
          <w:rFonts w:asciiTheme="minorBidi" w:hAnsiTheme="minorBidi" w:cstheme="minorBidi"/>
        </w:rPr>
        <w:t xml:space="preserve">Le Comité a examiné </w:t>
      </w:r>
      <w:r w:rsidR="004C1296">
        <w:rPr>
          <w:rFonts w:asciiTheme="minorBidi" w:hAnsiTheme="minorBidi" w:cstheme="minorBidi"/>
        </w:rPr>
        <w:t>trente-neuf</w:t>
      </w:r>
      <w:r w:rsidRPr="009A78E3">
        <w:rPr>
          <w:rFonts w:asciiTheme="minorBidi" w:hAnsiTheme="minorBidi" w:cstheme="minorBidi"/>
        </w:rPr>
        <w:t xml:space="preserve"> rapports sur l</w:t>
      </w:r>
      <w:r>
        <w:rPr>
          <w:rFonts w:asciiTheme="minorBidi" w:hAnsiTheme="minorBidi" w:cstheme="minorBidi"/>
        </w:rPr>
        <w:t>’</w:t>
      </w:r>
      <w:r w:rsidRPr="009A78E3">
        <w:rPr>
          <w:rFonts w:asciiTheme="minorBidi" w:hAnsiTheme="minorBidi" w:cstheme="minorBidi"/>
        </w:rPr>
        <w:t xml:space="preserve">état des éléments inscrits sur la Liste de sauvegarde urgente - vingt-quatre lors de sa dix-septième session en 2022 et </w:t>
      </w:r>
      <w:r w:rsidR="004C1296">
        <w:rPr>
          <w:rFonts w:asciiTheme="minorBidi" w:hAnsiTheme="minorBidi" w:cstheme="minorBidi"/>
        </w:rPr>
        <w:t>quinze</w:t>
      </w:r>
      <w:r w:rsidRPr="009A78E3">
        <w:rPr>
          <w:rFonts w:asciiTheme="minorBidi" w:hAnsiTheme="minorBidi" w:cstheme="minorBidi"/>
        </w:rPr>
        <w:t xml:space="preserve"> lors de sa dix-huitième </w:t>
      </w:r>
      <w:r w:rsidRPr="009A78E3">
        <w:rPr>
          <w:rFonts w:asciiTheme="minorBidi" w:hAnsiTheme="minorBidi" w:cstheme="minorBidi"/>
          <w:szCs w:val="22"/>
        </w:rPr>
        <w:t xml:space="preserve">session </w:t>
      </w:r>
      <w:r w:rsidRPr="009A78E3">
        <w:rPr>
          <w:rFonts w:asciiTheme="minorBidi" w:hAnsiTheme="minorBidi" w:cstheme="minorBidi"/>
        </w:rPr>
        <w:t>en 2023. Lors de l</w:t>
      </w:r>
      <w:r>
        <w:rPr>
          <w:rFonts w:asciiTheme="minorBidi" w:hAnsiTheme="minorBidi" w:cstheme="minorBidi"/>
        </w:rPr>
        <w:t>’</w:t>
      </w:r>
      <w:r w:rsidRPr="009A78E3">
        <w:rPr>
          <w:rFonts w:asciiTheme="minorBidi" w:hAnsiTheme="minorBidi" w:cstheme="minorBidi"/>
        </w:rPr>
        <w:t xml:space="preserve">examen de ces rapports, le Comité a reconnu la </w:t>
      </w:r>
      <w:r w:rsidR="00FA25A6">
        <w:rPr>
          <w:rFonts w:asciiTheme="minorBidi" w:hAnsiTheme="minorBidi" w:cstheme="minorBidi"/>
        </w:rPr>
        <w:t xml:space="preserve">meilleure </w:t>
      </w:r>
      <w:r w:rsidRPr="009A78E3">
        <w:rPr>
          <w:rFonts w:asciiTheme="minorBidi" w:hAnsiTheme="minorBidi" w:cstheme="minorBidi"/>
        </w:rPr>
        <w:t>viabilité de certains éléments inscrits, dont il a été signalé qu</w:t>
      </w:r>
      <w:r>
        <w:rPr>
          <w:rFonts w:asciiTheme="minorBidi" w:hAnsiTheme="minorBidi" w:cstheme="minorBidi"/>
        </w:rPr>
        <w:t>’</w:t>
      </w:r>
      <w:r w:rsidRPr="009A78E3">
        <w:rPr>
          <w:rFonts w:asciiTheme="minorBidi" w:hAnsiTheme="minorBidi" w:cstheme="minorBidi"/>
        </w:rPr>
        <w:t xml:space="preserve">ils </w:t>
      </w:r>
      <w:r w:rsidR="00FA25A6">
        <w:rPr>
          <w:rFonts w:asciiTheme="minorBidi" w:hAnsiTheme="minorBidi" w:cstheme="minorBidi"/>
        </w:rPr>
        <w:t>ne nécessitaient plus de</w:t>
      </w:r>
      <w:r w:rsidRPr="009A78E3">
        <w:rPr>
          <w:rFonts w:asciiTheme="minorBidi" w:hAnsiTheme="minorBidi" w:cstheme="minorBidi"/>
        </w:rPr>
        <w:t xml:space="preserve"> sauvegarde urgente, et a pris note des États parties </w:t>
      </w:r>
      <w:r w:rsidR="00FA25A6">
        <w:rPr>
          <w:rFonts w:asciiTheme="minorBidi" w:hAnsiTheme="minorBidi" w:cstheme="minorBidi"/>
        </w:rPr>
        <w:t xml:space="preserve">ayant </w:t>
      </w:r>
      <w:r w:rsidRPr="009A78E3">
        <w:rPr>
          <w:rFonts w:asciiTheme="minorBidi" w:hAnsiTheme="minorBidi" w:cstheme="minorBidi"/>
        </w:rPr>
        <w:t>exprimé leur souhait de transférer des éléments de la Liste de sauvegarde urgente à la Liste représentative (</w:t>
      </w:r>
      <w:r w:rsidR="00FA25A6">
        <w:rPr>
          <w:rFonts w:asciiTheme="minorBidi" w:hAnsiTheme="minorBidi" w:cstheme="minorBidi"/>
        </w:rPr>
        <w:t>D</w:t>
      </w:r>
      <w:r w:rsidRPr="009A78E3">
        <w:rPr>
          <w:rFonts w:asciiTheme="minorBidi" w:hAnsiTheme="minorBidi" w:cstheme="minorBidi"/>
        </w:rPr>
        <w:t xml:space="preserve">écision </w:t>
      </w:r>
      <w:hyperlink r:id="rId24" w:history="1">
        <w:r w:rsidRPr="009A78E3">
          <w:rPr>
            <w:rStyle w:val="Lienhypertexte"/>
            <w:rFonts w:asciiTheme="minorBidi" w:hAnsiTheme="minorBidi" w:cstheme="minorBidi"/>
          </w:rPr>
          <w:t xml:space="preserve">17.COM </w:t>
        </w:r>
        <w:proofErr w:type="gramStart"/>
        <w:r w:rsidRPr="009A78E3">
          <w:rPr>
            <w:rStyle w:val="Lienhypertexte"/>
            <w:rFonts w:asciiTheme="minorBidi" w:hAnsiTheme="minorBidi" w:cstheme="minorBidi"/>
          </w:rPr>
          <w:t>6.a</w:t>
        </w:r>
        <w:proofErr w:type="gramEnd"/>
      </w:hyperlink>
      <w:r w:rsidRPr="009A78E3">
        <w:rPr>
          <w:rFonts w:asciiTheme="minorBidi" w:hAnsiTheme="minorBidi" w:cstheme="minorBidi"/>
        </w:rPr>
        <w:t xml:space="preserve"> et </w:t>
      </w:r>
      <w:r w:rsidR="00FA25A6">
        <w:rPr>
          <w:rFonts w:asciiTheme="minorBidi" w:hAnsiTheme="minorBidi" w:cstheme="minorBidi"/>
          <w:highlight w:val="yellow"/>
        </w:rPr>
        <w:t>D</w:t>
      </w:r>
      <w:r w:rsidRPr="009A78E3">
        <w:rPr>
          <w:rFonts w:asciiTheme="minorBidi" w:hAnsiTheme="minorBidi" w:cstheme="minorBidi"/>
          <w:highlight w:val="yellow"/>
        </w:rPr>
        <w:t>écision 18.COM 7.a</w:t>
      </w:r>
      <w:r w:rsidRPr="009A78E3">
        <w:rPr>
          <w:rFonts w:asciiTheme="minorBidi" w:hAnsiTheme="minorBidi" w:cstheme="minorBidi"/>
        </w:rPr>
        <w:t>).</w:t>
      </w:r>
    </w:p>
    <w:p w14:paraId="1B641921" w14:textId="2FA7947F" w:rsidR="002B42E9" w:rsidRPr="009A78E3" w:rsidRDefault="002B42E9" w:rsidP="002B42E9">
      <w:pPr>
        <w:pStyle w:val="Marge"/>
        <w:numPr>
          <w:ilvl w:val="0"/>
          <w:numId w:val="21"/>
        </w:numPr>
        <w:tabs>
          <w:tab w:val="num" w:pos="567"/>
        </w:tabs>
        <w:spacing w:before="120" w:after="120"/>
        <w:ind w:left="567" w:hanging="567"/>
        <w:rPr>
          <w:rFonts w:asciiTheme="minorBidi" w:hAnsiTheme="minorBidi" w:cstheme="minorBidi"/>
          <w:szCs w:val="22"/>
        </w:rPr>
      </w:pPr>
      <w:r w:rsidRPr="009A78E3">
        <w:rPr>
          <w:rFonts w:asciiTheme="minorBidi" w:hAnsiTheme="minorBidi" w:cstheme="minorBidi"/>
          <w:szCs w:val="22"/>
        </w:rPr>
        <w:t xml:space="preserve">Dans le cadre du premier cycle régional du système de rapports périodiques en cours, le Comité a examiné un total de </w:t>
      </w:r>
      <w:r w:rsidRPr="009A78E3">
        <w:rPr>
          <w:rFonts w:asciiTheme="minorBidi" w:hAnsiTheme="minorBidi" w:cstheme="minorBidi"/>
          <w:szCs w:val="22"/>
          <w:highlight w:val="yellow"/>
        </w:rPr>
        <w:t xml:space="preserve">soixante </w:t>
      </w:r>
      <w:r w:rsidRPr="009A78E3">
        <w:rPr>
          <w:rFonts w:asciiTheme="minorBidi" w:hAnsiTheme="minorBidi" w:cstheme="minorBidi"/>
          <w:szCs w:val="22"/>
        </w:rPr>
        <w:t>rapports : le 17.COM a examiné les rapports soumis par l</w:t>
      </w:r>
      <w:r>
        <w:rPr>
          <w:rFonts w:asciiTheme="minorBidi" w:hAnsiTheme="minorBidi" w:cstheme="minorBidi"/>
          <w:szCs w:val="22"/>
        </w:rPr>
        <w:t>’</w:t>
      </w:r>
      <w:r w:rsidRPr="009A78E3">
        <w:rPr>
          <w:rFonts w:asciiTheme="minorBidi" w:hAnsiTheme="minorBidi" w:cstheme="minorBidi"/>
          <w:szCs w:val="22"/>
        </w:rPr>
        <w:t xml:space="preserve">ensemble des </w:t>
      </w:r>
      <w:r w:rsidRPr="009A78E3">
        <w:rPr>
          <w:rFonts w:asciiTheme="minorBidi" w:hAnsiTheme="minorBidi" w:cstheme="minorBidi"/>
          <w:szCs w:val="22"/>
          <w:highlight w:val="yellow"/>
        </w:rPr>
        <w:t xml:space="preserve">quarante-quatre </w:t>
      </w:r>
      <w:r w:rsidRPr="009A78E3">
        <w:rPr>
          <w:rFonts w:asciiTheme="minorBidi" w:hAnsiTheme="minorBidi" w:cstheme="minorBidi"/>
          <w:szCs w:val="22"/>
        </w:rPr>
        <w:t>États parties d</w:t>
      </w:r>
      <w:r>
        <w:rPr>
          <w:rFonts w:asciiTheme="minorBidi" w:hAnsiTheme="minorBidi" w:cstheme="minorBidi"/>
          <w:szCs w:val="22"/>
        </w:rPr>
        <w:t>’</w:t>
      </w:r>
      <w:r w:rsidRPr="009A78E3">
        <w:rPr>
          <w:rFonts w:asciiTheme="minorBidi" w:hAnsiTheme="minorBidi" w:cstheme="minorBidi"/>
          <w:szCs w:val="22"/>
        </w:rPr>
        <w:t>Europe (</w:t>
      </w:r>
      <w:r w:rsidR="00FA25A6">
        <w:rPr>
          <w:rFonts w:asciiTheme="minorBidi" w:hAnsiTheme="minorBidi" w:cstheme="minorBidi"/>
          <w:szCs w:val="22"/>
        </w:rPr>
        <w:t>D</w:t>
      </w:r>
      <w:r w:rsidRPr="009A78E3">
        <w:rPr>
          <w:rFonts w:asciiTheme="minorBidi" w:hAnsiTheme="minorBidi" w:cstheme="minorBidi"/>
          <w:szCs w:val="22"/>
        </w:rPr>
        <w:t xml:space="preserve">écision </w:t>
      </w:r>
      <w:hyperlink r:id="rId25" w:history="1">
        <w:r w:rsidRPr="009A78E3">
          <w:rPr>
            <w:rStyle w:val="Lienhypertexte"/>
            <w:rFonts w:asciiTheme="minorBidi" w:hAnsiTheme="minorBidi" w:cstheme="minorBidi"/>
            <w:szCs w:val="22"/>
          </w:rPr>
          <w:t>17.CO</w:t>
        </w:r>
        <w:r w:rsidRPr="009A78E3">
          <w:rPr>
            <w:rStyle w:val="Lienhypertexte"/>
            <w:rFonts w:asciiTheme="minorBidi" w:hAnsiTheme="minorBidi" w:cstheme="minorBidi"/>
            <w:szCs w:val="22"/>
          </w:rPr>
          <w:t>M</w:t>
        </w:r>
        <w:r w:rsidRPr="009A78E3">
          <w:rPr>
            <w:rStyle w:val="Lienhypertexte"/>
            <w:rFonts w:asciiTheme="minorBidi" w:hAnsiTheme="minorBidi" w:cstheme="minorBidi"/>
            <w:szCs w:val="22"/>
          </w:rPr>
          <w:t xml:space="preserve"> </w:t>
        </w:r>
        <w:proofErr w:type="gramStart"/>
        <w:r w:rsidRPr="009A78E3">
          <w:rPr>
            <w:rStyle w:val="Lienhypertexte"/>
            <w:rFonts w:asciiTheme="minorBidi" w:hAnsiTheme="minorBidi" w:cstheme="minorBidi"/>
            <w:szCs w:val="22"/>
          </w:rPr>
          <w:t>6.b</w:t>
        </w:r>
        <w:proofErr w:type="gramEnd"/>
      </w:hyperlink>
      <w:r w:rsidRPr="009A78E3">
        <w:rPr>
          <w:rFonts w:asciiTheme="minorBidi" w:hAnsiTheme="minorBidi" w:cstheme="minorBidi"/>
          <w:szCs w:val="22"/>
        </w:rPr>
        <w:t xml:space="preserve">) et le 18.COM a examiné les rapports soumis par </w:t>
      </w:r>
      <w:r w:rsidRPr="009A78E3">
        <w:rPr>
          <w:rFonts w:asciiTheme="minorBidi" w:hAnsiTheme="minorBidi" w:cstheme="minorBidi"/>
          <w:szCs w:val="22"/>
          <w:highlight w:val="yellow"/>
        </w:rPr>
        <w:t xml:space="preserve">seize </w:t>
      </w:r>
      <w:r w:rsidRPr="009A78E3">
        <w:rPr>
          <w:rFonts w:asciiTheme="minorBidi" w:hAnsiTheme="minorBidi" w:cstheme="minorBidi"/>
          <w:szCs w:val="22"/>
        </w:rPr>
        <w:t xml:space="preserve">des dix-sept États parties des États arabes. Le Comité a reconnu ce progrès remarquable par rapport aux cycles de rapports précédents (le taux de soumission le plus bas pour les rapports était de 16 </w:t>
      </w:r>
      <w:r w:rsidR="00905AE4">
        <w:rPr>
          <w:rFonts w:asciiTheme="minorBidi" w:hAnsiTheme="minorBidi" w:cstheme="minorBidi"/>
          <w:szCs w:val="22"/>
        </w:rPr>
        <w:t>pour cent</w:t>
      </w:r>
      <w:r w:rsidRPr="009A78E3">
        <w:rPr>
          <w:rFonts w:asciiTheme="minorBidi" w:hAnsiTheme="minorBidi" w:cstheme="minorBidi"/>
          <w:szCs w:val="22"/>
        </w:rPr>
        <w:t xml:space="preserve"> lors du cycle de 2016). [</w:t>
      </w:r>
      <w:r w:rsidRPr="009A78E3">
        <w:rPr>
          <w:rFonts w:asciiTheme="minorBidi" w:hAnsiTheme="minorBidi" w:cstheme="minorBidi"/>
          <w:szCs w:val="22"/>
          <w:highlight w:val="yellow"/>
        </w:rPr>
        <w:t>En outre, le 18.COM a examiné les moyens d</w:t>
      </w:r>
      <w:r>
        <w:rPr>
          <w:rFonts w:asciiTheme="minorBidi" w:hAnsiTheme="minorBidi" w:cstheme="minorBidi"/>
          <w:szCs w:val="22"/>
          <w:highlight w:val="yellow"/>
        </w:rPr>
        <w:t>’</w:t>
      </w:r>
      <w:r w:rsidRPr="009A78E3">
        <w:rPr>
          <w:rFonts w:asciiTheme="minorBidi" w:hAnsiTheme="minorBidi" w:cstheme="minorBidi"/>
          <w:szCs w:val="22"/>
          <w:highlight w:val="yellow"/>
        </w:rPr>
        <w:t>aligner les mécanismes à la lumière de l</w:t>
      </w:r>
      <w:r>
        <w:rPr>
          <w:rFonts w:asciiTheme="minorBidi" w:hAnsiTheme="minorBidi" w:cstheme="minorBidi"/>
          <w:szCs w:val="22"/>
          <w:highlight w:val="yellow"/>
        </w:rPr>
        <w:t>’</w:t>
      </w:r>
      <w:r w:rsidRPr="009A78E3">
        <w:rPr>
          <w:rFonts w:asciiTheme="minorBidi" w:hAnsiTheme="minorBidi" w:cstheme="minorBidi"/>
          <w:szCs w:val="22"/>
          <w:highlight w:val="yellow"/>
        </w:rPr>
        <w:t>engagement du Secteur de la culture de l</w:t>
      </w:r>
      <w:r>
        <w:rPr>
          <w:rFonts w:asciiTheme="minorBidi" w:hAnsiTheme="minorBidi" w:cstheme="minorBidi"/>
          <w:szCs w:val="22"/>
          <w:highlight w:val="yellow"/>
        </w:rPr>
        <w:t>’</w:t>
      </w:r>
      <w:r w:rsidRPr="009A78E3">
        <w:rPr>
          <w:rFonts w:asciiTheme="minorBidi" w:hAnsiTheme="minorBidi" w:cstheme="minorBidi"/>
          <w:szCs w:val="22"/>
          <w:highlight w:val="yellow"/>
        </w:rPr>
        <w:t xml:space="preserve">UNESCO à produire un rapport </w:t>
      </w:r>
      <w:r w:rsidR="00CB66E1">
        <w:rPr>
          <w:rFonts w:asciiTheme="minorBidi" w:hAnsiTheme="minorBidi" w:cstheme="minorBidi"/>
          <w:szCs w:val="22"/>
          <w:highlight w:val="yellow"/>
        </w:rPr>
        <w:t>mondial</w:t>
      </w:r>
      <w:r w:rsidRPr="009A78E3">
        <w:rPr>
          <w:rFonts w:asciiTheme="minorBidi" w:hAnsiTheme="minorBidi" w:cstheme="minorBidi"/>
          <w:szCs w:val="22"/>
          <w:highlight w:val="yellow"/>
        </w:rPr>
        <w:t xml:space="preserve"> quadriennal sur les politiques culturelles à la suite de la Déclaration de MONDIACULT 2022</w:t>
      </w:r>
      <w:r w:rsidRPr="009A78E3">
        <w:rPr>
          <w:rFonts w:asciiTheme="minorBidi" w:hAnsiTheme="minorBidi" w:cstheme="minorBidi"/>
          <w:szCs w:val="22"/>
        </w:rPr>
        <w:t>].</w:t>
      </w:r>
    </w:p>
    <w:p w14:paraId="6A24C746" w14:textId="66DC65EB" w:rsidR="002B42E9" w:rsidRPr="009A78E3" w:rsidRDefault="002B42E9" w:rsidP="002B42E9">
      <w:pPr>
        <w:widowControl w:val="0"/>
        <w:numPr>
          <w:ilvl w:val="0"/>
          <w:numId w:val="22"/>
        </w:numPr>
        <w:tabs>
          <w:tab w:val="clear" w:pos="720"/>
        </w:tabs>
        <w:spacing w:before="240" w:after="120"/>
        <w:ind w:left="567" w:hanging="567"/>
        <w:jc w:val="both"/>
        <w:rPr>
          <w:rFonts w:ascii="Arial" w:hAnsi="Arial" w:cs="Arial"/>
          <w:b/>
          <w:sz w:val="22"/>
          <w:szCs w:val="22"/>
        </w:rPr>
      </w:pPr>
      <w:r w:rsidRPr="009A78E3">
        <w:rPr>
          <w:rFonts w:ascii="Arial" w:hAnsi="Arial" w:cs="Arial"/>
          <w:b/>
          <w:sz w:val="22"/>
          <w:szCs w:val="22"/>
        </w:rPr>
        <w:t>Inscriptions sur les listes de la Convention, sélection des bonnes pratiques de sauvegarde et octroi de l</w:t>
      </w:r>
      <w:r>
        <w:rPr>
          <w:rFonts w:ascii="Arial" w:hAnsi="Arial" w:cs="Arial"/>
          <w:b/>
          <w:sz w:val="22"/>
          <w:szCs w:val="22"/>
        </w:rPr>
        <w:t>’</w:t>
      </w:r>
      <w:r w:rsidRPr="009A78E3">
        <w:rPr>
          <w:rFonts w:ascii="Arial" w:hAnsi="Arial" w:cs="Arial"/>
          <w:b/>
          <w:sz w:val="22"/>
          <w:szCs w:val="22"/>
        </w:rPr>
        <w:t xml:space="preserve">assistance internationale </w:t>
      </w:r>
      <w:r w:rsidRPr="009A78E3">
        <w:rPr>
          <w:rFonts w:ascii="Arial" w:hAnsi="Arial" w:cs="Arial"/>
          <w:sz w:val="22"/>
          <w:szCs w:val="22"/>
        </w:rPr>
        <w:t>(article 7[g])</w:t>
      </w:r>
    </w:p>
    <w:p w14:paraId="1FFDC2CA" w14:textId="305B6428" w:rsidR="002B42E9" w:rsidRPr="009A78E3" w:rsidRDefault="002B42E9" w:rsidP="002B42E9">
      <w:pPr>
        <w:pStyle w:val="Marge"/>
        <w:numPr>
          <w:ilvl w:val="0"/>
          <w:numId w:val="21"/>
        </w:numPr>
        <w:tabs>
          <w:tab w:val="num" w:pos="567"/>
        </w:tabs>
        <w:spacing w:before="120" w:after="120"/>
        <w:ind w:left="567" w:hanging="567"/>
        <w:rPr>
          <w:rFonts w:asciiTheme="minorBidi" w:hAnsiTheme="minorBidi"/>
          <w:szCs w:val="22"/>
        </w:rPr>
      </w:pPr>
      <w:r w:rsidRPr="009A78E3">
        <w:rPr>
          <w:rFonts w:asciiTheme="minorBidi" w:hAnsiTheme="minorBidi" w:cstheme="minorBidi"/>
          <w:szCs w:val="22"/>
        </w:rPr>
        <w:t xml:space="preserve">Le Comité a examiné </w:t>
      </w:r>
      <w:r w:rsidR="00905AE4">
        <w:rPr>
          <w:rFonts w:asciiTheme="minorBidi" w:hAnsiTheme="minorBidi" w:cstheme="minorBidi"/>
          <w:szCs w:val="22"/>
        </w:rPr>
        <w:t>cent-onze</w:t>
      </w:r>
      <w:r w:rsidRPr="009A78E3">
        <w:rPr>
          <w:rFonts w:asciiTheme="minorBidi" w:hAnsiTheme="minorBidi" w:cstheme="minorBidi"/>
          <w:szCs w:val="22"/>
        </w:rPr>
        <w:t xml:space="preserve"> dossiers et inscrit un total de </w:t>
      </w:r>
      <w:r w:rsidR="00905AE4">
        <w:rPr>
          <w:rFonts w:asciiTheme="minorBidi" w:hAnsiTheme="minorBidi" w:cstheme="minorBidi"/>
          <w:szCs w:val="22"/>
        </w:rPr>
        <w:t>quarante-sept</w:t>
      </w:r>
      <w:r w:rsidRPr="009A78E3">
        <w:rPr>
          <w:rFonts w:asciiTheme="minorBidi" w:hAnsiTheme="minorBidi" w:cstheme="minorBidi"/>
          <w:szCs w:val="22"/>
        </w:rPr>
        <w:t xml:space="preserve"> éléments sur les Listes de la Convention : </w:t>
      </w:r>
      <w:r w:rsidR="00905AE4">
        <w:rPr>
          <w:rFonts w:asciiTheme="minorBidi" w:hAnsiTheme="minorBidi" w:cstheme="minorBidi"/>
          <w:szCs w:val="22"/>
        </w:rPr>
        <w:t>quatre</w:t>
      </w:r>
      <w:r w:rsidRPr="009A78E3">
        <w:rPr>
          <w:rFonts w:asciiTheme="minorBidi" w:hAnsiTheme="minorBidi" w:cstheme="minorBidi"/>
          <w:szCs w:val="22"/>
        </w:rPr>
        <w:t xml:space="preserve"> sur la Liste de sauvegarde urgente et </w:t>
      </w:r>
      <w:r w:rsidR="00905AE4">
        <w:rPr>
          <w:rFonts w:asciiTheme="minorBidi" w:hAnsiTheme="minorBidi" w:cstheme="minorBidi"/>
          <w:szCs w:val="22"/>
        </w:rPr>
        <w:t>trente-neuf</w:t>
      </w:r>
      <w:r w:rsidRPr="009A78E3">
        <w:rPr>
          <w:rFonts w:asciiTheme="minorBidi" w:hAnsiTheme="minorBidi" w:cstheme="minorBidi"/>
          <w:szCs w:val="22"/>
        </w:rPr>
        <w:t xml:space="preserve"> sur la Liste représentative. En outre, il a sélectionné quatre bonnes pratiques de sauvegarde.</w:t>
      </w:r>
    </w:p>
    <w:p w14:paraId="65268A9C" w14:textId="298BBA19" w:rsidR="002B42E9" w:rsidRPr="009A78E3" w:rsidRDefault="002B42E9" w:rsidP="002B42E9">
      <w:pPr>
        <w:pStyle w:val="Marge"/>
        <w:numPr>
          <w:ilvl w:val="0"/>
          <w:numId w:val="21"/>
        </w:numPr>
        <w:tabs>
          <w:tab w:val="num" w:pos="567"/>
        </w:tabs>
        <w:spacing w:before="120" w:after="120"/>
        <w:ind w:left="567" w:hanging="567"/>
        <w:rPr>
          <w:rFonts w:cs="Arial"/>
          <w:szCs w:val="22"/>
        </w:rPr>
      </w:pPr>
      <w:r w:rsidRPr="009A78E3">
        <w:rPr>
          <w:rFonts w:cs="Arial"/>
          <w:szCs w:val="22"/>
        </w:rPr>
        <w:t>Le Comité (pour les demandes supérieures à 100 000 dollars</w:t>
      </w:r>
      <w:r w:rsidR="00A37974">
        <w:rPr>
          <w:rFonts w:cs="Arial"/>
          <w:szCs w:val="22"/>
        </w:rPr>
        <w:t xml:space="preserve"> </w:t>
      </w:r>
      <w:r w:rsidR="00A37974" w:rsidRPr="00A37974">
        <w:rPr>
          <w:rFonts w:cs="Arial"/>
          <w:szCs w:val="22"/>
        </w:rPr>
        <w:t>des États-Unis</w:t>
      </w:r>
      <w:r w:rsidRPr="009A78E3">
        <w:rPr>
          <w:rFonts w:cs="Arial"/>
          <w:szCs w:val="22"/>
        </w:rPr>
        <w:t xml:space="preserve">) et le Bureau (pour les demandes inférieures à 100 000 dollars </w:t>
      </w:r>
      <w:r w:rsidR="00A37974" w:rsidRPr="00A37974">
        <w:rPr>
          <w:rFonts w:cs="Arial"/>
          <w:szCs w:val="22"/>
        </w:rPr>
        <w:t xml:space="preserve">des États-Unis </w:t>
      </w:r>
      <w:r w:rsidRPr="009A78E3">
        <w:rPr>
          <w:rFonts w:cs="Arial"/>
          <w:szCs w:val="22"/>
        </w:rPr>
        <w:t>et les demandes d</w:t>
      </w:r>
      <w:r>
        <w:rPr>
          <w:rFonts w:cs="Arial"/>
          <w:szCs w:val="22"/>
        </w:rPr>
        <w:t>’</w:t>
      </w:r>
      <w:r w:rsidRPr="009A78E3">
        <w:rPr>
          <w:rFonts w:cs="Arial"/>
          <w:szCs w:val="22"/>
        </w:rPr>
        <w:t xml:space="preserve">urgence) ont approuvé </w:t>
      </w:r>
      <w:r w:rsidRPr="009A78E3">
        <w:rPr>
          <w:rFonts w:asciiTheme="minorBidi" w:hAnsiTheme="minorBidi" w:cstheme="minorBidi"/>
          <w:szCs w:val="22"/>
        </w:rPr>
        <w:t>vingt-huit demandes d</w:t>
      </w:r>
      <w:r>
        <w:rPr>
          <w:rFonts w:cs="Arial"/>
          <w:szCs w:val="22"/>
        </w:rPr>
        <w:t>’</w:t>
      </w:r>
      <w:r w:rsidRPr="009A78E3">
        <w:rPr>
          <w:rFonts w:cs="Arial"/>
          <w:szCs w:val="22"/>
        </w:rPr>
        <w:t>assistance internationale, pour un montant total de 3 041 879 dollars</w:t>
      </w:r>
      <w:r w:rsidR="00A37974" w:rsidRPr="00A37974">
        <w:t xml:space="preserve"> </w:t>
      </w:r>
      <w:r w:rsidR="00A37974" w:rsidRPr="00A37974">
        <w:rPr>
          <w:rFonts w:cs="Arial"/>
          <w:szCs w:val="22"/>
        </w:rPr>
        <w:t>des États-Unis</w:t>
      </w:r>
      <w:r w:rsidRPr="009A78E3">
        <w:rPr>
          <w:rFonts w:cs="Arial"/>
          <w:szCs w:val="22"/>
        </w:rPr>
        <w:t>. Au total, trente-quatre pays ont reçu une assistance financière du Fonds au cours de la période considérée.</w:t>
      </w:r>
    </w:p>
    <w:p w14:paraId="12A06A9A" w14:textId="5B90740A" w:rsidR="002B42E9" w:rsidRPr="008E1649" w:rsidRDefault="002B42E9" w:rsidP="002B42E9">
      <w:pPr>
        <w:pStyle w:val="Marge"/>
        <w:numPr>
          <w:ilvl w:val="0"/>
          <w:numId w:val="21"/>
        </w:numPr>
        <w:tabs>
          <w:tab w:val="num" w:pos="567"/>
        </w:tabs>
        <w:spacing w:before="120" w:after="120"/>
        <w:ind w:left="567" w:hanging="567"/>
        <w:rPr>
          <w:rFonts w:cs="Arial"/>
          <w:szCs w:val="22"/>
        </w:rPr>
      </w:pPr>
      <w:r w:rsidRPr="009A78E3">
        <w:rPr>
          <w:rFonts w:cs="Arial"/>
          <w:szCs w:val="22"/>
        </w:rPr>
        <w:t>Dans le contexte de la guerre en cours en Ukraine, la cinquième session extraordinaire du Comité a décidé d</w:t>
      </w:r>
      <w:r>
        <w:rPr>
          <w:rFonts w:cs="Arial"/>
          <w:szCs w:val="22"/>
        </w:rPr>
        <w:t>’</w:t>
      </w:r>
      <w:r w:rsidRPr="009A78E3">
        <w:rPr>
          <w:rFonts w:cs="Arial"/>
          <w:szCs w:val="22"/>
        </w:rPr>
        <w:t xml:space="preserve">inscrire </w:t>
      </w:r>
      <w:r w:rsidR="00A37974">
        <w:rPr>
          <w:rFonts w:cs="Arial"/>
          <w:szCs w:val="22"/>
        </w:rPr>
        <w:t>« </w:t>
      </w:r>
      <w:r w:rsidRPr="009A78E3">
        <w:rPr>
          <w:rFonts w:cs="Arial"/>
          <w:szCs w:val="22"/>
        </w:rPr>
        <w:t xml:space="preserve">la </w:t>
      </w:r>
      <w:r w:rsidR="00A37974">
        <w:rPr>
          <w:rFonts w:cs="Arial"/>
          <w:szCs w:val="22"/>
        </w:rPr>
        <w:t>c</w:t>
      </w:r>
      <w:r w:rsidRPr="009A78E3">
        <w:rPr>
          <w:rFonts w:cs="Arial"/>
          <w:szCs w:val="22"/>
        </w:rPr>
        <w:t>ulture de la</w:t>
      </w:r>
      <w:r w:rsidR="00A37974">
        <w:rPr>
          <w:rFonts w:cs="Arial"/>
          <w:szCs w:val="22"/>
        </w:rPr>
        <w:t xml:space="preserve"> préparation du bortsch ukrainien</w:t>
      </w:r>
      <w:r>
        <w:rPr>
          <w:rFonts w:cs="Arial"/>
          <w:szCs w:val="22"/>
        </w:rPr>
        <w:t> »</w:t>
      </w:r>
      <w:r w:rsidRPr="009A78E3">
        <w:rPr>
          <w:rFonts w:cs="Arial"/>
          <w:szCs w:val="22"/>
        </w:rPr>
        <w:t xml:space="preserve"> sur la Liste de sauvegarde urgente, en tant que question d</w:t>
      </w:r>
      <w:r>
        <w:rPr>
          <w:rFonts w:cs="Arial"/>
          <w:szCs w:val="22"/>
        </w:rPr>
        <w:t>’</w:t>
      </w:r>
      <w:r w:rsidRPr="009A78E3">
        <w:rPr>
          <w:rFonts w:cs="Arial"/>
          <w:szCs w:val="22"/>
        </w:rPr>
        <w:t>extrême urgence par la première application de l</w:t>
      </w:r>
      <w:r>
        <w:rPr>
          <w:rFonts w:cs="Arial"/>
          <w:szCs w:val="22"/>
        </w:rPr>
        <w:t>’</w:t>
      </w:r>
      <w:r w:rsidRPr="009A78E3">
        <w:rPr>
          <w:rFonts w:cs="Arial"/>
          <w:szCs w:val="22"/>
        </w:rPr>
        <w:t xml:space="preserve">article 17.3 de la Convention (Décision </w:t>
      </w:r>
      <w:hyperlink r:id="rId26" w:history="1">
        <w:r w:rsidRPr="008E1649">
          <w:rPr>
            <w:rStyle w:val="Lienhypertexte"/>
            <w:rFonts w:cs="Arial"/>
            <w:szCs w:val="22"/>
          </w:rPr>
          <w:t>5.EXT.C</w:t>
        </w:r>
        <w:r w:rsidRPr="008E1649">
          <w:rPr>
            <w:rStyle w:val="Lienhypertexte"/>
            <w:rFonts w:cs="Arial"/>
            <w:szCs w:val="22"/>
          </w:rPr>
          <w:t>O</w:t>
        </w:r>
        <w:r w:rsidRPr="008E1649">
          <w:rPr>
            <w:rStyle w:val="Lienhypertexte"/>
            <w:rFonts w:cs="Arial"/>
            <w:szCs w:val="22"/>
          </w:rPr>
          <w:t>M 5</w:t>
        </w:r>
      </w:hyperlink>
      <w:r w:rsidRPr="008E1649">
        <w:rPr>
          <w:rFonts w:cs="Arial"/>
          <w:szCs w:val="22"/>
        </w:rPr>
        <w:t xml:space="preserve">). Le traitement rapide de la demande, dans les dix semaines suivant sa réception, démontre la capacité du Comité à répondre conformément aux </w:t>
      </w:r>
      <w:r w:rsidR="00A37974" w:rsidRPr="008E1649">
        <w:rPr>
          <w:rFonts w:cs="Arial"/>
          <w:szCs w:val="22"/>
        </w:rPr>
        <w:t>principes et modalités</w:t>
      </w:r>
      <w:r w:rsidRPr="008E1649">
        <w:rPr>
          <w:rFonts w:cs="Arial"/>
          <w:szCs w:val="22"/>
        </w:rPr>
        <w:t xml:space="preserve"> opérationnels </w:t>
      </w:r>
      <w:r w:rsidR="00A37974" w:rsidRPr="008E1649">
        <w:rPr>
          <w:rFonts w:cs="Arial"/>
          <w:szCs w:val="22"/>
        </w:rPr>
        <w:t>pour la</w:t>
      </w:r>
      <w:r w:rsidRPr="008E1649">
        <w:rPr>
          <w:rFonts w:cs="Arial"/>
          <w:szCs w:val="22"/>
        </w:rPr>
        <w:t xml:space="preserve"> sauvegarde du patrimoine culturel immatériel en situation</w:t>
      </w:r>
      <w:r w:rsidR="00A37974" w:rsidRPr="008E1649">
        <w:rPr>
          <w:rFonts w:cs="Arial"/>
          <w:szCs w:val="22"/>
        </w:rPr>
        <w:t>s</w:t>
      </w:r>
      <w:r w:rsidRPr="008E1649">
        <w:rPr>
          <w:rFonts w:cs="Arial"/>
          <w:szCs w:val="22"/>
        </w:rPr>
        <w:t xml:space="preserve"> d’urgence.</w:t>
      </w:r>
    </w:p>
    <w:p w14:paraId="2F2646F3" w14:textId="126CCE90" w:rsidR="002B42E9" w:rsidRPr="008E1649" w:rsidRDefault="002B42E9" w:rsidP="002B42E9">
      <w:pPr>
        <w:pStyle w:val="Marge"/>
        <w:numPr>
          <w:ilvl w:val="0"/>
          <w:numId w:val="21"/>
        </w:numPr>
        <w:tabs>
          <w:tab w:val="num" w:pos="567"/>
        </w:tabs>
        <w:spacing w:before="120" w:after="120"/>
        <w:ind w:left="567" w:hanging="567"/>
        <w:rPr>
          <w:rFonts w:asciiTheme="minorBidi" w:hAnsiTheme="minorBidi"/>
          <w:szCs w:val="22"/>
        </w:rPr>
      </w:pPr>
      <w:r w:rsidRPr="00E30A65">
        <w:rPr>
          <w:rFonts w:cs="Arial"/>
          <w:szCs w:val="22"/>
        </w:rPr>
        <w:t xml:space="preserve">La période </w:t>
      </w:r>
      <w:r w:rsidR="00A37974" w:rsidRPr="00E30A65">
        <w:rPr>
          <w:rFonts w:cs="Arial"/>
          <w:szCs w:val="22"/>
        </w:rPr>
        <w:t>considérée</w:t>
      </w:r>
      <w:r w:rsidRPr="00E30A65">
        <w:rPr>
          <w:rFonts w:cs="Arial"/>
          <w:szCs w:val="22"/>
        </w:rPr>
        <w:t xml:space="preserve"> a vu la conclusion de la réflexion globale sur les mécanismes d’inscription sur la liste. </w:t>
      </w:r>
      <w:r w:rsidR="00AC311E" w:rsidRPr="00E30A65">
        <w:rPr>
          <w:rFonts w:cs="Arial"/>
          <w:szCs w:val="22"/>
        </w:rPr>
        <w:t>À la s</w:t>
      </w:r>
      <w:r w:rsidRPr="00E30A65">
        <w:rPr>
          <w:rFonts w:cs="Arial"/>
          <w:szCs w:val="22"/>
        </w:rPr>
        <w:t xml:space="preserve">uite </w:t>
      </w:r>
      <w:r w:rsidR="00AC311E" w:rsidRPr="00E30A65">
        <w:rPr>
          <w:rFonts w:cs="Arial"/>
          <w:szCs w:val="22"/>
        </w:rPr>
        <w:t>d’</w:t>
      </w:r>
      <w:r w:rsidRPr="00E30A65">
        <w:rPr>
          <w:rFonts w:cs="Arial"/>
          <w:szCs w:val="22"/>
        </w:rPr>
        <w:t xml:space="preserve">une réunion d’experts et </w:t>
      </w:r>
      <w:r w:rsidR="00AC311E" w:rsidRPr="00E30A65">
        <w:rPr>
          <w:rFonts w:cs="Arial"/>
          <w:szCs w:val="22"/>
        </w:rPr>
        <w:t>de</w:t>
      </w:r>
      <w:r w:rsidRPr="00E30A65">
        <w:rPr>
          <w:rFonts w:cs="Arial"/>
          <w:szCs w:val="22"/>
        </w:rPr>
        <w:t xml:space="preserve"> la réunion en trois parties du</w:t>
      </w:r>
      <w:r w:rsidRPr="008E1649">
        <w:rPr>
          <w:rFonts w:asciiTheme="minorBidi" w:hAnsiTheme="minorBidi" w:cstheme="minorBidi"/>
        </w:rPr>
        <w:t xml:space="preserve"> groupe de travail intergouvernemental à composition non limitée (y compris la réunion de la partie III, en ligne</w:t>
      </w:r>
      <w:r w:rsidR="009427B2">
        <w:rPr>
          <w:rFonts w:asciiTheme="minorBidi" w:hAnsiTheme="minorBidi" w:cstheme="minorBidi"/>
        </w:rPr>
        <w:t>,</w:t>
      </w:r>
      <w:r w:rsidRPr="008E1649">
        <w:rPr>
          <w:rFonts w:asciiTheme="minorBidi" w:hAnsiTheme="minorBidi" w:cstheme="minorBidi"/>
        </w:rPr>
        <w:t xml:space="preserve"> les 25 et 26 avril 2022), la neuvième session de l’Assemblée générale en juillet 2022 a examiné les recommandations du groupe de travail et a approuvé les amendements aux </w:t>
      </w:r>
      <w:r w:rsidR="00AC311E" w:rsidRPr="008E1649">
        <w:rPr>
          <w:rFonts w:asciiTheme="minorBidi" w:hAnsiTheme="minorBidi" w:cstheme="minorBidi"/>
        </w:rPr>
        <w:t>D</w:t>
      </w:r>
      <w:r w:rsidRPr="008E1649">
        <w:rPr>
          <w:rFonts w:asciiTheme="minorBidi" w:hAnsiTheme="minorBidi" w:cstheme="minorBidi"/>
        </w:rPr>
        <w:t xml:space="preserve">irectives opérationnelles (Résolution </w:t>
      </w:r>
      <w:hyperlink r:id="rId27" w:history="1">
        <w:r w:rsidRPr="008E1649">
          <w:rPr>
            <w:rStyle w:val="Lienhypertexte"/>
            <w:rFonts w:asciiTheme="minorBidi" w:hAnsiTheme="minorBidi" w:cstheme="minorBidi"/>
          </w:rPr>
          <w:t>9.</w:t>
        </w:r>
        <w:r w:rsidRPr="008E1649">
          <w:rPr>
            <w:rStyle w:val="Lienhypertexte"/>
            <w:rFonts w:asciiTheme="minorBidi" w:hAnsiTheme="minorBidi" w:cstheme="minorBidi"/>
          </w:rPr>
          <w:t>G</w:t>
        </w:r>
        <w:r w:rsidRPr="008E1649">
          <w:rPr>
            <w:rStyle w:val="Lienhypertexte"/>
            <w:rFonts w:asciiTheme="minorBidi" w:hAnsiTheme="minorBidi" w:cstheme="minorBidi"/>
          </w:rPr>
          <w:t>A 9</w:t>
        </w:r>
      </w:hyperlink>
      <w:r w:rsidRPr="008E1649">
        <w:rPr>
          <w:rFonts w:asciiTheme="minorBidi" w:hAnsiTheme="minorBidi" w:cstheme="minorBidi"/>
        </w:rPr>
        <w:t>) approuvés par la seizième session du Comité (</w:t>
      </w:r>
      <w:r w:rsidRPr="008E1649">
        <w:rPr>
          <w:rFonts w:eastAsia="SimSun"/>
        </w:rPr>
        <w:t xml:space="preserve">Décision </w:t>
      </w:r>
      <w:hyperlink r:id="rId28" w:history="1">
        <w:r w:rsidRPr="008E1649">
          <w:rPr>
            <w:rStyle w:val="Lienhypertexte"/>
            <w:rFonts w:asciiTheme="minorBidi" w:eastAsia="SimSun" w:hAnsiTheme="minorBidi" w:cstheme="minorBidi"/>
            <w:snapToGrid/>
            <w:lang w:bidi="en-US"/>
          </w:rPr>
          <w:t>16.CO</w:t>
        </w:r>
        <w:r w:rsidRPr="008E1649">
          <w:rPr>
            <w:rStyle w:val="Lienhypertexte"/>
            <w:rFonts w:asciiTheme="minorBidi" w:eastAsia="SimSun" w:hAnsiTheme="minorBidi" w:cstheme="minorBidi"/>
            <w:snapToGrid/>
            <w:lang w:bidi="en-US"/>
          </w:rPr>
          <w:t>M</w:t>
        </w:r>
        <w:r w:rsidRPr="008E1649">
          <w:rPr>
            <w:rStyle w:val="Lienhypertexte"/>
            <w:rFonts w:asciiTheme="minorBidi" w:eastAsia="SimSun" w:hAnsiTheme="minorBidi" w:cstheme="minorBidi"/>
            <w:snapToGrid/>
            <w:lang w:bidi="en-US"/>
          </w:rPr>
          <w:t xml:space="preserve"> 14</w:t>
        </w:r>
      </w:hyperlink>
      <w:r w:rsidRPr="008E1649">
        <w:rPr>
          <w:rStyle w:val="Lienhypertexte"/>
          <w:rFonts w:asciiTheme="minorBidi" w:eastAsia="SimSun" w:hAnsiTheme="minorBidi" w:cstheme="minorBidi"/>
          <w:snapToGrid/>
          <w:lang w:bidi="en-US"/>
        </w:rPr>
        <w:t xml:space="preserve">) </w:t>
      </w:r>
      <w:r w:rsidRPr="008E1649">
        <w:rPr>
          <w:rFonts w:asciiTheme="minorBidi" w:hAnsiTheme="minorBidi" w:cstheme="minorBidi"/>
        </w:rPr>
        <w:t>et la cinquième session extraordinaire du Comité (</w:t>
      </w:r>
      <w:r w:rsidR="000A36AA" w:rsidRPr="00E30A65">
        <w:t xml:space="preserve">Décision </w:t>
      </w:r>
      <w:hyperlink r:id="rId29" w:history="1">
        <w:r w:rsidR="000A36AA" w:rsidRPr="000A36AA">
          <w:rPr>
            <w:rStyle w:val="Lienhypertexte"/>
            <w:rFonts w:asciiTheme="minorBidi" w:hAnsiTheme="minorBidi" w:cstheme="minorBidi"/>
          </w:rPr>
          <w:t>5.EX</w:t>
        </w:r>
        <w:r w:rsidR="000A36AA" w:rsidRPr="000A36AA">
          <w:rPr>
            <w:rStyle w:val="Lienhypertexte"/>
            <w:rFonts w:asciiTheme="minorBidi" w:hAnsiTheme="minorBidi" w:cstheme="minorBidi"/>
          </w:rPr>
          <w:t>T</w:t>
        </w:r>
        <w:r w:rsidR="000A36AA" w:rsidRPr="000A36AA">
          <w:rPr>
            <w:rStyle w:val="Lienhypertexte"/>
            <w:rFonts w:asciiTheme="minorBidi" w:hAnsiTheme="minorBidi" w:cstheme="minorBidi"/>
          </w:rPr>
          <w:t>.COM 4</w:t>
        </w:r>
      </w:hyperlink>
      <w:r w:rsidRPr="008E1649">
        <w:rPr>
          <w:rFonts w:asciiTheme="minorBidi" w:hAnsiTheme="minorBidi" w:cstheme="minorBidi"/>
        </w:rPr>
        <w:t xml:space="preserve">). Concrètement, la réforme a établi, entre autres ajustements, les procédures </w:t>
      </w:r>
      <w:r w:rsidR="00E76EDC">
        <w:rPr>
          <w:rFonts w:asciiTheme="minorBidi" w:hAnsiTheme="minorBidi" w:cstheme="minorBidi"/>
        </w:rPr>
        <w:t>pour le</w:t>
      </w:r>
      <w:r w:rsidRPr="008E1649">
        <w:rPr>
          <w:rFonts w:asciiTheme="minorBidi" w:hAnsiTheme="minorBidi" w:cstheme="minorBidi"/>
        </w:rPr>
        <w:t xml:space="preserve"> transfert d’éléments entre les </w:t>
      </w:r>
      <w:r w:rsidR="00AC311E" w:rsidRPr="008E1649">
        <w:rPr>
          <w:rFonts w:asciiTheme="minorBidi" w:hAnsiTheme="minorBidi" w:cstheme="minorBidi"/>
        </w:rPr>
        <w:t>L</w:t>
      </w:r>
      <w:r w:rsidRPr="008E1649">
        <w:rPr>
          <w:rFonts w:asciiTheme="minorBidi" w:hAnsiTheme="minorBidi" w:cstheme="minorBidi"/>
        </w:rPr>
        <w:t xml:space="preserve">istes et </w:t>
      </w:r>
      <w:r w:rsidR="00E76EDC">
        <w:rPr>
          <w:rFonts w:asciiTheme="minorBidi" w:hAnsiTheme="minorBidi" w:cstheme="minorBidi"/>
        </w:rPr>
        <w:t>l</w:t>
      </w:r>
      <w:r w:rsidRPr="008E1649">
        <w:rPr>
          <w:rFonts w:asciiTheme="minorBidi" w:hAnsiTheme="minorBidi" w:cstheme="minorBidi"/>
        </w:rPr>
        <w:t xml:space="preserve">’inscription d’éléments sur une base </w:t>
      </w:r>
      <w:r w:rsidR="00E76EDC">
        <w:rPr>
          <w:rFonts w:asciiTheme="minorBidi" w:hAnsiTheme="minorBidi" w:cstheme="minorBidi"/>
        </w:rPr>
        <w:t>élargie</w:t>
      </w:r>
      <w:r w:rsidR="00E76EDC" w:rsidRPr="008E1649">
        <w:rPr>
          <w:rFonts w:asciiTheme="minorBidi" w:hAnsiTheme="minorBidi" w:cstheme="minorBidi"/>
        </w:rPr>
        <w:t xml:space="preserve"> </w:t>
      </w:r>
      <w:r w:rsidRPr="008E1649">
        <w:rPr>
          <w:rFonts w:asciiTheme="minorBidi" w:hAnsiTheme="minorBidi" w:cstheme="minorBidi"/>
        </w:rPr>
        <w:t xml:space="preserve">ou réduite aux niveaux national et international, ainsi que la procédure de retrait d’un élément de l’une des </w:t>
      </w:r>
      <w:r w:rsidR="008E1649" w:rsidRPr="00E30A65">
        <w:rPr>
          <w:rFonts w:asciiTheme="minorBidi" w:hAnsiTheme="minorBidi" w:cstheme="minorBidi"/>
        </w:rPr>
        <w:t>L</w:t>
      </w:r>
      <w:r w:rsidRPr="008E1649">
        <w:rPr>
          <w:rFonts w:asciiTheme="minorBidi" w:hAnsiTheme="minorBidi" w:cstheme="minorBidi"/>
        </w:rPr>
        <w:t>istes et un mécanisme de suivi pour un élément actuellement inscrit.</w:t>
      </w:r>
    </w:p>
    <w:p w14:paraId="65261340" w14:textId="119CAC69" w:rsidR="002E2F53" w:rsidRPr="00E30A65" w:rsidRDefault="002B42E9" w:rsidP="00E30A65">
      <w:pPr>
        <w:pStyle w:val="Marge"/>
        <w:numPr>
          <w:ilvl w:val="0"/>
          <w:numId w:val="21"/>
        </w:numPr>
        <w:tabs>
          <w:tab w:val="clear" w:pos="567"/>
        </w:tabs>
        <w:spacing w:before="120" w:after="120"/>
        <w:ind w:left="567" w:hanging="567"/>
        <w:rPr>
          <w:rFonts w:cs="Arial"/>
          <w:szCs w:val="22"/>
        </w:rPr>
      </w:pPr>
      <w:r w:rsidRPr="009A78E3">
        <w:rPr>
          <w:rFonts w:cs="Arial"/>
          <w:szCs w:val="22"/>
        </w:rPr>
        <w:t>Appliquant la procédure de retrait nouvellement établie</w:t>
      </w:r>
      <w:r w:rsidR="00E76EDC" w:rsidRPr="00E76EDC">
        <w:rPr>
          <w:rFonts w:cs="Arial"/>
          <w:szCs w:val="22"/>
        </w:rPr>
        <w:t xml:space="preserve"> </w:t>
      </w:r>
      <w:r w:rsidR="00E76EDC" w:rsidRPr="009A78E3">
        <w:rPr>
          <w:rFonts w:cs="Arial"/>
          <w:szCs w:val="22"/>
        </w:rPr>
        <w:t>pour la première fois</w:t>
      </w:r>
      <w:r w:rsidRPr="009A78E3">
        <w:rPr>
          <w:rFonts w:cs="Arial"/>
          <w:szCs w:val="22"/>
        </w:rPr>
        <w:t xml:space="preserve">, le 17.COM a décidé de retirer la </w:t>
      </w:r>
      <w:r>
        <w:rPr>
          <w:rFonts w:cs="Arial"/>
          <w:szCs w:val="22"/>
        </w:rPr>
        <w:t>« </w:t>
      </w:r>
      <w:r w:rsidRPr="009A78E3">
        <w:rPr>
          <w:rFonts w:cs="Arial"/>
          <w:szCs w:val="22"/>
        </w:rPr>
        <w:t>Ducasse d</w:t>
      </w:r>
      <w:r>
        <w:rPr>
          <w:rFonts w:cs="Arial"/>
          <w:szCs w:val="22"/>
        </w:rPr>
        <w:t>’</w:t>
      </w:r>
      <w:r w:rsidRPr="009A78E3">
        <w:rPr>
          <w:rFonts w:cs="Arial"/>
          <w:szCs w:val="22"/>
        </w:rPr>
        <w:t>Ath</w:t>
      </w:r>
      <w:r>
        <w:rPr>
          <w:rFonts w:cs="Arial"/>
          <w:szCs w:val="22"/>
        </w:rPr>
        <w:t> »</w:t>
      </w:r>
      <w:r w:rsidRPr="009A78E3">
        <w:rPr>
          <w:rFonts w:cs="Arial"/>
          <w:szCs w:val="22"/>
        </w:rPr>
        <w:t xml:space="preserve"> de l</w:t>
      </w:r>
      <w:r>
        <w:rPr>
          <w:rFonts w:cs="Arial"/>
          <w:szCs w:val="22"/>
        </w:rPr>
        <w:t>’</w:t>
      </w:r>
      <w:r w:rsidRPr="009A78E3">
        <w:rPr>
          <w:rFonts w:cs="Arial"/>
          <w:szCs w:val="22"/>
        </w:rPr>
        <w:t xml:space="preserve">élément </w:t>
      </w:r>
      <w:r>
        <w:rPr>
          <w:rFonts w:cs="Arial"/>
          <w:szCs w:val="22"/>
        </w:rPr>
        <w:t>« </w:t>
      </w:r>
      <w:r w:rsidRPr="009A78E3">
        <w:rPr>
          <w:rFonts w:cs="Arial"/>
          <w:szCs w:val="22"/>
        </w:rPr>
        <w:t xml:space="preserve">Géants et dragons processionnels en Belgique et </w:t>
      </w:r>
      <w:r w:rsidR="00FC66FC">
        <w:rPr>
          <w:rFonts w:cs="Arial"/>
          <w:szCs w:val="22"/>
        </w:rPr>
        <w:t>de</w:t>
      </w:r>
      <w:r w:rsidRPr="009A78E3">
        <w:rPr>
          <w:rFonts w:cs="Arial"/>
          <w:szCs w:val="22"/>
        </w:rPr>
        <w:t xml:space="preserve"> </w:t>
      </w:r>
      <w:r>
        <w:rPr>
          <w:rFonts w:cs="Arial"/>
          <w:szCs w:val="22"/>
        </w:rPr>
        <w:t>France »</w:t>
      </w:r>
      <w:r w:rsidRPr="009A78E3">
        <w:rPr>
          <w:rFonts w:cs="Arial"/>
          <w:szCs w:val="22"/>
        </w:rPr>
        <w:t xml:space="preserve"> (Belgique et France) de la Liste représentative (</w:t>
      </w:r>
      <w:r w:rsidR="00E62EFC">
        <w:rPr>
          <w:rFonts w:cs="Arial"/>
          <w:szCs w:val="22"/>
        </w:rPr>
        <w:t>D</w:t>
      </w:r>
      <w:r w:rsidRPr="009A78E3">
        <w:rPr>
          <w:rFonts w:cs="Arial"/>
          <w:szCs w:val="22"/>
        </w:rPr>
        <w:t xml:space="preserve">écision </w:t>
      </w:r>
      <w:hyperlink r:id="rId30" w:history="1">
        <w:r w:rsidRPr="009A78E3">
          <w:rPr>
            <w:rStyle w:val="Lienhypertexte"/>
            <w:rFonts w:cs="Arial"/>
            <w:szCs w:val="22"/>
          </w:rPr>
          <w:t>17.C</w:t>
        </w:r>
        <w:r w:rsidRPr="009A78E3">
          <w:rPr>
            <w:rStyle w:val="Lienhypertexte"/>
            <w:rFonts w:cs="Arial"/>
            <w:szCs w:val="22"/>
          </w:rPr>
          <w:t>O</w:t>
        </w:r>
        <w:r w:rsidRPr="009A78E3">
          <w:rPr>
            <w:rStyle w:val="Lienhypertexte"/>
            <w:rFonts w:cs="Arial"/>
            <w:szCs w:val="22"/>
          </w:rPr>
          <w:t>M 8.a</w:t>
        </w:r>
      </w:hyperlink>
      <w:r>
        <w:rPr>
          <w:rFonts w:cs="Arial"/>
          <w:szCs w:val="22"/>
        </w:rPr>
        <w:t> </w:t>
      </w:r>
      <w:r w:rsidRPr="009A78E3">
        <w:rPr>
          <w:rFonts w:cs="Arial"/>
          <w:szCs w:val="22"/>
        </w:rPr>
        <w:t xml:space="preserve">; </w:t>
      </w:r>
      <w:r w:rsidRPr="00C13C02">
        <w:rPr>
          <w:rFonts w:cs="Arial"/>
          <w:szCs w:val="22"/>
        </w:rPr>
        <w:t xml:space="preserve">document </w:t>
      </w:r>
      <w:hyperlink r:id="rId31" w:history="1">
        <w:r w:rsidRPr="00C13C02">
          <w:rPr>
            <w:rStyle w:val="Lienhypertexte"/>
            <w:rFonts w:cs="Arial"/>
            <w:szCs w:val="22"/>
          </w:rPr>
          <w:t>LHE/22/17.CO</w:t>
        </w:r>
        <w:r w:rsidRPr="00C13C02">
          <w:rPr>
            <w:rStyle w:val="Lienhypertexte"/>
            <w:rFonts w:cs="Arial"/>
            <w:szCs w:val="22"/>
          </w:rPr>
          <w:t>M</w:t>
        </w:r>
        <w:r w:rsidRPr="00C13C02">
          <w:rPr>
            <w:rStyle w:val="Lienhypertexte"/>
            <w:rFonts w:cs="Arial"/>
            <w:szCs w:val="22"/>
          </w:rPr>
          <w:t xml:space="preserve"> 8</w:t>
        </w:r>
      </w:hyperlink>
      <w:r w:rsidRPr="00C13C02">
        <w:rPr>
          <w:rFonts w:cs="Arial"/>
          <w:szCs w:val="22"/>
        </w:rPr>
        <w:t>). Le</w:t>
      </w:r>
      <w:r w:rsidRPr="009A78E3">
        <w:rPr>
          <w:rFonts w:cs="Arial"/>
          <w:szCs w:val="22"/>
        </w:rPr>
        <w:t xml:space="preserve"> Comité a considéré que les allégations de racisme et </w:t>
      </w:r>
      <w:r w:rsidRPr="009A78E3">
        <w:rPr>
          <w:rFonts w:cs="Arial"/>
          <w:szCs w:val="22"/>
        </w:rPr>
        <w:lastRenderedPageBreak/>
        <w:t xml:space="preserve">de discrimination soulevées en relation avec le personnage du </w:t>
      </w:r>
      <w:r>
        <w:rPr>
          <w:rFonts w:cs="Arial"/>
          <w:szCs w:val="22"/>
        </w:rPr>
        <w:t>« </w:t>
      </w:r>
      <w:r w:rsidRPr="009A78E3">
        <w:rPr>
          <w:rFonts w:cs="Arial"/>
          <w:szCs w:val="22"/>
        </w:rPr>
        <w:t>Sauvage</w:t>
      </w:r>
      <w:r>
        <w:rPr>
          <w:rFonts w:cs="Arial"/>
          <w:szCs w:val="22"/>
        </w:rPr>
        <w:t> »</w:t>
      </w:r>
      <w:r w:rsidRPr="009A78E3">
        <w:rPr>
          <w:rFonts w:cs="Arial"/>
          <w:szCs w:val="22"/>
        </w:rPr>
        <w:t xml:space="preserve"> constituaient une question </w:t>
      </w:r>
      <w:r w:rsidR="00E76EDC">
        <w:rPr>
          <w:rFonts w:cs="Arial"/>
          <w:szCs w:val="22"/>
        </w:rPr>
        <w:t>extrêmement grave</w:t>
      </w:r>
      <w:r w:rsidRPr="009A78E3">
        <w:rPr>
          <w:rFonts w:cs="Arial"/>
          <w:szCs w:val="22"/>
        </w:rPr>
        <w:t>, qui devait être traitée car elles touchaient aux principes fondateurs de l</w:t>
      </w:r>
      <w:r>
        <w:rPr>
          <w:rFonts w:cs="Arial"/>
          <w:szCs w:val="22"/>
        </w:rPr>
        <w:t>’</w:t>
      </w:r>
      <w:r w:rsidRPr="009A78E3">
        <w:rPr>
          <w:rFonts w:cs="Arial"/>
          <w:szCs w:val="22"/>
        </w:rPr>
        <w:t>UNESCO de dignité, d</w:t>
      </w:r>
      <w:r>
        <w:rPr>
          <w:rFonts w:cs="Arial"/>
          <w:szCs w:val="22"/>
        </w:rPr>
        <w:t>’</w:t>
      </w:r>
      <w:r w:rsidRPr="009A78E3">
        <w:rPr>
          <w:rFonts w:cs="Arial"/>
          <w:szCs w:val="22"/>
        </w:rPr>
        <w:t>égalité et de respect mutuel entre les peuples, tels que reflétés dans le préambule de l</w:t>
      </w:r>
      <w:r>
        <w:rPr>
          <w:rFonts w:cs="Arial"/>
          <w:szCs w:val="22"/>
        </w:rPr>
        <w:t>’</w:t>
      </w:r>
      <w:r w:rsidRPr="009A78E3">
        <w:rPr>
          <w:rFonts w:cs="Arial"/>
          <w:szCs w:val="22"/>
        </w:rPr>
        <w:t>Acte constitutif de l</w:t>
      </w:r>
      <w:r>
        <w:rPr>
          <w:rFonts w:cs="Arial"/>
          <w:szCs w:val="22"/>
        </w:rPr>
        <w:t>’</w:t>
      </w:r>
      <w:r w:rsidRPr="009A78E3">
        <w:rPr>
          <w:rFonts w:cs="Arial"/>
          <w:szCs w:val="22"/>
        </w:rPr>
        <w:t>Organisation, ainsi qu</w:t>
      </w:r>
      <w:r>
        <w:rPr>
          <w:rFonts w:cs="Arial"/>
          <w:szCs w:val="22"/>
        </w:rPr>
        <w:t>’</w:t>
      </w:r>
      <w:r w:rsidRPr="009A78E3">
        <w:rPr>
          <w:rFonts w:cs="Arial"/>
          <w:szCs w:val="22"/>
        </w:rPr>
        <w:t>à l</w:t>
      </w:r>
      <w:r>
        <w:rPr>
          <w:rFonts w:cs="Arial"/>
          <w:szCs w:val="22"/>
        </w:rPr>
        <w:t>’</w:t>
      </w:r>
      <w:r w:rsidRPr="009A78E3">
        <w:rPr>
          <w:rFonts w:cs="Arial"/>
          <w:szCs w:val="22"/>
        </w:rPr>
        <w:t>exigence de respect mutuel entre les communautés, les groupes et les individus, comme stipulé à l</w:t>
      </w:r>
      <w:r>
        <w:rPr>
          <w:rFonts w:cs="Arial"/>
          <w:szCs w:val="22"/>
        </w:rPr>
        <w:t>’</w:t>
      </w:r>
      <w:r w:rsidRPr="009A78E3">
        <w:rPr>
          <w:rFonts w:cs="Arial"/>
          <w:szCs w:val="22"/>
        </w:rPr>
        <w:t xml:space="preserve">article 2 de la Convention. </w:t>
      </w:r>
    </w:p>
    <w:sectPr w:rsidR="002E2F53" w:rsidRPr="00E30A65" w:rsidSect="00655736">
      <w:headerReference w:type="even" r:id="rId32"/>
      <w:headerReference w:type="default" r:id="rId33"/>
      <w:headerReference w:type="first" r:id="rId3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410C" w14:textId="77777777" w:rsidR="00993211" w:rsidRDefault="00993211" w:rsidP="00655736">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14E5990E" w:rsidR="006B5001" w:rsidRPr="002E58D4" w:rsidRDefault="008F09EC" w:rsidP="00461168">
    <w:pPr>
      <w:pStyle w:val="En-tte"/>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8F5A4F">
      <w:rPr>
        <w:rFonts w:ascii="Arial" w:hAnsi="Arial" w:cs="Arial"/>
        <w:sz w:val="20"/>
        <w:szCs w:val="20"/>
        <w:lang w:val="en-US"/>
      </w:rPr>
      <w:t>3</w:t>
    </w:r>
    <w:r>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E9376C">
      <w:rPr>
        <w:rFonts w:ascii="Arial" w:hAnsi="Arial" w:cs="Arial"/>
        <w:sz w:val="20"/>
        <w:szCs w:val="20"/>
        <w:lang w:val="en-US"/>
      </w:rPr>
      <w:t>/</w:t>
    </w:r>
    <w:r w:rsidR="002B42E9">
      <w:rPr>
        <w:rFonts w:ascii="Arial" w:hAnsi="Arial" w:cs="Arial"/>
        <w:sz w:val="20"/>
        <w:szCs w:val="20"/>
        <w:lang w:val="en-US"/>
      </w:rPr>
      <w:t>20</w:t>
    </w:r>
    <w:r w:rsidR="00E9376C" w:rsidRPr="00EF563B">
      <w:rPr>
        <w:rFonts w:ascii="Arial" w:hAnsi="Arial" w:cs="Arial"/>
        <w:sz w:val="20"/>
        <w:szCs w:val="20"/>
        <w:lang w:val="en-US"/>
      </w:rPr>
      <w:t xml:space="preserve"> – page </w:t>
    </w:r>
    <w:r w:rsidR="00E9376C" w:rsidRPr="00EF563B">
      <w:rPr>
        <w:rStyle w:val="Numrodepage"/>
        <w:rFonts w:ascii="Arial" w:hAnsi="Arial" w:cs="Arial"/>
        <w:sz w:val="20"/>
        <w:szCs w:val="20"/>
      </w:rPr>
      <w:fldChar w:fldCharType="begin"/>
    </w:r>
    <w:r w:rsidR="00E9376C" w:rsidRPr="00EF563B">
      <w:rPr>
        <w:rStyle w:val="Numrodepage"/>
        <w:rFonts w:ascii="Arial" w:hAnsi="Arial" w:cs="Arial"/>
        <w:sz w:val="20"/>
        <w:szCs w:val="20"/>
        <w:lang w:val="en-US"/>
      </w:rPr>
      <w:instrText xml:space="preserve"> </w:instrText>
    </w:r>
    <w:r w:rsidR="00E9376C">
      <w:rPr>
        <w:rStyle w:val="Numrodepage"/>
        <w:rFonts w:ascii="Arial" w:hAnsi="Arial" w:cs="Arial"/>
        <w:sz w:val="20"/>
        <w:szCs w:val="20"/>
        <w:lang w:val="en-US"/>
      </w:rPr>
      <w:instrText>PAGE</w:instrText>
    </w:r>
    <w:r w:rsidR="00E9376C" w:rsidRPr="00EF563B">
      <w:rPr>
        <w:rStyle w:val="Numrodepage"/>
        <w:rFonts w:ascii="Arial" w:hAnsi="Arial" w:cs="Arial"/>
        <w:sz w:val="20"/>
        <w:szCs w:val="20"/>
        <w:lang w:val="en-US"/>
      </w:rPr>
      <w:instrText xml:space="preserve"> </w:instrText>
    </w:r>
    <w:r w:rsidR="00E9376C" w:rsidRPr="00EF563B">
      <w:rPr>
        <w:rStyle w:val="Numrodepage"/>
        <w:rFonts w:ascii="Arial" w:hAnsi="Arial" w:cs="Arial"/>
        <w:sz w:val="20"/>
        <w:szCs w:val="20"/>
      </w:rPr>
      <w:fldChar w:fldCharType="separate"/>
    </w:r>
    <w:r w:rsidR="009B223B">
      <w:rPr>
        <w:rStyle w:val="Numrodepage"/>
        <w:rFonts w:ascii="Arial" w:hAnsi="Arial" w:cs="Arial"/>
        <w:noProof/>
        <w:sz w:val="20"/>
        <w:szCs w:val="20"/>
        <w:lang w:val="en-US"/>
      </w:rPr>
      <w:t>2</w:t>
    </w:r>
    <w:r w:rsidR="00E9376C" w:rsidRPr="00EF563B">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32CD3081" w:rsidR="006B5001" w:rsidRPr="00BC3420" w:rsidRDefault="008F09EC" w:rsidP="00461168">
    <w:pPr>
      <w:pStyle w:val="En-tte"/>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8F5A4F">
      <w:rPr>
        <w:rFonts w:ascii="Arial" w:hAnsi="Arial" w:cs="Arial"/>
        <w:sz w:val="20"/>
        <w:szCs w:val="20"/>
        <w:lang w:val="en-US"/>
      </w:rPr>
      <w:t>3</w:t>
    </w:r>
    <w:r w:rsidR="00EF74E3">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2C0D14">
      <w:rPr>
        <w:rFonts w:ascii="Arial" w:hAnsi="Arial" w:cs="Arial"/>
        <w:sz w:val="20"/>
        <w:szCs w:val="20"/>
        <w:lang w:val="en-US"/>
      </w:rPr>
      <w:t>/</w:t>
    </w:r>
    <w:r w:rsidR="002B42E9">
      <w:rPr>
        <w:rFonts w:ascii="Arial" w:hAnsi="Arial" w:cs="Arial"/>
        <w:sz w:val="20"/>
        <w:szCs w:val="20"/>
        <w:lang w:val="en-US"/>
      </w:rPr>
      <w:t>20</w:t>
    </w:r>
    <w:r w:rsidR="002C0D14" w:rsidRPr="00EF563B">
      <w:rPr>
        <w:rFonts w:ascii="Arial" w:hAnsi="Arial" w:cs="Arial"/>
        <w:sz w:val="20"/>
        <w:szCs w:val="20"/>
        <w:lang w:val="en-US"/>
      </w:rPr>
      <w:t xml:space="preserve"> – page </w:t>
    </w:r>
    <w:r w:rsidR="002C0D14" w:rsidRPr="00EF563B">
      <w:rPr>
        <w:rStyle w:val="Numrodepage"/>
        <w:rFonts w:ascii="Arial" w:hAnsi="Arial" w:cs="Arial"/>
        <w:sz w:val="20"/>
        <w:szCs w:val="20"/>
      </w:rPr>
      <w:fldChar w:fldCharType="begin"/>
    </w:r>
    <w:r w:rsidR="002C0D14" w:rsidRPr="00EF563B">
      <w:rPr>
        <w:rStyle w:val="Numrodepage"/>
        <w:rFonts w:ascii="Arial" w:hAnsi="Arial" w:cs="Arial"/>
        <w:sz w:val="20"/>
        <w:szCs w:val="20"/>
        <w:lang w:val="en-US"/>
      </w:rPr>
      <w:instrText xml:space="preserve"> </w:instrText>
    </w:r>
    <w:r w:rsidR="002C0D14">
      <w:rPr>
        <w:rStyle w:val="Numrodepage"/>
        <w:rFonts w:ascii="Arial" w:hAnsi="Arial" w:cs="Arial"/>
        <w:sz w:val="20"/>
        <w:szCs w:val="20"/>
        <w:lang w:val="en-US"/>
      </w:rPr>
      <w:instrText>PAGE</w:instrText>
    </w:r>
    <w:r w:rsidR="002C0D14" w:rsidRPr="00EF563B">
      <w:rPr>
        <w:rStyle w:val="Numrodepage"/>
        <w:rFonts w:ascii="Arial" w:hAnsi="Arial" w:cs="Arial"/>
        <w:sz w:val="20"/>
        <w:szCs w:val="20"/>
        <w:lang w:val="en-US"/>
      </w:rPr>
      <w:instrText xml:space="preserve"> </w:instrText>
    </w:r>
    <w:r w:rsidR="002C0D14" w:rsidRPr="00EF563B">
      <w:rPr>
        <w:rStyle w:val="Numrodepage"/>
        <w:rFonts w:ascii="Arial" w:hAnsi="Arial" w:cs="Arial"/>
        <w:sz w:val="20"/>
        <w:szCs w:val="20"/>
      </w:rPr>
      <w:fldChar w:fldCharType="separate"/>
    </w:r>
    <w:r w:rsidR="007C354B">
      <w:rPr>
        <w:rStyle w:val="Numrodepage"/>
        <w:rFonts w:ascii="Arial" w:hAnsi="Arial" w:cs="Arial"/>
        <w:noProof/>
        <w:sz w:val="20"/>
        <w:szCs w:val="20"/>
        <w:lang w:val="en-US"/>
      </w:rPr>
      <w:t>3</w:t>
    </w:r>
    <w:r w:rsidR="002C0D14"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5A4" w14:textId="645F339E" w:rsidR="00E9376C" w:rsidRPr="008B64DF" w:rsidRDefault="00F84A0B">
    <w:pPr>
      <w:pStyle w:val="En-tte"/>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472EC1A3" w:rsidR="00E9376C" w:rsidRPr="00C318BF" w:rsidRDefault="00EA602C" w:rsidP="008F09EC">
    <w:pPr>
      <w:pStyle w:val="En-tte"/>
      <w:spacing w:after="520"/>
      <w:jc w:val="right"/>
      <w:rPr>
        <w:rFonts w:ascii="Arial" w:hAnsi="Arial" w:cs="Arial"/>
        <w:b/>
        <w:sz w:val="44"/>
        <w:szCs w:val="44"/>
        <w:lang w:val="pt-PT"/>
      </w:rPr>
    </w:pPr>
    <w:r w:rsidRPr="00C318BF">
      <w:rPr>
        <w:rFonts w:ascii="Arial" w:hAnsi="Arial" w:cs="Arial"/>
        <w:b/>
        <w:sz w:val="44"/>
        <w:szCs w:val="44"/>
        <w:lang w:val="pt-PT"/>
      </w:rPr>
      <w:t>1</w:t>
    </w:r>
    <w:r w:rsidR="008F5A4F">
      <w:rPr>
        <w:rFonts w:ascii="Arial" w:hAnsi="Arial" w:cs="Arial"/>
        <w:b/>
        <w:sz w:val="44"/>
        <w:szCs w:val="44"/>
        <w:lang w:val="pt-PT"/>
      </w:rPr>
      <w:t>8</w:t>
    </w:r>
    <w:r w:rsidR="00E9376C" w:rsidRPr="00C318BF">
      <w:rPr>
        <w:rFonts w:ascii="Arial" w:hAnsi="Arial" w:cs="Arial"/>
        <w:b/>
        <w:sz w:val="44"/>
        <w:szCs w:val="44"/>
        <w:lang w:val="pt-PT"/>
      </w:rPr>
      <w:t xml:space="preserve"> </w:t>
    </w:r>
    <w:r w:rsidR="00BC3420" w:rsidRPr="00C318BF">
      <w:rPr>
        <w:rFonts w:ascii="Arial" w:hAnsi="Arial" w:cs="Arial"/>
        <w:b/>
        <w:sz w:val="44"/>
        <w:szCs w:val="44"/>
        <w:lang w:val="pt-PT"/>
      </w:rPr>
      <w:t>COM</w:t>
    </w:r>
  </w:p>
  <w:p w14:paraId="4AD38C3D" w14:textId="50E71C01"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8F5A4F">
      <w:rPr>
        <w:rFonts w:ascii="Arial" w:hAnsi="Arial" w:cs="Arial"/>
        <w:b/>
        <w:sz w:val="22"/>
        <w:szCs w:val="22"/>
        <w:lang w:val="pt-PT"/>
      </w:rPr>
      <w:t>3</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8F5A4F">
      <w:rPr>
        <w:rFonts w:ascii="Arial" w:hAnsi="Arial" w:cs="Arial"/>
        <w:b/>
        <w:sz w:val="22"/>
        <w:szCs w:val="22"/>
        <w:lang w:val="pt-PT"/>
      </w:rPr>
      <w:t>8</w:t>
    </w:r>
    <w:r w:rsidR="00E9376C" w:rsidRPr="00C318BF">
      <w:rPr>
        <w:rFonts w:ascii="Arial" w:hAnsi="Arial" w:cs="Arial"/>
        <w:b/>
        <w:sz w:val="22"/>
        <w:szCs w:val="22"/>
        <w:lang w:val="pt-PT"/>
      </w:rPr>
      <w:t>.</w:t>
    </w:r>
    <w:r w:rsidR="00BC3420" w:rsidRPr="00C318BF">
      <w:rPr>
        <w:rFonts w:ascii="Arial" w:hAnsi="Arial" w:cs="Arial"/>
        <w:b/>
        <w:sz w:val="22"/>
        <w:szCs w:val="22"/>
        <w:lang w:val="pt-PT"/>
      </w:rPr>
      <w:t>COM</w:t>
    </w:r>
    <w:r w:rsidR="00E9376C" w:rsidRPr="00C318BF">
      <w:rPr>
        <w:rFonts w:ascii="Arial" w:hAnsi="Arial" w:cs="Arial"/>
        <w:b/>
        <w:sz w:val="22"/>
        <w:szCs w:val="22"/>
        <w:lang w:val="pt-PT"/>
      </w:rPr>
      <w:t>/</w:t>
    </w:r>
    <w:r w:rsidR="002B42E9">
      <w:rPr>
        <w:rFonts w:ascii="Arial" w:hAnsi="Arial" w:cs="Arial"/>
        <w:b/>
        <w:sz w:val="22"/>
        <w:szCs w:val="22"/>
        <w:lang w:val="pt-PT"/>
      </w:rPr>
      <w:t>20</w:t>
    </w:r>
  </w:p>
  <w:p w14:paraId="30B7DEB9" w14:textId="0B2AD072"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E30A65">
      <w:rPr>
        <w:rFonts w:ascii="Arial" w:hAnsi="Arial" w:cs="Arial"/>
        <w:b/>
        <w:sz w:val="22"/>
        <w:szCs w:val="22"/>
        <w:lang w:val="pt-PT"/>
      </w:rPr>
      <w:t xml:space="preserve">le </w:t>
    </w:r>
    <w:r w:rsidR="002B42E9" w:rsidRPr="00E30A65">
      <w:rPr>
        <w:rFonts w:ascii="Arial" w:hAnsi="Arial" w:cs="Arial"/>
        <w:b/>
        <w:sz w:val="22"/>
        <w:szCs w:val="22"/>
        <w:lang w:val="pt-PT"/>
      </w:rPr>
      <w:t>6 novembre</w:t>
    </w:r>
    <w:r w:rsidR="0057439C" w:rsidRPr="00E30A65">
      <w:rPr>
        <w:rFonts w:ascii="Arial" w:hAnsi="Arial" w:cs="Arial"/>
        <w:b/>
        <w:sz w:val="22"/>
        <w:szCs w:val="22"/>
        <w:lang w:val="pt-PT"/>
      </w:rPr>
      <w:t xml:space="preserve"> </w:t>
    </w:r>
    <w:r w:rsidR="00495C25" w:rsidRPr="00E30A65">
      <w:rPr>
        <w:rFonts w:ascii="Arial" w:hAnsi="Arial" w:cs="Arial"/>
        <w:b/>
        <w:sz w:val="22"/>
        <w:szCs w:val="22"/>
        <w:lang w:val="pt-PT"/>
      </w:rPr>
      <w:t>20</w:t>
    </w:r>
    <w:r w:rsidR="00D520C1" w:rsidRPr="00E30A65">
      <w:rPr>
        <w:rFonts w:ascii="Arial" w:hAnsi="Arial" w:cs="Arial"/>
        <w:b/>
        <w:sz w:val="22"/>
        <w:szCs w:val="22"/>
        <w:lang w:val="pt-PT"/>
      </w:rPr>
      <w:t>2</w:t>
    </w:r>
    <w:r w:rsidR="008F5A4F" w:rsidRPr="00E30A65">
      <w:rPr>
        <w:rFonts w:ascii="Arial" w:hAnsi="Arial" w:cs="Arial"/>
        <w:b/>
        <w:sz w:val="22"/>
        <w:szCs w:val="22"/>
        <w:lang w:val="pt-PT"/>
      </w:rPr>
      <w:t>3</w:t>
    </w:r>
  </w:p>
  <w:p w14:paraId="18E81B87" w14:textId="48576498"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2B42E9">
      <w:rPr>
        <w:rFonts w:ascii="Arial" w:hAnsi="Arial" w:cs="Arial"/>
        <w:b/>
        <w:sz w:val="22"/>
        <w:szCs w:val="22"/>
      </w:rPr>
      <w:t>anglais</w:t>
    </w:r>
  </w:p>
  <w:p w14:paraId="1B74C5FD" w14:textId="77777777" w:rsidR="00E9376C" w:rsidRPr="008B64DF" w:rsidRDefault="00E9376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125944"/>
    <w:multiLevelType w:val="hybridMultilevel"/>
    <w:tmpl w:val="8BA26BCC"/>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AB35019"/>
    <w:multiLevelType w:val="multilevel"/>
    <w:tmpl w:val="BBCAB5AA"/>
    <w:lvl w:ilvl="0">
      <w:start w:val="1"/>
      <w:numFmt w:val="decimal"/>
      <w:lvlText w:val="%1."/>
      <w:lvlJc w:val="left"/>
      <w:pPr>
        <w:tabs>
          <w:tab w:val="num" w:pos="786"/>
        </w:tabs>
        <w:ind w:left="786" w:hanging="360"/>
      </w:pPr>
      <w:rPr>
        <w:rFonts w:ascii="Arial" w:eastAsia="Arial" w:hAnsi="Arial" w:cs="Arial"/>
        <w:i w:val="0"/>
        <w:sz w:val="22"/>
        <w:szCs w:val="22"/>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4E47B5"/>
    <w:multiLevelType w:val="hybridMultilevel"/>
    <w:tmpl w:val="68FE4832"/>
    <w:lvl w:ilvl="0" w:tplc="1BC24516">
      <w:start w:val="1"/>
      <w:numFmt w:val="upp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01643F"/>
    <w:multiLevelType w:val="hybridMultilevel"/>
    <w:tmpl w:val="1BB8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6332148">
    <w:abstractNumId w:val="17"/>
  </w:num>
  <w:num w:numId="2" w16cid:durableId="853350057">
    <w:abstractNumId w:val="11"/>
  </w:num>
  <w:num w:numId="3" w16cid:durableId="1589851626">
    <w:abstractNumId w:val="4"/>
  </w:num>
  <w:num w:numId="4" w16cid:durableId="1870560250">
    <w:abstractNumId w:val="21"/>
  </w:num>
  <w:num w:numId="5" w16cid:durableId="1596859225">
    <w:abstractNumId w:val="18"/>
  </w:num>
  <w:num w:numId="6" w16cid:durableId="2080975943">
    <w:abstractNumId w:val="3"/>
  </w:num>
  <w:num w:numId="7" w16cid:durableId="1851137970">
    <w:abstractNumId w:val="5"/>
  </w:num>
  <w:num w:numId="8" w16cid:durableId="1715739635">
    <w:abstractNumId w:val="14"/>
  </w:num>
  <w:num w:numId="9" w16cid:durableId="1954705027">
    <w:abstractNumId w:val="10"/>
  </w:num>
  <w:num w:numId="10" w16cid:durableId="1949507549">
    <w:abstractNumId w:val="12"/>
  </w:num>
  <w:num w:numId="11" w16cid:durableId="671029231">
    <w:abstractNumId w:val="9"/>
  </w:num>
  <w:num w:numId="12" w16cid:durableId="1165126896">
    <w:abstractNumId w:val="7"/>
  </w:num>
  <w:num w:numId="13" w16cid:durableId="90053317">
    <w:abstractNumId w:val="16"/>
  </w:num>
  <w:num w:numId="14" w16cid:durableId="1645357661">
    <w:abstractNumId w:val="6"/>
  </w:num>
  <w:num w:numId="15" w16cid:durableId="797996451">
    <w:abstractNumId w:val="20"/>
  </w:num>
  <w:num w:numId="16" w16cid:durableId="164127508">
    <w:abstractNumId w:val="15"/>
  </w:num>
  <w:num w:numId="17" w16cid:durableId="1405369454">
    <w:abstractNumId w:val="12"/>
    <w:lvlOverride w:ilvl="0">
      <w:startOverride w:val="1"/>
    </w:lvlOverride>
  </w:num>
  <w:num w:numId="18" w16cid:durableId="918949064">
    <w:abstractNumId w:val="19"/>
  </w:num>
  <w:num w:numId="19" w16cid:durableId="1916747193">
    <w:abstractNumId w:val="13"/>
  </w:num>
  <w:num w:numId="20" w16cid:durableId="1030491660">
    <w:abstractNumId w:val="2"/>
  </w:num>
  <w:num w:numId="21" w16cid:durableId="359208076">
    <w:abstractNumId w:val="8"/>
  </w:num>
  <w:num w:numId="22" w16cid:durableId="1796097451">
    <w:abstractNumId w:val="0"/>
  </w:num>
  <w:num w:numId="23" w16cid:durableId="2127963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63BA"/>
    <w:rsid w:val="0003530D"/>
    <w:rsid w:val="00036E69"/>
    <w:rsid w:val="000441EC"/>
    <w:rsid w:val="0005176E"/>
    <w:rsid w:val="000573DC"/>
    <w:rsid w:val="00077AB7"/>
    <w:rsid w:val="00081CD8"/>
    <w:rsid w:val="0008329C"/>
    <w:rsid w:val="00084F78"/>
    <w:rsid w:val="000A36AA"/>
    <w:rsid w:val="000A7F0E"/>
    <w:rsid w:val="000E6CD7"/>
    <w:rsid w:val="000F3A3F"/>
    <w:rsid w:val="00114C01"/>
    <w:rsid w:val="00127F72"/>
    <w:rsid w:val="00164D56"/>
    <w:rsid w:val="00165170"/>
    <w:rsid w:val="00167B10"/>
    <w:rsid w:val="00171986"/>
    <w:rsid w:val="0019197E"/>
    <w:rsid w:val="0019264E"/>
    <w:rsid w:val="00196C1B"/>
    <w:rsid w:val="001A766C"/>
    <w:rsid w:val="001B0F73"/>
    <w:rsid w:val="001B28AF"/>
    <w:rsid w:val="0020150F"/>
    <w:rsid w:val="00222A2D"/>
    <w:rsid w:val="002407AF"/>
    <w:rsid w:val="0024401F"/>
    <w:rsid w:val="00251FFD"/>
    <w:rsid w:val="00264C38"/>
    <w:rsid w:val="00280D62"/>
    <w:rsid w:val="002A6C11"/>
    <w:rsid w:val="002A6F73"/>
    <w:rsid w:val="002B42E9"/>
    <w:rsid w:val="002C0D14"/>
    <w:rsid w:val="002D4E0F"/>
    <w:rsid w:val="002E2F53"/>
    <w:rsid w:val="002E3D25"/>
    <w:rsid w:val="002E58D4"/>
    <w:rsid w:val="0032583C"/>
    <w:rsid w:val="003732E4"/>
    <w:rsid w:val="003845BE"/>
    <w:rsid w:val="003C1678"/>
    <w:rsid w:val="003D069C"/>
    <w:rsid w:val="003E07D8"/>
    <w:rsid w:val="003E2A08"/>
    <w:rsid w:val="003F113A"/>
    <w:rsid w:val="004239C7"/>
    <w:rsid w:val="00440F9B"/>
    <w:rsid w:val="004417A7"/>
    <w:rsid w:val="004421E5"/>
    <w:rsid w:val="00443880"/>
    <w:rsid w:val="00452284"/>
    <w:rsid w:val="00461168"/>
    <w:rsid w:val="00467FBE"/>
    <w:rsid w:val="00486429"/>
    <w:rsid w:val="00486948"/>
    <w:rsid w:val="004928AC"/>
    <w:rsid w:val="00492A45"/>
    <w:rsid w:val="00495C25"/>
    <w:rsid w:val="0049705E"/>
    <w:rsid w:val="004C1296"/>
    <w:rsid w:val="005158FF"/>
    <w:rsid w:val="00526B7B"/>
    <w:rsid w:val="005308CE"/>
    <w:rsid w:val="005678AF"/>
    <w:rsid w:val="0057439C"/>
    <w:rsid w:val="005A0BFE"/>
    <w:rsid w:val="005B0127"/>
    <w:rsid w:val="005C094D"/>
    <w:rsid w:val="005C4B73"/>
    <w:rsid w:val="00600D93"/>
    <w:rsid w:val="006042C6"/>
    <w:rsid w:val="00611C16"/>
    <w:rsid w:val="006141C6"/>
    <w:rsid w:val="00616C7B"/>
    <w:rsid w:val="00627C5C"/>
    <w:rsid w:val="0065397A"/>
    <w:rsid w:val="00655736"/>
    <w:rsid w:val="00663B8D"/>
    <w:rsid w:val="0067094E"/>
    <w:rsid w:val="006923BD"/>
    <w:rsid w:val="00696C8D"/>
    <w:rsid w:val="006A2AC2"/>
    <w:rsid w:val="006A3617"/>
    <w:rsid w:val="006B5001"/>
    <w:rsid w:val="006D21D9"/>
    <w:rsid w:val="006D2536"/>
    <w:rsid w:val="006E46E4"/>
    <w:rsid w:val="006F444F"/>
    <w:rsid w:val="00717AAB"/>
    <w:rsid w:val="00717DBD"/>
    <w:rsid w:val="00732138"/>
    <w:rsid w:val="00741016"/>
    <w:rsid w:val="00764CF9"/>
    <w:rsid w:val="00784B8C"/>
    <w:rsid w:val="007A000F"/>
    <w:rsid w:val="007A7014"/>
    <w:rsid w:val="007C354B"/>
    <w:rsid w:val="007E60C6"/>
    <w:rsid w:val="008064F0"/>
    <w:rsid w:val="00823A11"/>
    <w:rsid w:val="00824EF7"/>
    <w:rsid w:val="00850505"/>
    <w:rsid w:val="0085414A"/>
    <w:rsid w:val="0085526D"/>
    <w:rsid w:val="0086269D"/>
    <w:rsid w:val="00863302"/>
    <w:rsid w:val="008712A2"/>
    <w:rsid w:val="00871C8F"/>
    <w:rsid w:val="008724E5"/>
    <w:rsid w:val="00884A9D"/>
    <w:rsid w:val="0089669D"/>
    <w:rsid w:val="008A4E1E"/>
    <w:rsid w:val="008B64DF"/>
    <w:rsid w:val="008C0E44"/>
    <w:rsid w:val="008C296C"/>
    <w:rsid w:val="008D4305"/>
    <w:rsid w:val="008D4D0D"/>
    <w:rsid w:val="008E1649"/>
    <w:rsid w:val="008F09EC"/>
    <w:rsid w:val="008F5A4F"/>
    <w:rsid w:val="00905AE4"/>
    <w:rsid w:val="00913D86"/>
    <w:rsid w:val="009163A7"/>
    <w:rsid w:val="00922E3E"/>
    <w:rsid w:val="00933C6B"/>
    <w:rsid w:val="00933FB0"/>
    <w:rsid w:val="009427B2"/>
    <w:rsid w:val="00950F68"/>
    <w:rsid w:val="00962119"/>
    <w:rsid w:val="00974249"/>
    <w:rsid w:val="00993211"/>
    <w:rsid w:val="009A18CD"/>
    <w:rsid w:val="009B223B"/>
    <w:rsid w:val="009B5302"/>
    <w:rsid w:val="009E1B50"/>
    <w:rsid w:val="00A12558"/>
    <w:rsid w:val="00A13903"/>
    <w:rsid w:val="00A22951"/>
    <w:rsid w:val="00A34ED5"/>
    <w:rsid w:val="00A37974"/>
    <w:rsid w:val="00A45DBF"/>
    <w:rsid w:val="00A61C6E"/>
    <w:rsid w:val="00A755A2"/>
    <w:rsid w:val="00A90761"/>
    <w:rsid w:val="00AB2C36"/>
    <w:rsid w:val="00AC311E"/>
    <w:rsid w:val="00AC35FB"/>
    <w:rsid w:val="00AD1A86"/>
    <w:rsid w:val="00AE103E"/>
    <w:rsid w:val="00AE3322"/>
    <w:rsid w:val="00AF0A07"/>
    <w:rsid w:val="00AF5AE5"/>
    <w:rsid w:val="00AF625E"/>
    <w:rsid w:val="00AF721B"/>
    <w:rsid w:val="00B152B1"/>
    <w:rsid w:val="00B43974"/>
    <w:rsid w:val="00B45750"/>
    <w:rsid w:val="00B675B6"/>
    <w:rsid w:val="00B90701"/>
    <w:rsid w:val="00B907C4"/>
    <w:rsid w:val="00BA19EB"/>
    <w:rsid w:val="00BC3420"/>
    <w:rsid w:val="00BD52C9"/>
    <w:rsid w:val="00BE21A1"/>
    <w:rsid w:val="00BE6354"/>
    <w:rsid w:val="00C06C42"/>
    <w:rsid w:val="00C13C02"/>
    <w:rsid w:val="00C318BF"/>
    <w:rsid w:val="00C354CB"/>
    <w:rsid w:val="00C358C4"/>
    <w:rsid w:val="00C377F5"/>
    <w:rsid w:val="00C70EA7"/>
    <w:rsid w:val="00C7516E"/>
    <w:rsid w:val="00C85771"/>
    <w:rsid w:val="00CB66E1"/>
    <w:rsid w:val="00CB7E6C"/>
    <w:rsid w:val="00CD0D5A"/>
    <w:rsid w:val="00D02494"/>
    <w:rsid w:val="00D24877"/>
    <w:rsid w:val="00D258EF"/>
    <w:rsid w:val="00D520C1"/>
    <w:rsid w:val="00D5368D"/>
    <w:rsid w:val="00D75D42"/>
    <w:rsid w:val="00D802CD"/>
    <w:rsid w:val="00DA36ED"/>
    <w:rsid w:val="00DB4A84"/>
    <w:rsid w:val="00DB7173"/>
    <w:rsid w:val="00DC0F3C"/>
    <w:rsid w:val="00DE34F1"/>
    <w:rsid w:val="00DF4942"/>
    <w:rsid w:val="00E22288"/>
    <w:rsid w:val="00E30A65"/>
    <w:rsid w:val="00E47AD3"/>
    <w:rsid w:val="00E60B9D"/>
    <w:rsid w:val="00E627B1"/>
    <w:rsid w:val="00E62B4C"/>
    <w:rsid w:val="00E62EFC"/>
    <w:rsid w:val="00E76EDC"/>
    <w:rsid w:val="00E9376C"/>
    <w:rsid w:val="00EA602C"/>
    <w:rsid w:val="00ED3691"/>
    <w:rsid w:val="00EF74E3"/>
    <w:rsid w:val="00F134B7"/>
    <w:rsid w:val="00F203E7"/>
    <w:rsid w:val="00F4581D"/>
    <w:rsid w:val="00F576CB"/>
    <w:rsid w:val="00F62542"/>
    <w:rsid w:val="00F84A0B"/>
    <w:rsid w:val="00FA21FE"/>
    <w:rsid w:val="00FA25A6"/>
    <w:rsid w:val="00FB09C3"/>
    <w:rsid w:val="00FC2940"/>
    <w:rsid w:val="00FC4715"/>
    <w:rsid w:val="00FC66FC"/>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Sansinterligne">
    <w:name w:val="No Spacing"/>
    <w:uiPriority w:val="1"/>
    <w:qFormat/>
    <w:rsid w:val="00BC3420"/>
    <w:rPr>
      <w:rFonts w:ascii="Times New Roman" w:eastAsia="Times New Roman" w:hAnsi="Times New Roman"/>
      <w:sz w:val="24"/>
      <w:szCs w:val="24"/>
    </w:rPr>
  </w:style>
  <w:style w:type="table" w:customStyle="1" w:styleId="TableGrid1">
    <w:name w:val="Table Grid1"/>
    <w:basedOn w:val="TableauNormal"/>
    <w:next w:val="Grilledutableau"/>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Paragraphedeliste">
    <w:name w:val="List Paragraph"/>
    <w:aliases w:val="List Paragraph (numbered (a)),Lapis Bulleted List,Dot pt,F5 List Paragraph,List Paragraph Char Char Char,Indicator Text,Numbered Para 1,Bullet 1,List Paragraph12,Bullet Points,MAIN CONTENT,List Paragraph1"/>
    <w:basedOn w:val="Normal"/>
    <w:link w:val="ParagraphedelisteCar"/>
    <w:uiPriority w:val="34"/>
    <w:qFormat/>
    <w:rsid w:val="005158FF"/>
    <w:pPr>
      <w:ind w:left="720"/>
      <w:contextualSpacing/>
    </w:pPr>
  </w:style>
  <w:style w:type="character" w:styleId="Lienhypertexte">
    <w:name w:val="Hyperlink"/>
    <w:basedOn w:val="Policepardfaut"/>
    <w:uiPriority w:val="99"/>
    <w:unhideWhenUsed/>
    <w:rsid w:val="009B5302"/>
    <w:rPr>
      <w:color w:val="0000FF" w:themeColor="hyperlink"/>
      <w:u w:val="single"/>
    </w:rPr>
  </w:style>
  <w:style w:type="paragraph" w:styleId="Notedebasdepage">
    <w:name w:val="footnote text"/>
    <w:basedOn w:val="Normal"/>
    <w:link w:val="NotedebasdepageCar"/>
    <w:uiPriority w:val="99"/>
    <w:semiHidden/>
    <w:unhideWhenUsed/>
    <w:rsid w:val="008F5A4F"/>
    <w:rPr>
      <w:sz w:val="20"/>
      <w:szCs w:val="20"/>
    </w:rPr>
  </w:style>
  <w:style w:type="character" w:customStyle="1" w:styleId="NotedebasdepageCar">
    <w:name w:val="Note de bas de page Car"/>
    <w:basedOn w:val="Policepardfaut"/>
    <w:link w:val="Notedebasdepage"/>
    <w:uiPriority w:val="99"/>
    <w:semiHidden/>
    <w:rsid w:val="008F5A4F"/>
    <w:rPr>
      <w:rFonts w:ascii="Times New Roman" w:eastAsia="Times New Roman" w:hAnsi="Times New Roman"/>
    </w:rPr>
  </w:style>
  <w:style w:type="character" w:styleId="Appelnotedebasdep">
    <w:name w:val="footnote reference"/>
    <w:basedOn w:val="Policepardfaut"/>
    <w:uiPriority w:val="99"/>
    <w:semiHidden/>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vision">
    <w:name w:val="Revision"/>
    <w:hidden/>
    <w:uiPriority w:val="99"/>
    <w:semiHidden/>
    <w:rsid w:val="00F62542"/>
    <w:rPr>
      <w:rFonts w:ascii="Times New Roman" w:eastAsia="Times New Roman" w:hAnsi="Times New Roman"/>
      <w:sz w:val="24"/>
      <w:szCs w:val="24"/>
    </w:rPr>
  </w:style>
  <w:style w:type="character" w:customStyle="1" w:styleId="MargeChar">
    <w:name w:val="Marge Char"/>
    <w:link w:val="Marge"/>
    <w:locked/>
    <w:rsid w:val="002B42E9"/>
    <w:rPr>
      <w:rFonts w:ascii="Arial" w:eastAsia="Times New Roman" w:hAnsi="Arial"/>
      <w:snapToGrid w:val="0"/>
      <w:sz w:val="22"/>
      <w:szCs w:val="24"/>
      <w:lang w:eastAsia="en-US"/>
    </w:rPr>
  </w:style>
  <w:style w:type="character" w:styleId="Marquedecommentaire">
    <w:name w:val="annotation reference"/>
    <w:basedOn w:val="Policepardfaut"/>
    <w:uiPriority w:val="99"/>
    <w:semiHidden/>
    <w:unhideWhenUsed/>
    <w:rsid w:val="002B42E9"/>
    <w:rPr>
      <w:sz w:val="16"/>
      <w:szCs w:val="16"/>
    </w:rPr>
  </w:style>
  <w:style w:type="character" w:customStyle="1" w:styleId="ParagraphedelisteCar">
    <w:name w:val="Paragraphe de liste Car"/>
    <w:aliases w:val="List Paragraph (numbered (a)) Car,Lapis Bulleted List Car,Dot pt Car,F5 List Paragraph Car,List Paragraph Char Char Char Car,Indicator Text Car,Numbered Para 1 Car,Bullet 1 Car,List Paragraph12 Car,Bullet Points Car"/>
    <w:link w:val="Paragraphedeliste"/>
    <w:uiPriority w:val="34"/>
    <w:locked/>
    <w:rsid w:val="002B42E9"/>
    <w:rPr>
      <w:rFonts w:ascii="Times New Roman" w:eastAsia="Times New Roman" w:hAnsi="Times New Roman"/>
      <w:sz w:val="24"/>
      <w:szCs w:val="24"/>
    </w:rPr>
  </w:style>
  <w:style w:type="paragraph" w:styleId="Commentaire">
    <w:name w:val="annotation text"/>
    <w:basedOn w:val="Normal"/>
    <w:link w:val="CommentaireCar"/>
    <w:uiPriority w:val="99"/>
    <w:unhideWhenUsed/>
    <w:rsid w:val="002B42E9"/>
    <w:rPr>
      <w:sz w:val="20"/>
      <w:szCs w:val="20"/>
    </w:rPr>
  </w:style>
  <w:style w:type="character" w:customStyle="1" w:styleId="CommentaireCar">
    <w:name w:val="Commentaire Car"/>
    <w:basedOn w:val="Policepardfaut"/>
    <w:link w:val="Commentaire"/>
    <w:uiPriority w:val="99"/>
    <w:rsid w:val="002B42E9"/>
    <w:rPr>
      <w:rFonts w:ascii="Times New Roman" w:eastAsia="Times New Roman" w:hAnsi="Times New Roman"/>
    </w:rPr>
  </w:style>
  <w:style w:type="character" w:styleId="Lienhypertextesuivivisit">
    <w:name w:val="FollowedHyperlink"/>
    <w:basedOn w:val="Policepardfaut"/>
    <w:uiPriority w:val="99"/>
    <w:semiHidden/>
    <w:unhideWhenUsed/>
    <w:rsid w:val="00BA19EB"/>
    <w:rPr>
      <w:color w:val="800080" w:themeColor="followedHyperlink"/>
      <w:u w:val="single"/>
    </w:rPr>
  </w:style>
  <w:style w:type="character" w:styleId="Mentionnonrsolue">
    <w:name w:val="Unresolved Mention"/>
    <w:basedOn w:val="Policepardfaut"/>
    <w:uiPriority w:val="99"/>
    <w:semiHidden/>
    <w:unhideWhenUsed/>
    <w:rsid w:val="000A3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6.GA/5" TargetMode="External"/><Relationship Id="rId13" Type="http://schemas.openxmlformats.org/officeDocument/2006/relationships/hyperlink" Target="https://ich.unesco.org/doc/src/LHE-23-18.COM-14_FR.docx" TargetMode="External"/><Relationship Id="rId18" Type="http://schemas.openxmlformats.org/officeDocument/2006/relationships/hyperlink" Target="https://ich.unesco.org/fr/decisions/17.COM/13" TargetMode="External"/><Relationship Id="rId26" Type="http://schemas.openxmlformats.org/officeDocument/2006/relationships/hyperlink" Target="https://ich.unesco.org/fr/5extcom" TargetMode="External"/><Relationship Id="rId3" Type="http://schemas.openxmlformats.org/officeDocument/2006/relationships/styles" Target="styles.xml"/><Relationship Id="rId21" Type="http://schemas.openxmlformats.org/officeDocument/2006/relationships/hyperlink" Target="https://ich.unesco.org/fr/decisions/12.COM/6"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doc/src/LHE-23-18.COM-5_FR.docx" TargetMode="External"/><Relationship Id="rId17" Type="http://schemas.openxmlformats.org/officeDocument/2006/relationships/hyperlink" Target="https://ich.unesco.org/fr/decisions/17.COM/13" TargetMode="External"/><Relationship Id="rId25" Type="http://schemas.openxmlformats.org/officeDocument/2006/relationships/hyperlink" Target="https://ich.unesco.org/fr/decisions/17.COM/6.B"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ch.unesco.org/fr/decisions/17.COM/5" TargetMode="External"/><Relationship Id="rId20" Type="http://schemas.openxmlformats.org/officeDocument/2006/relationships/hyperlink" Target="https://ich.unesco.org/doc/src/LHE-23-18.COM-14_FR.docx" TargetMode="External"/><Relationship Id="rId29" Type="http://schemas.openxmlformats.org/officeDocument/2006/relationships/hyperlink" Target="https://ich.unesco.org/fr/decisions/5.EXT.COM/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2-9.GA-10-EN.docx" TargetMode="External"/><Relationship Id="rId24" Type="http://schemas.openxmlformats.org/officeDocument/2006/relationships/hyperlink" Target="https://ich.unesco.org/fr/decisions/17.COM/6.A"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ch.unesco.org/fr/decisions/17.COM/10" TargetMode="External"/><Relationship Id="rId23" Type="http://schemas.openxmlformats.org/officeDocument/2006/relationships/hyperlink" Target="https://ich.unesco.org/doc/src/LHE-23-18.COM-INF.14_FR.docx" TargetMode="External"/><Relationship Id="rId28" Type="http://schemas.openxmlformats.org/officeDocument/2006/relationships/hyperlink" Target="https://ich.unesco.org/fr/decisions/16.COM/14" TargetMode="External"/><Relationship Id="rId36" Type="http://schemas.openxmlformats.org/officeDocument/2006/relationships/theme" Target="theme/theme1.xml"/><Relationship Id="rId10" Type="http://schemas.openxmlformats.org/officeDocument/2006/relationships/hyperlink" Target="https://ich.unesco.org/doc/src/LHE-22-9.GA-10-FR.docx" TargetMode="External"/><Relationship Id="rId19" Type="http://schemas.openxmlformats.org/officeDocument/2006/relationships/hyperlink" Target="https://ich.unesco.org/fr/decisions/14.COM/7" TargetMode="External"/><Relationship Id="rId31" Type="http://schemas.openxmlformats.org/officeDocument/2006/relationships/hyperlink" Target="https://ich.unesco.org/doc/src/LHE-22-17.COM-8-FR.docx" TargetMode="External"/><Relationship Id="rId4" Type="http://schemas.openxmlformats.org/officeDocument/2006/relationships/settings" Target="settings.xml"/><Relationship Id="rId9" Type="http://schemas.openxmlformats.org/officeDocument/2006/relationships/hyperlink" Target="https://ich.unesco.org/doc/src/LHE-22-9.GA-6-FR.docx" TargetMode="External"/><Relationship Id="rId14" Type="http://schemas.openxmlformats.org/officeDocument/2006/relationships/hyperlink" Target="https://ich.unesco.org/fr/decisions/9.GA/10" TargetMode="External"/><Relationship Id="rId22" Type="http://schemas.openxmlformats.org/officeDocument/2006/relationships/hyperlink" Target="https://ich.unesco.org/fr/decisions/16.COM/12" TargetMode="External"/><Relationship Id="rId27" Type="http://schemas.openxmlformats.org/officeDocument/2006/relationships/hyperlink" Target="https://ich.unesco.org/fr/decisions/9.GA/9" TargetMode="External"/><Relationship Id="rId30" Type="http://schemas.openxmlformats.org/officeDocument/2006/relationships/hyperlink" Target="https://ich.unesco.org/fr/decisions/17.COM/8.A" TargetMode="Externa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document_FR.dotx</Template>
  <TotalTime>256</TotalTime>
  <Pages>7</Pages>
  <Words>3358</Words>
  <Characters>18471</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Grenetier, Valentin</cp:lastModifiedBy>
  <cp:revision>53</cp:revision>
  <cp:lastPrinted>2011-08-06T10:22:00Z</cp:lastPrinted>
  <dcterms:created xsi:type="dcterms:W3CDTF">2021-07-19T09:20:00Z</dcterms:created>
  <dcterms:modified xsi:type="dcterms:W3CDTF">2023-11-06T22:43:00Z</dcterms:modified>
</cp:coreProperties>
</file>