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B874" w14:textId="29EA4D58"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CONVENTION POUR LA SAUVEGARDE</w:t>
      </w:r>
      <w:r>
        <w:rPr>
          <w:rFonts w:ascii="Arial" w:hAnsi="Arial"/>
          <w:b/>
        </w:rPr>
        <w:br/>
        <w:t>DU PATRIMOINE CULTUREL IMMATÉRIEL</w:t>
      </w:r>
    </w:p>
    <w:p w14:paraId="6EF31D58" w14:textId="2E34E3DF"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ASSEMBLÉE GÉNÉRALE DES ÉTATS PARTIES À LA CONVENTION</w:t>
      </w:r>
    </w:p>
    <w:p w14:paraId="7FB9A5B0" w14:textId="7128E92A" w:rsidR="00E439CA" w:rsidRPr="00FD624F" w:rsidRDefault="007422F8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Neuvième session</w:t>
      </w:r>
    </w:p>
    <w:p w14:paraId="1016405C" w14:textId="77777777"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Siège de l’UNESCO, Salle I</w:t>
      </w:r>
    </w:p>
    <w:p w14:paraId="40AFC0CB" w14:textId="14CF9768" w:rsidR="002938F2" w:rsidRPr="001D00B5" w:rsidRDefault="007422F8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</w:rPr>
        <w:t>5 </w:t>
      </w:r>
      <w:r w:rsidR="009A3C06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7</w:t>
      </w:r>
      <w:r w:rsidR="009A3C0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juillet 2022</w:t>
      </w:r>
    </w:p>
    <w:p w14:paraId="31840E81" w14:textId="4FA44713" w:rsidR="00851458" w:rsidRPr="001D00B5" w:rsidRDefault="00BD07A5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Liste provisoire des documents</w:t>
      </w:r>
    </w:p>
    <w:p w14:paraId="322D2DC7" w14:textId="72F4FA7F" w:rsidR="000C7382" w:rsidRPr="002A0766" w:rsidRDefault="00851458" w:rsidP="000C7382">
      <w:pPr>
        <w:pStyle w:val="1GAPara"/>
        <w:rPr>
          <w:bCs/>
          <w:snapToGrid/>
        </w:rPr>
      </w:pPr>
      <w: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BD07A5" w:rsidRPr="00AA7B3E" w14:paraId="54A21365" w14:textId="77777777" w:rsidTr="002476A6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2160EFAE" w14:textId="792CF99F" w:rsidR="00BD07A5" w:rsidRPr="00AA7B3E" w:rsidRDefault="00BD07A5" w:rsidP="002476A6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br w:type="page"/>
              <w:t xml:space="preserve">Points </w:t>
            </w:r>
            <w:r w:rsidR="00C86EF6">
              <w:rPr>
                <w:rFonts w:ascii="Arial" w:hAnsi="Arial"/>
                <w:b/>
              </w:rPr>
              <w:t xml:space="preserve">à </w:t>
            </w:r>
            <w:r>
              <w:rPr>
                <w:rFonts w:ascii="Arial" w:hAnsi="Arial"/>
                <w:b/>
              </w:rPr>
              <w:t>l’ordre du jour provisoire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1ED7B75C" w14:textId="77777777" w:rsidR="00BD07A5" w:rsidRPr="00AA7B3E" w:rsidRDefault="00BD07A5" w:rsidP="002476A6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Documents</w:t>
            </w:r>
          </w:p>
        </w:tc>
      </w:tr>
      <w:tr w:rsidR="00BD07A5" w:rsidRPr="00543F18" w14:paraId="63A1FBE4" w14:textId="77777777" w:rsidTr="002476A6">
        <w:trPr>
          <w:cantSplit/>
        </w:trPr>
        <w:tc>
          <w:tcPr>
            <w:tcW w:w="567" w:type="dxa"/>
          </w:tcPr>
          <w:p w14:paraId="68CEF4C3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5265" w:type="dxa"/>
          </w:tcPr>
          <w:p w14:paraId="6690CC55" w14:textId="77777777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Ouverture</w:t>
            </w:r>
          </w:p>
        </w:tc>
        <w:tc>
          <w:tcPr>
            <w:tcW w:w="3874" w:type="dxa"/>
          </w:tcPr>
          <w:p w14:paraId="7A4BAB09" w14:textId="77777777" w:rsidR="0025042D" w:rsidRPr="00571ED6" w:rsidRDefault="00BD07A5" w:rsidP="002504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b/>
                <w:i/>
              </w:rPr>
              <w:t>LHE/22/9.GA/INF.1</w:t>
            </w:r>
            <w:r>
              <w:rPr>
                <w:rFonts w:ascii="Arial" w:hAnsi="Arial"/>
                <w:i/>
              </w:rPr>
              <w:br/>
              <w:t>Compte-rendu de la huitième session de l’Assemblée générale</w:t>
            </w:r>
          </w:p>
          <w:p w14:paraId="7269217B" w14:textId="35180588" w:rsidR="00170867" w:rsidRPr="00571ED6" w:rsidRDefault="00170867" w:rsidP="00170867">
            <w:pPr>
              <w:spacing w:before="120"/>
              <w:ind w:left="284"/>
              <w:rPr>
                <w:rFonts w:ascii="Arial" w:hAnsi="Arial" w:cs="Arial"/>
                <w:bCs/>
                <w:i/>
                <w:szCs w:val="22"/>
              </w:rPr>
            </w:pPr>
            <w:r>
              <w:rPr>
                <w:rFonts w:ascii="Arial" w:hAnsi="Arial"/>
                <w:b/>
                <w:i/>
              </w:rPr>
              <w:t>LHE/21/16.COM/4</w:t>
            </w:r>
            <w:r>
              <w:rPr>
                <w:rFonts w:ascii="Arial" w:hAnsi="Arial"/>
                <w:i/>
              </w:rPr>
              <w:br/>
              <w:t>Compte-rendu de la quinzième session du Comité</w:t>
            </w:r>
          </w:p>
          <w:p w14:paraId="5BFBBD82" w14:textId="7BFA41EF" w:rsidR="009F7403" w:rsidRPr="00571ED6" w:rsidRDefault="00170867" w:rsidP="00017A6D">
            <w:pPr>
              <w:spacing w:before="120"/>
              <w:ind w:left="284"/>
              <w:rPr>
                <w:rFonts w:ascii="Arial" w:hAnsi="Arial" w:cs="Arial"/>
                <w:bCs/>
                <w:i/>
                <w:szCs w:val="22"/>
              </w:rPr>
            </w:pPr>
            <w:r>
              <w:rPr>
                <w:rFonts w:ascii="Arial" w:hAnsi="Arial"/>
                <w:b/>
                <w:i/>
              </w:rPr>
              <w:t>LHE/22/17.COM/</w:t>
            </w:r>
            <w:proofErr w:type="gramStart"/>
            <w:r>
              <w:rPr>
                <w:rFonts w:ascii="Arial" w:hAnsi="Arial"/>
                <w:b/>
                <w:i/>
              </w:rPr>
              <w:t>4</w:t>
            </w:r>
            <w:r w:rsidR="00554E37">
              <w:rPr>
                <w:rFonts w:ascii="Arial" w:hAnsi="Arial"/>
                <w:b/>
                <w:i/>
              </w:rPr>
              <w:t>.a</w:t>
            </w:r>
            <w:proofErr w:type="gramEnd"/>
            <w:r>
              <w:rPr>
                <w:rFonts w:ascii="Arial" w:hAnsi="Arial"/>
                <w:i/>
              </w:rPr>
              <w:br/>
              <w:t>Compte-rendu de la seizième session du Comité</w:t>
            </w:r>
          </w:p>
        </w:tc>
      </w:tr>
      <w:tr w:rsidR="00BD07A5" w:rsidRPr="00543F18" w14:paraId="713CC47B" w14:textId="77777777" w:rsidTr="002476A6">
        <w:trPr>
          <w:cantSplit/>
        </w:trPr>
        <w:tc>
          <w:tcPr>
            <w:tcW w:w="567" w:type="dxa"/>
          </w:tcPr>
          <w:p w14:paraId="63B5E28E" w14:textId="05AF3803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5265" w:type="dxa"/>
          </w:tcPr>
          <w:p w14:paraId="53C15413" w14:textId="2CE96ACB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Élection du Bureau</w:t>
            </w:r>
          </w:p>
        </w:tc>
        <w:tc>
          <w:tcPr>
            <w:tcW w:w="3874" w:type="dxa"/>
          </w:tcPr>
          <w:p w14:paraId="3AC34BB9" w14:textId="04AB1FC3" w:rsidR="00BD07A5" w:rsidRPr="00BD07A5" w:rsidRDefault="00BD07A5" w:rsidP="00BD07A5">
            <w:pPr>
              <w:spacing w:before="120"/>
              <w:rPr>
                <w:rFonts w:ascii="Arial" w:hAnsi="Arial" w:cs="Arial"/>
                <w:bCs/>
                <w:i/>
                <w:szCs w:val="22"/>
              </w:rPr>
            </w:pPr>
            <w:r>
              <w:rPr>
                <w:rFonts w:ascii="Arial" w:hAnsi="Arial"/>
                <w:b/>
              </w:rPr>
              <w:t>LHE/22/9.GA/2</w:t>
            </w:r>
          </w:p>
        </w:tc>
      </w:tr>
      <w:tr w:rsidR="00BD07A5" w:rsidRPr="00AA7B3E" w14:paraId="445AAD08" w14:textId="77777777" w:rsidTr="002476A6">
        <w:trPr>
          <w:cantSplit/>
        </w:trPr>
        <w:tc>
          <w:tcPr>
            <w:tcW w:w="567" w:type="dxa"/>
          </w:tcPr>
          <w:p w14:paraId="58494799" w14:textId="5B2571C5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5265" w:type="dxa"/>
          </w:tcPr>
          <w:p w14:paraId="2B32640E" w14:textId="3013B84A" w:rsidR="00BD07A5" w:rsidRPr="00AA7B3E" w:rsidRDefault="00BD07A5" w:rsidP="00C86EF6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</w:rPr>
              <w:t>Adoption de l’ordre du jour</w:t>
            </w:r>
          </w:p>
        </w:tc>
        <w:tc>
          <w:tcPr>
            <w:tcW w:w="3874" w:type="dxa"/>
          </w:tcPr>
          <w:p w14:paraId="36075BE9" w14:textId="779E051A" w:rsidR="00BD07A5" w:rsidRPr="00964FFC" w:rsidRDefault="00BD07A5" w:rsidP="00BD07A5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964FFC">
              <w:rPr>
                <w:rFonts w:ascii="Arial" w:hAnsi="Arial"/>
                <w:b/>
                <w:lang w:val="pt-PT"/>
              </w:rPr>
              <w:t>LHE/22/9.GA/3</w:t>
            </w:r>
          </w:p>
          <w:p w14:paraId="5DE11274" w14:textId="295D214A" w:rsidR="00BD07A5" w:rsidRPr="00964FFC" w:rsidRDefault="00BD07A5" w:rsidP="002476A6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pt-PT"/>
              </w:rPr>
            </w:pPr>
            <w:r w:rsidRPr="00964FFC">
              <w:rPr>
                <w:rFonts w:ascii="Arial" w:hAnsi="Arial"/>
                <w:b/>
                <w:i/>
                <w:lang w:val="pt-PT"/>
              </w:rPr>
              <w:t>LHE/22/9.GA/INF.3.1</w:t>
            </w:r>
            <w:r w:rsidR="00F41022">
              <w:rPr>
                <w:rFonts w:ascii="Arial" w:hAnsi="Arial"/>
                <w:b/>
                <w:i/>
                <w:lang w:val="pt-PT"/>
              </w:rPr>
              <w:t xml:space="preserve"> Rev</w:t>
            </w:r>
            <w:r w:rsidR="000D21B0">
              <w:rPr>
                <w:rFonts w:ascii="Arial" w:hAnsi="Arial"/>
                <w:b/>
                <w:i/>
                <w:lang w:val="pt-PT"/>
              </w:rPr>
              <w:t>.</w:t>
            </w:r>
            <w:r w:rsidR="00DB46BB">
              <w:rPr>
                <w:rFonts w:ascii="Arial" w:hAnsi="Arial"/>
                <w:b/>
                <w:i/>
                <w:lang w:val="pt-PT"/>
              </w:rPr>
              <w:t>2</w:t>
            </w:r>
            <w:r w:rsidRPr="00964FFC">
              <w:rPr>
                <w:rFonts w:ascii="Arial" w:hAnsi="Arial"/>
                <w:b/>
                <w:i/>
                <w:lang w:val="pt-PT"/>
              </w:rPr>
              <w:br/>
            </w:r>
            <w:r w:rsidRPr="00964FFC">
              <w:rPr>
                <w:rFonts w:ascii="Arial" w:hAnsi="Arial"/>
                <w:i/>
                <w:lang w:val="pt-PT"/>
              </w:rPr>
              <w:t>Calendrier provisoire</w:t>
            </w:r>
          </w:p>
          <w:p w14:paraId="1E8DE36E" w14:textId="57984AAD" w:rsidR="00BD07A5" w:rsidRPr="00AA7B3E" w:rsidRDefault="00BD07A5" w:rsidP="002476A6">
            <w:pPr>
              <w:spacing w:before="60"/>
              <w:ind w:left="284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b/>
                <w:i/>
              </w:rPr>
              <w:t>LHE/22/9.GA/INF.3.2</w:t>
            </w:r>
            <w:r w:rsidR="002039F5">
              <w:rPr>
                <w:rFonts w:ascii="Arial" w:hAnsi="Arial"/>
                <w:b/>
                <w:i/>
              </w:rPr>
              <w:t xml:space="preserve"> Rev.</w:t>
            </w:r>
            <w:r w:rsidR="00CC45A2">
              <w:rPr>
                <w:rFonts w:ascii="Arial" w:hAnsi="Arial"/>
                <w:b/>
                <w:i/>
              </w:rPr>
              <w:t>1</w:t>
            </w:r>
            <w:r w:rsidR="00DB46BB">
              <w:rPr>
                <w:rFonts w:ascii="Arial" w:hAnsi="Arial"/>
                <w:b/>
                <w:i/>
              </w:rPr>
              <w:t>2</w:t>
            </w:r>
            <w:r>
              <w:rPr>
                <w:rFonts w:ascii="Arial" w:hAnsi="Arial"/>
                <w:i/>
              </w:rPr>
              <w:br/>
              <w:t>Liste provisoire des documents</w:t>
            </w:r>
          </w:p>
        </w:tc>
      </w:tr>
      <w:tr w:rsidR="00BD07A5" w:rsidRPr="00AA7B3E" w14:paraId="345AEF12" w14:textId="77777777" w:rsidTr="002476A6">
        <w:trPr>
          <w:cantSplit/>
        </w:trPr>
        <w:tc>
          <w:tcPr>
            <w:tcW w:w="567" w:type="dxa"/>
          </w:tcPr>
          <w:p w14:paraId="2AC94A76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5265" w:type="dxa"/>
          </w:tcPr>
          <w:p w14:paraId="073A56C7" w14:textId="59A208D9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</w:rPr>
            </w:pPr>
            <w:r>
              <w:rPr>
                <w:rFonts w:ascii="Arial" w:hAnsi="Arial"/>
                <w:b/>
                <w:snapToGrid w:val="0"/>
              </w:rPr>
              <w:t>Distribution des sièges au Comité par groupe électoral</w:t>
            </w:r>
          </w:p>
        </w:tc>
        <w:tc>
          <w:tcPr>
            <w:tcW w:w="3874" w:type="dxa"/>
          </w:tcPr>
          <w:p w14:paraId="641FD5D3" w14:textId="300538D1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LHE/22/9.GA/4</w:t>
            </w:r>
          </w:p>
        </w:tc>
      </w:tr>
      <w:tr w:rsidR="00BD07A5" w:rsidRPr="00AA7B3E" w14:paraId="1FB3DAD7" w14:textId="77777777" w:rsidTr="002476A6">
        <w:trPr>
          <w:cantSplit/>
          <w:trHeight w:val="434"/>
        </w:trPr>
        <w:tc>
          <w:tcPr>
            <w:tcW w:w="567" w:type="dxa"/>
          </w:tcPr>
          <w:p w14:paraId="1F926334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5265" w:type="dxa"/>
          </w:tcPr>
          <w:p w14:paraId="4DF47750" w14:textId="65338CF4" w:rsidR="00BD07A5" w:rsidRPr="00AA7B3E" w:rsidRDefault="00BD07A5" w:rsidP="00C26259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</w:rPr>
            </w:pPr>
            <w:r>
              <w:rPr>
                <w:rFonts w:ascii="Arial" w:hAnsi="Arial"/>
                <w:b/>
                <w:snapToGrid w:val="0"/>
              </w:rPr>
              <w:t>Rapport du Comité à l’Assemblée générale (de</w:t>
            </w:r>
            <w:r w:rsidR="00C26259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janvier</w:t>
            </w:r>
            <w:r w:rsidR="00C26259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2020 à décembre</w:t>
            </w:r>
            <w:r w:rsidR="00C26259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2021)</w:t>
            </w:r>
          </w:p>
        </w:tc>
        <w:tc>
          <w:tcPr>
            <w:tcW w:w="3874" w:type="dxa"/>
          </w:tcPr>
          <w:p w14:paraId="36922575" w14:textId="2FF2628F" w:rsidR="00BD07A5" w:rsidRPr="00AA7B3E" w:rsidRDefault="0025042D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LHE/22/9.GA/5</w:t>
            </w:r>
          </w:p>
        </w:tc>
      </w:tr>
      <w:tr w:rsidR="00BD07A5" w:rsidRPr="00AA7B3E" w14:paraId="5009A7F4" w14:textId="77777777" w:rsidTr="002476A6">
        <w:trPr>
          <w:cantSplit/>
        </w:trPr>
        <w:tc>
          <w:tcPr>
            <w:tcW w:w="567" w:type="dxa"/>
          </w:tcPr>
          <w:p w14:paraId="1F0CA630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5265" w:type="dxa"/>
          </w:tcPr>
          <w:p w14:paraId="4350468B" w14:textId="29CD5597" w:rsidR="00BD07A5" w:rsidRPr="00AA7B3E" w:rsidRDefault="0025042D" w:rsidP="002476A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yellow"/>
              </w:rPr>
            </w:pPr>
            <w:r>
              <w:rPr>
                <w:rFonts w:ascii="Arial" w:hAnsi="Arial"/>
                <w:b/>
                <w:snapToGrid w:val="0"/>
              </w:rPr>
              <w:t>Rapport du Secrétariat sur ses activités (de janvier 2020 à décembre 2021)</w:t>
            </w:r>
          </w:p>
        </w:tc>
        <w:tc>
          <w:tcPr>
            <w:tcW w:w="3874" w:type="dxa"/>
            <w:shd w:val="clear" w:color="auto" w:fill="auto"/>
          </w:tcPr>
          <w:p w14:paraId="79AF2ACB" w14:textId="0DB86904" w:rsidR="00BD07A5" w:rsidRPr="00AA7B3E" w:rsidRDefault="0025042D" w:rsidP="002476A6">
            <w:pPr>
              <w:spacing w:before="120"/>
              <w:rPr>
                <w:rFonts w:ascii="Arial" w:hAnsi="Arial" w:cs="Arial"/>
                <w:b/>
                <w:szCs w:val="22"/>
                <w:highlight w:val="yellow"/>
              </w:rPr>
            </w:pPr>
            <w:r>
              <w:rPr>
                <w:rFonts w:ascii="Arial" w:hAnsi="Arial"/>
                <w:b/>
              </w:rPr>
              <w:t>LHE/22/9.GA/6</w:t>
            </w:r>
          </w:p>
        </w:tc>
      </w:tr>
      <w:tr w:rsidR="0074286E" w:rsidRPr="00AA7B3E" w14:paraId="23326E05" w14:textId="77777777" w:rsidTr="002476A6">
        <w:trPr>
          <w:cantSplit/>
        </w:trPr>
        <w:tc>
          <w:tcPr>
            <w:tcW w:w="567" w:type="dxa"/>
          </w:tcPr>
          <w:p w14:paraId="5C2F07D2" w14:textId="6D51555E" w:rsidR="0074286E" w:rsidRDefault="0074286E" w:rsidP="0074286E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5265" w:type="dxa"/>
          </w:tcPr>
          <w:p w14:paraId="134BDDA8" w14:textId="3B1802E1" w:rsidR="0074286E" w:rsidRDefault="0074286E" w:rsidP="0074286E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</w:rPr>
              <w:t>Accréditation des organisations non gouvernementales à des fins d’assistance consultative auprès du Comité</w:t>
            </w:r>
          </w:p>
        </w:tc>
        <w:tc>
          <w:tcPr>
            <w:tcW w:w="3874" w:type="dxa"/>
          </w:tcPr>
          <w:p w14:paraId="60832BC1" w14:textId="28DFFD4B" w:rsidR="0074286E" w:rsidRDefault="0074286E" w:rsidP="0074286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LHE/22/9.GA/7</w:t>
            </w:r>
          </w:p>
        </w:tc>
      </w:tr>
      <w:tr w:rsidR="0074286E" w:rsidRPr="00AA7B3E" w14:paraId="6D914A7B" w14:textId="77777777" w:rsidTr="002476A6">
        <w:trPr>
          <w:cantSplit/>
        </w:trPr>
        <w:tc>
          <w:tcPr>
            <w:tcW w:w="567" w:type="dxa"/>
          </w:tcPr>
          <w:p w14:paraId="5F44330C" w14:textId="77777777" w:rsidR="0074286E" w:rsidRPr="00AA7B3E" w:rsidRDefault="0074286E" w:rsidP="0074286E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5265" w:type="dxa"/>
          </w:tcPr>
          <w:p w14:paraId="56673716" w14:textId="4F506142" w:rsidR="0074286E" w:rsidRPr="00AA7B3E" w:rsidRDefault="0074286E" w:rsidP="0074286E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/>
                <w:b/>
                <w:snapToGrid w:val="0"/>
              </w:rPr>
              <w:t>Approbation de la procédure suivie pour l’inscription de la « Soupe au giraumon », soumise par Haïti, sur la Liste représentative du patrimoine culturel immatériel de l’humanité</w:t>
            </w:r>
          </w:p>
        </w:tc>
        <w:tc>
          <w:tcPr>
            <w:tcW w:w="3874" w:type="dxa"/>
          </w:tcPr>
          <w:p w14:paraId="50B93E21" w14:textId="2A7A0AB0" w:rsidR="0074286E" w:rsidRPr="00AA7B3E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LHE/22/9.GA/8</w:t>
            </w:r>
          </w:p>
        </w:tc>
      </w:tr>
      <w:tr w:rsidR="0074286E" w:rsidRPr="00AA7B3E" w14:paraId="3B9BADD2" w14:textId="77777777" w:rsidTr="002476A6">
        <w:trPr>
          <w:cantSplit/>
        </w:trPr>
        <w:tc>
          <w:tcPr>
            <w:tcW w:w="567" w:type="dxa"/>
          </w:tcPr>
          <w:p w14:paraId="06D844E8" w14:textId="5DCCBCD7" w:rsidR="0074286E" w:rsidRPr="00AA7B3E" w:rsidRDefault="0074286E" w:rsidP="0074286E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lastRenderedPageBreak/>
              <w:t>9.</w:t>
            </w:r>
          </w:p>
        </w:tc>
        <w:tc>
          <w:tcPr>
            <w:tcW w:w="5265" w:type="dxa"/>
          </w:tcPr>
          <w:p w14:paraId="31D82EC1" w14:textId="0D751884" w:rsidR="0074286E" w:rsidRPr="006008A0" w:rsidRDefault="0074286E" w:rsidP="0074286E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74286E">
              <w:rPr>
                <w:rFonts w:ascii="Arial" w:hAnsi="Arial"/>
                <w:b/>
              </w:rPr>
              <w:t xml:space="preserve">La réflexion globale sur les mécanismes d’inscription sur les listes de la Convention et révisions </w:t>
            </w:r>
            <w:r w:rsidR="009A3C06">
              <w:rPr>
                <w:rFonts w:ascii="Arial" w:hAnsi="Arial"/>
                <w:b/>
              </w:rPr>
              <w:t>proposé</w:t>
            </w:r>
            <w:r w:rsidR="00AD527E">
              <w:rPr>
                <w:rFonts w:ascii="Arial" w:hAnsi="Arial"/>
                <w:b/>
              </w:rPr>
              <w:t>e</w:t>
            </w:r>
            <w:r w:rsidR="009A3C06">
              <w:rPr>
                <w:rFonts w:ascii="Arial" w:hAnsi="Arial"/>
                <w:b/>
              </w:rPr>
              <w:t>s aux</w:t>
            </w:r>
            <w:r w:rsidRPr="0074286E">
              <w:rPr>
                <w:rFonts w:ascii="Arial" w:hAnsi="Arial"/>
                <w:b/>
              </w:rPr>
              <w:t xml:space="preserve"> directives opérationnelles</w:t>
            </w:r>
          </w:p>
        </w:tc>
        <w:tc>
          <w:tcPr>
            <w:tcW w:w="3874" w:type="dxa"/>
          </w:tcPr>
          <w:p w14:paraId="2BD1DBED" w14:textId="5A6BB94B" w:rsidR="0074286E" w:rsidRDefault="0074286E" w:rsidP="005C57C3">
            <w:pPr>
              <w:spacing w:before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LHE/22/9.GA/9</w:t>
            </w:r>
            <w:r w:rsidR="00CC45A2">
              <w:rPr>
                <w:rFonts w:ascii="Arial" w:hAnsi="Arial"/>
                <w:b/>
              </w:rPr>
              <w:t xml:space="preserve"> Rev.</w:t>
            </w:r>
          </w:p>
          <w:p w14:paraId="771093E6" w14:textId="0B5B4550" w:rsidR="004B1EE7" w:rsidRPr="004B1EE7" w:rsidRDefault="004B1EE7" w:rsidP="0074286E">
            <w:pPr>
              <w:spacing w:before="120"/>
              <w:ind w:left="334"/>
              <w:rPr>
                <w:rFonts w:ascii="Arial" w:hAnsi="Arial"/>
                <w:b/>
                <w:i/>
              </w:rPr>
            </w:pPr>
            <w:r w:rsidRPr="004B1EE7">
              <w:rPr>
                <w:rFonts w:ascii="Arial" w:hAnsi="Arial"/>
                <w:b/>
                <w:i/>
              </w:rPr>
              <w:t>LHE/21/16.COM/INF.14</w:t>
            </w:r>
            <w:r w:rsidRPr="004B1EE7">
              <w:rPr>
                <w:rFonts w:ascii="Arial" w:hAnsi="Arial"/>
                <w:b/>
                <w:i/>
              </w:rPr>
              <w:br/>
            </w:r>
            <w:r w:rsidRPr="004B1EE7">
              <w:rPr>
                <w:rFonts w:ascii="Arial" w:hAnsi="Arial"/>
                <w:i/>
              </w:rPr>
              <w:t>Compte-rendu de la réunion du groupe de travail intergouvernemental à composition non limitée dans le cadre de la réflexion globale sur les mécanismes d’inscription sur les listes de la Convention de 2003 (Partie I</w:t>
            </w:r>
            <w:r>
              <w:rPr>
                <w:rFonts w:ascii="Arial" w:hAnsi="Arial"/>
                <w:i/>
              </w:rPr>
              <w:t xml:space="preserve"> et Partie II</w:t>
            </w:r>
            <w:r w:rsidRPr="004B1EE7">
              <w:rPr>
                <w:rFonts w:ascii="Arial" w:hAnsi="Arial"/>
                <w:i/>
              </w:rPr>
              <w:t>)</w:t>
            </w:r>
          </w:p>
          <w:p w14:paraId="4D867DFA" w14:textId="18790DBC" w:rsidR="0074286E" w:rsidRPr="006008A0" w:rsidRDefault="004B1EE7" w:rsidP="0074286E">
            <w:pPr>
              <w:spacing w:before="120"/>
              <w:ind w:left="334"/>
              <w:rPr>
                <w:rFonts w:ascii="Arial" w:hAnsi="Arial" w:cs="Arial"/>
                <w:b/>
                <w:szCs w:val="22"/>
                <w:highlight w:val="yellow"/>
              </w:rPr>
            </w:pPr>
            <w:r w:rsidRPr="004B1EE7">
              <w:rPr>
                <w:rFonts w:ascii="Arial" w:hAnsi="Arial"/>
                <w:b/>
                <w:i/>
              </w:rPr>
              <w:t>LHE/22/5.EXT.COM/INF.4</w:t>
            </w:r>
            <w:r w:rsidR="0074286E">
              <w:rPr>
                <w:rFonts w:ascii="Arial" w:hAnsi="Arial"/>
                <w:b/>
                <w:i/>
              </w:rPr>
              <w:br/>
            </w:r>
            <w:r w:rsidR="0074286E">
              <w:rPr>
                <w:rFonts w:ascii="Arial" w:hAnsi="Arial"/>
                <w:i/>
              </w:rPr>
              <w:t>Compte-rendu de la réunion du groupe de travail intergouvernemental à composition non limitée dans le cadre de la réflexion globale sur les mécanismes d’inscription sur les listes de la Convention de 2003</w:t>
            </w:r>
            <w:r>
              <w:rPr>
                <w:rFonts w:ascii="Arial" w:hAnsi="Arial"/>
                <w:i/>
              </w:rPr>
              <w:t xml:space="preserve"> (Partie III)</w:t>
            </w:r>
          </w:p>
        </w:tc>
      </w:tr>
      <w:tr w:rsidR="0074286E" w:rsidRPr="00AA7B3E" w14:paraId="2B54F2B0" w14:textId="77777777" w:rsidTr="002476A6">
        <w:trPr>
          <w:cantSplit/>
        </w:trPr>
        <w:tc>
          <w:tcPr>
            <w:tcW w:w="567" w:type="dxa"/>
          </w:tcPr>
          <w:p w14:paraId="4B3B7781" w14:textId="0CD124AB" w:rsidR="0074286E" w:rsidRDefault="0074286E" w:rsidP="0074286E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5265" w:type="dxa"/>
          </w:tcPr>
          <w:p w14:paraId="43646B6D" w14:textId="7667F816" w:rsidR="0074286E" w:rsidRDefault="0074286E" w:rsidP="0074286E">
            <w:pPr>
              <w:keepNext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Utilisation des ressources du Fonds du patrimoine culturel immatériel</w:t>
            </w:r>
          </w:p>
        </w:tc>
        <w:tc>
          <w:tcPr>
            <w:tcW w:w="3874" w:type="dxa"/>
          </w:tcPr>
          <w:p w14:paraId="0DA5536A" w14:textId="557B1711" w:rsidR="0074286E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LHE/22/9.GA/10</w:t>
            </w:r>
          </w:p>
          <w:p w14:paraId="7E7A0D16" w14:textId="32D4189B" w:rsidR="0074286E" w:rsidRDefault="0074286E" w:rsidP="005C57C3">
            <w:pPr>
              <w:spacing w:before="120"/>
              <w:ind w:left="3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LHE/22/9.GA/INF.10</w:t>
            </w:r>
            <w:r>
              <w:rPr>
                <w:rFonts w:ascii="Arial" w:hAnsi="Arial"/>
                <w:b/>
                <w:i/>
              </w:rPr>
              <w:br/>
            </w:r>
            <w:r w:rsidRPr="005C57C3">
              <w:rPr>
                <w:rFonts w:ascii="Arial" w:hAnsi="Arial"/>
                <w:bCs/>
                <w:i/>
              </w:rPr>
              <w:t xml:space="preserve">Rapport </w:t>
            </w:r>
            <w:r>
              <w:rPr>
                <w:rFonts w:ascii="Arial" w:hAnsi="Arial"/>
                <w:i/>
              </w:rPr>
              <w:t>sur le Fonds du patrimoine culturel immatériel pour la période du 1 janvier 2020 au 31 décembre 2021</w:t>
            </w:r>
          </w:p>
        </w:tc>
      </w:tr>
      <w:tr w:rsidR="0074286E" w:rsidRPr="00AA7B3E" w14:paraId="39FBF96A" w14:textId="77777777" w:rsidTr="00C77485">
        <w:trPr>
          <w:cantSplit/>
          <w:trHeight w:val="702"/>
        </w:trPr>
        <w:tc>
          <w:tcPr>
            <w:tcW w:w="567" w:type="dxa"/>
          </w:tcPr>
          <w:p w14:paraId="23149FD1" w14:textId="7034079A" w:rsidR="0074286E" w:rsidRPr="00AA7B3E" w:rsidRDefault="0074286E" w:rsidP="0074286E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5265" w:type="dxa"/>
          </w:tcPr>
          <w:p w14:paraId="6943D271" w14:textId="77777777" w:rsidR="0074286E" w:rsidRPr="00AA7B3E" w:rsidRDefault="0074286E" w:rsidP="0074286E">
            <w:pPr>
              <w:spacing w:before="120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Élection des membres du Comité intergouvernemental de sauvegarde du patrimoine culturel immatériel</w:t>
            </w:r>
          </w:p>
        </w:tc>
        <w:tc>
          <w:tcPr>
            <w:tcW w:w="3874" w:type="dxa"/>
          </w:tcPr>
          <w:p w14:paraId="69ED2342" w14:textId="1714A346" w:rsidR="0074286E" w:rsidRPr="00964FFC" w:rsidRDefault="0074286E" w:rsidP="0074286E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964FFC">
              <w:rPr>
                <w:rFonts w:ascii="Arial" w:hAnsi="Arial"/>
                <w:b/>
                <w:lang w:val="pt-PT"/>
              </w:rPr>
              <w:t>LHE/22/9.GA/11</w:t>
            </w:r>
          </w:p>
          <w:p w14:paraId="496E9A34" w14:textId="310DFDDA" w:rsidR="0074286E" w:rsidRPr="00FF41B6" w:rsidRDefault="0074286E" w:rsidP="0074286E">
            <w:pPr>
              <w:spacing w:before="120"/>
              <w:ind w:left="255"/>
              <w:contextualSpacing/>
              <w:jc w:val="both"/>
              <w:rPr>
                <w:rFonts w:ascii="Arial" w:hAnsi="Arial" w:cs="Arial"/>
                <w:i/>
                <w:szCs w:val="22"/>
                <w:lang w:val="pt-PT"/>
              </w:rPr>
            </w:pPr>
            <w:r w:rsidRPr="00FF41B6">
              <w:rPr>
                <w:rFonts w:ascii="Arial" w:hAnsi="Arial"/>
                <w:b/>
                <w:i/>
                <w:lang w:val="pt-PT"/>
              </w:rPr>
              <w:t>LHE/22/9.GA/INF.11</w:t>
            </w:r>
            <w:r w:rsidR="00C74279" w:rsidRPr="00FF41B6">
              <w:rPr>
                <w:rFonts w:ascii="Arial" w:hAnsi="Arial"/>
                <w:b/>
                <w:i/>
                <w:lang w:val="pt-PT"/>
              </w:rPr>
              <w:t xml:space="preserve"> Rev.</w:t>
            </w:r>
            <w:r w:rsidR="00FF41B6">
              <w:rPr>
                <w:rFonts w:ascii="Arial" w:hAnsi="Arial"/>
                <w:b/>
                <w:i/>
                <w:lang w:val="pt-PT"/>
              </w:rPr>
              <w:t>7</w:t>
            </w:r>
          </w:p>
          <w:p w14:paraId="331EA711" w14:textId="26E8A5EB" w:rsidR="0074286E" w:rsidRPr="00AA7B3E" w:rsidRDefault="002039F5" w:rsidP="009E1A8B">
            <w:pPr>
              <w:spacing w:before="120"/>
              <w:ind w:left="255"/>
              <w:rPr>
                <w:rFonts w:ascii="Arial" w:eastAsiaTheme="minorEastAsia" w:hAnsi="Arial" w:cs="Arial"/>
                <w:szCs w:val="22"/>
              </w:rPr>
            </w:pPr>
            <w:r w:rsidRPr="002039F5">
              <w:rPr>
                <w:rFonts w:ascii="Arial" w:hAnsi="Arial"/>
                <w:i/>
              </w:rPr>
              <w:t>Liste des États parties candidats à l’élection du Comité intergouvernemental et situation des États parties membres en exercice du Comité intergouvernemental</w:t>
            </w:r>
          </w:p>
        </w:tc>
      </w:tr>
      <w:tr w:rsidR="0074286E" w:rsidRPr="00AA7B3E" w14:paraId="2C80C724" w14:textId="77777777" w:rsidTr="002476A6">
        <w:trPr>
          <w:cantSplit/>
        </w:trPr>
        <w:tc>
          <w:tcPr>
            <w:tcW w:w="567" w:type="dxa"/>
          </w:tcPr>
          <w:p w14:paraId="71ACE5C5" w14:textId="5B050F70" w:rsidR="0074286E" w:rsidRDefault="0074286E" w:rsidP="0074286E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5265" w:type="dxa"/>
          </w:tcPr>
          <w:p w14:paraId="10F7B905" w14:textId="3650D767" w:rsidR="0074286E" w:rsidRPr="007B5791" w:rsidRDefault="009A3C06" w:rsidP="0074286E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9A3C06">
              <w:rPr>
                <w:rFonts w:ascii="Arial" w:hAnsi="Arial"/>
                <w:b/>
              </w:rPr>
              <w:t>Révisions proposées au Règlement intérieur de l’Assemblée générale des États parties à la Convention</w:t>
            </w:r>
          </w:p>
        </w:tc>
        <w:tc>
          <w:tcPr>
            <w:tcW w:w="3874" w:type="dxa"/>
          </w:tcPr>
          <w:p w14:paraId="0A81B170" w14:textId="6C2E1646" w:rsidR="0074286E" w:rsidRPr="007B5791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LHE/22/9.GA/12</w:t>
            </w:r>
          </w:p>
        </w:tc>
      </w:tr>
      <w:tr w:rsidR="0074286E" w:rsidRPr="00AA7B3E" w14:paraId="0D76DAC7" w14:textId="77777777" w:rsidTr="002476A6">
        <w:trPr>
          <w:cantSplit/>
        </w:trPr>
        <w:tc>
          <w:tcPr>
            <w:tcW w:w="567" w:type="dxa"/>
          </w:tcPr>
          <w:p w14:paraId="5096D008" w14:textId="40ABEEF5" w:rsidR="0074286E" w:rsidRPr="00AA7B3E" w:rsidRDefault="0074286E" w:rsidP="0074286E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5265" w:type="dxa"/>
          </w:tcPr>
          <w:p w14:paraId="44B7B625" w14:textId="3B248DB4" w:rsidR="0074286E" w:rsidRPr="00AA7B3E" w:rsidRDefault="0074286E" w:rsidP="0074286E">
            <w:pPr>
              <w:spacing w:before="120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Proposition pour la célébration du vingtième anniversaire de la Convention en 2023</w:t>
            </w:r>
          </w:p>
        </w:tc>
        <w:tc>
          <w:tcPr>
            <w:tcW w:w="3874" w:type="dxa"/>
          </w:tcPr>
          <w:p w14:paraId="56D39137" w14:textId="46A1251A" w:rsidR="0074286E" w:rsidRPr="00AA7B3E" w:rsidRDefault="0074286E" w:rsidP="0074286E">
            <w:pPr>
              <w:spacing w:before="120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LHE/22/9.GA/13</w:t>
            </w:r>
          </w:p>
        </w:tc>
      </w:tr>
      <w:tr w:rsidR="0074286E" w:rsidRPr="00AA7B3E" w14:paraId="1A55C0B6" w14:textId="77777777" w:rsidTr="002476A6">
        <w:trPr>
          <w:cantSplit/>
        </w:trPr>
        <w:tc>
          <w:tcPr>
            <w:tcW w:w="567" w:type="dxa"/>
          </w:tcPr>
          <w:p w14:paraId="1C4938CE" w14:textId="1D511484" w:rsidR="0074286E" w:rsidRPr="00AA7B3E" w:rsidRDefault="0074286E" w:rsidP="0074286E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5265" w:type="dxa"/>
          </w:tcPr>
          <w:p w14:paraId="00D7A96C" w14:textId="7D30D4AD" w:rsidR="0074286E" w:rsidRPr="00AA7B3E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Questions diverses</w:t>
            </w:r>
          </w:p>
        </w:tc>
        <w:tc>
          <w:tcPr>
            <w:tcW w:w="3874" w:type="dxa"/>
          </w:tcPr>
          <w:p w14:paraId="2CAD95BA" w14:textId="5FF3C1A3" w:rsidR="0074286E" w:rsidRPr="00AA7B3E" w:rsidRDefault="0074286E" w:rsidP="0074286E">
            <w:pPr>
              <w:spacing w:before="120"/>
              <w:ind w:right="65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74286E" w:rsidRPr="00AA7B3E" w14:paraId="6F5AD3CD" w14:textId="77777777" w:rsidTr="002476A6">
        <w:trPr>
          <w:cantSplit/>
        </w:trPr>
        <w:tc>
          <w:tcPr>
            <w:tcW w:w="567" w:type="dxa"/>
          </w:tcPr>
          <w:p w14:paraId="66969F4D" w14:textId="767CB428" w:rsidR="0074286E" w:rsidRPr="00AA7B3E" w:rsidRDefault="0074286E" w:rsidP="0074286E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5265" w:type="dxa"/>
          </w:tcPr>
          <w:p w14:paraId="3B6A3785" w14:textId="77777777" w:rsidR="0074286E" w:rsidRPr="00AA7B3E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Clôture</w:t>
            </w:r>
          </w:p>
        </w:tc>
        <w:tc>
          <w:tcPr>
            <w:tcW w:w="3874" w:type="dxa"/>
          </w:tcPr>
          <w:p w14:paraId="74E0CE64" w14:textId="77777777" w:rsidR="0074286E" w:rsidRPr="00AA7B3E" w:rsidRDefault="0074286E" w:rsidP="0074286E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CC74E8F" w14:textId="7AC86ED8" w:rsidR="00EC0002" w:rsidRPr="00390636" w:rsidRDefault="00EC0002" w:rsidP="00390636">
      <w:pPr>
        <w:spacing w:after="0"/>
        <w:rPr>
          <w:rFonts w:ascii="Arial" w:hAnsi="Arial" w:cs="Arial"/>
          <w:snapToGrid w:val="0"/>
          <w:szCs w:val="22"/>
          <w:lang w:eastAsia="en-US"/>
        </w:rPr>
      </w:pPr>
    </w:p>
    <w:sectPr w:rsidR="00EC0002" w:rsidRPr="00390636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A9AF" w14:textId="77777777" w:rsidR="00B65DEB" w:rsidRDefault="00B65DEB" w:rsidP="002938F2">
      <w:r>
        <w:separator/>
      </w:r>
    </w:p>
    <w:p w14:paraId="71DB88AC" w14:textId="77777777" w:rsidR="00B65DEB" w:rsidRDefault="00B65DEB"/>
  </w:endnote>
  <w:endnote w:type="continuationSeparator" w:id="0">
    <w:p w14:paraId="2947749E" w14:textId="77777777" w:rsidR="00B65DEB" w:rsidRDefault="00B65DEB" w:rsidP="002938F2">
      <w:r>
        <w:continuationSeparator/>
      </w:r>
    </w:p>
    <w:p w14:paraId="3551A7DE" w14:textId="77777777"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9C6" w14:textId="77777777" w:rsidR="00B65DEB" w:rsidRDefault="00B65DEB" w:rsidP="002938F2">
      <w:r>
        <w:separator/>
      </w:r>
    </w:p>
    <w:p w14:paraId="3E070B5D" w14:textId="77777777" w:rsidR="00B65DEB" w:rsidRDefault="00B65DEB"/>
  </w:footnote>
  <w:footnote w:type="continuationSeparator" w:id="0">
    <w:p w14:paraId="083740FE" w14:textId="77777777" w:rsidR="00B65DEB" w:rsidRDefault="00B65DEB" w:rsidP="002938F2">
      <w:r>
        <w:continuationSeparator/>
      </w:r>
    </w:p>
    <w:p w14:paraId="4AC501A7" w14:textId="77777777"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BB1" w14:textId="55B1683C" w:rsidR="00B6167A" w:rsidRPr="006008A0" w:rsidRDefault="00816FFB" w:rsidP="006008A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LHE/22/9.GA/INF.3.2</w:t>
    </w:r>
    <w:r w:rsidR="002039F5">
      <w:rPr>
        <w:rFonts w:ascii="Arial" w:hAnsi="Arial"/>
        <w:sz w:val="20"/>
      </w:rPr>
      <w:t xml:space="preserve"> Rev.</w:t>
    </w:r>
    <w:r w:rsidR="00CC45A2">
      <w:rPr>
        <w:rFonts w:ascii="Arial" w:hAnsi="Arial"/>
        <w:sz w:val="20"/>
      </w:rPr>
      <w:t>1</w:t>
    </w:r>
    <w:r w:rsidR="003C00DC">
      <w:rPr>
        <w:rFonts w:ascii="Arial" w:hAnsi="Arial"/>
        <w:sz w:val="20"/>
      </w:rPr>
      <w:t>2</w:t>
    </w:r>
    <w:r>
      <w:rPr>
        <w:rFonts w:ascii="Arial" w:hAnsi="Arial"/>
        <w:sz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2</w:t>
    </w:r>
    <w:r w:rsidR="00B6167A" w:rsidRPr="00D81948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8A41" w14:textId="59E826F7" w:rsidR="00B6167A" w:rsidRPr="00FC166A" w:rsidRDefault="00E258F5" w:rsidP="00CC45A2">
    <w:pPr>
      <w:pStyle w:val="Header"/>
      <w:ind w:left="2544" w:firstLine="2701"/>
      <w:jc w:val="right"/>
      <w:rPr>
        <w:rFonts w:ascii="Arial" w:hAnsi="Arial" w:cs="Arial"/>
        <w:lang w:val="pt-PT"/>
      </w:rPr>
    </w:pPr>
    <w:r w:rsidRPr="00E04617">
      <w:rPr>
        <w:rFonts w:ascii="Arial" w:hAnsi="Arial"/>
        <w:sz w:val="20"/>
        <w:lang w:val="pt-PT"/>
      </w:rPr>
      <w:t>LHE/22/9.GA/INF.3.2</w:t>
    </w:r>
    <w:r w:rsidR="002039F5" w:rsidRPr="00E04617">
      <w:rPr>
        <w:rFonts w:ascii="Arial" w:hAnsi="Arial"/>
        <w:sz w:val="20"/>
        <w:lang w:val="pt-PT"/>
      </w:rPr>
      <w:t xml:space="preserve"> </w:t>
    </w:r>
    <w:r w:rsidR="002039F5" w:rsidRPr="00E04617">
      <w:rPr>
        <w:rFonts w:ascii="Arial" w:hAnsi="Arial"/>
        <w:sz w:val="20"/>
        <w:lang w:val="pt-PT"/>
      </w:rPr>
      <w:t>Rev.</w:t>
    </w:r>
    <w:r w:rsidR="00CC45A2">
      <w:rPr>
        <w:rFonts w:ascii="Arial" w:hAnsi="Arial"/>
        <w:sz w:val="20"/>
        <w:lang w:val="pt-PT"/>
      </w:rPr>
      <w:t>1</w:t>
    </w:r>
    <w:r w:rsidR="003C00DC">
      <w:rPr>
        <w:rFonts w:ascii="Arial" w:hAnsi="Arial"/>
        <w:sz w:val="20"/>
        <w:lang w:val="pt-PT"/>
      </w:rPr>
      <w:t>2</w:t>
    </w:r>
    <w:r w:rsidRPr="00E04617">
      <w:rPr>
        <w:rFonts w:ascii="Arial" w:hAnsi="Arial"/>
        <w:sz w:val="20"/>
        <w:lang w:val="pt-PT"/>
      </w:rPr>
      <w:t xml:space="preserve"> – page </w:t>
    </w:r>
    <w:r w:rsidR="001E4EEB" w:rsidRPr="00EF563B">
      <w:rPr>
        <w:rStyle w:val="PageNumber"/>
        <w:rFonts w:ascii="Arial" w:hAnsi="Arial" w:cs="Arial"/>
        <w:sz w:val="20"/>
      </w:rPr>
      <w:fldChar w:fldCharType="begin"/>
    </w:r>
    <w:r w:rsidR="001E4EEB" w:rsidRPr="00E04617">
      <w:rPr>
        <w:rStyle w:val="PageNumber"/>
        <w:rFonts w:ascii="Arial" w:hAnsi="Arial" w:cs="Arial"/>
        <w:sz w:val="20"/>
        <w:lang w:val="pt-PT"/>
      </w:rPr>
      <w:instrText xml:space="preserve"> PAGE </w:instrText>
    </w:r>
    <w:r w:rsidR="001E4EEB" w:rsidRPr="00EF563B">
      <w:rPr>
        <w:rStyle w:val="PageNumber"/>
        <w:rFonts w:ascii="Arial" w:hAnsi="Arial" w:cs="Arial"/>
        <w:sz w:val="20"/>
      </w:rPr>
      <w:fldChar w:fldCharType="separate"/>
    </w:r>
    <w:r w:rsidR="008E358B" w:rsidRPr="00E04617">
      <w:rPr>
        <w:rStyle w:val="PageNumber"/>
        <w:rFonts w:ascii="Arial" w:hAnsi="Arial" w:cs="Arial"/>
        <w:sz w:val="20"/>
        <w:lang w:val="pt-PT"/>
      </w:rPr>
      <w:t>3</w:t>
    </w:r>
    <w:r w:rsidR="001E4EEB" w:rsidRPr="00EF563B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8E4" w14:textId="3B902787" w:rsidR="00B6167A" w:rsidRPr="008724E5" w:rsidRDefault="000F42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9353F" wp14:editId="278C65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7350" cy="1391920"/>
          <wp:effectExtent l="0" t="0" r="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673811" w14:textId="232E907F" w:rsidR="00B6167A" w:rsidRPr="00BA50A5" w:rsidRDefault="005F580A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BA50A5">
      <w:rPr>
        <w:rFonts w:ascii="Arial" w:hAnsi="Arial"/>
        <w:b/>
        <w:sz w:val="44"/>
        <w:lang w:val="pt-PT"/>
      </w:rPr>
      <w:t>9 GA</w:t>
    </w:r>
  </w:p>
  <w:p w14:paraId="23DEC896" w14:textId="42B74AE3" w:rsidR="00B6167A" w:rsidRPr="004178B0" w:rsidRDefault="00816FFB" w:rsidP="002D396D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178B0">
      <w:rPr>
        <w:rFonts w:ascii="Arial" w:hAnsi="Arial"/>
        <w:b/>
        <w:lang w:val="pt-PT"/>
      </w:rPr>
      <w:t>LHE/22/9.GA/INF.3.2</w:t>
    </w:r>
    <w:r w:rsidR="002039F5" w:rsidRPr="004178B0">
      <w:rPr>
        <w:rFonts w:ascii="Arial" w:hAnsi="Arial"/>
        <w:b/>
        <w:lang w:val="pt-PT"/>
      </w:rPr>
      <w:t xml:space="preserve"> Rev.</w:t>
    </w:r>
    <w:r w:rsidR="00CC45A2" w:rsidRPr="004178B0">
      <w:rPr>
        <w:rFonts w:ascii="Arial" w:hAnsi="Arial"/>
        <w:b/>
        <w:lang w:val="pt-PT"/>
      </w:rPr>
      <w:t>1</w:t>
    </w:r>
    <w:r w:rsidR="00DB46BB">
      <w:rPr>
        <w:rFonts w:ascii="Arial" w:hAnsi="Arial"/>
        <w:b/>
        <w:lang w:val="pt-PT"/>
      </w:rPr>
      <w:t>2</w:t>
    </w:r>
  </w:p>
  <w:p w14:paraId="34C1D5E5" w14:textId="594AE5C2" w:rsidR="00B6167A" w:rsidRPr="00585F41" w:rsidRDefault="00B6167A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 xml:space="preserve">Paris, </w:t>
    </w:r>
    <w:r w:rsidRPr="00510D8D">
      <w:rPr>
        <w:rFonts w:ascii="Arial" w:hAnsi="Arial"/>
        <w:b/>
      </w:rPr>
      <w:t xml:space="preserve">le </w:t>
    </w:r>
    <w:r w:rsidR="00DB46BB">
      <w:rPr>
        <w:rFonts w:ascii="Arial" w:hAnsi="Arial"/>
        <w:b/>
      </w:rPr>
      <w:t>7</w:t>
    </w:r>
    <w:r w:rsidR="002039F5" w:rsidRPr="00510D8D">
      <w:rPr>
        <w:rFonts w:ascii="Arial" w:hAnsi="Arial"/>
        <w:b/>
      </w:rPr>
      <w:t xml:space="preserve"> j</w:t>
    </w:r>
    <w:r w:rsidR="002039F5">
      <w:rPr>
        <w:rFonts w:ascii="Arial" w:hAnsi="Arial"/>
        <w:b/>
      </w:rPr>
      <w:t>ui</w:t>
    </w:r>
    <w:r w:rsidR="00CC45A2">
      <w:rPr>
        <w:rFonts w:ascii="Arial" w:hAnsi="Arial"/>
        <w:b/>
      </w:rPr>
      <w:t>llet</w:t>
    </w:r>
    <w:r>
      <w:rPr>
        <w:rFonts w:ascii="Arial" w:hAnsi="Arial"/>
        <w:b/>
      </w:rPr>
      <w:t xml:space="preserve"> 2022</w:t>
    </w:r>
  </w:p>
  <w:p w14:paraId="0B377CE6" w14:textId="77777777"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</w:rPr>
      <w:t>Original : anglais</w:t>
    </w:r>
  </w:p>
  <w:p w14:paraId="6ABF3AB3" w14:textId="77777777"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0A19"/>
    <w:rsid w:val="000016A4"/>
    <w:rsid w:val="000019DB"/>
    <w:rsid w:val="000047CC"/>
    <w:rsid w:val="000120FD"/>
    <w:rsid w:val="00017A6D"/>
    <w:rsid w:val="00021831"/>
    <w:rsid w:val="00031594"/>
    <w:rsid w:val="00036F1B"/>
    <w:rsid w:val="00047E58"/>
    <w:rsid w:val="00063D9D"/>
    <w:rsid w:val="00073D20"/>
    <w:rsid w:val="000755E1"/>
    <w:rsid w:val="00085541"/>
    <w:rsid w:val="000A34CE"/>
    <w:rsid w:val="000C65E4"/>
    <w:rsid w:val="000C7382"/>
    <w:rsid w:val="000D21B0"/>
    <w:rsid w:val="000F4246"/>
    <w:rsid w:val="00106B72"/>
    <w:rsid w:val="0011750D"/>
    <w:rsid w:val="001412DE"/>
    <w:rsid w:val="00144A4D"/>
    <w:rsid w:val="00151351"/>
    <w:rsid w:val="00170867"/>
    <w:rsid w:val="00174B39"/>
    <w:rsid w:val="001A431C"/>
    <w:rsid w:val="001D00B5"/>
    <w:rsid w:val="001D3B29"/>
    <w:rsid w:val="001E4EEB"/>
    <w:rsid w:val="001F37CA"/>
    <w:rsid w:val="002039F5"/>
    <w:rsid w:val="0025042D"/>
    <w:rsid w:val="00263A99"/>
    <w:rsid w:val="0027198B"/>
    <w:rsid w:val="0028421B"/>
    <w:rsid w:val="00286C0C"/>
    <w:rsid w:val="00290D5F"/>
    <w:rsid w:val="002938F2"/>
    <w:rsid w:val="002A0766"/>
    <w:rsid w:val="002C5280"/>
    <w:rsid w:val="002D28A5"/>
    <w:rsid w:val="002D396D"/>
    <w:rsid w:val="002E6FDA"/>
    <w:rsid w:val="002F4231"/>
    <w:rsid w:val="003541F3"/>
    <w:rsid w:val="00363995"/>
    <w:rsid w:val="00376E6E"/>
    <w:rsid w:val="00390636"/>
    <w:rsid w:val="0039446E"/>
    <w:rsid w:val="003C00DC"/>
    <w:rsid w:val="003C7065"/>
    <w:rsid w:val="004108B6"/>
    <w:rsid w:val="004178B0"/>
    <w:rsid w:val="00434773"/>
    <w:rsid w:val="00471B34"/>
    <w:rsid w:val="004B1EE7"/>
    <w:rsid w:val="005016FB"/>
    <w:rsid w:val="00510D8D"/>
    <w:rsid w:val="00511D17"/>
    <w:rsid w:val="0051699F"/>
    <w:rsid w:val="005464F2"/>
    <w:rsid w:val="00554E37"/>
    <w:rsid w:val="00571ED6"/>
    <w:rsid w:val="0058045F"/>
    <w:rsid w:val="00585F41"/>
    <w:rsid w:val="005C0660"/>
    <w:rsid w:val="005C57C3"/>
    <w:rsid w:val="005F580A"/>
    <w:rsid w:val="006008A0"/>
    <w:rsid w:val="006515C9"/>
    <w:rsid w:val="00652318"/>
    <w:rsid w:val="007045E8"/>
    <w:rsid w:val="007422F8"/>
    <w:rsid w:val="0074286E"/>
    <w:rsid w:val="00746204"/>
    <w:rsid w:val="00747715"/>
    <w:rsid w:val="00750138"/>
    <w:rsid w:val="00753DA3"/>
    <w:rsid w:val="0075769B"/>
    <w:rsid w:val="007578A9"/>
    <w:rsid w:val="00764F50"/>
    <w:rsid w:val="00790C65"/>
    <w:rsid w:val="00791B96"/>
    <w:rsid w:val="007A7D45"/>
    <w:rsid w:val="007B5791"/>
    <w:rsid w:val="007C1B00"/>
    <w:rsid w:val="007D31CE"/>
    <w:rsid w:val="007D5BB7"/>
    <w:rsid w:val="007E0621"/>
    <w:rsid w:val="007F4B07"/>
    <w:rsid w:val="007F53F6"/>
    <w:rsid w:val="00816FFB"/>
    <w:rsid w:val="00822028"/>
    <w:rsid w:val="0083488D"/>
    <w:rsid w:val="008466C3"/>
    <w:rsid w:val="00851458"/>
    <w:rsid w:val="00861A47"/>
    <w:rsid w:val="008707FF"/>
    <w:rsid w:val="008724E5"/>
    <w:rsid w:val="00887CD2"/>
    <w:rsid w:val="008978D8"/>
    <w:rsid w:val="008A4197"/>
    <w:rsid w:val="008B33FF"/>
    <w:rsid w:val="008B3639"/>
    <w:rsid w:val="008E358B"/>
    <w:rsid w:val="008F16C6"/>
    <w:rsid w:val="008F34A1"/>
    <w:rsid w:val="008F4655"/>
    <w:rsid w:val="009121CE"/>
    <w:rsid w:val="00964FFC"/>
    <w:rsid w:val="0097349C"/>
    <w:rsid w:val="009A3C06"/>
    <w:rsid w:val="009D5E38"/>
    <w:rsid w:val="009E1A8B"/>
    <w:rsid w:val="009F3988"/>
    <w:rsid w:val="009F3BD7"/>
    <w:rsid w:val="009F7403"/>
    <w:rsid w:val="00A070C5"/>
    <w:rsid w:val="00A150C7"/>
    <w:rsid w:val="00A519A2"/>
    <w:rsid w:val="00A70883"/>
    <w:rsid w:val="00A77AEB"/>
    <w:rsid w:val="00A806FB"/>
    <w:rsid w:val="00A9541D"/>
    <w:rsid w:val="00AA0C71"/>
    <w:rsid w:val="00AA444A"/>
    <w:rsid w:val="00AA78F2"/>
    <w:rsid w:val="00AB1528"/>
    <w:rsid w:val="00AD527E"/>
    <w:rsid w:val="00AE1B18"/>
    <w:rsid w:val="00AF1C32"/>
    <w:rsid w:val="00B11AE3"/>
    <w:rsid w:val="00B43C28"/>
    <w:rsid w:val="00B6167A"/>
    <w:rsid w:val="00B65DEB"/>
    <w:rsid w:val="00B973B5"/>
    <w:rsid w:val="00BA50A5"/>
    <w:rsid w:val="00BD07A5"/>
    <w:rsid w:val="00BE01D2"/>
    <w:rsid w:val="00C26259"/>
    <w:rsid w:val="00C6478B"/>
    <w:rsid w:val="00C71823"/>
    <w:rsid w:val="00C740F4"/>
    <w:rsid w:val="00C74279"/>
    <w:rsid w:val="00C80AAE"/>
    <w:rsid w:val="00C86EF6"/>
    <w:rsid w:val="00C93C76"/>
    <w:rsid w:val="00CB0F37"/>
    <w:rsid w:val="00CC2BC6"/>
    <w:rsid w:val="00CC45A2"/>
    <w:rsid w:val="00CE2586"/>
    <w:rsid w:val="00D404B7"/>
    <w:rsid w:val="00D809E5"/>
    <w:rsid w:val="00D81948"/>
    <w:rsid w:val="00D9501F"/>
    <w:rsid w:val="00D9783F"/>
    <w:rsid w:val="00DB46BB"/>
    <w:rsid w:val="00DB50D5"/>
    <w:rsid w:val="00DF3DA3"/>
    <w:rsid w:val="00E01E90"/>
    <w:rsid w:val="00E04617"/>
    <w:rsid w:val="00E06A00"/>
    <w:rsid w:val="00E101E6"/>
    <w:rsid w:val="00E22B99"/>
    <w:rsid w:val="00E258D9"/>
    <w:rsid w:val="00E258F5"/>
    <w:rsid w:val="00E439CA"/>
    <w:rsid w:val="00E5219B"/>
    <w:rsid w:val="00E54911"/>
    <w:rsid w:val="00E87083"/>
    <w:rsid w:val="00EA198F"/>
    <w:rsid w:val="00EC0002"/>
    <w:rsid w:val="00EE3C98"/>
    <w:rsid w:val="00EF0BCB"/>
    <w:rsid w:val="00EF0E74"/>
    <w:rsid w:val="00F00E8A"/>
    <w:rsid w:val="00F41022"/>
    <w:rsid w:val="00F63DDA"/>
    <w:rsid w:val="00F70858"/>
    <w:rsid w:val="00F7397F"/>
    <w:rsid w:val="00F75949"/>
    <w:rsid w:val="00F941F0"/>
    <w:rsid w:val="00FA2384"/>
    <w:rsid w:val="00FC166A"/>
    <w:rsid w:val="00FF2B1D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B56AF98"/>
  <w15:docId w15:val="{946455BF-428B-4C9E-8000-E58E28D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customStyle="1" w:styleId="1GAParabodytext">
    <w:name w:val="1.GA Para body text"/>
    <w:basedOn w:val="Marge"/>
    <w:qFormat/>
    <w:rsid w:val="00E87083"/>
    <w:pPr>
      <w:spacing w:after="120"/>
      <w:ind w:left="567" w:hanging="567"/>
    </w:pPr>
    <w:rPr>
      <w:rFonts w:cs="Arial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91B9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466C-1A92-4EC9-A050-61962ED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Tan, Nicholas</cp:lastModifiedBy>
  <cp:revision>4</cp:revision>
  <cp:lastPrinted>2022-03-28T08:07:00Z</cp:lastPrinted>
  <dcterms:created xsi:type="dcterms:W3CDTF">2022-07-06T18:57:00Z</dcterms:created>
  <dcterms:modified xsi:type="dcterms:W3CDTF">2022-07-06T19:01:00Z</dcterms:modified>
</cp:coreProperties>
</file>