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B874" w14:textId="7ED41C10" w:rsidR="002938F2" w:rsidRPr="000D52D3" w:rsidRDefault="002938F2" w:rsidP="00D80DFD">
      <w:pPr>
        <w:spacing w:before="1440" w:after="0"/>
        <w:jc w:val="center"/>
        <w:rPr>
          <w:rFonts w:ascii="Arial" w:hAnsi="Arial" w:cs="Arial"/>
          <w:b/>
          <w:szCs w:val="22"/>
        </w:rPr>
      </w:pPr>
      <w:r w:rsidRPr="000D52D3">
        <w:rPr>
          <w:rFonts w:ascii="Arial" w:hAnsi="Arial"/>
          <w:b/>
        </w:rPr>
        <w:t>CONVENTION POUR LA SAUVEGARDE</w:t>
      </w:r>
      <w:r w:rsidR="00E06A59" w:rsidRPr="000D52D3">
        <w:rPr>
          <w:rFonts w:ascii="Arial" w:hAnsi="Arial" w:cs="Arial"/>
          <w:b/>
          <w:szCs w:val="22"/>
        </w:rPr>
        <w:br/>
      </w:r>
      <w:r w:rsidRPr="000D52D3">
        <w:rPr>
          <w:rFonts w:ascii="Arial" w:hAnsi="Arial"/>
          <w:b/>
        </w:rPr>
        <w:t>DU PATRIMOINE CULTUREL IMMATÉRIEL</w:t>
      </w:r>
    </w:p>
    <w:p w14:paraId="6EF31D58" w14:textId="242AA64F" w:rsidR="002938F2" w:rsidRPr="000D52D3" w:rsidRDefault="00E439CA" w:rsidP="00AE1B18">
      <w:pPr>
        <w:spacing w:before="1200"/>
        <w:jc w:val="center"/>
        <w:rPr>
          <w:rFonts w:ascii="Arial" w:hAnsi="Arial" w:cs="Arial"/>
          <w:b/>
          <w:szCs w:val="22"/>
        </w:rPr>
      </w:pPr>
      <w:r w:rsidRPr="000D52D3">
        <w:rPr>
          <w:rFonts w:ascii="Arial" w:hAnsi="Arial"/>
          <w:b/>
        </w:rPr>
        <w:t xml:space="preserve">ASSEMBLÉE GÉNÉRALE DES </w:t>
      </w:r>
      <w:r w:rsidR="0042677B" w:rsidRPr="000D52D3">
        <w:rPr>
          <w:rFonts w:ascii="Arial" w:hAnsi="Arial"/>
          <w:b/>
        </w:rPr>
        <w:t>É</w:t>
      </w:r>
      <w:r w:rsidRPr="000D52D3">
        <w:rPr>
          <w:rFonts w:ascii="Arial" w:hAnsi="Arial"/>
          <w:b/>
        </w:rPr>
        <w:t xml:space="preserve">TATS PARTIES À LA CONVENTION </w:t>
      </w:r>
    </w:p>
    <w:p w14:paraId="7FB9A5B0" w14:textId="7128E92A" w:rsidR="00E439CA" w:rsidRPr="000D52D3" w:rsidRDefault="007422F8" w:rsidP="002D396D">
      <w:pPr>
        <w:spacing w:before="840" w:after="0"/>
        <w:jc w:val="center"/>
        <w:rPr>
          <w:rFonts w:ascii="Arial" w:hAnsi="Arial" w:cs="Arial"/>
          <w:b/>
          <w:szCs w:val="22"/>
        </w:rPr>
      </w:pPr>
      <w:r w:rsidRPr="000D52D3">
        <w:rPr>
          <w:rFonts w:ascii="Arial" w:hAnsi="Arial"/>
          <w:b/>
        </w:rPr>
        <w:t>Neuvième session</w:t>
      </w:r>
    </w:p>
    <w:p w14:paraId="1016405C" w14:textId="6193C0C5" w:rsidR="00E439CA" w:rsidRPr="000D52D3" w:rsidRDefault="00E439CA" w:rsidP="002D396D">
      <w:pPr>
        <w:spacing w:after="0"/>
        <w:jc w:val="center"/>
        <w:rPr>
          <w:rFonts w:ascii="Arial" w:hAnsi="Arial" w:cs="Arial"/>
          <w:b/>
          <w:szCs w:val="22"/>
        </w:rPr>
      </w:pPr>
      <w:r w:rsidRPr="000D52D3">
        <w:rPr>
          <w:rFonts w:ascii="Arial" w:hAnsi="Arial"/>
          <w:b/>
        </w:rPr>
        <w:t>Siège de l</w:t>
      </w:r>
      <w:r w:rsidR="00CB437A" w:rsidRPr="000D52D3">
        <w:rPr>
          <w:rFonts w:ascii="Arial" w:hAnsi="Arial"/>
          <w:b/>
        </w:rPr>
        <w:t>’</w:t>
      </w:r>
      <w:r w:rsidRPr="000D52D3">
        <w:rPr>
          <w:rFonts w:ascii="Arial" w:hAnsi="Arial"/>
          <w:b/>
        </w:rPr>
        <w:t xml:space="preserve">UNESCO, </w:t>
      </w:r>
      <w:r w:rsidR="00C11084" w:rsidRPr="000D52D3">
        <w:rPr>
          <w:rFonts w:ascii="Arial" w:hAnsi="Arial"/>
          <w:b/>
        </w:rPr>
        <w:t>S</w:t>
      </w:r>
      <w:r w:rsidRPr="000D52D3">
        <w:rPr>
          <w:rFonts w:ascii="Arial" w:hAnsi="Arial"/>
          <w:b/>
        </w:rPr>
        <w:t>alle I</w:t>
      </w:r>
    </w:p>
    <w:p w14:paraId="40AFC0CB" w14:textId="387BC680" w:rsidR="002938F2" w:rsidRPr="000D52D3" w:rsidRDefault="007422F8" w:rsidP="002D396D">
      <w:pPr>
        <w:spacing w:after="0"/>
        <w:jc w:val="center"/>
        <w:rPr>
          <w:rFonts w:ascii="Arial" w:hAnsi="Arial" w:cs="Arial"/>
          <w:b/>
          <w:szCs w:val="22"/>
        </w:rPr>
      </w:pPr>
      <w:r w:rsidRPr="000D52D3">
        <w:rPr>
          <w:rFonts w:ascii="Arial" w:hAnsi="Arial"/>
          <w:b/>
        </w:rPr>
        <w:t xml:space="preserve">5 </w:t>
      </w:r>
      <w:r w:rsidR="00C11084" w:rsidRPr="000D52D3">
        <w:rPr>
          <w:rFonts w:ascii="Arial" w:hAnsi="Arial"/>
          <w:b/>
        </w:rPr>
        <w:t xml:space="preserve">– </w:t>
      </w:r>
      <w:r w:rsidRPr="000D52D3">
        <w:rPr>
          <w:rFonts w:ascii="Arial" w:hAnsi="Arial"/>
          <w:b/>
        </w:rPr>
        <w:t>7</w:t>
      </w:r>
      <w:r w:rsidR="00C11084" w:rsidRPr="000D52D3">
        <w:rPr>
          <w:rFonts w:ascii="Arial" w:hAnsi="Arial"/>
          <w:b/>
        </w:rPr>
        <w:t xml:space="preserve"> </w:t>
      </w:r>
      <w:r w:rsidRPr="000D52D3">
        <w:rPr>
          <w:rFonts w:ascii="Arial" w:hAnsi="Arial"/>
          <w:b/>
        </w:rPr>
        <w:t>juillet 2022</w:t>
      </w:r>
    </w:p>
    <w:p w14:paraId="31840E81" w14:textId="6343CBE6" w:rsidR="00851458" w:rsidRPr="000D52D3" w:rsidRDefault="00197D62" w:rsidP="000D52D3">
      <w:pPr>
        <w:pStyle w:val="Sansinterligne1"/>
        <w:spacing w:before="1200" w:after="960"/>
        <w:jc w:val="center"/>
        <w:rPr>
          <w:rFonts w:ascii="Arial" w:hAnsi="Arial" w:cs="Arial"/>
          <w:b/>
          <w:sz w:val="22"/>
          <w:szCs w:val="22"/>
          <w:u w:val="single"/>
        </w:rPr>
      </w:pPr>
      <w:bookmarkStart w:id="0" w:name="_Hlk101342593"/>
      <w:r w:rsidRPr="000D52D3">
        <w:rPr>
          <w:rFonts w:ascii="Arial" w:hAnsi="Arial"/>
          <w:b/>
          <w:sz w:val="22"/>
          <w:u w:val="single"/>
        </w:rPr>
        <w:t>Rapport sur le Fonds du patrimoine culturel immatériel</w:t>
      </w:r>
      <w:r w:rsidR="00E06A59" w:rsidRPr="000D52D3">
        <w:rPr>
          <w:rFonts w:ascii="Arial" w:hAnsi="Arial" w:cs="Arial"/>
          <w:b/>
          <w:szCs w:val="22"/>
        </w:rPr>
        <w:br/>
      </w:r>
      <w:r w:rsidRPr="000D52D3">
        <w:rPr>
          <w:rFonts w:ascii="Arial" w:hAnsi="Arial"/>
          <w:b/>
          <w:sz w:val="22"/>
          <w:u w:val="single"/>
        </w:rPr>
        <w:t>pour la période du 1</w:t>
      </w:r>
      <w:r w:rsidR="0042677B" w:rsidRPr="000D52D3">
        <w:rPr>
          <w:rFonts w:ascii="Arial" w:hAnsi="Arial"/>
          <w:b/>
          <w:sz w:val="22"/>
          <w:u w:val="single"/>
        </w:rPr>
        <w:t> </w:t>
      </w:r>
      <w:r w:rsidRPr="000D52D3">
        <w:rPr>
          <w:rFonts w:ascii="Arial" w:hAnsi="Arial"/>
          <w:b/>
          <w:sz w:val="22"/>
          <w:u w:val="single"/>
        </w:rPr>
        <w:t>janvier 2020 au 31</w:t>
      </w:r>
      <w:r w:rsidR="0042677B" w:rsidRPr="000D52D3">
        <w:rPr>
          <w:rFonts w:ascii="Arial" w:hAnsi="Arial"/>
          <w:b/>
          <w:sz w:val="22"/>
          <w:u w:val="single"/>
        </w:rPr>
        <w:t> </w:t>
      </w:r>
      <w:r w:rsidRPr="000D52D3">
        <w:rPr>
          <w:rFonts w:ascii="Arial" w:hAnsi="Arial"/>
          <w:b/>
          <w:sz w:val="22"/>
          <w:u w:val="single"/>
        </w:rPr>
        <w:t>décembre 2021</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C31DA5" w:rsidRPr="000D52D3" w14:paraId="7C09A03E" w14:textId="77777777" w:rsidTr="00013DF4">
        <w:trPr>
          <w:jc w:val="center"/>
        </w:trPr>
        <w:tc>
          <w:tcPr>
            <w:tcW w:w="5669" w:type="dxa"/>
          </w:tcPr>
          <w:bookmarkEnd w:id="0"/>
          <w:p w14:paraId="066C53E9" w14:textId="77777777" w:rsidR="00C31DA5" w:rsidRPr="000D52D3" w:rsidRDefault="00C31DA5" w:rsidP="00013DF4">
            <w:pPr>
              <w:pStyle w:val="NoSpacing"/>
              <w:spacing w:before="200" w:after="200"/>
              <w:ind w:left="284" w:right="284"/>
              <w:jc w:val="center"/>
              <w:rPr>
                <w:rFonts w:ascii="Arial" w:hAnsi="Arial" w:cs="Arial"/>
                <w:b/>
                <w:sz w:val="22"/>
                <w:szCs w:val="22"/>
              </w:rPr>
            </w:pPr>
            <w:r w:rsidRPr="000D52D3">
              <w:rPr>
                <w:rFonts w:ascii="Arial" w:hAnsi="Arial"/>
                <w:b/>
                <w:sz w:val="22"/>
              </w:rPr>
              <w:t>Résumé</w:t>
            </w:r>
          </w:p>
          <w:p w14:paraId="04DBB70A" w14:textId="3AF219AF" w:rsidR="00C31DA5" w:rsidRPr="000D52D3" w:rsidRDefault="00C31DA5" w:rsidP="00013DF4">
            <w:pPr>
              <w:pStyle w:val="Pranumrotrecommenc1"/>
              <w:tabs>
                <w:tab w:val="clear" w:pos="360"/>
              </w:tabs>
              <w:spacing w:before="200" w:after="200"/>
              <w:ind w:left="0" w:firstLine="0"/>
              <w:jc w:val="both"/>
              <w:rPr>
                <w:rFonts w:cs="Arial"/>
                <w:sz w:val="22"/>
                <w:szCs w:val="22"/>
              </w:rPr>
            </w:pPr>
            <w:r w:rsidRPr="000D52D3">
              <w:rPr>
                <w:sz w:val="22"/>
              </w:rPr>
              <w:t>Conformément à l</w:t>
            </w:r>
            <w:r w:rsidR="00CB437A" w:rsidRPr="000D52D3">
              <w:rPr>
                <w:sz w:val="22"/>
              </w:rPr>
              <w:t>’</w:t>
            </w:r>
            <w:r w:rsidRPr="000D52D3">
              <w:rPr>
                <w:sz w:val="22"/>
              </w:rPr>
              <w:t>article</w:t>
            </w:r>
            <w:r w:rsidR="0042677B" w:rsidRPr="000D52D3">
              <w:rPr>
                <w:sz w:val="22"/>
              </w:rPr>
              <w:t> </w:t>
            </w:r>
            <w:r w:rsidRPr="000D52D3">
              <w:rPr>
                <w:sz w:val="22"/>
              </w:rPr>
              <w:t xml:space="preserve">10 du Règlement financier du Compte spécial du Fonds pour la sauvegarde du patrimoine culturel immatériel, </w:t>
            </w:r>
            <w:bookmarkStart w:id="1" w:name="_Hlk101342700"/>
            <w:r w:rsidRPr="000D52D3">
              <w:rPr>
                <w:sz w:val="22"/>
              </w:rPr>
              <w:t xml:space="preserve">le présent document </w:t>
            </w:r>
            <w:r w:rsidR="00267F0A" w:rsidRPr="000D52D3">
              <w:rPr>
                <w:sz w:val="22"/>
              </w:rPr>
              <w:t xml:space="preserve">comprend </w:t>
            </w:r>
            <w:r w:rsidRPr="000D52D3">
              <w:rPr>
                <w:sz w:val="22"/>
              </w:rPr>
              <w:t>les rapports narratifs et financiers du Fonds pour le patrimoine culturel immatériel pour la période allant du 1</w:t>
            </w:r>
            <w:r w:rsidR="0042677B" w:rsidRPr="000D52D3">
              <w:rPr>
                <w:sz w:val="22"/>
              </w:rPr>
              <w:t> </w:t>
            </w:r>
            <w:r w:rsidRPr="000D52D3">
              <w:rPr>
                <w:sz w:val="22"/>
              </w:rPr>
              <w:t>janvier 2020 au 31</w:t>
            </w:r>
            <w:r w:rsidR="0042677B" w:rsidRPr="000D52D3">
              <w:rPr>
                <w:sz w:val="22"/>
              </w:rPr>
              <w:t> </w:t>
            </w:r>
            <w:r w:rsidRPr="000D52D3">
              <w:rPr>
                <w:sz w:val="22"/>
              </w:rPr>
              <w:t>décembre 2021.</w:t>
            </w:r>
            <w:bookmarkEnd w:id="1"/>
          </w:p>
        </w:tc>
      </w:tr>
    </w:tbl>
    <w:p w14:paraId="322D2DC7" w14:textId="72F4FA7F" w:rsidR="000C7382" w:rsidRPr="000D52D3" w:rsidRDefault="00851458" w:rsidP="000C7382">
      <w:pPr>
        <w:pStyle w:val="1GAPara"/>
        <w:rPr>
          <w:bCs/>
          <w:snapToGrid/>
        </w:rPr>
      </w:pPr>
      <w:r w:rsidRPr="000D52D3">
        <w:br w:type="page"/>
      </w:r>
    </w:p>
    <w:p w14:paraId="41627706" w14:textId="6C6CC82C" w:rsidR="00B33DB5" w:rsidRPr="000D52D3" w:rsidRDefault="00B33DB5" w:rsidP="00230FC6">
      <w:pPr>
        <w:pStyle w:val="ListParagraph"/>
        <w:numPr>
          <w:ilvl w:val="0"/>
          <w:numId w:val="0"/>
        </w:numPr>
        <w:ind w:left="567"/>
        <w:rPr>
          <w:b/>
          <w:bCs/>
        </w:rPr>
      </w:pPr>
      <w:r w:rsidRPr="000D52D3">
        <w:rPr>
          <w:b/>
        </w:rPr>
        <w:lastRenderedPageBreak/>
        <w:t xml:space="preserve">Contexte </w:t>
      </w:r>
    </w:p>
    <w:p w14:paraId="0F8EDD57" w14:textId="28A07F5E" w:rsidR="0068419D" w:rsidRPr="000D52D3" w:rsidRDefault="00875129" w:rsidP="0071135F">
      <w:pPr>
        <w:pStyle w:val="1GAPara"/>
        <w:numPr>
          <w:ilvl w:val="0"/>
          <w:numId w:val="19"/>
        </w:numPr>
        <w:ind w:left="567" w:hanging="567"/>
        <w:jc w:val="both"/>
      </w:pPr>
      <w:r w:rsidRPr="000D52D3">
        <w:t>Le Compte spécial du Fonds pour la sauvegarde du patrimoine culturel immatériel (ci-après «</w:t>
      </w:r>
      <w:r w:rsidR="0042677B" w:rsidRPr="000D52D3">
        <w:t> </w:t>
      </w:r>
      <w:r w:rsidRPr="000D52D3">
        <w:t>le Fonds</w:t>
      </w:r>
      <w:r w:rsidR="0042677B" w:rsidRPr="000D52D3">
        <w:t> </w:t>
      </w:r>
      <w:r w:rsidRPr="000D52D3">
        <w:t>») est régi par son Règlement financier, adopté par le Comité lors de sa première session extraordinaire et modifié en dernier lieu par l</w:t>
      </w:r>
      <w:r w:rsidR="00CB437A" w:rsidRPr="000D52D3">
        <w:t>’</w:t>
      </w:r>
      <w:r w:rsidRPr="000D52D3">
        <w:t>Assemblée générale à sa huitième session (Résolution</w:t>
      </w:r>
      <w:r w:rsidR="0042677B" w:rsidRPr="000D52D3">
        <w:t> </w:t>
      </w:r>
      <w:hyperlink r:id="rId8" w:history="1">
        <w:r w:rsidRPr="000D52D3">
          <w:rPr>
            <w:rStyle w:val="Hyperlink"/>
          </w:rPr>
          <w:t>8.GA</w:t>
        </w:r>
        <w:r w:rsidR="0042677B" w:rsidRPr="000D52D3">
          <w:rPr>
            <w:rStyle w:val="Hyperlink"/>
          </w:rPr>
          <w:t> </w:t>
        </w:r>
        <w:r w:rsidRPr="000D52D3">
          <w:rPr>
            <w:rStyle w:val="Hyperlink"/>
          </w:rPr>
          <w:t>7</w:t>
        </w:r>
      </w:hyperlink>
      <w:r w:rsidRPr="000D52D3">
        <w:t>). Conformément à son article</w:t>
      </w:r>
      <w:r w:rsidR="0042677B" w:rsidRPr="000D52D3">
        <w:t> </w:t>
      </w:r>
      <w:r w:rsidRPr="000D52D3">
        <w:t>10, des rapports narratifs et financiers biennaux sont soumis à l</w:t>
      </w:r>
      <w:r w:rsidR="00CB437A" w:rsidRPr="000D52D3">
        <w:t>’</w:t>
      </w:r>
      <w:r w:rsidRPr="000D52D3">
        <w:t>Assemblée générale. Le présent document constitue un rapport à ce titre, couvrant la période du 1er</w:t>
      </w:r>
      <w:r w:rsidR="0042677B" w:rsidRPr="000D52D3">
        <w:t> </w:t>
      </w:r>
      <w:r w:rsidRPr="000D52D3">
        <w:t>janvier 2020 au 31</w:t>
      </w:r>
      <w:r w:rsidR="0042677B" w:rsidRPr="000D52D3">
        <w:t> </w:t>
      </w:r>
      <w:r w:rsidRPr="000D52D3">
        <w:t xml:space="preserve">décembre 2021. </w:t>
      </w:r>
    </w:p>
    <w:p w14:paraId="71611F79" w14:textId="216DDC9C" w:rsidR="009C2B72" w:rsidRPr="000D52D3" w:rsidRDefault="0068419D" w:rsidP="0071135F">
      <w:pPr>
        <w:pStyle w:val="1GAPara"/>
        <w:numPr>
          <w:ilvl w:val="0"/>
          <w:numId w:val="19"/>
        </w:numPr>
        <w:ind w:left="567" w:hanging="567"/>
        <w:jc w:val="both"/>
      </w:pPr>
      <w:r w:rsidRPr="000D52D3">
        <w:t xml:space="preserve">Ces rapports doivent être lus conjointement avec la présentation de la situation et des tendances du Fonds figurant dans le document </w:t>
      </w:r>
      <w:hyperlink r:id="rId9" w:history="1">
        <w:r w:rsidRPr="000D52D3">
          <w:rPr>
            <w:rStyle w:val="Hyperlink"/>
          </w:rPr>
          <w:t>LHE/22/9.GA/10</w:t>
        </w:r>
      </w:hyperlink>
      <w:r w:rsidRPr="000D52D3">
        <w:t xml:space="preserve"> ainsi qu</w:t>
      </w:r>
      <w:r w:rsidR="00CB437A" w:rsidRPr="000D52D3">
        <w:t>’</w:t>
      </w:r>
      <w:r w:rsidRPr="000D52D3">
        <w:t xml:space="preserve">avec le rapport du Secrétariat sur ses activités au cours de la même période (document </w:t>
      </w:r>
      <w:hyperlink r:id="rId10" w:history="1">
        <w:r w:rsidRPr="000D52D3">
          <w:rPr>
            <w:rStyle w:val="Hyperlink"/>
          </w:rPr>
          <w:t>LHE/22/9.GA/6</w:t>
        </w:r>
      </w:hyperlink>
      <w:r w:rsidRPr="000D52D3">
        <w:t>). En outre, des informations complémentaires concernant certains aspects spécifiques du Fonds sont disponibles dans les documents examinés à l</w:t>
      </w:r>
      <w:r w:rsidR="00CB437A" w:rsidRPr="000D52D3">
        <w:t>’</w:t>
      </w:r>
      <w:r w:rsidRPr="000D52D3">
        <w:t>occasion de la seizième session du Comité de 2021, notamment les «</w:t>
      </w:r>
      <w:r w:rsidR="0042677B" w:rsidRPr="000D52D3">
        <w:t> </w:t>
      </w:r>
      <w:r w:rsidRPr="000D52D3">
        <w:t>Rapports des États parties sur l</w:t>
      </w:r>
      <w:r w:rsidR="00CB437A" w:rsidRPr="000D52D3">
        <w:t>’</w:t>
      </w:r>
      <w:r w:rsidRPr="000D52D3">
        <w:t>utilisation de l</w:t>
      </w:r>
      <w:r w:rsidR="00CB437A" w:rsidRPr="000D52D3">
        <w:t>’</w:t>
      </w:r>
      <w:r w:rsidRPr="000D52D3">
        <w:t>assistance internationale du Fonds du patrimoine culturel immatériel</w:t>
      </w:r>
      <w:r w:rsidR="0042677B" w:rsidRPr="000D52D3">
        <w:t> </w:t>
      </w:r>
      <w:r w:rsidRPr="000D52D3">
        <w:t xml:space="preserve">» (document </w:t>
      </w:r>
      <w:hyperlink r:id="rId11" w:history="1">
        <w:r w:rsidRPr="000D52D3">
          <w:rPr>
            <w:rStyle w:val="Hyperlink"/>
          </w:rPr>
          <w:t>LHE/21/16.COM/7.d</w:t>
        </w:r>
      </w:hyperlink>
      <w:r w:rsidRPr="000D52D3">
        <w:t>) et «</w:t>
      </w:r>
      <w:r w:rsidR="0042677B" w:rsidRPr="000D52D3">
        <w:t> </w:t>
      </w:r>
      <w:r w:rsidRPr="000D52D3">
        <w:t>Fonds du patrimoine culturel immatériel</w:t>
      </w:r>
      <w:r w:rsidR="0042677B" w:rsidRPr="000D52D3">
        <w:t> </w:t>
      </w:r>
      <w:r w:rsidRPr="000D52D3">
        <w:t>: contributions volontaires supplémentaires et autres questions</w:t>
      </w:r>
      <w:r w:rsidR="0042677B" w:rsidRPr="000D52D3">
        <w:t> </w:t>
      </w:r>
      <w:r w:rsidRPr="000D52D3">
        <w:t xml:space="preserve">» (document </w:t>
      </w:r>
      <w:hyperlink r:id="rId12" w:history="1">
        <w:r w:rsidRPr="000D52D3">
          <w:rPr>
            <w:rStyle w:val="Hyperlink"/>
          </w:rPr>
          <w:t>LHE/21/16.COM/12</w:t>
        </w:r>
      </w:hyperlink>
      <w:r w:rsidRPr="000D52D3">
        <w:t>).</w:t>
      </w:r>
    </w:p>
    <w:p w14:paraId="2FCEDC1C" w14:textId="77F9FC63" w:rsidR="00D87F06" w:rsidRPr="000D52D3" w:rsidRDefault="00D87F06" w:rsidP="00E06A59">
      <w:pPr>
        <w:pStyle w:val="1GAPara"/>
        <w:keepNext/>
        <w:ind w:left="567" w:hanging="567"/>
        <w:jc w:val="both"/>
      </w:pPr>
      <w:r w:rsidRPr="000D52D3">
        <w:t xml:space="preserve">Le présent document comporte: </w:t>
      </w:r>
    </w:p>
    <w:p w14:paraId="388BFF44" w14:textId="773A7B3D" w:rsidR="007E3164" w:rsidRPr="000D52D3" w:rsidRDefault="00400214" w:rsidP="00880749">
      <w:pPr>
        <w:pStyle w:val="1GAPara"/>
        <w:numPr>
          <w:ilvl w:val="1"/>
          <w:numId w:val="9"/>
        </w:numPr>
        <w:ind w:left="993" w:hanging="426"/>
        <w:jc w:val="both"/>
      </w:pPr>
      <w:r>
        <w:t>u</w:t>
      </w:r>
      <w:r w:rsidR="007E3164" w:rsidRPr="000D52D3">
        <w:t>ne présentation des revenus du Fonds (</w:t>
      </w:r>
      <w:hyperlink w:anchor="_Revenus_du_Fonds" w:history="1">
        <w:r w:rsidR="007E3164" w:rsidRPr="000D52D3">
          <w:rPr>
            <w:rStyle w:val="Hyperlink"/>
          </w:rPr>
          <w:t>partie A</w:t>
        </w:r>
      </w:hyperlink>
      <w:r w:rsidR="007E3164" w:rsidRPr="000D52D3">
        <w:t>)</w:t>
      </w:r>
      <w:r w:rsidR="0042677B" w:rsidRPr="000D52D3">
        <w:t> </w:t>
      </w:r>
      <w:r w:rsidR="007E3164" w:rsidRPr="000D52D3">
        <w:t>;</w:t>
      </w:r>
    </w:p>
    <w:p w14:paraId="0E9D4303" w14:textId="4B84D988" w:rsidR="007E3164" w:rsidRPr="000D52D3" w:rsidRDefault="00400214" w:rsidP="00880749">
      <w:pPr>
        <w:pStyle w:val="1GAPara"/>
        <w:numPr>
          <w:ilvl w:val="1"/>
          <w:numId w:val="9"/>
        </w:numPr>
        <w:ind w:left="993" w:hanging="426"/>
        <w:jc w:val="both"/>
      </w:pPr>
      <w:r>
        <w:t>u</w:t>
      </w:r>
      <w:r w:rsidR="007E3164" w:rsidRPr="000D52D3">
        <w:t>n rapport sur l</w:t>
      </w:r>
      <w:r w:rsidR="00CB437A" w:rsidRPr="000D52D3">
        <w:t>’</w:t>
      </w:r>
      <w:r w:rsidR="007E3164" w:rsidRPr="000D52D3">
        <w:t>utilisation des ressources financières du Fonds (</w:t>
      </w:r>
      <w:hyperlink w:anchor="_Utilisation_des_ressources" w:history="1">
        <w:r w:rsidR="00D71E4B" w:rsidRPr="000D52D3">
          <w:rPr>
            <w:rStyle w:val="Hyperlink"/>
          </w:rPr>
          <w:t xml:space="preserve">partie </w:t>
        </w:r>
        <w:r w:rsidR="007E3164" w:rsidRPr="000D52D3">
          <w:rPr>
            <w:rStyle w:val="Hyperlink"/>
          </w:rPr>
          <w:t>B</w:t>
        </w:r>
      </w:hyperlink>
      <w:r w:rsidR="007E3164" w:rsidRPr="000D52D3">
        <w:t>)</w:t>
      </w:r>
      <w:r w:rsidR="0042677B" w:rsidRPr="000D52D3">
        <w:t> </w:t>
      </w:r>
      <w:r w:rsidR="007E3164" w:rsidRPr="000D52D3">
        <w:t>;</w:t>
      </w:r>
    </w:p>
    <w:p w14:paraId="39F2775D" w14:textId="5DAD9F8C" w:rsidR="005110DE" w:rsidRPr="000D52D3" w:rsidRDefault="00E73788" w:rsidP="00880749">
      <w:pPr>
        <w:pStyle w:val="1GAPara"/>
        <w:numPr>
          <w:ilvl w:val="1"/>
          <w:numId w:val="9"/>
        </w:numPr>
        <w:ind w:left="993" w:hanging="426"/>
        <w:jc w:val="both"/>
      </w:pPr>
      <w:hyperlink w:anchor="AnnexeI" w:history="1">
        <w:r w:rsidR="005110DE" w:rsidRPr="000D52D3">
          <w:rPr>
            <w:rStyle w:val="Hyperlink"/>
          </w:rPr>
          <w:t>Annexe I</w:t>
        </w:r>
      </w:hyperlink>
      <w:r w:rsidR="005110DE" w:rsidRPr="000D52D3">
        <w:t xml:space="preserve"> </w:t>
      </w:r>
      <w:r w:rsidR="00CC04C3" w:rsidRPr="000D52D3">
        <w:t>–</w:t>
      </w:r>
      <w:r w:rsidR="005110DE" w:rsidRPr="000D52D3">
        <w:t xml:space="preserve"> le</w:t>
      </w:r>
      <w:r w:rsidR="00CC04C3" w:rsidRPr="000D52D3">
        <w:t xml:space="preserve"> </w:t>
      </w:r>
      <w:r w:rsidR="005110DE" w:rsidRPr="000D52D3">
        <w:t>rapport financier du Fonds pour la période considérée (</w:t>
      </w:r>
      <w:r w:rsidR="00467311">
        <w:t>é</w:t>
      </w:r>
      <w:r w:rsidR="00E109AC" w:rsidRPr="000D52D3">
        <w:t xml:space="preserve">tat financier </w:t>
      </w:r>
      <w:r w:rsidR="005110DE" w:rsidRPr="000D52D3">
        <w:t xml:space="preserve">I) et le tableau </w:t>
      </w:r>
      <w:r w:rsidR="00E109AC" w:rsidRPr="000D52D3">
        <w:t xml:space="preserve">échelonnement </w:t>
      </w:r>
      <w:r w:rsidR="005110DE" w:rsidRPr="000D52D3">
        <w:t>des crédits et des dépenses correspondant pour la même période (</w:t>
      </w:r>
      <w:r w:rsidR="00467311">
        <w:t>t</w:t>
      </w:r>
      <w:r w:rsidR="005110DE" w:rsidRPr="000D52D3">
        <w:t>ableau</w:t>
      </w:r>
      <w:r w:rsidR="0042677B" w:rsidRPr="000D52D3">
        <w:t> </w:t>
      </w:r>
      <w:r w:rsidR="005110DE" w:rsidRPr="000D52D3">
        <w:t>1.1)</w:t>
      </w:r>
      <w:r w:rsidR="0042677B" w:rsidRPr="000D52D3">
        <w:t> </w:t>
      </w:r>
      <w:r w:rsidR="005110DE" w:rsidRPr="000D52D3">
        <w:t>;</w:t>
      </w:r>
    </w:p>
    <w:p w14:paraId="25D9FE55" w14:textId="5F4F6C9D" w:rsidR="005110DE" w:rsidRPr="000D52D3" w:rsidRDefault="00E73788" w:rsidP="00880749">
      <w:pPr>
        <w:pStyle w:val="1GAPara"/>
        <w:numPr>
          <w:ilvl w:val="1"/>
          <w:numId w:val="9"/>
        </w:numPr>
        <w:ind w:left="993" w:hanging="426"/>
        <w:jc w:val="both"/>
      </w:pPr>
      <w:hyperlink w:anchor="AnnexeII" w:history="1">
        <w:r w:rsidR="001C62EF" w:rsidRPr="000D52D3">
          <w:rPr>
            <w:rStyle w:val="Hyperlink"/>
          </w:rPr>
          <w:t>Annexe</w:t>
        </w:r>
        <w:r w:rsidR="0042677B" w:rsidRPr="000D52D3">
          <w:rPr>
            <w:rStyle w:val="Hyperlink"/>
          </w:rPr>
          <w:t> </w:t>
        </w:r>
        <w:r w:rsidR="001C62EF" w:rsidRPr="000D52D3">
          <w:rPr>
            <w:rStyle w:val="Hyperlink"/>
          </w:rPr>
          <w:t>II</w:t>
        </w:r>
      </w:hyperlink>
      <w:r w:rsidR="001C62EF" w:rsidRPr="000D52D3">
        <w:t xml:space="preserve"> </w:t>
      </w:r>
      <w:r w:rsidR="00CC04C3" w:rsidRPr="000D52D3">
        <w:t>–</w:t>
      </w:r>
      <w:r w:rsidR="001C62EF" w:rsidRPr="000D52D3">
        <w:t xml:space="preserve"> la</w:t>
      </w:r>
      <w:r w:rsidR="00CC04C3" w:rsidRPr="000D52D3">
        <w:t xml:space="preserve"> </w:t>
      </w:r>
      <w:r w:rsidR="001C62EF" w:rsidRPr="000D52D3">
        <w:t>liste des contributions volontaires supplémentaires versées entre le 1</w:t>
      </w:r>
      <w:r w:rsidR="00CC04C3" w:rsidRPr="000D52D3">
        <w:t> </w:t>
      </w:r>
      <w:r w:rsidR="001C62EF" w:rsidRPr="000D52D3">
        <w:t>janvier</w:t>
      </w:r>
      <w:r w:rsidR="00B42523" w:rsidRPr="000D52D3">
        <w:t> </w:t>
      </w:r>
      <w:r w:rsidR="001C62EF" w:rsidRPr="000D52D3">
        <w:t>2020 et le 31</w:t>
      </w:r>
      <w:r w:rsidR="0042677B" w:rsidRPr="000D52D3">
        <w:t> </w:t>
      </w:r>
      <w:r w:rsidR="001C62EF" w:rsidRPr="000D52D3">
        <w:t>décembre</w:t>
      </w:r>
      <w:r w:rsidR="00B42523" w:rsidRPr="000D52D3">
        <w:t> </w:t>
      </w:r>
      <w:r w:rsidR="001C62EF" w:rsidRPr="000D52D3">
        <w:t>2021 à des fins spécifiques, conformément à l</w:t>
      </w:r>
      <w:r w:rsidR="00CB437A" w:rsidRPr="000D52D3">
        <w:t>’</w:t>
      </w:r>
      <w:r w:rsidR="001C62EF" w:rsidRPr="000D52D3">
        <w:t>article</w:t>
      </w:r>
      <w:r w:rsidR="0042677B" w:rsidRPr="000D52D3">
        <w:t> </w:t>
      </w:r>
      <w:r w:rsidR="001C62EF" w:rsidRPr="000D52D3">
        <w:t>25.5 de la Convention, après décision du Comité</w:t>
      </w:r>
      <w:r w:rsidR="0042677B" w:rsidRPr="000D52D3">
        <w:t> </w:t>
      </w:r>
      <w:r w:rsidR="001C62EF" w:rsidRPr="000D52D3">
        <w:t xml:space="preserve">; </w:t>
      </w:r>
    </w:p>
    <w:p w14:paraId="36FECAA9" w14:textId="302E1846" w:rsidR="005110DE" w:rsidRPr="000D52D3" w:rsidRDefault="00E73788" w:rsidP="00880749">
      <w:pPr>
        <w:pStyle w:val="1GAPara"/>
        <w:numPr>
          <w:ilvl w:val="1"/>
          <w:numId w:val="9"/>
        </w:numPr>
        <w:ind w:left="993" w:hanging="426"/>
        <w:jc w:val="both"/>
      </w:pPr>
      <w:hyperlink w:anchor="AnnexeIII" w:history="1">
        <w:r w:rsidR="001C62EF" w:rsidRPr="000D52D3">
          <w:rPr>
            <w:rStyle w:val="Hyperlink"/>
          </w:rPr>
          <w:t>Annexe</w:t>
        </w:r>
        <w:r w:rsidR="0042677B" w:rsidRPr="000D52D3">
          <w:rPr>
            <w:rStyle w:val="Hyperlink"/>
          </w:rPr>
          <w:t> </w:t>
        </w:r>
        <w:r w:rsidR="001C62EF" w:rsidRPr="000D52D3">
          <w:rPr>
            <w:rStyle w:val="Hyperlink"/>
          </w:rPr>
          <w:t>III</w:t>
        </w:r>
      </w:hyperlink>
      <w:r w:rsidR="001C62EF" w:rsidRPr="000D52D3">
        <w:t xml:space="preserve"> </w:t>
      </w:r>
      <w:r w:rsidR="00CC04C3" w:rsidRPr="000D52D3">
        <w:t>–</w:t>
      </w:r>
      <w:r w:rsidR="001C62EF" w:rsidRPr="000D52D3">
        <w:t xml:space="preserve"> le</w:t>
      </w:r>
      <w:r w:rsidR="00CC04C3" w:rsidRPr="000D52D3">
        <w:t xml:space="preserve"> </w:t>
      </w:r>
      <w:r w:rsidR="001C62EF" w:rsidRPr="000D52D3">
        <w:t xml:space="preserve">total des dépenses encourues pour chaque activité/projet spécifique approuvé par le Comité, depuis </w:t>
      </w:r>
      <w:r w:rsidR="0080658E" w:rsidRPr="000D52D3">
        <w:t xml:space="preserve">leurs </w:t>
      </w:r>
      <w:r w:rsidR="001C62EF" w:rsidRPr="000D52D3">
        <w:t>débuts jusqu</w:t>
      </w:r>
      <w:r w:rsidR="00CB437A" w:rsidRPr="000D52D3">
        <w:t>’</w:t>
      </w:r>
      <w:r w:rsidR="001C62EF" w:rsidRPr="000D52D3">
        <w:t>au 31</w:t>
      </w:r>
      <w:r w:rsidR="0042677B" w:rsidRPr="000D52D3">
        <w:t> </w:t>
      </w:r>
      <w:r w:rsidR="001C62EF" w:rsidRPr="000D52D3">
        <w:t>décembre 2021</w:t>
      </w:r>
      <w:r w:rsidR="0042677B" w:rsidRPr="000D52D3">
        <w:t> </w:t>
      </w:r>
      <w:r w:rsidR="001C62EF" w:rsidRPr="000D52D3">
        <w:t>;</w:t>
      </w:r>
    </w:p>
    <w:p w14:paraId="67B18FAE" w14:textId="5C967AA6" w:rsidR="005110DE" w:rsidRPr="000D52D3" w:rsidRDefault="00E73788" w:rsidP="00880749">
      <w:pPr>
        <w:pStyle w:val="1GAPara"/>
        <w:numPr>
          <w:ilvl w:val="1"/>
          <w:numId w:val="9"/>
        </w:numPr>
        <w:ind w:left="993" w:hanging="426"/>
        <w:jc w:val="both"/>
      </w:pPr>
      <w:hyperlink w:anchor="AnnexeIV" w:history="1">
        <w:r w:rsidR="005110DE" w:rsidRPr="000D52D3">
          <w:rPr>
            <w:rStyle w:val="Hyperlink"/>
          </w:rPr>
          <w:t>Annexe</w:t>
        </w:r>
        <w:r w:rsidR="0042677B" w:rsidRPr="000D52D3">
          <w:rPr>
            <w:rStyle w:val="Hyperlink"/>
          </w:rPr>
          <w:t> </w:t>
        </w:r>
        <w:r w:rsidR="005110DE" w:rsidRPr="000D52D3">
          <w:rPr>
            <w:rStyle w:val="Hyperlink"/>
          </w:rPr>
          <w:t>IV</w:t>
        </w:r>
      </w:hyperlink>
      <w:r w:rsidR="005110DE" w:rsidRPr="000D52D3">
        <w:t xml:space="preserve"> </w:t>
      </w:r>
      <w:r w:rsidR="00CC04C3" w:rsidRPr="000D52D3">
        <w:t>–</w:t>
      </w:r>
      <w:r w:rsidR="005110DE" w:rsidRPr="000D52D3">
        <w:t xml:space="preserve"> les</w:t>
      </w:r>
      <w:r w:rsidR="00CC04C3" w:rsidRPr="000D52D3">
        <w:t xml:space="preserve"> </w:t>
      </w:r>
      <w:r w:rsidR="005110DE" w:rsidRPr="000D52D3">
        <w:t>prévisions basées sur l</w:t>
      </w:r>
      <w:r w:rsidR="00CB437A" w:rsidRPr="000D52D3">
        <w:t>’</w:t>
      </w:r>
      <w:r w:rsidR="005110DE" w:rsidRPr="000D52D3">
        <w:t>estimation du Secrétariat, concernant l</w:t>
      </w:r>
      <w:r w:rsidR="00CB437A" w:rsidRPr="000D52D3">
        <w:t>’</w:t>
      </w:r>
      <w:r w:rsidR="005110DE" w:rsidRPr="000D52D3">
        <w:t>utilisation future des fonds alloués aux activités/projets spécifiques en cours approuvés par le Comité</w:t>
      </w:r>
      <w:r w:rsidR="0042677B" w:rsidRPr="000D52D3">
        <w:t> </w:t>
      </w:r>
      <w:r w:rsidR="005110DE" w:rsidRPr="000D52D3">
        <w:t>;</w:t>
      </w:r>
    </w:p>
    <w:p w14:paraId="21E201B2" w14:textId="5074C614" w:rsidR="005110DE" w:rsidRPr="000D52D3" w:rsidRDefault="00E73788" w:rsidP="00880749">
      <w:pPr>
        <w:pStyle w:val="1GAPara"/>
        <w:numPr>
          <w:ilvl w:val="1"/>
          <w:numId w:val="9"/>
        </w:numPr>
        <w:ind w:left="993" w:hanging="426"/>
        <w:jc w:val="both"/>
      </w:pPr>
      <w:hyperlink w:anchor="AnnexeV" w:history="1">
        <w:r w:rsidR="005110DE" w:rsidRPr="000D52D3">
          <w:rPr>
            <w:rStyle w:val="Hyperlink"/>
          </w:rPr>
          <w:t>Annexe V</w:t>
        </w:r>
      </w:hyperlink>
      <w:r w:rsidR="005110DE" w:rsidRPr="000D52D3">
        <w:t xml:space="preserve"> </w:t>
      </w:r>
      <w:r w:rsidR="00CC04C3" w:rsidRPr="000D52D3">
        <w:t>–</w:t>
      </w:r>
      <w:r w:rsidR="005110DE" w:rsidRPr="000D52D3">
        <w:t xml:space="preserve"> un</w:t>
      </w:r>
      <w:r w:rsidR="00CC04C3" w:rsidRPr="000D52D3">
        <w:t xml:space="preserve"> </w:t>
      </w:r>
      <w:r w:rsidR="005110DE" w:rsidRPr="000D52D3">
        <w:t>rapport spécifique sur la mise en œuvre des «</w:t>
      </w:r>
      <w:r w:rsidR="0042677B" w:rsidRPr="000D52D3">
        <w:t> </w:t>
      </w:r>
      <w:r w:rsidR="005110DE" w:rsidRPr="000D52D3">
        <w:t>autres fonctions du Comité</w:t>
      </w:r>
      <w:r w:rsidR="0042677B" w:rsidRPr="000D52D3">
        <w:t> </w:t>
      </w:r>
      <w:r w:rsidR="005110DE" w:rsidRPr="000D52D3">
        <w:t>» (ligne budgétaire</w:t>
      </w:r>
      <w:r w:rsidR="0042677B" w:rsidRPr="000D52D3">
        <w:t> </w:t>
      </w:r>
      <w:r w:rsidR="005110DE" w:rsidRPr="000D52D3">
        <w:t>3) pour la période du 1</w:t>
      </w:r>
      <w:r w:rsidR="0042677B" w:rsidRPr="000D52D3">
        <w:t> </w:t>
      </w:r>
      <w:r w:rsidR="005110DE" w:rsidRPr="000D52D3">
        <w:t>janvier 2020 au 31</w:t>
      </w:r>
      <w:r w:rsidR="0042677B" w:rsidRPr="000D52D3">
        <w:t> </w:t>
      </w:r>
      <w:r w:rsidR="005110DE" w:rsidRPr="000D52D3">
        <w:t>décembre 2021.</w:t>
      </w:r>
    </w:p>
    <w:p w14:paraId="471A2EDB" w14:textId="40DF2F24" w:rsidR="00B33DB5" w:rsidRPr="000D52D3" w:rsidRDefault="00257D5A" w:rsidP="00E06A59">
      <w:pPr>
        <w:pStyle w:val="Heading4"/>
        <w:numPr>
          <w:ilvl w:val="0"/>
          <w:numId w:val="36"/>
        </w:numPr>
        <w:spacing w:before="240" w:after="120"/>
        <w:ind w:left="567" w:hanging="567"/>
      </w:pPr>
      <w:bookmarkStart w:id="2" w:name="_Revenus_du_Fonds"/>
      <w:bookmarkEnd w:id="2"/>
      <w:r w:rsidRPr="000D52D3">
        <w:t>Revenus du Fonds (</w:t>
      </w:r>
      <w:r w:rsidR="00E109AC" w:rsidRPr="000D52D3">
        <w:t>État financier</w:t>
      </w:r>
      <w:r w:rsidR="004F692E" w:rsidRPr="000D52D3">
        <w:t xml:space="preserve"> </w:t>
      </w:r>
      <w:r w:rsidRPr="000D52D3">
        <w:t xml:space="preserve">I </w:t>
      </w:r>
      <w:r w:rsidR="00CC04C3" w:rsidRPr="000D52D3">
        <w:t>dans l’a</w:t>
      </w:r>
      <w:r w:rsidRPr="000D52D3">
        <w:t xml:space="preserve">nnexe I et </w:t>
      </w:r>
      <w:r w:rsidR="00CC04C3" w:rsidRPr="000D52D3">
        <w:t>a</w:t>
      </w:r>
      <w:r w:rsidRPr="000D52D3">
        <w:t>nnexe</w:t>
      </w:r>
      <w:r w:rsidR="0042677B" w:rsidRPr="000D52D3">
        <w:t> </w:t>
      </w:r>
      <w:r w:rsidRPr="000D52D3">
        <w:t>II)</w:t>
      </w:r>
      <w:r w:rsidR="00073C4D" w:rsidRPr="000D52D3">
        <w:rPr>
          <w:vertAlign w:val="superscript"/>
        </w:rPr>
        <w:footnoteReference w:id="2"/>
      </w:r>
    </w:p>
    <w:p w14:paraId="6FC9EE3C" w14:textId="1C1640EE" w:rsidR="001D70C0" w:rsidRDefault="00D44F5E" w:rsidP="00E109AC">
      <w:pPr>
        <w:pStyle w:val="1GAPara"/>
        <w:ind w:left="567" w:hanging="567"/>
        <w:jc w:val="both"/>
        <w:rPr>
          <w:rFonts w:asciiTheme="minorBidi" w:hAnsiTheme="minorBidi"/>
        </w:rPr>
      </w:pPr>
      <w:r w:rsidRPr="000D52D3">
        <w:rPr>
          <w:rFonts w:asciiTheme="minorBidi" w:hAnsiTheme="minorBidi"/>
        </w:rPr>
        <w:t>Les sources de revenus sont régies par l</w:t>
      </w:r>
      <w:r w:rsidR="00CB437A" w:rsidRPr="000D52D3">
        <w:rPr>
          <w:rFonts w:asciiTheme="minorBidi" w:hAnsiTheme="minorBidi"/>
        </w:rPr>
        <w:t>’</w:t>
      </w:r>
      <w:r w:rsidRPr="000D52D3">
        <w:rPr>
          <w:rFonts w:asciiTheme="minorBidi" w:hAnsiTheme="minorBidi"/>
        </w:rPr>
        <w:t>article</w:t>
      </w:r>
      <w:r w:rsidR="0042677B" w:rsidRPr="000D52D3">
        <w:rPr>
          <w:rFonts w:asciiTheme="minorBidi" w:hAnsiTheme="minorBidi"/>
        </w:rPr>
        <w:t> </w:t>
      </w:r>
      <w:r w:rsidRPr="000D52D3">
        <w:rPr>
          <w:rFonts w:asciiTheme="minorBidi" w:hAnsiTheme="minorBidi"/>
        </w:rPr>
        <w:t>25.3 de la Convention et l</w:t>
      </w:r>
      <w:r w:rsidR="00CB437A" w:rsidRPr="000D52D3">
        <w:rPr>
          <w:rFonts w:asciiTheme="minorBidi" w:hAnsiTheme="minorBidi"/>
        </w:rPr>
        <w:t>’</w:t>
      </w:r>
      <w:r w:rsidRPr="000D52D3">
        <w:rPr>
          <w:rFonts w:asciiTheme="minorBidi" w:hAnsiTheme="minorBidi"/>
        </w:rPr>
        <w:t>article</w:t>
      </w:r>
      <w:r w:rsidR="0042677B" w:rsidRPr="000D52D3">
        <w:rPr>
          <w:rFonts w:asciiTheme="minorBidi" w:hAnsiTheme="minorBidi"/>
        </w:rPr>
        <w:t> </w:t>
      </w:r>
      <w:r w:rsidRPr="000D52D3">
        <w:rPr>
          <w:rFonts w:asciiTheme="minorBidi" w:hAnsiTheme="minorBidi"/>
        </w:rPr>
        <w:t>5 du Règlement financier précité. Au cours d</w:t>
      </w:r>
      <w:r w:rsidR="00E109AC" w:rsidRPr="000D52D3">
        <w:rPr>
          <w:rFonts w:asciiTheme="minorBidi" w:hAnsiTheme="minorBidi"/>
        </w:rPr>
        <w:t>u biennium</w:t>
      </w:r>
      <w:r w:rsidR="0042677B" w:rsidRPr="000D52D3">
        <w:rPr>
          <w:rFonts w:asciiTheme="minorBidi" w:hAnsiTheme="minorBidi"/>
        </w:rPr>
        <w:t> </w:t>
      </w:r>
      <w:r w:rsidRPr="000D52D3">
        <w:rPr>
          <w:rFonts w:asciiTheme="minorBidi" w:hAnsiTheme="minorBidi"/>
        </w:rPr>
        <w:t>2020</w:t>
      </w:r>
      <w:r w:rsidR="002A0B78">
        <w:rPr>
          <w:rFonts w:asciiTheme="minorBidi" w:hAnsiTheme="minorBidi"/>
        </w:rPr>
        <w:t>–</w:t>
      </w:r>
      <w:r w:rsidRPr="000D52D3">
        <w:rPr>
          <w:rFonts w:asciiTheme="minorBidi" w:hAnsiTheme="minorBidi"/>
        </w:rPr>
        <w:t>2021, le revenu total a augmenté de 5</w:t>
      </w:r>
      <w:r w:rsidR="0042677B" w:rsidRPr="000D52D3">
        <w:rPr>
          <w:rFonts w:asciiTheme="minorBidi" w:hAnsiTheme="minorBidi"/>
        </w:rPr>
        <w:t> </w:t>
      </w:r>
      <w:r w:rsidRPr="000D52D3">
        <w:rPr>
          <w:rFonts w:asciiTheme="minorBidi" w:hAnsiTheme="minorBidi"/>
        </w:rPr>
        <w:t xml:space="preserve">% par rapport </w:t>
      </w:r>
      <w:r w:rsidR="008A301C" w:rsidRPr="000D52D3">
        <w:rPr>
          <w:rFonts w:asciiTheme="minorBidi" w:hAnsiTheme="minorBidi"/>
        </w:rPr>
        <w:t xml:space="preserve">au biennium </w:t>
      </w:r>
      <w:r w:rsidRPr="000D52D3">
        <w:rPr>
          <w:rFonts w:asciiTheme="minorBidi" w:hAnsiTheme="minorBidi"/>
        </w:rPr>
        <w:t>précédent (passant de 5,1</w:t>
      </w:r>
      <w:r w:rsidR="0042677B" w:rsidRPr="000D52D3">
        <w:rPr>
          <w:rFonts w:asciiTheme="minorBidi" w:hAnsiTheme="minorBidi"/>
        </w:rPr>
        <w:t> </w:t>
      </w:r>
      <w:r w:rsidRPr="000D52D3">
        <w:rPr>
          <w:rFonts w:asciiTheme="minorBidi" w:hAnsiTheme="minorBidi"/>
        </w:rPr>
        <w:t>millions de dollars</w:t>
      </w:r>
      <w:r w:rsidR="00E109AC" w:rsidRPr="000D52D3">
        <w:rPr>
          <w:rFonts w:ascii="Times New Roman" w:hAnsi="Times New Roman" w:cs="Times New Roman"/>
          <w:snapToGrid/>
          <w:sz w:val="20"/>
          <w:szCs w:val="24"/>
          <w:lang w:eastAsia="fr-FR"/>
        </w:rPr>
        <w:t xml:space="preserve"> </w:t>
      </w:r>
      <w:r w:rsidR="00E109AC" w:rsidRPr="000D52D3">
        <w:rPr>
          <w:rFonts w:asciiTheme="minorBidi" w:hAnsiTheme="minorBidi"/>
        </w:rPr>
        <w:t>des États-Unis</w:t>
      </w:r>
      <w:r w:rsidRPr="000D52D3">
        <w:rPr>
          <w:rFonts w:asciiTheme="minorBidi" w:hAnsiTheme="minorBidi"/>
        </w:rPr>
        <w:t xml:space="preserve"> à 5,4</w:t>
      </w:r>
      <w:r w:rsidR="0042677B" w:rsidRPr="000D52D3">
        <w:rPr>
          <w:rFonts w:asciiTheme="minorBidi" w:hAnsiTheme="minorBidi"/>
        </w:rPr>
        <w:t> </w:t>
      </w:r>
      <w:r w:rsidRPr="000D52D3">
        <w:rPr>
          <w:rFonts w:asciiTheme="minorBidi" w:hAnsiTheme="minorBidi"/>
        </w:rPr>
        <w:t>millions de dollars</w:t>
      </w:r>
      <w:r w:rsidR="00E109AC" w:rsidRPr="000D52D3">
        <w:rPr>
          <w:rFonts w:asciiTheme="minorBidi" w:hAnsiTheme="minorBidi"/>
        </w:rPr>
        <w:t xml:space="preserve"> des États-Unis</w:t>
      </w:r>
      <w:r w:rsidRPr="000D52D3">
        <w:rPr>
          <w:rFonts w:asciiTheme="minorBidi" w:hAnsiTheme="minorBidi"/>
        </w:rPr>
        <w:t>). Cette évolution positive est principalement</w:t>
      </w:r>
      <w:r w:rsidRPr="000D52D3">
        <w:t xml:space="preserve"> due à l</w:t>
      </w:r>
      <w:r w:rsidR="00CB437A" w:rsidRPr="000D52D3">
        <w:t>’</w:t>
      </w:r>
      <w:r w:rsidRPr="000D52D3">
        <w:t xml:space="preserve">augmentation de </w:t>
      </w:r>
      <w:r w:rsidRPr="000D52D3">
        <w:rPr>
          <w:rFonts w:asciiTheme="minorBidi" w:hAnsiTheme="minorBidi"/>
        </w:rPr>
        <w:t>76</w:t>
      </w:r>
      <w:r w:rsidR="0042677B" w:rsidRPr="000D52D3">
        <w:rPr>
          <w:rFonts w:asciiTheme="minorBidi" w:hAnsiTheme="minorBidi"/>
        </w:rPr>
        <w:t> </w:t>
      </w:r>
      <w:r w:rsidRPr="000D52D3">
        <w:rPr>
          <w:rFonts w:asciiTheme="minorBidi" w:hAnsiTheme="minorBidi"/>
        </w:rPr>
        <w:t>% des contributions volontaires supplémentaires, représentant un montant total de 916</w:t>
      </w:r>
      <w:r w:rsidR="004F692E" w:rsidRPr="000D52D3">
        <w:rPr>
          <w:rFonts w:asciiTheme="minorBidi" w:hAnsiTheme="minorBidi"/>
        </w:rPr>
        <w:t> </w:t>
      </w:r>
      <w:r w:rsidRPr="000D52D3">
        <w:rPr>
          <w:rFonts w:asciiTheme="minorBidi" w:hAnsiTheme="minorBidi"/>
        </w:rPr>
        <w:t>502</w:t>
      </w:r>
      <w:r w:rsidR="0042677B" w:rsidRPr="000D52D3">
        <w:rPr>
          <w:rFonts w:asciiTheme="minorBidi" w:hAnsiTheme="minorBidi"/>
        </w:rPr>
        <w:t> </w:t>
      </w:r>
      <w:r w:rsidRPr="000D52D3">
        <w:rPr>
          <w:rFonts w:asciiTheme="minorBidi" w:hAnsiTheme="minorBidi"/>
        </w:rPr>
        <w:t xml:space="preserve">dollars </w:t>
      </w:r>
      <w:r w:rsidR="00E109AC" w:rsidRPr="000D52D3">
        <w:rPr>
          <w:rFonts w:asciiTheme="minorBidi" w:hAnsiTheme="minorBidi"/>
        </w:rPr>
        <w:t>des États-Unis</w:t>
      </w:r>
      <w:r w:rsidR="00E109AC" w:rsidRPr="000D52D3" w:rsidDel="00E109AC">
        <w:rPr>
          <w:rFonts w:asciiTheme="minorBidi" w:hAnsiTheme="minorBidi"/>
        </w:rPr>
        <w:t xml:space="preserve"> </w:t>
      </w:r>
      <w:r w:rsidRPr="000D52D3">
        <w:rPr>
          <w:rFonts w:asciiTheme="minorBidi" w:hAnsiTheme="minorBidi"/>
        </w:rPr>
        <w:t>reçus (contre 519</w:t>
      </w:r>
      <w:r w:rsidR="00B42523" w:rsidRPr="000D52D3">
        <w:rPr>
          <w:rFonts w:asciiTheme="minorBidi" w:hAnsiTheme="minorBidi"/>
        </w:rPr>
        <w:t> </w:t>
      </w:r>
      <w:r w:rsidRPr="000D52D3">
        <w:rPr>
          <w:rFonts w:asciiTheme="minorBidi" w:hAnsiTheme="minorBidi"/>
        </w:rPr>
        <w:t>393</w:t>
      </w:r>
      <w:r w:rsidR="0042677B" w:rsidRPr="000D52D3">
        <w:rPr>
          <w:rFonts w:asciiTheme="minorBidi" w:hAnsiTheme="minorBidi"/>
        </w:rPr>
        <w:t> </w:t>
      </w:r>
      <w:r w:rsidRPr="000D52D3">
        <w:rPr>
          <w:rFonts w:asciiTheme="minorBidi" w:hAnsiTheme="minorBidi"/>
        </w:rPr>
        <w:t xml:space="preserve">dollars </w:t>
      </w:r>
      <w:r w:rsidR="00E109AC" w:rsidRPr="000D52D3">
        <w:rPr>
          <w:rFonts w:asciiTheme="minorBidi" w:hAnsiTheme="minorBidi"/>
        </w:rPr>
        <w:t>des États-Unis</w:t>
      </w:r>
      <w:r w:rsidR="00E109AC" w:rsidRPr="000D52D3" w:rsidDel="00E109AC">
        <w:rPr>
          <w:rFonts w:asciiTheme="minorBidi" w:hAnsiTheme="minorBidi"/>
        </w:rPr>
        <w:t xml:space="preserve"> </w:t>
      </w:r>
      <w:r w:rsidRPr="000D52D3">
        <w:rPr>
          <w:rFonts w:asciiTheme="minorBidi" w:hAnsiTheme="minorBidi"/>
        </w:rPr>
        <w:t xml:space="preserve">au cours </w:t>
      </w:r>
      <w:r w:rsidR="00E109AC" w:rsidRPr="000D52D3">
        <w:rPr>
          <w:rFonts w:asciiTheme="minorBidi" w:hAnsiTheme="minorBidi"/>
        </w:rPr>
        <w:t>du biennium</w:t>
      </w:r>
      <w:r w:rsidR="0042677B" w:rsidRPr="000D52D3">
        <w:rPr>
          <w:rFonts w:asciiTheme="minorBidi" w:hAnsiTheme="minorBidi"/>
        </w:rPr>
        <w:t> </w:t>
      </w:r>
      <w:r w:rsidRPr="000D52D3">
        <w:rPr>
          <w:rFonts w:asciiTheme="minorBidi" w:hAnsiTheme="minorBidi"/>
        </w:rPr>
        <w:t>2018</w:t>
      </w:r>
      <w:r w:rsidR="002A0B78">
        <w:rPr>
          <w:rFonts w:asciiTheme="minorBidi" w:hAnsiTheme="minorBidi"/>
        </w:rPr>
        <w:t>–</w:t>
      </w:r>
      <w:r w:rsidRPr="000D52D3">
        <w:rPr>
          <w:rFonts w:asciiTheme="minorBidi" w:hAnsiTheme="minorBidi"/>
        </w:rPr>
        <w:t>2019).</w:t>
      </w:r>
    </w:p>
    <w:p w14:paraId="5284751A" w14:textId="35FC60D5" w:rsidR="00B33DB5" w:rsidRPr="000D52D3" w:rsidRDefault="00B33DB5" w:rsidP="00467311">
      <w:pPr>
        <w:pStyle w:val="1GAPara"/>
        <w:numPr>
          <w:ilvl w:val="0"/>
          <w:numId w:val="17"/>
        </w:numPr>
        <w:spacing w:after="0"/>
        <w:ind w:left="567" w:hanging="567"/>
        <w:jc w:val="both"/>
        <w:rPr>
          <w:rFonts w:asciiTheme="minorBidi" w:hAnsiTheme="minorBidi" w:cstheme="minorBidi"/>
        </w:rPr>
      </w:pPr>
      <w:r w:rsidRPr="000D52D3">
        <w:rPr>
          <w:rFonts w:asciiTheme="minorBidi" w:hAnsiTheme="minorBidi"/>
        </w:rPr>
        <w:t xml:space="preserve">Au cours de la période considérée, les revenus du Fonds </w:t>
      </w:r>
      <w:r w:rsidR="00E109AC" w:rsidRPr="000D52D3">
        <w:rPr>
          <w:rFonts w:asciiTheme="minorBidi" w:hAnsiTheme="minorBidi"/>
        </w:rPr>
        <w:t xml:space="preserve">se composaient </w:t>
      </w:r>
      <w:r w:rsidRPr="000D52D3">
        <w:rPr>
          <w:rFonts w:asciiTheme="minorBidi" w:hAnsiTheme="minorBidi"/>
        </w:rPr>
        <w:t>:</w:t>
      </w:r>
    </w:p>
    <w:tbl>
      <w:tblPr>
        <w:tblW w:w="9072" w:type="dxa"/>
        <w:tblInd w:w="567" w:type="dxa"/>
        <w:tblLayout w:type="fixed"/>
        <w:tblLook w:val="04A0" w:firstRow="1" w:lastRow="0" w:firstColumn="1" w:lastColumn="0" w:noHBand="0" w:noVBand="1"/>
      </w:tblPr>
      <w:tblGrid>
        <w:gridCol w:w="7086"/>
        <w:gridCol w:w="80"/>
        <w:gridCol w:w="1765"/>
        <w:gridCol w:w="141"/>
      </w:tblGrid>
      <w:tr w:rsidR="00B33DB5" w:rsidRPr="001D70C0" w14:paraId="4F1E1D34" w14:textId="77777777" w:rsidTr="00B64F22">
        <w:trPr>
          <w:cantSplit/>
        </w:trPr>
        <w:tc>
          <w:tcPr>
            <w:tcW w:w="9072" w:type="dxa"/>
            <w:gridSpan w:val="4"/>
            <w:shd w:val="clear" w:color="auto" w:fill="auto"/>
          </w:tcPr>
          <w:p w14:paraId="3E8D55B7" w14:textId="2E1BA332" w:rsidR="00B33DB5" w:rsidRPr="001D70C0" w:rsidRDefault="00E109AC" w:rsidP="00467311">
            <w:pPr>
              <w:keepNext/>
              <w:numPr>
                <w:ilvl w:val="0"/>
                <w:numId w:val="13"/>
              </w:numPr>
              <w:autoSpaceDE w:val="0"/>
              <w:autoSpaceDN w:val="0"/>
              <w:adjustRightInd w:val="0"/>
              <w:spacing w:before="120" w:after="60"/>
              <w:ind w:left="357" w:hanging="465"/>
              <w:jc w:val="both"/>
              <w:rPr>
                <w:rFonts w:asciiTheme="minorBidi" w:eastAsia="SimSun" w:hAnsiTheme="minorBidi" w:cstheme="minorBidi"/>
                <w:bCs/>
                <w:color w:val="000000"/>
                <w:sz w:val="20"/>
                <w:szCs w:val="20"/>
              </w:rPr>
            </w:pPr>
            <w:r w:rsidRPr="001D70C0">
              <w:rPr>
                <w:rFonts w:asciiTheme="minorBidi" w:hAnsiTheme="minorBidi"/>
                <w:color w:val="000000"/>
                <w:sz w:val="20"/>
                <w:szCs w:val="20"/>
                <w:u w:val="single"/>
              </w:rPr>
              <w:t xml:space="preserve">Des contributions </w:t>
            </w:r>
            <w:r w:rsidR="00B33DB5" w:rsidRPr="001D70C0">
              <w:rPr>
                <w:rFonts w:asciiTheme="minorBidi" w:hAnsiTheme="minorBidi"/>
                <w:color w:val="000000"/>
                <w:sz w:val="20"/>
                <w:szCs w:val="20"/>
                <w:u w:val="single"/>
              </w:rPr>
              <w:t>obligatoires et volontaires des États parties</w:t>
            </w:r>
            <w:r w:rsidR="00B33DB5" w:rsidRPr="001D70C0">
              <w:rPr>
                <w:rFonts w:asciiTheme="minorBidi" w:eastAsia="SimSun" w:hAnsiTheme="minorBidi" w:cstheme="minorBidi"/>
                <w:bCs/>
                <w:color w:val="000000"/>
                <w:sz w:val="20"/>
                <w:szCs w:val="20"/>
                <w:vertAlign w:val="superscript"/>
                <w:lang w:eastAsia="zh-CN"/>
              </w:rPr>
              <w:footnoteReference w:id="3"/>
            </w:r>
          </w:p>
        </w:tc>
      </w:tr>
      <w:tr w:rsidR="00B33DB5" w:rsidRPr="001D70C0" w14:paraId="73D3C4D3" w14:textId="77777777" w:rsidTr="00E06A59">
        <w:trPr>
          <w:gridAfter w:val="1"/>
          <w:wAfter w:w="141" w:type="dxa"/>
          <w:cantSplit/>
        </w:trPr>
        <w:tc>
          <w:tcPr>
            <w:tcW w:w="7166" w:type="dxa"/>
            <w:gridSpan w:val="2"/>
            <w:shd w:val="clear" w:color="auto" w:fill="auto"/>
            <w:vAlign w:val="center"/>
          </w:tcPr>
          <w:p w14:paraId="515337EB" w14:textId="181CCF29" w:rsidR="00B33DB5" w:rsidRPr="001D70C0" w:rsidRDefault="00E109AC" w:rsidP="00B33DB5">
            <w:pPr>
              <w:autoSpaceDE w:val="0"/>
              <w:autoSpaceDN w:val="0"/>
              <w:adjustRightInd w:val="0"/>
              <w:spacing w:before="60" w:after="60"/>
              <w:ind w:left="360"/>
              <w:rPr>
                <w:rFonts w:asciiTheme="minorBidi" w:eastAsia="SimSun" w:hAnsiTheme="minorBidi" w:cstheme="minorBidi"/>
                <w:bCs/>
                <w:color w:val="000000"/>
                <w:sz w:val="20"/>
                <w:szCs w:val="20"/>
              </w:rPr>
            </w:pPr>
            <w:r w:rsidRPr="001D70C0">
              <w:rPr>
                <w:rFonts w:asciiTheme="minorBidi" w:hAnsiTheme="minorBidi"/>
                <w:color w:val="000000"/>
                <w:sz w:val="20"/>
                <w:szCs w:val="20"/>
              </w:rPr>
              <w:t>C</w:t>
            </w:r>
            <w:r w:rsidR="00B33DB5" w:rsidRPr="001D70C0">
              <w:rPr>
                <w:rFonts w:asciiTheme="minorBidi" w:hAnsiTheme="minorBidi"/>
                <w:color w:val="000000"/>
                <w:sz w:val="20"/>
                <w:szCs w:val="20"/>
              </w:rPr>
              <w:t xml:space="preserve">ontributions obligatoires des </w:t>
            </w:r>
            <w:r w:rsidR="00C11084" w:rsidRPr="001D70C0">
              <w:rPr>
                <w:rFonts w:asciiTheme="minorBidi" w:hAnsiTheme="minorBidi"/>
                <w:color w:val="000000"/>
                <w:sz w:val="20"/>
                <w:szCs w:val="20"/>
              </w:rPr>
              <w:t>175 </w:t>
            </w:r>
            <w:r w:rsidR="00B33DB5" w:rsidRPr="001D70C0">
              <w:rPr>
                <w:rFonts w:asciiTheme="minorBidi" w:hAnsiTheme="minorBidi"/>
                <w:color w:val="000000"/>
                <w:sz w:val="20"/>
                <w:szCs w:val="20"/>
              </w:rPr>
              <w:t>États Parties à la Convention, telles que stipulées à l</w:t>
            </w:r>
            <w:r w:rsidR="00CB437A" w:rsidRPr="001D70C0">
              <w:rPr>
                <w:rFonts w:asciiTheme="minorBidi" w:hAnsiTheme="minorBidi"/>
                <w:color w:val="000000"/>
                <w:sz w:val="20"/>
                <w:szCs w:val="20"/>
              </w:rPr>
              <w:t>’</w:t>
            </w:r>
            <w:r w:rsidR="00B33DB5" w:rsidRPr="001D70C0">
              <w:rPr>
                <w:rFonts w:asciiTheme="minorBidi" w:hAnsiTheme="minorBidi"/>
                <w:color w:val="000000"/>
                <w:sz w:val="20"/>
                <w:szCs w:val="20"/>
              </w:rPr>
              <w:t>article</w:t>
            </w:r>
            <w:r w:rsidR="0042677B" w:rsidRPr="001D70C0">
              <w:rPr>
                <w:rFonts w:asciiTheme="minorBidi" w:hAnsiTheme="minorBidi"/>
                <w:color w:val="000000"/>
                <w:sz w:val="20"/>
                <w:szCs w:val="20"/>
              </w:rPr>
              <w:t> </w:t>
            </w:r>
            <w:r w:rsidR="00B33DB5" w:rsidRPr="001D70C0">
              <w:rPr>
                <w:rFonts w:asciiTheme="minorBidi" w:hAnsiTheme="minorBidi"/>
                <w:color w:val="000000"/>
                <w:sz w:val="20"/>
                <w:szCs w:val="20"/>
              </w:rPr>
              <w:t>26.1 de la Convention</w:t>
            </w:r>
          </w:p>
        </w:tc>
        <w:tc>
          <w:tcPr>
            <w:tcW w:w="1765" w:type="dxa"/>
            <w:shd w:val="clear" w:color="auto" w:fill="auto"/>
          </w:tcPr>
          <w:p w14:paraId="00951F05" w14:textId="784D35E9" w:rsidR="00B33DB5" w:rsidRPr="001D70C0" w:rsidRDefault="00B33DB5" w:rsidP="00705A8C">
            <w:pPr>
              <w:autoSpaceDE w:val="0"/>
              <w:autoSpaceDN w:val="0"/>
              <w:adjustRightInd w:val="0"/>
              <w:spacing w:before="60" w:after="60"/>
              <w:jc w:val="right"/>
              <w:rPr>
                <w:rFonts w:asciiTheme="minorBidi" w:eastAsia="SimSun" w:hAnsiTheme="minorBidi" w:cstheme="minorBidi"/>
                <w:bCs/>
                <w:color w:val="000000"/>
                <w:sz w:val="20"/>
                <w:szCs w:val="20"/>
              </w:rPr>
            </w:pPr>
            <w:r w:rsidRPr="001D70C0">
              <w:rPr>
                <w:rFonts w:asciiTheme="minorBidi" w:hAnsiTheme="minorBidi"/>
                <w:color w:val="000000"/>
                <w:sz w:val="20"/>
                <w:szCs w:val="20"/>
              </w:rPr>
              <w:t>3</w:t>
            </w:r>
            <w:r w:rsidR="0042677B" w:rsidRPr="001D70C0">
              <w:rPr>
                <w:rFonts w:asciiTheme="minorBidi" w:hAnsiTheme="minorBidi"/>
                <w:color w:val="000000"/>
                <w:sz w:val="20"/>
                <w:szCs w:val="20"/>
              </w:rPr>
              <w:t> 800 </w:t>
            </w:r>
            <w:r w:rsidRPr="001D70C0">
              <w:rPr>
                <w:rFonts w:asciiTheme="minorBidi" w:hAnsiTheme="minorBidi"/>
                <w:color w:val="000000"/>
                <w:sz w:val="20"/>
                <w:szCs w:val="20"/>
              </w:rPr>
              <w:t xml:space="preserve">602 </w:t>
            </w:r>
            <w:r w:rsidR="00E109AC" w:rsidRPr="001D70C0">
              <w:rPr>
                <w:rFonts w:asciiTheme="minorBidi" w:hAnsiTheme="minorBidi"/>
                <w:color w:val="000000"/>
                <w:sz w:val="20"/>
                <w:szCs w:val="20"/>
              </w:rPr>
              <w:t>dollars des États-Unis</w:t>
            </w:r>
          </w:p>
        </w:tc>
      </w:tr>
      <w:tr w:rsidR="00B33DB5" w:rsidRPr="001D70C0" w14:paraId="451AD67C" w14:textId="77777777" w:rsidTr="00E06A59">
        <w:trPr>
          <w:gridAfter w:val="1"/>
          <w:wAfter w:w="141" w:type="dxa"/>
          <w:cantSplit/>
        </w:trPr>
        <w:tc>
          <w:tcPr>
            <w:tcW w:w="7166" w:type="dxa"/>
            <w:gridSpan w:val="2"/>
            <w:shd w:val="clear" w:color="auto" w:fill="auto"/>
            <w:vAlign w:val="center"/>
          </w:tcPr>
          <w:p w14:paraId="1E32D3D5" w14:textId="18C32D90" w:rsidR="00B33DB5" w:rsidRPr="001D70C0" w:rsidRDefault="00E109AC" w:rsidP="001554C0">
            <w:pPr>
              <w:autoSpaceDE w:val="0"/>
              <w:autoSpaceDN w:val="0"/>
              <w:adjustRightInd w:val="0"/>
              <w:spacing w:before="60" w:after="60"/>
              <w:ind w:left="360"/>
              <w:jc w:val="both"/>
              <w:rPr>
                <w:rFonts w:asciiTheme="minorBidi" w:eastAsia="SimSun" w:hAnsiTheme="minorBidi" w:cstheme="minorBidi"/>
                <w:bCs/>
                <w:color w:val="000000"/>
                <w:sz w:val="20"/>
                <w:szCs w:val="20"/>
              </w:rPr>
            </w:pPr>
            <w:r w:rsidRPr="001D70C0">
              <w:rPr>
                <w:rFonts w:asciiTheme="minorBidi" w:hAnsiTheme="minorBidi"/>
                <w:color w:val="000000"/>
                <w:sz w:val="20"/>
                <w:szCs w:val="20"/>
              </w:rPr>
              <w:lastRenderedPageBreak/>
              <w:t>C</w:t>
            </w:r>
            <w:r w:rsidR="00B33DB5" w:rsidRPr="001D70C0">
              <w:rPr>
                <w:rFonts w:asciiTheme="minorBidi" w:hAnsiTheme="minorBidi"/>
                <w:color w:val="000000"/>
                <w:sz w:val="20"/>
                <w:szCs w:val="20"/>
              </w:rPr>
              <w:t>ontributions volontaires reçues de trois des cinq États parties qui, au moment de leur ratification, ont eu recours à l</w:t>
            </w:r>
            <w:r w:rsidR="00CB437A" w:rsidRPr="001D70C0">
              <w:rPr>
                <w:rFonts w:asciiTheme="minorBidi" w:hAnsiTheme="minorBidi"/>
                <w:color w:val="000000"/>
                <w:sz w:val="20"/>
                <w:szCs w:val="20"/>
              </w:rPr>
              <w:t>’</w:t>
            </w:r>
            <w:r w:rsidR="00B33DB5" w:rsidRPr="001D70C0">
              <w:rPr>
                <w:rFonts w:asciiTheme="minorBidi" w:hAnsiTheme="minorBidi"/>
                <w:color w:val="000000"/>
                <w:sz w:val="20"/>
                <w:szCs w:val="20"/>
              </w:rPr>
              <w:t>article</w:t>
            </w:r>
            <w:r w:rsidR="0042677B" w:rsidRPr="001D70C0">
              <w:rPr>
                <w:rFonts w:asciiTheme="minorBidi" w:hAnsiTheme="minorBidi"/>
                <w:color w:val="000000"/>
                <w:sz w:val="20"/>
                <w:szCs w:val="20"/>
              </w:rPr>
              <w:t> </w:t>
            </w:r>
            <w:r w:rsidR="00B33DB5" w:rsidRPr="001D70C0">
              <w:rPr>
                <w:rFonts w:asciiTheme="minorBidi" w:hAnsiTheme="minorBidi"/>
                <w:color w:val="000000"/>
                <w:sz w:val="20"/>
                <w:szCs w:val="20"/>
              </w:rPr>
              <w:t xml:space="preserve">26.2 de la Convention </w:t>
            </w:r>
          </w:p>
        </w:tc>
        <w:tc>
          <w:tcPr>
            <w:tcW w:w="1765" w:type="dxa"/>
            <w:shd w:val="clear" w:color="auto" w:fill="auto"/>
          </w:tcPr>
          <w:p w14:paraId="1EF55717" w14:textId="12B7B459" w:rsidR="00B33DB5" w:rsidRPr="001D70C0" w:rsidRDefault="00B33DB5" w:rsidP="00705A8C">
            <w:pPr>
              <w:autoSpaceDE w:val="0"/>
              <w:autoSpaceDN w:val="0"/>
              <w:adjustRightInd w:val="0"/>
              <w:spacing w:before="60" w:after="60"/>
              <w:jc w:val="right"/>
              <w:rPr>
                <w:rFonts w:asciiTheme="minorBidi" w:eastAsia="SimSun" w:hAnsiTheme="minorBidi" w:cstheme="minorBidi"/>
                <w:bCs/>
                <w:color w:val="000000"/>
                <w:sz w:val="20"/>
                <w:szCs w:val="20"/>
              </w:rPr>
            </w:pPr>
            <w:r w:rsidRPr="001D70C0">
              <w:rPr>
                <w:rFonts w:asciiTheme="minorBidi" w:hAnsiTheme="minorBidi"/>
                <w:color w:val="000000"/>
                <w:sz w:val="20"/>
                <w:szCs w:val="20"/>
              </w:rPr>
              <w:t>448</w:t>
            </w:r>
            <w:r w:rsidR="0042677B" w:rsidRPr="001D70C0">
              <w:rPr>
                <w:rFonts w:asciiTheme="minorBidi" w:hAnsiTheme="minorBidi"/>
                <w:color w:val="000000"/>
                <w:sz w:val="20"/>
                <w:szCs w:val="20"/>
              </w:rPr>
              <w:t> </w:t>
            </w:r>
            <w:r w:rsidRPr="001D70C0">
              <w:rPr>
                <w:rFonts w:asciiTheme="minorBidi" w:hAnsiTheme="minorBidi"/>
                <w:color w:val="000000"/>
                <w:sz w:val="20"/>
                <w:szCs w:val="20"/>
              </w:rPr>
              <w:t>452</w:t>
            </w:r>
            <w:r w:rsidR="0042677B" w:rsidRPr="001D70C0">
              <w:rPr>
                <w:rFonts w:asciiTheme="minorBidi" w:hAnsiTheme="minorBidi"/>
                <w:color w:val="000000"/>
                <w:sz w:val="20"/>
                <w:szCs w:val="20"/>
              </w:rPr>
              <w:t> </w:t>
            </w:r>
            <w:r w:rsidR="00E109AC" w:rsidRPr="001D70C0">
              <w:rPr>
                <w:rFonts w:asciiTheme="minorBidi" w:hAnsiTheme="minorBidi"/>
                <w:color w:val="000000"/>
                <w:sz w:val="20"/>
                <w:szCs w:val="20"/>
              </w:rPr>
              <w:t>dollars des États-Unis</w:t>
            </w:r>
          </w:p>
        </w:tc>
      </w:tr>
      <w:tr w:rsidR="00B33DB5" w:rsidRPr="001D70C0" w14:paraId="3B0EF25C" w14:textId="77777777" w:rsidTr="00E06A59">
        <w:trPr>
          <w:gridAfter w:val="1"/>
          <w:wAfter w:w="141" w:type="dxa"/>
          <w:cantSplit/>
        </w:trPr>
        <w:tc>
          <w:tcPr>
            <w:tcW w:w="7166" w:type="dxa"/>
            <w:gridSpan w:val="2"/>
            <w:shd w:val="clear" w:color="auto" w:fill="auto"/>
            <w:vAlign w:val="center"/>
          </w:tcPr>
          <w:p w14:paraId="31A337AD" w14:textId="7036E2F0" w:rsidR="00B33DB5" w:rsidRPr="001D70C0" w:rsidRDefault="00E109AC" w:rsidP="008D5F7E">
            <w:pPr>
              <w:keepNext/>
              <w:numPr>
                <w:ilvl w:val="0"/>
                <w:numId w:val="13"/>
              </w:numPr>
              <w:autoSpaceDE w:val="0"/>
              <w:autoSpaceDN w:val="0"/>
              <w:adjustRightInd w:val="0"/>
              <w:spacing w:before="120" w:after="60"/>
              <w:ind w:left="357" w:hanging="465"/>
              <w:jc w:val="both"/>
              <w:rPr>
                <w:rFonts w:asciiTheme="minorBidi" w:eastAsia="SimSun" w:hAnsiTheme="minorBidi" w:cstheme="minorBidi"/>
                <w:bCs/>
                <w:color w:val="000000"/>
                <w:sz w:val="20"/>
                <w:szCs w:val="20"/>
              </w:rPr>
            </w:pPr>
            <w:r w:rsidRPr="001D70C0">
              <w:rPr>
                <w:rFonts w:asciiTheme="minorBidi" w:hAnsiTheme="minorBidi"/>
                <w:color w:val="000000"/>
                <w:sz w:val="20"/>
                <w:szCs w:val="20"/>
                <w:u w:val="single"/>
              </w:rPr>
              <w:t xml:space="preserve">Des contributions </w:t>
            </w:r>
            <w:r w:rsidR="00B33DB5" w:rsidRPr="001D70C0">
              <w:rPr>
                <w:rFonts w:asciiTheme="minorBidi" w:hAnsiTheme="minorBidi"/>
                <w:color w:val="000000"/>
                <w:sz w:val="20"/>
                <w:szCs w:val="20"/>
                <w:u w:val="single"/>
              </w:rPr>
              <w:t>volontaires</w:t>
            </w:r>
            <w:r w:rsidRPr="001D70C0">
              <w:rPr>
                <w:rFonts w:asciiTheme="minorBidi" w:hAnsiTheme="minorBidi"/>
                <w:color w:val="000000"/>
                <w:sz w:val="20"/>
                <w:szCs w:val="20"/>
                <w:u w:val="single"/>
              </w:rPr>
              <w:t xml:space="preserve"> supplémentaires </w:t>
            </w:r>
          </w:p>
        </w:tc>
        <w:tc>
          <w:tcPr>
            <w:tcW w:w="1765" w:type="dxa"/>
            <w:shd w:val="clear" w:color="auto" w:fill="auto"/>
            <w:vAlign w:val="center"/>
          </w:tcPr>
          <w:p w14:paraId="5D9BBF83" w14:textId="77777777" w:rsidR="00B33DB5" w:rsidRPr="001D70C0" w:rsidRDefault="00B33DB5" w:rsidP="00705A8C">
            <w:pPr>
              <w:keepNext/>
              <w:autoSpaceDE w:val="0"/>
              <w:autoSpaceDN w:val="0"/>
              <w:adjustRightInd w:val="0"/>
              <w:spacing w:before="60" w:after="60"/>
              <w:jc w:val="right"/>
              <w:rPr>
                <w:rFonts w:asciiTheme="minorBidi" w:eastAsia="SimSun" w:hAnsiTheme="minorBidi" w:cstheme="minorBidi"/>
                <w:bCs/>
                <w:color w:val="000000"/>
                <w:sz w:val="20"/>
                <w:szCs w:val="20"/>
                <w:lang w:eastAsia="zh-CN"/>
              </w:rPr>
            </w:pPr>
          </w:p>
        </w:tc>
      </w:tr>
      <w:tr w:rsidR="00B33DB5" w:rsidRPr="001D70C0" w14:paraId="0532D9B0" w14:textId="77777777" w:rsidTr="00E06A59">
        <w:trPr>
          <w:gridAfter w:val="1"/>
          <w:wAfter w:w="141" w:type="dxa"/>
          <w:cantSplit/>
        </w:trPr>
        <w:tc>
          <w:tcPr>
            <w:tcW w:w="7166" w:type="dxa"/>
            <w:gridSpan w:val="2"/>
            <w:shd w:val="clear" w:color="auto" w:fill="auto"/>
            <w:vAlign w:val="center"/>
          </w:tcPr>
          <w:p w14:paraId="4774913B" w14:textId="7A2B6CFE" w:rsidR="00B33DB5" w:rsidRPr="001D70C0" w:rsidRDefault="00B33DB5" w:rsidP="001554C0">
            <w:pPr>
              <w:keepNext/>
              <w:autoSpaceDE w:val="0"/>
              <w:autoSpaceDN w:val="0"/>
              <w:adjustRightInd w:val="0"/>
              <w:spacing w:before="60" w:after="60"/>
              <w:ind w:left="-109"/>
              <w:jc w:val="both"/>
              <w:rPr>
                <w:rFonts w:asciiTheme="minorBidi" w:eastAsia="SimSun" w:hAnsiTheme="minorBidi" w:cstheme="minorBidi"/>
                <w:bCs/>
                <w:i/>
                <w:iCs/>
                <w:color w:val="000000"/>
                <w:sz w:val="20"/>
                <w:szCs w:val="20"/>
              </w:rPr>
            </w:pPr>
            <w:r w:rsidRPr="001D70C0">
              <w:rPr>
                <w:rFonts w:asciiTheme="minorBidi" w:hAnsiTheme="minorBidi"/>
                <w:i/>
                <w:color w:val="000000"/>
                <w:sz w:val="20"/>
                <w:szCs w:val="20"/>
              </w:rPr>
              <w:t xml:space="preserve">Les contributions versées à des fins spécifiques, relatives à des projets </w:t>
            </w:r>
            <w:r w:rsidR="00805652" w:rsidRPr="001D70C0">
              <w:rPr>
                <w:rFonts w:asciiTheme="minorBidi" w:hAnsiTheme="minorBidi"/>
                <w:i/>
                <w:color w:val="000000"/>
                <w:sz w:val="20"/>
                <w:szCs w:val="20"/>
              </w:rPr>
              <w:t xml:space="preserve">déterminés </w:t>
            </w:r>
            <w:r w:rsidRPr="001D70C0">
              <w:rPr>
                <w:rFonts w:asciiTheme="minorBidi" w:hAnsiTheme="minorBidi"/>
                <w:i/>
                <w:color w:val="000000"/>
                <w:sz w:val="20"/>
                <w:szCs w:val="20"/>
              </w:rPr>
              <w:t>approuvés par le Comité, conformément à l</w:t>
            </w:r>
            <w:r w:rsidR="00CB437A" w:rsidRPr="001D70C0">
              <w:rPr>
                <w:rFonts w:asciiTheme="minorBidi" w:hAnsiTheme="minorBidi"/>
                <w:i/>
                <w:color w:val="000000"/>
                <w:sz w:val="20"/>
                <w:szCs w:val="20"/>
              </w:rPr>
              <w:t>’</w:t>
            </w:r>
            <w:r w:rsidRPr="001D70C0">
              <w:rPr>
                <w:rFonts w:asciiTheme="minorBidi" w:hAnsiTheme="minorBidi"/>
                <w:i/>
                <w:color w:val="000000"/>
                <w:sz w:val="20"/>
                <w:szCs w:val="20"/>
              </w:rPr>
              <w:t>article</w:t>
            </w:r>
            <w:r w:rsidR="0042677B" w:rsidRPr="001D70C0">
              <w:rPr>
                <w:rFonts w:asciiTheme="minorBidi" w:hAnsiTheme="minorBidi"/>
                <w:i/>
                <w:color w:val="000000"/>
                <w:sz w:val="20"/>
                <w:szCs w:val="20"/>
              </w:rPr>
              <w:t> </w:t>
            </w:r>
            <w:r w:rsidRPr="001D70C0">
              <w:rPr>
                <w:rFonts w:asciiTheme="minorBidi" w:hAnsiTheme="minorBidi"/>
                <w:i/>
                <w:color w:val="000000"/>
                <w:sz w:val="20"/>
                <w:szCs w:val="20"/>
              </w:rPr>
              <w:t>25.5 de la Convention</w:t>
            </w:r>
            <w:r w:rsidR="0042677B" w:rsidRPr="001D70C0">
              <w:rPr>
                <w:rFonts w:asciiTheme="minorBidi" w:hAnsiTheme="minorBidi"/>
                <w:i/>
                <w:color w:val="000000"/>
                <w:sz w:val="20"/>
                <w:szCs w:val="20"/>
              </w:rPr>
              <w:t> </w:t>
            </w:r>
            <w:r w:rsidRPr="001D70C0">
              <w:rPr>
                <w:rFonts w:asciiTheme="minorBidi" w:hAnsiTheme="minorBidi"/>
                <w:i/>
                <w:color w:val="000000"/>
                <w:sz w:val="20"/>
                <w:szCs w:val="20"/>
              </w:rPr>
              <w:t>:</w:t>
            </w:r>
          </w:p>
        </w:tc>
        <w:tc>
          <w:tcPr>
            <w:tcW w:w="1765" w:type="dxa"/>
            <w:shd w:val="clear" w:color="auto" w:fill="auto"/>
            <w:vAlign w:val="center"/>
          </w:tcPr>
          <w:p w14:paraId="5DF46E28" w14:textId="7E63F54C" w:rsidR="00B33DB5" w:rsidRPr="001D70C0" w:rsidRDefault="00B33DB5" w:rsidP="00705A8C">
            <w:pPr>
              <w:keepNext/>
              <w:autoSpaceDE w:val="0"/>
              <w:autoSpaceDN w:val="0"/>
              <w:adjustRightInd w:val="0"/>
              <w:spacing w:before="60" w:after="60"/>
              <w:jc w:val="right"/>
              <w:rPr>
                <w:rFonts w:asciiTheme="minorBidi" w:eastAsia="SimSun" w:hAnsiTheme="minorBidi" w:cstheme="minorBidi"/>
                <w:bCs/>
                <w:strike/>
                <w:color w:val="000000"/>
                <w:sz w:val="20"/>
                <w:szCs w:val="20"/>
                <w:lang w:eastAsia="zh-CN"/>
              </w:rPr>
            </w:pPr>
          </w:p>
        </w:tc>
      </w:tr>
      <w:tr w:rsidR="009C2B72" w:rsidRPr="001D70C0" w14:paraId="54F4C3D9" w14:textId="77777777" w:rsidTr="00E06A59">
        <w:trPr>
          <w:gridAfter w:val="1"/>
          <w:wAfter w:w="141" w:type="dxa"/>
          <w:cantSplit/>
        </w:trPr>
        <w:tc>
          <w:tcPr>
            <w:tcW w:w="7086" w:type="dxa"/>
            <w:shd w:val="clear" w:color="auto" w:fill="auto"/>
            <w:vAlign w:val="center"/>
          </w:tcPr>
          <w:p w14:paraId="7B544F6C" w14:textId="78FD7424" w:rsidR="009C2B72" w:rsidRPr="001D70C0" w:rsidRDefault="009C2B72" w:rsidP="00705A8C">
            <w:pPr>
              <w:pStyle w:val="Paragraph"/>
              <w:spacing w:before="60" w:after="60"/>
              <w:ind w:left="360"/>
              <w:rPr>
                <w:rFonts w:asciiTheme="minorBidi" w:eastAsia="MS Mincho" w:hAnsiTheme="minorBidi" w:cstheme="minorBidi"/>
                <w:bCs w:val="0"/>
                <w:sz w:val="20"/>
                <w:szCs w:val="20"/>
              </w:rPr>
            </w:pPr>
            <w:r w:rsidRPr="001D70C0">
              <w:rPr>
                <w:rFonts w:asciiTheme="minorBidi" w:hAnsiTheme="minorBidi"/>
                <w:sz w:val="20"/>
                <w:szCs w:val="20"/>
              </w:rPr>
              <w:t>De l</w:t>
            </w:r>
            <w:r w:rsidR="00CB437A" w:rsidRPr="001D70C0">
              <w:rPr>
                <w:rFonts w:asciiTheme="minorBidi" w:hAnsiTheme="minorBidi"/>
                <w:sz w:val="20"/>
                <w:szCs w:val="20"/>
              </w:rPr>
              <w:t>’</w:t>
            </w:r>
            <w:r w:rsidRPr="001D70C0">
              <w:rPr>
                <w:rFonts w:asciiTheme="minorBidi" w:hAnsiTheme="minorBidi"/>
                <w:sz w:val="20"/>
                <w:szCs w:val="20"/>
              </w:rPr>
              <w:t xml:space="preserve">Azerbaïdjan, </w:t>
            </w:r>
            <w:r w:rsidR="00ED07CD" w:rsidRPr="001D70C0">
              <w:rPr>
                <w:rFonts w:asciiTheme="minorBidi" w:hAnsiTheme="minorBidi"/>
                <w:sz w:val="20"/>
                <w:szCs w:val="20"/>
              </w:rPr>
              <w:t>pour la mise en œuvre du programme « Appui au développement et à la mise en œuvre d’activités de renforcement des capacités pour la sauvegarde du patrimoine culturel immatériel dans les situations de conflit, notamment les situations de déplacement forcé »</w:t>
            </w:r>
            <w:r w:rsidRPr="001D70C0">
              <w:rPr>
                <w:rFonts w:asciiTheme="minorBidi" w:hAnsiTheme="minorBidi"/>
                <w:sz w:val="20"/>
                <w:szCs w:val="20"/>
              </w:rPr>
              <w:t xml:space="preserve"> (Décision</w:t>
            </w:r>
            <w:r w:rsidR="0042677B" w:rsidRPr="001D70C0">
              <w:rPr>
                <w:rFonts w:asciiTheme="minorBidi" w:hAnsiTheme="minorBidi"/>
                <w:sz w:val="20"/>
                <w:szCs w:val="20"/>
              </w:rPr>
              <w:t> </w:t>
            </w:r>
            <w:hyperlink r:id="rId13" w:history="1">
              <w:r w:rsidRPr="001D70C0">
                <w:rPr>
                  <w:rStyle w:val="Hyperlink"/>
                  <w:rFonts w:asciiTheme="minorBidi" w:hAnsiTheme="minorBidi"/>
                  <w:bCs w:val="0"/>
                  <w:sz w:val="20"/>
                  <w:szCs w:val="20"/>
                </w:rPr>
                <w:t>12.COM 6</w:t>
              </w:r>
            </w:hyperlink>
            <w:r w:rsidRPr="001D70C0">
              <w:rPr>
                <w:rFonts w:asciiTheme="minorBidi" w:hAnsiTheme="minorBidi"/>
                <w:sz w:val="20"/>
                <w:szCs w:val="20"/>
              </w:rPr>
              <w:t>)</w:t>
            </w:r>
          </w:p>
        </w:tc>
        <w:tc>
          <w:tcPr>
            <w:tcW w:w="1845" w:type="dxa"/>
            <w:gridSpan w:val="2"/>
            <w:shd w:val="clear" w:color="auto" w:fill="auto"/>
          </w:tcPr>
          <w:p w14:paraId="6C77E1AF" w14:textId="1931EC31" w:rsidR="009C2B72" w:rsidRPr="001D70C0" w:rsidRDefault="009C2B72" w:rsidP="00E06A59">
            <w:pPr>
              <w:pStyle w:val="Paragraph"/>
              <w:spacing w:before="60" w:after="60"/>
              <w:ind w:left="178"/>
              <w:jc w:val="right"/>
              <w:rPr>
                <w:rFonts w:asciiTheme="minorBidi" w:hAnsiTheme="minorBidi" w:cstheme="minorBidi"/>
                <w:sz w:val="20"/>
                <w:szCs w:val="20"/>
              </w:rPr>
            </w:pPr>
            <w:r w:rsidRPr="001D70C0">
              <w:rPr>
                <w:rFonts w:asciiTheme="minorBidi" w:hAnsiTheme="minorBidi"/>
                <w:sz w:val="20"/>
                <w:szCs w:val="20"/>
              </w:rPr>
              <w:t>100</w:t>
            </w:r>
            <w:r w:rsidR="0042677B" w:rsidRPr="001D70C0">
              <w:rPr>
                <w:rFonts w:asciiTheme="minorBidi" w:hAnsiTheme="minorBidi"/>
                <w:sz w:val="20"/>
                <w:szCs w:val="20"/>
              </w:rPr>
              <w:t> </w:t>
            </w:r>
            <w:r w:rsidRPr="001D70C0">
              <w:rPr>
                <w:rFonts w:asciiTheme="minorBidi" w:hAnsiTheme="minorBidi"/>
                <w:sz w:val="20"/>
                <w:szCs w:val="20"/>
              </w:rPr>
              <w:t>000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p w14:paraId="4E19F5BA" w14:textId="77777777" w:rsidR="009C2B72" w:rsidRPr="001D70C0" w:rsidRDefault="009C2B72" w:rsidP="00705A8C">
            <w:pPr>
              <w:pStyle w:val="Paragraph"/>
              <w:keepNext/>
              <w:spacing w:before="60" w:after="60"/>
              <w:ind w:left="360" w:right="200"/>
              <w:jc w:val="right"/>
              <w:rPr>
                <w:rFonts w:asciiTheme="minorBidi" w:hAnsiTheme="minorBidi" w:cstheme="minorBidi"/>
                <w:sz w:val="20"/>
                <w:szCs w:val="20"/>
              </w:rPr>
            </w:pPr>
          </w:p>
        </w:tc>
      </w:tr>
      <w:tr w:rsidR="009C2B72" w:rsidRPr="001D70C0" w14:paraId="60B16133" w14:textId="77777777" w:rsidTr="00E06A59">
        <w:trPr>
          <w:gridAfter w:val="1"/>
          <w:wAfter w:w="141" w:type="dxa"/>
          <w:cantSplit/>
        </w:trPr>
        <w:tc>
          <w:tcPr>
            <w:tcW w:w="7086" w:type="dxa"/>
            <w:shd w:val="clear" w:color="auto" w:fill="auto"/>
            <w:vAlign w:val="center"/>
          </w:tcPr>
          <w:p w14:paraId="4D0A4F85" w14:textId="5F79EE83" w:rsidR="009C2B72" w:rsidRPr="001D70C0" w:rsidRDefault="009C2B72" w:rsidP="00705A8C">
            <w:pPr>
              <w:pStyle w:val="Paragraph"/>
              <w:spacing w:before="60" w:after="60"/>
              <w:ind w:left="357"/>
              <w:rPr>
                <w:rFonts w:asciiTheme="minorBidi" w:eastAsia="MS Mincho" w:hAnsiTheme="minorBidi" w:cstheme="minorBidi"/>
                <w:bCs w:val="0"/>
                <w:sz w:val="20"/>
                <w:szCs w:val="20"/>
              </w:rPr>
            </w:pPr>
            <w:r w:rsidRPr="001D70C0">
              <w:rPr>
                <w:rFonts w:asciiTheme="minorBidi" w:hAnsiTheme="minorBidi"/>
                <w:sz w:val="20"/>
                <w:szCs w:val="20"/>
              </w:rPr>
              <w:t>De la France, pour la mise en œuvre du programme «</w:t>
            </w:r>
            <w:r w:rsidR="0042677B" w:rsidRPr="001D70C0">
              <w:rPr>
                <w:rFonts w:asciiTheme="minorBidi" w:hAnsiTheme="minorBidi"/>
                <w:sz w:val="20"/>
                <w:szCs w:val="20"/>
              </w:rPr>
              <w:t> </w:t>
            </w:r>
            <w:r w:rsidR="006424A0" w:rsidRPr="006424A0">
              <w:rPr>
                <w:rFonts w:asciiTheme="minorBidi" w:hAnsiTheme="minorBidi"/>
                <w:sz w:val="20"/>
                <w:szCs w:val="20"/>
              </w:rPr>
              <w:t>Renforcement des capacités pour la sauvegarde du patrimoine culturel immatériel et la contribution au développement durable</w:t>
            </w:r>
            <w:r w:rsidR="0042677B" w:rsidRPr="001D70C0">
              <w:rPr>
                <w:rFonts w:asciiTheme="minorBidi" w:hAnsiTheme="minorBidi"/>
                <w:sz w:val="20"/>
                <w:szCs w:val="20"/>
              </w:rPr>
              <w:t> </w:t>
            </w:r>
            <w:r w:rsidRPr="001D70C0">
              <w:rPr>
                <w:rFonts w:asciiTheme="minorBidi" w:hAnsiTheme="minorBidi"/>
                <w:sz w:val="20"/>
                <w:szCs w:val="20"/>
              </w:rPr>
              <w:t>» (Décision</w:t>
            </w:r>
            <w:r w:rsidR="0042677B" w:rsidRPr="001D70C0">
              <w:rPr>
                <w:rFonts w:asciiTheme="minorBidi" w:hAnsiTheme="minorBidi"/>
                <w:sz w:val="20"/>
                <w:szCs w:val="20"/>
              </w:rPr>
              <w:t> </w:t>
            </w:r>
            <w:hyperlink r:id="rId14" w:history="1">
              <w:r w:rsidRPr="001D70C0">
                <w:rPr>
                  <w:rStyle w:val="Hyperlink"/>
                  <w:rFonts w:asciiTheme="minorBidi" w:hAnsiTheme="minorBidi"/>
                  <w:sz w:val="20"/>
                  <w:szCs w:val="20"/>
                </w:rPr>
                <w:t>12.COM</w:t>
              </w:r>
              <w:r w:rsidR="00B42523" w:rsidRPr="001D70C0">
                <w:rPr>
                  <w:rStyle w:val="Hyperlink"/>
                  <w:rFonts w:asciiTheme="minorBidi" w:hAnsiTheme="minorBidi"/>
                  <w:sz w:val="20"/>
                  <w:szCs w:val="20"/>
                </w:rPr>
                <w:t> </w:t>
              </w:r>
              <w:r w:rsidRPr="001D70C0">
                <w:rPr>
                  <w:rStyle w:val="Hyperlink"/>
                  <w:rFonts w:asciiTheme="minorBidi" w:hAnsiTheme="minorBidi"/>
                  <w:sz w:val="20"/>
                  <w:szCs w:val="20"/>
                </w:rPr>
                <w:t>6</w:t>
              </w:r>
            </w:hyperlink>
            <w:r w:rsidRPr="001D70C0">
              <w:rPr>
                <w:rFonts w:asciiTheme="minorBidi" w:hAnsiTheme="minorBidi"/>
                <w:sz w:val="20"/>
                <w:szCs w:val="20"/>
              </w:rPr>
              <w:t>)</w:t>
            </w:r>
          </w:p>
        </w:tc>
        <w:tc>
          <w:tcPr>
            <w:tcW w:w="1845" w:type="dxa"/>
            <w:gridSpan w:val="2"/>
            <w:shd w:val="clear" w:color="auto" w:fill="auto"/>
          </w:tcPr>
          <w:p w14:paraId="1F998C8B" w14:textId="16980BB4" w:rsidR="009C2B72" w:rsidRPr="001D70C0" w:rsidRDefault="009C2B72" w:rsidP="00E06A59">
            <w:pPr>
              <w:pStyle w:val="Paragraph"/>
              <w:keepNext/>
              <w:spacing w:before="60" w:after="60"/>
              <w:ind w:left="33"/>
              <w:jc w:val="right"/>
              <w:rPr>
                <w:rFonts w:asciiTheme="minorBidi" w:hAnsiTheme="minorBidi" w:cstheme="minorBidi"/>
                <w:sz w:val="20"/>
                <w:szCs w:val="20"/>
              </w:rPr>
            </w:pPr>
            <w:r w:rsidRPr="001D70C0">
              <w:rPr>
                <w:rFonts w:asciiTheme="minorBidi" w:hAnsiTheme="minorBidi"/>
                <w:sz w:val="20"/>
                <w:szCs w:val="20"/>
              </w:rPr>
              <w:t>271</w:t>
            </w:r>
            <w:r w:rsidR="0042677B" w:rsidRPr="001D70C0">
              <w:rPr>
                <w:rFonts w:asciiTheme="minorBidi" w:hAnsiTheme="minorBidi"/>
                <w:sz w:val="20"/>
                <w:szCs w:val="20"/>
              </w:rPr>
              <w:t> </w:t>
            </w:r>
            <w:r w:rsidRPr="001D70C0">
              <w:rPr>
                <w:rFonts w:asciiTheme="minorBidi" w:hAnsiTheme="minorBidi"/>
                <w:sz w:val="20"/>
                <w:szCs w:val="20"/>
              </w:rPr>
              <w:t>445</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9C2B72" w:rsidRPr="001D70C0" w14:paraId="67F21FF5" w14:textId="77777777" w:rsidTr="00E06A59">
        <w:trPr>
          <w:gridAfter w:val="1"/>
          <w:wAfter w:w="141" w:type="dxa"/>
          <w:cantSplit/>
        </w:trPr>
        <w:tc>
          <w:tcPr>
            <w:tcW w:w="7086" w:type="dxa"/>
            <w:shd w:val="clear" w:color="auto" w:fill="auto"/>
            <w:vAlign w:val="center"/>
          </w:tcPr>
          <w:p w14:paraId="0FEABDEB" w14:textId="543AACDA" w:rsidR="009C2B72" w:rsidRPr="001D70C0" w:rsidRDefault="009C2B72" w:rsidP="00705A8C">
            <w:pPr>
              <w:pStyle w:val="Paragraph"/>
              <w:spacing w:before="60" w:after="60"/>
              <w:ind w:left="357"/>
              <w:rPr>
                <w:rFonts w:asciiTheme="minorBidi" w:eastAsia="MS Mincho" w:hAnsiTheme="minorBidi" w:cstheme="minorBidi"/>
                <w:bCs w:val="0"/>
                <w:sz w:val="20"/>
                <w:szCs w:val="20"/>
              </w:rPr>
            </w:pPr>
            <w:r w:rsidRPr="001D70C0">
              <w:rPr>
                <w:rFonts w:asciiTheme="minorBidi" w:hAnsiTheme="minorBidi"/>
                <w:sz w:val="20"/>
                <w:szCs w:val="20"/>
              </w:rPr>
              <w:t>Du Koweït, pour la mise en œuvre du programme «</w:t>
            </w:r>
            <w:r w:rsidR="0042677B" w:rsidRPr="001D70C0">
              <w:rPr>
                <w:rFonts w:asciiTheme="minorBidi" w:hAnsiTheme="minorBidi"/>
                <w:sz w:val="20"/>
                <w:szCs w:val="20"/>
              </w:rPr>
              <w:t> </w:t>
            </w:r>
            <w:r w:rsidR="00ED07CD" w:rsidRPr="001D70C0">
              <w:rPr>
                <w:rFonts w:asciiTheme="minorBidi" w:hAnsiTheme="minorBidi"/>
                <w:sz w:val="20"/>
                <w:szCs w:val="20"/>
              </w:rPr>
              <w:t>Renforcement des capacités aux niveaux national et local pour la sauvegarde du patrimoine culturel immatériel en Dominique</w:t>
            </w:r>
            <w:r w:rsidR="0042677B" w:rsidRPr="001D70C0">
              <w:rPr>
                <w:rFonts w:asciiTheme="minorBidi" w:hAnsiTheme="minorBidi"/>
                <w:sz w:val="20"/>
                <w:szCs w:val="20"/>
              </w:rPr>
              <w:t> </w:t>
            </w:r>
            <w:r w:rsidRPr="001D70C0">
              <w:rPr>
                <w:rFonts w:asciiTheme="minorBidi" w:hAnsiTheme="minorBidi"/>
                <w:sz w:val="20"/>
                <w:szCs w:val="20"/>
              </w:rPr>
              <w:t>» (Décision</w:t>
            </w:r>
            <w:r w:rsidR="0042677B" w:rsidRPr="001D70C0">
              <w:rPr>
                <w:rFonts w:asciiTheme="minorBidi" w:hAnsiTheme="minorBidi"/>
                <w:sz w:val="20"/>
                <w:szCs w:val="20"/>
              </w:rPr>
              <w:t> </w:t>
            </w:r>
            <w:hyperlink r:id="rId15" w:history="1">
              <w:r w:rsidRPr="001D70C0">
                <w:rPr>
                  <w:rStyle w:val="Hyperlink"/>
                  <w:rFonts w:asciiTheme="minorBidi" w:hAnsiTheme="minorBidi"/>
                  <w:sz w:val="20"/>
                  <w:szCs w:val="20"/>
                </w:rPr>
                <w:t>12.COM</w:t>
              </w:r>
              <w:r w:rsidR="00B42523" w:rsidRPr="001D70C0">
                <w:rPr>
                  <w:rStyle w:val="Hyperlink"/>
                  <w:rFonts w:asciiTheme="minorBidi" w:hAnsiTheme="minorBidi"/>
                  <w:sz w:val="20"/>
                  <w:szCs w:val="20"/>
                </w:rPr>
                <w:t> </w:t>
              </w:r>
              <w:r w:rsidRPr="001D70C0">
                <w:rPr>
                  <w:rStyle w:val="Hyperlink"/>
                  <w:rFonts w:asciiTheme="minorBidi" w:hAnsiTheme="minorBidi"/>
                  <w:sz w:val="20"/>
                  <w:szCs w:val="20"/>
                </w:rPr>
                <w:t>6</w:t>
              </w:r>
            </w:hyperlink>
            <w:r w:rsidRPr="001D70C0">
              <w:rPr>
                <w:rFonts w:asciiTheme="minorBidi" w:hAnsiTheme="minorBidi"/>
                <w:sz w:val="20"/>
                <w:szCs w:val="20"/>
              </w:rPr>
              <w:t>)</w:t>
            </w:r>
          </w:p>
        </w:tc>
        <w:tc>
          <w:tcPr>
            <w:tcW w:w="1845" w:type="dxa"/>
            <w:gridSpan w:val="2"/>
            <w:shd w:val="clear" w:color="auto" w:fill="auto"/>
          </w:tcPr>
          <w:p w14:paraId="3B84926C" w14:textId="79D6D4C4" w:rsidR="009C2B72" w:rsidRPr="001D70C0" w:rsidRDefault="009C2B72" w:rsidP="00E06A59">
            <w:pPr>
              <w:pStyle w:val="Paragraph"/>
              <w:keepNext/>
              <w:spacing w:before="60" w:after="60"/>
              <w:ind w:left="174"/>
              <w:jc w:val="right"/>
              <w:rPr>
                <w:rFonts w:asciiTheme="minorBidi" w:hAnsiTheme="minorBidi" w:cstheme="minorBidi"/>
                <w:sz w:val="20"/>
                <w:szCs w:val="20"/>
              </w:rPr>
            </w:pPr>
            <w:r w:rsidRPr="001D70C0">
              <w:rPr>
                <w:rFonts w:asciiTheme="minorBidi" w:hAnsiTheme="minorBidi"/>
                <w:sz w:val="20"/>
                <w:szCs w:val="20"/>
              </w:rPr>
              <w:t>65</w:t>
            </w:r>
            <w:r w:rsidR="0042677B" w:rsidRPr="001D70C0">
              <w:rPr>
                <w:rFonts w:asciiTheme="minorBidi" w:hAnsiTheme="minorBidi"/>
                <w:sz w:val="20"/>
                <w:szCs w:val="20"/>
              </w:rPr>
              <w:t> </w:t>
            </w:r>
            <w:r w:rsidRPr="001D70C0">
              <w:rPr>
                <w:rFonts w:asciiTheme="minorBidi" w:hAnsiTheme="minorBidi"/>
                <w:sz w:val="20"/>
                <w:szCs w:val="20"/>
              </w:rPr>
              <w:t>000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9C2B72" w:rsidRPr="001D70C0" w14:paraId="00D0F22E" w14:textId="77777777" w:rsidTr="00E06A59">
        <w:trPr>
          <w:gridAfter w:val="1"/>
          <w:wAfter w:w="141" w:type="dxa"/>
          <w:cantSplit/>
        </w:trPr>
        <w:tc>
          <w:tcPr>
            <w:tcW w:w="7086" w:type="dxa"/>
            <w:shd w:val="clear" w:color="auto" w:fill="auto"/>
            <w:vAlign w:val="center"/>
          </w:tcPr>
          <w:p w14:paraId="41483CC0" w14:textId="2799BD06" w:rsidR="009C2B72" w:rsidRPr="001D70C0" w:rsidRDefault="009C2B72" w:rsidP="00705A8C">
            <w:pPr>
              <w:pStyle w:val="Paragraph"/>
              <w:spacing w:before="60" w:after="60"/>
              <w:ind w:left="357"/>
              <w:rPr>
                <w:rFonts w:asciiTheme="minorBidi" w:eastAsia="MS Mincho" w:hAnsiTheme="minorBidi" w:cstheme="minorBidi"/>
                <w:bCs w:val="0"/>
                <w:sz w:val="20"/>
                <w:szCs w:val="20"/>
              </w:rPr>
            </w:pPr>
            <w:r w:rsidRPr="001D70C0">
              <w:rPr>
                <w:rFonts w:asciiTheme="minorBidi" w:hAnsiTheme="minorBidi"/>
                <w:sz w:val="20"/>
                <w:szCs w:val="20"/>
              </w:rPr>
              <w:t>Des Pays-Bas, pour la mise en œuvre du programme «</w:t>
            </w:r>
            <w:r w:rsidR="0042677B" w:rsidRPr="001D70C0">
              <w:rPr>
                <w:rFonts w:asciiTheme="minorBidi" w:hAnsiTheme="minorBidi"/>
                <w:sz w:val="20"/>
                <w:szCs w:val="20"/>
              </w:rPr>
              <w:t> </w:t>
            </w:r>
            <w:r w:rsidR="005832A9" w:rsidRPr="001D70C0">
              <w:rPr>
                <w:rFonts w:asciiTheme="minorBidi" w:hAnsiTheme="minorBidi"/>
                <w:sz w:val="20"/>
                <w:szCs w:val="20"/>
              </w:rPr>
              <w:t xml:space="preserve">Renforcement des capacités pour la sauvegarde du patrimoine culturel immatériel au Kenya » </w:t>
            </w:r>
            <w:r w:rsidRPr="001D70C0">
              <w:rPr>
                <w:rFonts w:asciiTheme="minorBidi" w:hAnsiTheme="minorBidi"/>
                <w:sz w:val="20"/>
                <w:szCs w:val="20"/>
              </w:rPr>
              <w:t>(Décision</w:t>
            </w:r>
            <w:r w:rsidR="0042677B" w:rsidRPr="001D70C0">
              <w:rPr>
                <w:rFonts w:asciiTheme="minorBidi" w:hAnsiTheme="minorBidi"/>
                <w:sz w:val="20"/>
                <w:szCs w:val="20"/>
              </w:rPr>
              <w:t> </w:t>
            </w:r>
            <w:hyperlink r:id="rId16" w:history="1">
              <w:r w:rsidRPr="001D70C0">
                <w:rPr>
                  <w:rStyle w:val="Hyperlink"/>
                  <w:rFonts w:asciiTheme="minorBidi" w:hAnsiTheme="minorBidi"/>
                  <w:sz w:val="20"/>
                  <w:szCs w:val="20"/>
                </w:rPr>
                <w:t>12.COM</w:t>
              </w:r>
              <w:r w:rsidR="00B42523" w:rsidRPr="001D70C0">
                <w:rPr>
                  <w:rStyle w:val="Hyperlink"/>
                  <w:rFonts w:asciiTheme="minorBidi" w:hAnsiTheme="minorBidi"/>
                  <w:sz w:val="20"/>
                  <w:szCs w:val="20"/>
                </w:rPr>
                <w:t> </w:t>
              </w:r>
              <w:r w:rsidRPr="001D70C0">
                <w:rPr>
                  <w:rStyle w:val="Hyperlink"/>
                  <w:rFonts w:asciiTheme="minorBidi" w:hAnsiTheme="minorBidi"/>
                  <w:sz w:val="20"/>
                  <w:szCs w:val="20"/>
                </w:rPr>
                <w:t>6</w:t>
              </w:r>
            </w:hyperlink>
            <w:r w:rsidRPr="001D70C0">
              <w:rPr>
                <w:rFonts w:asciiTheme="minorBidi" w:hAnsiTheme="minorBidi"/>
                <w:sz w:val="20"/>
                <w:szCs w:val="20"/>
              </w:rPr>
              <w:t>)</w:t>
            </w:r>
          </w:p>
        </w:tc>
        <w:tc>
          <w:tcPr>
            <w:tcW w:w="1845" w:type="dxa"/>
            <w:gridSpan w:val="2"/>
            <w:shd w:val="clear" w:color="auto" w:fill="auto"/>
          </w:tcPr>
          <w:p w14:paraId="0B4F6B38" w14:textId="27BA113C" w:rsidR="009C2B72" w:rsidRPr="001D70C0" w:rsidRDefault="00A0434A" w:rsidP="00E06A59">
            <w:pPr>
              <w:pStyle w:val="Paragraph"/>
              <w:keepNext/>
              <w:spacing w:before="60" w:after="60"/>
              <w:ind w:left="174"/>
              <w:jc w:val="right"/>
              <w:rPr>
                <w:rFonts w:asciiTheme="minorBidi" w:hAnsiTheme="minorBidi" w:cstheme="minorBidi"/>
                <w:sz w:val="20"/>
                <w:szCs w:val="20"/>
              </w:rPr>
            </w:pPr>
            <w:r w:rsidRPr="001D70C0">
              <w:rPr>
                <w:rFonts w:asciiTheme="minorBidi" w:hAnsiTheme="minorBidi"/>
                <w:sz w:val="20"/>
                <w:szCs w:val="20"/>
              </w:rPr>
              <w:t>84</w:t>
            </w:r>
            <w:r w:rsidR="0042677B" w:rsidRPr="001D70C0">
              <w:rPr>
                <w:rFonts w:asciiTheme="minorBidi" w:hAnsiTheme="minorBidi"/>
                <w:sz w:val="20"/>
                <w:szCs w:val="20"/>
              </w:rPr>
              <w:t> </w:t>
            </w:r>
            <w:r w:rsidRPr="001D70C0">
              <w:rPr>
                <w:rFonts w:asciiTheme="minorBidi" w:hAnsiTheme="minorBidi"/>
                <w:sz w:val="20"/>
                <w:szCs w:val="20"/>
              </w:rPr>
              <w:t>460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9C2B72" w:rsidRPr="001D70C0" w14:paraId="50BD55D9" w14:textId="77777777" w:rsidTr="00E06A59">
        <w:trPr>
          <w:gridAfter w:val="1"/>
          <w:wAfter w:w="141" w:type="dxa"/>
          <w:cantSplit/>
        </w:trPr>
        <w:tc>
          <w:tcPr>
            <w:tcW w:w="7086" w:type="dxa"/>
            <w:shd w:val="clear" w:color="auto" w:fill="auto"/>
            <w:vAlign w:val="center"/>
          </w:tcPr>
          <w:p w14:paraId="4EC0FB54" w14:textId="3CB808A0" w:rsidR="009C2B72" w:rsidRPr="001D70C0" w:rsidRDefault="009C2B72" w:rsidP="00705A8C">
            <w:pPr>
              <w:pStyle w:val="Paragraph"/>
              <w:spacing w:before="60" w:after="60"/>
              <w:ind w:left="357"/>
              <w:rPr>
                <w:rFonts w:asciiTheme="minorBidi" w:eastAsia="MS Mincho" w:hAnsiTheme="minorBidi" w:cstheme="minorBidi"/>
                <w:bCs w:val="0"/>
                <w:sz w:val="20"/>
                <w:szCs w:val="20"/>
              </w:rPr>
            </w:pPr>
            <w:r w:rsidRPr="001D70C0">
              <w:rPr>
                <w:rFonts w:asciiTheme="minorBidi" w:hAnsiTheme="minorBidi"/>
                <w:sz w:val="20"/>
                <w:szCs w:val="20"/>
              </w:rPr>
              <w:t xml:space="preserve">De la Suisse, </w:t>
            </w:r>
            <w:r w:rsidR="00ED07CD" w:rsidRPr="001D70C0">
              <w:rPr>
                <w:rFonts w:asciiTheme="minorBidi" w:hAnsiTheme="minorBidi"/>
                <w:sz w:val="20"/>
                <w:szCs w:val="20"/>
              </w:rPr>
              <w:t>pour la mise en œuvre du programme « </w:t>
            </w:r>
            <w:r w:rsidR="006424A0" w:rsidRPr="006424A0">
              <w:rPr>
                <w:rFonts w:asciiTheme="minorBidi" w:hAnsiTheme="minorBidi"/>
                <w:sz w:val="20"/>
                <w:szCs w:val="20"/>
              </w:rPr>
              <w:t>Renforcement des capacités de sauvegarde du patrimoine culturel immatériel dans les catastrophes</w:t>
            </w:r>
            <w:r w:rsidR="00ED07CD" w:rsidRPr="001D70C0">
              <w:rPr>
                <w:rFonts w:asciiTheme="minorBidi" w:hAnsiTheme="minorBidi"/>
                <w:sz w:val="20"/>
                <w:szCs w:val="20"/>
              </w:rPr>
              <w:t> »</w:t>
            </w:r>
            <w:r w:rsidRPr="001D70C0">
              <w:rPr>
                <w:rFonts w:asciiTheme="minorBidi" w:hAnsiTheme="minorBidi"/>
                <w:sz w:val="20"/>
                <w:szCs w:val="20"/>
              </w:rPr>
              <w:t xml:space="preserve"> (</w:t>
            </w:r>
            <w:r w:rsidR="00F868BB" w:rsidRPr="001D70C0">
              <w:rPr>
                <w:rFonts w:asciiTheme="minorBidi" w:hAnsiTheme="minorBidi"/>
                <w:sz w:val="20"/>
                <w:szCs w:val="20"/>
              </w:rPr>
              <w:t>D</w:t>
            </w:r>
            <w:r w:rsidRPr="001D70C0">
              <w:rPr>
                <w:rFonts w:asciiTheme="minorBidi" w:hAnsiTheme="minorBidi"/>
                <w:sz w:val="20"/>
                <w:szCs w:val="20"/>
              </w:rPr>
              <w:t>écision</w:t>
            </w:r>
            <w:r w:rsidR="0042677B" w:rsidRPr="001D70C0">
              <w:rPr>
                <w:rFonts w:asciiTheme="minorBidi" w:hAnsiTheme="minorBidi"/>
                <w:sz w:val="20"/>
                <w:szCs w:val="20"/>
              </w:rPr>
              <w:t> </w:t>
            </w:r>
            <w:hyperlink r:id="rId17" w:history="1">
              <w:r w:rsidRPr="001D70C0">
                <w:rPr>
                  <w:rStyle w:val="Hyperlink"/>
                  <w:rFonts w:asciiTheme="minorBidi" w:hAnsiTheme="minorBidi"/>
                  <w:sz w:val="20"/>
                  <w:szCs w:val="20"/>
                </w:rPr>
                <w:t>12.COM</w:t>
              </w:r>
              <w:r w:rsidR="00B42523" w:rsidRPr="001D70C0">
                <w:rPr>
                  <w:rStyle w:val="Hyperlink"/>
                  <w:rFonts w:asciiTheme="minorBidi" w:hAnsiTheme="minorBidi"/>
                  <w:sz w:val="20"/>
                  <w:szCs w:val="20"/>
                </w:rPr>
                <w:t> </w:t>
              </w:r>
              <w:r w:rsidRPr="001D70C0">
                <w:rPr>
                  <w:rStyle w:val="Hyperlink"/>
                  <w:rFonts w:asciiTheme="minorBidi" w:hAnsiTheme="minorBidi"/>
                  <w:sz w:val="20"/>
                  <w:szCs w:val="20"/>
                </w:rPr>
                <w:t>6</w:t>
              </w:r>
            </w:hyperlink>
            <w:r w:rsidRPr="001D70C0">
              <w:rPr>
                <w:rFonts w:asciiTheme="minorBidi" w:hAnsiTheme="minorBidi"/>
                <w:sz w:val="20"/>
                <w:szCs w:val="20"/>
              </w:rPr>
              <w:t>)</w:t>
            </w:r>
          </w:p>
        </w:tc>
        <w:tc>
          <w:tcPr>
            <w:tcW w:w="1845" w:type="dxa"/>
            <w:gridSpan w:val="2"/>
            <w:shd w:val="clear" w:color="auto" w:fill="auto"/>
          </w:tcPr>
          <w:p w14:paraId="5C76B2FC" w14:textId="43227C31" w:rsidR="009C2B72" w:rsidRPr="001D70C0" w:rsidRDefault="009C2B72" w:rsidP="00E06A59">
            <w:pPr>
              <w:pStyle w:val="Paragraph"/>
              <w:keepNext/>
              <w:spacing w:before="60" w:after="60"/>
              <w:ind w:left="174"/>
              <w:jc w:val="right"/>
              <w:rPr>
                <w:rFonts w:asciiTheme="minorBidi" w:hAnsiTheme="minorBidi" w:cstheme="minorBidi"/>
                <w:sz w:val="20"/>
                <w:szCs w:val="20"/>
              </w:rPr>
            </w:pPr>
            <w:r w:rsidRPr="001D70C0">
              <w:rPr>
                <w:rFonts w:asciiTheme="minorBidi" w:hAnsiTheme="minorBidi"/>
                <w:sz w:val="20"/>
                <w:szCs w:val="20"/>
              </w:rPr>
              <w:t>100</w:t>
            </w:r>
            <w:r w:rsidR="0042677B" w:rsidRPr="001D70C0">
              <w:rPr>
                <w:rFonts w:asciiTheme="minorBidi" w:hAnsiTheme="minorBidi"/>
                <w:sz w:val="20"/>
                <w:szCs w:val="20"/>
              </w:rPr>
              <w:t> </w:t>
            </w:r>
            <w:r w:rsidRPr="001D70C0">
              <w:rPr>
                <w:rFonts w:asciiTheme="minorBidi" w:hAnsiTheme="minorBidi"/>
                <w:sz w:val="20"/>
                <w:szCs w:val="20"/>
              </w:rPr>
              <w:t>000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9C2B72" w:rsidRPr="001D70C0" w14:paraId="40C66FAB" w14:textId="77777777" w:rsidTr="00E06A59">
        <w:trPr>
          <w:gridAfter w:val="1"/>
          <w:wAfter w:w="141" w:type="dxa"/>
          <w:cantSplit/>
        </w:trPr>
        <w:tc>
          <w:tcPr>
            <w:tcW w:w="7086" w:type="dxa"/>
            <w:shd w:val="clear" w:color="auto" w:fill="auto"/>
          </w:tcPr>
          <w:p w14:paraId="0A9339AE" w14:textId="54C90AA4" w:rsidR="009C2B72" w:rsidRPr="001D70C0" w:rsidRDefault="00F60F88" w:rsidP="00705A8C">
            <w:pPr>
              <w:pStyle w:val="Paragraph"/>
              <w:spacing w:before="60" w:after="60"/>
              <w:ind w:left="360"/>
              <w:rPr>
                <w:rFonts w:asciiTheme="minorBidi" w:eastAsia="MS Mincho" w:hAnsiTheme="minorBidi" w:cstheme="minorBidi"/>
                <w:bCs w:val="0"/>
                <w:sz w:val="20"/>
                <w:szCs w:val="20"/>
              </w:rPr>
            </w:pPr>
            <w:r w:rsidRPr="001D70C0">
              <w:rPr>
                <w:rFonts w:asciiTheme="minorBidi" w:hAnsiTheme="minorBidi"/>
                <w:sz w:val="20"/>
                <w:szCs w:val="20"/>
              </w:rPr>
              <w:t>De l</w:t>
            </w:r>
            <w:r w:rsidR="00CB437A" w:rsidRPr="001D70C0">
              <w:rPr>
                <w:rFonts w:asciiTheme="minorBidi" w:hAnsiTheme="minorBidi"/>
                <w:sz w:val="20"/>
                <w:szCs w:val="20"/>
              </w:rPr>
              <w:t>’</w:t>
            </w:r>
            <w:r w:rsidRPr="001D70C0">
              <w:rPr>
                <w:rFonts w:asciiTheme="minorBidi" w:hAnsiTheme="minorBidi"/>
                <w:sz w:val="20"/>
                <w:szCs w:val="20"/>
              </w:rPr>
              <w:t>ICHCAP (Centre international d</w:t>
            </w:r>
            <w:r w:rsidR="00CB437A" w:rsidRPr="001D70C0">
              <w:rPr>
                <w:rFonts w:asciiTheme="minorBidi" w:hAnsiTheme="minorBidi"/>
                <w:sz w:val="20"/>
                <w:szCs w:val="20"/>
              </w:rPr>
              <w:t>’</w:t>
            </w:r>
            <w:r w:rsidRPr="001D70C0">
              <w:rPr>
                <w:rFonts w:asciiTheme="minorBidi" w:hAnsiTheme="minorBidi"/>
                <w:sz w:val="20"/>
                <w:szCs w:val="20"/>
              </w:rPr>
              <w:t>information et de travail en réseau sur le patrimoine culturel immatériel dans la région Asie-Pacifique) pour la mise en œuvre du programme «</w:t>
            </w:r>
            <w:r w:rsidR="0042677B" w:rsidRPr="001D70C0">
              <w:rPr>
                <w:rFonts w:asciiTheme="minorBidi" w:hAnsiTheme="minorBidi"/>
                <w:sz w:val="20"/>
                <w:szCs w:val="20"/>
              </w:rPr>
              <w:t> </w:t>
            </w:r>
            <w:r w:rsidR="006424A0" w:rsidRPr="006424A0">
              <w:rPr>
                <w:rFonts w:asciiTheme="minorBidi" w:hAnsiTheme="minorBidi"/>
                <w:sz w:val="20"/>
                <w:szCs w:val="20"/>
              </w:rPr>
              <w:t>Patrimoine vivant et objectifs de développement durable : Sauvegarde du patrimoine culturel immatériel par l’éducation formelle et non formelle dans la région Asie et Pacifique et en Afrique</w:t>
            </w:r>
            <w:r w:rsidR="00ED07CD" w:rsidRPr="001D70C0">
              <w:rPr>
                <w:rFonts w:asciiTheme="minorBidi" w:hAnsiTheme="minorBidi"/>
                <w:sz w:val="20"/>
                <w:szCs w:val="20"/>
              </w:rPr>
              <w:t> »</w:t>
            </w:r>
            <w:r w:rsidRPr="001D70C0">
              <w:rPr>
                <w:rFonts w:asciiTheme="minorBidi" w:hAnsiTheme="minorBidi"/>
                <w:sz w:val="20"/>
                <w:szCs w:val="20"/>
              </w:rPr>
              <w:t xml:space="preserve"> (Décision</w:t>
            </w:r>
            <w:r w:rsidR="0042677B" w:rsidRPr="001D70C0">
              <w:rPr>
                <w:rFonts w:asciiTheme="minorBidi" w:hAnsiTheme="minorBidi"/>
                <w:sz w:val="20"/>
                <w:szCs w:val="20"/>
              </w:rPr>
              <w:t> </w:t>
            </w:r>
            <w:hyperlink r:id="rId18" w:history="1">
              <w:r w:rsidRPr="001D70C0">
                <w:rPr>
                  <w:rStyle w:val="Hyperlink"/>
                  <w:rFonts w:asciiTheme="minorBidi" w:hAnsiTheme="minorBidi"/>
                  <w:sz w:val="20"/>
                  <w:szCs w:val="20"/>
                </w:rPr>
                <w:t>12.COM 6</w:t>
              </w:r>
            </w:hyperlink>
            <w:r w:rsidRPr="001D70C0">
              <w:rPr>
                <w:rFonts w:asciiTheme="minorBidi" w:hAnsiTheme="minorBidi"/>
                <w:sz w:val="20"/>
                <w:szCs w:val="20"/>
              </w:rPr>
              <w:t>)</w:t>
            </w:r>
          </w:p>
        </w:tc>
        <w:tc>
          <w:tcPr>
            <w:tcW w:w="1845" w:type="dxa"/>
            <w:gridSpan w:val="2"/>
            <w:shd w:val="clear" w:color="auto" w:fill="auto"/>
          </w:tcPr>
          <w:p w14:paraId="4D188580" w14:textId="2335F520" w:rsidR="009C2B72" w:rsidRPr="001D70C0" w:rsidRDefault="009C2B72" w:rsidP="00E06A59">
            <w:pPr>
              <w:pStyle w:val="Paragraph"/>
              <w:spacing w:before="60" w:after="60"/>
              <w:ind w:left="174"/>
              <w:jc w:val="right"/>
              <w:rPr>
                <w:rFonts w:asciiTheme="minorBidi" w:eastAsia="MS Mincho" w:hAnsiTheme="minorBidi" w:cstheme="minorBidi"/>
                <w:bCs w:val="0"/>
                <w:sz w:val="20"/>
                <w:szCs w:val="20"/>
              </w:rPr>
            </w:pPr>
            <w:r w:rsidRPr="001D70C0">
              <w:rPr>
                <w:rFonts w:asciiTheme="minorBidi" w:hAnsiTheme="minorBidi"/>
                <w:sz w:val="20"/>
                <w:szCs w:val="20"/>
              </w:rPr>
              <w:t>180</w:t>
            </w:r>
            <w:r w:rsidR="0042677B" w:rsidRPr="001D70C0">
              <w:rPr>
                <w:rFonts w:asciiTheme="minorBidi" w:hAnsiTheme="minorBidi"/>
                <w:sz w:val="20"/>
                <w:szCs w:val="20"/>
              </w:rPr>
              <w:t> </w:t>
            </w:r>
            <w:r w:rsidRPr="001D70C0">
              <w:rPr>
                <w:rFonts w:asciiTheme="minorBidi" w:hAnsiTheme="minorBidi"/>
                <w:sz w:val="20"/>
                <w:szCs w:val="20"/>
              </w:rPr>
              <w:t>000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A0434A" w:rsidRPr="001D70C0" w14:paraId="0F73B632" w14:textId="77777777" w:rsidTr="00E06A59">
        <w:trPr>
          <w:gridAfter w:val="1"/>
          <w:wAfter w:w="141" w:type="dxa"/>
          <w:cantSplit/>
        </w:trPr>
        <w:tc>
          <w:tcPr>
            <w:tcW w:w="7086" w:type="dxa"/>
            <w:shd w:val="clear" w:color="auto" w:fill="auto"/>
          </w:tcPr>
          <w:p w14:paraId="45600FB8" w14:textId="3B7B7ECF" w:rsidR="00A0434A" w:rsidRPr="001D70C0" w:rsidRDefault="00A0434A" w:rsidP="00705A8C">
            <w:pPr>
              <w:pStyle w:val="Paragraph"/>
              <w:spacing w:before="60" w:after="60"/>
              <w:ind w:left="360"/>
              <w:rPr>
                <w:rFonts w:asciiTheme="minorBidi" w:eastAsia="MS Mincho" w:hAnsiTheme="minorBidi" w:cstheme="minorBidi"/>
                <w:bCs w:val="0"/>
                <w:sz w:val="20"/>
                <w:szCs w:val="20"/>
              </w:rPr>
            </w:pPr>
            <w:r w:rsidRPr="001D70C0">
              <w:rPr>
                <w:rFonts w:asciiTheme="minorBidi" w:hAnsiTheme="minorBidi"/>
                <w:sz w:val="20"/>
                <w:szCs w:val="20"/>
              </w:rPr>
              <w:t>De l</w:t>
            </w:r>
            <w:r w:rsidR="00CB437A" w:rsidRPr="001D70C0">
              <w:rPr>
                <w:rFonts w:asciiTheme="minorBidi" w:hAnsiTheme="minorBidi"/>
                <w:sz w:val="20"/>
                <w:szCs w:val="20"/>
              </w:rPr>
              <w:t>’</w:t>
            </w:r>
            <w:r w:rsidRPr="001D70C0">
              <w:rPr>
                <w:rFonts w:asciiTheme="minorBidi" w:hAnsiTheme="minorBidi"/>
                <w:sz w:val="20"/>
                <w:szCs w:val="20"/>
              </w:rPr>
              <w:t>ICHCAP (Centre international d</w:t>
            </w:r>
            <w:r w:rsidR="00CB437A" w:rsidRPr="001D70C0">
              <w:rPr>
                <w:rFonts w:asciiTheme="minorBidi" w:hAnsiTheme="minorBidi"/>
                <w:sz w:val="20"/>
                <w:szCs w:val="20"/>
              </w:rPr>
              <w:t>’</w:t>
            </w:r>
            <w:r w:rsidRPr="001D70C0">
              <w:rPr>
                <w:rFonts w:asciiTheme="minorBidi" w:hAnsiTheme="minorBidi"/>
                <w:sz w:val="20"/>
                <w:szCs w:val="20"/>
              </w:rPr>
              <w:t>information et de travail en réseau sur le patrimoine culturel immatériel dans la région Asie-Pacifique) en soutien de l</w:t>
            </w:r>
            <w:r w:rsidR="00CB437A" w:rsidRPr="001D70C0">
              <w:rPr>
                <w:rFonts w:asciiTheme="minorBidi" w:hAnsiTheme="minorBidi"/>
                <w:sz w:val="20"/>
                <w:szCs w:val="20"/>
              </w:rPr>
              <w:t>’</w:t>
            </w:r>
            <w:r w:rsidRPr="001D70C0">
              <w:rPr>
                <w:rFonts w:asciiTheme="minorBidi" w:hAnsiTheme="minorBidi"/>
                <w:sz w:val="20"/>
                <w:szCs w:val="20"/>
              </w:rPr>
              <w:t>élaboration d</w:t>
            </w:r>
            <w:r w:rsidR="00CB437A" w:rsidRPr="001D70C0">
              <w:rPr>
                <w:rFonts w:asciiTheme="minorBidi" w:hAnsiTheme="minorBidi"/>
                <w:sz w:val="20"/>
                <w:szCs w:val="20"/>
              </w:rPr>
              <w:t>’</w:t>
            </w:r>
            <w:r w:rsidRPr="001D70C0">
              <w:rPr>
                <w:rFonts w:asciiTheme="minorBidi" w:hAnsiTheme="minorBidi"/>
                <w:sz w:val="20"/>
                <w:szCs w:val="20"/>
              </w:rPr>
              <w:t xml:space="preserve">un </w:t>
            </w:r>
            <w:r w:rsidR="000D52D3" w:rsidRPr="001D70C0">
              <w:rPr>
                <w:rFonts w:asciiTheme="minorBidi" w:hAnsiTheme="minorBidi"/>
                <w:sz w:val="20"/>
                <w:szCs w:val="20"/>
              </w:rPr>
              <w:t>« </w:t>
            </w:r>
            <w:r w:rsidR="00ED07CD" w:rsidRPr="001D70C0">
              <w:rPr>
                <w:rFonts w:asciiTheme="minorBidi" w:hAnsiTheme="minorBidi"/>
                <w:sz w:val="20"/>
                <w:szCs w:val="20"/>
              </w:rPr>
              <w:t>Manuel pratique sur les rapports périodiques avec un outil d’auto-apprentissage sur le cadre global des résultats pour la mise en œuvre de la Convention pour la sauvegarde du patrimoine culturel immatériel</w:t>
            </w:r>
            <w:r w:rsidR="000D52D3" w:rsidRPr="001D70C0">
              <w:rPr>
                <w:rFonts w:asciiTheme="minorBidi" w:hAnsiTheme="minorBidi"/>
                <w:sz w:val="20"/>
                <w:szCs w:val="20"/>
              </w:rPr>
              <w:t> »</w:t>
            </w:r>
            <w:r w:rsidRPr="001D70C0">
              <w:rPr>
                <w:rFonts w:asciiTheme="minorBidi" w:hAnsiTheme="minorBidi"/>
                <w:sz w:val="20"/>
                <w:szCs w:val="20"/>
              </w:rPr>
              <w:t xml:space="preserve"> (Décision</w:t>
            </w:r>
            <w:r w:rsidR="0042677B" w:rsidRPr="001D70C0">
              <w:rPr>
                <w:rFonts w:asciiTheme="minorBidi" w:hAnsiTheme="minorBidi"/>
                <w:sz w:val="20"/>
                <w:szCs w:val="20"/>
              </w:rPr>
              <w:t> </w:t>
            </w:r>
            <w:hyperlink r:id="rId19" w:history="1">
              <w:r w:rsidRPr="001D70C0">
                <w:rPr>
                  <w:rStyle w:val="Hyperlink"/>
                  <w:rFonts w:asciiTheme="minorBidi" w:hAnsiTheme="minorBidi"/>
                  <w:sz w:val="20"/>
                  <w:szCs w:val="20"/>
                </w:rPr>
                <w:t>12.COM</w:t>
              </w:r>
              <w:r w:rsidR="00805652" w:rsidRPr="001D70C0">
                <w:rPr>
                  <w:rStyle w:val="Hyperlink"/>
                  <w:rFonts w:asciiTheme="minorBidi" w:hAnsiTheme="minorBidi"/>
                  <w:sz w:val="20"/>
                  <w:szCs w:val="20"/>
                </w:rPr>
                <w:t> </w:t>
              </w:r>
              <w:r w:rsidRPr="001D70C0">
                <w:rPr>
                  <w:rStyle w:val="Hyperlink"/>
                  <w:rFonts w:asciiTheme="minorBidi" w:hAnsiTheme="minorBidi"/>
                  <w:sz w:val="20"/>
                  <w:szCs w:val="20"/>
                </w:rPr>
                <w:t>6</w:t>
              </w:r>
            </w:hyperlink>
            <w:r w:rsidRPr="001D70C0">
              <w:rPr>
                <w:rFonts w:asciiTheme="minorBidi" w:hAnsiTheme="minorBidi"/>
                <w:sz w:val="20"/>
                <w:szCs w:val="20"/>
              </w:rPr>
              <w:t>)</w:t>
            </w:r>
          </w:p>
        </w:tc>
        <w:tc>
          <w:tcPr>
            <w:tcW w:w="1845" w:type="dxa"/>
            <w:gridSpan w:val="2"/>
            <w:shd w:val="clear" w:color="auto" w:fill="auto"/>
          </w:tcPr>
          <w:p w14:paraId="1147ED9F" w14:textId="1516B63E" w:rsidR="00A0434A" w:rsidRPr="001D70C0" w:rsidRDefault="00A0434A" w:rsidP="00E06A59">
            <w:pPr>
              <w:pStyle w:val="Paragraph"/>
              <w:spacing w:before="60" w:after="60"/>
              <w:ind w:left="174"/>
              <w:jc w:val="right"/>
              <w:rPr>
                <w:rFonts w:asciiTheme="minorBidi" w:hAnsiTheme="minorBidi" w:cstheme="minorBidi"/>
                <w:sz w:val="20"/>
                <w:szCs w:val="20"/>
              </w:rPr>
            </w:pPr>
            <w:r w:rsidRPr="001D70C0">
              <w:rPr>
                <w:rFonts w:asciiTheme="minorBidi" w:hAnsiTheme="minorBidi"/>
                <w:sz w:val="20"/>
                <w:szCs w:val="20"/>
              </w:rPr>
              <w:t>50</w:t>
            </w:r>
            <w:r w:rsidR="0042677B" w:rsidRPr="001D70C0">
              <w:rPr>
                <w:rFonts w:asciiTheme="minorBidi" w:hAnsiTheme="minorBidi"/>
                <w:sz w:val="20"/>
                <w:szCs w:val="20"/>
              </w:rPr>
              <w:t> </w:t>
            </w:r>
            <w:r w:rsidRPr="001D70C0">
              <w:rPr>
                <w:rFonts w:asciiTheme="minorBidi" w:hAnsiTheme="minorBidi"/>
                <w:sz w:val="20"/>
                <w:szCs w:val="20"/>
              </w:rPr>
              <w:t>000</w:t>
            </w:r>
            <w:r w:rsidR="0042677B" w:rsidRPr="001D70C0">
              <w:rPr>
                <w:rFonts w:asciiTheme="minorBidi" w:hAnsiTheme="minorBidi"/>
                <w:sz w:val="20"/>
                <w:szCs w:val="20"/>
              </w:rPr>
              <w:t> </w:t>
            </w:r>
            <w:r w:rsidR="00E109AC" w:rsidRPr="001D70C0">
              <w:rPr>
                <w:rFonts w:asciiTheme="minorBidi" w:hAnsiTheme="minorBidi"/>
                <w:sz w:val="20"/>
                <w:szCs w:val="20"/>
              </w:rPr>
              <w:t>dollars des États-Unis</w:t>
            </w:r>
          </w:p>
        </w:tc>
      </w:tr>
      <w:tr w:rsidR="00B33DB5" w:rsidRPr="001D70C0" w14:paraId="55A7F0F0" w14:textId="77777777" w:rsidTr="00E06A59">
        <w:trPr>
          <w:cantSplit/>
        </w:trPr>
        <w:tc>
          <w:tcPr>
            <w:tcW w:w="7166" w:type="dxa"/>
            <w:gridSpan w:val="2"/>
            <w:shd w:val="clear" w:color="auto" w:fill="auto"/>
            <w:vAlign w:val="center"/>
          </w:tcPr>
          <w:p w14:paraId="3756069F" w14:textId="100CE8CD" w:rsidR="00B33DB5" w:rsidRPr="001D70C0" w:rsidRDefault="00B33DB5" w:rsidP="00B33DB5">
            <w:pPr>
              <w:autoSpaceDE w:val="0"/>
              <w:autoSpaceDN w:val="0"/>
              <w:adjustRightInd w:val="0"/>
              <w:spacing w:before="60" w:after="60"/>
              <w:ind w:left="-109"/>
              <w:rPr>
                <w:rFonts w:asciiTheme="minorBidi" w:eastAsia="SimSun" w:hAnsiTheme="minorBidi" w:cstheme="minorBidi"/>
                <w:bCs/>
                <w:i/>
                <w:iCs/>
                <w:color w:val="000000"/>
                <w:sz w:val="20"/>
                <w:szCs w:val="20"/>
              </w:rPr>
            </w:pPr>
            <w:r w:rsidRPr="001D70C0">
              <w:rPr>
                <w:rFonts w:asciiTheme="minorBidi" w:hAnsiTheme="minorBidi"/>
                <w:i/>
                <w:color w:val="000000"/>
                <w:sz w:val="20"/>
                <w:szCs w:val="20"/>
              </w:rPr>
              <w:t xml:space="preserve">Sous-fonds destiné exclusivement </w:t>
            </w:r>
            <w:r w:rsidR="00805652" w:rsidRPr="001D70C0">
              <w:rPr>
                <w:rFonts w:asciiTheme="minorBidi" w:hAnsiTheme="minorBidi"/>
                <w:i/>
                <w:color w:val="000000"/>
                <w:sz w:val="20"/>
                <w:szCs w:val="20"/>
              </w:rPr>
              <w:t>au renforcement des</w:t>
            </w:r>
            <w:r w:rsidRPr="001D70C0">
              <w:rPr>
                <w:rFonts w:asciiTheme="minorBidi" w:hAnsiTheme="minorBidi"/>
                <w:i/>
                <w:color w:val="000000"/>
                <w:sz w:val="20"/>
                <w:szCs w:val="20"/>
              </w:rPr>
              <w:t xml:space="preserve"> capacités humaines du Secrétariat (</w:t>
            </w:r>
            <w:hyperlink r:id="rId20" w:history="1">
              <w:r w:rsidRPr="001D70C0">
                <w:rPr>
                  <w:rFonts w:asciiTheme="minorBidi" w:hAnsiTheme="minorBidi"/>
                  <w:bCs/>
                  <w:i/>
                  <w:iCs/>
                  <w:color w:val="0000FF"/>
                  <w:sz w:val="20"/>
                  <w:szCs w:val="20"/>
                  <w:u w:val="single"/>
                </w:rPr>
                <w:t>Résolution</w:t>
              </w:r>
              <w:r w:rsidR="0042677B" w:rsidRPr="001D70C0">
                <w:rPr>
                  <w:rFonts w:asciiTheme="minorBidi" w:hAnsiTheme="minorBidi"/>
                  <w:bCs/>
                  <w:i/>
                  <w:iCs/>
                  <w:color w:val="0000FF"/>
                  <w:sz w:val="20"/>
                  <w:szCs w:val="20"/>
                  <w:u w:val="single"/>
                </w:rPr>
                <w:t> </w:t>
              </w:r>
              <w:r w:rsidRPr="001D70C0">
                <w:rPr>
                  <w:rFonts w:asciiTheme="minorBidi" w:hAnsiTheme="minorBidi"/>
                  <w:bCs/>
                  <w:i/>
                  <w:iCs/>
                  <w:color w:val="0000FF"/>
                  <w:sz w:val="20"/>
                  <w:szCs w:val="20"/>
                  <w:u w:val="single"/>
                </w:rPr>
                <w:t>3.GA</w:t>
              </w:r>
              <w:r w:rsidR="0042677B" w:rsidRPr="001D70C0">
                <w:rPr>
                  <w:rFonts w:asciiTheme="minorBidi" w:hAnsiTheme="minorBidi"/>
                  <w:bCs/>
                  <w:i/>
                  <w:iCs/>
                  <w:color w:val="0000FF"/>
                  <w:sz w:val="20"/>
                  <w:szCs w:val="20"/>
                  <w:u w:val="single"/>
                </w:rPr>
                <w:t> </w:t>
              </w:r>
              <w:r w:rsidRPr="001D70C0">
                <w:rPr>
                  <w:rFonts w:asciiTheme="minorBidi" w:hAnsiTheme="minorBidi"/>
                  <w:bCs/>
                  <w:i/>
                  <w:iCs/>
                  <w:color w:val="0000FF"/>
                  <w:sz w:val="20"/>
                  <w:szCs w:val="20"/>
                  <w:u w:val="single"/>
                </w:rPr>
                <w:t>9</w:t>
              </w:r>
            </w:hyperlink>
            <w:r w:rsidRPr="001D70C0">
              <w:rPr>
                <w:rFonts w:asciiTheme="minorBidi" w:hAnsiTheme="minorBidi"/>
                <w:i/>
                <w:color w:val="000000"/>
                <w:sz w:val="20"/>
                <w:szCs w:val="20"/>
              </w:rPr>
              <w:t>)</w:t>
            </w:r>
          </w:p>
        </w:tc>
        <w:tc>
          <w:tcPr>
            <w:tcW w:w="1906" w:type="dxa"/>
            <w:gridSpan w:val="2"/>
            <w:shd w:val="clear" w:color="auto" w:fill="auto"/>
            <w:vAlign w:val="center"/>
          </w:tcPr>
          <w:p w14:paraId="7A48CB30" w14:textId="77777777" w:rsidR="00B33DB5" w:rsidRPr="001D70C0" w:rsidRDefault="00B33DB5" w:rsidP="00B33DB5">
            <w:pPr>
              <w:autoSpaceDE w:val="0"/>
              <w:autoSpaceDN w:val="0"/>
              <w:adjustRightInd w:val="0"/>
              <w:spacing w:before="60" w:after="60"/>
              <w:jc w:val="right"/>
              <w:rPr>
                <w:rFonts w:asciiTheme="minorBidi" w:eastAsia="SimSun" w:hAnsiTheme="minorBidi" w:cstheme="minorBidi"/>
                <w:bCs/>
                <w:color w:val="000000"/>
                <w:sz w:val="20"/>
                <w:szCs w:val="20"/>
                <w:lang w:eastAsia="zh-CN"/>
              </w:rPr>
            </w:pPr>
          </w:p>
        </w:tc>
      </w:tr>
      <w:tr w:rsidR="00B33DB5" w:rsidRPr="001D70C0" w14:paraId="04916E45" w14:textId="77777777" w:rsidTr="00E06A59">
        <w:trPr>
          <w:cantSplit/>
        </w:trPr>
        <w:tc>
          <w:tcPr>
            <w:tcW w:w="7166" w:type="dxa"/>
            <w:gridSpan w:val="2"/>
            <w:shd w:val="clear" w:color="auto" w:fill="auto"/>
          </w:tcPr>
          <w:p w14:paraId="77C03289" w14:textId="316D459F" w:rsidR="00B33DB5" w:rsidRPr="001D70C0" w:rsidRDefault="00073C4D" w:rsidP="00B33DB5">
            <w:pPr>
              <w:autoSpaceDE w:val="0"/>
              <w:autoSpaceDN w:val="0"/>
              <w:adjustRightInd w:val="0"/>
              <w:spacing w:before="60" w:after="60"/>
              <w:ind w:left="356"/>
              <w:rPr>
                <w:rFonts w:asciiTheme="minorBidi" w:eastAsia="MS Mincho" w:hAnsiTheme="minorBidi" w:cstheme="minorBidi"/>
                <w:color w:val="000000"/>
                <w:sz w:val="20"/>
                <w:szCs w:val="20"/>
                <w:lang w:val="es-ES"/>
              </w:rPr>
            </w:pPr>
            <w:r w:rsidRPr="001D70C0">
              <w:rPr>
                <w:rFonts w:asciiTheme="minorBidi" w:hAnsiTheme="minorBidi"/>
                <w:color w:val="000000"/>
                <w:sz w:val="20"/>
                <w:szCs w:val="20"/>
                <w:lang w:val="es-ES"/>
              </w:rPr>
              <w:t>Lituanie, Monaco, Palestine, Slovaquie et Fondazione Museo del Violonio Antonio Stradivari</w:t>
            </w:r>
          </w:p>
          <w:p w14:paraId="26D314CF" w14:textId="1B5C67E6" w:rsidR="00073C4D" w:rsidRPr="001D70C0" w:rsidRDefault="00073C4D" w:rsidP="00CC04C3">
            <w:pPr>
              <w:autoSpaceDE w:val="0"/>
              <w:autoSpaceDN w:val="0"/>
              <w:adjustRightInd w:val="0"/>
              <w:spacing w:before="240" w:after="60"/>
              <w:ind w:left="-108"/>
              <w:rPr>
                <w:rFonts w:asciiTheme="minorBidi" w:eastAsia="MS Mincho" w:hAnsiTheme="minorBidi" w:cstheme="minorBidi"/>
                <w:i/>
                <w:iCs/>
                <w:color w:val="000000"/>
                <w:sz w:val="20"/>
                <w:szCs w:val="20"/>
              </w:rPr>
            </w:pPr>
            <w:r w:rsidRPr="001D70C0">
              <w:rPr>
                <w:rFonts w:asciiTheme="minorBidi" w:hAnsiTheme="minorBidi"/>
                <w:i/>
                <w:color w:val="000000"/>
                <w:sz w:val="20"/>
                <w:szCs w:val="20"/>
              </w:rPr>
              <w:t>Autres</w:t>
            </w:r>
          </w:p>
        </w:tc>
        <w:tc>
          <w:tcPr>
            <w:tcW w:w="1906" w:type="dxa"/>
            <w:gridSpan w:val="2"/>
            <w:shd w:val="clear" w:color="auto" w:fill="auto"/>
            <w:vAlign w:val="center"/>
          </w:tcPr>
          <w:p w14:paraId="0AD21914" w14:textId="5A4BC0C3" w:rsidR="00B33DB5" w:rsidRPr="001D70C0" w:rsidRDefault="00B33DB5" w:rsidP="00E109AC">
            <w:pPr>
              <w:autoSpaceDE w:val="0"/>
              <w:autoSpaceDN w:val="0"/>
              <w:adjustRightInd w:val="0"/>
              <w:spacing w:before="120" w:after="60"/>
              <w:jc w:val="right"/>
              <w:rPr>
                <w:rFonts w:asciiTheme="minorBidi" w:eastAsia="SimSun" w:hAnsiTheme="minorBidi" w:cstheme="minorBidi"/>
                <w:bCs/>
                <w:color w:val="000000"/>
                <w:sz w:val="20"/>
                <w:szCs w:val="20"/>
              </w:rPr>
            </w:pPr>
            <w:r w:rsidRPr="001D70C0">
              <w:rPr>
                <w:rFonts w:asciiTheme="minorBidi" w:hAnsiTheme="minorBidi"/>
                <w:color w:val="000000"/>
                <w:sz w:val="20"/>
                <w:szCs w:val="20"/>
              </w:rPr>
              <w:t>65</w:t>
            </w:r>
            <w:r w:rsidR="0042677B" w:rsidRPr="001D70C0">
              <w:rPr>
                <w:rFonts w:asciiTheme="minorBidi" w:hAnsiTheme="minorBidi"/>
                <w:color w:val="000000"/>
                <w:sz w:val="20"/>
                <w:szCs w:val="20"/>
              </w:rPr>
              <w:t> </w:t>
            </w:r>
            <w:r w:rsidRPr="001D70C0">
              <w:rPr>
                <w:rFonts w:asciiTheme="minorBidi" w:hAnsiTheme="minorBidi"/>
                <w:color w:val="000000"/>
                <w:sz w:val="20"/>
                <w:szCs w:val="20"/>
              </w:rPr>
              <w:t>598</w:t>
            </w:r>
            <w:r w:rsidR="0042677B" w:rsidRPr="001D70C0">
              <w:rPr>
                <w:rFonts w:asciiTheme="minorBidi" w:hAnsiTheme="minorBidi"/>
                <w:color w:val="000000"/>
                <w:sz w:val="20"/>
                <w:szCs w:val="20"/>
              </w:rPr>
              <w:t> </w:t>
            </w:r>
            <w:r w:rsidR="00E109AC" w:rsidRPr="001D70C0">
              <w:rPr>
                <w:rFonts w:asciiTheme="minorBidi" w:hAnsiTheme="minorBidi"/>
                <w:color w:val="000000"/>
                <w:sz w:val="20"/>
                <w:szCs w:val="20"/>
              </w:rPr>
              <w:t>dollars des États-Unis</w:t>
            </w:r>
          </w:p>
          <w:p w14:paraId="3918B981" w14:textId="272ECCD6" w:rsidR="00B33DB5" w:rsidRPr="001D70C0" w:rsidRDefault="00073C4D" w:rsidP="00E109AC">
            <w:pPr>
              <w:autoSpaceDE w:val="0"/>
              <w:autoSpaceDN w:val="0"/>
              <w:adjustRightInd w:val="0"/>
              <w:spacing w:before="240" w:after="60"/>
              <w:jc w:val="right"/>
              <w:rPr>
                <w:rFonts w:asciiTheme="minorBidi" w:eastAsia="SimSun" w:hAnsiTheme="minorBidi" w:cstheme="minorBidi"/>
                <w:bCs/>
                <w:color w:val="000000"/>
                <w:sz w:val="20"/>
                <w:szCs w:val="20"/>
              </w:rPr>
            </w:pPr>
            <w:r w:rsidRPr="001D70C0">
              <w:rPr>
                <w:rFonts w:asciiTheme="minorBidi" w:hAnsiTheme="minorBidi"/>
                <w:color w:val="000000"/>
                <w:sz w:val="20"/>
                <w:szCs w:val="20"/>
              </w:rPr>
              <w:t>589</w:t>
            </w:r>
            <w:r w:rsidR="0042677B" w:rsidRPr="001D70C0">
              <w:rPr>
                <w:rFonts w:asciiTheme="minorBidi" w:hAnsiTheme="minorBidi"/>
                <w:color w:val="000000"/>
                <w:sz w:val="20"/>
                <w:szCs w:val="20"/>
              </w:rPr>
              <w:t> </w:t>
            </w:r>
            <w:r w:rsidR="00E109AC" w:rsidRPr="001D70C0">
              <w:rPr>
                <w:rFonts w:asciiTheme="minorBidi" w:hAnsiTheme="minorBidi"/>
                <w:color w:val="000000"/>
                <w:sz w:val="20"/>
                <w:szCs w:val="20"/>
              </w:rPr>
              <w:t>dollars des États-Unis</w:t>
            </w:r>
          </w:p>
        </w:tc>
      </w:tr>
      <w:tr w:rsidR="00B33DB5" w:rsidRPr="001D70C0" w14:paraId="714CFAB4" w14:textId="77777777" w:rsidTr="00E06A59">
        <w:trPr>
          <w:cantSplit/>
        </w:trPr>
        <w:tc>
          <w:tcPr>
            <w:tcW w:w="7166" w:type="dxa"/>
            <w:gridSpan w:val="2"/>
            <w:shd w:val="clear" w:color="auto" w:fill="auto"/>
          </w:tcPr>
          <w:p w14:paraId="5A400FD4" w14:textId="77777777" w:rsidR="00B33DB5" w:rsidRPr="001D70C0" w:rsidRDefault="00B33DB5" w:rsidP="00B33DB5">
            <w:pPr>
              <w:numPr>
                <w:ilvl w:val="0"/>
                <w:numId w:val="13"/>
              </w:numPr>
              <w:autoSpaceDE w:val="0"/>
              <w:autoSpaceDN w:val="0"/>
              <w:adjustRightInd w:val="0"/>
              <w:spacing w:before="60" w:after="60"/>
              <w:ind w:left="357" w:hanging="466"/>
              <w:rPr>
                <w:rFonts w:asciiTheme="minorBidi" w:eastAsia="SimSun" w:hAnsiTheme="minorBidi" w:cstheme="minorBidi"/>
                <w:bCs/>
                <w:sz w:val="20"/>
                <w:szCs w:val="20"/>
              </w:rPr>
            </w:pPr>
            <w:r w:rsidRPr="001D70C0">
              <w:rPr>
                <w:rFonts w:asciiTheme="minorBidi" w:hAnsiTheme="minorBidi"/>
                <w:color w:val="000000"/>
                <w:sz w:val="20"/>
                <w:szCs w:val="20"/>
                <w:u w:val="single"/>
              </w:rPr>
              <w:t>Intérêts crédités au Fonds</w:t>
            </w:r>
          </w:p>
        </w:tc>
        <w:tc>
          <w:tcPr>
            <w:tcW w:w="1906" w:type="dxa"/>
            <w:gridSpan w:val="2"/>
            <w:shd w:val="clear" w:color="auto" w:fill="auto"/>
            <w:vAlign w:val="center"/>
          </w:tcPr>
          <w:p w14:paraId="66AC0BC9" w14:textId="4974F8F8" w:rsidR="00B33DB5" w:rsidRPr="001D70C0" w:rsidRDefault="00B33DB5" w:rsidP="00E109AC">
            <w:pPr>
              <w:autoSpaceDE w:val="0"/>
              <w:autoSpaceDN w:val="0"/>
              <w:adjustRightInd w:val="0"/>
              <w:spacing w:before="60" w:after="60"/>
              <w:jc w:val="right"/>
              <w:rPr>
                <w:rFonts w:asciiTheme="minorBidi" w:eastAsia="SimSun" w:hAnsiTheme="minorBidi" w:cstheme="minorBidi"/>
                <w:bCs/>
                <w:color w:val="000000"/>
                <w:sz w:val="20"/>
                <w:szCs w:val="20"/>
              </w:rPr>
            </w:pPr>
            <w:r w:rsidRPr="001D70C0">
              <w:rPr>
                <w:rFonts w:asciiTheme="minorBidi" w:hAnsiTheme="minorBidi"/>
                <w:color w:val="000000"/>
                <w:sz w:val="20"/>
                <w:szCs w:val="20"/>
              </w:rPr>
              <w:t>187</w:t>
            </w:r>
            <w:r w:rsidR="0042677B" w:rsidRPr="001D70C0">
              <w:rPr>
                <w:rFonts w:asciiTheme="minorBidi" w:hAnsiTheme="minorBidi"/>
                <w:color w:val="000000"/>
                <w:sz w:val="20"/>
                <w:szCs w:val="20"/>
              </w:rPr>
              <w:t> </w:t>
            </w:r>
            <w:r w:rsidRPr="001D70C0">
              <w:rPr>
                <w:rFonts w:asciiTheme="minorBidi" w:hAnsiTheme="minorBidi"/>
                <w:color w:val="000000"/>
                <w:sz w:val="20"/>
                <w:szCs w:val="20"/>
              </w:rPr>
              <w:t>330</w:t>
            </w:r>
            <w:r w:rsidR="0042677B" w:rsidRPr="001D70C0">
              <w:rPr>
                <w:rFonts w:asciiTheme="minorBidi" w:hAnsiTheme="minorBidi"/>
                <w:color w:val="000000"/>
                <w:sz w:val="20"/>
                <w:szCs w:val="20"/>
              </w:rPr>
              <w:t> </w:t>
            </w:r>
            <w:r w:rsidR="00E109AC" w:rsidRPr="001D70C0">
              <w:rPr>
                <w:rFonts w:asciiTheme="minorBidi" w:hAnsiTheme="minorBidi"/>
                <w:color w:val="000000"/>
                <w:sz w:val="20"/>
                <w:szCs w:val="20"/>
              </w:rPr>
              <w:t>dollars des États-Unis</w:t>
            </w:r>
          </w:p>
        </w:tc>
      </w:tr>
      <w:tr w:rsidR="001D70C0" w:rsidRPr="001D70C0" w14:paraId="3A817968" w14:textId="77777777" w:rsidTr="00E06A59">
        <w:trPr>
          <w:cantSplit/>
        </w:trPr>
        <w:tc>
          <w:tcPr>
            <w:tcW w:w="7166" w:type="dxa"/>
            <w:gridSpan w:val="2"/>
            <w:shd w:val="clear" w:color="auto" w:fill="auto"/>
          </w:tcPr>
          <w:p w14:paraId="57FBFA21" w14:textId="77777777" w:rsidR="001D70C0" w:rsidRPr="001D70C0" w:rsidRDefault="001D70C0" w:rsidP="001D70C0">
            <w:pPr>
              <w:autoSpaceDE w:val="0"/>
              <w:autoSpaceDN w:val="0"/>
              <w:adjustRightInd w:val="0"/>
              <w:spacing w:before="60" w:after="60"/>
              <w:ind w:left="357"/>
              <w:rPr>
                <w:rFonts w:asciiTheme="minorBidi" w:hAnsiTheme="minorBidi"/>
                <w:color w:val="000000"/>
                <w:sz w:val="20"/>
                <w:szCs w:val="20"/>
                <w:u w:val="single"/>
              </w:rPr>
            </w:pPr>
          </w:p>
        </w:tc>
        <w:tc>
          <w:tcPr>
            <w:tcW w:w="1906" w:type="dxa"/>
            <w:gridSpan w:val="2"/>
            <w:shd w:val="clear" w:color="auto" w:fill="auto"/>
            <w:vAlign w:val="center"/>
          </w:tcPr>
          <w:p w14:paraId="78B7B401" w14:textId="77777777" w:rsidR="001D70C0" w:rsidRPr="001D70C0" w:rsidRDefault="001D70C0" w:rsidP="00E109AC">
            <w:pPr>
              <w:autoSpaceDE w:val="0"/>
              <w:autoSpaceDN w:val="0"/>
              <w:adjustRightInd w:val="0"/>
              <w:spacing w:before="60" w:after="60"/>
              <w:jc w:val="right"/>
              <w:rPr>
                <w:rFonts w:asciiTheme="minorBidi" w:hAnsiTheme="minorBidi"/>
                <w:color w:val="000000"/>
                <w:sz w:val="20"/>
                <w:szCs w:val="20"/>
              </w:rPr>
            </w:pPr>
          </w:p>
        </w:tc>
      </w:tr>
      <w:tr w:rsidR="00B33DB5" w:rsidRPr="001D70C0" w14:paraId="201A829A" w14:textId="77777777" w:rsidTr="00CC04C3">
        <w:trPr>
          <w:cantSplit/>
        </w:trPr>
        <w:tc>
          <w:tcPr>
            <w:tcW w:w="7166" w:type="dxa"/>
            <w:gridSpan w:val="2"/>
            <w:shd w:val="clear" w:color="auto" w:fill="auto"/>
          </w:tcPr>
          <w:p w14:paraId="1D442555" w14:textId="77777777" w:rsidR="00B33DB5" w:rsidRPr="001D70C0" w:rsidRDefault="00B33DB5" w:rsidP="00CC04C3">
            <w:pPr>
              <w:autoSpaceDE w:val="0"/>
              <w:autoSpaceDN w:val="0"/>
              <w:adjustRightInd w:val="0"/>
              <w:spacing w:before="60" w:after="60"/>
              <w:ind w:firstLine="34"/>
              <w:jc w:val="right"/>
              <w:rPr>
                <w:rFonts w:ascii="Arial" w:eastAsia="SimSun" w:hAnsi="Arial" w:cs="Arial"/>
                <w:b/>
                <w:bCs/>
                <w:color w:val="000000"/>
                <w:sz w:val="20"/>
                <w:szCs w:val="20"/>
              </w:rPr>
            </w:pPr>
            <w:r w:rsidRPr="001D70C0">
              <w:rPr>
                <w:rFonts w:ascii="Arial" w:hAnsi="Arial"/>
                <w:b/>
                <w:color w:val="000000"/>
                <w:sz w:val="20"/>
                <w:szCs w:val="20"/>
              </w:rPr>
              <w:t>TOTAL</w:t>
            </w:r>
          </w:p>
        </w:tc>
        <w:tc>
          <w:tcPr>
            <w:tcW w:w="1906" w:type="dxa"/>
            <w:gridSpan w:val="2"/>
            <w:shd w:val="clear" w:color="auto" w:fill="auto"/>
            <w:vAlign w:val="center"/>
          </w:tcPr>
          <w:p w14:paraId="5A58EA1F" w14:textId="27802A05" w:rsidR="00B33DB5" w:rsidRPr="001D70C0" w:rsidRDefault="00B33DB5" w:rsidP="00E109AC">
            <w:pPr>
              <w:autoSpaceDE w:val="0"/>
              <w:autoSpaceDN w:val="0"/>
              <w:adjustRightInd w:val="0"/>
              <w:spacing w:before="60" w:after="60"/>
              <w:jc w:val="right"/>
              <w:rPr>
                <w:rFonts w:ascii="Arial" w:eastAsia="SimSun" w:hAnsi="Arial" w:cs="Arial"/>
                <w:b/>
                <w:bCs/>
                <w:color w:val="000000"/>
                <w:sz w:val="20"/>
                <w:szCs w:val="20"/>
              </w:rPr>
            </w:pPr>
            <w:r w:rsidRPr="001D70C0">
              <w:rPr>
                <w:rFonts w:ascii="Arial" w:hAnsi="Arial"/>
                <w:b/>
                <w:color w:val="000000"/>
                <w:sz w:val="20"/>
                <w:szCs w:val="20"/>
              </w:rPr>
              <w:t>5</w:t>
            </w:r>
            <w:r w:rsidR="0042677B" w:rsidRPr="001D70C0">
              <w:rPr>
                <w:rFonts w:ascii="Arial" w:hAnsi="Arial"/>
                <w:b/>
                <w:color w:val="000000"/>
                <w:sz w:val="20"/>
                <w:szCs w:val="20"/>
              </w:rPr>
              <w:t> 353 </w:t>
            </w:r>
            <w:r w:rsidRPr="001D70C0">
              <w:rPr>
                <w:rFonts w:ascii="Arial" w:hAnsi="Arial"/>
                <w:b/>
                <w:color w:val="000000"/>
                <w:sz w:val="20"/>
                <w:szCs w:val="20"/>
              </w:rPr>
              <w:t>476</w:t>
            </w:r>
            <w:r w:rsidR="0042677B" w:rsidRPr="001D70C0">
              <w:rPr>
                <w:rFonts w:ascii="Arial" w:hAnsi="Arial"/>
                <w:b/>
                <w:color w:val="000000"/>
                <w:sz w:val="20"/>
                <w:szCs w:val="20"/>
              </w:rPr>
              <w:t> </w:t>
            </w:r>
            <w:r w:rsidR="00E109AC" w:rsidRPr="001D70C0">
              <w:rPr>
                <w:rFonts w:ascii="Arial" w:hAnsi="Arial"/>
                <w:b/>
                <w:color w:val="000000"/>
                <w:sz w:val="20"/>
                <w:szCs w:val="20"/>
              </w:rPr>
              <w:t>dollars des États-Unis</w:t>
            </w:r>
          </w:p>
        </w:tc>
      </w:tr>
    </w:tbl>
    <w:p w14:paraId="0DDA621B" w14:textId="59A42375" w:rsidR="00B33DB5" w:rsidRPr="000D52D3" w:rsidRDefault="00FE2FBB" w:rsidP="00CC04C3">
      <w:pPr>
        <w:pStyle w:val="Heading4"/>
        <w:numPr>
          <w:ilvl w:val="0"/>
          <w:numId w:val="36"/>
        </w:numPr>
        <w:spacing w:before="240" w:after="120"/>
        <w:ind w:left="567" w:hanging="567"/>
        <w:jc w:val="both"/>
      </w:pPr>
      <w:bookmarkStart w:id="3" w:name="_Utilisation_des_ressources"/>
      <w:bookmarkEnd w:id="3"/>
      <w:r w:rsidRPr="000D52D3">
        <w:rPr>
          <w:rStyle w:val="Heading4Char"/>
          <w:b/>
          <w:bCs/>
          <w:snapToGrid w:val="0"/>
        </w:rPr>
        <w:lastRenderedPageBreak/>
        <w:t>Utilisation des ressources financières du Fonds (</w:t>
      </w:r>
      <w:r w:rsidR="004366D7" w:rsidRPr="000D52D3">
        <w:rPr>
          <w:rStyle w:val="Heading4Char"/>
          <w:b/>
          <w:bCs/>
          <w:snapToGrid w:val="0"/>
        </w:rPr>
        <w:t>t</w:t>
      </w:r>
      <w:r w:rsidRPr="000D52D3">
        <w:rPr>
          <w:rStyle w:val="Heading4Char"/>
          <w:b/>
          <w:bCs/>
          <w:snapToGrid w:val="0"/>
        </w:rPr>
        <w:t xml:space="preserve">ableau </w:t>
      </w:r>
      <w:r w:rsidR="00805652" w:rsidRPr="000D52D3">
        <w:rPr>
          <w:rStyle w:val="Heading4Char"/>
          <w:b/>
          <w:bCs/>
          <w:snapToGrid w:val="0"/>
        </w:rPr>
        <w:t>d</w:t>
      </w:r>
      <w:r w:rsidR="00CB437A" w:rsidRPr="000D52D3">
        <w:rPr>
          <w:rStyle w:val="Heading4Char"/>
          <w:b/>
          <w:bCs/>
          <w:snapToGrid w:val="0"/>
        </w:rPr>
        <w:t>’</w:t>
      </w:r>
      <w:r w:rsidR="00805652" w:rsidRPr="000D52D3">
        <w:rPr>
          <w:rStyle w:val="Heading4Char"/>
          <w:b/>
          <w:bCs/>
          <w:snapToGrid w:val="0"/>
        </w:rPr>
        <w:t xml:space="preserve">échelonnement </w:t>
      </w:r>
      <w:r w:rsidRPr="000D52D3">
        <w:rPr>
          <w:rStyle w:val="Heading4Char"/>
          <w:b/>
          <w:bCs/>
          <w:snapToGrid w:val="0"/>
        </w:rPr>
        <w:t xml:space="preserve">des crédits et dépenses, </w:t>
      </w:r>
      <w:r w:rsidR="00E109AC" w:rsidRPr="000D52D3">
        <w:rPr>
          <w:rStyle w:val="Heading4Char"/>
          <w:b/>
          <w:bCs/>
          <w:snapToGrid w:val="0"/>
        </w:rPr>
        <w:t>État financier</w:t>
      </w:r>
      <w:r w:rsidRPr="000D52D3">
        <w:rPr>
          <w:rStyle w:val="Heading4Char"/>
          <w:b/>
          <w:bCs/>
          <w:snapToGrid w:val="0"/>
        </w:rPr>
        <w:t xml:space="preserve"> I et </w:t>
      </w:r>
      <w:r w:rsidR="004366D7" w:rsidRPr="000D52D3">
        <w:rPr>
          <w:rStyle w:val="Heading4Char"/>
          <w:b/>
          <w:bCs/>
          <w:snapToGrid w:val="0"/>
        </w:rPr>
        <w:t>t</w:t>
      </w:r>
      <w:r w:rsidRPr="000D52D3">
        <w:rPr>
          <w:rStyle w:val="Heading4Char"/>
          <w:b/>
          <w:bCs/>
          <w:snapToGrid w:val="0"/>
        </w:rPr>
        <w:t>ableau</w:t>
      </w:r>
      <w:r w:rsidR="0042677B" w:rsidRPr="000D52D3">
        <w:rPr>
          <w:rStyle w:val="Heading4Char"/>
          <w:b/>
          <w:bCs/>
          <w:snapToGrid w:val="0"/>
        </w:rPr>
        <w:t> </w:t>
      </w:r>
      <w:r w:rsidRPr="000D52D3">
        <w:rPr>
          <w:rStyle w:val="Heading4Char"/>
          <w:b/>
          <w:bCs/>
          <w:snapToGrid w:val="0"/>
        </w:rPr>
        <w:t xml:space="preserve">1.1, </w:t>
      </w:r>
      <w:r w:rsidR="004366D7" w:rsidRPr="000D52D3">
        <w:rPr>
          <w:rStyle w:val="Heading4Char"/>
          <w:b/>
          <w:bCs/>
          <w:snapToGrid w:val="0"/>
        </w:rPr>
        <w:t>a</w:t>
      </w:r>
      <w:r w:rsidRPr="000D52D3">
        <w:rPr>
          <w:rStyle w:val="Heading4Char"/>
          <w:b/>
          <w:bCs/>
          <w:snapToGrid w:val="0"/>
        </w:rPr>
        <w:t>nnexe</w:t>
      </w:r>
      <w:r w:rsidRPr="000D52D3">
        <w:rPr>
          <w:b w:val="0"/>
        </w:rPr>
        <w:t xml:space="preserve"> </w:t>
      </w:r>
      <w:r w:rsidRPr="000D52D3">
        <w:rPr>
          <w:bCs w:val="0"/>
        </w:rPr>
        <w:t>I,</w:t>
      </w:r>
      <w:r w:rsidRPr="000D52D3">
        <w:t xml:space="preserve"> pages</w:t>
      </w:r>
      <w:r w:rsidR="0042677B" w:rsidRPr="000D52D3">
        <w:t> </w:t>
      </w:r>
      <w:r w:rsidRPr="000D52D3">
        <w:t xml:space="preserve">8 à 9) </w:t>
      </w:r>
    </w:p>
    <w:p w14:paraId="0DF2552B" w14:textId="31578531" w:rsidR="00B33DB5" w:rsidRPr="000D52D3" w:rsidRDefault="00D44F5E">
      <w:pPr>
        <w:pStyle w:val="1GAPara"/>
        <w:ind w:left="567" w:hanging="567"/>
        <w:jc w:val="both"/>
      </w:pPr>
      <w:r w:rsidRPr="000D52D3">
        <w:t>Au cours de la période considérée, les ressources du Fonds liées aux contributions obligatoires et volontaires des États parties ont été utilisées conformément au plan d</w:t>
      </w:r>
      <w:r w:rsidR="00CB437A" w:rsidRPr="000D52D3">
        <w:t>’</w:t>
      </w:r>
      <w:r w:rsidRPr="000D52D3">
        <w:t>utilisation des ressources du Fonds approuvé par la huitième session de l</w:t>
      </w:r>
      <w:r w:rsidR="00CB437A" w:rsidRPr="000D52D3">
        <w:t>’</w:t>
      </w:r>
      <w:r w:rsidRPr="000D52D3">
        <w:t>Assemblée générale en septembre 2020 (Résolution</w:t>
      </w:r>
      <w:r w:rsidR="0042677B" w:rsidRPr="000D52D3">
        <w:t> </w:t>
      </w:r>
      <w:hyperlink r:id="rId21" w:history="1">
        <w:r w:rsidRPr="000D52D3">
          <w:rPr>
            <w:rStyle w:val="Hyperlink"/>
          </w:rPr>
          <w:t>8.GA</w:t>
        </w:r>
        <w:r w:rsidR="0042677B" w:rsidRPr="000D52D3">
          <w:rPr>
            <w:rStyle w:val="Hyperlink"/>
          </w:rPr>
          <w:t> </w:t>
        </w:r>
        <w:r w:rsidRPr="000D52D3">
          <w:rPr>
            <w:rStyle w:val="Hyperlink"/>
          </w:rPr>
          <w:t>7</w:t>
        </w:r>
      </w:hyperlink>
      <w:r w:rsidRPr="000D52D3">
        <w:t>). Par cette résolution, l</w:t>
      </w:r>
      <w:r w:rsidR="00CB437A" w:rsidRPr="000D52D3">
        <w:t>’</w:t>
      </w:r>
      <w:r w:rsidRPr="000D52D3">
        <w:t>Assemblée générale a approuvé un budget de 7</w:t>
      </w:r>
      <w:r w:rsidR="00805652" w:rsidRPr="000D52D3">
        <w:t> </w:t>
      </w:r>
      <w:r w:rsidR="0042677B" w:rsidRPr="000D52D3">
        <w:t>840</w:t>
      </w:r>
      <w:r w:rsidR="00805652" w:rsidRPr="000D52D3">
        <w:t> </w:t>
      </w:r>
      <w:r w:rsidRPr="000D52D3">
        <w:t>379</w:t>
      </w:r>
      <w:r w:rsidR="0042677B" w:rsidRPr="000D52D3">
        <w:t> </w:t>
      </w:r>
      <w:r w:rsidR="008A301C" w:rsidRPr="000D52D3">
        <w:t>de dollar</w:t>
      </w:r>
      <w:r w:rsidR="00705A8C" w:rsidRPr="000D52D3">
        <w:t>s</w:t>
      </w:r>
      <w:r w:rsidR="008A301C" w:rsidRPr="000D52D3">
        <w:t xml:space="preserve"> des États-Unis </w:t>
      </w:r>
      <w:r w:rsidRPr="000D52D3">
        <w:t>pour la période du 1</w:t>
      </w:r>
      <w:r w:rsidR="0042677B" w:rsidRPr="000D52D3">
        <w:t> </w:t>
      </w:r>
      <w:r w:rsidRPr="000D52D3">
        <w:t>janvier 2020 au 31</w:t>
      </w:r>
      <w:r w:rsidR="0042677B" w:rsidRPr="000D52D3">
        <w:t> </w:t>
      </w:r>
      <w:r w:rsidRPr="000D52D3">
        <w:t>décembre</w:t>
      </w:r>
      <w:r w:rsidR="001743BE" w:rsidRPr="000D52D3">
        <w:t> </w:t>
      </w:r>
      <w:r w:rsidRPr="000D52D3">
        <w:t>2021. Cela correspond au solde du Fonds (à l</w:t>
      </w:r>
      <w:r w:rsidR="00CB437A" w:rsidRPr="000D52D3">
        <w:t>’</w:t>
      </w:r>
      <w:r w:rsidRPr="000D52D3">
        <w:t>exclusion du sous-fonds dédié aux activités spécifiques approuvées par le Comité et du sous-fonds pour le renforcement des capacités humaines du Secrétariat) au 31</w:t>
      </w:r>
      <w:r w:rsidR="0042677B" w:rsidRPr="000D52D3">
        <w:t> </w:t>
      </w:r>
      <w:r w:rsidRPr="000D52D3">
        <w:t>décembre 2019 (8</w:t>
      </w:r>
      <w:r w:rsidR="00805652" w:rsidRPr="000D52D3">
        <w:t> </w:t>
      </w:r>
      <w:r w:rsidR="0042677B" w:rsidRPr="000D52D3">
        <w:t>840 </w:t>
      </w:r>
      <w:r w:rsidRPr="000D52D3">
        <w:t>379</w:t>
      </w:r>
      <w:r w:rsidR="0042677B" w:rsidRPr="000D52D3">
        <w:t> </w:t>
      </w:r>
      <w:r w:rsidR="008A301C" w:rsidRPr="000D52D3">
        <w:t>de dollar</w:t>
      </w:r>
      <w:r w:rsidR="00705A8C" w:rsidRPr="000D52D3">
        <w:t>s</w:t>
      </w:r>
      <w:r w:rsidR="008A301C" w:rsidRPr="000D52D3">
        <w:t xml:space="preserve"> des États-Unis</w:t>
      </w:r>
      <w:r w:rsidRPr="000D52D3">
        <w:t>) moins le Fonds de réserve accumulé jusqu</w:t>
      </w:r>
      <w:r w:rsidR="00CB437A" w:rsidRPr="000D52D3">
        <w:t>’</w:t>
      </w:r>
      <w:r w:rsidRPr="000D52D3">
        <w:t>à cette date (1</w:t>
      </w:r>
      <w:r w:rsidR="0042677B" w:rsidRPr="000D52D3">
        <w:t> 000 </w:t>
      </w:r>
      <w:r w:rsidRPr="000D52D3">
        <w:t>000</w:t>
      </w:r>
      <w:r w:rsidR="0042677B" w:rsidRPr="000D52D3">
        <w:t> </w:t>
      </w:r>
      <w:r w:rsidR="008A301C" w:rsidRPr="000D52D3">
        <w:t>de dollar</w:t>
      </w:r>
      <w:r w:rsidR="00705A8C" w:rsidRPr="000D52D3">
        <w:t>s</w:t>
      </w:r>
      <w:r w:rsidR="008A301C" w:rsidRPr="000D52D3">
        <w:t xml:space="preserve"> des États-Unis</w:t>
      </w:r>
      <w:r w:rsidRPr="000D52D3">
        <w:t>).</w:t>
      </w:r>
    </w:p>
    <w:p w14:paraId="24B9FE4E" w14:textId="14D31786" w:rsidR="00B33DB5" w:rsidRPr="000D52D3" w:rsidRDefault="00B33DB5" w:rsidP="008A301C">
      <w:pPr>
        <w:pStyle w:val="1GAPara"/>
        <w:ind w:left="567" w:hanging="567"/>
        <w:jc w:val="both"/>
      </w:pPr>
      <w:r w:rsidRPr="000D52D3">
        <w:t>Le rapport financier (Tableau</w:t>
      </w:r>
      <w:r w:rsidR="0042677B" w:rsidRPr="000D52D3">
        <w:t> </w:t>
      </w:r>
      <w:r w:rsidRPr="000D52D3">
        <w:t>1.1) indique une dépense totale de 3</w:t>
      </w:r>
      <w:r w:rsidR="0042677B" w:rsidRPr="000D52D3">
        <w:t> 614 </w:t>
      </w:r>
      <w:r w:rsidRPr="000D52D3">
        <w:t>061</w:t>
      </w:r>
      <w:r w:rsidR="0042677B" w:rsidRPr="000D52D3">
        <w:t> </w:t>
      </w:r>
      <w:r w:rsidR="008A301C" w:rsidRPr="000D52D3">
        <w:t xml:space="preserve">dollars des États-Unis </w:t>
      </w:r>
      <w:r w:rsidRPr="000D52D3">
        <w:t>au 31</w:t>
      </w:r>
      <w:r w:rsidR="0042677B" w:rsidRPr="000D52D3">
        <w:t> </w:t>
      </w:r>
      <w:r w:rsidRPr="000D52D3">
        <w:t>décembre 2021, soit 46</w:t>
      </w:r>
      <w:r w:rsidR="00875590" w:rsidRPr="000D52D3">
        <w:t>,</w:t>
      </w:r>
      <w:r w:rsidR="008A301C" w:rsidRPr="000D52D3">
        <w:t>1</w:t>
      </w:r>
      <w:r w:rsidR="0042677B" w:rsidRPr="000D52D3">
        <w:t> </w:t>
      </w:r>
      <w:r w:rsidRPr="000D52D3">
        <w:t xml:space="preserve">% du budget approuvé (contre </w:t>
      </w:r>
      <w:r w:rsidR="008A301C" w:rsidRPr="000D52D3">
        <w:t>62</w:t>
      </w:r>
      <w:r w:rsidR="00875590" w:rsidRPr="000D52D3">
        <w:t>,</w:t>
      </w:r>
      <w:r w:rsidR="008A301C" w:rsidRPr="000D52D3">
        <w:t>9 </w:t>
      </w:r>
      <w:r w:rsidRPr="000D52D3">
        <w:t xml:space="preserve">% au cours </w:t>
      </w:r>
      <w:r w:rsidR="008A301C" w:rsidRPr="000D52D3">
        <w:t>du biennium</w:t>
      </w:r>
      <w:r w:rsidR="0042677B" w:rsidRPr="000D52D3">
        <w:t> </w:t>
      </w:r>
      <w:r w:rsidRPr="000D52D3">
        <w:t>2018-201</w:t>
      </w:r>
      <w:r w:rsidR="004366D7" w:rsidRPr="000D52D3">
        <w:t>9</w:t>
      </w:r>
      <w:r w:rsidR="00875590" w:rsidRPr="000D52D3">
        <w:t>).</w:t>
      </w:r>
      <w:r w:rsidR="006D2FE0" w:rsidRPr="000D52D3">
        <w:rPr>
          <w:rStyle w:val="FootnoteReference"/>
        </w:rPr>
        <w:footnoteReference w:id="4"/>
      </w:r>
      <w:r w:rsidRPr="000D52D3">
        <w:t xml:space="preserve"> Des explications pour chaque ligne budgétaire du tableau </w:t>
      </w:r>
      <w:r w:rsidR="008A301C" w:rsidRPr="000D52D3">
        <w:t xml:space="preserve">des échelonnement </w:t>
      </w:r>
      <w:r w:rsidRPr="000D52D3">
        <w:t>des crédits et des dépenses sont fournies ci-après.</w:t>
      </w:r>
    </w:p>
    <w:p w14:paraId="27283B86" w14:textId="77777777" w:rsidR="00791929" w:rsidRPr="000D52D3" w:rsidRDefault="00791929" w:rsidP="00952E50">
      <w:pPr>
        <w:pStyle w:val="GAPara"/>
        <w:keepNext/>
        <w:spacing w:before="240"/>
        <w:ind w:left="0" w:firstLine="567"/>
        <w:jc w:val="both"/>
      </w:pPr>
      <w:r w:rsidRPr="000D52D3">
        <w:rPr>
          <w:b/>
        </w:rPr>
        <w:t>Assistance internationale</w:t>
      </w:r>
    </w:p>
    <w:p w14:paraId="21AA8ADA" w14:textId="54782FD9" w:rsidR="00791929" w:rsidRPr="000D52D3" w:rsidRDefault="00B33DB5" w:rsidP="00791929">
      <w:pPr>
        <w:pStyle w:val="1GAPara"/>
        <w:ind w:left="567" w:hanging="567"/>
        <w:jc w:val="both"/>
      </w:pPr>
      <w:r w:rsidRPr="000D52D3">
        <w:t>Conformément aux priorités fixées par les Orientations pour l</w:t>
      </w:r>
      <w:r w:rsidR="00CB437A" w:rsidRPr="000D52D3">
        <w:t>’</w:t>
      </w:r>
      <w:r w:rsidRPr="000D52D3">
        <w:t>utilisation des ressources du Fonds aux paragraphes</w:t>
      </w:r>
      <w:r w:rsidR="0042677B" w:rsidRPr="000D52D3">
        <w:t> </w:t>
      </w:r>
      <w:r w:rsidRPr="000D52D3">
        <w:t>66 et 67 des Directives opérationnelles, la huitième session de l</w:t>
      </w:r>
      <w:r w:rsidR="00CB437A" w:rsidRPr="000D52D3">
        <w:t>’</w:t>
      </w:r>
      <w:r w:rsidRPr="000D52D3">
        <w:t>Assemblée générale a décidé que la majorité des ressources (</w:t>
      </w:r>
      <w:r w:rsidRPr="000D52D3">
        <w:rPr>
          <w:bCs/>
        </w:rPr>
        <w:t>ligne budgétaire</w:t>
      </w:r>
      <w:r w:rsidR="0042677B" w:rsidRPr="000D52D3">
        <w:rPr>
          <w:bCs/>
        </w:rPr>
        <w:t> </w:t>
      </w:r>
      <w:r w:rsidRPr="000D52D3">
        <w:rPr>
          <w:bCs/>
        </w:rPr>
        <w:t>1</w:t>
      </w:r>
      <w:r w:rsidRPr="000D52D3">
        <w:t>, 51,96</w:t>
      </w:r>
      <w:r w:rsidR="0042677B" w:rsidRPr="000D52D3">
        <w:t> </w:t>
      </w:r>
      <w:r w:rsidRPr="000D52D3">
        <w:t>%</w:t>
      </w:r>
      <w:r w:rsidR="00705A8C" w:rsidRPr="000D52D3">
        <w:t xml:space="preserve"> </w:t>
      </w:r>
      <w:r w:rsidR="00CB437A" w:rsidRPr="000D52D3">
        <w:t>du Plan approuvé</w:t>
      </w:r>
      <w:r w:rsidR="00CB437A" w:rsidRPr="000D52D3" w:rsidDel="00CB437A">
        <w:t xml:space="preserve"> </w:t>
      </w:r>
      <w:r w:rsidR="00CB437A" w:rsidRPr="000D52D3">
        <w:t>en n’incluant pas la</w:t>
      </w:r>
      <w:r w:rsidR="00705A8C" w:rsidRPr="000D52D3">
        <w:t xml:space="preserve"> ligne budgétaire 1.1</w:t>
      </w:r>
      <w:r w:rsidRPr="000D52D3">
        <w:t>) continuerait à être allouée à l</w:t>
      </w:r>
      <w:r w:rsidR="00CB437A" w:rsidRPr="000D52D3">
        <w:t>’</w:t>
      </w:r>
      <w:r w:rsidR="008A301C" w:rsidRPr="000D52D3">
        <w:t xml:space="preserve">attribution </w:t>
      </w:r>
      <w:r w:rsidRPr="000D52D3">
        <w:t>d</w:t>
      </w:r>
      <w:r w:rsidR="00CB437A" w:rsidRPr="000D52D3">
        <w:t>’</w:t>
      </w:r>
      <w:r w:rsidRPr="000D52D3">
        <w:t xml:space="preserve">une assistance internationale aux États parties </w:t>
      </w:r>
      <w:r w:rsidR="008A301C" w:rsidRPr="000D52D3">
        <w:t xml:space="preserve">pour appuyer </w:t>
      </w:r>
      <w:r w:rsidRPr="000D52D3">
        <w:t xml:space="preserve">leurs efforts nationaux de sauvegarde du patrimoine culturel immatériel. </w:t>
      </w:r>
    </w:p>
    <w:p w14:paraId="119CB2FB" w14:textId="63871A8E" w:rsidR="00683F55" w:rsidRPr="000D52D3" w:rsidRDefault="00A0434A">
      <w:pPr>
        <w:pStyle w:val="1GAPara"/>
        <w:ind w:left="567" w:hanging="567"/>
        <w:jc w:val="both"/>
      </w:pPr>
      <w:r w:rsidRPr="000D52D3">
        <w:t>Au 31</w:t>
      </w:r>
      <w:r w:rsidR="0042677B" w:rsidRPr="000D52D3">
        <w:t> </w:t>
      </w:r>
      <w:r w:rsidRPr="000D52D3">
        <w:t xml:space="preserve">décembre 2021, la </w:t>
      </w:r>
      <w:r w:rsidRPr="000D52D3">
        <w:rPr>
          <w:b/>
          <w:bCs/>
        </w:rPr>
        <w:t>ligne budgétaire</w:t>
      </w:r>
      <w:r w:rsidR="0042677B" w:rsidRPr="000D52D3">
        <w:rPr>
          <w:b/>
          <w:bCs/>
        </w:rPr>
        <w:t> </w:t>
      </w:r>
      <w:r w:rsidRPr="000D52D3">
        <w:rPr>
          <w:b/>
          <w:bCs/>
        </w:rPr>
        <w:t>1</w:t>
      </w:r>
      <w:r w:rsidRPr="000D52D3">
        <w:t xml:space="preserve"> présente un taux de dépenses de 36</w:t>
      </w:r>
      <w:r w:rsidR="00875590" w:rsidRPr="000D52D3">
        <w:t>,</w:t>
      </w:r>
      <w:r w:rsidR="00F235C5" w:rsidRPr="000D52D3">
        <w:t>3</w:t>
      </w:r>
      <w:r w:rsidR="0042677B" w:rsidRPr="000D52D3">
        <w:t> </w:t>
      </w:r>
      <w:r w:rsidRPr="000D52D3">
        <w:t>% (contre 61</w:t>
      </w:r>
      <w:r w:rsidR="00875590" w:rsidRPr="000D52D3">
        <w:t>,</w:t>
      </w:r>
      <w:r w:rsidR="00F235C5" w:rsidRPr="000D52D3">
        <w:t>3</w:t>
      </w:r>
      <w:r w:rsidR="0042677B" w:rsidRPr="000D52D3">
        <w:t> </w:t>
      </w:r>
      <w:r w:rsidRPr="000D52D3">
        <w:t xml:space="preserve">% au cours </w:t>
      </w:r>
      <w:r w:rsidR="008A301C" w:rsidRPr="000D52D3">
        <w:t>du précédent biennium</w:t>
      </w:r>
      <w:r w:rsidRPr="000D52D3">
        <w:t>).</w:t>
      </w:r>
      <w:r w:rsidR="006D5455" w:rsidRPr="000D52D3">
        <w:rPr>
          <w:rStyle w:val="FootnoteReference"/>
        </w:rPr>
        <w:footnoteReference w:id="5"/>
      </w:r>
      <w:r w:rsidRPr="000D52D3">
        <w:t xml:space="preserve"> Les dépenses s</w:t>
      </w:r>
      <w:r w:rsidR="00CB437A" w:rsidRPr="000D52D3">
        <w:t>’</w:t>
      </w:r>
      <w:r w:rsidRPr="000D52D3">
        <w:t>élèvent à 1,</w:t>
      </w:r>
      <w:r w:rsidR="00F235C5" w:rsidRPr="000D52D3">
        <w:t>48</w:t>
      </w:r>
      <w:r w:rsidR="0042677B" w:rsidRPr="000D52D3">
        <w:t> </w:t>
      </w:r>
      <w:r w:rsidRPr="000D52D3">
        <w:t xml:space="preserve">million de dollars </w:t>
      </w:r>
      <w:r w:rsidR="008A301C" w:rsidRPr="000D52D3">
        <w:t>des États-Unis</w:t>
      </w:r>
      <w:r w:rsidRPr="000D52D3">
        <w:t xml:space="preserve">, correspondant </w:t>
      </w:r>
      <w:r w:rsidR="00F235C5" w:rsidRPr="000D52D3">
        <w:t xml:space="preserve">à quinze </w:t>
      </w:r>
      <w:r w:rsidRPr="000D52D3">
        <w:t>projets d</w:t>
      </w:r>
      <w:r w:rsidR="00CB437A" w:rsidRPr="000D52D3">
        <w:t>’</w:t>
      </w:r>
      <w:r w:rsidRPr="000D52D3">
        <w:t>assistance internationale</w:t>
      </w:r>
      <w:r w:rsidR="00111696" w:rsidRPr="000D52D3">
        <w:rPr>
          <w:rStyle w:val="FootnoteReference"/>
        </w:rPr>
        <w:footnoteReference w:id="6"/>
      </w:r>
      <w:r w:rsidRPr="000D52D3">
        <w:t xml:space="preserve"> contractés pendant la période de référence, dont dix </w:t>
      </w:r>
      <w:r w:rsidR="00F235C5" w:rsidRPr="000D52D3">
        <w:t xml:space="preserve">dans la région </w:t>
      </w:r>
      <w:r w:rsidRPr="000D52D3">
        <w:t>Afrique (52</w:t>
      </w:r>
      <w:r w:rsidR="0042677B" w:rsidRPr="000D52D3">
        <w:t> </w:t>
      </w:r>
      <w:r w:rsidRPr="000D52D3">
        <w:t>% des dépenses totales liées à l</w:t>
      </w:r>
      <w:r w:rsidR="00CB437A" w:rsidRPr="000D52D3">
        <w:t>’</w:t>
      </w:r>
      <w:r w:rsidRPr="000D52D3">
        <w:t>assistance internationale) et deux dans les petits États insulaires en développement (13</w:t>
      </w:r>
      <w:r w:rsidR="0042677B" w:rsidRPr="000D52D3">
        <w:t> </w:t>
      </w:r>
      <w:r w:rsidRPr="000D52D3">
        <w:t>% des dépenses totales liées à l</w:t>
      </w:r>
      <w:r w:rsidR="00CB437A" w:rsidRPr="000D52D3">
        <w:t>’</w:t>
      </w:r>
      <w:r w:rsidRPr="000D52D3">
        <w:t>assistance internationale). Pour cinq États parties bénéficiaires (trois en Afrique et deux dans des petits États insulaires en développement), il s</w:t>
      </w:r>
      <w:r w:rsidR="00CB437A" w:rsidRPr="000D52D3">
        <w:t>’</w:t>
      </w:r>
      <w:r w:rsidRPr="000D52D3">
        <w:t>agissait d</w:t>
      </w:r>
      <w:r w:rsidR="00CB437A" w:rsidRPr="000D52D3">
        <w:t>’</w:t>
      </w:r>
      <w:r w:rsidRPr="000D52D3">
        <w:t>un premier projet soutenu par le Fonds dans le cadre des mécanismes d</w:t>
      </w:r>
      <w:r w:rsidR="00CB437A" w:rsidRPr="000D52D3">
        <w:t>’</w:t>
      </w:r>
      <w:r w:rsidRPr="000D52D3">
        <w:t>assistance internationale, démontrant ainsi l</w:t>
      </w:r>
      <w:r w:rsidR="00CB437A" w:rsidRPr="000D52D3">
        <w:t>’</w:t>
      </w:r>
      <w:r w:rsidRPr="000D52D3">
        <w:t xml:space="preserve">expansion continue de la portée géographique de ces derniers. </w:t>
      </w:r>
    </w:p>
    <w:p w14:paraId="0B778FA6" w14:textId="2C518DA5" w:rsidR="00683F55" w:rsidRPr="000D52D3" w:rsidRDefault="00CE77A0" w:rsidP="00CE77A0">
      <w:pPr>
        <w:pStyle w:val="1GAPara"/>
        <w:numPr>
          <w:ilvl w:val="0"/>
          <w:numId w:val="0"/>
        </w:numPr>
        <w:ind w:left="567"/>
        <w:jc w:val="center"/>
      </w:pPr>
      <w:r w:rsidRPr="000D52D3">
        <w:rPr>
          <w:noProof/>
        </w:rPr>
        <w:lastRenderedPageBreak/>
        <w:drawing>
          <wp:inline distT="0" distB="0" distL="0" distR="0" wp14:anchorId="6979ADA3" wp14:editId="31A91133">
            <wp:extent cx="4586400" cy="2757600"/>
            <wp:effectExtent l="0" t="0" r="5080" b="5080"/>
            <wp:docPr id="9" name="Graphique 9">
              <a:extLst xmlns:a="http://schemas.openxmlformats.org/drawingml/2006/main">
                <a:ext uri="{FF2B5EF4-FFF2-40B4-BE49-F238E27FC236}">
                  <a16:creationId xmlns:a16="http://schemas.microsoft.com/office/drawing/2014/main" id="{1121EAA9-16D7-4B50-8945-FA8B79303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D34D5E" w14:textId="0E4EA600" w:rsidR="00D61636" w:rsidRPr="000D52D3" w:rsidRDefault="00A415D0" w:rsidP="001554C0">
      <w:pPr>
        <w:pStyle w:val="1GAPara"/>
        <w:ind w:left="567" w:hanging="567"/>
        <w:jc w:val="both"/>
      </w:pPr>
      <w:r w:rsidRPr="000D52D3">
        <w:t>Bien que la portée des projets varie et que ces derniers couvrent souvent un large éventail d</w:t>
      </w:r>
      <w:r w:rsidR="00CB437A" w:rsidRPr="000D52D3">
        <w:t>’</w:t>
      </w:r>
      <w:r w:rsidRPr="000D52D3">
        <w:t xml:space="preserve">activités </w:t>
      </w:r>
      <w:r w:rsidR="002A0B78">
        <w:rPr>
          <w:rFonts w:asciiTheme="minorBidi" w:hAnsiTheme="minorBidi"/>
        </w:rPr>
        <w:t>–</w:t>
      </w:r>
      <w:r w:rsidRPr="000D52D3">
        <w:t xml:space="preserve"> par exemple, la grande majorité des projets prévoient des </w:t>
      </w:r>
      <w:r w:rsidR="00CE49E1" w:rsidRPr="000D52D3">
        <w:t xml:space="preserve">composantes </w:t>
      </w:r>
      <w:r w:rsidRPr="000D52D3">
        <w:t xml:space="preserve">de renforcement des capacités </w:t>
      </w:r>
      <w:r w:rsidR="002A0B78">
        <w:rPr>
          <w:rFonts w:asciiTheme="minorBidi" w:hAnsiTheme="minorBidi"/>
        </w:rPr>
        <w:t>–</w:t>
      </w:r>
      <w:r w:rsidRPr="000D52D3">
        <w:t xml:space="preserve"> les principaux objectifs des projets d</w:t>
      </w:r>
      <w:r w:rsidR="00CB437A" w:rsidRPr="000D52D3">
        <w:t>’</w:t>
      </w:r>
      <w:r w:rsidRPr="000D52D3">
        <w:t>assistance internationale lancés au cours de la période considérée peuvent être répartis selon les catégories suivantes</w:t>
      </w:r>
      <w:r w:rsidR="0042677B" w:rsidRPr="000D52D3">
        <w:t> </w:t>
      </w:r>
      <w:r w:rsidRPr="000D52D3">
        <w:t>:</w:t>
      </w:r>
    </w:p>
    <w:p w14:paraId="2E49EEDC" w14:textId="4D212002" w:rsidR="00667E5B" w:rsidRPr="000D52D3" w:rsidRDefault="00CE77A0" w:rsidP="001554C0">
      <w:pPr>
        <w:pStyle w:val="1GAPara"/>
        <w:numPr>
          <w:ilvl w:val="0"/>
          <w:numId w:val="0"/>
        </w:numPr>
        <w:tabs>
          <w:tab w:val="left" w:pos="567"/>
        </w:tabs>
        <w:snapToGrid w:val="0"/>
        <w:ind w:left="562"/>
        <w:jc w:val="center"/>
      </w:pPr>
      <w:r w:rsidRPr="000D52D3">
        <w:rPr>
          <w:noProof/>
          <w:shd w:val="clear" w:color="auto" w:fill="FFC000"/>
        </w:rPr>
        <w:drawing>
          <wp:inline distT="0" distB="0" distL="0" distR="0" wp14:anchorId="4F407FC5" wp14:editId="02148387">
            <wp:extent cx="4608000" cy="2757600"/>
            <wp:effectExtent l="0" t="0" r="2540" b="5080"/>
            <wp:docPr id="1" name="Graphique 1">
              <a:extLst xmlns:a="http://schemas.openxmlformats.org/drawingml/2006/main">
                <a:ext uri="{FF2B5EF4-FFF2-40B4-BE49-F238E27FC236}">
                  <a16:creationId xmlns:a16="http://schemas.microsoft.com/office/drawing/2014/main" id="{A3B6501C-D9D4-46B4-8BBB-4B4F74D0F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DE60BA" w14:textId="4ABE71EC" w:rsidR="00D61636" w:rsidRPr="000D52D3" w:rsidRDefault="0085039A" w:rsidP="001D70C0">
      <w:pPr>
        <w:pStyle w:val="1GAPara"/>
        <w:tabs>
          <w:tab w:val="left" w:pos="567"/>
        </w:tabs>
        <w:snapToGrid w:val="0"/>
        <w:ind w:left="561" w:hanging="561"/>
        <w:jc w:val="both"/>
      </w:pPr>
      <w:r w:rsidRPr="000D52D3">
        <w:t>Outre les quinze projets initiés au cours du dernier exercice biennal, les contrats de dix assistances internationales approuvées n</w:t>
      </w:r>
      <w:r w:rsidR="00CB437A" w:rsidRPr="000D52D3">
        <w:t>’</w:t>
      </w:r>
      <w:r w:rsidRPr="000D52D3">
        <w:t>avaient pas été établis au 31</w:t>
      </w:r>
      <w:r w:rsidR="0042677B" w:rsidRPr="000D52D3">
        <w:t> </w:t>
      </w:r>
      <w:r w:rsidRPr="000D52D3">
        <w:t>décembre</w:t>
      </w:r>
      <w:r w:rsidR="00CE49E1" w:rsidRPr="000D52D3">
        <w:t> </w:t>
      </w:r>
      <w:r w:rsidRPr="000D52D3">
        <w:t>2021 et n</w:t>
      </w:r>
      <w:r w:rsidR="00CB437A" w:rsidRPr="000D52D3">
        <w:t>’</w:t>
      </w:r>
      <w:r w:rsidRPr="000D52D3">
        <w:t xml:space="preserve">apparaissent donc pas dans le </w:t>
      </w:r>
      <w:r w:rsidR="004366D7" w:rsidRPr="000D52D3">
        <w:t>t</w:t>
      </w:r>
      <w:r w:rsidRPr="000D52D3">
        <w:t>ableau</w:t>
      </w:r>
      <w:r w:rsidR="0042677B" w:rsidRPr="000D52D3">
        <w:t> </w:t>
      </w:r>
      <w:r w:rsidRPr="000D52D3">
        <w:t>1.1. Cette situation est imputable à plusieurs facteurs distincts</w:t>
      </w:r>
      <w:r w:rsidR="0042677B" w:rsidRPr="000D52D3">
        <w:t> </w:t>
      </w:r>
      <w:r w:rsidRPr="000D52D3">
        <w:t>: a) l</w:t>
      </w:r>
      <w:r w:rsidR="00CB437A" w:rsidRPr="000D52D3">
        <w:t>’</w:t>
      </w:r>
      <w:r w:rsidRPr="000D52D3">
        <w:t>impact de la pandémie de COVID-19, qui a affecté les opérations dans les États parties bénéficiaires et entraîné des retards dans le démarrage du projet</w:t>
      </w:r>
      <w:r w:rsidR="008F4B02" w:rsidRPr="000D52D3">
        <w:rPr>
          <w:rStyle w:val="FootnoteReference"/>
        </w:rPr>
        <w:footnoteReference w:id="7"/>
      </w:r>
      <w:r w:rsidR="0042677B" w:rsidRPr="000D52D3">
        <w:t> </w:t>
      </w:r>
      <w:r w:rsidRPr="000D52D3">
        <w:t>; b) des retards ou des difficultés d</w:t>
      </w:r>
      <w:r w:rsidR="00CB437A" w:rsidRPr="000D52D3">
        <w:t>’</w:t>
      </w:r>
      <w:r w:rsidRPr="000D52D3">
        <w:t>ordre administratif</w:t>
      </w:r>
      <w:r w:rsidR="00CE49E1" w:rsidRPr="000D52D3">
        <w:t xml:space="preserve"> et technique</w:t>
      </w:r>
      <w:r w:rsidR="008F4B02" w:rsidRPr="000D52D3">
        <w:rPr>
          <w:rStyle w:val="FootnoteReference"/>
        </w:rPr>
        <w:footnoteReference w:id="8"/>
      </w:r>
      <w:r w:rsidRPr="000D52D3">
        <w:t xml:space="preserve"> ou c) l</w:t>
      </w:r>
      <w:r w:rsidR="00CB437A" w:rsidRPr="000D52D3">
        <w:t>’</w:t>
      </w:r>
      <w:r w:rsidRPr="000D52D3">
        <w:t>approbation de la demande a eu lieu à la fin de l</w:t>
      </w:r>
      <w:r w:rsidR="00CB437A" w:rsidRPr="000D52D3">
        <w:t>’</w:t>
      </w:r>
      <w:r w:rsidRPr="000D52D3">
        <w:t>exercice biennal</w:t>
      </w:r>
      <w:r w:rsidR="00B64E46" w:rsidRPr="000D52D3">
        <w:rPr>
          <w:rStyle w:val="FootnoteReference"/>
        </w:rPr>
        <w:footnoteReference w:id="9"/>
      </w:r>
      <w:r w:rsidRPr="000D52D3">
        <w:t>, rendant techniquement impossible l</w:t>
      </w:r>
      <w:r w:rsidR="00CB437A" w:rsidRPr="000D52D3">
        <w:t>’</w:t>
      </w:r>
      <w:r w:rsidRPr="000D52D3">
        <w:t>établissement d</w:t>
      </w:r>
      <w:r w:rsidR="00CB437A" w:rsidRPr="000D52D3">
        <w:t>’</w:t>
      </w:r>
      <w:r w:rsidRPr="000D52D3">
        <w:t xml:space="preserve">un contrat avant la publication du rapport financier. Dans quatre de ces dix cas, des contrats ont été </w:t>
      </w:r>
      <w:r w:rsidRPr="000D52D3">
        <w:lastRenderedPageBreak/>
        <w:t>établis au premier semestre</w:t>
      </w:r>
      <w:r w:rsidR="0042677B" w:rsidRPr="000D52D3">
        <w:t> </w:t>
      </w:r>
      <w:r w:rsidRPr="000D52D3">
        <w:t>2022. En raison de diverses contraintes administratives et techniques, il est prévu que les six projets restants commencent au second semestre</w:t>
      </w:r>
      <w:r w:rsidR="0042677B" w:rsidRPr="000D52D3">
        <w:t> </w:t>
      </w:r>
      <w:r w:rsidRPr="000D52D3">
        <w:t>2022.</w:t>
      </w:r>
    </w:p>
    <w:p w14:paraId="266E2E24" w14:textId="3FF403E8" w:rsidR="005B3AD7" w:rsidRPr="000D52D3" w:rsidRDefault="00B33DB5" w:rsidP="001B547B">
      <w:pPr>
        <w:pStyle w:val="COMPara"/>
        <w:numPr>
          <w:ilvl w:val="0"/>
          <w:numId w:val="9"/>
        </w:numPr>
        <w:tabs>
          <w:tab w:val="left" w:pos="567"/>
        </w:tabs>
        <w:ind w:left="567" w:hanging="567"/>
        <w:jc w:val="both"/>
      </w:pPr>
      <w:r w:rsidRPr="000D52D3">
        <w:t xml:space="preserve">La </w:t>
      </w:r>
      <w:r w:rsidRPr="000D52D3">
        <w:rPr>
          <w:b/>
        </w:rPr>
        <w:t>ligne budgétaire</w:t>
      </w:r>
      <w:r w:rsidR="0042677B" w:rsidRPr="000D52D3">
        <w:rPr>
          <w:b/>
        </w:rPr>
        <w:t> </w:t>
      </w:r>
      <w:r w:rsidRPr="000D52D3">
        <w:rPr>
          <w:b/>
        </w:rPr>
        <w:t>1.1</w:t>
      </w:r>
      <w:r w:rsidRPr="000D52D3">
        <w:t xml:space="preserve"> (10,79</w:t>
      </w:r>
      <w:r w:rsidR="0042677B" w:rsidRPr="000D52D3">
        <w:t> </w:t>
      </w:r>
      <w:r w:rsidRPr="000D52D3">
        <w:t>% du Plan approuvé) a été utilisée afin de couvrir les coûts biennaux de trois postes extra-budgétaires à durée déterminée (un P3, un P2 et un G5) qui ont été créés par l</w:t>
      </w:r>
      <w:r w:rsidR="00CB437A" w:rsidRPr="000D52D3">
        <w:t>’</w:t>
      </w:r>
      <w:r w:rsidRPr="000D52D3">
        <w:t>Assemblée générale lors de sa septième session en 2018 afin d</w:t>
      </w:r>
      <w:r w:rsidR="00CB437A" w:rsidRPr="000D52D3">
        <w:t>’</w:t>
      </w:r>
      <w:r w:rsidRPr="000D52D3">
        <w:t>activer pleinement les mécanismes d</w:t>
      </w:r>
      <w:r w:rsidR="00CB437A" w:rsidRPr="000D52D3">
        <w:t>’</w:t>
      </w:r>
      <w:r w:rsidRPr="000D52D3">
        <w:t xml:space="preserve">assistance internationale </w:t>
      </w:r>
      <w:r w:rsidR="00CE49E1" w:rsidRPr="000D52D3">
        <w:t>et d</w:t>
      </w:r>
      <w:r w:rsidR="00CB437A" w:rsidRPr="000D52D3">
        <w:t>’</w:t>
      </w:r>
      <w:r w:rsidR="00CE49E1" w:rsidRPr="000D52D3">
        <w:t>assurer un suivi et une évaluation effectifs de leur mise en œuvre</w:t>
      </w:r>
      <w:r w:rsidR="00CE49E1" w:rsidRPr="000D52D3" w:rsidDel="00CE49E1">
        <w:t xml:space="preserve"> </w:t>
      </w:r>
      <w:r w:rsidRPr="000D52D3">
        <w:t>(Résolution</w:t>
      </w:r>
      <w:r w:rsidR="0042677B" w:rsidRPr="000D52D3">
        <w:t> </w:t>
      </w:r>
      <w:hyperlink r:id="rId24" w:history="1">
        <w:r w:rsidRPr="000D52D3">
          <w:rPr>
            <w:rStyle w:val="Hyperlink"/>
          </w:rPr>
          <w:t>7.GA</w:t>
        </w:r>
        <w:r w:rsidR="0042677B" w:rsidRPr="000D52D3">
          <w:rPr>
            <w:rStyle w:val="Hyperlink"/>
          </w:rPr>
          <w:t> </w:t>
        </w:r>
        <w:r w:rsidRPr="000D52D3">
          <w:rPr>
            <w:rStyle w:val="Hyperlink"/>
          </w:rPr>
          <w:t>8</w:t>
        </w:r>
      </w:hyperlink>
      <w:r w:rsidRPr="000D52D3">
        <w:t>). L</w:t>
      </w:r>
      <w:r w:rsidR="00CB437A" w:rsidRPr="000D52D3">
        <w:t>’</w:t>
      </w:r>
      <w:r w:rsidRPr="000D52D3">
        <w:t>équipe de mise en œuvre et de suivi de la sauvegarde (SIM) a été créée et est opérationnelle depuis février 2020.</w:t>
      </w:r>
    </w:p>
    <w:p w14:paraId="32E15507" w14:textId="04EBB157" w:rsidR="00952E50" w:rsidRPr="000D52D3" w:rsidRDefault="00CE49E1" w:rsidP="00952E50">
      <w:pPr>
        <w:pStyle w:val="1GAPara"/>
        <w:snapToGrid w:val="0"/>
        <w:ind w:left="562" w:hanging="562"/>
        <w:jc w:val="both"/>
      </w:pPr>
      <w:r w:rsidRPr="000D52D3">
        <w:t>En ce qui c</w:t>
      </w:r>
      <w:r w:rsidR="00B33DB5" w:rsidRPr="000D52D3">
        <w:t>oncern</w:t>
      </w:r>
      <w:r w:rsidRPr="000D52D3">
        <w:t>e</w:t>
      </w:r>
      <w:r w:rsidR="00B33DB5" w:rsidRPr="000D52D3">
        <w:t xml:space="preserve"> la </w:t>
      </w:r>
      <w:r w:rsidR="00B33DB5" w:rsidRPr="000D52D3">
        <w:rPr>
          <w:b/>
        </w:rPr>
        <w:t>ligne budgétaire</w:t>
      </w:r>
      <w:r w:rsidR="0042677B" w:rsidRPr="000D52D3">
        <w:rPr>
          <w:b/>
        </w:rPr>
        <w:t> </w:t>
      </w:r>
      <w:r w:rsidR="00B33DB5" w:rsidRPr="000D52D3">
        <w:rPr>
          <w:b/>
        </w:rPr>
        <w:t>2</w:t>
      </w:r>
      <w:r w:rsidR="00B33DB5" w:rsidRPr="000D52D3">
        <w:t xml:space="preserve"> (2</w:t>
      </w:r>
      <w:r w:rsidR="0042677B" w:rsidRPr="000D52D3">
        <w:t> </w:t>
      </w:r>
      <w:r w:rsidR="00B33DB5" w:rsidRPr="000D52D3">
        <w:t>% du Plan approuvé), les dépenses prises en compte incluent l</w:t>
      </w:r>
      <w:r w:rsidR="00CB437A" w:rsidRPr="000D52D3">
        <w:t>’</w:t>
      </w:r>
      <w:r w:rsidR="001B547B" w:rsidRPr="000D52D3">
        <w:t xml:space="preserve">attribution </w:t>
      </w:r>
      <w:r w:rsidR="00B33DB5" w:rsidRPr="000D52D3">
        <w:t>d</w:t>
      </w:r>
      <w:r w:rsidR="00CB437A" w:rsidRPr="000D52D3">
        <w:t>’</w:t>
      </w:r>
      <w:r w:rsidR="00B33DB5" w:rsidRPr="000D52D3">
        <w:t>une assistance technique à quatre États Parties</w:t>
      </w:r>
      <w:r w:rsidR="005626BE" w:rsidRPr="000D52D3">
        <w:rPr>
          <w:rStyle w:val="FootnoteReference"/>
        </w:rPr>
        <w:footnoteReference w:id="10"/>
      </w:r>
      <w:r w:rsidR="00B33DB5" w:rsidRPr="000D52D3">
        <w:t xml:space="preserve"> pour l</w:t>
      </w:r>
      <w:r w:rsidR="00CB437A" w:rsidRPr="000D52D3">
        <w:t>’</w:t>
      </w:r>
      <w:r w:rsidR="00B33DB5" w:rsidRPr="000D52D3">
        <w:t>élaboration et la révision de leurs demandes d</w:t>
      </w:r>
      <w:r w:rsidR="00CB437A" w:rsidRPr="000D52D3">
        <w:t>’</w:t>
      </w:r>
      <w:r w:rsidR="00B33DB5" w:rsidRPr="000D52D3">
        <w:t>assistance internationale, conformément à la Décision</w:t>
      </w:r>
      <w:r w:rsidR="0042677B" w:rsidRPr="000D52D3">
        <w:t> </w:t>
      </w:r>
      <w:hyperlink r:id="rId25" w:history="1">
        <w:r w:rsidR="00B33DB5" w:rsidRPr="000D52D3">
          <w:rPr>
            <w:rStyle w:val="Hyperlink"/>
          </w:rPr>
          <w:t>8.COM</w:t>
        </w:r>
        <w:r w:rsidR="001B547B" w:rsidRPr="000D52D3">
          <w:rPr>
            <w:rStyle w:val="Hyperlink"/>
          </w:rPr>
          <w:t> </w:t>
        </w:r>
        <w:r w:rsidR="00B33DB5" w:rsidRPr="000D52D3">
          <w:rPr>
            <w:rStyle w:val="Hyperlink"/>
          </w:rPr>
          <w:t>7.c</w:t>
        </w:r>
      </w:hyperlink>
      <w:r w:rsidR="00B33DB5" w:rsidRPr="000D52D3">
        <w:t>.</w:t>
      </w:r>
      <w:r w:rsidR="001B547B" w:rsidRPr="000D52D3">
        <w:t xml:space="preserve"> Le taux de dépense de cette ligne budgétaire est resté faible, à 10,8%, car aucune demande d</w:t>
      </w:r>
      <w:r w:rsidR="00CB437A" w:rsidRPr="000D52D3">
        <w:t>’</w:t>
      </w:r>
      <w:r w:rsidR="001B547B" w:rsidRPr="000D52D3">
        <w:t>assistance préparatoire n</w:t>
      </w:r>
      <w:r w:rsidR="00CB437A" w:rsidRPr="000D52D3">
        <w:t>’</w:t>
      </w:r>
      <w:r w:rsidR="001B547B" w:rsidRPr="000D52D3">
        <w:t>a été soumise au cours du dernier exercice biennal.</w:t>
      </w:r>
      <w:r w:rsidR="00B33DB5" w:rsidRPr="000D52D3">
        <w:t xml:space="preserve"> Au cours de la période considérée, une demande a été finalisée grâce à ce mécanisme de soutien et approuvée par le Bureau en 2021 (décision</w:t>
      </w:r>
      <w:r w:rsidR="0042677B" w:rsidRPr="000D52D3">
        <w:t> </w:t>
      </w:r>
      <w:hyperlink r:id="rId26" w:history="1">
        <w:r w:rsidR="00B33DB5" w:rsidRPr="000D52D3">
          <w:rPr>
            <w:rStyle w:val="Hyperlink"/>
          </w:rPr>
          <w:t>16.COM</w:t>
        </w:r>
        <w:r w:rsidR="001B547B" w:rsidRPr="000D52D3">
          <w:rPr>
            <w:rStyle w:val="Hyperlink"/>
          </w:rPr>
          <w:t> </w:t>
        </w:r>
        <w:r w:rsidR="00B33DB5" w:rsidRPr="000D52D3">
          <w:rPr>
            <w:rStyle w:val="Hyperlink"/>
          </w:rPr>
          <w:t>2.BUR 3</w:t>
        </w:r>
        <w:r w:rsidRPr="000D52D3">
          <w:rPr>
            <w:rStyle w:val="Hyperlink"/>
          </w:rPr>
          <w:t>.</w:t>
        </w:r>
        <w:r w:rsidR="00B33DB5" w:rsidRPr="000D52D3">
          <w:rPr>
            <w:rStyle w:val="Hyperlink"/>
          </w:rPr>
          <w:t>1</w:t>
        </w:r>
      </w:hyperlink>
      <w:r w:rsidR="00B33DB5" w:rsidRPr="000D52D3">
        <w:t>). Deux autres demandes ayant bénéficié de ce dispositif seront examinées par le Bureau en 2022. Dans le quatrième et dernier cas, l</w:t>
      </w:r>
      <w:r w:rsidR="00CB437A" w:rsidRPr="000D52D3">
        <w:t>’</w:t>
      </w:r>
      <w:r w:rsidR="00B33DB5" w:rsidRPr="000D52D3">
        <w:t>assistance technique a conclu, en concertation avec l</w:t>
      </w:r>
      <w:r w:rsidR="00CB437A" w:rsidRPr="000D52D3">
        <w:t>’</w:t>
      </w:r>
      <w:r w:rsidR="00B33DB5" w:rsidRPr="000D52D3">
        <w:t>État partie, que le projet proposé n</w:t>
      </w:r>
      <w:r w:rsidR="00CB437A" w:rsidRPr="000D52D3">
        <w:t>’</w:t>
      </w:r>
      <w:r w:rsidR="00B33DB5" w:rsidRPr="000D52D3">
        <w:t>entrait pas dans le champ des mécanismes d</w:t>
      </w:r>
      <w:r w:rsidR="00CB437A" w:rsidRPr="000D52D3">
        <w:t>’</w:t>
      </w:r>
      <w:r w:rsidR="00B33DB5" w:rsidRPr="000D52D3">
        <w:t>assistance internationale.</w:t>
      </w:r>
    </w:p>
    <w:p w14:paraId="4546E928" w14:textId="20CE1CCF" w:rsidR="008A4505" w:rsidRPr="000D52D3" w:rsidRDefault="00952E50" w:rsidP="008A4505">
      <w:pPr>
        <w:pStyle w:val="GAPara"/>
        <w:keepNext/>
        <w:spacing w:before="240"/>
        <w:ind w:left="0" w:firstLine="562"/>
        <w:rPr>
          <w:b/>
          <w:bCs/>
        </w:rPr>
      </w:pPr>
      <w:r w:rsidRPr="000D52D3">
        <w:rPr>
          <w:b/>
        </w:rPr>
        <w:t>«</w:t>
      </w:r>
      <w:r w:rsidR="0042677B" w:rsidRPr="000D52D3">
        <w:rPr>
          <w:b/>
        </w:rPr>
        <w:t> </w:t>
      </w:r>
      <w:r w:rsidRPr="000D52D3">
        <w:rPr>
          <w:b/>
        </w:rPr>
        <w:t>Autres fonctions du Comité</w:t>
      </w:r>
      <w:r w:rsidR="0042677B" w:rsidRPr="000D52D3">
        <w:rPr>
          <w:b/>
        </w:rPr>
        <w:t> </w:t>
      </w:r>
      <w:r w:rsidRPr="000D52D3">
        <w:rPr>
          <w:b/>
        </w:rPr>
        <w:t>»</w:t>
      </w:r>
    </w:p>
    <w:p w14:paraId="1C3CC3F0" w14:textId="3D69BDC9" w:rsidR="00DC2FCF" w:rsidRPr="000D52D3" w:rsidRDefault="00D16C79" w:rsidP="00DC2FCF">
      <w:pPr>
        <w:pStyle w:val="1GAPara"/>
        <w:ind w:left="567" w:hanging="567"/>
        <w:jc w:val="both"/>
        <w:rPr>
          <w:bCs/>
        </w:rPr>
      </w:pPr>
      <w:r w:rsidRPr="000D52D3">
        <w:t>Les moyens alloués par l</w:t>
      </w:r>
      <w:r w:rsidR="00CB437A" w:rsidRPr="000D52D3">
        <w:t>’</w:t>
      </w:r>
      <w:r w:rsidRPr="000D52D3">
        <w:t>Assemblée générale aux «</w:t>
      </w:r>
      <w:r w:rsidR="0042677B" w:rsidRPr="000D52D3">
        <w:t> </w:t>
      </w:r>
      <w:r w:rsidRPr="000D52D3">
        <w:t>autres fonctions du Comité</w:t>
      </w:r>
      <w:r w:rsidR="0042677B" w:rsidRPr="000D52D3">
        <w:t> </w:t>
      </w:r>
      <w:r w:rsidRPr="000D52D3">
        <w:t>» (</w:t>
      </w:r>
      <w:bookmarkStart w:id="4" w:name="_Hlk105693891"/>
      <w:r w:rsidRPr="000D52D3">
        <w:rPr>
          <w:b/>
        </w:rPr>
        <w:t>ligne budgétaire</w:t>
      </w:r>
      <w:r w:rsidR="0042677B" w:rsidRPr="000D52D3">
        <w:rPr>
          <w:b/>
        </w:rPr>
        <w:t> </w:t>
      </w:r>
      <w:r w:rsidRPr="000D52D3">
        <w:rPr>
          <w:b/>
        </w:rPr>
        <w:t>3</w:t>
      </w:r>
      <w:bookmarkEnd w:id="4"/>
      <w:r w:rsidR="0042677B" w:rsidRPr="000D52D3">
        <w:t> </w:t>
      </w:r>
      <w:r w:rsidRPr="000D52D3">
        <w:t>: 20</w:t>
      </w:r>
      <w:r w:rsidR="0042677B" w:rsidRPr="000D52D3">
        <w:t> </w:t>
      </w:r>
      <w:r w:rsidRPr="000D52D3">
        <w:t>% du Plan approuvé) ont permis de continuer à fournir un soutien unique et irremplaçable pour un certain nombre d</w:t>
      </w:r>
      <w:r w:rsidR="00CB437A" w:rsidRPr="000D52D3">
        <w:t>’</w:t>
      </w:r>
      <w:r w:rsidRPr="000D52D3">
        <w:t>actions en amont et transversales ayant un impact global et à long terme pour la mise en œuvre de la Convention. 7</w:t>
      </w:r>
      <w:r w:rsidR="00124064" w:rsidRPr="000D52D3">
        <w:t>0,9</w:t>
      </w:r>
      <w:r w:rsidR="0042677B" w:rsidRPr="000D52D3">
        <w:t> </w:t>
      </w:r>
      <w:r w:rsidRPr="000D52D3">
        <w:t xml:space="preserve">% des fonds approuvés pour </w:t>
      </w:r>
      <w:r w:rsidR="008A301C" w:rsidRPr="000D52D3">
        <w:t>le biennium</w:t>
      </w:r>
      <w:r w:rsidR="0042677B" w:rsidRPr="000D52D3">
        <w:t> </w:t>
      </w:r>
      <w:r w:rsidRPr="000D52D3">
        <w:t>2020</w:t>
      </w:r>
      <w:r w:rsidR="002A0B78">
        <w:rPr>
          <w:rFonts w:asciiTheme="minorBidi" w:hAnsiTheme="minorBidi"/>
        </w:rPr>
        <w:t>–</w:t>
      </w:r>
      <w:r w:rsidRPr="000D52D3">
        <w:t>2021 ont été dépensés et engagés au 31</w:t>
      </w:r>
      <w:r w:rsidR="0042677B" w:rsidRPr="000D52D3">
        <w:t> </w:t>
      </w:r>
      <w:r w:rsidRPr="000D52D3">
        <w:t>décembre 2021 (contre 9</w:t>
      </w:r>
      <w:r w:rsidR="00124064" w:rsidRPr="000D52D3">
        <w:t>1</w:t>
      </w:r>
      <w:r w:rsidR="00EF7B38" w:rsidRPr="000D52D3">
        <w:t>,</w:t>
      </w:r>
      <w:r w:rsidR="00124064" w:rsidRPr="000D52D3">
        <w:t>7</w:t>
      </w:r>
      <w:r w:rsidR="0042677B" w:rsidRPr="000D52D3">
        <w:t> </w:t>
      </w:r>
      <w:r w:rsidRPr="000D52D3">
        <w:t xml:space="preserve">% pour </w:t>
      </w:r>
      <w:r w:rsidR="008A301C" w:rsidRPr="000D52D3">
        <w:t>le biennium </w:t>
      </w:r>
      <w:r w:rsidRPr="000D52D3">
        <w:t>2018</w:t>
      </w:r>
      <w:r w:rsidR="002A0B78">
        <w:rPr>
          <w:rFonts w:asciiTheme="minorBidi" w:hAnsiTheme="minorBidi"/>
        </w:rPr>
        <w:t>–</w:t>
      </w:r>
      <w:r w:rsidRPr="000D52D3">
        <w:t>2019). Bien que le taux des dépenses soit inférieur à celui des années précédentes en raison du contexte de la pandémie, le Secrétariat a pu continuer à mettre en œuvre un certain nombre d</w:t>
      </w:r>
      <w:r w:rsidR="00CB437A" w:rsidRPr="000D52D3">
        <w:t>’</w:t>
      </w:r>
      <w:r w:rsidRPr="000D52D3">
        <w:t>activités planifiées, comme détaillé à l</w:t>
      </w:r>
      <w:r w:rsidR="00CB437A" w:rsidRPr="000D52D3">
        <w:t>’</w:t>
      </w:r>
      <w:r w:rsidRPr="000D52D3">
        <w:t>annexe V du présent document.</w:t>
      </w:r>
    </w:p>
    <w:p w14:paraId="3E627644" w14:textId="7FEF22A6" w:rsidR="00D16C79" w:rsidRPr="000D52D3" w:rsidRDefault="00D16C79" w:rsidP="00D16C79">
      <w:pPr>
        <w:pStyle w:val="1GAPara"/>
        <w:ind w:left="567" w:hanging="567"/>
        <w:jc w:val="both"/>
        <w:rPr>
          <w:bCs/>
        </w:rPr>
      </w:pPr>
      <w:r w:rsidRPr="000D52D3">
        <w:t xml:space="preserve">Au cours du dernier exercice biennal, cette ligne budgétaire a notamment été utilisée afin de soutenir </w:t>
      </w:r>
      <w:r w:rsidR="00124064" w:rsidRPr="000D52D3">
        <w:t xml:space="preserve">a permis de soutenir les </w:t>
      </w:r>
      <w:r w:rsidR="00124064" w:rsidRPr="000D52D3">
        <w:rPr>
          <w:b/>
        </w:rPr>
        <w:t>principaux aspects de la mise en œuvre de la Convention,</w:t>
      </w:r>
      <w:r w:rsidRPr="000D52D3">
        <w:t xml:space="preserve"> comme demandé par le Comité. Elle a notamment contribué à la </w:t>
      </w:r>
      <w:r w:rsidRPr="000D52D3">
        <w:rPr>
          <w:b/>
        </w:rPr>
        <w:t>bonne gouvernance de la Convention de 2003</w:t>
      </w:r>
      <w:r w:rsidRPr="000D52D3">
        <w:t xml:space="preserve"> grâce à un suivi précis et efficace de tous les mécanismes statutaires de la Convention, à un accès transparent à un large éventail d</w:t>
      </w:r>
      <w:r w:rsidR="00CB437A" w:rsidRPr="000D52D3">
        <w:t>’</w:t>
      </w:r>
      <w:r w:rsidRPr="000D52D3">
        <w:t>informations et à de meilleures synergies et interactions avec les différentes parties prenantes, notamment en encourageant une participation accrue des organisations non gouvernementales (ONG), et en soutenant le travail en ligne des organes directeurs et de l</w:t>
      </w:r>
      <w:r w:rsidR="00CB437A" w:rsidRPr="000D52D3">
        <w:t>’</w:t>
      </w:r>
      <w:r w:rsidRPr="000D52D3">
        <w:t>Organe d</w:t>
      </w:r>
      <w:r w:rsidR="00CB437A" w:rsidRPr="000D52D3">
        <w:t>’</w:t>
      </w:r>
      <w:r w:rsidRPr="000D52D3">
        <w:t>évaluation (Résultat escompté</w:t>
      </w:r>
      <w:r w:rsidR="0042677B" w:rsidRPr="000D52D3">
        <w:t> </w:t>
      </w:r>
      <w:r w:rsidRPr="000D52D3">
        <w:t xml:space="preserve">1). Les fonds ont </w:t>
      </w:r>
      <w:r w:rsidR="00124064" w:rsidRPr="000D52D3">
        <w:t>assuré un soutien essentiel</w:t>
      </w:r>
      <w:r w:rsidRPr="000D52D3">
        <w:t xml:space="preserve"> au </w:t>
      </w:r>
      <w:r w:rsidRPr="000D52D3">
        <w:rPr>
          <w:b/>
        </w:rPr>
        <w:t xml:space="preserve">programme </w:t>
      </w:r>
      <w:r w:rsidR="00124064" w:rsidRPr="000D52D3">
        <w:rPr>
          <w:b/>
        </w:rPr>
        <w:t xml:space="preserve">global </w:t>
      </w:r>
      <w:r w:rsidRPr="000D52D3">
        <w:rPr>
          <w:b/>
        </w:rPr>
        <w:t>de renforcement des capacités</w:t>
      </w:r>
      <w:r w:rsidRPr="000D52D3">
        <w:t xml:space="preserve"> </w:t>
      </w:r>
      <w:r w:rsidR="00124064" w:rsidRPr="000D52D3">
        <w:t xml:space="preserve">visant à </w:t>
      </w:r>
      <w:r w:rsidRPr="000D52D3">
        <w:t xml:space="preserve">soutenir les États et les communautés dans leur mise en œuvre de la Convention au niveau national </w:t>
      </w:r>
      <w:r w:rsidR="00124064" w:rsidRPr="000D52D3">
        <w:t xml:space="preserve">grâce à des </w:t>
      </w:r>
      <w:r w:rsidRPr="000D52D3">
        <w:t xml:space="preserve">partenariats institutionnels plus diversifiés, mais </w:t>
      </w:r>
      <w:r w:rsidR="00124064" w:rsidRPr="000D52D3">
        <w:t>également grâce à une</w:t>
      </w:r>
      <w:r w:rsidRPr="000D52D3">
        <w:t xml:space="preserve"> formation</w:t>
      </w:r>
      <w:r w:rsidR="00124064" w:rsidRPr="000D52D3">
        <w:t xml:space="preserve"> grâce à une formation au contenu et au format plus variés et répondant aux défis actuels </w:t>
      </w:r>
      <w:r w:rsidRPr="000D52D3">
        <w:t>(Résultat escompté</w:t>
      </w:r>
      <w:r w:rsidR="0042677B" w:rsidRPr="000D52D3">
        <w:t> </w:t>
      </w:r>
      <w:r w:rsidRPr="000D52D3">
        <w:t xml:space="preserve">2). En outre, dans le contexte du </w:t>
      </w:r>
      <w:r w:rsidRPr="000D52D3">
        <w:rPr>
          <w:b/>
        </w:rPr>
        <w:t>Programme de développement durable à l</w:t>
      </w:r>
      <w:r w:rsidR="00CB437A" w:rsidRPr="000D52D3">
        <w:rPr>
          <w:b/>
        </w:rPr>
        <w:t>’</w:t>
      </w:r>
      <w:r w:rsidRPr="000D52D3">
        <w:rPr>
          <w:b/>
        </w:rPr>
        <w:t>horizon 2030</w:t>
      </w:r>
      <w:r w:rsidRPr="000D52D3">
        <w:t>, des fonds ont été consacrés à l</w:t>
      </w:r>
      <w:r w:rsidR="00CB437A" w:rsidRPr="000D52D3">
        <w:t>’</w:t>
      </w:r>
      <w:r w:rsidRPr="000D52D3">
        <w:t xml:space="preserve">intégration du patrimoine culturel immatériel dans les plans, politiques </w:t>
      </w:r>
      <w:r w:rsidR="00124064" w:rsidRPr="000D52D3">
        <w:t xml:space="preserve">et programmes </w:t>
      </w:r>
      <w:r w:rsidRPr="000D52D3">
        <w:t>de développement, à une meilleure intégration du patrimoine vivant dans les programmes plus larges de l</w:t>
      </w:r>
      <w:r w:rsidR="00CB437A" w:rsidRPr="000D52D3">
        <w:t>’</w:t>
      </w:r>
      <w:r w:rsidRPr="000D52D3">
        <w:t>UNESCO et au renforcement de sa contribution à la réalisation des objectifs de développement durable (ODD), en particulier ceux qui concernent l</w:t>
      </w:r>
      <w:r w:rsidR="00CB437A" w:rsidRPr="000D52D3">
        <w:t>’</w:t>
      </w:r>
      <w:r w:rsidRPr="000D52D3">
        <w:t>éducation, le genre, le changement climatique, les peuples autochtones et la jeunesse (Résultat escompté</w:t>
      </w:r>
      <w:r w:rsidR="0042677B" w:rsidRPr="000D52D3">
        <w:t> </w:t>
      </w:r>
      <w:r w:rsidRPr="000D52D3">
        <w:t xml:space="preserve">3). Enfin, cette ligne budgétaire a </w:t>
      </w:r>
      <w:r w:rsidR="00124064" w:rsidRPr="000D52D3">
        <w:t xml:space="preserve">permis de soutenir </w:t>
      </w:r>
      <w:r w:rsidRPr="000D52D3">
        <w:t xml:space="preserve">des initiatives </w:t>
      </w:r>
      <w:r w:rsidR="00124064" w:rsidRPr="000D52D3">
        <w:t xml:space="preserve">visant à améliorer </w:t>
      </w:r>
      <w:r w:rsidRPr="000D52D3">
        <w:rPr>
          <w:b/>
        </w:rPr>
        <w:t>la visibilité de la Convention</w:t>
      </w:r>
      <w:r w:rsidRPr="000D52D3">
        <w:t xml:space="preserve">, </w:t>
      </w:r>
      <w:r w:rsidR="00124064" w:rsidRPr="000D52D3">
        <w:t>grâce à l</w:t>
      </w:r>
      <w:r w:rsidR="00CB437A" w:rsidRPr="000D52D3">
        <w:t>’</w:t>
      </w:r>
      <w:r w:rsidR="00124064" w:rsidRPr="000D52D3">
        <w:t>élaboration d</w:t>
      </w:r>
      <w:r w:rsidR="00CB437A" w:rsidRPr="000D52D3">
        <w:t>’</w:t>
      </w:r>
      <w:r w:rsidR="00124064" w:rsidRPr="000D52D3">
        <w:t xml:space="preserve">interfaces </w:t>
      </w:r>
      <w:r w:rsidR="00124064" w:rsidRPr="000D52D3">
        <w:lastRenderedPageBreak/>
        <w:t>et d</w:t>
      </w:r>
      <w:r w:rsidR="00CB437A" w:rsidRPr="000D52D3">
        <w:t>’</w:t>
      </w:r>
      <w:r w:rsidR="00124064" w:rsidRPr="000D52D3">
        <w:t xml:space="preserve">outils interactifs mis à disposition sur le site Internet de la Convention et à </w:t>
      </w:r>
      <w:r w:rsidRPr="000D52D3">
        <w:t>des actions de communication (Résultat escompté</w:t>
      </w:r>
      <w:r w:rsidR="0042677B" w:rsidRPr="000D52D3">
        <w:t> </w:t>
      </w:r>
      <w:r w:rsidRPr="000D52D3">
        <w:t xml:space="preserve">4). </w:t>
      </w:r>
    </w:p>
    <w:p w14:paraId="05744D46" w14:textId="4E1669CD" w:rsidR="0011690A" w:rsidRPr="000D52D3" w:rsidRDefault="0011690A" w:rsidP="0011690A">
      <w:pPr>
        <w:pStyle w:val="1GAPara"/>
        <w:ind w:left="567" w:hanging="567"/>
        <w:jc w:val="both"/>
        <w:rPr>
          <w:rFonts w:cs="Times New Roman"/>
        </w:rPr>
      </w:pPr>
      <w:r w:rsidRPr="000D52D3">
        <w:t>Suite à la recommandation de la Division du service d</w:t>
      </w:r>
      <w:r w:rsidR="00CB437A" w:rsidRPr="000D52D3">
        <w:t>’</w:t>
      </w:r>
      <w:r w:rsidRPr="000D52D3">
        <w:t>évaluation et d</w:t>
      </w:r>
      <w:r w:rsidR="00CB437A" w:rsidRPr="000D52D3">
        <w:t>’</w:t>
      </w:r>
      <w:r w:rsidRPr="000D52D3">
        <w:t xml:space="preserve">audit dans son audit des méthodes de travail des conventions </w:t>
      </w:r>
      <w:r w:rsidR="00124064" w:rsidRPr="000D52D3">
        <w:t>culturelles</w:t>
      </w:r>
      <w:r w:rsidRPr="000D52D3">
        <w:t xml:space="preserve"> (</w:t>
      </w:r>
      <w:hyperlink r:id="rId27" w:history="1">
        <w:r w:rsidRPr="000D52D3">
          <w:rPr>
            <w:rStyle w:val="Hyperlink"/>
          </w:rPr>
          <w:t>IOS/AUD/2013/06</w:t>
        </w:r>
      </w:hyperlink>
      <w:r w:rsidRPr="000D52D3">
        <w:t>), le Comité a demandé au Secrétariat d</w:t>
      </w:r>
      <w:r w:rsidR="00CB437A" w:rsidRPr="000D52D3">
        <w:t>’</w:t>
      </w:r>
      <w:r w:rsidRPr="000D52D3">
        <w:t xml:space="preserve">appliquer la politique de recouvrement des coûts de manière </w:t>
      </w:r>
      <w:r w:rsidR="00124064" w:rsidRPr="000D52D3">
        <w:t xml:space="preserve">systématique dans le cadre de </w:t>
      </w:r>
      <w:r w:rsidRPr="000D52D3">
        <w:t>de l</w:t>
      </w:r>
      <w:r w:rsidR="00CB437A" w:rsidRPr="000D52D3">
        <w:t>’</w:t>
      </w:r>
      <w:r w:rsidRPr="000D52D3">
        <w:t>utilisation des ressources du Fonds (Décision</w:t>
      </w:r>
      <w:r w:rsidR="0042677B" w:rsidRPr="000D52D3">
        <w:t> </w:t>
      </w:r>
      <w:hyperlink r:id="rId28" w:history="1">
        <w:r w:rsidRPr="000D52D3">
          <w:rPr>
            <w:rStyle w:val="Hyperlink"/>
          </w:rPr>
          <w:t>8.COM</w:t>
        </w:r>
        <w:r w:rsidR="00124064" w:rsidRPr="000D52D3">
          <w:rPr>
            <w:rStyle w:val="Hyperlink"/>
          </w:rPr>
          <w:t> </w:t>
        </w:r>
        <w:r w:rsidRPr="000D52D3">
          <w:rPr>
            <w:rStyle w:val="Hyperlink"/>
          </w:rPr>
          <w:t>11</w:t>
        </w:r>
      </w:hyperlink>
      <w:r w:rsidRPr="000D52D3">
        <w:t xml:space="preserve">). </w:t>
      </w:r>
      <w:r w:rsidR="00124064" w:rsidRPr="000D52D3">
        <w:t xml:space="preserve">Par </w:t>
      </w:r>
      <w:r w:rsidRPr="000D52D3">
        <w:t>conséquen</w:t>
      </w:r>
      <w:r w:rsidR="00124064" w:rsidRPr="000D52D3">
        <w:t>t</w:t>
      </w:r>
      <w:r w:rsidRPr="000D52D3">
        <w:t xml:space="preserve">, et comme </w:t>
      </w:r>
      <w:r w:rsidR="00124064" w:rsidRPr="000D52D3">
        <w:t xml:space="preserve">stipulé </w:t>
      </w:r>
      <w:r w:rsidRPr="000D52D3">
        <w:t>à l</w:t>
      </w:r>
      <w:r w:rsidR="00CB437A" w:rsidRPr="000D52D3">
        <w:t>’</w:t>
      </w:r>
      <w:r w:rsidRPr="000D52D3">
        <w:t>article</w:t>
      </w:r>
      <w:r w:rsidR="0042677B" w:rsidRPr="000D52D3">
        <w:t> </w:t>
      </w:r>
      <w:r w:rsidRPr="000D52D3">
        <w:t xml:space="preserve">5.2 du Règlement financier du Fonds, </w:t>
      </w:r>
      <w:r w:rsidR="00124064" w:rsidRPr="000D52D3">
        <w:t xml:space="preserve">les dépenses directes en rapport avec leur mise en œuvre ont été imputées aux lignes budgétaires 1 à 3. </w:t>
      </w:r>
    </w:p>
    <w:p w14:paraId="4D7055F9" w14:textId="259C13E1" w:rsidR="0011690A" w:rsidRPr="000D52D3" w:rsidRDefault="0011690A" w:rsidP="0011690A">
      <w:pPr>
        <w:pStyle w:val="COMPara"/>
        <w:keepNext/>
        <w:ind w:left="567" w:firstLine="0"/>
        <w:rPr>
          <w:b/>
          <w:bCs/>
        </w:rPr>
      </w:pPr>
      <w:r w:rsidRPr="000D52D3">
        <w:rPr>
          <w:b/>
        </w:rPr>
        <w:t xml:space="preserve">Services consultatifs </w:t>
      </w:r>
      <w:r w:rsidR="001743BE" w:rsidRPr="000D52D3">
        <w:rPr>
          <w:b/>
        </w:rPr>
        <w:t xml:space="preserve">pour le </w:t>
      </w:r>
      <w:r w:rsidRPr="000D52D3">
        <w:rPr>
          <w:b/>
        </w:rPr>
        <w:t>Comité</w:t>
      </w:r>
    </w:p>
    <w:p w14:paraId="41EA0A1E" w14:textId="26F45D6A" w:rsidR="002220AB" w:rsidRPr="000D52D3" w:rsidRDefault="0027376A" w:rsidP="002220AB">
      <w:pPr>
        <w:pStyle w:val="1GAPara"/>
        <w:ind w:left="567" w:hanging="567"/>
        <w:jc w:val="both"/>
      </w:pPr>
      <w:r w:rsidRPr="000D52D3">
        <w:t>L</w:t>
      </w:r>
      <w:r w:rsidR="00CB437A" w:rsidRPr="000D52D3">
        <w:t>’</w:t>
      </w:r>
      <w:r w:rsidRPr="000D52D3">
        <w:t>exercice</w:t>
      </w:r>
      <w:r w:rsidR="0042677B" w:rsidRPr="000D52D3">
        <w:t> </w:t>
      </w:r>
      <w:r w:rsidRPr="000D52D3">
        <w:t>2020</w:t>
      </w:r>
      <w:r w:rsidR="002A0B78">
        <w:rPr>
          <w:rFonts w:asciiTheme="minorBidi" w:hAnsiTheme="minorBidi"/>
        </w:rPr>
        <w:t>–</w:t>
      </w:r>
      <w:r w:rsidRPr="000D52D3">
        <w:t xml:space="preserve">2021 a été marqué par la pandémie de COVID-19, qui a empêché la plupart des réunions statutaires de se tenir </w:t>
      </w:r>
      <w:r w:rsidRPr="000D52D3">
        <w:rPr>
          <w:i/>
        </w:rPr>
        <w:t>in</w:t>
      </w:r>
      <w:r w:rsidRPr="000D52D3">
        <w:t xml:space="preserve"> </w:t>
      </w:r>
      <w:r w:rsidRPr="000D52D3">
        <w:rPr>
          <w:i/>
        </w:rPr>
        <w:t>presentia</w:t>
      </w:r>
      <w:r w:rsidRPr="000D52D3">
        <w:t>. Ce fut notamment le cas pour</w:t>
      </w:r>
      <w:r w:rsidRPr="000D52D3">
        <w:rPr>
          <w:i/>
        </w:rPr>
        <w:t xml:space="preserve"> </w:t>
      </w:r>
      <w:r w:rsidRPr="000D52D3">
        <w:t>les quinzième et seizième sessions du Comité, qui se sont entièrement déroulées sous forme virtuelle du 14 au 19</w:t>
      </w:r>
      <w:r w:rsidR="0042677B" w:rsidRPr="000D52D3">
        <w:t> </w:t>
      </w:r>
      <w:r w:rsidRPr="000D52D3">
        <w:t>décembre 2020 et du 13 au 18</w:t>
      </w:r>
      <w:r w:rsidR="0042677B" w:rsidRPr="000D52D3">
        <w:t> </w:t>
      </w:r>
      <w:r w:rsidRPr="000D52D3">
        <w:t>décembre 2021, respectivement. Pour des raisons similaires, l</w:t>
      </w:r>
      <w:r w:rsidR="00CB437A" w:rsidRPr="000D52D3">
        <w:t>’</w:t>
      </w:r>
      <w:r w:rsidRPr="000D52D3">
        <w:t>Organe d</w:t>
      </w:r>
      <w:r w:rsidR="00CB437A" w:rsidRPr="000D52D3">
        <w:t>’</w:t>
      </w:r>
      <w:r w:rsidRPr="000D52D3">
        <w:t>évaluation</w:t>
      </w:r>
      <w:r w:rsidR="0042677B" w:rsidRPr="000D52D3">
        <w:t> </w:t>
      </w:r>
      <w:r w:rsidRPr="000D52D3">
        <w:t>2020 et 2021 a ajusté ses méthodes de travail, l</w:t>
      </w:r>
      <w:r w:rsidR="00CB437A" w:rsidRPr="000D52D3">
        <w:t>’</w:t>
      </w:r>
      <w:r w:rsidRPr="000D52D3">
        <w:t>Organe</w:t>
      </w:r>
      <w:r w:rsidR="0042677B" w:rsidRPr="000D52D3">
        <w:t> </w:t>
      </w:r>
      <w:r w:rsidRPr="000D52D3">
        <w:t>2020 se réunissant principalement en ligne (à l</w:t>
      </w:r>
      <w:r w:rsidR="00CB437A" w:rsidRPr="000D52D3">
        <w:t>’</w:t>
      </w:r>
      <w:r w:rsidRPr="000D52D3">
        <w:t>exception de sa première réunion au siège de l</w:t>
      </w:r>
      <w:r w:rsidR="00CB437A" w:rsidRPr="000D52D3">
        <w:t>’</w:t>
      </w:r>
      <w:r w:rsidRPr="000D52D3">
        <w:t>UNESCO les 27 et 28</w:t>
      </w:r>
      <w:r w:rsidR="0042677B" w:rsidRPr="000D52D3">
        <w:t> </w:t>
      </w:r>
      <w:r w:rsidRPr="000D52D3">
        <w:t>février 2020), tandis que l</w:t>
      </w:r>
      <w:r w:rsidR="00CB437A" w:rsidRPr="000D52D3">
        <w:t>’</w:t>
      </w:r>
      <w:r w:rsidRPr="000D52D3">
        <w:t>Organe</w:t>
      </w:r>
      <w:r w:rsidR="0042677B" w:rsidRPr="000D52D3">
        <w:t> </w:t>
      </w:r>
      <w:r w:rsidR="00CB437A" w:rsidRPr="000D52D3">
        <w:t xml:space="preserve">d’évaluation </w:t>
      </w:r>
      <w:r w:rsidRPr="000D52D3">
        <w:t>2021 a mené l</w:t>
      </w:r>
      <w:r w:rsidR="00CB437A" w:rsidRPr="000D52D3">
        <w:t>’</w:t>
      </w:r>
      <w:r w:rsidRPr="000D52D3">
        <w:t xml:space="preserve">intégralité de ses travaux par des moyens virtuels, y compris ses trois réunions en ligne en 2021. </w:t>
      </w:r>
      <w:r w:rsidRPr="000D52D3">
        <w:rPr>
          <w:b/>
        </w:rPr>
        <w:t>Les lignes budgétaires</w:t>
      </w:r>
      <w:r w:rsidR="0042677B" w:rsidRPr="000D52D3">
        <w:rPr>
          <w:b/>
        </w:rPr>
        <w:t> </w:t>
      </w:r>
      <w:r w:rsidRPr="000D52D3">
        <w:rPr>
          <w:b/>
        </w:rPr>
        <w:t>4, 5 et 6</w:t>
      </w:r>
      <w:r w:rsidRPr="000D52D3">
        <w:t xml:space="preserve"> sont presque exclusivement destinées à couvrir les frais de déplacement des experts et des organisations non gouvernementales (ONG) pour les sessions </w:t>
      </w:r>
      <w:r w:rsidRPr="000D52D3">
        <w:rPr>
          <w:i/>
        </w:rPr>
        <w:t>in presentia</w:t>
      </w:r>
      <w:r w:rsidRPr="000D52D3">
        <w:t xml:space="preserve"> du Comité et les réunions de l</w:t>
      </w:r>
      <w:r w:rsidR="00CB437A" w:rsidRPr="000D52D3">
        <w:t>’</w:t>
      </w:r>
      <w:r w:rsidRPr="000D52D3">
        <w:t>Organe d</w:t>
      </w:r>
      <w:r w:rsidR="00CB437A" w:rsidRPr="000D52D3">
        <w:t>’</w:t>
      </w:r>
      <w:r w:rsidRPr="000D52D3">
        <w:t>évaluation. L</w:t>
      </w:r>
      <w:r w:rsidR="00CB437A" w:rsidRPr="000D52D3">
        <w:t>’</w:t>
      </w:r>
      <w:r w:rsidRPr="000D52D3">
        <w:t>organisation de ces réunions en ligne explique donc le taux de mise en œuvre exceptionnellement faible de ces trois lignes budgétaires. Pour ces trois lignes, les dépenses encourues comprennent également les frais d</w:t>
      </w:r>
      <w:r w:rsidR="00CB437A" w:rsidRPr="000D52D3">
        <w:t>’</w:t>
      </w:r>
      <w:r w:rsidRPr="000D52D3">
        <w:t xml:space="preserve">annulation des déplacements des experts et des ONG qui auraient dû assister à la seizième session du Comité en 2021, initialement prévue </w:t>
      </w:r>
      <w:r w:rsidRPr="000D52D3">
        <w:rPr>
          <w:i/>
        </w:rPr>
        <w:t>in presentia</w:t>
      </w:r>
      <w:r w:rsidRPr="000D52D3">
        <w:t xml:space="preserve"> au siège de l</w:t>
      </w:r>
      <w:r w:rsidR="00CB437A" w:rsidRPr="000D52D3">
        <w:t>’</w:t>
      </w:r>
      <w:r w:rsidRPr="000D52D3">
        <w:t>UNESCO, et qui s</w:t>
      </w:r>
      <w:r w:rsidR="00CB437A" w:rsidRPr="000D52D3">
        <w:t>’</w:t>
      </w:r>
      <w:r w:rsidRPr="000D52D3">
        <w:t>est finalement tenue en ligne.</w:t>
      </w:r>
    </w:p>
    <w:p w14:paraId="44A24842" w14:textId="6A544A55" w:rsidR="00CD5C47" w:rsidRPr="000D52D3" w:rsidRDefault="006426D1" w:rsidP="00FA5C72">
      <w:pPr>
        <w:pStyle w:val="COMPara"/>
        <w:numPr>
          <w:ilvl w:val="0"/>
          <w:numId w:val="9"/>
        </w:numPr>
        <w:tabs>
          <w:tab w:val="left" w:pos="567"/>
        </w:tabs>
        <w:ind w:left="567" w:hanging="567"/>
        <w:jc w:val="both"/>
      </w:pPr>
      <w:r w:rsidRPr="000D52D3">
        <w:rPr>
          <w:b/>
        </w:rPr>
        <w:t>La ligne budgétaire</w:t>
      </w:r>
      <w:r w:rsidR="0042677B" w:rsidRPr="000D52D3">
        <w:rPr>
          <w:b/>
        </w:rPr>
        <w:t> </w:t>
      </w:r>
      <w:r w:rsidRPr="000D52D3">
        <w:rPr>
          <w:b/>
        </w:rPr>
        <w:t xml:space="preserve">4 </w:t>
      </w:r>
      <w:r w:rsidRPr="000D52D3">
        <w:t>(2,63</w:t>
      </w:r>
      <w:r w:rsidR="0042677B" w:rsidRPr="000D52D3">
        <w:t> </w:t>
      </w:r>
      <w:r w:rsidRPr="000D52D3">
        <w:t>% du Plan approuvé), qui sert à financer la participation d</w:t>
      </w:r>
      <w:r w:rsidR="00CB437A" w:rsidRPr="000D52D3">
        <w:t>’</w:t>
      </w:r>
      <w:r w:rsidRPr="000D52D3">
        <w:t xml:space="preserve">experts représentants des États en développement membres du Comité, de son Bureau et des organes subsidiaires à ses sessions, atteint </w:t>
      </w:r>
      <w:r w:rsidR="00124064" w:rsidRPr="000D52D3">
        <w:t>6,6</w:t>
      </w:r>
      <w:r w:rsidR="0042677B" w:rsidRPr="000D52D3">
        <w:t> </w:t>
      </w:r>
      <w:r w:rsidRPr="000D52D3">
        <w:t xml:space="preserve">%. </w:t>
      </w:r>
    </w:p>
    <w:p w14:paraId="7741E6A9" w14:textId="4AD8C3B7" w:rsidR="006426D1" w:rsidRPr="000D52D3" w:rsidRDefault="006426D1" w:rsidP="006426D1">
      <w:pPr>
        <w:pStyle w:val="COMPara"/>
        <w:numPr>
          <w:ilvl w:val="0"/>
          <w:numId w:val="9"/>
        </w:numPr>
        <w:tabs>
          <w:tab w:val="left" w:pos="567"/>
        </w:tabs>
        <w:ind w:left="567" w:hanging="567"/>
        <w:jc w:val="both"/>
      </w:pPr>
      <w:r w:rsidRPr="000D52D3">
        <w:t xml:space="preserve">Le taux des dépenses de la </w:t>
      </w:r>
      <w:r w:rsidRPr="000D52D3">
        <w:rPr>
          <w:b/>
        </w:rPr>
        <w:t>ligne budgétaire</w:t>
      </w:r>
      <w:r w:rsidR="0042677B" w:rsidRPr="000D52D3">
        <w:rPr>
          <w:b/>
        </w:rPr>
        <w:t> </w:t>
      </w:r>
      <w:r w:rsidRPr="000D52D3">
        <w:rPr>
          <w:b/>
        </w:rPr>
        <w:t>5</w:t>
      </w:r>
      <w:r w:rsidRPr="000D52D3">
        <w:t xml:space="preserve"> (3,31</w:t>
      </w:r>
      <w:r w:rsidR="0042677B" w:rsidRPr="000D52D3">
        <w:t> </w:t>
      </w:r>
      <w:r w:rsidRPr="000D52D3">
        <w:t>% du Plan approuvé), consacrées à faciliter la participation d</w:t>
      </w:r>
      <w:r w:rsidR="00CB437A" w:rsidRPr="000D52D3">
        <w:t>’</w:t>
      </w:r>
      <w:r w:rsidRPr="000D52D3">
        <w:t>experts des États Parties en développement non</w:t>
      </w:r>
      <w:r w:rsidR="00124064" w:rsidRPr="000D52D3">
        <w:t xml:space="preserve"> </w:t>
      </w:r>
      <w:r w:rsidRPr="000D52D3">
        <w:t>membres du Comité aux sessions du Comité et de ceux siégeant dans l</w:t>
      </w:r>
      <w:r w:rsidR="00CB437A" w:rsidRPr="000D52D3">
        <w:t>’</w:t>
      </w:r>
      <w:r w:rsidRPr="000D52D3">
        <w:t>Organe d</w:t>
      </w:r>
      <w:r w:rsidR="00CB437A" w:rsidRPr="000D52D3">
        <w:t>’</w:t>
      </w:r>
      <w:r w:rsidRPr="000D52D3">
        <w:t>évaluation aux réunions de l</w:t>
      </w:r>
      <w:r w:rsidR="00CB437A" w:rsidRPr="000D52D3">
        <w:t>’</w:t>
      </w:r>
      <w:r w:rsidRPr="000D52D3">
        <w:t>Organe, s</w:t>
      </w:r>
      <w:r w:rsidR="00CB437A" w:rsidRPr="000D52D3">
        <w:t>’</w:t>
      </w:r>
      <w:r w:rsidRPr="000D52D3">
        <w:t>élève à 1</w:t>
      </w:r>
      <w:r w:rsidR="00124064" w:rsidRPr="000D52D3">
        <w:t>,2</w:t>
      </w:r>
      <w:r w:rsidR="0042677B" w:rsidRPr="000D52D3">
        <w:t> </w:t>
      </w:r>
      <w:r w:rsidRPr="000D52D3">
        <w:t>%. Les dé</w:t>
      </w:r>
      <w:r w:rsidR="00A8015B" w:rsidRPr="000D52D3">
        <w:t>penses</w:t>
      </w:r>
      <w:r w:rsidRPr="000D52D3">
        <w:t xml:space="preserve"> ont couvert les frais de participation d</w:t>
      </w:r>
      <w:r w:rsidR="00CB437A" w:rsidRPr="000D52D3">
        <w:t>’</w:t>
      </w:r>
      <w:r w:rsidRPr="000D52D3">
        <w:t xml:space="preserve">un expert à la seule réunion </w:t>
      </w:r>
      <w:r w:rsidRPr="000D52D3">
        <w:rPr>
          <w:i/>
        </w:rPr>
        <w:t>in presentia</w:t>
      </w:r>
      <w:r w:rsidRPr="000D52D3">
        <w:t xml:space="preserve"> de l</w:t>
      </w:r>
      <w:r w:rsidR="00CB437A" w:rsidRPr="000D52D3">
        <w:t>’</w:t>
      </w:r>
      <w:r w:rsidRPr="000D52D3">
        <w:t>Organe d</w:t>
      </w:r>
      <w:r w:rsidR="00CB437A" w:rsidRPr="000D52D3">
        <w:t>’</w:t>
      </w:r>
      <w:r w:rsidRPr="000D52D3">
        <w:t>évaluation de 2020.</w:t>
      </w:r>
    </w:p>
    <w:p w14:paraId="363AC6B3" w14:textId="546340E4" w:rsidR="006426D1" w:rsidRPr="000D52D3" w:rsidRDefault="006426D1" w:rsidP="006426D1">
      <w:pPr>
        <w:pStyle w:val="COMPara"/>
        <w:numPr>
          <w:ilvl w:val="0"/>
          <w:numId w:val="9"/>
        </w:numPr>
        <w:tabs>
          <w:tab w:val="left" w:pos="567"/>
        </w:tabs>
        <w:ind w:left="567" w:hanging="567"/>
        <w:jc w:val="both"/>
      </w:pPr>
      <w:r w:rsidRPr="000D52D3">
        <w:rPr>
          <w:b/>
        </w:rPr>
        <w:t>La ligne budgétaire</w:t>
      </w:r>
      <w:r w:rsidR="0042677B" w:rsidRPr="000D52D3">
        <w:rPr>
          <w:b/>
        </w:rPr>
        <w:t> </w:t>
      </w:r>
      <w:r w:rsidRPr="000D52D3">
        <w:rPr>
          <w:b/>
        </w:rPr>
        <w:t xml:space="preserve">6 </w:t>
      </w:r>
      <w:r w:rsidRPr="000D52D3">
        <w:t>(3,31</w:t>
      </w:r>
      <w:r w:rsidR="0042677B" w:rsidRPr="000D52D3">
        <w:t> </w:t>
      </w:r>
      <w:r w:rsidRPr="000D52D3">
        <w:t>% du Plan approuvé) vise à faciliter la participation des ONG aux sessions du Comité et aux réunions de l</w:t>
      </w:r>
      <w:r w:rsidR="00CB437A" w:rsidRPr="000D52D3">
        <w:t>’</w:t>
      </w:r>
      <w:r w:rsidRPr="000D52D3">
        <w:t>Organe d</w:t>
      </w:r>
      <w:r w:rsidR="00CB437A" w:rsidRPr="000D52D3">
        <w:t>’</w:t>
      </w:r>
      <w:r w:rsidRPr="000D52D3">
        <w:t xml:space="preserve">évaluation. Le taux de dépenses de </w:t>
      </w:r>
      <w:r w:rsidR="00124064" w:rsidRPr="000D52D3">
        <w:t>12,6 </w:t>
      </w:r>
      <w:r w:rsidRPr="000D52D3">
        <w:t>% reflète les coûts de participation des six ONG accréditées siégeant au sein de l</w:t>
      </w:r>
      <w:r w:rsidR="00CB437A" w:rsidRPr="000D52D3">
        <w:t>’</w:t>
      </w:r>
      <w:r w:rsidRPr="000D52D3">
        <w:t>Organe d</w:t>
      </w:r>
      <w:r w:rsidR="00CB437A" w:rsidRPr="000D52D3">
        <w:t>’</w:t>
      </w:r>
      <w:r w:rsidRPr="000D52D3">
        <w:t>évaluation en 2020. En outre, cette ligne budgétaire a couvert les frais de déplacement au siège de l</w:t>
      </w:r>
      <w:r w:rsidR="00CB437A" w:rsidRPr="000D52D3">
        <w:t>’</w:t>
      </w:r>
      <w:r w:rsidRPr="000D52D3">
        <w:t xml:space="preserve">UNESCO du </w:t>
      </w:r>
      <w:r w:rsidR="00124064" w:rsidRPr="000D52D3">
        <w:t>Pr</w:t>
      </w:r>
      <w:r w:rsidRPr="000D52D3">
        <w:t>ésident de la seizième session du Comité.</w:t>
      </w:r>
    </w:p>
    <w:p w14:paraId="07E58AB0" w14:textId="0A245A84" w:rsidR="006426D1" w:rsidRPr="000D52D3" w:rsidRDefault="006426D1" w:rsidP="00A8015B">
      <w:pPr>
        <w:pStyle w:val="COMPara"/>
        <w:keepLines/>
        <w:numPr>
          <w:ilvl w:val="0"/>
          <w:numId w:val="9"/>
        </w:numPr>
        <w:tabs>
          <w:tab w:val="left" w:pos="567"/>
        </w:tabs>
        <w:ind w:left="567" w:hanging="567"/>
        <w:jc w:val="both"/>
      </w:pPr>
      <w:r w:rsidRPr="000D52D3">
        <w:rPr>
          <w:b/>
        </w:rPr>
        <w:t>La ligne budgétaire</w:t>
      </w:r>
      <w:r w:rsidR="0042677B" w:rsidRPr="000D52D3">
        <w:rPr>
          <w:b/>
        </w:rPr>
        <w:t> </w:t>
      </w:r>
      <w:r w:rsidRPr="000D52D3">
        <w:rPr>
          <w:b/>
        </w:rPr>
        <w:t>7</w:t>
      </w:r>
      <w:r w:rsidRPr="000D52D3">
        <w:t xml:space="preserve"> (6</w:t>
      </w:r>
      <w:r w:rsidR="0042677B" w:rsidRPr="000D52D3">
        <w:t> </w:t>
      </w:r>
      <w:r w:rsidRPr="000D52D3">
        <w:t>% du Plan approuvé) affiche un taux de dépenses de 43</w:t>
      </w:r>
      <w:r w:rsidR="00124064" w:rsidRPr="000D52D3">
        <w:t>,3</w:t>
      </w:r>
      <w:r w:rsidR="0042677B" w:rsidRPr="000D52D3">
        <w:t> </w:t>
      </w:r>
      <w:r w:rsidRPr="000D52D3">
        <w:t>%, correspondant aux honoraires des membres éligibles de l</w:t>
      </w:r>
      <w:r w:rsidR="00CB437A" w:rsidRPr="000D52D3">
        <w:t>’</w:t>
      </w:r>
      <w:r w:rsidRPr="000D52D3">
        <w:t>Organe d</w:t>
      </w:r>
      <w:r w:rsidR="00CB437A" w:rsidRPr="000D52D3">
        <w:t>’</w:t>
      </w:r>
      <w:r w:rsidRPr="000D52D3">
        <w:t>évaluation (neuf en 2020 et huit en 2021) ainsi qu</w:t>
      </w:r>
      <w:r w:rsidR="00CB437A" w:rsidRPr="000D52D3">
        <w:t>’</w:t>
      </w:r>
      <w:r w:rsidRPr="000D52D3">
        <w:t xml:space="preserve">aux honoraires versés aux </w:t>
      </w:r>
      <w:r w:rsidR="00124064" w:rsidRPr="000D52D3">
        <w:t>R</w:t>
      </w:r>
      <w:r w:rsidRPr="000D52D3">
        <w:t>apporteurs de l</w:t>
      </w:r>
      <w:r w:rsidR="00CB437A" w:rsidRPr="000D52D3">
        <w:t>’</w:t>
      </w:r>
      <w:r w:rsidRPr="000D52D3">
        <w:t>Organe pour les tâches supplémentaires qu</w:t>
      </w:r>
      <w:r w:rsidR="00CB437A" w:rsidRPr="000D52D3">
        <w:t>’</w:t>
      </w:r>
      <w:r w:rsidRPr="000D52D3">
        <w:t xml:space="preserve">ils ont effectuées. Ce taux reste relativement faible </w:t>
      </w:r>
      <w:r w:rsidR="00A8015B" w:rsidRPr="000D52D3">
        <w:t>–</w:t>
      </w:r>
      <w:r w:rsidRPr="000D52D3">
        <w:t xml:space="preserve"> en</w:t>
      </w:r>
      <w:r w:rsidR="00A8015B" w:rsidRPr="000D52D3">
        <w:t xml:space="preserve"> </w:t>
      </w:r>
      <w:r w:rsidRPr="000D52D3">
        <w:t xml:space="preserve">ligne avec les exercices précédents </w:t>
      </w:r>
      <w:r w:rsidR="00A8015B" w:rsidRPr="000D52D3">
        <w:t>–</w:t>
      </w:r>
      <w:r w:rsidRPr="000D52D3">
        <w:t xml:space="preserve"> en</w:t>
      </w:r>
      <w:r w:rsidR="00A8015B" w:rsidRPr="000D52D3">
        <w:t xml:space="preserve"> </w:t>
      </w:r>
      <w:r w:rsidRPr="000D52D3">
        <w:t>raison de la nécessité d</w:t>
      </w:r>
      <w:r w:rsidR="00CB437A" w:rsidRPr="000D52D3">
        <w:t>’</w:t>
      </w:r>
      <w:r w:rsidRPr="000D52D3">
        <w:t>établir le contrat des membres de l</w:t>
      </w:r>
      <w:r w:rsidR="00CB437A" w:rsidRPr="000D52D3">
        <w:t>’</w:t>
      </w:r>
      <w:r w:rsidRPr="000D52D3">
        <w:t>Organe d</w:t>
      </w:r>
      <w:r w:rsidR="00CB437A" w:rsidRPr="000D52D3">
        <w:t>’</w:t>
      </w:r>
      <w:r w:rsidRPr="000D52D3">
        <w:t>évaluation au début du cycle d</w:t>
      </w:r>
      <w:r w:rsidR="00CB437A" w:rsidRPr="000D52D3">
        <w:t>’</w:t>
      </w:r>
      <w:r w:rsidRPr="000D52D3">
        <w:t>évaluation, lorsque seul un quart du budget total est disponible.</w:t>
      </w:r>
    </w:p>
    <w:p w14:paraId="0894E84B" w14:textId="5C0F5D56" w:rsidR="000D7979" w:rsidRPr="000D52D3" w:rsidRDefault="000D7979">
      <w:pPr>
        <w:spacing w:after="0"/>
      </w:pPr>
      <w:r w:rsidRPr="000D52D3">
        <w:br w:type="page"/>
      </w:r>
    </w:p>
    <w:p w14:paraId="7FDDACFE" w14:textId="77777777" w:rsidR="000D7979" w:rsidRPr="000D52D3" w:rsidRDefault="000D7979" w:rsidP="000D7979">
      <w:pPr>
        <w:pStyle w:val="ListParagraph"/>
        <w:numPr>
          <w:ilvl w:val="0"/>
          <w:numId w:val="0"/>
        </w:numPr>
        <w:jc w:val="center"/>
        <w:rPr>
          <w:b/>
          <w:u w:val="single"/>
        </w:rPr>
      </w:pPr>
      <w:bookmarkStart w:id="5" w:name="AnnexeI"/>
      <w:bookmarkEnd w:id="5"/>
      <w:r w:rsidRPr="000D52D3">
        <w:rPr>
          <w:b/>
          <w:u w:val="single"/>
        </w:rPr>
        <w:lastRenderedPageBreak/>
        <w:t>ANNEXE I</w:t>
      </w:r>
    </w:p>
    <w:p w14:paraId="76429311" w14:textId="7B10ECE4" w:rsidR="000D7979" w:rsidRPr="000D52D3" w:rsidRDefault="00E109AC" w:rsidP="000D7979">
      <w:pPr>
        <w:pStyle w:val="ListParagraph"/>
        <w:numPr>
          <w:ilvl w:val="0"/>
          <w:numId w:val="0"/>
        </w:numPr>
        <w:jc w:val="right"/>
        <w:rPr>
          <w:bCs/>
        </w:rPr>
      </w:pPr>
      <w:r w:rsidRPr="000D52D3">
        <w:t>État financier</w:t>
      </w:r>
      <w:r w:rsidR="000D7979" w:rsidRPr="000D52D3">
        <w:t xml:space="preserve"> I</w:t>
      </w:r>
    </w:p>
    <w:p w14:paraId="3B630D51" w14:textId="2E0C702C" w:rsidR="00EC1771" w:rsidRPr="000D52D3" w:rsidRDefault="00EC1771">
      <w:pPr>
        <w:spacing w:after="0"/>
      </w:pPr>
    </w:p>
    <w:p w14:paraId="026BEFB7" w14:textId="2E381277" w:rsidR="00290D70" w:rsidRPr="000D52D3" w:rsidRDefault="00290D70" w:rsidP="00E06A59">
      <w:pPr>
        <w:spacing w:after="0"/>
        <w:jc w:val="center"/>
      </w:pPr>
      <w:r w:rsidRPr="000D52D3">
        <w:rPr>
          <w:noProof/>
        </w:rPr>
        <w:drawing>
          <wp:inline distT="0" distB="0" distL="0" distR="0" wp14:anchorId="6E1D8518" wp14:editId="586325DC">
            <wp:extent cx="6120130" cy="5588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5588635"/>
                    </a:xfrm>
                    <a:prstGeom prst="rect">
                      <a:avLst/>
                    </a:prstGeom>
                    <a:noFill/>
                    <a:ln>
                      <a:noFill/>
                    </a:ln>
                  </pic:spPr>
                </pic:pic>
              </a:graphicData>
            </a:graphic>
          </wp:inline>
        </w:drawing>
      </w:r>
    </w:p>
    <w:p w14:paraId="0FDFE439" w14:textId="77777777" w:rsidR="00290D70" w:rsidRPr="000D52D3" w:rsidRDefault="00290D70">
      <w:pPr>
        <w:spacing w:after="0"/>
      </w:pPr>
      <w:r w:rsidRPr="000D52D3">
        <w:br w:type="page"/>
      </w:r>
    </w:p>
    <w:p w14:paraId="310A3FFC" w14:textId="77777777" w:rsidR="00EC1771" w:rsidRPr="000D52D3" w:rsidRDefault="00EC1771">
      <w:pPr>
        <w:spacing w:after="0"/>
      </w:pPr>
    </w:p>
    <w:p w14:paraId="6A74457B" w14:textId="77777777" w:rsidR="000D7979" w:rsidRPr="000D52D3" w:rsidRDefault="000D7979">
      <w:pPr>
        <w:spacing w:after="0"/>
      </w:pPr>
    </w:p>
    <w:p w14:paraId="08D08504" w14:textId="382927D6" w:rsidR="00E87083" w:rsidRPr="000D52D3" w:rsidRDefault="00290D70" w:rsidP="000D7979">
      <w:pPr>
        <w:spacing w:after="0"/>
        <w:jc w:val="right"/>
        <w:rPr>
          <w:rFonts w:asciiTheme="minorBidi" w:hAnsiTheme="minorBidi"/>
        </w:rPr>
      </w:pPr>
      <w:r w:rsidRPr="000D52D3">
        <w:rPr>
          <w:rFonts w:asciiTheme="minorBidi" w:hAnsiTheme="minorBidi"/>
        </w:rPr>
        <w:t>Tableau</w:t>
      </w:r>
      <w:r w:rsidR="0042677B" w:rsidRPr="000D52D3">
        <w:rPr>
          <w:rFonts w:asciiTheme="minorBidi" w:hAnsiTheme="minorBidi"/>
        </w:rPr>
        <w:t> </w:t>
      </w:r>
      <w:r w:rsidR="000D7979" w:rsidRPr="000D52D3">
        <w:rPr>
          <w:rFonts w:asciiTheme="minorBidi" w:hAnsiTheme="minorBidi"/>
        </w:rPr>
        <w:t>1.1</w:t>
      </w:r>
    </w:p>
    <w:p w14:paraId="4E7FAB63" w14:textId="0BC15F18" w:rsidR="00EC1771" w:rsidRPr="000D52D3" w:rsidRDefault="00EC1771" w:rsidP="00E06A59">
      <w:pPr>
        <w:spacing w:after="0"/>
        <w:jc w:val="center"/>
        <w:rPr>
          <w:rFonts w:asciiTheme="minorBidi" w:hAnsiTheme="minorBidi" w:cstheme="minorBidi"/>
        </w:rPr>
      </w:pPr>
      <w:r w:rsidRPr="000D52D3">
        <w:rPr>
          <w:noProof/>
        </w:rPr>
        <w:drawing>
          <wp:inline distT="0" distB="0" distL="0" distR="0" wp14:anchorId="5423E24F" wp14:editId="3379B690">
            <wp:extent cx="6120130" cy="83616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8361680"/>
                    </a:xfrm>
                    <a:prstGeom prst="rect">
                      <a:avLst/>
                    </a:prstGeom>
                    <a:noFill/>
                    <a:ln>
                      <a:noFill/>
                    </a:ln>
                  </pic:spPr>
                </pic:pic>
              </a:graphicData>
            </a:graphic>
          </wp:inline>
        </w:drawing>
      </w:r>
    </w:p>
    <w:p w14:paraId="1469D8CA" w14:textId="77777777" w:rsidR="00EC1771" w:rsidRPr="000D52D3" w:rsidRDefault="00EC1771">
      <w:pPr>
        <w:spacing w:after="0"/>
        <w:rPr>
          <w:rFonts w:asciiTheme="minorBidi" w:hAnsiTheme="minorBidi" w:cstheme="minorBidi"/>
        </w:rPr>
      </w:pPr>
      <w:r w:rsidRPr="000D52D3">
        <w:rPr>
          <w:rFonts w:asciiTheme="minorBidi" w:hAnsiTheme="minorBidi" w:cstheme="minorBidi"/>
        </w:rPr>
        <w:br w:type="page"/>
      </w:r>
    </w:p>
    <w:p w14:paraId="1EDFD37F" w14:textId="77777777" w:rsidR="00EC1771" w:rsidRPr="000D52D3" w:rsidRDefault="00EC1771" w:rsidP="000D7979">
      <w:pPr>
        <w:spacing w:after="0"/>
        <w:jc w:val="right"/>
        <w:rPr>
          <w:rFonts w:asciiTheme="minorBidi" w:hAnsiTheme="minorBidi" w:cstheme="minorBidi"/>
        </w:rPr>
      </w:pPr>
    </w:p>
    <w:p w14:paraId="49CF8AEE" w14:textId="2E68E0D3" w:rsidR="007A3CC2" w:rsidRPr="000D52D3" w:rsidRDefault="007A3CC2" w:rsidP="00D80DFD">
      <w:pPr>
        <w:pStyle w:val="ListParagraph"/>
        <w:numPr>
          <w:ilvl w:val="0"/>
          <w:numId w:val="0"/>
        </w:numPr>
        <w:spacing w:after="400"/>
        <w:jc w:val="center"/>
        <w:rPr>
          <w:b/>
          <w:u w:val="single"/>
        </w:rPr>
      </w:pPr>
      <w:bookmarkStart w:id="6" w:name="AnnexeII"/>
      <w:bookmarkEnd w:id="6"/>
      <w:r w:rsidRPr="000D52D3">
        <w:rPr>
          <w:b/>
          <w:u w:val="single"/>
        </w:rPr>
        <w:t>ANNEXE</w:t>
      </w:r>
      <w:r w:rsidR="0042677B" w:rsidRPr="000D52D3">
        <w:rPr>
          <w:b/>
          <w:u w:val="single"/>
        </w:rPr>
        <w:t> </w:t>
      </w:r>
      <w:r w:rsidRPr="000D52D3">
        <w:rPr>
          <w:b/>
          <w:u w:val="single"/>
        </w:rPr>
        <w:t>II</w:t>
      </w:r>
    </w:p>
    <w:p w14:paraId="47AB3DFD" w14:textId="4EDC99F4" w:rsidR="007A3CC2" w:rsidRPr="000D52D3" w:rsidRDefault="00EC1771" w:rsidP="00E06A59">
      <w:pPr>
        <w:spacing w:after="0"/>
        <w:jc w:val="center"/>
        <w:rPr>
          <w:rFonts w:asciiTheme="minorBidi" w:hAnsiTheme="minorBidi" w:cstheme="minorBidi"/>
        </w:rPr>
      </w:pPr>
      <w:r w:rsidRPr="000D52D3">
        <w:rPr>
          <w:noProof/>
        </w:rPr>
        <w:drawing>
          <wp:inline distT="0" distB="0" distL="0" distR="0" wp14:anchorId="1E619355" wp14:editId="13B081A7">
            <wp:extent cx="5908040" cy="569341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8040" cy="5693410"/>
                    </a:xfrm>
                    <a:prstGeom prst="rect">
                      <a:avLst/>
                    </a:prstGeom>
                    <a:noFill/>
                    <a:ln>
                      <a:noFill/>
                    </a:ln>
                  </pic:spPr>
                </pic:pic>
              </a:graphicData>
            </a:graphic>
          </wp:inline>
        </w:drawing>
      </w:r>
    </w:p>
    <w:p w14:paraId="54083006" w14:textId="77777777" w:rsidR="007A3CC2" w:rsidRPr="000D52D3" w:rsidRDefault="007A3CC2">
      <w:pPr>
        <w:spacing w:after="0"/>
        <w:rPr>
          <w:rFonts w:asciiTheme="minorBidi" w:hAnsiTheme="minorBidi" w:cstheme="minorBidi"/>
        </w:rPr>
        <w:sectPr w:rsidR="007A3CC2" w:rsidRPr="000D52D3" w:rsidSect="00E06A59">
          <w:headerReference w:type="even" r:id="rId32"/>
          <w:headerReference w:type="default" r:id="rId33"/>
          <w:headerReference w:type="first" r:id="rId34"/>
          <w:pgSz w:w="11906" w:h="16838" w:code="9"/>
          <w:pgMar w:top="1418" w:right="1134" w:bottom="993" w:left="1134" w:header="397" w:footer="284" w:gutter="0"/>
          <w:cols w:space="708"/>
          <w:titlePg/>
          <w:docGrid w:linePitch="360"/>
        </w:sectPr>
      </w:pPr>
      <w:r w:rsidRPr="000D52D3">
        <w:br w:type="page"/>
      </w:r>
    </w:p>
    <w:p w14:paraId="67BE6D93" w14:textId="4BE2193B" w:rsidR="007A3CC2" w:rsidRPr="000D52D3" w:rsidRDefault="007A3CC2" w:rsidP="007A3CC2">
      <w:pPr>
        <w:pStyle w:val="ListParagraph"/>
        <w:numPr>
          <w:ilvl w:val="0"/>
          <w:numId w:val="0"/>
        </w:numPr>
        <w:jc w:val="center"/>
        <w:rPr>
          <w:b/>
          <w:u w:val="single"/>
        </w:rPr>
      </w:pPr>
      <w:bookmarkStart w:id="8" w:name="AnnexeIII"/>
      <w:bookmarkEnd w:id="8"/>
      <w:r w:rsidRPr="000D52D3">
        <w:rPr>
          <w:b/>
          <w:u w:val="single"/>
        </w:rPr>
        <w:lastRenderedPageBreak/>
        <w:t>ANNEXE III</w:t>
      </w:r>
    </w:p>
    <w:p w14:paraId="3BEECCCB" w14:textId="19F47816" w:rsidR="00467311" w:rsidRDefault="00290D70" w:rsidP="007A3CC2">
      <w:pPr>
        <w:pStyle w:val="ListParagraph"/>
        <w:numPr>
          <w:ilvl w:val="0"/>
          <w:numId w:val="0"/>
        </w:numPr>
        <w:jc w:val="center"/>
      </w:pPr>
      <w:r w:rsidRPr="000D52D3" w:rsidDel="00290D70">
        <w:t xml:space="preserve"> </w:t>
      </w:r>
      <w:r w:rsidR="00E73788" w:rsidRPr="00E73788">
        <w:drawing>
          <wp:inline distT="0" distB="0" distL="0" distR="0" wp14:anchorId="0AEBF1BD" wp14:editId="3CC9D6B5">
            <wp:extent cx="9071610" cy="5166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71610" cy="5166360"/>
                    </a:xfrm>
                    <a:prstGeom prst="rect">
                      <a:avLst/>
                    </a:prstGeom>
                    <a:noFill/>
                    <a:ln>
                      <a:noFill/>
                    </a:ln>
                  </pic:spPr>
                </pic:pic>
              </a:graphicData>
            </a:graphic>
          </wp:inline>
        </w:drawing>
      </w:r>
    </w:p>
    <w:p w14:paraId="09D1E3B3" w14:textId="77777777" w:rsidR="00467311" w:rsidRDefault="00467311">
      <w:pPr>
        <w:spacing w:after="0"/>
        <w:rPr>
          <w:rFonts w:ascii="Arial" w:hAnsi="Arial" w:cs="Arial"/>
          <w:snapToGrid w:val="0"/>
          <w:szCs w:val="22"/>
          <w:lang w:eastAsia="en-US"/>
        </w:rPr>
      </w:pPr>
      <w:r>
        <w:br w:type="page"/>
      </w:r>
    </w:p>
    <w:p w14:paraId="439A6D50" w14:textId="2F2C1F0F" w:rsidR="00EC1771" w:rsidRPr="000D52D3" w:rsidRDefault="00E73788" w:rsidP="007A3CC2">
      <w:pPr>
        <w:pStyle w:val="ListParagraph"/>
        <w:numPr>
          <w:ilvl w:val="0"/>
          <w:numId w:val="0"/>
        </w:numPr>
        <w:jc w:val="center"/>
        <w:rPr>
          <w:b/>
          <w:u w:val="single"/>
        </w:rPr>
      </w:pPr>
      <w:r w:rsidRPr="00E73788">
        <w:lastRenderedPageBreak/>
        <w:drawing>
          <wp:inline distT="0" distB="0" distL="0" distR="0" wp14:anchorId="732E76BF" wp14:editId="43278EF3">
            <wp:extent cx="9071610" cy="29959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71610" cy="2995930"/>
                    </a:xfrm>
                    <a:prstGeom prst="rect">
                      <a:avLst/>
                    </a:prstGeom>
                    <a:noFill/>
                    <a:ln>
                      <a:noFill/>
                    </a:ln>
                  </pic:spPr>
                </pic:pic>
              </a:graphicData>
            </a:graphic>
          </wp:inline>
        </w:drawing>
      </w:r>
    </w:p>
    <w:p w14:paraId="31EBA7E0" w14:textId="2C336F37" w:rsidR="00921DDF" w:rsidRPr="000D52D3" w:rsidRDefault="00921DDF">
      <w:pPr>
        <w:spacing w:after="0"/>
        <w:rPr>
          <w:rFonts w:asciiTheme="minorBidi" w:hAnsiTheme="minorBidi" w:cstheme="minorBidi"/>
        </w:rPr>
      </w:pPr>
    </w:p>
    <w:p w14:paraId="65FDFE43" w14:textId="77777777" w:rsidR="00290D70" w:rsidRPr="000D52D3" w:rsidRDefault="00290D70">
      <w:pPr>
        <w:spacing w:after="0"/>
        <w:rPr>
          <w:rFonts w:ascii="Arial" w:hAnsi="Arial" w:cs="Arial"/>
          <w:b/>
          <w:snapToGrid w:val="0"/>
          <w:szCs w:val="22"/>
          <w:u w:val="single"/>
          <w:lang w:eastAsia="en-US"/>
        </w:rPr>
      </w:pPr>
      <w:r w:rsidRPr="000D52D3">
        <w:rPr>
          <w:b/>
          <w:u w:val="single"/>
        </w:rPr>
        <w:br w:type="page"/>
      </w:r>
    </w:p>
    <w:p w14:paraId="4AD58A73" w14:textId="5C1031D2" w:rsidR="00921DDF" w:rsidRPr="000D52D3" w:rsidRDefault="00921DDF" w:rsidP="00467311">
      <w:pPr>
        <w:pStyle w:val="ListParagraph"/>
        <w:numPr>
          <w:ilvl w:val="0"/>
          <w:numId w:val="0"/>
        </w:numPr>
        <w:jc w:val="center"/>
        <w:rPr>
          <w:b/>
          <w:u w:val="single"/>
        </w:rPr>
      </w:pPr>
      <w:bookmarkStart w:id="9" w:name="AnnexeIV"/>
      <w:bookmarkEnd w:id="9"/>
      <w:r w:rsidRPr="000D52D3">
        <w:rPr>
          <w:b/>
          <w:u w:val="single"/>
        </w:rPr>
        <w:lastRenderedPageBreak/>
        <w:t>ANNEXE</w:t>
      </w:r>
      <w:r w:rsidR="0042677B" w:rsidRPr="000D52D3">
        <w:rPr>
          <w:b/>
          <w:u w:val="single"/>
        </w:rPr>
        <w:t> </w:t>
      </w:r>
      <w:r w:rsidRPr="000D52D3">
        <w:rPr>
          <w:b/>
          <w:u w:val="single"/>
        </w:rPr>
        <w:t>IV</w:t>
      </w:r>
    </w:p>
    <w:p w14:paraId="2CDAB532" w14:textId="67536291" w:rsidR="004F692E" w:rsidRPr="000D52D3" w:rsidRDefault="00E73788" w:rsidP="00921DDF">
      <w:pPr>
        <w:pStyle w:val="ListParagraph"/>
        <w:numPr>
          <w:ilvl w:val="0"/>
          <w:numId w:val="0"/>
        </w:numPr>
        <w:jc w:val="center"/>
        <w:rPr>
          <w:b/>
          <w:u w:val="single"/>
        </w:rPr>
      </w:pPr>
      <w:r w:rsidRPr="00E73788">
        <w:drawing>
          <wp:inline distT="0" distB="0" distL="0" distR="0" wp14:anchorId="6C554C55" wp14:editId="55AABDE9">
            <wp:extent cx="8784000" cy="57600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84000" cy="5760000"/>
                    </a:xfrm>
                    <a:prstGeom prst="rect">
                      <a:avLst/>
                    </a:prstGeom>
                    <a:noFill/>
                    <a:ln>
                      <a:noFill/>
                    </a:ln>
                  </pic:spPr>
                </pic:pic>
              </a:graphicData>
            </a:graphic>
          </wp:inline>
        </w:drawing>
      </w:r>
    </w:p>
    <w:p w14:paraId="657DA0D0" w14:textId="50E25700" w:rsidR="006A6C41" w:rsidRPr="000D52D3" w:rsidRDefault="006A6C41">
      <w:pPr>
        <w:spacing w:after="0"/>
        <w:rPr>
          <w:rFonts w:asciiTheme="minorBidi" w:hAnsiTheme="minorBidi" w:cstheme="minorBidi"/>
        </w:rPr>
        <w:sectPr w:rsidR="006A6C41" w:rsidRPr="000D52D3" w:rsidSect="007A3CC2">
          <w:headerReference w:type="first" r:id="rId38"/>
          <w:pgSz w:w="16838" w:h="11906" w:orient="landscape" w:code="9"/>
          <w:pgMar w:top="1134" w:right="1418" w:bottom="1134" w:left="1134" w:header="397" w:footer="284" w:gutter="0"/>
          <w:cols w:space="708"/>
          <w:titlePg/>
          <w:docGrid w:linePitch="360"/>
        </w:sectPr>
      </w:pPr>
    </w:p>
    <w:p w14:paraId="4DFD1911" w14:textId="58F97F31" w:rsidR="00921DDF" w:rsidRPr="000D52D3" w:rsidRDefault="00921DDF" w:rsidP="00D80DFD">
      <w:pPr>
        <w:pStyle w:val="ListParagraph"/>
        <w:numPr>
          <w:ilvl w:val="0"/>
          <w:numId w:val="0"/>
        </w:numPr>
        <w:spacing w:after="400"/>
        <w:jc w:val="center"/>
        <w:rPr>
          <w:b/>
          <w:u w:val="single"/>
        </w:rPr>
      </w:pPr>
      <w:bookmarkStart w:id="10" w:name="AnnexeV"/>
      <w:bookmarkEnd w:id="10"/>
      <w:r w:rsidRPr="000D52D3">
        <w:rPr>
          <w:b/>
          <w:u w:val="single"/>
        </w:rPr>
        <w:lastRenderedPageBreak/>
        <w:t>ANNEXE V</w:t>
      </w:r>
    </w:p>
    <w:p w14:paraId="66362578" w14:textId="3C2B5AFE" w:rsidR="00D44F5E" w:rsidRPr="000D52D3" w:rsidRDefault="00D44F5E" w:rsidP="001554C0">
      <w:pPr>
        <w:spacing w:after="0"/>
        <w:jc w:val="center"/>
        <w:rPr>
          <w:rFonts w:asciiTheme="minorBidi" w:hAnsiTheme="minorBidi" w:cstheme="minorBidi"/>
          <w:b/>
        </w:rPr>
      </w:pPr>
      <w:r w:rsidRPr="000D52D3">
        <w:rPr>
          <w:rFonts w:asciiTheme="minorBidi" w:hAnsiTheme="minorBidi"/>
          <w:b/>
        </w:rPr>
        <w:t>Rapport de mise en œuvre du plan de dépenses pour les «</w:t>
      </w:r>
      <w:r w:rsidR="0042677B" w:rsidRPr="000D52D3">
        <w:rPr>
          <w:rFonts w:asciiTheme="minorBidi" w:hAnsiTheme="minorBidi"/>
          <w:b/>
        </w:rPr>
        <w:t> </w:t>
      </w:r>
      <w:r w:rsidRPr="000D52D3">
        <w:rPr>
          <w:rFonts w:asciiTheme="minorBidi" w:hAnsiTheme="minorBidi"/>
          <w:b/>
        </w:rPr>
        <w:t xml:space="preserve">autres fonctions du </w:t>
      </w:r>
      <w:r w:rsidR="00A8015B" w:rsidRPr="000D52D3">
        <w:rPr>
          <w:rFonts w:asciiTheme="minorBidi" w:hAnsiTheme="minorBidi"/>
          <w:b/>
        </w:rPr>
        <w:t>C</w:t>
      </w:r>
      <w:r w:rsidRPr="000D52D3">
        <w:rPr>
          <w:rFonts w:asciiTheme="minorBidi" w:hAnsiTheme="minorBidi"/>
          <w:b/>
        </w:rPr>
        <w:t>omité</w:t>
      </w:r>
      <w:r w:rsidR="0042677B" w:rsidRPr="000D52D3">
        <w:rPr>
          <w:rFonts w:asciiTheme="minorBidi" w:hAnsiTheme="minorBidi"/>
          <w:b/>
        </w:rPr>
        <w:t> </w:t>
      </w:r>
      <w:r w:rsidRPr="000D52D3">
        <w:rPr>
          <w:rFonts w:asciiTheme="minorBidi" w:hAnsiTheme="minorBidi"/>
          <w:b/>
        </w:rPr>
        <w:t xml:space="preserve">» </w:t>
      </w:r>
    </w:p>
    <w:p w14:paraId="7968CAF9" w14:textId="729F40FF" w:rsidR="00D44F5E" w:rsidRPr="000D52D3" w:rsidRDefault="00D44F5E" w:rsidP="001554C0">
      <w:pPr>
        <w:spacing w:after="240"/>
        <w:jc w:val="center"/>
        <w:rPr>
          <w:rFonts w:asciiTheme="minorBidi" w:hAnsiTheme="minorBidi" w:cstheme="minorBidi"/>
          <w:b/>
        </w:rPr>
      </w:pPr>
      <w:r w:rsidRPr="000D52D3">
        <w:rPr>
          <w:rFonts w:asciiTheme="minorBidi" w:hAnsiTheme="minorBidi"/>
          <w:b/>
        </w:rPr>
        <w:t>(1</w:t>
      </w:r>
      <w:r w:rsidR="0042677B" w:rsidRPr="000D52D3">
        <w:rPr>
          <w:rFonts w:asciiTheme="minorBidi" w:hAnsiTheme="minorBidi"/>
          <w:b/>
        </w:rPr>
        <w:t> </w:t>
      </w:r>
      <w:r w:rsidRPr="000D52D3">
        <w:rPr>
          <w:rFonts w:asciiTheme="minorBidi" w:hAnsiTheme="minorBidi"/>
          <w:b/>
        </w:rPr>
        <w:t>janvier 2020 au 31</w:t>
      </w:r>
      <w:r w:rsidR="0042677B" w:rsidRPr="000D52D3">
        <w:rPr>
          <w:rFonts w:asciiTheme="minorBidi" w:hAnsiTheme="minorBidi"/>
          <w:b/>
        </w:rPr>
        <w:t> </w:t>
      </w:r>
      <w:r w:rsidRPr="000D52D3">
        <w:rPr>
          <w:rFonts w:asciiTheme="minorBidi" w:hAnsiTheme="minorBidi"/>
          <w:b/>
        </w:rPr>
        <w:t>décembre 2021)</w:t>
      </w:r>
    </w:p>
    <w:p w14:paraId="42AE84F3" w14:textId="6477517E" w:rsidR="006A6C41" w:rsidRPr="000D52D3" w:rsidRDefault="006A6C41" w:rsidP="00DF115D">
      <w:pPr>
        <w:jc w:val="both"/>
        <w:rPr>
          <w:rFonts w:ascii="Arial" w:hAnsi="Arial" w:cs="Arial"/>
          <w:snapToGrid w:val="0"/>
          <w:szCs w:val="22"/>
        </w:rPr>
      </w:pPr>
      <w:r w:rsidRPr="000D52D3">
        <w:rPr>
          <w:rFonts w:ascii="Arial" w:hAnsi="Arial"/>
          <w:snapToGrid w:val="0"/>
        </w:rPr>
        <w:t>Pour la période du 1er</w:t>
      </w:r>
      <w:r w:rsidR="0042677B" w:rsidRPr="000D52D3">
        <w:rPr>
          <w:rFonts w:ascii="Arial" w:hAnsi="Arial"/>
          <w:snapToGrid w:val="0"/>
        </w:rPr>
        <w:t> </w:t>
      </w:r>
      <w:r w:rsidRPr="000D52D3">
        <w:rPr>
          <w:rFonts w:ascii="Arial" w:hAnsi="Arial"/>
          <w:snapToGrid w:val="0"/>
        </w:rPr>
        <w:t>janvier</w:t>
      </w:r>
      <w:r w:rsidR="00614BF3" w:rsidRPr="000D52D3">
        <w:rPr>
          <w:rFonts w:ascii="Arial" w:hAnsi="Arial"/>
          <w:snapToGrid w:val="0"/>
        </w:rPr>
        <w:t> </w:t>
      </w:r>
      <w:r w:rsidRPr="000D52D3">
        <w:rPr>
          <w:rFonts w:ascii="Arial" w:hAnsi="Arial"/>
          <w:snapToGrid w:val="0"/>
        </w:rPr>
        <w:t>2020 au 31</w:t>
      </w:r>
      <w:r w:rsidR="0042677B" w:rsidRPr="000D52D3">
        <w:rPr>
          <w:rFonts w:ascii="Arial" w:hAnsi="Arial"/>
          <w:snapToGrid w:val="0"/>
        </w:rPr>
        <w:t> </w:t>
      </w:r>
      <w:r w:rsidRPr="000D52D3">
        <w:rPr>
          <w:rFonts w:ascii="Arial" w:hAnsi="Arial"/>
          <w:snapToGrid w:val="0"/>
        </w:rPr>
        <w:t>décembre</w:t>
      </w:r>
      <w:r w:rsidR="00614BF3" w:rsidRPr="000D52D3">
        <w:rPr>
          <w:rFonts w:ascii="Arial" w:hAnsi="Arial"/>
          <w:snapToGrid w:val="0"/>
        </w:rPr>
        <w:t> </w:t>
      </w:r>
      <w:r w:rsidRPr="000D52D3">
        <w:rPr>
          <w:rFonts w:ascii="Arial" w:hAnsi="Arial"/>
          <w:snapToGrid w:val="0"/>
        </w:rPr>
        <w:t xml:space="preserve">2021, le plan de dépenses pour les </w:t>
      </w:r>
      <w:bookmarkStart w:id="11" w:name="_Hlk101342770"/>
      <w:r w:rsidRPr="000D52D3">
        <w:rPr>
          <w:rFonts w:ascii="Arial" w:hAnsi="Arial"/>
          <w:snapToGrid w:val="0"/>
        </w:rPr>
        <w:t>«</w:t>
      </w:r>
      <w:r w:rsidR="0042677B" w:rsidRPr="000D52D3">
        <w:rPr>
          <w:rFonts w:ascii="Arial" w:hAnsi="Arial"/>
          <w:snapToGrid w:val="0"/>
        </w:rPr>
        <w:t> </w:t>
      </w:r>
      <w:r w:rsidRPr="000D52D3">
        <w:rPr>
          <w:rFonts w:ascii="Arial" w:hAnsi="Arial"/>
          <w:snapToGrid w:val="0"/>
        </w:rPr>
        <w:t>autres fonctions du Comité</w:t>
      </w:r>
      <w:r w:rsidR="0042677B" w:rsidRPr="000D52D3">
        <w:rPr>
          <w:rFonts w:ascii="Arial" w:hAnsi="Arial"/>
          <w:snapToGrid w:val="0"/>
        </w:rPr>
        <w:t> </w:t>
      </w:r>
      <w:r w:rsidRPr="000D52D3">
        <w:rPr>
          <w:rFonts w:ascii="Arial" w:hAnsi="Arial"/>
          <w:snapToGrid w:val="0"/>
        </w:rPr>
        <w:t xml:space="preserve">» </w:t>
      </w:r>
      <w:bookmarkEnd w:id="11"/>
      <w:r w:rsidRPr="000D52D3">
        <w:rPr>
          <w:rFonts w:ascii="Arial" w:hAnsi="Arial"/>
          <w:snapToGrid w:val="0"/>
        </w:rPr>
        <w:t>a été approuvé par l</w:t>
      </w:r>
      <w:r w:rsidR="00CB437A" w:rsidRPr="000D52D3">
        <w:rPr>
          <w:rFonts w:ascii="Arial" w:hAnsi="Arial"/>
          <w:snapToGrid w:val="0"/>
        </w:rPr>
        <w:t>’</w:t>
      </w:r>
      <w:r w:rsidRPr="000D52D3">
        <w:rPr>
          <w:rFonts w:ascii="Arial" w:hAnsi="Arial"/>
          <w:snapToGrid w:val="0"/>
        </w:rPr>
        <w:t>Assemblée générale (Résolution</w:t>
      </w:r>
      <w:r w:rsidR="0042677B" w:rsidRPr="000D52D3">
        <w:rPr>
          <w:rFonts w:ascii="Arial" w:hAnsi="Arial"/>
          <w:snapToGrid w:val="0"/>
        </w:rPr>
        <w:t> </w:t>
      </w:r>
      <w:hyperlink r:id="rId39" w:history="1">
        <w:r w:rsidRPr="000D52D3">
          <w:rPr>
            <w:rFonts w:ascii="Arial" w:hAnsi="Arial"/>
            <w:snapToGrid w:val="0"/>
            <w:color w:val="0000FF" w:themeColor="hyperlink"/>
            <w:szCs w:val="22"/>
            <w:u w:val="single"/>
          </w:rPr>
          <w:t>8.GA</w:t>
        </w:r>
        <w:r w:rsidR="0042677B" w:rsidRPr="000D52D3">
          <w:rPr>
            <w:rFonts w:ascii="Arial" w:hAnsi="Arial"/>
            <w:snapToGrid w:val="0"/>
            <w:color w:val="0000FF" w:themeColor="hyperlink"/>
            <w:szCs w:val="22"/>
            <w:u w:val="single"/>
          </w:rPr>
          <w:t> </w:t>
        </w:r>
        <w:r w:rsidRPr="000D52D3">
          <w:rPr>
            <w:rFonts w:ascii="Arial" w:hAnsi="Arial"/>
            <w:snapToGrid w:val="0"/>
            <w:color w:val="0000FF" w:themeColor="hyperlink"/>
            <w:szCs w:val="22"/>
            <w:u w:val="single"/>
          </w:rPr>
          <w:t>7</w:t>
        </w:r>
      </w:hyperlink>
      <w:r w:rsidRPr="000D52D3">
        <w:rPr>
          <w:rFonts w:ascii="Arial" w:hAnsi="Arial"/>
          <w:snapToGrid w:val="0"/>
        </w:rPr>
        <w:t>), conformément à la nouvelle procédure d</w:t>
      </w:r>
      <w:r w:rsidR="00CB437A" w:rsidRPr="000D52D3">
        <w:rPr>
          <w:rFonts w:ascii="Arial" w:hAnsi="Arial"/>
          <w:snapToGrid w:val="0"/>
        </w:rPr>
        <w:t>’</w:t>
      </w:r>
      <w:r w:rsidRPr="000D52D3">
        <w:rPr>
          <w:rFonts w:ascii="Arial" w:hAnsi="Arial"/>
          <w:snapToGrid w:val="0"/>
        </w:rPr>
        <w:t>approbation mise en place par la quatorzième session du Comité en 2019 (Décision</w:t>
      </w:r>
      <w:r w:rsidR="0042677B" w:rsidRPr="000D52D3">
        <w:rPr>
          <w:rFonts w:ascii="Arial" w:hAnsi="Arial"/>
          <w:snapToGrid w:val="0"/>
        </w:rPr>
        <w:t> </w:t>
      </w:r>
      <w:hyperlink r:id="rId40" w:history="1">
        <w:r w:rsidRPr="000D52D3">
          <w:rPr>
            <w:rFonts w:ascii="Arial" w:hAnsi="Arial"/>
            <w:bCs/>
            <w:snapToGrid w:val="0"/>
            <w:color w:val="0000FF" w:themeColor="hyperlink"/>
            <w:szCs w:val="22"/>
            <w:u w:val="single"/>
          </w:rPr>
          <w:t>14.COM</w:t>
        </w:r>
        <w:r w:rsidR="00066F9F" w:rsidRPr="000D52D3">
          <w:rPr>
            <w:rFonts w:ascii="Arial" w:hAnsi="Arial"/>
            <w:bCs/>
            <w:snapToGrid w:val="0"/>
            <w:color w:val="0000FF" w:themeColor="hyperlink"/>
            <w:szCs w:val="22"/>
            <w:u w:val="single"/>
          </w:rPr>
          <w:t> </w:t>
        </w:r>
        <w:r w:rsidRPr="000D52D3">
          <w:rPr>
            <w:rFonts w:ascii="Arial" w:hAnsi="Arial"/>
            <w:bCs/>
            <w:snapToGrid w:val="0"/>
            <w:color w:val="0000FF" w:themeColor="hyperlink"/>
            <w:szCs w:val="22"/>
            <w:u w:val="single"/>
          </w:rPr>
          <w:t>7</w:t>
        </w:r>
      </w:hyperlink>
      <w:r w:rsidRPr="000D52D3">
        <w:rPr>
          <w:rFonts w:ascii="Arial" w:hAnsi="Arial"/>
          <w:snapToGrid w:val="0"/>
        </w:rPr>
        <w:t>). Les tableaux ci-dessous fournissent des informations sur (a) la mise en œuvre des activités pour la période allant du 1</w:t>
      </w:r>
      <w:r w:rsidR="0042677B" w:rsidRPr="000D52D3">
        <w:rPr>
          <w:rFonts w:ascii="Arial" w:hAnsi="Arial"/>
          <w:snapToGrid w:val="0"/>
        </w:rPr>
        <w:t> </w:t>
      </w:r>
      <w:r w:rsidRPr="000D52D3">
        <w:rPr>
          <w:rFonts w:ascii="Arial" w:hAnsi="Arial"/>
          <w:snapToGrid w:val="0"/>
        </w:rPr>
        <w:t>janvier 2020 au 31</w:t>
      </w:r>
      <w:r w:rsidR="0042677B" w:rsidRPr="000D52D3">
        <w:rPr>
          <w:rFonts w:ascii="Arial" w:hAnsi="Arial"/>
          <w:snapToGrid w:val="0"/>
        </w:rPr>
        <w:t> </w:t>
      </w:r>
      <w:r w:rsidRPr="000D52D3">
        <w:rPr>
          <w:rFonts w:ascii="Arial" w:hAnsi="Arial"/>
          <w:snapToGrid w:val="0"/>
        </w:rPr>
        <w:t>décembre 2021, telles qu</w:t>
      </w:r>
      <w:r w:rsidR="00CB437A" w:rsidRPr="000D52D3">
        <w:rPr>
          <w:rFonts w:ascii="Arial" w:hAnsi="Arial"/>
          <w:snapToGrid w:val="0"/>
        </w:rPr>
        <w:t>’</w:t>
      </w:r>
      <w:r w:rsidRPr="000D52D3">
        <w:rPr>
          <w:rFonts w:ascii="Arial" w:hAnsi="Arial"/>
          <w:snapToGrid w:val="0"/>
        </w:rPr>
        <w:t>approuvées dans le plan de dépenses adopté en septembre 2020 ainsi que (b) un tableau sous chaque résultat escompté fournissant une analyse des principaux défis rencontrés et des mesures correctives adoptées.</w:t>
      </w:r>
    </w:p>
    <w:p w14:paraId="3C2F447B" w14:textId="4955C912" w:rsidR="006A6C41" w:rsidRPr="000D52D3" w:rsidRDefault="006A6C41" w:rsidP="006A6C41">
      <w:pPr>
        <w:spacing w:before="360"/>
        <w:ind w:left="567" w:hanging="567"/>
        <w:jc w:val="both"/>
        <w:rPr>
          <w:rFonts w:ascii="Arial" w:hAnsi="Arial" w:cs="Arial"/>
          <w:b/>
          <w:bCs/>
          <w:caps/>
          <w:snapToGrid w:val="0"/>
          <w:szCs w:val="22"/>
        </w:rPr>
      </w:pPr>
      <w:r w:rsidRPr="000D52D3">
        <w:rPr>
          <w:rFonts w:ascii="Arial" w:hAnsi="Arial"/>
          <w:b/>
          <w:caps/>
          <w:snapToGrid w:val="0"/>
        </w:rPr>
        <w:t>Évaluation par r</w:t>
      </w:r>
      <w:r w:rsidR="0042677B" w:rsidRPr="000D52D3">
        <w:rPr>
          <w:rFonts w:ascii="Arial" w:hAnsi="Arial"/>
          <w:b/>
          <w:caps/>
          <w:snapToGrid w:val="0"/>
        </w:rPr>
        <w:t>É</w:t>
      </w:r>
      <w:r w:rsidRPr="000D52D3">
        <w:rPr>
          <w:rFonts w:ascii="Arial" w:hAnsi="Arial"/>
          <w:b/>
          <w:caps/>
          <w:snapToGrid w:val="0"/>
        </w:rPr>
        <w:t>sultat escompt</w:t>
      </w:r>
      <w:r w:rsidR="0042677B" w:rsidRPr="000D52D3">
        <w:rPr>
          <w:rFonts w:ascii="Arial" w:hAnsi="Arial"/>
          <w:b/>
          <w:caps/>
          <w:snapToGrid w:val="0"/>
        </w:rPr>
        <w:t>É</w:t>
      </w:r>
      <w:r w:rsidRPr="000D52D3">
        <w:rPr>
          <w:rFonts w:ascii="Arial" w:hAnsi="Arial" w:cs="Arial"/>
          <w:b/>
          <w:bCs/>
          <w:caps/>
          <w:snapToGrid w:val="0"/>
          <w:szCs w:val="22"/>
          <w:vertAlign w:val="superscript"/>
          <w:lang w:eastAsia="en-US"/>
        </w:rPr>
        <w:footnoteReference w:id="11"/>
      </w:r>
    </w:p>
    <w:tbl>
      <w:tblPr>
        <w:tblpPr w:leftFromText="141" w:rightFromText="141" w:vertAnchor="text" w:horzAnchor="margin" w:tblpY="1000"/>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4083"/>
        <w:gridCol w:w="1700"/>
      </w:tblGrid>
      <w:tr w:rsidR="006A6C41" w:rsidRPr="000D52D3" w14:paraId="6AE5C0E3" w14:textId="77777777" w:rsidTr="00DF115D">
        <w:trPr>
          <w:trHeight w:val="465"/>
        </w:trPr>
        <w:tc>
          <w:tcPr>
            <w:tcW w:w="2000" w:type="pct"/>
            <w:shd w:val="clear" w:color="auto" w:fill="365F91" w:themeFill="accent1" w:themeFillShade="BF"/>
            <w:vAlign w:val="center"/>
          </w:tcPr>
          <w:p w14:paraId="7C62F33A" w14:textId="77777777" w:rsidR="006A6C41" w:rsidRPr="000D52D3" w:rsidRDefault="006A6C41" w:rsidP="006A6C41">
            <w:pPr>
              <w:keepNext/>
              <w:spacing w:before="120"/>
              <w:jc w:val="center"/>
              <w:rPr>
                <w:rFonts w:ascii="Arial" w:eastAsia="Calibri" w:hAnsi="Arial" w:cs="Arial"/>
                <w:sz w:val="20"/>
                <w:szCs w:val="20"/>
              </w:rPr>
            </w:pPr>
            <w:r w:rsidRPr="000D52D3">
              <w:rPr>
                <w:rFonts w:ascii="Arial" w:hAnsi="Arial"/>
                <w:b/>
                <w:sz w:val="20"/>
              </w:rPr>
              <w:t>Budget approuvé pour 2020/2021</w:t>
            </w:r>
          </w:p>
        </w:tc>
        <w:tc>
          <w:tcPr>
            <w:tcW w:w="2118" w:type="pct"/>
            <w:shd w:val="clear" w:color="auto" w:fill="365F91" w:themeFill="accent1" w:themeFillShade="BF"/>
            <w:vAlign w:val="center"/>
          </w:tcPr>
          <w:p w14:paraId="7B1A0262" w14:textId="77777777" w:rsidR="006A6C41" w:rsidRPr="000D52D3" w:rsidRDefault="006A6C41" w:rsidP="006A6C41">
            <w:pPr>
              <w:keepNext/>
              <w:spacing w:before="120"/>
              <w:jc w:val="center"/>
              <w:rPr>
                <w:rFonts w:ascii="Arial" w:eastAsia="Calibri" w:hAnsi="Arial" w:cs="Arial"/>
                <w:sz w:val="20"/>
                <w:szCs w:val="20"/>
              </w:rPr>
            </w:pPr>
            <w:r w:rsidRPr="000D52D3">
              <w:rPr>
                <w:rFonts w:ascii="Arial" w:hAnsi="Arial"/>
                <w:b/>
                <w:sz w:val="20"/>
              </w:rPr>
              <w:t>Dépenses au 31/12/2021</w:t>
            </w:r>
          </w:p>
        </w:tc>
        <w:tc>
          <w:tcPr>
            <w:tcW w:w="882" w:type="pct"/>
            <w:shd w:val="clear" w:color="auto" w:fill="365F91" w:themeFill="accent1" w:themeFillShade="BF"/>
            <w:vAlign w:val="center"/>
          </w:tcPr>
          <w:p w14:paraId="2FDA75CB" w14:textId="17470E67" w:rsidR="006A6C41" w:rsidRPr="000D52D3" w:rsidRDefault="006A6C41" w:rsidP="006A6C41">
            <w:pPr>
              <w:keepNext/>
              <w:spacing w:before="120"/>
              <w:jc w:val="center"/>
              <w:rPr>
                <w:rFonts w:ascii="Arial" w:eastAsia="Calibri" w:hAnsi="Arial" w:cs="Arial"/>
                <w:sz w:val="20"/>
                <w:szCs w:val="20"/>
              </w:rPr>
            </w:pPr>
            <w:r w:rsidRPr="000D52D3">
              <w:rPr>
                <w:rFonts w:ascii="Arial" w:hAnsi="Arial"/>
                <w:b/>
                <w:sz w:val="20"/>
              </w:rPr>
              <w:t>Taux de dépense (%)</w:t>
            </w:r>
            <w:r w:rsidRPr="000D52D3">
              <w:rPr>
                <w:rFonts w:ascii="Arial" w:hAnsi="Arial"/>
                <w:b/>
                <w:sz w:val="20"/>
              </w:rPr>
              <w:br/>
              <w:t>au 31/12/2021</w:t>
            </w:r>
          </w:p>
        </w:tc>
      </w:tr>
      <w:tr w:rsidR="006A6C41" w:rsidRPr="000D52D3" w14:paraId="6B5EACE5" w14:textId="77777777" w:rsidTr="001D0AE3">
        <w:trPr>
          <w:trHeight w:val="465"/>
        </w:trPr>
        <w:tc>
          <w:tcPr>
            <w:tcW w:w="2000" w:type="pct"/>
            <w:shd w:val="clear" w:color="auto" w:fill="FFFFFF" w:themeFill="background1"/>
            <w:vAlign w:val="center"/>
          </w:tcPr>
          <w:p w14:paraId="0B25C3FF" w14:textId="10F433BE" w:rsidR="006A6C41" w:rsidRPr="000D52D3" w:rsidRDefault="006A6C41" w:rsidP="006A6C41">
            <w:pPr>
              <w:keepNext/>
              <w:spacing w:before="120"/>
              <w:jc w:val="center"/>
              <w:rPr>
                <w:rFonts w:ascii="Arial" w:eastAsia="Calibri" w:hAnsi="Arial" w:cs="Arial"/>
                <w:bCs/>
                <w:sz w:val="20"/>
                <w:szCs w:val="20"/>
              </w:rPr>
            </w:pPr>
            <w:r w:rsidRPr="000D52D3">
              <w:rPr>
                <w:rFonts w:ascii="Arial" w:hAnsi="Arial"/>
                <w:sz w:val="20"/>
              </w:rPr>
              <w:t>1</w:t>
            </w:r>
            <w:r w:rsidR="0042677B" w:rsidRPr="000D52D3">
              <w:rPr>
                <w:rFonts w:ascii="Arial" w:hAnsi="Arial"/>
                <w:sz w:val="20"/>
              </w:rPr>
              <w:t> 568 </w:t>
            </w:r>
            <w:r w:rsidRPr="000D52D3">
              <w:rPr>
                <w:rFonts w:ascii="Arial" w:hAnsi="Arial"/>
                <w:sz w:val="20"/>
              </w:rPr>
              <w:t>076,00</w:t>
            </w:r>
          </w:p>
        </w:tc>
        <w:tc>
          <w:tcPr>
            <w:tcW w:w="2118" w:type="pct"/>
            <w:shd w:val="clear" w:color="auto" w:fill="FFFFFF" w:themeFill="background1"/>
            <w:vAlign w:val="center"/>
          </w:tcPr>
          <w:p w14:paraId="42DCC71B" w14:textId="3DDA51D5" w:rsidR="006A6C41" w:rsidRPr="000D52D3" w:rsidRDefault="006A6C41" w:rsidP="006A6C41">
            <w:pPr>
              <w:keepNext/>
              <w:spacing w:before="120"/>
              <w:jc w:val="center"/>
              <w:rPr>
                <w:rFonts w:ascii="Arial" w:eastAsia="Calibri" w:hAnsi="Arial" w:cs="Arial"/>
                <w:bCs/>
                <w:sz w:val="20"/>
                <w:szCs w:val="20"/>
              </w:rPr>
            </w:pPr>
            <w:r w:rsidRPr="000D52D3">
              <w:rPr>
                <w:rFonts w:ascii="Arial" w:hAnsi="Arial"/>
                <w:sz w:val="20"/>
              </w:rPr>
              <w:t>1</w:t>
            </w:r>
            <w:r w:rsidR="0042677B" w:rsidRPr="000D52D3">
              <w:rPr>
                <w:rFonts w:ascii="Arial" w:hAnsi="Arial"/>
                <w:sz w:val="20"/>
              </w:rPr>
              <w:t> 112 </w:t>
            </w:r>
            <w:r w:rsidRPr="000D52D3">
              <w:rPr>
                <w:rFonts w:ascii="Arial" w:hAnsi="Arial"/>
                <w:sz w:val="20"/>
              </w:rPr>
              <w:t>240,02</w:t>
            </w:r>
          </w:p>
        </w:tc>
        <w:tc>
          <w:tcPr>
            <w:tcW w:w="882" w:type="pct"/>
            <w:shd w:val="clear" w:color="auto" w:fill="FFFFFF" w:themeFill="background1"/>
            <w:vAlign w:val="center"/>
          </w:tcPr>
          <w:p w14:paraId="2ACF3CDD" w14:textId="53B1B95D" w:rsidR="006A6C41" w:rsidRPr="000D52D3" w:rsidRDefault="006A6C41" w:rsidP="006A6C41">
            <w:pPr>
              <w:keepNext/>
              <w:spacing w:before="120"/>
              <w:jc w:val="center"/>
              <w:rPr>
                <w:rFonts w:ascii="Arial" w:eastAsia="Calibri" w:hAnsi="Arial" w:cs="Arial"/>
                <w:bCs/>
                <w:sz w:val="20"/>
                <w:szCs w:val="20"/>
              </w:rPr>
            </w:pPr>
            <w:r w:rsidRPr="000D52D3">
              <w:rPr>
                <w:rFonts w:ascii="Arial" w:hAnsi="Arial"/>
                <w:sz w:val="20"/>
              </w:rPr>
              <w:t>70,9</w:t>
            </w:r>
            <w:r w:rsidR="0042677B" w:rsidRPr="000D52D3">
              <w:rPr>
                <w:rFonts w:ascii="Arial" w:hAnsi="Arial"/>
                <w:sz w:val="20"/>
              </w:rPr>
              <w:t> </w:t>
            </w:r>
            <w:r w:rsidRPr="000D52D3">
              <w:rPr>
                <w:rFonts w:ascii="Arial" w:hAnsi="Arial"/>
                <w:sz w:val="20"/>
              </w:rPr>
              <w:t>%</w:t>
            </w:r>
          </w:p>
        </w:tc>
      </w:tr>
    </w:tbl>
    <w:p w14:paraId="2A1BB964" w14:textId="5363B75D" w:rsidR="006A6C41" w:rsidRPr="000D52D3" w:rsidRDefault="006A6C41" w:rsidP="006A6C41">
      <w:pPr>
        <w:spacing w:before="360"/>
        <w:ind w:left="567" w:hanging="567"/>
        <w:jc w:val="both"/>
        <w:rPr>
          <w:rFonts w:ascii="Arial" w:hAnsi="Arial" w:cs="Arial"/>
          <w:b/>
          <w:szCs w:val="22"/>
        </w:rPr>
      </w:pPr>
      <w:r w:rsidRPr="000D52D3">
        <w:rPr>
          <w:rFonts w:ascii="Arial" w:hAnsi="Arial"/>
          <w:snapToGrid w:val="0"/>
        </w:rPr>
        <w:t>«</w:t>
      </w:r>
      <w:r w:rsidR="0042677B" w:rsidRPr="000D52D3">
        <w:rPr>
          <w:rFonts w:ascii="Arial" w:hAnsi="Arial"/>
          <w:snapToGrid w:val="0"/>
        </w:rPr>
        <w:t> </w:t>
      </w:r>
      <w:r w:rsidRPr="000D52D3">
        <w:rPr>
          <w:rFonts w:ascii="Arial" w:hAnsi="Arial"/>
          <w:b/>
        </w:rPr>
        <w:t>Autres fonctions du Comité</w:t>
      </w:r>
      <w:r w:rsidR="0042677B" w:rsidRPr="000D52D3">
        <w:rPr>
          <w:rFonts w:ascii="Arial" w:hAnsi="Arial"/>
          <w:b/>
        </w:rPr>
        <w:t> </w:t>
      </w:r>
      <w:r w:rsidRPr="000D52D3">
        <w:rPr>
          <w:rFonts w:ascii="Arial" w:hAnsi="Arial"/>
          <w:b/>
        </w:rPr>
        <w:t xml:space="preserve">» pour la période du </w:t>
      </w:r>
      <w:bookmarkStart w:id="12" w:name="_Hlk101340874"/>
      <w:r w:rsidRPr="000D52D3">
        <w:rPr>
          <w:rFonts w:ascii="Arial" w:hAnsi="Arial"/>
          <w:b/>
        </w:rPr>
        <w:t>1er</w:t>
      </w:r>
      <w:r w:rsidR="0042677B" w:rsidRPr="000D52D3">
        <w:rPr>
          <w:rFonts w:ascii="Arial" w:hAnsi="Arial"/>
          <w:b/>
        </w:rPr>
        <w:t> </w:t>
      </w:r>
      <w:r w:rsidRPr="000D52D3">
        <w:rPr>
          <w:rFonts w:ascii="Arial" w:hAnsi="Arial"/>
          <w:b/>
        </w:rPr>
        <w:t>janvier 2020 au 31</w:t>
      </w:r>
      <w:r w:rsidR="0042677B" w:rsidRPr="000D52D3">
        <w:rPr>
          <w:rFonts w:ascii="Arial" w:hAnsi="Arial"/>
          <w:b/>
        </w:rPr>
        <w:t> </w:t>
      </w:r>
      <w:r w:rsidRPr="000D52D3">
        <w:rPr>
          <w:rFonts w:ascii="Arial" w:hAnsi="Arial"/>
          <w:b/>
        </w:rPr>
        <w:t>décembre 2021</w:t>
      </w:r>
      <w:bookmarkEnd w:id="12"/>
      <w:r w:rsidR="0042677B" w:rsidRPr="000D52D3">
        <w:rPr>
          <w:rFonts w:ascii="Arial" w:hAnsi="Arial"/>
          <w:b/>
        </w:rPr>
        <w:t> </w:t>
      </w:r>
      <w:r w:rsidRPr="000D52D3">
        <w:rPr>
          <w:rFonts w:ascii="Arial" w:hAnsi="Arial"/>
          <w:b/>
        </w:rPr>
        <w:t>:</w:t>
      </w:r>
    </w:p>
    <w:p w14:paraId="04A3EFE6" w14:textId="30BBDF4B" w:rsidR="006A6C41" w:rsidRPr="000D52D3" w:rsidRDefault="006A6C41" w:rsidP="006A6C41">
      <w:pPr>
        <w:keepNext/>
        <w:spacing w:before="360"/>
        <w:jc w:val="both"/>
        <w:rPr>
          <w:rFonts w:ascii="Arial" w:hAnsi="Arial" w:cs="Arial"/>
          <w:b/>
          <w:bCs/>
          <w:szCs w:val="22"/>
        </w:rPr>
      </w:pPr>
      <w:r w:rsidRPr="000D52D3">
        <w:rPr>
          <w:rFonts w:ascii="Arial" w:hAnsi="Arial"/>
          <w:b/>
        </w:rPr>
        <w:t>Résultat escompté</w:t>
      </w:r>
      <w:r w:rsidR="0042677B" w:rsidRPr="000D52D3">
        <w:rPr>
          <w:rFonts w:ascii="Arial" w:hAnsi="Arial"/>
          <w:b/>
        </w:rPr>
        <w:t> </w:t>
      </w:r>
      <w:r w:rsidRPr="000D52D3">
        <w:rPr>
          <w:rFonts w:ascii="Arial" w:hAnsi="Arial"/>
          <w:b/>
        </w:rPr>
        <w:t>1</w:t>
      </w:r>
      <w:r w:rsidR="0042677B" w:rsidRPr="000D52D3">
        <w:rPr>
          <w:rFonts w:ascii="Arial" w:hAnsi="Arial"/>
          <w:b/>
        </w:rPr>
        <w:t> </w:t>
      </w:r>
      <w:r w:rsidRPr="000D52D3">
        <w:rPr>
          <w:rFonts w:ascii="Arial" w:hAnsi="Arial"/>
          <w:b/>
        </w:rPr>
        <w:t>:</w:t>
      </w:r>
      <w:r w:rsidR="00EF7B38" w:rsidRPr="000D52D3">
        <w:rPr>
          <w:rFonts w:ascii="Arial" w:hAnsi="Arial"/>
          <w:b/>
        </w:rPr>
        <w:t xml:space="preserve"> </w:t>
      </w:r>
      <w:r w:rsidRPr="000D52D3">
        <w:rPr>
          <w:rFonts w:ascii="Arial" w:hAnsi="Arial"/>
          <w:b/>
        </w:rPr>
        <w:t>Une bonne gouvernance de la Convention de 2003 facilitée par des services améliorés de contrôle et de gestion des connaissances</w:t>
      </w:r>
    </w:p>
    <w:p w14:paraId="2036F15F" w14:textId="50BB8D8B" w:rsidR="006A6C41" w:rsidRPr="000D52D3" w:rsidRDefault="006A6C41" w:rsidP="006A6C41">
      <w:pPr>
        <w:keepNext/>
        <w:numPr>
          <w:ilvl w:val="0"/>
          <w:numId w:val="25"/>
        </w:numPr>
        <w:spacing w:before="240" w:after="0"/>
        <w:ind w:left="284" w:hanging="284"/>
        <w:contextualSpacing/>
        <w:jc w:val="both"/>
        <w:rPr>
          <w:rFonts w:ascii="Arial" w:hAnsi="Arial" w:cs="Arial"/>
          <w:b/>
          <w:bCs/>
          <w:szCs w:val="22"/>
        </w:rPr>
      </w:pPr>
      <w:bookmarkStart w:id="13" w:name="_Hlk81489931"/>
      <w:r w:rsidRPr="000D52D3">
        <w:rPr>
          <w:rFonts w:ascii="Arial" w:hAnsi="Arial"/>
          <w:b/>
        </w:rPr>
        <w:t>Rapport de mise en œuvre pour la période du 1</w:t>
      </w:r>
      <w:r w:rsidR="0042677B" w:rsidRPr="000D52D3">
        <w:rPr>
          <w:rFonts w:ascii="Arial" w:hAnsi="Arial"/>
          <w:b/>
        </w:rPr>
        <w:t> </w:t>
      </w:r>
      <w:r w:rsidRPr="000D52D3">
        <w:rPr>
          <w:rFonts w:ascii="Arial" w:hAnsi="Arial"/>
          <w:b/>
        </w:rPr>
        <w:t>janvier 2020 au 31</w:t>
      </w:r>
      <w:r w:rsidR="0042677B" w:rsidRPr="000D52D3">
        <w:rPr>
          <w:rFonts w:ascii="Arial" w:hAnsi="Arial"/>
          <w:b/>
        </w:rPr>
        <w:t> </w:t>
      </w:r>
      <w:r w:rsidRPr="000D52D3">
        <w:rPr>
          <w:rFonts w:ascii="Arial" w:hAnsi="Arial"/>
          <w:b/>
        </w:rPr>
        <w:t>décembre 2021</w:t>
      </w:r>
    </w:p>
    <w:p w14:paraId="76D6806E" w14:textId="77777777" w:rsidR="006A6C41" w:rsidRPr="000D52D3" w:rsidRDefault="006A6C41" w:rsidP="00D80DFD">
      <w:pPr>
        <w:keepNext/>
        <w:spacing w:before="240" w:after="0"/>
        <w:contextualSpacing/>
        <w:jc w:val="both"/>
        <w:rPr>
          <w:rFonts w:ascii="Arial" w:hAnsi="Arial" w:cs="Arial"/>
          <w:b/>
          <w:bCs/>
          <w:szCs w:val="2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6A6C41" w:rsidRPr="000D52D3" w14:paraId="78C0D738" w14:textId="77777777" w:rsidTr="001D0AE3">
        <w:trPr>
          <w:jc w:val="center"/>
        </w:trPr>
        <w:tc>
          <w:tcPr>
            <w:tcW w:w="1999" w:type="pct"/>
            <w:shd w:val="clear" w:color="auto" w:fill="C6D9F1" w:themeFill="text2" w:themeFillTint="33"/>
            <w:vAlign w:val="center"/>
          </w:tcPr>
          <w:p w14:paraId="1E0A01A3" w14:textId="77777777" w:rsidR="006A6C41" w:rsidRPr="000D52D3" w:rsidRDefault="006A6C41" w:rsidP="006A6C41">
            <w:pPr>
              <w:keepNext/>
              <w:spacing w:before="120"/>
              <w:jc w:val="center"/>
              <w:rPr>
                <w:rFonts w:ascii="Arial" w:eastAsia="Calibri" w:hAnsi="Arial" w:cs="Arial"/>
                <w:b/>
                <w:sz w:val="20"/>
                <w:szCs w:val="20"/>
              </w:rPr>
            </w:pPr>
            <w:r w:rsidRPr="000D52D3">
              <w:rPr>
                <w:rFonts w:ascii="Arial" w:hAnsi="Arial"/>
                <w:b/>
                <w:sz w:val="20"/>
              </w:rPr>
              <w:t>Allocation</w:t>
            </w:r>
          </w:p>
        </w:tc>
        <w:tc>
          <w:tcPr>
            <w:tcW w:w="2118" w:type="pct"/>
            <w:shd w:val="clear" w:color="auto" w:fill="C6D9F1" w:themeFill="text2" w:themeFillTint="33"/>
            <w:vAlign w:val="center"/>
          </w:tcPr>
          <w:p w14:paraId="00ED7F7E" w14:textId="77777777"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Dépenses</w:t>
            </w:r>
          </w:p>
        </w:tc>
        <w:tc>
          <w:tcPr>
            <w:tcW w:w="883" w:type="pct"/>
            <w:shd w:val="clear" w:color="auto" w:fill="C6D9F1" w:themeFill="text2" w:themeFillTint="33"/>
            <w:vAlign w:val="center"/>
          </w:tcPr>
          <w:p w14:paraId="3240BDDF" w14:textId="29FA8562"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Taux de dépense (%)</w:t>
            </w:r>
            <w:r w:rsidRPr="000D52D3">
              <w:rPr>
                <w:rFonts w:ascii="Arial" w:hAnsi="Arial"/>
                <w:b/>
                <w:sz w:val="20"/>
              </w:rPr>
              <w:br/>
              <w:t>au 31/12/2021</w:t>
            </w:r>
          </w:p>
        </w:tc>
      </w:tr>
      <w:tr w:rsidR="006A6C41" w:rsidRPr="000D52D3" w14:paraId="0D706E50" w14:textId="77777777" w:rsidTr="001D0AE3">
        <w:trPr>
          <w:jc w:val="center"/>
        </w:trPr>
        <w:tc>
          <w:tcPr>
            <w:tcW w:w="1999" w:type="pct"/>
            <w:shd w:val="clear" w:color="auto" w:fill="auto"/>
          </w:tcPr>
          <w:p w14:paraId="190D886E" w14:textId="4E516E8E"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423</w:t>
            </w:r>
            <w:r w:rsidR="0042677B" w:rsidRPr="000D52D3">
              <w:rPr>
                <w:rFonts w:ascii="Arial" w:hAnsi="Arial"/>
                <w:sz w:val="20"/>
              </w:rPr>
              <w:t> </w:t>
            </w:r>
            <w:r w:rsidRPr="000D52D3">
              <w:rPr>
                <w:rFonts w:ascii="Arial" w:hAnsi="Arial"/>
                <w:sz w:val="20"/>
              </w:rPr>
              <w:t>380,00</w:t>
            </w:r>
          </w:p>
        </w:tc>
        <w:tc>
          <w:tcPr>
            <w:tcW w:w="2118" w:type="pct"/>
            <w:shd w:val="clear" w:color="auto" w:fill="auto"/>
          </w:tcPr>
          <w:p w14:paraId="3737903F" w14:textId="385D21F0"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238</w:t>
            </w:r>
            <w:r w:rsidR="0042677B" w:rsidRPr="000D52D3">
              <w:rPr>
                <w:rFonts w:ascii="Arial" w:hAnsi="Arial"/>
                <w:sz w:val="20"/>
              </w:rPr>
              <w:t> </w:t>
            </w:r>
            <w:r w:rsidRPr="000D52D3">
              <w:rPr>
                <w:rFonts w:ascii="Arial" w:hAnsi="Arial"/>
                <w:sz w:val="20"/>
              </w:rPr>
              <w:t>756,47</w:t>
            </w:r>
          </w:p>
        </w:tc>
        <w:tc>
          <w:tcPr>
            <w:tcW w:w="883" w:type="pct"/>
            <w:shd w:val="clear" w:color="auto" w:fill="auto"/>
          </w:tcPr>
          <w:p w14:paraId="69A581C6" w14:textId="6420F914"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56,4</w:t>
            </w:r>
            <w:r w:rsidR="0042677B" w:rsidRPr="000D52D3">
              <w:rPr>
                <w:rFonts w:ascii="Arial" w:hAnsi="Arial"/>
                <w:sz w:val="20"/>
              </w:rPr>
              <w:t> </w:t>
            </w:r>
            <w:r w:rsidRPr="000D52D3">
              <w:rPr>
                <w:rFonts w:ascii="Arial" w:hAnsi="Arial"/>
                <w:sz w:val="20"/>
              </w:rPr>
              <w:t>%</w:t>
            </w:r>
          </w:p>
        </w:tc>
      </w:tr>
    </w:tbl>
    <w:p w14:paraId="2D449D53" w14:textId="77777777" w:rsidR="006A6C41" w:rsidRPr="000D52D3" w:rsidRDefault="006A6C41" w:rsidP="006A6C41">
      <w:pPr>
        <w:spacing w:after="0"/>
        <w:rPr>
          <w:rFonts w:ascii="Arial" w:hAnsi="Arial" w:cs="Arial"/>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835"/>
      </w:tblGrid>
      <w:tr w:rsidR="006A6C41" w:rsidRPr="000D52D3" w14:paraId="00B3C35C" w14:textId="77777777" w:rsidTr="001D0AE3">
        <w:trPr>
          <w:tblHeader/>
          <w:jc w:val="center"/>
        </w:trPr>
        <w:tc>
          <w:tcPr>
            <w:tcW w:w="6803" w:type="dxa"/>
            <w:shd w:val="clear" w:color="auto" w:fill="D9D9D9"/>
            <w:vAlign w:val="center"/>
          </w:tcPr>
          <w:p w14:paraId="3C543DB6" w14:textId="32721A63"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des résultats</w:t>
            </w:r>
            <w:r w:rsidR="0042677B" w:rsidRPr="000D52D3">
              <w:rPr>
                <w:rFonts w:ascii="Arial" w:hAnsi="Arial"/>
                <w:b/>
                <w:sz w:val="20"/>
              </w:rPr>
              <w:t> </w:t>
            </w:r>
            <w:r w:rsidRPr="000D52D3">
              <w:rPr>
                <w:rFonts w:ascii="Arial" w:hAnsi="Arial"/>
                <w:b/>
                <w:sz w:val="20"/>
              </w:rPr>
              <w:t>:</w:t>
            </w:r>
            <w:r w:rsidRPr="000D52D3">
              <w:rPr>
                <w:rFonts w:ascii="Arial" w:hAnsi="Arial"/>
                <w:b/>
                <w:sz w:val="20"/>
              </w:rPr>
              <w:br/>
              <w:t>du 01/01/2020 au 31/12/2021</w:t>
            </w:r>
          </w:p>
        </w:tc>
        <w:tc>
          <w:tcPr>
            <w:tcW w:w="2835" w:type="dxa"/>
            <w:shd w:val="clear" w:color="auto" w:fill="D9D9D9"/>
            <w:vAlign w:val="center"/>
          </w:tcPr>
          <w:p w14:paraId="06D050AD" w14:textId="77777777"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 la mise en œuvre</w:t>
            </w:r>
          </w:p>
        </w:tc>
      </w:tr>
      <w:tr w:rsidR="006A6C41" w:rsidRPr="000D52D3" w14:paraId="549BDEA4" w14:textId="77777777" w:rsidTr="00D80DFD">
        <w:trPr>
          <w:jc w:val="center"/>
        </w:trPr>
        <w:tc>
          <w:tcPr>
            <w:tcW w:w="6803" w:type="dxa"/>
            <w:shd w:val="clear" w:color="auto" w:fill="auto"/>
          </w:tcPr>
          <w:p w14:paraId="0B5A50FB" w14:textId="77777777"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t>Optimisation des processus et délais de réaction grâce aux interfaces de suivi et aux flux de travail en ligne</w:t>
            </w:r>
          </w:p>
          <w:p w14:paraId="22E15546" w14:textId="4EB34EFF"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w:t>
            </w:r>
            <w:r w:rsidR="00CB437A" w:rsidRPr="000D52D3">
              <w:rPr>
                <w:rFonts w:ascii="Arial" w:hAnsi="Arial"/>
                <w:sz w:val="20"/>
              </w:rPr>
              <w:t>’</w:t>
            </w:r>
            <w:r w:rsidRPr="000D52D3">
              <w:rPr>
                <w:rFonts w:ascii="Arial" w:hAnsi="Arial"/>
                <w:sz w:val="20"/>
              </w:rPr>
              <w:t>interface en ligne de l</w:t>
            </w:r>
            <w:r w:rsidR="00CB437A" w:rsidRPr="000D52D3">
              <w:rPr>
                <w:rFonts w:ascii="Arial" w:hAnsi="Arial"/>
                <w:sz w:val="20"/>
              </w:rPr>
              <w:t>’</w:t>
            </w:r>
            <w:r w:rsidRPr="000D52D3">
              <w:rPr>
                <w:rFonts w:ascii="Arial" w:hAnsi="Arial"/>
                <w:sz w:val="20"/>
              </w:rPr>
              <w:t>Organe d</w:t>
            </w:r>
            <w:r w:rsidR="00CB437A" w:rsidRPr="000D52D3">
              <w:rPr>
                <w:rFonts w:ascii="Arial" w:hAnsi="Arial"/>
                <w:sz w:val="20"/>
              </w:rPr>
              <w:t>’</w:t>
            </w:r>
            <w:r w:rsidRPr="000D52D3">
              <w:rPr>
                <w:rFonts w:ascii="Arial" w:hAnsi="Arial"/>
                <w:sz w:val="20"/>
              </w:rPr>
              <w:t>évaluation a été améliorée de sorte à faciliter le travail de ce dernier par des moyens en ligne, y compris la possibilité de consulter les textes d</w:t>
            </w:r>
            <w:r w:rsidR="00CB437A" w:rsidRPr="000D52D3">
              <w:rPr>
                <w:rFonts w:ascii="Arial" w:hAnsi="Arial"/>
                <w:sz w:val="20"/>
              </w:rPr>
              <w:t>’</w:t>
            </w:r>
            <w:r w:rsidRPr="000D52D3">
              <w:rPr>
                <w:rFonts w:ascii="Arial" w:hAnsi="Arial"/>
                <w:sz w:val="20"/>
              </w:rPr>
              <w:t>évaluation de chacun et d</w:t>
            </w:r>
            <w:r w:rsidR="00CB437A" w:rsidRPr="000D52D3">
              <w:rPr>
                <w:rFonts w:ascii="Arial" w:hAnsi="Arial"/>
                <w:sz w:val="20"/>
              </w:rPr>
              <w:t>’</w:t>
            </w:r>
            <w:r w:rsidRPr="000D52D3">
              <w:rPr>
                <w:rFonts w:ascii="Arial" w:hAnsi="Arial"/>
                <w:sz w:val="20"/>
              </w:rPr>
              <w:t>échanger entre les réunions.</w:t>
            </w:r>
          </w:p>
          <w:p w14:paraId="3991243A" w14:textId="7097CEE6"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Développement d</w:t>
            </w:r>
            <w:r w:rsidR="00CB437A" w:rsidRPr="000D52D3">
              <w:rPr>
                <w:rFonts w:ascii="Arial" w:hAnsi="Arial"/>
                <w:sz w:val="20"/>
              </w:rPr>
              <w:t>’</w:t>
            </w:r>
            <w:r w:rsidRPr="000D52D3">
              <w:rPr>
                <w:rFonts w:ascii="Arial" w:hAnsi="Arial"/>
                <w:sz w:val="20"/>
              </w:rPr>
              <w:t>un outil en ligne visant à enrichir le travail du Comité et de l</w:t>
            </w:r>
            <w:r w:rsidR="00CB437A" w:rsidRPr="000D52D3">
              <w:rPr>
                <w:rFonts w:ascii="Arial" w:hAnsi="Arial"/>
                <w:sz w:val="20"/>
              </w:rPr>
              <w:t>’</w:t>
            </w:r>
            <w:r w:rsidRPr="000D52D3">
              <w:rPr>
                <w:rFonts w:ascii="Arial" w:hAnsi="Arial"/>
                <w:sz w:val="20"/>
              </w:rPr>
              <w:t>Assemblée générale (événements parallèles en ligne ou physiques, publications, etc.)</w:t>
            </w:r>
          </w:p>
        </w:tc>
        <w:tc>
          <w:tcPr>
            <w:tcW w:w="2835" w:type="dxa"/>
          </w:tcPr>
          <w:p w14:paraId="10279356" w14:textId="77777777" w:rsidR="006A6C41" w:rsidRPr="000D52D3" w:rsidRDefault="006A6C41">
            <w:pPr>
              <w:spacing w:after="60"/>
              <w:jc w:val="center"/>
              <w:rPr>
                <w:rFonts w:ascii="Arial" w:eastAsia="Calibri" w:hAnsi="Arial" w:cs="Arial"/>
                <w:sz w:val="20"/>
                <w:szCs w:val="20"/>
              </w:rPr>
            </w:pPr>
          </w:p>
          <w:p w14:paraId="594C0655" w14:textId="77777777" w:rsidR="006A6C41" w:rsidRPr="000D52D3" w:rsidRDefault="006A6C41">
            <w:pPr>
              <w:spacing w:after="60"/>
              <w:jc w:val="center"/>
              <w:rPr>
                <w:rFonts w:ascii="Arial" w:eastAsia="Calibri" w:hAnsi="Arial" w:cs="Arial"/>
                <w:sz w:val="20"/>
                <w:szCs w:val="20"/>
              </w:rPr>
            </w:pPr>
            <w:r w:rsidRPr="000D52D3">
              <w:rPr>
                <w:rFonts w:ascii="Arial" w:hAnsi="Arial"/>
                <w:sz w:val="20"/>
              </w:rPr>
              <w:t>Accompli</w:t>
            </w:r>
          </w:p>
        </w:tc>
      </w:tr>
      <w:tr w:rsidR="006A6C41" w:rsidRPr="000D52D3" w14:paraId="4B950ADE" w14:textId="77777777" w:rsidTr="00D80DFD">
        <w:trPr>
          <w:jc w:val="center"/>
        </w:trPr>
        <w:tc>
          <w:tcPr>
            <w:tcW w:w="6803" w:type="dxa"/>
            <w:shd w:val="clear" w:color="auto" w:fill="auto"/>
          </w:tcPr>
          <w:p w14:paraId="7AB92BC4" w14:textId="0AE95375" w:rsidR="006A6C41" w:rsidRPr="000D52D3" w:rsidRDefault="006A6C41" w:rsidP="006A6C41">
            <w:pPr>
              <w:keepNext/>
              <w:spacing w:before="60" w:after="60"/>
              <w:jc w:val="both"/>
              <w:rPr>
                <w:rFonts w:ascii="Arial" w:eastAsia="Calibri" w:hAnsi="Arial" w:cs="Arial"/>
                <w:b/>
                <w:bCs/>
                <w:sz w:val="20"/>
                <w:szCs w:val="20"/>
              </w:rPr>
            </w:pPr>
            <w:r w:rsidRPr="000D52D3">
              <w:rPr>
                <w:rFonts w:ascii="Arial" w:hAnsi="Arial"/>
                <w:b/>
                <w:sz w:val="20"/>
              </w:rPr>
              <w:lastRenderedPageBreak/>
              <w:t>Démonstration de l</w:t>
            </w:r>
            <w:r w:rsidR="00CB437A" w:rsidRPr="000D52D3">
              <w:rPr>
                <w:rFonts w:ascii="Arial" w:hAnsi="Arial"/>
                <w:b/>
                <w:sz w:val="20"/>
              </w:rPr>
              <w:t>’</w:t>
            </w:r>
            <w:r w:rsidRPr="000D52D3">
              <w:rPr>
                <w:rFonts w:ascii="Arial" w:hAnsi="Arial"/>
                <w:b/>
                <w:sz w:val="20"/>
              </w:rPr>
              <w:t>importance de la sauvegarde du patrimoine vivant pour le développement durable.</w:t>
            </w:r>
          </w:p>
          <w:p w14:paraId="2CD0F783" w14:textId="329F966B" w:rsidR="006A6C41" w:rsidRPr="000D52D3" w:rsidRDefault="006A6C41" w:rsidP="006A6C41">
            <w:pPr>
              <w:keepNext/>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Indexation et visualisation des données sur la contribution du patrimoine culturel immatériel aux Objectifs de développement durable</w:t>
            </w:r>
            <w:r w:rsidR="00614BF3" w:rsidRPr="000D52D3">
              <w:rPr>
                <w:rFonts w:ascii="Arial" w:hAnsi="Arial"/>
                <w:sz w:val="20"/>
              </w:rPr>
              <w:t xml:space="preserve"> (ODD)</w:t>
            </w:r>
            <w:r w:rsidRPr="000D52D3">
              <w:rPr>
                <w:rFonts w:ascii="Arial" w:hAnsi="Arial"/>
                <w:sz w:val="20"/>
              </w:rPr>
              <w:t xml:space="preserve"> opérationnelles et disponibles en deux langues (anglais et français) sur le site de la Convention.</w:t>
            </w:r>
          </w:p>
        </w:tc>
        <w:tc>
          <w:tcPr>
            <w:tcW w:w="2835" w:type="dxa"/>
          </w:tcPr>
          <w:p w14:paraId="67B4396D" w14:textId="77777777" w:rsidR="006A6C41" w:rsidRPr="000D52D3" w:rsidRDefault="006A6C41">
            <w:pPr>
              <w:spacing w:after="60"/>
              <w:jc w:val="center"/>
              <w:rPr>
                <w:rFonts w:ascii="Arial" w:eastAsia="Calibri" w:hAnsi="Arial" w:cs="Arial"/>
                <w:sz w:val="20"/>
                <w:szCs w:val="20"/>
              </w:rPr>
            </w:pPr>
          </w:p>
          <w:p w14:paraId="080BE677" w14:textId="77777777" w:rsidR="006A6C41" w:rsidRPr="000D52D3" w:rsidRDefault="006A6C41">
            <w:pPr>
              <w:spacing w:after="60"/>
              <w:jc w:val="center"/>
              <w:rPr>
                <w:rFonts w:ascii="Arial" w:eastAsia="Calibri" w:hAnsi="Arial" w:cs="Arial"/>
                <w:sz w:val="20"/>
                <w:szCs w:val="20"/>
              </w:rPr>
            </w:pPr>
            <w:r w:rsidRPr="000D52D3">
              <w:rPr>
                <w:rFonts w:ascii="Arial" w:hAnsi="Arial"/>
                <w:sz w:val="20"/>
              </w:rPr>
              <w:t>Accompli</w:t>
            </w:r>
          </w:p>
        </w:tc>
      </w:tr>
      <w:tr w:rsidR="006C5A7F" w:rsidRPr="000D52D3" w14:paraId="30A23764" w14:textId="77777777" w:rsidTr="00D80DFD">
        <w:trPr>
          <w:jc w:val="center"/>
        </w:trPr>
        <w:tc>
          <w:tcPr>
            <w:tcW w:w="6803" w:type="dxa"/>
            <w:shd w:val="clear" w:color="auto" w:fill="auto"/>
          </w:tcPr>
          <w:p w14:paraId="39254B16" w14:textId="34335365" w:rsidR="006C5A7F" w:rsidRPr="000D52D3" w:rsidRDefault="006C5A7F" w:rsidP="00880749">
            <w:pPr>
              <w:keepNext/>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Réalisation de travaux préparatoires au service d</w:t>
            </w:r>
            <w:r w:rsidR="00CB437A" w:rsidRPr="000D52D3">
              <w:rPr>
                <w:rFonts w:ascii="Arial" w:hAnsi="Arial"/>
                <w:sz w:val="20"/>
              </w:rPr>
              <w:t>’</w:t>
            </w:r>
            <w:r w:rsidRPr="000D52D3">
              <w:rPr>
                <w:rFonts w:ascii="Arial" w:hAnsi="Arial"/>
                <w:sz w:val="20"/>
              </w:rPr>
              <w:t xml:space="preserve">initiatives thématiques sur (i) les aspects économiques de la sauvegarde du patrimoine culturel immatériel, (ii) le changement climatique et le patrimoine culturel immatériel et (iii) le patrimoine culturel immatériel dans les contextes urbains. </w:t>
            </w:r>
          </w:p>
        </w:tc>
        <w:tc>
          <w:tcPr>
            <w:tcW w:w="2835" w:type="dxa"/>
          </w:tcPr>
          <w:p w14:paraId="1E1AE7C1" w14:textId="301323C2" w:rsidR="006C5A7F" w:rsidRPr="000D52D3" w:rsidRDefault="006C5A7F">
            <w:pPr>
              <w:spacing w:before="120" w:after="60"/>
              <w:jc w:val="center"/>
              <w:rPr>
                <w:rFonts w:ascii="Arial" w:eastAsia="Calibri" w:hAnsi="Arial" w:cs="Arial"/>
                <w:sz w:val="20"/>
                <w:szCs w:val="20"/>
              </w:rPr>
            </w:pPr>
            <w:r w:rsidRPr="000D52D3">
              <w:rPr>
                <w:rFonts w:ascii="Arial" w:hAnsi="Arial"/>
                <w:sz w:val="20"/>
              </w:rPr>
              <w:t>Partiellement réalisé au moyen d</w:t>
            </w:r>
            <w:r w:rsidR="00CB437A" w:rsidRPr="000D52D3">
              <w:rPr>
                <w:rFonts w:ascii="Arial" w:hAnsi="Arial"/>
                <w:sz w:val="20"/>
              </w:rPr>
              <w:t>’</w:t>
            </w:r>
            <w:r w:rsidRPr="000D52D3">
              <w:rPr>
                <w:rFonts w:ascii="Arial" w:hAnsi="Arial"/>
                <w:sz w:val="20"/>
              </w:rPr>
              <w:t>une autre source de financement</w:t>
            </w:r>
          </w:p>
          <w:p w14:paraId="66BE6128" w14:textId="694F89B0" w:rsidR="006C5A7F" w:rsidRPr="000D52D3" w:rsidRDefault="006C5A7F">
            <w:pPr>
              <w:spacing w:after="60"/>
              <w:jc w:val="center"/>
              <w:rPr>
                <w:rFonts w:ascii="Arial" w:eastAsia="Calibri" w:hAnsi="Arial" w:cs="Arial"/>
                <w:sz w:val="20"/>
                <w:szCs w:val="20"/>
              </w:rPr>
            </w:pPr>
          </w:p>
        </w:tc>
      </w:tr>
      <w:tr w:rsidR="006A6C41" w:rsidRPr="000D52D3" w14:paraId="41129763" w14:textId="77777777" w:rsidTr="00D80DFD">
        <w:trPr>
          <w:jc w:val="center"/>
        </w:trPr>
        <w:tc>
          <w:tcPr>
            <w:tcW w:w="6803" w:type="dxa"/>
            <w:shd w:val="clear" w:color="auto" w:fill="auto"/>
          </w:tcPr>
          <w:p w14:paraId="2FCEC3DC" w14:textId="77777777" w:rsidR="006A6C41" w:rsidRPr="000D52D3" w:rsidRDefault="006A6C41" w:rsidP="006A6C41">
            <w:pPr>
              <w:keepNext/>
              <w:spacing w:before="60" w:after="60"/>
              <w:jc w:val="both"/>
              <w:rPr>
                <w:rFonts w:ascii="Arial" w:eastAsia="Calibri" w:hAnsi="Arial" w:cs="Arial"/>
                <w:b/>
                <w:bCs/>
                <w:sz w:val="20"/>
                <w:szCs w:val="20"/>
              </w:rPr>
            </w:pPr>
            <w:r w:rsidRPr="000D52D3">
              <w:rPr>
                <w:rFonts w:ascii="Arial" w:hAnsi="Arial"/>
                <w:b/>
                <w:sz w:val="20"/>
              </w:rPr>
              <w:t>Renforcement des interactions avec les principales parties prenantes pour de meilleures synergies</w:t>
            </w:r>
          </w:p>
          <w:p w14:paraId="73E99518" w14:textId="1C228ED7" w:rsidR="006A6C41" w:rsidRPr="000D52D3" w:rsidRDefault="006A6C41" w:rsidP="00C9513F">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Cartographie des domaines de compétences des organisations non gouvernementales (ONG) accréditées, réalisée en coopération avec le Forum des ONG du PCI, sur la base des demandes d</w:t>
            </w:r>
            <w:r w:rsidR="00CB437A" w:rsidRPr="000D52D3">
              <w:rPr>
                <w:rFonts w:ascii="Arial" w:hAnsi="Arial"/>
                <w:sz w:val="20"/>
              </w:rPr>
              <w:t>’</w:t>
            </w:r>
            <w:r w:rsidRPr="000D52D3">
              <w:rPr>
                <w:rFonts w:ascii="Arial" w:hAnsi="Arial"/>
                <w:sz w:val="20"/>
              </w:rPr>
              <w:t>accréditation et des rapports soumis par les ONG, ainsi que d</w:t>
            </w:r>
            <w:r w:rsidR="00CB437A" w:rsidRPr="000D52D3">
              <w:rPr>
                <w:rFonts w:ascii="Arial" w:hAnsi="Arial"/>
                <w:sz w:val="20"/>
              </w:rPr>
              <w:t>’</w:t>
            </w:r>
            <w:r w:rsidRPr="000D52D3">
              <w:rPr>
                <w:rFonts w:ascii="Arial" w:hAnsi="Arial"/>
                <w:sz w:val="20"/>
              </w:rPr>
              <w:t>entretiens et d</w:t>
            </w:r>
            <w:r w:rsidR="00CB437A" w:rsidRPr="000D52D3">
              <w:rPr>
                <w:rFonts w:ascii="Arial" w:hAnsi="Arial"/>
                <w:sz w:val="20"/>
              </w:rPr>
              <w:t>’</w:t>
            </w:r>
            <w:r w:rsidRPr="000D52D3">
              <w:rPr>
                <w:rFonts w:ascii="Arial" w:hAnsi="Arial"/>
                <w:sz w:val="20"/>
              </w:rPr>
              <w:t>une enquête en ligne.</w:t>
            </w:r>
          </w:p>
        </w:tc>
        <w:tc>
          <w:tcPr>
            <w:tcW w:w="2835" w:type="dxa"/>
          </w:tcPr>
          <w:p w14:paraId="6309BF2A" w14:textId="77777777" w:rsidR="006A6C41" w:rsidRPr="000D52D3" w:rsidRDefault="006A6C41">
            <w:pPr>
              <w:spacing w:after="60"/>
              <w:jc w:val="center"/>
              <w:rPr>
                <w:rFonts w:ascii="Arial" w:eastAsia="Calibri" w:hAnsi="Arial" w:cs="Arial"/>
                <w:sz w:val="20"/>
                <w:szCs w:val="20"/>
              </w:rPr>
            </w:pPr>
          </w:p>
          <w:p w14:paraId="07F79B6F" w14:textId="77777777" w:rsidR="006A6C41" w:rsidRPr="000D52D3" w:rsidRDefault="006A6C41">
            <w:pPr>
              <w:spacing w:after="60"/>
              <w:jc w:val="center"/>
              <w:rPr>
                <w:rFonts w:ascii="Arial" w:eastAsia="Calibri" w:hAnsi="Arial" w:cs="Arial"/>
                <w:sz w:val="20"/>
                <w:szCs w:val="20"/>
              </w:rPr>
            </w:pPr>
            <w:r w:rsidRPr="000D52D3">
              <w:rPr>
                <w:rFonts w:ascii="Arial" w:hAnsi="Arial"/>
                <w:sz w:val="20"/>
              </w:rPr>
              <w:t>Accompli</w:t>
            </w:r>
          </w:p>
        </w:tc>
      </w:tr>
      <w:tr w:rsidR="00F9477C" w:rsidRPr="000D52D3" w14:paraId="1B60E377" w14:textId="77777777" w:rsidTr="00D80DFD">
        <w:trPr>
          <w:jc w:val="center"/>
        </w:trPr>
        <w:tc>
          <w:tcPr>
            <w:tcW w:w="6803" w:type="dxa"/>
            <w:shd w:val="clear" w:color="auto" w:fill="auto"/>
          </w:tcPr>
          <w:p w14:paraId="347E2F0F" w14:textId="7D34EA42" w:rsidR="00F9477C" w:rsidRPr="000D52D3" w:rsidRDefault="00F9477C" w:rsidP="00880749">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Élaboration en cours d</w:t>
            </w:r>
            <w:r w:rsidR="00CB437A" w:rsidRPr="000D52D3">
              <w:rPr>
                <w:rFonts w:ascii="Arial" w:hAnsi="Arial"/>
                <w:sz w:val="20"/>
              </w:rPr>
              <w:t>’</w:t>
            </w:r>
            <w:r w:rsidRPr="000D52D3">
              <w:rPr>
                <w:rFonts w:ascii="Arial" w:hAnsi="Arial"/>
                <w:sz w:val="20"/>
              </w:rPr>
              <w:t>une stratégie visant à renforcer les mécanismes d</w:t>
            </w:r>
            <w:r w:rsidR="00CB437A" w:rsidRPr="000D52D3">
              <w:rPr>
                <w:rFonts w:ascii="Arial" w:hAnsi="Arial"/>
                <w:sz w:val="20"/>
              </w:rPr>
              <w:t>’</w:t>
            </w:r>
            <w:r w:rsidRPr="000D52D3">
              <w:rPr>
                <w:rFonts w:ascii="Arial" w:hAnsi="Arial"/>
                <w:sz w:val="20"/>
              </w:rPr>
              <w:t>assistance internationale, notamment par la publication d</w:t>
            </w:r>
            <w:r w:rsidR="00CB437A" w:rsidRPr="000D52D3">
              <w:rPr>
                <w:rFonts w:ascii="Arial" w:hAnsi="Arial"/>
                <w:sz w:val="20"/>
              </w:rPr>
              <w:t>’</w:t>
            </w:r>
            <w:r w:rsidRPr="000D52D3">
              <w:rPr>
                <w:rFonts w:ascii="Arial" w:hAnsi="Arial"/>
                <w:sz w:val="20"/>
              </w:rPr>
              <w:t>une boîte à outils dédiée à la communication en décembre 2021.</w:t>
            </w:r>
          </w:p>
        </w:tc>
        <w:tc>
          <w:tcPr>
            <w:tcW w:w="2835" w:type="dxa"/>
          </w:tcPr>
          <w:p w14:paraId="67E01A61" w14:textId="4EC9562D" w:rsidR="00F9477C" w:rsidRPr="000D52D3" w:rsidRDefault="00F9477C">
            <w:pPr>
              <w:spacing w:before="120" w:after="60"/>
              <w:jc w:val="center"/>
              <w:rPr>
                <w:rFonts w:ascii="Arial" w:eastAsia="Calibri" w:hAnsi="Arial" w:cs="Arial"/>
                <w:sz w:val="20"/>
                <w:szCs w:val="20"/>
              </w:rPr>
            </w:pPr>
            <w:r w:rsidRPr="000D52D3">
              <w:rPr>
                <w:rFonts w:ascii="Arial" w:hAnsi="Arial"/>
                <w:sz w:val="20"/>
              </w:rPr>
              <w:t>Accompli à l</w:t>
            </w:r>
            <w:r w:rsidR="00CB437A" w:rsidRPr="000D52D3">
              <w:rPr>
                <w:rFonts w:ascii="Arial" w:hAnsi="Arial"/>
                <w:sz w:val="20"/>
              </w:rPr>
              <w:t>’</w:t>
            </w:r>
            <w:r w:rsidRPr="000D52D3">
              <w:rPr>
                <w:rFonts w:ascii="Arial" w:hAnsi="Arial"/>
                <w:sz w:val="20"/>
              </w:rPr>
              <w:t>aide d</w:t>
            </w:r>
            <w:r w:rsidR="00CB437A" w:rsidRPr="000D52D3">
              <w:rPr>
                <w:rFonts w:ascii="Arial" w:hAnsi="Arial"/>
                <w:sz w:val="20"/>
              </w:rPr>
              <w:t>’</w:t>
            </w:r>
            <w:r w:rsidRPr="000D52D3">
              <w:rPr>
                <w:rFonts w:ascii="Arial" w:hAnsi="Arial"/>
                <w:sz w:val="20"/>
              </w:rPr>
              <w:t>une source de financement différente</w:t>
            </w:r>
          </w:p>
        </w:tc>
      </w:tr>
      <w:tr w:rsidR="006A6C41" w:rsidRPr="000D52D3" w14:paraId="5684C983" w14:textId="77777777" w:rsidTr="00D80DFD">
        <w:trPr>
          <w:jc w:val="center"/>
        </w:trPr>
        <w:tc>
          <w:tcPr>
            <w:tcW w:w="6803" w:type="dxa"/>
            <w:shd w:val="clear" w:color="auto" w:fill="auto"/>
          </w:tcPr>
          <w:p w14:paraId="0146954C" w14:textId="77777777" w:rsidR="006A6C41" w:rsidRPr="000D52D3" w:rsidRDefault="006A6C41" w:rsidP="006A6C41">
            <w:pPr>
              <w:keepNext/>
              <w:spacing w:before="60" w:after="60"/>
              <w:jc w:val="both"/>
              <w:rPr>
                <w:rFonts w:ascii="Arial" w:eastAsia="Calibri" w:hAnsi="Arial" w:cs="Arial"/>
                <w:b/>
                <w:bCs/>
                <w:sz w:val="20"/>
                <w:szCs w:val="20"/>
              </w:rPr>
            </w:pPr>
            <w:r w:rsidRPr="000D52D3">
              <w:rPr>
                <w:rFonts w:ascii="Arial" w:hAnsi="Arial"/>
                <w:b/>
                <w:sz w:val="20"/>
              </w:rPr>
              <w:t>Textes fondamentaux de la Convention révisés et publiés</w:t>
            </w:r>
          </w:p>
          <w:p w14:paraId="0BDA4068" w14:textId="06CD24A9" w:rsidR="006A6C41" w:rsidRPr="000D52D3" w:rsidRDefault="006A6C41" w:rsidP="00A154E3">
            <w:pPr>
              <w:keepNext/>
              <w:numPr>
                <w:ilvl w:val="0"/>
                <w:numId w:val="28"/>
              </w:numPr>
              <w:spacing w:before="60" w:after="60"/>
              <w:ind w:left="307" w:hanging="284"/>
              <w:jc w:val="both"/>
              <w:rPr>
                <w:rFonts w:ascii="Arial" w:eastAsia="Calibri" w:hAnsi="Arial" w:cs="Arial"/>
                <w:b/>
                <w:bCs/>
                <w:sz w:val="20"/>
                <w:szCs w:val="20"/>
              </w:rPr>
            </w:pPr>
            <w:r w:rsidRPr="000D52D3">
              <w:rPr>
                <w:rFonts w:ascii="Arial" w:hAnsi="Arial"/>
                <w:sz w:val="20"/>
              </w:rPr>
              <w:t>Édition</w:t>
            </w:r>
            <w:r w:rsidR="0042677B" w:rsidRPr="000D52D3">
              <w:rPr>
                <w:rFonts w:ascii="Arial" w:hAnsi="Arial"/>
                <w:sz w:val="20"/>
              </w:rPr>
              <w:t> </w:t>
            </w:r>
            <w:r w:rsidRPr="000D52D3">
              <w:rPr>
                <w:rFonts w:ascii="Arial" w:hAnsi="Arial"/>
                <w:sz w:val="20"/>
              </w:rPr>
              <w:t>2020 des Textes fondamentaux de la Convention conçus, édités et publiés dans les six langues de travail de l</w:t>
            </w:r>
            <w:r w:rsidR="00CB437A" w:rsidRPr="000D52D3">
              <w:rPr>
                <w:rFonts w:ascii="Arial" w:hAnsi="Arial"/>
                <w:sz w:val="20"/>
              </w:rPr>
              <w:t>’</w:t>
            </w:r>
            <w:r w:rsidRPr="000D52D3">
              <w:rPr>
                <w:rFonts w:ascii="Arial" w:hAnsi="Arial"/>
                <w:sz w:val="20"/>
              </w:rPr>
              <w:t>Assemblée générale. Cette version intègre les amendements aux directives opérationnelles adoptés par la huitième session de l</w:t>
            </w:r>
            <w:r w:rsidR="00CB437A" w:rsidRPr="000D52D3">
              <w:rPr>
                <w:rFonts w:ascii="Arial" w:hAnsi="Arial"/>
                <w:sz w:val="20"/>
              </w:rPr>
              <w:t>’</w:t>
            </w:r>
            <w:r w:rsidRPr="000D52D3">
              <w:rPr>
                <w:rFonts w:ascii="Arial" w:hAnsi="Arial"/>
                <w:sz w:val="20"/>
              </w:rPr>
              <w:t xml:space="preserve">Assemblée générale. </w:t>
            </w:r>
          </w:p>
        </w:tc>
        <w:tc>
          <w:tcPr>
            <w:tcW w:w="2835" w:type="dxa"/>
          </w:tcPr>
          <w:p w14:paraId="36E4EF13" w14:textId="77777777" w:rsidR="00BF0E9E" w:rsidRPr="000D52D3" w:rsidRDefault="00BF0E9E">
            <w:pPr>
              <w:spacing w:after="60"/>
              <w:jc w:val="center"/>
              <w:rPr>
                <w:rFonts w:ascii="Arial" w:eastAsia="Calibri" w:hAnsi="Arial" w:cs="Arial"/>
                <w:sz w:val="20"/>
                <w:szCs w:val="20"/>
              </w:rPr>
            </w:pPr>
          </w:p>
          <w:p w14:paraId="4EE5874F" w14:textId="0064D250" w:rsidR="006A6C41" w:rsidRPr="000D52D3" w:rsidRDefault="006A6C41">
            <w:pPr>
              <w:spacing w:after="60"/>
              <w:jc w:val="center"/>
              <w:rPr>
                <w:rFonts w:ascii="Arial" w:eastAsia="Calibri" w:hAnsi="Arial" w:cs="Arial"/>
                <w:sz w:val="20"/>
                <w:szCs w:val="20"/>
              </w:rPr>
            </w:pPr>
            <w:r w:rsidRPr="000D52D3">
              <w:rPr>
                <w:rFonts w:ascii="Arial" w:hAnsi="Arial"/>
                <w:sz w:val="20"/>
              </w:rPr>
              <w:t>Accompli</w:t>
            </w:r>
          </w:p>
        </w:tc>
      </w:tr>
    </w:tbl>
    <w:p w14:paraId="3F3386A6" w14:textId="77777777" w:rsidR="006A6C41" w:rsidRPr="000D52D3" w:rsidRDefault="006A6C41" w:rsidP="00A154E3">
      <w:pPr>
        <w:keepNext/>
        <w:numPr>
          <w:ilvl w:val="0"/>
          <w:numId w:val="25"/>
        </w:numPr>
        <w:spacing w:before="240" w:after="0"/>
        <w:ind w:left="284" w:hanging="284"/>
        <w:rPr>
          <w:rFonts w:ascii="Arial" w:hAnsi="Arial" w:cs="Arial"/>
          <w:b/>
          <w:szCs w:val="22"/>
        </w:rPr>
      </w:pPr>
      <w:r w:rsidRPr="000D52D3">
        <w:rPr>
          <w:rFonts w:ascii="Arial" w:hAnsi="Arial"/>
          <w:b/>
        </w:rPr>
        <w:t>Défis et risques rencontrés dans la mise en œuvre et mesures correctives (2020/2021)</w:t>
      </w:r>
    </w:p>
    <w:p w14:paraId="36C162E6" w14:textId="77777777" w:rsidR="006A6C41" w:rsidRPr="000D52D3" w:rsidRDefault="006A6C41" w:rsidP="006A6C41">
      <w:pPr>
        <w:keepNext/>
        <w:spacing w:before="240" w:after="0"/>
        <w:ind w:left="284"/>
        <w:contextualSpacing/>
        <w:rPr>
          <w:rFonts w:ascii="Arial" w:hAnsi="Arial" w:cs="Arial"/>
          <w:b/>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6A6C41" w:rsidRPr="000D52D3" w14:paraId="2CF23E21" w14:textId="77777777" w:rsidTr="001D0AE3">
        <w:trPr>
          <w:tblHeader/>
          <w:jc w:val="center"/>
        </w:trPr>
        <w:tc>
          <w:tcPr>
            <w:tcW w:w="2500" w:type="pct"/>
            <w:shd w:val="clear" w:color="auto" w:fill="D9D9D9"/>
            <w:vAlign w:val="center"/>
          </w:tcPr>
          <w:p w14:paraId="33FBEE2B"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Principaux défis</w:t>
            </w:r>
          </w:p>
        </w:tc>
        <w:tc>
          <w:tcPr>
            <w:tcW w:w="2500" w:type="pct"/>
            <w:shd w:val="clear" w:color="auto" w:fill="D9D9D9"/>
            <w:vAlign w:val="center"/>
          </w:tcPr>
          <w:p w14:paraId="62ECAE94"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Mesures correctives</w:t>
            </w:r>
          </w:p>
        </w:tc>
      </w:tr>
      <w:tr w:rsidR="006A6C41" w:rsidRPr="000D52D3" w14:paraId="0027DAE7" w14:textId="77777777" w:rsidTr="001D0AE3">
        <w:trPr>
          <w:jc w:val="center"/>
        </w:trPr>
        <w:tc>
          <w:tcPr>
            <w:tcW w:w="2500" w:type="pct"/>
            <w:shd w:val="clear" w:color="auto" w:fill="auto"/>
          </w:tcPr>
          <w:p w14:paraId="64465413" w14:textId="4592D725" w:rsidR="006A6C41" w:rsidRPr="000D52D3" w:rsidRDefault="006A6C41" w:rsidP="006A6C41">
            <w:pPr>
              <w:spacing w:before="60" w:after="60"/>
              <w:jc w:val="both"/>
              <w:rPr>
                <w:rFonts w:ascii="Arial" w:hAnsi="Arial" w:cs="Arial"/>
                <w:sz w:val="20"/>
                <w:szCs w:val="20"/>
              </w:rPr>
            </w:pPr>
            <w:r w:rsidRPr="000D52D3">
              <w:rPr>
                <w:rFonts w:ascii="Arial" w:hAnsi="Arial"/>
                <w:sz w:val="20"/>
              </w:rPr>
              <w:t>Les opérations du Secrétariat pour l</w:t>
            </w:r>
            <w:r w:rsidR="00CB437A" w:rsidRPr="000D52D3">
              <w:rPr>
                <w:rFonts w:ascii="Arial" w:hAnsi="Arial"/>
                <w:sz w:val="20"/>
              </w:rPr>
              <w:t>’</w:t>
            </w:r>
            <w:r w:rsidRPr="000D52D3">
              <w:rPr>
                <w:rFonts w:ascii="Arial" w:hAnsi="Arial"/>
                <w:sz w:val="20"/>
              </w:rPr>
              <w:t>amélioration des services de suivi et de gestion des connaissances ont été considérablement affectées par la pandémie de COVID-19, avec un besoin urgent simultané de rendre disponibles des outils en ligne améliorés pour le fonctionnement des mécanismes statutaires de la Convention, étant donné les difficultés pour les parties prenantes d</w:t>
            </w:r>
            <w:r w:rsidR="00CB437A" w:rsidRPr="000D52D3">
              <w:rPr>
                <w:rFonts w:ascii="Arial" w:hAnsi="Arial"/>
                <w:sz w:val="20"/>
              </w:rPr>
              <w:t>’</w:t>
            </w:r>
            <w:r w:rsidRPr="000D52D3">
              <w:rPr>
                <w:rFonts w:ascii="Arial" w:hAnsi="Arial"/>
                <w:sz w:val="20"/>
              </w:rPr>
              <w:t>utiliser de tels outils lorsque des mesures de confinement étaient en place.</w:t>
            </w:r>
          </w:p>
        </w:tc>
        <w:tc>
          <w:tcPr>
            <w:tcW w:w="2500" w:type="pct"/>
            <w:shd w:val="clear" w:color="auto" w:fill="auto"/>
          </w:tcPr>
          <w:p w14:paraId="18E0B90D" w14:textId="5BAA7422" w:rsidR="006A6C41" w:rsidRPr="000D52D3" w:rsidRDefault="006A6C41" w:rsidP="00864E36">
            <w:pPr>
              <w:spacing w:before="60" w:after="60"/>
              <w:jc w:val="both"/>
              <w:rPr>
                <w:rFonts w:ascii="Arial" w:hAnsi="Arial" w:cs="Arial"/>
                <w:sz w:val="20"/>
                <w:szCs w:val="20"/>
              </w:rPr>
            </w:pPr>
            <w:r w:rsidRPr="000D52D3">
              <w:rPr>
                <w:rFonts w:ascii="Arial" w:hAnsi="Arial"/>
                <w:sz w:val="20"/>
              </w:rPr>
              <w:t>La priorité a été donnée au cours de l</w:t>
            </w:r>
            <w:r w:rsidR="00CB437A" w:rsidRPr="000D52D3">
              <w:rPr>
                <w:rFonts w:ascii="Arial" w:hAnsi="Arial"/>
                <w:sz w:val="20"/>
              </w:rPr>
              <w:t>’</w:t>
            </w:r>
            <w:r w:rsidRPr="000D52D3">
              <w:rPr>
                <w:rFonts w:ascii="Arial" w:hAnsi="Arial"/>
                <w:sz w:val="20"/>
              </w:rPr>
              <w:t>exercice biennal au développement ainsi qu</w:t>
            </w:r>
            <w:r w:rsidR="00CB437A" w:rsidRPr="000D52D3">
              <w:rPr>
                <w:rFonts w:ascii="Arial" w:hAnsi="Arial"/>
                <w:sz w:val="20"/>
              </w:rPr>
              <w:t>’</w:t>
            </w:r>
            <w:r w:rsidRPr="000D52D3">
              <w:rPr>
                <w:rFonts w:ascii="Arial" w:hAnsi="Arial"/>
                <w:sz w:val="20"/>
              </w:rPr>
              <w:t>à l</w:t>
            </w:r>
            <w:r w:rsidR="00CB437A" w:rsidRPr="000D52D3">
              <w:rPr>
                <w:rFonts w:ascii="Arial" w:hAnsi="Arial"/>
                <w:sz w:val="20"/>
              </w:rPr>
              <w:t>’</w:t>
            </w:r>
            <w:r w:rsidRPr="000D52D3">
              <w:rPr>
                <w:rFonts w:ascii="Arial" w:hAnsi="Arial"/>
                <w:sz w:val="20"/>
              </w:rPr>
              <w:t>amélioration des outils en ligne et des interfaces pour les organes directeurs de la Convention et l</w:t>
            </w:r>
            <w:r w:rsidR="00CB437A" w:rsidRPr="000D52D3">
              <w:rPr>
                <w:rFonts w:ascii="Arial" w:hAnsi="Arial"/>
                <w:sz w:val="20"/>
              </w:rPr>
              <w:t>’</w:t>
            </w:r>
            <w:r w:rsidRPr="000D52D3">
              <w:rPr>
                <w:rFonts w:ascii="Arial" w:hAnsi="Arial"/>
                <w:sz w:val="20"/>
              </w:rPr>
              <w:t>Organe d</w:t>
            </w:r>
            <w:r w:rsidR="00CB437A" w:rsidRPr="000D52D3">
              <w:rPr>
                <w:rFonts w:ascii="Arial" w:hAnsi="Arial"/>
                <w:sz w:val="20"/>
              </w:rPr>
              <w:t>’</w:t>
            </w:r>
            <w:r w:rsidRPr="000D52D3">
              <w:rPr>
                <w:rFonts w:ascii="Arial" w:hAnsi="Arial"/>
                <w:sz w:val="20"/>
              </w:rPr>
              <w:t xml:space="preserve">évaluation, afin de garantir la continuité de la vie statutaire de la Convention. </w:t>
            </w:r>
          </w:p>
        </w:tc>
      </w:tr>
    </w:tbl>
    <w:bookmarkEnd w:id="13"/>
    <w:p w14:paraId="79939A13" w14:textId="01F56647" w:rsidR="006A6C41" w:rsidRPr="000D52D3" w:rsidRDefault="006A6C41" w:rsidP="006A6C41">
      <w:pPr>
        <w:keepNext/>
        <w:spacing w:before="240"/>
        <w:jc w:val="both"/>
        <w:rPr>
          <w:rFonts w:ascii="Arial" w:hAnsi="Arial" w:cs="Arial"/>
          <w:b/>
          <w:szCs w:val="22"/>
        </w:rPr>
      </w:pPr>
      <w:r w:rsidRPr="000D52D3">
        <w:rPr>
          <w:rFonts w:ascii="Arial" w:hAnsi="Arial"/>
          <w:b/>
        </w:rPr>
        <w:t>Résultat escompté</w:t>
      </w:r>
      <w:r w:rsidR="0042677B" w:rsidRPr="000D52D3">
        <w:rPr>
          <w:rFonts w:ascii="Arial" w:hAnsi="Arial"/>
          <w:b/>
        </w:rPr>
        <w:t> </w:t>
      </w:r>
      <w:r w:rsidRPr="000D52D3">
        <w:rPr>
          <w:rFonts w:ascii="Arial" w:hAnsi="Arial"/>
          <w:b/>
        </w:rPr>
        <w:t>2</w:t>
      </w:r>
      <w:r w:rsidR="008549B6" w:rsidRPr="000D52D3">
        <w:rPr>
          <w:rFonts w:ascii="Arial" w:hAnsi="Arial"/>
          <w:b/>
        </w:rPr>
        <w:t xml:space="preserve"> : Mise</w:t>
      </w:r>
      <w:r w:rsidRPr="000D52D3">
        <w:rPr>
          <w:rFonts w:ascii="Arial" w:hAnsi="Arial"/>
          <w:b/>
        </w:rPr>
        <w:t xml:space="preserve"> en œuvre de la Convention dans les États membres encouragée par un programme de renforcement des capacités </w:t>
      </w:r>
      <w:r w:rsidR="00614BF3" w:rsidRPr="000D52D3">
        <w:rPr>
          <w:rFonts w:ascii="Arial" w:hAnsi="Arial"/>
          <w:b/>
        </w:rPr>
        <w:t>consolidé</w:t>
      </w:r>
    </w:p>
    <w:p w14:paraId="2E8AD419" w14:textId="47DC9FD7" w:rsidR="006A6C41" w:rsidRPr="000D52D3" w:rsidRDefault="006A6C41" w:rsidP="006A6C41">
      <w:pPr>
        <w:keepNext/>
        <w:numPr>
          <w:ilvl w:val="0"/>
          <w:numId w:val="26"/>
        </w:numPr>
        <w:spacing w:before="240" w:after="0"/>
        <w:ind w:left="284" w:hanging="284"/>
        <w:contextualSpacing/>
        <w:jc w:val="both"/>
        <w:rPr>
          <w:rFonts w:ascii="Arial" w:hAnsi="Arial" w:cs="Arial"/>
          <w:b/>
          <w:bCs/>
          <w:szCs w:val="22"/>
        </w:rPr>
      </w:pPr>
      <w:bookmarkStart w:id="14" w:name="_Hlk81490153"/>
      <w:r w:rsidRPr="000D52D3">
        <w:rPr>
          <w:rFonts w:ascii="Arial" w:hAnsi="Arial"/>
          <w:b/>
        </w:rPr>
        <w:t>Rapport de mise en œuvre pour la période du 1er</w:t>
      </w:r>
      <w:r w:rsidR="0042677B" w:rsidRPr="000D52D3">
        <w:rPr>
          <w:rFonts w:ascii="Arial" w:hAnsi="Arial"/>
          <w:b/>
        </w:rPr>
        <w:t> </w:t>
      </w:r>
      <w:r w:rsidRPr="000D52D3">
        <w:rPr>
          <w:rFonts w:ascii="Arial" w:hAnsi="Arial"/>
          <w:b/>
        </w:rPr>
        <w:t>janvier 2020 au 31</w:t>
      </w:r>
      <w:r w:rsidR="0042677B" w:rsidRPr="000D52D3">
        <w:rPr>
          <w:rFonts w:ascii="Arial" w:hAnsi="Arial"/>
          <w:b/>
        </w:rPr>
        <w:t> </w:t>
      </w:r>
      <w:r w:rsidRPr="000D52D3">
        <w:rPr>
          <w:rFonts w:ascii="Arial" w:hAnsi="Arial"/>
          <w:b/>
        </w:rPr>
        <w:t>décembre 2021</w:t>
      </w:r>
      <w:r w:rsidR="0042677B" w:rsidRPr="000D52D3">
        <w:rPr>
          <w:rFonts w:ascii="Arial" w:hAnsi="Arial"/>
          <w:b/>
        </w:rPr>
        <w:t> </w:t>
      </w:r>
      <w:r w:rsidRPr="000D52D3">
        <w:rPr>
          <w:rFonts w:ascii="Arial" w:hAnsi="Arial"/>
          <w:b/>
        </w:rPr>
        <w:t>:</w:t>
      </w:r>
    </w:p>
    <w:p w14:paraId="1EF78D0A" w14:textId="77777777" w:rsidR="006A6C41" w:rsidRPr="000D52D3" w:rsidRDefault="006A6C41" w:rsidP="006A6C41">
      <w:pPr>
        <w:keepNext/>
        <w:spacing w:before="240" w:after="0"/>
        <w:ind w:left="284" w:hanging="284"/>
        <w:contextualSpacing/>
        <w:jc w:val="both"/>
        <w:rPr>
          <w:rFonts w:ascii="Arial" w:hAnsi="Arial" w:cs="Arial"/>
          <w:b/>
          <w:bCs/>
          <w:szCs w:val="2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6A6C41" w:rsidRPr="000D52D3" w14:paraId="3EEC0525" w14:textId="77777777" w:rsidTr="001D0AE3">
        <w:trPr>
          <w:jc w:val="center"/>
        </w:trPr>
        <w:tc>
          <w:tcPr>
            <w:tcW w:w="1999" w:type="pct"/>
            <w:shd w:val="clear" w:color="auto" w:fill="C6D9F1" w:themeFill="text2" w:themeFillTint="33"/>
            <w:vAlign w:val="center"/>
          </w:tcPr>
          <w:p w14:paraId="19EA76D3" w14:textId="77777777" w:rsidR="006A6C41" w:rsidRPr="000D52D3" w:rsidRDefault="006A6C41" w:rsidP="006A6C41">
            <w:pPr>
              <w:keepNext/>
              <w:spacing w:before="120"/>
              <w:jc w:val="center"/>
              <w:rPr>
                <w:rFonts w:ascii="Arial" w:eastAsia="Calibri" w:hAnsi="Arial" w:cs="Arial"/>
                <w:b/>
                <w:sz w:val="20"/>
                <w:szCs w:val="20"/>
              </w:rPr>
            </w:pPr>
            <w:r w:rsidRPr="000D52D3">
              <w:rPr>
                <w:rFonts w:ascii="Arial" w:hAnsi="Arial"/>
                <w:b/>
                <w:sz w:val="20"/>
              </w:rPr>
              <w:t>Allocation</w:t>
            </w:r>
          </w:p>
        </w:tc>
        <w:tc>
          <w:tcPr>
            <w:tcW w:w="2118" w:type="pct"/>
            <w:shd w:val="clear" w:color="auto" w:fill="C6D9F1" w:themeFill="text2" w:themeFillTint="33"/>
            <w:vAlign w:val="center"/>
          </w:tcPr>
          <w:p w14:paraId="52DD4D59" w14:textId="77777777"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Dépenses</w:t>
            </w:r>
          </w:p>
        </w:tc>
        <w:tc>
          <w:tcPr>
            <w:tcW w:w="883" w:type="pct"/>
            <w:shd w:val="clear" w:color="auto" w:fill="C6D9F1" w:themeFill="text2" w:themeFillTint="33"/>
            <w:vAlign w:val="center"/>
          </w:tcPr>
          <w:p w14:paraId="0EED413A" w14:textId="3E616D36"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Taux de dépense (%)</w:t>
            </w:r>
            <w:r w:rsidRPr="000D52D3">
              <w:rPr>
                <w:rFonts w:ascii="Arial" w:hAnsi="Arial"/>
                <w:b/>
                <w:sz w:val="20"/>
              </w:rPr>
              <w:br/>
              <w:t>au 31/12/2021</w:t>
            </w:r>
          </w:p>
        </w:tc>
      </w:tr>
      <w:tr w:rsidR="006A6C41" w:rsidRPr="000D52D3" w14:paraId="494C2794" w14:textId="77777777" w:rsidTr="001D0AE3">
        <w:trPr>
          <w:jc w:val="center"/>
        </w:trPr>
        <w:tc>
          <w:tcPr>
            <w:tcW w:w="1999" w:type="pct"/>
            <w:shd w:val="clear" w:color="auto" w:fill="auto"/>
          </w:tcPr>
          <w:p w14:paraId="7F8E2352" w14:textId="5D0F2B6B"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517</w:t>
            </w:r>
            <w:r w:rsidR="0042677B" w:rsidRPr="000D52D3">
              <w:rPr>
                <w:rFonts w:ascii="Arial" w:hAnsi="Arial"/>
                <w:sz w:val="20"/>
              </w:rPr>
              <w:t> </w:t>
            </w:r>
            <w:r w:rsidRPr="000D52D3">
              <w:rPr>
                <w:rFonts w:ascii="Arial" w:hAnsi="Arial"/>
                <w:sz w:val="20"/>
              </w:rPr>
              <w:t>465,00</w:t>
            </w:r>
          </w:p>
        </w:tc>
        <w:tc>
          <w:tcPr>
            <w:tcW w:w="2118" w:type="pct"/>
            <w:shd w:val="clear" w:color="auto" w:fill="auto"/>
          </w:tcPr>
          <w:p w14:paraId="0AEDFA8D" w14:textId="1AC80787"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468</w:t>
            </w:r>
            <w:r w:rsidR="0042677B" w:rsidRPr="000D52D3">
              <w:rPr>
                <w:rFonts w:ascii="Arial" w:hAnsi="Arial"/>
                <w:sz w:val="20"/>
              </w:rPr>
              <w:t> </w:t>
            </w:r>
            <w:r w:rsidRPr="000D52D3">
              <w:rPr>
                <w:rFonts w:ascii="Arial" w:hAnsi="Arial"/>
                <w:sz w:val="20"/>
              </w:rPr>
              <w:t>341,00</w:t>
            </w:r>
          </w:p>
        </w:tc>
        <w:tc>
          <w:tcPr>
            <w:tcW w:w="883" w:type="pct"/>
            <w:shd w:val="clear" w:color="auto" w:fill="auto"/>
          </w:tcPr>
          <w:p w14:paraId="66B1AD24" w14:textId="60005B5E"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90,5</w:t>
            </w:r>
            <w:r w:rsidR="0042677B" w:rsidRPr="000D52D3">
              <w:rPr>
                <w:rFonts w:ascii="Arial" w:hAnsi="Arial"/>
                <w:sz w:val="20"/>
              </w:rPr>
              <w:t> </w:t>
            </w:r>
            <w:r w:rsidRPr="000D52D3">
              <w:rPr>
                <w:rFonts w:ascii="Arial" w:hAnsi="Arial"/>
                <w:sz w:val="20"/>
              </w:rPr>
              <w:t>%</w:t>
            </w:r>
          </w:p>
        </w:tc>
      </w:tr>
    </w:tbl>
    <w:p w14:paraId="09972904" w14:textId="77777777" w:rsidR="006A6C41" w:rsidRPr="000D52D3" w:rsidRDefault="006A6C41" w:rsidP="006A6C41">
      <w:pPr>
        <w:spacing w:after="0"/>
        <w:rPr>
          <w:rFonts w:ascii="Arial" w:hAnsi="Arial" w:cs="Arial"/>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980"/>
      </w:tblGrid>
      <w:tr w:rsidR="006A6C41" w:rsidRPr="000D52D3" w14:paraId="794336AC" w14:textId="77777777" w:rsidTr="001D0AE3">
        <w:trPr>
          <w:tblHeader/>
          <w:jc w:val="center"/>
        </w:trPr>
        <w:tc>
          <w:tcPr>
            <w:tcW w:w="6658" w:type="dxa"/>
            <w:shd w:val="clear" w:color="auto" w:fill="D9D9D9"/>
            <w:vAlign w:val="center"/>
          </w:tcPr>
          <w:p w14:paraId="070D468A" w14:textId="04F300B2"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lastRenderedPageBreak/>
              <w:t>Évaluation des résultats</w:t>
            </w:r>
            <w:r w:rsidR="0042677B" w:rsidRPr="000D52D3">
              <w:rPr>
                <w:rFonts w:ascii="Arial" w:hAnsi="Arial"/>
                <w:b/>
                <w:sz w:val="20"/>
              </w:rPr>
              <w:t> </w:t>
            </w:r>
            <w:r w:rsidRPr="000D52D3">
              <w:rPr>
                <w:rFonts w:ascii="Arial" w:hAnsi="Arial"/>
                <w:b/>
                <w:sz w:val="20"/>
              </w:rPr>
              <w:t>:</w:t>
            </w:r>
            <w:r w:rsidRPr="000D52D3">
              <w:rPr>
                <w:rFonts w:ascii="Arial" w:hAnsi="Arial"/>
                <w:b/>
                <w:sz w:val="20"/>
              </w:rPr>
              <w:br/>
              <w:t>du 01/01/2020 au 31/12/2021</w:t>
            </w:r>
          </w:p>
        </w:tc>
        <w:tc>
          <w:tcPr>
            <w:tcW w:w="2980" w:type="dxa"/>
            <w:shd w:val="clear" w:color="auto" w:fill="D9D9D9"/>
            <w:vAlign w:val="center"/>
          </w:tcPr>
          <w:p w14:paraId="2357C592" w14:textId="77777777"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 la mise en œuvre</w:t>
            </w:r>
          </w:p>
        </w:tc>
      </w:tr>
      <w:tr w:rsidR="006A6C41" w:rsidRPr="000D52D3" w14:paraId="5871EF88" w14:textId="77777777" w:rsidTr="00D80DFD">
        <w:trPr>
          <w:jc w:val="center"/>
        </w:trPr>
        <w:tc>
          <w:tcPr>
            <w:tcW w:w="6658" w:type="dxa"/>
            <w:shd w:val="clear" w:color="auto" w:fill="auto"/>
          </w:tcPr>
          <w:p w14:paraId="22954D03" w14:textId="77777777"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t>Réseau de facilitateurs renforcé</w:t>
            </w:r>
          </w:p>
          <w:p w14:paraId="54B82E8D" w14:textId="77777777"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Coordination du réseau et travail thématique soutenus par le biais de trois sessions du groupe de travail interrégional du réseau des facilitateurs.</w:t>
            </w:r>
          </w:p>
          <w:p w14:paraId="38DEB57C" w14:textId="776AFDBC"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Le réseau mondial des facilitateurs a été renforcé par cinquante-cinq nouveaux membres (dont 54</w:t>
            </w:r>
            <w:r w:rsidR="0042677B" w:rsidRPr="000D52D3">
              <w:rPr>
                <w:rFonts w:ascii="Arial" w:hAnsi="Arial"/>
                <w:sz w:val="20"/>
              </w:rPr>
              <w:t> </w:t>
            </w:r>
            <w:r w:rsidRPr="000D52D3">
              <w:rPr>
                <w:rFonts w:ascii="Arial" w:hAnsi="Arial"/>
                <w:sz w:val="20"/>
              </w:rPr>
              <w:t>% de femmes) d</w:t>
            </w:r>
            <w:r w:rsidR="00CB437A" w:rsidRPr="000D52D3">
              <w:rPr>
                <w:rFonts w:ascii="Arial" w:hAnsi="Arial"/>
                <w:sz w:val="20"/>
              </w:rPr>
              <w:t>’</w:t>
            </w:r>
            <w:r w:rsidRPr="000D52D3">
              <w:rPr>
                <w:rFonts w:ascii="Arial" w:hAnsi="Arial"/>
                <w:sz w:val="20"/>
              </w:rPr>
              <w:t>Asie et du Pacifique, d</w:t>
            </w:r>
            <w:r w:rsidR="00CB437A" w:rsidRPr="000D52D3">
              <w:rPr>
                <w:rFonts w:ascii="Arial" w:hAnsi="Arial"/>
                <w:sz w:val="20"/>
              </w:rPr>
              <w:t>’</w:t>
            </w:r>
            <w:r w:rsidRPr="000D52D3">
              <w:rPr>
                <w:rFonts w:ascii="Arial" w:hAnsi="Arial"/>
                <w:sz w:val="20"/>
              </w:rPr>
              <w:t>Afrique, d</w:t>
            </w:r>
            <w:r w:rsidR="00CB437A" w:rsidRPr="000D52D3">
              <w:rPr>
                <w:rFonts w:ascii="Arial" w:hAnsi="Arial"/>
                <w:sz w:val="20"/>
              </w:rPr>
              <w:t>’</w:t>
            </w:r>
            <w:r w:rsidRPr="000D52D3">
              <w:rPr>
                <w:rFonts w:ascii="Arial" w:hAnsi="Arial"/>
                <w:sz w:val="20"/>
              </w:rPr>
              <w:t>Europe et des États arabes.</w:t>
            </w:r>
          </w:p>
          <w:p w14:paraId="52E51CDA" w14:textId="55EC72C1"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Quarante-huit personnes</w:t>
            </w:r>
            <w:r w:rsidR="0042677B" w:rsidRPr="000D52D3">
              <w:rPr>
                <w:rFonts w:ascii="Arial" w:hAnsi="Arial"/>
                <w:sz w:val="20"/>
              </w:rPr>
              <w:t>-</w:t>
            </w:r>
            <w:r w:rsidRPr="000D52D3">
              <w:rPr>
                <w:rFonts w:ascii="Arial" w:hAnsi="Arial"/>
                <w:sz w:val="20"/>
              </w:rPr>
              <w:t>ressources issues de toutes les régions ont été formées à la sauvegarde du patrimoine culturel immatériel dans l</w:t>
            </w:r>
            <w:r w:rsidR="00CB437A" w:rsidRPr="000D52D3">
              <w:rPr>
                <w:rFonts w:ascii="Arial" w:hAnsi="Arial"/>
                <w:sz w:val="20"/>
              </w:rPr>
              <w:t>’</w:t>
            </w:r>
            <w:r w:rsidRPr="000D52D3">
              <w:rPr>
                <w:rFonts w:ascii="Arial" w:hAnsi="Arial"/>
                <w:sz w:val="20"/>
              </w:rPr>
              <w:t>éducation formelle et non formelle</w:t>
            </w:r>
            <w:r w:rsidR="0042677B" w:rsidRPr="000D52D3">
              <w:rPr>
                <w:rFonts w:ascii="Arial" w:hAnsi="Arial"/>
                <w:sz w:val="20"/>
              </w:rPr>
              <w:t> </w:t>
            </w:r>
            <w:r w:rsidRPr="000D52D3">
              <w:rPr>
                <w:rFonts w:ascii="Arial" w:hAnsi="Arial"/>
                <w:sz w:val="20"/>
              </w:rPr>
              <w:t>; un réseau d</w:t>
            </w:r>
            <w:r w:rsidR="00CB437A" w:rsidRPr="000D52D3">
              <w:rPr>
                <w:rFonts w:ascii="Arial" w:hAnsi="Arial"/>
                <w:sz w:val="20"/>
              </w:rPr>
              <w:t>’</w:t>
            </w:r>
            <w:r w:rsidRPr="000D52D3">
              <w:rPr>
                <w:rFonts w:ascii="Arial" w:hAnsi="Arial"/>
                <w:sz w:val="20"/>
              </w:rPr>
              <w:t>apprentissage a été mis en place grâce à l</w:t>
            </w:r>
            <w:r w:rsidR="00CB437A" w:rsidRPr="000D52D3">
              <w:rPr>
                <w:rFonts w:ascii="Arial" w:hAnsi="Arial"/>
                <w:sz w:val="20"/>
              </w:rPr>
              <w:t>’</w:t>
            </w:r>
            <w:r w:rsidRPr="000D52D3">
              <w:rPr>
                <w:rFonts w:ascii="Arial" w:hAnsi="Arial"/>
                <w:sz w:val="20"/>
              </w:rPr>
              <w:t>élaboration d</w:t>
            </w:r>
            <w:r w:rsidR="00CB437A" w:rsidRPr="000D52D3">
              <w:rPr>
                <w:rFonts w:ascii="Arial" w:hAnsi="Arial"/>
                <w:sz w:val="20"/>
              </w:rPr>
              <w:t>’</w:t>
            </w:r>
            <w:r w:rsidRPr="000D52D3">
              <w:rPr>
                <w:rFonts w:ascii="Arial" w:hAnsi="Arial"/>
                <w:sz w:val="20"/>
              </w:rPr>
              <w:t>une formation en ligne dédiée aux formateurs, dispensée en deux éditions en collaboration avec le secteur de l</w:t>
            </w:r>
            <w:r w:rsidR="00CB437A" w:rsidRPr="000D52D3">
              <w:rPr>
                <w:rFonts w:ascii="Arial" w:hAnsi="Arial"/>
                <w:sz w:val="20"/>
              </w:rPr>
              <w:t>’</w:t>
            </w:r>
            <w:r w:rsidRPr="000D52D3">
              <w:rPr>
                <w:rFonts w:ascii="Arial" w:hAnsi="Arial"/>
                <w:sz w:val="20"/>
              </w:rPr>
              <w:t xml:space="preserve">éducation. </w:t>
            </w:r>
          </w:p>
          <w:p w14:paraId="3A90C9FC" w14:textId="77777777"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 xml:space="preserve">Une série de webinaires pour le réseau mondial des facilitateurs a été mise en place pour renforcer les connaissances et les échanges méthodologiques et thématiques, se concentrant initialement sur la facilitation en ligne de la formation à la sauvegarde du patrimoine culturel immatériel. </w:t>
            </w:r>
          </w:p>
        </w:tc>
        <w:tc>
          <w:tcPr>
            <w:tcW w:w="2980" w:type="dxa"/>
          </w:tcPr>
          <w:p w14:paraId="5FA1ACE0" w14:textId="77777777" w:rsidR="006A6C41" w:rsidRPr="000D52D3" w:rsidRDefault="006A6C41">
            <w:pPr>
              <w:spacing w:before="320" w:after="60"/>
              <w:jc w:val="center"/>
              <w:rPr>
                <w:rFonts w:ascii="Arial" w:eastAsia="Calibri" w:hAnsi="Arial" w:cs="Arial"/>
                <w:sz w:val="20"/>
                <w:szCs w:val="20"/>
              </w:rPr>
            </w:pPr>
            <w:r w:rsidRPr="000D52D3">
              <w:rPr>
                <w:rFonts w:ascii="Arial" w:hAnsi="Arial"/>
                <w:sz w:val="20"/>
              </w:rPr>
              <w:t>Accompli</w:t>
            </w:r>
          </w:p>
        </w:tc>
      </w:tr>
      <w:tr w:rsidR="006A6C41" w:rsidRPr="000D52D3" w14:paraId="442A3993" w14:textId="77777777" w:rsidTr="00D80DFD">
        <w:trPr>
          <w:jc w:val="center"/>
        </w:trPr>
        <w:tc>
          <w:tcPr>
            <w:tcW w:w="6658" w:type="dxa"/>
            <w:shd w:val="clear" w:color="auto" w:fill="auto"/>
          </w:tcPr>
          <w:p w14:paraId="25FF0C4D" w14:textId="77777777"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t>Le contenu et le format du programme de renforcement des capacités ont été développés de sorte à répondre aux principaux défis de la mise en œuvre.</w:t>
            </w:r>
          </w:p>
          <w:p w14:paraId="44879BEC" w14:textId="7DCD4E49" w:rsidR="006A6C41" w:rsidRPr="000D52D3" w:rsidRDefault="00C9513F"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Les modules de la formation complète sur l</w:t>
            </w:r>
            <w:r w:rsidR="00CB437A" w:rsidRPr="000D52D3">
              <w:rPr>
                <w:rFonts w:ascii="Arial" w:hAnsi="Arial"/>
                <w:sz w:val="20"/>
              </w:rPr>
              <w:t>’</w:t>
            </w:r>
            <w:r w:rsidRPr="000D52D3">
              <w:rPr>
                <w:rFonts w:ascii="Arial" w:hAnsi="Arial"/>
                <w:sz w:val="20"/>
              </w:rPr>
              <w:t>établissement de rapports périodiques et l</w:t>
            </w:r>
            <w:r w:rsidR="00CB437A" w:rsidRPr="000D52D3">
              <w:rPr>
                <w:rFonts w:ascii="Arial" w:hAnsi="Arial"/>
                <w:sz w:val="20"/>
              </w:rPr>
              <w:t>’</w:t>
            </w:r>
            <w:r w:rsidRPr="000D52D3">
              <w:rPr>
                <w:rFonts w:ascii="Arial" w:hAnsi="Arial"/>
                <w:sz w:val="20"/>
              </w:rPr>
              <w:t xml:space="preserve">élaboration de politiques (quatre modules) ont été traduits en </w:t>
            </w:r>
            <w:r w:rsidR="00614BF3" w:rsidRPr="000D52D3">
              <w:rPr>
                <w:rFonts w:ascii="Arial" w:hAnsi="Arial"/>
                <w:sz w:val="20"/>
              </w:rPr>
              <w:t xml:space="preserve">quatre </w:t>
            </w:r>
            <w:r w:rsidRPr="000D52D3">
              <w:rPr>
                <w:rFonts w:ascii="Arial" w:hAnsi="Arial"/>
                <w:sz w:val="20"/>
              </w:rPr>
              <w:t>langues (anglais, français, arabe et espagnol).</w:t>
            </w:r>
          </w:p>
          <w:p w14:paraId="21757E2F" w14:textId="3DA4097D"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La formation a été adaptée à un format en ligne et contextualisée pour le déploiement du mécanisme réformé de présentation de rapports périodiques en Amérique latine et dans les Caraïbes (2020) ainsi qu</w:t>
            </w:r>
            <w:r w:rsidR="00CB437A" w:rsidRPr="000D52D3">
              <w:rPr>
                <w:rFonts w:ascii="Arial" w:hAnsi="Arial"/>
                <w:sz w:val="20"/>
              </w:rPr>
              <w:t>’</w:t>
            </w:r>
            <w:r w:rsidRPr="000D52D3">
              <w:rPr>
                <w:rFonts w:ascii="Arial" w:hAnsi="Arial"/>
                <w:sz w:val="20"/>
              </w:rPr>
              <w:t>en Europe (2021). Ces formations ont consisté en une série d</w:t>
            </w:r>
            <w:r w:rsidR="00CB437A" w:rsidRPr="000D52D3">
              <w:rPr>
                <w:rFonts w:ascii="Arial" w:hAnsi="Arial"/>
                <w:sz w:val="20"/>
              </w:rPr>
              <w:t>’</w:t>
            </w:r>
            <w:r w:rsidRPr="000D52D3">
              <w:rPr>
                <w:rFonts w:ascii="Arial" w:hAnsi="Arial"/>
                <w:sz w:val="20"/>
              </w:rPr>
              <w:t>événements en ligne, combinant à la fois des webinaires, des vidéos, des ressources documentaires et des discussions sur les forums en ligne. En Amérique latine et dans les Caraïbes, 100</w:t>
            </w:r>
            <w:r w:rsidR="0042677B" w:rsidRPr="000D52D3">
              <w:rPr>
                <w:rFonts w:ascii="Arial" w:hAnsi="Arial"/>
                <w:sz w:val="20"/>
              </w:rPr>
              <w:t> </w:t>
            </w:r>
            <w:r w:rsidRPr="000D52D3">
              <w:rPr>
                <w:rFonts w:ascii="Arial" w:hAnsi="Arial"/>
                <w:sz w:val="20"/>
              </w:rPr>
              <w:t>participants ont été formés, dont 47</w:t>
            </w:r>
            <w:r w:rsidR="0042677B" w:rsidRPr="000D52D3">
              <w:rPr>
                <w:rFonts w:ascii="Arial" w:hAnsi="Arial"/>
                <w:sz w:val="20"/>
              </w:rPr>
              <w:t> </w:t>
            </w:r>
            <w:r w:rsidRPr="000D52D3">
              <w:rPr>
                <w:rFonts w:ascii="Arial" w:hAnsi="Arial"/>
                <w:sz w:val="20"/>
              </w:rPr>
              <w:t>points focaux nationaux et membres d</w:t>
            </w:r>
            <w:r w:rsidR="00CB437A" w:rsidRPr="000D52D3">
              <w:rPr>
                <w:rFonts w:ascii="Arial" w:hAnsi="Arial"/>
                <w:sz w:val="20"/>
              </w:rPr>
              <w:t>’</w:t>
            </w:r>
            <w:r w:rsidRPr="000D52D3">
              <w:rPr>
                <w:rFonts w:ascii="Arial" w:hAnsi="Arial"/>
                <w:sz w:val="20"/>
              </w:rPr>
              <w:t>équipe de 32</w:t>
            </w:r>
            <w:r w:rsidR="0042677B" w:rsidRPr="000D52D3">
              <w:rPr>
                <w:rFonts w:ascii="Arial" w:hAnsi="Arial"/>
                <w:sz w:val="20"/>
              </w:rPr>
              <w:t> </w:t>
            </w:r>
            <w:r w:rsidRPr="000D52D3">
              <w:rPr>
                <w:rFonts w:ascii="Arial" w:hAnsi="Arial"/>
                <w:sz w:val="20"/>
              </w:rPr>
              <w:t xml:space="preserve">États parties, des facilitateurs principaux et </w:t>
            </w:r>
            <w:r w:rsidR="00204A35" w:rsidRPr="000D52D3">
              <w:rPr>
                <w:rFonts w:ascii="Arial" w:hAnsi="Arial"/>
                <w:sz w:val="20"/>
              </w:rPr>
              <w:t>le</w:t>
            </w:r>
            <w:r w:rsidRPr="000D52D3">
              <w:rPr>
                <w:rFonts w:ascii="Arial" w:hAnsi="Arial"/>
                <w:sz w:val="20"/>
              </w:rPr>
              <w:t xml:space="preserve">s </w:t>
            </w:r>
            <w:r w:rsidR="00204A35" w:rsidRPr="000D52D3">
              <w:rPr>
                <w:rFonts w:ascii="Arial" w:hAnsi="Arial"/>
                <w:sz w:val="20"/>
              </w:rPr>
              <w:t xml:space="preserve">responsable de la Culture dans les bureaux régionaux </w:t>
            </w:r>
            <w:r w:rsidRPr="000D52D3">
              <w:rPr>
                <w:rFonts w:ascii="Arial" w:hAnsi="Arial"/>
                <w:sz w:val="20"/>
              </w:rPr>
              <w:t>de l</w:t>
            </w:r>
            <w:r w:rsidR="00CB437A" w:rsidRPr="000D52D3">
              <w:rPr>
                <w:rFonts w:ascii="Arial" w:hAnsi="Arial"/>
                <w:sz w:val="20"/>
              </w:rPr>
              <w:t>’</w:t>
            </w:r>
            <w:r w:rsidRPr="000D52D3">
              <w:rPr>
                <w:rFonts w:ascii="Arial" w:hAnsi="Arial"/>
                <w:sz w:val="20"/>
              </w:rPr>
              <w:t>UNESCO. En Europe, 92</w:t>
            </w:r>
            <w:r w:rsidR="0042677B" w:rsidRPr="000D52D3">
              <w:rPr>
                <w:rFonts w:ascii="Arial" w:hAnsi="Arial"/>
                <w:sz w:val="20"/>
              </w:rPr>
              <w:t> </w:t>
            </w:r>
            <w:r w:rsidRPr="000D52D3">
              <w:rPr>
                <w:rFonts w:ascii="Arial" w:hAnsi="Arial"/>
                <w:sz w:val="20"/>
              </w:rPr>
              <w:t>personnes ont participé à la formation, dont 71</w:t>
            </w:r>
            <w:r w:rsidR="0042677B" w:rsidRPr="000D52D3">
              <w:rPr>
                <w:rFonts w:ascii="Arial" w:hAnsi="Arial"/>
                <w:sz w:val="20"/>
              </w:rPr>
              <w:t> </w:t>
            </w:r>
            <w:r w:rsidRPr="000D52D3">
              <w:rPr>
                <w:rFonts w:ascii="Arial" w:hAnsi="Arial"/>
                <w:sz w:val="20"/>
              </w:rPr>
              <w:t>points focaux nationaux et membres d</w:t>
            </w:r>
            <w:r w:rsidR="00CB437A" w:rsidRPr="000D52D3">
              <w:rPr>
                <w:rFonts w:ascii="Arial" w:hAnsi="Arial"/>
                <w:sz w:val="20"/>
              </w:rPr>
              <w:t>’</w:t>
            </w:r>
            <w:r w:rsidRPr="000D52D3">
              <w:rPr>
                <w:rFonts w:ascii="Arial" w:hAnsi="Arial"/>
                <w:sz w:val="20"/>
              </w:rPr>
              <w:t>équipe de 44</w:t>
            </w:r>
            <w:r w:rsidR="0042677B" w:rsidRPr="000D52D3">
              <w:rPr>
                <w:rFonts w:ascii="Arial" w:hAnsi="Arial"/>
                <w:sz w:val="20"/>
              </w:rPr>
              <w:t> </w:t>
            </w:r>
            <w:r w:rsidRPr="000D52D3">
              <w:rPr>
                <w:rFonts w:ascii="Arial" w:hAnsi="Arial"/>
                <w:sz w:val="20"/>
              </w:rPr>
              <w:t xml:space="preserve">États parties, des facilitateurs et </w:t>
            </w:r>
            <w:r w:rsidR="00204A35" w:rsidRPr="000D52D3">
              <w:rPr>
                <w:rFonts w:ascii="Arial" w:hAnsi="Arial"/>
                <w:sz w:val="20"/>
              </w:rPr>
              <w:t>les responsables des</w:t>
            </w:r>
            <w:r w:rsidRPr="000D52D3">
              <w:rPr>
                <w:rFonts w:ascii="Arial" w:hAnsi="Arial"/>
                <w:sz w:val="20"/>
              </w:rPr>
              <w:t xml:space="preserve"> bureaux de l</w:t>
            </w:r>
            <w:r w:rsidR="00CB437A" w:rsidRPr="000D52D3">
              <w:rPr>
                <w:rFonts w:ascii="Arial" w:hAnsi="Arial"/>
                <w:sz w:val="20"/>
              </w:rPr>
              <w:t>’</w:t>
            </w:r>
            <w:r w:rsidRPr="000D52D3">
              <w:rPr>
                <w:rFonts w:ascii="Arial" w:hAnsi="Arial"/>
                <w:sz w:val="20"/>
              </w:rPr>
              <w:t>UNESCO. Pour la région des États arabes, compte tenu de la date limite de soumission fixée au 15</w:t>
            </w:r>
            <w:r w:rsidR="0042677B" w:rsidRPr="000D52D3">
              <w:rPr>
                <w:rFonts w:ascii="Arial" w:hAnsi="Arial"/>
                <w:sz w:val="20"/>
              </w:rPr>
              <w:t> </w:t>
            </w:r>
            <w:r w:rsidRPr="000D52D3">
              <w:rPr>
                <w:rFonts w:ascii="Arial" w:hAnsi="Arial"/>
                <w:sz w:val="20"/>
              </w:rPr>
              <w:t>décembre 2022, le Secrétariat a organisé la première phase de formation en octobre 2021, réunissant vingt et un facilitateurs et</w:t>
            </w:r>
            <w:r w:rsidR="00204A35" w:rsidRPr="000D52D3">
              <w:rPr>
                <w:rFonts w:ascii="Arial" w:hAnsi="Arial"/>
                <w:sz w:val="20"/>
              </w:rPr>
              <w:t xml:space="preserve"> les </w:t>
            </w:r>
            <w:r w:rsidRPr="000D52D3">
              <w:rPr>
                <w:rFonts w:ascii="Arial" w:hAnsi="Arial"/>
                <w:sz w:val="20"/>
              </w:rPr>
              <w:t>responsables de la culture de</w:t>
            </w:r>
            <w:r w:rsidR="00204A35" w:rsidRPr="000D52D3">
              <w:rPr>
                <w:rFonts w:ascii="Arial" w:hAnsi="Arial"/>
                <w:sz w:val="20"/>
              </w:rPr>
              <w:t xml:space="preserve">s bureaux régionaux de </w:t>
            </w:r>
            <w:r w:rsidRPr="000D52D3">
              <w:rPr>
                <w:rFonts w:ascii="Arial" w:hAnsi="Arial"/>
                <w:sz w:val="20"/>
              </w:rPr>
              <w:t>l</w:t>
            </w:r>
            <w:r w:rsidR="00CB437A" w:rsidRPr="000D52D3">
              <w:rPr>
                <w:rFonts w:ascii="Arial" w:hAnsi="Arial"/>
                <w:sz w:val="20"/>
              </w:rPr>
              <w:t>’</w:t>
            </w:r>
            <w:r w:rsidRPr="000D52D3">
              <w:rPr>
                <w:rFonts w:ascii="Arial" w:hAnsi="Arial"/>
                <w:sz w:val="20"/>
              </w:rPr>
              <w:t>UNESCO.</w:t>
            </w:r>
          </w:p>
          <w:p w14:paraId="3376958F" w14:textId="164C834C" w:rsidR="006A6C41" w:rsidRPr="000D52D3" w:rsidRDefault="00C9513F"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 xml:space="preserve">Réorientation du programme mondial de renforcement des capacités initiée de manière à inclure des approches de prestation multimodales (entièrement en ligne, hybride, en personne/composée) en élaborant une stratégie, en menant des activités pilotes pour sa mise en œuvre, en formant les facilitateurs à la </w:t>
            </w:r>
            <w:r w:rsidR="00204A35" w:rsidRPr="000D52D3">
              <w:rPr>
                <w:rFonts w:ascii="Arial" w:hAnsi="Arial"/>
                <w:sz w:val="20"/>
              </w:rPr>
              <w:t>c</w:t>
            </w:r>
            <w:r w:rsidRPr="000D52D3">
              <w:rPr>
                <w:rFonts w:ascii="Arial" w:hAnsi="Arial"/>
                <w:sz w:val="20"/>
              </w:rPr>
              <w:t>onversion de la documentation et en commençant le développement du système de gestion de l</w:t>
            </w:r>
            <w:r w:rsidR="00CB437A" w:rsidRPr="000D52D3">
              <w:rPr>
                <w:rFonts w:ascii="Arial" w:hAnsi="Arial"/>
                <w:sz w:val="20"/>
              </w:rPr>
              <w:t>’</w:t>
            </w:r>
            <w:r w:rsidRPr="000D52D3">
              <w:rPr>
                <w:rFonts w:ascii="Arial" w:hAnsi="Arial"/>
                <w:sz w:val="20"/>
              </w:rPr>
              <w:t>apprentissage (à poursuivre au cours de l</w:t>
            </w:r>
            <w:r w:rsidR="00CB437A" w:rsidRPr="000D52D3">
              <w:rPr>
                <w:rFonts w:ascii="Arial" w:hAnsi="Arial"/>
                <w:sz w:val="20"/>
              </w:rPr>
              <w:t>’</w:t>
            </w:r>
            <w:r w:rsidRPr="000D52D3">
              <w:rPr>
                <w:rFonts w:ascii="Arial" w:hAnsi="Arial"/>
                <w:sz w:val="20"/>
              </w:rPr>
              <w:t>exercice</w:t>
            </w:r>
            <w:r w:rsidR="0042677B" w:rsidRPr="000D52D3">
              <w:rPr>
                <w:rFonts w:ascii="Arial" w:hAnsi="Arial"/>
                <w:sz w:val="20"/>
              </w:rPr>
              <w:t> </w:t>
            </w:r>
            <w:r w:rsidRPr="000D52D3">
              <w:rPr>
                <w:rFonts w:ascii="Arial" w:hAnsi="Arial"/>
                <w:sz w:val="20"/>
              </w:rPr>
              <w:t>2022</w:t>
            </w:r>
            <w:r w:rsidR="002A0B78">
              <w:rPr>
                <w:rFonts w:asciiTheme="minorBidi" w:hAnsiTheme="minorBidi"/>
              </w:rPr>
              <w:t>–</w:t>
            </w:r>
            <w:r w:rsidRPr="000D52D3">
              <w:rPr>
                <w:rFonts w:ascii="Arial" w:hAnsi="Arial"/>
                <w:sz w:val="20"/>
              </w:rPr>
              <w:t xml:space="preserve">2023). </w:t>
            </w:r>
          </w:p>
          <w:p w14:paraId="67546989" w14:textId="0F2BFED9" w:rsidR="006A6C41" w:rsidRPr="000D52D3" w:rsidRDefault="00CE3237"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Une nouvelle approche du renforcement des capacités sur le patrimoine vivant et la réduction des risques de catastrophe a été développée et pilotée dans les pays, permettant de toucher de nouveaux publics travaillant à la gestion des risques de catastrophe.</w:t>
            </w:r>
          </w:p>
          <w:p w14:paraId="2C619DC3" w14:textId="77777777"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Maintien de la page web du réseau des facilitateurs et du navigateur dédié à la documentation.</w:t>
            </w:r>
          </w:p>
        </w:tc>
        <w:tc>
          <w:tcPr>
            <w:tcW w:w="2980" w:type="dxa"/>
            <w:shd w:val="clear" w:color="auto" w:fill="auto"/>
          </w:tcPr>
          <w:p w14:paraId="37EE1862" w14:textId="77777777" w:rsidR="006A6C41" w:rsidRPr="000D52D3" w:rsidRDefault="006A6C41">
            <w:pPr>
              <w:spacing w:before="320" w:after="60"/>
              <w:jc w:val="center"/>
              <w:rPr>
                <w:rFonts w:ascii="Arial" w:eastAsia="Calibri" w:hAnsi="Arial" w:cs="Arial"/>
                <w:sz w:val="20"/>
                <w:szCs w:val="20"/>
              </w:rPr>
            </w:pPr>
            <w:r w:rsidRPr="000D52D3">
              <w:rPr>
                <w:rFonts w:ascii="Arial" w:hAnsi="Arial"/>
                <w:sz w:val="20"/>
              </w:rPr>
              <w:t>Accompli</w:t>
            </w:r>
          </w:p>
        </w:tc>
      </w:tr>
      <w:tr w:rsidR="006A6C41" w:rsidRPr="000D52D3" w14:paraId="660F82EE" w14:textId="77777777" w:rsidTr="00D80DFD">
        <w:trPr>
          <w:jc w:val="center"/>
        </w:trPr>
        <w:tc>
          <w:tcPr>
            <w:tcW w:w="6658" w:type="dxa"/>
            <w:shd w:val="clear" w:color="auto" w:fill="auto"/>
          </w:tcPr>
          <w:p w14:paraId="22EF8B4E" w14:textId="3408D99E"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lastRenderedPageBreak/>
              <w:t>Renforcement du réseau et des partenariats avec les établissements d</w:t>
            </w:r>
            <w:r w:rsidR="00CB437A" w:rsidRPr="000D52D3">
              <w:rPr>
                <w:rFonts w:ascii="Arial" w:hAnsi="Arial"/>
                <w:b/>
                <w:sz w:val="20"/>
              </w:rPr>
              <w:t>’</w:t>
            </w:r>
            <w:r w:rsidRPr="000D52D3">
              <w:rPr>
                <w:rFonts w:ascii="Arial" w:hAnsi="Arial"/>
                <w:b/>
                <w:sz w:val="20"/>
              </w:rPr>
              <w:t>enseignement supérieur</w:t>
            </w:r>
          </w:p>
          <w:p w14:paraId="5ABFED13" w14:textId="295B6CE3"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Le nombre d</w:t>
            </w:r>
            <w:r w:rsidR="00CB437A" w:rsidRPr="000D52D3">
              <w:rPr>
                <w:rFonts w:ascii="Arial" w:hAnsi="Arial"/>
                <w:sz w:val="20"/>
              </w:rPr>
              <w:t>’</w:t>
            </w:r>
            <w:r w:rsidRPr="000D52D3">
              <w:rPr>
                <w:rFonts w:ascii="Arial" w:hAnsi="Arial"/>
                <w:sz w:val="20"/>
              </w:rPr>
              <w:t>universités engagées dans le réseau a dépassé les 140, impliquant désormais toutes les régions, suite à la réponse positive de 34</w:t>
            </w:r>
            <w:r w:rsidR="0042677B" w:rsidRPr="000D52D3">
              <w:rPr>
                <w:rFonts w:ascii="Arial" w:hAnsi="Arial"/>
                <w:sz w:val="20"/>
              </w:rPr>
              <w:t> </w:t>
            </w:r>
            <w:r w:rsidRPr="000D52D3">
              <w:rPr>
                <w:rFonts w:ascii="Arial" w:hAnsi="Arial"/>
                <w:sz w:val="20"/>
              </w:rPr>
              <w:t>universités à une enquête menée dans les États arabes sur l</w:t>
            </w:r>
            <w:r w:rsidR="00CB437A" w:rsidRPr="000D52D3">
              <w:rPr>
                <w:rFonts w:ascii="Arial" w:hAnsi="Arial"/>
                <w:sz w:val="20"/>
              </w:rPr>
              <w:t>’</w:t>
            </w:r>
            <w:r w:rsidRPr="000D52D3">
              <w:rPr>
                <w:rFonts w:ascii="Arial" w:hAnsi="Arial"/>
                <w:sz w:val="20"/>
              </w:rPr>
              <w:t>intégration du patrimoine culturel immatériel dans les cours d</w:t>
            </w:r>
            <w:r w:rsidR="00CB437A" w:rsidRPr="000D52D3">
              <w:rPr>
                <w:rFonts w:ascii="Arial" w:hAnsi="Arial"/>
                <w:sz w:val="20"/>
              </w:rPr>
              <w:t>’</w:t>
            </w:r>
            <w:r w:rsidRPr="000D52D3">
              <w:rPr>
                <w:rFonts w:ascii="Arial" w:hAnsi="Arial"/>
                <w:sz w:val="20"/>
              </w:rPr>
              <w:t xml:space="preserve">enseignement supérieur. </w:t>
            </w:r>
          </w:p>
          <w:p w14:paraId="0FF6E585" w14:textId="50E620F7"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La première formation en ligne MOOC de l</w:t>
            </w:r>
            <w:r w:rsidR="00CB437A" w:rsidRPr="000D52D3">
              <w:rPr>
                <w:rFonts w:ascii="Arial" w:hAnsi="Arial"/>
                <w:sz w:val="20"/>
              </w:rPr>
              <w:t>’</w:t>
            </w:r>
            <w:r w:rsidRPr="000D52D3">
              <w:rPr>
                <w:rFonts w:ascii="Arial" w:hAnsi="Arial"/>
                <w:sz w:val="20"/>
              </w:rPr>
              <w:t xml:space="preserve">UNESCO sur le </w:t>
            </w:r>
            <w:r w:rsidR="00204A35" w:rsidRPr="000D52D3">
              <w:rPr>
                <w:rFonts w:ascii="Arial" w:hAnsi="Arial"/>
                <w:sz w:val="20"/>
              </w:rPr>
              <w:t>P</w:t>
            </w:r>
            <w:r w:rsidRPr="000D52D3">
              <w:rPr>
                <w:rFonts w:ascii="Arial" w:hAnsi="Arial"/>
                <w:sz w:val="20"/>
              </w:rPr>
              <w:t>atrimoine vivant et le développement durable, produite en partenariat avec l</w:t>
            </w:r>
            <w:r w:rsidR="00CB437A" w:rsidRPr="000D52D3">
              <w:rPr>
                <w:rFonts w:ascii="Arial" w:hAnsi="Arial"/>
                <w:sz w:val="20"/>
              </w:rPr>
              <w:t>’</w:t>
            </w:r>
            <w:r w:rsidRPr="000D52D3">
              <w:rPr>
                <w:rFonts w:ascii="Arial" w:hAnsi="Arial"/>
                <w:sz w:val="20"/>
              </w:rPr>
              <w:t xml:space="preserve">ICHCAP et </w:t>
            </w:r>
            <w:r w:rsidR="00204A35" w:rsidRPr="000D52D3">
              <w:rPr>
                <w:rFonts w:ascii="Arial" w:hAnsi="Arial"/>
                <w:sz w:val="20"/>
              </w:rPr>
              <w:t xml:space="preserve">la </w:t>
            </w:r>
            <w:r w:rsidRPr="000D52D3">
              <w:rPr>
                <w:rFonts w:ascii="Arial" w:hAnsi="Arial"/>
                <w:sz w:val="20"/>
              </w:rPr>
              <w:t>SDG</w:t>
            </w:r>
            <w:r w:rsidR="00204A35" w:rsidRPr="000D52D3">
              <w:rPr>
                <w:rFonts w:ascii="Arial" w:hAnsi="Arial"/>
                <w:sz w:val="20"/>
              </w:rPr>
              <w:t xml:space="preserve"> Academy</w:t>
            </w:r>
            <w:r w:rsidRPr="000D52D3">
              <w:rPr>
                <w:rFonts w:ascii="Arial" w:hAnsi="Arial"/>
                <w:sz w:val="20"/>
              </w:rPr>
              <w:t xml:space="preserve">, a été lancée lors de la </w:t>
            </w:r>
            <w:r w:rsidR="00E22E29" w:rsidRPr="000D52D3">
              <w:rPr>
                <w:rFonts w:ascii="Arial" w:hAnsi="Arial"/>
                <w:sz w:val="20"/>
              </w:rPr>
              <w:t>seizième session du Comité</w:t>
            </w:r>
            <w:r w:rsidRPr="000D52D3">
              <w:rPr>
                <w:rFonts w:ascii="Arial" w:hAnsi="Arial"/>
                <w:sz w:val="20"/>
              </w:rPr>
              <w:t>. Le contenu de cette formation complète de six semaines, à progression autonome, a été élaboré avec douze instructeurs et un professeur principal, la chaire universitaire UNESCO de recherche sur le patrimoine culturel immatériel et la diversité culturelle de l</w:t>
            </w:r>
            <w:r w:rsidR="00CB437A" w:rsidRPr="000D52D3">
              <w:rPr>
                <w:rFonts w:ascii="Arial" w:hAnsi="Arial"/>
                <w:sz w:val="20"/>
              </w:rPr>
              <w:t>’</w:t>
            </w:r>
            <w:r w:rsidRPr="000D52D3">
              <w:rPr>
                <w:rFonts w:ascii="Arial" w:hAnsi="Arial"/>
                <w:sz w:val="20"/>
              </w:rPr>
              <w:t xml:space="preserve">Université autonome du Mexique. La production de la version française a été lancée. </w:t>
            </w:r>
          </w:p>
          <w:p w14:paraId="0DCFDD36" w14:textId="2D239E4D"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La gestion des données et l</w:t>
            </w:r>
            <w:r w:rsidR="00CB437A" w:rsidRPr="000D52D3">
              <w:rPr>
                <w:rFonts w:ascii="Arial" w:hAnsi="Arial"/>
                <w:sz w:val="20"/>
              </w:rPr>
              <w:t>’</w:t>
            </w:r>
            <w:r w:rsidRPr="000D52D3">
              <w:rPr>
                <w:rFonts w:ascii="Arial" w:hAnsi="Arial"/>
                <w:sz w:val="20"/>
              </w:rPr>
              <w:t>interface publique dans le domaine de l</w:t>
            </w:r>
            <w:r w:rsidR="00CB437A" w:rsidRPr="000D52D3">
              <w:rPr>
                <w:rFonts w:ascii="Arial" w:hAnsi="Arial"/>
                <w:sz w:val="20"/>
              </w:rPr>
              <w:t>’</w:t>
            </w:r>
            <w:r w:rsidRPr="000D52D3">
              <w:rPr>
                <w:rFonts w:ascii="Arial" w:hAnsi="Arial"/>
                <w:sz w:val="20"/>
              </w:rPr>
              <w:t>enseignement supérieur et des acteurs de la recherche ont été améliorées afin de renforcer les partenariats.</w:t>
            </w:r>
          </w:p>
        </w:tc>
        <w:tc>
          <w:tcPr>
            <w:tcW w:w="2980" w:type="dxa"/>
          </w:tcPr>
          <w:p w14:paraId="03AB7DC1" w14:textId="77777777" w:rsidR="006A6C41" w:rsidRPr="000D52D3" w:rsidRDefault="006A6C41">
            <w:pPr>
              <w:spacing w:before="320" w:after="60"/>
              <w:jc w:val="center"/>
              <w:rPr>
                <w:rFonts w:ascii="Arial" w:eastAsia="Calibri" w:hAnsi="Arial" w:cs="Arial"/>
                <w:sz w:val="20"/>
                <w:szCs w:val="20"/>
              </w:rPr>
            </w:pPr>
            <w:r w:rsidRPr="000D52D3">
              <w:rPr>
                <w:rFonts w:ascii="Arial" w:hAnsi="Arial"/>
                <w:sz w:val="20"/>
              </w:rPr>
              <w:t>Accompli</w:t>
            </w:r>
          </w:p>
          <w:p w14:paraId="650403B7" w14:textId="77777777" w:rsidR="006A6C41" w:rsidRPr="000D52D3" w:rsidRDefault="006A6C41">
            <w:pPr>
              <w:spacing w:after="60"/>
              <w:jc w:val="center"/>
              <w:rPr>
                <w:rFonts w:ascii="Arial" w:eastAsia="Calibri" w:hAnsi="Arial" w:cs="Arial"/>
                <w:sz w:val="20"/>
                <w:szCs w:val="20"/>
              </w:rPr>
            </w:pPr>
          </w:p>
        </w:tc>
      </w:tr>
    </w:tbl>
    <w:p w14:paraId="7C1EE389" w14:textId="77777777" w:rsidR="006A6C41" w:rsidRPr="000D52D3" w:rsidRDefault="006A6C41" w:rsidP="00A154E3">
      <w:pPr>
        <w:keepNext/>
        <w:numPr>
          <w:ilvl w:val="0"/>
          <w:numId w:val="26"/>
        </w:numPr>
        <w:spacing w:before="240" w:after="0"/>
        <w:ind w:left="284" w:hanging="284"/>
        <w:rPr>
          <w:rFonts w:ascii="Arial" w:hAnsi="Arial" w:cs="Arial"/>
          <w:b/>
          <w:szCs w:val="22"/>
        </w:rPr>
      </w:pPr>
      <w:r w:rsidRPr="000D52D3">
        <w:rPr>
          <w:rFonts w:ascii="Arial" w:hAnsi="Arial"/>
          <w:b/>
        </w:rPr>
        <w:t>Défis et risques rencontrés dans la mise en œuvre et mesures correctives (2020/2021)</w:t>
      </w:r>
    </w:p>
    <w:p w14:paraId="480C015F" w14:textId="77777777" w:rsidR="006A6C41" w:rsidRPr="000D52D3" w:rsidRDefault="006A6C41" w:rsidP="006A6C41">
      <w:pPr>
        <w:keepNext/>
        <w:spacing w:before="240" w:after="0"/>
        <w:ind w:left="720"/>
        <w:contextualSpacing/>
        <w:rPr>
          <w:rFonts w:ascii="Arial" w:hAnsi="Arial" w:cs="Arial"/>
          <w:b/>
          <w:sz w:val="24"/>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6A6C41" w:rsidRPr="000D52D3" w14:paraId="48A72ED8" w14:textId="77777777" w:rsidTr="001D0AE3">
        <w:trPr>
          <w:tblHeader/>
          <w:jc w:val="center"/>
        </w:trPr>
        <w:tc>
          <w:tcPr>
            <w:tcW w:w="2500" w:type="pct"/>
            <w:shd w:val="clear" w:color="auto" w:fill="D9D9D9"/>
            <w:vAlign w:val="center"/>
          </w:tcPr>
          <w:p w14:paraId="0F9D6412"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Principaux défis</w:t>
            </w:r>
          </w:p>
        </w:tc>
        <w:tc>
          <w:tcPr>
            <w:tcW w:w="2500" w:type="pct"/>
            <w:shd w:val="clear" w:color="auto" w:fill="D9D9D9"/>
            <w:vAlign w:val="center"/>
          </w:tcPr>
          <w:p w14:paraId="2414AFC0"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Mesures correctives</w:t>
            </w:r>
          </w:p>
        </w:tc>
      </w:tr>
      <w:tr w:rsidR="006A6C41" w:rsidRPr="000D52D3" w14:paraId="0284866A" w14:textId="77777777" w:rsidTr="001D0AE3">
        <w:trPr>
          <w:jc w:val="center"/>
        </w:trPr>
        <w:tc>
          <w:tcPr>
            <w:tcW w:w="2500" w:type="pct"/>
            <w:shd w:val="clear" w:color="auto" w:fill="auto"/>
          </w:tcPr>
          <w:p w14:paraId="50BCE2FE" w14:textId="2F6ABD84" w:rsidR="006A6C41" w:rsidRPr="000D52D3" w:rsidRDefault="006A6C41" w:rsidP="006A6C41">
            <w:pPr>
              <w:spacing w:before="60" w:after="60"/>
              <w:jc w:val="both"/>
              <w:rPr>
                <w:rFonts w:ascii="Arial" w:hAnsi="Arial" w:cs="Arial"/>
                <w:sz w:val="20"/>
                <w:szCs w:val="20"/>
              </w:rPr>
            </w:pPr>
            <w:r w:rsidRPr="000D52D3">
              <w:rPr>
                <w:rFonts w:ascii="Arial" w:hAnsi="Arial"/>
                <w:sz w:val="20"/>
              </w:rPr>
              <w:t>Avec l</w:t>
            </w:r>
            <w:r w:rsidR="00CB437A" w:rsidRPr="000D52D3">
              <w:rPr>
                <w:rFonts w:ascii="Arial" w:hAnsi="Arial"/>
                <w:sz w:val="20"/>
              </w:rPr>
              <w:t>’</w:t>
            </w:r>
            <w:r w:rsidRPr="000D52D3">
              <w:rPr>
                <w:rFonts w:ascii="Arial" w:hAnsi="Arial"/>
                <w:sz w:val="20"/>
              </w:rPr>
              <w:t>apparition de la pandémie de COVID-19 et des restrictions qui y sont liées, le Secrétariat a été confronté au fait qu</w:t>
            </w:r>
            <w:r w:rsidR="00CB437A" w:rsidRPr="000D52D3">
              <w:rPr>
                <w:rFonts w:ascii="Arial" w:hAnsi="Arial"/>
                <w:sz w:val="20"/>
              </w:rPr>
              <w:t>’</w:t>
            </w:r>
            <w:r w:rsidRPr="000D52D3">
              <w:rPr>
                <w:rFonts w:ascii="Arial" w:hAnsi="Arial"/>
                <w:sz w:val="20"/>
              </w:rPr>
              <w:t>il n</w:t>
            </w:r>
            <w:r w:rsidR="00CB437A" w:rsidRPr="000D52D3">
              <w:rPr>
                <w:rFonts w:ascii="Arial" w:hAnsi="Arial"/>
                <w:sz w:val="20"/>
              </w:rPr>
              <w:t>’</w:t>
            </w:r>
            <w:r w:rsidRPr="000D52D3">
              <w:rPr>
                <w:rFonts w:ascii="Arial" w:hAnsi="Arial"/>
                <w:sz w:val="20"/>
              </w:rPr>
              <w:t>était plus possible de mettre en œuvre les activités de renforcement des capacités prévues pour le déploiement du mécanisme réformé de présentation de rapports périodiques dans le format en personne prévu en Amérique latine et dans les Caraïbes en 2020 et en Europe en 2021.</w:t>
            </w:r>
          </w:p>
        </w:tc>
        <w:tc>
          <w:tcPr>
            <w:tcW w:w="2500" w:type="pct"/>
            <w:shd w:val="clear" w:color="auto" w:fill="auto"/>
          </w:tcPr>
          <w:p w14:paraId="795D11E5" w14:textId="28F4FD6A" w:rsidR="006A6C41" w:rsidRPr="000D52D3" w:rsidRDefault="006A6C41" w:rsidP="006A6C41">
            <w:pPr>
              <w:spacing w:before="60" w:after="60"/>
              <w:jc w:val="both"/>
              <w:rPr>
                <w:rFonts w:ascii="Arial" w:eastAsia="Calibri" w:hAnsi="Arial" w:cs="Arial"/>
                <w:sz w:val="20"/>
                <w:szCs w:val="20"/>
              </w:rPr>
            </w:pPr>
            <w:r w:rsidRPr="000D52D3">
              <w:rPr>
                <w:rFonts w:ascii="Arial" w:hAnsi="Arial"/>
                <w:sz w:val="20"/>
              </w:rPr>
              <w:t>Afin de surmonter ce défi et d</w:t>
            </w:r>
            <w:r w:rsidR="00CB437A" w:rsidRPr="000D52D3">
              <w:rPr>
                <w:rFonts w:ascii="Arial" w:hAnsi="Arial"/>
                <w:sz w:val="20"/>
              </w:rPr>
              <w:t>’</w:t>
            </w:r>
            <w:r w:rsidRPr="000D52D3">
              <w:rPr>
                <w:rFonts w:ascii="Arial" w:hAnsi="Arial"/>
                <w:sz w:val="20"/>
              </w:rPr>
              <w:t>assurer une formation en temps opportun sur l</w:t>
            </w:r>
            <w:r w:rsidR="00CB437A" w:rsidRPr="000D52D3">
              <w:rPr>
                <w:rFonts w:ascii="Arial" w:hAnsi="Arial"/>
                <w:sz w:val="20"/>
              </w:rPr>
              <w:t>’</w:t>
            </w:r>
            <w:r w:rsidRPr="000D52D3">
              <w:rPr>
                <w:rFonts w:ascii="Arial" w:hAnsi="Arial"/>
                <w:sz w:val="20"/>
              </w:rPr>
              <w:t>établissement de rapports périodiques pour les points focaux nationaux en Amérique latine et aux Caraïbes et en Europe, le Secrétariat a remanié l</w:t>
            </w:r>
            <w:r w:rsidR="00CB437A" w:rsidRPr="000D52D3">
              <w:rPr>
                <w:rFonts w:ascii="Arial" w:hAnsi="Arial"/>
                <w:sz w:val="20"/>
              </w:rPr>
              <w:t>’</w:t>
            </w:r>
            <w:r w:rsidRPr="000D52D3">
              <w:rPr>
                <w:rFonts w:ascii="Arial" w:hAnsi="Arial"/>
                <w:sz w:val="20"/>
              </w:rPr>
              <w:t>atelier présentiel en un cours en ligne de six semaines qui a rassemblé tous les points focaux nationaux d</w:t>
            </w:r>
            <w:r w:rsidR="00CB437A" w:rsidRPr="000D52D3">
              <w:rPr>
                <w:rFonts w:ascii="Arial" w:hAnsi="Arial"/>
                <w:sz w:val="20"/>
              </w:rPr>
              <w:t>’</w:t>
            </w:r>
            <w:r w:rsidRPr="000D52D3">
              <w:rPr>
                <w:rFonts w:ascii="Arial" w:hAnsi="Arial"/>
                <w:sz w:val="20"/>
              </w:rPr>
              <w:t>Amérique latine et des Caraïbes en 2020 et d</w:t>
            </w:r>
            <w:r w:rsidR="00CB437A" w:rsidRPr="000D52D3">
              <w:rPr>
                <w:rFonts w:ascii="Arial" w:hAnsi="Arial"/>
                <w:sz w:val="20"/>
              </w:rPr>
              <w:t>’</w:t>
            </w:r>
            <w:r w:rsidRPr="000D52D3">
              <w:rPr>
                <w:rFonts w:ascii="Arial" w:hAnsi="Arial"/>
                <w:sz w:val="20"/>
              </w:rPr>
              <w:t xml:space="preserve">Europe en 2021. Ces formations ont également impliqué </w:t>
            </w:r>
            <w:r w:rsidR="00E22E29" w:rsidRPr="000D52D3">
              <w:rPr>
                <w:rFonts w:ascii="Arial" w:hAnsi="Arial"/>
                <w:sz w:val="20"/>
              </w:rPr>
              <w:t xml:space="preserve">des </w:t>
            </w:r>
            <w:r w:rsidRPr="000D52D3">
              <w:rPr>
                <w:rFonts w:ascii="Arial" w:hAnsi="Arial"/>
                <w:sz w:val="20"/>
              </w:rPr>
              <w:t>facilitateurs seniors du réseau de l</w:t>
            </w:r>
            <w:r w:rsidR="00CB437A" w:rsidRPr="000D52D3">
              <w:rPr>
                <w:rFonts w:ascii="Arial" w:hAnsi="Arial"/>
                <w:sz w:val="20"/>
              </w:rPr>
              <w:t>’</w:t>
            </w:r>
            <w:r w:rsidRPr="000D52D3">
              <w:rPr>
                <w:rFonts w:ascii="Arial" w:hAnsi="Arial"/>
                <w:sz w:val="20"/>
              </w:rPr>
              <w:t>UNESCO et des responsables de la culture de l</w:t>
            </w:r>
            <w:r w:rsidR="00CB437A" w:rsidRPr="000D52D3">
              <w:rPr>
                <w:rFonts w:ascii="Arial" w:hAnsi="Arial"/>
                <w:sz w:val="20"/>
              </w:rPr>
              <w:t>’</w:t>
            </w:r>
            <w:r w:rsidRPr="000D52D3">
              <w:rPr>
                <w:rFonts w:ascii="Arial" w:hAnsi="Arial"/>
                <w:sz w:val="20"/>
              </w:rPr>
              <w:t>UNESCO des régions respectives. Développé en un temps record pour l</w:t>
            </w:r>
            <w:r w:rsidR="00CB437A" w:rsidRPr="000D52D3">
              <w:rPr>
                <w:rFonts w:ascii="Arial" w:hAnsi="Arial"/>
                <w:sz w:val="20"/>
              </w:rPr>
              <w:t>’</w:t>
            </w:r>
            <w:r w:rsidRPr="000D52D3">
              <w:rPr>
                <w:rFonts w:ascii="Arial" w:hAnsi="Arial"/>
                <w:sz w:val="20"/>
              </w:rPr>
              <w:t>Amérique latine et les Caraïbes avec des experts seniors du réseau, le cours en ligne s</w:t>
            </w:r>
            <w:r w:rsidR="00CB437A" w:rsidRPr="000D52D3">
              <w:rPr>
                <w:rFonts w:ascii="Arial" w:hAnsi="Arial"/>
                <w:sz w:val="20"/>
              </w:rPr>
              <w:t>’</w:t>
            </w:r>
            <w:r w:rsidRPr="000D52D3">
              <w:rPr>
                <w:rFonts w:ascii="Arial" w:hAnsi="Arial"/>
                <w:sz w:val="20"/>
              </w:rPr>
              <w:t>est déroulé avec beaucoup de succès, comme en témoigne le taux élevé sans précédent de plus de 85,6</w:t>
            </w:r>
            <w:r w:rsidR="0042677B" w:rsidRPr="000D52D3">
              <w:rPr>
                <w:rFonts w:ascii="Arial" w:hAnsi="Arial"/>
                <w:sz w:val="20"/>
              </w:rPr>
              <w:t> </w:t>
            </w:r>
            <w:r w:rsidRPr="000D52D3">
              <w:rPr>
                <w:rFonts w:ascii="Arial" w:hAnsi="Arial"/>
                <w:sz w:val="20"/>
              </w:rPr>
              <w:t>% de rapports périodiques soumis par les pays d</w:t>
            </w:r>
            <w:r w:rsidR="00CB437A" w:rsidRPr="000D52D3">
              <w:rPr>
                <w:rFonts w:ascii="Arial" w:hAnsi="Arial"/>
                <w:sz w:val="20"/>
              </w:rPr>
              <w:t>’</w:t>
            </w:r>
            <w:r w:rsidRPr="000D52D3">
              <w:rPr>
                <w:rFonts w:ascii="Arial" w:hAnsi="Arial"/>
                <w:sz w:val="20"/>
              </w:rPr>
              <w:t>Amérique latine et des Caraïbes. La deuxième édition pour l</w:t>
            </w:r>
            <w:r w:rsidR="00CB437A" w:rsidRPr="000D52D3">
              <w:rPr>
                <w:rFonts w:ascii="Arial" w:hAnsi="Arial"/>
                <w:sz w:val="20"/>
              </w:rPr>
              <w:t>’</w:t>
            </w:r>
            <w:r w:rsidRPr="000D52D3">
              <w:rPr>
                <w:rFonts w:ascii="Arial" w:hAnsi="Arial"/>
                <w:sz w:val="20"/>
              </w:rPr>
              <w:t>Europe a pu mettre à profit les enseignements tirés de la première édition et a enregistré un taux de soumission de plus de 92</w:t>
            </w:r>
            <w:r w:rsidR="0042677B" w:rsidRPr="000D52D3">
              <w:rPr>
                <w:rFonts w:ascii="Arial" w:hAnsi="Arial"/>
                <w:sz w:val="20"/>
              </w:rPr>
              <w:t> </w:t>
            </w:r>
            <w:r w:rsidRPr="000D52D3">
              <w:rPr>
                <w:rFonts w:ascii="Arial" w:hAnsi="Arial"/>
                <w:sz w:val="20"/>
              </w:rPr>
              <w:t>%.</w:t>
            </w:r>
          </w:p>
        </w:tc>
      </w:tr>
      <w:tr w:rsidR="006A6C41" w:rsidRPr="000D52D3" w14:paraId="0C340C0E" w14:textId="77777777" w:rsidTr="001D0AE3">
        <w:trPr>
          <w:jc w:val="center"/>
        </w:trPr>
        <w:tc>
          <w:tcPr>
            <w:tcW w:w="2500" w:type="pct"/>
            <w:shd w:val="clear" w:color="auto" w:fill="auto"/>
          </w:tcPr>
          <w:p w14:paraId="31254CAD" w14:textId="63D77570" w:rsidR="006A6C41" w:rsidRPr="000D52D3" w:rsidRDefault="006A6C41" w:rsidP="00D80DFD">
            <w:pPr>
              <w:keepLines/>
              <w:spacing w:before="60" w:after="60"/>
              <w:jc w:val="both"/>
              <w:rPr>
                <w:rFonts w:ascii="Arial" w:hAnsi="Arial" w:cs="Arial"/>
                <w:sz w:val="20"/>
                <w:szCs w:val="20"/>
              </w:rPr>
            </w:pPr>
            <w:r w:rsidRPr="000D52D3">
              <w:rPr>
                <w:rFonts w:ascii="Arial" w:hAnsi="Arial"/>
                <w:sz w:val="20"/>
              </w:rPr>
              <w:lastRenderedPageBreak/>
              <w:t>L</w:t>
            </w:r>
            <w:r w:rsidR="00CB437A" w:rsidRPr="000D52D3">
              <w:rPr>
                <w:rFonts w:ascii="Arial" w:hAnsi="Arial"/>
                <w:sz w:val="20"/>
              </w:rPr>
              <w:t>’</w:t>
            </w:r>
            <w:r w:rsidRPr="000D52D3">
              <w:rPr>
                <w:rFonts w:ascii="Arial" w:hAnsi="Arial"/>
                <w:sz w:val="20"/>
              </w:rPr>
              <w:t>élaboration et la production de cours en ligne à progression autonome et la réorientation du programme de renforcement des capacités en faveur d</w:t>
            </w:r>
            <w:r w:rsidR="00CB437A" w:rsidRPr="000D52D3">
              <w:rPr>
                <w:rFonts w:ascii="Arial" w:hAnsi="Arial"/>
                <w:sz w:val="20"/>
              </w:rPr>
              <w:t>’</w:t>
            </w:r>
            <w:r w:rsidRPr="000D52D3">
              <w:rPr>
                <w:rFonts w:ascii="Arial" w:hAnsi="Arial"/>
                <w:sz w:val="20"/>
              </w:rPr>
              <w:t>une approche multimodale (proposant des formats entièrement en ligne, hybrides et en personne/mixtes) ont constitué un défi, car elles requièrent des ensembles d</w:t>
            </w:r>
            <w:r w:rsidR="00CB437A" w:rsidRPr="000D52D3">
              <w:rPr>
                <w:rFonts w:ascii="Arial" w:hAnsi="Arial"/>
                <w:sz w:val="20"/>
              </w:rPr>
              <w:t>’</w:t>
            </w:r>
            <w:r w:rsidRPr="000D52D3">
              <w:rPr>
                <w:rFonts w:ascii="Arial" w:hAnsi="Arial"/>
                <w:sz w:val="20"/>
              </w:rPr>
              <w:t>aptitudes et de compétences spécifiques, inédits pour le Secrétariat.</w:t>
            </w:r>
          </w:p>
        </w:tc>
        <w:tc>
          <w:tcPr>
            <w:tcW w:w="2500" w:type="pct"/>
            <w:shd w:val="clear" w:color="auto" w:fill="auto"/>
          </w:tcPr>
          <w:p w14:paraId="7EFB5D37" w14:textId="1DE67BA4" w:rsidR="006A6C41" w:rsidRPr="000D52D3" w:rsidRDefault="006A6C41" w:rsidP="00D80DFD">
            <w:pPr>
              <w:keepLines/>
              <w:spacing w:before="60" w:after="60"/>
              <w:jc w:val="both"/>
              <w:rPr>
                <w:rFonts w:ascii="Arial" w:hAnsi="Arial" w:cs="Arial"/>
                <w:sz w:val="20"/>
                <w:szCs w:val="20"/>
              </w:rPr>
            </w:pPr>
            <w:r w:rsidRPr="000D52D3">
              <w:rPr>
                <w:rFonts w:ascii="Arial" w:hAnsi="Arial"/>
                <w:sz w:val="20"/>
              </w:rPr>
              <w:t>Afin de relever ce défi, l</w:t>
            </w:r>
            <w:r w:rsidR="00CB437A" w:rsidRPr="000D52D3">
              <w:rPr>
                <w:rFonts w:ascii="Arial" w:hAnsi="Arial"/>
                <w:sz w:val="20"/>
              </w:rPr>
              <w:t>’</w:t>
            </w:r>
            <w:r w:rsidRPr="000D52D3">
              <w:rPr>
                <w:rFonts w:ascii="Arial" w:hAnsi="Arial"/>
                <w:sz w:val="20"/>
              </w:rPr>
              <w:t>entité du Patrimoine vivant a entrepris deux actions</w:t>
            </w:r>
            <w:r w:rsidR="0042677B" w:rsidRPr="000D52D3">
              <w:rPr>
                <w:rFonts w:ascii="Arial" w:hAnsi="Arial"/>
                <w:sz w:val="20"/>
              </w:rPr>
              <w:t> </w:t>
            </w:r>
            <w:r w:rsidRPr="000D52D3">
              <w:rPr>
                <w:rFonts w:ascii="Arial" w:hAnsi="Arial"/>
                <w:sz w:val="20"/>
              </w:rPr>
              <w:t xml:space="preserve">: premièrement, elle a développé un partenariat stratégique avec </w:t>
            </w:r>
            <w:r w:rsidR="00E22E29" w:rsidRPr="000D52D3">
              <w:rPr>
                <w:rFonts w:ascii="Arial" w:hAnsi="Arial"/>
                <w:sz w:val="20"/>
              </w:rPr>
              <w:t xml:space="preserve">la </w:t>
            </w:r>
            <w:r w:rsidRPr="000D52D3">
              <w:rPr>
                <w:rFonts w:ascii="Arial" w:hAnsi="Arial"/>
                <w:sz w:val="20"/>
              </w:rPr>
              <w:t>SDG</w:t>
            </w:r>
            <w:r w:rsidR="00E22E29" w:rsidRPr="000D52D3">
              <w:rPr>
                <w:rFonts w:ascii="Arial" w:hAnsi="Arial"/>
                <w:sz w:val="20"/>
              </w:rPr>
              <w:t xml:space="preserve"> Academy</w:t>
            </w:r>
            <w:r w:rsidRPr="000D52D3">
              <w:rPr>
                <w:rFonts w:ascii="Arial" w:hAnsi="Arial"/>
                <w:sz w:val="20"/>
              </w:rPr>
              <w:t>, qui est spécialisée dans la création et la conservation de cours en ligne ouverts et gratuits (MOOC) et de matériel pédagogique sur le développement durable. Deuxièmement, le Secrétariat a embauché un concepteur pédagogique principal chargé de fournir des conseils ainsi qu</w:t>
            </w:r>
            <w:r w:rsidR="00CB437A" w:rsidRPr="000D52D3">
              <w:rPr>
                <w:rFonts w:ascii="Arial" w:hAnsi="Arial"/>
                <w:sz w:val="20"/>
              </w:rPr>
              <w:t>’</w:t>
            </w:r>
            <w:r w:rsidRPr="000D52D3">
              <w:rPr>
                <w:rFonts w:ascii="Arial" w:hAnsi="Arial"/>
                <w:sz w:val="20"/>
              </w:rPr>
              <w:t>une formation pour l</w:t>
            </w:r>
            <w:r w:rsidR="00CB437A" w:rsidRPr="000D52D3">
              <w:rPr>
                <w:rFonts w:ascii="Arial" w:hAnsi="Arial"/>
                <w:sz w:val="20"/>
              </w:rPr>
              <w:t>’</w:t>
            </w:r>
            <w:r w:rsidRPr="000D52D3">
              <w:rPr>
                <w:rFonts w:ascii="Arial" w:hAnsi="Arial"/>
                <w:sz w:val="20"/>
              </w:rPr>
              <w:t>élaboration et la mise en œuvre de la réorientation stratégique du programme de renforcement des capacités, qui passe d</w:t>
            </w:r>
            <w:r w:rsidR="00CB437A" w:rsidRPr="000D52D3">
              <w:rPr>
                <w:rFonts w:ascii="Arial" w:hAnsi="Arial"/>
                <w:sz w:val="20"/>
              </w:rPr>
              <w:t>’</w:t>
            </w:r>
            <w:r w:rsidRPr="000D52D3">
              <w:rPr>
                <w:rFonts w:ascii="Arial" w:hAnsi="Arial"/>
                <w:sz w:val="20"/>
              </w:rPr>
              <w:t>un format de prestation en personne à un format multimodal, en s</w:t>
            </w:r>
            <w:r w:rsidR="00CB437A" w:rsidRPr="000D52D3">
              <w:rPr>
                <w:rFonts w:ascii="Arial" w:hAnsi="Arial"/>
                <w:sz w:val="20"/>
              </w:rPr>
              <w:t>’</w:t>
            </w:r>
            <w:r w:rsidRPr="000D52D3">
              <w:rPr>
                <w:rFonts w:ascii="Arial" w:hAnsi="Arial"/>
                <w:sz w:val="20"/>
              </w:rPr>
              <w:t>appuyant sur les enseignements tirés de la facilitation en ligne des activités de renforcement des capacités pendant la pandémie. Dans le cadre du processus de réorientation, pour soutenir les approches de prestation multimodale, le Secrétariat a également établi un partenariat avec un fournisseur Moodle pour développer le système de gestion de l</w:t>
            </w:r>
            <w:r w:rsidR="00CB437A" w:rsidRPr="000D52D3">
              <w:rPr>
                <w:rFonts w:ascii="Arial" w:hAnsi="Arial"/>
                <w:sz w:val="20"/>
              </w:rPr>
              <w:t>’</w:t>
            </w:r>
            <w:r w:rsidRPr="000D52D3">
              <w:rPr>
                <w:rFonts w:ascii="Arial" w:hAnsi="Arial"/>
                <w:sz w:val="20"/>
              </w:rPr>
              <w:t>apprentissage de la Convention. Les capacités des facilitateurs et du personnel de l</w:t>
            </w:r>
            <w:r w:rsidR="00CB437A" w:rsidRPr="000D52D3">
              <w:rPr>
                <w:rFonts w:ascii="Arial" w:hAnsi="Arial"/>
                <w:sz w:val="20"/>
              </w:rPr>
              <w:t>’</w:t>
            </w:r>
            <w:r w:rsidRPr="000D52D3">
              <w:rPr>
                <w:rFonts w:ascii="Arial" w:hAnsi="Arial"/>
                <w:sz w:val="20"/>
              </w:rPr>
              <w:t>UNESCO sont renforcées dans ce domaine prometteur grâce à cette expertise supplémentaire.</w:t>
            </w:r>
          </w:p>
        </w:tc>
      </w:tr>
      <w:tr w:rsidR="006A6C41" w:rsidRPr="000D52D3" w14:paraId="2EEB74B3" w14:textId="77777777" w:rsidTr="001D0AE3">
        <w:trPr>
          <w:jc w:val="center"/>
        </w:trPr>
        <w:tc>
          <w:tcPr>
            <w:tcW w:w="2500" w:type="pct"/>
            <w:shd w:val="clear" w:color="auto" w:fill="auto"/>
          </w:tcPr>
          <w:p w14:paraId="43BF3F57" w14:textId="58F9FFBF" w:rsidR="006A6C41" w:rsidRPr="000D52D3" w:rsidRDefault="006A6C41" w:rsidP="006A6C41">
            <w:pPr>
              <w:spacing w:before="60" w:after="60"/>
              <w:jc w:val="both"/>
              <w:rPr>
                <w:rFonts w:ascii="Arial" w:hAnsi="Arial" w:cs="Arial"/>
                <w:sz w:val="20"/>
                <w:szCs w:val="20"/>
              </w:rPr>
            </w:pPr>
            <w:r w:rsidRPr="000D52D3">
              <w:rPr>
                <w:rFonts w:ascii="Arial" w:hAnsi="Arial"/>
                <w:sz w:val="20"/>
              </w:rPr>
              <w:t>L</w:t>
            </w:r>
            <w:r w:rsidR="00CB437A" w:rsidRPr="000D52D3">
              <w:rPr>
                <w:rFonts w:ascii="Arial" w:hAnsi="Arial"/>
                <w:sz w:val="20"/>
              </w:rPr>
              <w:t>’</w:t>
            </w:r>
            <w:r w:rsidRPr="000D52D3">
              <w:rPr>
                <w:rFonts w:ascii="Arial" w:hAnsi="Arial"/>
                <w:sz w:val="20"/>
              </w:rPr>
              <w:t>augmentation du nombre d</w:t>
            </w:r>
            <w:r w:rsidR="00CB437A" w:rsidRPr="000D52D3">
              <w:rPr>
                <w:rFonts w:ascii="Arial" w:hAnsi="Arial"/>
                <w:sz w:val="20"/>
              </w:rPr>
              <w:t>’</w:t>
            </w:r>
            <w:r w:rsidRPr="000D52D3">
              <w:rPr>
                <w:rFonts w:ascii="Arial" w:hAnsi="Arial"/>
                <w:sz w:val="20"/>
              </w:rPr>
              <w:t>universités engagées dans le travail en réseau autour du thème de l</w:t>
            </w:r>
            <w:r w:rsidR="00CB437A" w:rsidRPr="000D52D3">
              <w:rPr>
                <w:rFonts w:ascii="Arial" w:hAnsi="Arial"/>
                <w:sz w:val="20"/>
              </w:rPr>
              <w:t>’</w:t>
            </w:r>
            <w:r w:rsidRPr="000D52D3">
              <w:rPr>
                <w:rFonts w:ascii="Arial" w:hAnsi="Arial"/>
                <w:sz w:val="20"/>
              </w:rPr>
              <w:t>intégration du patrimoine culturel immatériel dans les programmes académiques a représenté un défi, dans la mesure où l</w:t>
            </w:r>
            <w:r w:rsidR="00CB437A" w:rsidRPr="000D52D3">
              <w:rPr>
                <w:rFonts w:ascii="Arial" w:hAnsi="Arial"/>
                <w:sz w:val="20"/>
              </w:rPr>
              <w:t>’</w:t>
            </w:r>
            <w:r w:rsidRPr="000D52D3">
              <w:rPr>
                <w:rFonts w:ascii="Arial" w:hAnsi="Arial"/>
                <w:sz w:val="20"/>
              </w:rPr>
              <w:t>enquête conçue à cet effet n</w:t>
            </w:r>
            <w:r w:rsidR="00CB437A" w:rsidRPr="000D52D3">
              <w:rPr>
                <w:rFonts w:ascii="Arial" w:hAnsi="Arial"/>
                <w:sz w:val="20"/>
              </w:rPr>
              <w:t>’</w:t>
            </w:r>
            <w:r w:rsidRPr="000D52D3">
              <w:rPr>
                <w:rFonts w:ascii="Arial" w:hAnsi="Arial"/>
                <w:sz w:val="20"/>
              </w:rPr>
              <w:t>était pas toujours comprise par les universités concernées. Par exemple, certaines universités ayant des programmes dans des domaines s</w:t>
            </w:r>
            <w:r w:rsidR="00CB437A" w:rsidRPr="000D52D3">
              <w:rPr>
                <w:rFonts w:ascii="Arial" w:hAnsi="Arial"/>
                <w:sz w:val="20"/>
              </w:rPr>
              <w:t>’</w:t>
            </w:r>
            <w:r w:rsidRPr="000D52D3">
              <w:rPr>
                <w:rFonts w:ascii="Arial" w:hAnsi="Arial"/>
                <w:sz w:val="20"/>
              </w:rPr>
              <w:t>inscrivant dans le vaste champ du patrimoine culturel immatériel ignoraient qu</w:t>
            </w:r>
            <w:r w:rsidR="00CB437A" w:rsidRPr="000D52D3">
              <w:rPr>
                <w:rFonts w:ascii="Arial" w:hAnsi="Arial"/>
                <w:sz w:val="20"/>
              </w:rPr>
              <w:t>’</w:t>
            </w:r>
            <w:r w:rsidRPr="000D52D3">
              <w:rPr>
                <w:rFonts w:ascii="Arial" w:hAnsi="Arial"/>
                <w:sz w:val="20"/>
              </w:rPr>
              <w:t>ils seraient qualifiés comme tels.</w:t>
            </w:r>
          </w:p>
        </w:tc>
        <w:tc>
          <w:tcPr>
            <w:tcW w:w="2500" w:type="pct"/>
            <w:shd w:val="clear" w:color="auto" w:fill="auto"/>
          </w:tcPr>
          <w:p w14:paraId="1AEDC6AC" w14:textId="6371D1CF" w:rsidR="006A6C41" w:rsidRPr="000D52D3" w:rsidRDefault="006A6C41" w:rsidP="006A6C41">
            <w:pPr>
              <w:spacing w:before="60" w:after="60"/>
              <w:jc w:val="both"/>
              <w:rPr>
                <w:rFonts w:ascii="Arial" w:hAnsi="Arial" w:cs="Arial"/>
                <w:sz w:val="20"/>
                <w:szCs w:val="20"/>
              </w:rPr>
            </w:pPr>
            <w:r w:rsidRPr="000D52D3">
              <w:rPr>
                <w:rFonts w:ascii="Arial" w:hAnsi="Arial"/>
                <w:sz w:val="20"/>
              </w:rPr>
              <w:t>Le Secrétariat a combiné l</w:t>
            </w:r>
            <w:r w:rsidR="00CB437A" w:rsidRPr="000D52D3">
              <w:rPr>
                <w:rFonts w:ascii="Arial" w:hAnsi="Arial"/>
                <w:sz w:val="20"/>
              </w:rPr>
              <w:t>’</w:t>
            </w:r>
            <w:r w:rsidRPr="000D52D3">
              <w:rPr>
                <w:rFonts w:ascii="Arial" w:hAnsi="Arial"/>
                <w:sz w:val="20"/>
              </w:rPr>
              <w:t>approche de l</w:t>
            </w:r>
            <w:r w:rsidR="00CB437A" w:rsidRPr="000D52D3">
              <w:rPr>
                <w:rFonts w:ascii="Arial" w:hAnsi="Arial"/>
                <w:sz w:val="20"/>
              </w:rPr>
              <w:t>’</w:t>
            </w:r>
            <w:r w:rsidRPr="000D52D3">
              <w:rPr>
                <w:rFonts w:ascii="Arial" w:hAnsi="Arial"/>
                <w:sz w:val="20"/>
              </w:rPr>
              <w:t>enquête en ligne avec une approche «</w:t>
            </w:r>
            <w:r w:rsidR="0042677B" w:rsidRPr="000D52D3">
              <w:rPr>
                <w:rFonts w:ascii="Arial" w:hAnsi="Arial"/>
                <w:sz w:val="20"/>
              </w:rPr>
              <w:t> </w:t>
            </w:r>
            <w:r w:rsidRPr="000D52D3">
              <w:rPr>
                <w:rFonts w:ascii="Arial" w:hAnsi="Arial"/>
                <w:sz w:val="20"/>
              </w:rPr>
              <w:t>en personne</w:t>
            </w:r>
            <w:r w:rsidR="0042677B" w:rsidRPr="000D52D3">
              <w:rPr>
                <w:rFonts w:ascii="Arial" w:hAnsi="Arial"/>
                <w:sz w:val="20"/>
              </w:rPr>
              <w:t> </w:t>
            </w:r>
            <w:r w:rsidRPr="000D52D3">
              <w:rPr>
                <w:rFonts w:ascii="Arial" w:hAnsi="Arial"/>
                <w:sz w:val="20"/>
              </w:rPr>
              <w:t>», un consultant menant des entretiens téléphoniques pour expliquer plus en détail les objectifs de l</w:t>
            </w:r>
            <w:r w:rsidR="00CB437A" w:rsidRPr="000D52D3">
              <w:rPr>
                <w:rFonts w:ascii="Arial" w:hAnsi="Arial"/>
                <w:sz w:val="20"/>
              </w:rPr>
              <w:t>’</w:t>
            </w:r>
            <w:r w:rsidRPr="000D52D3">
              <w:rPr>
                <w:rFonts w:ascii="Arial" w:hAnsi="Arial"/>
                <w:sz w:val="20"/>
              </w:rPr>
              <w:t xml:space="preserve">enquête et obtenir les informations requises. En outre, le Secrétariat a organisé le travail de manière à ce que les différents bureaux </w:t>
            </w:r>
            <w:r w:rsidR="00E22E29" w:rsidRPr="000D52D3">
              <w:rPr>
                <w:rFonts w:ascii="Arial" w:hAnsi="Arial"/>
                <w:sz w:val="20"/>
              </w:rPr>
              <w:t xml:space="preserve">hors-siège </w:t>
            </w:r>
            <w:r w:rsidRPr="000D52D3">
              <w:rPr>
                <w:rFonts w:ascii="Arial" w:hAnsi="Arial"/>
                <w:sz w:val="20"/>
              </w:rPr>
              <w:t>en Afrique puissent soutenir la collecte de données pour les pays sous leur responsabilité en les contactant</w:t>
            </w:r>
            <w:r w:rsidR="00E22E29" w:rsidRPr="000D52D3">
              <w:rPr>
                <w:rFonts w:ascii="Arial" w:hAnsi="Arial"/>
                <w:sz w:val="20"/>
              </w:rPr>
              <w:t xml:space="preserve"> e</w:t>
            </w:r>
            <w:r w:rsidRPr="000D52D3">
              <w:rPr>
                <w:rFonts w:ascii="Arial" w:hAnsi="Arial"/>
                <w:sz w:val="20"/>
              </w:rPr>
              <w:t xml:space="preserve">t </w:t>
            </w:r>
            <w:r w:rsidR="00E22E29" w:rsidRPr="000D52D3">
              <w:rPr>
                <w:rFonts w:ascii="Arial" w:hAnsi="Arial"/>
                <w:sz w:val="20"/>
              </w:rPr>
              <w:t xml:space="preserve">en commençant </w:t>
            </w:r>
            <w:r w:rsidRPr="000D52D3">
              <w:rPr>
                <w:rFonts w:ascii="Arial" w:hAnsi="Arial"/>
                <w:sz w:val="20"/>
              </w:rPr>
              <w:t>par l</w:t>
            </w:r>
            <w:r w:rsidR="00CB437A" w:rsidRPr="000D52D3">
              <w:rPr>
                <w:rFonts w:ascii="Arial" w:hAnsi="Arial"/>
                <w:sz w:val="20"/>
              </w:rPr>
              <w:t>’</w:t>
            </w:r>
            <w:r w:rsidRPr="000D52D3">
              <w:rPr>
                <w:rFonts w:ascii="Arial" w:hAnsi="Arial"/>
                <w:sz w:val="20"/>
              </w:rPr>
              <w:t>Afrique australe.</w:t>
            </w:r>
          </w:p>
        </w:tc>
      </w:tr>
      <w:bookmarkEnd w:id="14"/>
    </w:tbl>
    <w:p w14:paraId="19E8C40E" w14:textId="77777777" w:rsidR="006A6C41" w:rsidRPr="000D52D3" w:rsidRDefault="006A6C41" w:rsidP="006A6C41"/>
    <w:p w14:paraId="11B61C70" w14:textId="10C55D5D" w:rsidR="006A6C41" w:rsidRPr="000D52D3" w:rsidRDefault="006A6C41" w:rsidP="006A6C41">
      <w:pPr>
        <w:keepNext/>
        <w:spacing w:before="240"/>
        <w:jc w:val="both"/>
        <w:rPr>
          <w:rFonts w:ascii="Arial" w:hAnsi="Arial" w:cs="Arial"/>
          <w:b/>
          <w:szCs w:val="22"/>
        </w:rPr>
      </w:pPr>
      <w:r w:rsidRPr="000D52D3">
        <w:rPr>
          <w:rFonts w:ascii="Arial" w:hAnsi="Arial"/>
          <w:b/>
        </w:rPr>
        <w:t>Résultat escompté</w:t>
      </w:r>
      <w:r w:rsidR="0042677B" w:rsidRPr="000D52D3">
        <w:rPr>
          <w:rFonts w:ascii="Arial" w:hAnsi="Arial"/>
          <w:b/>
        </w:rPr>
        <w:t> </w:t>
      </w:r>
      <w:r w:rsidRPr="000D52D3">
        <w:rPr>
          <w:rFonts w:ascii="Arial" w:hAnsi="Arial"/>
          <w:b/>
        </w:rPr>
        <w:t>3</w:t>
      </w:r>
      <w:r w:rsidR="0042677B" w:rsidRPr="000D52D3">
        <w:rPr>
          <w:rFonts w:ascii="Arial" w:hAnsi="Arial"/>
          <w:b/>
        </w:rPr>
        <w:t> </w:t>
      </w:r>
      <w:r w:rsidRPr="000D52D3">
        <w:rPr>
          <w:rFonts w:ascii="Arial" w:hAnsi="Arial"/>
          <w:b/>
        </w:rPr>
        <w:t>:</w:t>
      </w:r>
      <w:r w:rsidR="00E22E29" w:rsidRPr="000D52D3">
        <w:rPr>
          <w:rFonts w:ascii="Arial" w:hAnsi="Arial"/>
          <w:b/>
        </w:rPr>
        <w:t xml:space="preserve"> Appui à l</w:t>
      </w:r>
      <w:r w:rsidR="00CB437A" w:rsidRPr="000D52D3">
        <w:rPr>
          <w:rFonts w:ascii="Arial" w:hAnsi="Arial"/>
          <w:b/>
        </w:rPr>
        <w:t>’</w:t>
      </w:r>
      <w:r w:rsidR="00E22E29" w:rsidRPr="000D52D3">
        <w:rPr>
          <w:rFonts w:ascii="Arial" w:hAnsi="Arial"/>
          <w:b/>
        </w:rPr>
        <w:t>i</w:t>
      </w:r>
      <w:r w:rsidRPr="000D52D3">
        <w:rPr>
          <w:rFonts w:ascii="Arial" w:hAnsi="Arial"/>
          <w:b/>
        </w:rPr>
        <w:t xml:space="preserve">ntégration du patrimoine culturel immatériel dans les plans, politiques et programmes de développement </w:t>
      </w:r>
    </w:p>
    <w:p w14:paraId="126DB5E1" w14:textId="1B78A43F" w:rsidR="006A6C41" w:rsidRPr="000D52D3" w:rsidRDefault="006A6C41" w:rsidP="00A154E3">
      <w:pPr>
        <w:keepNext/>
        <w:numPr>
          <w:ilvl w:val="0"/>
          <w:numId w:val="27"/>
        </w:numPr>
        <w:spacing w:before="240" w:after="0"/>
        <w:ind w:left="284" w:hanging="284"/>
        <w:contextualSpacing/>
        <w:jc w:val="both"/>
        <w:rPr>
          <w:rFonts w:ascii="Arial" w:hAnsi="Arial" w:cs="Arial"/>
          <w:b/>
          <w:bCs/>
          <w:szCs w:val="22"/>
        </w:rPr>
      </w:pPr>
      <w:r w:rsidRPr="000D52D3">
        <w:rPr>
          <w:rFonts w:ascii="Arial" w:hAnsi="Arial"/>
          <w:b/>
        </w:rPr>
        <w:t>Rapport de mise en œuvre pour la période du 1er</w:t>
      </w:r>
      <w:r w:rsidR="0042677B" w:rsidRPr="000D52D3">
        <w:rPr>
          <w:rFonts w:ascii="Arial" w:hAnsi="Arial"/>
          <w:b/>
        </w:rPr>
        <w:t> </w:t>
      </w:r>
      <w:r w:rsidRPr="000D52D3">
        <w:rPr>
          <w:rFonts w:ascii="Arial" w:hAnsi="Arial"/>
          <w:b/>
        </w:rPr>
        <w:t>janvier 2020 au 31</w:t>
      </w:r>
      <w:r w:rsidR="0042677B" w:rsidRPr="000D52D3">
        <w:rPr>
          <w:rFonts w:ascii="Arial" w:hAnsi="Arial"/>
          <w:b/>
        </w:rPr>
        <w:t> </w:t>
      </w:r>
      <w:r w:rsidRPr="000D52D3">
        <w:rPr>
          <w:rFonts w:ascii="Arial" w:hAnsi="Arial"/>
          <w:b/>
        </w:rPr>
        <w:t>décembre 2021</w:t>
      </w:r>
    </w:p>
    <w:p w14:paraId="15E72D44" w14:textId="77777777" w:rsidR="006A6C41" w:rsidRPr="000D52D3" w:rsidRDefault="006A6C41" w:rsidP="006A6C41">
      <w:pPr>
        <w:keepNext/>
        <w:spacing w:before="240" w:after="0"/>
        <w:ind w:left="284"/>
        <w:contextualSpacing/>
        <w:jc w:val="both"/>
        <w:rPr>
          <w:rFonts w:ascii="Arial" w:hAnsi="Arial" w:cs="Arial"/>
          <w:b/>
          <w:bCs/>
          <w:szCs w:val="2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6A6C41" w:rsidRPr="000D52D3" w14:paraId="2C054FC5" w14:textId="77777777" w:rsidTr="001D0AE3">
        <w:trPr>
          <w:jc w:val="center"/>
        </w:trPr>
        <w:tc>
          <w:tcPr>
            <w:tcW w:w="1999" w:type="pct"/>
            <w:shd w:val="clear" w:color="auto" w:fill="C6D9F1" w:themeFill="text2" w:themeFillTint="33"/>
            <w:vAlign w:val="center"/>
          </w:tcPr>
          <w:p w14:paraId="60C049D7" w14:textId="77777777" w:rsidR="006A6C41" w:rsidRPr="000D52D3" w:rsidRDefault="006A6C41" w:rsidP="006A6C41">
            <w:pPr>
              <w:keepNext/>
              <w:spacing w:before="120"/>
              <w:jc w:val="center"/>
              <w:rPr>
                <w:rFonts w:ascii="Arial" w:eastAsia="Calibri" w:hAnsi="Arial" w:cs="Arial"/>
                <w:b/>
                <w:sz w:val="20"/>
                <w:szCs w:val="20"/>
              </w:rPr>
            </w:pPr>
            <w:r w:rsidRPr="000D52D3">
              <w:rPr>
                <w:rFonts w:ascii="Arial" w:hAnsi="Arial"/>
                <w:b/>
                <w:sz w:val="20"/>
              </w:rPr>
              <w:t>Allocation</w:t>
            </w:r>
          </w:p>
        </w:tc>
        <w:tc>
          <w:tcPr>
            <w:tcW w:w="2118" w:type="pct"/>
            <w:shd w:val="clear" w:color="auto" w:fill="C6D9F1" w:themeFill="text2" w:themeFillTint="33"/>
            <w:vAlign w:val="center"/>
          </w:tcPr>
          <w:p w14:paraId="4BDDA987" w14:textId="77777777"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Dépenses</w:t>
            </w:r>
          </w:p>
        </w:tc>
        <w:tc>
          <w:tcPr>
            <w:tcW w:w="883" w:type="pct"/>
            <w:shd w:val="clear" w:color="auto" w:fill="C6D9F1" w:themeFill="text2" w:themeFillTint="33"/>
            <w:vAlign w:val="center"/>
          </w:tcPr>
          <w:p w14:paraId="11BD7384" w14:textId="17D71877"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Taux de dépense (%)</w:t>
            </w:r>
            <w:r w:rsidRPr="000D52D3">
              <w:rPr>
                <w:rFonts w:ascii="Arial" w:hAnsi="Arial"/>
                <w:b/>
                <w:sz w:val="20"/>
              </w:rPr>
              <w:br/>
              <w:t>au 31/12/2021</w:t>
            </w:r>
          </w:p>
        </w:tc>
      </w:tr>
      <w:tr w:rsidR="006A6C41" w:rsidRPr="000D52D3" w14:paraId="1EEF8C30" w14:textId="77777777" w:rsidTr="001D0AE3">
        <w:trPr>
          <w:jc w:val="center"/>
        </w:trPr>
        <w:tc>
          <w:tcPr>
            <w:tcW w:w="1999" w:type="pct"/>
            <w:shd w:val="clear" w:color="auto" w:fill="auto"/>
          </w:tcPr>
          <w:p w14:paraId="62D1F09C" w14:textId="48E29B1F"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203</w:t>
            </w:r>
            <w:r w:rsidR="0042677B" w:rsidRPr="000D52D3">
              <w:rPr>
                <w:rFonts w:ascii="Arial" w:hAnsi="Arial"/>
                <w:sz w:val="20"/>
              </w:rPr>
              <w:t> </w:t>
            </w:r>
            <w:r w:rsidRPr="000D52D3">
              <w:rPr>
                <w:rFonts w:ascii="Arial" w:hAnsi="Arial"/>
                <w:sz w:val="20"/>
              </w:rPr>
              <w:t>850,00</w:t>
            </w:r>
          </w:p>
        </w:tc>
        <w:tc>
          <w:tcPr>
            <w:tcW w:w="2118" w:type="pct"/>
            <w:shd w:val="clear" w:color="auto" w:fill="auto"/>
          </w:tcPr>
          <w:p w14:paraId="2B088BC8" w14:textId="37862BC0"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132</w:t>
            </w:r>
            <w:r w:rsidR="0042677B" w:rsidRPr="000D52D3">
              <w:rPr>
                <w:rFonts w:ascii="Arial" w:hAnsi="Arial"/>
                <w:sz w:val="20"/>
              </w:rPr>
              <w:t> </w:t>
            </w:r>
            <w:r w:rsidRPr="000D52D3">
              <w:rPr>
                <w:rFonts w:ascii="Arial" w:hAnsi="Arial"/>
                <w:sz w:val="20"/>
              </w:rPr>
              <w:t>817,78</w:t>
            </w:r>
          </w:p>
        </w:tc>
        <w:tc>
          <w:tcPr>
            <w:tcW w:w="883" w:type="pct"/>
            <w:shd w:val="clear" w:color="auto" w:fill="auto"/>
          </w:tcPr>
          <w:p w14:paraId="01E73BD8" w14:textId="77113A4F"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65,2</w:t>
            </w:r>
            <w:r w:rsidR="0042677B" w:rsidRPr="000D52D3">
              <w:rPr>
                <w:rFonts w:ascii="Arial" w:hAnsi="Arial"/>
                <w:sz w:val="20"/>
              </w:rPr>
              <w:t> </w:t>
            </w:r>
            <w:r w:rsidRPr="000D52D3">
              <w:rPr>
                <w:rFonts w:ascii="Arial" w:hAnsi="Arial"/>
                <w:sz w:val="20"/>
              </w:rPr>
              <w:t>%</w:t>
            </w:r>
          </w:p>
        </w:tc>
      </w:tr>
    </w:tbl>
    <w:p w14:paraId="66E1C230" w14:textId="77777777" w:rsidR="006A6C41" w:rsidRPr="000D52D3" w:rsidRDefault="006A6C41" w:rsidP="006A6C41">
      <w:pPr>
        <w:spacing w:after="0"/>
        <w:rPr>
          <w:rFonts w:ascii="Arial" w:hAnsi="Arial" w:cs="Arial"/>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835"/>
      </w:tblGrid>
      <w:tr w:rsidR="006A6C41" w:rsidRPr="000D52D3" w14:paraId="26AD2021" w14:textId="77777777" w:rsidTr="001D0AE3">
        <w:trPr>
          <w:tblHeader/>
          <w:jc w:val="center"/>
        </w:trPr>
        <w:tc>
          <w:tcPr>
            <w:tcW w:w="6803" w:type="dxa"/>
            <w:shd w:val="clear" w:color="auto" w:fill="D9D9D9"/>
            <w:vAlign w:val="center"/>
          </w:tcPr>
          <w:p w14:paraId="7DE3977B" w14:textId="7E9B74F3"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des résultats</w:t>
            </w:r>
            <w:r w:rsidR="0042677B" w:rsidRPr="000D52D3">
              <w:rPr>
                <w:rFonts w:ascii="Arial" w:hAnsi="Arial"/>
                <w:b/>
                <w:sz w:val="20"/>
              </w:rPr>
              <w:t> </w:t>
            </w:r>
            <w:r w:rsidRPr="000D52D3">
              <w:rPr>
                <w:rFonts w:ascii="Arial" w:hAnsi="Arial"/>
                <w:b/>
                <w:sz w:val="20"/>
              </w:rPr>
              <w:t>:</w:t>
            </w:r>
            <w:r w:rsidRPr="000D52D3">
              <w:rPr>
                <w:rFonts w:ascii="Arial" w:hAnsi="Arial"/>
                <w:b/>
                <w:sz w:val="20"/>
              </w:rPr>
              <w:br/>
              <w:t>du 01/01/2020 au 31/12/2021</w:t>
            </w:r>
          </w:p>
        </w:tc>
        <w:tc>
          <w:tcPr>
            <w:tcW w:w="2835" w:type="dxa"/>
            <w:shd w:val="clear" w:color="auto" w:fill="D9D9D9"/>
            <w:vAlign w:val="center"/>
          </w:tcPr>
          <w:p w14:paraId="1F37470A" w14:textId="77777777"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 la mise en œuvre</w:t>
            </w:r>
          </w:p>
        </w:tc>
      </w:tr>
      <w:tr w:rsidR="006A6C41" w:rsidRPr="000D52D3" w14:paraId="29774834" w14:textId="77777777" w:rsidTr="00D80DFD">
        <w:trPr>
          <w:jc w:val="center"/>
        </w:trPr>
        <w:tc>
          <w:tcPr>
            <w:tcW w:w="6803" w:type="dxa"/>
            <w:shd w:val="clear" w:color="auto" w:fill="auto"/>
          </w:tcPr>
          <w:p w14:paraId="5AB64F21" w14:textId="199DC82C"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t>Fonctionnement du centre d</w:t>
            </w:r>
            <w:r w:rsidR="00CB437A" w:rsidRPr="000D52D3">
              <w:rPr>
                <w:rFonts w:ascii="Arial" w:hAnsi="Arial"/>
                <w:b/>
                <w:sz w:val="20"/>
              </w:rPr>
              <w:t>’</w:t>
            </w:r>
            <w:r w:rsidRPr="000D52D3">
              <w:rPr>
                <w:rFonts w:ascii="Arial" w:hAnsi="Arial"/>
                <w:b/>
                <w:sz w:val="20"/>
              </w:rPr>
              <w:t>échange d</w:t>
            </w:r>
            <w:r w:rsidR="00CB437A" w:rsidRPr="000D52D3">
              <w:rPr>
                <w:rFonts w:ascii="Arial" w:hAnsi="Arial"/>
                <w:b/>
                <w:sz w:val="20"/>
              </w:rPr>
              <w:t>’</w:t>
            </w:r>
            <w:r w:rsidRPr="000D52D3">
              <w:rPr>
                <w:rFonts w:ascii="Arial" w:hAnsi="Arial"/>
                <w:b/>
                <w:sz w:val="20"/>
              </w:rPr>
              <w:t>informations sur le patrimoine vivant et l</w:t>
            </w:r>
            <w:r w:rsidR="00CB437A" w:rsidRPr="000D52D3">
              <w:rPr>
                <w:rFonts w:ascii="Arial" w:hAnsi="Arial"/>
                <w:b/>
                <w:sz w:val="20"/>
              </w:rPr>
              <w:t>’</w:t>
            </w:r>
            <w:r w:rsidRPr="000D52D3">
              <w:rPr>
                <w:rFonts w:ascii="Arial" w:hAnsi="Arial"/>
                <w:b/>
                <w:sz w:val="20"/>
              </w:rPr>
              <w:t>éducation et renforcement des partenariats</w:t>
            </w:r>
          </w:p>
          <w:p w14:paraId="1F068739" w14:textId="237F9CCC"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Mise à disposition en deux langues (anglais et français) de la page web et des ressources du centre d</w:t>
            </w:r>
            <w:r w:rsidR="00CB437A" w:rsidRPr="000D52D3">
              <w:rPr>
                <w:rFonts w:ascii="Arial" w:hAnsi="Arial"/>
                <w:sz w:val="20"/>
              </w:rPr>
              <w:t>’</w:t>
            </w:r>
            <w:r w:rsidRPr="000D52D3">
              <w:rPr>
                <w:rFonts w:ascii="Arial" w:hAnsi="Arial"/>
                <w:sz w:val="20"/>
              </w:rPr>
              <w:t>échange d</w:t>
            </w:r>
            <w:r w:rsidR="00CB437A" w:rsidRPr="000D52D3">
              <w:rPr>
                <w:rFonts w:ascii="Arial" w:hAnsi="Arial"/>
                <w:sz w:val="20"/>
              </w:rPr>
              <w:t>’</w:t>
            </w:r>
            <w:r w:rsidRPr="000D52D3">
              <w:rPr>
                <w:rFonts w:ascii="Arial" w:hAnsi="Arial"/>
                <w:sz w:val="20"/>
              </w:rPr>
              <w:t xml:space="preserve">informations </w:t>
            </w:r>
            <w:r w:rsidR="00075C86" w:rsidRPr="000D52D3">
              <w:rPr>
                <w:rFonts w:ascii="Arial" w:hAnsi="Arial"/>
                <w:sz w:val="20"/>
              </w:rPr>
              <w:t>en ligne</w:t>
            </w:r>
            <w:r w:rsidR="00424D16" w:rsidRPr="000D52D3">
              <w:rPr>
                <w:rFonts w:ascii="Arial" w:hAnsi="Arial"/>
                <w:sz w:val="20"/>
              </w:rPr>
              <w:t xml:space="preserve"> </w:t>
            </w:r>
            <w:r w:rsidRPr="000D52D3">
              <w:rPr>
                <w:rFonts w:ascii="Arial" w:hAnsi="Arial"/>
                <w:sz w:val="20"/>
              </w:rPr>
              <w:t>pour le partage des connaissances, la coopération et l</w:t>
            </w:r>
            <w:r w:rsidR="00CB437A" w:rsidRPr="000D52D3">
              <w:rPr>
                <w:rFonts w:ascii="Arial" w:hAnsi="Arial"/>
                <w:sz w:val="20"/>
              </w:rPr>
              <w:t>’</w:t>
            </w:r>
            <w:r w:rsidRPr="000D52D3">
              <w:rPr>
                <w:rFonts w:ascii="Arial" w:hAnsi="Arial"/>
                <w:sz w:val="20"/>
              </w:rPr>
              <w:t>innovation dans le domaine du patrimoine culturel immatériel et de l</w:t>
            </w:r>
            <w:r w:rsidR="00CB437A" w:rsidRPr="000D52D3">
              <w:rPr>
                <w:rFonts w:ascii="Arial" w:hAnsi="Arial"/>
                <w:sz w:val="20"/>
              </w:rPr>
              <w:t>’</w:t>
            </w:r>
            <w:r w:rsidRPr="000D52D3">
              <w:rPr>
                <w:rFonts w:ascii="Arial" w:hAnsi="Arial"/>
                <w:sz w:val="20"/>
              </w:rPr>
              <w:t xml:space="preserve">éducation. </w:t>
            </w:r>
          </w:p>
          <w:p w14:paraId="587E4E34" w14:textId="0AA31E22"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lastRenderedPageBreak/>
              <w:t>Lancement en ligne du centre d</w:t>
            </w:r>
            <w:r w:rsidR="00CB437A" w:rsidRPr="000D52D3">
              <w:rPr>
                <w:rFonts w:ascii="Arial" w:hAnsi="Arial"/>
                <w:sz w:val="20"/>
              </w:rPr>
              <w:t>’</w:t>
            </w:r>
            <w:r w:rsidRPr="000D52D3">
              <w:rPr>
                <w:rFonts w:ascii="Arial" w:hAnsi="Arial"/>
                <w:sz w:val="20"/>
              </w:rPr>
              <w:t>échange d</w:t>
            </w:r>
            <w:r w:rsidR="00CB437A" w:rsidRPr="000D52D3">
              <w:rPr>
                <w:rFonts w:ascii="Arial" w:hAnsi="Arial"/>
                <w:sz w:val="20"/>
              </w:rPr>
              <w:t>’</w:t>
            </w:r>
            <w:r w:rsidRPr="000D52D3">
              <w:rPr>
                <w:rFonts w:ascii="Arial" w:hAnsi="Arial"/>
                <w:sz w:val="20"/>
              </w:rPr>
              <w:t>informations</w:t>
            </w:r>
            <w:r w:rsidR="00424D16" w:rsidRPr="000D52D3">
              <w:rPr>
                <w:rFonts w:ascii="Arial" w:hAnsi="Arial"/>
                <w:sz w:val="20"/>
              </w:rPr>
              <w:t xml:space="preserve"> </w:t>
            </w:r>
            <w:r w:rsidR="00075C86" w:rsidRPr="000D52D3">
              <w:rPr>
                <w:rFonts w:ascii="Arial" w:hAnsi="Arial"/>
                <w:sz w:val="20"/>
              </w:rPr>
              <w:t>en ligne</w:t>
            </w:r>
            <w:r w:rsidRPr="000D52D3">
              <w:rPr>
                <w:rFonts w:ascii="Arial" w:hAnsi="Arial"/>
                <w:sz w:val="20"/>
              </w:rPr>
              <w:t>, avec l</w:t>
            </w:r>
            <w:r w:rsidR="00CB437A" w:rsidRPr="000D52D3">
              <w:rPr>
                <w:rFonts w:ascii="Arial" w:hAnsi="Arial"/>
                <w:sz w:val="20"/>
              </w:rPr>
              <w:t>’</w:t>
            </w:r>
            <w:r w:rsidRPr="000D52D3">
              <w:rPr>
                <w:rFonts w:ascii="Arial" w:hAnsi="Arial"/>
                <w:sz w:val="20"/>
              </w:rPr>
              <w:t>organisation d</w:t>
            </w:r>
            <w:r w:rsidR="00CB437A" w:rsidRPr="000D52D3">
              <w:rPr>
                <w:rFonts w:ascii="Arial" w:hAnsi="Arial"/>
                <w:sz w:val="20"/>
              </w:rPr>
              <w:t>’</w:t>
            </w:r>
            <w:r w:rsidRPr="000D52D3">
              <w:rPr>
                <w:rFonts w:ascii="Arial" w:hAnsi="Arial"/>
                <w:sz w:val="20"/>
              </w:rPr>
              <w:t>un événement de diffusion dans le cadre de la Conférence mondiale sur l</w:t>
            </w:r>
            <w:r w:rsidR="00CB437A" w:rsidRPr="000D52D3">
              <w:rPr>
                <w:rFonts w:ascii="Arial" w:hAnsi="Arial"/>
                <w:sz w:val="20"/>
              </w:rPr>
              <w:t>’</w:t>
            </w:r>
            <w:r w:rsidRPr="000D52D3">
              <w:rPr>
                <w:rFonts w:ascii="Arial" w:hAnsi="Arial"/>
                <w:sz w:val="20"/>
              </w:rPr>
              <w:t>éducation au développement durable en mai 2021.</w:t>
            </w:r>
          </w:p>
          <w:p w14:paraId="6E826C73" w14:textId="66F8E695" w:rsidR="006A6C41" w:rsidRPr="000D52D3" w:rsidRDefault="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Inclusion des expériences des peuples autochtones en matière de sauvegarde de leur patrimoine vivant dans l</w:t>
            </w:r>
            <w:r w:rsidR="00CB437A" w:rsidRPr="000D52D3">
              <w:rPr>
                <w:rFonts w:ascii="Arial" w:hAnsi="Arial"/>
                <w:sz w:val="20"/>
              </w:rPr>
              <w:t>’</w:t>
            </w:r>
            <w:r w:rsidRPr="000D52D3">
              <w:rPr>
                <w:rFonts w:ascii="Arial" w:hAnsi="Arial"/>
                <w:sz w:val="20"/>
              </w:rPr>
              <w:t>éducation formelle et non formelle dans les exemples du centre d</w:t>
            </w:r>
            <w:r w:rsidR="00CB437A" w:rsidRPr="000D52D3">
              <w:rPr>
                <w:rFonts w:ascii="Arial" w:hAnsi="Arial"/>
                <w:sz w:val="20"/>
              </w:rPr>
              <w:t>’</w:t>
            </w:r>
            <w:r w:rsidRPr="000D52D3">
              <w:rPr>
                <w:rFonts w:ascii="Arial" w:hAnsi="Arial"/>
                <w:sz w:val="20"/>
              </w:rPr>
              <w:t>échange. Dix exemples et ressources supplémentaires de différentes régions ont été identifiés et rassemblés pour être inclus dans le centre d</w:t>
            </w:r>
            <w:r w:rsidR="00CB437A" w:rsidRPr="000D52D3">
              <w:rPr>
                <w:rFonts w:ascii="Arial" w:hAnsi="Arial"/>
                <w:sz w:val="20"/>
              </w:rPr>
              <w:t>’</w:t>
            </w:r>
            <w:r w:rsidRPr="000D52D3">
              <w:rPr>
                <w:rFonts w:ascii="Arial" w:hAnsi="Arial"/>
                <w:sz w:val="20"/>
              </w:rPr>
              <w:t>échange</w:t>
            </w:r>
            <w:r w:rsidR="00424D16" w:rsidRPr="000D52D3">
              <w:rPr>
                <w:rFonts w:ascii="Arial" w:hAnsi="Arial"/>
                <w:sz w:val="20"/>
              </w:rPr>
              <w:t xml:space="preserve"> d</w:t>
            </w:r>
            <w:r w:rsidR="00CB437A" w:rsidRPr="000D52D3">
              <w:rPr>
                <w:rFonts w:ascii="Arial" w:hAnsi="Arial"/>
                <w:sz w:val="20"/>
              </w:rPr>
              <w:t>’</w:t>
            </w:r>
            <w:r w:rsidR="00424D16" w:rsidRPr="000D52D3">
              <w:rPr>
                <w:rFonts w:ascii="Arial" w:hAnsi="Arial"/>
                <w:sz w:val="20"/>
              </w:rPr>
              <w:t xml:space="preserve">information </w:t>
            </w:r>
            <w:r w:rsidR="00075C86" w:rsidRPr="000D52D3">
              <w:rPr>
                <w:rFonts w:ascii="Arial" w:hAnsi="Arial"/>
                <w:sz w:val="20"/>
              </w:rPr>
              <w:t>en ligne</w:t>
            </w:r>
            <w:r w:rsidRPr="000D52D3">
              <w:rPr>
                <w:rFonts w:ascii="Arial" w:hAnsi="Arial"/>
                <w:sz w:val="20"/>
              </w:rPr>
              <w:t>.</w:t>
            </w:r>
          </w:p>
          <w:p w14:paraId="1C875F1B" w14:textId="68124609" w:rsidR="006A6C41" w:rsidRPr="000D52D3" w:rsidRDefault="006A6C41" w:rsidP="006A6C41">
            <w:pPr>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Développement, essai et traduction de la méthodologie et de la documentation associée à une formation dédiée aux formateurs sur le patrimoine vivant et l</w:t>
            </w:r>
            <w:r w:rsidR="00CB437A" w:rsidRPr="000D52D3">
              <w:rPr>
                <w:rFonts w:ascii="Arial" w:hAnsi="Arial"/>
                <w:sz w:val="20"/>
              </w:rPr>
              <w:t>’</w:t>
            </w:r>
            <w:r w:rsidRPr="000D52D3">
              <w:rPr>
                <w:rFonts w:ascii="Arial" w:hAnsi="Arial"/>
                <w:sz w:val="20"/>
              </w:rPr>
              <w:t>éducation afin de permettre son accessibilité en trois langues (anglais, français et espagnol). Conçu pour un format en ligne, ce cours sur le patrimoine vivant et l</w:t>
            </w:r>
            <w:r w:rsidR="00CB437A" w:rsidRPr="000D52D3">
              <w:rPr>
                <w:rFonts w:ascii="Arial" w:hAnsi="Arial"/>
                <w:sz w:val="20"/>
              </w:rPr>
              <w:t>’</w:t>
            </w:r>
            <w:r w:rsidRPr="000D52D3">
              <w:rPr>
                <w:rFonts w:ascii="Arial" w:hAnsi="Arial"/>
                <w:sz w:val="20"/>
              </w:rPr>
              <w:t>éducation a été dispensé en juin 2021 en anglais et en français et en octobre 2021 en anglais et en espagnol.</w:t>
            </w:r>
          </w:p>
        </w:tc>
        <w:tc>
          <w:tcPr>
            <w:tcW w:w="2835" w:type="dxa"/>
          </w:tcPr>
          <w:p w14:paraId="28587AA3" w14:textId="77777777" w:rsidR="00CE3237" w:rsidRPr="000D52D3" w:rsidRDefault="00CE3237">
            <w:pPr>
              <w:spacing w:before="320" w:after="60"/>
              <w:jc w:val="center"/>
              <w:rPr>
                <w:rFonts w:ascii="Arial" w:eastAsia="Calibri" w:hAnsi="Arial" w:cs="Arial"/>
                <w:sz w:val="20"/>
                <w:szCs w:val="20"/>
              </w:rPr>
            </w:pPr>
            <w:r w:rsidRPr="000D52D3">
              <w:rPr>
                <w:rFonts w:ascii="Arial" w:hAnsi="Arial"/>
                <w:sz w:val="20"/>
              </w:rPr>
              <w:lastRenderedPageBreak/>
              <w:t>Accompli</w:t>
            </w:r>
          </w:p>
          <w:p w14:paraId="10586069" w14:textId="77777777" w:rsidR="006A6C41" w:rsidRPr="000D52D3" w:rsidRDefault="006A6C41">
            <w:pPr>
              <w:spacing w:after="0"/>
              <w:jc w:val="center"/>
              <w:rPr>
                <w:rFonts w:ascii="Arial" w:eastAsia="Calibri" w:hAnsi="Arial" w:cs="Arial"/>
                <w:sz w:val="20"/>
                <w:szCs w:val="20"/>
              </w:rPr>
            </w:pPr>
          </w:p>
        </w:tc>
      </w:tr>
      <w:tr w:rsidR="006A6C41" w:rsidRPr="000D52D3" w14:paraId="5CCF8F77" w14:textId="77777777" w:rsidTr="00D80DFD">
        <w:trPr>
          <w:jc w:val="center"/>
        </w:trPr>
        <w:tc>
          <w:tcPr>
            <w:tcW w:w="6803" w:type="dxa"/>
            <w:shd w:val="clear" w:color="auto" w:fill="auto"/>
          </w:tcPr>
          <w:p w14:paraId="6019C53C" w14:textId="2015B3B1" w:rsidR="006A6C41" w:rsidRPr="000D52D3" w:rsidRDefault="006A6C41" w:rsidP="006A6C41">
            <w:pPr>
              <w:keepNext/>
              <w:keepLines/>
              <w:spacing w:before="60" w:after="60"/>
              <w:jc w:val="both"/>
              <w:rPr>
                <w:rFonts w:ascii="Arial" w:eastAsia="Calibri" w:hAnsi="Arial" w:cs="Arial"/>
                <w:b/>
                <w:bCs/>
                <w:sz w:val="20"/>
                <w:szCs w:val="20"/>
              </w:rPr>
            </w:pPr>
            <w:r w:rsidRPr="000D52D3">
              <w:rPr>
                <w:rFonts w:ascii="Arial" w:hAnsi="Arial"/>
                <w:b/>
                <w:sz w:val="20"/>
              </w:rPr>
              <w:t>Renforcement des synergies entre la Convention de 2003 et le travail du système des Nations unies dans le cadre de l</w:t>
            </w:r>
            <w:r w:rsidR="00CB437A" w:rsidRPr="000D52D3">
              <w:rPr>
                <w:rFonts w:ascii="Arial" w:hAnsi="Arial"/>
                <w:b/>
                <w:sz w:val="20"/>
              </w:rPr>
              <w:t>’</w:t>
            </w:r>
            <w:r w:rsidRPr="000D52D3">
              <w:rPr>
                <w:rFonts w:ascii="Arial" w:hAnsi="Arial"/>
                <w:b/>
                <w:sz w:val="20"/>
              </w:rPr>
              <w:t>Agenda</w:t>
            </w:r>
            <w:r w:rsidR="0042677B" w:rsidRPr="000D52D3">
              <w:rPr>
                <w:rFonts w:ascii="Arial" w:hAnsi="Arial"/>
                <w:b/>
                <w:sz w:val="20"/>
              </w:rPr>
              <w:t> </w:t>
            </w:r>
            <w:r w:rsidRPr="000D52D3">
              <w:rPr>
                <w:rFonts w:ascii="Arial" w:hAnsi="Arial"/>
                <w:b/>
                <w:sz w:val="20"/>
              </w:rPr>
              <w:t>2030 pour le développement durable.</w:t>
            </w:r>
          </w:p>
          <w:p w14:paraId="57B08089" w14:textId="7B9B60C5" w:rsidR="006A6C41" w:rsidRPr="000D52D3" w:rsidRDefault="006A6C41" w:rsidP="006A6C41">
            <w:pPr>
              <w:keepNext/>
              <w:keepLines/>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Contribution préparée pour le plan d</w:t>
            </w:r>
            <w:r w:rsidR="00CB437A" w:rsidRPr="000D52D3">
              <w:rPr>
                <w:rFonts w:ascii="Arial" w:hAnsi="Arial"/>
                <w:sz w:val="20"/>
              </w:rPr>
              <w:t>’</w:t>
            </w:r>
            <w:r w:rsidRPr="000D52D3">
              <w:rPr>
                <w:rFonts w:ascii="Arial" w:hAnsi="Arial"/>
                <w:sz w:val="20"/>
              </w:rPr>
              <w:t>action de la Décennie internationale des langues autochtones.</w:t>
            </w:r>
          </w:p>
          <w:p w14:paraId="293FFDA2" w14:textId="12DC4CBF" w:rsidR="006A6C41" w:rsidRPr="000D52D3" w:rsidRDefault="006A6C41" w:rsidP="006A6C41">
            <w:pPr>
              <w:keepNext/>
              <w:keepLines/>
              <w:numPr>
                <w:ilvl w:val="0"/>
                <w:numId w:val="23"/>
              </w:numPr>
              <w:spacing w:before="60" w:after="60"/>
              <w:ind w:left="357" w:hanging="357"/>
              <w:jc w:val="both"/>
              <w:rPr>
                <w:rFonts w:ascii="Arial" w:eastAsia="Calibri" w:hAnsi="Arial" w:cs="Arial"/>
                <w:sz w:val="20"/>
                <w:szCs w:val="20"/>
              </w:rPr>
            </w:pPr>
            <w:r w:rsidRPr="000D52D3">
              <w:rPr>
                <w:rFonts w:ascii="Arial" w:hAnsi="Arial"/>
                <w:sz w:val="20"/>
              </w:rPr>
              <w:t>Renforcement du partenariat avec le Secrétariat de la Convention sur la diversité biologique grâce aux contributions de l</w:t>
            </w:r>
            <w:r w:rsidR="00CB437A" w:rsidRPr="000D52D3">
              <w:rPr>
                <w:rFonts w:ascii="Arial" w:hAnsi="Arial"/>
                <w:sz w:val="20"/>
              </w:rPr>
              <w:t>’</w:t>
            </w:r>
            <w:r w:rsidRPr="000D52D3">
              <w:rPr>
                <w:rFonts w:ascii="Arial" w:hAnsi="Arial"/>
                <w:sz w:val="20"/>
              </w:rPr>
              <w:t>UNESCO au cadre mondial pour la biodiversité</w:t>
            </w:r>
            <w:r w:rsidR="0042677B" w:rsidRPr="000D52D3">
              <w:rPr>
                <w:rFonts w:ascii="Arial" w:hAnsi="Arial"/>
                <w:sz w:val="20"/>
              </w:rPr>
              <w:t> </w:t>
            </w:r>
            <w:r w:rsidRPr="000D52D3">
              <w:rPr>
                <w:rFonts w:ascii="Arial" w:hAnsi="Arial"/>
                <w:sz w:val="20"/>
              </w:rPr>
              <w:t>post-2020.</w:t>
            </w:r>
          </w:p>
        </w:tc>
        <w:tc>
          <w:tcPr>
            <w:tcW w:w="2835" w:type="dxa"/>
            <w:shd w:val="clear" w:color="auto" w:fill="auto"/>
          </w:tcPr>
          <w:p w14:paraId="16F1FEFB" w14:textId="6D9C963F" w:rsidR="006A6C41" w:rsidRPr="000D52D3" w:rsidRDefault="00CE3237">
            <w:pPr>
              <w:spacing w:before="320" w:after="60"/>
              <w:jc w:val="center"/>
              <w:rPr>
                <w:rFonts w:ascii="Arial" w:eastAsia="Calibri" w:hAnsi="Arial" w:cs="Arial"/>
                <w:sz w:val="20"/>
                <w:szCs w:val="20"/>
              </w:rPr>
            </w:pPr>
            <w:r w:rsidRPr="000D52D3">
              <w:rPr>
                <w:rFonts w:ascii="Arial" w:hAnsi="Arial"/>
                <w:sz w:val="20"/>
              </w:rPr>
              <w:t>Accompli</w:t>
            </w:r>
          </w:p>
        </w:tc>
      </w:tr>
    </w:tbl>
    <w:p w14:paraId="21BFAF7C" w14:textId="77777777" w:rsidR="006A6C41" w:rsidRPr="000D52D3" w:rsidRDefault="006A6C41" w:rsidP="00A154E3">
      <w:pPr>
        <w:keepNext/>
        <w:numPr>
          <w:ilvl w:val="0"/>
          <w:numId w:val="27"/>
        </w:numPr>
        <w:spacing w:before="240" w:after="0"/>
        <w:ind w:left="284" w:hanging="284"/>
        <w:rPr>
          <w:rFonts w:ascii="Arial" w:hAnsi="Arial" w:cs="Arial"/>
          <w:b/>
          <w:szCs w:val="22"/>
        </w:rPr>
      </w:pPr>
      <w:r w:rsidRPr="000D52D3">
        <w:rPr>
          <w:rFonts w:ascii="Arial" w:hAnsi="Arial"/>
          <w:b/>
        </w:rPr>
        <w:t>Défis et risques rencontrés dans la mise en œuvre et mesures correctives (2020/2021)</w:t>
      </w:r>
    </w:p>
    <w:p w14:paraId="51BBE710" w14:textId="77777777" w:rsidR="006A6C41" w:rsidRPr="000D52D3" w:rsidRDefault="006A6C41" w:rsidP="006A6C41">
      <w:pPr>
        <w:keepNext/>
        <w:spacing w:before="240" w:after="0"/>
        <w:ind w:left="284"/>
        <w:contextualSpacing/>
        <w:rPr>
          <w:rFonts w:ascii="Arial" w:hAnsi="Arial" w:cs="Arial"/>
          <w:b/>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6A6C41" w:rsidRPr="000D52D3" w14:paraId="65B37471" w14:textId="77777777" w:rsidTr="001D0AE3">
        <w:trPr>
          <w:tblHeader/>
          <w:jc w:val="center"/>
        </w:trPr>
        <w:tc>
          <w:tcPr>
            <w:tcW w:w="2500" w:type="pct"/>
            <w:shd w:val="clear" w:color="auto" w:fill="D9D9D9"/>
            <w:vAlign w:val="center"/>
          </w:tcPr>
          <w:p w14:paraId="309C2170"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Principaux défis</w:t>
            </w:r>
          </w:p>
        </w:tc>
        <w:tc>
          <w:tcPr>
            <w:tcW w:w="2500" w:type="pct"/>
            <w:shd w:val="clear" w:color="auto" w:fill="D9D9D9"/>
            <w:vAlign w:val="center"/>
          </w:tcPr>
          <w:p w14:paraId="70BB8A3F"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Mesures correctives</w:t>
            </w:r>
          </w:p>
        </w:tc>
      </w:tr>
      <w:tr w:rsidR="006A6C41" w:rsidRPr="000D52D3" w14:paraId="052EC3E7" w14:textId="77777777" w:rsidTr="001D0AE3">
        <w:trPr>
          <w:jc w:val="center"/>
        </w:trPr>
        <w:tc>
          <w:tcPr>
            <w:tcW w:w="2500" w:type="pct"/>
            <w:shd w:val="clear" w:color="auto" w:fill="auto"/>
          </w:tcPr>
          <w:p w14:paraId="30870013" w14:textId="43229DF0" w:rsidR="006A6C41" w:rsidRPr="000D52D3" w:rsidRDefault="006A6C41" w:rsidP="006A6C41">
            <w:pPr>
              <w:spacing w:before="60" w:after="60"/>
              <w:jc w:val="both"/>
              <w:rPr>
                <w:rFonts w:ascii="Arial" w:hAnsi="Arial" w:cs="Arial"/>
                <w:sz w:val="20"/>
                <w:szCs w:val="20"/>
              </w:rPr>
            </w:pPr>
            <w:r w:rsidRPr="000D52D3">
              <w:rPr>
                <w:rFonts w:ascii="Arial" w:hAnsi="Arial"/>
                <w:sz w:val="20"/>
              </w:rPr>
              <w:t>Avec l</w:t>
            </w:r>
            <w:r w:rsidR="00CB437A" w:rsidRPr="000D52D3">
              <w:rPr>
                <w:rFonts w:ascii="Arial" w:hAnsi="Arial"/>
                <w:sz w:val="20"/>
              </w:rPr>
              <w:t>’</w:t>
            </w:r>
            <w:r w:rsidRPr="000D52D3">
              <w:rPr>
                <w:rFonts w:ascii="Arial" w:hAnsi="Arial"/>
                <w:sz w:val="20"/>
              </w:rPr>
              <w:t>apparition de la pandémie de COVID-19 et des restrictions qui y sont liées, le Secrétariat a dû repenser la conception de la formation des formateurs sur le patrimoine vivant et l</w:t>
            </w:r>
            <w:r w:rsidR="00CB437A" w:rsidRPr="000D52D3">
              <w:rPr>
                <w:rFonts w:ascii="Arial" w:hAnsi="Arial"/>
                <w:sz w:val="20"/>
              </w:rPr>
              <w:t>’</w:t>
            </w:r>
            <w:r w:rsidRPr="000D52D3">
              <w:rPr>
                <w:rFonts w:ascii="Arial" w:hAnsi="Arial"/>
                <w:sz w:val="20"/>
              </w:rPr>
              <w:t xml:space="preserve">éducation de manière à garantir un apprentissage pertinent et engagé en ligne. </w:t>
            </w:r>
          </w:p>
        </w:tc>
        <w:tc>
          <w:tcPr>
            <w:tcW w:w="2500" w:type="pct"/>
            <w:shd w:val="clear" w:color="auto" w:fill="auto"/>
          </w:tcPr>
          <w:p w14:paraId="461A9764" w14:textId="24B597CE" w:rsidR="006A6C41" w:rsidRPr="000D52D3" w:rsidRDefault="006A6C41" w:rsidP="006A6C41">
            <w:pPr>
              <w:spacing w:before="60" w:after="60"/>
              <w:jc w:val="both"/>
              <w:rPr>
                <w:rFonts w:ascii="Arial" w:hAnsi="Arial" w:cs="Arial"/>
                <w:sz w:val="20"/>
                <w:szCs w:val="20"/>
              </w:rPr>
            </w:pPr>
            <w:r w:rsidRPr="000D52D3">
              <w:rPr>
                <w:rFonts w:ascii="Arial" w:hAnsi="Arial"/>
                <w:sz w:val="20"/>
              </w:rPr>
              <w:t>Pour surmonter ce défi, le Secrétariat a conçu une formation dédiée aux formateurs entièrement rythmée par les instructeurs, dispensée en deux éditions adaptées aux différents fuseaux horaires. La conception du cours a bénéficié de l</w:t>
            </w:r>
            <w:r w:rsidR="00CB437A" w:rsidRPr="000D52D3">
              <w:rPr>
                <w:rFonts w:ascii="Arial" w:hAnsi="Arial"/>
                <w:sz w:val="20"/>
              </w:rPr>
              <w:t>’</w:t>
            </w:r>
            <w:r w:rsidRPr="000D52D3">
              <w:rPr>
                <w:rFonts w:ascii="Arial" w:hAnsi="Arial"/>
                <w:sz w:val="20"/>
              </w:rPr>
              <w:t>aide d</w:t>
            </w:r>
            <w:r w:rsidR="00CB437A" w:rsidRPr="000D52D3">
              <w:rPr>
                <w:rFonts w:ascii="Arial" w:hAnsi="Arial"/>
                <w:sz w:val="20"/>
              </w:rPr>
              <w:t>’</w:t>
            </w:r>
            <w:r w:rsidRPr="000D52D3">
              <w:rPr>
                <w:rFonts w:ascii="Arial" w:hAnsi="Arial"/>
                <w:sz w:val="20"/>
              </w:rPr>
              <w:t>un concepteur pédagogique pour l</w:t>
            </w:r>
            <w:r w:rsidR="00CB437A" w:rsidRPr="000D52D3">
              <w:rPr>
                <w:rFonts w:ascii="Arial" w:hAnsi="Arial"/>
                <w:sz w:val="20"/>
              </w:rPr>
              <w:t>’</w:t>
            </w:r>
            <w:r w:rsidRPr="000D52D3">
              <w:rPr>
                <w:rFonts w:ascii="Arial" w:hAnsi="Arial"/>
                <w:sz w:val="20"/>
              </w:rPr>
              <w:t>élaboration d</w:t>
            </w:r>
            <w:r w:rsidR="00CB437A" w:rsidRPr="000D52D3">
              <w:rPr>
                <w:rFonts w:ascii="Arial" w:hAnsi="Arial"/>
                <w:sz w:val="20"/>
              </w:rPr>
              <w:t>’</w:t>
            </w:r>
            <w:r w:rsidRPr="000D52D3">
              <w:rPr>
                <w:rFonts w:ascii="Arial" w:hAnsi="Arial"/>
                <w:sz w:val="20"/>
              </w:rPr>
              <w:t>outils interactifs et innovants permettant de garantir un processus de formation participatif et engagé.</w:t>
            </w:r>
          </w:p>
        </w:tc>
      </w:tr>
      <w:tr w:rsidR="006A6C41" w:rsidRPr="000D52D3" w14:paraId="2D779C35" w14:textId="77777777" w:rsidTr="001D0AE3">
        <w:trPr>
          <w:jc w:val="center"/>
        </w:trPr>
        <w:tc>
          <w:tcPr>
            <w:tcW w:w="2500" w:type="pct"/>
            <w:shd w:val="clear" w:color="auto" w:fill="auto"/>
          </w:tcPr>
          <w:p w14:paraId="6E1E2FF5" w14:textId="1FF81CE1" w:rsidR="006A6C41" w:rsidRPr="000D52D3" w:rsidRDefault="006A6C41" w:rsidP="006A6C41">
            <w:pPr>
              <w:spacing w:before="60" w:after="60"/>
              <w:jc w:val="both"/>
              <w:rPr>
                <w:rFonts w:ascii="Arial" w:hAnsi="Arial" w:cs="Arial"/>
                <w:sz w:val="20"/>
                <w:szCs w:val="20"/>
              </w:rPr>
            </w:pPr>
            <w:r w:rsidRPr="000D52D3">
              <w:rPr>
                <w:rFonts w:ascii="Arial" w:hAnsi="Arial"/>
                <w:sz w:val="20"/>
              </w:rPr>
              <w:t>Trouver des personnes</w:t>
            </w:r>
            <w:r w:rsidR="0042677B" w:rsidRPr="000D52D3">
              <w:rPr>
                <w:rFonts w:ascii="Arial" w:hAnsi="Arial"/>
                <w:sz w:val="20"/>
              </w:rPr>
              <w:t>-</w:t>
            </w:r>
            <w:r w:rsidRPr="000D52D3">
              <w:rPr>
                <w:rFonts w:ascii="Arial" w:hAnsi="Arial"/>
                <w:sz w:val="20"/>
              </w:rPr>
              <w:t>ressources combinant une double compétence en matière de patrimoine vivant et d</w:t>
            </w:r>
            <w:r w:rsidR="00CB437A" w:rsidRPr="000D52D3">
              <w:rPr>
                <w:rFonts w:ascii="Arial" w:hAnsi="Arial"/>
                <w:sz w:val="20"/>
              </w:rPr>
              <w:t>’</w:t>
            </w:r>
            <w:r w:rsidRPr="000D52D3">
              <w:rPr>
                <w:rFonts w:ascii="Arial" w:hAnsi="Arial"/>
                <w:sz w:val="20"/>
              </w:rPr>
              <w:t>éducation a été un défi, dans la mesure où il s</w:t>
            </w:r>
            <w:r w:rsidR="00CB437A" w:rsidRPr="000D52D3">
              <w:rPr>
                <w:rFonts w:ascii="Arial" w:hAnsi="Arial"/>
                <w:sz w:val="20"/>
              </w:rPr>
              <w:t>’</w:t>
            </w:r>
            <w:r w:rsidRPr="000D52D3">
              <w:rPr>
                <w:rFonts w:ascii="Arial" w:hAnsi="Arial"/>
                <w:sz w:val="20"/>
              </w:rPr>
              <w:t>agit d</w:t>
            </w:r>
            <w:r w:rsidR="00CB437A" w:rsidRPr="000D52D3">
              <w:rPr>
                <w:rFonts w:ascii="Arial" w:hAnsi="Arial"/>
                <w:sz w:val="20"/>
              </w:rPr>
              <w:t>’</w:t>
            </w:r>
            <w:r w:rsidRPr="000D52D3">
              <w:rPr>
                <w:rFonts w:ascii="Arial" w:hAnsi="Arial"/>
                <w:sz w:val="20"/>
              </w:rPr>
              <w:t>un domaine de travail innovant et relativement nouveau.</w:t>
            </w:r>
          </w:p>
        </w:tc>
        <w:tc>
          <w:tcPr>
            <w:tcW w:w="2500" w:type="pct"/>
            <w:shd w:val="clear" w:color="auto" w:fill="auto"/>
          </w:tcPr>
          <w:p w14:paraId="1722CF4E" w14:textId="7C83A007" w:rsidR="006A6C41" w:rsidRPr="000D52D3" w:rsidRDefault="006A6C41" w:rsidP="006A6C41">
            <w:pPr>
              <w:spacing w:before="60" w:after="60"/>
              <w:jc w:val="both"/>
              <w:rPr>
                <w:rFonts w:ascii="Arial" w:eastAsia="Calibri" w:hAnsi="Arial" w:cs="Arial"/>
                <w:sz w:val="20"/>
                <w:szCs w:val="20"/>
              </w:rPr>
            </w:pPr>
            <w:r w:rsidRPr="000D52D3">
              <w:rPr>
                <w:rFonts w:ascii="Arial" w:hAnsi="Arial"/>
                <w:sz w:val="20"/>
              </w:rPr>
              <w:t>Le Secrétariat a entrepris un effort concentré en étroite collaboration avec le secteur de l</w:t>
            </w:r>
            <w:r w:rsidR="00CB437A" w:rsidRPr="000D52D3">
              <w:rPr>
                <w:rFonts w:ascii="Arial" w:hAnsi="Arial"/>
                <w:sz w:val="20"/>
              </w:rPr>
              <w:t>’</w:t>
            </w:r>
            <w:r w:rsidRPr="000D52D3">
              <w:rPr>
                <w:rFonts w:ascii="Arial" w:hAnsi="Arial"/>
                <w:sz w:val="20"/>
              </w:rPr>
              <w:t>éducation de l</w:t>
            </w:r>
            <w:r w:rsidR="00CB437A" w:rsidRPr="000D52D3">
              <w:rPr>
                <w:rFonts w:ascii="Arial" w:hAnsi="Arial"/>
                <w:sz w:val="20"/>
              </w:rPr>
              <w:t>’</w:t>
            </w:r>
            <w:r w:rsidRPr="000D52D3">
              <w:rPr>
                <w:rFonts w:ascii="Arial" w:hAnsi="Arial"/>
                <w:sz w:val="20"/>
              </w:rPr>
              <w:t>UNESCO afin d</w:t>
            </w:r>
            <w:r w:rsidR="00CB437A" w:rsidRPr="000D52D3">
              <w:rPr>
                <w:rFonts w:ascii="Arial" w:hAnsi="Arial"/>
                <w:sz w:val="20"/>
              </w:rPr>
              <w:t>’</w:t>
            </w:r>
            <w:r w:rsidRPr="000D52D3">
              <w:rPr>
                <w:rFonts w:ascii="Arial" w:hAnsi="Arial"/>
                <w:sz w:val="20"/>
              </w:rPr>
              <w:t>identifier et de former des personnes</w:t>
            </w:r>
            <w:r w:rsidR="0042677B" w:rsidRPr="000D52D3">
              <w:rPr>
                <w:rFonts w:ascii="Arial" w:hAnsi="Arial"/>
                <w:sz w:val="20"/>
              </w:rPr>
              <w:t>-</w:t>
            </w:r>
            <w:r w:rsidRPr="000D52D3">
              <w:rPr>
                <w:rFonts w:ascii="Arial" w:hAnsi="Arial"/>
                <w:sz w:val="20"/>
              </w:rPr>
              <w:t>ressources ayant des profils appropriés pour travailler sur le patrimoine culturel immatériel et l</w:t>
            </w:r>
            <w:r w:rsidR="00CB437A" w:rsidRPr="000D52D3">
              <w:rPr>
                <w:rFonts w:ascii="Arial" w:hAnsi="Arial"/>
                <w:sz w:val="20"/>
              </w:rPr>
              <w:t>’</w:t>
            </w:r>
            <w:r w:rsidRPr="000D52D3">
              <w:rPr>
                <w:rFonts w:ascii="Arial" w:hAnsi="Arial"/>
                <w:sz w:val="20"/>
              </w:rPr>
              <w:t>éducation. Un premier groupe de vingt-sept personnes</w:t>
            </w:r>
            <w:r w:rsidR="0042677B" w:rsidRPr="000D52D3">
              <w:rPr>
                <w:rFonts w:ascii="Arial" w:hAnsi="Arial"/>
                <w:sz w:val="20"/>
              </w:rPr>
              <w:t>-</w:t>
            </w:r>
            <w:r w:rsidRPr="000D52D3">
              <w:rPr>
                <w:rFonts w:ascii="Arial" w:hAnsi="Arial"/>
                <w:sz w:val="20"/>
              </w:rPr>
              <w:t>ressources a été identifié et a été formé en juin 2021 par le biais d</w:t>
            </w:r>
            <w:r w:rsidR="00CB437A" w:rsidRPr="000D52D3">
              <w:rPr>
                <w:rFonts w:ascii="Arial" w:hAnsi="Arial"/>
                <w:sz w:val="20"/>
              </w:rPr>
              <w:t>’</w:t>
            </w:r>
            <w:r w:rsidRPr="000D52D3">
              <w:rPr>
                <w:rFonts w:ascii="Arial" w:hAnsi="Arial"/>
                <w:sz w:val="20"/>
              </w:rPr>
              <w:t xml:space="preserve">une formation en ligne spécialement conçue à cet effet. Une deuxième formation a eu lieu en octobre 2021. </w:t>
            </w:r>
          </w:p>
        </w:tc>
      </w:tr>
    </w:tbl>
    <w:p w14:paraId="439BD9C5" w14:textId="4281038C" w:rsidR="00424D16" w:rsidRPr="000D52D3" w:rsidRDefault="006A6C41" w:rsidP="00424D16">
      <w:pPr>
        <w:keepNext/>
        <w:spacing w:before="240"/>
        <w:jc w:val="both"/>
        <w:rPr>
          <w:rFonts w:ascii="Arial" w:hAnsi="Arial" w:cs="Arial"/>
          <w:b/>
          <w:szCs w:val="22"/>
        </w:rPr>
      </w:pPr>
      <w:r w:rsidRPr="000D52D3">
        <w:rPr>
          <w:rFonts w:ascii="Arial" w:hAnsi="Arial"/>
          <w:b/>
        </w:rPr>
        <w:lastRenderedPageBreak/>
        <w:t>Résultat escompté</w:t>
      </w:r>
      <w:r w:rsidR="0042677B" w:rsidRPr="000D52D3">
        <w:rPr>
          <w:rFonts w:ascii="Arial" w:hAnsi="Arial"/>
          <w:b/>
        </w:rPr>
        <w:t> </w:t>
      </w:r>
      <w:r w:rsidRPr="000D52D3">
        <w:rPr>
          <w:rFonts w:ascii="Arial" w:hAnsi="Arial"/>
          <w:b/>
        </w:rPr>
        <w:t>4</w:t>
      </w:r>
      <w:r w:rsidR="008549B6" w:rsidRPr="000D52D3">
        <w:rPr>
          <w:rFonts w:ascii="Arial" w:hAnsi="Arial"/>
          <w:b/>
        </w:rPr>
        <w:t xml:space="preserve"> : Promotion</w:t>
      </w:r>
      <w:r w:rsidR="00424D16" w:rsidRPr="000D52D3">
        <w:rPr>
          <w:rFonts w:ascii="Arial" w:hAnsi="Arial"/>
          <w:b/>
        </w:rPr>
        <w:t xml:space="preserve"> des objectifs de la Convention par des actions de sensibilisation et d</w:t>
      </w:r>
      <w:r w:rsidR="00CB437A" w:rsidRPr="000D52D3">
        <w:rPr>
          <w:rFonts w:ascii="Arial" w:hAnsi="Arial"/>
          <w:b/>
        </w:rPr>
        <w:t>’</w:t>
      </w:r>
      <w:r w:rsidR="00424D16" w:rsidRPr="000D52D3">
        <w:rPr>
          <w:rFonts w:ascii="Arial" w:hAnsi="Arial"/>
          <w:b/>
        </w:rPr>
        <w:t>information</w:t>
      </w:r>
      <w:r w:rsidR="00424D16" w:rsidRPr="000D52D3" w:rsidDel="00424D16">
        <w:rPr>
          <w:rFonts w:ascii="Arial" w:hAnsi="Arial"/>
          <w:b/>
        </w:rPr>
        <w:t xml:space="preserve"> </w:t>
      </w:r>
    </w:p>
    <w:p w14:paraId="223C3C44" w14:textId="71F34C48" w:rsidR="006A6C41" w:rsidRPr="000D52D3" w:rsidRDefault="006A6C41" w:rsidP="00424D16">
      <w:pPr>
        <w:keepNext/>
        <w:spacing w:before="240"/>
        <w:jc w:val="both"/>
        <w:rPr>
          <w:rFonts w:ascii="Arial" w:hAnsi="Arial" w:cs="Arial"/>
          <w:b/>
          <w:bCs/>
          <w:szCs w:val="22"/>
        </w:rPr>
      </w:pPr>
      <w:r w:rsidRPr="000D52D3">
        <w:rPr>
          <w:rFonts w:ascii="Arial" w:hAnsi="Arial"/>
          <w:b/>
        </w:rPr>
        <w:t>Rapport de mise en œuvre pour la période du 1</w:t>
      </w:r>
      <w:r w:rsidR="0042677B" w:rsidRPr="000D52D3">
        <w:rPr>
          <w:rFonts w:ascii="Arial" w:hAnsi="Arial"/>
          <w:b/>
        </w:rPr>
        <w:t> </w:t>
      </w:r>
      <w:r w:rsidRPr="000D52D3">
        <w:rPr>
          <w:rFonts w:ascii="Arial" w:hAnsi="Arial"/>
          <w:b/>
        </w:rPr>
        <w:t>janvier 2020 au 31</w:t>
      </w:r>
      <w:r w:rsidR="0042677B" w:rsidRPr="000D52D3">
        <w:rPr>
          <w:rFonts w:ascii="Arial" w:hAnsi="Arial"/>
          <w:b/>
        </w:rPr>
        <w:t> </w:t>
      </w:r>
      <w:r w:rsidRPr="000D52D3">
        <w:rPr>
          <w:rFonts w:ascii="Arial" w:hAnsi="Arial"/>
          <w:b/>
        </w:rPr>
        <w:t>décembre 2021</w:t>
      </w:r>
    </w:p>
    <w:p w14:paraId="7BE0B113" w14:textId="77777777" w:rsidR="006A6C41" w:rsidRPr="000D52D3" w:rsidRDefault="006A6C41" w:rsidP="00D80DFD">
      <w:pPr>
        <w:keepNext/>
        <w:spacing w:before="240" w:after="0"/>
        <w:contextualSpacing/>
        <w:jc w:val="both"/>
        <w:rPr>
          <w:rFonts w:ascii="Arial" w:hAnsi="Arial" w:cs="Arial"/>
          <w:b/>
          <w:bCs/>
          <w:szCs w:val="22"/>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1702"/>
      </w:tblGrid>
      <w:tr w:rsidR="006A6C41" w:rsidRPr="000D52D3" w14:paraId="42807268" w14:textId="77777777" w:rsidTr="001D0AE3">
        <w:trPr>
          <w:jc w:val="center"/>
        </w:trPr>
        <w:tc>
          <w:tcPr>
            <w:tcW w:w="1999" w:type="pct"/>
            <w:shd w:val="clear" w:color="auto" w:fill="C6D9F1" w:themeFill="text2" w:themeFillTint="33"/>
            <w:vAlign w:val="center"/>
          </w:tcPr>
          <w:p w14:paraId="75F624D4" w14:textId="77777777" w:rsidR="006A6C41" w:rsidRPr="000D52D3" w:rsidRDefault="006A6C41" w:rsidP="006A6C41">
            <w:pPr>
              <w:keepNext/>
              <w:spacing w:before="120"/>
              <w:jc w:val="center"/>
              <w:rPr>
                <w:rFonts w:ascii="Arial" w:eastAsia="Calibri" w:hAnsi="Arial" w:cs="Arial"/>
                <w:b/>
                <w:sz w:val="20"/>
                <w:szCs w:val="20"/>
              </w:rPr>
            </w:pPr>
            <w:r w:rsidRPr="000D52D3">
              <w:rPr>
                <w:rFonts w:ascii="Arial" w:hAnsi="Arial"/>
                <w:b/>
                <w:sz w:val="20"/>
              </w:rPr>
              <w:t>Allocation</w:t>
            </w:r>
          </w:p>
        </w:tc>
        <w:tc>
          <w:tcPr>
            <w:tcW w:w="2118" w:type="pct"/>
            <w:shd w:val="clear" w:color="auto" w:fill="C6D9F1" w:themeFill="text2" w:themeFillTint="33"/>
            <w:vAlign w:val="center"/>
          </w:tcPr>
          <w:p w14:paraId="7EEFCDD3" w14:textId="77777777"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Dépenses</w:t>
            </w:r>
          </w:p>
        </w:tc>
        <w:tc>
          <w:tcPr>
            <w:tcW w:w="883" w:type="pct"/>
            <w:shd w:val="clear" w:color="auto" w:fill="C6D9F1" w:themeFill="text2" w:themeFillTint="33"/>
            <w:vAlign w:val="center"/>
          </w:tcPr>
          <w:p w14:paraId="50B81EBF" w14:textId="31D23F22" w:rsidR="006A6C41" w:rsidRPr="000D52D3" w:rsidRDefault="006A6C41" w:rsidP="006A6C41">
            <w:pPr>
              <w:spacing w:before="120"/>
              <w:jc w:val="center"/>
              <w:rPr>
                <w:rFonts w:ascii="Arial" w:eastAsia="Calibri" w:hAnsi="Arial" w:cs="Arial"/>
                <w:b/>
                <w:sz w:val="20"/>
                <w:szCs w:val="20"/>
              </w:rPr>
            </w:pPr>
            <w:r w:rsidRPr="000D52D3">
              <w:rPr>
                <w:rFonts w:ascii="Arial" w:hAnsi="Arial"/>
                <w:b/>
                <w:sz w:val="20"/>
              </w:rPr>
              <w:t>Taux de dépense (%)</w:t>
            </w:r>
            <w:r w:rsidRPr="000D52D3">
              <w:rPr>
                <w:rFonts w:ascii="Arial" w:hAnsi="Arial"/>
                <w:b/>
                <w:sz w:val="20"/>
              </w:rPr>
              <w:br/>
              <w:t>au 31/12/2021</w:t>
            </w:r>
          </w:p>
        </w:tc>
      </w:tr>
      <w:tr w:rsidR="006A6C41" w:rsidRPr="000D52D3" w14:paraId="2689C184" w14:textId="77777777" w:rsidTr="001D0AE3">
        <w:trPr>
          <w:jc w:val="center"/>
        </w:trPr>
        <w:tc>
          <w:tcPr>
            <w:tcW w:w="1999" w:type="pct"/>
            <w:shd w:val="clear" w:color="auto" w:fill="auto"/>
          </w:tcPr>
          <w:p w14:paraId="54B1E4A2" w14:textId="6385666B"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423</w:t>
            </w:r>
            <w:r w:rsidR="0042677B" w:rsidRPr="000D52D3">
              <w:rPr>
                <w:rFonts w:ascii="Arial" w:hAnsi="Arial"/>
                <w:sz w:val="20"/>
              </w:rPr>
              <w:t> </w:t>
            </w:r>
            <w:r w:rsidRPr="000D52D3">
              <w:rPr>
                <w:rFonts w:ascii="Arial" w:hAnsi="Arial"/>
                <w:sz w:val="20"/>
              </w:rPr>
              <w:t>381,00</w:t>
            </w:r>
          </w:p>
        </w:tc>
        <w:tc>
          <w:tcPr>
            <w:tcW w:w="2118" w:type="pct"/>
            <w:shd w:val="clear" w:color="auto" w:fill="auto"/>
          </w:tcPr>
          <w:p w14:paraId="479D076C" w14:textId="7DB248EF"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272</w:t>
            </w:r>
            <w:r w:rsidR="0042677B" w:rsidRPr="000D52D3">
              <w:rPr>
                <w:rFonts w:ascii="Arial" w:hAnsi="Arial"/>
                <w:sz w:val="20"/>
              </w:rPr>
              <w:t> </w:t>
            </w:r>
            <w:r w:rsidRPr="000D52D3">
              <w:rPr>
                <w:rFonts w:ascii="Arial" w:hAnsi="Arial"/>
                <w:sz w:val="20"/>
              </w:rPr>
              <w:t>324,77</w:t>
            </w:r>
          </w:p>
        </w:tc>
        <w:tc>
          <w:tcPr>
            <w:tcW w:w="883" w:type="pct"/>
            <w:shd w:val="clear" w:color="auto" w:fill="auto"/>
          </w:tcPr>
          <w:p w14:paraId="6E329BA3" w14:textId="6AF6DE1C" w:rsidR="006A6C41" w:rsidRPr="000D52D3" w:rsidRDefault="006A6C41" w:rsidP="006A6C41">
            <w:pPr>
              <w:spacing w:before="120"/>
              <w:jc w:val="center"/>
              <w:rPr>
                <w:rFonts w:ascii="Arial" w:eastAsia="Calibri" w:hAnsi="Arial" w:cs="Arial"/>
                <w:sz w:val="20"/>
                <w:szCs w:val="20"/>
              </w:rPr>
            </w:pPr>
            <w:r w:rsidRPr="000D52D3">
              <w:rPr>
                <w:rFonts w:ascii="Arial" w:hAnsi="Arial"/>
                <w:sz w:val="20"/>
              </w:rPr>
              <w:t>64,3</w:t>
            </w:r>
            <w:r w:rsidR="0042677B" w:rsidRPr="000D52D3">
              <w:rPr>
                <w:rFonts w:ascii="Arial" w:hAnsi="Arial"/>
                <w:sz w:val="20"/>
              </w:rPr>
              <w:t> </w:t>
            </w:r>
            <w:r w:rsidRPr="000D52D3">
              <w:rPr>
                <w:rFonts w:ascii="Arial" w:hAnsi="Arial"/>
                <w:sz w:val="20"/>
              </w:rPr>
              <w:t>%</w:t>
            </w:r>
          </w:p>
        </w:tc>
      </w:tr>
    </w:tbl>
    <w:p w14:paraId="0DD19DD4" w14:textId="77777777" w:rsidR="006A6C41" w:rsidRPr="000D52D3" w:rsidRDefault="006A6C41" w:rsidP="006A6C41">
      <w:pPr>
        <w:spacing w:after="0"/>
        <w:rPr>
          <w:rFonts w:ascii="Arial" w:hAnsi="Arial" w:cs="Arial"/>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2835"/>
      </w:tblGrid>
      <w:tr w:rsidR="006A6C41" w:rsidRPr="000D52D3" w14:paraId="127BB45A" w14:textId="77777777" w:rsidTr="001D0AE3">
        <w:trPr>
          <w:tblHeader/>
          <w:jc w:val="center"/>
        </w:trPr>
        <w:tc>
          <w:tcPr>
            <w:tcW w:w="6803" w:type="dxa"/>
            <w:shd w:val="clear" w:color="auto" w:fill="D9D9D9"/>
            <w:vAlign w:val="center"/>
          </w:tcPr>
          <w:p w14:paraId="3DA07C52" w14:textId="21BD499D"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des résultats</w:t>
            </w:r>
            <w:r w:rsidR="0042677B" w:rsidRPr="000D52D3">
              <w:rPr>
                <w:rFonts w:ascii="Arial" w:hAnsi="Arial"/>
                <w:b/>
                <w:sz w:val="20"/>
              </w:rPr>
              <w:t> </w:t>
            </w:r>
            <w:r w:rsidRPr="000D52D3">
              <w:rPr>
                <w:rFonts w:ascii="Arial" w:hAnsi="Arial"/>
                <w:b/>
                <w:sz w:val="20"/>
              </w:rPr>
              <w:t>:</w:t>
            </w:r>
            <w:r w:rsidRPr="000D52D3">
              <w:rPr>
                <w:rFonts w:ascii="Arial" w:hAnsi="Arial"/>
                <w:b/>
                <w:sz w:val="20"/>
              </w:rPr>
              <w:br/>
              <w:t>du 01/01/2020 au 31/12/2021</w:t>
            </w:r>
          </w:p>
        </w:tc>
        <w:tc>
          <w:tcPr>
            <w:tcW w:w="2835" w:type="dxa"/>
            <w:shd w:val="clear" w:color="auto" w:fill="D9D9D9"/>
            <w:vAlign w:val="center"/>
          </w:tcPr>
          <w:p w14:paraId="50CE395E" w14:textId="77777777" w:rsidR="006A6C41" w:rsidRPr="000D52D3" w:rsidRDefault="006A6C41" w:rsidP="006A6C41">
            <w:pPr>
              <w:spacing w:before="60" w:after="60"/>
              <w:jc w:val="center"/>
              <w:rPr>
                <w:rFonts w:ascii="Arial" w:eastAsia="Calibri" w:hAnsi="Arial" w:cs="Arial"/>
                <w:b/>
                <w:sz w:val="20"/>
                <w:szCs w:val="20"/>
              </w:rPr>
            </w:pPr>
            <w:r w:rsidRPr="000D52D3">
              <w:rPr>
                <w:rFonts w:ascii="Arial" w:hAnsi="Arial"/>
                <w:b/>
                <w:sz w:val="20"/>
              </w:rPr>
              <w:t>Évaluation de la mise en œuvre</w:t>
            </w:r>
          </w:p>
        </w:tc>
      </w:tr>
      <w:tr w:rsidR="006A6C41" w:rsidRPr="000D52D3" w14:paraId="0AAE7778" w14:textId="77777777" w:rsidTr="00D80DFD">
        <w:trPr>
          <w:jc w:val="center"/>
        </w:trPr>
        <w:tc>
          <w:tcPr>
            <w:tcW w:w="6803" w:type="dxa"/>
            <w:shd w:val="clear" w:color="auto" w:fill="auto"/>
          </w:tcPr>
          <w:p w14:paraId="2EC29512" w14:textId="75BDD430" w:rsidR="006A6C41" w:rsidRPr="000D52D3" w:rsidRDefault="006A6C41" w:rsidP="006A6C41">
            <w:pPr>
              <w:spacing w:before="60" w:after="60"/>
              <w:jc w:val="both"/>
              <w:rPr>
                <w:rFonts w:ascii="Arial" w:eastAsia="Calibri" w:hAnsi="Arial" w:cs="Arial"/>
                <w:b/>
                <w:bCs/>
                <w:sz w:val="20"/>
                <w:szCs w:val="20"/>
              </w:rPr>
            </w:pPr>
            <w:r w:rsidRPr="000D52D3">
              <w:rPr>
                <w:rFonts w:ascii="Arial" w:hAnsi="Arial"/>
                <w:b/>
                <w:sz w:val="20"/>
              </w:rPr>
              <w:t>Élaboration et mise en œuvre d</w:t>
            </w:r>
            <w:r w:rsidR="00CB437A" w:rsidRPr="000D52D3">
              <w:rPr>
                <w:rFonts w:ascii="Arial" w:hAnsi="Arial"/>
                <w:b/>
                <w:sz w:val="20"/>
              </w:rPr>
              <w:t>’</w:t>
            </w:r>
            <w:r w:rsidRPr="000D52D3">
              <w:rPr>
                <w:rFonts w:ascii="Arial" w:hAnsi="Arial"/>
                <w:b/>
                <w:sz w:val="20"/>
              </w:rPr>
              <w:t>outils de communication et de vulgarisation pour la promotion des objectifs de la Convention.</w:t>
            </w:r>
          </w:p>
          <w:p w14:paraId="79DDAC1A" w14:textId="2544E1B3" w:rsidR="006A6C41" w:rsidRPr="000D52D3" w:rsidRDefault="006A6C41" w:rsidP="006A6C41">
            <w:pPr>
              <w:numPr>
                <w:ilvl w:val="0"/>
                <w:numId w:val="23"/>
              </w:numPr>
              <w:spacing w:before="60" w:after="60"/>
              <w:ind w:left="357" w:hanging="357"/>
              <w:jc w:val="both"/>
              <w:rPr>
                <w:rFonts w:asciiTheme="minorBidi" w:eastAsia="Calibri" w:hAnsiTheme="minorBidi" w:cstheme="minorBidi"/>
                <w:sz w:val="20"/>
                <w:szCs w:val="20"/>
              </w:rPr>
            </w:pPr>
            <w:r w:rsidRPr="000D52D3">
              <w:rPr>
                <w:rFonts w:asciiTheme="minorBidi" w:hAnsiTheme="minorBidi"/>
                <w:sz w:val="20"/>
              </w:rPr>
              <w:t>Lancement en avril</w:t>
            </w:r>
            <w:r w:rsidR="002A0B78">
              <w:rPr>
                <w:rFonts w:asciiTheme="minorBidi" w:hAnsiTheme="minorBidi"/>
                <w:sz w:val="20"/>
              </w:rPr>
              <w:t>-</w:t>
            </w:r>
            <w:r w:rsidRPr="000D52D3">
              <w:rPr>
                <w:rFonts w:asciiTheme="minorBidi" w:hAnsiTheme="minorBidi"/>
                <w:sz w:val="20"/>
              </w:rPr>
              <w:t>mai 2020 d</w:t>
            </w:r>
            <w:r w:rsidR="00CB437A" w:rsidRPr="000D52D3">
              <w:rPr>
                <w:rFonts w:asciiTheme="minorBidi" w:hAnsiTheme="minorBidi"/>
                <w:sz w:val="20"/>
              </w:rPr>
              <w:t>’</w:t>
            </w:r>
            <w:r w:rsidRPr="000D52D3">
              <w:rPr>
                <w:rFonts w:asciiTheme="minorBidi" w:hAnsiTheme="minorBidi"/>
                <w:sz w:val="20"/>
              </w:rPr>
              <w:t>une plate-forme en ligne et d</w:t>
            </w:r>
            <w:r w:rsidR="00CB437A" w:rsidRPr="000D52D3">
              <w:rPr>
                <w:rFonts w:asciiTheme="minorBidi" w:hAnsiTheme="minorBidi"/>
                <w:sz w:val="20"/>
              </w:rPr>
              <w:t>’</w:t>
            </w:r>
            <w:r w:rsidRPr="000D52D3">
              <w:rPr>
                <w:rFonts w:asciiTheme="minorBidi" w:hAnsiTheme="minorBidi"/>
                <w:sz w:val="20"/>
              </w:rPr>
              <w:t>une enquête sur les «</w:t>
            </w:r>
            <w:r w:rsidR="0042677B" w:rsidRPr="000D52D3">
              <w:rPr>
                <w:rFonts w:asciiTheme="minorBidi" w:hAnsiTheme="minorBidi"/>
                <w:sz w:val="20"/>
              </w:rPr>
              <w:t> </w:t>
            </w:r>
            <w:r w:rsidRPr="000D52D3">
              <w:rPr>
                <w:rFonts w:asciiTheme="minorBidi" w:hAnsiTheme="minorBidi"/>
                <w:sz w:val="20"/>
              </w:rPr>
              <w:t>expériences de patrimoine vivant dans le contexte de la pandémie de COVID-19</w:t>
            </w:r>
            <w:r w:rsidR="0042677B" w:rsidRPr="000D52D3">
              <w:rPr>
                <w:rFonts w:asciiTheme="minorBidi" w:hAnsiTheme="minorBidi"/>
                <w:sz w:val="20"/>
              </w:rPr>
              <w:t> </w:t>
            </w:r>
            <w:r w:rsidRPr="000D52D3">
              <w:rPr>
                <w:rFonts w:asciiTheme="minorBidi" w:hAnsiTheme="minorBidi"/>
                <w:sz w:val="20"/>
              </w:rPr>
              <w:t>», avec un accès à plus de 200</w:t>
            </w:r>
            <w:r w:rsidR="0042677B" w:rsidRPr="000D52D3">
              <w:rPr>
                <w:rFonts w:asciiTheme="minorBidi" w:hAnsiTheme="minorBidi"/>
                <w:sz w:val="20"/>
              </w:rPr>
              <w:t> </w:t>
            </w:r>
            <w:r w:rsidRPr="000D52D3">
              <w:rPr>
                <w:rFonts w:asciiTheme="minorBidi" w:hAnsiTheme="minorBidi"/>
                <w:sz w:val="20"/>
              </w:rPr>
              <w:t xml:space="preserve">soumissions de praticiens et de communautés. </w:t>
            </w:r>
          </w:p>
          <w:p w14:paraId="4820561C" w14:textId="11713C5A" w:rsidR="006A6C41" w:rsidRPr="000D52D3" w:rsidRDefault="006A6C41" w:rsidP="00A154E3">
            <w:pPr>
              <w:numPr>
                <w:ilvl w:val="0"/>
                <w:numId w:val="23"/>
              </w:numPr>
              <w:spacing w:before="60" w:after="60"/>
              <w:ind w:left="357" w:hanging="357"/>
              <w:jc w:val="both"/>
              <w:rPr>
                <w:rFonts w:asciiTheme="minorBidi" w:eastAsia="Calibri" w:hAnsiTheme="minorBidi" w:cstheme="minorBidi"/>
                <w:sz w:val="20"/>
                <w:szCs w:val="20"/>
              </w:rPr>
            </w:pPr>
            <w:r w:rsidRPr="000D52D3">
              <w:rPr>
                <w:rFonts w:asciiTheme="minorBidi" w:hAnsiTheme="minorBidi"/>
                <w:sz w:val="20"/>
              </w:rPr>
              <w:t>Après des articles préliminaires publiés dans le tracker UNESCO Culture &amp; COVID-19 et la Revue du patrimoine mondial, ainsi qu</w:t>
            </w:r>
            <w:r w:rsidR="00CB437A" w:rsidRPr="000D52D3">
              <w:rPr>
                <w:rFonts w:asciiTheme="minorBidi" w:hAnsiTheme="minorBidi"/>
                <w:sz w:val="20"/>
              </w:rPr>
              <w:t>’</w:t>
            </w:r>
            <w:r w:rsidRPr="000D52D3">
              <w:rPr>
                <w:rFonts w:asciiTheme="minorBidi" w:hAnsiTheme="minorBidi"/>
                <w:sz w:val="20"/>
              </w:rPr>
              <w:t>un dialogue en ligne ResiliArt sur l</w:t>
            </w:r>
            <w:r w:rsidR="00CB437A" w:rsidRPr="000D52D3">
              <w:rPr>
                <w:rFonts w:asciiTheme="minorBidi" w:hAnsiTheme="minorBidi"/>
                <w:sz w:val="20"/>
              </w:rPr>
              <w:t>’</w:t>
            </w:r>
            <w:r w:rsidRPr="000D52D3">
              <w:rPr>
                <w:rFonts w:asciiTheme="minorBidi" w:hAnsiTheme="minorBidi"/>
                <w:sz w:val="20"/>
              </w:rPr>
              <w:t>impact de la pandémie sur le patrimoine vivant en marge de la huitième session de l</w:t>
            </w:r>
            <w:r w:rsidR="00CB437A" w:rsidRPr="000D52D3">
              <w:rPr>
                <w:rFonts w:asciiTheme="minorBidi" w:hAnsiTheme="minorBidi"/>
                <w:sz w:val="20"/>
              </w:rPr>
              <w:t>’</w:t>
            </w:r>
            <w:r w:rsidRPr="000D52D3">
              <w:rPr>
                <w:rFonts w:asciiTheme="minorBidi" w:hAnsiTheme="minorBidi"/>
                <w:sz w:val="20"/>
              </w:rPr>
              <w:t>Assemblée générale, un rapport final intitulé «</w:t>
            </w:r>
            <w:r w:rsidR="0042677B" w:rsidRPr="000D52D3">
              <w:rPr>
                <w:rFonts w:asciiTheme="minorBidi" w:hAnsiTheme="minorBidi"/>
                <w:sz w:val="20"/>
              </w:rPr>
              <w:t> </w:t>
            </w:r>
            <w:r w:rsidRPr="000D52D3">
              <w:rPr>
                <w:rFonts w:asciiTheme="minorBidi" w:hAnsiTheme="minorBidi"/>
                <w:sz w:val="20"/>
              </w:rPr>
              <w:t xml:space="preserve">Le patrimoine vivant </w:t>
            </w:r>
            <w:r w:rsidR="00607E8B">
              <w:rPr>
                <w:rFonts w:asciiTheme="minorBidi" w:hAnsiTheme="minorBidi"/>
                <w:sz w:val="20"/>
              </w:rPr>
              <w:t>face à la COVID-19</w:t>
            </w:r>
            <w:r w:rsidR="0042677B" w:rsidRPr="000D52D3">
              <w:rPr>
                <w:rFonts w:asciiTheme="minorBidi" w:hAnsiTheme="minorBidi"/>
                <w:sz w:val="20"/>
              </w:rPr>
              <w:t> </w:t>
            </w:r>
            <w:r w:rsidRPr="000D52D3">
              <w:rPr>
                <w:rFonts w:asciiTheme="minorBidi" w:hAnsiTheme="minorBidi"/>
                <w:sz w:val="20"/>
              </w:rPr>
              <w:t>» a été publié en mai 2021 en deux langues (anglais et français), avec des recommandations clés.</w:t>
            </w:r>
          </w:p>
          <w:p w14:paraId="2A81577A" w14:textId="79A7E546" w:rsidR="009C0A23" w:rsidRPr="000D52D3" w:rsidRDefault="009C0A23" w:rsidP="009C0A23">
            <w:pPr>
              <w:numPr>
                <w:ilvl w:val="0"/>
                <w:numId w:val="23"/>
              </w:numPr>
              <w:spacing w:before="60" w:after="60"/>
              <w:ind w:left="357" w:hanging="357"/>
              <w:jc w:val="both"/>
              <w:rPr>
                <w:rFonts w:asciiTheme="minorBidi" w:eastAsia="Calibri" w:hAnsiTheme="minorBidi" w:cstheme="minorBidi"/>
                <w:sz w:val="20"/>
                <w:szCs w:val="20"/>
              </w:rPr>
            </w:pPr>
            <w:r w:rsidRPr="000D52D3">
              <w:rPr>
                <w:rFonts w:asciiTheme="minorBidi" w:hAnsiTheme="minorBidi"/>
                <w:sz w:val="20"/>
              </w:rPr>
              <w:t>Brochure thématique sur le patrimoine vivant et les situations d</w:t>
            </w:r>
            <w:r w:rsidR="00CB437A" w:rsidRPr="000D52D3">
              <w:rPr>
                <w:rFonts w:asciiTheme="minorBidi" w:hAnsiTheme="minorBidi"/>
                <w:sz w:val="20"/>
              </w:rPr>
              <w:t>’</w:t>
            </w:r>
            <w:r w:rsidRPr="000D52D3">
              <w:rPr>
                <w:rFonts w:asciiTheme="minorBidi" w:hAnsiTheme="minorBidi"/>
                <w:sz w:val="20"/>
              </w:rPr>
              <w:t>urgence publiée en trois langues (anglais, français, espagnol).</w:t>
            </w:r>
          </w:p>
          <w:p w14:paraId="1B9442F8" w14:textId="778BCE9A" w:rsidR="006A6C41" w:rsidRPr="000D52D3" w:rsidRDefault="006A6C41" w:rsidP="00A154E3">
            <w:pPr>
              <w:numPr>
                <w:ilvl w:val="0"/>
                <w:numId w:val="23"/>
              </w:numPr>
              <w:spacing w:before="60" w:after="60"/>
              <w:ind w:left="357" w:hanging="357"/>
              <w:jc w:val="both"/>
              <w:rPr>
                <w:rFonts w:asciiTheme="minorBidi" w:eastAsia="Calibri" w:hAnsiTheme="minorBidi" w:cstheme="minorBidi"/>
                <w:sz w:val="20"/>
                <w:szCs w:val="20"/>
              </w:rPr>
            </w:pPr>
            <w:r w:rsidRPr="000D52D3">
              <w:rPr>
                <w:rFonts w:asciiTheme="minorBidi" w:hAnsiTheme="minorBidi"/>
                <w:sz w:val="20"/>
              </w:rPr>
              <w:t xml:space="preserve">Exposition thématique </w:t>
            </w:r>
            <w:r w:rsidR="002A0B78">
              <w:rPr>
                <w:rFonts w:asciiTheme="minorBidi" w:hAnsiTheme="minorBidi"/>
              </w:rPr>
              <w:t>–</w:t>
            </w:r>
            <w:r w:rsidRPr="000D52D3">
              <w:rPr>
                <w:rFonts w:asciiTheme="minorBidi" w:hAnsiTheme="minorBidi"/>
                <w:sz w:val="20"/>
              </w:rPr>
              <w:t xml:space="preserve"> reproduction d</w:t>
            </w:r>
            <w:r w:rsidR="00CB437A" w:rsidRPr="000D52D3">
              <w:rPr>
                <w:rFonts w:asciiTheme="minorBidi" w:hAnsiTheme="minorBidi"/>
                <w:sz w:val="20"/>
              </w:rPr>
              <w:t>’</w:t>
            </w:r>
            <w:r w:rsidRPr="000D52D3">
              <w:rPr>
                <w:rFonts w:asciiTheme="minorBidi" w:hAnsiTheme="minorBidi"/>
                <w:sz w:val="20"/>
              </w:rPr>
              <w:t xml:space="preserve">une exposition sonore de langues indigènes </w:t>
            </w:r>
            <w:r w:rsidR="002A0B78">
              <w:rPr>
                <w:rFonts w:asciiTheme="minorBidi" w:hAnsiTheme="minorBidi"/>
              </w:rPr>
              <w:t>–</w:t>
            </w:r>
            <w:r w:rsidRPr="000D52D3">
              <w:rPr>
                <w:rFonts w:asciiTheme="minorBidi" w:hAnsiTheme="minorBidi"/>
                <w:sz w:val="20"/>
              </w:rPr>
              <w:t xml:space="preserve"> installée au siège de l</w:t>
            </w:r>
            <w:r w:rsidR="00CB437A" w:rsidRPr="000D52D3">
              <w:rPr>
                <w:rFonts w:asciiTheme="minorBidi" w:hAnsiTheme="minorBidi"/>
                <w:sz w:val="20"/>
              </w:rPr>
              <w:t>’</w:t>
            </w:r>
            <w:r w:rsidRPr="000D52D3">
              <w:rPr>
                <w:rFonts w:asciiTheme="minorBidi" w:hAnsiTheme="minorBidi"/>
                <w:sz w:val="20"/>
              </w:rPr>
              <w:t>UNESCO et visible lors des célébrations du 75e</w:t>
            </w:r>
            <w:r w:rsidR="0042677B" w:rsidRPr="000D52D3">
              <w:rPr>
                <w:rFonts w:asciiTheme="minorBidi" w:hAnsiTheme="minorBidi"/>
                <w:sz w:val="20"/>
              </w:rPr>
              <w:t> </w:t>
            </w:r>
            <w:r w:rsidRPr="000D52D3">
              <w:rPr>
                <w:rFonts w:asciiTheme="minorBidi" w:hAnsiTheme="minorBidi"/>
                <w:sz w:val="20"/>
              </w:rPr>
              <w:t>anniversaire de l</w:t>
            </w:r>
            <w:r w:rsidR="00CB437A" w:rsidRPr="000D52D3">
              <w:rPr>
                <w:rFonts w:asciiTheme="minorBidi" w:hAnsiTheme="minorBidi"/>
                <w:sz w:val="20"/>
              </w:rPr>
              <w:t>’</w:t>
            </w:r>
            <w:r w:rsidRPr="000D52D3">
              <w:rPr>
                <w:rFonts w:asciiTheme="minorBidi" w:hAnsiTheme="minorBidi"/>
                <w:sz w:val="20"/>
              </w:rPr>
              <w:t>UNESCO.</w:t>
            </w:r>
          </w:p>
          <w:p w14:paraId="477C1C94" w14:textId="333844E5" w:rsidR="006A6C41" w:rsidRPr="000D52D3" w:rsidRDefault="00566C8B" w:rsidP="00CE3237">
            <w:pPr>
              <w:numPr>
                <w:ilvl w:val="0"/>
                <w:numId w:val="23"/>
              </w:numPr>
              <w:spacing w:before="60" w:after="60"/>
              <w:ind w:left="357" w:hanging="357"/>
              <w:jc w:val="both"/>
              <w:rPr>
                <w:rFonts w:ascii="Arial" w:eastAsia="Calibri" w:hAnsi="Arial" w:cs="Arial"/>
                <w:sz w:val="20"/>
                <w:szCs w:val="20"/>
              </w:rPr>
            </w:pPr>
            <w:r w:rsidRPr="000D52D3">
              <w:rPr>
                <w:rFonts w:asciiTheme="minorBidi" w:hAnsiTheme="minorBidi"/>
                <w:sz w:val="20"/>
              </w:rPr>
              <w:t>Une visualisation animée sur le patrimoine culturel immatériel et les ODD a été développée.</w:t>
            </w:r>
          </w:p>
        </w:tc>
        <w:tc>
          <w:tcPr>
            <w:tcW w:w="2835" w:type="dxa"/>
          </w:tcPr>
          <w:p w14:paraId="4CAFADE1" w14:textId="5732F90C" w:rsidR="006A6C41" w:rsidRPr="000D52D3" w:rsidRDefault="00DD57AD">
            <w:pPr>
              <w:tabs>
                <w:tab w:val="left" w:pos="826"/>
              </w:tabs>
              <w:spacing w:before="320" w:after="0"/>
              <w:jc w:val="center"/>
              <w:rPr>
                <w:rFonts w:ascii="Arial" w:eastAsia="Calibri" w:hAnsi="Arial" w:cs="Arial"/>
                <w:sz w:val="20"/>
                <w:szCs w:val="20"/>
              </w:rPr>
            </w:pPr>
            <w:r w:rsidRPr="000D52D3">
              <w:rPr>
                <w:rFonts w:ascii="Arial" w:hAnsi="Arial"/>
                <w:sz w:val="20"/>
              </w:rPr>
              <w:t>Accompli</w:t>
            </w:r>
          </w:p>
        </w:tc>
      </w:tr>
      <w:tr w:rsidR="00DD57AD" w:rsidRPr="000D52D3" w14:paraId="1C2AD201" w14:textId="77777777" w:rsidTr="00D80DFD">
        <w:trPr>
          <w:trHeight w:val="1251"/>
          <w:jc w:val="center"/>
        </w:trPr>
        <w:tc>
          <w:tcPr>
            <w:tcW w:w="6803" w:type="dxa"/>
            <w:shd w:val="clear" w:color="auto" w:fill="auto"/>
          </w:tcPr>
          <w:p w14:paraId="2D1D02AB" w14:textId="7C6C5F1E" w:rsidR="00DD57AD" w:rsidRPr="000D52D3" w:rsidRDefault="00DD57AD" w:rsidP="00DD57AD">
            <w:pPr>
              <w:numPr>
                <w:ilvl w:val="0"/>
                <w:numId w:val="23"/>
              </w:numPr>
              <w:spacing w:before="60" w:after="60"/>
              <w:ind w:left="357" w:hanging="357"/>
              <w:jc w:val="both"/>
              <w:rPr>
                <w:rFonts w:asciiTheme="minorBidi" w:eastAsia="Calibri" w:hAnsiTheme="minorBidi" w:cstheme="minorBidi"/>
                <w:sz w:val="20"/>
                <w:szCs w:val="20"/>
              </w:rPr>
            </w:pPr>
            <w:r w:rsidRPr="000D52D3">
              <w:rPr>
                <w:rFonts w:asciiTheme="minorBidi" w:hAnsiTheme="minorBidi"/>
                <w:sz w:val="20"/>
              </w:rPr>
              <w:t>Refonte en cours du site web (conception et organisation du contenu revues pour l</w:t>
            </w:r>
            <w:r w:rsidR="00CB437A" w:rsidRPr="000D52D3">
              <w:rPr>
                <w:rFonts w:asciiTheme="minorBidi" w:hAnsiTheme="minorBidi"/>
                <w:sz w:val="20"/>
              </w:rPr>
              <w:t>’</w:t>
            </w:r>
            <w:r w:rsidRPr="000D52D3">
              <w:rPr>
                <w:rFonts w:asciiTheme="minorBidi" w:hAnsiTheme="minorBidi"/>
                <w:sz w:val="20"/>
              </w:rPr>
              <w:t>aligner sur la nouvelle charte graphique de l</w:t>
            </w:r>
            <w:r w:rsidR="00CB437A" w:rsidRPr="000D52D3">
              <w:rPr>
                <w:rFonts w:asciiTheme="minorBidi" w:hAnsiTheme="minorBidi"/>
                <w:sz w:val="20"/>
              </w:rPr>
              <w:t>’</w:t>
            </w:r>
            <w:r w:rsidRPr="000D52D3">
              <w:rPr>
                <w:rFonts w:asciiTheme="minorBidi" w:hAnsiTheme="minorBidi"/>
                <w:sz w:val="20"/>
              </w:rPr>
              <w:t>UNESCO) pour une diffusion au second semestre</w:t>
            </w:r>
            <w:r w:rsidR="0042677B" w:rsidRPr="000D52D3">
              <w:rPr>
                <w:rFonts w:asciiTheme="minorBidi" w:hAnsiTheme="minorBidi"/>
                <w:sz w:val="20"/>
              </w:rPr>
              <w:t> </w:t>
            </w:r>
            <w:r w:rsidRPr="000D52D3">
              <w:rPr>
                <w:rFonts w:asciiTheme="minorBidi" w:hAnsiTheme="minorBidi"/>
                <w:sz w:val="20"/>
              </w:rPr>
              <w:t>2022.</w:t>
            </w:r>
          </w:p>
          <w:p w14:paraId="7769E4FE" w14:textId="4CFC2400" w:rsidR="00DD57AD" w:rsidRPr="000D52D3" w:rsidRDefault="00DD57AD" w:rsidP="00880749">
            <w:pPr>
              <w:numPr>
                <w:ilvl w:val="0"/>
                <w:numId w:val="23"/>
              </w:numPr>
              <w:spacing w:before="60" w:after="60"/>
              <w:ind w:left="357" w:hanging="357"/>
              <w:jc w:val="both"/>
              <w:rPr>
                <w:rFonts w:ascii="Arial" w:eastAsia="Calibri" w:hAnsi="Arial" w:cs="Arial"/>
                <w:b/>
                <w:bCs/>
                <w:sz w:val="20"/>
                <w:szCs w:val="20"/>
              </w:rPr>
            </w:pPr>
            <w:r w:rsidRPr="000D52D3">
              <w:rPr>
                <w:rFonts w:asciiTheme="minorBidi" w:hAnsiTheme="minorBidi"/>
                <w:sz w:val="20"/>
              </w:rPr>
              <w:t>Système de gestion des connaissances optimisé pour mieux faire face aux vagues de connexions en ligne lors des événements et échéances statutaires importantes.</w:t>
            </w:r>
          </w:p>
        </w:tc>
        <w:tc>
          <w:tcPr>
            <w:tcW w:w="2835" w:type="dxa"/>
          </w:tcPr>
          <w:p w14:paraId="3482E227" w14:textId="1D265521" w:rsidR="00DD57AD" w:rsidRPr="000D52D3" w:rsidRDefault="00DD57AD">
            <w:pPr>
              <w:tabs>
                <w:tab w:val="left" w:pos="826"/>
              </w:tabs>
              <w:spacing w:before="320" w:after="0"/>
              <w:jc w:val="center"/>
              <w:rPr>
                <w:rFonts w:ascii="Arial" w:eastAsia="Calibri" w:hAnsi="Arial" w:cs="Arial"/>
                <w:sz w:val="20"/>
                <w:szCs w:val="20"/>
              </w:rPr>
            </w:pPr>
            <w:r w:rsidRPr="000D52D3">
              <w:rPr>
                <w:rFonts w:ascii="Arial" w:hAnsi="Arial"/>
                <w:sz w:val="20"/>
              </w:rPr>
              <w:t>Partiellement accompli</w:t>
            </w:r>
          </w:p>
        </w:tc>
      </w:tr>
    </w:tbl>
    <w:p w14:paraId="6229EB31" w14:textId="77777777" w:rsidR="006A6C41" w:rsidRPr="000D52D3" w:rsidRDefault="006A6C41" w:rsidP="00A154E3">
      <w:pPr>
        <w:keepNext/>
        <w:numPr>
          <w:ilvl w:val="0"/>
          <w:numId w:val="24"/>
        </w:numPr>
        <w:spacing w:before="240" w:after="0"/>
        <w:ind w:left="284" w:hanging="284"/>
        <w:rPr>
          <w:rFonts w:ascii="Arial" w:hAnsi="Arial" w:cs="Arial"/>
          <w:b/>
          <w:sz w:val="20"/>
          <w:szCs w:val="20"/>
        </w:rPr>
      </w:pPr>
      <w:r w:rsidRPr="000D52D3">
        <w:rPr>
          <w:rFonts w:ascii="Arial" w:hAnsi="Arial"/>
          <w:b/>
        </w:rPr>
        <w:t>Défis et risques rencontrés dans la mise en œuvre et mesures correctives (2020/2021)</w:t>
      </w:r>
    </w:p>
    <w:p w14:paraId="7D30A445" w14:textId="77777777" w:rsidR="006A6C41" w:rsidRPr="000D52D3" w:rsidRDefault="006A6C41" w:rsidP="006A6C41">
      <w:pPr>
        <w:keepNext/>
        <w:spacing w:before="240" w:after="0"/>
        <w:ind w:left="284"/>
        <w:contextualSpacing/>
        <w:rPr>
          <w:rFonts w:ascii="Arial" w:hAnsi="Arial" w:cs="Arial"/>
          <w:b/>
          <w:szCs w:val="22"/>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820"/>
      </w:tblGrid>
      <w:tr w:rsidR="006A6C41" w:rsidRPr="000D52D3" w14:paraId="006643EF" w14:textId="77777777" w:rsidTr="001D0AE3">
        <w:trPr>
          <w:tblHeader/>
          <w:jc w:val="center"/>
        </w:trPr>
        <w:tc>
          <w:tcPr>
            <w:tcW w:w="2500" w:type="pct"/>
            <w:shd w:val="clear" w:color="auto" w:fill="D9D9D9"/>
            <w:vAlign w:val="center"/>
          </w:tcPr>
          <w:p w14:paraId="4E1AD35E"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Principaux défis</w:t>
            </w:r>
          </w:p>
        </w:tc>
        <w:tc>
          <w:tcPr>
            <w:tcW w:w="2500" w:type="pct"/>
            <w:shd w:val="clear" w:color="auto" w:fill="D9D9D9"/>
            <w:vAlign w:val="center"/>
          </w:tcPr>
          <w:p w14:paraId="762B90FD" w14:textId="77777777" w:rsidR="006A6C41" w:rsidRPr="000D52D3" w:rsidRDefault="006A6C41" w:rsidP="006A6C41">
            <w:pPr>
              <w:keepNext/>
              <w:spacing w:before="60" w:after="60"/>
              <w:jc w:val="center"/>
              <w:rPr>
                <w:rFonts w:ascii="Arial" w:hAnsi="Arial" w:cs="Arial"/>
                <w:b/>
                <w:sz w:val="20"/>
                <w:szCs w:val="20"/>
              </w:rPr>
            </w:pPr>
            <w:r w:rsidRPr="000D52D3">
              <w:rPr>
                <w:rFonts w:ascii="Arial" w:hAnsi="Arial"/>
                <w:b/>
                <w:sz w:val="20"/>
              </w:rPr>
              <w:t>Mesures correctives</w:t>
            </w:r>
          </w:p>
        </w:tc>
      </w:tr>
      <w:tr w:rsidR="006A6C41" w:rsidRPr="000D52D3" w14:paraId="0413F2E7" w14:textId="77777777" w:rsidTr="001D0AE3">
        <w:trPr>
          <w:jc w:val="center"/>
        </w:trPr>
        <w:tc>
          <w:tcPr>
            <w:tcW w:w="2500" w:type="pct"/>
            <w:shd w:val="clear" w:color="auto" w:fill="auto"/>
          </w:tcPr>
          <w:p w14:paraId="6E48CB6A" w14:textId="0DF4E4FB" w:rsidR="006A6C41" w:rsidRPr="000D52D3" w:rsidRDefault="006A6C41" w:rsidP="006A6C41">
            <w:pPr>
              <w:spacing w:before="60" w:after="60"/>
              <w:jc w:val="both"/>
              <w:rPr>
                <w:rFonts w:ascii="Arial" w:hAnsi="Arial" w:cs="Arial"/>
                <w:sz w:val="20"/>
                <w:szCs w:val="20"/>
              </w:rPr>
            </w:pPr>
            <w:r w:rsidRPr="000D52D3">
              <w:rPr>
                <w:rFonts w:ascii="Arial" w:hAnsi="Arial"/>
                <w:sz w:val="20"/>
              </w:rPr>
              <w:t>Les restrictions associées à la pandémie de COVID-19 ont empêché l</w:t>
            </w:r>
            <w:r w:rsidR="00CB437A" w:rsidRPr="000D52D3">
              <w:rPr>
                <w:rFonts w:ascii="Arial" w:hAnsi="Arial"/>
                <w:sz w:val="20"/>
              </w:rPr>
              <w:t>’</w:t>
            </w:r>
            <w:r w:rsidRPr="000D52D3">
              <w:rPr>
                <w:rFonts w:ascii="Arial" w:hAnsi="Arial"/>
                <w:sz w:val="20"/>
              </w:rPr>
              <w:t>organisation de la plupart des événements physiques pendant la période de référence. Certaines des activités prévues se sont avérées non pertinentes (expositions, événements parallèles) dans le contexte et n</w:t>
            </w:r>
            <w:r w:rsidR="00CB437A" w:rsidRPr="000D52D3">
              <w:rPr>
                <w:rFonts w:ascii="Arial" w:hAnsi="Arial"/>
                <w:sz w:val="20"/>
              </w:rPr>
              <w:t>’</w:t>
            </w:r>
            <w:r w:rsidRPr="000D52D3">
              <w:rPr>
                <w:rFonts w:ascii="Arial" w:hAnsi="Arial"/>
                <w:sz w:val="20"/>
              </w:rPr>
              <w:t xml:space="preserve">ont pas pu être converties dans un format virtuel. Les événements parallèles </w:t>
            </w:r>
            <w:r w:rsidR="00424D16" w:rsidRPr="000D52D3">
              <w:rPr>
                <w:rFonts w:ascii="Arial" w:hAnsi="Arial"/>
                <w:sz w:val="20"/>
              </w:rPr>
              <w:t xml:space="preserve">de la seizième session du Comité </w:t>
            </w:r>
            <w:r w:rsidRPr="000D52D3">
              <w:rPr>
                <w:rFonts w:ascii="Arial" w:hAnsi="Arial"/>
                <w:sz w:val="20"/>
              </w:rPr>
              <w:t>ont dû se dérouler en ligne.</w:t>
            </w:r>
          </w:p>
        </w:tc>
        <w:tc>
          <w:tcPr>
            <w:tcW w:w="2500" w:type="pct"/>
            <w:shd w:val="clear" w:color="auto" w:fill="auto"/>
          </w:tcPr>
          <w:p w14:paraId="79B0860F" w14:textId="53C108A2" w:rsidR="006A6C41" w:rsidRPr="000D52D3" w:rsidRDefault="006A6C41" w:rsidP="006A6C41">
            <w:pPr>
              <w:spacing w:before="60" w:after="60"/>
              <w:jc w:val="both"/>
              <w:rPr>
                <w:rFonts w:ascii="Arial" w:eastAsia="Calibri" w:hAnsi="Arial" w:cs="Arial"/>
                <w:sz w:val="20"/>
                <w:szCs w:val="20"/>
              </w:rPr>
            </w:pPr>
            <w:r w:rsidRPr="000D52D3">
              <w:rPr>
                <w:rFonts w:ascii="Arial" w:hAnsi="Arial"/>
                <w:sz w:val="20"/>
              </w:rPr>
              <w:t>Ces activités seront reprogrammées à l</w:t>
            </w:r>
            <w:r w:rsidR="00CB437A" w:rsidRPr="000D52D3">
              <w:rPr>
                <w:rFonts w:ascii="Arial" w:hAnsi="Arial"/>
                <w:sz w:val="20"/>
              </w:rPr>
              <w:t>’</w:t>
            </w:r>
            <w:r w:rsidRPr="000D52D3">
              <w:rPr>
                <w:rFonts w:ascii="Arial" w:hAnsi="Arial"/>
                <w:sz w:val="20"/>
              </w:rPr>
              <w:t>avenir lorsque les conditions permettront un impact maximal ainsi que le rassemblement d</w:t>
            </w:r>
            <w:r w:rsidR="00CB437A" w:rsidRPr="000D52D3">
              <w:rPr>
                <w:rFonts w:ascii="Arial" w:hAnsi="Arial"/>
                <w:sz w:val="20"/>
              </w:rPr>
              <w:t>’</w:t>
            </w:r>
            <w:r w:rsidRPr="000D52D3">
              <w:rPr>
                <w:rFonts w:ascii="Arial" w:hAnsi="Arial"/>
                <w:sz w:val="20"/>
              </w:rPr>
              <w:t xml:space="preserve">un public significatif. Des événements parallèles en présentiel sont prévus pour la </w:t>
            </w:r>
            <w:r w:rsidR="00424D16" w:rsidRPr="000D52D3">
              <w:rPr>
                <w:rFonts w:asciiTheme="minorBidi" w:hAnsiTheme="minorBidi"/>
                <w:sz w:val="20"/>
              </w:rPr>
              <w:t>neuvième session de l</w:t>
            </w:r>
            <w:r w:rsidR="00CB437A" w:rsidRPr="000D52D3">
              <w:rPr>
                <w:rFonts w:asciiTheme="minorBidi" w:hAnsiTheme="minorBidi"/>
                <w:sz w:val="20"/>
              </w:rPr>
              <w:t>’</w:t>
            </w:r>
            <w:r w:rsidR="00424D16" w:rsidRPr="000D52D3">
              <w:rPr>
                <w:rFonts w:asciiTheme="minorBidi" w:hAnsiTheme="minorBidi"/>
                <w:sz w:val="20"/>
              </w:rPr>
              <w:t>Assemblée générale</w:t>
            </w:r>
            <w:r w:rsidRPr="000D52D3">
              <w:rPr>
                <w:rFonts w:ascii="Arial" w:hAnsi="Arial"/>
                <w:sz w:val="20"/>
              </w:rPr>
              <w:t>.</w:t>
            </w:r>
          </w:p>
        </w:tc>
      </w:tr>
      <w:tr w:rsidR="006A6C41" w:rsidRPr="000D52D3" w14:paraId="0604AFF3" w14:textId="77777777" w:rsidTr="001D0AE3">
        <w:trPr>
          <w:jc w:val="center"/>
        </w:trPr>
        <w:tc>
          <w:tcPr>
            <w:tcW w:w="2500" w:type="pct"/>
            <w:shd w:val="clear" w:color="auto" w:fill="auto"/>
          </w:tcPr>
          <w:p w14:paraId="0C5A285E" w14:textId="38B2D646" w:rsidR="006A6C41" w:rsidRPr="000D52D3" w:rsidRDefault="006A6C41" w:rsidP="006A6C41">
            <w:pPr>
              <w:spacing w:before="60" w:after="60"/>
              <w:jc w:val="both"/>
              <w:rPr>
                <w:rFonts w:ascii="Arial" w:hAnsi="Arial" w:cs="Arial"/>
                <w:sz w:val="20"/>
                <w:szCs w:val="20"/>
              </w:rPr>
            </w:pPr>
            <w:r w:rsidRPr="000D52D3">
              <w:rPr>
                <w:rFonts w:ascii="Arial" w:hAnsi="Arial"/>
                <w:sz w:val="20"/>
              </w:rPr>
              <w:lastRenderedPageBreak/>
              <w:t>La mise en œuvre des activités de sensibilisation et de vulgarisation a souffert de ressources humaines trop limitées. L</w:t>
            </w:r>
            <w:r w:rsidR="00CB437A" w:rsidRPr="000D52D3">
              <w:rPr>
                <w:rFonts w:ascii="Arial" w:hAnsi="Arial"/>
                <w:sz w:val="20"/>
              </w:rPr>
              <w:t>’</w:t>
            </w:r>
            <w:r w:rsidRPr="000D52D3">
              <w:rPr>
                <w:rFonts w:ascii="Arial" w:hAnsi="Arial"/>
                <w:sz w:val="20"/>
              </w:rPr>
              <w:t>évaluation de l</w:t>
            </w:r>
            <w:r w:rsidR="00CB437A" w:rsidRPr="000D52D3">
              <w:rPr>
                <w:rFonts w:ascii="Arial" w:hAnsi="Arial"/>
                <w:sz w:val="20"/>
              </w:rPr>
              <w:t>’</w:t>
            </w:r>
            <w:r w:rsidRPr="000D52D3">
              <w:rPr>
                <w:rFonts w:ascii="Arial" w:hAnsi="Arial"/>
                <w:sz w:val="20"/>
              </w:rPr>
              <w:t>IOS souligne davantage le manque de ressources humaines.</w:t>
            </w:r>
          </w:p>
        </w:tc>
        <w:tc>
          <w:tcPr>
            <w:tcW w:w="2500" w:type="pct"/>
            <w:shd w:val="clear" w:color="auto" w:fill="auto"/>
          </w:tcPr>
          <w:p w14:paraId="79CB4435" w14:textId="3FD312A6" w:rsidR="006A6C41" w:rsidRPr="000D52D3" w:rsidRDefault="006A6C41" w:rsidP="006A6C41">
            <w:pPr>
              <w:spacing w:before="60" w:after="60"/>
              <w:jc w:val="both"/>
              <w:rPr>
                <w:rFonts w:ascii="Arial" w:hAnsi="Arial" w:cs="Arial"/>
                <w:sz w:val="20"/>
                <w:szCs w:val="20"/>
              </w:rPr>
            </w:pPr>
            <w:r w:rsidRPr="000D52D3">
              <w:rPr>
                <w:rFonts w:ascii="Arial" w:hAnsi="Arial"/>
                <w:sz w:val="20"/>
              </w:rPr>
              <w:t>Les futures activités de programmation devraient mieux prendre en compte l</w:t>
            </w:r>
            <w:r w:rsidR="00CB437A" w:rsidRPr="000D52D3">
              <w:rPr>
                <w:rFonts w:ascii="Arial" w:hAnsi="Arial"/>
                <w:sz w:val="20"/>
              </w:rPr>
              <w:t>’</w:t>
            </w:r>
            <w:r w:rsidRPr="000D52D3">
              <w:rPr>
                <w:rFonts w:ascii="Arial" w:hAnsi="Arial"/>
                <w:sz w:val="20"/>
              </w:rPr>
              <w:t>état des ressources humaines pour assurer une mise en œuvre efficace.</w:t>
            </w:r>
          </w:p>
        </w:tc>
      </w:tr>
    </w:tbl>
    <w:p w14:paraId="4FE3047B" w14:textId="77777777" w:rsidR="00921DDF" w:rsidRPr="000D52D3" w:rsidRDefault="00921DDF" w:rsidP="001D70C0">
      <w:pPr>
        <w:spacing w:after="0"/>
        <w:jc w:val="right"/>
        <w:rPr>
          <w:rFonts w:asciiTheme="minorBidi" w:hAnsiTheme="minorBidi" w:cstheme="minorBidi"/>
        </w:rPr>
      </w:pPr>
    </w:p>
    <w:sectPr w:rsidR="00921DDF" w:rsidRPr="000D52D3" w:rsidSect="006A6C41">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970B" w14:textId="77777777" w:rsidR="00473C06" w:rsidRDefault="00473C06" w:rsidP="002938F2">
      <w:r>
        <w:separator/>
      </w:r>
    </w:p>
    <w:p w14:paraId="6B204209" w14:textId="77777777" w:rsidR="00473C06" w:rsidRDefault="00473C06"/>
  </w:endnote>
  <w:endnote w:type="continuationSeparator" w:id="0">
    <w:p w14:paraId="375D0F86" w14:textId="77777777" w:rsidR="00473C06" w:rsidRDefault="00473C06" w:rsidP="002938F2">
      <w:r>
        <w:continuationSeparator/>
      </w:r>
    </w:p>
    <w:p w14:paraId="082959A8" w14:textId="77777777" w:rsidR="00473C06" w:rsidRDefault="00473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5F7F" w14:textId="77777777" w:rsidR="00473C06" w:rsidRDefault="00473C06" w:rsidP="00230FC6">
      <w:r>
        <w:separator/>
      </w:r>
    </w:p>
  </w:footnote>
  <w:footnote w:type="continuationSeparator" w:id="0">
    <w:p w14:paraId="04B0BEB2" w14:textId="77777777" w:rsidR="00473C06" w:rsidRDefault="00473C06" w:rsidP="00E04B5A">
      <w:r>
        <w:continuationSeparator/>
      </w:r>
    </w:p>
  </w:footnote>
  <w:footnote w:type="continuationNotice" w:id="1">
    <w:p w14:paraId="3C9A3109" w14:textId="77777777" w:rsidR="00473C06" w:rsidRPr="00E04B5A" w:rsidRDefault="00473C06" w:rsidP="001554C0">
      <w:pPr>
        <w:pStyle w:val="Footer"/>
      </w:pPr>
    </w:p>
  </w:footnote>
  <w:footnote w:id="2">
    <w:p w14:paraId="4ED5130F" w14:textId="519BC652" w:rsidR="00073C4D" w:rsidRPr="001554C0" w:rsidRDefault="00073C4D" w:rsidP="001554C0">
      <w:pPr>
        <w:pStyle w:val="FootnoteText"/>
        <w:ind w:left="284" w:hanging="284"/>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 xml:space="preserve">. </w:t>
      </w:r>
      <w:r>
        <w:rPr>
          <w:rFonts w:asciiTheme="minorBidi" w:hAnsiTheme="minorBidi"/>
          <w:sz w:val="18"/>
        </w:rPr>
        <w:tab/>
        <w:t>Les chiffres ont été arrondis par rapport aux annexes I et II</w:t>
      </w:r>
      <w:r w:rsidRPr="004F692E">
        <w:rPr>
          <w:rFonts w:asciiTheme="minorBidi" w:hAnsiTheme="minorBidi"/>
          <w:sz w:val="18"/>
        </w:rPr>
        <w:t>, pages</w:t>
      </w:r>
      <w:r w:rsidR="0042677B" w:rsidRPr="004F692E">
        <w:rPr>
          <w:rFonts w:asciiTheme="minorBidi" w:hAnsiTheme="minorBidi"/>
          <w:sz w:val="18"/>
        </w:rPr>
        <w:t> </w:t>
      </w:r>
      <w:r w:rsidRPr="004F692E">
        <w:rPr>
          <w:rFonts w:asciiTheme="minorBidi" w:hAnsiTheme="minorBidi"/>
          <w:sz w:val="18"/>
        </w:rPr>
        <w:t>8 à 10.</w:t>
      </w:r>
    </w:p>
  </w:footnote>
  <w:footnote w:id="3">
    <w:p w14:paraId="73B95F2E" w14:textId="57B6D400" w:rsidR="00B33DB5" w:rsidRPr="001554C0" w:rsidRDefault="00B33DB5" w:rsidP="001554C0">
      <w:pPr>
        <w:pStyle w:val="FootnoteText"/>
        <w:tabs>
          <w:tab w:val="left" w:pos="142"/>
        </w:tabs>
        <w:ind w:left="284" w:hanging="284"/>
        <w:jc w:val="both"/>
        <w:rPr>
          <w:rFonts w:asciiTheme="minorBidi" w:hAnsiTheme="minorBidi" w:cstheme="minorBidi"/>
          <w:sz w:val="18"/>
          <w:szCs w:val="18"/>
        </w:rPr>
      </w:pPr>
      <w:r>
        <w:rPr>
          <w:rStyle w:val="FootnoteReference"/>
          <w:rFonts w:asciiTheme="minorBidi" w:eastAsia="Calibri" w:hAnsiTheme="minorBidi" w:cstheme="minorBidi"/>
          <w:sz w:val="18"/>
          <w:szCs w:val="18"/>
          <w:vertAlign w:val="baseline"/>
          <w:lang w:eastAsia="en-US"/>
        </w:rPr>
        <w:footnoteRef/>
      </w:r>
      <w:r>
        <w:rPr>
          <w:rStyle w:val="FootnoteReference"/>
          <w:rFonts w:asciiTheme="minorBidi" w:hAnsiTheme="minorBidi"/>
          <w:sz w:val="18"/>
          <w:vertAlign w:val="baseline"/>
        </w:rPr>
        <w:t>.</w:t>
      </w:r>
      <w:r>
        <w:rPr>
          <w:rFonts w:asciiTheme="minorBidi" w:hAnsiTheme="minorBidi"/>
          <w:sz w:val="18"/>
        </w:rPr>
        <w:tab/>
        <w:t xml:space="preserve">Dans </w:t>
      </w:r>
      <w:r w:rsidR="00705A8C">
        <w:rPr>
          <w:rFonts w:asciiTheme="minorBidi" w:hAnsiTheme="minorBidi"/>
          <w:sz w:val="18"/>
        </w:rPr>
        <w:t>l</w:t>
      </w:r>
      <w:r w:rsidR="00C11084">
        <w:rPr>
          <w:rFonts w:asciiTheme="minorBidi" w:hAnsiTheme="minorBidi"/>
          <w:sz w:val="18"/>
        </w:rPr>
        <w:t>’</w:t>
      </w:r>
      <w:r w:rsidR="00E109AC">
        <w:rPr>
          <w:rFonts w:asciiTheme="minorBidi" w:hAnsiTheme="minorBidi"/>
          <w:sz w:val="18"/>
        </w:rPr>
        <w:t>État financier</w:t>
      </w:r>
      <w:r>
        <w:rPr>
          <w:rFonts w:asciiTheme="minorBidi" w:hAnsiTheme="minorBidi"/>
          <w:sz w:val="18"/>
        </w:rPr>
        <w:t xml:space="preserve"> I (annexe I), les contributions obligatoires évaluées pour la période</w:t>
      </w:r>
      <w:r w:rsidR="0042677B">
        <w:rPr>
          <w:rFonts w:asciiTheme="minorBidi" w:hAnsiTheme="minorBidi"/>
          <w:sz w:val="18"/>
        </w:rPr>
        <w:t> </w:t>
      </w:r>
      <w:r>
        <w:rPr>
          <w:rFonts w:asciiTheme="minorBidi" w:hAnsiTheme="minorBidi"/>
          <w:sz w:val="18"/>
        </w:rPr>
        <w:t>2020</w:t>
      </w:r>
      <w:r w:rsidR="002A0B78">
        <w:rPr>
          <w:rFonts w:asciiTheme="minorBidi" w:hAnsiTheme="minorBidi"/>
        </w:rPr>
        <w:t>–</w:t>
      </w:r>
      <w:r>
        <w:rPr>
          <w:rFonts w:asciiTheme="minorBidi" w:hAnsiTheme="minorBidi"/>
          <w:sz w:val="18"/>
        </w:rPr>
        <w:t>2021 sont indiquées en tant que revenus, qu</w:t>
      </w:r>
      <w:r w:rsidR="00C11084">
        <w:rPr>
          <w:rFonts w:asciiTheme="minorBidi" w:hAnsiTheme="minorBidi"/>
          <w:sz w:val="18"/>
        </w:rPr>
        <w:t>’</w:t>
      </w:r>
      <w:r>
        <w:rPr>
          <w:rFonts w:asciiTheme="minorBidi" w:hAnsiTheme="minorBidi"/>
          <w:sz w:val="18"/>
        </w:rPr>
        <w:t>elles aient été reçues ou non. Le détail des contributions évaluées reçues de chaque État partie</w:t>
      </w:r>
      <w:r w:rsidR="008A301C">
        <w:rPr>
          <w:rFonts w:asciiTheme="minorBidi" w:hAnsiTheme="minorBidi"/>
          <w:sz w:val="18"/>
        </w:rPr>
        <w:t xml:space="preserve"> </w:t>
      </w:r>
      <w:r>
        <w:rPr>
          <w:rFonts w:asciiTheme="minorBidi" w:hAnsiTheme="minorBidi"/>
          <w:sz w:val="18"/>
        </w:rPr>
        <w:t xml:space="preserve">est disponible dans </w:t>
      </w:r>
      <w:r w:rsidR="00843B40">
        <w:rPr>
          <w:rFonts w:asciiTheme="minorBidi" w:hAnsiTheme="minorBidi"/>
          <w:sz w:val="18"/>
        </w:rPr>
        <w:t>l</w:t>
      </w:r>
      <w:r w:rsidR="00C11084">
        <w:rPr>
          <w:rFonts w:asciiTheme="minorBidi" w:hAnsiTheme="minorBidi"/>
          <w:sz w:val="18"/>
        </w:rPr>
        <w:t>’</w:t>
      </w:r>
      <w:hyperlink r:id="rId1" w:history="1">
        <w:r w:rsidR="00E109AC">
          <w:rPr>
            <w:rStyle w:val="Hyperlink"/>
            <w:rFonts w:asciiTheme="minorBidi" w:hAnsiTheme="minorBidi"/>
            <w:sz w:val="18"/>
            <w:szCs w:val="18"/>
          </w:rPr>
          <w:t xml:space="preserve">État financier </w:t>
        </w:r>
        <w:r>
          <w:rPr>
            <w:rStyle w:val="Hyperlink"/>
            <w:rFonts w:asciiTheme="minorBidi" w:hAnsiTheme="minorBidi"/>
            <w:sz w:val="18"/>
            <w:szCs w:val="18"/>
          </w:rPr>
          <w:t xml:space="preserve">des contributions </w:t>
        </w:r>
        <w:r w:rsidR="008A301C">
          <w:rPr>
            <w:rStyle w:val="Hyperlink"/>
            <w:rFonts w:asciiTheme="minorBidi" w:hAnsiTheme="minorBidi"/>
            <w:sz w:val="18"/>
            <w:szCs w:val="18"/>
          </w:rPr>
          <w:t xml:space="preserve">mises au recouvrement </w:t>
        </w:r>
        <w:r>
          <w:rPr>
            <w:rStyle w:val="Hyperlink"/>
            <w:rFonts w:asciiTheme="minorBidi" w:hAnsiTheme="minorBidi"/>
            <w:sz w:val="18"/>
            <w:szCs w:val="18"/>
          </w:rPr>
          <w:t>pour la période du 1er</w:t>
        </w:r>
        <w:r w:rsidR="0042677B">
          <w:rPr>
            <w:rStyle w:val="Hyperlink"/>
            <w:rFonts w:asciiTheme="minorBidi" w:hAnsiTheme="minorBidi"/>
            <w:sz w:val="18"/>
            <w:szCs w:val="18"/>
          </w:rPr>
          <w:t> </w:t>
        </w:r>
        <w:r>
          <w:rPr>
            <w:rStyle w:val="Hyperlink"/>
            <w:rFonts w:asciiTheme="minorBidi" w:hAnsiTheme="minorBidi"/>
            <w:sz w:val="18"/>
            <w:szCs w:val="18"/>
          </w:rPr>
          <w:t>janvier 2020 au 31</w:t>
        </w:r>
        <w:r w:rsidR="0042677B">
          <w:rPr>
            <w:rStyle w:val="Hyperlink"/>
            <w:rFonts w:asciiTheme="minorBidi" w:hAnsiTheme="minorBidi"/>
            <w:sz w:val="18"/>
            <w:szCs w:val="18"/>
          </w:rPr>
          <w:t> </w:t>
        </w:r>
        <w:r>
          <w:rPr>
            <w:rStyle w:val="Hyperlink"/>
            <w:rFonts w:asciiTheme="minorBidi" w:hAnsiTheme="minorBidi"/>
            <w:sz w:val="18"/>
            <w:szCs w:val="18"/>
          </w:rPr>
          <w:t>décembre 2021</w:t>
        </w:r>
      </w:hyperlink>
      <w:r>
        <w:rPr>
          <w:rFonts w:asciiTheme="minorBidi" w:hAnsiTheme="minorBidi"/>
          <w:sz w:val="18"/>
        </w:rPr>
        <w:t>.</w:t>
      </w:r>
    </w:p>
  </w:footnote>
  <w:footnote w:id="4">
    <w:p w14:paraId="04386866" w14:textId="673F574B" w:rsidR="006D2FE0" w:rsidRPr="00826F41" w:rsidRDefault="006D2FE0" w:rsidP="006D5455">
      <w:pPr>
        <w:pStyle w:val="FootnoteText"/>
        <w:tabs>
          <w:tab w:val="left" w:pos="284"/>
        </w:tabs>
        <w:ind w:left="284" w:hanging="284"/>
        <w:jc w:val="both"/>
        <w:rPr>
          <w:rFonts w:asciiTheme="minorBidi" w:hAnsiTheme="minorBidi" w:cstheme="minorBidi"/>
          <w:sz w:val="18"/>
          <w:szCs w:val="18"/>
        </w:rPr>
      </w:pPr>
      <w:r>
        <w:rPr>
          <w:rFonts w:asciiTheme="minorBidi" w:hAnsiTheme="minorBidi" w:cstheme="minorBidi"/>
          <w:sz w:val="18"/>
          <w:szCs w:val="18"/>
        </w:rPr>
        <w:footnoteRef/>
      </w:r>
      <w:r>
        <w:rPr>
          <w:rFonts w:asciiTheme="minorBidi" w:hAnsiTheme="minorBidi"/>
          <w:sz w:val="18"/>
        </w:rPr>
        <w:t>.</w:t>
      </w:r>
      <w:r>
        <w:rPr>
          <w:rFonts w:asciiTheme="minorBidi" w:hAnsiTheme="minorBidi"/>
          <w:sz w:val="18"/>
        </w:rPr>
        <w:tab/>
        <w:t xml:space="preserve">Voir </w:t>
      </w:r>
      <w:r w:rsidR="00705A8C">
        <w:rPr>
          <w:rFonts w:asciiTheme="minorBidi" w:hAnsiTheme="minorBidi"/>
          <w:sz w:val="18"/>
        </w:rPr>
        <w:t>le</w:t>
      </w:r>
      <w:r w:rsidR="001743BE">
        <w:rPr>
          <w:rFonts w:asciiTheme="minorBidi" w:hAnsiTheme="minorBidi"/>
          <w:sz w:val="18"/>
        </w:rPr>
        <w:t xml:space="preserve"> </w:t>
      </w:r>
      <w:r>
        <w:rPr>
          <w:rFonts w:asciiTheme="minorBidi" w:hAnsiTheme="minorBidi"/>
          <w:sz w:val="18"/>
        </w:rPr>
        <w:t>document</w:t>
      </w:r>
      <w:hyperlink r:id="rId2" w:history="1">
        <w:r w:rsidRPr="00826F41">
          <w:rPr>
            <w:rStyle w:val="Hyperlink"/>
            <w:rFonts w:asciiTheme="minorBidi" w:hAnsiTheme="minorBidi"/>
            <w:sz w:val="18"/>
          </w:rPr>
          <w:t xml:space="preserve"> </w:t>
        </w:r>
        <w:r w:rsidRPr="00D80DFD">
          <w:rPr>
            <w:rStyle w:val="Hyperlink"/>
            <w:rFonts w:asciiTheme="minorBidi" w:hAnsiTheme="minorBidi"/>
            <w:sz w:val="18"/>
          </w:rPr>
          <w:t>LHE/22/9.GA/10</w:t>
        </w:r>
      </w:hyperlink>
      <w:r w:rsidRPr="00826F41">
        <w:rPr>
          <w:rFonts w:asciiTheme="minorBidi" w:hAnsiTheme="minorBidi"/>
          <w:sz w:val="18"/>
        </w:rPr>
        <w:t xml:space="preserve"> pour plus d</w:t>
      </w:r>
      <w:r w:rsidR="00C11084" w:rsidRPr="00826F41">
        <w:rPr>
          <w:rFonts w:asciiTheme="minorBidi" w:hAnsiTheme="minorBidi"/>
          <w:sz w:val="18"/>
        </w:rPr>
        <w:t>’</w:t>
      </w:r>
      <w:r w:rsidRPr="00826F41">
        <w:rPr>
          <w:rFonts w:asciiTheme="minorBidi" w:hAnsiTheme="minorBidi"/>
          <w:sz w:val="18"/>
        </w:rPr>
        <w:t>informations sur le taux de dépenses pendant la période de r</w:t>
      </w:r>
      <w:r w:rsidR="00C11084" w:rsidRPr="00826F41">
        <w:rPr>
          <w:rFonts w:asciiTheme="minorBidi" w:hAnsiTheme="minorBidi"/>
          <w:sz w:val="18"/>
        </w:rPr>
        <w:t>apport</w:t>
      </w:r>
      <w:r w:rsidRPr="00826F41">
        <w:rPr>
          <w:rFonts w:asciiTheme="minorBidi" w:hAnsiTheme="minorBidi"/>
          <w:sz w:val="18"/>
        </w:rPr>
        <w:t>.</w:t>
      </w:r>
    </w:p>
  </w:footnote>
  <w:footnote w:id="5">
    <w:p w14:paraId="79B74D43" w14:textId="732F6848" w:rsidR="006D5455" w:rsidRDefault="006D5455" w:rsidP="0066567B">
      <w:pPr>
        <w:pStyle w:val="FootnoteText"/>
        <w:ind w:left="284" w:hanging="284"/>
        <w:jc w:val="both"/>
      </w:pPr>
      <w:r w:rsidRPr="00826F41">
        <w:rPr>
          <w:rStyle w:val="FootnoteReference"/>
          <w:vertAlign w:val="baseline"/>
        </w:rPr>
        <w:footnoteRef/>
      </w:r>
      <w:r w:rsidRPr="00826F41">
        <w:t>.</w:t>
      </w:r>
      <w:r w:rsidRPr="00826F41">
        <w:rPr>
          <w:rFonts w:asciiTheme="minorBidi" w:hAnsiTheme="minorBidi"/>
          <w:sz w:val="18"/>
        </w:rPr>
        <w:tab/>
        <w:t xml:space="preserve">Voir </w:t>
      </w:r>
      <w:r w:rsidR="00F235C5" w:rsidRPr="00826F41">
        <w:rPr>
          <w:rFonts w:asciiTheme="minorBidi" w:hAnsiTheme="minorBidi"/>
          <w:sz w:val="18"/>
        </w:rPr>
        <w:t xml:space="preserve">le </w:t>
      </w:r>
      <w:r w:rsidRPr="00826F41">
        <w:rPr>
          <w:rFonts w:asciiTheme="minorBidi" w:hAnsiTheme="minorBidi"/>
          <w:sz w:val="18"/>
        </w:rPr>
        <w:t>paragraphe</w:t>
      </w:r>
      <w:r w:rsidR="0042677B" w:rsidRPr="00826F41">
        <w:rPr>
          <w:rFonts w:asciiTheme="minorBidi" w:hAnsiTheme="minorBidi"/>
          <w:sz w:val="18"/>
        </w:rPr>
        <w:t> </w:t>
      </w:r>
      <w:r w:rsidRPr="00826F41">
        <w:rPr>
          <w:rFonts w:asciiTheme="minorBidi" w:hAnsiTheme="minorBidi"/>
          <w:sz w:val="18"/>
        </w:rPr>
        <w:t xml:space="preserve">9 du document </w:t>
      </w:r>
      <w:hyperlink r:id="rId3" w:history="1">
        <w:r w:rsidRPr="00D80DFD">
          <w:rPr>
            <w:rStyle w:val="Hyperlink"/>
            <w:rFonts w:asciiTheme="minorBidi" w:hAnsiTheme="minorBidi"/>
            <w:sz w:val="18"/>
          </w:rPr>
          <w:t>LHE/22/9.GA/10</w:t>
        </w:r>
      </w:hyperlink>
      <w:r w:rsidRPr="00826F41">
        <w:rPr>
          <w:rFonts w:asciiTheme="minorBidi" w:hAnsiTheme="minorBidi"/>
          <w:sz w:val="18"/>
        </w:rPr>
        <w:t xml:space="preserve"> concernant</w:t>
      </w:r>
      <w:r>
        <w:rPr>
          <w:rFonts w:asciiTheme="minorBidi" w:hAnsiTheme="minorBidi"/>
          <w:sz w:val="18"/>
        </w:rPr>
        <w:t xml:space="preserve"> la diminution du nombre de demandes d</w:t>
      </w:r>
      <w:r w:rsidR="00C11084">
        <w:rPr>
          <w:rFonts w:asciiTheme="minorBidi" w:hAnsiTheme="minorBidi"/>
          <w:sz w:val="18"/>
        </w:rPr>
        <w:t>’</w:t>
      </w:r>
      <w:r>
        <w:rPr>
          <w:rFonts w:asciiTheme="minorBidi" w:hAnsiTheme="minorBidi"/>
          <w:sz w:val="18"/>
        </w:rPr>
        <w:t>assistance internationale reçues.</w:t>
      </w:r>
    </w:p>
  </w:footnote>
  <w:footnote w:id="6">
    <w:p w14:paraId="206C03E1" w14:textId="2DA16862" w:rsidR="00111696" w:rsidRPr="00B42523" w:rsidRDefault="00111696" w:rsidP="00CE77A0">
      <w:pPr>
        <w:pStyle w:val="FootnoteText"/>
        <w:tabs>
          <w:tab w:val="left" w:pos="284"/>
        </w:tabs>
        <w:ind w:left="284" w:hanging="284"/>
        <w:jc w:val="both"/>
        <w:rPr>
          <w:rFonts w:asciiTheme="minorBidi" w:hAnsiTheme="minorBidi" w:cstheme="minorBidi"/>
          <w:sz w:val="18"/>
          <w:szCs w:val="18"/>
        </w:rPr>
      </w:pPr>
      <w:r>
        <w:rPr>
          <w:rFonts w:asciiTheme="minorBidi" w:hAnsiTheme="minorBidi" w:cstheme="minorBidi"/>
          <w:sz w:val="18"/>
          <w:szCs w:val="18"/>
        </w:rPr>
        <w:footnoteRef/>
      </w:r>
      <w:r>
        <w:rPr>
          <w:rFonts w:asciiTheme="minorBidi" w:hAnsiTheme="minorBidi"/>
          <w:sz w:val="18"/>
        </w:rPr>
        <w:t>.</w:t>
      </w:r>
      <w:r>
        <w:rPr>
          <w:rFonts w:asciiTheme="minorBidi" w:hAnsiTheme="minorBidi"/>
          <w:sz w:val="18"/>
        </w:rPr>
        <w:tab/>
      </w:r>
      <w:r w:rsidRPr="00E06A59">
        <w:rPr>
          <w:rFonts w:asciiTheme="minorBidi" w:hAnsiTheme="minorBidi" w:cstheme="minorBidi"/>
          <w:sz w:val="18"/>
          <w:szCs w:val="18"/>
        </w:rPr>
        <w:t>Les dépenses correspondent aux projets d</w:t>
      </w:r>
      <w:r w:rsidR="00C11084">
        <w:rPr>
          <w:rFonts w:asciiTheme="minorBidi" w:hAnsiTheme="minorBidi" w:cstheme="minorBidi"/>
          <w:sz w:val="18"/>
          <w:szCs w:val="18"/>
        </w:rPr>
        <w:t>’</w:t>
      </w:r>
      <w:r w:rsidRPr="00E06A59">
        <w:rPr>
          <w:rFonts w:asciiTheme="minorBidi" w:hAnsiTheme="minorBidi" w:cstheme="minorBidi"/>
          <w:sz w:val="18"/>
          <w:szCs w:val="18"/>
        </w:rPr>
        <w:t>assistance internationale initiés dans les États suivants</w:t>
      </w:r>
      <w:r w:rsidR="0042677B" w:rsidRPr="00E06A59">
        <w:rPr>
          <w:rFonts w:asciiTheme="minorBidi" w:hAnsiTheme="minorBidi" w:cstheme="minorBidi"/>
          <w:sz w:val="18"/>
          <w:szCs w:val="18"/>
        </w:rPr>
        <w:t> </w:t>
      </w:r>
      <w:r w:rsidRPr="00E06A59">
        <w:rPr>
          <w:rFonts w:asciiTheme="minorBidi" w:hAnsiTheme="minorBidi" w:cstheme="minorBidi"/>
          <w:sz w:val="18"/>
          <w:szCs w:val="18"/>
        </w:rPr>
        <w:t>: Albanie (</w:t>
      </w:r>
      <w:r w:rsidR="00126C99" w:rsidRPr="00E06A59">
        <w:rPr>
          <w:rFonts w:asciiTheme="minorBidi" w:hAnsiTheme="minorBidi" w:cstheme="minorBidi"/>
          <w:sz w:val="18"/>
          <w:szCs w:val="18"/>
        </w:rPr>
        <w:t>Décisions</w:t>
      </w:r>
      <w:r w:rsidR="00126C99">
        <w:rPr>
          <w:rFonts w:asciiTheme="minorBidi" w:hAnsiTheme="minorBidi" w:cstheme="minorBidi"/>
          <w:sz w:val="18"/>
          <w:szCs w:val="18"/>
        </w:rPr>
        <w:t> </w:t>
      </w:r>
      <w:hyperlink r:id="rId4" w:history="1">
        <w:r w:rsidRPr="00E06A59">
          <w:rPr>
            <w:rStyle w:val="Hyperlink"/>
            <w:rFonts w:asciiTheme="minorBidi" w:hAnsiTheme="minorBidi" w:cstheme="minorBidi"/>
            <w:sz w:val="18"/>
            <w:szCs w:val="18"/>
          </w:rPr>
          <w:t>13.COM</w:t>
        </w:r>
        <w:r w:rsidR="00B42523" w:rsidRPr="00E06A59">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10.d</w:t>
        </w:r>
      </w:hyperlink>
      <w:r w:rsidRPr="00E06A59">
        <w:rPr>
          <w:rFonts w:asciiTheme="minorBidi" w:hAnsiTheme="minorBidi" w:cstheme="minorBidi"/>
          <w:sz w:val="18"/>
          <w:szCs w:val="18"/>
        </w:rPr>
        <w:t xml:space="preserve"> et </w:t>
      </w:r>
      <w:hyperlink r:id="rId5" w:history="1">
        <w:r w:rsidRPr="00E06A59">
          <w:rPr>
            <w:rStyle w:val="Hyperlink"/>
            <w:rFonts w:asciiTheme="minorBidi" w:hAnsiTheme="minorBidi" w:cstheme="minorBidi"/>
            <w:sz w:val="18"/>
            <w:szCs w:val="18"/>
          </w:rPr>
          <w:t>14.COM</w:t>
        </w:r>
        <w:r w:rsidR="00B42523" w:rsidRPr="00E06A59">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4</w:t>
        </w:r>
      </w:hyperlink>
      <w:r w:rsidRPr="00E06A59">
        <w:rPr>
          <w:rFonts w:asciiTheme="minorBidi" w:hAnsiTheme="minorBidi" w:cstheme="minorBidi"/>
          <w:sz w:val="18"/>
          <w:szCs w:val="18"/>
        </w:rPr>
        <w:t xml:space="preserve">), Biélorussie (Décision </w:t>
      </w:r>
      <w:hyperlink r:id="rId6"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10.a.5</w:t>
        </w:r>
      </w:hyperlink>
      <w:r w:rsidRPr="00E06A59">
        <w:rPr>
          <w:rFonts w:asciiTheme="minorBidi" w:hAnsiTheme="minorBidi" w:cstheme="minorBidi"/>
          <w:sz w:val="18"/>
          <w:szCs w:val="18"/>
        </w:rPr>
        <w:t xml:space="preserve">), Burkina Faso (Décision </w:t>
      </w:r>
      <w:hyperlink r:id="rId7"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10.d</w:t>
        </w:r>
      </w:hyperlink>
      <w:r w:rsidRPr="00E06A59">
        <w:rPr>
          <w:rFonts w:asciiTheme="minorBidi" w:hAnsiTheme="minorBidi" w:cstheme="minorBidi"/>
          <w:sz w:val="18"/>
          <w:szCs w:val="18"/>
        </w:rPr>
        <w:t xml:space="preserve">), Burundi (Décision </w:t>
      </w:r>
      <w:hyperlink r:id="rId8" w:history="1">
        <w:r w:rsidRPr="00E06A59">
          <w:rPr>
            <w:rStyle w:val="Hyperlink"/>
            <w:rFonts w:asciiTheme="minorBidi" w:hAnsiTheme="minorBidi" w:cstheme="minorBidi"/>
            <w:sz w:val="18"/>
            <w:szCs w:val="18"/>
          </w:rPr>
          <w:t>15.COM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3.2</w:t>
        </w:r>
      </w:hyperlink>
      <w:r w:rsidRPr="00E06A59">
        <w:rPr>
          <w:rFonts w:asciiTheme="minorBidi" w:hAnsiTheme="minorBidi" w:cstheme="minorBidi"/>
          <w:sz w:val="18"/>
          <w:szCs w:val="18"/>
        </w:rPr>
        <w:t xml:space="preserve">), îles Cook (Décision </w:t>
      </w:r>
      <w:hyperlink r:id="rId9" w:history="1">
        <w:r w:rsidRPr="00E06A59">
          <w:rPr>
            <w:rStyle w:val="Hyperlink"/>
            <w:rFonts w:asciiTheme="minorBidi" w:hAnsiTheme="minorBidi" w:cstheme="minorBidi"/>
            <w:sz w:val="18"/>
            <w:szCs w:val="18"/>
          </w:rPr>
          <w:t>16.COM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3.1</w:t>
        </w:r>
      </w:hyperlink>
      <w:r w:rsidRPr="00E06A59">
        <w:rPr>
          <w:rFonts w:asciiTheme="minorBidi" w:hAnsiTheme="minorBidi" w:cstheme="minorBidi"/>
          <w:sz w:val="18"/>
          <w:szCs w:val="18"/>
        </w:rPr>
        <w:t>), Égypte (</w:t>
      </w:r>
      <w:r w:rsidR="00126C99" w:rsidRPr="00E06A59">
        <w:rPr>
          <w:rFonts w:asciiTheme="minorBidi" w:hAnsiTheme="minorBidi" w:cstheme="minorBidi"/>
          <w:sz w:val="18"/>
          <w:szCs w:val="18"/>
        </w:rPr>
        <w:t>Décision</w:t>
      </w:r>
      <w:r w:rsidR="00126C99">
        <w:rPr>
          <w:rFonts w:asciiTheme="minorBidi" w:hAnsiTheme="minorBidi" w:cstheme="minorBidi"/>
          <w:sz w:val="18"/>
          <w:szCs w:val="18"/>
        </w:rPr>
        <w:t> </w:t>
      </w:r>
      <w:hyperlink r:id="rId10" w:history="1">
        <w:r w:rsidRPr="00E06A59">
          <w:rPr>
            <w:rStyle w:val="Hyperlink"/>
            <w:rFonts w:asciiTheme="minorBidi" w:hAnsiTheme="minorBidi" w:cstheme="minorBidi"/>
            <w:sz w:val="18"/>
            <w:szCs w:val="18"/>
          </w:rPr>
          <w:t>15.COM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3.3</w:t>
        </w:r>
      </w:hyperlink>
      <w:r w:rsidRPr="00E06A59">
        <w:rPr>
          <w:rFonts w:asciiTheme="minorBidi" w:hAnsiTheme="minorBidi" w:cstheme="minorBidi"/>
          <w:sz w:val="18"/>
          <w:szCs w:val="18"/>
        </w:rPr>
        <w:t xml:space="preserve">), Grenade (Décision </w:t>
      </w:r>
      <w:hyperlink r:id="rId11" w:history="1">
        <w:r w:rsidRPr="00E06A59">
          <w:rPr>
            <w:rStyle w:val="Hyperlink"/>
            <w:rFonts w:asciiTheme="minorBidi" w:hAnsiTheme="minorBidi" w:cstheme="minorBidi"/>
            <w:sz w:val="18"/>
            <w:szCs w:val="18"/>
          </w:rPr>
          <w:t>15.COM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3.1</w:t>
        </w:r>
      </w:hyperlink>
      <w:r w:rsidRPr="00E06A59">
        <w:rPr>
          <w:rFonts w:asciiTheme="minorBidi" w:hAnsiTheme="minorBidi" w:cstheme="minorBidi"/>
          <w:sz w:val="18"/>
          <w:szCs w:val="18"/>
        </w:rPr>
        <w:t xml:space="preserve">), Mauritanie (Décision </w:t>
      </w:r>
      <w:hyperlink r:id="rId12"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5.4</w:t>
        </w:r>
      </w:hyperlink>
      <w:r w:rsidRPr="00E06A59">
        <w:rPr>
          <w:rFonts w:asciiTheme="minorBidi" w:hAnsiTheme="minorBidi" w:cstheme="minorBidi"/>
          <w:sz w:val="18"/>
          <w:szCs w:val="18"/>
        </w:rPr>
        <w:t xml:space="preserve">), Mozambique (Décision </w:t>
      </w:r>
      <w:hyperlink r:id="rId13"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875590">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5.5</w:t>
        </w:r>
      </w:hyperlink>
      <w:r w:rsidRPr="00E06A59">
        <w:rPr>
          <w:rFonts w:asciiTheme="minorBidi" w:hAnsiTheme="minorBidi" w:cstheme="minorBidi"/>
          <w:sz w:val="18"/>
          <w:szCs w:val="18"/>
        </w:rPr>
        <w:t xml:space="preserve">), Namibie (Décision </w:t>
      </w:r>
      <w:hyperlink r:id="rId14"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4.BUR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4.2</w:t>
        </w:r>
      </w:hyperlink>
      <w:r w:rsidRPr="00E06A59">
        <w:rPr>
          <w:rFonts w:asciiTheme="minorBidi" w:hAnsiTheme="minorBidi" w:cstheme="minorBidi"/>
          <w:sz w:val="18"/>
          <w:szCs w:val="18"/>
        </w:rPr>
        <w:t xml:space="preserve">), Sénégal (Décision </w:t>
      </w:r>
      <w:hyperlink r:id="rId15" w:history="1">
        <w:r w:rsidRPr="00E06A59">
          <w:rPr>
            <w:rStyle w:val="Hyperlink"/>
            <w:rFonts w:asciiTheme="minorBidi" w:hAnsiTheme="minorBidi" w:cstheme="minorBidi"/>
            <w:sz w:val="18"/>
            <w:szCs w:val="18"/>
          </w:rPr>
          <w:t>13.COM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1.BUR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3.6</w:t>
        </w:r>
      </w:hyperlink>
      <w:r w:rsidRPr="00E06A59">
        <w:rPr>
          <w:rFonts w:asciiTheme="minorBidi" w:hAnsiTheme="minorBidi" w:cstheme="minorBidi"/>
          <w:sz w:val="18"/>
          <w:szCs w:val="18"/>
        </w:rPr>
        <w:t xml:space="preserve">), Ouganda (Décision </w:t>
      </w:r>
      <w:hyperlink r:id="rId16" w:history="1">
        <w:r w:rsidRPr="00E06A59">
          <w:rPr>
            <w:rStyle w:val="Hyperlink"/>
            <w:rFonts w:asciiTheme="minorBidi" w:hAnsiTheme="minorBidi" w:cstheme="minorBidi"/>
            <w:sz w:val="18"/>
            <w:szCs w:val="18"/>
          </w:rPr>
          <w:t>14.COM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4.BUR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4.3</w:t>
        </w:r>
      </w:hyperlink>
      <w:r w:rsidRPr="00E06A59">
        <w:rPr>
          <w:rFonts w:asciiTheme="minorBidi" w:hAnsiTheme="minorBidi" w:cstheme="minorBidi"/>
          <w:sz w:val="18"/>
          <w:szCs w:val="18"/>
        </w:rPr>
        <w:t xml:space="preserve">), Uruguay (Décision </w:t>
      </w:r>
      <w:hyperlink r:id="rId17" w:history="1">
        <w:r w:rsidRPr="00E06A59">
          <w:rPr>
            <w:rStyle w:val="Hyperlink"/>
            <w:rFonts w:asciiTheme="minorBidi" w:hAnsiTheme="minorBidi" w:cstheme="minorBidi"/>
            <w:sz w:val="18"/>
            <w:szCs w:val="18"/>
          </w:rPr>
          <w:t>15.COM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3.6</w:t>
        </w:r>
      </w:hyperlink>
      <w:r w:rsidRPr="00E06A59">
        <w:rPr>
          <w:rFonts w:asciiTheme="minorBidi" w:hAnsiTheme="minorBidi" w:cstheme="minorBidi"/>
          <w:sz w:val="18"/>
          <w:szCs w:val="18"/>
        </w:rPr>
        <w:t>), Zambie (</w:t>
      </w:r>
      <w:r w:rsidR="00826F41" w:rsidRPr="00E06A59">
        <w:rPr>
          <w:rFonts w:asciiTheme="minorBidi" w:hAnsiTheme="minorBidi" w:cstheme="minorBidi"/>
          <w:sz w:val="18"/>
          <w:szCs w:val="18"/>
        </w:rPr>
        <w:t>Décision</w:t>
      </w:r>
      <w:r w:rsidR="00826F41">
        <w:t> </w:t>
      </w:r>
      <w:hyperlink r:id="rId18" w:history="1">
        <w:r w:rsidRPr="00E06A59">
          <w:rPr>
            <w:rStyle w:val="Hyperlink"/>
            <w:rFonts w:asciiTheme="minorBidi" w:hAnsiTheme="minorBidi" w:cstheme="minorBidi"/>
            <w:sz w:val="18"/>
            <w:szCs w:val="18"/>
          </w:rPr>
          <w:t>16.COM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2.BUR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3.3</w:t>
        </w:r>
      </w:hyperlink>
      <w:r w:rsidRPr="00E06A59">
        <w:rPr>
          <w:rFonts w:asciiTheme="minorBidi" w:hAnsiTheme="minorBidi" w:cstheme="minorBidi"/>
          <w:sz w:val="18"/>
          <w:szCs w:val="18"/>
        </w:rPr>
        <w:t xml:space="preserve">) et au Zimbabwe (décision </w:t>
      </w:r>
      <w:hyperlink r:id="rId19" w:history="1">
        <w:r w:rsidRPr="00E06A59">
          <w:rPr>
            <w:rStyle w:val="Hyperlink"/>
            <w:rFonts w:asciiTheme="minorBidi" w:hAnsiTheme="minorBidi" w:cstheme="minorBidi"/>
            <w:sz w:val="18"/>
            <w:szCs w:val="18"/>
          </w:rPr>
          <w:t>15.COM</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3.BUR</w:t>
        </w:r>
        <w:r w:rsidR="00B42523">
          <w:rPr>
            <w:rStyle w:val="Hyperlink"/>
            <w:rFonts w:asciiTheme="minorBidi" w:hAnsiTheme="minorBidi" w:cstheme="minorBidi"/>
            <w:sz w:val="18"/>
            <w:szCs w:val="18"/>
          </w:rPr>
          <w:t> </w:t>
        </w:r>
        <w:r w:rsidRPr="00E06A59">
          <w:rPr>
            <w:rStyle w:val="Hyperlink"/>
            <w:rFonts w:asciiTheme="minorBidi" w:hAnsiTheme="minorBidi" w:cstheme="minorBidi"/>
            <w:sz w:val="18"/>
            <w:szCs w:val="18"/>
          </w:rPr>
          <w:t>3.3</w:t>
        </w:r>
      </w:hyperlink>
      <w:r w:rsidRPr="00E06A59">
        <w:rPr>
          <w:rFonts w:asciiTheme="minorBidi" w:hAnsiTheme="minorBidi" w:cstheme="minorBidi"/>
          <w:sz w:val="18"/>
          <w:szCs w:val="18"/>
        </w:rPr>
        <w:t>).</w:t>
      </w:r>
    </w:p>
  </w:footnote>
  <w:footnote w:id="7">
    <w:p w14:paraId="7631D21A" w14:textId="1F111160" w:rsidR="008F4B02" w:rsidRPr="001554C0" w:rsidRDefault="008F4B02" w:rsidP="001554C0">
      <w:pPr>
        <w:pStyle w:val="FootnoteText"/>
        <w:tabs>
          <w:tab w:val="left" w:pos="284"/>
        </w:tabs>
        <w:ind w:left="284" w:hanging="284"/>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w:t>
      </w:r>
      <w:r>
        <w:rPr>
          <w:rFonts w:asciiTheme="minorBidi" w:hAnsiTheme="minorBidi"/>
          <w:sz w:val="18"/>
        </w:rPr>
        <w:tab/>
        <w:t>Cela correspond aux demandes d</w:t>
      </w:r>
      <w:r w:rsidR="00C11084">
        <w:rPr>
          <w:rFonts w:asciiTheme="minorBidi" w:hAnsiTheme="minorBidi"/>
          <w:sz w:val="18"/>
        </w:rPr>
        <w:t>’</w:t>
      </w:r>
      <w:r>
        <w:rPr>
          <w:rFonts w:asciiTheme="minorBidi" w:hAnsiTheme="minorBidi"/>
          <w:sz w:val="18"/>
        </w:rPr>
        <w:t xml:space="preserve">assistance internationale soumises par Antigua-et-Barbuda (décision </w:t>
      </w:r>
      <w:hyperlink r:id="rId20" w:history="1">
        <w:r>
          <w:rPr>
            <w:rStyle w:val="Hyperlink"/>
            <w:rFonts w:asciiTheme="minorBidi" w:hAnsiTheme="minorBidi"/>
            <w:sz w:val="18"/>
            <w:szCs w:val="18"/>
          </w:rPr>
          <w:t>15.COM</w:t>
        </w:r>
        <w:r w:rsidR="00CE49E1">
          <w:rPr>
            <w:rStyle w:val="Hyperlink"/>
            <w:rFonts w:asciiTheme="minorBidi" w:hAnsiTheme="minorBidi"/>
            <w:sz w:val="18"/>
            <w:szCs w:val="18"/>
          </w:rPr>
          <w:t> </w:t>
        </w:r>
        <w:r>
          <w:rPr>
            <w:rStyle w:val="Hyperlink"/>
            <w:rFonts w:asciiTheme="minorBidi" w:hAnsiTheme="minorBidi"/>
            <w:sz w:val="18"/>
            <w:szCs w:val="18"/>
          </w:rPr>
          <w:t>2.BUR</w:t>
        </w:r>
        <w:r w:rsidR="00CE49E1">
          <w:rPr>
            <w:rStyle w:val="Hyperlink"/>
            <w:rFonts w:asciiTheme="minorBidi" w:hAnsiTheme="minorBidi"/>
            <w:sz w:val="18"/>
            <w:szCs w:val="18"/>
          </w:rPr>
          <w:t> </w:t>
        </w:r>
        <w:r>
          <w:rPr>
            <w:rStyle w:val="Hyperlink"/>
            <w:rFonts w:asciiTheme="minorBidi" w:hAnsiTheme="minorBidi"/>
            <w:sz w:val="18"/>
            <w:szCs w:val="18"/>
          </w:rPr>
          <w:t>3.1</w:t>
        </w:r>
      </w:hyperlink>
      <w:r>
        <w:rPr>
          <w:rFonts w:asciiTheme="minorBidi" w:hAnsiTheme="minorBidi"/>
          <w:sz w:val="18"/>
        </w:rPr>
        <w:t xml:space="preserve">) et la Namibie (décision </w:t>
      </w:r>
      <w:hyperlink r:id="rId21" w:history="1">
        <w:r>
          <w:rPr>
            <w:rStyle w:val="Hyperlink"/>
            <w:rFonts w:asciiTheme="minorBidi" w:hAnsiTheme="minorBidi"/>
            <w:sz w:val="18"/>
            <w:szCs w:val="18"/>
          </w:rPr>
          <w:t>15.COM</w:t>
        </w:r>
        <w:r w:rsidR="00CE49E1">
          <w:rPr>
            <w:rStyle w:val="Hyperlink"/>
            <w:rFonts w:asciiTheme="minorBidi" w:hAnsiTheme="minorBidi"/>
            <w:sz w:val="18"/>
            <w:szCs w:val="18"/>
          </w:rPr>
          <w:t> </w:t>
        </w:r>
        <w:r>
          <w:rPr>
            <w:rStyle w:val="Hyperlink"/>
            <w:rFonts w:asciiTheme="minorBidi" w:hAnsiTheme="minorBidi"/>
            <w:sz w:val="18"/>
            <w:szCs w:val="18"/>
          </w:rPr>
          <w:t>8.a.4</w:t>
        </w:r>
      </w:hyperlink>
      <w:r>
        <w:rPr>
          <w:rFonts w:asciiTheme="minorBidi" w:hAnsiTheme="minorBidi"/>
          <w:sz w:val="18"/>
        </w:rPr>
        <w:t>).</w:t>
      </w:r>
    </w:p>
  </w:footnote>
  <w:footnote w:id="8">
    <w:p w14:paraId="4C8B0470" w14:textId="73223CBC" w:rsidR="008F4B02" w:rsidRPr="001554C0" w:rsidRDefault="008F4B02" w:rsidP="001554C0">
      <w:pPr>
        <w:pStyle w:val="FootnoteText"/>
        <w:ind w:left="284" w:hanging="284"/>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 xml:space="preserve">. </w:t>
      </w:r>
      <w:r>
        <w:rPr>
          <w:rFonts w:asciiTheme="minorBidi" w:hAnsiTheme="minorBidi"/>
          <w:sz w:val="18"/>
        </w:rPr>
        <w:tab/>
        <w:t>Cela correspond aux demandes d</w:t>
      </w:r>
      <w:r w:rsidR="00C11084">
        <w:rPr>
          <w:rFonts w:asciiTheme="minorBidi" w:hAnsiTheme="minorBidi"/>
          <w:sz w:val="18"/>
        </w:rPr>
        <w:t>’</w:t>
      </w:r>
      <w:r>
        <w:rPr>
          <w:rFonts w:asciiTheme="minorBidi" w:hAnsiTheme="minorBidi"/>
          <w:sz w:val="18"/>
        </w:rPr>
        <w:t>assistance internationale soumises par l</w:t>
      </w:r>
      <w:r w:rsidR="00C11084">
        <w:rPr>
          <w:rFonts w:asciiTheme="minorBidi" w:hAnsiTheme="minorBidi"/>
          <w:sz w:val="18"/>
        </w:rPr>
        <w:t>’</w:t>
      </w:r>
      <w:r>
        <w:rPr>
          <w:rFonts w:asciiTheme="minorBidi" w:hAnsiTheme="minorBidi"/>
          <w:sz w:val="18"/>
        </w:rPr>
        <w:t xml:space="preserve">Arménie (décision </w:t>
      </w:r>
      <w:hyperlink r:id="rId22" w:history="1">
        <w:r>
          <w:rPr>
            <w:rStyle w:val="Hyperlink"/>
            <w:rFonts w:asciiTheme="minorBidi" w:hAnsiTheme="minorBidi"/>
            <w:sz w:val="18"/>
            <w:szCs w:val="18"/>
          </w:rPr>
          <w:t>16.COM</w:t>
        </w:r>
        <w:r w:rsidR="00CE49E1">
          <w:rPr>
            <w:rStyle w:val="Hyperlink"/>
            <w:rFonts w:asciiTheme="minorBidi" w:hAnsiTheme="minorBidi"/>
            <w:sz w:val="18"/>
            <w:szCs w:val="18"/>
          </w:rPr>
          <w:t> </w:t>
        </w:r>
        <w:r>
          <w:rPr>
            <w:rStyle w:val="Hyperlink"/>
            <w:rFonts w:asciiTheme="minorBidi" w:hAnsiTheme="minorBidi"/>
            <w:sz w:val="18"/>
            <w:szCs w:val="18"/>
          </w:rPr>
          <w:t>3.BUR</w:t>
        </w:r>
        <w:r w:rsidR="00CE49E1">
          <w:rPr>
            <w:rStyle w:val="Hyperlink"/>
            <w:rFonts w:asciiTheme="minorBidi" w:hAnsiTheme="minorBidi"/>
            <w:sz w:val="18"/>
            <w:szCs w:val="18"/>
          </w:rPr>
          <w:t> </w:t>
        </w:r>
        <w:r>
          <w:rPr>
            <w:rStyle w:val="Hyperlink"/>
            <w:rFonts w:asciiTheme="minorBidi" w:hAnsiTheme="minorBidi"/>
            <w:sz w:val="18"/>
            <w:szCs w:val="18"/>
          </w:rPr>
          <w:t>3.1</w:t>
        </w:r>
      </w:hyperlink>
      <w:r>
        <w:rPr>
          <w:rFonts w:asciiTheme="minorBidi" w:hAnsiTheme="minorBidi"/>
          <w:sz w:val="18"/>
        </w:rPr>
        <w:t xml:space="preserve">), la République populaire démocratique de Corée (décision </w:t>
      </w:r>
      <w:hyperlink r:id="rId23" w:history="1">
        <w:r>
          <w:rPr>
            <w:rStyle w:val="Hyperlink"/>
            <w:rFonts w:asciiTheme="minorBidi" w:hAnsiTheme="minorBidi"/>
            <w:sz w:val="18"/>
            <w:szCs w:val="18"/>
          </w:rPr>
          <w:t>14.COM</w:t>
        </w:r>
        <w:r w:rsidR="00CE49E1">
          <w:rPr>
            <w:rStyle w:val="Hyperlink"/>
            <w:rFonts w:asciiTheme="minorBidi" w:hAnsiTheme="minorBidi"/>
            <w:sz w:val="18"/>
            <w:szCs w:val="18"/>
          </w:rPr>
          <w:t> </w:t>
        </w:r>
        <w:r>
          <w:rPr>
            <w:rStyle w:val="Hyperlink"/>
            <w:rFonts w:asciiTheme="minorBidi" w:hAnsiTheme="minorBidi"/>
            <w:sz w:val="18"/>
            <w:szCs w:val="18"/>
          </w:rPr>
          <w:t>4.BUR</w:t>
        </w:r>
        <w:r w:rsidR="00CE49E1">
          <w:rPr>
            <w:rStyle w:val="Hyperlink"/>
            <w:rFonts w:asciiTheme="minorBidi" w:hAnsiTheme="minorBidi"/>
            <w:sz w:val="18"/>
            <w:szCs w:val="18"/>
          </w:rPr>
          <w:t> </w:t>
        </w:r>
        <w:r>
          <w:rPr>
            <w:rStyle w:val="Hyperlink"/>
            <w:rFonts w:asciiTheme="minorBidi" w:hAnsiTheme="minorBidi"/>
            <w:sz w:val="18"/>
            <w:szCs w:val="18"/>
          </w:rPr>
          <w:t>4.1</w:t>
        </w:r>
      </w:hyperlink>
      <w:r>
        <w:rPr>
          <w:rFonts w:asciiTheme="minorBidi" w:hAnsiTheme="minorBidi"/>
          <w:sz w:val="18"/>
        </w:rPr>
        <w:t xml:space="preserve">), la Mauritanie (décision </w:t>
      </w:r>
      <w:hyperlink r:id="rId24" w:history="1">
        <w:r>
          <w:rPr>
            <w:rStyle w:val="Hyperlink"/>
            <w:rFonts w:asciiTheme="minorBidi" w:hAnsiTheme="minorBidi"/>
            <w:sz w:val="18"/>
            <w:szCs w:val="18"/>
          </w:rPr>
          <w:t>16.COM</w:t>
        </w:r>
        <w:r w:rsidR="00CE49E1">
          <w:rPr>
            <w:rStyle w:val="Hyperlink"/>
            <w:rFonts w:asciiTheme="minorBidi" w:hAnsiTheme="minorBidi"/>
            <w:sz w:val="18"/>
            <w:szCs w:val="18"/>
          </w:rPr>
          <w:t> </w:t>
        </w:r>
        <w:r>
          <w:rPr>
            <w:rStyle w:val="Hyperlink"/>
            <w:rFonts w:asciiTheme="minorBidi" w:hAnsiTheme="minorBidi"/>
            <w:sz w:val="18"/>
            <w:szCs w:val="18"/>
          </w:rPr>
          <w:t>3.BUR</w:t>
        </w:r>
        <w:r w:rsidR="00CE49E1">
          <w:rPr>
            <w:rStyle w:val="Hyperlink"/>
            <w:rFonts w:asciiTheme="minorBidi" w:hAnsiTheme="minorBidi"/>
            <w:sz w:val="18"/>
            <w:szCs w:val="18"/>
          </w:rPr>
          <w:t> </w:t>
        </w:r>
        <w:r>
          <w:rPr>
            <w:rStyle w:val="Hyperlink"/>
            <w:rFonts w:asciiTheme="minorBidi" w:hAnsiTheme="minorBidi"/>
            <w:sz w:val="18"/>
            <w:szCs w:val="18"/>
          </w:rPr>
          <w:t>3.3</w:t>
        </w:r>
      </w:hyperlink>
      <w:r>
        <w:rPr>
          <w:rFonts w:asciiTheme="minorBidi" w:hAnsiTheme="minorBidi"/>
          <w:sz w:val="18"/>
        </w:rPr>
        <w:t xml:space="preserve">), le Pakistan (décision </w:t>
      </w:r>
      <w:hyperlink r:id="rId25" w:history="1">
        <w:r>
          <w:rPr>
            <w:rStyle w:val="Hyperlink"/>
            <w:rFonts w:asciiTheme="minorBidi" w:hAnsiTheme="minorBidi"/>
            <w:sz w:val="18"/>
            <w:szCs w:val="18"/>
          </w:rPr>
          <w:t>16.CO</w:t>
        </w:r>
        <w:r w:rsidR="00CE49E1">
          <w:rPr>
            <w:rStyle w:val="Hyperlink"/>
            <w:rFonts w:asciiTheme="minorBidi" w:hAnsiTheme="minorBidi"/>
            <w:sz w:val="18"/>
            <w:szCs w:val="18"/>
          </w:rPr>
          <w:t>M </w:t>
        </w:r>
        <w:r>
          <w:rPr>
            <w:rStyle w:val="Hyperlink"/>
            <w:rFonts w:asciiTheme="minorBidi" w:hAnsiTheme="minorBidi"/>
            <w:sz w:val="18"/>
            <w:szCs w:val="18"/>
          </w:rPr>
          <w:t>2.BUR</w:t>
        </w:r>
        <w:r w:rsidR="00CE49E1">
          <w:rPr>
            <w:rStyle w:val="Hyperlink"/>
            <w:rFonts w:asciiTheme="minorBidi" w:hAnsiTheme="minorBidi"/>
            <w:sz w:val="18"/>
            <w:szCs w:val="18"/>
          </w:rPr>
          <w:t> </w:t>
        </w:r>
        <w:r>
          <w:rPr>
            <w:rStyle w:val="Hyperlink"/>
            <w:rFonts w:asciiTheme="minorBidi" w:hAnsiTheme="minorBidi"/>
            <w:sz w:val="18"/>
            <w:szCs w:val="18"/>
          </w:rPr>
          <w:t>3.2</w:t>
        </w:r>
      </w:hyperlink>
      <w:r>
        <w:rPr>
          <w:rFonts w:asciiTheme="minorBidi" w:hAnsiTheme="minorBidi"/>
          <w:sz w:val="18"/>
        </w:rPr>
        <w:t xml:space="preserve">) et le Soudan du Sud (décision </w:t>
      </w:r>
      <w:hyperlink r:id="rId26" w:history="1">
        <w:r>
          <w:rPr>
            <w:rStyle w:val="Hyperlink"/>
            <w:rFonts w:asciiTheme="minorBidi" w:hAnsiTheme="minorBidi"/>
            <w:sz w:val="18"/>
            <w:szCs w:val="18"/>
          </w:rPr>
          <w:t>15.COM</w:t>
        </w:r>
        <w:r w:rsidR="00CE49E1">
          <w:rPr>
            <w:rStyle w:val="Hyperlink"/>
            <w:rFonts w:asciiTheme="minorBidi" w:hAnsiTheme="minorBidi"/>
            <w:sz w:val="18"/>
            <w:szCs w:val="18"/>
          </w:rPr>
          <w:t> </w:t>
        </w:r>
        <w:r>
          <w:rPr>
            <w:rStyle w:val="Hyperlink"/>
            <w:rFonts w:asciiTheme="minorBidi" w:hAnsiTheme="minorBidi"/>
            <w:sz w:val="18"/>
            <w:szCs w:val="18"/>
          </w:rPr>
          <w:t>2.BUR</w:t>
        </w:r>
        <w:r w:rsidR="00CE49E1">
          <w:rPr>
            <w:rStyle w:val="Hyperlink"/>
            <w:rFonts w:asciiTheme="minorBidi" w:hAnsiTheme="minorBidi"/>
            <w:sz w:val="18"/>
            <w:szCs w:val="18"/>
          </w:rPr>
          <w:t> </w:t>
        </w:r>
        <w:r>
          <w:rPr>
            <w:rStyle w:val="Hyperlink"/>
            <w:rFonts w:asciiTheme="minorBidi" w:hAnsiTheme="minorBidi"/>
            <w:sz w:val="18"/>
            <w:szCs w:val="18"/>
          </w:rPr>
          <w:t>3.5</w:t>
        </w:r>
      </w:hyperlink>
      <w:r>
        <w:rPr>
          <w:rFonts w:asciiTheme="minorBidi" w:hAnsiTheme="minorBidi"/>
          <w:sz w:val="18"/>
        </w:rPr>
        <w:t>).</w:t>
      </w:r>
    </w:p>
  </w:footnote>
  <w:footnote w:id="9">
    <w:p w14:paraId="277CACD4" w14:textId="1761E097" w:rsidR="00B64E46" w:rsidRPr="007101A3" w:rsidRDefault="00B64E46" w:rsidP="001B547B">
      <w:pPr>
        <w:pStyle w:val="FootnoteText"/>
        <w:ind w:left="284" w:hanging="284"/>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w:t>
      </w:r>
      <w:r w:rsidR="008849B4">
        <w:rPr>
          <w:rFonts w:asciiTheme="minorBidi" w:hAnsiTheme="minorBidi"/>
          <w:sz w:val="18"/>
        </w:rPr>
        <w:tab/>
      </w:r>
      <w:r>
        <w:rPr>
          <w:rFonts w:asciiTheme="minorBidi" w:hAnsiTheme="minorBidi"/>
          <w:sz w:val="18"/>
        </w:rPr>
        <w:t>Cela correspond aux demandes d</w:t>
      </w:r>
      <w:r w:rsidR="00C11084">
        <w:rPr>
          <w:rFonts w:asciiTheme="minorBidi" w:hAnsiTheme="minorBidi"/>
          <w:sz w:val="18"/>
        </w:rPr>
        <w:t>’</w:t>
      </w:r>
      <w:r>
        <w:rPr>
          <w:rFonts w:asciiTheme="minorBidi" w:hAnsiTheme="minorBidi"/>
          <w:sz w:val="18"/>
        </w:rPr>
        <w:t>assistance internationale soumises par Djibouti (décision</w:t>
      </w:r>
      <w:hyperlink r:id="rId27" w:history="1">
        <w:r>
          <w:rPr>
            <w:rStyle w:val="Hyperlink"/>
            <w:rFonts w:asciiTheme="minorBidi" w:hAnsiTheme="minorBidi"/>
            <w:sz w:val="18"/>
            <w:szCs w:val="18"/>
          </w:rPr>
          <w:t xml:space="preserve"> 16.COM</w:t>
        </w:r>
        <w:r w:rsidR="00CE49E1">
          <w:rPr>
            <w:rStyle w:val="Hyperlink"/>
            <w:rFonts w:asciiTheme="minorBidi" w:hAnsiTheme="minorBidi"/>
            <w:sz w:val="18"/>
            <w:szCs w:val="18"/>
          </w:rPr>
          <w:t> </w:t>
        </w:r>
        <w:r>
          <w:rPr>
            <w:rStyle w:val="Hyperlink"/>
            <w:rFonts w:asciiTheme="minorBidi" w:hAnsiTheme="minorBidi"/>
            <w:sz w:val="18"/>
            <w:szCs w:val="18"/>
          </w:rPr>
          <w:t>8.a.5</w:t>
        </w:r>
      </w:hyperlink>
      <w:r>
        <w:rPr>
          <w:rFonts w:asciiTheme="minorBidi" w:hAnsiTheme="minorBidi"/>
          <w:sz w:val="18"/>
        </w:rPr>
        <w:t xml:space="preserve">), la Mongolie (décision </w:t>
      </w:r>
      <w:hyperlink r:id="rId28" w:history="1">
        <w:r>
          <w:rPr>
            <w:rStyle w:val="Hyperlink"/>
            <w:rFonts w:asciiTheme="minorBidi" w:hAnsiTheme="minorBidi"/>
            <w:sz w:val="18"/>
            <w:szCs w:val="18"/>
          </w:rPr>
          <w:t>16.COM</w:t>
        </w:r>
        <w:r w:rsidR="00CE49E1">
          <w:rPr>
            <w:rStyle w:val="Hyperlink"/>
            <w:rFonts w:asciiTheme="minorBidi" w:hAnsiTheme="minorBidi"/>
            <w:sz w:val="18"/>
            <w:szCs w:val="18"/>
          </w:rPr>
          <w:t> </w:t>
        </w:r>
        <w:r>
          <w:rPr>
            <w:rStyle w:val="Hyperlink"/>
            <w:rFonts w:asciiTheme="minorBidi" w:hAnsiTheme="minorBidi"/>
            <w:sz w:val="18"/>
            <w:szCs w:val="18"/>
          </w:rPr>
          <w:t>8.d</w:t>
        </w:r>
      </w:hyperlink>
      <w:r>
        <w:rPr>
          <w:rFonts w:asciiTheme="minorBidi" w:hAnsiTheme="minorBidi"/>
          <w:sz w:val="18"/>
        </w:rPr>
        <w:t xml:space="preserve">) et le Timor-Leste (décision </w:t>
      </w:r>
      <w:hyperlink r:id="rId29" w:history="1">
        <w:r>
          <w:rPr>
            <w:rStyle w:val="Hyperlink"/>
            <w:rFonts w:asciiTheme="minorBidi" w:hAnsiTheme="minorBidi"/>
            <w:sz w:val="18"/>
            <w:szCs w:val="18"/>
          </w:rPr>
          <w:t>16.COM</w:t>
        </w:r>
        <w:r w:rsidR="00CE49E1">
          <w:rPr>
            <w:rStyle w:val="Hyperlink"/>
            <w:rFonts w:asciiTheme="minorBidi" w:hAnsiTheme="minorBidi"/>
            <w:sz w:val="18"/>
            <w:szCs w:val="18"/>
          </w:rPr>
          <w:t> </w:t>
        </w:r>
        <w:r>
          <w:rPr>
            <w:rStyle w:val="Hyperlink"/>
            <w:rFonts w:asciiTheme="minorBidi" w:hAnsiTheme="minorBidi"/>
            <w:sz w:val="18"/>
            <w:szCs w:val="18"/>
          </w:rPr>
          <w:t>8.a.6</w:t>
        </w:r>
      </w:hyperlink>
      <w:r>
        <w:rPr>
          <w:rFonts w:asciiTheme="minorBidi" w:hAnsiTheme="minorBidi"/>
          <w:sz w:val="18"/>
        </w:rPr>
        <w:t>).</w:t>
      </w:r>
    </w:p>
  </w:footnote>
  <w:footnote w:id="10">
    <w:p w14:paraId="51B12095" w14:textId="2F9B5BAB" w:rsidR="005626BE" w:rsidRDefault="005626BE" w:rsidP="008849B4">
      <w:pPr>
        <w:pStyle w:val="FootnoteText"/>
        <w:ind w:left="284" w:hanging="284"/>
        <w:jc w:val="both"/>
      </w:pPr>
      <w:r>
        <w:rPr>
          <w:rFonts w:asciiTheme="minorBidi" w:hAnsiTheme="minorBidi" w:cstheme="minorBidi"/>
          <w:sz w:val="18"/>
          <w:szCs w:val="18"/>
        </w:rPr>
        <w:footnoteRef/>
      </w:r>
      <w:r>
        <w:rPr>
          <w:rFonts w:asciiTheme="minorBidi" w:hAnsiTheme="minorBidi"/>
          <w:sz w:val="18"/>
        </w:rPr>
        <w:t>.</w:t>
      </w:r>
      <w:r w:rsidR="008849B4">
        <w:rPr>
          <w:rFonts w:asciiTheme="minorBidi" w:hAnsiTheme="minorBidi"/>
          <w:sz w:val="18"/>
        </w:rPr>
        <w:tab/>
      </w:r>
      <w:r>
        <w:rPr>
          <w:rFonts w:asciiTheme="minorBidi" w:hAnsiTheme="minorBidi"/>
          <w:sz w:val="18"/>
        </w:rPr>
        <w:t xml:space="preserve">Arménie, Cameroun, Tchad et </w:t>
      </w:r>
      <w:r w:rsidR="008849B4">
        <w:rPr>
          <w:rFonts w:asciiTheme="minorBidi" w:hAnsiTheme="minorBidi"/>
          <w:sz w:val="18"/>
        </w:rPr>
        <w:t>Î</w:t>
      </w:r>
      <w:r>
        <w:rPr>
          <w:rFonts w:asciiTheme="minorBidi" w:hAnsiTheme="minorBidi"/>
          <w:sz w:val="18"/>
        </w:rPr>
        <w:t>les Cook.</w:t>
      </w:r>
      <w:r>
        <w:rPr>
          <w:rFonts w:asciiTheme="minorBidi" w:hAnsiTheme="minorBidi"/>
          <w:sz w:val="18"/>
        </w:rPr>
        <w:tab/>
      </w:r>
    </w:p>
  </w:footnote>
  <w:footnote w:id="11">
    <w:p w14:paraId="07719F4E" w14:textId="1995D33F" w:rsidR="006A6C41" w:rsidRPr="001554C0" w:rsidRDefault="006A6C41" w:rsidP="001743BE">
      <w:pPr>
        <w:pStyle w:val="FootnoteText"/>
        <w:ind w:left="284" w:hanging="284"/>
        <w:jc w:val="both"/>
        <w:rPr>
          <w:rFonts w:asciiTheme="minorBidi" w:hAnsiTheme="minorBidi" w:cstheme="minorBidi"/>
          <w:sz w:val="18"/>
          <w:szCs w:val="18"/>
        </w:rPr>
      </w:pPr>
      <w:r>
        <w:rPr>
          <w:rStyle w:val="FootnoteReference"/>
          <w:rFonts w:asciiTheme="minorBidi" w:hAnsiTheme="minorBidi" w:cstheme="minorBidi"/>
          <w:sz w:val="18"/>
          <w:szCs w:val="18"/>
          <w:vertAlign w:val="baseline"/>
        </w:rPr>
        <w:footnoteRef/>
      </w:r>
      <w:r>
        <w:rPr>
          <w:rFonts w:asciiTheme="minorBidi" w:hAnsiTheme="minorBidi"/>
          <w:sz w:val="18"/>
        </w:rPr>
        <w:t>.</w:t>
      </w:r>
      <w:r>
        <w:rPr>
          <w:rFonts w:asciiTheme="minorBidi" w:hAnsiTheme="minorBidi"/>
          <w:sz w:val="18"/>
        </w:rPr>
        <w:tab/>
        <w:t>Tous les chiffres figurant dans les tableaux sont extraits des rapports financiers (au 31</w:t>
      </w:r>
      <w:r w:rsidR="0042677B">
        <w:rPr>
          <w:rFonts w:asciiTheme="minorBidi" w:hAnsiTheme="minorBidi"/>
          <w:sz w:val="18"/>
        </w:rPr>
        <w:t> </w:t>
      </w:r>
      <w:r>
        <w:rPr>
          <w:rFonts w:asciiTheme="minorBidi" w:hAnsiTheme="minorBidi"/>
          <w:sz w:val="18"/>
        </w:rPr>
        <w:t>décembre 2021 pour l</w:t>
      </w:r>
      <w:r w:rsidR="00C11084">
        <w:rPr>
          <w:rFonts w:asciiTheme="minorBidi" w:hAnsiTheme="minorBidi"/>
          <w:sz w:val="18"/>
        </w:rPr>
        <w:t>’</w:t>
      </w:r>
      <w:r>
        <w:rPr>
          <w:rFonts w:asciiTheme="minorBidi" w:hAnsiTheme="minorBidi"/>
          <w:sz w:val="18"/>
        </w:rPr>
        <w:t xml:space="preserve">exercice 2020/2021) publiés par le Bureau de la planification stratégique </w:t>
      </w:r>
      <w:r w:rsidR="002A0B78">
        <w:rPr>
          <w:rFonts w:asciiTheme="minorBidi" w:hAnsiTheme="minorBidi"/>
        </w:rPr>
        <w:t>–</w:t>
      </w:r>
      <w:r>
        <w:rPr>
          <w:rFonts w:asciiTheme="minorBidi" w:hAnsiTheme="minorBidi"/>
          <w:sz w:val="18"/>
        </w:rPr>
        <w:t xml:space="preserve"> Section de gestion des </w:t>
      </w:r>
      <w:r w:rsidR="00614BF3">
        <w:rPr>
          <w:rFonts w:asciiTheme="minorBidi" w:hAnsiTheme="minorBidi"/>
          <w:sz w:val="18"/>
        </w:rPr>
        <w:t xml:space="preserve">financements </w:t>
      </w:r>
      <w:r>
        <w:rPr>
          <w:rFonts w:asciiTheme="minorBidi" w:hAnsiTheme="minorBidi"/>
          <w:sz w:val="18"/>
        </w:rPr>
        <w:t>de l</w:t>
      </w:r>
      <w:r w:rsidR="00C11084">
        <w:rPr>
          <w:rFonts w:asciiTheme="minorBidi" w:hAnsiTheme="minorBidi"/>
          <w:sz w:val="18"/>
        </w:rPr>
        <w:t>’</w:t>
      </w:r>
      <w:r>
        <w:rPr>
          <w:rFonts w:asciiTheme="minorBidi" w:hAnsiTheme="minorBidi"/>
          <w:sz w:val="18"/>
        </w:rPr>
        <w:t xml:space="preserve">UNESCO. Tous les chiffres des tableaux sont exprimés en dollars </w:t>
      </w:r>
      <w:r w:rsidR="001743BE" w:rsidRPr="001743BE">
        <w:rPr>
          <w:rFonts w:asciiTheme="minorBidi" w:hAnsiTheme="minorBidi"/>
          <w:sz w:val="18"/>
        </w:rPr>
        <w:t>des États-Unis</w:t>
      </w:r>
      <w:r w:rsidR="001743BE">
        <w:rPr>
          <w:rFonts w:asciiTheme="minorBidi" w:hAnsiTheme="minorBid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BB1" w14:textId="7B60673D" w:rsidR="00B6167A" w:rsidRPr="008A4197" w:rsidRDefault="00816FFB" w:rsidP="008A4197">
    <w:pPr>
      <w:pStyle w:val="Header"/>
      <w:rPr>
        <w:rFonts w:ascii="Arial" w:hAnsi="Arial" w:cs="Arial"/>
      </w:rPr>
    </w:pPr>
    <w:bookmarkStart w:id="7" w:name="_Hlk101342544"/>
    <w:r>
      <w:rPr>
        <w:rFonts w:ascii="Arial" w:hAnsi="Arial"/>
        <w:sz w:val="20"/>
      </w:rPr>
      <w:t>LHE/22/9.GA/INF.</w:t>
    </w:r>
    <w:bookmarkEnd w:id="7"/>
    <w:r>
      <w:rPr>
        <w:rFonts w:ascii="Arial" w:hAnsi="Arial"/>
        <w:sz w:val="20"/>
      </w:rPr>
      <w:t xml:space="preserve">10 – page </w:t>
    </w:r>
    <w:r w:rsidR="00B6167A" w:rsidRPr="00D81948">
      <w:rPr>
        <w:rStyle w:val="PageNumber"/>
        <w:rFonts w:ascii="Arial" w:hAnsi="Arial" w:cs="Arial"/>
        <w:sz w:val="20"/>
      </w:rPr>
      <w:fldChar w:fldCharType="begin"/>
    </w:r>
    <w:r w:rsidR="00B6167A" w:rsidRPr="00D81948">
      <w:rPr>
        <w:rStyle w:val="PageNumber"/>
        <w:rFonts w:ascii="Arial" w:hAnsi="Arial" w:cs="Arial"/>
        <w:sz w:val="20"/>
      </w:rPr>
      <w:instrText xml:space="preserve"> PAGE </w:instrText>
    </w:r>
    <w:r w:rsidR="00B6167A" w:rsidRPr="00D81948">
      <w:rPr>
        <w:rStyle w:val="PageNumber"/>
        <w:rFonts w:ascii="Arial" w:hAnsi="Arial" w:cs="Arial"/>
        <w:sz w:val="20"/>
      </w:rPr>
      <w:fldChar w:fldCharType="separate"/>
    </w:r>
    <w:r w:rsidR="00F009B7">
      <w:rPr>
        <w:rStyle w:val="PageNumber"/>
        <w:rFonts w:ascii="Arial" w:hAnsi="Arial" w:cs="Arial"/>
        <w:sz w:val="20"/>
      </w:rPr>
      <w:t>18</w:t>
    </w:r>
    <w:r w:rsidR="00B6167A" w:rsidRPr="00D81948">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CAE6" w14:textId="19AC1497" w:rsidR="001E4EEB" w:rsidRPr="001554C0" w:rsidRDefault="00B51632" w:rsidP="001E4EEB">
    <w:pPr>
      <w:pStyle w:val="Header"/>
      <w:ind w:left="2544" w:firstLine="3828"/>
      <w:jc w:val="right"/>
      <w:rPr>
        <w:rFonts w:ascii="Arial" w:hAnsi="Arial" w:cs="Arial"/>
      </w:rPr>
    </w:pPr>
    <w:r>
      <w:rPr>
        <w:rFonts w:ascii="Arial" w:hAnsi="Arial"/>
        <w:sz w:val="20"/>
      </w:rPr>
      <w:t>LHE/22/9.GA/INF.10 – page</w:t>
    </w:r>
    <w:r w:rsidR="0042677B">
      <w:rPr>
        <w:rFonts w:ascii="Arial" w:hAnsi="Arial"/>
        <w:sz w:val="20"/>
      </w:rPr>
      <w:t> </w:t>
    </w:r>
    <w:r w:rsidR="001E4EEB" w:rsidRPr="0032146E">
      <w:rPr>
        <w:rStyle w:val="PageNumber"/>
        <w:rFonts w:ascii="Arial" w:hAnsi="Arial" w:cs="Arial"/>
        <w:sz w:val="20"/>
      </w:rPr>
      <w:fldChar w:fldCharType="begin"/>
    </w:r>
    <w:r w:rsidR="001E4EEB" w:rsidRPr="001554C0">
      <w:rPr>
        <w:rStyle w:val="PageNumber"/>
        <w:rFonts w:ascii="Arial" w:hAnsi="Arial" w:cs="Arial"/>
        <w:sz w:val="20"/>
      </w:rPr>
      <w:instrText xml:space="preserve"> PAGE </w:instrText>
    </w:r>
    <w:r w:rsidR="001E4EEB" w:rsidRPr="0032146E">
      <w:rPr>
        <w:rStyle w:val="PageNumber"/>
        <w:rFonts w:ascii="Arial" w:hAnsi="Arial" w:cs="Arial"/>
        <w:sz w:val="20"/>
      </w:rPr>
      <w:fldChar w:fldCharType="separate"/>
    </w:r>
    <w:r w:rsidR="00F009B7">
      <w:rPr>
        <w:rStyle w:val="PageNumber"/>
        <w:rFonts w:ascii="Arial" w:hAnsi="Arial" w:cs="Arial"/>
        <w:sz w:val="20"/>
      </w:rPr>
      <w:t>17</w:t>
    </w:r>
    <w:r w:rsidR="001E4EEB" w:rsidRPr="0032146E">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8E4" w14:textId="13ED054B" w:rsidR="00B6167A" w:rsidRPr="008724E5" w:rsidRDefault="00431309">
    <w:pPr>
      <w:pStyle w:val="Header"/>
    </w:pPr>
    <w:r>
      <w:rPr>
        <w:noProof/>
      </w:rPr>
      <w:drawing>
        <wp:anchor distT="0" distB="0" distL="114300" distR="114300" simplePos="0" relativeHeight="251663360" behindDoc="1" locked="0" layoutInCell="1" allowOverlap="1" wp14:anchorId="1E1C8ADA" wp14:editId="73F2A5D7">
          <wp:simplePos x="0" y="0"/>
          <wp:positionH relativeFrom="column">
            <wp:posOffset>3810</wp:posOffset>
          </wp:positionH>
          <wp:positionV relativeFrom="paragraph">
            <wp:posOffset>-4445</wp:posOffset>
          </wp:positionV>
          <wp:extent cx="1657350" cy="1391920"/>
          <wp:effectExtent l="0" t="0" r="0" b="0"/>
          <wp:wrapTight wrapText="bothSides">
            <wp:wrapPolygon edited="0">
              <wp:start x="0" y="0"/>
              <wp:lineTo x="0" y="9460"/>
              <wp:lineTo x="10676" y="9460"/>
              <wp:lineTo x="0" y="10938"/>
              <wp:lineTo x="0" y="21285"/>
              <wp:lineTo x="8690" y="21285"/>
              <wp:lineTo x="15145" y="18920"/>
              <wp:lineTo x="21352" y="15077"/>
              <wp:lineTo x="21352" y="10938"/>
              <wp:lineTo x="10676" y="9460"/>
              <wp:lineTo x="21352" y="9460"/>
              <wp:lineTo x="21352" y="0"/>
              <wp:lineTo x="0" y="0"/>
            </wp:wrapPolygon>
          </wp:wrapTight>
          <wp:docPr id="2" name="Imag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 2"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p>
  <w:p w14:paraId="45673811" w14:textId="3ED121BE" w:rsidR="00B6167A" w:rsidRPr="00585F41" w:rsidRDefault="005F580A" w:rsidP="002938F2">
    <w:pPr>
      <w:pStyle w:val="Header"/>
      <w:spacing w:after="520"/>
      <w:jc w:val="right"/>
      <w:rPr>
        <w:rFonts w:ascii="Arial" w:hAnsi="Arial" w:cs="Arial"/>
        <w:b/>
        <w:sz w:val="44"/>
        <w:szCs w:val="44"/>
      </w:rPr>
    </w:pPr>
    <w:r>
      <w:rPr>
        <w:rFonts w:ascii="Arial" w:hAnsi="Arial"/>
        <w:b/>
        <w:sz w:val="44"/>
      </w:rPr>
      <w:t>9 GA</w:t>
    </w:r>
  </w:p>
  <w:p w14:paraId="23DEC896" w14:textId="1EA9FB00" w:rsidR="00B6167A" w:rsidRPr="00585F41" w:rsidRDefault="00816FFB" w:rsidP="002D396D">
    <w:pPr>
      <w:spacing w:after="0"/>
      <w:jc w:val="right"/>
      <w:rPr>
        <w:rFonts w:ascii="Arial" w:hAnsi="Arial" w:cs="Arial"/>
        <w:b/>
        <w:szCs w:val="22"/>
      </w:rPr>
    </w:pPr>
    <w:r>
      <w:rPr>
        <w:rFonts w:ascii="Arial" w:hAnsi="Arial"/>
        <w:b/>
      </w:rPr>
      <w:t>LHE/22/9.GA/INF.10</w:t>
    </w:r>
  </w:p>
  <w:p w14:paraId="34C1D5E5" w14:textId="3BABFADE" w:rsidR="00B6167A" w:rsidRPr="00585F41" w:rsidRDefault="00B6167A" w:rsidP="002D396D">
    <w:pPr>
      <w:spacing w:after="0"/>
      <w:jc w:val="right"/>
      <w:rPr>
        <w:rFonts w:ascii="Arial" w:hAnsi="Arial" w:cs="Arial"/>
        <w:b/>
        <w:szCs w:val="22"/>
      </w:rPr>
    </w:pPr>
    <w:r>
      <w:rPr>
        <w:rFonts w:ascii="Arial" w:hAnsi="Arial"/>
        <w:b/>
      </w:rPr>
      <w:t xml:space="preserve">Paris, le </w:t>
    </w:r>
    <w:r w:rsidR="001A5712">
      <w:rPr>
        <w:rFonts w:ascii="Arial" w:hAnsi="Arial"/>
        <w:b/>
      </w:rPr>
      <w:t>10</w:t>
    </w:r>
    <w:r w:rsidR="00F705B6">
      <w:rPr>
        <w:rFonts w:ascii="Arial" w:hAnsi="Arial"/>
        <w:b/>
      </w:rPr>
      <w:t xml:space="preserve"> </w:t>
    </w:r>
    <w:r w:rsidRPr="00F705B6">
      <w:rPr>
        <w:rFonts w:ascii="Arial" w:hAnsi="Arial"/>
        <w:b/>
      </w:rPr>
      <w:t>j</w:t>
    </w:r>
    <w:r>
      <w:rPr>
        <w:rFonts w:ascii="Arial" w:hAnsi="Arial"/>
        <w:b/>
      </w:rPr>
      <w:t>uin 2022</w:t>
    </w:r>
  </w:p>
  <w:p w14:paraId="0B377CE6" w14:textId="6D1EB6E0" w:rsidR="00B6167A" w:rsidRPr="00D81948" w:rsidRDefault="00B6167A" w:rsidP="002D396D">
    <w:pPr>
      <w:spacing w:after="0"/>
      <w:jc w:val="right"/>
      <w:rPr>
        <w:rFonts w:ascii="Arial" w:hAnsi="Arial" w:cs="Arial"/>
        <w:b/>
        <w:szCs w:val="22"/>
      </w:rPr>
    </w:pPr>
    <w:r>
      <w:rPr>
        <w:rFonts w:ascii="Arial" w:hAnsi="Arial"/>
        <w:b/>
      </w:rPr>
      <w:t xml:space="preserve">Original : </w:t>
    </w:r>
    <w:r w:rsidR="00C11084">
      <w:rPr>
        <w:rFonts w:ascii="Arial" w:hAnsi="Arial"/>
        <w:b/>
      </w:rPr>
      <w:t>a</w:t>
    </w:r>
    <w:r>
      <w:rPr>
        <w:rFonts w:ascii="Arial" w:hAnsi="Arial"/>
        <w:b/>
      </w:rPr>
      <w:t>nglais</w:t>
    </w:r>
  </w:p>
  <w:p w14:paraId="6ABF3AB3" w14:textId="49BDD772" w:rsidR="00B6167A" w:rsidRPr="00D81948" w:rsidRDefault="00B61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5012" w14:textId="35D736D7" w:rsidR="00D87F06" w:rsidRPr="008A4197" w:rsidRDefault="00D87F06" w:rsidP="00D87F06">
    <w:pPr>
      <w:pStyle w:val="Header"/>
      <w:rPr>
        <w:rFonts w:ascii="Arial" w:hAnsi="Arial" w:cs="Arial"/>
      </w:rPr>
    </w:pPr>
    <w:r>
      <w:rPr>
        <w:rFonts w:ascii="Arial" w:hAnsi="Arial"/>
        <w:sz w:val="20"/>
      </w:rPr>
      <w:t>LHE/22/9.GA/INF.</w:t>
    </w:r>
    <w:r w:rsidR="002A0B78">
      <w:rPr>
        <w:rFonts w:ascii="Arial" w:hAnsi="Arial"/>
        <w:sz w:val="20"/>
      </w:rPr>
      <w:t>1</w:t>
    </w:r>
    <w:r w:rsidR="008849B4">
      <w:rPr>
        <w:rFonts w:ascii="Arial" w:hAnsi="Arial"/>
        <w:sz w:val="20"/>
      </w:rPr>
      <w:t>0</w:t>
    </w:r>
    <w:r>
      <w:rPr>
        <w:rFonts w:ascii="Arial" w:hAnsi="Arial"/>
        <w:sz w:val="20"/>
      </w:rPr>
      <w:t xml:space="preserve"> – page </w:t>
    </w:r>
    <w:r w:rsidRPr="00D81948">
      <w:rPr>
        <w:rStyle w:val="PageNumber"/>
        <w:rFonts w:ascii="Arial" w:hAnsi="Arial" w:cs="Arial"/>
        <w:sz w:val="20"/>
      </w:rPr>
      <w:fldChar w:fldCharType="begin"/>
    </w:r>
    <w:r w:rsidRPr="00D81948">
      <w:rPr>
        <w:rStyle w:val="PageNumber"/>
        <w:rFonts w:ascii="Arial" w:hAnsi="Arial" w:cs="Arial"/>
        <w:sz w:val="20"/>
      </w:rPr>
      <w:instrText xml:space="preserve"> PAGE </w:instrText>
    </w:r>
    <w:r w:rsidRPr="00D81948">
      <w:rPr>
        <w:rStyle w:val="PageNumber"/>
        <w:rFonts w:ascii="Arial" w:hAnsi="Arial" w:cs="Arial"/>
        <w:sz w:val="20"/>
      </w:rPr>
      <w:fldChar w:fldCharType="separate"/>
    </w:r>
    <w:r w:rsidR="00F009B7">
      <w:rPr>
        <w:rStyle w:val="PageNumber"/>
        <w:rFonts w:ascii="Arial" w:hAnsi="Arial" w:cs="Arial"/>
        <w:sz w:val="20"/>
      </w:rPr>
      <w:t>11</w:t>
    </w:r>
    <w:r w:rsidRPr="00D81948">
      <w:rPr>
        <w:rStyle w:val="PageNumber"/>
        <w:rFonts w:ascii="Arial" w:hAnsi="Arial" w:cs="Arial"/>
        <w:sz w:val="20"/>
      </w:rPr>
      <w:fldChar w:fldCharType="end"/>
    </w:r>
  </w:p>
  <w:p w14:paraId="5CFA28F5" w14:textId="7A0EF73A" w:rsidR="0061043A" w:rsidRPr="008724E5" w:rsidRDefault="00610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F8F"/>
    <w:multiLevelType w:val="hybridMultilevel"/>
    <w:tmpl w:val="9F48024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21929"/>
    <w:multiLevelType w:val="hybridMultilevel"/>
    <w:tmpl w:val="052E17F4"/>
    <w:lvl w:ilvl="0" w:tplc="040C0015">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40A0830"/>
    <w:multiLevelType w:val="hybridMultilevel"/>
    <w:tmpl w:val="97B2EC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1212E5"/>
    <w:multiLevelType w:val="hybridMultilevel"/>
    <w:tmpl w:val="404E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0E82382"/>
    <w:multiLevelType w:val="hybridMultilevel"/>
    <w:tmpl w:val="5CF8F6F2"/>
    <w:lvl w:ilvl="0" w:tplc="30802910">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2636FB"/>
    <w:multiLevelType w:val="hybridMultilevel"/>
    <w:tmpl w:val="057236F6"/>
    <w:lvl w:ilvl="0" w:tplc="023CF1DE">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FE5EC5"/>
    <w:multiLevelType w:val="hybridMultilevel"/>
    <w:tmpl w:val="2EB68098"/>
    <w:lvl w:ilvl="0" w:tplc="648497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F07BFE"/>
    <w:multiLevelType w:val="hybridMultilevel"/>
    <w:tmpl w:val="8FAC6284"/>
    <w:lvl w:ilvl="0" w:tplc="3864E488">
      <w:start w:val="1"/>
      <w:numFmt w:val="decimal"/>
      <w:pStyle w:val="1GAPara"/>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41BD40C5"/>
    <w:multiLevelType w:val="hybridMultilevel"/>
    <w:tmpl w:val="952C5872"/>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B71665"/>
    <w:multiLevelType w:val="hybridMultilevel"/>
    <w:tmpl w:val="929CF4D0"/>
    <w:lvl w:ilvl="0" w:tplc="D04ECF5C">
      <w:start w:val="1"/>
      <w:numFmt w:val="decimal"/>
      <w:pStyle w:val="ListParagraph"/>
      <w:lvlText w:val="%1."/>
      <w:lvlJc w:val="left"/>
      <w:pPr>
        <w:ind w:left="502"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640FE4"/>
    <w:multiLevelType w:val="hybridMultilevel"/>
    <w:tmpl w:val="66A434F4"/>
    <w:lvl w:ilvl="0" w:tplc="EBD26B2E">
      <w:start w:val="1"/>
      <w:numFmt w:val="decimal"/>
      <w:lvlText w:val="%1."/>
      <w:lvlJc w:val="left"/>
      <w:pPr>
        <w:ind w:left="720" w:hanging="360"/>
      </w:pPr>
      <w:rPr>
        <w:rFonts w:ascii="Arial" w:hAnsi="Arial" w:cs="Arial"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E15709"/>
    <w:multiLevelType w:val="hybridMultilevel"/>
    <w:tmpl w:val="AA809E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AF2EEC"/>
    <w:multiLevelType w:val="hybridMultilevel"/>
    <w:tmpl w:val="2B0E3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4F44B9"/>
    <w:multiLevelType w:val="hybridMultilevel"/>
    <w:tmpl w:val="FC1452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632AC0"/>
    <w:multiLevelType w:val="hybridMultilevel"/>
    <w:tmpl w:val="66B6C1E6"/>
    <w:lvl w:ilvl="0" w:tplc="91CA98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9B6CC7"/>
    <w:multiLevelType w:val="hybridMultilevel"/>
    <w:tmpl w:val="A748198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1"/>
  </w:num>
  <w:num w:numId="3">
    <w:abstractNumId w:val="4"/>
  </w:num>
  <w:num w:numId="4">
    <w:abstractNumId w:val="22"/>
  </w:num>
  <w:num w:numId="5">
    <w:abstractNumId w:val="20"/>
  </w:num>
  <w:num w:numId="6">
    <w:abstractNumId w:val="2"/>
  </w:num>
  <w:num w:numId="7">
    <w:abstractNumId w:val="6"/>
  </w:num>
  <w:num w:numId="8">
    <w:abstractNumId w:val="10"/>
  </w:num>
  <w:num w:numId="9">
    <w:abstractNumId w:val="10"/>
  </w:num>
  <w:num w:numId="10">
    <w:abstractNumId w:val="10"/>
    <w:lvlOverride w:ilvl="0">
      <w:startOverride w:val="1"/>
    </w:lvlOverride>
  </w:num>
  <w:num w:numId="11">
    <w:abstractNumId w:val="10"/>
    <w:lvlOverride w:ilvl="0">
      <w:startOverride w:val="1"/>
    </w:lvlOverride>
  </w:num>
  <w:num w:numId="12">
    <w:abstractNumId w:val="13"/>
  </w:num>
  <w:num w:numId="13">
    <w:abstractNumId w:val="12"/>
  </w:num>
  <w:num w:numId="14">
    <w:abstractNumId w:val="16"/>
  </w:num>
  <w:num w:numId="15">
    <w:abstractNumId w:val="19"/>
  </w:num>
  <w:num w:numId="16">
    <w:abstractNumId w:val="13"/>
  </w:num>
  <w:num w:numId="17">
    <w:abstractNumId w:val="10"/>
  </w:num>
  <w:num w:numId="18">
    <w:abstractNumId w:val="10"/>
  </w:num>
  <w:num w:numId="19">
    <w:abstractNumId w:val="10"/>
    <w:lvlOverride w:ilvl="0">
      <w:startOverride w:val="1"/>
    </w:lvlOverride>
  </w:num>
  <w:num w:numId="20">
    <w:abstractNumId w:val="1"/>
  </w:num>
  <w:num w:numId="21">
    <w:abstractNumId w:val="13"/>
  </w:num>
  <w:num w:numId="22">
    <w:abstractNumId w:val="13"/>
  </w:num>
  <w:num w:numId="23">
    <w:abstractNumId w:val="0"/>
  </w:num>
  <w:num w:numId="24">
    <w:abstractNumId w:val="7"/>
  </w:num>
  <w:num w:numId="25">
    <w:abstractNumId w:val="3"/>
  </w:num>
  <w:num w:numId="26">
    <w:abstractNumId w:val="18"/>
  </w:num>
  <w:num w:numId="27">
    <w:abstractNumId w:val="8"/>
  </w:num>
  <w:num w:numId="28">
    <w:abstractNumId w:val="5"/>
  </w:num>
  <w:num w:numId="29">
    <w:abstractNumId w:val="10"/>
  </w:num>
  <w:num w:numId="30">
    <w:abstractNumId w:val="10"/>
  </w:num>
  <w:num w:numId="31">
    <w:abstractNumId w:val="21"/>
  </w:num>
  <w:num w:numId="32">
    <w:abstractNumId w:val="10"/>
  </w:num>
  <w:num w:numId="33">
    <w:abstractNumId w:val="10"/>
  </w:num>
  <w:num w:numId="34">
    <w:abstractNumId w:val="9"/>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EB"/>
    <w:rsid w:val="000016A4"/>
    <w:rsid w:val="000019DB"/>
    <w:rsid w:val="000047CC"/>
    <w:rsid w:val="000120FD"/>
    <w:rsid w:val="00021831"/>
    <w:rsid w:val="00030143"/>
    <w:rsid w:val="0004592B"/>
    <w:rsid w:val="00047E58"/>
    <w:rsid w:val="00066F9F"/>
    <w:rsid w:val="00067E94"/>
    <w:rsid w:val="00073C4D"/>
    <w:rsid w:val="00073D20"/>
    <w:rsid w:val="000755E1"/>
    <w:rsid w:val="00075C86"/>
    <w:rsid w:val="000851D8"/>
    <w:rsid w:val="00085541"/>
    <w:rsid w:val="000A34CE"/>
    <w:rsid w:val="000C0A49"/>
    <w:rsid w:val="000C65E4"/>
    <w:rsid w:val="000C7382"/>
    <w:rsid w:val="000D52D3"/>
    <w:rsid w:val="000D7979"/>
    <w:rsid w:val="000E1D79"/>
    <w:rsid w:val="00105489"/>
    <w:rsid w:val="00106B72"/>
    <w:rsid w:val="00111696"/>
    <w:rsid w:val="0011690A"/>
    <w:rsid w:val="0011750D"/>
    <w:rsid w:val="00117779"/>
    <w:rsid w:val="00124064"/>
    <w:rsid w:val="00126C99"/>
    <w:rsid w:val="0013062B"/>
    <w:rsid w:val="00137E44"/>
    <w:rsid w:val="001412DE"/>
    <w:rsid w:val="00144A4D"/>
    <w:rsid w:val="00151351"/>
    <w:rsid w:val="001554C0"/>
    <w:rsid w:val="001743BE"/>
    <w:rsid w:val="00174B39"/>
    <w:rsid w:val="001904E2"/>
    <w:rsid w:val="00197D62"/>
    <w:rsid w:val="001A431C"/>
    <w:rsid w:val="001A5712"/>
    <w:rsid w:val="001B33AC"/>
    <w:rsid w:val="001B33FE"/>
    <w:rsid w:val="001B547B"/>
    <w:rsid w:val="001C62EF"/>
    <w:rsid w:val="001D00B5"/>
    <w:rsid w:val="001D0469"/>
    <w:rsid w:val="001D3B29"/>
    <w:rsid w:val="001D70C0"/>
    <w:rsid w:val="001E41C1"/>
    <w:rsid w:val="001E4EEB"/>
    <w:rsid w:val="001F37CA"/>
    <w:rsid w:val="00204A35"/>
    <w:rsid w:val="002068EB"/>
    <w:rsid w:val="00207538"/>
    <w:rsid w:val="00217F40"/>
    <w:rsid w:val="002211F9"/>
    <w:rsid w:val="002220AB"/>
    <w:rsid w:val="00230FC6"/>
    <w:rsid w:val="00257D5A"/>
    <w:rsid w:val="00267C2E"/>
    <w:rsid w:val="00267F0A"/>
    <w:rsid w:val="0027198B"/>
    <w:rsid w:val="0027376A"/>
    <w:rsid w:val="002842FB"/>
    <w:rsid w:val="00286C0C"/>
    <w:rsid w:val="00290D5F"/>
    <w:rsid w:val="00290D70"/>
    <w:rsid w:val="002938F2"/>
    <w:rsid w:val="002A0B78"/>
    <w:rsid w:val="002A11E7"/>
    <w:rsid w:val="002A6500"/>
    <w:rsid w:val="002B2EB7"/>
    <w:rsid w:val="002C5280"/>
    <w:rsid w:val="002D28A5"/>
    <w:rsid w:val="002D396D"/>
    <w:rsid w:val="002E0507"/>
    <w:rsid w:val="002E6FDA"/>
    <w:rsid w:val="002F2394"/>
    <w:rsid w:val="00315464"/>
    <w:rsid w:val="003202A5"/>
    <w:rsid w:val="0032146E"/>
    <w:rsid w:val="00326050"/>
    <w:rsid w:val="00331F5B"/>
    <w:rsid w:val="00363995"/>
    <w:rsid w:val="0037505F"/>
    <w:rsid w:val="0039446E"/>
    <w:rsid w:val="003A45E3"/>
    <w:rsid w:val="003A5FB5"/>
    <w:rsid w:val="003C7065"/>
    <w:rsid w:val="00400214"/>
    <w:rsid w:val="004108B6"/>
    <w:rsid w:val="00411DFB"/>
    <w:rsid w:val="00422282"/>
    <w:rsid w:val="00424D16"/>
    <w:rsid w:val="0042677B"/>
    <w:rsid w:val="00431309"/>
    <w:rsid w:val="00434773"/>
    <w:rsid w:val="004366D7"/>
    <w:rsid w:val="00452C0F"/>
    <w:rsid w:val="00467311"/>
    <w:rsid w:val="00467F83"/>
    <w:rsid w:val="00471B34"/>
    <w:rsid w:val="00473C06"/>
    <w:rsid w:val="004A27CA"/>
    <w:rsid w:val="004E46D5"/>
    <w:rsid w:val="004E56B3"/>
    <w:rsid w:val="004E626D"/>
    <w:rsid w:val="004F692E"/>
    <w:rsid w:val="004F79B8"/>
    <w:rsid w:val="005016FB"/>
    <w:rsid w:val="00504E00"/>
    <w:rsid w:val="005110DE"/>
    <w:rsid w:val="00511D17"/>
    <w:rsid w:val="005141D8"/>
    <w:rsid w:val="0051699F"/>
    <w:rsid w:val="00523889"/>
    <w:rsid w:val="005426B3"/>
    <w:rsid w:val="005626BE"/>
    <w:rsid w:val="00566C8B"/>
    <w:rsid w:val="0058045F"/>
    <w:rsid w:val="00581C12"/>
    <w:rsid w:val="005832A9"/>
    <w:rsid w:val="00585F41"/>
    <w:rsid w:val="005A0C78"/>
    <w:rsid w:val="005B3AD7"/>
    <w:rsid w:val="005B504E"/>
    <w:rsid w:val="005C0660"/>
    <w:rsid w:val="005E6E1F"/>
    <w:rsid w:val="005F3820"/>
    <w:rsid w:val="005F56E9"/>
    <w:rsid w:val="005F580A"/>
    <w:rsid w:val="00607E8B"/>
    <w:rsid w:val="0061043A"/>
    <w:rsid w:val="00614BF3"/>
    <w:rsid w:val="00620938"/>
    <w:rsid w:val="00623E0A"/>
    <w:rsid w:val="00630B33"/>
    <w:rsid w:val="006424A0"/>
    <w:rsid w:val="006426D1"/>
    <w:rsid w:val="0064542D"/>
    <w:rsid w:val="006515C9"/>
    <w:rsid w:val="00652318"/>
    <w:rsid w:val="006528CC"/>
    <w:rsid w:val="00663A7F"/>
    <w:rsid w:val="00663CE7"/>
    <w:rsid w:val="0066567B"/>
    <w:rsid w:val="00667E5B"/>
    <w:rsid w:val="0067473A"/>
    <w:rsid w:val="00683F55"/>
    <w:rsid w:val="0068419D"/>
    <w:rsid w:val="00695563"/>
    <w:rsid w:val="006A6C41"/>
    <w:rsid w:val="006C3DC6"/>
    <w:rsid w:val="006C5A7F"/>
    <w:rsid w:val="006D2FE0"/>
    <w:rsid w:val="006D5455"/>
    <w:rsid w:val="006F7DDD"/>
    <w:rsid w:val="007045E8"/>
    <w:rsid w:val="00705A8C"/>
    <w:rsid w:val="007101A3"/>
    <w:rsid w:val="0071135F"/>
    <w:rsid w:val="007422F8"/>
    <w:rsid w:val="00742850"/>
    <w:rsid w:val="00746204"/>
    <w:rsid w:val="00747715"/>
    <w:rsid w:val="00750138"/>
    <w:rsid w:val="0075135B"/>
    <w:rsid w:val="00753DA3"/>
    <w:rsid w:val="00764F50"/>
    <w:rsid w:val="00790C65"/>
    <w:rsid w:val="00791929"/>
    <w:rsid w:val="00791B96"/>
    <w:rsid w:val="007A3CC2"/>
    <w:rsid w:val="007A7D45"/>
    <w:rsid w:val="007B3F57"/>
    <w:rsid w:val="007B7C47"/>
    <w:rsid w:val="007C1B00"/>
    <w:rsid w:val="007D31CE"/>
    <w:rsid w:val="007D5BB7"/>
    <w:rsid w:val="007E0621"/>
    <w:rsid w:val="007E3164"/>
    <w:rsid w:val="007F4B07"/>
    <w:rsid w:val="00805652"/>
    <w:rsid w:val="0080658E"/>
    <w:rsid w:val="00816FFB"/>
    <w:rsid w:val="00826F41"/>
    <w:rsid w:val="0083488D"/>
    <w:rsid w:val="00843B40"/>
    <w:rsid w:val="008466C3"/>
    <w:rsid w:val="00846C7E"/>
    <w:rsid w:val="0085039A"/>
    <w:rsid w:val="00851458"/>
    <w:rsid w:val="00851815"/>
    <w:rsid w:val="008549B6"/>
    <w:rsid w:val="00854EF1"/>
    <w:rsid w:val="00861A47"/>
    <w:rsid w:val="00864E36"/>
    <w:rsid w:val="008707FF"/>
    <w:rsid w:val="008724E5"/>
    <w:rsid w:val="00875129"/>
    <w:rsid w:val="00875590"/>
    <w:rsid w:val="00880749"/>
    <w:rsid w:val="008849B4"/>
    <w:rsid w:val="00887B0F"/>
    <w:rsid w:val="00887CD2"/>
    <w:rsid w:val="008A301C"/>
    <w:rsid w:val="008A4197"/>
    <w:rsid w:val="008A4505"/>
    <w:rsid w:val="008C53ED"/>
    <w:rsid w:val="008D5F7E"/>
    <w:rsid w:val="008E358B"/>
    <w:rsid w:val="008F16C6"/>
    <w:rsid w:val="008F34A1"/>
    <w:rsid w:val="008F35DF"/>
    <w:rsid w:val="008F4B02"/>
    <w:rsid w:val="009121CE"/>
    <w:rsid w:val="00921DDF"/>
    <w:rsid w:val="0092737B"/>
    <w:rsid w:val="009379B4"/>
    <w:rsid w:val="00952E50"/>
    <w:rsid w:val="0097349C"/>
    <w:rsid w:val="00975837"/>
    <w:rsid w:val="009A25F7"/>
    <w:rsid w:val="009C0A23"/>
    <w:rsid w:val="009C2B72"/>
    <w:rsid w:val="009C321B"/>
    <w:rsid w:val="009C7144"/>
    <w:rsid w:val="009D5765"/>
    <w:rsid w:val="009D5E38"/>
    <w:rsid w:val="009F3988"/>
    <w:rsid w:val="009F3BD7"/>
    <w:rsid w:val="00A0434A"/>
    <w:rsid w:val="00A070C5"/>
    <w:rsid w:val="00A103A6"/>
    <w:rsid w:val="00A10B38"/>
    <w:rsid w:val="00A150C7"/>
    <w:rsid w:val="00A154E3"/>
    <w:rsid w:val="00A31650"/>
    <w:rsid w:val="00A415D0"/>
    <w:rsid w:val="00A41E0D"/>
    <w:rsid w:val="00A458C4"/>
    <w:rsid w:val="00A519A2"/>
    <w:rsid w:val="00A54F0C"/>
    <w:rsid w:val="00A62C96"/>
    <w:rsid w:val="00A70883"/>
    <w:rsid w:val="00A77AEB"/>
    <w:rsid w:val="00A8015B"/>
    <w:rsid w:val="00A806FB"/>
    <w:rsid w:val="00A833F5"/>
    <w:rsid w:val="00A91F32"/>
    <w:rsid w:val="00AA1B37"/>
    <w:rsid w:val="00AA3D2E"/>
    <w:rsid w:val="00AA444A"/>
    <w:rsid w:val="00AB12A1"/>
    <w:rsid w:val="00AB1528"/>
    <w:rsid w:val="00AC4F0F"/>
    <w:rsid w:val="00AD1431"/>
    <w:rsid w:val="00AE1B18"/>
    <w:rsid w:val="00AE77AB"/>
    <w:rsid w:val="00AF1C32"/>
    <w:rsid w:val="00AF320B"/>
    <w:rsid w:val="00B11AE3"/>
    <w:rsid w:val="00B33DB5"/>
    <w:rsid w:val="00B42523"/>
    <w:rsid w:val="00B43C28"/>
    <w:rsid w:val="00B44B70"/>
    <w:rsid w:val="00B4564D"/>
    <w:rsid w:val="00B51632"/>
    <w:rsid w:val="00B6167A"/>
    <w:rsid w:val="00B64E46"/>
    <w:rsid w:val="00B653FB"/>
    <w:rsid w:val="00B65DEB"/>
    <w:rsid w:val="00B916D2"/>
    <w:rsid w:val="00B973B5"/>
    <w:rsid w:val="00BA5EDE"/>
    <w:rsid w:val="00BB315C"/>
    <w:rsid w:val="00BF0E9E"/>
    <w:rsid w:val="00BF7E20"/>
    <w:rsid w:val="00C11084"/>
    <w:rsid w:val="00C31DA5"/>
    <w:rsid w:val="00C374B6"/>
    <w:rsid w:val="00C6478B"/>
    <w:rsid w:val="00C80AAE"/>
    <w:rsid w:val="00C866FF"/>
    <w:rsid w:val="00C943D7"/>
    <w:rsid w:val="00C9513F"/>
    <w:rsid w:val="00CB0F37"/>
    <w:rsid w:val="00CB437A"/>
    <w:rsid w:val="00CC04C3"/>
    <w:rsid w:val="00CC2BC6"/>
    <w:rsid w:val="00CD48EC"/>
    <w:rsid w:val="00CD5C47"/>
    <w:rsid w:val="00CD699C"/>
    <w:rsid w:val="00CE0C63"/>
    <w:rsid w:val="00CE2586"/>
    <w:rsid w:val="00CE3237"/>
    <w:rsid w:val="00CE49E1"/>
    <w:rsid w:val="00CE77A0"/>
    <w:rsid w:val="00D04BE5"/>
    <w:rsid w:val="00D15214"/>
    <w:rsid w:val="00D16439"/>
    <w:rsid w:val="00D16C79"/>
    <w:rsid w:val="00D20CAC"/>
    <w:rsid w:val="00D32094"/>
    <w:rsid w:val="00D404B7"/>
    <w:rsid w:val="00D44F5E"/>
    <w:rsid w:val="00D468E1"/>
    <w:rsid w:val="00D61636"/>
    <w:rsid w:val="00D71E4B"/>
    <w:rsid w:val="00D71FE9"/>
    <w:rsid w:val="00D809E5"/>
    <w:rsid w:val="00D80DFD"/>
    <w:rsid w:val="00D81948"/>
    <w:rsid w:val="00D87F06"/>
    <w:rsid w:val="00D92620"/>
    <w:rsid w:val="00D9501F"/>
    <w:rsid w:val="00DA0239"/>
    <w:rsid w:val="00DB50D5"/>
    <w:rsid w:val="00DC2FCF"/>
    <w:rsid w:val="00DC6906"/>
    <w:rsid w:val="00DD0FBE"/>
    <w:rsid w:val="00DD182B"/>
    <w:rsid w:val="00DD57AD"/>
    <w:rsid w:val="00DF115D"/>
    <w:rsid w:val="00DF3DA3"/>
    <w:rsid w:val="00E01E90"/>
    <w:rsid w:val="00E048C6"/>
    <w:rsid w:val="00E04B5A"/>
    <w:rsid w:val="00E06A00"/>
    <w:rsid w:val="00E06A59"/>
    <w:rsid w:val="00E109AC"/>
    <w:rsid w:val="00E20815"/>
    <w:rsid w:val="00E22B99"/>
    <w:rsid w:val="00E22E29"/>
    <w:rsid w:val="00E258D9"/>
    <w:rsid w:val="00E258F5"/>
    <w:rsid w:val="00E41C03"/>
    <w:rsid w:val="00E439CA"/>
    <w:rsid w:val="00E5219B"/>
    <w:rsid w:val="00E54911"/>
    <w:rsid w:val="00E55B09"/>
    <w:rsid w:val="00E73788"/>
    <w:rsid w:val="00E81FBA"/>
    <w:rsid w:val="00E87083"/>
    <w:rsid w:val="00EA198F"/>
    <w:rsid w:val="00EA2AAB"/>
    <w:rsid w:val="00EB10F7"/>
    <w:rsid w:val="00EC0002"/>
    <w:rsid w:val="00EC1771"/>
    <w:rsid w:val="00EC1C5C"/>
    <w:rsid w:val="00EC520A"/>
    <w:rsid w:val="00EC7709"/>
    <w:rsid w:val="00ED07CD"/>
    <w:rsid w:val="00ED2548"/>
    <w:rsid w:val="00ED5039"/>
    <w:rsid w:val="00EF0BCB"/>
    <w:rsid w:val="00EF0E74"/>
    <w:rsid w:val="00EF7B38"/>
    <w:rsid w:val="00F009B7"/>
    <w:rsid w:val="00F00E8A"/>
    <w:rsid w:val="00F235C5"/>
    <w:rsid w:val="00F44298"/>
    <w:rsid w:val="00F4476D"/>
    <w:rsid w:val="00F44EE5"/>
    <w:rsid w:val="00F457B2"/>
    <w:rsid w:val="00F526D6"/>
    <w:rsid w:val="00F60F88"/>
    <w:rsid w:val="00F6181A"/>
    <w:rsid w:val="00F63DDA"/>
    <w:rsid w:val="00F66E66"/>
    <w:rsid w:val="00F705B6"/>
    <w:rsid w:val="00F70858"/>
    <w:rsid w:val="00F7397F"/>
    <w:rsid w:val="00F75949"/>
    <w:rsid w:val="00F833C8"/>
    <w:rsid w:val="00F868BB"/>
    <w:rsid w:val="00F941F0"/>
    <w:rsid w:val="00F9477C"/>
    <w:rsid w:val="00FA2384"/>
    <w:rsid w:val="00FA6908"/>
    <w:rsid w:val="00FE2FBB"/>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6AF98"/>
  <w15:docId w15:val="{44DB0EFB-B6B9-4F8D-9EC2-1F7831F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fr-FR"/>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fr-FR"/>
    </w:rPr>
  </w:style>
  <w:style w:type="paragraph" w:customStyle="1" w:styleId="1GAPara">
    <w:name w:val="1. GA Para"/>
    <w:qFormat/>
    <w:rsid w:val="00E22B99"/>
    <w:pPr>
      <w:numPr>
        <w:numId w:val="9"/>
      </w:numPr>
      <w:spacing w:after="120"/>
    </w:pPr>
    <w:rPr>
      <w:rFonts w:ascii="Arial" w:eastAsia="Times New Roman" w:hAnsi="Arial" w:cs="Arial"/>
      <w:snapToGrid w:val="0"/>
      <w:sz w:val="22"/>
      <w:szCs w:val="22"/>
      <w:lang w:eastAsia="en-US"/>
    </w:rPr>
  </w:style>
  <w:style w:type="paragraph" w:styleId="NoSpacing">
    <w:name w:val="No Spacing"/>
    <w:link w:val="NoSpacingChar"/>
    <w:uiPriority w:val="1"/>
    <w:qFormat/>
    <w:rsid w:val="000C7382"/>
    <w:rPr>
      <w:rFonts w:ascii="Times New Roman" w:eastAsia="Times New Roman" w:hAnsi="Times New Roman"/>
      <w:sz w:val="24"/>
      <w:szCs w:val="24"/>
    </w:rPr>
  </w:style>
  <w:style w:type="character" w:styleId="Hyperlink">
    <w:name w:val="Hyperlink"/>
    <w:rsid w:val="000C7382"/>
    <w:rPr>
      <w:color w:val="0000FF"/>
      <w:u w:val="single"/>
    </w:rPr>
  </w:style>
  <w:style w:type="character" w:styleId="Strong">
    <w:name w:val="Strong"/>
    <w:uiPriority w:val="22"/>
    <w:qFormat/>
    <w:rsid w:val="000C7382"/>
    <w:rPr>
      <w:b/>
      <w:bCs/>
    </w:rPr>
  </w:style>
  <w:style w:type="paragraph" w:customStyle="1" w:styleId="1GAParabodytext">
    <w:name w:val="1.GA Para body text"/>
    <w:basedOn w:val="Marge"/>
    <w:qFormat/>
    <w:rsid w:val="00E87083"/>
    <w:pPr>
      <w:spacing w:after="120"/>
      <w:ind w:left="567" w:hanging="567"/>
    </w:pPr>
    <w:rPr>
      <w:rFonts w:cs="Arial"/>
      <w:szCs w:val="22"/>
    </w:rPr>
  </w:style>
  <w:style w:type="table" w:customStyle="1" w:styleId="TableGrid1">
    <w:name w:val="Table Grid1"/>
    <w:basedOn w:val="TableNormal"/>
    <w:next w:val="TableGrid"/>
    <w:uiPriority w:val="59"/>
    <w:rsid w:val="00791B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B33DB5"/>
    <w:pPr>
      <w:spacing w:after="0"/>
    </w:pPr>
    <w:rPr>
      <w:sz w:val="20"/>
      <w:szCs w:val="20"/>
    </w:rPr>
  </w:style>
  <w:style w:type="character" w:customStyle="1" w:styleId="FootnoteTextChar">
    <w:name w:val="Footnote Text Char"/>
    <w:basedOn w:val="DefaultParagraphFont"/>
    <w:link w:val="FootnoteText"/>
    <w:semiHidden/>
    <w:rsid w:val="00B33DB5"/>
    <w:rPr>
      <w:rFonts w:ascii="Times New Roman" w:eastAsia="Times New Roman" w:hAnsi="Times New Roman"/>
      <w:lang w:val="fr-FR"/>
    </w:rPr>
  </w:style>
  <w:style w:type="character" w:styleId="FootnoteReference">
    <w:name w:val="footnote reference"/>
    <w:uiPriority w:val="99"/>
    <w:unhideWhenUsed/>
    <w:rsid w:val="00B33DB5"/>
    <w:rPr>
      <w:vertAlign w:val="superscript"/>
    </w:rPr>
  </w:style>
  <w:style w:type="paragraph" w:styleId="ListParagraph">
    <w:name w:val="List Paragraph"/>
    <w:basedOn w:val="Normal"/>
    <w:qFormat/>
    <w:rsid w:val="00B33DB5"/>
    <w:pPr>
      <w:numPr>
        <w:numId w:val="12"/>
      </w:numPr>
      <w:tabs>
        <w:tab w:val="left" w:pos="567"/>
      </w:tabs>
      <w:snapToGrid w:val="0"/>
      <w:jc w:val="both"/>
    </w:pPr>
    <w:rPr>
      <w:rFonts w:ascii="Arial" w:hAnsi="Arial" w:cs="Arial"/>
      <w:snapToGrid w:val="0"/>
      <w:szCs w:val="22"/>
      <w:lang w:eastAsia="en-US"/>
    </w:rPr>
  </w:style>
  <w:style w:type="character" w:customStyle="1" w:styleId="UnresolvedMention1">
    <w:name w:val="Unresolved Mention1"/>
    <w:basedOn w:val="DefaultParagraphFont"/>
    <w:uiPriority w:val="99"/>
    <w:semiHidden/>
    <w:unhideWhenUsed/>
    <w:rsid w:val="00EC520A"/>
    <w:rPr>
      <w:color w:val="605E5C"/>
      <w:shd w:val="clear" w:color="auto" w:fill="E1DFDD"/>
    </w:rPr>
  </w:style>
  <w:style w:type="character" w:styleId="FollowedHyperlink">
    <w:name w:val="FollowedHyperlink"/>
    <w:basedOn w:val="DefaultParagraphFont"/>
    <w:semiHidden/>
    <w:unhideWhenUsed/>
    <w:rsid w:val="00695563"/>
    <w:rPr>
      <w:color w:val="800080" w:themeColor="followedHyperlink"/>
      <w:u w:val="single"/>
    </w:rPr>
  </w:style>
  <w:style w:type="character" w:customStyle="1" w:styleId="NoSpacingChar">
    <w:name w:val="No Spacing Char"/>
    <w:link w:val="NoSpacing"/>
    <w:uiPriority w:val="1"/>
    <w:locked/>
    <w:rsid w:val="00C31DA5"/>
    <w:rPr>
      <w:rFonts w:ascii="Times New Roman" w:eastAsia="Times New Roman" w:hAnsi="Times New Roman"/>
      <w:sz w:val="24"/>
      <w:szCs w:val="24"/>
    </w:rPr>
  </w:style>
  <w:style w:type="paragraph" w:customStyle="1" w:styleId="Pranumrotrecommenc1">
    <w:name w:val="Pra numéroté recommencé à 1"/>
    <w:basedOn w:val="Normal"/>
    <w:rsid w:val="00C31DA5"/>
    <w:pPr>
      <w:tabs>
        <w:tab w:val="num" w:pos="360"/>
      </w:tabs>
      <w:spacing w:after="0"/>
      <w:ind w:left="360" w:hanging="360"/>
    </w:pPr>
    <w:rPr>
      <w:rFonts w:ascii="Arial" w:hAnsi="Arial"/>
      <w:sz w:val="24"/>
    </w:rPr>
  </w:style>
  <w:style w:type="paragraph" w:customStyle="1" w:styleId="GAPara">
    <w:name w:val="GA Para"/>
    <w:qFormat/>
    <w:rsid w:val="00791929"/>
    <w:pPr>
      <w:spacing w:after="120"/>
      <w:ind w:left="720" w:hanging="360"/>
    </w:pPr>
    <w:rPr>
      <w:rFonts w:ascii="Arial" w:eastAsia="Times New Roman" w:hAnsi="Arial" w:cs="Arial"/>
      <w:snapToGrid w:val="0"/>
      <w:sz w:val="22"/>
      <w:szCs w:val="22"/>
      <w:lang w:eastAsia="en-US"/>
    </w:rPr>
  </w:style>
  <w:style w:type="paragraph" w:customStyle="1" w:styleId="COMPara">
    <w:name w:val="COM Para"/>
    <w:qFormat/>
    <w:rsid w:val="009C2B72"/>
    <w:pPr>
      <w:spacing w:after="120"/>
      <w:ind w:left="720" w:hanging="360"/>
    </w:pPr>
    <w:rPr>
      <w:rFonts w:ascii="Arial" w:eastAsia="Times New Roman" w:hAnsi="Arial" w:cs="Arial"/>
      <w:snapToGrid w:val="0"/>
      <w:sz w:val="22"/>
      <w:szCs w:val="22"/>
      <w:lang w:eastAsia="en-US"/>
    </w:rPr>
  </w:style>
  <w:style w:type="paragraph" w:customStyle="1" w:styleId="Paragraph">
    <w:name w:val="Paragraph"/>
    <w:basedOn w:val="Normal"/>
    <w:link w:val="ParagraphChar"/>
    <w:qFormat/>
    <w:rsid w:val="009C2B72"/>
    <w:pPr>
      <w:autoSpaceDE w:val="0"/>
      <w:autoSpaceDN w:val="0"/>
      <w:adjustRightInd w:val="0"/>
      <w:spacing w:after="240"/>
      <w:jc w:val="both"/>
    </w:pPr>
    <w:rPr>
      <w:rFonts w:ascii="Arial" w:eastAsia="SimSun" w:hAnsi="Arial" w:cs="Arial"/>
      <w:bCs/>
      <w:color w:val="000000"/>
      <w:szCs w:val="22"/>
      <w:lang w:eastAsia="zh-CN"/>
    </w:rPr>
  </w:style>
  <w:style w:type="character" w:customStyle="1" w:styleId="ParagraphChar">
    <w:name w:val="Paragraph Char"/>
    <w:link w:val="Paragraph"/>
    <w:rsid w:val="009C2B72"/>
    <w:rPr>
      <w:rFonts w:ascii="Arial" w:hAnsi="Arial" w:cs="Arial"/>
      <w:bCs/>
      <w:color w:val="000000"/>
      <w:sz w:val="22"/>
      <w:szCs w:val="22"/>
      <w:lang w:val="fr-FR" w:eastAsia="zh-CN"/>
    </w:rPr>
  </w:style>
  <w:style w:type="paragraph" w:styleId="Revision">
    <w:name w:val="Revision"/>
    <w:hidden/>
    <w:semiHidden/>
    <w:rsid w:val="00DC6906"/>
    <w:rPr>
      <w:rFonts w:ascii="Times New Roman" w:eastAsia="Times New Roman" w:hAnsi="Times New Roman"/>
      <w:sz w:val="22"/>
      <w:szCs w:val="24"/>
    </w:rPr>
  </w:style>
  <w:style w:type="character" w:styleId="UnresolvedMention">
    <w:name w:val="Unresolved Mention"/>
    <w:basedOn w:val="DefaultParagraphFont"/>
    <w:uiPriority w:val="99"/>
    <w:semiHidden/>
    <w:unhideWhenUsed/>
    <w:rsid w:val="00D7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8.GA/7?dec=decisions&amp;ref_decision=8.GA" TargetMode="External"/><Relationship Id="rId13" Type="http://schemas.openxmlformats.org/officeDocument/2006/relationships/hyperlink" Target="https://ich.unesco.org/fr/Decisions/12.COM/6" TargetMode="External"/><Relationship Id="rId18" Type="http://schemas.openxmlformats.org/officeDocument/2006/relationships/hyperlink" Target="https://ich.unesco.org/fr/Decisions/12.COM/6" TargetMode="External"/><Relationship Id="rId26" Type="http://schemas.openxmlformats.org/officeDocument/2006/relationships/hyperlink" Target="https://ich.unesco.org/doc/src/LHE-21-16.COM_2.BUR-Decisions-FR.docx" TargetMode="External"/><Relationship Id="rId39" Type="http://schemas.openxmlformats.org/officeDocument/2006/relationships/hyperlink" Target="https://ich.unesco.org/fr/Decisions/8.GA/7" TargetMode="External"/><Relationship Id="rId3" Type="http://schemas.openxmlformats.org/officeDocument/2006/relationships/styles" Target="styles.xml"/><Relationship Id="rId21" Type="http://schemas.openxmlformats.org/officeDocument/2006/relationships/hyperlink" Target="https://ich.unesco.org/fr/decisions/8.GA/7?dec=decisions&amp;ref_decision=8.GA"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doc/src/LHE-21-16.COM-12-FR.docx" TargetMode="External"/><Relationship Id="rId17" Type="http://schemas.openxmlformats.org/officeDocument/2006/relationships/hyperlink" Target="https://ich.unesco.org/fr/Decisions/12.COM/6" TargetMode="External"/><Relationship Id="rId25" Type="http://schemas.openxmlformats.org/officeDocument/2006/relationships/hyperlink" Target="https://ich.unesco.org/fr/Decisions/8.COM/7.c"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ch.unesco.org/fr/Decisions/12.COM/6" TargetMode="External"/><Relationship Id="rId20" Type="http://schemas.openxmlformats.org/officeDocument/2006/relationships/hyperlink" Target="http://www.unesco.org/culture/ich/doc/src/ITH-10-3.GA-CONF.201-Resolution%20Rev.-FR.doc" TargetMode="External"/><Relationship Id="rId29" Type="http://schemas.openxmlformats.org/officeDocument/2006/relationships/image" Target="media/image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7.d-FR.docx" TargetMode="External"/><Relationship Id="rId24" Type="http://schemas.openxmlformats.org/officeDocument/2006/relationships/hyperlink" Target="https://ich.unesco.org/fr/Decisions/7.GA/8" TargetMode="External"/><Relationship Id="rId32" Type="http://schemas.openxmlformats.org/officeDocument/2006/relationships/header" Target="header1.xml"/><Relationship Id="rId37" Type="http://schemas.openxmlformats.org/officeDocument/2006/relationships/image" Target="media/image7.emf"/><Relationship Id="rId40" Type="http://schemas.openxmlformats.org/officeDocument/2006/relationships/hyperlink" Target="https://ich.unesco.org/fr/Decisions/14.COM/7" TargetMode="External"/><Relationship Id="rId5" Type="http://schemas.openxmlformats.org/officeDocument/2006/relationships/webSettings" Target="webSettings.xml"/><Relationship Id="rId15" Type="http://schemas.openxmlformats.org/officeDocument/2006/relationships/hyperlink" Target="https://ich.unesco.org/fr/Decisions/12.COM/6" TargetMode="External"/><Relationship Id="rId23" Type="http://schemas.openxmlformats.org/officeDocument/2006/relationships/chart" Target="charts/chart2.xml"/><Relationship Id="rId28" Type="http://schemas.openxmlformats.org/officeDocument/2006/relationships/hyperlink" Target="https://ich.unesco.org/fr/Decisions/8.COM/11" TargetMode="External"/><Relationship Id="rId36" Type="http://schemas.openxmlformats.org/officeDocument/2006/relationships/image" Target="media/image6.emf"/><Relationship Id="rId10" Type="http://schemas.openxmlformats.org/officeDocument/2006/relationships/hyperlink" Target="https://ich.unesco.org/doc/src/LHE-22-9.GA-6-FR.docx" TargetMode="External"/><Relationship Id="rId19" Type="http://schemas.openxmlformats.org/officeDocument/2006/relationships/hyperlink" Target="https://ich.unesco.org/fr/Decisions/12.COM/6"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ich.unesco.org/doc/src/LHE-22-9.GA-10-FR.docx" TargetMode="External"/><Relationship Id="rId14" Type="http://schemas.openxmlformats.org/officeDocument/2006/relationships/hyperlink" Target="https://ich.unesco.org/fr/Decisions/12.COM/6" TargetMode="External"/><Relationship Id="rId22" Type="http://schemas.openxmlformats.org/officeDocument/2006/relationships/chart" Target="charts/chart1.xml"/><Relationship Id="rId27" Type="http://schemas.openxmlformats.org/officeDocument/2006/relationships/hyperlink" Target="http://www.unesco.org/culture/ich/doc/src/IOS-AUD-2013-06-FR.pdf" TargetMode="External"/><Relationship Id="rId30" Type="http://schemas.openxmlformats.org/officeDocument/2006/relationships/image" Target="media/image2.emf"/><Relationship Id="rId35"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doc/src/LHE-20-15.COM_2.BUR-Decisions-FR.doc" TargetMode="External"/><Relationship Id="rId13" Type="http://schemas.openxmlformats.org/officeDocument/2006/relationships/hyperlink" Target="https://ich.unesco.org/doc/src/LHE-19-14.COM_2.BUR-Decisions-FR.docx" TargetMode="External"/><Relationship Id="rId18" Type="http://schemas.openxmlformats.org/officeDocument/2006/relationships/hyperlink" Target="https://ich.unesco.org/doc/src/LHE-21-16.COM_2.BUR-Decisions-FR.docx" TargetMode="External"/><Relationship Id="rId26" Type="http://schemas.openxmlformats.org/officeDocument/2006/relationships/hyperlink" Target="https://ich.unesco.org/doc/src/LHE-20-15.COM_2.BUR-Decisions-FR.doc" TargetMode="External"/><Relationship Id="rId3" Type="http://schemas.openxmlformats.org/officeDocument/2006/relationships/hyperlink" Target="https://ich.unesco.org/doc/src/LHE-22-9.GA-10-FR.docx" TargetMode="External"/><Relationship Id="rId21" Type="http://schemas.openxmlformats.org/officeDocument/2006/relationships/hyperlink" Target="https://ich.unesco.org/fr/Decisions/15.COM/8.a.4" TargetMode="External"/><Relationship Id="rId7" Type="http://schemas.openxmlformats.org/officeDocument/2006/relationships/hyperlink" Target="https://ich.unesco.org/fr/Decisions/14.COM/10.d" TargetMode="External"/><Relationship Id="rId12" Type="http://schemas.openxmlformats.org/officeDocument/2006/relationships/hyperlink" Target="https://ich.unesco.org/doc/src/LHE-19-14.COM_2.BUR-Decisions-FR.docx" TargetMode="External"/><Relationship Id="rId17" Type="http://schemas.openxmlformats.org/officeDocument/2006/relationships/hyperlink" Target="https://ich.unesco.org/doc/src/LHE-20-15.COM_2.BUR-Decisions-FR.doc" TargetMode="External"/><Relationship Id="rId25" Type="http://schemas.openxmlformats.org/officeDocument/2006/relationships/hyperlink" Target="https://ich.unesco.org/doc/src/LHE-21-16.COM_2.BUR-Decisions-FR.docx" TargetMode="External"/><Relationship Id="rId2" Type="http://schemas.openxmlformats.org/officeDocument/2006/relationships/hyperlink" Target="https://ich.unesco.org/doc/src/LHE-22-9.GA-10-FR.docx" TargetMode="External"/><Relationship Id="rId16" Type="http://schemas.openxmlformats.org/officeDocument/2006/relationships/hyperlink" Target="https://ich.unesco.org/doc/download.php?versionID=54862" TargetMode="External"/><Relationship Id="rId20" Type="http://schemas.openxmlformats.org/officeDocument/2006/relationships/hyperlink" Target="https://ich.unesco.org/doc/src/LHE-20-15.COM_2.BUR-Decisions-FR.doc" TargetMode="External"/><Relationship Id="rId29" Type="http://schemas.openxmlformats.org/officeDocument/2006/relationships/hyperlink" Target="https://ich.unesco.org/fr/Decisions/16.COM/8.a.6" TargetMode="External"/><Relationship Id="rId1" Type="http://schemas.openxmlformats.org/officeDocument/2006/relationships/hyperlink" Target="https://ich.unesco.org/doc/src/55755.pdf" TargetMode="External"/><Relationship Id="rId6" Type="http://schemas.openxmlformats.org/officeDocument/2006/relationships/hyperlink" Target="https://ich.unesco.org/fr/Decisions/14.COM/10.a.5" TargetMode="External"/><Relationship Id="rId11" Type="http://schemas.openxmlformats.org/officeDocument/2006/relationships/hyperlink" Target="https://ich.unesco.org/doc/src/LHE-20-15.COM_3.BUR-Decisions-FR.docx" TargetMode="External"/><Relationship Id="rId24" Type="http://schemas.openxmlformats.org/officeDocument/2006/relationships/hyperlink" Target="https://ich.unesco.org/doc/src/LHE-21-16.COM_3.BUR-Decisions_FR.docx" TargetMode="External"/><Relationship Id="rId5" Type="http://schemas.openxmlformats.org/officeDocument/2006/relationships/hyperlink" Target="https://ich.unesco.org/doc/src/LHE-19-14.COM_2.BUR-Decisions-FR.docx" TargetMode="External"/><Relationship Id="rId15" Type="http://schemas.openxmlformats.org/officeDocument/2006/relationships/hyperlink" Target="https://ich.unesco.org/doc/src/ITH-18-13.COM_1.BUR-Decisions-FR.docx" TargetMode="External"/><Relationship Id="rId23" Type="http://schemas.openxmlformats.org/officeDocument/2006/relationships/hyperlink" Target="https://ich.unesco.org/doc/download.php?versionID=54862" TargetMode="External"/><Relationship Id="rId28" Type="http://schemas.openxmlformats.org/officeDocument/2006/relationships/hyperlink" Target="https://ich.unesco.org/fr/Decisions/16.COM/8.d." TargetMode="External"/><Relationship Id="rId10" Type="http://schemas.openxmlformats.org/officeDocument/2006/relationships/hyperlink" Target="https://ich.unesco.org/doc/src/LHE-20-15.COM_2.BUR-Decisions-FR.doc" TargetMode="External"/><Relationship Id="rId19" Type="http://schemas.openxmlformats.org/officeDocument/2006/relationships/hyperlink" Target="https://ich.unesco.org/doc/src/LHE-20-15.COM_3.BUR-Decisions-FR.docx" TargetMode="External"/><Relationship Id="rId4" Type="http://schemas.openxmlformats.org/officeDocument/2006/relationships/hyperlink" Target="https://ich.unesco.org/fr/Decisions/13.COM/10.d" TargetMode="External"/><Relationship Id="rId9" Type="http://schemas.openxmlformats.org/officeDocument/2006/relationships/hyperlink" Target="https://ich.unesco.org/doc/src/LHE-21-16.COM_2.BUR-Decisions-FR.docx" TargetMode="External"/><Relationship Id="rId14" Type="http://schemas.openxmlformats.org/officeDocument/2006/relationships/hyperlink" Target="https://ich.unesco.org/doc/download.php?versionID=54862" TargetMode="External"/><Relationship Id="rId22" Type="http://schemas.openxmlformats.org/officeDocument/2006/relationships/hyperlink" Target="https://ich.unesco.org/doc/src/LHE-21-16.COM_3.BUR-Decisions_FR.docx" TargetMode="External"/><Relationship Id="rId27" Type="http://schemas.openxmlformats.org/officeDocument/2006/relationships/hyperlink" Target="https://ich.unesco.org/fr/Decisions/16.COM/8.a.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Information%20document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_maziz\Desktop\10_9GA%20Trends%20on%20the%20use%20of%20the%20ICH%20Fu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_maziz\Desktop\10_9GA%20Trends%20on%20the%20use%20of%20the%20ICH%20Fun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Répartition géographique des projets d'assistance internationale contractualisés en 2020</a:t>
            </a:r>
            <a:r>
              <a:rPr lang="fr-FR" sz="1400" b="0" i="0" u="none" strike="noStrike" baseline="0">
                <a:effectLst/>
              </a:rPr>
              <a:t>–</a:t>
            </a:r>
            <a:r>
              <a:rPr lang="en-GB" baseline="0"/>
              <a:t>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81-4BDE-9908-961948DDA7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81-4BDE-9908-961948DDA7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81-4BDE-9908-961948DDA7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81-4BDE-9908-961948DDA7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81-4BDE-9908-961948DDA782}"/>
              </c:ext>
            </c:extLst>
          </c:dPt>
          <c:dLbls>
            <c:dLbl>
              <c:idx val="0"/>
              <c:layout>
                <c:manualLayout>
                  <c:x val="4.7078153585828078E-2"/>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0948479819972657"/>
                      <c:h val="0.16561510534352253"/>
                    </c:manualLayout>
                  </c15:layout>
                </c:ext>
                <c:ext xmlns:c16="http://schemas.microsoft.com/office/drawing/2014/chart" uri="{C3380CC4-5D6E-409C-BE32-E72D297353CC}">
                  <c16:uniqueId val="{00000001-5981-4BDE-9908-961948DDA782}"/>
                </c:ext>
              </c:extLst>
            </c:dLbl>
            <c:dLbl>
              <c:idx val="1"/>
              <c:layout>
                <c:manualLayout>
                  <c:x val="-2.4923843810578786E-2"/>
                  <c:y val="-9.2123445416858584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225411417867976"/>
                      <c:h val="0.16561510534352253"/>
                    </c:manualLayout>
                  </c15:layout>
                </c:ext>
                <c:ext xmlns:c16="http://schemas.microsoft.com/office/drawing/2014/chart" uri="{C3380CC4-5D6E-409C-BE32-E72D297353CC}">
                  <c16:uniqueId val="{00000003-5981-4BDE-9908-961948DDA782}"/>
                </c:ext>
              </c:extLst>
            </c:dLbl>
            <c:dLbl>
              <c:idx val="2"/>
              <c:layout>
                <c:manualLayout>
                  <c:x val="1.6641299441557594E-2"/>
                  <c:y val="-1.381815412179888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0394616624182013"/>
                      <c:h val="0.16561510534352253"/>
                    </c:manualLayout>
                  </c15:layout>
                </c:ext>
                <c:ext xmlns:c16="http://schemas.microsoft.com/office/drawing/2014/chart" uri="{C3380CC4-5D6E-409C-BE32-E72D297353CC}">
                  <c16:uniqueId val="{00000005-5981-4BDE-9908-961948DDA782}"/>
                </c:ext>
              </c:extLst>
            </c:dLbl>
            <c:dLbl>
              <c:idx val="3"/>
              <c:layout>
                <c:manualLayout>
                  <c:x val="1.6666666666666666E-2"/>
                  <c:y val="0.24999999999999994"/>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981-4BDE-9908-961948DDA782}"/>
                </c:ext>
              </c:extLst>
            </c:dLbl>
            <c:dLbl>
              <c:idx val="4"/>
              <c:layout>
                <c:manualLayout>
                  <c:x val="-1.6615895873719193E-2"/>
                  <c:y val="-4.606136001769939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2056206211553936"/>
                      <c:h val="0.16561510534352253"/>
                    </c:manualLayout>
                  </c15:layout>
                </c:ext>
                <c:ext xmlns:c16="http://schemas.microsoft.com/office/drawing/2014/chart" uri="{C3380CC4-5D6E-409C-BE32-E72D297353CC}">
                  <c16:uniqueId val="{00000009-5981-4BDE-9908-961948DDA7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'International Assistance'!$A$66:$A$70</c:f>
              <c:strCache>
                <c:ptCount val="5"/>
                <c:pt idx="0">
                  <c:v>Groupe électoral II</c:v>
                </c:pt>
                <c:pt idx="1">
                  <c:v>Groupe électoral III</c:v>
                </c:pt>
                <c:pt idx="2">
                  <c:v>Groupe électoral IV</c:v>
                </c:pt>
                <c:pt idx="3">
                  <c:v>Groupe électoral V(a)</c:v>
                </c:pt>
                <c:pt idx="4">
                  <c:v>Groupe électoral V(b)</c:v>
                </c:pt>
              </c:strCache>
            </c:strRef>
          </c:cat>
          <c:val>
            <c:numRef>
              <c:f>'International Assistance'!$B$66:$B$70</c:f>
              <c:numCache>
                <c:formatCode>General</c:formatCode>
                <c:ptCount val="5"/>
                <c:pt idx="0">
                  <c:v>2</c:v>
                </c:pt>
                <c:pt idx="1">
                  <c:v>2</c:v>
                </c:pt>
                <c:pt idx="2">
                  <c:v>1</c:v>
                </c:pt>
                <c:pt idx="3">
                  <c:v>8</c:v>
                </c:pt>
                <c:pt idx="4">
                  <c:v>2</c:v>
                </c:pt>
              </c:numCache>
            </c:numRef>
          </c:val>
          <c:extLst>
            <c:ext xmlns:c16="http://schemas.microsoft.com/office/drawing/2014/chart" uri="{C3380CC4-5D6E-409C-BE32-E72D297353CC}">
              <c16:uniqueId val="{0000000A-5981-4BDE-9908-961948DDA782}"/>
            </c:ext>
          </c:extLst>
        </c:ser>
        <c:dLbls>
          <c:showLegendKey val="0"/>
          <c:showVal val="0"/>
          <c:showCatName val="0"/>
          <c:showSerName val="0"/>
          <c:showPercent val="0"/>
          <c:showBubbleSize val="0"/>
          <c:showLeaderLines val="0"/>
        </c:dLbls>
        <c:firstSliceAng val="143"/>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baseline="0"/>
              <a:t>Projets d'assistance internationale contractualisés en 2020-2021</a:t>
            </a:r>
            <a:endParaRPr lang="en-GB"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5B9BD5"/>
              </a:solidFill>
              <a:ln w="19050">
                <a:solidFill>
                  <a:schemeClr val="lt1"/>
                </a:solidFill>
              </a:ln>
              <a:effectLst/>
            </c:spPr>
            <c:extLst>
              <c:ext xmlns:c16="http://schemas.microsoft.com/office/drawing/2014/chart" uri="{C3380CC4-5D6E-409C-BE32-E72D297353CC}">
                <c16:uniqueId val="{00000001-F429-4257-B5C9-6004774CDCD6}"/>
              </c:ext>
            </c:extLst>
          </c:dPt>
          <c:dPt>
            <c:idx val="1"/>
            <c:bubble3D val="0"/>
            <c:spPr>
              <a:solidFill>
                <a:srgbClr val="ED7D31"/>
              </a:solidFill>
              <a:ln w="19050">
                <a:solidFill>
                  <a:schemeClr val="lt1"/>
                </a:solidFill>
              </a:ln>
              <a:effectLst/>
            </c:spPr>
            <c:extLst>
              <c:ext xmlns:c16="http://schemas.microsoft.com/office/drawing/2014/chart" uri="{C3380CC4-5D6E-409C-BE32-E72D297353CC}">
                <c16:uniqueId val="{00000003-F429-4257-B5C9-6004774CDCD6}"/>
              </c:ext>
            </c:extLst>
          </c:dPt>
          <c:dPt>
            <c:idx val="2"/>
            <c:bubble3D val="0"/>
            <c:spPr>
              <a:solidFill>
                <a:srgbClr val="A5A5A5"/>
              </a:solidFill>
              <a:ln w="19050">
                <a:solidFill>
                  <a:schemeClr val="lt1"/>
                </a:solidFill>
              </a:ln>
              <a:effectLst/>
            </c:spPr>
            <c:extLst>
              <c:ext xmlns:c16="http://schemas.microsoft.com/office/drawing/2014/chart" uri="{C3380CC4-5D6E-409C-BE32-E72D297353CC}">
                <c16:uniqueId val="{00000005-F429-4257-B5C9-6004774CDCD6}"/>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F429-4257-B5C9-6004774CDCD6}"/>
              </c:ext>
            </c:extLst>
          </c:dPt>
          <c:dPt>
            <c:idx val="4"/>
            <c:bubble3D val="0"/>
            <c:spPr>
              <a:solidFill>
                <a:srgbClr val="0070C0"/>
              </a:solidFill>
              <a:ln w="19050">
                <a:solidFill>
                  <a:schemeClr val="lt1"/>
                </a:solidFill>
              </a:ln>
              <a:effectLst/>
            </c:spPr>
            <c:extLst>
              <c:ext xmlns:c16="http://schemas.microsoft.com/office/drawing/2014/chart" uri="{C3380CC4-5D6E-409C-BE32-E72D297353CC}">
                <c16:uniqueId val="{00000009-F429-4257-B5C9-6004774CDCD6}"/>
              </c:ext>
            </c:extLst>
          </c:dPt>
          <c:dPt>
            <c:idx val="5"/>
            <c:bubble3D val="0"/>
            <c:spPr>
              <a:solidFill>
                <a:srgbClr val="70AD47"/>
              </a:solidFill>
              <a:ln w="19050">
                <a:solidFill>
                  <a:schemeClr val="lt1"/>
                </a:solidFill>
              </a:ln>
              <a:effectLst/>
            </c:spPr>
            <c:extLst>
              <c:ext xmlns:c16="http://schemas.microsoft.com/office/drawing/2014/chart" uri="{C3380CC4-5D6E-409C-BE32-E72D297353CC}">
                <c16:uniqueId val="{0000000B-F429-4257-B5C9-6004774CDCD6}"/>
              </c:ext>
            </c:extLst>
          </c:dPt>
          <c:dLbls>
            <c:dLbl>
              <c:idx val="0"/>
              <c:layout>
                <c:manualLayout>
                  <c:x val="0.1111111111111111"/>
                  <c:y val="-9.2592592592592587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429-4257-B5C9-6004774CDCD6}"/>
                </c:ext>
              </c:extLst>
            </c:dLbl>
            <c:dLbl>
              <c:idx val="1"/>
              <c:layout>
                <c:manualLayout>
                  <c:x val="1.1111111111111112E-2"/>
                  <c:y val="0.180555555555555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429-4257-B5C9-6004774CDCD6}"/>
                </c:ext>
              </c:extLst>
            </c:dLbl>
            <c:dLbl>
              <c:idx val="2"/>
              <c:layout>
                <c:manualLayout>
                  <c:x val="-5.2777777777777792E-2"/>
                  <c:y val="8.796296296296292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429-4257-B5C9-6004774CDCD6}"/>
                </c:ext>
              </c:extLst>
            </c:dLbl>
            <c:dLbl>
              <c:idx val="3"/>
              <c:layout>
                <c:manualLayout>
                  <c:x val="-8.888888888888892E-2"/>
                  <c:y val="4.1666666666666623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429-4257-B5C9-6004774CDCD6}"/>
                </c:ext>
              </c:extLst>
            </c:dLbl>
            <c:dLbl>
              <c:idx val="4"/>
              <c:layout>
                <c:manualLayout>
                  <c:x val="5.5555555555555552E-2"/>
                  <c:y val="-1.388888888888891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F429-4257-B5C9-6004774CDCD6}"/>
                </c:ext>
              </c:extLst>
            </c:dLbl>
            <c:dLbl>
              <c:idx val="5"/>
              <c:layout>
                <c:manualLayout>
                  <c:x val="4.9999999999999899E-2"/>
                  <c:y val="0.148148148148148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F429-4257-B5C9-6004774CDC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'International Assistance'!$E$66:$E$71</c:f>
              <c:strCache>
                <c:ptCount val="6"/>
                <c:pt idx="0">
                  <c:v>Préparation des inventaires </c:v>
                </c:pt>
                <c:pt idx="1">
                  <c:v>Sauvegarde d'élément inscrit sur la Liste de sauvegarde urgente </c:v>
                </c:pt>
                <c:pt idx="2">
                  <c:v>Patrimoine culturel immatériel et éducation </c:v>
                </c:pt>
                <c:pt idx="3">
                  <c:v>Renforcement des capacités </c:v>
                </c:pt>
                <c:pt idx="4">
                  <c:v>Élaboration de politiques </c:v>
                </c:pt>
                <c:pt idx="5">
                  <c:v>Autres programmes et projets de sauvegarde </c:v>
                </c:pt>
              </c:strCache>
            </c:strRef>
          </c:cat>
          <c:val>
            <c:numRef>
              <c:f>'International Assistance'!$F$66:$F$71</c:f>
              <c:numCache>
                <c:formatCode>General</c:formatCode>
                <c:ptCount val="6"/>
                <c:pt idx="0">
                  <c:v>6</c:v>
                </c:pt>
                <c:pt idx="1">
                  <c:v>2</c:v>
                </c:pt>
                <c:pt idx="2">
                  <c:v>1</c:v>
                </c:pt>
                <c:pt idx="3">
                  <c:v>3</c:v>
                </c:pt>
                <c:pt idx="4">
                  <c:v>1</c:v>
                </c:pt>
                <c:pt idx="5">
                  <c:v>2</c:v>
                </c:pt>
              </c:numCache>
            </c:numRef>
          </c:val>
          <c:extLst>
            <c:ext xmlns:c16="http://schemas.microsoft.com/office/drawing/2014/chart" uri="{C3380CC4-5D6E-409C-BE32-E72D297353CC}">
              <c16:uniqueId val="{0000000C-F429-4257-B5C9-6004774CDCD6}"/>
            </c:ext>
          </c:extLst>
        </c:ser>
        <c:dLbls>
          <c:showLegendKey val="0"/>
          <c:showVal val="0"/>
          <c:showCatName val="0"/>
          <c:showSerName val="0"/>
          <c:showPercent val="0"/>
          <c:showBubbleSize val="0"/>
          <c:showLeaderLines val="1"/>
        </c:dLbls>
        <c:firstSliceAng val="94"/>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7749-4B8C-4619-8E73-BC209255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GA_Information document_EN.dotx</Template>
  <TotalTime>413</TotalTime>
  <Pages>21</Pages>
  <Words>6045</Words>
  <Characters>34463</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DELICATO, Jade</dc:creator>
  <cp:lastModifiedBy>Nakata, Julien</cp:lastModifiedBy>
  <cp:revision>35</cp:revision>
  <cp:lastPrinted>2022-06-03T10:39:00Z</cp:lastPrinted>
  <dcterms:created xsi:type="dcterms:W3CDTF">2022-06-02T10:25:00Z</dcterms:created>
  <dcterms:modified xsi:type="dcterms:W3CDTF">2022-06-10T20:53:00Z</dcterms:modified>
</cp:coreProperties>
</file>