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B86B3" w14:textId="362F60CF" w:rsidR="00585BD6" w:rsidRDefault="00585BD6" w:rsidP="00585BD6">
      <w:pPr>
        <w:pStyle w:val="GAPara"/>
        <w:numPr>
          <w:ilvl w:val="0"/>
          <w:numId w:val="0"/>
        </w:numPr>
        <w:jc w:val="both"/>
        <w:rPr>
          <w:b/>
          <w:bCs/>
        </w:rPr>
      </w:pPr>
    </w:p>
    <w:p w14:paraId="16B93B9D" w14:textId="3892E42E" w:rsidR="00585BD6" w:rsidRPr="006D1081" w:rsidRDefault="00585BD6" w:rsidP="00585BD6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КОНВЕНЦИЯ ОБ ОХРАНЕ</w:t>
      </w:r>
      <w:r w:rsidR="00763BD1">
        <w:rPr>
          <w:rFonts w:ascii="Arial" w:hAnsi="Arial"/>
          <w:b/>
          <w:sz w:val="22"/>
        </w:rPr>
        <w:br/>
      </w:r>
      <w:r>
        <w:rPr>
          <w:rFonts w:ascii="Arial" w:hAnsi="Arial"/>
          <w:b/>
          <w:sz w:val="22"/>
        </w:rPr>
        <w:t>НЕМАТЕРИАЛЬНОГО</w:t>
      </w:r>
      <w:r w:rsidR="00763BD1" w:rsidRPr="00763BD1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КУЛЬТУРНОГО НАСЛЕДИЯ</w:t>
      </w:r>
    </w:p>
    <w:p w14:paraId="5B30A204" w14:textId="77777777" w:rsidR="00585BD6" w:rsidRPr="006D1081" w:rsidRDefault="00585BD6" w:rsidP="00585BD6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ГЕНЕРАЛЬНАЯ АССАМБЛЕЯ ГОСУДАРСТВ — УЧАСТНИКОВ КОНВЕНЦИИ</w:t>
      </w:r>
    </w:p>
    <w:p w14:paraId="73C46531" w14:textId="77777777" w:rsidR="00585BD6" w:rsidRPr="006D1081" w:rsidRDefault="00585BD6" w:rsidP="00585BD6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Девятая сессия</w:t>
      </w:r>
    </w:p>
    <w:p w14:paraId="506AFEAA" w14:textId="77777777" w:rsidR="00585BD6" w:rsidRPr="006D1081" w:rsidRDefault="00585BD6" w:rsidP="00585BD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Штаб-квартира ЮНЕСКО, зал I</w:t>
      </w:r>
    </w:p>
    <w:p w14:paraId="345680D3" w14:textId="77777777" w:rsidR="00763BD1" w:rsidRPr="002402C9" w:rsidRDefault="00585BD6" w:rsidP="00763BD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5–7 июля 2022 </w:t>
      </w:r>
      <w:r w:rsidR="00763BD1" w:rsidRPr="005652A6">
        <w:rPr>
          <w:rFonts w:ascii="Arial" w:hAnsi="Arial" w:cs="Arial"/>
          <w:b/>
          <w:sz w:val="22"/>
          <w:szCs w:val="22"/>
        </w:rPr>
        <w:t>г.</w:t>
      </w:r>
    </w:p>
    <w:p w14:paraId="4A51269E" w14:textId="77777777" w:rsidR="00585BD6" w:rsidRPr="006D1081" w:rsidRDefault="00585BD6" w:rsidP="00585BD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u w:val="single"/>
        </w:rPr>
        <w:t>Пункт 9 предварительной повестки дня</w:t>
      </w:r>
      <w:r>
        <w:rPr>
          <w:rFonts w:ascii="Arial" w:hAnsi="Arial"/>
          <w:b/>
          <w:sz w:val="22"/>
        </w:rPr>
        <w:t>:</w:t>
      </w:r>
    </w:p>
    <w:p w14:paraId="018E46CD" w14:textId="6AD3F9DC" w:rsidR="00585BD6" w:rsidRPr="006D1081" w:rsidRDefault="000A1C16" w:rsidP="00585BD6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</w:rPr>
      </w:pPr>
      <w:r w:rsidRPr="000A1C16">
        <w:rPr>
          <w:rFonts w:ascii="Arial" w:hAnsi="Arial"/>
          <w:b/>
          <w:sz w:val="22"/>
        </w:rPr>
        <w:t>Глобальные консультации по поводу механизмов внесения элементов в списки Конвенции и предлагаемые поправки в Оперативное руководство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585BD6" w:rsidRPr="006D1081" w14:paraId="3C00DF17" w14:textId="77777777" w:rsidTr="00574A2A">
        <w:trPr>
          <w:jc w:val="center"/>
        </w:trPr>
        <w:tc>
          <w:tcPr>
            <w:tcW w:w="5670" w:type="dxa"/>
            <w:vAlign w:val="center"/>
          </w:tcPr>
          <w:p w14:paraId="4A3ECD36" w14:textId="77777777" w:rsidR="00585BD6" w:rsidRPr="006D1081" w:rsidRDefault="00585BD6" w:rsidP="00574A2A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Резюме</w:t>
            </w:r>
          </w:p>
          <w:p w14:paraId="665366EF" w14:textId="77777777" w:rsidR="00585BD6" w:rsidRPr="006D1081" w:rsidRDefault="00585BD6" w:rsidP="00574A2A">
            <w:pPr>
              <w:pStyle w:val="Sansinterligne1"/>
              <w:spacing w:before="200" w:after="20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Настоящей сессии Генеральной Ассамблеи предлагается рассмотреть предлагаемые поправки к Оперативным директивам в целях выполнения рекомендаций, вынесенных Межправительственной рабочей группой открытого состава (совещания части I, части II и части III) в рамках глобального анализа механизмов включения в список Конвенции.</w:t>
            </w:r>
          </w:p>
          <w:p w14:paraId="28A0CDB8" w14:textId="7E063387" w:rsidR="00585BD6" w:rsidRPr="00244FF9" w:rsidRDefault="00585BD6" w:rsidP="00574A2A">
            <w:pPr>
              <w:pStyle w:val="Sansinterligne2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</w:rPr>
              <w:t xml:space="preserve">Требуемое решение: </w:t>
            </w:r>
            <w:r>
              <w:rPr>
                <w:rFonts w:ascii="Arial" w:hAnsi="Arial"/>
                <w:sz w:val="22"/>
              </w:rPr>
              <w:t>пункт 7</w:t>
            </w:r>
          </w:p>
        </w:tc>
      </w:tr>
    </w:tbl>
    <w:p w14:paraId="61D95126" w14:textId="690B1BEF" w:rsidR="00585BD6" w:rsidRDefault="00585BD6" w:rsidP="00585BD6">
      <w:pPr>
        <w:pStyle w:val="GAPara"/>
        <w:numPr>
          <w:ilvl w:val="0"/>
          <w:numId w:val="0"/>
        </w:numPr>
        <w:jc w:val="both"/>
        <w:rPr>
          <w:b/>
          <w:bCs/>
        </w:rPr>
        <w:sectPr w:rsidR="00585BD6" w:rsidSect="00585BD6">
          <w:headerReference w:type="even" r:id="rId8"/>
          <w:head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B8081D" w14:textId="77777777" w:rsidR="00585BD6" w:rsidRPr="006D1081" w:rsidRDefault="00585BD6" w:rsidP="00510761">
      <w:pPr>
        <w:pStyle w:val="GAPara"/>
        <w:numPr>
          <w:ilvl w:val="0"/>
          <w:numId w:val="0"/>
        </w:numPr>
        <w:ind w:firstLine="567"/>
        <w:jc w:val="both"/>
        <w:rPr>
          <w:b/>
          <w:bCs/>
        </w:rPr>
      </w:pPr>
      <w:r>
        <w:rPr>
          <w:b/>
        </w:rPr>
        <w:lastRenderedPageBreak/>
        <w:t>Введение</w:t>
      </w:r>
    </w:p>
    <w:p w14:paraId="301C3739" w14:textId="77777777" w:rsidR="00585BD6" w:rsidRPr="006D1081" w:rsidRDefault="00585BD6" w:rsidP="00585BD6">
      <w:pPr>
        <w:pStyle w:val="GAPara"/>
        <w:numPr>
          <w:ilvl w:val="0"/>
          <w:numId w:val="20"/>
        </w:numPr>
        <w:ind w:left="567" w:hanging="567"/>
        <w:jc w:val="both"/>
      </w:pPr>
      <w:r>
        <w:t>Настоящей сессии Генеральной Ассамблеи предлагается рассмотреть предлагаемые поправки к оперативным директивам в целях выполнения рекомендаций, вынесенных Межправительственной рабочей группой открытого состава (далее — «рабочая группа») в рамках глобального анализа механизмов включения в список Конвенции.</w:t>
      </w:r>
      <w:r w:rsidRPr="006D1081">
        <w:rPr>
          <w:rStyle w:val="FootnoteReference"/>
        </w:rPr>
        <w:footnoteReference w:id="1"/>
      </w:r>
      <w:r>
        <w:t xml:space="preserve"> Цель глобального анализа состояла в том, чтобы проанализировать намерения и цели механизмов включения в список и найти решения по целому ряду обширных и взаимосвязанных вопросов, выявленных в течение десятилетия работы.</w:t>
      </w:r>
    </w:p>
    <w:p w14:paraId="457F54C2" w14:textId="2EBB82BC" w:rsidR="00585BD6" w:rsidRPr="006D1081" w:rsidRDefault="00585BD6" w:rsidP="00585BD6">
      <w:pPr>
        <w:pStyle w:val="GAPara"/>
        <w:numPr>
          <w:ilvl w:val="0"/>
          <w:numId w:val="20"/>
        </w:numPr>
        <w:ind w:left="567" w:hanging="567"/>
        <w:jc w:val="both"/>
      </w:pPr>
      <w:r>
        <w:t>После начала глобального анализа на тринадцатой сессии Комитета в 2018 году при финансовой поддержке Японии на четырнадцатой сессии Комитета были определены следующие основные пункты:</w:t>
      </w:r>
      <w:r w:rsidRPr="006D1081">
        <w:rPr>
          <w:rStyle w:val="FootnoteReference"/>
        </w:rPr>
        <w:footnoteReference w:id="2"/>
      </w:r>
      <w:r>
        <w:t xml:space="preserve"> а) общий подход к механизмам включения в список; б) вопросы, связанные с критериями включения в список; в) вопросы, связанные с последующей деятельностью в связи с включенными в список элементами; и г) методология оценки заявок (документ </w:t>
      </w:r>
      <w:hyperlink r:id="rId10" w:history="1">
        <w:r>
          <w:rPr>
            <w:rStyle w:val="Hyperlink"/>
          </w:rPr>
          <w:t>LHE/19/14.COM/14</w:t>
        </w:r>
      </w:hyperlink>
      <w:r>
        <w:rPr>
          <w:rStyle w:val="Hyperlink"/>
          <w:u w:val="none"/>
        </w:rPr>
        <w:t xml:space="preserve"> </w:t>
      </w:r>
      <w:r>
        <w:t>и</w:t>
      </w:r>
      <w:r>
        <w:rPr>
          <w:rStyle w:val="Hyperlink"/>
          <w:u w:val="none"/>
        </w:rPr>
        <w:t xml:space="preserve"> </w:t>
      </w:r>
      <w:r>
        <w:rPr>
          <w:rStyle w:val="Hyperlink"/>
        </w:rPr>
        <w:t>решение </w:t>
      </w:r>
      <w:hyperlink r:id="rId11" w:history="1">
        <w:r>
          <w:rPr>
            <w:rStyle w:val="Hyperlink"/>
          </w:rPr>
          <w:t>14.</w:t>
        </w:r>
        <w:r w:rsidR="008E06C8">
          <w:rPr>
            <w:rStyle w:val="Hyperlink"/>
          </w:rPr>
          <w:t>COM</w:t>
        </w:r>
        <w:r w:rsidR="008E06C8">
          <w:rPr>
            <w:rStyle w:val="Hyperlink"/>
            <w:lang w:val="fr-FR"/>
          </w:rPr>
          <w:t> </w:t>
        </w:r>
        <w:r>
          <w:rPr>
            <w:rStyle w:val="Hyperlink"/>
          </w:rPr>
          <w:t>14</w:t>
        </w:r>
      </w:hyperlink>
      <w:r>
        <w:t>).</w:t>
      </w:r>
    </w:p>
    <w:p w14:paraId="40E36228" w14:textId="2B96D18A" w:rsidR="00585BD6" w:rsidRPr="006D1081" w:rsidRDefault="00585BD6" w:rsidP="00585BD6">
      <w:pPr>
        <w:pStyle w:val="GAPara"/>
        <w:numPr>
          <w:ilvl w:val="0"/>
          <w:numId w:val="20"/>
        </w:numPr>
        <w:spacing w:after="360"/>
        <w:ind w:left="567" w:hanging="567"/>
        <w:jc w:val="both"/>
      </w:pPr>
      <w:r>
        <w:t>Этот анализ представлял собой всеобъемлющий процесс, включающий ряд шагов, в том числе консультации экспертов и межправительственные обсуждения, кратко изложенные ниже.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745"/>
        <w:gridCol w:w="4466"/>
        <w:gridCol w:w="2284"/>
      </w:tblGrid>
      <w:tr w:rsidR="00585BD6" w:rsidRPr="006D1081" w14:paraId="02149717" w14:textId="77777777" w:rsidTr="00574A2A">
        <w:tc>
          <w:tcPr>
            <w:tcW w:w="1831" w:type="dxa"/>
            <w:shd w:val="clear" w:color="auto" w:fill="DEEAF6" w:themeFill="accent1" w:themeFillTint="33"/>
          </w:tcPr>
          <w:p w14:paraId="6E395D8A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Даты</w:t>
            </w:r>
          </w:p>
        </w:tc>
        <w:tc>
          <w:tcPr>
            <w:tcW w:w="4946" w:type="dxa"/>
            <w:shd w:val="clear" w:color="auto" w:fill="DEEAF6" w:themeFill="accent1" w:themeFillTint="33"/>
          </w:tcPr>
          <w:p w14:paraId="29C65C23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Сессии</w:t>
            </w:r>
          </w:p>
        </w:tc>
        <w:tc>
          <w:tcPr>
            <w:tcW w:w="2284" w:type="dxa"/>
            <w:shd w:val="clear" w:color="auto" w:fill="DEEAF6" w:themeFill="accent1" w:themeFillTint="33"/>
          </w:tcPr>
          <w:p w14:paraId="39C97EDC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Результаты</w:t>
            </w:r>
          </w:p>
        </w:tc>
      </w:tr>
      <w:tr w:rsidR="00585BD6" w:rsidRPr="006D1081" w14:paraId="3488B4B3" w14:textId="77777777" w:rsidTr="00574A2A">
        <w:trPr>
          <w:cantSplit/>
        </w:trPr>
        <w:tc>
          <w:tcPr>
            <w:tcW w:w="1831" w:type="dxa"/>
          </w:tcPr>
          <w:p w14:paraId="6AF506AC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t>4–9 декабря 2017 г.</w:t>
            </w:r>
          </w:p>
        </w:tc>
        <w:tc>
          <w:tcPr>
            <w:tcW w:w="4946" w:type="dxa"/>
          </w:tcPr>
          <w:p w14:paraId="550DF2F7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Двенадцатая сессия Комитета</w:t>
            </w:r>
          </w:p>
          <w:p w14:paraId="132ECFAA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before="120" w:after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Комитет заявил о необходимости общего анализа намерений и целей механизмов включения в список.</w:t>
            </w:r>
          </w:p>
        </w:tc>
        <w:tc>
          <w:tcPr>
            <w:tcW w:w="2284" w:type="dxa"/>
          </w:tcPr>
          <w:p w14:paraId="05E16FBF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Решение </w:t>
            </w:r>
            <w:hyperlink r:id="rId12" w:history="1">
              <w:r>
                <w:rPr>
                  <w:rStyle w:val="Hyperlink"/>
                  <w:sz w:val="20"/>
                  <w:szCs w:val="20"/>
                </w:rPr>
                <w:t>12.COM 14</w:t>
              </w:r>
            </w:hyperlink>
          </w:p>
        </w:tc>
      </w:tr>
      <w:tr w:rsidR="00585BD6" w:rsidRPr="006D1081" w14:paraId="5118B99D" w14:textId="77777777" w:rsidTr="00574A2A">
        <w:trPr>
          <w:cantSplit/>
        </w:trPr>
        <w:tc>
          <w:tcPr>
            <w:tcW w:w="1831" w:type="dxa"/>
          </w:tcPr>
          <w:p w14:paraId="7B890759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t>26 ноября — 1 декабря</w:t>
            </w:r>
            <w:r>
              <w:t xml:space="preserve"> </w:t>
            </w:r>
            <w:r>
              <w:rPr>
                <w:sz w:val="20"/>
              </w:rPr>
              <w:t>2018 г.</w:t>
            </w:r>
          </w:p>
        </w:tc>
        <w:tc>
          <w:tcPr>
            <w:tcW w:w="4946" w:type="dxa"/>
          </w:tcPr>
          <w:p w14:paraId="52EBD6BE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Тринадцатая сессия Комитета</w:t>
            </w:r>
          </w:p>
          <w:p w14:paraId="3C9A2924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before="120" w:after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Комитет приступил к глобальному анализу механизмов включения в список Конвенции. </w:t>
            </w:r>
          </w:p>
        </w:tc>
        <w:tc>
          <w:tcPr>
            <w:tcW w:w="2284" w:type="dxa"/>
          </w:tcPr>
          <w:p w14:paraId="0129160F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Решение </w:t>
            </w:r>
            <w:hyperlink r:id="rId13" w:history="1">
              <w:r>
                <w:rPr>
                  <w:rStyle w:val="Hyperlink"/>
                  <w:sz w:val="20"/>
                  <w:szCs w:val="20"/>
                </w:rPr>
                <w:t>13.COM 10</w:t>
              </w:r>
            </w:hyperlink>
          </w:p>
          <w:p w14:paraId="203FF7F8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585BD6" w:rsidRPr="006D1081" w14:paraId="226B1C72" w14:textId="77777777" w:rsidTr="00574A2A">
        <w:trPr>
          <w:cantSplit/>
        </w:trPr>
        <w:tc>
          <w:tcPr>
            <w:tcW w:w="1831" w:type="dxa"/>
          </w:tcPr>
          <w:p w14:paraId="3C959D2E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t>9–14 декабря 2019 г.</w:t>
            </w:r>
          </w:p>
        </w:tc>
        <w:tc>
          <w:tcPr>
            <w:tcW w:w="4946" w:type="dxa"/>
          </w:tcPr>
          <w:p w14:paraId="52BBC779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Четырнадцатая сессия Комитета</w:t>
            </w:r>
          </w:p>
          <w:p w14:paraId="08E05E07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before="120" w:after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Комитет провел предварительное обсуждение, представив информацию о направлениях, которым следует следовать в ходе обсуждения.</w:t>
            </w:r>
          </w:p>
        </w:tc>
        <w:tc>
          <w:tcPr>
            <w:tcW w:w="2284" w:type="dxa"/>
          </w:tcPr>
          <w:p w14:paraId="2283E9B1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Решение </w:t>
            </w:r>
            <w:hyperlink r:id="rId14" w:history="1">
              <w:r>
                <w:rPr>
                  <w:rStyle w:val="Hyperlink"/>
                  <w:sz w:val="20"/>
                  <w:szCs w:val="20"/>
                </w:rPr>
                <w:t>14.COM 10</w:t>
              </w:r>
            </w:hyperlink>
          </w:p>
          <w:p w14:paraId="39A8F927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Решение </w:t>
            </w:r>
            <w:hyperlink r:id="rId15" w:history="1">
              <w:r>
                <w:rPr>
                  <w:rStyle w:val="Hyperlink"/>
                  <w:sz w:val="20"/>
                  <w:szCs w:val="20"/>
                </w:rPr>
                <w:t>14.COM 14</w:t>
              </w:r>
            </w:hyperlink>
          </w:p>
        </w:tc>
      </w:tr>
      <w:tr w:rsidR="00585BD6" w:rsidRPr="006D1081" w14:paraId="13B02859" w14:textId="77777777" w:rsidTr="00574A2A">
        <w:trPr>
          <w:cantSplit/>
        </w:trPr>
        <w:tc>
          <w:tcPr>
            <w:tcW w:w="1831" w:type="dxa"/>
          </w:tcPr>
          <w:p w14:paraId="022EFBA3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t>8–10 сентября 2020 г.</w:t>
            </w:r>
          </w:p>
        </w:tc>
        <w:tc>
          <w:tcPr>
            <w:tcW w:w="4946" w:type="dxa"/>
          </w:tcPr>
          <w:p w14:paraId="5F7854DC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Восьмая сессия Генеральной Ассамблеи</w:t>
            </w:r>
          </w:p>
          <w:p w14:paraId="265C620E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before="120" w:after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Генеральная Ассамблея привела в соответствие с формальными требованиями процесс диалога при оценке предложений. Такими были первые результаты анализа, основанные на положительном опыте, полученном в цикле 2019 года, который включал эту возможность на экспериментальной основе.</w:t>
            </w:r>
          </w:p>
        </w:tc>
        <w:tc>
          <w:tcPr>
            <w:tcW w:w="2284" w:type="dxa"/>
          </w:tcPr>
          <w:p w14:paraId="412A6D4E" w14:textId="79F9D976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Постановление </w:t>
            </w:r>
            <w:hyperlink r:id="rId16" w:history="1">
              <w:r>
                <w:rPr>
                  <w:rStyle w:val="Hyperlink"/>
                  <w:sz w:val="20"/>
                  <w:szCs w:val="20"/>
                </w:rPr>
                <w:t>8.GA 10</w:t>
              </w:r>
            </w:hyperlink>
          </w:p>
        </w:tc>
      </w:tr>
      <w:tr w:rsidR="00585BD6" w:rsidRPr="006D1081" w14:paraId="4A679A35" w14:textId="77777777" w:rsidTr="00574A2A">
        <w:trPr>
          <w:cantSplit/>
        </w:trPr>
        <w:tc>
          <w:tcPr>
            <w:tcW w:w="1831" w:type="dxa"/>
          </w:tcPr>
          <w:p w14:paraId="68089E18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t>14–19 декабря 2020 г.</w:t>
            </w:r>
          </w:p>
        </w:tc>
        <w:tc>
          <w:tcPr>
            <w:tcW w:w="4946" w:type="dxa"/>
          </w:tcPr>
          <w:p w14:paraId="2DA5EEAA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Пятнадцатая сессия Комитета</w:t>
            </w:r>
          </w:p>
          <w:p w14:paraId="51C1B178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before="120" w:after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Комитет, заседавший по сокращенной повестке дня в связи с пандемией COVID-19, обсудил проблемы, связанные с нынешним годовым предельным количеством предложений и системой приоритетов.</w:t>
            </w:r>
          </w:p>
        </w:tc>
        <w:tc>
          <w:tcPr>
            <w:tcW w:w="2284" w:type="dxa"/>
          </w:tcPr>
          <w:p w14:paraId="0EC22DE6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Решение </w:t>
            </w:r>
            <w:hyperlink r:id="rId17" w:history="1">
              <w:r>
                <w:rPr>
                  <w:rStyle w:val="Hyperlink"/>
                  <w:sz w:val="20"/>
                  <w:szCs w:val="20"/>
                </w:rPr>
                <w:t>15.COM 9</w:t>
              </w:r>
            </w:hyperlink>
          </w:p>
        </w:tc>
      </w:tr>
      <w:tr w:rsidR="00585BD6" w:rsidRPr="00FE13B8" w14:paraId="7C522B0A" w14:textId="77777777" w:rsidTr="00574A2A">
        <w:trPr>
          <w:cantSplit/>
        </w:trPr>
        <w:tc>
          <w:tcPr>
            <w:tcW w:w="1831" w:type="dxa"/>
          </w:tcPr>
          <w:p w14:paraId="0393D24D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t>26 марта — 11 апреля 2021 г.</w:t>
            </w:r>
          </w:p>
        </w:tc>
        <w:tc>
          <w:tcPr>
            <w:tcW w:w="4946" w:type="dxa"/>
          </w:tcPr>
          <w:p w14:paraId="58F78ECA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Опрос для экспертов</w:t>
            </w:r>
          </w:p>
          <w:p w14:paraId="2C2DCBC7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before="120"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</w:rPr>
              <w:t>Секретариат провел онлайн-опрос среди приблизительно 200 экспертов с целью узнать их мнение относительно основных проблем, выявленных до настоящего времени в отношении механизмов включения в список, а также возможных подходов к поиску решений.</w:t>
            </w:r>
          </w:p>
        </w:tc>
        <w:tc>
          <w:tcPr>
            <w:tcW w:w="2284" w:type="dxa"/>
          </w:tcPr>
          <w:p w14:paraId="73EF5673" w14:textId="77777777" w:rsidR="00585BD6" w:rsidRPr="006D1081" w:rsidRDefault="00AB5505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sz w:val="20"/>
                <w:szCs w:val="20"/>
              </w:rPr>
            </w:pPr>
            <w:hyperlink r:id="rId18" w:history="1">
              <w:r w:rsidR="00585BD6">
                <w:rPr>
                  <w:rStyle w:val="Hyperlink"/>
                  <w:sz w:val="20"/>
                  <w:szCs w:val="20"/>
                </w:rPr>
                <w:t>Результаты опроса</w:t>
              </w:r>
            </w:hyperlink>
          </w:p>
          <w:p w14:paraId="3FD46CB8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sz w:val="20"/>
                <w:szCs w:val="20"/>
              </w:rPr>
            </w:pPr>
          </w:p>
          <w:p w14:paraId="535B9AE5" w14:textId="77777777" w:rsidR="00585BD6" w:rsidRPr="006D1081" w:rsidRDefault="00AB5505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sz w:val="20"/>
                <w:szCs w:val="20"/>
              </w:rPr>
            </w:pPr>
            <w:hyperlink r:id="rId19" w:history="1">
              <w:r w:rsidR="00585BD6">
                <w:rPr>
                  <w:rStyle w:val="Hyperlink"/>
                  <w:sz w:val="20"/>
                  <w:szCs w:val="20"/>
                </w:rPr>
                <w:t>Обобщение</w:t>
              </w:r>
            </w:hyperlink>
            <w:r w:rsidR="00585BD6">
              <w:rPr>
                <w:sz w:val="20"/>
              </w:rPr>
              <w:t xml:space="preserve"> ответов на вопросы опроса</w:t>
            </w:r>
          </w:p>
        </w:tc>
      </w:tr>
      <w:tr w:rsidR="00585BD6" w:rsidRPr="006D1081" w14:paraId="5A6B2EE1" w14:textId="77777777" w:rsidTr="00574A2A">
        <w:trPr>
          <w:cantSplit/>
        </w:trPr>
        <w:tc>
          <w:tcPr>
            <w:tcW w:w="1831" w:type="dxa"/>
          </w:tcPr>
          <w:p w14:paraId="774A1564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t>7, 26 и 27 мая 2021 г.</w:t>
            </w:r>
          </w:p>
        </w:tc>
        <w:tc>
          <w:tcPr>
            <w:tcW w:w="4946" w:type="dxa"/>
          </w:tcPr>
          <w:p w14:paraId="702399C8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Совещание экспертов категории VI</w:t>
            </w:r>
          </w:p>
          <w:p w14:paraId="20CF829F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before="120" w:after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Экспертам было предложено проанализировать и дать свои рекомендации по четырем основным темам. В период между пленарными сессиями состоялась серия тематических групповых сессий.</w:t>
            </w:r>
          </w:p>
        </w:tc>
        <w:tc>
          <w:tcPr>
            <w:tcW w:w="2284" w:type="dxa"/>
          </w:tcPr>
          <w:p w14:paraId="53D2D611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Документ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LHE/21/EXP/7</w:t>
              </w:r>
            </w:hyperlink>
          </w:p>
        </w:tc>
      </w:tr>
      <w:tr w:rsidR="00585BD6" w:rsidRPr="006D1081" w14:paraId="41A32224" w14:textId="77777777" w:rsidTr="00574A2A">
        <w:tc>
          <w:tcPr>
            <w:tcW w:w="1831" w:type="dxa"/>
          </w:tcPr>
          <w:p w14:paraId="5CF24C5F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t>8–9 июля 2021 г.</w:t>
            </w:r>
          </w:p>
        </w:tc>
        <w:tc>
          <w:tcPr>
            <w:tcW w:w="4946" w:type="dxa"/>
          </w:tcPr>
          <w:p w14:paraId="5668C229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Часть I совещания Межправительственной рабочей группы открытого состава</w:t>
            </w:r>
          </w:p>
          <w:p w14:paraId="0BED7D15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before="120" w:after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Рабочая группа обсудила рекомендации, вынесенные на совещании экспертов категории VI, для разработки общего подхода к реформе механизмов включения в список Конвенции.</w:t>
            </w:r>
          </w:p>
        </w:tc>
        <w:tc>
          <w:tcPr>
            <w:tcW w:w="2284" w:type="dxa"/>
          </w:tcPr>
          <w:p w14:paraId="30E44E78" w14:textId="1E2438CE" w:rsidR="00585BD6" w:rsidRPr="00244FF9" w:rsidRDefault="00244FF9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sz w:val="20"/>
                <w:szCs w:val="20"/>
              </w:rPr>
            </w:pPr>
            <w:r w:rsidRPr="00244FF9">
              <w:rPr>
                <w:sz w:val="20"/>
                <w:szCs w:val="20"/>
              </w:rPr>
              <w:t xml:space="preserve">Документ </w:t>
            </w:r>
            <w:hyperlink r:id="rId21" w:history="1">
              <w:r w:rsidRPr="00244FF9">
                <w:rPr>
                  <w:rStyle w:val="Hyperlink"/>
                  <w:sz w:val="20"/>
                  <w:szCs w:val="20"/>
                  <w:lang w:val="fr-FR"/>
                </w:rPr>
                <w:t>LHE/21/16.COM WG/Recommendations</w:t>
              </w:r>
            </w:hyperlink>
          </w:p>
        </w:tc>
      </w:tr>
      <w:tr w:rsidR="00585BD6" w:rsidRPr="006D1081" w14:paraId="183A4672" w14:textId="77777777" w:rsidTr="00574A2A">
        <w:tc>
          <w:tcPr>
            <w:tcW w:w="1831" w:type="dxa"/>
          </w:tcPr>
          <w:p w14:paraId="2A61A309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t>9–10 сентября 2021 г.</w:t>
            </w:r>
          </w:p>
        </w:tc>
        <w:tc>
          <w:tcPr>
            <w:tcW w:w="4946" w:type="dxa"/>
          </w:tcPr>
          <w:p w14:paraId="7EB84F95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Часть II совещания Межправительственной рабочей группы открытого состава</w:t>
            </w:r>
          </w:p>
          <w:p w14:paraId="7FD1F39F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before="120" w:after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На основе части I совещания рабочая группа приняла ряд рекомендаций по вопросам анализа приоритетов, которые будут представлены для рассмотрения на шестнадцатой сессии Комитета.</w:t>
            </w:r>
          </w:p>
        </w:tc>
        <w:tc>
          <w:tcPr>
            <w:tcW w:w="2284" w:type="dxa"/>
          </w:tcPr>
          <w:p w14:paraId="347C1B91" w14:textId="18B56330" w:rsidR="00585BD6" w:rsidRPr="006D1081" w:rsidRDefault="00244FF9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sz w:val="20"/>
                <w:szCs w:val="20"/>
              </w:rPr>
            </w:pPr>
            <w:r w:rsidRPr="00244FF9">
              <w:rPr>
                <w:sz w:val="20"/>
                <w:szCs w:val="20"/>
              </w:rPr>
              <w:t xml:space="preserve">Документ </w:t>
            </w:r>
            <w:hyperlink r:id="rId22" w:history="1">
              <w:r w:rsidRPr="00244FF9">
                <w:rPr>
                  <w:rStyle w:val="Hyperlink"/>
                  <w:sz w:val="20"/>
                  <w:szCs w:val="20"/>
                  <w:lang w:val="fr-FR"/>
                </w:rPr>
                <w:t>LHE/21/16.COM WG/Recommendations</w:t>
              </w:r>
            </w:hyperlink>
          </w:p>
        </w:tc>
      </w:tr>
      <w:tr w:rsidR="00585BD6" w:rsidRPr="006D1081" w14:paraId="19399E83" w14:textId="77777777" w:rsidTr="00574A2A">
        <w:tc>
          <w:tcPr>
            <w:tcW w:w="1831" w:type="dxa"/>
          </w:tcPr>
          <w:p w14:paraId="0EAD42CF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t>13–18 декабря 2021 г.</w:t>
            </w:r>
          </w:p>
        </w:tc>
        <w:tc>
          <w:tcPr>
            <w:tcW w:w="4946" w:type="dxa"/>
          </w:tcPr>
          <w:p w14:paraId="27E8A5F0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Шестнадцатая сессия Комитета</w:t>
            </w:r>
          </w:p>
          <w:p w14:paraId="2332BE82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before="120" w:after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Комитет рекомендовал Генеральной Ассамблее пересмотреть оперативные директивы на основе и с учетом характера рекомендаций, вынесенных в части I совещания рабочей группы.</w:t>
            </w:r>
          </w:p>
        </w:tc>
        <w:tc>
          <w:tcPr>
            <w:tcW w:w="2284" w:type="dxa"/>
          </w:tcPr>
          <w:p w14:paraId="6CC33E4A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Решение </w:t>
            </w:r>
            <w:hyperlink r:id="rId23" w:history="1">
              <w:r>
                <w:rPr>
                  <w:rStyle w:val="Hyperlink"/>
                  <w:sz w:val="20"/>
                  <w:szCs w:val="20"/>
                </w:rPr>
                <w:t>16.COM 14</w:t>
              </w:r>
            </w:hyperlink>
          </w:p>
        </w:tc>
      </w:tr>
      <w:tr w:rsidR="00585BD6" w:rsidRPr="006D1081" w14:paraId="4EDE1047" w14:textId="77777777" w:rsidTr="00574A2A">
        <w:tc>
          <w:tcPr>
            <w:tcW w:w="1831" w:type="dxa"/>
          </w:tcPr>
          <w:p w14:paraId="5282C45B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t>25–26 апреля 2022 г.</w:t>
            </w:r>
          </w:p>
        </w:tc>
        <w:tc>
          <w:tcPr>
            <w:tcW w:w="4946" w:type="dxa"/>
          </w:tcPr>
          <w:p w14:paraId="7DB3BCCF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Часть III совещания Межправительственной рабочей группы открытого состава</w:t>
            </w:r>
          </w:p>
          <w:p w14:paraId="735F44A9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before="120" w:after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Рабочая группа приняла ряд рекомендаций по дополнительным вопросам, определенных в части I и части II совещания и на шестнадцатой сессии Комитета.</w:t>
            </w:r>
          </w:p>
        </w:tc>
        <w:tc>
          <w:tcPr>
            <w:tcW w:w="2284" w:type="dxa"/>
          </w:tcPr>
          <w:p w14:paraId="28DA0427" w14:textId="12783FCD" w:rsidR="00585BD6" w:rsidRPr="00244FF9" w:rsidRDefault="00244FF9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sz w:val="20"/>
                <w:szCs w:val="20"/>
              </w:rPr>
            </w:pPr>
            <w:r w:rsidRPr="00244FF9">
              <w:rPr>
                <w:sz w:val="20"/>
                <w:szCs w:val="20"/>
              </w:rPr>
              <w:t xml:space="preserve">Документ </w:t>
            </w:r>
            <w:hyperlink r:id="rId24" w:history="1">
              <w:r w:rsidRPr="00244FF9">
                <w:rPr>
                  <w:rStyle w:val="Hyperlink"/>
                  <w:sz w:val="20"/>
                  <w:szCs w:val="20"/>
                  <w:lang w:val="fr-FR"/>
                </w:rPr>
                <w:t>LHE/22/17.COM WG/Recommendations</w:t>
              </w:r>
            </w:hyperlink>
          </w:p>
        </w:tc>
      </w:tr>
      <w:tr w:rsidR="00585BD6" w:rsidRPr="006D1081" w14:paraId="5872D1FD" w14:textId="77777777" w:rsidTr="00574A2A">
        <w:tc>
          <w:tcPr>
            <w:tcW w:w="1831" w:type="dxa"/>
          </w:tcPr>
          <w:p w14:paraId="382351E7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t>1 июля 2022 г.</w:t>
            </w:r>
          </w:p>
        </w:tc>
        <w:tc>
          <w:tcPr>
            <w:tcW w:w="4946" w:type="dxa"/>
          </w:tcPr>
          <w:p w14:paraId="3E09EA27" w14:textId="5D58A45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Пятая внеочередная сессия Комитета</w:t>
            </w:r>
          </w:p>
          <w:p w14:paraId="1D68AED7" w14:textId="2CA58442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before="120" w:after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Комитет рекомендовал Генеральной Ассамблее пересмотреть оперативные директивы на основе и с учетом характера рекомендаций, вынесенных в части III совещания рабочей группы.</w:t>
            </w:r>
          </w:p>
        </w:tc>
        <w:tc>
          <w:tcPr>
            <w:tcW w:w="2284" w:type="dxa"/>
          </w:tcPr>
          <w:p w14:paraId="54082B52" w14:textId="79A9337F" w:rsidR="00585BD6" w:rsidRPr="006D1081" w:rsidRDefault="00535910" w:rsidP="00244FF9">
            <w:pPr>
              <w:pStyle w:val="GAPar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t>Решение</w:t>
            </w:r>
            <w:r w:rsidDel="00535910">
              <w:rPr>
                <w:sz w:val="20"/>
              </w:rPr>
              <w:t xml:space="preserve"> </w:t>
            </w:r>
            <w:hyperlink r:id="rId25" w:history="1">
              <w:r w:rsidR="00585BD6" w:rsidRPr="00D14755">
                <w:rPr>
                  <w:rStyle w:val="Hyperlink"/>
                  <w:sz w:val="20"/>
                </w:rPr>
                <w:t>5.EXT.COM 4</w:t>
              </w:r>
            </w:hyperlink>
          </w:p>
        </w:tc>
      </w:tr>
      <w:tr w:rsidR="00585BD6" w:rsidRPr="00FE13B8" w14:paraId="2AD9F3E1" w14:textId="77777777" w:rsidTr="00574A2A">
        <w:tc>
          <w:tcPr>
            <w:tcW w:w="1831" w:type="dxa"/>
          </w:tcPr>
          <w:p w14:paraId="47EEB1A6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t>5–7 июля 2022 г.</w:t>
            </w:r>
          </w:p>
        </w:tc>
        <w:tc>
          <w:tcPr>
            <w:tcW w:w="4946" w:type="dxa"/>
          </w:tcPr>
          <w:p w14:paraId="2B2205DF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Девятая сессия Генеральной Ассамблеи</w:t>
            </w:r>
          </w:p>
          <w:p w14:paraId="53480A50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before="120"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</w:rPr>
              <w:t>На этой сессии Генеральной Ассамблеи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предлагается рассмотреть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предлагаемые поправки к оперативным директивам в целях выполнения рекомендаций рабочей группы (совещания части I, части II и части III).</w:t>
            </w:r>
          </w:p>
        </w:tc>
        <w:tc>
          <w:tcPr>
            <w:tcW w:w="2284" w:type="dxa"/>
          </w:tcPr>
          <w:p w14:paraId="0DC071C9" w14:textId="77777777" w:rsidR="00585BD6" w:rsidRPr="006D1081" w:rsidRDefault="00585BD6" w:rsidP="00574A2A">
            <w:pPr>
              <w:pStyle w:val="GAPar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t>Проект решения 9.GA 9 (см. ниже)</w:t>
            </w:r>
          </w:p>
        </w:tc>
      </w:tr>
    </w:tbl>
    <w:p w14:paraId="066DB9A3" w14:textId="77777777" w:rsidR="00585BD6" w:rsidRPr="006D1081" w:rsidRDefault="00585BD6" w:rsidP="00585BD6">
      <w:pPr>
        <w:pStyle w:val="GAPara"/>
        <w:keepNext/>
        <w:numPr>
          <w:ilvl w:val="0"/>
          <w:numId w:val="20"/>
        </w:numPr>
        <w:spacing w:before="240"/>
        <w:ind w:left="567" w:hanging="567"/>
        <w:jc w:val="both"/>
      </w:pPr>
      <w:r>
        <w:t>Процесс анализа по существу был начат Межправительственной рабочей группой открытого состава, созванной в рамках трехстороннего совещания.</w:t>
      </w:r>
    </w:p>
    <w:p w14:paraId="3A774CDA" w14:textId="77777777" w:rsidR="00585BD6" w:rsidRPr="006D1081" w:rsidRDefault="00585BD6" w:rsidP="00585BD6">
      <w:pPr>
        <w:pStyle w:val="GAPara"/>
        <w:keepNext/>
        <w:numPr>
          <w:ilvl w:val="0"/>
          <w:numId w:val="0"/>
        </w:numPr>
        <w:ind w:left="567"/>
        <w:jc w:val="both"/>
        <w:rPr>
          <w:u w:val="single"/>
        </w:rPr>
      </w:pPr>
      <w:r>
        <w:rPr>
          <w:u w:val="single"/>
        </w:rPr>
        <w:t>Часть I (8–9 июля 2021 г.) и часть II (9–10 сентября 2021 г.)</w:t>
      </w:r>
    </w:p>
    <w:p w14:paraId="0DCC083D" w14:textId="77777777" w:rsidR="00585BD6" w:rsidRPr="006D1081" w:rsidRDefault="00585BD6" w:rsidP="00585BD6">
      <w:pPr>
        <w:pStyle w:val="COMPara"/>
        <w:keepNext/>
        <w:spacing w:before="240"/>
        <w:ind w:left="562" w:firstLine="0"/>
        <w:jc w:val="both"/>
      </w:pPr>
      <w:r>
        <w:t xml:space="preserve">А. Рабочая группа сосредоточила свое внимание на трех основных вопросах анализа, запрошенных Комитетом: критерий R.2, конкретные процедуры удаления или переноса элементов из списков и между ними, а также увеличение числа предложений из нескольких государств. Были представлены рекомендации совещаний по части I и части II (документ </w:t>
      </w:r>
      <w:hyperlink r:id="rId26" w:history="1">
        <w:r>
          <w:rPr>
            <w:rStyle w:val="Hyperlink"/>
          </w:rPr>
          <w:t>LHE/21/16.COM</w:t>
        </w:r>
        <w:r>
          <w:rPr>
            <w:rStyle w:val="Hyperlink"/>
            <w:lang w:val="fr-FR"/>
          </w:rPr>
          <w:t> </w:t>
        </w:r>
        <w:r>
          <w:rPr>
            <w:rStyle w:val="Hyperlink"/>
          </w:rPr>
          <w:t>14</w:t>
        </w:r>
      </w:hyperlink>
      <w:r>
        <w:t>) в виде поправок к оперативным директивам на шестнадцатой сессии Комитета, который, в свою очередь, рекомендовал Генеральной Ассамблее пересмотреть оперативные директивы на основе и с учетом характера этих рекомендаций (решение</w:t>
      </w:r>
      <w:r>
        <w:rPr>
          <w:lang w:val="fr-FR"/>
        </w:rPr>
        <w:t> </w:t>
      </w:r>
      <w:hyperlink r:id="rId27" w:history="1">
        <w:r>
          <w:rPr>
            <w:rStyle w:val="Hyperlink"/>
          </w:rPr>
          <w:t>16.COM</w:t>
        </w:r>
        <w:r>
          <w:rPr>
            <w:rStyle w:val="Hyperlink"/>
            <w:lang w:val="fr-FR"/>
          </w:rPr>
          <w:t> </w:t>
        </w:r>
        <w:r>
          <w:rPr>
            <w:rStyle w:val="Hyperlink"/>
          </w:rPr>
          <w:t>14</w:t>
        </w:r>
      </w:hyperlink>
      <w:r>
        <w:t>).</w:t>
      </w:r>
    </w:p>
    <w:p w14:paraId="6764B2BF" w14:textId="77777777" w:rsidR="00585BD6" w:rsidRPr="006D1081" w:rsidRDefault="00585BD6" w:rsidP="00585BD6">
      <w:pPr>
        <w:pStyle w:val="GAPara"/>
        <w:numPr>
          <w:ilvl w:val="0"/>
          <w:numId w:val="0"/>
        </w:numPr>
        <w:ind w:left="567"/>
        <w:jc w:val="both"/>
        <w:rPr>
          <w:u w:val="single"/>
        </w:rPr>
      </w:pPr>
      <w:r>
        <w:rPr>
          <w:u w:val="single"/>
        </w:rPr>
        <w:t>Часть III (25–26 апреля 2022 г.)</w:t>
      </w:r>
    </w:p>
    <w:p w14:paraId="1D2A3822" w14:textId="16246C9C" w:rsidR="00585BD6" w:rsidRPr="006D1081" w:rsidRDefault="00585BD6" w:rsidP="00585BD6">
      <w:pPr>
        <w:pStyle w:val="GAPara"/>
        <w:numPr>
          <w:ilvl w:val="0"/>
          <w:numId w:val="0"/>
        </w:numPr>
        <w:ind w:left="567"/>
        <w:jc w:val="both"/>
      </w:pPr>
      <w:r>
        <w:t xml:space="preserve">Б. Рабочая группа рассмотрела вопросы, связанные с ежегодным количеством файлов (включая такие смежные аспекты, как состав и методы работы Органа по оценке и другие технические вопросы, которые, как было установлено, требуют дальнейшего рассмотрения). На пятой внеочередной сессии Комитета были представлены рекомендации по части III </w:t>
      </w:r>
      <w:r w:rsidR="00535910" w:rsidRPr="00510761">
        <w:t>(</w:t>
      </w:r>
      <w:r>
        <w:t xml:space="preserve">документ </w:t>
      </w:r>
      <w:hyperlink r:id="rId28" w:history="1">
        <w:r>
          <w:rPr>
            <w:rStyle w:val="Hyperlink"/>
          </w:rPr>
          <w:t>LHE/22/5.EXT.COM/4</w:t>
        </w:r>
      </w:hyperlink>
      <w:r>
        <w:t>), также в виде поправок к оперативным директивам согласно которым, в свою очередь, Генеральной Ассамблее рекомендовалось пересмотреть оперативные директивы на основе и с учетом характера этих рекомендаций (решение 5.EXT.COM 4).</w:t>
      </w:r>
    </w:p>
    <w:p w14:paraId="77B835A8" w14:textId="53F16B74" w:rsidR="00585BD6" w:rsidRPr="00DD4934" w:rsidRDefault="00585BD6" w:rsidP="00585BD6">
      <w:pPr>
        <w:pStyle w:val="GAPara"/>
        <w:numPr>
          <w:ilvl w:val="0"/>
          <w:numId w:val="20"/>
        </w:numPr>
        <w:ind w:left="567" w:hanging="567"/>
        <w:jc w:val="both"/>
      </w:pPr>
      <w:r>
        <w:t xml:space="preserve">Упомянутые выше изменения к оперативным директивам представлены </w:t>
      </w:r>
      <w:r w:rsidRPr="00DD4934">
        <w:t xml:space="preserve">в </w:t>
      </w:r>
      <w:hyperlink w:anchor="Annex" w:history="1">
        <w:r w:rsidRPr="00574A2A">
          <w:rPr>
            <w:rStyle w:val="Hyperlink"/>
          </w:rPr>
          <w:t>приложении</w:t>
        </w:r>
      </w:hyperlink>
      <w:r w:rsidRPr="00DD4934">
        <w:t xml:space="preserve"> ко вниманию участников настоящей сессии Генеральной Ассамблеи. </w:t>
      </w:r>
    </w:p>
    <w:p w14:paraId="70EF6EE8" w14:textId="77777777" w:rsidR="00585BD6" w:rsidRPr="006D1081" w:rsidRDefault="00585BD6" w:rsidP="00585BD6">
      <w:pPr>
        <w:pStyle w:val="GAPara"/>
        <w:numPr>
          <w:ilvl w:val="0"/>
          <w:numId w:val="21"/>
        </w:numPr>
        <w:jc w:val="both"/>
      </w:pPr>
      <w:r>
        <w:t>Тексты, выделенные серым цветом, касаются изменений, рекомендованных шестнадцатой сессии Комитета, на основе рекомендаций, вынесенных на совещаниях рабочей группы по части I и части II.</w:t>
      </w:r>
    </w:p>
    <w:p w14:paraId="2C7EA44E" w14:textId="579AEB93" w:rsidR="00585BD6" w:rsidRPr="006D1081" w:rsidRDefault="00585BD6" w:rsidP="00585BD6">
      <w:pPr>
        <w:pStyle w:val="GAPara"/>
        <w:keepLines/>
        <w:numPr>
          <w:ilvl w:val="0"/>
          <w:numId w:val="21"/>
        </w:numPr>
        <w:ind w:left="1281" w:hanging="357"/>
        <w:jc w:val="both"/>
      </w:pPr>
      <w:r>
        <w:t>Тексты, выделенные синим цветом, касаются изменений, рекомендованных пятой внеочередной сессией Комитета на основе рекомендаций, вынесенных на совещании рабочей группы по части III.</w:t>
      </w:r>
    </w:p>
    <w:p w14:paraId="11721F14" w14:textId="77777777" w:rsidR="00585BD6" w:rsidRPr="006D1081" w:rsidRDefault="00585BD6" w:rsidP="00585BD6">
      <w:pPr>
        <w:pStyle w:val="GAPara"/>
        <w:numPr>
          <w:ilvl w:val="0"/>
          <w:numId w:val="20"/>
        </w:numPr>
        <w:ind w:left="567" w:hanging="567"/>
        <w:jc w:val="both"/>
      </w:pPr>
      <w:r>
        <w:t>Ряд рекомендаций, вынесенных рабочей группой, не отражены в форме поправок к оперативным директивам. Вместо этого они будут осуществляться на основе пересмотра форм выдвижения предложений (например, вопросы, связанные с критерием R.2), решений Комитета (например, корректировки системы приоритетов в отношении файлов от нескольких государств) или в качестве общей практики (например, использование гендерно-нейтральных и инклюзивных формулировок). В связи с этим следует также отметить, что глобальный анализ привел к возникновению новой инициативы по более широкому осуществлению статьи 18 Конвенции. Этот новый анализ включает продолжение дискуссий об активизации диалога и общении между заинтересованными сторонами Конвенции. Уже при поддержке Швеции планируется, что совещание экспертов категории VI будет созвано в начале 2023 года для подготовки межправительственной рабочей группы открытого состава, которое состоится в конце 2023 года.</w:t>
      </w:r>
    </w:p>
    <w:p w14:paraId="621EF477" w14:textId="77777777" w:rsidR="00585BD6" w:rsidRPr="006D1081" w:rsidRDefault="00585BD6" w:rsidP="00585BD6">
      <w:pPr>
        <w:pStyle w:val="GAPara"/>
        <w:keepNext/>
        <w:numPr>
          <w:ilvl w:val="0"/>
          <w:numId w:val="20"/>
        </w:numPr>
        <w:ind w:left="567" w:hanging="567"/>
        <w:jc w:val="both"/>
        <w:rPr>
          <w:rFonts w:eastAsia="SimSun"/>
        </w:rPr>
      </w:pPr>
      <w:r>
        <w:t>Генеральной Ассамблее предлагается принять резолюцию изложенного ниже содержания.</w:t>
      </w:r>
    </w:p>
    <w:p w14:paraId="58956DE5" w14:textId="77777777" w:rsidR="00585BD6" w:rsidRPr="006D1081" w:rsidRDefault="00585BD6" w:rsidP="00585BD6">
      <w:pPr>
        <w:pStyle w:val="GATitleResolution"/>
      </w:pPr>
      <w:r>
        <w:t>ПРОЕКТ РЕЗОЛЮЦИИ 9.GA 9</w:t>
      </w:r>
    </w:p>
    <w:p w14:paraId="77A5BCE9" w14:textId="3FE1B704" w:rsidR="00585BD6" w:rsidRPr="006D1081" w:rsidRDefault="00585BD6" w:rsidP="00585BD6">
      <w:pPr>
        <w:pStyle w:val="GAPreambulaResolution"/>
        <w:rPr>
          <w:rFonts w:eastAsia="SimSun"/>
        </w:rPr>
      </w:pPr>
      <w:r>
        <w:t xml:space="preserve">Генеральная </w:t>
      </w:r>
      <w:r w:rsidR="00244FF9">
        <w:rPr>
          <w:lang w:val="en-GB"/>
        </w:rPr>
        <w:t>a</w:t>
      </w:r>
      <w:r>
        <w:t>ссамблея,</w:t>
      </w:r>
    </w:p>
    <w:p w14:paraId="2C4D24DE" w14:textId="22F9169E" w:rsidR="00585BD6" w:rsidRPr="006D1081" w:rsidRDefault="00244FF9" w:rsidP="00585BD6">
      <w:pPr>
        <w:pStyle w:val="COMParaDecision"/>
        <w:numPr>
          <w:ilvl w:val="0"/>
          <w:numId w:val="3"/>
        </w:numPr>
        <w:ind w:left="1134" w:hanging="567"/>
      </w:pPr>
      <w:r>
        <w:t>Р</w:t>
      </w:r>
      <w:r w:rsidR="00585BD6">
        <w:t>ассмотрев</w:t>
      </w:r>
      <w:r w:rsidR="00585BD6">
        <w:rPr>
          <w:u w:val="none"/>
        </w:rPr>
        <w:t xml:space="preserve"> документ LHE/22/9.GA/9 и приложения к нему,</w:t>
      </w:r>
    </w:p>
    <w:p w14:paraId="268C139E" w14:textId="239F414C" w:rsidR="00585BD6" w:rsidRPr="006D1081" w:rsidRDefault="00244FF9" w:rsidP="00585BD6">
      <w:pPr>
        <w:pStyle w:val="COMParaDecision"/>
        <w:numPr>
          <w:ilvl w:val="0"/>
          <w:numId w:val="3"/>
        </w:numPr>
        <w:ind w:left="1134" w:hanging="567"/>
      </w:pPr>
      <w:r>
        <w:rPr>
          <w:lang w:val="en-GB"/>
        </w:rPr>
        <w:t>C</w:t>
      </w:r>
      <w:r w:rsidR="00585BD6">
        <w:t>сылаясь</w:t>
      </w:r>
      <w:r w:rsidR="00585BD6">
        <w:rPr>
          <w:u w:val="none"/>
        </w:rPr>
        <w:t xml:space="preserve"> на решение </w:t>
      </w:r>
      <w:hyperlink r:id="rId29" w:history="1">
        <w:r w:rsidR="00585BD6" w:rsidRPr="00D51EC6">
          <w:rPr>
            <w:rStyle w:val="Hyperlink"/>
          </w:rPr>
          <w:t>16.COM 14</w:t>
        </w:r>
      </w:hyperlink>
      <w:r w:rsidR="00585BD6">
        <w:rPr>
          <w:u w:val="none"/>
        </w:rPr>
        <w:t xml:space="preserve"> и документ </w:t>
      </w:r>
      <w:hyperlink r:id="rId30" w:history="1">
        <w:r w:rsidR="00585BD6" w:rsidRPr="00D51EC6">
          <w:rPr>
            <w:rStyle w:val="Hyperlink"/>
          </w:rPr>
          <w:t>LHE/21/16.COM 14</w:t>
        </w:r>
      </w:hyperlink>
      <w:r w:rsidR="00585BD6">
        <w:rPr>
          <w:u w:val="none"/>
        </w:rPr>
        <w:t xml:space="preserve"> а также на решение </w:t>
      </w:r>
      <w:hyperlink r:id="rId31" w:history="1">
        <w:r w:rsidR="00585BD6" w:rsidRPr="00D51EC6">
          <w:rPr>
            <w:rStyle w:val="Hyperlink"/>
          </w:rPr>
          <w:t>5.EXT.</w:t>
        </w:r>
        <w:r w:rsidR="00A22A7B" w:rsidRPr="00D51EC6">
          <w:rPr>
            <w:rStyle w:val="Hyperlink"/>
          </w:rPr>
          <w:t>COM</w:t>
        </w:r>
        <w:r w:rsidR="00A22A7B">
          <w:rPr>
            <w:rStyle w:val="Hyperlink"/>
            <w:lang w:val="fr-FR"/>
          </w:rPr>
          <w:t> </w:t>
        </w:r>
        <w:r w:rsidR="00585BD6" w:rsidRPr="00D51EC6">
          <w:rPr>
            <w:rStyle w:val="Hyperlink"/>
          </w:rPr>
          <w:t>4</w:t>
        </w:r>
      </w:hyperlink>
      <w:r w:rsidR="00585BD6">
        <w:rPr>
          <w:u w:val="none"/>
        </w:rPr>
        <w:t xml:space="preserve"> и документ </w:t>
      </w:r>
      <w:hyperlink r:id="rId32" w:history="1">
        <w:r w:rsidR="00585BD6" w:rsidRPr="00D51EC6">
          <w:rPr>
            <w:rStyle w:val="Hyperlink"/>
          </w:rPr>
          <w:t>LHE/22/5.EXT.COM/4</w:t>
        </w:r>
      </w:hyperlink>
      <w:r w:rsidR="00585BD6">
        <w:rPr>
          <w:u w:val="none"/>
        </w:rPr>
        <w:t>,</w:t>
      </w:r>
    </w:p>
    <w:p w14:paraId="66D96C5D" w14:textId="7AE4B49A" w:rsidR="00585BD6" w:rsidRPr="006D1081" w:rsidRDefault="00244FF9" w:rsidP="00585BD6">
      <w:pPr>
        <w:pStyle w:val="COMParaDecision"/>
        <w:numPr>
          <w:ilvl w:val="0"/>
          <w:numId w:val="3"/>
        </w:numPr>
        <w:ind w:left="1134" w:hanging="567"/>
        <w:rPr>
          <w:u w:val="none"/>
        </w:rPr>
      </w:pPr>
      <w:r w:rsidRPr="00244FF9">
        <w:t>П</w:t>
      </w:r>
      <w:r w:rsidR="00585BD6">
        <w:t>ринимает к сведению</w:t>
      </w:r>
      <w:r w:rsidR="00585BD6">
        <w:rPr>
          <w:u w:val="none"/>
        </w:rPr>
        <w:t xml:space="preserve"> поправки к оперативным директивам, представленные на шестнадцатой сессии Комитета по итогам совещаний в рамках части I и части II Межправительственной рабочей группы открытого состава;</w:t>
      </w:r>
    </w:p>
    <w:p w14:paraId="3E1F0F11" w14:textId="13FBD6BB" w:rsidR="00585BD6" w:rsidRPr="0085587C" w:rsidRDefault="00244FF9" w:rsidP="00585BD6">
      <w:pPr>
        <w:pStyle w:val="COMParaDecision"/>
        <w:numPr>
          <w:ilvl w:val="0"/>
          <w:numId w:val="3"/>
        </w:numPr>
        <w:ind w:left="1134" w:hanging="567"/>
        <w:rPr>
          <w:u w:val="none"/>
        </w:rPr>
      </w:pPr>
      <w:r w:rsidRPr="00510761">
        <w:t>Д</w:t>
      </w:r>
      <w:r w:rsidR="00585BD6">
        <w:t>алее принимает к сведению</w:t>
      </w:r>
      <w:r w:rsidR="00585BD6">
        <w:rPr>
          <w:u w:val="none"/>
        </w:rPr>
        <w:t xml:space="preserve"> изменения к оперативным директивам, представленные на пятой внеочередной сессии Комитета по итогам совещания в рамках части III Межправительственной рабочей группы открытого состава;</w:t>
      </w:r>
    </w:p>
    <w:p w14:paraId="4891CC80" w14:textId="1DB17D6A" w:rsidR="00585BD6" w:rsidRPr="0085587C" w:rsidRDefault="00244FF9" w:rsidP="00585BD6">
      <w:pPr>
        <w:pStyle w:val="COMParaDecision"/>
        <w:numPr>
          <w:ilvl w:val="0"/>
          <w:numId w:val="3"/>
        </w:numPr>
        <w:ind w:left="1134" w:hanging="567"/>
        <w:rPr>
          <w:u w:val="none"/>
        </w:rPr>
      </w:pPr>
      <w:r w:rsidRPr="00244FF9">
        <w:t>Б</w:t>
      </w:r>
      <w:r w:rsidR="00585BD6">
        <w:t>лагодарит</w:t>
      </w:r>
      <w:r w:rsidR="00585BD6">
        <w:rPr>
          <w:u w:val="none"/>
        </w:rPr>
        <w:t xml:space="preserve"> Японию за поддержку глобального анализа механизмов включения Конвенции;</w:t>
      </w:r>
    </w:p>
    <w:p w14:paraId="1C5F35BA" w14:textId="240F52CD" w:rsidR="00585BD6" w:rsidRDefault="00244FF9" w:rsidP="00585BD6">
      <w:pPr>
        <w:pStyle w:val="COMParaDecision"/>
        <w:numPr>
          <w:ilvl w:val="0"/>
          <w:numId w:val="3"/>
        </w:numPr>
        <w:ind w:left="1134" w:hanging="567"/>
        <w:rPr>
          <w:u w:val="none"/>
        </w:rPr>
      </w:pPr>
      <w:r>
        <w:rPr>
          <w:lang w:val="en-GB"/>
        </w:rPr>
        <w:t>B</w:t>
      </w:r>
      <w:r w:rsidR="00585BD6">
        <w:t>ыражает признательность</w:t>
      </w:r>
      <w:r w:rsidR="00585BD6">
        <w:rPr>
          <w:u w:val="none"/>
        </w:rPr>
        <w:t xml:space="preserve"> Межправительственной рабочей группе открытого состава и экспертам, принявшим участие в консультациях, за их работу, самоотверженность и вовлеченность;</w:t>
      </w:r>
    </w:p>
    <w:p w14:paraId="0B9CD147" w14:textId="61A1DE6F" w:rsidR="00585BD6" w:rsidRPr="00574A2A" w:rsidRDefault="00244FF9" w:rsidP="00585BD6">
      <w:pPr>
        <w:pStyle w:val="COMParaDecision"/>
        <w:numPr>
          <w:ilvl w:val="0"/>
          <w:numId w:val="3"/>
        </w:numPr>
        <w:ind w:left="1134" w:hanging="567"/>
      </w:pPr>
      <w:r w:rsidRPr="00244FF9">
        <w:t>П</w:t>
      </w:r>
      <w:r w:rsidR="00585BD6" w:rsidRPr="00D158E0">
        <w:t>ринимает</w:t>
      </w:r>
      <w:r w:rsidR="00585BD6">
        <w:t xml:space="preserve"> к сведению</w:t>
      </w:r>
      <w:r w:rsidR="00585BD6" w:rsidRPr="00D158E0">
        <w:rPr>
          <w:u w:val="none"/>
        </w:rPr>
        <w:t xml:space="preserve"> отдельную инициативу, выдвинутую для рассмотрения вопроса о более широком осуществлении статьи 18 Конвенции, </w:t>
      </w:r>
      <w:r w:rsidR="00585BD6" w:rsidRPr="003B7B76">
        <w:t>благодарит</w:t>
      </w:r>
      <w:r w:rsidR="00585BD6" w:rsidRPr="00574A2A">
        <w:rPr>
          <w:u w:val="none"/>
        </w:rPr>
        <w:t xml:space="preserve"> Швецию за поддержку этой инициативы и </w:t>
      </w:r>
      <w:r w:rsidR="00585BD6" w:rsidRPr="00D13473">
        <w:t>просит</w:t>
      </w:r>
      <w:r w:rsidR="00585BD6" w:rsidRPr="00574A2A">
        <w:rPr>
          <w:u w:val="none"/>
        </w:rPr>
        <w:t xml:space="preserve"> Секретариат представить доклад о ходе работы десятой сессии Генеральной Ассамблеи;</w:t>
      </w:r>
    </w:p>
    <w:p w14:paraId="1A1546D2" w14:textId="207EF350" w:rsidR="00585BD6" w:rsidRPr="00574A2A" w:rsidRDefault="00244FF9" w:rsidP="00585BD6">
      <w:pPr>
        <w:pStyle w:val="COMParaDecision"/>
        <w:numPr>
          <w:ilvl w:val="0"/>
          <w:numId w:val="3"/>
        </w:numPr>
        <w:ind w:left="1134" w:hanging="567"/>
        <w:rPr>
          <w:b/>
        </w:rPr>
      </w:pPr>
      <w:r w:rsidRPr="00244FF9">
        <w:t>П</w:t>
      </w:r>
      <w:r w:rsidR="00585BD6" w:rsidRPr="00574A2A">
        <w:t>остановляет</w:t>
      </w:r>
      <w:r w:rsidR="00585BD6" w:rsidRPr="00D158E0">
        <w:rPr>
          <w:u w:val="none"/>
        </w:rPr>
        <w:t xml:space="preserve"> утвердить поправки к оперативным директивам, содержащиеся в приложении к настоящей резолюци</w:t>
      </w:r>
    </w:p>
    <w:p w14:paraId="6173458E" w14:textId="77777777" w:rsidR="00585BD6" w:rsidRDefault="00585BD6" w:rsidP="00817B82">
      <w:pPr>
        <w:jc w:val="center"/>
        <w:rPr>
          <w:rFonts w:asciiTheme="minorBidi" w:hAnsiTheme="minorBidi"/>
          <w:b/>
          <w:sz w:val="22"/>
        </w:rPr>
      </w:pPr>
    </w:p>
    <w:p w14:paraId="3A536E5D" w14:textId="2DBDB270" w:rsidR="00585BD6" w:rsidRDefault="00585BD6" w:rsidP="00817B82">
      <w:pPr>
        <w:jc w:val="center"/>
        <w:rPr>
          <w:rFonts w:asciiTheme="minorBidi" w:hAnsiTheme="minorBidi"/>
          <w:b/>
          <w:sz w:val="22"/>
        </w:rPr>
        <w:sectPr w:rsidR="00585BD6" w:rsidSect="00585BD6">
          <w:headerReference w:type="default" r:id="rId33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301B368" w14:textId="248FC3B3" w:rsidR="00817B82" w:rsidRPr="006867E6" w:rsidRDefault="009D00DE" w:rsidP="00817B82">
      <w:pPr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bookmarkStart w:id="0" w:name="Annex"/>
      <w:bookmarkEnd w:id="0"/>
      <w:r w:rsidRPr="006867E6">
        <w:rPr>
          <w:rFonts w:asciiTheme="minorBidi" w:hAnsiTheme="minorBidi"/>
          <w:b/>
          <w:sz w:val="20"/>
          <w:szCs w:val="22"/>
        </w:rPr>
        <w:t>ПРИЛОЖЕНИЕ</w:t>
      </w:r>
    </w:p>
    <w:p w14:paraId="2FB9F8D0" w14:textId="31966D4E" w:rsidR="00645927" w:rsidRPr="006867E6" w:rsidRDefault="00474CF9" w:rsidP="00C45148">
      <w:pPr>
        <w:spacing w:before="240" w:after="360"/>
        <w:jc w:val="center"/>
        <w:rPr>
          <w:rFonts w:asciiTheme="minorBidi" w:hAnsiTheme="minorBidi"/>
          <w:b/>
          <w:caps/>
          <w:sz w:val="20"/>
          <w:szCs w:val="22"/>
        </w:rPr>
      </w:pPr>
      <w:r w:rsidRPr="006867E6">
        <w:rPr>
          <w:rFonts w:asciiTheme="minorBidi" w:hAnsiTheme="minorBidi"/>
          <w:b/>
          <w:caps/>
          <w:sz w:val="20"/>
          <w:szCs w:val="22"/>
        </w:rPr>
        <w:t xml:space="preserve">ПРЕДЛАГАЕМЫЕ ПОПРАВКИ К </w:t>
      </w:r>
      <w:r w:rsidR="00C45148" w:rsidRPr="006867E6">
        <w:rPr>
          <w:rFonts w:asciiTheme="minorBidi" w:hAnsiTheme="minorBidi"/>
          <w:b/>
          <w:caps/>
          <w:sz w:val="20"/>
          <w:szCs w:val="22"/>
        </w:rPr>
        <w:t xml:space="preserve">Оперативному руководству по выполнению Конвенции </w:t>
      </w:r>
    </w:p>
    <w:p w14:paraId="40136290" w14:textId="6F9DB143" w:rsidR="00C45148" w:rsidRPr="006867E6" w:rsidRDefault="009E0E00">
      <w:pPr>
        <w:spacing w:before="240" w:after="360"/>
        <w:jc w:val="both"/>
        <w:rPr>
          <w:rFonts w:asciiTheme="minorBidi" w:hAnsiTheme="minorBidi" w:cstheme="minorBidi"/>
          <w:b/>
          <w:sz w:val="20"/>
          <w:szCs w:val="20"/>
        </w:rPr>
      </w:pPr>
      <w:r w:rsidRPr="006867E6">
        <w:rPr>
          <w:rFonts w:asciiTheme="minorBidi" w:hAnsiTheme="minorBidi" w:cstheme="minorBidi"/>
          <w:b/>
          <w:sz w:val="20"/>
          <w:szCs w:val="20"/>
        </w:rPr>
        <w:t>Примечание</w:t>
      </w:r>
      <w:r w:rsidR="00C45148" w:rsidRPr="006867E6">
        <w:rPr>
          <w:rFonts w:asciiTheme="minorBidi" w:hAnsiTheme="minorBidi" w:cstheme="minorBidi"/>
          <w:b/>
          <w:sz w:val="20"/>
          <w:szCs w:val="20"/>
        </w:rPr>
        <w:t xml:space="preserve"> 1</w:t>
      </w:r>
      <w:r w:rsidRPr="006867E6">
        <w:rPr>
          <w:rFonts w:asciiTheme="minorBidi" w:hAnsiTheme="minorBidi" w:cstheme="minorBidi"/>
          <w:b/>
          <w:sz w:val="20"/>
          <w:szCs w:val="20"/>
        </w:rPr>
        <w:t xml:space="preserve">: </w:t>
      </w:r>
      <w:r w:rsidR="00C45148" w:rsidRPr="006867E6">
        <w:rPr>
          <w:rFonts w:asciiTheme="minorBidi" w:hAnsiTheme="minorBidi" w:cstheme="minorBidi"/>
          <w:bCs/>
          <w:sz w:val="20"/>
          <w:szCs w:val="20"/>
        </w:rPr>
        <w:t xml:space="preserve">Настоящие предлагаемые поправки к Оперативному руководству, выделенные серым цветом, относятся к изменениям, рекомендованным шестнадцатой сессией Комитета (Решение </w:t>
      </w:r>
      <w:hyperlink r:id="rId34" w:history="1">
        <w:r w:rsidR="00C45148" w:rsidRPr="006867E6">
          <w:rPr>
            <w:rStyle w:val="Hyperlink"/>
            <w:rFonts w:asciiTheme="minorBidi" w:hAnsiTheme="minorBidi" w:cstheme="minorBidi"/>
            <w:bCs/>
            <w:sz w:val="20"/>
            <w:szCs w:val="20"/>
          </w:rPr>
          <w:t>16.</w:t>
        </w:r>
        <w:r w:rsidR="00BD26A6" w:rsidRPr="006867E6">
          <w:rPr>
            <w:rStyle w:val="Hyperlink"/>
            <w:rFonts w:asciiTheme="minorBidi" w:hAnsiTheme="minorBidi" w:cstheme="minorBidi"/>
            <w:bCs/>
            <w:sz w:val="20"/>
            <w:szCs w:val="20"/>
          </w:rPr>
          <w:t>COM</w:t>
        </w:r>
        <w:r w:rsidR="00BD26A6">
          <w:rPr>
            <w:rStyle w:val="Hyperlink"/>
            <w:rFonts w:asciiTheme="minorBidi" w:hAnsiTheme="minorBidi" w:cstheme="minorBidi"/>
            <w:bCs/>
            <w:sz w:val="20"/>
            <w:szCs w:val="20"/>
            <w:lang w:val="fr-FR"/>
          </w:rPr>
          <w:t> </w:t>
        </w:r>
        <w:r w:rsidR="00C45148" w:rsidRPr="006867E6">
          <w:rPr>
            <w:rStyle w:val="Hyperlink"/>
            <w:rFonts w:asciiTheme="minorBidi" w:hAnsiTheme="minorBidi" w:cstheme="minorBidi"/>
            <w:bCs/>
            <w:sz w:val="20"/>
            <w:szCs w:val="20"/>
          </w:rPr>
          <w:t>14</w:t>
        </w:r>
      </w:hyperlink>
      <w:r w:rsidR="00C45148" w:rsidRPr="006867E6">
        <w:rPr>
          <w:rFonts w:asciiTheme="minorBidi" w:hAnsiTheme="minorBidi" w:cstheme="minorBidi"/>
          <w:bCs/>
          <w:sz w:val="20"/>
          <w:szCs w:val="20"/>
        </w:rPr>
        <w:t>), на основе и в соответствии с духом рекомендаций заседаний части I (8 и 9 июля 2021 г.) и части II (9 и 10 сентября 2021 г.) рабочей группы.</w:t>
      </w:r>
    </w:p>
    <w:p w14:paraId="69D64FB0" w14:textId="4DF3F359" w:rsidR="009E0E00" w:rsidRPr="006867E6" w:rsidRDefault="00C45148" w:rsidP="006867E6">
      <w:pPr>
        <w:spacing w:before="240" w:after="240"/>
        <w:jc w:val="both"/>
        <w:rPr>
          <w:rFonts w:asciiTheme="minorBidi" w:hAnsiTheme="minorBidi" w:cstheme="minorBidi"/>
          <w:sz w:val="20"/>
          <w:szCs w:val="20"/>
        </w:rPr>
      </w:pPr>
      <w:r w:rsidRPr="006867E6">
        <w:rPr>
          <w:rFonts w:asciiTheme="minorBidi" w:hAnsiTheme="minorBidi" w:cstheme="minorBidi"/>
          <w:b/>
          <w:bCs/>
          <w:sz w:val="20"/>
          <w:szCs w:val="20"/>
        </w:rPr>
        <w:t>Примечание 2</w:t>
      </w:r>
      <w:r w:rsidRPr="006867E6">
        <w:rPr>
          <w:rFonts w:asciiTheme="minorBidi" w:hAnsiTheme="minorBidi" w:cstheme="minorBidi"/>
          <w:sz w:val="20"/>
          <w:szCs w:val="20"/>
        </w:rPr>
        <w:t xml:space="preserve">: Предлагаемые поправки, выделенные синим цветом, относятся к изменениям, которые будут рассмотрены для рекомендации пятой внеочередной сессией Комитета (Решение </w:t>
      </w:r>
      <w:hyperlink r:id="rId35" w:history="1">
        <w:r w:rsidRPr="00D13473">
          <w:rPr>
            <w:rStyle w:val="Hyperlink"/>
            <w:rFonts w:asciiTheme="minorBidi" w:hAnsiTheme="minorBidi" w:cstheme="minorBidi"/>
            <w:sz w:val="20"/>
            <w:szCs w:val="16"/>
          </w:rPr>
          <w:t>5.EXT.COM</w:t>
        </w:r>
        <w:r w:rsidR="00BD26A6" w:rsidRPr="00D13473">
          <w:rPr>
            <w:rStyle w:val="Hyperlink"/>
            <w:rFonts w:asciiTheme="minorBidi" w:hAnsiTheme="minorBidi" w:cstheme="minorBidi"/>
            <w:sz w:val="16"/>
            <w:szCs w:val="16"/>
            <w:lang w:val="fr-FR"/>
          </w:rPr>
          <w:t> </w:t>
        </w:r>
        <w:r w:rsidRPr="00D13473">
          <w:rPr>
            <w:rStyle w:val="Hyperlink"/>
            <w:rFonts w:asciiTheme="minorBidi" w:hAnsiTheme="minorBidi" w:cstheme="minorBidi"/>
            <w:sz w:val="20"/>
            <w:szCs w:val="16"/>
          </w:rPr>
          <w:t>4</w:t>
        </w:r>
      </w:hyperlink>
      <w:r w:rsidRPr="006867E6">
        <w:rPr>
          <w:rFonts w:asciiTheme="minorBidi" w:hAnsiTheme="minorBidi" w:cstheme="minorBidi"/>
          <w:sz w:val="20"/>
          <w:szCs w:val="20"/>
        </w:rPr>
        <w:t>) на основе и в духе рекомендаций заседания III-й части рабочей группы. (25 и 26 апреля 2022 г.).</w:t>
      </w:r>
    </w:p>
    <w:tbl>
      <w:tblPr>
        <w:tblStyle w:val="Grilledutableau2"/>
        <w:tblW w:w="14029" w:type="dxa"/>
        <w:tblLook w:val="04A0" w:firstRow="1" w:lastRow="0" w:firstColumn="1" w:lastColumn="0" w:noHBand="0" w:noVBand="1"/>
      </w:tblPr>
      <w:tblGrid>
        <w:gridCol w:w="562"/>
        <w:gridCol w:w="2101"/>
        <w:gridCol w:w="4397"/>
        <w:gridCol w:w="661"/>
        <w:gridCol w:w="2011"/>
        <w:gridCol w:w="4297"/>
      </w:tblGrid>
      <w:tr w:rsidR="00645927" w:rsidRPr="00756EF7" w14:paraId="4144A4C5" w14:textId="77777777" w:rsidTr="006867E6">
        <w:tc>
          <w:tcPr>
            <w:tcW w:w="7060" w:type="dxa"/>
            <w:gridSpan w:val="3"/>
            <w:shd w:val="clear" w:color="auto" w:fill="DEEAF6" w:themeFill="accent1" w:themeFillTint="33"/>
          </w:tcPr>
          <w:p w14:paraId="5A18BACF" w14:textId="25FFD52B" w:rsidR="00645927" w:rsidRPr="006867E6" w:rsidRDefault="00645927">
            <w:pPr>
              <w:spacing w:before="120" w:after="120"/>
              <w:jc w:val="center"/>
              <w:rPr>
                <w:rFonts w:asciiTheme="minorBidi" w:eastAsia="Yu Mincho" w:hAnsiTheme="minorBidi" w:cstheme="minorBidi"/>
                <w:b/>
                <w:bCs/>
                <w:sz w:val="20"/>
                <w:szCs w:val="20"/>
              </w:rPr>
            </w:pPr>
            <w:bookmarkStart w:id="1" w:name="_Hlk107592770"/>
            <w:r w:rsidRPr="006867E6">
              <w:rPr>
                <w:rFonts w:asciiTheme="minorBidi" w:hAnsiTheme="minorBidi" w:cstheme="minorBidi"/>
                <w:b/>
                <w:sz w:val="20"/>
                <w:szCs w:val="20"/>
              </w:rPr>
              <w:t>Опер</w:t>
            </w:r>
            <w:r w:rsidR="00C45148" w:rsidRPr="006867E6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ативное руководство </w:t>
            </w:r>
            <w:r w:rsidRPr="006867E6">
              <w:rPr>
                <w:rFonts w:asciiTheme="minorBidi" w:hAnsiTheme="minorBidi" w:cstheme="minorBidi"/>
                <w:b/>
                <w:sz w:val="20"/>
                <w:szCs w:val="20"/>
              </w:rPr>
              <w:t>(издание 2020 года)</w:t>
            </w:r>
          </w:p>
        </w:tc>
        <w:tc>
          <w:tcPr>
            <w:tcW w:w="6969" w:type="dxa"/>
            <w:gridSpan w:val="3"/>
            <w:shd w:val="clear" w:color="auto" w:fill="9CC2E5" w:themeFill="accent1" w:themeFillTint="99"/>
          </w:tcPr>
          <w:p w14:paraId="01C36D4C" w14:textId="77777777" w:rsidR="00645927" w:rsidRPr="006867E6" w:rsidRDefault="00645927" w:rsidP="00E450EA">
            <w:pPr>
              <w:spacing w:before="120" w:after="120"/>
              <w:jc w:val="center"/>
              <w:rPr>
                <w:rFonts w:asciiTheme="minorBidi" w:eastAsia="Yu Mincho" w:hAnsiTheme="minorBidi" w:cstheme="minorBidi"/>
                <w:b/>
                <w:bCs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b/>
                <w:sz w:val="20"/>
                <w:szCs w:val="20"/>
              </w:rPr>
              <w:t>Предлагаемые поправки</w:t>
            </w:r>
          </w:p>
        </w:tc>
      </w:tr>
      <w:tr w:rsidR="00645927" w:rsidRPr="00756EF7" w14:paraId="422314E6" w14:textId="77777777" w:rsidTr="006867E6">
        <w:tc>
          <w:tcPr>
            <w:tcW w:w="562" w:type="dxa"/>
            <w:shd w:val="clear" w:color="auto" w:fill="F2F2F2"/>
          </w:tcPr>
          <w:p w14:paraId="01720133" w14:textId="77777777" w:rsidR="00645927" w:rsidRPr="006867E6" w:rsidRDefault="00645927" w:rsidP="00570889">
            <w:pPr>
              <w:keepNext/>
              <w:keepLines/>
              <w:spacing w:before="120" w:after="120"/>
              <w:rPr>
                <w:rFonts w:asciiTheme="minorBidi" w:eastAsia="Yu Mincho" w:hAnsiTheme="minorBidi" w:cstheme="minorBidi"/>
                <w:b/>
                <w:bCs/>
                <w:color w:val="1F4E79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b/>
                <w:color w:val="1F4E79"/>
                <w:sz w:val="20"/>
                <w:szCs w:val="20"/>
              </w:rPr>
              <w:t>I.3</w:t>
            </w:r>
          </w:p>
        </w:tc>
        <w:tc>
          <w:tcPr>
            <w:tcW w:w="6498" w:type="dxa"/>
            <w:gridSpan w:val="2"/>
            <w:shd w:val="clear" w:color="auto" w:fill="F2F2F2"/>
          </w:tcPr>
          <w:p w14:paraId="0DA4ADAA" w14:textId="77777777" w:rsidR="00645927" w:rsidRPr="006867E6" w:rsidRDefault="00645927" w:rsidP="00570889">
            <w:pPr>
              <w:keepNext/>
              <w:keepLines/>
              <w:spacing w:before="120" w:after="120"/>
              <w:rPr>
                <w:rFonts w:asciiTheme="minorBidi" w:eastAsia="Yu Mincho" w:hAnsiTheme="minorBidi" w:cstheme="minorBidi"/>
                <w:b/>
                <w:bCs/>
                <w:color w:val="1F4E79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b/>
                <w:color w:val="1F4E79"/>
                <w:sz w:val="20"/>
                <w:szCs w:val="20"/>
              </w:rPr>
              <w:t>Критерии для отбора программ, проектов и мероприятий, которые наилучшим образом отражают принципы и цели Конвенции</w:t>
            </w:r>
          </w:p>
        </w:tc>
        <w:tc>
          <w:tcPr>
            <w:tcW w:w="661" w:type="dxa"/>
            <w:shd w:val="clear" w:color="auto" w:fill="F2F2F2"/>
          </w:tcPr>
          <w:p w14:paraId="01A705B7" w14:textId="77777777" w:rsidR="00645927" w:rsidRPr="006867E6" w:rsidRDefault="00645927" w:rsidP="00570889">
            <w:pPr>
              <w:keepNext/>
              <w:keepLines/>
              <w:spacing w:before="120" w:after="120"/>
              <w:rPr>
                <w:rFonts w:asciiTheme="minorBidi" w:eastAsia="Yu Mincho" w:hAnsiTheme="minorBidi" w:cstheme="minorBidi"/>
                <w:b/>
                <w:bCs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b/>
                <w:color w:val="1F4E79"/>
                <w:sz w:val="20"/>
                <w:szCs w:val="20"/>
              </w:rPr>
              <w:t>I.3</w:t>
            </w:r>
          </w:p>
        </w:tc>
        <w:tc>
          <w:tcPr>
            <w:tcW w:w="6308" w:type="dxa"/>
            <w:gridSpan w:val="2"/>
            <w:shd w:val="clear" w:color="auto" w:fill="F2F2F2"/>
          </w:tcPr>
          <w:p w14:paraId="7F92E9DF" w14:textId="77777777" w:rsidR="00645927" w:rsidRPr="006867E6" w:rsidRDefault="00645927" w:rsidP="00570889">
            <w:pPr>
              <w:keepNext/>
              <w:keepLines/>
              <w:spacing w:before="120" w:after="12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[Без изменений.]</w:t>
            </w:r>
          </w:p>
        </w:tc>
      </w:tr>
      <w:tr w:rsidR="00474CF9" w:rsidRPr="00756EF7" w14:paraId="5EAB2A7A" w14:textId="77777777" w:rsidTr="006867E6">
        <w:tc>
          <w:tcPr>
            <w:tcW w:w="562" w:type="dxa"/>
          </w:tcPr>
          <w:p w14:paraId="56E59325" w14:textId="77777777" w:rsidR="00474CF9" w:rsidRPr="006867E6" w:rsidRDefault="00474CF9" w:rsidP="00570889">
            <w:pPr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7.</w:t>
            </w:r>
          </w:p>
        </w:tc>
        <w:tc>
          <w:tcPr>
            <w:tcW w:w="6498" w:type="dxa"/>
            <w:gridSpan w:val="2"/>
          </w:tcPr>
          <w:p w14:paraId="404AD93E" w14:textId="77777777" w:rsidR="00474CF9" w:rsidRPr="006867E6" w:rsidRDefault="00474CF9" w:rsidP="00570889">
            <w:pPr>
              <w:widowControl w:val="0"/>
              <w:tabs>
                <w:tab w:val="left" w:pos="2127"/>
                <w:tab w:val="left" w:pos="2176"/>
              </w:tabs>
              <w:autoSpaceDE w:val="0"/>
              <w:autoSpaceDN w:val="0"/>
              <w:spacing w:before="60" w:after="60"/>
              <w:rPr>
                <w:rFonts w:asciiTheme="minorBidi" w:eastAsia="Calibri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[…]</w:t>
            </w:r>
          </w:p>
          <w:p w14:paraId="127D0175" w14:textId="77777777" w:rsidR="00474CF9" w:rsidRPr="006867E6" w:rsidRDefault="00474CF9" w:rsidP="00570889">
            <w:pPr>
              <w:widowControl w:val="0"/>
              <w:tabs>
                <w:tab w:val="left" w:pos="2127"/>
                <w:tab w:val="left" w:pos="2176"/>
              </w:tabs>
              <w:autoSpaceDE w:val="0"/>
              <w:autoSpaceDN w:val="0"/>
              <w:spacing w:before="60" w:after="60"/>
              <w:rPr>
                <w:rFonts w:asciiTheme="minorBidi" w:eastAsia="Calibr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P.9 Программа, проект или мероприятие в первую очередь относятся к конкретным потребностям развивающихся стран.</w:t>
            </w:r>
          </w:p>
        </w:tc>
        <w:tc>
          <w:tcPr>
            <w:tcW w:w="661" w:type="dxa"/>
          </w:tcPr>
          <w:p w14:paraId="60ADA87D" w14:textId="77777777" w:rsidR="00474CF9" w:rsidRPr="006867E6" w:rsidRDefault="00474CF9" w:rsidP="00570889">
            <w:pPr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7.</w:t>
            </w:r>
          </w:p>
        </w:tc>
        <w:tc>
          <w:tcPr>
            <w:tcW w:w="6308" w:type="dxa"/>
            <w:gridSpan w:val="2"/>
          </w:tcPr>
          <w:p w14:paraId="046C220F" w14:textId="77777777" w:rsidR="00474CF9" w:rsidRPr="006867E6" w:rsidRDefault="00474CF9" w:rsidP="00570889">
            <w:pPr>
              <w:snapToGrid w:val="0"/>
              <w:spacing w:before="120" w:after="120"/>
              <w:rPr>
                <w:rFonts w:asciiTheme="minorBidi" w:eastAsia="Yu Mincho" w:hAnsiTheme="minorBidi" w:cstheme="minorBidi"/>
                <w:color w:val="000000" w:themeColor="text1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[…]</w:t>
            </w:r>
          </w:p>
          <w:p w14:paraId="1D479851" w14:textId="071A680D" w:rsidR="00474CF9" w:rsidRPr="006867E6" w:rsidRDefault="00474CF9" w:rsidP="00570889">
            <w:pPr>
              <w:widowControl w:val="0"/>
              <w:tabs>
                <w:tab w:val="left" w:pos="2127"/>
                <w:tab w:val="left" w:pos="2176"/>
              </w:tabs>
              <w:autoSpaceDE w:val="0"/>
              <w:autoSpaceDN w:val="0"/>
              <w:spacing w:before="60" w:after="60"/>
              <w:rPr>
                <w:rFonts w:asciiTheme="minorBidi" w:eastAsia="Calibri" w:hAnsiTheme="minorBidi" w:cstheme="minorBidi"/>
                <w:strike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trike/>
                <w:color w:val="000000" w:themeColor="text1"/>
                <w:sz w:val="20"/>
                <w:szCs w:val="20"/>
                <w:highlight w:val="lightGray"/>
              </w:rPr>
              <w:t>P.9 Программа, проект или мероприятие в первую очередь относятся к конкретным потребностям развивающихся стран.</w:t>
            </w:r>
            <w:r w:rsidR="00245DE5" w:rsidRPr="006867E6"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vertAlign w:val="superscript"/>
                <w:lang w:val="en-US" w:eastAsia="en-US"/>
              </w:rPr>
              <w:footnoteReference w:id="3"/>
            </w:r>
          </w:p>
        </w:tc>
      </w:tr>
      <w:tr w:rsidR="00645927" w:rsidRPr="00756EF7" w14:paraId="33778D79" w14:textId="77777777" w:rsidTr="006867E6">
        <w:tc>
          <w:tcPr>
            <w:tcW w:w="562" w:type="dxa"/>
            <w:shd w:val="clear" w:color="auto" w:fill="F2F2F2"/>
          </w:tcPr>
          <w:p w14:paraId="6789617F" w14:textId="77777777" w:rsidR="00645927" w:rsidRPr="006867E6" w:rsidRDefault="00645927" w:rsidP="00570889">
            <w:pPr>
              <w:keepNext/>
              <w:keepLines/>
              <w:spacing w:before="120" w:after="120"/>
              <w:rPr>
                <w:rFonts w:asciiTheme="minorBidi" w:eastAsia="Yu Mincho" w:hAnsiTheme="minorBidi" w:cstheme="minorBidi"/>
                <w:b/>
                <w:bCs/>
                <w:color w:val="1F4E79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b/>
                <w:color w:val="1F4E79"/>
                <w:sz w:val="20"/>
                <w:szCs w:val="20"/>
              </w:rPr>
              <w:t>I.6</w:t>
            </w:r>
          </w:p>
        </w:tc>
        <w:tc>
          <w:tcPr>
            <w:tcW w:w="6498" w:type="dxa"/>
            <w:gridSpan w:val="2"/>
            <w:shd w:val="clear" w:color="auto" w:fill="F2F2F2"/>
          </w:tcPr>
          <w:p w14:paraId="1C6E3F1F" w14:textId="77777777" w:rsidR="00645927" w:rsidRPr="006867E6" w:rsidRDefault="00645927" w:rsidP="00570889">
            <w:pPr>
              <w:keepNext/>
              <w:keepLines/>
              <w:spacing w:before="120" w:after="120"/>
              <w:rPr>
                <w:rFonts w:asciiTheme="minorBidi" w:eastAsia="Yu Mincho" w:hAnsiTheme="minorBidi" w:cstheme="minorBidi"/>
                <w:b/>
                <w:bCs/>
                <w:color w:val="1F4E79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b/>
                <w:color w:val="1F4E79"/>
                <w:sz w:val="20"/>
                <w:szCs w:val="20"/>
              </w:rPr>
              <w:t>Включение элемента на расширенной или более узкой основе</w:t>
            </w:r>
          </w:p>
        </w:tc>
        <w:tc>
          <w:tcPr>
            <w:tcW w:w="661" w:type="dxa"/>
            <w:shd w:val="clear" w:color="auto" w:fill="F2F2F2"/>
          </w:tcPr>
          <w:p w14:paraId="4C785703" w14:textId="77777777" w:rsidR="00645927" w:rsidRPr="006867E6" w:rsidRDefault="00645927" w:rsidP="00570889">
            <w:pPr>
              <w:keepNext/>
              <w:keepLines/>
              <w:spacing w:before="120" w:after="120"/>
              <w:rPr>
                <w:rFonts w:asciiTheme="minorBidi" w:eastAsia="Yu Mincho" w:hAnsiTheme="minorBidi" w:cstheme="minorBidi"/>
                <w:b/>
                <w:bCs/>
                <w:color w:val="1F4E79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b/>
                <w:color w:val="1F4E79"/>
                <w:sz w:val="20"/>
                <w:szCs w:val="20"/>
              </w:rPr>
              <w:t>I.6</w:t>
            </w:r>
          </w:p>
        </w:tc>
        <w:tc>
          <w:tcPr>
            <w:tcW w:w="6308" w:type="dxa"/>
            <w:gridSpan w:val="2"/>
            <w:shd w:val="clear" w:color="auto" w:fill="F2F2F2"/>
          </w:tcPr>
          <w:p w14:paraId="3FAEE442" w14:textId="77777777" w:rsidR="00645927" w:rsidRPr="006867E6" w:rsidRDefault="00645927" w:rsidP="00570889">
            <w:pPr>
              <w:keepNext/>
              <w:keepLines/>
              <w:spacing w:before="120" w:after="120"/>
              <w:rPr>
                <w:rFonts w:asciiTheme="minorBidi" w:eastAsia="Yu Mincho" w:hAnsiTheme="minorBidi" w:cstheme="minorBidi"/>
                <w:color w:val="1F4E79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1F4E79"/>
                <w:sz w:val="20"/>
                <w:szCs w:val="20"/>
              </w:rPr>
              <w:t>[</w:t>
            </w:r>
            <w:r w:rsidRPr="006867E6">
              <w:rPr>
                <w:rFonts w:asciiTheme="minorBidi" w:hAnsiTheme="minorBidi" w:cstheme="minorBidi"/>
                <w:sz w:val="20"/>
                <w:szCs w:val="20"/>
              </w:rPr>
              <w:t>Без изменений.]</w:t>
            </w:r>
          </w:p>
        </w:tc>
      </w:tr>
      <w:tr w:rsidR="004A134C" w:rsidRPr="00756EF7" w14:paraId="180646FF" w14:textId="77777777" w:rsidTr="006867E6">
        <w:tc>
          <w:tcPr>
            <w:tcW w:w="562" w:type="dxa"/>
          </w:tcPr>
          <w:p w14:paraId="0C7B181A" w14:textId="77777777" w:rsidR="004A134C" w:rsidRPr="006867E6" w:rsidRDefault="004A134C" w:rsidP="00570889">
            <w:pPr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16.</w:t>
            </w:r>
          </w:p>
        </w:tc>
        <w:tc>
          <w:tcPr>
            <w:tcW w:w="6498" w:type="dxa"/>
            <w:gridSpan w:val="2"/>
          </w:tcPr>
          <w:p w14:paraId="69585950" w14:textId="77777777" w:rsidR="004A134C" w:rsidRPr="006867E6" w:rsidRDefault="004A134C" w:rsidP="00570889">
            <w:pPr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 xml:space="preserve">Включение элемента в Список нематериального культурного наследия, нуждающегося в срочной охране, или в Репрезентативный список нематериального культурного наследия человечества может быть расширено на другие сообщества, группы и, в соответствующих случаях, отдельных лиц на национальном и/или международном уровнях по просьбе государства-участника (государств-участников), на территории которого (которых) </w:t>
            </w:r>
            <w:bookmarkStart w:id="2" w:name="_Hlk84686151"/>
            <w:r w:rsidRPr="006867E6">
              <w:rPr>
                <w:rFonts w:asciiTheme="minorBidi" w:hAnsiTheme="minorBidi" w:cstheme="minorBidi"/>
                <w:sz w:val="20"/>
                <w:szCs w:val="20"/>
              </w:rPr>
              <w:t>находится данный элемент, с согласия заинтересованных сообществ, групп и, в соответствующих случаях, отдельных лиц</w:t>
            </w:r>
            <w:bookmarkEnd w:id="2"/>
            <w:r w:rsidRPr="006867E6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661" w:type="dxa"/>
          </w:tcPr>
          <w:p w14:paraId="7D6730EB" w14:textId="77777777" w:rsidR="004A134C" w:rsidRPr="006867E6" w:rsidRDefault="004A134C" w:rsidP="00570889">
            <w:pPr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16.</w:t>
            </w:r>
            <w:r w:rsidRPr="006867E6">
              <w:rPr>
                <w:rFonts w:asciiTheme="minorBidi" w:hAnsiTheme="minorBidi" w:cstheme="minorBidi"/>
                <w:sz w:val="20"/>
                <w:szCs w:val="20"/>
                <w:u w:val="single"/>
              </w:rPr>
              <w:t>1</w:t>
            </w:r>
          </w:p>
        </w:tc>
        <w:tc>
          <w:tcPr>
            <w:tcW w:w="6308" w:type="dxa"/>
            <w:gridSpan w:val="2"/>
          </w:tcPr>
          <w:p w14:paraId="7ACCA5EC" w14:textId="0BB2BA43" w:rsidR="004A134C" w:rsidRPr="006867E6" w:rsidRDefault="004A134C" w:rsidP="00570889">
            <w:pPr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Включение элемента в Список нематериального культурного наследия, нуждающегося в срочной охране, или в Репрезентативный список нематериального культурного наследия человечества может быть расширено на другие сообщества, группы и, в соответствующих случаях, отдельных лиц на национальном и/или международном уровнях по просьбе государства-участника (государств-участников), на территории которого (которых) находится данный элемент</w:t>
            </w:r>
            <w:r w:rsidRPr="006867E6">
              <w:rPr>
                <w:rFonts w:asciiTheme="minorBidi" w:hAnsiTheme="minorBidi" w:cstheme="minorBidi"/>
                <w:strike/>
                <w:color w:val="000000" w:themeColor="text1"/>
                <w:sz w:val="20"/>
                <w:szCs w:val="20"/>
                <w:highlight w:val="lightGray"/>
              </w:rPr>
              <w:t xml:space="preserve">, </w:t>
            </w:r>
            <w:r w:rsidRPr="006867E6">
              <w:rPr>
                <w:rFonts w:asciiTheme="minorBidi" w:hAnsiTheme="minorBidi" w:cstheme="minorBidi"/>
                <w:strike/>
                <w:color w:val="000000" w:themeColor="text1"/>
                <w:sz w:val="20"/>
                <w:szCs w:val="20"/>
                <w:highlight w:val="lightGray"/>
                <w:u w:val="single"/>
              </w:rPr>
              <w:t>с согласия заинтересованных сообществ, групп и, в соответствующих случаях, отдельных лиц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.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="00245DE5" w:rsidRPr="006867E6">
              <w:rPr>
                <w:rFonts w:asciiTheme="minorBidi" w:eastAsia="Yu Mincho" w:hAnsiTheme="minorBidi" w:cstheme="minorBidi"/>
                <w:color w:val="000000" w:themeColor="text1"/>
                <w:sz w:val="20"/>
                <w:szCs w:val="20"/>
                <w:vertAlign w:val="superscript"/>
                <w:lang w:val="en-US"/>
              </w:rPr>
              <w:footnoteReference w:id="4"/>
            </w:r>
          </w:p>
        </w:tc>
      </w:tr>
      <w:tr w:rsidR="004A134C" w:rsidRPr="00756EF7" w14:paraId="60946C7A" w14:textId="77777777" w:rsidTr="006867E6">
        <w:tc>
          <w:tcPr>
            <w:tcW w:w="562" w:type="dxa"/>
          </w:tcPr>
          <w:p w14:paraId="43DE6CA5" w14:textId="77777777" w:rsidR="004A134C" w:rsidRPr="006867E6" w:rsidRDefault="004A134C" w:rsidP="00570889">
            <w:pPr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6498" w:type="dxa"/>
            <w:gridSpan w:val="2"/>
          </w:tcPr>
          <w:p w14:paraId="46FABEC6" w14:textId="77777777" w:rsidR="004A134C" w:rsidRPr="006867E6" w:rsidRDefault="004A134C" w:rsidP="00570889">
            <w:pPr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661" w:type="dxa"/>
          </w:tcPr>
          <w:p w14:paraId="1C757AB0" w14:textId="77777777" w:rsidR="004A134C" w:rsidRPr="006867E6" w:rsidRDefault="004A134C" w:rsidP="00570889">
            <w:pPr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  <w:u w:val="single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  <w:u w:val="single"/>
              </w:rPr>
              <w:t>16.2</w:t>
            </w:r>
          </w:p>
        </w:tc>
        <w:tc>
          <w:tcPr>
            <w:tcW w:w="6308" w:type="dxa"/>
            <w:gridSpan w:val="2"/>
          </w:tcPr>
          <w:p w14:paraId="61F073B9" w14:textId="1914C3A5" w:rsidR="004A134C" w:rsidRPr="006867E6" w:rsidRDefault="004A134C" w:rsidP="00570889">
            <w:pPr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Государству-участнику (государствам-участникам) предлагается объявить о своем намерении присоединиться к существующим включенным элементам на расширенной основе, своевременно, через веб-страницу Конвенции, используя специальную онлайн-форму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</w:rPr>
              <w:t>.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="00245DE5" w:rsidRPr="006867E6">
              <w:rPr>
                <w:rFonts w:asciiTheme="minorBidi" w:eastAsia="Yu Mincho" w:hAnsiTheme="minorBidi" w:cstheme="minorBidi"/>
                <w:color w:val="000000" w:themeColor="text1"/>
                <w:sz w:val="20"/>
                <w:szCs w:val="20"/>
                <w:vertAlign w:val="superscript"/>
                <w:lang w:val="en-US"/>
              </w:rPr>
              <w:footnoteReference w:id="5"/>
            </w:r>
          </w:p>
        </w:tc>
      </w:tr>
      <w:tr w:rsidR="004A134C" w:rsidRPr="00756EF7" w14:paraId="0B406D1A" w14:textId="77777777" w:rsidTr="006867E6">
        <w:tc>
          <w:tcPr>
            <w:tcW w:w="562" w:type="dxa"/>
          </w:tcPr>
          <w:p w14:paraId="39127038" w14:textId="77777777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6498" w:type="dxa"/>
            <w:gridSpan w:val="2"/>
          </w:tcPr>
          <w:p w14:paraId="1367DD67" w14:textId="77777777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661" w:type="dxa"/>
          </w:tcPr>
          <w:p w14:paraId="12A56FB8" w14:textId="77777777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  <w:u w:val="single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  <w:u w:val="single"/>
              </w:rPr>
              <w:t>16.3</w:t>
            </w:r>
          </w:p>
        </w:tc>
        <w:tc>
          <w:tcPr>
            <w:tcW w:w="6308" w:type="dxa"/>
            <w:gridSpan w:val="2"/>
          </w:tcPr>
          <w:p w14:paraId="6FBB9B44" w14:textId="0FA642DD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На международном уровне недавно присоединившееся государство-участник (государства-участники) должно (должны) показать, что его/их включение в расширение соответствует всем требуемым критериям для включения. Заинтересованные сообщества, группы и, в соответствующих случаях, отдельные лица, которые дали свое согласие на подачу первоначальной заявки и последующие расширения, должны согласиться с предлагаемым расширением и своим участием в текущих, вновь предлагаемых или обновленных мерах по охране наряду с недавно присоединившимися заинтересованными сообществами, группами и, в соответствующих случаях, отдельными лицами и органами власти.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="001359E1" w:rsidRPr="006867E6">
              <w:rPr>
                <w:rFonts w:asciiTheme="minorBidi" w:eastAsia="Yu Mincho" w:hAnsiTheme="minorBidi" w:cstheme="minorBidi"/>
                <w:color w:val="000000" w:themeColor="text1"/>
                <w:sz w:val="20"/>
                <w:szCs w:val="20"/>
                <w:vertAlign w:val="superscript"/>
                <w:lang w:val="en-US"/>
              </w:rPr>
              <w:footnoteReference w:id="6"/>
            </w:r>
          </w:p>
        </w:tc>
      </w:tr>
      <w:tr w:rsidR="004A134C" w:rsidRPr="00756EF7" w14:paraId="016D2547" w14:textId="77777777" w:rsidTr="006867E6">
        <w:tc>
          <w:tcPr>
            <w:tcW w:w="562" w:type="dxa"/>
          </w:tcPr>
          <w:p w14:paraId="41A6396A" w14:textId="0F408217" w:rsidR="004A134C" w:rsidRPr="006867E6" w:rsidRDefault="00194822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-</w:t>
            </w:r>
          </w:p>
        </w:tc>
        <w:tc>
          <w:tcPr>
            <w:tcW w:w="6498" w:type="dxa"/>
            <w:gridSpan w:val="2"/>
          </w:tcPr>
          <w:p w14:paraId="20F56F7A" w14:textId="0BAD37C0" w:rsidR="004A134C" w:rsidRPr="006867E6" w:rsidRDefault="00194822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-</w:t>
            </w:r>
          </w:p>
        </w:tc>
        <w:tc>
          <w:tcPr>
            <w:tcW w:w="661" w:type="dxa"/>
          </w:tcPr>
          <w:p w14:paraId="02C2583E" w14:textId="77777777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  <w:u w:val="single"/>
              </w:rPr>
              <w:t>16.4</w:t>
            </w:r>
          </w:p>
        </w:tc>
        <w:tc>
          <w:tcPr>
            <w:tcW w:w="6308" w:type="dxa"/>
            <w:gridSpan w:val="2"/>
          </w:tcPr>
          <w:p w14:paraId="74BFE97C" w14:textId="0F0DC02E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На национальном уровне государство-участник должно показать, что расширение соответствует требуемым критериям для включения, принимая в расчет критерии, уже соблюденные в рамках первоначальной номинации. Заинтересованные сообщества, группы и, в соответствующих случаях, отдельные лица, которые дали свое согласие на подачу первоначальной заявки и последующие расширения, должны согласиться с предлагаемым расширением и своим участием в текущих, вновь предлагаемых или обновленных мерах по охране наряду с недавно присоединившимися заинтересованными сообществами, группами и, в соответствующих случаях, отдельными лицами и органами власти.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="001359E1" w:rsidRPr="006867E6">
              <w:rPr>
                <w:rFonts w:asciiTheme="minorBidi" w:eastAsia="Yu Mincho" w:hAnsiTheme="minorBidi" w:cstheme="minorBidi"/>
                <w:color w:val="000000" w:themeColor="text1"/>
                <w:sz w:val="20"/>
                <w:szCs w:val="20"/>
                <w:vertAlign w:val="superscript"/>
                <w:lang w:val="en-US"/>
              </w:rPr>
              <w:footnoteReference w:id="7"/>
            </w:r>
          </w:p>
        </w:tc>
      </w:tr>
      <w:tr w:rsidR="004A134C" w:rsidRPr="00756EF7" w14:paraId="68E04401" w14:textId="77777777" w:rsidTr="006867E6">
        <w:tc>
          <w:tcPr>
            <w:tcW w:w="562" w:type="dxa"/>
            <w:shd w:val="clear" w:color="auto" w:fill="FFFFFF"/>
          </w:tcPr>
          <w:p w14:paraId="533BB623" w14:textId="77777777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17.</w:t>
            </w:r>
          </w:p>
        </w:tc>
        <w:tc>
          <w:tcPr>
            <w:tcW w:w="6498" w:type="dxa"/>
            <w:gridSpan w:val="2"/>
            <w:shd w:val="clear" w:color="auto" w:fill="FFFFFF"/>
          </w:tcPr>
          <w:p w14:paraId="34C7300A" w14:textId="77777777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Включение элемента в Список нематериального культурного наследия, нуждающегося в срочной охране, или в Репрезентативный список нематериального культурного наследия человечества может быть сужено на национальном и/или международном уровнях по просьбе государства-участника (государств-участников), на территории которого (которых) находится данный элемент, с согласия заинтересованных сообществ, групп и, в соответствующих случаях, отдельных лиц.</w:t>
            </w:r>
          </w:p>
        </w:tc>
        <w:tc>
          <w:tcPr>
            <w:tcW w:w="661" w:type="dxa"/>
            <w:shd w:val="clear" w:color="auto" w:fill="FFFFFF"/>
          </w:tcPr>
          <w:p w14:paraId="588AADF9" w14:textId="77777777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17</w:t>
            </w:r>
            <w:r w:rsidRPr="006867E6">
              <w:rPr>
                <w:rFonts w:asciiTheme="minorBidi" w:hAnsiTheme="minorBidi" w:cstheme="minorBidi"/>
                <w:sz w:val="20"/>
                <w:szCs w:val="20"/>
                <w:u w:val="single"/>
              </w:rPr>
              <w:t>.1</w:t>
            </w:r>
          </w:p>
        </w:tc>
        <w:tc>
          <w:tcPr>
            <w:tcW w:w="6308" w:type="dxa"/>
            <w:gridSpan w:val="2"/>
            <w:shd w:val="clear" w:color="auto" w:fill="FFFFFF"/>
          </w:tcPr>
          <w:p w14:paraId="5B410817" w14:textId="2A7997AA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Включение элемента в Список нематериального культурного наследия, нуждающегося в срочной охране, или в Репрезентативный список нематериального культурного наследия человечества может быть сужено на национальном и/или международном уровнях по просьбе государства-участника (государств-участников), на территории которого (которых) находится данный элемент</w:t>
            </w:r>
            <w:r w:rsidRPr="006867E6">
              <w:rPr>
                <w:rFonts w:asciiTheme="minorBidi" w:hAnsiTheme="minorBidi" w:cstheme="minorBidi"/>
                <w:strike/>
                <w:color w:val="000000" w:themeColor="text1"/>
                <w:sz w:val="20"/>
                <w:szCs w:val="20"/>
                <w:highlight w:val="lightGray"/>
              </w:rPr>
              <w:t>, с согласия заинтересованных сообществ, групп и, в соответствующих случаях, отдельных лиц.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="001359E1" w:rsidRPr="006867E6">
              <w:rPr>
                <w:rFonts w:asciiTheme="minorBidi" w:eastAsia="Yu Mincho" w:hAnsiTheme="minorBidi" w:cstheme="minorBidi"/>
                <w:color w:val="000000" w:themeColor="text1"/>
                <w:sz w:val="20"/>
                <w:szCs w:val="20"/>
                <w:vertAlign w:val="superscript"/>
                <w:lang w:val="en-US"/>
              </w:rPr>
              <w:footnoteReference w:id="8"/>
            </w:r>
          </w:p>
        </w:tc>
      </w:tr>
      <w:tr w:rsidR="004A134C" w:rsidRPr="00756EF7" w14:paraId="7C3521B7" w14:textId="77777777" w:rsidTr="006867E6">
        <w:tc>
          <w:tcPr>
            <w:tcW w:w="562" w:type="dxa"/>
            <w:shd w:val="clear" w:color="auto" w:fill="FFFFFF"/>
          </w:tcPr>
          <w:p w14:paraId="7E9DB88B" w14:textId="5D9DD97B" w:rsidR="004A134C" w:rsidRPr="006867E6" w:rsidRDefault="00194822" w:rsidP="00570889">
            <w:pPr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-</w:t>
            </w:r>
          </w:p>
        </w:tc>
        <w:tc>
          <w:tcPr>
            <w:tcW w:w="6498" w:type="dxa"/>
            <w:gridSpan w:val="2"/>
            <w:shd w:val="clear" w:color="auto" w:fill="FFFFFF"/>
          </w:tcPr>
          <w:p w14:paraId="03BDB911" w14:textId="48CC386F" w:rsidR="004A134C" w:rsidRPr="006867E6" w:rsidRDefault="00194822" w:rsidP="00570889">
            <w:pPr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-</w:t>
            </w:r>
          </w:p>
        </w:tc>
        <w:tc>
          <w:tcPr>
            <w:tcW w:w="661" w:type="dxa"/>
            <w:shd w:val="clear" w:color="auto" w:fill="FFFFFF"/>
          </w:tcPr>
          <w:p w14:paraId="20716B5D" w14:textId="77777777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  <w:u w:val="single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  <w:u w:val="single"/>
              </w:rPr>
              <w:t>17.2.</w:t>
            </w:r>
          </w:p>
        </w:tc>
        <w:tc>
          <w:tcPr>
            <w:tcW w:w="6308" w:type="dxa"/>
            <w:gridSpan w:val="2"/>
            <w:shd w:val="clear" w:color="auto" w:fill="FFFFFF"/>
          </w:tcPr>
          <w:p w14:paraId="7386248D" w14:textId="295A89E1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  <w:u w:val="single"/>
              </w:rPr>
            </w:pPr>
            <w:bookmarkStart w:id="3" w:name="_Hlk87711415"/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Государство(-а)-участник(-и) должно(-ы) продемонстрировать, что сообщества, группы и, в соответствующих случаях, отдельные лица, которые предлагается исключить из включенного элемента, предоставляют свидетельства своего свободного, предварительного и информированного согласия на сужение этого элемента</w:t>
            </w:r>
            <w:bookmarkEnd w:id="3"/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.</w:t>
            </w:r>
            <w:r w:rsidRPr="006867E6">
              <w:rPr>
                <w:rStyle w:val="FootnoteReference"/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1359E1" w:rsidRPr="006867E6">
              <w:rPr>
                <w:rStyle w:val="FootnoteReference"/>
                <w:rFonts w:asciiTheme="minorBidi" w:hAnsiTheme="minorBidi" w:cstheme="minorBidi"/>
                <w:color w:val="000000" w:themeColor="text1"/>
                <w:sz w:val="20"/>
                <w:szCs w:val="20"/>
                <w:lang w:val="en-US"/>
              </w:rPr>
              <w:footnoteReference w:id="9"/>
            </w:r>
          </w:p>
        </w:tc>
      </w:tr>
      <w:tr w:rsidR="004A134C" w:rsidRPr="00756EF7" w14:paraId="0D2E0ABA" w14:textId="77777777" w:rsidTr="006867E6">
        <w:tc>
          <w:tcPr>
            <w:tcW w:w="562" w:type="dxa"/>
            <w:shd w:val="clear" w:color="auto" w:fill="F2F2F2"/>
          </w:tcPr>
          <w:p w14:paraId="1D5B6A49" w14:textId="77777777" w:rsidR="004A134C" w:rsidRPr="006867E6" w:rsidRDefault="004A134C" w:rsidP="00570889">
            <w:pPr>
              <w:keepNext/>
              <w:keepLines/>
              <w:spacing w:before="120" w:after="12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b/>
                <w:color w:val="1F4E79"/>
                <w:sz w:val="20"/>
                <w:szCs w:val="20"/>
              </w:rPr>
              <w:t>I.7</w:t>
            </w:r>
          </w:p>
        </w:tc>
        <w:tc>
          <w:tcPr>
            <w:tcW w:w="6498" w:type="dxa"/>
            <w:gridSpan w:val="2"/>
            <w:shd w:val="clear" w:color="auto" w:fill="F2F2F2"/>
          </w:tcPr>
          <w:p w14:paraId="57092F49" w14:textId="77777777" w:rsidR="004A134C" w:rsidRPr="006867E6" w:rsidRDefault="004A134C" w:rsidP="00570889">
            <w:pPr>
              <w:keepNext/>
              <w:keepLines/>
              <w:spacing w:before="120" w:after="12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b/>
                <w:color w:val="1F4E79"/>
                <w:sz w:val="20"/>
                <w:szCs w:val="20"/>
              </w:rPr>
              <w:t>Представление досье</w:t>
            </w:r>
          </w:p>
        </w:tc>
        <w:tc>
          <w:tcPr>
            <w:tcW w:w="661" w:type="dxa"/>
            <w:shd w:val="clear" w:color="auto" w:fill="F2F2F2"/>
          </w:tcPr>
          <w:p w14:paraId="1667E946" w14:textId="77777777" w:rsidR="004A134C" w:rsidRPr="006867E6" w:rsidRDefault="004A134C" w:rsidP="00570889">
            <w:pPr>
              <w:keepNext/>
              <w:keepLines/>
              <w:spacing w:before="120" w:after="120"/>
              <w:rPr>
                <w:rFonts w:asciiTheme="minorBidi" w:eastAsia="Yu Mincho" w:hAnsiTheme="minorBidi" w:cstheme="minorBidi"/>
                <w:b/>
                <w:bCs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b/>
                <w:color w:val="1F4E79"/>
                <w:sz w:val="20"/>
                <w:szCs w:val="20"/>
              </w:rPr>
              <w:t>I.7</w:t>
            </w:r>
          </w:p>
        </w:tc>
        <w:tc>
          <w:tcPr>
            <w:tcW w:w="6308" w:type="dxa"/>
            <w:gridSpan w:val="2"/>
            <w:shd w:val="clear" w:color="auto" w:fill="F2F2F2"/>
          </w:tcPr>
          <w:p w14:paraId="2B6CEF88" w14:textId="77777777" w:rsidR="004A134C" w:rsidRPr="006867E6" w:rsidRDefault="004A134C" w:rsidP="00570889">
            <w:pPr>
              <w:keepNext/>
              <w:keepLines/>
              <w:spacing w:before="120" w:after="12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[Без изменений.]</w:t>
            </w:r>
          </w:p>
        </w:tc>
      </w:tr>
      <w:tr w:rsidR="004A134C" w:rsidRPr="00756EF7" w14:paraId="13BC2132" w14:textId="77777777" w:rsidTr="006867E6">
        <w:tc>
          <w:tcPr>
            <w:tcW w:w="562" w:type="dxa"/>
          </w:tcPr>
          <w:p w14:paraId="3A5E3EA3" w14:textId="77777777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20.</w:t>
            </w:r>
          </w:p>
        </w:tc>
        <w:tc>
          <w:tcPr>
            <w:tcW w:w="6498" w:type="dxa"/>
            <w:gridSpan w:val="2"/>
          </w:tcPr>
          <w:p w14:paraId="4C95CE7A" w14:textId="77777777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Форма ICH-01 используется для номинаций в Список нематериального культурного наследия, нуждающегося в срочной охране, форма ICH-02 – для номинаций в Репрезентативный список нематериального культурного наследия человечества и форма ICH-03 – для предложений по программам, проектам и мероприятиям, наилучшим образом отражающим принципы и цели Конвенции.</w:t>
            </w:r>
          </w:p>
        </w:tc>
        <w:tc>
          <w:tcPr>
            <w:tcW w:w="661" w:type="dxa"/>
          </w:tcPr>
          <w:p w14:paraId="2A1F014D" w14:textId="77777777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20</w:t>
            </w:r>
            <w:r w:rsidRPr="006867E6">
              <w:rPr>
                <w:rFonts w:asciiTheme="minorBidi" w:hAnsiTheme="minorBidi" w:cstheme="minorBidi"/>
                <w:sz w:val="20"/>
                <w:szCs w:val="20"/>
                <w:u w:val="single"/>
              </w:rPr>
              <w:t>.1</w:t>
            </w:r>
          </w:p>
        </w:tc>
        <w:tc>
          <w:tcPr>
            <w:tcW w:w="6308" w:type="dxa"/>
            <w:gridSpan w:val="2"/>
          </w:tcPr>
          <w:p w14:paraId="176C19DD" w14:textId="77777777" w:rsidR="004A134C" w:rsidRPr="006867E6" w:rsidRDefault="004A134C" w:rsidP="00570889">
            <w:pPr>
              <w:keepLines/>
              <w:snapToGrid w:val="0"/>
              <w:spacing w:before="120" w:after="120"/>
              <w:rPr>
                <w:rFonts w:asciiTheme="minorBidi" w:eastAsia="Yu Mincho" w:hAnsiTheme="minorBidi" w:cstheme="minorBidi"/>
                <w:color w:val="000000" w:themeColor="text1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Форма ICH-01 используется для номинаций в Список нематериального культурного наследия, нуждающегося в срочной охране, 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и включает возможность одновременного оформления запроса на международную помощь; эта форма также используется для номинаций в тот же Список на расширенной или более узкой основе на национальном и/или международном уровнях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</w:rPr>
              <w:t>.</w:t>
            </w:r>
          </w:p>
          <w:p w14:paraId="2928F8BF" w14:textId="77777777" w:rsidR="004A134C" w:rsidRPr="006867E6" w:rsidRDefault="004A134C" w:rsidP="00570889">
            <w:pPr>
              <w:keepLines/>
              <w:snapToGrid w:val="0"/>
              <w:spacing w:before="120" w:after="120"/>
              <w:rPr>
                <w:rFonts w:asciiTheme="minorBidi" w:eastAsia="Yu Mincho" w:hAnsiTheme="minorBidi" w:cstheme="minorBidi"/>
                <w:color w:val="000000" w:themeColor="text1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Форма ICH-02 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используется для номинаций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в Репрезентативный список нематериального культурного наследия человечества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; эта форма также используется для номинаций в тот же список на расширенной или более узкой основе на национальном и/или международном уровнях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.</w:t>
            </w:r>
          </w:p>
          <w:p w14:paraId="62D15524" w14:textId="23DB797A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Форма ICH-03 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используется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для предложений по программам, проектам и мероприятиям, наилучшим образом отражающим принципы и цели Конвенции.</w:t>
            </w:r>
          </w:p>
        </w:tc>
      </w:tr>
      <w:tr w:rsidR="004A134C" w:rsidRPr="00756EF7" w14:paraId="66DF42B6" w14:textId="77777777" w:rsidTr="006867E6">
        <w:tc>
          <w:tcPr>
            <w:tcW w:w="562" w:type="dxa"/>
          </w:tcPr>
          <w:p w14:paraId="335229D8" w14:textId="77777777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6498" w:type="dxa"/>
            <w:gridSpan w:val="2"/>
          </w:tcPr>
          <w:p w14:paraId="721C2386" w14:textId="77777777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661" w:type="dxa"/>
          </w:tcPr>
          <w:p w14:paraId="3C8BC6A3" w14:textId="77777777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  <w:u w:val="single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  <w:u w:val="single"/>
              </w:rPr>
              <w:t>20.2</w:t>
            </w:r>
          </w:p>
        </w:tc>
        <w:tc>
          <w:tcPr>
            <w:tcW w:w="6308" w:type="dxa"/>
            <w:gridSpan w:val="2"/>
          </w:tcPr>
          <w:p w14:paraId="0BABE2DA" w14:textId="77777777" w:rsidR="004A134C" w:rsidRPr="006867E6" w:rsidRDefault="004A134C" w:rsidP="00570889">
            <w:pPr>
              <w:keepLines/>
              <w:snapToGrid w:val="0"/>
              <w:spacing w:before="120" w:after="120"/>
              <w:rPr>
                <w:rFonts w:asciiTheme="minorBidi" w:eastAsia="Yu Mincho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Форма ICH-01 RL to USL используется для перемещения элемента из Репрезентативного списка нематериального культурного наследия человечества в Список нематериального культурного наследия, нуждающегося в срочной охране, и включает возможность одновременного оформления запроса на международную помощь.</w:t>
            </w:r>
          </w:p>
          <w:p w14:paraId="757D66D7" w14:textId="59842CD1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Форма ICH-02 USL to RL, прилагаемая к Форме периодической отчетности ICH-11, используется для перемещения элемента из Списка нематериального культурного наследия, нуждающегося в срочной охране, в Репрезентативный список нематериального культурного наследия человечества.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="001359E1" w:rsidRPr="006867E6">
              <w:rPr>
                <w:rFonts w:asciiTheme="minorBidi" w:eastAsia="Yu Mincho" w:hAnsiTheme="minorBidi" w:cstheme="minorBidi"/>
                <w:color w:val="000000" w:themeColor="text1"/>
                <w:sz w:val="20"/>
                <w:szCs w:val="20"/>
                <w:vertAlign w:val="superscript"/>
                <w:lang w:val="en-US"/>
              </w:rPr>
              <w:footnoteReference w:id="10"/>
            </w:r>
          </w:p>
        </w:tc>
      </w:tr>
      <w:tr w:rsidR="004A134C" w:rsidRPr="00756EF7" w14:paraId="31AE203B" w14:textId="77777777" w:rsidTr="006867E6">
        <w:tc>
          <w:tcPr>
            <w:tcW w:w="562" w:type="dxa"/>
          </w:tcPr>
          <w:p w14:paraId="1E0F1CA8" w14:textId="77777777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21.</w:t>
            </w:r>
          </w:p>
        </w:tc>
        <w:tc>
          <w:tcPr>
            <w:tcW w:w="6498" w:type="dxa"/>
            <w:gridSpan w:val="2"/>
          </w:tcPr>
          <w:p w14:paraId="44CB1905" w14:textId="77777777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Государства-участники могут запрашивать помощь для подготовки номинационных досье в Список нематериального культурного наследия, нуждающегося в срочной охране, и для разработки предложений по программам, проектам и мероприятиям, наилучшим образом отражающим принципы и цели Конвенции.</w:t>
            </w:r>
          </w:p>
        </w:tc>
        <w:tc>
          <w:tcPr>
            <w:tcW w:w="661" w:type="dxa"/>
          </w:tcPr>
          <w:p w14:paraId="3E8BB34D" w14:textId="77777777" w:rsidR="004A134C" w:rsidRPr="006867E6" w:rsidRDefault="004A134C" w:rsidP="00570889">
            <w:pPr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21.</w:t>
            </w:r>
          </w:p>
        </w:tc>
        <w:tc>
          <w:tcPr>
            <w:tcW w:w="6308" w:type="dxa"/>
            <w:gridSpan w:val="2"/>
          </w:tcPr>
          <w:p w14:paraId="77F7BD4E" w14:textId="1921F666" w:rsidR="004A134C" w:rsidRPr="006867E6" w:rsidRDefault="004A134C" w:rsidP="00570889">
            <w:pPr>
              <w:keepLines/>
              <w:snapToGrid w:val="0"/>
              <w:spacing w:before="120" w:after="120"/>
              <w:rPr>
                <w:rFonts w:asciiTheme="minorBidi" w:eastAsia="Yu Mincho" w:hAnsiTheme="minorBidi" w:cstheme="minorBidi"/>
                <w:color w:val="000000" w:themeColor="text1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Государства-участники могут запрашивать помощь в подготовке досье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, консультируясь с заинтересованными сообществами, группами и, в соответствующих случаях, отдельными лицами,</w:t>
            </w:r>
            <w:r w:rsidR="001359E1" w:rsidRPr="006867E6">
              <w:rPr>
                <w:rFonts w:asciiTheme="minorBidi" w:eastAsia="Yu Mincho" w:hAnsiTheme="minorBidi" w:cstheme="minorBidi"/>
                <w:color w:val="000000" w:themeColor="text1"/>
                <w:sz w:val="20"/>
                <w:szCs w:val="20"/>
                <w:vertAlign w:val="superscript"/>
                <w:lang w:val="en-US"/>
              </w:rPr>
              <w:footnoteReference w:id="11"/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для разработки:</w:t>
            </w:r>
          </w:p>
          <w:p w14:paraId="7626617A" w14:textId="6986B635" w:rsidR="004A134C" w:rsidRPr="006867E6" w:rsidRDefault="004A134C" w:rsidP="00585BD6">
            <w:pPr>
              <w:pStyle w:val="ListParagraph"/>
              <w:numPr>
                <w:ilvl w:val="0"/>
                <w:numId w:val="8"/>
              </w:numPr>
              <w:snapToGrid w:val="0"/>
              <w:spacing w:before="120" w:after="120"/>
              <w:ind w:left="359" w:hanging="359"/>
              <w:contextualSpacing w:val="0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номинационных досье в Список нематериального культурного наследия, нуждающегося в срочной охране,</w:t>
            </w:r>
            <w:r w:rsidR="00DD49C8"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DD49C8" w:rsidRPr="006867E6">
              <w:rPr>
                <w:rFonts w:asciiTheme="minorBidi" w:hAnsiTheme="minorBidi" w:cstheme="minorBidi"/>
                <w:strike/>
                <w:sz w:val="20"/>
                <w:szCs w:val="20"/>
                <w:highlight w:val="lightGray"/>
              </w:rPr>
              <w:t>и для разработки</w:t>
            </w:r>
            <w:r w:rsidR="00DD49C8" w:rsidRPr="006867E6">
              <w:rPr>
                <w:rFonts w:asciiTheme="minorBidi" w:hAnsiTheme="minorBidi" w:cstheme="minorBidi"/>
                <w:sz w:val="20"/>
                <w:szCs w:val="20"/>
              </w:rPr>
              <w:t>,</w:t>
            </w:r>
          </w:p>
          <w:p w14:paraId="3976872C" w14:textId="77777777" w:rsidR="004A134C" w:rsidRPr="006867E6" w:rsidRDefault="004A134C" w:rsidP="00585BD6">
            <w:pPr>
              <w:pStyle w:val="ListParagraph"/>
              <w:numPr>
                <w:ilvl w:val="0"/>
                <w:numId w:val="8"/>
              </w:numPr>
              <w:snapToGrid w:val="0"/>
              <w:spacing w:before="120" w:after="120"/>
              <w:ind w:left="359" w:hanging="359"/>
              <w:contextualSpacing w:val="0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предложений по программам, проектам и мероприятиям, наилучшим образом отражающим принципы и цели Конвенции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</w:rPr>
              <w:t>,</w:t>
            </w:r>
          </w:p>
          <w:p w14:paraId="29319FEA" w14:textId="47849553" w:rsidR="00A12237" w:rsidRPr="006867E6" w:rsidRDefault="004A134C" w:rsidP="00585BD6">
            <w:pPr>
              <w:pStyle w:val="ListParagraph"/>
              <w:numPr>
                <w:ilvl w:val="0"/>
                <w:numId w:val="8"/>
              </w:numPr>
              <w:snapToGrid w:val="0"/>
              <w:spacing w:before="120" w:after="120"/>
              <w:ind w:left="359" w:hanging="359"/>
              <w:contextualSpacing w:val="0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заявок на перемещения элемента из одного Списка в другой,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1359E1" w:rsidRPr="006867E6"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vertAlign w:val="superscript"/>
                <w:lang w:val="en-US" w:eastAsia="en-US"/>
              </w:rPr>
              <w:footnoteReference w:id="12"/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и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3FE43ABC" w14:textId="403243AF" w:rsidR="004A134C" w:rsidRPr="006867E6" w:rsidRDefault="004A134C" w:rsidP="00585BD6">
            <w:pPr>
              <w:pStyle w:val="ListParagraph"/>
              <w:numPr>
                <w:ilvl w:val="0"/>
                <w:numId w:val="8"/>
              </w:numPr>
              <w:snapToGrid w:val="0"/>
              <w:spacing w:before="120" w:after="120"/>
              <w:ind w:left="359" w:hanging="359"/>
              <w:contextualSpacing w:val="0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номинационных досье уже включенных элементов на расширенной или более узкой основе.</w:t>
            </w:r>
            <w:r w:rsidRPr="006867E6">
              <w:rPr>
                <w:rFonts w:asciiTheme="minorBidi" w:hAnsiTheme="minorBidi" w:cstheme="minorBidi"/>
                <w:sz w:val="20"/>
                <w:szCs w:val="20"/>
                <w:vertAlign w:val="superscript"/>
              </w:rPr>
              <w:t xml:space="preserve"> </w:t>
            </w:r>
            <w:r w:rsidR="001359E1" w:rsidRPr="006867E6">
              <w:rPr>
                <w:rFonts w:asciiTheme="minorBidi" w:eastAsia="Calibri" w:hAnsiTheme="minorBidi" w:cstheme="minorBidi"/>
                <w:sz w:val="20"/>
                <w:szCs w:val="20"/>
                <w:vertAlign w:val="superscript"/>
                <w:lang w:val="en-US" w:eastAsia="en-US"/>
              </w:rPr>
              <w:footnoteReference w:id="13"/>
            </w:r>
          </w:p>
        </w:tc>
      </w:tr>
      <w:tr w:rsidR="004A134C" w:rsidRPr="00756EF7" w14:paraId="56000EF3" w14:textId="77777777" w:rsidTr="006867E6">
        <w:tc>
          <w:tcPr>
            <w:tcW w:w="562" w:type="dxa"/>
          </w:tcPr>
          <w:p w14:paraId="00173A6C" w14:textId="77777777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22.</w:t>
            </w:r>
          </w:p>
        </w:tc>
        <w:tc>
          <w:tcPr>
            <w:tcW w:w="6498" w:type="dxa"/>
            <w:gridSpan w:val="2"/>
          </w:tcPr>
          <w:p w14:paraId="1629038C" w14:textId="785FE4EF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В том, что касается помощи для подготовки досье, форма ICH-05 используется для оформления заявок на предоставление помощи для подготовки номинаций в Список нематериального культурного наследия, нуждающегося в срочной охране, а форма ICH-06 – в отношении заявок на помощь для подготовки предложений по программам, проектам и мероприятиям, отбор и поощрение которых осуществляет Комитет. Все другие заявки на международную помощь, вне зависимости от запрашиваемой суммы, представляются с использованием формы ICH-04.</w:t>
            </w:r>
          </w:p>
        </w:tc>
        <w:tc>
          <w:tcPr>
            <w:tcW w:w="661" w:type="dxa"/>
          </w:tcPr>
          <w:p w14:paraId="3E79E22F" w14:textId="77777777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22.</w:t>
            </w:r>
          </w:p>
        </w:tc>
        <w:tc>
          <w:tcPr>
            <w:tcW w:w="6308" w:type="dxa"/>
            <w:gridSpan w:val="2"/>
          </w:tcPr>
          <w:p w14:paraId="64E701C7" w14:textId="77777777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trike/>
                <w:sz w:val="20"/>
                <w:szCs w:val="20"/>
                <w:highlight w:val="lightGray"/>
              </w:rPr>
            </w:pPr>
            <w:r w:rsidRPr="006867E6">
              <w:rPr>
                <w:rFonts w:asciiTheme="minorBidi" w:hAnsiTheme="minorBidi" w:cstheme="minorBidi"/>
                <w:strike/>
                <w:color w:val="231F20"/>
                <w:sz w:val="20"/>
                <w:szCs w:val="20"/>
                <w:highlight w:val="lightGray"/>
              </w:rPr>
              <w:t>В том, что касается помощи для подготовки досье, форма ICH-05 используется для оформления заявок на предоставление помощи для подготовки номинаций в Список нематериального культурного наследия, нуждающегося в срочной охране, а форма ICH-06 – в отношении заявок на помощь для подготовки предложений по программам, проектам и мероприятиям, отбор и поощрение которых осуществляет Комитет. Все другие заявки на международную помощь, вне зависимости от запрашиваемой суммы, представляются с использованием формы ICH-04.</w:t>
            </w:r>
          </w:p>
          <w:p w14:paraId="0D3C1BB8" w14:textId="6D6F102A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 xml:space="preserve">Заявки на всю помощь в подготовке досье представляются с использованием Формы ICH-05. Заявки на международную помощь представляются с использованием формы ICH-04 </w:t>
            </w:r>
            <w:r w:rsidRPr="006867E6">
              <w:rPr>
                <w:rFonts w:asciiTheme="minorBidi" w:hAnsiTheme="minorBidi" w:cstheme="minorBidi"/>
                <w:strike/>
                <w:color w:val="000000" w:themeColor="text1"/>
                <w:sz w:val="20"/>
                <w:szCs w:val="20"/>
                <w:highlight w:val="cyan"/>
                <w:u w:val="single"/>
              </w:rPr>
              <w:t>вне зависимости от запрашиваемой суммы</w:t>
            </w:r>
            <w:r w:rsidR="00F8592B" w:rsidRPr="006867E6">
              <w:rPr>
                <w:rFonts w:asciiTheme="minorBidi" w:hAnsiTheme="minorBidi" w:cstheme="minorBidi"/>
                <w:strike/>
                <w:color w:val="000000" w:themeColor="text1"/>
                <w:sz w:val="20"/>
                <w:szCs w:val="20"/>
                <w:highlight w:val="cyan"/>
                <w:u w:val="single"/>
              </w:rPr>
              <w:t xml:space="preserve">, </w:t>
            </w:r>
            <w:r w:rsidR="005506A0" w:rsidRPr="006867E6">
              <w:rPr>
                <w:rStyle w:val="FootnoteReference"/>
                <w:rFonts w:asciiTheme="minorBidi" w:hAnsiTheme="minorBidi" w:cstheme="minorBidi"/>
                <w:color w:val="000000" w:themeColor="text1"/>
                <w:sz w:val="20"/>
                <w:szCs w:val="20"/>
                <w:highlight w:val="cyan"/>
                <w:u w:val="single"/>
              </w:rPr>
              <w:footnoteReference w:id="14"/>
            </w:r>
            <w:r w:rsidR="00C45148"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cyan"/>
                <w:u w:val="single"/>
              </w:rPr>
              <w:t>за исключением за</w:t>
            </w:r>
            <w:r w:rsidR="00F8592B"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cyan"/>
                <w:u w:val="single"/>
              </w:rPr>
              <w:t>явок</w:t>
            </w:r>
            <w:r w:rsidR="00C45148"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cyan"/>
                <w:u w:val="single"/>
              </w:rPr>
              <w:t xml:space="preserve">, поданных одновременно с номинациями в Список нематериального культурного наследия, нуждающегося в срочной охране, или в контексте </w:t>
            </w:r>
            <w:r w:rsidR="00F8592B"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cyan"/>
                <w:u w:val="single"/>
              </w:rPr>
              <w:t>заявки</w:t>
            </w:r>
            <w:r w:rsidR="00C45148"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cyan"/>
                <w:u w:val="single"/>
              </w:rPr>
              <w:t xml:space="preserve"> на пере</w:t>
            </w:r>
            <w:r w:rsidR="00F8592B"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cyan"/>
                <w:u w:val="single"/>
              </w:rPr>
              <w:t xml:space="preserve">мещение </w:t>
            </w:r>
            <w:r w:rsidR="00C45148"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cyan"/>
                <w:u w:val="single"/>
              </w:rPr>
              <w:t>элемента из Репрезентативного списка нематериального культурного наследия человечества в Список нематериального культурного наследия, нуждающегося в срочной охране.</w:t>
            </w:r>
          </w:p>
        </w:tc>
      </w:tr>
      <w:tr w:rsidR="004A134C" w:rsidRPr="00756EF7" w14:paraId="50DFB2DF" w14:textId="77777777" w:rsidTr="006867E6">
        <w:tc>
          <w:tcPr>
            <w:tcW w:w="562" w:type="dxa"/>
            <w:shd w:val="clear" w:color="auto" w:fill="F2F2F2"/>
          </w:tcPr>
          <w:p w14:paraId="5B4A6774" w14:textId="77777777" w:rsidR="004A134C" w:rsidRPr="006867E6" w:rsidRDefault="004A134C" w:rsidP="00570889">
            <w:pPr>
              <w:keepNext/>
              <w:keepLines/>
              <w:spacing w:before="120" w:after="120"/>
              <w:rPr>
                <w:rFonts w:asciiTheme="minorBidi" w:eastAsia="Yu Mincho" w:hAnsiTheme="minorBidi" w:cstheme="minorBidi"/>
                <w:b/>
                <w:bCs/>
                <w:color w:val="1F4E79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b/>
                <w:color w:val="1F4E79"/>
                <w:sz w:val="20"/>
                <w:szCs w:val="20"/>
              </w:rPr>
              <w:t>I.8</w:t>
            </w:r>
          </w:p>
        </w:tc>
        <w:tc>
          <w:tcPr>
            <w:tcW w:w="6498" w:type="dxa"/>
            <w:gridSpan w:val="2"/>
            <w:shd w:val="clear" w:color="auto" w:fill="F2F2F2"/>
          </w:tcPr>
          <w:p w14:paraId="506FAB8D" w14:textId="77777777" w:rsidR="004A134C" w:rsidRPr="006867E6" w:rsidRDefault="004A134C" w:rsidP="00570889">
            <w:pPr>
              <w:keepNext/>
              <w:keepLines/>
              <w:spacing w:before="120" w:after="120"/>
              <w:rPr>
                <w:rFonts w:asciiTheme="minorBidi" w:eastAsia="Yu Mincho" w:hAnsiTheme="minorBidi" w:cstheme="minorBidi"/>
                <w:b/>
                <w:bCs/>
                <w:color w:val="1F4E79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b/>
                <w:color w:val="1F4E79"/>
                <w:sz w:val="20"/>
                <w:szCs w:val="20"/>
              </w:rPr>
              <w:t>Оценка досье</w:t>
            </w:r>
          </w:p>
        </w:tc>
        <w:tc>
          <w:tcPr>
            <w:tcW w:w="661" w:type="dxa"/>
            <w:shd w:val="clear" w:color="auto" w:fill="F2F2F2"/>
          </w:tcPr>
          <w:p w14:paraId="671514F7" w14:textId="77777777" w:rsidR="004A134C" w:rsidRPr="006867E6" w:rsidRDefault="004A134C" w:rsidP="00570889">
            <w:pPr>
              <w:keepNext/>
              <w:keepLines/>
              <w:spacing w:before="120" w:after="120"/>
              <w:rPr>
                <w:rFonts w:asciiTheme="minorBidi" w:eastAsia="Yu Mincho" w:hAnsiTheme="minorBidi" w:cstheme="minorBidi"/>
                <w:b/>
                <w:bCs/>
                <w:color w:val="1F4E79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b/>
                <w:color w:val="1F4E79"/>
                <w:sz w:val="20"/>
                <w:szCs w:val="20"/>
              </w:rPr>
              <w:t>I.8</w:t>
            </w:r>
          </w:p>
        </w:tc>
        <w:tc>
          <w:tcPr>
            <w:tcW w:w="6308" w:type="dxa"/>
            <w:gridSpan w:val="2"/>
            <w:shd w:val="clear" w:color="auto" w:fill="F2F2F2"/>
          </w:tcPr>
          <w:p w14:paraId="2ED23248" w14:textId="77777777" w:rsidR="004A134C" w:rsidRPr="006867E6" w:rsidRDefault="004A134C" w:rsidP="00570889">
            <w:pPr>
              <w:keepNext/>
              <w:keepLines/>
              <w:spacing w:before="120" w:after="120"/>
              <w:rPr>
                <w:rFonts w:asciiTheme="minorBidi" w:eastAsia="Yu Mincho" w:hAnsiTheme="minorBidi" w:cstheme="minorBidi"/>
                <w:color w:val="1F4E79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[Без изменений.]</w:t>
            </w:r>
          </w:p>
        </w:tc>
      </w:tr>
      <w:tr w:rsidR="007A3CD6" w:rsidRPr="00756EF7" w14:paraId="7059AB08" w14:textId="77777777" w:rsidTr="006867E6">
        <w:tc>
          <w:tcPr>
            <w:tcW w:w="562" w:type="dxa"/>
            <w:shd w:val="clear" w:color="auto" w:fill="auto"/>
          </w:tcPr>
          <w:p w14:paraId="75014640" w14:textId="5D31C5BA" w:rsidR="007A3CD6" w:rsidRPr="006867E6" w:rsidRDefault="007A3CD6" w:rsidP="00570889">
            <w:pPr>
              <w:keepLines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27</w:t>
            </w:r>
            <w:r w:rsidRPr="006867E6">
              <w:rPr>
                <w:rFonts w:asciiTheme="minorBidi" w:hAnsiTheme="minorBidi" w:cstheme="minorBidi"/>
                <w:sz w:val="20"/>
                <w:szCs w:val="20"/>
                <w:lang w:val="en-GB"/>
              </w:rPr>
              <w:t>.</w:t>
            </w:r>
          </w:p>
        </w:tc>
        <w:tc>
          <w:tcPr>
            <w:tcW w:w="6498" w:type="dxa"/>
            <w:gridSpan w:val="2"/>
            <w:shd w:val="clear" w:color="auto" w:fill="auto"/>
          </w:tcPr>
          <w:p w14:paraId="4CF0FFAF" w14:textId="7CEB3345" w:rsidR="007A3CD6" w:rsidRPr="006867E6" w:rsidRDefault="007A3CD6" w:rsidP="00570889">
            <w:pPr>
              <w:keepLines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На экспериментальной основе, оценку номинаций в Список нематериального культурного наследия, нуждающегося в срочной охране, Репрезентативный список нематериального культурного наследия человечества, предложений по программам, проектам и мероприятиям, наилучшим образом отражающим принципы и цели Конвенции, и заявок на международную помощь на сумму, превышающую 100 000 долл., осуществляет консультативный орган Комитета, учреждаемый в соответствии со статьёй 8.3 Конвенции и называемый «оценочным органом». Оценочный орган готовит рекомендации для решений Комитета. Оценочный орган состоит из двенадцати назначаемых Комитетом членов: шесть экспертов, обладающих компетенцией в различных областях нематериального культурного наследия и представляющих государства-участников, не являющихся членами Комитета, и шесть аккредитованных неправительственных организаций с учётом справедливого географического представительства и различных областей нематериального культурного наследия</w:t>
            </w:r>
          </w:p>
        </w:tc>
        <w:tc>
          <w:tcPr>
            <w:tcW w:w="661" w:type="dxa"/>
            <w:shd w:val="clear" w:color="auto" w:fill="auto"/>
          </w:tcPr>
          <w:p w14:paraId="548DAEEB" w14:textId="5B584433" w:rsidR="007A3CD6" w:rsidRPr="006867E6" w:rsidRDefault="00DB54C6" w:rsidP="00570889">
            <w:pPr>
              <w:keepLines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E068E5">
              <w:rPr>
                <w:rFonts w:asciiTheme="minorBidi" w:hAnsiTheme="minorBidi" w:cstheme="minorBidi"/>
                <w:sz w:val="20"/>
                <w:szCs w:val="20"/>
                <w:lang w:val="en-GB"/>
              </w:rPr>
              <w:t>27.</w:t>
            </w:r>
          </w:p>
        </w:tc>
        <w:tc>
          <w:tcPr>
            <w:tcW w:w="6308" w:type="dxa"/>
            <w:gridSpan w:val="2"/>
            <w:shd w:val="clear" w:color="auto" w:fill="auto"/>
          </w:tcPr>
          <w:p w14:paraId="5A7C5F1C" w14:textId="58CBFA31" w:rsidR="007A3CD6" w:rsidRPr="006867E6" w:rsidRDefault="009E0E00" w:rsidP="00570889">
            <w:pPr>
              <w:keepLines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trike/>
                <w:sz w:val="20"/>
                <w:szCs w:val="20"/>
                <w:highlight w:val="cyan"/>
                <w:shd w:val="clear" w:color="auto" w:fill="FBE4D5" w:themeFill="accent2" w:themeFillTint="33"/>
              </w:rPr>
              <w:t>На экспериментальной основе,</w:t>
            </w:r>
            <w:r w:rsidR="00F8592B" w:rsidRPr="006867E6">
              <w:rPr>
                <w:rFonts w:asciiTheme="minorBidi" w:hAnsiTheme="minorBidi" w:cstheme="minorBidi"/>
                <w:strike/>
                <w:sz w:val="20"/>
                <w:szCs w:val="20"/>
                <w:highlight w:val="cyan"/>
                <w:shd w:val="clear" w:color="auto" w:fill="FBE4D5" w:themeFill="accent2" w:themeFillTint="33"/>
              </w:rPr>
              <w:t xml:space="preserve"> </w:t>
            </w:r>
            <w:r w:rsidR="00761824" w:rsidRPr="006867E6">
              <w:rPr>
                <w:rStyle w:val="FootnoteReference"/>
                <w:rFonts w:asciiTheme="minorBidi" w:hAnsiTheme="minorBidi" w:cstheme="minorBidi"/>
                <w:sz w:val="20"/>
                <w:szCs w:val="20"/>
                <w:highlight w:val="cyan"/>
                <w:shd w:val="clear" w:color="auto" w:fill="FBE4D5" w:themeFill="accent2" w:themeFillTint="33"/>
              </w:rPr>
              <w:footnoteReference w:id="15"/>
            </w: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  <w:u w:val="single"/>
              </w:rPr>
              <w:t>О</w:t>
            </w:r>
            <w:r w:rsidRPr="006867E6">
              <w:rPr>
                <w:rFonts w:asciiTheme="minorBidi" w:hAnsiTheme="minorBidi" w:cstheme="minorBidi"/>
                <w:sz w:val="20"/>
                <w:szCs w:val="20"/>
              </w:rPr>
              <w:t xml:space="preserve">ценку номинаций в Список нематериального культурного наследия, нуждающегося в срочной охране, Репрезентативный список нематериального культурного наследия человечества, предложений по программам, проектам и мероприятиям, наилучшим образом отражающим принципы и цели Конвенции, и заявок на международную помощь </w:t>
            </w:r>
            <w:r w:rsidRPr="006867E6">
              <w:rPr>
                <w:rFonts w:asciiTheme="minorBidi" w:hAnsiTheme="minorBidi" w:cstheme="minorBidi"/>
                <w:strike/>
                <w:sz w:val="20"/>
                <w:szCs w:val="20"/>
                <w:highlight w:val="cyan"/>
                <w:shd w:val="clear" w:color="auto" w:fill="FBE4D5" w:themeFill="accent2" w:themeFillTint="33"/>
              </w:rPr>
              <w:t>на сумму, превышающую 100 000 долл.</w:t>
            </w: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  <w:shd w:val="clear" w:color="auto" w:fill="FBE4D5" w:themeFill="accent2" w:themeFillTint="33"/>
              </w:rPr>
              <w:t>,</w:t>
            </w:r>
            <w:r w:rsidR="00761824" w:rsidRPr="006867E6">
              <w:rPr>
                <w:rStyle w:val="FootnoteReference"/>
                <w:rFonts w:asciiTheme="minorBidi" w:hAnsiTheme="minorBidi" w:cstheme="minorBidi"/>
                <w:sz w:val="20"/>
                <w:szCs w:val="20"/>
                <w:highlight w:val="cyan"/>
                <w:shd w:val="clear" w:color="auto" w:fill="FBE4D5" w:themeFill="accent2" w:themeFillTint="33"/>
              </w:rPr>
              <w:footnoteReference w:id="16"/>
            </w: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  <w:shd w:val="clear" w:color="auto" w:fill="FBE4D5" w:themeFill="accent2" w:themeFillTint="33"/>
              </w:rPr>
              <w:t xml:space="preserve"> </w:t>
            </w: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  <w:u w:val="single"/>
                <w:shd w:val="clear" w:color="auto" w:fill="FBE4D5" w:themeFill="accent2" w:themeFillTint="33"/>
              </w:rPr>
              <w:t xml:space="preserve">представляемых одновременно с номинациями на включение в Список нематериального культурного наследия, нуждающегося в срочной охране, или в контексте заявки на перемещение </w:t>
            </w:r>
            <w:r w:rsidR="00F8592B" w:rsidRPr="006867E6">
              <w:rPr>
                <w:rFonts w:asciiTheme="minorBidi" w:hAnsiTheme="minorBidi" w:cstheme="minorBidi"/>
                <w:sz w:val="20"/>
                <w:szCs w:val="20"/>
                <w:highlight w:val="cyan"/>
                <w:u w:val="single"/>
                <w:shd w:val="clear" w:color="auto" w:fill="FBE4D5" w:themeFill="accent2" w:themeFillTint="33"/>
              </w:rPr>
              <w:t>элемента из Репрезентативного списка нематериального культурного наследия человечества в Список нематериального культурного наследия, нуждающегося в срочной охране</w:t>
            </w: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  <w:u w:val="single"/>
                <w:shd w:val="clear" w:color="auto" w:fill="FBE4D5" w:themeFill="accent2" w:themeFillTint="33"/>
              </w:rPr>
              <w:t>,</w:t>
            </w:r>
            <w:r w:rsidRPr="006867E6">
              <w:rPr>
                <w:rFonts w:asciiTheme="minorBidi" w:hAnsiTheme="minorBidi" w:cstheme="minorBidi"/>
                <w:sz w:val="20"/>
                <w:szCs w:val="20"/>
              </w:rPr>
              <w:t xml:space="preserve"> осуществляет консультативный орган Комитета, учреждаемый в соответствии со статьей 8.3 Конвенции и называемый «оценочным органом». Оценочный орган готовит рекомендации для решений Комитета. Оценочный орган состоит из двенадцати назначаемых Комитетом членов: шесть экспертов, обладающих компетенцией в различных областях нематериального культурного наследия и представляющих государства-участников, не являющихся членами Комитета, и шесть аккредитованных неправительственных организаций с учетом справедливого географического представительства и различных областей нематериального культурного наследия.</w:t>
            </w:r>
          </w:p>
        </w:tc>
      </w:tr>
      <w:tr w:rsidR="004A134C" w:rsidRPr="00756EF7" w14:paraId="0C0BD029" w14:textId="77777777" w:rsidTr="006867E6">
        <w:tc>
          <w:tcPr>
            <w:tcW w:w="562" w:type="dxa"/>
          </w:tcPr>
          <w:p w14:paraId="30DDF020" w14:textId="77777777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30.</w:t>
            </w:r>
          </w:p>
        </w:tc>
        <w:tc>
          <w:tcPr>
            <w:tcW w:w="6498" w:type="dxa"/>
            <w:gridSpan w:val="2"/>
          </w:tcPr>
          <w:p w14:paraId="4D51D0AB" w14:textId="77777777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Оценочный орган представляет Комитету доклад об оценке, который содержит рекомендацию относительно:</w:t>
            </w:r>
          </w:p>
          <w:p w14:paraId="56BF102E" w14:textId="77777777" w:rsidR="004A134C" w:rsidRPr="006867E6" w:rsidRDefault="004A134C" w:rsidP="006867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81" w:hanging="181"/>
              <w:rPr>
                <w:rFonts w:asciiTheme="minorBidi" w:eastAsia="Calibri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включения или отказа во включении представленного элемента в Список нематериального культурного наследия, нуждающегося в срочной охране, или Репрезентативный список нематериального культурного наследия человечества, или препровождения номинации представившему ее государству (государствам) для получения дополнительной информации;</w:t>
            </w:r>
          </w:p>
          <w:p w14:paraId="7ADC894D" w14:textId="77777777" w:rsidR="004A134C" w:rsidRPr="006867E6" w:rsidRDefault="004A134C" w:rsidP="006867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0" w:after="60"/>
              <w:ind w:left="181" w:hanging="181"/>
              <w:rPr>
                <w:rFonts w:asciiTheme="minorBidi" w:eastAsia="Calibri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отбора или отказа в отборе предложения по программе, проекту или мероприятию, или препровождения предложения подавшему его государству (государствам) для получения дополнительной информации; или</w:t>
            </w:r>
          </w:p>
          <w:p w14:paraId="798C51F2" w14:textId="77777777" w:rsidR="004A134C" w:rsidRPr="006867E6" w:rsidRDefault="004A134C" w:rsidP="006867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0" w:after="60"/>
              <w:ind w:left="181" w:hanging="181"/>
              <w:rPr>
                <w:rFonts w:asciiTheme="minorBidi" w:eastAsia="Calibri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утверждения или отказа в утверждении заявки на международную помощь, или препровождения заявки подавшему ее государству (государствам) для получения дополнительной информации.</w:t>
            </w:r>
          </w:p>
        </w:tc>
        <w:tc>
          <w:tcPr>
            <w:tcW w:w="661" w:type="dxa"/>
          </w:tcPr>
          <w:p w14:paraId="17309E3D" w14:textId="77777777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30.</w:t>
            </w:r>
          </w:p>
        </w:tc>
        <w:tc>
          <w:tcPr>
            <w:tcW w:w="6308" w:type="dxa"/>
            <w:gridSpan w:val="2"/>
          </w:tcPr>
          <w:p w14:paraId="3F333E3C" w14:textId="77777777" w:rsidR="004A134C" w:rsidRPr="006867E6" w:rsidRDefault="004A134C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Оценочный орган представляет Комитету доклад об оценке, который содержит рекомендацию относительно:</w:t>
            </w:r>
          </w:p>
          <w:p w14:paraId="5EC5F418" w14:textId="77777777" w:rsidR="00474CF9" w:rsidRPr="006867E6" w:rsidRDefault="00474CF9" w:rsidP="00585BD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napToGrid w:val="0"/>
              <w:spacing w:before="120" w:after="120"/>
              <w:ind w:left="284" w:hanging="284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включения или отказа во включении представленного элемента 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(в том числе перемещения из одного Списка в другой, расширения или сужения уже включенного элемента)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в Список нематериального культурного наследия, нуждающегося в срочной охране, или Репрезентативный список нематериального культурного наследия человечества, или препровождения номинации представившему ее государству (государствам) для получения дополнительной информации;</w:t>
            </w:r>
          </w:p>
          <w:p w14:paraId="6B3221CB" w14:textId="55C9FC68" w:rsidR="00474CF9" w:rsidRPr="006867E6" w:rsidRDefault="00474CF9" w:rsidP="00585BD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napToGrid w:val="0"/>
              <w:spacing w:before="120" w:after="120"/>
              <w:ind w:left="284" w:hanging="284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отбора или отказа в отборе предложения по программе, проекту или мероприятию, или препровождения предложения подавшему его государству (государствам) для получения дополнительной информации; </w:t>
            </w:r>
          </w:p>
          <w:p w14:paraId="166692EC" w14:textId="77777777" w:rsidR="009E0E00" w:rsidRPr="006867E6" w:rsidRDefault="009E0E00" w:rsidP="00585BD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napToGrid w:val="0"/>
              <w:spacing w:before="120" w:after="120"/>
              <w:ind w:left="284" w:hanging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cyan"/>
                <w:u w:val="single"/>
              </w:rPr>
              <w:t>утверждения или отказа в утверждении заявки на международную помощь, представленной в контексте заявки на перемещение элемента из Репрезентативного списка нематериального культурного наследия человечества в Список нематериального культурного наследия, нуждающегося в срочной охране, или препровождения заявки представившему ее государству (государствам) для получения дополнительной информации;</w:t>
            </w:r>
          </w:p>
          <w:p w14:paraId="7D476A38" w14:textId="3040E5E0" w:rsidR="00474CF9" w:rsidRPr="006867E6" w:rsidRDefault="009E0E00" w:rsidP="00585BD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napToGrid w:val="0"/>
              <w:spacing w:before="120" w:after="120"/>
              <w:ind w:left="284" w:hanging="284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 xml:space="preserve">утверждения или отказа в утверждении заявки на международную помощь, </w:t>
            </w: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  <w:u w:val="single"/>
                <w:shd w:val="clear" w:color="auto" w:fill="FBE4D5" w:themeFill="accent2" w:themeFillTint="33"/>
              </w:rPr>
              <w:t>представленной одновременно с номинацией на включение в Список нематериального культурного наследия, нуждающегося в срочной охране</w:t>
            </w: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  <w:shd w:val="clear" w:color="auto" w:fill="FBE4D5" w:themeFill="accent2" w:themeFillTint="33"/>
              </w:rPr>
              <w:t>,</w:t>
            </w:r>
            <w:r w:rsidRPr="006867E6">
              <w:rPr>
                <w:rFonts w:asciiTheme="minorBidi" w:hAnsiTheme="minorBidi" w:cstheme="minorBidi"/>
                <w:sz w:val="20"/>
                <w:szCs w:val="20"/>
              </w:rPr>
              <w:t xml:space="preserve"> или препровождения заявки представившему ее государству (государствам) для получения дополнительной информации; </w:t>
            </w:r>
            <w:r w:rsidR="00474CF9"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или</w:t>
            </w:r>
          </w:p>
          <w:p w14:paraId="59DCF0B9" w14:textId="37C2E1C0" w:rsidR="004A134C" w:rsidRPr="006867E6" w:rsidRDefault="00474CF9" w:rsidP="00585BD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60"/>
              <w:ind w:left="284" w:hanging="284"/>
              <w:rPr>
                <w:rFonts w:asciiTheme="minorBidi" w:eastAsia="Calibri" w:hAnsiTheme="minorBidi" w:cstheme="minorBidi"/>
                <w:color w:val="231F20"/>
                <w:sz w:val="20"/>
                <w:szCs w:val="20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сохранения или исключения включенного элемента из Списка нематериального культурного наследия, нуждающегося в срочной охране, или Репрезентативного списка нематериального культурного наследия человечества в случае «усиленного контроля».</w:t>
            </w:r>
          </w:p>
        </w:tc>
      </w:tr>
      <w:tr w:rsidR="00981D4B" w:rsidRPr="00756EF7" w14:paraId="2FD24F84" w14:textId="77777777" w:rsidTr="006867E6">
        <w:tc>
          <w:tcPr>
            <w:tcW w:w="562" w:type="dxa"/>
            <w:shd w:val="clear" w:color="auto" w:fill="F2F2F2"/>
          </w:tcPr>
          <w:p w14:paraId="4C4AE788" w14:textId="59E8A85B" w:rsidR="00981D4B" w:rsidRPr="006867E6" w:rsidRDefault="00981D4B" w:rsidP="00570889">
            <w:pPr>
              <w:keepNext/>
              <w:keepLines/>
              <w:spacing w:before="120" w:after="120"/>
              <w:rPr>
                <w:rFonts w:asciiTheme="minorBidi" w:hAnsiTheme="minorBidi" w:cstheme="minorBidi"/>
                <w:b/>
                <w:color w:val="1F4E79"/>
                <w:sz w:val="20"/>
                <w:szCs w:val="20"/>
                <w:lang w:val="en-GB"/>
              </w:rPr>
            </w:pPr>
            <w:r w:rsidRPr="006867E6">
              <w:rPr>
                <w:rFonts w:asciiTheme="minorBidi" w:hAnsiTheme="minorBidi" w:cstheme="minorBidi"/>
                <w:b/>
                <w:color w:val="1F4E79"/>
                <w:sz w:val="20"/>
                <w:szCs w:val="20"/>
              </w:rPr>
              <w:t>I.</w:t>
            </w:r>
            <w:r w:rsidRPr="006867E6">
              <w:rPr>
                <w:rFonts w:asciiTheme="minorBidi" w:hAnsiTheme="minorBidi" w:cstheme="minorBidi"/>
                <w:b/>
                <w:color w:val="1F4E79"/>
                <w:sz w:val="20"/>
                <w:szCs w:val="20"/>
                <w:lang w:val="en-GB"/>
              </w:rPr>
              <w:t>10</w:t>
            </w:r>
          </w:p>
        </w:tc>
        <w:tc>
          <w:tcPr>
            <w:tcW w:w="6498" w:type="dxa"/>
            <w:gridSpan w:val="2"/>
            <w:shd w:val="clear" w:color="auto" w:fill="F2F2F2"/>
          </w:tcPr>
          <w:p w14:paraId="70A11F20" w14:textId="7FA32E85" w:rsidR="00981D4B" w:rsidRPr="006867E6" w:rsidRDefault="00292647" w:rsidP="00570889">
            <w:pPr>
              <w:keepNext/>
              <w:keepLines/>
              <w:spacing w:before="120" w:after="120"/>
              <w:rPr>
                <w:rFonts w:asciiTheme="minorBidi" w:hAnsiTheme="minorBidi" w:cstheme="minorBidi"/>
                <w:b/>
                <w:color w:val="1F4E79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b/>
                <w:color w:val="1F4E79"/>
                <w:sz w:val="20"/>
                <w:szCs w:val="20"/>
              </w:rPr>
              <w:t>Рассмотрение досье Комитетом</w:t>
            </w:r>
          </w:p>
        </w:tc>
        <w:tc>
          <w:tcPr>
            <w:tcW w:w="661" w:type="dxa"/>
            <w:shd w:val="clear" w:color="auto" w:fill="F2F2F2"/>
          </w:tcPr>
          <w:p w14:paraId="7033FCD8" w14:textId="5872773D" w:rsidR="00981D4B" w:rsidRPr="006867E6" w:rsidRDefault="00292647" w:rsidP="00570889">
            <w:pPr>
              <w:keepNext/>
              <w:keepLines/>
              <w:spacing w:before="120" w:after="120"/>
              <w:rPr>
                <w:rFonts w:asciiTheme="minorBidi" w:hAnsiTheme="minorBidi" w:cstheme="minorBidi"/>
                <w:b/>
                <w:color w:val="1F4E79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b/>
                <w:color w:val="1F4E79"/>
                <w:sz w:val="20"/>
                <w:szCs w:val="20"/>
              </w:rPr>
              <w:t>I.</w:t>
            </w:r>
            <w:r w:rsidRPr="006867E6">
              <w:rPr>
                <w:rFonts w:asciiTheme="minorBidi" w:hAnsiTheme="minorBidi" w:cstheme="minorBidi"/>
                <w:b/>
                <w:color w:val="1F4E79"/>
                <w:sz w:val="20"/>
                <w:szCs w:val="20"/>
                <w:lang w:val="en-GB"/>
              </w:rPr>
              <w:t>10</w:t>
            </w:r>
          </w:p>
        </w:tc>
        <w:tc>
          <w:tcPr>
            <w:tcW w:w="6308" w:type="dxa"/>
            <w:gridSpan w:val="2"/>
            <w:shd w:val="clear" w:color="auto" w:fill="F2F2F2"/>
          </w:tcPr>
          <w:p w14:paraId="1577CBCE" w14:textId="4D8F9E1E" w:rsidR="00981D4B" w:rsidRPr="006867E6" w:rsidRDefault="00292647" w:rsidP="00570889">
            <w:pPr>
              <w:keepNext/>
              <w:keepLines/>
              <w:spacing w:before="120"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[Без изменений.]</w:t>
            </w:r>
          </w:p>
        </w:tc>
      </w:tr>
      <w:tr w:rsidR="00981D4B" w:rsidRPr="00756EF7" w14:paraId="62F740B3" w14:textId="77777777" w:rsidTr="006867E6">
        <w:tc>
          <w:tcPr>
            <w:tcW w:w="562" w:type="dxa"/>
            <w:shd w:val="clear" w:color="auto" w:fill="auto"/>
          </w:tcPr>
          <w:p w14:paraId="6AF322AD" w14:textId="4C00BC00" w:rsidR="00981D4B" w:rsidRPr="006867E6" w:rsidRDefault="00981D4B" w:rsidP="00570889">
            <w:pPr>
              <w:keepLines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33.</w:t>
            </w:r>
          </w:p>
        </w:tc>
        <w:tc>
          <w:tcPr>
            <w:tcW w:w="6498" w:type="dxa"/>
            <w:gridSpan w:val="2"/>
            <w:shd w:val="clear" w:color="auto" w:fill="auto"/>
          </w:tcPr>
          <w:p w14:paraId="0C864362" w14:textId="6C2895C9" w:rsidR="00981D4B" w:rsidRPr="006867E6" w:rsidRDefault="0085064C" w:rsidP="00570889">
            <w:pPr>
              <w:keepLines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Комитет за два года заранее определяет, в соответствии с имеющимися ресурсами и возможностями, количество досье, которые он сможет рассмотреть в ходе последующих двух циклов. Это максимальное число применяется в отношении всех досье, включая номинации в Список нематериального культурного наследия, нуждающегося в срочной охране, и Репрезентативный список нематериального культурного наследия человечества, предложений по программам, проектам и мероприятиям, наилучшим образом отражающим принципы и цели Конвенции, и заявок на международную помощь на сумму, превышающую 100 000 долл.</w:t>
            </w:r>
          </w:p>
        </w:tc>
        <w:tc>
          <w:tcPr>
            <w:tcW w:w="661" w:type="dxa"/>
            <w:shd w:val="clear" w:color="auto" w:fill="auto"/>
          </w:tcPr>
          <w:p w14:paraId="15D3B5E2" w14:textId="13B28353" w:rsidR="00981D4B" w:rsidRPr="006867E6" w:rsidRDefault="0012581F" w:rsidP="00570889">
            <w:pPr>
              <w:keepLines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574A2A">
              <w:rPr>
                <w:rFonts w:asciiTheme="minorBidi" w:hAnsiTheme="minorBidi" w:cstheme="minorBidi"/>
                <w:sz w:val="20"/>
                <w:szCs w:val="20"/>
              </w:rPr>
              <w:t>33.</w:t>
            </w:r>
          </w:p>
        </w:tc>
        <w:tc>
          <w:tcPr>
            <w:tcW w:w="6308" w:type="dxa"/>
            <w:gridSpan w:val="2"/>
            <w:shd w:val="clear" w:color="auto" w:fill="auto"/>
          </w:tcPr>
          <w:p w14:paraId="75F56A2D" w14:textId="06C68FB8" w:rsidR="00981D4B" w:rsidRPr="006867E6" w:rsidRDefault="009E0E00" w:rsidP="00570889">
            <w:pPr>
              <w:keepLines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 xml:space="preserve">Комитет за два года заранее определяет, в соответствии с имеющимися ресурсами и возможностями, количество досье, которые он сможет рассмотреть в ходе последующих двух циклов, </w:t>
            </w: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  <w:u w:val="single"/>
                <w:shd w:val="clear" w:color="auto" w:fill="FBE4D5" w:themeFill="accent2" w:themeFillTint="33"/>
              </w:rPr>
              <w:t>в общей сложности составляющих не более 60</w:t>
            </w:r>
            <w:r w:rsidR="00F8592B" w:rsidRPr="006867E6">
              <w:rPr>
                <w:rStyle w:val="FootnoteReference"/>
                <w:rFonts w:asciiTheme="minorBidi" w:hAnsiTheme="minorBidi" w:cstheme="minorBidi"/>
                <w:sz w:val="20"/>
                <w:szCs w:val="20"/>
                <w:highlight w:val="cyan"/>
                <w:u w:val="single"/>
                <w:shd w:val="clear" w:color="auto" w:fill="FBE4D5" w:themeFill="accent2" w:themeFillTint="33"/>
              </w:rPr>
              <w:footnoteReference w:id="17"/>
            </w:r>
            <w:r w:rsidRPr="006867E6">
              <w:rPr>
                <w:rFonts w:asciiTheme="minorBidi" w:hAnsiTheme="minorBidi" w:cstheme="minorBidi"/>
                <w:sz w:val="20"/>
                <w:szCs w:val="20"/>
              </w:rPr>
              <w:t xml:space="preserve">. Это максимальное число применяется в отношении всех досье, включая номинации в Список нематериального культурного наследия, нуждающегося в срочной охране, и Репрезентативный список нематериального культурного наследия человечества, </w:t>
            </w: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  <w:u w:val="single"/>
                <w:shd w:val="clear" w:color="auto" w:fill="FBE4D5" w:themeFill="accent2" w:themeFillTint="33"/>
              </w:rPr>
              <w:t>а также</w:t>
            </w:r>
            <w:r w:rsidRPr="006867E6">
              <w:rPr>
                <w:rFonts w:asciiTheme="minorBidi" w:hAnsiTheme="minorBidi" w:cstheme="minorBidi"/>
                <w:sz w:val="20"/>
                <w:szCs w:val="20"/>
              </w:rPr>
              <w:t xml:space="preserve"> предложений по программам, проектам и мероприятиям, наилучшим образом отражающим принципы и цели Конвенции</w:t>
            </w:r>
            <w:r w:rsidRPr="006867E6">
              <w:rPr>
                <w:rFonts w:asciiTheme="minorBidi" w:hAnsiTheme="minorBidi" w:cstheme="minorBidi"/>
                <w:strike/>
                <w:sz w:val="20"/>
                <w:szCs w:val="20"/>
                <w:shd w:val="clear" w:color="auto" w:fill="FBE4D5" w:themeFill="accent2" w:themeFillTint="33"/>
              </w:rPr>
              <w:t xml:space="preserve"> </w:t>
            </w:r>
            <w:r w:rsidRPr="006867E6">
              <w:rPr>
                <w:rFonts w:asciiTheme="minorBidi" w:hAnsiTheme="minorBidi" w:cstheme="minorBidi"/>
                <w:strike/>
                <w:sz w:val="20"/>
                <w:szCs w:val="20"/>
                <w:highlight w:val="cyan"/>
                <w:shd w:val="clear" w:color="auto" w:fill="FBE4D5" w:themeFill="accent2" w:themeFillTint="33"/>
              </w:rPr>
              <w:t>заявок на международную помощь на сумму, превышающую 100 000 долл</w:t>
            </w: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.</w:t>
            </w:r>
            <w:r w:rsidR="00F8592B" w:rsidRPr="006867E6">
              <w:rPr>
                <w:rStyle w:val="FootnoteReference"/>
                <w:rFonts w:asciiTheme="minorBidi" w:hAnsiTheme="minorBidi" w:cstheme="minorBidi"/>
                <w:sz w:val="20"/>
                <w:szCs w:val="20"/>
                <w:highlight w:val="cyan"/>
              </w:rPr>
              <w:footnoteReference w:id="18"/>
            </w:r>
          </w:p>
        </w:tc>
      </w:tr>
      <w:tr w:rsidR="009E0E00" w:rsidRPr="00756EF7" w14:paraId="44101046" w14:textId="77777777" w:rsidTr="006867E6">
        <w:tc>
          <w:tcPr>
            <w:tcW w:w="562" w:type="dxa"/>
            <w:shd w:val="clear" w:color="auto" w:fill="auto"/>
          </w:tcPr>
          <w:p w14:paraId="53EDA0B9" w14:textId="6E7928BA" w:rsidR="009E0E00" w:rsidRPr="006867E6" w:rsidRDefault="009E0E00" w:rsidP="00570889">
            <w:pPr>
              <w:keepLines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34.</w:t>
            </w:r>
          </w:p>
        </w:tc>
        <w:tc>
          <w:tcPr>
            <w:tcW w:w="6498" w:type="dxa"/>
            <w:gridSpan w:val="2"/>
            <w:shd w:val="clear" w:color="auto" w:fill="auto"/>
          </w:tcPr>
          <w:p w14:paraId="239B3FF3" w14:textId="71F2B780" w:rsidR="009E0E00" w:rsidRPr="006867E6" w:rsidRDefault="009E0E00" w:rsidP="00570889">
            <w:pPr>
              <w:keepLines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Комитет прилагает все возможные усилия для того, чтобы рассмотреть, по меньшей мере, одно досье от каждого государства в рамках общего максимального числа представленных досье, уделяя приоритетное внимание:</w:t>
            </w:r>
          </w:p>
          <w:p w14:paraId="5AECD452" w14:textId="34274922" w:rsidR="009E0E00" w:rsidRPr="006867E6" w:rsidRDefault="009E0E00" w:rsidP="00585BD6">
            <w:pPr>
              <w:pStyle w:val="ListParagraph"/>
              <w:keepLines/>
              <w:numPr>
                <w:ilvl w:val="0"/>
                <w:numId w:val="17"/>
              </w:num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досье от государств, не имеющих ни одного включённого элемента, ни одной отобранной передовой практики или ни одной утверждённой заявки на международную помощь на сумму, превышающую 100 000 долл. и номинациям в Список нематериального культурного наследия, нуждающегося в срочной охране;</w:t>
            </w:r>
          </w:p>
          <w:p w14:paraId="4A9A43A7" w14:textId="04A65BD3" w:rsidR="009E0E00" w:rsidRPr="006867E6" w:rsidRDefault="009E0E00" w:rsidP="00585BD6">
            <w:pPr>
              <w:pStyle w:val="ListParagraph"/>
              <w:keepLines/>
              <w:numPr>
                <w:ilvl w:val="0"/>
                <w:numId w:val="17"/>
              </w:num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многонациональным досье; и</w:t>
            </w:r>
          </w:p>
          <w:p w14:paraId="7B5BB7AE" w14:textId="4D1E64E7" w:rsidR="009E0E00" w:rsidRPr="006867E6" w:rsidRDefault="009E0E00" w:rsidP="00585BD6">
            <w:pPr>
              <w:pStyle w:val="ListParagraph"/>
              <w:keepLines/>
              <w:numPr>
                <w:ilvl w:val="0"/>
                <w:numId w:val="17"/>
              </w:num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досье от государств, имеющих наименьшее число включённых элементов, отобранных передовых практик или утверждённых заявок на международную помощь на сумму, превышающую 100 000 долл., по сравнению с другими государствами, представившими досье в рамках одного цикла.</w:t>
            </w:r>
          </w:p>
          <w:p w14:paraId="5E3BA93B" w14:textId="5E3BD51F" w:rsidR="009E0E00" w:rsidRPr="006867E6" w:rsidRDefault="009E0E00" w:rsidP="00570889">
            <w:pPr>
              <w:keepLines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В случае если государства представляют несколько досье в рамках одного цикла, они указывают желаемый приоритетный порядок их рассмотрения. В силу этого, государствам-участникам предлагается отдавать приоритет Списку нематериального культурного наследия, нуждающегося в срочной охране.</w:t>
            </w:r>
          </w:p>
        </w:tc>
        <w:tc>
          <w:tcPr>
            <w:tcW w:w="661" w:type="dxa"/>
            <w:shd w:val="clear" w:color="auto" w:fill="auto"/>
          </w:tcPr>
          <w:p w14:paraId="31D815F9" w14:textId="7B0A9FB2" w:rsidR="009E0E00" w:rsidRPr="006867E6" w:rsidRDefault="0012581F" w:rsidP="00570889">
            <w:pPr>
              <w:keepLines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574A2A">
              <w:rPr>
                <w:rFonts w:asciiTheme="minorBidi" w:hAnsiTheme="minorBidi" w:cstheme="minorBidi"/>
                <w:sz w:val="20"/>
                <w:szCs w:val="20"/>
              </w:rPr>
              <w:t>34.</w:t>
            </w:r>
          </w:p>
        </w:tc>
        <w:tc>
          <w:tcPr>
            <w:tcW w:w="6308" w:type="dxa"/>
            <w:gridSpan w:val="2"/>
            <w:shd w:val="clear" w:color="auto" w:fill="auto"/>
          </w:tcPr>
          <w:p w14:paraId="1CE3C98C" w14:textId="77777777" w:rsidR="009E0E00" w:rsidRPr="006867E6" w:rsidRDefault="009E0E00" w:rsidP="00570889">
            <w:pPr>
              <w:widowControl w:val="0"/>
              <w:tabs>
                <w:tab w:val="left" w:pos="2127"/>
                <w:tab w:val="left" w:pos="2176"/>
              </w:tabs>
              <w:autoSpaceDE w:val="0"/>
              <w:autoSpaceDN w:val="0"/>
              <w:spacing w:before="60" w:after="60"/>
              <w:rPr>
                <w:rFonts w:asciiTheme="minorBidi" w:eastAsia="SimSun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Комитет прилагает все возможные усилия для того, чтобы рассмотреть, по меньшей мере, одно досье от каждого государства в рамках общего максимального числа представленных досье, уделяя приоритетное внимание:</w:t>
            </w:r>
          </w:p>
          <w:p w14:paraId="69B7C64A" w14:textId="604AFF60" w:rsidR="009E0E00" w:rsidRPr="006867E6" w:rsidRDefault="009E0E00" w:rsidP="006867E6">
            <w:pPr>
              <w:autoSpaceDE w:val="0"/>
              <w:autoSpaceDN w:val="0"/>
              <w:adjustRightInd w:val="0"/>
              <w:spacing w:before="60" w:after="60"/>
              <w:ind w:left="386" w:hanging="284"/>
              <w:rPr>
                <w:rFonts w:asciiTheme="minorBidi" w:eastAsia="SimSun" w:hAnsiTheme="minorBidi" w:cstheme="minorBidi"/>
                <w:sz w:val="20"/>
                <w:szCs w:val="20"/>
                <w:u w:val="single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  <w:u w:val="single"/>
                <w:shd w:val="clear" w:color="auto" w:fill="FBE4D5" w:themeFill="accent2" w:themeFillTint="33"/>
              </w:rPr>
              <w:t>(0)</w:t>
            </w: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  <w:u w:val="single"/>
                <w:shd w:val="clear" w:color="auto" w:fill="FBE4D5" w:themeFill="accent2" w:themeFillTint="33"/>
              </w:rPr>
              <w:tab/>
              <w:t>досье от государств, не имеющих досье, рассмотренных в рамках предыдущего цикла</w:t>
            </w:r>
            <w:r w:rsidR="00F8592B" w:rsidRPr="006867E6">
              <w:rPr>
                <w:rStyle w:val="FootnoteReference"/>
                <w:rFonts w:asciiTheme="minorBidi" w:hAnsiTheme="minorBidi" w:cstheme="minorBidi"/>
                <w:sz w:val="20"/>
                <w:szCs w:val="20"/>
                <w:highlight w:val="cyan"/>
                <w:u w:val="single"/>
                <w:shd w:val="clear" w:color="auto" w:fill="FBE4D5" w:themeFill="accent2" w:themeFillTint="33"/>
              </w:rPr>
              <w:footnoteReference w:id="19"/>
            </w: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  <w:u w:val="single"/>
                <w:shd w:val="clear" w:color="auto" w:fill="FBE4D5" w:themeFill="accent2" w:themeFillTint="33"/>
              </w:rPr>
              <w:t>;</w:t>
            </w:r>
          </w:p>
          <w:p w14:paraId="4A3EFB32" w14:textId="476D4FD4" w:rsidR="009E0E00" w:rsidRPr="006867E6" w:rsidRDefault="009E0E00" w:rsidP="006867E6">
            <w:pPr>
              <w:autoSpaceDE w:val="0"/>
              <w:autoSpaceDN w:val="0"/>
              <w:adjustRightInd w:val="0"/>
              <w:spacing w:before="60" w:after="60"/>
              <w:ind w:left="387" w:hanging="284"/>
              <w:rPr>
                <w:rFonts w:asciiTheme="minorBidi" w:eastAsia="SimSun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(i)</w:t>
            </w:r>
            <w:r w:rsidRPr="006867E6">
              <w:rPr>
                <w:rFonts w:asciiTheme="minorBidi" w:hAnsiTheme="minorBidi" w:cstheme="minorBidi"/>
                <w:sz w:val="20"/>
                <w:szCs w:val="20"/>
              </w:rPr>
              <w:tab/>
              <w:t xml:space="preserve">досье от государств, не имеющих ни одного включенного элемента, ни одной отобранной передовой практики, </w:t>
            </w:r>
            <w:r w:rsidR="00D748DD" w:rsidRPr="006867E6">
              <w:rPr>
                <w:rFonts w:asciiTheme="minorBidi" w:hAnsiTheme="minorBidi" w:cstheme="minorBidi"/>
                <w:strike/>
                <w:sz w:val="20"/>
                <w:szCs w:val="20"/>
                <w:highlight w:val="cyan"/>
              </w:rPr>
              <w:t>или</w:t>
            </w:r>
            <w:r w:rsidR="00D748DD" w:rsidRPr="006867E6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 xml:space="preserve"> </w:t>
            </w:r>
            <w:r w:rsidR="00D748DD" w:rsidRPr="006867E6">
              <w:rPr>
                <w:rFonts w:asciiTheme="minorBidi" w:hAnsiTheme="minorBidi" w:cstheme="minorBidi"/>
                <w:strike/>
                <w:sz w:val="20"/>
                <w:szCs w:val="20"/>
                <w:highlight w:val="cyan"/>
              </w:rPr>
              <w:t>ни одной утверждённой заявки на международную помощь на сумму, превышающую 100 000 долл</w:t>
            </w:r>
            <w:r w:rsidR="00D748DD" w:rsidRPr="006867E6">
              <w:rPr>
                <w:rFonts w:asciiTheme="minorBidi" w:hAnsiTheme="minorBidi" w:cstheme="minorBidi"/>
                <w:strike/>
                <w:sz w:val="20"/>
                <w:szCs w:val="20"/>
              </w:rPr>
              <w:t>.</w:t>
            </w:r>
            <w:r w:rsidR="00D748DD" w:rsidRPr="006867E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6867E6">
              <w:rPr>
                <w:rFonts w:asciiTheme="minorBidi" w:hAnsiTheme="minorBidi" w:cstheme="minorBidi"/>
                <w:sz w:val="20"/>
                <w:szCs w:val="20"/>
              </w:rPr>
              <w:t>и номинациям в Список нематериального культурного наследия, нуждающегося в срочной охране;</w:t>
            </w:r>
          </w:p>
          <w:p w14:paraId="6D377FBC" w14:textId="77777777" w:rsidR="009E0E00" w:rsidRPr="006867E6" w:rsidRDefault="009E0E00" w:rsidP="006867E6">
            <w:pPr>
              <w:autoSpaceDE w:val="0"/>
              <w:autoSpaceDN w:val="0"/>
              <w:adjustRightInd w:val="0"/>
              <w:spacing w:before="60" w:after="60"/>
              <w:ind w:left="387" w:hanging="284"/>
              <w:rPr>
                <w:rFonts w:asciiTheme="minorBidi" w:eastAsia="SimSun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(ii)</w:t>
            </w:r>
            <w:r w:rsidRPr="006867E6">
              <w:rPr>
                <w:rFonts w:asciiTheme="minorBidi" w:hAnsiTheme="minorBidi" w:cstheme="minorBidi"/>
                <w:sz w:val="20"/>
                <w:szCs w:val="20"/>
              </w:rPr>
              <w:tab/>
              <w:t>многонациональным досье; и</w:t>
            </w:r>
          </w:p>
          <w:p w14:paraId="052C2F95" w14:textId="52A8F659" w:rsidR="009E0E00" w:rsidRPr="006867E6" w:rsidRDefault="009E0E00" w:rsidP="006867E6">
            <w:pPr>
              <w:pStyle w:val="ListParagraph"/>
              <w:keepLines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/>
              <w:ind w:left="387" w:hanging="284"/>
              <w:contextualSpacing w:val="0"/>
              <w:rPr>
                <w:rFonts w:asciiTheme="minorBidi" w:eastAsia="SimSun" w:hAnsiTheme="minorBidi" w:cstheme="minorBidi"/>
                <w:sz w:val="20"/>
                <w:szCs w:val="20"/>
                <w:highlight w:val="cyan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досье от государств, имеющих наименьшее число включенных элементов</w:t>
            </w:r>
            <w:r w:rsidRPr="006867E6">
              <w:rPr>
                <w:rFonts w:asciiTheme="minorBidi" w:hAnsiTheme="minorBidi" w:cstheme="minorBidi"/>
                <w:strike/>
                <w:sz w:val="20"/>
                <w:szCs w:val="20"/>
                <w:highlight w:val="cyan"/>
              </w:rPr>
              <w:t>,</w:t>
            </w:r>
            <w:r w:rsidR="00D748DD" w:rsidRPr="006867E6">
              <w:rPr>
                <w:rFonts w:asciiTheme="minorBidi" w:hAnsiTheme="minorBidi" w:cstheme="minorBidi"/>
                <w:strike/>
                <w:sz w:val="20"/>
                <w:szCs w:val="20"/>
                <w:highlight w:val="cyan"/>
              </w:rPr>
              <w:t xml:space="preserve"> </w:t>
            </w:r>
            <w:r w:rsidR="00D748DD" w:rsidRPr="006867E6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и</w:t>
            </w:r>
            <w:r w:rsidRPr="006867E6">
              <w:rPr>
                <w:rFonts w:asciiTheme="minorBidi" w:hAnsiTheme="minorBidi" w:cstheme="minorBidi"/>
                <w:sz w:val="20"/>
                <w:szCs w:val="20"/>
              </w:rPr>
              <w:t xml:space="preserve"> отобранных передовых практик </w:t>
            </w:r>
            <w:r w:rsidR="00D748DD" w:rsidRPr="006867E6">
              <w:rPr>
                <w:rFonts w:asciiTheme="minorBidi" w:hAnsiTheme="minorBidi" w:cstheme="minorBidi"/>
                <w:strike/>
                <w:sz w:val="20"/>
                <w:szCs w:val="20"/>
                <w:highlight w:val="cyan"/>
              </w:rPr>
              <w:t>или утверждённых заявок на международную помощь на сумму, превышающую 100 000 долл</w:t>
            </w:r>
            <w:r w:rsidR="00D748DD" w:rsidRPr="006867E6">
              <w:rPr>
                <w:rFonts w:asciiTheme="minorBidi" w:hAnsiTheme="minorBidi" w:cstheme="minorBidi"/>
                <w:strike/>
                <w:sz w:val="20"/>
                <w:szCs w:val="20"/>
              </w:rPr>
              <w:t>.,</w:t>
            </w:r>
            <w:r w:rsidR="00D748DD" w:rsidRPr="006867E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6867E6">
              <w:rPr>
                <w:rFonts w:asciiTheme="minorBidi" w:hAnsiTheme="minorBidi" w:cstheme="minorBidi"/>
                <w:sz w:val="20"/>
                <w:szCs w:val="20"/>
              </w:rPr>
              <w:t>по сравнению с другими государствами, представившими досье в рамках одного цикла.</w:t>
            </w:r>
          </w:p>
          <w:p w14:paraId="49CFCD9E" w14:textId="0B2A2A58" w:rsidR="009E0E00" w:rsidRPr="006867E6" w:rsidRDefault="009E0E00" w:rsidP="00570889">
            <w:pPr>
              <w:keepLines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В случае если государства представляют несколько досье в рамках одного цикла, они указывают желаемый приоритетный порядок их рассмотрения. В силу этого, государствам-участникам предлагается отдавать приоритет Списку нематериального культурного наследия, нуждающегося в срочной охране.</w:t>
            </w:r>
          </w:p>
        </w:tc>
      </w:tr>
      <w:tr w:rsidR="009E0E00" w:rsidRPr="00756EF7" w14:paraId="34FE9C58" w14:textId="77777777" w:rsidTr="006867E6">
        <w:tc>
          <w:tcPr>
            <w:tcW w:w="562" w:type="dxa"/>
            <w:shd w:val="clear" w:color="auto" w:fill="auto"/>
          </w:tcPr>
          <w:p w14:paraId="7B82E626" w14:textId="52FBCF64" w:rsidR="009E0E00" w:rsidRPr="006867E6" w:rsidRDefault="009E0E00" w:rsidP="00570889">
            <w:pPr>
              <w:keepLines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35.</w:t>
            </w:r>
          </w:p>
        </w:tc>
        <w:tc>
          <w:tcPr>
            <w:tcW w:w="6498" w:type="dxa"/>
            <w:gridSpan w:val="2"/>
            <w:shd w:val="clear" w:color="auto" w:fill="auto"/>
          </w:tcPr>
          <w:p w14:paraId="42E8B68A" w14:textId="77777777" w:rsidR="009E0E00" w:rsidRPr="006867E6" w:rsidRDefault="009E0E00" w:rsidP="00570889">
            <w:pPr>
              <w:keepLines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По завершении рассмотрения Комитет постановляет:</w:t>
            </w:r>
          </w:p>
          <w:p w14:paraId="275F8B85" w14:textId="28933FAB" w:rsidR="009E0E00" w:rsidRPr="006867E6" w:rsidRDefault="009E0E00" w:rsidP="00585BD6">
            <w:pPr>
              <w:pStyle w:val="ListParagraph"/>
              <w:keepLines/>
              <w:numPr>
                <w:ilvl w:val="0"/>
                <w:numId w:val="18"/>
              </w:num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включать или не включать элемент в Список нематериального культурного наследия, нуждающегося в срочной охране или в Репрезентативный список нематериального культурного наследия человечества или препроводить номинацию подавшему её государству (государствам) для получения дополнительной информации;</w:t>
            </w:r>
          </w:p>
          <w:p w14:paraId="08C88781" w14:textId="77777777" w:rsidR="009E0E00" w:rsidRPr="006867E6" w:rsidRDefault="009E0E00" w:rsidP="00585BD6">
            <w:pPr>
              <w:pStyle w:val="ListParagraph"/>
              <w:keepLines/>
              <w:numPr>
                <w:ilvl w:val="0"/>
                <w:numId w:val="18"/>
              </w:num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отбирать или не отбирать программу, проект или мероприятие в качестве передового опыта охранной деятельности или препроводить предложение подавшему его государству (государствам) для получения дополнительной информации;</w:t>
            </w:r>
          </w:p>
          <w:p w14:paraId="67C444BA" w14:textId="155E60DE" w:rsidR="009E0E00" w:rsidRPr="006867E6" w:rsidRDefault="009E0E00" w:rsidP="00585BD6">
            <w:pPr>
              <w:pStyle w:val="ListParagraph"/>
              <w:keepLines/>
              <w:numPr>
                <w:ilvl w:val="0"/>
                <w:numId w:val="18"/>
              </w:num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утверждать или не утверждать заявку на международную помощь свыше 100 000 долл. или препроводить заявку подавшему её государству (государствам) для получения дополнительной информации.</w:t>
            </w:r>
          </w:p>
        </w:tc>
        <w:tc>
          <w:tcPr>
            <w:tcW w:w="661" w:type="dxa"/>
            <w:shd w:val="clear" w:color="auto" w:fill="auto"/>
          </w:tcPr>
          <w:p w14:paraId="6F8D7666" w14:textId="4C161238" w:rsidR="009E0E00" w:rsidRPr="006867E6" w:rsidRDefault="00B60CC0" w:rsidP="00570889">
            <w:pPr>
              <w:keepLines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574A2A">
              <w:rPr>
                <w:rFonts w:asciiTheme="minorBidi" w:hAnsiTheme="minorBidi" w:cstheme="minorBidi"/>
                <w:sz w:val="20"/>
                <w:szCs w:val="20"/>
              </w:rPr>
              <w:t>35.</w:t>
            </w:r>
          </w:p>
        </w:tc>
        <w:tc>
          <w:tcPr>
            <w:tcW w:w="6308" w:type="dxa"/>
            <w:gridSpan w:val="2"/>
            <w:shd w:val="clear" w:color="auto" w:fill="auto"/>
          </w:tcPr>
          <w:p w14:paraId="50B696C4" w14:textId="77777777" w:rsidR="009E0E00" w:rsidRPr="006867E6" w:rsidRDefault="009E0E00" w:rsidP="00570889">
            <w:pPr>
              <w:widowControl w:val="0"/>
              <w:tabs>
                <w:tab w:val="left" w:pos="2127"/>
                <w:tab w:val="left" w:pos="2176"/>
              </w:tabs>
              <w:autoSpaceDE w:val="0"/>
              <w:autoSpaceDN w:val="0"/>
              <w:spacing w:before="60" w:after="60"/>
              <w:rPr>
                <w:rFonts w:asciiTheme="minorBidi" w:eastAsia="SimSun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По завершении рассмотрения Комитет постановляет:</w:t>
            </w:r>
          </w:p>
          <w:p w14:paraId="07C2ABBC" w14:textId="244A0909" w:rsidR="009E0E00" w:rsidRPr="006867E6" w:rsidRDefault="009E0E00" w:rsidP="00585BD6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включать или не включать элемент в Список нематериального культурного наследия, нуждающегося в срочной охране или в Репрезентативный список нематериального культурного наследия человечества или препроводить номинацию подавшему ее государству</w:t>
            </w:r>
            <w:r w:rsidR="00D748DD" w:rsidRPr="006867E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6867E6">
              <w:rPr>
                <w:rFonts w:asciiTheme="minorBidi" w:hAnsiTheme="minorBidi" w:cstheme="minorBidi"/>
                <w:sz w:val="20"/>
                <w:szCs w:val="20"/>
              </w:rPr>
              <w:t>(государствам) для получения дополнительной информации;</w:t>
            </w:r>
          </w:p>
          <w:p w14:paraId="5242FD33" w14:textId="474972F0" w:rsidR="009E0E00" w:rsidRPr="006867E6" w:rsidRDefault="009E0E00" w:rsidP="00585BD6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отбирать или не отбирать программу, проект или мероприятие в качестве передового опыта охранной деятельности или препроводить предложение подавшему его государству (государствам) для получения дополнительной информации; или</w:t>
            </w:r>
          </w:p>
          <w:p w14:paraId="2104174D" w14:textId="11DE9E10" w:rsidR="009E0E00" w:rsidRPr="006867E6" w:rsidRDefault="009E0E00" w:rsidP="00585BD6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утверждать или не утверждать заявку на международную помощь</w:t>
            </w: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  <w:shd w:val="clear" w:color="auto" w:fill="FBE4D5" w:themeFill="accent2" w:themeFillTint="33"/>
              </w:rPr>
              <w:t xml:space="preserve">, </w:t>
            </w: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  <w:u w:val="single"/>
                <w:shd w:val="clear" w:color="auto" w:fill="FBE4D5" w:themeFill="accent2" w:themeFillTint="33"/>
              </w:rPr>
              <w:t>представляемую одновременно с номинацией в Список нематериального культурного наследия, нуждающегося в срочной охране, или в контексте заявки на перемещение элемента из Репрезентативного списка нематериального культурного наследия человечества в Список нематериального культурного наследия, нуждающегося в срочной охране</w:t>
            </w: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  <w:shd w:val="clear" w:color="auto" w:fill="FBE4D5" w:themeFill="accent2" w:themeFillTint="33"/>
              </w:rPr>
              <w:t>,</w:t>
            </w: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 xml:space="preserve"> </w:t>
            </w:r>
            <w:r w:rsidRPr="006867E6">
              <w:rPr>
                <w:rFonts w:asciiTheme="minorBidi" w:hAnsiTheme="minorBidi" w:cstheme="minorBidi"/>
                <w:strike/>
                <w:sz w:val="20"/>
                <w:szCs w:val="20"/>
                <w:highlight w:val="cyan"/>
              </w:rPr>
              <w:t>свыше 100 000 долл.</w:t>
            </w:r>
            <w:r w:rsidR="00E900E8" w:rsidRPr="006867E6">
              <w:rPr>
                <w:rStyle w:val="FootnoteReference"/>
                <w:rFonts w:asciiTheme="minorBidi" w:hAnsiTheme="minorBidi" w:cstheme="minorBidi"/>
                <w:strike/>
                <w:sz w:val="20"/>
                <w:szCs w:val="20"/>
                <w:highlight w:val="cyan"/>
              </w:rPr>
              <w:footnoteReference w:id="20"/>
            </w:r>
            <w:r w:rsidRPr="006867E6">
              <w:rPr>
                <w:rFonts w:asciiTheme="minorBidi" w:hAnsiTheme="minorBidi" w:cstheme="minorBidi"/>
                <w:sz w:val="20"/>
                <w:szCs w:val="20"/>
              </w:rPr>
              <w:t xml:space="preserve"> или препроводить </w:t>
            </w:r>
            <w:r w:rsidRPr="006867E6">
              <w:rPr>
                <w:rFonts w:asciiTheme="minorBidi" w:hAnsiTheme="minorBidi" w:cstheme="minorBidi"/>
                <w:strike/>
                <w:sz w:val="20"/>
                <w:szCs w:val="20"/>
                <w:highlight w:val="cyan"/>
                <w:shd w:val="clear" w:color="auto" w:fill="FBE4D5" w:themeFill="accent2" w:themeFillTint="33"/>
              </w:rPr>
              <w:t>предложение</w:t>
            </w: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  <w:shd w:val="clear" w:color="auto" w:fill="FBE4D5" w:themeFill="accent2" w:themeFillTint="33"/>
              </w:rPr>
              <w:t xml:space="preserve"> </w:t>
            </w: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  <w:u w:val="single"/>
                <w:shd w:val="clear" w:color="auto" w:fill="FBE4D5" w:themeFill="accent2" w:themeFillTint="33"/>
              </w:rPr>
              <w:t>заявку</w:t>
            </w:r>
            <w:r w:rsidRPr="006867E6">
              <w:rPr>
                <w:rFonts w:asciiTheme="minorBidi" w:hAnsiTheme="minorBidi" w:cstheme="minorBidi"/>
                <w:sz w:val="20"/>
                <w:szCs w:val="20"/>
              </w:rPr>
              <w:t xml:space="preserve"> подавшему ее государству (государствам) для получения дополнительной информации.</w:t>
            </w:r>
          </w:p>
        </w:tc>
      </w:tr>
      <w:tr w:rsidR="00981D4B" w:rsidRPr="00756EF7" w14:paraId="438C13BE" w14:textId="77777777" w:rsidTr="006867E6">
        <w:tc>
          <w:tcPr>
            <w:tcW w:w="562" w:type="dxa"/>
            <w:shd w:val="clear" w:color="auto" w:fill="F2F2F2"/>
          </w:tcPr>
          <w:p w14:paraId="3C3D7E66" w14:textId="77777777" w:rsidR="00981D4B" w:rsidRPr="006867E6" w:rsidRDefault="00981D4B" w:rsidP="00570889">
            <w:pPr>
              <w:keepNext/>
              <w:keepLines/>
              <w:spacing w:before="120" w:after="120"/>
              <w:rPr>
                <w:rFonts w:asciiTheme="minorBidi" w:eastAsia="Yu Mincho" w:hAnsiTheme="minorBidi" w:cstheme="minorBidi"/>
                <w:b/>
                <w:bCs/>
                <w:color w:val="1F4E79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b/>
                <w:color w:val="1F4E79"/>
                <w:sz w:val="20"/>
                <w:szCs w:val="20"/>
              </w:rPr>
              <w:t>I.11</w:t>
            </w:r>
          </w:p>
        </w:tc>
        <w:tc>
          <w:tcPr>
            <w:tcW w:w="6498" w:type="dxa"/>
            <w:gridSpan w:val="2"/>
            <w:shd w:val="clear" w:color="auto" w:fill="F2F2F2"/>
          </w:tcPr>
          <w:p w14:paraId="1E26F02A" w14:textId="77777777" w:rsidR="00981D4B" w:rsidRPr="006867E6" w:rsidRDefault="00981D4B" w:rsidP="00570889">
            <w:pPr>
              <w:keepNext/>
              <w:keepLines/>
              <w:spacing w:before="120" w:after="120"/>
              <w:rPr>
                <w:rFonts w:asciiTheme="minorBidi" w:eastAsia="Yu Mincho" w:hAnsiTheme="minorBidi" w:cstheme="minorBidi"/>
                <w:b/>
                <w:bCs/>
                <w:color w:val="1F4E79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b/>
                <w:color w:val="1F4E79"/>
                <w:sz w:val="20"/>
                <w:szCs w:val="20"/>
              </w:rPr>
              <w:t>Перемещение элемента из одного Списка в другой или исключение элемента из Списка</w:t>
            </w:r>
          </w:p>
        </w:tc>
        <w:tc>
          <w:tcPr>
            <w:tcW w:w="661" w:type="dxa"/>
            <w:shd w:val="clear" w:color="auto" w:fill="F2F2F2"/>
          </w:tcPr>
          <w:p w14:paraId="56D83E51" w14:textId="77777777" w:rsidR="00981D4B" w:rsidRPr="006867E6" w:rsidRDefault="00981D4B" w:rsidP="00570889">
            <w:pPr>
              <w:keepNext/>
              <w:keepLines/>
              <w:spacing w:before="120" w:after="120"/>
              <w:rPr>
                <w:rFonts w:asciiTheme="minorBidi" w:eastAsia="Yu Mincho" w:hAnsiTheme="minorBidi" w:cstheme="minorBidi"/>
                <w:b/>
                <w:bCs/>
                <w:color w:val="1F4E79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b/>
                <w:color w:val="1F4E79"/>
                <w:sz w:val="20"/>
                <w:szCs w:val="20"/>
              </w:rPr>
              <w:t>I.11</w:t>
            </w:r>
          </w:p>
        </w:tc>
        <w:tc>
          <w:tcPr>
            <w:tcW w:w="6308" w:type="dxa"/>
            <w:gridSpan w:val="2"/>
            <w:shd w:val="clear" w:color="auto" w:fill="F2F2F2"/>
          </w:tcPr>
          <w:p w14:paraId="40DB9912" w14:textId="77777777" w:rsidR="00981D4B" w:rsidRPr="006867E6" w:rsidRDefault="00981D4B" w:rsidP="00570889">
            <w:pPr>
              <w:keepNext/>
              <w:keepLines/>
              <w:spacing w:before="120" w:after="120"/>
              <w:rPr>
                <w:rFonts w:asciiTheme="minorBidi" w:eastAsia="Yu Mincho" w:hAnsiTheme="minorBidi" w:cstheme="minorBidi"/>
                <w:b/>
                <w:bCs/>
                <w:color w:val="1F4E79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[Без изменений.]</w:t>
            </w:r>
          </w:p>
        </w:tc>
      </w:tr>
      <w:tr w:rsidR="00981D4B" w:rsidRPr="00756EF7" w14:paraId="151AF0BA" w14:textId="77777777" w:rsidTr="006867E6">
        <w:tc>
          <w:tcPr>
            <w:tcW w:w="562" w:type="dxa"/>
          </w:tcPr>
          <w:p w14:paraId="6FDE2F72" w14:textId="77777777" w:rsidR="00981D4B" w:rsidRPr="006867E6" w:rsidRDefault="00981D4B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38.</w:t>
            </w:r>
          </w:p>
        </w:tc>
        <w:tc>
          <w:tcPr>
            <w:tcW w:w="6498" w:type="dxa"/>
            <w:gridSpan w:val="2"/>
          </w:tcPr>
          <w:p w14:paraId="39CF16EF" w14:textId="77777777" w:rsidR="00981D4B" w:rsidRPr="006867E6" w:rsidRDefault="00981D4B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Элемент не может одновременно включаться в Список нематериального культурного наследия, нуждающегося в срочной охране, и в Репрезентативный список нематериального культурного наследия человечества.</w:t>
            </w: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 xml:space="preserve"> Государство-участник может обратиться с просьбой переместить элемент из одного Списка в другой. Такая просьба должна показывать, что данный элемент соответствует всем критериям включения в Список, о перемещении в который просит государство-участник, и представляться в соответствии с установленными процедурами и сроками подачи номинаций. </w:t>
            </w:r>
          </w:p>
        </w:tc>
        <w:tc>
          <w:tcPr>
            <w:tcW w:w="661" w:type="dxa"/>
          </w:tcPr>
          <w:p w14:paraId="58AFA5AA" w14:textId="77777777" w:rsidR="00981D4B" w:rsidRPr="006867E6" w:rsidRDefault="00981D4B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38</w:t>
            </w:r>
            <w:r w:rsidRPr="006867E6">
              <w:rPr>
                <w:rFonts w:asciiTheme="minorBidi" w:hAnsiTheme="minorBidi" w:cstheme="minorBidi"/>
                <w:sz w:val="20"/>
                <w:szCs w:val="20"/>
                <w:u w:val="single"/>
              </w:rPr>
              <w:t>.1</w:t>
            </w:r>
          </w:p>
        </w:tc>
        <w:tc>
          <w:tcPr>
            <w:tcW w:w="6308" w:type="dxa"/>
            <w:gridSpan w:val="2"/>
          </w:tcPr>
          <w:p w14:paraId="6573589A" w14:textId="723D9989" w:rsidR="00981D4B" w:rsidRPr="006867E6" w:rsidRDefault="00981D4B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Элемент не может одновременно включаться в Список нематериального культурного наследия, нуждающегося в срочной охране, и в Репрезентативный список нематериального культурного наследия человечества. Государство-участник может обратиться с просьбой переместить элемент из одного Списка в другой. </w:t>
            </w:r>
            <w:r w:rsidRPr="006867E6">
              <w:rPr>
                <w:rFonts w:asciiTheme="minorBidi" w:hAnsiTheme="minorBidi" w:cstheme="minorBidi"/>
                <w:strike/>
                <w:color w:val="000000" w:themeColor="text1"/>
                <w:sz w:val="20"/>
                <w:szCs w:val="20"/>
                <w:highlight w:val="lightGray"/>
              </w:rPr>
              <w:t>Такая</w:t>
            </w:r>
            <w:r w:rsidRPr="006867E6">
              <w:rPr>
                <w:rFonts w:asciiTheme="minorBidi" w:hAnsiTheme="minorBidi" w:cstheme="minorBidi"/>
                <w:strike/>
                <w:color w:val="000000" w:themeColor="text1"/>
                <w:sz w:val="20"/>
                <w:szCs w:val="20"/>
              </w:rPr>
              <w:t xml:space="preserve"> 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Просьба </w:t>
            </w:r>
            <w:r w:rsidRPr="006867E6">
              <w:rPr>
                <w:rFonts w:asciiTheme="minorBidi" w:hAnsiTheme="minorBidi" w:cstheme="minorBidi"/>
                <w:strike/>
                <w:color w:val="000000" w:themeColor="text1"/>
                <w:sz w:val="20"/>
                <w:szCs w:val="20"/>
                <w:highlight w:val="lightGray"/>
              </w:rPr>
              <w:t>должна показывать, что данный элемент соответствует всем критериям включения в Список, о перемещении в который просит государство-участник,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 xml:space="preserve"> должна инициироваться государством-участником (государствами-участниками) при наличии свободного, предварительного и информированного согласия заинтересованных сообществ, групп и, в соответствующих случаях, отдельных лиц</w:t>
            </w:r>
            <w:r w:rsidRPr="006867E6">
              <w:rPr>
                <w:rFonts w:asciiTheme="minorBidi" w:eastAsia="Yu Mincho" w:hAnsiTheme="minorBidi" w:cstheme="minorBidi"/>
                <w:color w:val="000000" w:themeColor="text1"/>
                <w:spacing w:val="-13"/>
                <w:sz w:val="20"/>
                <w:szCs w:val="20"/>
                <w:vertAlign w:val="superscript"/>
                <w:lang w:val="en-US"/>
              </w:rPr>
              <w:footnoteReference w:id="21"/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и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представляться в соответствии с установленными процедурами и сроками</w:t>
            </w:r>
            <w:r w:rsidRPr="006867E6">
              <w:rPr>
                <w:rFonts w:asciiTheme="minorBidi" w:hAnsiTheme="minorBidi" w:cstheme="minorBidi"/>
                <w:strike/>
                <w:color w:val="000000" w:themeColor="text1"/>
                <w:sz w:val="20"/>
                <w:szCs w:val="20"/>
                <w:highlight w:val="lightGray"/>
              </w:rPr>
              <w:t>подачи номинаций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.</w:t>
            </w:r>
          </w:p>
        </w:tc>
      </w:tr>
      <w:tr w:rsidR="00981D4B" w:rsidRPr="00756EF7" w14:paraId="29F27481" w14:textId="77777777" w:rsidTr="006867E6">
        <w:tc>
          <w:tcPr>
            <w:tcW w:w="562" w:type="dxa"/>
          </w:tcPr>
          <w:p w14:paraId="4591CECF" w14:textId="21E42781" w:rsidR="00981D4B" w:rsidRPr="006867E6" w:rsidRDefault="00194822" w:rsidP="00570889">
            <w:pPr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-</w:t>
            </w:r>
          </w:p>
        </w:tc>
        <w:tc>
          <w:tcPr>
            <w:tcW w:w="6498" w:type="dxa"/>
            <w:gridSpan w:val="2"/>
          </w:tcPr>
          <w:p w14:paraId="05B7C0BB" w14:textId="46A0CCF8" w:rsidR="00981D4B" w:rsidRPr="006867E6" w:rsidRDefault="00194822" w:rsidP="00570889">
            <w:pPr>
              <w:widowControl w:val="0"/>
              <w:tabs>
                <w:tab w:val="left" w:pos="1834"/>
                <w:tab w:val="left" w:pos="1835"/>
                <w:tab w:val="left" w:pos="2127"/>
              </w:tabs>
              <w:autoSpaceDE w:val="0"/>
              <w:autoSpaceDN w:val="0"/>
              <w:ind w:right="1424"/>
              <w:rPr>
                <w:rFonts w:asciiTheme="minorBidi" w:eastAsia="Calibri" w:hAnsiTheme="minorBidi" w:cstheme="minorBidi"/>
                <w:color w:val="231F20"/>
                <w:sz w:val="20"/>
                <w:szCs w:val="20"/>
                <w:lang w:eastAsia="en-US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-</w:t>
            </w:r>
          </w:p>
        </w:tc>
        <w:tc>
          <w:tcPr>
            <w:tcW w:w="661" w:type="dxa"/>
          </w:tcPr>
          <w:p w14:paraId="75697E20" w14:textId="77777777" w:rsidR="00981D4B" w:rsidRPr="006867E6" w:rsidRDefault="00981D4B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  <w:u w:val="single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  <w:u w:val="single"/>
              </w:rPr>
              <w:t>38.2</w:t>
            </w:r>
          </w:p>
        </w:tc>
        <w:tc>
          <w:tcPr>
            <w:tcW w:w="6308" w:type="dxa"/>
            <w:gridSpan w:val="2"/>
          </w:tcPr>
          <w:p w14:paraId="6B189AAB" w14:textId="4332C371" w:rsidR="00981D4B" w:rsidRPr="006867E6" w:rsidRDefault="00981D4B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Заинтересованные сообщества, группы и, в соответствующих случаях, отдельные лица могут заявить непосредственно в Секретариат о своем желании переместить элемент из одного Списка в другой. Такая просьба затем направляется соответствующему государству(-ам)-участнику(-ам), о чем Комитет информируется соответствующим образом.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6867E6">
              <w:rPr>
                <w:rFonts w:asciiTheme="minorBidi" w:eastAsia="Yu Mincho" w:hAnsiTheme="minorBidi" w:cstheme="minorBidi"/>
                <w:color w:val="000000" w:themeColor="text1"/>
                <w:sz w:val="20"/>
                <w:szCs w:val="20"/>
                <w:vertAlign w:val="superscript"/>
                <w:lang w:val="en-US"/>
              </w:rPr>
              <w:footnoteReference w:id="22"/>
            </w:r>
          </w:p>
        </w:tc>
      </w:tr>
      <w:tr w:rsidR="00981D4B" w:rsidRPr="00756EF7" w14:paraId="5824DC7D" w14:textId="77777777" w:rsidTr="006867E6">
        <w:tc>
          <w:tcPr>
            <w:tcW w:w="562" w:type="dxa"/>
          </w:tcPr>
          <w:p w14:paraId="556C3F5F" w14:textId="77777777" w:rsidR="00981D4B" w:rsidRPr="006867E6" w:rsidRDefault="00981D4B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39.</w:t>
            </w:r>
          </w:p>
        </w:tc>
        <w:tc>
          <w:tcPr>
            <w:tcW w:w="6498" w:type="dxa"/>
            <w:gridSpan w:val="2"/>
          </w:tcPr>
          <w:p w14:paraId="34C7F66E" w14:textId="77777777" w:rsidR="00981D4B" w:rsidRPr="006867E6" w:rsidRDefault="00981D4B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Элемент исключается Комитетом из Списка нематериального культурного наследия, нуждающегося в срочной охране, в том случае, если Комитет устанавливает, после оценки осуществления плана мероприятий по охране, что данный элемент больше не отвечает одному или более критериям для его включения в этот Список.</w:t>
            </w:r>
          </w:p>
        </w:tc>
        <w:tc>
          <w:tcPr>
            <w:tcW w:w="661" w:type="dxa"/>
          </w:tcPr>
          <w:p w14:paraId="7645A868" w14:textId="77777777" w:rsidR="00981D4B" w:rsidRPr="006867E6" w:rsidRDefault="00981D4B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39</w:t>
            </w:r>
            <w:r w:rsidRPr="006867E6">
              <w:rPr>
                <w:rFonts w:asciiTheme="minorBidi" w:hAnsiTheme="minorBidi" w:cstheme="minorBidi"/>
                <w:sz w:val="20"/>
                <w:szCs w:val="20"/>
                <w:u w:val="single"/>
              </w:rPr>
              <w:t>.1</w:t>
            </w:r>
          </w:p>
        </w:tc>
        <w:tc>
          <w:tcPr>
            <w:tcW w:w="6308" w:type="dxa"/>
            <w:gridSpan w:val="2"/>
          </w:tcPr>
          <w:p w14:paraId="35E54186" w14:textId="18A9B78A" w:rsidR="00981D4B" w:rsidRPr="006867E6" w:rsidRDefault="00981D4B" w:rsidP="00570889">
            <w:pPr>
              <w:keepLines/>
              <w:snapToGrid w:val="0"/>
              <w:spacing w:before="120" w:after="120"/>
              <w:rPr>
                <w:rFonts w:asciiTheme="minorBidi" w:eastAsia="Yu Mincho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</w:pPr>
            <w:r w:rsidRPr="006867E6">
              <w:rPr>
                <w:rFonts w:asciiTheme="minorBidi" w:hAnsiTheme="minorBidi" w:cstheme="minorBidi"/>
                <w:strike/>
                <w:color w:val="000000" w:themeColor="text1"/>
                <w:sz w:val="20"/>
                <w:szCs w:val="20"/>
                <w:highlight w:val="lightGray"/>
              </w:rPr>
              <w:t>Элемент исключается Комитетом из Списка нематериального культурного наследия, нуждающегося в срочной охране, в том случае, если Комитет устанавливает, после оценки осуществления плана мероприятий по охране, что данный элемент больше не отвечает одному или более критериям для его включения в этот Список.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</w:rPr>
              <w:t xml:space="preserve"> </w:t>
            </w:r>
            <w:r w:rsidRPr="006867E6">
              <w:rPr>
                <w:rFonts w:asciiTheme="minorBidi" w:eastAsia="Yu Mincho" w:hAnsiTheme="minorBidi" w:cstheme="minorBidi"/>
                <w:color w:val="000000" w:themeColor="text1"/>
                <w:sz w:val="20"/>
                <w:szCs w:val="20"/>
                <w:highlight w:val="lightGray"/>
                <w:vertAlign w:val="superscript"/>
                <w:lang w:val="en-US"/>
              </w:rPr>
              <w:footnoteReference w:id="23"/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</w:rPr>
              <w:t xml:space="preserve"> 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Элемент перемещается Комитетом из Репрезентативного списка нематериального культурного наследия человечества в Список нематериального культурного наследия, нуждающегося в срочной охране, в том случае, если Комитет устанавливает, после оценки заявки на перемещение и с учетом критериев, уже соблюденных в рамках первоначальной номинации, что данный элемент соответствует всем критериям для его включения в этот Список. Запрос на такое перемещение с использованием Формы ICH-01 RL to USL должен включать:</w:t>
            </w:r>
          </w:p>
          <w:p w14:paraId="370F842D" w14:textId="77777777" w:rsidR="00981D4B" w:rsidRPr="006867E6" w:rsidRDefault="00981D4B" w:rsidP="00585BD6">
            <w:pPr>
              <w:pStyle w:val="ListParagraph"/>
              <w:numPr>
                <w:ilvl w:val="0"/>
                <w:numId w:val="9"/>
              </w:numPr>
              <w:snapToGrid w:val="0"/>
              <w:spacing w:before="120" w:after="120"/>
              <w:ind w:left="359" w:hanging="359"/>
              <w:contextualSpacing w:val="0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B отношении критерия U.1 – обновленное описание элемента, включая обоснование необходимости срочной охраны;</w:t>
            </w:r>
          </w:p>
          <w:p w14:paraId="27186D16" w14:textId="77777777" w:rsidR="00981D4B" w:rsidRPr="006867E6" w:rsidRDefault="00981D4B" w:rsidP="00585BD6">
            <w:pPr>
              <w:pStyle w:val="ListParagraph"/>
              <w:numPr>
                <w:ilvl w:val="0"/>
                <w:numId w:val="9"/>
              </w:numPr>
              <w:snapToGrid w:val="0"/>
              <w:spacing w:before="120" w:after="120"/>
              <w:ind w:left="359" w:hanging="359"/>
              <w:contextualSpacing w:val="0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В отношении критерия U.3 – адекватный план по охране;</w:t>
            </w:r>
          </w:p>
          <w:p w14:paraId="3FC087C1" w14:textId="22C6E325" w:rsidR="00981D4B" w:rsidRPr="006867E6" w:rsidRDefault="00981D4B" w:rsidP="00585BD6">
            <w:pPr>
              <w:pStyle w:val="ListParagraph"/>
              <w:numPr>
                <w:ilvl w:val="0"/>
                <w:numId w:val="9"/>
              </w:numPr>
              <w:snapToGrid w:val="0"/>
              <w:spacing w:before="120" w:after="120"/>
              <w:ind w:left="359" w:hanging="359"/>
              <w:contextualSpacing w:val="0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В отношении критерия U.4 – согласие заинтересованных сообществ, групп и отдельных лиц, которые согласились с его включением в Репрезентативный список нематериального культурного наследия человечества.</w:t>
            </w:r>
            <w:r w:rsidRPr="006867E6">
              <w:rPr>
                <w:rFonts w:asciiTheme="minorBidi" w:hAnsiTheme="minorBidi" w:cstheme="minorBidi"/>
                <w:sz w:val="20"/>
                <w:szCs w:val="20"/>
                <w:vertAlign w:val="superscript"/>
              </w:rPr>
              <w:t xml:space="preserve"> </w:t>
            </w:r>
            <w:r w:rsidRPr="006867E6">
              <w:rPr>
                <w:rFonts w:asciiTheme="minorBidi" w:eastAsia="Calibri" w:hAnsiTheme="minorBidi" w:cstheme="minorBidi"/>
                <w:sz w:val="20"/>
                <w:szCs w:val="20"/>
                <w:vertAlign w:val="superscript"/>
                <w:lang w:val="en-US" w:eastAsia="en-US"/>
              </w:rPr>
              <w:footnoteReference w:id="24"/>
            </w:r>
          </w:p>
        </w:tc>
      </w:tr>
      <w:tr w:rsidR="00981D4B" w:rsidRPr="00756EF7" w14:paraId="327F1466" w14:textId="77777777" w:rsidTr="006867E6">
        <w:tc>
          <w:tcPr>
            <w:tcW w:w="562" w:type="dxa"/>
          </w:tcPr>
          <w:p w14:paraId="192B9E66" w14:textId="28E3CF9F" w:rsidR="00981D4B" w:rsidRPr="006867E6" w:rsidRDefault="00194822" w:rsidP="00570889">
            <w:pPr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-</w:t>
            </w:r>
          </w:p>
        </w:tc>
        <w:tc>
          <w:tcPr>
            <w:tcW w:w="6498" w:type="dxa"/>
            <w:gridSpan w:val="2"/>
          </w:tcPr>
          <w:p w14:paraId="3968739D" w14:textId="299DE195" w:rsidR="00981D4B" w:rsidRPr="006867E6" w:rsidRDefault="00194822" w:rsidP="00570889">
            <w:pPr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-</w:t>
            </w:r>
          </w:p>
        </w:tc>
        <w:tc>
          <w:tcPr>
            <w:tcW w:w="661" w:type="dxa"/>
          </w:tcPr>
          <w:p w14:paraId="77282F97" w14:textId="77777777" w:rsidR="00981D4B" w:rsidRPr="006867E6" w:rsidRDefault="00981D4B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  <w:u w:val="single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  <w:u w:val="single"/>
              </w:rPr>
              <w:t>39.2</w:t>
            </w:r>
          </w:p>
        </w:tc>
        <w:tc>
          <w:tcPr>
            <w:tcW w:w="6308" w:type="dxa"/>
            <w:gridSpan w:val="2"/>
          </w:tcPr>
          <w:p w14:paraId="4EF15FCE" w14:textId="77777777" w:rsidR="00981D4B" w:rsidRPr="006867E6" w:rsidRDefault="00981D4B" w:rsidP="00570889">
            <w:pPr>
              <w:keepLines/>
              <w:snapToGrid w:val="0"/>
              <w:spacing w:before="120" w:after="120"/>
              <w:rPr>
                <w:rFonts w:asciiTheme="minorBidi" w:eastAsia="Yu Mincho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Элемент перемещается Комитетом из Списка нематериального культурного наследия, нуждающегося в срочной охране, в Репрезентативный список нематериального культурного наследия человечества в том случае, если Комитет устанавливает, после оценки заявки на перемещение и с учетом критериев, уже соблюденных в рамках первоначальной номинации, что данный элемент соответствует всем критериям для его включения в этот Список. Запрос на такое перемещение с использованием Формы ICH-02 USL to RL должен включать:</w:t>
            </w:r>
          </w:p>
          <w:p w14:paraId="1CF55168" w14:textId="77777777" w:rsidR="00981D4B" w:rsidRPr="006867E6" w:rsidRDefault="00981D4B" w:rsidP="00585BD6">
            <w:pPr>
              <w:pStyle w:val="ListParagraph"/>
              <w:numPr>
                <w:ilvl w:val="0"/>
                <w:numId w:val="10"/>
              </w:numPr>
              <w:snapToGrid w:val="0"/>
              <w:spacing w:before="120" w:after="120"/>
              <w:ind w:left="359" w:hanging="359"/>
              <w:contextualSpacing w:val="0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B отношении критерия R.1 – обновленное описание элемента с учетом изменений в жизнеспособности элемента в сравнении с исходным критерием U.2;</w:t>
            </w:r>
          </w:p>
          <w:p w14:paraId="0A40C805" w14:textId="77777777" w:rsidR="00981D4B" w:rsidRPr="006867E6" w:rsidRDefault="00981D4B" w:rsidP="00585BD6">
            <w:pPr>
              <w:pStyle w:val="ListParagraph"/>
              <w:numPr>
                <w:ilvl w:val="0"/>
                <w:numId w:val="10"/>
              </w:numPr>
              <w:snapToGrid w:val="0"/>
              <w:spacing w:before="120" w:after="120"/>
              <w:ind w:left="359" w:hanging="359"/>
              <w:contextualSpacing w:val="0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B отношении критерия R.2 – демонстрацию вклада представленного элемента в поощрение взаимного уважения и диалога между сообществами, группами и отдельными лицами и указание того, каким образом этот элемент способствует устойчивому развитию;</w:t>
            </w:r>
          </w:p>
          <w:p w14:paraId="126DB2D5" w14:textId="65312C30" w:rsidR="00981D4B" w:rsidRPr="006867E6" w:rsidRDefault="00981D4B" w:rsidP="00585BD6">
            <w:pPr>
              <w:pStyle w:val="ListParagraph"/>
              <w:numPr>
                <w:ilvl w:val="0"/>
                <w:numId w:val="10"/>
              </w:numPr>
              <w:snapToGrid w:val="0"/>
              <w:spacing w:before="120" w:after="120"/>
              <w:ind w:left="359" w:hanging="359"/>
              <w:contextualSpacing w:val="0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В отношении критерия R.3 – оценку осуществления плана по охране, описанного в исходном критерии U.3, путем периодического представления отчетности</w:t>
            </w:r>
            <w:r w:rsidRPr="006867E6"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highlight w:val="lightGray"/>
                <w:vertAlign w:val="superscript"/>
                <w:lang w:val="en-US" w:eastAsia="en-US"/>
              </w:rPr>
              <w:footnoteReference w:id="25"/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</w:rPr>
              <w:t xml:space="preserve"> 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и обеспечения мер по охране, запланированных на будущее;</w:t>
            </w:r>
          </w:p>
          <w:p w14:paraId="49829AF2" w14:textId="435D8F80" w:rsidR="00981D4B" w:rsidRPr="006867E6" w:rsidRDefault="00981D4B" w:rsidP="00585BD6">
            <w:pPr>
              <w:pStyle w:val="ListParagraph"/>
              <w:numPr>
                <w:ilvl w:val="0"/>
                <w:numId w:val="10"/>
              </w:numPr>
              <w:snapToGrid w:val="0"/>
              <w:spacing w:before="120" w:after="120"/>
              <w:ind w:left="359" w:hanging="359"/>
              <w:contextualSpacing w:val="0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В отношении критерия R.4 – согласие заинтересованных сообществ, групп и, в соответствующих случаях, отдельных лиц, давших свое согласие на включение в Список нематериального культурного наследия, нуждающегося в срочной охране.</w:t>
            </w:r>
            <w:r w:rsidRPr="006867E6">
              <w:rPr>
                <w:rFonts w:asciiTheme="minorBidi" w:eastAsia="Calibri" w:hAnsiTheme="minorBidi" w:cstheme="minorBidi"/>
                <w:sz w:val="20"/>
                <w:szCs w:val="20"/>
                <w:vertAlign w:val="superscript"/>
                <w:lang w:val="en-US" w:eastAsia="en-US"/>
              </w:rPr>
              <w:footnoteReference w:id="26"/>
            </w:r>
          </w:p>
        </w:tc>
      </w:tr>
      <w:tr w:rsidR="00981D4B" w:rsidRPr="00756EF7" w14:paraId="2B817AF5" w14:textId="77777777" w:rsidTr="006867E6">
        <w:tc>
          <w:tcPr>
            <w:tcW w:w="562" w:type="dxa"/>
          </w:tcPr>
          <w:p w14:paraId="503E68C4" w14:textId="62887FDB" w:rsidR="00981D4B" w:rsidRPr="006867E6" w:rsidRDefault="00194822" w:rsidP="00570889">
            <w:pPr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-</w:t>
            </w:r>
          </w:p>
        </w:tc>
        <w:tc>
          <w:tcPr>
            <w:tcW w:w="6498" w:type="dxa"/>
            <w:gridSpan w:val="2"/>
          </w:tcPr>
          <w:p w14:paraId="05460DA2" w14:textId="7FF7DA8E" w:rsidR="00981D4B" w:rsidRPr="006867E6" w:rsidRDefault="00194822" w:rsidP="00570889">
            <w:pPr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-</w:t>
            </w:r>
          </w:p>
        </w:tc>
        <w:tc>
          <w:tcPr>
            <w:tcW w:w="661" w:type="dxa"/>
          </w:tcPr>
          <w:p w14:paraId="6B85BEF0" w14:textId="77777777" w:rsidR="00981D4B" w:rsidRPr="006867E6" w:rsidRDefault="00981D4B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  <w:u w:val="single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  <w:u w:val="single"/>
              </w:rPr>
              <w:t>39.3</w:t>
            </w:r>
          </w:p>
        </w:tc>
        <w:tc>
          <w:tcPr>
            <w:tcW w:w="6308" w:type="dxa"/>
            <w:gridSpan w:val="2"/>
          </w:tcPr>
          <w:p w14:paraId="04FAFB25" w14:textId="661AA265" w:rsidR="00981D4B" w:rsidRPr="006867E6" w:rsidRDefault="00981D4B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Оценочный орган может также рекомендовать Комитету, после оценки заявки на перемещение, включить информацию об успешном опыте охраны в Реестр надлежащей практики охраны.</w:t>
            </w:r>
            <w:r w:rsidRPr="006867E6">
              <w:rPr>
                <w:rFonts w:asciiTheme="minorBidi" w:hAnsiTheme="minorBidi" w:cstheme="minorBidi"/>
                <w:sz w:val="20"/>
                <w:szCs w:val="20"/>
                <w:vertAlign w:val="superscript"/>
              </w:rPr>
              <w:t xml:space="preserve"> </w:t>
            </w:r>
            <w:r w:rsidRPr="006867E6">
              <w:rPr>
                <w:rFonts w:asciiTheme="minorBidi" w:eastAsia="Calibri" w:hAnsiTheme="minorBidi" w:cstheme="minorBidi"/>
                <w:sz w:val="20"/>
                <w:szCs w:val="20"/>
                <w:vertAlign w:val="superscript"/>
                <w:lang w:val="en-US" w:eastAsia="en-US"/>
              </w:rPr>
              <w:footnoteReference w:id="27"/>
            </w:r>
          </w:p>
        </w:tc>
      </w:tr>
      <w:tr w:rsidR="00981D4B" w:rsidRPr="00756EF7" w14:paraId="4722C549" w14:textId="77777777" w:rsidTr="006867E6">
        <w:tc>
          <w:tcPr>
            <w:tcW w:w="562" w:type="dxa"/>
          </w:tcPr>
          <w:p w14:paraId="2156CB8B" w14:textId="77777777" w:rsidR="00981D4B" w:rsidRPr="006867E6" w:rsidRDefault="00981D4B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40.</w:t>
            </w:r>
          </w:p>
        </w:tc>
        <w:tc>
          <w:tcPr>
            <w:tcW w:w="6498" w:type="dxa"/>
            <w:gridSpan w:val="2"/>
          </w:tcPr>
          <w:p w14:paraId="19CB525D" w14:textId="77777777" w:rsidR="00981D4B" w:rsidRPr="006867E6" w:rsidRDefault="00981D4B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Элемент исключается Комитетом из Репрезентативного списка нематериального культурного наследия человечества в том случае, если Комитет устанавливает, что данный элемент больше не отвечает одному или более критериям для его включения в этот Список.</w:t>
            </w:r>
          </w:p>
        </w:tc>
        <w:tc>
          <w:tcPr>
            <w:tcW w:w="661" w:type="dxa"/>
          </w:tcPr>
          <w:p w14:paraId="28237C79" w14:textId="77777777" w:rsidR="00981D4B" w:rsidRPr="006867E6" w:rsidRDefault="00981D4B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40</w:t>
            </w:r>
            <w:r w:rsidRPr="006867E6">
              <w:rPr>
                <w:rFonts w:asciiTheme="minorBidi" w:hAnsiTheme="minorBidi" w:cstheme="minorBidi"/>
                <w:sz w:val="20"/>
                <w:szCs w:val="20"/>
                <w:u w:val="single"/>
              </w:rPr>
              <w:t>.1</w:t>
            </w:r>
          </w:p>
        </w:tc>
        <w:tc>
          <w:tcPr>
            <w:tcW w:w="6308" w:type="dxa"/>
            <w:gridSpan w:val="2"/>
          </w:tcPr>
          <w:p w14:paraId="746AFAC1" w14:textId="5A715635" w:rsidR="00981D4B" w:rsidRPr="006867E6" w:rsidRDefault="00981D4B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trike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Элемент исключается Комитетом 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из Списка нематериального культурного наследия, нуждающегося в срочной охране, или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из Репрезентативного списка нематериального культурного наследия человечества в том случае, если Комитет устанавливает, что данный элемент больше не отвечает </w:t>
            </w:r>
            <w:r w:rsidRPr="006867E6">
              <w:rPr>
                <w:rFonts w:asciiTheme="minorBidi" w:hAnsiTheme="minorBidi" w:cstheme="minorBidi"/>
                <w:strike/>
                <w:color w:val="000000" w:themeColor="text1"/>
                <w:sz w:val="20"/>
                <w:szCs w:val="20"/>
                <w:highlight w:val="lightGray"/>
              </w:rPr>
              <w:t xml:space="preserve">одному или более критериям для его включения в этот Список 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требуемым критериям, уделяя особое внимание критериям U.1/R.1 и U.4/R.4.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6867E6">
              <w:rPr>
                <w:rFonts w:asciiTheme="minorBidi" w:eastAsia="Yu Mincho" w:hAnsiTheme="minorBidi" w:cstheme="minorBidi"/>
                <w:color w:val="000000" w:themeColor="text1"/>
                <w:sz w:val="20"/>
                <w:szCs w:val="20"/>
                <w:vertAlign w:val="superscript"/>
                <w:lang w:val="en-US"/>
              </w:rPr>
              <w:footnoteReference w:id="28"/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Соответствующее государство-участник, сообщества, группы или, в соответствующих случаях, отдельные лица или любая другая третья сторона могут представить заявку на исключение, и такая заявка рассматривается в соответствии с описанными ниже шагами.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6867E6">
              <w:rPr>
                <w:rFonts w:asciiTheme="minorBidi" w:eastAsia="Yu Mincho" w:hAnsiTheme="minorBidi" w:cstheme="minorBidi"/>
                <w:color w:val="000000" w:themeColor="text1"/>
                <w:sz w:val="20"/>
                <w:szCs w:val="20"/>
                <w:vertAlign w:val="superscript"/>
                <w:lang w:val="en-US"/>
              </w:rPr>
              <w:footnoteReference w:id="29"/>
            </w:r>
          </w:p>
        </w:tc>
      </w:tr>
      <w:tr w:rsidR="00981D4B" w:rsidRPr="00756EF7" w14:paraId="3BD64F3D" w14:textId="77777777" w:rsidTr="006867E6">
        <w:tc>
          <w:tcPr>
            <w:tcW w:w="562" w:type="dxa"/>
          </w:tcPr>
          <w:p w14:paraId="1BF74F13" w14:textId="575F5976" w:rsidR="00981D4B" w:rsidRPr="006867E6" w:rsidRDefault="00194822" w:rsidP="00570889">
            <w:pPr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-</w:t>
            </w:r>
          </w:p>
        </w:tc>
        <w:tc>
          <w:tcPr>
            <w:tcW w:w="6498" w:type="dxa"/>
            <w:gridSpan w:val="2"/>
          </w:tcPr>
          <w:p w14:paraId="79A13F4D" w14:textId="5ED974B6" w:rsidR="00981D4B" w:rsidRPr="006867E6" w:rsidRDefault="00194822" w:rsidP="00570889">
            <w:pPr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-</w:t>
            </w:r>
          </w:p>
        </w:tc>
        <w:tc>
          <w:tcPr>
            <w:tcW w:w="661" w:type="dxa"/>
          </w:tcPr>
          <w:p w14:paraId="3A065E0A" w14:textId="77777777" w:rsidR="00981D4B" w:rsidRPr="006867E6" w:rsidRDefault="00981D4B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  <w:u w:val="single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  <w:u w:val="single"/>
              </w:rPr>
              <w:t>40.2</w:t>
            </w:r>
          </w:p>
        </w:tc>
        <w:tc>
          <w:tcPr>
            <w:tcW w:w="6308" w:type="dxa"/>
            <w:gridSpan w:val="2"/>
          </w:tcPr>
          <w:p w14:paraId="6E3596DD" w14:textId="77777777" w:rsidR="00981D4B" w:rsidRPr="006867E6" w:rsidRDefault="00981D4B" w:rsidP="00585BD6">
            <w:pPr>
              <w:pStyle w:val="ListParagraph"/>
              <w:numPr>
                <w:ilvl w:val="0"/>
                <w:numId w:val="14"/>
              </w:numPr>
              <w:snapToGrid w:val="0"/>
              <w:spacing w:before="120" w:after="120"/>
              <w:ind w:left="359" w:hanging="359"/>
              <w:contextualSpacing w:val="0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Заявка на исключение от заявителя (т.е. соответствующего государства-участника, заинтересованных сообществ, групп и/или, в соответствующих случаях, отдельных лиц или третьей стороны) регистрируется в Секретариате.</w:t>
            </w:r>
          </w:p>
          <w:p w14:paraId="18E99931" w14:textId="77777777" w:rsidR="00981D4B" w:rsidRPr="006867E6" w:rsidRDefault="00981D4B" w:rsidP="00585BD6">
            <w:pPr>
              <w:pStyle w:val="ListParagraph"/>
              <w:numPr>
                <w:ilvl w:val="0"/>
                <w:numId w:val="14"/>
              </w:numPr>
              <w:snapToGrid w:val="0"/>
              <w:spacing w:before="120" w:after="120"/>
              <w:ind w:left="359" w:hanging="359"/>
              <w:contextualSpacing w:val="0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Секретариат направляет заявку на исключение, в зависимости от обстоятельств, Государству-участнику, контактному лицу по вопросам номинации и представителям сообществ, групп и/или, в соответствующих случаях, отдельных лиц (указанным в номинационном досье), которые могут представить ответ и дополнительную информацию.</w:t>
            </w:r>
          </w:p>
          <w:p w14:paraId="54A6BED9" w14:textId="77777777" w:rsidR="00981D4B" w:rsidRPr="006867E6" w:rsidRDefault="00981D4B" w:rsidP="00585BD6">
            <w:pPr>
              <w:pStyle w:val="ListParagraph"/>
              <w:numPr>
                <w:ilvl w:val="0"/>
                <w:numId w:val="14"/>
              </w:numPr>
              <w:snapToGrid w:val="0"/>
              <w:spacing w:before="120" w:after="120"/>
              <w:ind w:left="359" w:hanging="359"/>
              <w:contextualSpacing w:val="0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Если заявитель, за исключением государств, желает сохранить анонимность, Секретариат направляет отредактированный вариант исходной заявки на исключение.</w:t>
            </w:r>
          </w:p>
          <w:p w14:paraId="1BF460B4" w14:textId="77777777" w:rsidR="00981D4B" w:rsidRPr="006867E6" w:rsidRDefault="00981D4B" w:rsidP="00585BD6">
            <w:pPr>
              <w:pStyle w:val="ListParagraph"/>
              <w:numPr>
                <w:ilvl w:val="0"/>
                <w:numId w:val="14"/>
              </w:numPr>
              <w:snapToGrid w:val="0"/>
              <w:spacing w:before="120" w:after="120"/>
              <w:ind w:left="359" w:hanging="359"/>
              <w:contextualSpacing w:val="0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Если заявка на исключение представляется соответствующим государством-участником, как указано в номинационном досье:</w:t>
            </w:r>
          </w:p>
          <w:p w14:paraId="092E9304" w14:textId="77777777" w:rsidR="00981D4B" w:rsidRPr="006867E6" w:rsidRDefault="00981D4B" w:rsidP="006867E6">
            <w:pPr>
              <w:keepLines/>
              <w:widowControl w:val="0"/>
              <w:numPr>
                <w:ilvl w:val="1"/>
                <w:numId w:val="7"/>
              </w:numPr>
              <w:tabs>
                <w:tab w:val="left" w:pos="325"/>
              </w:tabs>
              <w:autoSpaceDE w:val="0"/>
              <w:autoSpaceDN w:val="0"/>
              <w:snapToGrid w:val="0"/>
              <w:spacing w:before="120" w:after="120"/>
              <w:ind w:left="748" w:hanging="357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Секретариат собирает информацию, в частности, в отношении статьи 2 Конвенции. Затем заявка на исключение направляется непосредственно в Комитет вместе с ответом, если таковой имеется, от соответствующего государства-участника и/или заинтересованных сообществ, групп и, в соответствующих случаях, отдельных лиц, а также любой собранной информацией.</w:t>
            </w:r>
          </w:p>
          <w:p w14:paraId="5ACAA7B7" w14:textId="77777777" w:rsidR="00981D4B" w:rsidRPr="006867E6" w:rsidRDefault="00981D4B" w:rsidP="00585BD6">
            <w:pPr>
              <w:widowControl w:val="0"/>
              <w:numPr>
                <w:ilvl w:val="1"/>
                <w:numId w:val="7"/>
              </w:numPr>
              <w:tabs>
                <w:tab w:val="left" w:pos="325"/>
              </w:tabs>
              <w:autoSpaceDE w:val="0"/>
              <w:autoSpaceDN w:val="0"/>
              <w:snapToGrid w:val="0"/>
              <w:spacing w:before="120" w:after="120"/>
              <w:ind w:left="715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После чего Комитет может принять решение о:</w:t>
            </w:r>
          </w:p>
          <w:p w14:paraId="2B90F837" w14:textId="77777777" w:rsidR="00981D4B" w:rsidRPr="006867E6" w:rsidRDefault="00981D4B" w:rsidP="006867E6">
            <w:pPr>
              <w:widowControl w:val="0"/>
              <w:numPr>
                <w:ilvl w:val="0"/>
                <w:numId w:val="11"/>
              </w:numPr>
              <w:tabs>
                <w:tab w:val="left" w:pos="325"/>
              </w:tabs>
              <w:autoSpaceDE w:val="0"/>
              <w:autoSpaceDN w:val="0"/>
              <w:snapToGrid w:val="0"/>
              <w:spacing w:before="120" w:after="120"/>
              <w:ind w:left="1237" w:hanging="425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Присвоении элементу статуса «под усиленный контроль» в качестве временной меры, если, по его мнению, необходима дополнительная информация.</w:t>
            </w:r>
          </w:p>
          <w:p w14:paraId="738F1C8F" w14:textId="77777777" w:rsidR="00981D4B" w:rsidRPr="006867E6" w:rsidRDefault="00981D4B" w:rsidP="006867E6">
            <w:pPr>
              <w:widowControl w:val="0"/>
              <w:numPr>
                <w:ilvl w:val="0"/>
                <w:numId w:val="11"/>
              </w:numPr>
              <w:tabs>
                <w:tab w:val="left" w:pos="325"/>
              </w:tabs>
              <w:autoSpaceDE w:val="0"/>
              <w:autoSpaceDN w:val="0"/>
              <w:snapToGrid w:val="0"/>
              <w:spacing w:before="120" w:after="120"/>
              <w:ind w:left="1237" w:hanging="425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Исключении элемента из Списка, если, по его мнению, информация является полной и есть достаточно оснований для исключения, с возможностью помещения этого элемента в Хранилище нематериального культурного наследия (окончание процедуры).</w:t>
            </w:r>
          </w:p>
          <w:p w14:paraId="54479E32" w14:textId="77777777" w:rsidR="00981D4B" w:rsidRPr="006867E6" w:rsidRDefault="00981D4B" w:rsidP="00585BD6">
            <w:pPr>
              <w:pStyle w:val="ListParagraph"/>
              <w:keepNext/>
              <w:numPr>
                <w:ilvl w:val="0"/>
                <w:numId w:val="14"/>
              </w:numPr>
              <w:snapToGrid w:val="0"/>
              <w:spacing w:before="120" w:after="120"/>
              <w:ind w:left="357" w:hanging="357"/>
              <w:contextualSpacing w:val="0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В других случаях:</w:t>
            </w:r>
          </w:p>
          <w:p w14:paraId="5A8CD4EE" w14:textId="77777777" w:rsidR="00981D4B" w:rsidRPr="006867E6" w:rsidRDefault="00981D4B" w:rsidP="00585BD6">
            <w:pPr>
              <w:widowControl w:val="0"/>
              <w:numPr>
                <w:ilvl w:val="0"/>
                <w:numId w:val="13"/>
              </w:numPr>
              <w:tabs>
                <w:tab w:val="left" w:pos="325"/>
              </w:tabs>
              <w:autoSpaceDE w:val="0"/>
              <w:autoSpaceDN w:val="0"/>
              <w:snapToGrid w:val="0"/>
              <w:spacing w:before="120" w:after="120"/>
              <w:ind w:left="714" w:hanging="357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 xml:space="preserve">Секретариат может собирать информацию, в частности, в отношении статьи 2 Конвенции, делиться ее результатами с соответствующим государством-участником и получать его ответ, если таковой имеет место быть. Затем запрос на исключение направляется в Бюро, которое выносит рекомендацию о том, включать ли данное дело в повестку дня следующей сессии Комитета. </w:t>
            </w:r>
          </w:p>
          <w:p w14:paraId="67D19676" w14:textId="77777777" w:rsidR="00981D4B" w:rsidRPr="006867E6" w:rsidRDefault="00981D4B" w:rsidP="00585BD6">
            <w:pPr>
              <w:widowControl w:val="0"/>
              <w:numPr>
                <w:ilvl w:val="0"/>
                <w:numId w:val="13"/>
              </w:numPr>
              <w:tabs>
                <w:tab w:val="left" w:pos="325"/>
              </w:tabs>
              <w:autoSpaceDE w:val="0"/>
              <w:autoSpaceDN w:val="0"/>
              <w:snapToGrid w:val="0"/>
              <w:spacing w:before="120" w:after="120"/>
              <w:ind w:left="714" w:hanging="357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После чего Комитет может принять решение о:</w:t>
            </w:r>
          </w:p>
          <w:p w14:paraId="2F7B62AE" w14:textId="77777777" w:rsidR="00981D4B" w:rsidRPr="006867E6" w:rsidRDefault="00981D4B" w:rsidP="006867E6">
            <w:pPr>
              <w:widowControl w:val="0"/>
              <w:numPr>
                <w:ilvl w:val="0"/>
                <w:numId w:val="12"/>
              </w:numPr>
              <w:tabs>
                <w:tab w:val="left" w:pos="325"/>
              </w:tabs>
              <w:autoSpaceDE w:val="0"/>
              <w:autoSpaceDN w:val="0"/>
              <w:snapToGrid w:val="0"/>
              <w:spacing w:before="120" w:after="120"/>
              <w:ind w:left="1237" w:hanging="425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Сохранении элемента в Списке, если, по его мнению, информация является полной и нет достаточных оснований для исключения (окончание процедуры).</w:t>
            </w:r>
          </w:p>
          <w:p w14:paraId="5504FFCD" w14:textId="473048C1" w:rsidR="00981D4B" w:rsidRPr="006867E6" w:rsidRDefault="00981D4B" w:rsidP="006867E6">
            <w:pPr>
              <w:keepLines/>
              <w:widowControl w:val="0"/>
              <w:numPr>
                <w:ilvl w:val="0"/>
                <w:numId w:val="12"/>
              </w:numPr>
              <w:tabs>
                <w:tab w:val="left" w:pos="325"/>
              </w:tabs>
              <w:autoSpaceDE w:val="0"/>
              <w:autoSpaceDN w:val="0"/>
              <w:snapToGrid w:val="0"/>
              <w:spacing w:before="120" w:after="120"/>
              <w:ind w:left="1236" w:hanging="425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Присвоении элементу статуса «под усиленный контроль» в качестве временной меры, если, по его мнению, необходима дополнительная информация.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  <w:vertAlign w:val="superscript"/>
              </w:rPr>
              <w:t xml:space="preserve"> </w:t>
            </w:r>
            <w:r w:rsidRPr="006867E6">
              <w:rPr>
                <w:rFonts w:asciiTheme="minorBidi" w:eastAsia="Yu Mincho" w:hAnsiTheme="minorBidi" w:cstheme="minorBidi"/>
                <w:color w:val="000000" w:themeColor="text1"/>
                <w:sz w:val="20"/>
                <w:szCs w:val="20"/>
                <w:highlight w:val="lightGray"/>
                <w:vertAlign w:val="superscript"/>
                <w:lang w:val="en-US"/>
              </w:rPr>
              <w:footnoteReference w:id="30"/>
            </w:r>
          </w:p>
        </w:tc>
      </w:tr>
      <w:tr w:rsidR="00981D4B" w:rsidRPr="00756EF7" w14:paraId="78687DB2" w14:textId="77777777" w:rsidTr="006867E6">
        <w:tc>
          <w:tcPr>
            <w:tcW w:w="562" w:type="dxa"/>
          </w:tcPr>
          <w:p w14:paraId="27AAA2FD" w14:textId="54626C16" w:rsidR="00981D4B" w:rsidRPr="006867E6" w:rsidRDefault="00981D4B" w:rsidP="00570889">
            <w:pPr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194822"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-</w:t>
            </w:r>
          </w:p>
        </w:tc>
        <w:tc>
          <w:tcPr>
            <w:tcW w:w="6498" w:type="dxa"/>
            <w:gridSpan w:val="2"/>
          </w:tcPr>
          <w:p w14:paraId="583B96DB" w14:textId="4AA91A4A" w:rsidR="00981D4B" w:rsidRPr="006867E6" w:rsidRDefault="00194822" w:rsidP="00570889">
            <w:pPr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-</w:t>
            </w:r>
          </w:p>
        </w:tc>
        <w:tc>
          <w:tcPr>
            <w:tcW w:w="661" w:type="dxa"/>
          </w:tcPr>
          <w:p w14:paraId="01172C53" w14:textId="77777777" w:rsidR="00981D4B" w:rsidRPr="006867E6" w:rsidRDefault="00981D4B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  <w:u w:val="single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  <w:u w:val="single"/>
              </w:rPr>
              <w:t>40.3</w:t>
            </w:r>
          </w:p>
        </w:tc>
        <w:tc>
          <w:tcPr>
            <w:tcW w:w="6308" w:type="dxa"/>
            <w:gridSpan w:val="2"/>
          </w:tcPr>
          <w:p w14:paraId="54D3ABBE" w14:textId="77777777" w:rsidR="00981D4B" w:rsidRPr="006867E6" w:rsidRDefault="00981D4B" w:rsidP="00585BD6">
            <w:pPr>
              <w:pStyle w:val="ListParagraph"/>
              <w:numPr>
                <w:ilvl w:val="0"/>
                <w:numId w:val="16"/>
              </w:numPr>
              <w:snapToGrid w:val="0"/>
              <w:spacing w:before="120" w:after="120"/>
              <w:ind w:left="356"/>
              <w:contextualSpacing w:val="0"/>
              <w:rPr>
                <w:rFonts w:asciiTheme="minorBidi" w:eastAsia="Yu Mincho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Оценочный орган будет оценивать элемент с присвоенным статусом «под усиленный контроль», уделяя особое внимание статье 2 Конвенции, на основе дополнительной информации, собранной путем обмена и диалога, в зависимости от обстоятельств. Оценочный орган направляет Секретариату свой доклад и рекомендацию.</w:t>
            </w:r>
          </w:p>
          <w:p w14:paraId="577076F5" w14:textId="77777777" w:rsidR="00981D4B" w:rsidRPr="006867E6" w:rsidRDefault="00981D4B" w:rsidP="00585BD6">
            <w:pPr>
              <w:pStyle w:val="ListParagraph"/>
              <w:numPr>
                <w:ilvl w:val="0"/>
                <w:numId w:val="16"/>
              </w:numPr>
              <w:snapToGrid w:val="0"/>
              <w:spacing w:before="120" w:after="120"/>
              <w:ind w:left="359" w:hanging="359"/>
              <w:contextualSpacing w:val="0"/>
              <w:rPr>
                <w:rFonts w:asciiTheme="minorBidi" w:eastAsia="Yu Mincho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 xml:space="preserve">На основе рекомендации Оценочного органа и уделяя особое внимание критериям R.1/U.1 и R.4/U.4, Комитет, возможно, решит: </w:t>
            </w:r>
          </w:p>
          <w:p w14:paraId="1090742B" w14:textId="77777777" w:rsidR="00981D4B" w:rsidRPr="006867E6" w:rsidRDefault="00981D4B" w:rsidP="00585BD6">
            <w:pPr>
              <w:pStyle w:val="ListParagraph"/>
              <w:numPr>
                <w:ilvl w:val="0"/>
                <w:numId w:val="15"/>
              </w:numPr>
              <w:snapToGrid w:val="0"/>
              <w:spacing w:before="120" w:after="120"/>
              <w:ind w:left="807" w:hanging="450"/>
              <w:contextualSpacing w:val="0"/>
              <w:rPr>
                <w:rFonts w:asciiTheme="minorBidi" w:eastAsia="Yu Mincho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Продолжать присваивать элементу статус «под контроль» в течение периода, который будет определен, если проблемы не исчезнут. Комитет рекомендует принятие мер по примирению/посредничеству и назначает сессию Комитета, на которой государство-участник докладывает об этой проблеме для принятия Комитетом окончательного решения.</w:t>
            </w:r>
          </w:p>
          <w:p w14:paraId="2D498D98" w14:textId="77777777" w:rsidR="00981D4B" w:rsidRPr="006867E6" w:rsidRDefault="00981D4B" w:rsidP="00585BD6">
            <w:pPr>
              <w:pStyle w:val="ListParagraph"/>
              <w:numPr>
                <w:ilvl w:val="0"/>
                <w:numId w:val="15"/>
              </w:numPr>
              <w:snapToGrid w:val="0"/>
              <w:spacing w:before="120" w:after="120"/>
              <w:ind w:left="807" w:hanging="450"/>
              <w:contextualSpacing w:val="0"/>
              <w:rPr>
                <w:rFonts w:asciiTheme="minorBidi" w:eastAsia="Yu Mincho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Исключить элемент из Списка, если для исключения достаточно оснований, с возможностью помещения его в Хранилище нематериального культурного наследия (окончание процедуры).</w:t>
            </w:r>
          </w:p>
          <w:p w14:paraId="710C1AAE" w14:textId="56ABDB68" w:rsidR="00981D4B" w:rsidRPr="006867E6" w:rsidRDefault="00981D4B" w:rsidP="00585BD6">
            <w:pPr>
              <w:pStyle w:val="ListParagraph"/>
              <w:numPr>
                <w:ilvl w:val="0"/>
                <w:numId w:val="15"/>
              </w:numPr>
              <w:snapToGrid w:val="0"/>
              <w:spacing w:before="120" w:after="120"/>
              <w:ind w:left="807" w:hanging="450"/>
              <w:contextualSpacing w:val="0"/>
              <w:rPr>
                <w:rFonts w:asciiTheme="minorBidi" w:eastAsia="Yu Mincho" w:hAnsiTheme="minorBidi" w:cstheme="minorBidi"/>
                <w:color w:val="000000" w:themeColor="text1"/>
                <w:sz w:val="20"/>
                <w:szCs w:val="20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Сохранить элемент в Списке, если нет достаточных оснований для исключения (окончание процедуры).</w:t>
            </w:r>
            <w:r w:rsidRPr="006867E6">
              <w:rPr>
                <w:rFonts w:asciiTheme="minorBidi" w:hAnsiTheme="minorBidi" w:cstheme="minorBidi"/>
                <w:sz w:val="20"/>
                <w:szCs w:val="20"/>
                <w:highlight w:val="lightGray"/>
                <w:vertAlign w:val="superscript"/>
              </w:rPr>
              <w:t xml:space="preserve"> </w:t>
            </w:r>
            <w:r w:rsidRPr="006867E6">
              <w:rPr>
                <w:rFonts w:asciiTheme="minorBidi" w:eastAsia="Yu Mincho" w:hAnsiTheme="minorBidi" w:cstheme="minorBidi"/>
                <w:sz w:val="20"/>
                <w:szCs w:val="20"/>
                <w:highlight w:val="lightGray"/>
                <w:vertAlign w:val="superscript"/>
                <w:lang w:val="en-US"/>
              </w:rPr>
              <w:footnoteReference w:id="31"/>
            </w:r>
          </w:p>
        </w:tc>
      </w:tr>
      <w:tr w:rsidR="00160E45" w:rsidRPr="00756EF7" w14:paraId="7866440F" w14:textId="77777777" w:rsidTr="006867E6">
        <w:tc>
          <w:tcPr>
            <w:tcW w:w="562" w:type="dxa"/>
            <w:shd w:val="clear" w:color="auto" w:fill="F2F2F2"/>
          </w:tcPr>
          <w:p w14:paraId="7BF172CF" w14:textId="2CBB7B54" w:rsidR="00160E45" w:rsidRPr="006867E6" w:rsidRDefault="00160E45" w:rsidP="00570889">
            <w:pPr>
              <w:keepNext/>
              <w:keepLines/>
              <w:spacing w:before="120" w:after="120"/>
              <w:rPr>
                <w:rFonts w:asciiTheme="minorBidi" w:hAnsiTheme="minorBidi" w:cstheme="minorBidi"/>
                <w:b/>
                <w:color w:val="1F4E79"/>
                <w:sz w:val="20"/>
                <w:szCs w:val="20"/>
                <w:lang w:val="en-GB"/>
              </w:rPr>
            </w:pPr>
            <w:r w:rsidRPr="006867E6">
              <w:rPr>
                <w:rFonts w:asciiTheme="minorBidi" w:hAnsiTheme="minorBidi" w:cstheme="minorBidi"/>
                <w:b/>
                <w:color w:val="1F4E79"/>
                <w:sz w:val="20"/>
                <w:szCs w:val="20"/>
                <w:lang w:val="en-GB"/>
              </w:rPr>
              <w:t>I.14</w:t>
            </w:r>
          </w:p>
        </w:tc>
        <w:tc>
          <w:tcPr>
            <w:tcW w:w="6498" w:type="dxa"/>
            <w:gridSpan w:val="2"/>
            <w:shd w:val="clear" w:color="auto" w:fill="F2F2F2"/>
          </w:tcPr>
          <w:p w14:paraId="78CE6F53" w14:textId="5292E552" w:rsidR="00160E45" w:rsidRPr="006867E6" w:rsidRDefault="00160E45" w:rsidP="00570889">
            <w:pPr>
              <w:keepNext/>
              <w:keepLines/>
              <w:spacing w:before="120" w:after="120"/>
              <w:rPr>
                <w:rFonts w:asciiTheme="minorBidi" w:hAnsiTheme="minorBidi" w:cstheme="minorBidi"/>
                <w:b/>
                <w:color w:val="1F4E79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b/>
                <w:color w:val="1F4E79"/>
                <w:sz w:val="20"/>
                <w:szCs w:val="20"/>
              </w:rPr>
              <w:t>Международная помощь</w:t>
            </w:r>
          </w:p>
        </w:tc>
        <w:tc>
          <w:tcPr>
            <w:tcW w:w="661" w:type="dxa"/>
            <w:shd w:val="clear" w:color="auto" w:fill="F2F2F2"/>
          </w:tcPr>
          <w:p w14:paraId="2291B45F" w14:textId="0D6D86A7" w:rsidR="00160E45" w:rsidRPr="006867E6" w:rsidRDefault="00160E45" w:rsidP="00570889">
            <w:pPr>
              <w:keepNext/>
              <w:keepLines/>
              <w:spacing w:before="120" w:after="120"/>
              <w:rPr>
                <w:rFonts w:asciiTheme="minorBidi" w:hAnsiTheme="minorBidi" w:cstheme="minorBidi"/>
                <w:b/>
                <w:color w:val="1F4E79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b/>
                <w:color w:val="1F4E79"/>
                <w:sz w:val="20"/>
                <w:szCs w:val="20"/>
                <w:lang w:val="en-GB"/>
              </w:rPr>
              <w:t>I.14</w:t>
            </w:r>
          </w:p>
        </w:tc>
        <w:tc>
          <w:tcPr>
            <w:tcW w:w="6308" w:type="dxa"/>
            <w:gridSpan w:val="2"/>
            <w:shd w:val="clear" w:color="auto" w:fill="F2F2F2"/>
          </w:tcPr>
          <w:p w14:paraId="4AC165AC" w14:textId="75239006" w:rsidR="00160E45" w:rsidRPr="006867E6" w:rsidRDefault="00160E45" w:rsidP="00570889">
            <w:pPr>
              <w:keepNext/>
              <w:keepLines/>
              <w:spacing w:before="120" w:after="120"/>
              <w:rPr>
                <w:rFonts w:asciiTheme="minorBidi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[Без изменений.]</w:t>
            </w:r>
          </w:p>
        </w:tc>
      </w:tr>
      <w:tr w:rsidR="00160E45" w:rsidRPr="00756EF7" w14:paraId="45D0409B" w14:textId="77777777" w:rsidTr="006867E6">
        <w:tc>
          <w:tcPr>
            <w:tcW w:w="562" w:type="dxa"/>
            <w:shd w:val="clear" w:color="auto" w:fill="auto"/>
          </w:tcPr>
          <w:p w14:paraId="064DE5B8" w14:textId="33C98AFC" w:rsidR="00160E45" w:rsidRPr="006867E6" w:rsidRDefault="00160E45" w:rsidP="00570889">
            <w:pPr>
              <w:keepLines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47.</w:t>
            </w:r>
          </w:p>
        </w:tc>
        <w:tc>
          <w:tcPr>
            <w:tcW w:w="6498" w:type="dxa"/>
            <w:gridSpan w:val="2"/>
            <w:shd w:val="clear" w:color="auto" w:fill="auto"/>
          </w:tcPr>
          <w:p w14:paraId="75727777" w14:textId="0F5046D3" w:rsidR="00160E45" w:rsidRPr="006867E6" w:rsidRDefault="00160E45" w:rsidP="00570889">
            <w:pPr>
              <w:keepLines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Заявки на международную помощь на сумму до 100 000 долл. (за исключением заявок на помощь в подготовке номинационных досье) и заявки на срочную помощь вне зависимости от суммы могут подаваться в любое время.</w:t>
            </w:r>
          </w:p>
        </w:tc>
        <w:tc>
          <w:tcPr>
            <w:tcW w:w="661" w:type="dxa"/>
            <w:shd w:val="clear" w:color="auto" w:fill="auto"/>
          </w:tcPr>
          <w:p w14:paraId="435E1634" w14:textId="3B8A956E" w:rsidR="00160E45" w:rsidRPr="006867E6" w:rsidRDefault="00160E45" w:rsidP="00570889">
            <w:pPr>
              <w:keepLines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  <w:lang w:val="en-GB"/>
              </w:rPr>
              <w:t>47.</w:t>
            </w:r>
          </w:p>
        </w:tc>
        <w:tc>
          <w:tcPr>
            <w:tcW w:w="6308" w:type="dxa"/>
            <w:gridSpan w:val="2"/>
            <w:shd w:val="clear" w:color="auto" w:fill="auto"/>
          </w:tcPr>
          <w:p w14:paraId="6318ADD2" w14:textId="67CB44C4" w:rsidR="00160E45" w:rsidRPr="006867E6" w:rsidRDefault="00E900E8" w:rsidP="006867E6">
            <w:pPr>
              <w:keepLines/>
              <w:spacing w:before="120" w:after="120"/>
              <w:rPr>
                <w:rFonts w:asciiTheme="minorBidi" w:hAnsiTheme="minorBidi" w:cstheme="minorBidi"/>
                <w:strike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trike/>
                <w:sz w:val="20"/>
                <w:szCs w:val="20"/>
                <w:highlight w:val="cyan"/>
              </w:rPr>
              <w:t>Заявки на международную помощь на сумму до 100 000 долл. (за исключением заявок на помощь в подготовке номинационных досье) и заявки на срочную помощь вне зависимости от суммы могут подаваться в любое время.</w:t>
            </w:r>
          </w:p>
          <w:p w14:paraId="79A21759" w14:textId="58AF95D4" w:rsidR="00E900E8" w:rsidRPr="006867E6" w:rsidRDefault="00E900E8" w:rsidP="006867E6">
            <w:pPr>
              <w:keepLines/>
              <w:spacing w:before="120" w:after="120"/>
              <w:rPr>
                <w:rFonts w:asciiTheme="minorBidi" w:hAnsiTheme="minorBidi" w:cstheme="minorBidi"/>
                <w:sz w:val="20"/>
                <w:szCs w:val="20"/>
                <w:highlight w:val="cyan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Заявки на международную помощь (включая заявки на помощь в подготовке номинационных досье) не должны превышать 100 000 долларов США, за исключением заявок на срочную помощь и заявок, поданных одновременно с номинацией в Список нематериального культурного наследия, нуждающегося в срочной охране, или в контексте заявки на перемещение элемента из Репрезентативного списка нематериального культурного наследия человечества в Список нематериального культурного наследия, нуждающегося в срочной охране.</w:t>
            </w:r>
            <w:r w:rsidRPr="006867E6">
              <w:rPr>
                <w:rStyle w:val="FootnoteReference"/>
                <w:rFonts w:asciiTheme="minorBidi" w:hAnsiTheme="minorBidi" w:cstheme="minorBidi"/>
                <w:sz w:val="20"/>
                <w:szCs w:val="20"/>
                <w:highlight w:val="cyan"/>
              </w:rPr>
              <w:footnoteReference w:id="32"/>
            </w:r>
          </w:p>
          <w:p w14:paraId="0B869A0B" w14:textId="0CDA1A24" w:rsidR="00E900E8" w:rsidRPr="006867E6" w:rsidRDefault="004141E2" w:rsidP="006867E6">
            <w:pPr>
              <w:keepLines/>
              <w:spacing w:before="120"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 xml:space="preserve">Заявки </w:t>
            </w:r>
            <w:r w:rsidR="00E900E8" w:rsidRPr="006867E6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 xml:space="preserve">на международную помощь могут быть поданы в любое время, за исключением тех </w:t>
            </w: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заявок</w:t>
            </w:r>
            <w:r w:rsidR="00E900E8" w:rsidRPr="006867E6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, которые рассматриваются и утверждаются Комитетом</w:t>
            </w: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 xml:space="preserve"> и</w:t>
            </w:r>
            <w:r w:rsidR="00E900E8" w:rsidRPr="006867E6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 xml:space="preserve"> для которых применяется график согласно </w:t>
            </w: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 xml:space="preserve">положениям </w:t>
            </w:r>
            <w:r w:rsidR="00E900E8" w:rsidRPr="006867E6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 xml:space="preserve">I.15. Кроме того, </w:t>
            </w: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 xml:space="preserve">заявки на помощь в подготовке номинационных досье </w:t>
            </w:r>
            <w:r w:rsidR="00E900E8" w:rsidRPr="006867E6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должны быть представлены до крайнего срока 31 марта.</w:t>
            </w:r>
          </w:p>
        </w:tc>
      </w:tr>
      <w:tr w:rsidR="00160E45" w:rsidRPr="00756EF7" w14:paraId="79F0CABD" w14:textId="77777777" w:rsidTr="006867E6">
        <w:tc>
          <w:tcPr>
            <w:tcW w:w="562" w:type="dxa"/>
            <w:shd w:val="clear" w:color="auto" w:fill="auto"/>
          </w:tcPr>
          <w:p w14:paraId="614B6561" w14:textId="218606E2" w:rsidR="00160E45" w:rsidRPr="006867E6" w:rsidRDefault="00160E45" w:rsidP="00570889">
            <w:pPr>
              <w:keepLines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49.</w:t>
            </w:r>
          </w:p>
        </w:tc>
        <w:tc>
          <w:tcPr>
            <w:tcW w:w="6498" w:type="dxa"/>
            <w:gridSpan w:val="2"/>
            <w:shd w:val="clear" w:color="auto" w:fill="auto"/>
          </w:tcPr>
          <w:p w14:paraId="247D29BC" w14:textId="6162958F" w:rsidR="00160E45" w:rsidRPr="006867E6" w:rsidRDefault="00160E45" w:rsidP="00570889">
            <w:pPr>
              <w:keepLines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Заявки на помощь на сумму до 100 000 долл., включая заявки на представление помощи в подготовке досье, рассматриваются и утверждаются Президиумом Комитета.</w:t>
            </w:r>
          </w:p>
        </w:tc>
        <w:tc>
          <w:tcPr>
            <w:tcW w:w="661" w:type="dxa"/>
            <w:shd w:val="clear" w:color="auto" w:fill="auto"/>
          </w:tcPr>
          <w:p w14:paraId="70B6CF8F" w14:textId="2285AE63" w:rsidR="00160E45" w:rsidRPr="006867E6" w:rsidRDefault="00160E45" w:rsidP="00570889">
            <w:pPr>
              <w:keepLines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  <w:lang w:val="en-GB"/>
              </w:rPr>
              <w:t>49.</w:t>
            </w:r>
          </w:p>
        </w:tc>
        <w:tc>
          <w:tcPr>
            <w:tcW w:w="6308" w:type="dxa"/>
            <w:gridSpan w:val="2"/>
            <w:shd w:val="clear" w:color="auto" w:fill="auto"/>
          </w:tcPr>
          <w:p w14:paraId="640CF27D" w14:textId="77777777" w:rsidR="00E900E8" w:rsidRPr="006867E6" w:rsidRDefault="00E900E8" w:rsidP="006867E6">
            <w:pPr>
              <w:keepLines/>
              <w:spacing w:before="120" w:after="120"/>
              <w:rPr>
                <w:rFonts w:asciiTheme="minorBidi" w:hAnsiTheme="minorBidi" w:cstheme="minorBidi"/>
                <w:strike/>
                <w:sz w:val="20"/>
                <w:szCs w:val="20"/>
                <w:highlight w:val="cyan"/>
              </w:rPr>
            </w:pPr>
            <w:r w:rsidRPr="006867E6">
              <w:rPr>
                <w:rFonts w:asciiTheme="minorBidi" w:hAnsiTheme="minorBidi" w:cstheme="minorBidi"/>
                <w:strike/>
                <w:sz w:val="20"/>
                <w:szCs w:val="20"/>
                <w:highlight w:val="cyan"/>
              </w:rPr>
              <w:t>Заявки на помощь на сумму до 100 000 долл., включая заявки на представление помощи в подготовке досье, рассматриваются и утверждаются Президиумом Комитета.</w:t>
            </w:r>
          </w:p>
          <w:p w14:paraId="30459EFB" w14:textId="7C19FC66" w:rsidR="00160E45" w:rsidRPr="006867E6" w:rsidRDefault="004141E2" w:rsidP="006867E6">
            <w:pPr>
              <w:keepLines/>
              <w:spacing w:before="120"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Заявки на международную помощь (включая заявки на помощь в подготовке номинационных досье) до 100 000 долларов США и заявки на срочную помощь независимо от суммы рассматриваются и утверждаются Президиумом Комитета.</w:t>
            </w:r>
          </w:p>
        </w:tc>
      </w:tr>
      <w:tr w:rsidR="00160E45" w:rsidRPr="00756EF7" w14:paraId="4E551C62" w14:textId="77777777" w:rsidTr="006867E6">
        <w:tc>
          <w:tcPr>
            <w:tcW w:w="562" w:type="dxa"/>
            <w:shd w:val="clear" w:color="auto" w:fill="auto"/>
          </w:tcPr>
          <w:p w14:paraId="7AB85BD6" w14:textId="3E584674" w:rsidR="00160E45" w:rsidRPr="006867E6" w:rsidRDefault="00160E45" w:rsidP="00570889">
            <w:pPr>
              <w:keepLines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51.</w:t>
            </w:r>
          </w:p>
        </w:tc>
        <w:tc>
          <w:tcPr>
            <w:tcW w:w="6498" w:type="dxa"/>
            <w:gridSpan w:val="2"/>
            <w:shd w:val="clear" w:color="auto" w:fill="auto"/>
          </w:tcPr>
          <w:p w14:paraId="0DA8182E" w14:textId="4F5FFAE6" w:rsidR="00160E45" w:rsidRPr="006867E6" w:rsidRDefault="00160E45" w:rsidP="00570889">
            <w:pPr>
              <w:keepLines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Заявки на помощь на сумму свыше 100 000 долл. оцениваются указанным в пункте 27 Оценочным органом и рассматриваются и утверждаются Комитетом.</w:t>
            </w:r>
          </w:p>
        </w:tc>
        <w:tc>
          <w:tcPr>
            <w:tcW w:w="661" w:type="dxa"/>
            <w:shd w:val="clear" w:color="auto" w:fill="auto"/>
          </w:tcPr>
          <w:p w14:paraId="04B464DF" w14:textId="0B9A8625" w:rsidR="00160E45" w:rsidRPr="006867E6" w:rsidRDefault="00160E45" w:rsidP="00570889">
            <w:pPr>
              <w:keepLines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  <w:lang w:val="en-GB"/>
              </w:rPr>
              <w:t>51.</w:t>
            </w:r>
          </w:p>
        </w:tc>
        <w:tc>
          <w:tcPr>
            <w:tcW w:w="6308" w:type="dxa"/>
            <w:gridSpan w:val="2"/>
            <w:shd w:val="clear" w:color="auto" w:fill="auto"/>
          </w:tcPr>
          <w:p w14:paraId="46151E14" w14:textId="0BF4D629" w:rsidR="00160E45" w:rsidRPr="006867E6" w:rsidRDefault="00E900E8" w:rsidP="006867E6">
            <w:pPr>
              <w:keepLines/>
              <w:spacing w:before="120" w:after="120"/>
              <w:rPr>
                <w:rFonts w:asciiTheme="minorBidi" w:hAnsiTheme="minorBidi" w:cstheme="minorBidi"/>
                <w:strike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trike/>
                <w:sz w:val="20"/>
                <w:szCs w:val="20"/>
                <w:highlight w:val="cyan"/>
              </w:rPr>
              <w:t>Заявки на помощь на сумму свыше 100 000 долл. оцениваются указанным в пункте 27 Оценочным органом и рассматриваются и утверждаются Комитетом.</w:t>
            </w:r>
          </w:p>
          <w:p w14:paraId="178E6F6B" w14:textId="2AEBCFCF" w:rsidR="00E900E8" w:rsidRPr="006867E6" w:rsidRDefault="004141E2" w:rsidP="006867E6">
            <w:pPr>
              <w:keepLines/>
              <w:spacing w:before="120"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Заявки на международную помощь, подаваемые одновременно с номинацией в Список нематериального культурного наследия, нуждающегося в срочной охране, или в контексте заявки на перемещение элемента из Репрезентативного списка нематериального культурного наследия человечества в Список нематериального культурного наследия, нуждающегося в срочной охране, оцениваются Оценочным органом и рассматриваются и утверждаются Комитетом.</w:t>
            </w:r>
            <w:r w:rsidRPr="006867E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</w:tr>
      <w:tr w:rsidR="00160E45" w:rsidRPr="00756EF7" w14:paraId="5802B8B1" w14:textId="77777777" w:rsidTr="006867E6">
        <w:tc>
          <w:tcPr>
            <w:tcW w:w="562" w:type="dxa"/>
            <w:shd w:val="clear" w:color="auto" w:fill="F2F2F2"/>
          </w:tcPr>
          <w:p w14:paraId="314BF6A6" w14:textId="77777777" w:rsidR="00160E45" w:rsidRPr="006867E6" w:rsidRDefault="00160E45" w:rsidP="00570889">
            <w:pPr>
              <w:keepNext/>
              <w:keepLines/>
              <w:spacing w:before="120" w:after="12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b/>
                <w:color w:val="1F4E79"/>
                <w:sz w:val="20"/>
                <w:szCs w:val="20"/>
              </w:rPr>
              <w:t>I.15</w:t>
            </w:r>
          </w:p>
        </w:tc>
        <w:tc>
          <w:tcPr>
            <w:tcW w:w="6498" w:type="dxa"/>
            <w:gridSpan w:val="2"/>
            <w:shd w:val="clear" w:color="auto" w:fill="F2F2F2"/>
          </w:tcPr>
          <w:p w14:paraId="4A421CB7" w14:textId="77777777" w:rsidR="00160E45" w:rsidRPr="006867E6" w:rsidRDefault="00160E45" w:rsidP="00570889">
            <w:pPr>
              <w:keepNext/>
              <w:keepLines/>
              <w:spacing w:before="120" w:after="12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b/>
                <w:color w:val="1F4E79"/>
                <w:sz w:val="20"/>
                <w:szCs w:val="20"/>
              </w:rPr>
              <w:t>График – обзор процедур</w:t>
            </w:r>
          </w:p>
        </w:tc>
        <w:tc>
          <w:tcPr>
            <w:tcW w:w="661" w:type="dxa"/>
            <w:shd w:val="clear" w:color="auto" w:fill="F2F2F2"/>
          </w:tcPr>
          <w:p w14:paraId="65546D39" w14:textId="77777777" w:rsidR="00160E45" w:rsidRPr="006867E6" w:rsidRDefault="00160E45" w:rsidP="00570889">
            <w:pPr>
              <w:keepNext/>
              <w:keepLines/>
              <w:spacing w:before="120" w:after="12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b/>
                <w:color w:val="1F4E79"/>
                <w:sz w:val="20"/>
                <w:szCs w:val="20"/>
              </w:rPr>
              <w:t>I.15</w:t>
            </w:r>
          </w:p>
        </w:tc>
        <w:tc>
          <w:tcPr>
            <w:tcW w:w="6308" w:type="dxa"/>
            <w:gridSpan w:val="2"/>
            <w:shd w:val="clear" w:color="auto" w:fill="F2F2F2"/>
          </w:tcPr>
          <w:p w14:paraId="72EF0E41" w14:textId="77777777" w:rsidR="00160E45" w:rsidRPr="006867E6" w:rsidRDefault="00160E45" w:rsidP="00570889">
            <w:pPr>
              <w:keepNext/>
              <w:keepLines/>
              <w:spacing w:before="120" w:after="12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[Без изменений.]</w:t>
            </w:r>
          </w:p>
        </w:tc>
      </w:tr>
      <w:tr w:rsidR="00B60CC0" w:rsidRPr="00756EF7" w14:paraId="1A9BC4BC" w14:textId="77777777" w:rsidTr="009F1B23">
        <w:tc>
          <w:tcPr>
            <w:tcW w:w="562" w:type="dxa"/>
            <w:vMerge w:val="restart"/>
          </w:tcPr>
          <w:p w14:paraId="7B74397C" w14:textId="77777777" w:rsidR="00B60CC0" w:rsidRPr="006867E6" w:rsidRDefault="00B60CC0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54.</w:t>
            </w:r>
          </w:p>
        </w:tc>
        <w:tc>
          <w:tcPr>
            <w:tcW w:w="6498" w:type="dxa"/>
            <w:gridSpan w:val="2"/>
          </w:tcPr>
          <w:p w14:paraId="34CE4C6C" w14:textId="77777777" w:rsidR="00B60CC0" w:rsidRPr="006867E6" w:rsidRDefault="00B60CC0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Фаза 1: Подготовка и представление</w:t>
            </w:r>
          </w:p>
        </w:tc>
        <w:tc>
          <w:tcPr>
            <w:tcW w:w="661" w:type="dxa"/>
            <w:vMerge w:val="restart"/>
          </w:tcPr>
          <w:p w14:paraId="6956A72B" w14:textId="77777777" w:rsidR="00B60CC0" w:rsidRPr="006867E6" w:rsidRDefault="00B60CC0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>54.</w:t>
            </w:r>
          </w:p>
        </w:tc>
        <w:tc>
          <w:tcPr>
            <w:tcW w:w="6308" w:type="dxa"/>
            <w:gridSpan w:val="2"/>
          </w:tcPr>
          <w:p w14:paraId="3C5817F4" w14:textId="007AA960" w:rsidR="00B60CC0" w:rsidRPr="006867E6" w:rsidRDefault="00B60CC0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Фаза 1: Подготовка и представление</w:t>
            </w:r>
          </w:p>
        </w:tc>
      </w:tr>
      <w:tr w:rsidR="00B60CC0" w:rsidRPr="00756EF7" w14:paraId="4502A459" w14:textId="77777777" w:rsidTr="009F1B23">
        <w:tc>
          <w:tcPr>
            <w:tcW w:w="562" w:type="dxa"/>
            <w:vMerge/>
          </w:tcPr>
          <w:p w14:paraId="64D712A6" w14:textId="77777777" w:rsidR="00B60CC0" w:rsidRPr="006867E6" w:rsidRDefault="00B60CC0" w:rsidP="00570889">
            <w:pPr>
              <w:rPr>
                <w:rFonts w:asciiTheme="minorBidi" w:eastAsia="Yu Mincho" w:hAnsiTheme="minorBidi" w:cstheme="minorBidi"/>
                <w:sz w:val="20"/>
                <w:szCs w:val="20"/>
                <w:lang w:val="en-US"/>
              </w:rPr>
            </w:pPr>
          </w:p>
        </w:tc>
        <w:tc>
          <w:tcPr>
            <w:tcW w:w="2101" w:type="dxa"/>
          </w:tcPr>
          <w:p w14:paraId="29F3468B" w14:textId="77777777" w:rsidR="00B60CC0" w:rsidRPr="006867E6" w:rsidRDefault="00B60CC0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31 марта</w:t>
            </w:r>
          </w:p>
          <w:p w14:paraId="74E60CF9" w14:textId="77777777" w:rsidR="00B60CC0" w:rsidRPr="006867E6" w:rsidRDefault="00B60CC0" w:rsidP="00570889">
            <w:pPr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года 0</w:t>
            </w:r>
          </w:p>
        </w:tc>
        <w:tc>
          <w:tcPr>
            <w:tcW w:w="4397" w:type="dxa"/>
          </w:tcPr>
          <w:p w14:paraId="388C9B6D" w14:textId="77777777" w:rsidR="00B60CC0" w:rsidRPr="006867E6" w:rsidRDefault="00B60CC0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Крайний срок для подачи заявок на помощь для подготовки номинаций в Список нематериального культурного наследия, нуждающегося в срочной охране, и предложений по программам, проектам и мероприятиям, наилучшим образом отражающим принципы и цели Конвенции (статья 18).</w:t>
            </w:r>
          </w:p>
        </w:tc>
        <w:tc>
          <w:tcPr>
            <w:tcW w:w="661" w:type="dxa"/>
            <w:vMerge/>
          </w:tcPr>
          <w:p w14:paraId="05337EE4" w14:textId="77777777" w:rsidR="00B60CC0" w:rsidRPr="006867E6" w:rsidRDefault="00B60CC0" w:rsidP="00570889">
            <w:pPr>
              <w:rPr>
                <w:rFonts w:asciiTheme="minorBidi" w:eastAsia="Yu Mincho" w:hAnsiTheme="minorBidi" w:cstheme="minorBidi"/>
                <w:sz w:val="20"/>
                <w:szCs w:val="20"/>
              </w:rPr>
            </w:pPr>
          </w:p>
        </w:tc>
        <w:tc>
          <w:tcPr>
            <w:tcW w:w="2011" w:type="dxa"/>
          </w:tcPr>
          <w:p w14:paraId="23979F96" w14:textId="77777777" w:rsidR="00B60CC0" w:rsidRPr="006867E6" w:rsidRDefault="00B60CC0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31 марта</w:t>
            </w:r>
          </w:p>
          <w:p w14:paraId="0AD1FE29" w14:textId="77777777" w:rsidR="00B60CC0" w:rsidRPr="006867E6" w:rsidRDefault="00B60CC0" w:rsidP="00570889">
            <w:pPr>
              <w:ind w:right="462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года 0</w:t>
            </w:r>
          </w:p>
        </w:tc>
        <w:tc>
          <w:tcPr>
            <w:tcW w:w="4297" w:type="dxa"/>
          </w:tcPr>
          <w:p w14:paraId="35101501" w14:textId="44BF8031" w:rsidR="00B60CC0" w:rsidRPr="006867E6" w:rsidRDefault="00B60CC0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Крайний срок для подачи заявок на помощь </w:t>
            </w:r>
            <w:r w:rsidRPr="006867E6">
              <w:rPr>
                <w:rFonts w:asciiTheme="minorBidi" w:hAnsiTheme="minorBidi" w:cstheme="minorBidi"/>
                <w:strike/>
                <w:color w:val="000000" w:themeColor="text1"/>
                <w:sz w:val="20"/>
                <w:szCs w:val="20"/>
                <w:highlight w:val="lightGray"/>
              </w:rPr>
              <w:t>для подготовки номинаций в Список нематериального культурного наследия, нуждающегося в срочной охране, и предложений по программам, проектам и мероприятиям, наилучшим образом отражающим принципы и цели Конвенции (статья 18).</w:t>
            </w:r>
          </w:p>
        </w:tc>
      </w:tr>
      <w:tr w:rsidR="00B60CC0" w:rsidRPr="00756EF7" w14:paraId="1178D172" w14:textId="77777777" w:rsidTr="009F1B23">
        <w:tc>
          <w:tcPr>
            <w:tcW w:w="562" w:type="dxa"/>
            <w:vMerge/>
          </w:tcPr>
          <w:p w14:paraId="1167D422" w14:textId="77777777" w:rsidR="00B60CC0" w:rsidRPr="006867E6" w:rsidRDefault="00B60CC0" w:rsidP="00570889">
            <w:pPr>
              <w:rPr>
                <w:rFonts w:asciiTheme="minorBidi" w:eastAsia="Yu Mincho" w:hAnsiTheme="minorBidi" w:cstheme="minorBidi"/>
                <w:sz w:val="20"/>
                <w:szCs w:val="20"/>
              </w:rPr>
            </w:pPr>
          </w:p>
        </w:tc>
        <w:tc>
          <w:tcPr>
            <w:tcW w:w="2101" w:type="dxa"/>
          </w:tcPr>
          <w:p w14:paraId="5741E21C" w14:textId="77777777" w:rsidR="00B60CC0" w:rsidRPr="006867E6" w:rsidRDefault="00B60CC0" w:rsidP="00570889">
            <w:pPr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-</w:t>
            </w:r>
          </w:p>
        </w:tc>
        <w:tc>
          <w:tcPr>
            <w:tcW w:w="4397" w:type="dxa"/>
          </w:tcPr>
          <w:p w14:paraId="158C2A23" w14:textId="77777777" w:rsidR="00B60CC0" w:rsidRPr="006867E6" w:rsidRDefault="00B60CC0" w:rsidP="00570889">
            <w:pPr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-</w:t>
            </w:r>
          </w:p>
        </w:tc>
        <w:tc>
          <w:tcPr>
            <w:tcW w:w="661" w:type="dxa"/>
            <w:vMerge/>
          </w:tcPr>
          <w:p w14:paraId="3D392BA6" w14:textId="77777777" w:rsidR="00B60CC0" w:rsidRPr="006867E6" w:rsidRDefault="00B60CC0" w:rsidP="00570889">
            <w:pPr>
              <w:rPr>
                <w:rFonts w:asciiTheme="minorBidi" w:eastAsia="Yu Mincho" w:hAnsiTheme="minorBidi" w:cstheme="minorBidi"/>
                <w:sz w:val="20"/>
                <w:szCs w:val="20"/>
                <w:lang w:val="en-US"/>
              </w:rPr>
            </w:pPr>
          </w:p>
        </w:tc>
        <w:tc>
          <w:tcPr>
            <w:tcW w:w="2011" w:type="dxa"/>
          </w:tcPr>
          <w:p w14:paraId="554C5C37" w14:textId="796CDCB0" w:rsidR="00B60CC0" w:rsidRPr="006867E6" w:rsidRDefault="00B60CC0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  <w:highlight w:val="lightGray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  <w:highlight w:val="lightGray"/>
                <w:u w:val="single"/>
              </w:rPr>
              <w:t>15 декабря</w:t>
            </w:r>
            <w:r w:rsidRPr="006867E6">
              <w:rPr>
                <w:rFonts w:asciiTheme="minorBidi" w:eastAsia="Yu Mincho" w:hAnsiTheme="minorBidi" w:cstheme="minorBidi"/>
                <w:color w:val="231F20"/>
                <w:sz w:val="20"/>
                <w:szCs w:val="20"/>
                <w:highlight w:val="lightGray"/>
                <w:vertAlign w:val="superscript"/>
                <w:lang w:val="en-US"/>
              </w:rPr>
              <w:footnoteReference w:id="33"/>
            </w: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  <w:highlight w:val="lightGray"/>
              </w:rPr>
              <w:br/>
            </w: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  <w:highlight w:val="lightGray"/>
                <w:u w:val="single"/>
              </w:rPr>
              <w:t>года 0</w:t>
            </w:r>
          </w:p>
        </w:tc>
        <w:tc>
          <w:tcPr>
            <w:tcW w:w="4297" w:type="dxa"/>
          </w:tcPr>
          <w:p w14:paraId="6D7A8CCF" w14:textId="7D12F2E6" w:rsidR="00B60CC0" w:rsidRPr="006867E6" w:rsidRDefault="00B60CC0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  <w:highlight w:val="lightGray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Крайний срок для подачи заявок на перемещение из Списка нематериального культурного наследия, нуждающегося в срочной охране, в Репрезентативный список нематериального культурного наследия человечества.</w:t>
            </w:r>
          </w:p>
        </w:tc>
      </w:tr>
      <w:tr w:rsidR="00B60CC0" w:rsidRPr="00756EF7" w14:paraId="0FE854EE" w14:textId="77777777" w:rsidTr="009F1B23">
        <w:tc>
          <w:tcPr>
            <w:tcW w:w="562" w:type="dxa"/>
            <w:vMerge/>
          </w:tcPr>
          <w:p w14:paraId="6307B9C9" w14:textId="77777777" w:rsidR="00B60CC0" w:rsidRPr="006867E6" w:rsidRDefault="00B60CC0" w:rsidP="00570889">
            <w:pPr>
              <w:rPr>
                <w:rFonts w:asciiTheme="minorBidi" w:eastAsia="Yu Mincho" w:hAnsiTheme="minorBidi" w:cstheme="minorBidi"/>
                <w:sz w:val="20"/>
                <w:szCs w:val="20"/>
              </w:rPr>
            </w:pPr>
          </w:p>
        </w:tc>
        <w:tc>
          <w:tcPr>
            <w:tcW w:w="2101" w:type="dxa"/>
          </w:tcPr>
          <w:p w14:paraId="3A6F36C7" w14:textId="77777777" w:rsidR="00B60CC0" w:rsidRPr="006867E6" w:rsidRDefault="00B60CC0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31 марта</w:t>
            </w:r>
          </w:p>
          <w:p w14:paraId="57953334" w14:textId="77777777" w:rsidR="00B60CC0" w:rsidRPr="006867E6" w:rsidRDefault="00B60CC0" w:rsidP="00570889">
            <w:pPr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года 1</w:t>
            </w:r>
          </w:p>
        </w:tc>
        <w:tc>
          <w:tcPr>
            <w:tcW w:w="4397" w:type="dxa"/>
          </w:tcPr>
          <w:p w14:paraId="11DA339A" w14:textId="77777777" w:rsidR="00B60CC0" w:rsidRPr="006867E6" w:rsidRDefault="00B60CC0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Крайний срок для получения Секретариатом номинаций в Список нематериального культурного наследия, нуждающегося в срочной охране, и в Репрезентативный список нематериального культурного наследия человечества, предложений по программам, проектам и мероприятиям, а также заявок на международную помощь на сумму свыше 100 000 долл. США. Досье, полученные по истечении этого срока, будут рассматриваться в следующем цикле. По мере получения досье Секретариат размещает их на сайте Конвенции, на языке оригинала.</w:t>
            </w:r>
          </w:p>
        </w:tc>
        <w:tc>
          <w:tcPr>
            <w:tcW w:w="661" w:type="dxa"/>
            <w:vMerge/>
          </w:tcPr>
          <w:p w14:paraId="7AFA4906" w14:textId="77777777" w:rsidR="00B60CC0" w:rsidRPr="006867E6" w:rsidRDefault="00B60CC0" w:rsidP="00570889">
            <w:pPr>
              <w:rPr>
                <w:rFonts w:asciiTheme="minorBidi" w:eastAsia="Yu Mincho" w:hAnsiTheme="minorBidi" w:cstheme="minorBidi"/>
                <w:sz w:val="20"/>
                <w:szCs w:val="20"/>
              </w:rPr>
            </w:pPr>
          </w:p>
        </w:tc>
        <w:tc>
          <w:tcPr>
            <w:tcW w:w="2011" w:type="dxa"/>
          </w:tcPr>
          <w:p w14:paraId="6C8F763D" w14:textId="77777777" w:rsidR="00B60CC0" w:rsidRPr="006867E6" w:rsidRDefault="00B60CC0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31 марта</w:t>
            </w:r>
          </w:p>
          <w:p w14:paraId="6ED06037" w14:textId="01A5AC06" w:rsidR="00B60CC0" w:rsidRPr="006867E6" w:rsidRDefault="00B60CC0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года 1</w:t>
            </w:r>
          </w:p>
        </w:tc>
        <w:tc>
          <w:tcPr>
            <w:tcW w:w="4297" w:type="dxa"/>
          </w:tcPr>
          <w:p w14:paraId="4B0813B1" w14:textId="4DF5E6BA" w:rsidR="00B60CC0" w:rsidRPr="006867E6" w:rsidRDefault="00B60CC0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sz w:val="20"/>
                <w:szCs w:val="20"/>
              </w:rPr>
              <w:t xml:space="preserve">Крайний срок для получения Секретариатом номинаций в Список нематериального культурного наследия, нуждающегося в срочной охране </w:t>
            </w: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  <w:u w:val="single"/>
                <w:shd w:val="clear" w:color="auto" w:fill="FBE4D5" w:themeFill="accent2" w:themeFillTint="33"/>
              </w:rPr>
              <w:t>(включая номинации, представленные одновременно с заявками на международную помощь)</w:t>
            </w:r>
            <w:r w:rsidRPr="006867E6">
              <w:rPr>
                <w:rFonts w:asciiTheme="minorBidi" w:hAnsiTheme="minorBidi" w:cstheme="minorBidi"/>
                <w:sz w:val="20"/>
                <w:szCs w:val="20"/>
              </w:rPr>
              <w:t xml:space="preserve">, и в Репрезентативный список нематериального культурного наследия человечества, </w:t>
            </w:r>
            <w:r w:rsidRPr="006867E6">
              <w:rPr>
                <w:rFonts w:asciiTheme="minorBidi" w:hAnsiTheme="minorBidi" w:cstheme="minorBidi"/>
                <w:sz w:val="20"/>
                <w:szCs w:val="20"/>
                <w:highlight w:val="cyan"/>
                <w:u w:val="single"/>
                <w:shd w:val="clear" w:color="auto" w:fill="FBE4D5" w:themeFill="accent2" w:themeFillTint="33"/>
              </w:rPr>
              <w:t>а также</w:t>
            </w:r>
            <w:r w:rsidRPr="006867E6">
              <w:rPr>
                <w:rFonts w:asciiTheme="minorBidi" w:hAnsiTheme="minorBidi" w:cstheme="minorBidi"/>
                <w:sz w:val="20"/>
                <w:szCs w:val="20"/>
              </w:rPr>
              <w:t xml:space="preserve"> предложений по программам, проектам и мероприятиям, </w:t>
            </w: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  <w:highlight w:val="cyan"/>
                <w:u w:val="single"/>
                <w:shd w:val="clear" w:color="auto" w:fill="FBE4D5" w:themeFill="accent2" w:themeFillTint="33"/>
              </w:rPr>
              <w:t xml:space="preserve">наилучшим образом отражающим цели Конвенции </w:t>
            </w:r>
            <w:r w:rsidRPr="006867E6">
              <w:rPr>
                <w:rFonts w:asciiTheme="minorBidi" w:hAnsiTheme="minorBidi" w:cstheme="minorBidi"/>
                <w:strike/>
                <w:sz w:val="20"/>
                <w:szCs w:val="20"/>
                <w:highlight w:val="cyan"/>
                <w:shd w:val="clear" w:color="auto" w:fill="FBE4D5" w:themeFill="accent2" w:themeFillTint="33"/>
              </w:rPr>
              <w:t>а также заявок на международную помощь на сумму свыше 100 000 долл</w:t>
            </w:r>
            <w:r w:rsidRPr="006867E6">
              <w:rPr>
                <w:rStyle w:val="FootnoteReference"/>
                <w:rFonts w:asciiTheme="minorBidi" w:hAnsiTheme="minorBidi" w:cstheme="minorBidi"/>
                <w:strike/>
                <w:sz w:val="20"/>
                <w:szCs w:val="20"/>
                <w:highlight w:val="cyan"/>
                <w:shd w:val="clear" w:color="auto" w:fill="FBE4D5" w:themeFill="accent2" w:themeFillTint="33"/>
              </w:rPr>
              <w:footnoteReference w:id="34"/>
            </w:r>
            <w:r w:rsidRPr="006867E6">
              <w:rPr>
                <w:rFonts w:asciiTheme="minorBidi" w:hAnsiTheme="minorBidi" w:cstheme="minorBidi"/>
                <w:sz w:val="20"/>
                <w:szCs w:val="20"/>
              </w:rPr>
              <w:t>. Досье, полученные по истечении этого срока, будут рассматриваться в следующем цикле. По мере получения досье Секретариат размещает их на сайте Конвенции, на языке оригинала.</w:t>
            </w:r>
          </w:p>
        </w:tc>
      </w:tr>
      <w:tr w:rsidR="00B60CC0" w:rsidRPr="00756EF7" w14:paraId="056F0CDF" w14:textId="77777777" w:rsidTr="009F1B23">
        <w:tc>
          <w:tcPr>
            <w:tcW w:w="562" w:type="dxa"/>
            <w:vMerge/>
          </w:tcPr>
          <w:p w14:paraId="5F0EE9F4" w14:textId="77777777" w:rsidR="00B60CC0" w:rsidRPr="006867E6" w:rsidRDefault="00B60CC0" w:rsidP="00570889">
            <w:pPr>
              <w:rPr>
                <w:rFonts w:asciiTheme="minorBidi" w:eastAsia="Yu Mincho" w:hAnsiTheme="minorBidi" w:cstheme="minorBidi"/>
                <w:sz w:val="20"/>
                <w:szCs w:val="20"/>
              </w:rPr>
            </w:pPr>
          </w:p>
        </w:tc>
        <w:tc>
          <w:tcPr>
            <w:tcW w:w="2101" w:type="dxa"/>
          </w:tcPr>
          <w:p w14:paraId="5A321805" w14:textId="77777777" w:rsidR="00B60CC0" w:rsidRPr="006867E6" w:rsidRDefault="00B60CC0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30 июня</w:t>
            </w:r>
          </w:p>
          <w:p w14:paraId="4ED0649D" w14:textId="77777777" w:rsidR="00B60CC0" w:rsidRPr="006867E6" w:rsidRDefault="00B60CC0" w:rsidP="00570889">
            <w:pPr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года 1</w:t>
            </w:r>
          </w:p>
        </w:tc>
        <w:tc>
          <w:tcPr>
            <w:tcW w:w="4397" w:type="dxa"/>
          </w:tcPr>
          <w:p w14:paraId="2BB0AAFC" w14:textId="77777777" w:rsidR="00B60CC0" w:rsidRPr="006867E6" w:rsidRDefault="00B60CC0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Крайний срок для обработки досье Секретариатом, включая их регистрацию и подтверждение получения. Если какое-то досье признается неполным, государству-участнику предлагается его доработать.</w:t>
            </w:r>
          </w:p>
        </w:tc>
        <w:tc>
          <w:tcPr>
            <w:tcW w:w="661" w:type="dxa"/>
            <w:vMerge/>
          </w:tcPr>
          <w:p w14:paraId="339C581E" w14:textId="77777777" w:rsidR="00B60CC0" w:rsidRPr="006867E6" w:rsidRDefault="00B60CC0" w:rsidP="00570889">
            <w:pPr>
              <w:rPr>
                <w:rFonts w:asciiTheme="minorBidi" w:eastAsia="Yu Mincho" w:hAnsiTheme="minorBidi" w:cstheme="minorBidi"/>
                <w:sz w:val="20"/>
                <w:szCs w:val="20"/>
              </w:rPr>
            </w:pPr>
          </w:p>
        </w:tc>
        <w:tc>
          <w:tcPr>
            <w:tcW w:w="2011" w:type="dxa"/>
          </w:tcPr>
          <w:p w14:paraId="0FED572F" w14:textId="77777777" w:rsidR="00B60CC0" w:rsidRPr="006867E6" w:rsidRDefault="00B60CC0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[Без изменений.]</w:t>
            </w:r>
          </w:p>
        </w:tc>
        <w:tc>
          <w:tcPr>
            <w:tcW w:w="4297" w:type="dxa"/>
          </w:tcPr>
          <w:p w14:paraId="1F366936" w14:textId="77777777" w:rsidR="00B60CC0" w:rsidRPr="006867E6" w:rsidRDefault="00B60CC0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[Без изменений.]</w:t>
            </w:r>
          </w:p>
        </w:tc>
      </w:tr>
      <w:tr w:rsidR="00B60CC0" w:rsidRPr="00756EF7" w14:paraId="3F2B275C" w14:textId="77777777" w:rsidTr="00EE39DD">
        <w:tc>
          <w:tcPr>
            <w:tcW w:w="562" w:type="dxa"/>
            <w:vMerge/>
          </w:tcPr>
          <w:p w14:paraId="104D68BC" w14:textId="77777777" w:rsidR="00B60CC0" w:rsidRPr="006867E6" w:rsidRDefault="00B60CC0" w:rsidP="00570889">
            <w:pPr>
              <w:rPr>
                <w:rFonts w:asciiTheme="minorBidi" w:eastAsia="Yu Mincho" w:hAnsiTheme="minorBidi" w:cstheme="minorBidi"/>
                <w:sz w:val="20"/>
                <w:szCs w:val="20"/>
                <w:lang w:val="en-US"/>
              </w:rPr>
            </w:pPr>
          </w:p>
        </w:tc>
        <w:tc>
          <w:tcPr>
            <w:tcW w:w="2101" w:type="dxa"/>
          </w:tcPr>
          <w:p w14:paraId="04B79DBC" w14:textId="77777777" w:rsidR="00B60CC0" w:rsidRPr="006867E6" w:rsidRDefault="00B60CC0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30 сентября</w:t>
            </w:r>
          </w:p>
          <w:p w14:paraId="132AF9EF" w14:textId="77777777" w:rsidR="00B60CC0" w:rsidRPr="006867E6" w:rsidRDefault="00B60CC0" w:rsidP="00570889">
            <w:pPr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года 1</w:t>
            </w:r>
          </w:p>
          <w:p w14:paraId="72C307FC" w14:textId="77777777" w:rsidR="00B60CC0" w:rsidRPr="006867E6" w:rsidRDefault="00B60CC0" w:rsidP="00570889">
            <w:pPr>
              <w:rPr>
                <w:rFonts w:asciiTheme="minorBidi" w:eastAsia="Yu Mincho" w:hAnsiTheme="minorBidi" w:cstheme="minorBidi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4397" w:type="dxa"/>
          </w:tcPr>
          <w:p w14:paraId="3F16374C" w14:textId="77777777" w:rsidR="00B60CC0" w:rsidRPr="006867E6" w:rsidRDefault="00B60CC0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Крайний срок для представления Секретариату государством-участником отсутствующей информации, если таковая необходима для окончательного оформления досье. Досье, которые останутся неполными, будут возвращены государству-участнику (государствам-участникам), которое (которые) может (могут) доработать их в последующем цикле. После получения Секретариатом пересмотренных государствами-авторами досье в ответ на запрос о дополнительной информации они размещаются на сайте и заменяют собой изначально полученные досье. Переводы этих досье на английский или французский языки также размещаются на сайте после их получения.</w:t>
            </w:r>
          </w:p>
        </w:tc>
        <w:tc>
          <w:tcPr>
            <w:tcW w:w="661" w:type="dxa"/>
            <w:vMerge/>
          </w:tcPr>
          <w:p w14:paraId="5254360D" w14:textId="77777777" w:rsidR="00B60CC0" w:rsidRPr="006867E6" w:rsidRDefault="00B60CC0" w:rsidP="00570889">
            <w:pPr>
              <w:rPr>
                <w:rFonts w:asciiTheme="minorBidi" w:eastAsia="Yu Mincho" w:hAnsiTheme="minorBidi" w:cstheme="minorBidi"/>
                <w:sz w:val="20"/>
                <w:szCs w:val="20"/>
              </w:rPr>
            </w:pPr>
          </w:p>
        </w:tc>
        <w:tc>
          <w:tcPr>
            <w:tcW w:w="2011" w:type="dxa"/>
          </w:tcPr>
          <w:p w14:paraId="03AA6997" w14:textId="77777777" w:rsidR="00B60CC0" w:rsidRPr="006867E6" w:rsidRDefault="00B60CC0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[Без изменений.]</w:t>
            </w:r>
          </w:p>
        </w:tc>
        <w:tc>
          <w:tcPr>
            <w:tcW w:w="4297" w:type="dxa"/>
          </w:tcPr>
          <w:p w14:paraId="3BA189AB" w14:textId="77777777" w:rsidR="00B60CC0" w:rsidRPr="006867E6" w:rsidRDefault="00B60CC0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[Без изменений.]</w:t>
            </w:r>
          </w:p>
        </w:tc>
      </w:tr>
      <w:tr w:rsidR="00B60CC0" w:rsidRPr="00756EF7" w14:paraId="70018800" w14:textId="77777777" w:rsidTr="00EE39DD">
        <w:tc>
          <w:tcPr>
            <w:tcW w:w="562" w:type="dxa"/>
            <w:vMerge/>
          </w:tcPr>
          <w:p w14:paraId="7591BDC6" w14:textId="77777777" w:rsidR="00B60CC0" w:rsidRPr="006867E6" w:rsidRDefault="00B60CC0" w:rsidP="00570889">
            <w:pPr>
              <w:rPr>
                <w:rFonts w:asciiTheme="minorBidi" w:eastAsia="Yu Mincho" w:hAnsiTheme="minorBidi" w:cstheme="minorBidi"/>
                <w:sz w:val="20"/>
                <w:szCs w:val="20"/>
                <w:lang w:val="en-US"/>
              </w:rPr>
            </w:pPr>
          </w:p>
        </w:tc>
        <w:tc>
          <w:tcPr>
            <w:tcW w:w="2101" w:type="dxa"/>
          </w:tcPr>
          <w:p w14:paraId="732A4E76" w14:textId="224DC9E6" w:rsidR="00B60CC0" w:rsidRPr="006867E6" w:rsidRDefault="00B60CC0" w:rsidP="00570889">
            <w:pPr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-</w:t>
            </w:r>
          </w:p>
        </w:tc>
        <w:tc>
          <w:tcPr>
            <w:tcW w:w="4397" w:type="dxa"/>
          </w:tcPr>
          <w:p w14:paraId="3910F6AF" w14:textId="18F10DFC" w:rsidR="00B60CC0" w:rsidRPr="006867E6" w:rsidRDefault="00B60CC0" w:rsidP="00570889">
            <w:pPr>
              <w:rPr>
                <w:rFonts w:asciiTheme="minorBidi" w:eastAsia="Yu Mincho" w:hAnsiTheme="minorBidi" w:cstheme="minorBidi"/>
                <w:color w:val="231F20"/>
                <w:sz w:val="20"/>
                <w:szCs w:val="20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</w:rPr>
              <w:t>-</w:t>
            </w:r>
          </w:p>
        </w:tc>
        <w:tc>
          <w:tcPr>
            <w:tcW w:w="661" w:type="dxa"/>
            <w:vMerge/>
          </w:tcPr>
          <w:p w14:paraId="5AD46E1D" w14:textId="77777777" w:rsidR="00B60CC0" w:rsidRPr="006867E6" w:rsidRDefault="00B60CC0" w:rsidP="00570889">
            <w:pPr>
              <w:rPr>
                <w:rFonts w:asciiTheme="minorBidi" w:eastAsia="Yu Mincho" w:hAnsiTheme="minorBidi" w:cstheme="minorBidi"/>
                <w:sz w:val="20"/>
                <w:szCs w:val="20"/>
                <w:lang w:val="en-US"/>
              </w:rPr>
            </w:pPr>
          </w:p>
        </w:tc>
        <w:tc>
          <w:tcPr>
            <w:tcW w:w="2011" w:type="dxa"/>
          </w:tcPr>
          <w:p w14:paraId="229146DF" w14:textId="786A0E28" w:rsidR="00B60CC0" w:rsidRPr="006867E6" w:rsidRDefault="00B60CC0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  <w:highlight w:val="lightGray"/>
                <w:u w:val="single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  <w:highlight w:val="lightGray"/>
                <w:u w:val="single"/>
              </w:rPr>
              <w:t>31 января</w:t>
            </w:r>
          </w:p>
          <w:p w14:paraId="3A58A7E9" w14:textId="6495508C" w:rsidR="00B60CC0" w:rsidRPr="006867E6" w:rsidRDefault="00B60CC0" w:rsidP="00570889">
            <w:pPr>
              <w:rPr>
                <w:rFonts w:asciiTheme="minorBidi" w:eastAsia="Yu Mincho" w:hAnsiTheme="minorBidi" w:cstheme="minorBidi"/>
                <w:color w:val="231F20"/>
                <w:sz w:val="20"/>
                <w:szCs w:val="20"/>
                <w:highlight w:val="lightGray"/>
              </w:rPr>
            </w:pPr>
            <w:r w:rsidRPr="006867E6">
              <w:rPr>
                <w:rFonts w:asciiTheme="minorBidi" w:hAnsiTheme="minorBidi" w:cstheme="minorBidi"/>
                <w:color w:val="231F20"/>
                <w:sz w:val="20"/>
                <w:szCs w:val="20"/>
                <w:highlight w:val="lightGray"/>
                <w:u w:val="single"/>
              </w:rPr>
              <w:t>года 2</w:t>
            </w:r>
            <w:r w:rsidRPr="006867E6">
              <w:rPr>
                <w:rFonts w:asciiTheme="minorBidi" w:eastAsia="Yu Mincho" w:hAnsiTheme="minorBidi" w:cstheme="minorBidi"/>
                <w:color w:val="231F20"/>
                <w:sz w:val="20"/>
                <w:szCs w:val="20"/>
                <w:highlight w:val="lightGray"/>
                <w:vertAlign w:val="superscript"/>
                <w:lang w:val="en-US"/>
              </w:rPr>
              <w:footnoteReference w:id="35"/>
            </w:r>
          </w:p>
        </w:tc>
        <w:tc>
          <w:tcPr>
            <w:tcW w:w="4297" w:type="dxa"/>
          </w:tcPr>
          <w:p w14:paraId="762E79BF" w14:textId="0401DEFF" w:rsidR="00B60CC0" w:rsidRPr="006867E6" w:rsidRDefault="00B60CC0" w:rsidP="00570889">
            <w:pPr>
              <w:keepLines/>
              <w:spacing w:before="60" w:after="60"/>
              <w:rPr>
                <w:rFonts w:asciiTheme="minorBidi" w:eastAsia="Yu Mincho" w:hAnsiTheme="minorBidi" w:cstheme="minorBidi"/>
                <w:color w:val="231F20"/>
                <w:sz w:val="20"/>
                <w:szCs w:val="20"/>
                <w:highlight w:val="lightGray"/>
                <w:u w:val="single"/>
              </w:rPr>
            </w:pP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u w:val="single"/>
              </w:rPr>
              <w:t>Крайний срок для получения Секретариатом заявок на перемещение из Репрезентативного списка нематериального культурного наследия человечества в Список нематериального культурного наследия, нуждающегося в срочной охране. Секретариат регистрирует эти заявки. Заявки направляются Оценочному органу в том же году, когда они были представлены, без проверки полноты досье.</w:t>
            </w:r>
            <w:r w:rsidRPr="006867E6">
              <w:rPr>
                <w:rFonts w:asciiTheme="minorBidi" w:hAnsiTheme="minorBidi" w:cstheme="minorBidi"/>
                <w:color w:val="000000" w:themeColor="text1"/>
                <w:sz w:val="20"/>
                <w:szCs w:val="20"/>
                <w:highlight w:val="lightGray"/>
                <w:vertAlign w:val="superscript"/>
              </w:rPr>
              <w:t xml:space="preserve"> </w:t>
            </w:r>
            <w:r w:rsidRPr="006867E6">
              <w:rPr>
                <w:rFonts w:asciiTheme="minorBidi" w:eastAsia="Yu Mincho" w:hAnsiTheme="minorBidi" w:cstheme="minorBidi"/>
                <w:color w:val="000000" w:themeColor="text1"/>
                <w:sz w:val="20"/>
                <w:szCs w:val="20"/>
                <w:highlight w:val="lightGray"/>
                <w:vertAlign w:val="superscript"/>
                <w:lang w:val="en-US"/>
              </w:rPr>
              <w:footnoteReference w:id="36"/>
            </w:r>
          </w:p>
        </w:tc>
      </w:tr>
      <w:bookmarkEnd w:id="1"/>
    </w:tbl>
    <w:p w14:paraId="045568BD" w14:textId="2B6AE661" w:rsidR="008A1ED4" w:rsidRPr="006867E6" w:rsidRDefault="008A1ED4" w:rsidP="006867E6">
      <w:pPr>
        <w:rPr>
          <w:rFonts w:asciiTheme="minorBidi" w:hAnsiTheme="minorBidi" w:cstheme="minorBidi"/>
          <w:sz w:val="20"/>
          <w:szCs w:val="20"/>
        </w:rPr>
      </w:pPr>
    </w:p>
    <w:sectPr w:rsidR="008A1ED4" w:rsidRPr="006867E6" w:rsidSect="00F46FE2">
      <w:headerReference w:type="default" r:id="rId36"/>
      <w:footnotePr>
        <w:numRestart w:val="eachSect"/>
      </w:footnote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1C9B5" w14:textId="77777777" w:rsidR="007629F5" w:rsidRDefault="007629F5" w:rsidP="00655736">
      <w:r>
        <w:separator/>
      </w:r>
    </w:p>
  </w:endnote>
  <w:endnote w:type="continuationSeparator" w:id="0">
    <w:p w14:paraId="788C85AF" w14:textId="77777777" w:rsidR="007629F5" w:rsidRDefault="007629F5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BEEA5" w14:textId="77777777" w:rsidR="007629F5" w:rsidRDefault="007629F5" w:rsidP="00655736">
      <w:r>
        <w:separator/>
      </w:r>
    </w:p>
  </w:footnote>
  <w:footnote w:type="continuationSeparator" w:id="0">
    <w:p w14:paraId="5634FCB4" w14:textId="77777777" w:rsidR="007629F5" w:rsidRDefault="007629F5" w:rsidP="00655736">
      <w:r>
        <w:continuationSeparator/>
      </w:r>
    </w:p>
  </w:footnote>
  <w:footnote w:id="1">
    <w:p w14:paraId="3D4A9857" w14:textId="77777777" w:rsidR="00585BD6" w:rsidRPr="00574A2A" w:rsidRDefault="00585BD6" w:rsidP="006867E6">
      <w:pPr>
        <w:pStyle w:val="FootnoteText"/>
        <w:ind w:left="284" w:hanging="284"/>
        <w:rPr>
          <w:rFonts w:asciiTheme="minorBidi" w:hAnsiTheme="minorBidi" w:cstheme="minorBidi"/>
          <w:sz w:val="18"/>
          <w:szCs w:val="18"/>
        </w:rPr>
      </w:pPr>
      <w:r w:rsidRPr="00574A2A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574A2A">
        <w:rPr>
          <w:rFonts w:asciiTheme="minorBidi" w:hAnsiTheme="minorBidi" w:cstheme="minorBidi"/>
          <w:sz w:val="18"/>
          <w:szCs w:val="18"/>
        </w:rPr>
        <w:t xml:space="preserve"> </w:t>
      </w:r>
      <w:r w:rsidRPr="00574A2A">
        <w:rPr>
          <w:rFonts w:asciiTheme="minorBidi" w:hAnsiTheme="minorBidi" w:cstheme="minorBidi"/>
          <w:sz w:val="18"/>
          <w:szCs w:val="18"/>
        </w:rPr>
        <w:tab/>
        <w:t xml:space="preserve">Информацию о глобальном анализе см. также на специальной веб-странице: </w:t>
      </w:r>
      <w:hyperlink r:id="rId1" w:history="1">
        <w:r w:rsidRPr="00574A2A">
          <w:rPr>
            <w:rStyle w:val="Hyperlink"/>
            <w:rFonts w:asciiTheme="minorBidi" w:hAnsiTheme="minorBidi" w:cstheme="minorBidi"/>
            <w:sz w:val="18"/>
            <w:szCs w:val="18"/>
          </w:rPr>
          <w:t>https://ich.unesco.org/en/global-reflection-on-the-listing-mechanisms-01164</w:t>
        </w:r>
      </w:hyperlink>
      <w:r w:rsidRPr="00574A2A">
        <w:rPr>
          <w:rFonts w:asciiTheme="minorBidi" w:hAnsiTheme="minorBidi" w:cstheme="minorBidi"/>
          <w:sz w:val="18"/>
          <w:szCs w:val="18"/>
        </w:rPr>
        <w:t>.</w:t>
      </w:r>
    </w:p>
  </w:footnote>
  <w:footnote w:id="2">
    <w:p w14:paraId="71C32854" w14:textId="37B2AE23" w:rsidR="00585BD6" w:rsidRPr="00574A2A" w:rsidRDefault="00585BD6" w:rsidP="006867E6">
      <w:pPr>
        <w:pStyle w:val="FootnoteText"/>
        <w:ind w:left="284" w:hanging="284"/>
        <w:jc w:val="both"/>
        <w:rPr>
          <w:rFonts w:asciiTheme="minorBidi" w:hAnsiTheme="minorBidi" w:cstheme="minorBidi"/>
          <w:sz w:val="18"/>
          <w:szCs w:val="18"/>
        </w:rPr>
      </w:pPr>
      <w:r w:rsidRPr="00D158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574A2A">
        <w:rPr>
          <w:rFonts w:asciiTheme="minorBidi" w:hAnsiTheme="minorBidi" w:cstheme="minorBidi"/>
          <w:sz w:val="18"/>
          <w:szCs w:val="18"/>
        </w:rPr>
        <w:t xml:space="preserve"> </w:t>
      </w:r>
      <w:r w:rsidRPr="00574A2A">
        <w:rPr>
          <w:rFonts w:asciiTheme="minorBidi" w:hAnsiTheme="minorBidi" w:cstheme="minorBidi"/>
          <w:sz w:val="18"/>
          <w:szCs w:val="18"/>
        </w:rPr>
        <w:tab/>
        <w:t xml:space="preserve">Кроме того, на различных сессиях Комитет и Генеральная Ассамблея просили рассмотреть некоторые конкретные вопросы в ходе глобального анализа. За запросами рассмотреть такие темы, как пересмотр критерия R.2 (решение </w:t>
      </w:r>
      <w:hyperlink r:id="rId2" w:history="1">
        <w:r w:rsidRPr="00574A2A">
          <w:rPr>
            <w:rStyle w:val="Hyperlink"/>
            <w:rFonts w:asciiTheme="minorBidi" w:hAnsiTheme="minorBidi" w:cstheme="minorBidi"/>
            <w:sz w:val="18"/>
            <w:szCs w:val="18"/>
          </w:rPr>
          <w:t>13.COM 10</w:t>
        </w:r>
      </w:hyperlink>
      <w:r w:rsidRPr="00574A2A">
        <w:rPr>
          <w:rFonts w:asciiTheme="minorBidi" w:hAnsiTheme="minorBidi" w:cstheme="minorBidi"/>
          <w:sz w:val="18"/>
          <w:szCs w:val="18"/>
        </w:rPr>
        <w:t xml:space="preserve">, решение </w:t>
      </w:r>
      <w:hyperlink r:id="rId3" w:history="1">
        <w:r w:rsidRPr="00574A2A">
          <w:rPr>
            <w:rStyle w:val="Hyperlink"/>
            <w:rFonts w:asciiTheme="minorBidi" w:hAnsiTheme="minorBidi" w:cstheme="minorBidi"/>
            <w:sz w:val="18"/>
            <w:szCs w:val="18"/>
          </w:rPr>
          <w:t>14.</w:t>
        </w:r>
        <w:r w:rsidR="008E06C8" w:rsidRPr="00574A2A">
          <w:rPr>
            <w:rStyle w:val="Hyperlink"/>
            <w:rFonts w:asciiTheme="minorBidi" w:hAnsiTheme="minorBidi" w:cstheme="minorBidi"/>
            <w:sz w:val="18"/>
            <w:szCs w:val="18"/>
          </w:rPr>
          <w:t>COM</w:t>
        </w:r>
        <w:r w:rsidR="008E06C8">
          <w:rPr>
            <w:rStyle w:val="Hyperlink"/>
            <w:rFonts w:asciiTheme="minorBidi" w:hAnsiTheme="minorBidi" w:cstheme="minorBidi"/>
            <w:sz w:val="18"/>
            <w:szCs w:val="18"/>
            <w:lang w:val="fr-FR"/>
          </w:rPr>
          <w:t> </w:t>
        </w:r>
        <w:r w:rsidRPr="00574A2A">
          <w:rPr>
            <w:rStyle w:val="Hyperlink"/>
            <w:rFonts w:asciiTheme="minorBidi" w:hAnsiTheme="minorBidi" w:cstheme="minorBidi"/>
            <w:sz w:val="18"/>
            <w:szCs w:val="18"/>
          </w:rPr>
          <w:t>10</w:t>
        </w:r>
      </w:hyperlink>
      <w:r w:rsidRPr="00574A2A">
        <w:rPr>
          <w:rFonts w:asciiTheme="minorBidi" w:hAnsiTheme="minorBidi" w:cstheme="minorBidi"/>
          <w:sz w:val="18"/>
          <w:szCs w:val="18"/>
        </w:rPr>
        <w:t xml:space="preserve"> и решения</w:t>
      </w:r>
      <w:r w:rsidR="00D64006">
        <w:rPr>
          <w:rFonts w:asciiTheme="minorBidi" w:hAnsiTheme="minorBidi" w:cstheme="minorBidi"/>
          <w:sz w:val="18"/>
          <w:szCs w:val="18"/>
          <w:lang w:val="fr-FR"/>
        </w:rPr>
        <w:t> </w:t>
      </w:r>
      <w:hyperlink r:id="rId4" w:history="1">
        <w:r w:rsidRPr="00574A2A">
          <w:rPr>
            <w:rStyle w:val="Hyperlink"/>
            <w:rFonts w:asciiTheme="minorBidi" w:hAnsiTheme="minorBidi" w:cstheme="minorBidi"/>
            <w:sz w:val="18"/>
            <w:szCs w:val="18"/>
          </w:rPr>
          <w:t>14.COM</w:t>
        </w:r>
        <w:r w:rsidR="00D64006">
          <w:rPr>
            <w:rStyle w:val="Hyperlink"/>
            <w:rFonts w:asciiTheme="minorBidi" w:hAnsiTheme="minorBidi" w:cstheme="minorBidi"/>
            <w:sz w:val="18"/>
            <w:szCs w:val="18"/>
            <w:lang w:val="fr-FR"/>
          </w:rPr>
          <w:t> </w:t>
        </w:r>
        <w:r w:rsidRPr="00574A2A">
          <w:rPr>
            <w:rStyle w:val="Hyperlink"/>
            <w:rFonts w:asciiTheme="minorBidi" w:hAnsiTheme="minorBidi" w:cstheme="minorBidi"/>
            <w:sz w:val="18"/>
            <w:szCs w:val="18"/>
          </w:rPr>
          <w:t>14</w:t>
        </w:r>
      </w:hyperlink>
      <w:r w:rsidRPr="00574A2A">
        <w:rPr>
          <w:rFonts w:asciiTheme="minorBidi" w:hAnsiTheme="minorBidi" w:cstheme="minorBidi"/>
          <w:sz w:val="18"/>
          <w:szCs w:val="18"/>
        </w:rPr>
        <w:t xml:space="preserve">), порядок удаления и переноса элементов (решение </w:t>
      </w:r>
      <w:hyperlink r:id="rId5" w:history="1">
        <w:r w:rsidRPr="00574A2A">
          <w:rPr>
            <w:rStyle w:val="Hyperlink"/>
            <w:rFonts w:asciiTheme="minorBidi" w:hAnsiTheme="minorBidi" w:cstheme="minorBidi"/>
            <w:sz w:val="18"/>
            <w:szCs w:val="18"/>
          </w:rPr>
          <w:t>10.</w:t>
        </w:r>
        <w:r w:rsidR="008E06C8" w:rsidRPr="00574A2A">
          <w:rPr>
            <w:rStyle w:val="Hyperlink"/>
            <w:rFonts w:asciiTheme="minorBidi" w:hAnsiTheme="minorBidi" w:cstheme="minorBidi"/>
            <w:sz w:val="18"/>
            <w:szCs w:val="18"/>
          </w:rPr>
          <w:t>COM</w:t>
        </w:r>
        <w:r w:rsidR="008E06C8">
          <w:rPr>
            <w:rStyle w:val="Hyperlink"/>
            <w:rFonts w:asciiTheme="minorBidi" w:hAnsiTheme="minorBidi" w:cstheme="minorBidi"/>
            <w:sz w:val="18"/>
            <w:szCs w:val="18"/>
            <w:lang w:val="fr-FR"/>
          </w:rPr>
          <w:t> </w:t>
        </w:r>
        <w:r w:rsidRPr="00574A2A">
          <w:rPr>
            <w:rStyle w:val="Hyperlink"/>
            <w:rFonts w:asciiTheme="minorBidi" w:hAnsiTheme="minorBidi" w:cstheme="minorBidi"/>
            <w:sz w:val="18"/>
            <w:szCs w:val="18"/>
          </w:rPr>
          <w:t>19</w:t>
        </w:r>
      </w:hyperlink>
      <w:r w:rsidRPr="00574A2A">
        <w:rPr>
          <w:rFonts w:asciiTheme="minorBidi" w:hAnsiTheme="minorBidi" w:cstheme="minorBidi"/>
          <w:sz w:val="18"/>
          <w:szCs w:val="18"/>
        </w:rPr>
        <w:t xml:space="preserve">, решение </w:t>
      </w:r>
      <w:hyperlink r:id="rId6" w:history="1">
        <w:r w:rsidRPr="00574A2A">
          <w:rPr>
            <w:rStyle w:val="Hyperlink"/>
            <w:rFonts w:asciiTheme="minorBidi" w:hAnsiTheme="minorBidi" w:cstheme="minorBidi"/>
            <w:sz w:val="18"/>
            <w:szCs w:val="18"/>
          </w:rPr>
          <w:t>12.COM</w:t>
        </w:r>
        <w:r w:rsidR="00D64006">
          <w:rPr>
            <w:rStyle w:val="Hyperlink"/>
            <w:rFonts w:asciiTheme="minorBidi" w:hAnsiTheme="minorBidi" w:cstheme="minorBidi"/>
            <w:sz w:val="18"/>
            <w:szCs w:val="18"/>
            <w:lang w:val="fr-FR"/>
          </w:rPr>
          <w:t> </w:t>
        </w:r>
        <w:r w:rsidRPr="00574A2A">
          <w:rPr>
            <w:rStyle w:val="Hyperlink"/>
            <w:rFonts w:asciiTheme="minorBidi" w:hAnsiTheme="minorBidi" w:cstheme="minorBidi"/>
            <w:sz w:val="18"/>
            <w:szCs w:val="18"/>
          </w:rPr>
          <w:t>14</w:t>
        </w:r>
      </w:hyperlink>
      <w:r w:rsidRPr="00574A2A">
        <w:rPr>
          <w:rFonts w:asciiTheme="minorBidi" w:hAnsiTheme="minorBidi" w:cstheme="minorBidi"/>
          <w:sz w:val="18"/>
          <w:szCs w:val="18"/>
        </w:rPr>
        <w:t xml:space="preserve">, решение </w:t>
      </w:r>
      <w:hyperlink r:id="rId7" w:history="1">
        <w:r w:rsidRPr="00574A2A">
          <w:rPr>
            <w:rStyle w:val="Hyperlink"/>
            <w:rFonts w:asciiTheme="minorBidi" w:hAnsiTheme="minorBidi" w:cstheme="minorBidi"/>
            <w:sz w:val="18"/>
            <w:szCs w:val="18"/>
          </w:rPr>
          <w:t>14.COM</w:t>
        </w:r>
        <w:r w:rsidR="00D64006">
          <w:rPr>
            <w:rStyle w:val="Hyperlink"/>
            <w:rFonts w:asciiTheme="minorBidi" w:hAnsiTheme="minorBidi" w:cstheme="minorBidi"/>
            <w:sz w:val="18"/>
            <w:szCs w:val="18"/>
            <w:lang w:val="fr-FR"/>
          </w:rPr>
          <w:t> </w:t>
        </w:r>
        <w:r w:rsidRPr="00574A2A">
          <w:rPr>
            <w:rStyle w:val="Hyperlink"/>
            <w:rFonts w:asciiTheme="minorBidi" w:hAnsiTheme="minorBidi" w:cstheme="minorBidi"/>
            <w:sz w:val="18"/>
            <w:szCs w:val="18"/>
          </w:rPr>
          <w:t>14</w:t>
        </w:r>
      </w:hyperlink>
      <w:r w:rsidRPr="00574A2A">
        <w:rPr>
          <w:rFonts w:asciiTheme="minorBidi" w:hAnsiTheme="minorBidi" w:cstheme="minorBidi"/>
          <w:sz w:val="18"/>
          <w:szCs w:val="18"/>
        </w:rPr>
        <w:t xml:space="preserve"> и постановление </w:t>
      </w:r>
      <w:hyperlink r:id="rId8" w:history="1">
        <w:r w:rsidRPr="00574A2A">
          <w:rPr>
            <w:rStyle w:val="Hyperlink"/>
            <w:rFonts w:asciiTheme="minorBidi" w:hAnsiTheme="minorBidi" w:cstheme="minorBidi"/>
            <w:sz w:val="18"/>
            <w:szCs w:val="18"/>
          </w:rPr>
          <w:t>8.GA 11</w:t>
        </w:r>
      </w:hyperlink>
      <w:r w:rsidRPr="00574A2A">
        <w:rPr>
          <w:rFonts w:asciiTheme="minorBidi" w:hAnsiTheme="minorBidi" w:cstheme="minorBidi"/>
          <w:sz w:val="18"/>
          <w:szCs w:val="18"/>
        </w:rPr>
        <w:t xml:space="preserve">), последующее наблюдение за внесенными элементами (решение </w:t>
      </w:r>
      <w:hyperlink r:id="rId9" w:history="1">
        <w:r w:rsidRPr="00574A2A">
          <w:rPr>
            <w:rStyle w:val="Hyperlink"/>
            <w:rFonts w:asciiTheme="minorBidi" w:hAnsiTheme="minorBidi" w:cstheme="minorBidi"/>
            <w:sz w:val="18"/>
            <w:szCs w:val="18"/>
          </w:rPr>
          <w:t>13.COM</w:t>
        </w:r>
        <w:r w:rsidR="00D64006">
          <w:rPr>
            <w:rStyle w:val="Hyperlink"/>
            <w:rFonts w:asciiTheme="minorBidi" w:hAnsiTheme="minorBidi" w:cstheme="minorBidi"/>
            <w:sz w:val="18"/>
            <w:szCs w:val="18"/>
            <w:lang w:val="fr-FR"/>
          </w:rPr>
          <w:t> </w:t>
        </w:r>
        <w:r w:rsidRPr="00574A2A">
          <w:rPr>
            <w:rStyle w:val="Hyperlink"/>
            <w:rFonts w:asciiTheme="minorBidi" w:hAnsiTheme="minorBidi" w:cstheme="minorBidi"/>
            <w:sz w:val="18"/>
            <w:szCs w:val="18"/>
          </w:rPr>
          <w:t>9</w:t>
        </w:r>
      </w:hyperlink>
      <w:r w:rsidRPr="00574A2A">
        <w:rPr>
          <w:rFonts w:asciiTheme="minorBidi" w:hAnsiTheme="minorBidi" w:cstheme="minorBidi"/>
          <w:sz w:val="18"/>
          <w:szCs w:val="18"/>
        </w:rPr>
        <w:t xml:space="preserve"> и решения</w:t>
      </w:r>
      <w:hyperlink r:id="rId10" w:history="1">
        <w:r w:rsidRPr="00574A2A">
          <w:rPr>
            <w:rStyle w:val="Hyperlink"/>
            <w:rFonts w:asciiTheme="minorBidi" w:hAnsiTheme="minorBidi" w:cstheme="minorBidi"/>
            <w:sz w:val="18"/>
            <w:szCs w:val="18"/>
            <w:u w:val="none"/>
          </w:rPr>
          <w:t xml:space="preserve"> </w:t>
        </w:r>
        <w:r w:rsidRPr="00574A2A">
          <w:rPr>
            <w:rStyle w:val="Hyperlink"/>
            <w:rFonts w:asciiTheme="minorBidi" w:hAnsiTheme="minorBidi" w:cstheme="minorBidi"/>
            <w:sz w:val="18"/>
            <w:szCs w:val="18"/>
          </w:rPr>
          <w:t>15.COM</w:t>
        </w:r>
        <w:r w:rsidR="00D64006">
          <w:rPr>
            <w:rStyle w:val="Hyperlink"/>
            <w:rFonts w:asciiTheme="minorBidi" w:hAnsiTheme="minorBidi" w:cstheme="minorBidi"/>
            <w:sz w:val="18"/>
            <w:szCs w:val="18"/>
            <w:lang w:val="fr-FR"/>
          </w:rPr>
          <w:t> </w:t>
        </w:r>
        <w:r w:rsidRPr="00574A2A">
          <w:rPr>
            <w:rStyle w:val="Hyperlink"/>
            <w:rFonts w:asciiTheme="minorBidi" w:hAnsiTheme="minorBidi" w:cstheme="minorBidi"/>
            <w:sz w:val="18"/>
            <w:szCs w:val="18"/>
          </w:rPr>
          <w:t>7</w:t>
        </w:r>
      </w:hyperlink>
      <w:r w:rsidRPr="00574A2A">
        <w:rPr>
          <w:rFonts w:asciiTheme="minorBidi" w:hAnsiTheme="minorBidi" w:cstheme="minorBidi"/>
          <w:sz w:val="18"/>
          <w:szCs w:val="18"/>
        </w:rPr>
        <w:t xml:space="preserve">), впоследствии были направлены просьбы рассмотреть вопросы, связанные с ежегодными предельными значениями выдвижения предложений (постановление </w:t>
      </w:r>
      <w:hyperlink r:id="rId11" w:history="1">
        <w:r w:rsidRPr="00574A2A">
          <w:rPr>
            <w:rStyle w:val="Hyperlink"/>
            <w:rFonts w:asciiTheme="minorBidi" w:hAnsiTheme="minorBidi" w:cstheme="minorBidi"/>
            <w:sz w:val="18"/>
            <w:szCs w:val="18"/>
          </w:rPr>
          <w:t>8.GA 11</w:t>
        </w:r>
      </w:hyperlink>
      <w:r w:rsidRPr="00574A2A">
        <w:rPr>
          <w:rFonts w:asciiTheme="minorBidi" w:hAnsiTheme="minorBidi" w:cstheme="minorBidi"/>
          <w:sz w:val="18"/>
          <w:szCs w:val="18"/>
        </w:rPr>
        <w:t xml:space="preserve">), подготовкой предложений из нескольких государств (постановление </w:t>
      </w:r>
      <w:hyperlink r:id="rId12" w:history="1">
        <w:r w:rsidRPr="00574A2A">
          <w:rPr>
            <w:rStyle w:val="Hyperlink"/>
            <w:rFonts w:asciiTheme="minorBidi" w:hAnsiTheme="minorBidi" w:cstheme="minorBidi"/>
            <w:sz w:val="18"/>
            <w:szCs w:val="18"/>
          </w:rPr>
          <w:t>15.</w:t>
        </w:r>
        <w:r w:rsidR="008E06C8" w:rsidRPr="00574A2A">
          <w:rPr>
            <w:rStyle w:val="Hyperlink"/>
            <w:rFonts w:asciiTheme="minorBidi" w:hAnsiTheme="minorBidi" w:cstheme="minorBidi"/>
            <w:sz w:val="18"/>
            <w:szCs w:val="18"/>
          </w:rPr>
          <w:t>COM</w:t>
        </w:r>
        <w:r w:rsidR="008E06C8">
          <w:rPr>
            <w:rStyle w:val="Hyperlink"/>
            <w:rFonts w:asciiTheme="minorBidi" w:hAnsiTheme="minorBidi" w:cstheme="minorBidi"/>
            <w:sz w:val="18"/>
            <w:szCs w:val="18"/>
            <w:lang w:val="fr-FR"/>
          </w:rPr>
          <w:t> </w:t>
        </w:r>
        <w:r w:rsidRPr="00574A2A">
          <w:rPr>
            <w:rStyle w:val="Hyperlink"/>
            <w:rFonts w:asciiTheme="minorBidi" w:hAnsiTheme="minorBidi" w:cstheme="minorBidi"/>
            <w:sz w:val="18"/>
            <w:szCs w:val="18"/>
          </w:rPr>
          <w:t>8</w:t>
        </w:r>
      </w:hyperlink>
      <w:r w:rsidRPr="00574A2A">
        <w:rPr>
          <w:rFonts w:asciiTheme="minorBidi" w:hAnsiTheme="minorBidi" w:cstheme="minorBidi"/>
          <w:sz w:val="18"/>
          <w:szCs w:val="18"/>
        </w:rPr>
        <w:t xml:space="preserve">), а также порядком продления их полномочий (постановление </w:t>
      </w:r>
      <w:hyperlink r:id="rId13" w:history="1">
        <w:r w:rsidRPr="00574A2A">
          <w:rPr>
            <w:rStyle w:val="Hyperlink"/>
            <w:rFonts w:asciiTheme="minorBidi" w:hAnsiTheme="minorBidi" w:cstheme="minorBidi"/>
            <w:sz w:val="18"/>
            <w:szCs w:val="18"/>
          </w:rPr>
          <w:t>14.COM</w:t>
        </w:r>
        <w:r w:rsidR="00D64006">
          <w:rPr>
            <w:rStyle w:val="Hyperlink"/>
            <w:rFonts w:asciiTheme="minorBidi" w:hAnsiTheme="minorBidi" w:cstheme="minorBidi"/>
            <w:sz w:val="18"/>
            <w:szCs w:val="18"/>
            <w:lang w:val="fr-FR"/>
          </w:rPr>
          <w:t> </w:t>
        </w:r>
        <w:r w:rsidRPr="00574A2A">
          <w:rPr>
            <w:rStyle w:val="Hyperlink"/>
            <w:rFonts w:asciiTheme="minorBidi" w:hAnsiTheme="minorBidi" w:cstheme="minorBidi"/>
            <w:sz w:val="18"/>
            <w:szCs w:val="18"/>
          </w:rPr>
          <w:t>14</w:t>
        </w:r>
      </w:hyperlink>
      <w:r w:rsidRPr="00574A2A">
        <w:rPr>
          <w:rFonts w:asciiTheme="minorBidi" w:hAnsiTheme="minorBidi" w:cstheme="minorBidi"/>
          <w:sz w:val="18"/>
          <w:szCs w:val="18"/>
        </w:rPr>
        <w:t xml:space="preserve">), и вопросы того, как сохранение живого наследия способствует устойчивому развитию через механизмы включения (решение </w:t>
      </w:r>
      <w:hyperlink r:id="rId14" w:history="1">
        <w:r w:rsidRPr="00574A2A">
          <w:rPr>
            <w:rStyle w:val="Hyperlink"/>
            <w:rFonts w:asciiTheme="minorBidi" w:hAnsiTheme="minorBidi" w:cstheme="minorBidi"/>
            <w:sz w:val="18"/>
            <w:szCs w:val="18"/>
          </w:rPr>
          <w:t>15.</w:t>
        </w:r>
        <w:r w:rsidR="008E06C8" w:rsidRPr="00574A2A">
          <w:rPr>
            <w:rStyle w:val="Hyperlink"/>
            <w:rFonts w:asciiTheme="minorBidi" w:hAnsiTheme="minorBidi" w:cstheme="minorBidi"/>
            <w:sz w:val="18"/>
            <w:szCs w:val="18"/>
          </w:rPr>
          <w:t>COM</w:t>
        </w:r>
        <w:r w:rsidR="008E06C8">
          <w:rPr>
            <w:rStyle w:val="Hyperlink"/>
            <w:rFonts w:asciiTheme="minorBidi" w:hAnsiTheme="minorBidi" w:cstheme="minorBidi"/>
            <w:sz w:val="18"/>
            <w:szCs w:val="18"/>
            <w:lang w:val="fr-FR"/>
          </w:rPr>
          <w:t> </w:t>
        </w:r>
        <w:r w:rsidRPr="00574A2A">
          <w:rPr>
            <w:rStyle w:val="Hyperlink"/>
            <w:rFonts w:asciiTheme="minorBidi" w:hAnsiTheme="minorBidi" w:cstheme="minorBidi"/>
            <w:sz w:val="18"/>
            <w:szCs w:val="18"/>
          </w:rPr>
          <w:t>8</w:t>
        </w:r>
      </w:hyperlink>
      <w:r w:rsidRPr="00574A2A">
        <w:rPr>
          <w:rFonts w:asciiTheme="minorBidi" w:hAnsiTheme="minorBidi" w:cstheme="minorBidi"/>
          <w:sz w:val="18"/>
          <w:szCs w:val="18"/>
        </w:rPr>
        <w:t>).</w:t>
      </w:r>
    </w:p>
  </w:footnote>
  <w:footnote w:id="3">
    <w:p w14:paraId="2A278F5F" w14:textId="22CB7D2B" w:rsidR="00245DE5" w:rsidRPr="00BD7AE0" w:rsidRDefault="00245DE5" w:rsidP="00245DE5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</w:t>
      </w:r>
      <w:r w:rsidR="00404FF8" w:rsidRPr="00BD7AE0">
        <w:rPr>
          <w:rFonts w:asciiTheme="minorBidi" w:hAnsiTheme="minorBidi" w:cstheme="minorBidi"/>
          <w:sz w:val="18"/>
          <w:szCs w:val="18"/>
        </w:rPr>
        <w:t xml:space="preserve">Части I и части II, </w:t>
      </w:r>
      <w:r w:rsidRPr="00BD7AE0">
        <w:rPr>
          <w:rFonts w:asciiTheme="minorBidi" w:hAnsiTheme="minorBidi" w:cstheme="minorBidi"/>
          <w:sz w:val="18"/>
          <w:szCs w:val="18"/>
        </w:rPr>
        <w:t>Рекомендация 3</w:t>
      </w:r>
    </w:p>
  </w:footnote>
  <w:footnote w:id="4">
    <w:p w14:paraId="5041E9CA" w14:textId="77777777" w:rsidR="00245DE5" w:rsidRPr="00BD7AE0" w:rsidRDefault="00245DE5" w:rsidP="00245DE5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См. новые пункты 16.3 и 16.4 по получению согласия сообществ.</w:t>
      </w:r>
    </w:p>
  </w:footnote>
  <w:footnote w:id="5">
    <w:p w14:paraId="1D2E6CE8" w14:textId="738D9A4F" w:rsidR="00245DE5" w:rsidRPr="00BD7AE0" w:rsidRDefault="00245DE5" w:rsidP="00245DE5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</w:t>
      </w:r>
      <w:r w:rsidR="00404FF8" w:rsidRPr="00BD7AE0">
        <w:rPr>
          <w:rFonts w:asciiTheme="minorBidi" w:hAnsiTheme="minorBidi" w:cstheme="minorBidi"/>
          <w:sz w:val="18"/>
          <w:szCs w:val="18"/>
        </w:rPr>
        <w:t xml:space="preserve">Части I и части II, </w:t>
      </w:r>
      <w:r w:rsidRPr="00BD7AE0">
        <w:rPr>
          <w:rFonts w:asciiTheme="minorBidi" w:hAnsiTheme="minorBidi" w:cstheme="minorBidi"/>
          <w:sz w:val="18"/>
          <w:szCs w:val="18"/>
        </w:rPr>
        <w:t>Рекомендация 7, шаг 0, пункт 1</w:t>
      </w:r>
    </w:p>
  </w:footnote>
  <w:footnote w:id="6">
    <w:p w14:paraId="6792DC81" w14:textId="1A65B1AD" w:rsidR="001359E1" w:rsidRPr="00BD7AE0" w:rsidRDefault="001359E1" w:rsidP="001359E1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</w:t>
      </w:r>
      <w:r w:rsidR="00404FF8" w:rsidRPr="00BD7AE0">
        <w:rPr>
          <w:rFonts w:asciiTheme="minorBidi" w:hAnsiTheme="minorBidi" w:cstheme="minorBidi"/>
          <w:sz w:val="18"/>
          <w:szCs w:val="18"/>
        </w:rPr>
        <w:t xml:space="preserve">Части I и части II, </w:t>
      </w:r>
      <w:r w:rsidRPr="00BD7AE0">
        <w:rPr>
          <w:rFonts w:asciiTheme="minorBidi" w:hAnsiTheme="minorBidi" w:cstheme="minorBidi"/>
          <w:sz w:val="18"/>
          <w:szCs w:val="18"/>
        </w:rPr>
        <w:t>Рекомендация 7, шаг 1.a и b</w:t>
      </w:r>
    </w:p>
  </w:footnote>
  <w:footnote w:id="7">
    <w:p w14:paraId="61016F0A" w14:textId="4A5DFFC1" w:rsidR="001359E1" w:rsidRPr="00BD7AE0" w:rsidRDefault="001359E1" w:rsidP="001359E1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</w:t>
      </w:r>
      <w:r w:rsidR="00405149" w:rsidRPr="00BD7AE0">
        <w:rPr>
          <w:rFonts w:asciiTheme="minorBidi" w:hAnsiTheme="minorBidi" w:cstheme="minorBidi"/>
          <w:sz w:val="18"/>
          <w:szCs w:val="18"/>
        </w:rPr>
        <w:t xml:space="preserve">Части I и части II, </w:t>
      </w:r>
      <w:r w:rsidRPr="00BD7AE0">
        <w:rPr>
          <w:rFonts w:asciiTheme="minorBidi" w:hAnsiTheme="minorBidi" w:cstheme="minorBidi"/>
          <w:sz w:val="18"/>
          <w:szCs w:val="18"/>
        </w:rPr>
        <w:t>Рекомендация 7, шаг 1.a и b</w:t>
      </w:r>
    </w:p>
  </w:footnote>
  <w:footnote w:id="8">
    <w:p w14:paraId="2FF3791A" w14:textId="3960EB25" w:rsidR="001359E1" w:rsidRPr="00BD7AE0" w:rsidRDefault="001359E1" w:rsidP="001359E1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</w:t>
      </w:r>
      <w:r w:rsidR="00DD49C8" w:rsidRPr="00BD7AE0">
        <w:rPr>
          <w:rFonts w:asciiTheme="minorBidi" w:hAnsiTheme="minorBidi" w:cstheme="minorBidi"/>
          <w:sz w:val="18"/>
          <w:szCs w:val="18"/>
        </w:rPr>
        <w:t xml:space="preserve">Части I и части II, </w:t>
      </w:r>
      <w:r w:rsidRPr="00BD7AE0">
        <w:rPr>
          <w:rFonts w:asciiTheme="minorBidi" w:hAnsiTheme="minorBidi" w:cstheme="minorBidi"/>
          <w:sz w:val="18"/>
          <w:szCs w:val="18"/>
        </w:rPr>
        <w:t>Рекомендация 8</w:t>
      </w:r>
    </w:p>
  </w:footnote>
  <w:footnote w:id="9">
    <w:p w14:paraId="10B275B6" w14:textId="5629C81A" w:rsidR="001359E1" w:rsidRPr="00BD7AE0" w:rsidRDefault="001359E1" w:rsidP="001359E1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</w:t>
      </w:r>
      <w:r w:rsidR="00DD49C8" w:rsidRPr="00BD7AE0">
        <w:rPr>
          <w:rFonts w:asciiTheme="minorBidi" w:hAnsiTheme="minorBidi" w:cstheme="minorBidi"/>
          <w:sz w:val="18"/>
          <w:szCs w:val="18"/>
        </w:rPr>
        <w:t xml:space="preserve">Части I и части II, </w:t>
      </w:r>
      <w:r w:rsidRPr="00BD7AE0">
        <w:rPr>
          <w:rFonts w:asciiTheme="minorBidi" w:hAnsiTheme="minorBidi" w:cstheme="minorBidi"/>
          <w:sz w:val="18"/>
          <w:szCs w:val="18"/>
        </w:rPr>
        <w:t>Рекомендация 7, шаг 1.a и b</w:t>
      </w:r>
    </w:p>
  </w:footnote>
  <w:footnote w:id="10">
    <w:p w14:paraId="17E8D01A" w14:textId="1BEE693C" w:rsidR="001359E1" w:rsidRPr="00BD7AE0" w:rsidRDefault="001359E1" w:rsidP="001359E1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</w:t>
      </w:r>
      <w:r w:rsidR="00DD49C8" w:rsidRPr="00BD7AE0">
        <w:rPr>
          <w:rFonts w:asciiTheme="minorBidi" w:hAnsiTheme="minorBidi" w:cstheme="minorBidi"/>
          <w:sz w:val="18"/>
          <w:szCs w:val="18"/>
        </w:rPr>
        <w:t xml:space="preserve">Части I и части II, </w:t>
      </w:r>
      <w:r w:rsidRPr="00BD7AE0">
        <w:rPr>
          <w:rFonts w:asciiTheme="minorBidi" w:hAnsiTheme="minorBidi" w:cstheme="minorBidi"/>
          <w:sz w:val="18"/>
          <w:szCs w:val="18"/>
        </w:rPr>
        <w:t>Рекомендация 5, шаг 1, пункты 5 и 9</w:t>
      </w:r>
    </w:p>
  </w:footnote>
  <w:footnote w:id="11">
    <w:p w14:paraId="25BB689F" w14:textId="2447E9D5" w:rsidR="001359E1" w:rsidRPr="00BD7AE0" w:rsidRDefault="001359E1" w:rsidP="001359E1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</w:t>
      </w:r>
      <w:r w:rsidR="009946F4" w:rsidRPr="00BD7AE0">
        <w:rPr>
          <w:rFonts w:asciiTheme="minorBidi" w:hAnsiTheme="minorBidi" w:cstheme="minorBidi"/>
          <w:sz w:val="18"/>
          <w:szCs w:val="18"/>
        </w:rPr>
        <w:t xml:space="preserve">Части I и части II, </w:t>
      </w:r>
      <w:r w:rsidRPr="00BD7AE0">
        <w:rPr>
          <w:rFonts w:asciiTheme="minorBidi" w:hAnsiTheme="minorBidi" w:cstheme="minorBidi"/>
          <w:sz w:val="18"/>
          <w:szCs w:val="18"/>
        </w:rPr>
        <w:t>Рекомендация 5, шаг 0, пункт 1</w:t>
      </w:r>
    </w:p>
  </w:footnote>
  <w:footnote w:id="12">
    <w:p w14:paraId="4461667F" w14:textId="75E24B58" w:rsidR="001359E1" w:rsidRPr="00BD7AE0" w:rsidRDefault="001359E1" w:rsidP="001359E1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</w:t>
      </w:r>
      <w:r w:rsidR="009946F4" w:rsidRPr="00BD7AE0">
        <w:rPr>
          <w:rFonts w:asciiTheme="minorBidi" w:hAnsiTheme="minorBidi" w:cstheme="minorBidi"/>
          <w:sz w:val="18"/>
          <w:szCs w:val="18"/>
        </w:rPr>
        <w:t xml:space="preserve">Части I и части II, </w:t>
      </w:r>
      <w:r w:rsidRPr="00BD7AE0">
        <w:rPr>
          <w:rFonts w:asciiTheme="minorBidi" w:hAnsiTheme="minorBidi" w:cstheme="minorBidi"/>
          <w:sz w:val="18"/>
          <w:szCs w:val="18"/>
        </w:rPr>
        <w:t>Рекомендация 5, шаг 0, пункт 1</w:t>
      </w:r>
    </w:p>
  </w:footnote>
  <w:footnote w:id="13">
    <w:p w14:paraId="230CE176" w14:textId="05716D4D" w:rsidR="001359E1" w:rsidRPr="00BD7AE0" w:rsidRDefault="001359E1" w:rsidP="001359E1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</w:t>
      </w:r>
      <w:r w:rsidR="009946F4" w:rsidRPr="00BD7AE0">
        <w:rPr>
          <w:rFonts w:asciiTheme="minorBidi" w:hAnsiTheme="minorBidi" w:cstheme="minorBidi"/>
          <w:sz w:val="18"/>
          <w:szCs w:val="18"/>
        </w:rPr>
        <w:t xml:space="preserve">Части I и части II, </w:t>
      </w:r>
      <w:r w:rsidRPr="00BD7AE0">
        <w:rPr>
          <w:rFonts w:asciiTheme="minorBidi" w:hAnsiTheme="minorBidi" w:cstheme="minorBidi"/>
          <w:sz w:val="18"/>
          <w:szCs w:val="18"/>
        </w:rPr>
        <w:t>Рекомендация 7, шаг 0, пункт 2</w:t>
      </w:r>
    </w:p>
  </w:footnote>
  <w:footnote w:id="14">
    <w:p w14:paraId="31D2811C" w14:textId="16D741CC" w:rsidR="005506A0" w:rsidRPr="00BD7AE0" w:rsidRDefault="005506A0" w:rsidP="005506A0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Рекомендация 2, часть III</w:t>
      </w:r>
    </w:p>
  </w:footnote>
  <w:footnote w:id="15">
    <w:p w14:paraId="7BB3E5CF" w14:textId="09FB0A56" w:rsidR="00761824" w:rsidRPr="00BD7AE0" w:rsidRDefault="00761824" w:rsidP="00761824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Рекомендация 7, часть III</w:t>
      </w:r>
    </w:p>
  </w:footnote>
  <w:footnote w:id="16">
    <w:p w14:paraId="22E1D4F3" w14:textId="4B5BA5C3" w:rsidR="00761824" w:rsidRPr="00BD7AE0" w:rsidRDefault="00761824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Рекомендация 2, часть </w:t>
      </w:r>
      <w:r w:rsidRPr="00BD7AE0">
        <w:rPr>
          <w:rFonts w:asciiTheme="minorBidi" w:hAnsiTheme="minorBidi" w:cstheme="minorBidi"/>
          <w:sz w:val="18"/>
          <w:szCs w:val="18"/>
          <w:lang w:val="fr-FR"/>
        </w:rPr>
        <w:t>III</w:t>
      </w:r>
    </w:p>
  </w:footnote>
  <w:footnote w:id="17">
    <w:p w14:paraId="05AB1ED9" w14:textId="6B7AE009" w:rsidR="00F8592B" w:rsidRPr="00BD7AE0" w:rsidRDefault="00F8592B" w:rsidP="00F8592B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Рекомендация 1, часть </w:t>
      </w:r>
      <w:r w:rsidRPr="00BD7AE0">
        <w:rPr>
          <w:rFonts w:asciiTheme="minorBidi" w:hAnsiTheme="minorBidi" w:cstheme="minorBidi"/>
          <w:sz w:val="18"/>
          <w:szCs w:val="18"/>
          <w:lang w:val="fr-FR"/>
        </w:rPr>
        <w:t>III</w:t>
      </w:r>
    </w:p>
  </w:footnote>
  <w:footnote w:id="18">
    <w:p w14:paraId="0A8447DD" w14:textId="63F1BAE5" w:rsidR="00F8592B" w:rsidRPr="00BD7AE0" w:rsidRDefault="00F8592B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</w:t>
      </w:r>
      <w:r w:rsidR="00761824" w:rsidRPr="00BD7AE0">
        <w:rPr>
          <w:rFonts w:asciiTheme="minorBidi" w:hAnsiTheme="minorBidi" w:cstheme="minorBidi"/>
          <w:sz w:val="18"/>
          <w:szCs w:val="18"/>
        </w:rPr>
        <w:t>Рекомендация 2, часть III</w:t>
      </w:r>
    </w:p>
  </w:footnote>
  <w:footnote w:id="19">
    <w:p w14:paraId="3833DE97" w14:textId="4B9BC652" w:rsidR="00F8592B" w:rsidRPr="00BD7AE0" w:rsidRDefault="00F8592B" w:rsidP="00F8592B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Рекомендация 4, часть </w:t>
      </w:r>
      <w:r w:rsidRPr="00BD7AE0">
        <w:rPr>
          <w:rFonts w:asciiTheme="minorBidi" w:hAnsiTheme="minorBidi" w:cstheme="minorBidi"/>
          <w:sz w:val="18"/>
          <w:szCs w:val="18"/>
          <w:lang w:val="fr-FR"/>
        </w:rPr>
        <w:t>III</w:t>
      </w:r>
    </w:p>
  </w:footnote>
  <w:footnote w:id="20">
    <w:p w14:paraId="48C4C27D" w14:textId="165F92F3" w:rsidR="00E900E8" w:rsidRPr="00BD7AE0" w:rsidRDefault="00E900E8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Рекомендация 2, часть </w:t>
      </w:r>
      <w:r w:rsidRPr="00BD7AE0">
        <w:rPr>
          <w:rFonts w:asciiTheme="minorBidi" w:hAnsiTheme="minorBidi" w:cstheme="minorBidi"/>
          <w:sz w:val="18"/>
          <w:szCs w:val="18"/>
          <w:lang w:val="en-US"/>
        </w:rPr>
        <w:t>III</w:t>
      </w:r>
    </w:p>
  </w:footnote>
  <w:footnote w:id="21">
    <w:p w14:paraId="5D7AC406" w14:textId="32141D8B" w:rsidR="00981D4B" w:rsidRPr="00BD7AE0" w:rsidRDefault="00981D4B" w:rsidP="00534137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</w:t>
      </w:r>
      <w:r w:rsidR="009946F4" w:rsidRPr="00BD7AE0">
        <w:rPr>
          <w:rFonts w:asciiTheme="minorBidi" w:hAnsiTheme="minorBidi" w:cstheme="minorBidi"/>
          <w:sz w:val="18"/>
          <w:szCs w:val="18"/>
        </w:rPr>
        <w:t xml:space="preserve">Части I и части II, </w:t>
      </w:r>
      <w:r w:rsidRPr="00BD7AE0">
        <w:rPr>
          <w:rFonts w:asciiTheme="minorBidi" w:hAnsiTheme="minorBidi" w:cstheme="minorBidi"/>
          <w:sz w:val="18"/>
          <w:szCs w:val="18"/>
        </w:rPr>
        <w:t>Рекомендация 5, шаг 1, пункт 1</w:t>
      </w:r>
    </w:p>
  </w:footnote>
  <w:footnote w:id="22">
    <w:p w14:paraId="71C59003" w14:textId="48BE2A99" w:rsidR="00981D4B" w:rsidRPr="00BD7AE0" w:rsidRDefault="00981D4B" w:rsidP="00534137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</w:t>
      </w:r>
      <w:r w:rsidR="009946F4" w:rsidRPr="00BD7AE0">
        <w:rPr>
          <w:rFonts w:asciiTheme="minorBidi" w:hAnsiTheme="minorBidi" w:cstheme="minorBidi"/>
          <w:sz w:val="18"/>
          <w:szCs w:val="18"/>
        </w:rPr>
        <w:t xml:space="preserve">Части I и части II, </w:t>
      </w:r>
      <w:r w:rsidRPr="00BD7AE0">
        <w:rPr>
          <w:rFonts w:asciiTheme="minorBidi" w:hAnsiTheme="minorBidi" w:cstheme="minorBidi"/>
          <w:sz w:val="18"/>
          <w:szCs w:val="18"/>
        </w:rPr>
        <w:t>Рекомендация 5, шаг 0, пункт 2</w:t>
      </w:r>
    </w:p>
  </w:footnote>
  <w:footnote w:id="23">
    <w:p w14:paraId="65A0F109" w14:textId="427505E6" w:rsidR="00981D4B" w:rsidRPr="00BD7AE0" w:rsidRDefault="00981D4B" w:rsidP="002C72FA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См. новый пункт 40.1</w:t>
      </w:r>
    </w:p>
  </w:footnote>
  <w:footnote w:id="24">
    <w:p w14:paraId="3D528BB8" w14:textId="1E702BFD" w:rsidR="00981D4B" w:rsidRPr="00BD7AE0" w:rsidRDefault="00981D4B" w:rsidP="002C72FA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</w:t>
      </w:r>
      <w:r w:rsidR="009946F4" w:rsidRPr="00BD7AE0">
        <w:rPr>
          <w:rFonts w:asciiTheme="minorBidi" w:hAnsiTheme="minorBidi" w:cstheme="minorBidi"/>
          <w:sz w:val="18"/>
          <w:szCs w:val="18"/>
        </w:rPr>
        <w:t xml:space="preserve">Части I и части II, </w:t>
      </w:r>
      <w:r w:rsidRPr="00BD7AE0">
        <w:rPr>
          <w:rFonts w:asciiTheme="minorBidi" w:hAnsiTheme="minorBidi" w:cstheme="minorBidi"/>
          <w:sz w:val="18"/>
          <w:szCs w:val="18"/>
        </w:rPr>
        <w:t>Рекомендация 5, этап 2</w:t>
      </w:r>
    </w:p>
  </w:footnote>
  <w:footnote w:id="25">
    <w:p w14:paraId="2A7921BB" w14:textId="50543DCF" w:rsidR="00981D4B" w:rsidRPr="00BD7AE0" w:rsidRDefault="00981D4B" w:rsidP="002C72FA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</w:t>
      </w:r>
      <w:r w:rsidR="009946F4" w:rsidRPr="00BD7AE0">
        <w:rPr>
          <w:rFonts w:asciiTheme="minorBidi" w:hAnsiTheme="minorBidi" w:cstheme="minorBidi"/>
          <w:sz w:val="18"/>
          <w:szCs w:val="18"/>
        </w:rPr>
        <w:t xml:space="preserve">Части I и части II, </w:t>
      </w:r>
      <w:r w:rsidRPr="00BD7AE0">
        <w:rPr>
          <w:rFonts w:asciiTheme="minorBidi" w:hAnsiTheme="minorBidi" w:cstheme="minorBidi"/>
          <w:sz w:val="18"/>
          <w:szCs w:val="18"/>
        </w:rPr>
        <w:t>Рекомендация 5, шаг 1, пункт 2</w:t>
      </w:r>
    </w:p>
  </w:footnote>
  <w:footnote w:id="26">
    <w:p w14:paraId="3358183F" w14:textId="4AD4112E" w:rsidR="00981D4B" w:rsidRPr="00BD7AE0" w:rsidRDefault="00981D4B" w:rsidP="002C72FA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</w:t>
      </w:r>
      <w:r w:rsidR="009946F4" w:rsidRPr="00BD7AE0">
        <w:rPr>
          <w:rFonts w:asciiTheme="minorBidi" w:hAnsiTheme="minorBidi" w:cstheme="minorBidi"/>
          <w:sz w:val="18"/>
          <w:szCs w:val="18"/>
        </w:rPr>
        <w:t xml:space="preserve">Части I и части II, </w:t>
      </w:r>
      <w:r w:rsidRPr="00BD7AE0">
        <w:rPr>
          <w:rFonts w:asciiTheme="minorBidi" w:hAnsiTheme="minorBidi" w:cstheme="minorBidi"/>
          <w:sz w:val="18"/>
          <w:szCs w:val="18"/>
        </w:rPr>
        <w:t>Рекомендация 5, шаг 2</w:t>
      </w:r>
    </w:p>
  </w:footnote>
  <w:footnote w:id="27">
    <w:p w14:paraId="375229CE" w14:textId="44A3E987" w:rsidR="00981D4B" w:rsidRPr="00BD7AE0" w:rsidRDefault="00981D4B" w:rsidP="00C55DD3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</w:t>
      </w:r>
      <w:r w:rsidR="009946F4" w:rsidRPr="00BD7AE0">
        <w:rPr>
          <w:rFonts w:asciiTheme="minorBidi" w:hAnsiTheme="minorBidi" w:cstheme="minorBidi"/>
          <w:sz w:val="18"/>
          <w:szCs w:val="18"/>
        </w:rPr>
        <w:t xml:space="preserve">Части I и части II, </w:t>
      </w:r>
      <w:r w:rsidRPr="00BD7AE0">
        <w:rPr>
          <w:rFonts w:asciiTheme="minorBidi" w:hAnsiTheme="minorBidi" w:cstheme="minorBidi"/>
          <w:sz w:val="18"/>
          <w:szCs w:val="18"/>
        </w:rPr>
        <w:t>Рекомендация 5, шаг 2, последний пункт</w:t>
      </w:r>
    </w:p>
  </w:footnote>
  <w:footnote w:id="28">
    <w:p w14:paraId="6E5DD6E2" w14:textId="5F42B562" w:rsidR="00981D4B" w:rsidRPr="00BD7AE0" w:rsidRDefault="00981D4B" w:rsidP="00C55DD3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</w:t>
      </w:r>
      <w:r w:rsidR="009946F4" w:rsidRPr="00BD7AE0">
        <w:rPr>
          <w:rFonts w:asciiTheme="minorBidi" w:hAnsiTheme="minorBidi" w:cstheme="minorBidi"/>
          <w:sz w:val="18"/>
          <w:szCs w:val="18"/>
        </w:rPr>
        <w:t xml:space="preserve">Части I и части II, </w:t>
      </w:r>
      <w:r w:rsidRPr="00BD7AE0">
        <w:rPr>
          <w:rFonts w:asciiTheme="minorBidi" w:hAnsiTheme="minorBidi" w:cstheme="minorBidi"/>
          <w:sz w:val="18"/>
          <w:szCs w:val="18"/>
        </w:rPr>
        <w:t>Рекомендация 6, шаг 6</w:t>
      </w:r>
    </w:p>
  </w:footnote>
  <w:footnote w:id="29">
    <w:p w14:paraId="422682B6" w14:textId="1D356C89" w:rsidR="00981D4B" w:rsidRPr="00BD7AE0" w:rsidRDefault="00981D4B" w:rsidP="00C55DD3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</w:t>
      </w:r>
      <w:r w:rsidR="009946F4" w:rsidRPr="00BD7AE0">
        <w:rPr>
          <w:rFonts w:asciiTheme="minorBidi" w:hAnsiTheme="minorBidi" w:cstheme="minorBidi"/>
          <w:sz w:val="18"/>
          <w:szCs w:val="18"/>
        </w:rPr>
        <w:t xml:space="preserve">Части I и части II, </w:t>
      </w:r>
      <w:r w:rsidRPr="00BD7AE0">
        <w:rPr>
          <w:rFonts w:asciiTheme="minorBidi" w:hAnsiTheme="minorBidi" w:cstheme="minorBidi"/>
          <w:sz w:val="18"/>
          <w:szCs w:val="18"/>
        </w:rPr>
        <w:t>Рекомендация 6, шаг 1</w:t>
      </w:r>
    </w:p>
  </w:footnote>
  <w:footnote w:id="30">
    <w:p w14:paraId="29FC17F8" w14:textId="04497C0D" w:rsidR="00981D4B" w:rsidRPr="00BD7AE0" w:rsidRDefault="00981D4B" w:rsidP="00C61485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</w:t>
      </w:r>
      <w:r w:rsidR="009946F4" w:rsidRPr="00BD7AE0">
        <w:rPr>
          <w:rFonts w:asciiTheme="minorBidi" w:hAnsiTheme="minorBidi" w:cstheme="minorBidi"/>
          <w:sz w:val="18"/>
          <w:szCs w:val="18"/>
        </w:rPr>
        <w:t xml:space="preserve">Части I и части II, </w:t>
      </w:r>
      <w:r w:rsidRPr="00BD7AE0">
        <w:rPr>
          <w:rFonts w:asciiTheme="minorBidi" w:hAnsiTheme="minorBidi" w:cstheme="minorBidi"/>
          <w:sz w:val="18"/>
          <w:szCs w:val="18"/>
        </w:rPr>
        <w:t>Рекомендация 6.a</w:t>
      </w:r>
    </w:p>
  </w:footnote>
  <w:footnote w:id="31">
    <w:p w14:paraId="586931E4" w14:textId="259187E2" w:rsidR="00981D4B" w:rsidRPr="00BD7AE0" w:rsidRDefault="00981D4B" w:rsidP="00C61485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</w:t>
      </w:r>
      <w:r w:rsidR="009946F4" w:rsidRPr="00BD7AE0">
        <w:rPr>
          <w:rFonts w:asciiTheme="minorBidi" w:hAnsiTheme="minorBidi" w:cstheme="minorBidi"/>
          <w:sz w:val="18"/>
          <w:szCs w:val="18"/>
        </w:rPr>
        <w:t xml:space="preserve">Части I и части II, </w:t>
      </w:r>
      <w:r w:rsidRPr="00BD7AE0">
        <w:rPr>
          <w:rFonts w:asciiTheme="minorBidi" w:hAnsiTheme="minorBidi" w:cstheme="minorBidi"/>
          <w:sz w:val="18"/>
          <w:szCs w:val="18"/>
        </w:rPr>
        <w:t>Рекомендация 6, шаг 5</w:t>
      </w:r>
    </w:p>
  </w:footnote>
  <w:footnote w:id="32">
    <w:p w14:paraId="5A7FAAC4" w14:textId="361C5E27" w:rsidR="00E900E8" w:rsidRPr="00BD7AE0" w:rsidRDefault="00E900E8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Рекомендация 2, часть </w:t>
      </w:r>
      <w:r w:rsidRPr="00BD7AE0">
        <w:rPr>
          <w:rFonts w:asciiTheme="minorBidi" w:hAnsiTheme="minorBidi" w:cstheme="minorBidi"/>
          <w:sz w:val="18"/>
          <w:szCs w:val="18"/>
          <w:lang w:val="en-US"/>
        </w:rPr>
        <w:t>III</w:t>
      </w:r>
    </w:p>
  </w:footnote>
  <w:footnote w:id="33">
    <w:p w14:paraId="605B3642" w14:textId="77777777" w:rsidR="00B60CC0" w:rsidRPr="00BD7AE0" w:rsidRDefault="00B60CC0" w:rsidP="002F184E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Крайний срок для подачи отчетов о статусе элемента ICH, включенного в Список срочной охраны, – каждые четыре года после включения этого элемента.</w:t>
      </w:r>
    </w:p>
  </w:footnote>
  <w:footnote w:id="34">
    <w:p w14:paraId="6DA13E91" w14:textId="5B16A0D9" w:rsidR="00B60CC0" w:rsidRPr="00BD7AE0" w:rsidRDefault="00B60CC0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Рекомендация 2, часть </w:t>
      </w:r>
      <w:r w:rsidRPr="00BD7AE0">
        <w:rPr>
          <w:rFonts w:asciiTheme="minorBidi" w:hAnsiTheme="minorBidi" w:cstheme="minorBidi"/>
          <w:sz w:val="18"/>
          <w:szCs w:val="18"/>
          <w:lang w:val="en-US"/>
        </w:rPr>
        <w:t>III</w:t>
      </w:r>
    </w:p>
  </w:footnote>
  <w:footnote w:id="35">
    <w:p w14:paraId="4F3FE9F1" w14:textId="0E258412" w:rsidR="00B60CC0" w:rsidRPr="00BD7AE0" w:rsidRDefault="00B60CC0" w:rsidP="008D72C7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Части I и части II, Рекомендация 5, шаг 1, пункт 2</w:t>
      </w:r>
    </w:p>
  </w:footnote>
  <w:footnote w:id="36">
    <w:p w14:paraId="64F0C6A7" w14:textId="504854D8" w:rsidR="00B60CC0" w:rsidRPr="00BD7AE0" w:rsidRDefault="00B60CC0" w:rsidP="008D72C7">
      <w:pPr>
        <w:pStyle w:val="FootnoteText"/>
        <w:rPr>
          <w:rFonts w:asciiTheme="minorBidi" w:hAnsiTheme="minorBidi" w:cstheme="minorBidi"/>
          <w:sz w:val="18"/>
          <w:szCs w:val="18"/>
        </w:rPr>
      </w:pPr>
      <w:r w:rsidRPr="00BD7AE0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BD7AE0">
        <w:rPr>
          <w:rFonts w:asciiTheme="minorBidi" w:hAnsiTheme="minorBidi" w:cstheme="minorBidi"/>
          <w:sz w:val="18"/>
          <w:szCs w:val="18"/>
        </w:rPr>
        <w:t xml:space="preserve"> Части I и части II, Рекомендация 5, шаг 3, пункт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9D5F8" w14:textId="0041C9DA" w:rsidR="00D95C4C" w:rsidRPr="00C23A97" w:rsidRDefault="006F41B4">
    <w:pPr>
      <w:pStyle w:val="Header"/>
      <w:rPr>
        <w:rFonts w:ascii="Arial" w:hAnsi="Arial" w:cs="Arial"/>
      </w:rPr>
    </w:pPr>
    <w:r w:rsidRPr="00570889">
      <w:rPr>
        <w:rFonts w:ascii="Arial" w:hAnsi="Arial"/>
        <w:sz w:val="20"/>
      </w:rPr>
      <w:t>LHE/22/9.GA/9</w:t>
    </w:r>
    <w:r w:rsidR="00535910">
      <w:rPr>
        <w:rFonts w:ascii="Arial" w:hAnsi="Arial"/>
        <w:sz w:val="20"/>
        <w:lang w:val="en-GB"/>
      </w:rPr>
      <w:t xml:space="preserve"> Rev.</w:t>
    </w:r>
    <w:r w:rsidRPr="00570889">
      <w:rPr>
        <w:rFonts w:ascii="Arial" w:hAnsi="Arial"/>
        <w:sz w:val="20"/>
      </w:rPr>
      <w:t xml:space="preserve"> – страница </w:t>
    </w:r>
    <w:r w:rsidR="00D95C4C" w:rsidRPr="00570889">
      <w:rPr>
        <w:rStyle w:val="PageNumber"/>
        <w:rFonts w:ascii="Arial" w:hAnsi="Arial" w:cs="Arial"/>
        <w:sz w:val="20"/>
        <w:szCs w:val="20"/>
      </w:rPr>
      <w:fldChar w:fldCharType="begin"/>
    </w:r>
    <w:r w:rsidR="00D95C4C" w:rsidRPr="00570889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D95C4C" w:rsidRPr="00570889">
      <w:rPr>
        <w:rStyle w:val="PageNumber"/>
        <w:rFonts w:ascii="Arial" w:hAnsi="Arial" w:cs="Arial"/>
        <w:sz w:val="20"/>
        <w:szCs w:val="20"/>
      </w:rPr>
      <w:fldChar w:fldCharType="separate"/>
    </w:r>
    <w:r w:rsidR="004141E2" w:rsidRPr="00570889">
      <w:rPr>
        <w:rStyle w:val="PageNumber"/>
        <w:rFonts w:ascii="Arial" w:hAnsi="Arial" w:cs="Arial"/>
        <w:noProof/>
        <w:sz w:val="20"/>
        <w:szCs w:val="20"/>
      </w:rPr>
      <w:t>18</w:t>
    </w:r>
    <w:r w:rsidR="00D95C4C" w:rsidRPr="00570889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D0814" w14:textId="5B365A92" w:rsidR="00763BD1" w:rsidRPr="002402C9" w:rsidRDefault="00763BD1" w:rsidP="00763BD1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nl-B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5874E2A" wp14:editId="6CA81090">
          <wp:simplePos x="0" y="0"/>
          <wp:positionH relativeFrom="column">
            <wp:posOffset>254</wp:posOffset>
          </wp:positionH>
          <wp:positionV relativeFrom="paragraph">
            <wp:posOffset>-83185</wp:posOffset>
          </wp:positionV>
          <wp:extent cx="1509840" cy="1296000"/>
          <wp:effectExtent l="0" t="0" r="0" b="0"/>
          <wp:wrapSquare wrapText="bothSides"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84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44"/>
        <w:szCs w:val="44"/>
        <w:lang w:val="nl-BE"/>
      </w:rPr>
      <w:t>9</w:t>
    </w:r>
    <w:r w:rsidRPr="002402C9">
      <w:rPr>
        <w:rFonts w:ascii="Arial" w:hAnsi="Arial" w:cs="Arial"/>
        <w:b/>
        <w:sz w:val="44"/>
        <w:szCs w:val="44"/>
        <w:lang w:val="nl-BE"/>
      </w:rPr>
      <w:t xml:space="preserve"> GA</w:t>
    </w:r>
  </w:p>
  <w:p w14:paraId="229BDB09" w14:textId="1B34AF8F" w:rsidR="00763BD1" w:rsidRPr="002402C9" w:rsidRDefault="00763BD1" w:rsidP="00763BD1">
    <w:pPr>
      <w:jc w:val="right"/>
      <w:rPr>
        <w:rFonts w:ascii="Arial" w:hAnsi="Arial" w:cs="Arial"/>
        <w:b/>
        <w:sz w:val="22"/>
        <w:szCs w:val="22"/>
        <w:lang w:val="nl-BE"/>
      </w:rPr>
    </w:pPr>
    <w:r>
      <w:rPr>
        <w:rFonts w:ascii="Arial" w:hAnsi="Arial" w:cs="Arial"/>
        <w:b/>
        <w:sz w:val="22"/>
        <w:szCs w:val="22"/>
        <w:lang w:val="nl-BE"/>
      </w:rPr>
      <w:t>LHE</w:t>
    </w:r>
    <w:r w:rsidRPr="002402C9">
      <w:rPr>
        <w:rFonts w:ascii="Arial" w:hAnsi="Arial" w:cs="Arial"/>
        <w:b/>
        <w:sz w:val="22"/>
        <w:szCs w:val="22"/>
        <w:lang w:val="nl-BE"/>
      </w:rPr>
      <w:t>/</w:t>
    </w:r>
    <w:r>
      <w:rPr>
        <w:rFonts w:ascii="Arial" w:hAnsi="Arial" w:cs="Arial"/>
        <w:b/>
        <w:sz w:val="22"/>
        <w:szCs w:val="22"/>
        <w:lang w:val="nl-BE"/>
      </w:rPr>
      <w:t>22</w:t>
    </w:r>
    <w:r w:rsidRPr="002402C9">
      <w:rPr>
        <w:rFonts w:ascii="Arial" w:hAnsi="Arial" w:cs="Arial"/>
        <w:b/>
        <w:sz w:val="22"/>
        <w:szCs w:val="22"/>
        <w:lang w:val="nl-BE"/>
      </w:rPr>
      <w:t>/</w:t>
    </w:r>
    <w:r>
      <w:rPr>
        <w:rFonts w:ascii="Arial" w:hAnsi="Arial" w:cs="Arial"/>
        <w:b/>
        <w:sz w:val="22"/>
        <w:szCs w:val="22"/>
        <w:lang w:val="nl-BE"/>
      </w:rPr>
      <w:t>9</w:t>
    </w:r>
    <w:r w:rsidRPr="002402C9">
      <w:rPr>
        <w:rFonts w:ascii="Arial" w:hAnsi="Arial" w:cs="Arial"/>
        <w:b/>
        <w:sz w:val="22"/>
        <w:szCs w:val="22"/>
        <w:lang w:val="nl-BE"/>
      </w:rPr>
      <w:t>.GA/</w:t>
    </w:r>
    <w:r w:rsidR="00D8656A">
      <w:rPr>
        <w:rFonts w:ascii="Arial" w:hAnsi="Arial" w:cs="Arial"/>
        <w:b/>
        <w:sz w:val="22"/>
        <w:szCs w:val="22"/>
        <w:lang w:val="nl-BE"/>
      </w:rPr>
      <w:t>9</w:t>
    </w:r>
    <w:r w:rsidR="00535910">
      <w:rPr>
        <w:rFonts w:ascii="Arial" w:hAnsi="Arial" w:cs="Arial"/>
        <w:b/>
        <w:sz w:val="22"/>
        <w:szCs w:val="22"/>
        <w:lang w:val="nl-BE"/>
      </w:rPr>
      <w:t xml:space="preserve"> Rev.</w:t>
    </w:r>
  </w:p>
  <w:p w14:paraId="502EA4BC" w14:textId="61DB03F5" w:rsidR="00763BD1" w:rsidRPr="002402C9" w:rsidRDefault="00763BD1" w:rsidP="00763BD1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Париж, </w:t>
    </w:r>
    <w:r w:rsidR="003B7B76" w:rsidRPr="003B7B76">
      <w:rPr>
        <w:rFonts w:ascii="Arial" w:hAnsi="Arial"/>
        <w:b/>
        <w:sz w:val="22"/>
      </w:rPr>
      <w:t>2</w:t>
    </w:r>
    <w:r w:rsidR="00D8656A">
      <w:rPr>
        <w:rFonts w:ascii="Arial" w:hAnsi="Arial"/>
        <w:b/>
        <w:sz w:val="22"/>
      </w:rPr>
      <w:t xml:space="preserve"> июля </w:t>
    </w:r>
    <w:r>
      <w:rPr>
        <w:rFonts w:ascii="Arial" w:hAnsi="Arial" w:cs="Arial"/>
        <w:b/>
        <w:sz w:val="22"/>
        <w:szCs w:val="22"/>
      </w:rPr>
      <w:t>202</w:t>
    </w:r>
    <w:r w:rsidRPr="004739AB">
      <w:rPr>
        <w:rFonts w:ascii="Arial" w:hAnsi="Arial" w:cs="Arial"/>
        <w:b/>
        <w:sz w:val="22"/>
        <w:szCs w:val="22"/>
      </w:rPr>
      <w:t>2</w:t>
    </w:r>
    <w:r w:rsidRPr="002402C9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>г.</w:t>
    </w:r>
  </w:p>
  <w:p w14:paraId="72F8E3C2" w14:textId="07599CBB" w:rsidR="00D95C4C" w:rsidRPr="0063300C" w:rsidRDefault="00763BD1" w:rsidP="00D8656A">
    <w:pPr>
      <w:jc w:val="right"/>
      <w:rPr>
        <w:rFonts w:ascii="Arial" w:hAnsi="Arial" w:cs="Arial"/>
      </w:rPr>
    </w:pPr>
    <w:r w:rsidRPr="00EC1E86">
      <w:rPr>
        <w:rFonts w:ascii="Arial" w:hAnsi="Arial" w:cs="Arial"/>
        <w:b/>
        <w:sz w:val="22"/>
        <w:szCs w:val="22"/>
      </w:rPr>
      <w:t>Оригинал</w:t>
    </w:r>
    <w:r w:rsidRPr="00107309">
      <w:rPr>
        <w:rFonts w:ascii="Arial" w:hAnsi="Arial" w:cs="Arial"/>
        <w:b/>
        <w:sz w:val="22"/>
        <w:szCs w:val="22"/>
      </w:rPr>
      <w:t>:</w:t>
    </w:r>
    <w:r w:rsidRPr="002402C9">
      <w:rPr>
        <w:rFonts w:ascii="Arial" w:hAnsi="Arial" w:cs="Arial"/>
        <w:b/>
        <w:sz w:val="22"/>
        <w:szCs w:val="22"/>
      </w:rPr>
      <w:t xml:space="preserve"> </w:t>
    </w:r>
    <w:r w:rsidR="00D8656A">
      <w:rPr>
        <w:rFonts w:ascii="Arial" w:hAnsi="Arial"/>
        <w:b/>
        <w:sz w:val="22"/>
      </w:rPr>
      <w:t>английский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8D55" w14:textId="4E475D06" w:rsidR="00D64006" w:rsidRPr="00D64006" w:rsidRDefault="00D64006" w:rsidP="00D64006">
    <w:pPr>
      <w:pStyle w:val="Header"/>
      <w:rPr>
        <w:rFonts w:ascii="Arial" w:hAnsi="Arial" w:cs="Arial"/>
      </w:rPr>
    </w:pPr>
    <w:r w:rsidRPr="00570889">
      <w:rPr>
        <w:rFonts w:ascii="Arial" w:hAnsi="Arial"/>
        <w:sz w:val="20"/>
      </w:rPr>
      <w:t xml:space="preserve">LHE/22/9.GA/9 – страница </w:t>
    </w:r>
    <w:r w:rsidRPr="00570889">
      <w:rPr>
        <w:rStyle w:val="PageNumber"/>
        <w:rFonts w:ascii="Arial" w:hAnsi="Arial" w:cs="Arial"/>
        <w:sz w:val="20"/>
        <w:szCs w:val="20"/>
      </w:rPr>
      <w:fldChar w:fldCharType="begin"/>
    </w:r>
    <w:r w:rsidRPr="00570889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570889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sz w:val="20"/>
        <w:szCs w:val="20"/>
      </w:rPr>
      <w:t>4</w:t>
    </w:r>
    <w:r w:rsidRPr="00570889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64FD" w14:textId="411BA9CF" w:rsidR="00535910" w:rsidRPr="00D64006" w:rsidRDefault="00535910" w:rsidP="00510761">
    <w:pPr>
      <w:pStyle w:val="Header"/>
      <w:jc w:val="right"/>
      <w:rPr>
        <w:rFonts w:ascii="Arial" w:hAnsi="Arial" w:cs="Arial"/>
      </w:rPr>
    </w:pPr>
    <w:r w:rsidRPr="00570889">
      <w:rPr>
        <w:rFonts w:ascii="Arial" w:hAnsi="Arial"/>
        <w:sz w:val="20"/>
      </w:rPr>
      <w:t>LHE/22/9.GA/9</w:t>
    </w:r>
    <w:r>
      <w:rPr>
        <w:rFonts w:ascii="Arial" w:hAnsi="Arial"/>
        <w:sz w:val="20"/>
        <w:lang w:val="en-GB"/>
      </w:rPr>
      <w:t xml:space="preserve"> Rev.</w:t>
    </w:r>
    <w:r w:rsidRPr="00570889">
      <w:rPr>
        <w:rFonts w:ascii="Arial" w:hAnsi="Arial"/>
        <w:sz w:val="20"/>
      </w:rPr>
      <w:t xml:space="preserve"> – страница </w:t>
    </w:r>
    <w:r w:rsidRPr="00570889">
      <w:rPr>
        <w:rStyle w:val="PageNumber"/>
        <w:rFonts w:ascii="Arial" w:hAnsi="Arial" w:cs="Arial"/>
        <w:sz w:val="20"/>
        <w:szCs w:val="20"/>
      </w:rPr>
      <w:fldChar w:fldCharType="begin"/>
    </w:r>
    <w:r w:rsidRPr="00570889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570889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sz w:val="20"/>
        <w:szCs w:val="20"/>
      </w:rPr>
      <w:t>4</w:t>
    </w:r>
    <w:r w:rsidRPr="00570889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668532E"/>
    <w:multiLevelType w:val="hybridMultilevel"/>
    <w:tmpl w:val="B298E760"/>
    <w:lvl w:ilvl="0" w:tplc="D0E46A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8C8AC6A">
      <w:start w:val="2"/>
      <w:numFmt w:val="lowerRoman"/>
      <w:lvlText w:val="(%2)"/>
      <w:lvlJc w:val="left"/>
      <w:pPr>
        <w:ind w:left="1440" w:hanging="360"/>
      </w:pPr>
      <w:rPr>
        <w:rFonts w:eastAsia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32DE9"/>
    <w:multiLevelType w:val="hybridMultilevel"/>
    <w:tmpl w:val="B298E760"/>
    <w:lvl w:ilvl="0" w:tplc="D0E46A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8C8AC6A">
      <w:start w:val="2"/>
      <w:numFmt w:val="lowerRoman"/>
      <w:lvlText w:val="(%2)"/>
      <w:lvlJc w:val="left"/>
      <w:pPr>
        <w:ind w:left="1440" w:hanging="360"/>
      </w:pPr>
      <w:rPr>
        <w:rFonts w:eastAsia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69E8"/>
    <w:multiLevelType w:val="hybridMultilevel"/>
    <w:tmpl w:val="44DAD8A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F532D6"/>
    <w:multiLevelType w:val="hybridMultilevel"/>
    <w:tmpl w:val="0F1E4B28"/>
    <w:lvl w:ilvl="0" w:tplc="334E928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C047D"/>
    <w:multiLevelType w:val="hybridMultilevel"/>
    <w:tmpl w:val="B34C039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E02F0"/>
    <w:multiLevelType w:val="hybridMultilevel"/>
    <w:tmpl w:val="B52608A0"/>
    <w:lvl w:ilvl="0" w:tplc="FB0231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A4DB1"/>
    <w:multiLevelType w:val="hybridMultilevel"/>
    <w:tmpl w:val="E5F815C8"/>
    <w:lvl w:ilvl="0" w:tplc="01C06236">
      <w:start w:val="1"/>
      <w:numFmt w:val="decimal"/>
      <w:pStyle w:val="GAParaResolution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24A97"/>
    <w:multiLevelType w:val="hybridMultilevel"/>
    <w:tmpl w:val="7214D7B4"/>
    <w:lvl w:ilvl="0" w:tplc="BA7CDEE4">
      <w:start w:val="1"/>
      <w:numFmt w:val="lowerRoman"/>
      <w:lvlText w:val="(%1)"/>
      <w:lvlJc w:val="left"/>
      <w:pPr>
        <w:ind w:left="1440" w:hanging="360"/>
      </w:pPr>
      <w:rPr>
        <w:rFonts w:asciiTheme="minorBidi" w:eastAsia="Calibri" w:hAnsiTheme="minorBidi" w:cstheme="minorBid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A7325"/>
    <w:multiLevelType w:val="hybridMultilevel"/>
    <w:tmpl w:val="6B8A1466"/>
    <w:lvl w:ilvl="0" w:tplc="BE229084">
      <w:start w:val="6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E75B9"/>
    <w:multiLevelType w:val="hybridMultilevel"/>
    <w:tmpl w:val="07F81348"/>
    <w:lvl w:ilvl="0" w:tplc="A7BC4C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97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96642"/>
    <w:multiLevelType w:val="hybridMultilevel"/>
    <w:tmpl w:val="B298E760"/>
    <w:lvl w:ilvl="0" w:tplc="D0E46A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8C8AC6A">
      <w:start w:val="2"/>
      <w:numFmt w:val="lowerRoman"/>
      <w:lvlText w:val="(%2)"/>
      <w:lvlJc w:val="left"/>
      <w:pPr>
        <w:ind w:left="1440" w:hanging="360"/>
      </w:pPr>
      <w:rPr>
        <w:rFonts w:eastAsia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F0075"/>
    <w:multiLevelType w:val="hybridMultilevel"/>
    <w:tmpl w:val="7CFC2D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514D6D"/>
    <w:multiLevelType w:val="hybridMultilevel"/>
    <w:tmpl w:val="7F02D93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="Calibri" w:eastAsia="Calibri" w:hAnsi="Calibri" w:cs="Calibri" w:hint="default"/>
        <w:strike w:val="0"/>
        <w:color w:val="231F20"/>
        <w:w w:val="90"/>
        <w:sz w:val="20"/>
        <w:szCs w:val="20"/>
      </w:rPr>
    </w:lvl>
    <w:lvl w:ilvl="1" w:tplc="E6B2E464">
      <w:start w:val="1"/>
      <w:numFmt w:val="lowerRoman"/>
      <w:lvlText w:val="(%2)"/>
      <w:lvlJc w:val="left"/>
      <w:pPr>
        <w:ind w:left="1440" w:hanging="360"/>
      </w:pPr>
      <w:rPr>
        <w:rFonts w:eastAsia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6304E"/>
    <w:multiLevelType w:val="hybridMultilevel"/>
    <w:tmpl w:val="B298E760"/>
    <w:lvl w:ilvl="0" w:tplc="D0E46A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8C8AC6A">
      <w:start w:val="2"/>
      <w:numFmt w:val="lowerRoman"/>
      <w:lvlText w:val="(%2)"/>
      <w:lvlJc w:val="left"/>
      <w:pPr>
        <w:ind w:left="1440" w:hanging="360"/>
      </w:pPr>
      <w:rPr>
        <w:rFonts w:eastAsia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35D45"/>
    <w:multiLevelType w:val="hybridMultilevel"/>
    <w:tmpl w:val="C45805B6"/>
    <w:lvl w:ilvl="0" w:tplc="60701B8C">
      <w:start w:val="1"/>
      <w:numFmt w:val="lowerRoman"/>
      <w:lvlText w:val="(%1)"/>
      <w:lvlJc w:val="left"/>
      <w:pPr>
        <w:ind w:left="720" w:hanging="360"/>
      </w:pPr>
      <w:rPr>
        <w:rFonts w:asciiTheme="minorBidi" w:eastAsia="Times New Roman" w:hAnsiTheme="minorBidi" w:cs="Arial"/>
        <w:strike w:val="0"/>
        <w:color w:val="231F20"/>
        <w:w w:val="9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E6638"/>
    <w:multiLevelType w:val="hybridMultilevel"/>
    <w:tmpl w:val="B298E760"/>
    <w:lvl w:ilvl="0" w:tplc="D0E46A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8C8AC6A">
      <w:start w:val="2"/>
      <w:numFmt w:val="lowerRoman"/>
      <w:lvlText w:val="(%2)"/>
      <w:lvlJc w:val="left"/>
      <w:pPr>
        <w:ind w:left="1440" w:hanging="360"/>
      </w:pPr>
      <w:rPr>
        <w:rFonts w:eastAsia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87C04"/>
    <w:multiLevelType w:val="hybridMultilevel"/>
    <w:tmpl w:val="EDBE55F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21E4494"/>
    <w:multiLevelType w:val="hybridMultilevel"/>
    <w:tmpl w:val="4304561A"/>
    <w:lvl w:ilvl="0" w:tplc="A7BC4C6A">
      <w:numFmt w:val="bullet"/>
      <w:lvlText w:val="-"/>
      <w:lvlJc w:val="left"/>
      <w:pPr>
        <w:ind w:left="2175" w:hanging="341"/>
      </w:pPr>
      <w:rPr>
        <w:rFonts w:ascii="Calibri" w:eastAsia="Calibri" w:hAnsi="Calibri" w:cs="Calibri" w:hint="default"/>
        <w:color w:val="231F20"/>
        <w:w w:val="97"/>
        <w:sz w:val="20"/>
        <w:szCs w:val="20"/>
      </w:rPr>
    </w:lvl>
    <w:lvl w:ilvl="1" w:tplc="FC445284">
      <w:numFmt w:val="bullet"/>
      <w:lvlText w:val="•"/>
      <w:lvlJc w:val="left"/>
      <w:pPr>
        <w:ind w:left="2984" w:hanging="341"/>
      </w:pPr>
      <w:rPr>
        <w:rFonts w:hint="default"/>
      </w:rPr>
    </w:lvl>
    <w:lvl w:ilvl="2" w:tplc="0B9E1FD2">
      <w:numFmt w:val="bullet"/>
      <w:lvlText w:val="•"/>
      <w:lvlJc w:val="left"/>
      <w:pPr>
        <w:ind w:left="3789" w:hanging="341"/>
      </w:pPr>
      <w:rPr>
        <w:rFonts w:hint="default"/>
      </w:rPr>
    </w:lvl>
    <w:lvl w:ilvl="3" w:tplc="30C09050">
      <w:numFmt w:val="bullet"/>
      <w:lvlText w:val="•"/>
      <w:lvlJc w:val="left"/>
      <w:pPr>
        <w:ind w:left="4593" w:hanging="341"/>
      </w:pPr>
      <w:rPr>
        <w:rFonts w:hint="default"/>
      </w:rPr>
    </w:lvl>
    <w:lvl w:ilvl="4" w:tplc="BA7005BA">
      <w:numFmt w:val="bullet"/>
      <w:lvlText w:val="•"/>
      <w:lvlJc w:val="left"/>
      <w:pPr>
        <w:ind w:left="5398" w:hanging="341"/>
      </w:pPr>
      <w:rPr>
        <w:rFonts w:hint="default"/>
      </w:rPr>
    </w:lvl>
    <w:lvl w:ilvl="5" w:tplc="EBB03C28">
      <w:numFmt w:val="bullet"/>
      <w:lvlText w:val="•"/>
      <w:lvlJc w:val="left"/>
      <w:pPr>
        <w:ind w:left="6202" w:hanging="341"/>
      </w:pPr>
      <w:rPr>
        <w:rFonts w:hint="default"/>
      </w:rPr>
    </w:lvl>
    <w:lvl w:ilvl="6" w:tplc="5AB2D368">
      <w:numFmt w:val="bullet"/>
      <w:lvlText w:val="•"/>
      <w:lvlJc w:val="left"/>
      <w:pPr>
        <w:ind w:left="7007" w:hanging="341"/>
      </w:pPr>
      <w:rPr>
        <w:rFonts w:hint="default"/>
      </w:rPr>
    </w:lvl>
    <w:lvl w:ilvl="7" w:tplc="E08E3CD4">
      <w:numFmt w:val="bullet"/>
      <w:lvlText w:val="•"/>
      <w:lvlJc w:val="left"/>
      <w:pPr>
        <w:ind w:left="7811" w:hanging="341"/>
      </w:pPr>
      <w:rPr>
        <w:rFonts w:hint="default"/>
      </w:rPr>
    </w:lvl>
    <w:lvl w:ilvl="8" w:tplc="2334CAD0">
      <w:numFmt w:val="bullet"/>
      <w:lvlText w:val="•"/>
      <w:lvlJc w:val="left"/>
      <w:pPr>
        <w:ind w:left="8616" w:hanging="341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7"/>
  </w:num>
  <w:num w:numId="6">
    <w:abstractNumId w:val="20"/>
  </w:num>
  <w:num w:numId="7">
    <w:abstractNumId w:val="15"/>
  </w:num>
  <w:num w:numId="8">
    <w:abstractNumId w:val="1"/>
  </w:num>
  <w:num w:numId="9">
    <w:abstractNumId w:val="2"/>
  </w:num>
  <w:num w:numId="10">
    <w:abstractNumId w:val="13"/>
  </w:num>
  <w:num w:numId="11">
    <w:abstractNumId w:val="14"/>
  </w:num>
  <w:num w:numId="12">
    <w:abstractNumId w:val="3"/>
  </w:num>
  <w:num w:numId="13">
    <w:abstractNumId w:val="4"/>
  </w:num>
  <w:num w:numId="14">
    <w:abstractNumId w:val="18"/>
  </w:num>
  <w:num w:numId="15">
    <w:abstractNumId w:val="10"/>
  </w:num>
  <w:num w:numId="16">
    <w:abstractNumId w:val="16"/>
  </w:num>
  <w:num w:numId="17">
    <w:abstractNumId w:val="17"/>
  </w:num>
  <w:num w:numId="18">
    <w:abstractNumId w:val="12"/>
  </w:num>
  <w:num w:numId="19">
    <w:abstractNumId w:val="11"/>
  </w:num>
  <w:num w:numId="20">
    <w:abstractNumId w:val="19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66"/>
    <w:rsid w:val="000048ED"/>
    <w:rsid w:val="00012734"/>
    <w:rsid w:val="000149DE"/>
    <w:rsid w:val="00041A66"/>
    <w:rsid w:val="0005176E"/>
    <w:rsid w:val="000734CC"/>
    <w:rsid w:val="000765F7"/>
    <w:rsid w:val="00077AB7"/>
    <w:rsid w:val="00081CD8"/>
    <w:rsid w:val="000A1C16"/>
    <w:rsid w:val="000A7F0E"/>
    <w:rsid w:val="000C0D61"/>
    <w:rsid w:val="000F3A3F"/>
    <w:rsid w:val="00102557"/>
    <w:rsid w:val="0012581F"/>
    <w:rsid w:val="001359E1"/>
    <w:rsid w:val="00135FEA"/>
    <w:rsid w:val="00160E45"/>
    <w:rsid w:val="00164D56"/>
    <w:rsid w:val="00167B10"/>
    <w:rsid w:val="0017402F"/>
    <w:rsid w:val="00176720"/>
    <w:rsid w:val="00191ADC"/>
    <w:rsid w:val="00194822"/>
    <w:rsid w:val="00196C1B"/>
    <w:rsid w:val="001B0F73"/>
    <w:rsid w:val="001B201D"/>
    <w:rsid w:val="001B54E5"/>
    <w:rsid w:val="001C1624"/>
    <w:rsid w:val="001C3979"/>
    <w:rsid w:val="001D5C04"/>
    <w:rsid w:val="00220624"/>
    <w:rsid w:val="00222A2D"/>
    <w:rsid w:val="00222D93"/>
    <w:rsid w:val="00223029"/>
    <w:rsid w:val="00234745"/>
    <w:rsid w:val="002407AF"/>
    <w:rsid w:val="00240934"/>
    <w:rsid w:val="00244FF9"/>
    <w:rsid w:val="00245DE5"/>
    <w:rsid w:val="00272FF4"/>
    <w:rsid w:val="00292647"/>
    <w:rsid w:val="002C09E3"/>
    <w:rsid w:val="002C72FA"/>
    <w:rsid w:val="002F184E"/>
    <w:rsid w:val="002F312A"/>
    <w:rsid w:val="0030371D"/>
    <w:rsid w:val="003265D0"/>
    <w:rsid w:val="00345CB4"/>
    <w:rsid w:val="003549B8"/>
    <w:rsid w:val="00370F6C"/>
    <w:rsid w:val="00382634"/>
    <w:rsid w:val="003842FD"/>
    <w:rsid w:val="003B7B76"/>
    <w:rsid w:val="003D069C"/>
    <w:rsid w:val="003D7646"/>
    <w:rsid w:val="003D764E"/>
    <w:rsid w:val="003F113A"/>
    <w:rsid w:val="00404FF8"/>
    <w:rsid w:val="00405149"/>
    <w:rsid w:val="004141E2"/>
    <w:rsid w:val="00414643"/>
    <w:rsid w:val="004421E5"/>
    <w:rsid w:val="00452284"/>
    <w:rsid w:val="004560A3"/>
    <w:rsid w:val="00474CF9"/>
    <w:rsid w:val="004754B4"/>
    <w:rsid w:val="004856CA"/>
    <w:rsid w:val="0049705E"/>
    <w:rsid w:val="004A134C"/>
    <w:rsid w:val="004A34A0"/>
    <w:rsid w:val="004E7CC4"/>
    <w:rsid w:val="00502D44"/>
    <w:rsid w:val="00510761"/>
    <w:rsid w:val="00524700"/>
    <w:rsid w:val="00526B7B"/>
    <w:rsid w:val="005308CE"/>
    <w:rsid w:val="00531BA0"/>
    <w:rsid w:val="00533E15"/>
    <w:rsid w:val="00534137"/>
    <w:rsid w:val="00535910"/>
    <w:rsid w:val="00540FE0"/>
    <w:rsid w:val="005506A0"/>
    <w:rsid w:val="005535E6"/>
    <w:rsid w:val="00570889"/>
    <w:rsid w:val="0057439C"/>
    <w:rsid w:val="00585BD6"/>
    <w:rsid w:val="0059239B"/>
    <w:rsid w:val="005B0127"/>
    <w:rsid w:val="005B7A35"/>
    <w:rsid w:val="005C4B73"/>
    <w:rsid w:val="005E06B6"/>
    <w:rsid w:val="005E1D2B"/>
    <w:rsid w:val="00600D93"/>
    <w:rsid w:val="006017AB"/>
    <w:rsid w:val="00622FDD"/>
    <w:rsid w:val="0063300C"/>
    <w:rsid w:val="00645927"/>
    <w:rsid w:val="00655736"/>
    <w:rsid w:val="00663B8D"/>
    <w:rsid w:val="006867E6"/>
    <w:rsid w:val="00696C8D"/>
    <w:rsid w:val="006A2AC2"/>
    <w:rsid w:val="006A3617"/>
    <w:rsid w:val="006D74FE"/>
    <w:rsid w:val="006E2E4A"/>
    <w:rsid w:val="006E46E4"/>
    <w:rsid w:val="006F41B4"/>
    <w:rsid w:val="00703FBF"/>
    <w:rsid w:val="00717DA5"/>
    <w:rsid w:val="00744484"/>
    <w:rsid w:val="00756EF7"/>
    <w:rsid w:val="00761824"/>
    <w:rsid w:val="007629F5"/>
    <w:rsid w:val="00763A0D"/>
    <w:rsid w:val="00763BD1"/>
    <w:rsid w:val="00773188"/>
    <w:rsid w:val="00783782"/>
    <w:rsid w:val="007845EB"/>
    <w:rsid w:val="00784B8C"/>
    <w:rsid w:val="007A3CD6"/>
    <w:rsid w:val="007B3372"/>
    <w:rsid w:val="007D23F5"/>
    <w:rsid w:val="008074D0"/>
    <w:rsid w:val="00817B82"/>
    <w:rsid w:val="00823A11"/>
    <w:rsid w:val="0083746A"/>
    <w:rsid w:val="0085064C"/>
    <w:rsid w:val="00852866"/>
    <w:rsid w:val="0085414A"/>
    <w:rsid w:val="0086269D"/>
    <w:rsid w:val="0086543A"/>
    <w:rsid w:val="00870439"/>
    <w:rsid w:val="008724E5"/>
    <w:rsid w:val="00884A9D"/>
    <w:rsid w:val="0088512B"/>
    <w:rsid w:val="008948AA"/>
    <w:rsid w:val="008A1ED4"/>
    <w:rsid w:val="008A2B2D"/>
    <w:rsid w:val="008A4E1E"/>
    <w:rsid w:val="008C296C"/>
    <w:rsid w:val="008D4305"/>
    <w:rsid w:val="008D72C7"/>
    <w:rsid w:val="008E06C8"/>
    <w:rsid w:val="008E2415"/>
    <w:rsid w:val="009163A7"/>
    <w:rsid w:val="00946D0B"/>
    <w:rsid w:val="00981D4B"/>
    <w:rsid w:val="009946F4"/>
    <w:rsid w:val="009A18CD"/>
    <w:rsid w:val="009D00DE"/>
    <w:rsid w:val="009D7C01"/>
    <w:rsid w:val="009E0E00"/>
    <w:rsid w:val="00A12237"/>
    <w:rsid w:val="00A12558"/>
    <w:rsid w:val="00A13903"/>
    <w:rsid w:val="00A22A7B"/>
    <w:rsid w:val="00A34ED5"/>
    <w:rsid w:val="00A45DBF"/>
    <w:rsid w:val="00A555C7"/>
    <w:rsid w:val="00A645DF"/>
    <w:rsid w:val="00A65C29"/>
    <w:rsid w:val="00A710BF"/>
    <w:rsid w:val="00A7511F"/>
    <w:rsid w:val="00A755A2"/>
    <w:rsid w:val="00A83319"/>
    <w:rsid w:val="00AA6660"/>
    <w:rsid w:val="00AB2C36"/>
    <w:rsid w:val="00AB5505"/>
    <w:rsid w:val="00AB70B6"/>
    <w:rsid w:val="00AD1A86"/>
    <w:rsid w:val="00AE103E"/>
    <w:rsid w:val="00AF0A07"/>
    <w:rsid w:val="00AF4AEC"/>
    <w:rsid w:val="00AF625E"/>
    <w:rsid w:val="00B60CC0"/>
    <w:rsid w:val="00B96B09"/>
    <w:rsid w:val="00BB04AF"/>
    <w:rsid w:val="00BD26A6"/>
    <w:rsid w:val="00BD52C9"/>
    <w:rsid w:val="00BD7AE0"/>
    <w:rsid w:val="00BE6354"/>
    <w:rsid w:val="00C12BC9"/>
    <w:rsid w:val="00C1366D"/>
    <w:rsid w:val="00C23A97"/>
    <w:rsid w:val="00C42C66"/>
    <w:rsid w:val="00C45148"/>
    <w:rsid w:val="00C55DD3"/>
    <w:rsid w:val="00C61485"/>
    <w:rsid w:val="00C70EA7"/>
    <w:rsid w:val="00C7516E"/>
    <w:rsid w:val="00C75770"/>
    <w:rsid w:val="00CC1663"/>
    <w:rsid w:val="00CC483F"/>
    <w:rsid w:val="00CF120B"/>
    <w:rsid w:val="00CF40B0"/>
    <w:rsid w:val="00D00B2B"/>
    <w:rsid w:val="00D13473"/>
    <w:rsid w:val="00D24877"/>
    <w:rsid w:val="00D25762"/>
    <w:rsid w:val="00D64006"/>
    <w:rsid w:val="00D748DD"/>
    <w:rsid w:val="00D8656A"/>
    <w:rsid w:val="00D95C4C"/>
    <w:rsid w:val="00DA36ED"/>
    <w:rsid w:val="00DB54C6"/>
    <w:rsid w:val="00DC76D9"/>
    <w:rsid w:val="00DD3337"/>
    <w:rsid w:val="00DD49C8"/>
    <w:rsid w:val="00DE34F1"/>
    <w:rsid w:val="00DF4942"/>
    <w:rsid w:val="00E129AE"/>
    <w:rsid w:val="00E30DBE"/>
    <w:rsid w:val="00E627B1"/>
    <w:rsid w:val="00E900E8"/>
    <w:rsid w:val="00E9376C"/>
    <w:rsid w:val="00EA335E"/>
    <w:rsid w:val="00EA528C"/>
    <w:rsid w:val="00EC4FB8"/>
    <w:rsid w:val="00ED0F56"/>
    <w:rsid w:val="00EF19A6"/>
    <w:rsid w:val="00EF34E2"/>
    <w:rsid w:val="00EF4F1F"/>
    <w:rsid w:val="00EF69E3"/>
    <w:rsid w:val="00F00493"/>
    <w:rsid w:val="00F010E0"/>
    <w:rsid w:val="00F378F7"/>
    <w:rsid w:val="00F46262"/>
    <w:rsid w:val="00F46FE2"/>
    <w:rsid w:val="00F53DE9"/>
    <w:rsid w:val="00F576CB"/>
    <w:rsid w:val="00F71A02"/>
    <w:rsid w:val="00F8592B"/>
    <w:rsid w:val="00F94BC9"/>
    <w:rsid w:val="00FB6630"/>
    <w:rsid w:val="00FD1226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ECAA34B"/>
  <w15:docId w15:val="{71296E5D-8BDD-4C42-81E0-A5DB0EDF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ru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4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ru-RU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1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GAPara">
    <w:name w:val="GA Para"/>
    <w:qFormat/>
    <w:rsid w:val="00345CB4"/>
    <w:pPr>
      <w:numPr>
        <w:numId w:val="2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3"/>
      </w:numPr>
      <w:autoSpaceDE w:val="0"/>
      <w:autoSpaceDN w:val="0"/>
      <w:adjustRightInd w:val="0"/>
      <w:spacing w:after="120"/>
      <w:jc w:val="both"/>
    </w:pPr>
    <w:rPr>
      <w:rFonts w:ascii="Arial" w:eastAsia="SimSun" w:hAnsi="Arial" w:cs="Arial"/>
      <w:sz w:val="22"/>
      <w:szCs w:val="22"/>
      <w:u w:val="single"/>
    </w:rPr>
  </w:style>
  <w:style w:type="paragraph" w:styleId="ListParagraph">
    <w:name w:val="List Paragraph"/>
    <w:aliases w:val="CRITERES"/>
    <w:basedOn w:val="Normal"/>
    <w:uiPriority w:val="34"/>
    <w:qFormat/>
    <w:rsid w:val="002F312A"/>
    <w:pPr>
      <w:ind w:left="720"/>
      <w:contextualSpacing/>
    </w:pPr>
  </w:style>
  <w:style w:type="paragraph" w:customStyle="1" w:styleId="COMParaDecision">
    <w:name w:val="COM Para Decision"/>
    <w:basedOn w:val="Normal"/>
    <w:uiPriority w:val="99"/>
    <w:qFormat/>
    <w:rsid w:val="008A1ED4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</w:rPr>
  </w:style>
  <w:style w:type="table" w:customStyle="1" w:styleId="TableGrid1">
    <w:name w:val="Table Grid1"/>
    <w:basedOn w:val="TableNormal"/>
    <w:uiPriority w:val="59"/>
    <w:rsid w:val="00191ADC"/>
    <w:rPr>
      <w:lang w:eastAsia="fr-F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17B82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7B82"/>
    <w:rPr>
      <w:rFonts w:eastAsia="Calibri" w:cs="Calibri"/>
      <w:lang w:val="ru-RU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17B82"/>
    <w:rPr>
      <w:vertAlign w:val="superscript"/>
    </w:rPr>
  </w:style>
  <w:style w:type="character" w:styleId="Hyperlink">
    <w:name w:val="Hyperlink"/>
    <w:aliases w:val=" Car Car3 Char, Car Car3 Char Char Char Char"/>
    <w:basedOn w:val="DefaultParagraphFont"/>
    <w:link w:val="CarCar3"/>
    <w:uiPriority w:val="99"/>
    <w:unhideWhenUsed/>
    <w:rsid w:val="00817B82"/>
    <w:rPr>
      <w:color w:val="0563C1" w:themeColor="hyperlink"/>
      <w:u w:val="single"/>
    </w:rPr>
  </w:style>
  <w:style w:type="table" w:customStyle="1" w:styleId="Grilledutableau2">
    <w:name w:val="Grille du tableau2"/>
    <w:basedOn w:val="TableNormal"/>
    <w:next w:val="TableGrid"/>
    <w:uiPriority w:val="39"/>
    <w:rsid w:val="00817B82"/>
    <w:rPr>
      <w:rFonts w:eastAsia="Yu Mincho" w:cs="Arial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7B82"/>
    <w:pPr>
      <w:spacing w:before="100" w:beforeAutospacing="1" w:after="100" w:afterAutospacing="1"/>
    </w:pPr>
    <w:rPr>
      <w:lang w:eastAsia="zh-CN"/>
    </w:rPr>
  </w:style>
  <w:style w:type="paragraph" w:customStyle="1" w:styleId="CarCar3">
    <w:name w:val="Car Car3"/>
    <w:aliases w:val=" Car Car3 Char Char"/>
    <w:basedOn w:val="Normal"/>
    <w:link w:val="Hyperlink"/>
    <w:uiPriority w:val="99"/>
    <w:rsid w:val="00817B82"/>
    <w:pPr>
      <w:tabs>
        <w:tab w:val="left" w:pos="510"/>
        <w:tab w:val="right" w:pos="9639"/>
      </w:tabs>
      <w:autoSpaceDE w:val="0"/>
      <w:autoSpaceDN w:val="0"/>
      <w:adjustRightInd w:val="0"/>
      <w:spacing w:after="80" w:line="220" w:lineRule="exact"/>
      <w:ind w:left="1020" w:hanging="510"/>
      <w:jc w:val="both"/>
    </w:pPr>
    <w:rPr>
      <w:rFonts w:ascii="Calibri" w:eastAsia="SimSun" w:hAnsi="Calibri"/>
      <w:color w:val="0563C1" w:themeColor="hyperlink"/>
      <w:sz w:val="20"/>
      <w:szCs w:val="20"/>
      <w:u w:val="single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60A3"/>
    <w:rPr>
      <w:color w:val="605E5C"/>
      <w:shd w:val="clear" w:color="auto" w:fill="E1DFDD"/>
    </w:rPr>
  </w:style>
  <w:style w:type="paragraph" w:customStyle="1" w:styleId="COMPara">
    <w:name w:val="COM Para"/>
    <w:qFormat/>
    <w:rsid w:val="00585BD6"/>
    <w:pPr>
      <w:spacing w:after="120"/>
      <w:ind w:left="720" w:hanging="36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85BD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ch.unesco.org/en/Decisions/13.COM/10" TargetMode="External"/><Relationship Id="rId18" Type="http://schemas.openxmlformats.org/officeDocument/2006/relationships/hyperlink" Target="https://ich.unesco.org/doc/src/LHE-21-EXP-5-EN.docx" TargetMode="External"/><Relationship Id="rId26" Type="http://schemas.openxmlformats.org/officeDocument/2006/relationships/hyperlink" Target="https://ich.unesco.org/doc/src/LHE-21-16.COM-14-EN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ich.unesco.org/doc/src/LHE-21-16.COM_WG-Recommandations_EN.docx" TargetMode="External"/><Relationship Id="rId34" Type="http://schemas.openxmlformats.org/officeDocument/2006/relationships/hyperlink" Target="https://ich.unesco.org/en/Decisions/16.COM/1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ch.unesco.org/en/Decisions/12.COM/14" TargetMode="External"/><Relationship Id="rId17" Type="http://schemas.openxmlformats.org/officeDocument/2006/relationships/hyperlink" Target="https://ich.unesco.org/en/Decisions/15.COM/9" TargetMode="External"/><Relationship Id="rId25" Type="http://schemas.openxmlformats.org/officeDocument/2006/relationships/hyperlink" Target="https://ich.unesco.org/en/Decisions/5.EXT.COM/4" TargetMode="External"/><Relationship Id="rId33" Type="http://schemas.openxmlformats.org/officeDocument/2006/relationships/header" Target="header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ch.unesco.org/en/Decisions/8.GA/10" TargetMode="External"/><Relationship Id="rId20" Type="http://schemas.openxmlformats.org/officeDocument/2006/relationships/hyperlink" Target="https://ich.unesco.org/doc/src/LHE-21-EXP-7-EN.docx" TargetMode="External"/><Relationship Id="rId29" Type="http://schemas.openxmlformats.org/officeDocument/2006/relationships/hyperlink" Target="https://ich.unesco.org/en/d%C3%A9cisions/16.COM/14?dec=decisions&amp;ref_decision=16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en/Decisions/14.COM/14" TargetMode="External"/><Relationship Id="rId24" Type="http://schemas.openxmlformats.org/officeDocument/2006/relationships/hyperlink" Target="https://ich.unesco.org/doc/src/LHE-22-17.COM_WG-Recommendations_EN.docx" TargetMode="External"/><Relationship Id="rId32" Type="http://schemas.openxmlformats.org/officeDocument/2006/relationships/hyperlink" Target="https://ich.unesco.org/doc/src/LHE-22-5.EXT.COM-4_EN.docx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ch.unesco.org/en/Decisions/14.COM/14" TargetMode="External"/><Relationship Id="rId23" Type="http://schemas.openxmlformats.org/officeDocument/2006/relationships/hyperlink" Target="https://ich.unesco.org/en/Decisions/16.COM/14" TargetMode="External"/><Relationship Id="rId28" Type="http://schemas.openxmlformats.org/officeDocument/2006/relationships/hyperlink" Target="https://ich.unesco.org/doc/src/LHE-22-5.EXT.COM-4_EN.docx" TargetMode="External"/><Relationship Id="rId36" Type="http://schemas.openxmlformats.org/officeDocument/2006/relationships/header" Target="header4.xml"/><Relationship Id="rId10" Type="http://schemas.openxmlformats.org/officeDocument/2006/relationships/hyperlink" Target="https://ich.unesco.org/doc/src/LHE-19-14.COM-14-EN.docx" TargetMode="External"/><Relationship Id="rId19" Type="http://schemas.openxmlformats.org/officeDocument/2006/relationships/hyperlink" Target="https://ich.unesco.org/doc/src/LHE-21-EXP-INF.1.pdf" TargetMode="External"/><Relationship Id="rId31" Type="http://schemas.openxmlformats.org/officeDocument/2006/relationships/hyperlink" Target="https://ich.unesco.org/en/Decisions/5.EXT.COM/4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ich.unesco.org/en/Decisions/14.COM/10" TargetMode="External"/><Relationship Id="rId22" Type="http://schemas.openxmlformats.org/officeDocument/2006/relationships/hyperlink" Target="https://ich.unesco.org/doc/src/LHE-21-16.COM_WG-Recommandations_EN.docx" TargetMode="External"/><Relationship Id="rId27" Type="http://schemas.openxmlformats.org/officeDocument/2006/relationships/hyperlink" Target="https://ich.unesco.org/en/Decisions/16.COM/14" TargetMode="External"/><Relationship Id="rId30" Type="http://schemas.openxmlformats.org/officeDocument/2006/relationships/hyperlink" Target="https://ich.unesco.org/doc/src/LHE-21-16.COM-14-EN.docx" TargetMode="External"/><Relationship Id="rId35" Type="http://schemas.openxmlformats.org/officeDocument/2006/relationships/hyperlink" Target="https://ich.unesco.org/en/Decisions/5.EXT.COM/4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en/Decisions/8.GA/11" TargetMode="External"/><Relationship Id="rId13" Type="http://schemas.openxmlformats.org/officeDocument/2006/relationships/hyperlink" Target="https://ich.unesco.org/en/Decisions/14.COM/14" TargetMode="External"/><Relationship Id="rId3" Type="http://schemas.openxmlformats.org/officeDocument/2006/relationships/hyperlink" Target="https://ich.unesco.org/en/Decisions/14.COM/10" TargetMode="External"/><Relationship Id="rId7" Type="http://schemas.openxmlformats.org/officeDocument/2006/relationships/hyperlink" Target="https://ich.unesco.org/en/Decisions/14.COM/14" TargetMode="External"/><Relationship Id="rId12" Type="http://schemas.openxmlformats.org/officeDocument/2006/relationships/hyperlink" Target="https://ich.unesco.org/en/Decisions/15.COM/8" TargetMode="External"/><Relationship Id="rId2" Type="http://schemas.openxmlformats.org/officeDocument/2006/relationships/hyperlink" Target="https://ich.unesco.org/en/Decisions/13.COM/10" TargetMode="External"/><Relationship Id="rId1" Type="http://schemas.openxmlformats.org/officeDocument/2006/relationships/hyperlink" Target="https://ich.unesco.org/en/global-reflection-on-the-listing-mechanisms-01164" TargetMode="External"/><Relationship Id="rId6" Type="http://schemas.openxmlformats.org/officeDocument/2006/relationships/hyperlink" Target="https://ich.unesco.org/en/Decisions/12.COM/14" TargetMode="External"/><Relationship Id="rId11" Type="http://schemas.openxmlformats.org/officeDocument/2006/relationships/hyperlink" Target="https://ich.unesco.org/en/Decisions/8.GA/11" TargetMode="External"/><Relationship Id="rId5" Type="http://schemas.openxmlformats.org/officeDocument/2006/relationships/hyperlink" Target="https://ich.unesco.org/en/Decisions/10.COM/19" TargetMode="External"/><Relationship Id="rId10" Type="http://schemas.openxmlformats.org/officeDocument/2006/relationships/hyperlink" Target="https://ich.unesco.org/en/Decisions/15.COM/7" TargetMode="External"/><Relationship Id="rId4" Type="http://schemas.openxmlformats.org/officeDocument/2006/relationships/hyperlink" Target="https://ich.unesco.org/en/Decisions/14.COM/14" TargetMode="External"/><Relationship Id="rId9" Type="http://schemas.openxmlformats.org/officeDocument/2006/relationships/hyperlink" Target="https://ich.unesco.org/en/Decisions/13.COM/9" TargetMode="External"/><Relationship Id="rId14" Type="http://schemas.openxmlformats.org/officeDocument/2006/relationships/hyperlink" Target="https://ich.unesco.org/en/Decisions/15.COM/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C4C02-DE28-46B2-9786-B9A4B6114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GA_Working document_EN.dotx</Template>
  <TotalTime>46</TotalTime>
  <Pages>2</Pages>
  <Words>6819</Words>
  <Characters>38869</Characters>
  <Application>Microsoft Office Word</Application>
  <DocSecurity>0</DocSecurity>
  <Lines>323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45597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Shin, Eunkyung</dc:creator>
  <cp:keywords/>
  <cp:lastModifiedBy>Nakata, Julien</cp:lastModifiedBy>
  <cp:revision>29</cp:revision>
  <cp:lastPrinted>2011-08-06T09:22:00Z</cp:lastPrinted>
  <dcterms:created xsi:type="dcterms:W3CDTF">2022-07-01T16:34:00Z</dcterms:created>
  <dcterms:modified xsi:type="dcterms:W3CDTF">2022-07-02T21:01:00Z</dcterms:modified>
</cp:coreProperties>
</file>