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6D3C" w14:textId="72C64FA9" w:rsidR="00655736" w:rsidRPr="009566AE" w:rsidRDefault="00655736" w:rsidP="00632401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9566AE">
        <w:rPr>
          <w:rFonts w:ascii="Arial" w:hAnsi="Arial"/>
          <w:b/>
          <w:sz w:val="22"/>
        </w:rPr>
        <w:t>КОНВЕНЦИЯ ОБ ОХРАНЕ</w:t>
      </w:r>
      <w:bookmarkStart w:id="0" w:name="_Hlk105184981"/>
      <w:r w:rsidR="00632401" w:rsidRPr="007E70EA">
        <w:rPr>
          <w:rFonts w:ascii="Arial" w:hAnsi="Arial" w:cs="Arial"/>
          <w:b/>
          <w:sz w:val="22"/>
          <w:szCs w:val="22"/>
        </w:rPr>
        <w:br/>
      </w:r>
      <w:bookmarkEnd w:id="0"/>
      <w:r w:rsidRPr="009566AE">
        <w:rPr>
          <w:rFonts w:ascii="Arial" w:hAnsi="Arial"/>
          <w:b/>
          <w:sz w:val="22"/>
        </w:rPr>
        <w:t>НЕМАТЕРИАЛЬНОГО КУЛЬТУРНОГО НАСЛЕДИЯ</w:t>
      </w:r>
    </w:p>
    <w:p w14:paraId="2CDB5643" w14:textId="77777777" w:rsidR="00655736" w:rsidRPr="009566AE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9566AE">
        <w:rPr>
          <w:rFonts w:ascii="Arial" w:hAnsi="Arial"/>
          <w:b/>
          <w:sz w:val="22"/>
        </w:rPr>
        <w:t>ГЕНЕРАЛЬНАЯ АССАМБЛЕЯ ГОСУДАРСТВ – УЧАСТНИКОВ КОНВЕНЦИИ</w:t>
      </w:r>
    </w:p>
    <w:p w14:paraId="75891C68" w14:textId="17A6551A" w:rsidR="00D95C4C" w:rsidRPr="009566AE" w:rsidRDefault="003265D0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9566AE">
        <w:rPr>
          <w:rFonts w:ascii="Arial" w:hAnsi="Arial"/>
          <w:b/>
          <w:sz w:val="22"/>
        </w:rPr>
        <w:t>Девятая сессия</w:t>
      </w:r>
    </w:p>
    <w:p w14:paraId="2813BA58" w14:textId="77777777" w:rsidR="00D95C4C" w:rsidRPr="009566AE" w:rsidRDefault="00D95C4C" w:rsidP="00D95C4C">
      <w:pPr>
        <w:jc w:val="center"/>
        <w:rPr>
          <w:rFonts w:ascii="Arial" w:hAnsi="Arial" w:cs="Arial"/>
          <w:b/>
          <w:sz w:val="22"/>
          <w:szCs w:val="22"/>
        </w:rPr>
      </w:pPr>
      <w:r w:rsidRPr="009566AE">
        <w:rPr>
          <w:rFonts w:ascii="Arial" w:hAnsi="Arial"/>
          <w:b/>
          <w:sz w:val="22"/>
        </w:rPr>
        <w:t>Штаб-квартира ЮНЕСКО, зал I</w:t>
      </w:r>
    </w:p>
    <w:p w14:paraId="17E07F7D" w14:textId="5799B785" w:rsidR="00655736" w:rsidRPr="009566AE" w:rsidRDefault="003265D0" w:rsidP="00D95C4C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9566AE">
        <w:rPr>
          <w:rFonts w:ascii="Arial" w:hAnsi="Arial"/>
          <w:b/>
          <w:sz w:val="22"/>
        </w:rPr>
        <w:t>5 – 7</w:t>
      </w:r>
      <w:proofErr w:type="gramEnd"/>
      <w:r w:rsidRPr="009566AE">
        <w:rPr>
          <w:rFonts w:ascii="Arial" w:hAnsi="Arial"/>
          <w:b/>
          <w:sz w:val="22"/>
        </w:rPr>
        <w:t xml:space="preserve"> июля 2022 г.</w:t>
      </w:r>
    </w:p>
    <w:p w14:paraId="1A8796C2" w14:textId="5547A5AB" w:rsidR="00655736" w:rsidRPr="009566AE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9566AE">
        <w:rPr>
          <w:rFonts w:ascii="Arial" w:hAnsi="Arial"/>
          <w:b/>
          <w:sz w:val="22"/>
          <w:u w:val="single"/>
        </w:rPr>
        <w:t>Пункт 7 предварительной повестки дня</w:t>
      </w:r>
      <w:r w:rsidRPr="009566AE">
        <w:rPr>
          <w:rFonts w:ascii="Arial" w:hAnsi="Arial"/>
          <w:b/>
          <w:sz w:val="22"/>
        </w:rPr>
        <w:t>:</w:t>
      </w:r>
    </w:p>
    <w:p w14:paraId="5EAF5ABB" w14:textId="1C6F2FAD" w:rsidR="002F312A" w:rsidRPr="009566AE" w:rsidRDefault="00DC6754" w:rsidP="007E70EA">
      <w:pPr>
        <w:pStyle w:val="Sansinterligne2"/>
        <w:spacing w:after="1200"/>
        <w:jc w:val="center"/>
        <w:rPr>
          <w:rFonts w:ascii="Arial" w:hAnsi="Arial"/>
          <w:b/>
          <w:sz w:val="22"/>
        </w:rPr>
      </w:pPr>
      <w:r w:rsidRPr="009566AE">
        <w:rPr>
          <w:rFonts w:ascii="Arial" w:hAnsi="Arial"/>
          <w:b/>
          <w:sz w:val="22"/>
        </w:rPr>
        <w:t xml:space="preserve">Аккредитация неправительственных организаций с целью выполнения консультативных функций при Комитете </w:t>
      </w:r>
      <w:proofErr w:type="spellStart"/>
      <w:r w:rsidR="00F160B9" w:rsidRPr="009566AE">
        <w:rPr>
          <w:rFonts w:ascii="Arial" w:hAnsi="Arial"/>
          <w:b/>
          <w:sz w:val="22"/>
        </w:rPr>
        <w:t>ций</w:t>
      </w:r>
      <w:proofErr w:type="spellEnd"/>
      <w:r w:rsidR="00F160B9" w:rsidRPr="009566AE">
        <w:rPr>
          <w:rFonts w:ascii="Arial" w:hAnsi="Arial"/>
          <w:b/>
          <w:sz w:val="22"/>
        </w:rPr>
        <w:t xml:space="preserve"> при Комитете 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55736" w:rsidRPr="009566AE" w14:paraId="796B6D01" w14:textId="77777777" w:rsidTr="007A6B7A">
        <w:trPr>
          <w:jc w:val="center"/>
        </w:trPr>
        <w:tc>
          <w:tcPr>
            <w:tcW w:w="5669" w:type="dxa"/>
            <w:vAlign w:val="center"/>
          </w:tcPr>
          <w:p w14:paraId="5452505D" w14:textId="35281FC5" w:rsidR="00972FCE" w:rsidRPr="009566AE" w:rsidRDefault="00972FCE" w:rsidP="007A6B7A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6AE">
              <w:rPr>
                <w:rFonts w:ascii="Arial" w:hAnsi="Arial"/>
                <w:b/>
                <w:sz w:val="22"/>
              </w:rPr>
              <w:t>Резюме</w:t>
            </w:r>
          </w:p>
          <w:p w14:paraId="16219C25" w14:textId="30DB4A51" w:rsidR="00CC0BE1" w:rsidRPr="009566AE" w:rsidRDefault="00972FCE">
            <w:pPr>
              <w:pStyle w:val="Sansinterligne2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AE">
              <w:rPr>
                <w:rFonts w:ascii="Arial" w:hAnsi="Arial"/>
                <w:sz w:val="22"/>
              </w:rPr>
              <w:t xml:space="preserve">Настоящей сессии Ассамблеи предлагается, в соответствии со Статьей 9.1 Конвенции, принять решение об аккредитации неправительственных организаций для выполнения консультативных функций при Комитете на основании предложения, выдвинутого в ходе шестнадцатой сессии Комитета. </w:t>
            </w:r>
            <w:r w:rsidRPr="007E70EA">
              <w:rPr>
                <w:rFonts w:ascii="Arial" w:hAnsi="Arial"/>
                <w:sz w:val="22"/>
              </w:rPr>
              <w:t xml:space="preserve">Также представляются </w:t>
            </w:r>
            <w:r w:rsidR="00182B88" w:rsidRPr="009566AE">
              <w:rPr>
                <w:rFonts w:ascii="Arial" w:hAnsi="Arial"/>
                <w:sz w:val="22"/>
              </w:rPr>
              <w:t>предложения</w:t>
            </w:r>
            <w:r w:rsidR="00BB6A81" w:rsidRPr="007E70EA">
              <w:rPr>
                <w:rFonts w:ascii="Arial" w:hAnsi="Arial"/>
                <w:sz w:val="22"/>
              </w:rPr>
              <w:t xml:space="preserve"> </w:t>
            </w:r>
            <w:r w:rsidR="00BB6A81" w:rsidRPr="009566AE">
              <w:rPr>
                <w:rFonts w:ascii="Arial" w:hAnsi="Arial"/>
                <w:sz w:val="22"/>
              </w:rPr>
              <w:t>по</w:t>
            </w:r>
            <w:r w:rsidRPr="007E70EA">
              <w:rPr>
                <w:rFonts w:ascii="Arial" w:hAnsi="Arial"/>
                <w:sz w:val="22"/>
              </w:rPr>
              <w:t xml:space="preserve"> рассмотрени</w:t>
            </w:r>
            <w:r w:rsidR="00BB6A81" w:rsidRPr="009566AE">
              <w:rPr>
                <w:rFonts w:ascii="Arial" w:hAnsi="Arial"/>
                <w:sz w:val="22"/>
              </w:rPr>
              <w:t>ю</w:t>
            </w:r>
            <w:r w:rsidRPr="007E70EA">
              <w:rPr>
                <w:rFonts w:ascii="Arial" w:hAnsi="Arial"/>
                <w:sz w:val="22"/>
              </w:rPr>
              <w:t xml:space="preserve"> заявок на аккредитацию и </w:t>
            </w:r>
            <w:r w:rsidR="00C6287D" w:rsidRPr="009566AE">
              <w:rPr>
                <w:rFonts w:ascii="Arial" w:hAnsi="Arial"/>
                <w:sz w:val="22"/>
              </w:rPr>
              <w:t>на</w:t>
            </w:r>
            <w:r w:rsidR="00C6287D" w:rsidRPr="007E70EA">
              <w:rPr>
                <w:rFonts w:ascii="Arial" w:hAnsi="Arial"/>
                <w:sz w:val="22"/>
              </w:rPr>
              <w:t xml:space="preserve"> </w:t>
            </w:r>
            <w:r w:rsidRPr="007E70EA">
              <w:rPr>
                <w:rFonts w:ascii="Arial" w:hAnsi="Arial"/>
                <w:sz w:val="22"/>
              </w:rPr>
              <w:t>продление аккредитации.</w:t>
            </w:r>
          </w:p>
          <w:p w14:paraId="7D45CA36" w14:textId="2907BB04" w:rsidR="00655736" w:rsidRPr="009566AE" w:rsidRDefault="00FB6630" w:rsidP="00CC0BE1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66AE">
              <w:rPr>
                <w:rFonts w:ascii="Arial" w:hAnsi="Arial"/>
                <w:b/>
                <w:sz w:val="22"/>
              </w:rPr>
              <w:t xml:space="preserve">Требуемое решение: </w:t>
            </w:r>
            <w:r w:rsidRPr="009566AE">
              <w:rPr>
                <w:rFonts w:ascii="Arial" w:hAnsi="Arial"/>
                <w:sz w:val="22"/>
              </w:rPr>
              <w:t>пункт 13</w:t>
            </w:r>
          </w:p>
        </w:tc>
      </w:tr>
    </w:tbl>
    <w:p w14:paraId="3059674B" w14:textId="77777777" w:rsidR="00972FCE" w:rsidRPr="009566AE" w:rsidRDefault="00972FCE">
      <w:pPr>
        <w:rPr>
          <w:rFonts w:ascii="Arial" w:hAnsi="Arial" w:cs="Arial"/>
          <w:b/>
          <w:sz w:val="22"/>
          <w:szCs w:val="22"/>
        </w:rPr>
      </w:pPr>
      <w:r w:rsidRPr="009566AE">
        <w:br w:type="page"/>
      </w:r>
    </w:p>
    <w:p w14:paraId="4DF53EDE" w14:textId="23E55778" w:rsidR="00391AC6" w:rsidRPr="009566AE" w:rsidRDefault="00391AC6" w:rsidP="00391AC6">
      <w:pPr>
        <w:pStyle w:val="COMTitleDecis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628"/>
        </w:tabs>
        <w:spacing w:before="360" w:after="240"/>
        <w:ind w:hanging="567"/>
      </w:pPr>
      <w:r w:rsidRPr="009566AE">
        <w:lastRenderedPageBreak/>
        <w:t>Введение</w:t>
      </w:r>
    </w:p>
    <w:p w14:paraId="6CE498AF" w14:textId="7084D2B7" w:rsidR="00D51826" w:rsidRPr="009566AE" w:rsidRDefault="00B8078F" w:rsidP="00D51826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9566AE">
        <w:rPr>
          <w:b w:val="0"/>
        </w:rPr>
        <w:t>Согласно Статье 9.1 Конвенции, Комитет предлагает Генеральной ассамблее аккредитацию неправительственных организаций (НПО), обладающих признанной компетенцией в области нематериального культурного наследия для выполнения консультативных функций при Комитете. Критерии и методы данной аккредитации включены в Главу III.2.2 Оперативного руководства (пункты 91–99). На сегодняшний день Генеральная Ассамблея аккредитовала 267 таких организаций.</w:t>
      </w:r>
      <w:r w:rsidR="004368A3" w:rsidRPr="007E70EA">
        <w:rPr>
          <w:rStyle w:val="FootnoteReference"/>
          <w:b w:val="0"/>
          <w:snapToGrid w:val="0"/>
          <w:lang w:eastAsia="en-US"/>
        </w:rPr>
        <w:footnoteReference w:id="1"/>
      </w:r>
    </w:p>
    <w:p w14:paraId="26E62FA8" w14:textId="6C3C2FF4" w:rsidR="00361D79" w:rsidRPr="009566AE" w:rsidRDefault="00361D79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9566AE">
        <w:rPr>
          <w:b w:val="0"/>
        </w:rPr>
        <w:t>Комитет оценивает вклад консультативной организации и ее приверженность целям один раз в четыре года после ее аккредитации на основании методов и процедур процесса рассмотрения, определенных в Главе III.2.2 Оперативного руководства (пункты 92–95). По результатам указанной оценки Комитет может принять решение продолжить или прекратить отношения с соответствующими НПО. В соответствии с решениями, принятыми Комитетом в данном отношении за последние циклы,</w:t>
      </w:r>
      <w:r w:rsidR="00C01618" w:rsidRPr="007E70EA">
        <w:rPr>
          <w:rStyle w:val="FootnoteReference"/>
          <w:b w:val="0"/>
          <w:snapToGrid w:val="0"/>
          <w:lang w:eastAsia="en-US"/>
        </w:rPr>
        <w:footnoteReference w:id="2"/>
      </w:r>
      <w:r w:rsidRPr="009566AE">
        <w:rPr>
          <w:b w:val="0"/>
        </w:rPr>
        <w:t xml:space="preserve"> 184 </w:t>
      </w:r>
      <w:r w:rsidRPr="009566AE">
        <w:rPr>
          <w:b w:val="0"/>
          <w:snapToGrid w:val="0"/>
        </w:rPr>
        <w:t xml:space="preserve">НПО аккредитованы для выполнения консультативных функций при Комитете. Их </w:t>
      </w:r>
      <w:r w:rsidRPr="009566AE">
        <w:rPr>
          <w:b w:val="0"/>
        </w:rPr>
        <w:t>географическое</w:t>
      </w:r>
      <w:r w:rsidRPr="009566AE">
        <w:rPr>
          <w:b w:val="0"/>
          <w:snapToGrid w:val="0"/>
        </w:rPr>
        <w:t xml:space="preserve"> представительство выглядит следующим образом (Рисунок 1): Избирательная группа I: 99; Избирательная группа II: 20; Избирательная группа III: 10; Избирательная группа IV: 25; Избирательная группа V(a): 23 и Избирательная группа V(b): 7.</w:t>
      </w:r>
    </w:p>
    <w:p w14:paraId="4EDFF711" w14:textId="5093B768" w:rsidR="00B715A7" w:rsidRPr="009566AE" w:rsidRDefault="003929D2" w:rsidP="007E70EA">
      <w:pPr>
        <w:pStyle w:val="COMTitleDecision"/>
        <w:keepNext w:val="0"/>
        <w:widowControl w:val="0"/>
        <w:spacing w:after="240"/>
        <w:jc w:val="center"/>
        <w:rPr>
          <w:b w:val="0"/>
          <w:bCs/>
        </w:rPr>
      </w:pPr>
      <w:r w:rsidRPr="007E70EA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F4162" wp14:editId="5AC79016">
                <wp:simplePos x="0" y="0"/>
                <wp:positionH relativeFrom="column">
                  <wp:posOffset>2971629</wp:posOffset>
                </wp:positionH>
                <wp:positionV relativeFrom="paragraph">
                  <wp:posOffset>556867</wp:posOffset>
                </wp:positionV>
                <wp:extent cx="566382" cy="300250"/>
                <wp:effectExtent l="0" t="0" r="571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82" cy="3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25BE" w14:textId="0207B148" w:rsidR="003929D2" w:rsidRPr="007E70EA" w:rsidRDefault="00CF0045" w:rsidP="00CF0045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E70EA">
                              <w:rPr>
                                <w:rFonts w:ascii="Calibri" w:hAnsi="Calibri"/>
                                <w:color w:val="595959"/>
                                <w:sz w:val="18"/>
                              </w:rPr>
                              <w:t>Группа V</w:t>
                            </w:r>
                            <w:r w:rsidR="003929D2">
                              <w:rPr>
                                <w:rFonts w:ascii="Calibri" w:hAnsi="Calibri"/>
                                <w:color w:val="595959"/>
                                <w:sz w:val="18"/>
                                <w:lang w:val="fr-FR"/>
                              </w:rPr>
                              <w:t>(</w:t>
                            </w:r>
                            <w:r w:rsidRPr="007E70EA">
                              <w:rPr>
                                <w:rFonts w:ascii="Calibri" w:hAnsi="Calibri"/>
                                <w:color w:val="595959"/>
                                <w:sz w:val="18"/>
                              </w:rPr>
                              <w:t>b</w:t>
                            </w:r>
                            <w:r w:rsidR="003929D2">
                              <w:rPr>
                                <w:rFonts w:ascii="Calibri" w:hAnsi="Calibri"/>
                                <w:color w:val="595959"/>
                                <w:sz w:val="18"/>
                                <w:lang w:val="fr-FR"/>
                              </w:rPr>
                              <w:t>)</w:t>
                            </w:r>
                          </w:p>
                          <w:p w14:paraId="0DA37B23" w14:textId="54BE9D69" w:rsidR="00CF0045" w:rsidRPr="007E70EA" w:rsidRDefault="00CF0045" w:rsidP="003929D2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E70EA">
                              <w:rPr>
                                <w:rFonts w:ascii="Calibri" w:hAnsi="Calibri"/>
                                <w:color w:val="595959"/>
                                <w:sz w:val="18"/>
                              </w:rPr>
                              <w:t>4%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F4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43.85pt;width:44.6pt;height:2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" fillcolor="white [3212]" stroked="f">
                <v:textbox inset="0,0,0,0">
                  <w:txbxContent>
                    <w:p w14:paraId="30BB25BE" w14:textId="0207B148" w:rsidR="003929D2" w:rsidRPr="007E70EA" w:rsidRDefault="00CF0045" w:rsidP="00CF0045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E70EA">
                        <w:rPr>
                          <w:rFonts w:ascii="Calibri" w:hAnsi="Calibri"/>
                          <w:color w:val="595959"/>
                          <w:sz w:val="18"/>
                        </w:rPr>
                        <w:t>Группа V</w:t>
                      </w:r>
                      <w:r w:rsidR="003929D2">
                        <w:rPr>
                          <w:rFonts w:ascii="Calibri" w:hAnsi="Calibri"/>
                          <w:color w:val="595959"/>
                          <w:sz w:val="18"/>
                          <w:lang w:val="fr-FR"/>
                        </w:rPr>
                        <w:t>(</w:t>
                      </w:r>
                      <w:r w:rsidRPr="007E70EA">
                        <w:rPr>
                          <w:rFonts w:ascii="Calibri" w:hAnsi="Calibri"/>
                          <w:color w:val="595959"/>
                          <w:sz w:val="18"/>
                        </w:rPr>
                        <w:t>b</w:t>
                      </w:r>
                      <w:r w:rsidR="003929D2">
                        <w:rPr>
                          <w:rFonts w:ascii="Calibri" w:hAnsi="Calibri"/>
                          <w:color w:val="595959"/>
                          <w:sz w:val="18"/>
                          <w:lang w:val="fr-FR"/>
                        </w:rPr>
                        <w:t>)</w:t>
                      </w:r>
                    </w:p>
                    <w:p w14:paraId="0DA37B23" w14:textId="54BE9D69" w:rsidR="00CF0045" w:rsidRPr="007E70EA" w:rsidRDefault="00CF0045" w:rsidP="003929D2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E70EA">
                        <w:rPr>
                          <w:rFonts w:ascii="Calibri" w:hAnsi="Calibri"/>
                          <w:color w:val="595959"/>
                          <w:sz w:val="18"/>
                        </w:rPr>
                        <w:t>4%</w:t>
                      </w:r>
                    </w:p>
                  </w:txbxContent>
                </v:textbox>
              </v:shape>
            </w:pict>
          </mc:Fallback>
        </mc:AlternateContent>
      </w:r>
      <w:r w:rsidR="005F63DD" w:rsidRPr="007E70EA">
        <w:rPr>
          <w:b w:val="0"/>
          <w:noProof/>
        </w:rPr>
        <w:drawing>
          <wp:inline distT="0" distB="0" distL="0" distR="0" wp14:anchorId="485C6F5E" wp14:editId="34EF89B0">
            <wp:extent cx="5427345" cy="2732629"/>
            <wp:effectExtent l="0" t="0" r="1905" b="10795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BE3413" w14:textId="139CE7BF" w:rsidR="00F160B9" w:rsidRPr="009566AE" w:rsidRDefault="00ED5CF8" w:rsidP="00F160B9">
      <w:pPr>
        <w:pStyle w:val="COMTitleDecision"/>
        <w:numPr>
          <w:ilvl w:val="0"/>
          <w:numId w:val="20"/>
        </w:numPr>
        <w:spacing w:before="120"/>
        <w:ind w:left="567" w:hanging="567"/>
        <w:rPr>
          <w:bCs/>
          <w:snapToGrid w:val="0"/>
        </w:rPr>
      </w:pPr>
      <w:r w:rsidRPr="007E70EA">
        <w:rPr>
          <w:b w:val="0"/>
        </w:rPr>
        <w:t xml:space="preserve">Географическое представительство аккредитованных НПО </w:t>
      </w:r>
      <w:proofErr w:type="gramStart"/>
      <w:r w:rsidRPr="007E70EA">
        <w:rPr>
          <w:b w:val="0"/>
        </w:rPr>
        <w:t>продолжает оставаться</w:t>
      </w:r>
      <w:proofErr w:type="gramEnd"/>
      <w:r w:rsidRPr="007E70EA">
        <w:rPr>
          <w:b w:val="0"/>
        </w:rPr>
        <w:t xml:space="preserve"> несбалансированным.</w:t>
      </w:r>
      <w:r w:rsidRPr="0003139A">
        <w:rPr>
          <w:b w:val="0"/>
        </w:rPr>
        <w:t xml:space="preserve"> </w:t>
      </w:r>
      <w:r w:rsidR="00F160B9" w:rsidRPr="0003139A">
        <w:rPr>
          <w:b w:val="0"/>
        </w:rPr>
        <w:t>На своей</w:t>
      </w:r>
      <w:r w:rsidR="00F160B9" w:rsidRPr="009566AE">
        <w:rPr>
          <w:b w:val="0"/>
        </w:rPr>
        <w:t xml:space="preserve"> восьмой сессии Генеральная Ассамблея призвала НПО стран и регионов с наиболее низким уровнем представительства, которые отвечают критериям аккредитации, подать заявки на аккредитацию при первой возможности в целях улучшения географического представительства аккредитованных организаций </w:t>
      </w:r>
      <w:r w:rsidR="00F160B9" w:rsidRPr="009566AE">
        <w:rPr>
          <w:b w:val="0"/>
        </w:rPr>
        <w:lastRenderedPageBreak/>
        <w:t xml:space="preserve">(Резолюция </w:t>
      </w:r>
      <w:hyperlink r:id="rId9" w:history="1">
        <w:r w:rsidR="00F160B9" w:rsidRPr="009566AE">
          <w:rPr>
            <w:rStyle w:val="Hyperlink"/>
            <w:b w:val="0"/>
            <w:bCs/>
          </w:rPr>
          <w:t>8.GA 13</w:t>
        </w:r>
      </w:hyperlink>
      <w:r w:rsidR="00F160B9" w:rsidRPr="009566AE">
        <w:rPr>
          <w:b w:val="0"/>
        </w:rPr>
        <w:t xml:space="preserve">). В ходе шестнадцатой сессии Комитета было установлено, что географическое распределение аккредитованных НПО остается несправедливым, и было предложено государствам-участникам из недостаточно представленных избирательных групп призвать НПО, действующие на их территориях, представить свои заявки на аккредитацию (Решение </w:t>
      </w:r>
      <w:hyperlink r:id="rId10" w:history="1">
        <w:r w:rsidR="00F160B9" w:rsidRPr="009566AE">
          <w:rPr>
            <w:rStyle w:val="Hyperlink"/>
            <w:rFonts w:asciiTheme="minorBidi" w:hAnsiTheme="minorBidi"/>
            <w:b w:val="0"/>
            <w:bCs/>
            <w:snapToGrid w:val="0"/>
          </w:rPr>
          <w:t>16.COM 15</w:t>
        </w:r>
      </w:hyperlink>
      <w:r w:rsidR="00F160B9" w:rsidRPr="009566AE">
        <w:rPr>
          <w:b w:val="0"/>
        </w:rPr>
        <w:t>).</w:t>
      </w:r>
    </w:p>
    <w:p w14:paraId="20E3D5C7" w14:textId="31CD16A6" w:rsidR="009320D9" w:rsidRPr="009566AE" w:rsidRDefault="00CD3FDF" w:rsidP="00921EDB">
      <w:pPr>
        <w:pStyle w:val="COMTitleDecision"/>
        <w:numPr>
          <w:ilvl w:val="0"/>
          <w:numId w:val="28"/>
        </w:numPr>
        <w:ind w:left="567" w:hanging="567"/>
      </w:pPr>
      <w:r w:rsidRPr="009566AE">
        <w:t>Аккредитация НПО, рекомендованных на шестнадцатом заседании Комитета</w:t>
      </w:r>
    </w:p>
    <w:p w14:paraId="4A3195A7" w14:textId="63E59BB6" w:rsidR="001D70CC" w:rsidRPr="001D5B35" w:rsidRDefault="00D51E08" w:rsidP="00C2150F">
      <w:pPr>
        <w:pStyle w:val="COMTitleDecision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7E70EA">
        <w:rPr>
          <w:b w:val="0"/>
          <w:bCs/>
        </w:rPr>
        <w:t xml:space="preserve">На своей шестнадцатой сессии в 2021 году Комитет рассмотрел новые заявки на аккредитацию, полученные от сорока шести НПО, и рекомендовал Генеральной Ассамблее аккредитовать тридцать две из них (Решение </w:t>
      </w:r>
      <w:hyperlink r:id="rId11" w:history="1">
        <w:r w:rsidRPr="007E70EA">
          <w:rPr>
            <w:rStyle w:val="Hyperlink"/>
            <w:rFonts w:asciiTheme="minorBidi" w:hAnsiTheme="minorBidi"/>
            <w:b w:val="0"/>
            <w:bCs/>
            <w:snapToGrid w:val="0"/>
          </w:rPr>
          <w:t>16.COM 15</w:t>
        </w:r>
      </w:hyperlink>
      <w:r w:rsidRPr="007E70EA">
        <w:rPr>
          <w:b w:val="0"/>
          <w:bCs/>
        </w:rPr>
        <w:t>). Эти организации перечислены в Приложении I. На веб-сайте Конвенции можно ознакомиться со всеми заявками, которые были представлены своевременно для рассмотрения Комитетом, на языках, на которых они были представлены, а именно, в стандартной Форме ICH-09, которую заполнила каждая организация, вместе с соответствующими дополнительными документами, в отношении пунктов 8.a, 8.b и 8c этой формы.</w:t>
      </w:r>
    </w:p>
    <w:p w14:paraId="729D2013" w14:textId="4DEFEB25" w:rsidR="00DB0EC9" w:rsidRPr="007E70EA" w:rsidRDefault="00782705" w:rsidP="00921EDB">
      <w:pPr>
        <w:pStyle w:val="COMTitleDecision"/>
        <w:numPr>
          <w:ilvl w:val="0"/>
          <w:numId w:val="28"/>
        </w:numPr>
        <w:ind w:left="567" w:hanging="567"/>
      </w:pPr>
      <w:r w:rsidRPr="00F60563">
        <w:t xml:space="preserve">Заявки на </w:t>
      </w:r>
      <w:r w:rsidR="00FE3A57" w:rsidRPr="00F60563">
        <w:t>а</w:t>
      </w:r>
      <w:r w:rsidR="00806D8C" w:rsidRPr="00F60563">
        <w:t>ккредитаци</w:t>
      </w:r>
      <w:r w:rsidR="00FE3A57" w:rsidRPr="00F60563">
        <w:t>ю</w:t>
      </w:r>
      <w:r w:rsidR="00806D8C" w:rsidRPr="00F60563">
        <w:t xml:space="preserve"> НПО</w:t>
      </w:r>
      <w:r w:rsidR="00DB0EC9" w:rsidRPr="007E70EA">
        <w:t>, рассмотрение котор</w:t>
      </w:r>
      <w:r w:rsidR="00FE3A57" w:rsidRPr="00F60563">
        <w:t>ых</w:t>
      </w:r>
      <w:r w:rsidR="00DB0EC9" w:rsidRPr="007E70EA">
        <w:t xml:space="preserve"> было отложено до Генеральной</w:t>
      </w:r>
      <w:r w:rsidR="00DB0EC9" w:rsidRPr="007E70EA">
        <w:rPr>
          <w:snapToGrid w:val="0"/>
        </w:rPr>
        <w:t xml:space="preserve"> Ассамблеи в ходе шестнадцатой сессии Комитета</w:t>
      </w:r>
    </w:p>
    <w:p w14:paraId="57044B23" w14:textId="0D3EEE10" w:rsidR="008712A4" w:rsidRPr="009566AE" w:rsidRDefault="00B770B1" w:rsidP="00921EDB">
      <w:pPr>
        <w:pStyle w:val="COMTitleDecision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9566AE">
        <w:rPr>
          <w:b w:val="0"/>
        </w:rPr>
        <w:t>19 декабря 2021 года, в ходе своей шестнадцатой сессии, Комитет был проинформирован об озабоченности, выраженной Мексикой (в форме двух вербальных нот от 13 декабря 2021 года) в отношении заявок на аккредитацию от двух следующих НПО (также указанных в Приложении II):</w:t>
      </w:r>
    </w:p>
    <w:p w14:paraId="33CCD0CB" w14:textId="77777777" w:rsidR="003555BE" w:rsidRPr="009566AE" w:rsidRDefault="003555BE" w:rsidP="003555BE">
      <w:pPr>
        <w:pStyle w:val="COMTitleDecision"/>
        <w:keepNext w:val="0"/>
        <w:widowControl w:val="0"/>
        <w:numPr>
          <w:ilvl w:val="0"/>
          <w:numId w:val="39"/>
        </w:numPr>
        <w:spacing w:before="120"/>
        <w:rPr>
          <w:b w:val="0"/>
        </w:rPr>
      </w:pPr>
      <w:r w:rsidRPr="009566AE">
        <w:rPr>
          <w:b w:val="0"/>
        </w:rPr>
        <w:t xml:space="preserve">Direct </w:t>
      </w:r>
      <w:proofErr w:type="spellStart"/>
      <w:r w:rsidRPr="009566AE">
        <w:rPr>
          <w:b w:val="0"/>
        </w:rPr>
        <w:t>Gradual</w:t>
      </w:r>
      <w:proofErr w:type="spellEnd"/>
      <w:r w:rsidRPr="009566AE">
        <w:rPr>
          <w:b w:val="0"/>
        </w:rPr>
        <w:t xml:space="preserve"> Development, </w:t>
      </w:r>
      <w:proofErr w:type="spellStart"/>
      <w:r w:rsidRPr="009566AE">
        <w:rPr>
          <w:b w:val="0"/>
        </w:rPr>
        <w:t>Civil</w:t>
      </w:r>
      <w:proofErr w:type="spellEnd"/>
      <w:r w:rsidRPr="009566AE">
        <w:rPr>
          <w:b w:val="0"/>
        </w:rPr>
        <w:t xml:space="preserve"> Association (NGO-90481) со штаб-квартирой в Мексике</w:t>
      </w:r>
    </w:p>
    <w:p w14:paraId="1292994E" w14:textId="423F9715" w:rsidR="008712A4" w:rsidRPr="005C4E40" w:rsidRDefault="0047616F" w:rsidP="0047616F">
      <w:pPr>
        <w:pStyle w:val="COMTitleDecision"/>
        <w:keepNext w:val="0"/>
        <w:widowControl w:val="0"/>
        <w:numPr>
          <w:ilvl w:val="0"/>
          <w:numId w:val="39"/>
        </w:numPr>
        <w:spacing w:before="120"/>
        <w:rPr>
          <w:b w:val="0"/>
        </w:rPr>
      </w:pPr>
      <w:r w:rsidRPr="008A377F">
        <w:rPr>
          <w:b w:val="0"/>
          <w:lang w:val="en-US"/>
        </w:rPr>
        <w:t>Institute</w:t>
      </w:r>
      <w:r w:rsidRPr="005C4E40">
        <w:rPr>
          <w:b w:val="0"/>
        </w:rPr>
        <w:t xml:space="preserve"> </w:t>
      </w:r>
      <w:r w:rsidRPr="008A377F">
        <w:rPr>
          <w:b w:val="0"/>
          <w:lang w:val="en-US"/>
        </w:rPr>
        <w:t>for</w:t>
      </w:r>
      <w:r w:rsidRPr="005C4E40">
        <w:rPr>
          <w:b w:val="0"/>
        </w:rPr>
        <w:t xml:space="preserve"> </w:t>
      </w:r>
      <w:r w:rsidRPr="008A377F">
        <w:rPr>
          <w:b w:val="0"/>
          <w:lang w:val="en-US"/>
        </w:rPr>
        <w:t>Intangible</w:t>
      </w:r>
      <w:r w:rsidRPr="005C4E40">
        <w:rPr>
          <w:b w:val="0"/>
        </w:rPr>
        <w:t xml:space="preserve"> </w:t>
      </w:r>
      <w:r w:rsidRPr="008A377F">
        <w:rPr>
          <w:b w:val="0"/>
          <w:lang w:val="en-US"/>
        </w:rPr>
        <w:t>Cultural</w:t>
      </w:r>
      <w:r w:rsidRPr="005C4E40">
        <w:rPr>
          <w:b w:val="0"/>
        </w:rPr>
        <w:t xml:space="preserve"> </w:t>
      </w:r>
      <w:r w:rsidRPr="008A377F">
        <w:rPr>
          <w:b w:val="0"/>
          <w:lang w:val="en-US"/>
        </w:rPr>
        <w:t>Heritage</w:t>
      </w:r>
      <w:r w:rsidRPr="005C4E40">
        <w:rPr>
          <w:b w:val="0"/>
        </w:rPr>
        <w:t xml:space="preserve"> </w:t>
      </w:r>
      <w:r w:rsidRPr="008A377F">
        <w:rPr>
          <w:b w:val="0"/>
          <w:lang w:val="en-US"/>
        </w:rPr>
        <w:t>IPACIM</w:t>
      </w:r>
      <w:r w:rsidRPr="005C4E40">
        <w:rPr>
          <w:b w:val="0"/>
        </w:rPr>
        <w:t xml:space="preserve"> (</w:t>
      </w:r>
      <w:r w:rsidRPr="008A377F">
        <w:rPr>
          <w:b w:val="0"/>
          <w:lang w:val="en-US"/>
        </w:rPr>
        <w:t>NGO</w:t>
      </w:r>
      <w:r w:rsidRPr="005C4E40">
        <w:rPr>
          <w:b w:val="0"/>
        </w:rPr>
        <w:t xml:space="preserve">-90493) </w:t>
      </w:r>
      <w:r w:rsidRPr="009566AE">
        <w:rPr>
          <w:b w:val="0"/>
        </w:rPr>
        <w:t>со</w:t>
      </w:r>
      <w:r w:rsidRPr="005C4E40">
        <w:rPr>
          <w:b w:val="0"/>
        </w:rPr>
        <w:t xml:space="preserve"> </w:t>
      </w:r>
      <w:r w:rsidRPr="009566AE">
        <w:rPr>
          <w:b w:val="0"/>
        </w:rPr>
        <w:t>штаб</w:t>
      </w:r>
      <w:r w:rsidRPr="005C4E40">
        <w:rPr>
          <w:b w:val="0"/>
        </w:rPr>
        <w:t>-</w:t>
      </w:r>
      <w:r w:rsidRPr="009566AE">
        <w:rPr>
          <w:b w:val="0"/>
        </w:rPr>
        <w:t>квартирой</w:t>
      </w:r>
      <w:r w:rsidRPr="005C4E40">
        <w:rPr>
          <w:b w:val="0"/>
        </w:rPr>
        <w:t xml:space="preserve"> </w:t>
      </w:r>
      <w:r w:rsidRPr="009566AE">
        <w:rPr>
          <w:b w:val="0"/>
        </w:rPr>
        <w:t>в</w:t>
      </w:r>
      <w:r w:rsidRPr="005C4E40">
        <w:rPr>
          <w:b w:val="0"/>
        </w:rPr>
        <w:t xml:space="preserve"> </w:t>
      </w:r>
      <w:r w:rsidRPr="009566AE">
        <w:rPr>
          <w:b w:val="0"/>
        </w:rPr>
        <w:t>Испании</w:t>
      </w:r>
    </w:p>
    <w:p w14:paraId="634ED811" w14:textId="6ED279A3" w:rsidR="006968E3" w:rsidRPr="009002D9" w:rsidRDefault="00D90ABA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9566AE">
        <w:rPr>
          <w:b w:val="0"/>
        </w:rPr>
        <w:t>Учитывая короткий срок уведомления, Комитет посчитал, что для определения того, соответствуют ли эти две организации критериям, изложенным в пункте 91</w:t>
      </w:r>
      <w:r w:rsidR="003555BE">
        <w:rPr>
          <w:b w:val="0"/>
          <w:lang w:val="en-GB"/>
        </w:rPr>
        <w:t> </w:t>
      </w:r>
      <w:r w:rsidRPr="009566AE">
        <w:rPr>
          <w:b w:val="0"/>
        </w:rPr>
        <w:t xml:space="preserve">Оперативного руководства, недостаточно информации; Комитетом было принято решение </w:t>
      </w:r>
      <w:r w:rsidRPr="009002D9">
        <w:rPr>
          <w:b w:val="0"/>
        </w:rPr>
        <w:t xml:space="preserve">отложить рассмотрение соответствующих заявок на аккредитацию до Генеральной Ассамблеи на основании дополнительной информации, которая будет представлена до ее девятой сессии (Решение </w:t>
      </w:r>
      <w:hyperlink r:id="rId12" w:history="1">
        <w:r w:rsidRPr="009002D9">
          <w:rPr>
            <w:rStyle w:val="Hyperlink"/>
            <w:rFonts w:asciiTheme="minorBidi" w:hAnsiTheme="minorBidi"/>
            <w:b w:val="0"/>
            <w:bCs/>
            <w:snapToGrid w:val="0"/>
          </w:rPr>
          <w:t>16.</w:t>
        </w:r>
        <w:r w:rsidR="00C46EBD" w:rsidRPr="009002D9">
          <w:rPr>
            <w:rStyle w:val="Hyperlink"/>
            <w:rFonts w:asciiTheme="minorBidi" w:hAnsiTheme="minorBidi"/>
            <w:b w:val="0"/>
            <w:bCs/>
            <w:snapToGrid w:val="0"/>
          </w:rPr>
          <w:t>COM</w:t>
        </w:r>
        <w:r w:rsidR="00C46EBD">
          <w:rPr>
            <w:rStyle w:val="Hyperlink"/>
            <w:rFonts w:asciiTheme="minorBidi" w:hAnsiTheme="minorBidi"/>
            <w:b w:val="0"/>
            <w:bCs/>
            <w:snapToGrid w:val="0"/>
            <w:lang w:val="fr-FR"/>
          </w:rPr>
          <w:t> </w:t>
        </w:r>
        <w:r w:rsidRPr="009002D9">
          <w:rPr>
            <w:rStyle w:val="Hyperlink"/>
            <w:rFonts w:asciiTheme="minorBidi" w:hAnsiTheme="minorBidi"/>
            <w:b w:val="0"/>
            <w:bCs/>
            <w:snapToGrid w:val="0"/>
          </w:rPr>
          <w:t>15</w:t>
        </w:r>
      </w:hyperlink>
      <w:r w:rsidRPr="009002D9">
        <w:rPr>
          <w:b w:val="0"/>
        </w:rPr>
        <w:t>).</w:t>
      </w:r>
    </w:p>
    <w:p w14:paraId="01BDEA50" w14:textId="5C594120" w:rsidR="00D7505E" w:rsidRPr="007E70EA" w:rsidRDefault="001862DB" w:rsidP="00921EDB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</w:rPr>
      </w:pPr>
      <w:r w:rsidRPr="009002D9">
        <w:rPr>
          <w:b w:val="0"/>
        </w:rPr>
        <w:t>7 марта 2022 года Секретариат обратился к национальным властям Мексики, чтобы: (a) уведомить, что вербальные ноты будут переданы соответствующим организациям, а также национальным властям Испании в случае с NGO-90493, и (b) выяснить, желают ли национальные власти Мексики предоставить какую-либо дополнительную информацию. Ответ, полученный от Мексики 21 марта 2022 года, был надлежащим образом передан 18 мая 2022 года на языке оригинала (испанском), вместе с двумя изначальными вербальными нотами, двум указанным НПО и Испании.</w:t>
      </w:r>
      <w:r w:rsidR="00BB3713" w:rsidRPr="009002D9">
        <w:rPr>
          <w:b w:val="0"/>
        </w:rPr>
        <w:t xml:space="preserve"> </w:t>
      </w:r>
      <w:r w:rsidR="00BB3713" w:rsidRPr="007E70EA">
        <w:rPr>
          <w:b w:val="0"/>
        </w:rPr>
        <w:t>Ответы от двух НПО были получены 31 мая 2022 года от НПО-90481 и 2 июня 2022 года от НПО-90493, в то время как комментариев от Испании на момент написания данного документа получено не было.</w:t>
      </w:r>
      <w:r w:rsidRPr="009002D9">
        <w:rPr>
          <w:b w:val="0"/>
        </w:rPr>
        <w:t xml:space="preserve"> Вышеуказанная корреспонденция была размещена на </w:t>
      </w:r>
      <w:r w:rsidRPr="007E70EA">
        <w:rPr>
          <w:b w:val="0"/>
        </w:rPr>
        <w:t xml:space="preserve">специальной веб-странице нынешней сессии Ассамблеи. Вся информация, полученная до начала нынешней сессии Ассамблеи, </w:t>
      </w:r>
      <w:r w:rsidR="006B3B31" w:rsidRPr="009002D9">
        <w:rPr>
          <w:b w:val="0"/>
        </w:rPr>
        <w:t xml:space="preserve">также </w:t>
      </w:r>
      <w:r w:rsidRPr="007E70EA">
        <w:rPr>
          <w:b w:val="0"/>
        </w:rPr>
        <w:t xml:space="preserve">будет размещена на специальной веб-странице. Секретариат намерен удалить всю корреспонденцию со специальной веб-страницы после нынешней сессии Генеральной Ассамблеи (в соответствии с аналогичной процедурой, используемой в отношении корреспонденции, касающейся выдвижения кандидатур, в соответствии с Решением </w:t>
      </w:r>
      <w:hyperlink r:id="rId13" w:history="1">
        <w:r w:rsidRPr="007E70EA">
          <w:rPr>
            <w:rStyle w:val="Hyperlink"/>
            <w:b w:val="0"/>
            <w:bCs/>
          </w:rPr>
          <w:t>7.COM 15</w:t>
        </w:r>
      </w:hyperlink>
      <w:r w:rsidRPr="007E70EA">
        <w:rPr>
          <w:b w:val="0"/>
        </w:rPr>
        <w:t>).</w:t>
      </w:r>
    </w:p>
    <w:p w14:paraId="5956FED8" w14:textId="3C55070F" w:rsidR="00352BB3" w:rsidRPr="009566AE" w:rsidRDefault="00352BB3" w:rsidP="00394197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b w:val="0"/>
        </w:rPr>
      </w:pPr>
      <w:r w:rsidRPr="009566AE">
        <w:rPr>
          <w:b w:val="0"/>
        </w:rPr>
        <w:t>На основе дополнительной информации Генеральной Ассамблее предлагается рассмотреть вопрос о том, удовлетворяет ли одна из НПО, упомянутых в Приложении II, или обе из них всем критериям аккредитации, изложенным в пункте 91 Оперативного руководства, с целью аккредитации, соответственно, ни одной, одной или обеих из них для выполнения консультативных функций при Комитете.</w:t>
      </w:r>
    </w:p>
    <w:p w14:paraId="3D11109D" w14:textId="67244CF4" w:rsidR="003B6D70" w:rsidRPr="007E70EA" w:rsidRDefault="00422FC6" w:rsidP="00921EDB">
      <w:pPr>
        <w:pStyle w:val="COMTitleDecision"/>
        <w:numPr>
          <w:ilvl w:val="0"/>
          <w:numId w:val="28"/>
        </w:numPr>
        <w:ind w:left="567" w:hanging="567"/>
      </w:pPr>
      <w:r w:rsidRPr="00050428">
        <w:t>Рассмотрение заявок на аккредитацию и на её продление</w:t>
      </w:r>
    </w:p>
    <w:p w14:paraId="752A3865" w14:textId="52F90BF3" w:rsidR="00547B09" w:rsidRPr="009566AE" w:rsidRDefault="00547B09" w:rsidP="00FB34CE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050428">
        <w:rPr>
          <w:b w:val="0"/>
          <w:snapToGrid w:val="0"/>
        </w:rPr>
        <w:t>В ходе обсуждения двух вышеуказанных случаев шестнадцатая сессия Комитета сочла, что имеется необходимость усовершенствовать существующую процедуру рассмотрения</w:t>
      </w:r>
      <w:r w:rsidRPr="009566AE">
        <w:rPr>
          <w:b w:val="0"/>
          <w:snapToGrid w:val="0"/>
        </w:rPr>
        <w:t xml:space="preserve"> заявок на аккредитацию и продление аккредитационного статуса. В частности, Секретариату было предложено «создать четкий механизм коммуникации с государствами-участниками, позволяющий ему получать как можно больше информации о заявках на аккредитацию НПО для воплощения целей, этических принципов и духа сотрудничества Конвенции 2003 года (</w:t>
      </w:r>
      <w:r w:rsidRPr="009566AE">
        <w:rPr>
          <w:rFonts w:asciiTheme="minorBidi" w:hAnsiTheme="minorBidi"/>
          <w:b w:val="0"/>
          <w:snapToGrid w:val="0"/>
        </w:rPr>
        <w:t xml:space="preserve">Решение </w:t>
      </w:r>
      <w:hyperlink r:id="rId14" w:history="1">
        <w:r w:rsidRPr="009566AE">
          <w:rPr>
            <w:rStyle w:val="Hyperlink"/>
            <w:rFonts w:asciiTheme="minorBidi" w:hAnsiTheme="minorBidi"/>
            <w:b w:val="0"/>
            <w:bCs/>
            <w:snapToGrid w:val="0"/>
          </w:rPr>
          <w:t>16.</w:t>
        </w:r>
        <w:r w:rsidR="00EF16BA" w:rsidRPr="009566AE">
          <w:rPr>
            <w:rStyle w:val="Hyperlink"/>
            <w:rFonts w:asciiTheme="minorBidi" w:hAnsiTheme="minorBidi"/>
            <w:b w:val="0"/>
            <w:bCs/>
            <w:snapToGrid w:val="0"/>
          </w:rPr>
          <w:t>COM</w:t>
        </w:r>
        <w:r w:rsidR="00EF16BA">
          <w:rPr>
            <w:rStyle w:val="Hyperlink"/>
            <w:rFonts w:asciiTheme="minorBidi" w:hAnsiTheme="minorBidi"/>
            <w:b w:val="0"/>
            <w:bCs/>
            <w:snapToGrid w:val="0"/>
            <w:lang w:val="fr-FR"/>
          </w:rPr>
          <w:t> </w:t>
        </w:r>
        <w:r w:rsidRPr="009566AE">
          <w:rPr>
            <w:rStyle w:val="Hyperlink"/>
            <w:rFonts w:asciiTheme="minorBidi" w:hAnsiTheme="minorBidi"/>
            <w:b w:val="0"/>
            <w:bCs/>
            <w:snapToGrid w:val="0"/>
          </w:rPr>
          <w:t>15</w:t>
        </w:r>
      </w:hyperlink>
      <w:r w:rsidRPr="009566AE">
        <w:rPr>
          <w:b w:val="0"/>
          <w:snapToGrid w:val="0"/>
        </w:rPr>
        <w:t>).</w:t>
      </w:r>
    </w:p>
    <w:p w14:paraId="24D55890" w14:textId="403CCD39" w:rsidR="00C46C0F" w:rsidRPr="009566AE" w:rsidRDefault="00656FCC" w:rsidP="00FB34CE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9566AE">
        <w:rPr>
          <w:b w:val="0"/>
          <w:snapToGrid w:val="0"/>
        </w:rPr>
        <w:t>Заявки на аккредитацию и продление аккредитации рассматриваются Секретариатом Конвенции 2003 года согласно критериям, изложенным в Оперативном руководстве. Секретариат регистрирует предложения в соответствии с пунктом 99 Оперативного руководства, помогает организациям предоставить любую недостающую информацию, если это необходимо, и готовит рекомендации Комитету в соответствии с требованиями пункта 92 Оперативного руководства. Соответствующие формы и рабочие документы размещаются на веб-странице Конвенции не позднее чем за четыре недели до открытия соответствующих сессий Комитета и Генеральной Ассамблеи.</w:t>
      </w:r>
    </w:p>
    <w:p w14:paraId="582B8FB7" w14:textId="02F0DA09" w:rsidR="00547B09" w:rsidRPr="009566AE" w:rsidRDefault="008F38C8" w:rsidP="00FB34CE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9566AE">
        <w:rPr>
          <w:b w:val="0"/>
          <w:snapToGrid w:val="0"/>
        </w:rPr>
        <w:t>В ответ на предложение шестнадцатой сессии Комитета Секретариат предлагает следующие две корректировки:</w:t>
      </w:r>
    </w:p>
    <w:p w14:paraId="688CAD3D" w14:textId="1CC10B4C" w:rsidR="008F38C8" w:rsidRPr="009566AE" w:rsidRDefault="008F38C8" w:rsidP="008F38C8">
      <w:pPr>
        <w:pStyle w:val="COMTitleDecision"/>
        <w:keepNext w:val="0"/>
        <w:widowControl w:val="0"/>
        <w:spacing w:before="120"/>
        <w:rPr>
          <w:rFonts w:eastAsia="SimSun"/>
          <w:b w:val="0"/>
          <w:bCs/>
          <w:snapToGrid w:val="0"/>
        </w:rPr>
      </w:pPr>
      <w:r w:rsidRPr="009566AE">
        <w:rPr>
          <w:b w:val="0"/>
          <w:snapToGrid w:val="0"/>
        </w:rPr>
        <w:t>a. Секретариат будет размещать поступившие заявки на аккредитацию (Форма ICH-09) и отчеты аккредитованных НПО за четырехлетний период (Форма ICH-08) на веб-странице Конвенции как можно скорее после истечения сроков их подачи (30 апреля нечетных лет и 15 февраля четных лет, соответственно).</w:t>
      </w:r>
    </w:p>
    <w:p w14:paraId="305A65BE" w14:textId="707CDD02" w:rsidR="00C46C0F" w:rsidRPr="009566AE" w:rsidRDefault="004472C8" w:rsidP="00C00655">
      <w:pPr>
        <w:pStyle w:val="COMTitleDecision"/>
        <w:keepNext w:val="0"/>
        <w:widowControl w:val="0"/>
        <w:spacing w:before="120"/>
        <w:rPr>
          <w:rFonts w:eastAsia="SimSun"/>
          <w:b w:val="0"/>
          <w:bCs/>
          <w:snapToGrid w:val="0"/>
        </w:rPr>
      </w:pPr>
      <w:r w:rsidRPr="009566AE">
        <w:rPr>
          <w:b w:val="0"/>
          <w:snapToGrid w:val="0"/>
        </w:rPr>
        <w:t>b. Секретариат будет проводить консультации с подразделениями ЮНЕСКО на местах в отношении заявок на аккредитацию и продление аккредитации с целью сбора информации, которая позволит ему оценить заявки в соответствии с пунктом 92 Оперативного руководства.</w:t>
      </w:r>
    </w:p>
    <w:p w14:paraId="49DFA528" w14:textId="01379722" w:rsidR="00826461" w:rsidRPr="009566AE" w:rsidRDefault="00826461" w:rsidP="00826461">
      <w:pPr>
        <w:pStyle w:val="COMTitleDecision"/>
        <w:keepNext w:val="0"/>
        <w:widowControl w:val="0"/>
        <w:numPr>
          <w:ilvl w:val="0"/>
          <w:numId w:val="20"/>
        </w:numPr>
        <w:spacing w:before="120"/>
        <w:ind w:left="567" w:hanging="567"/>
        <w:rPr>
          <w:rFonts w:eastAsia="SimSun"/>
          <w:b w:val="0"/>
          <w:bCs/>
          <w:snapToGrid w:val="0"/>
        </w:rPr>
      </w:pPr>
      <w:r w:rsidRPr="009566AE">
        <w:rPr>
          <w:b w:val="0"/>
          <w:snapToGrid w:val="0"/>
        </w:rPr>
        <w:t>Указанные корректировки могут быть применены к заявкам на аккредитацию и продление аккредитации в ходе восемнадцатой сессии Комитета в 2023 году и десятой сессии Генеральной Ассамблеи в 2024 году. Секретариат намерен сообщить о результатах применения скорректированной процедуры в ходе восемнадцатой сессии Комитета.</w:t>
      </w:r>
    </w:p>
    <w:p w14:paraId="1DBA486E" w14:textId="2A482172" w:rsidR="00391AC6" w:rsidRPr="009566AE" w:rsidRDefault="00391AC6" w:rsidP="00826795">
      <w:pPr>
        <w:pStyle w:val="COMTitleDecision"/>
        <w:keepNext w:val="0"/>
        <w:widowControl w:val="0"/>
        <w:numPr>
          <w:ilvl w:val="0"/>
          <w:numId w:val="20"/>
        </w:numPr>
        <w:spacing w:before="120" w:after="240"/>
        <w:ind w:left="567" w:hanging="567"/>
        <w:rPr>
          <w:b w:val="0"/>
        </w:rPr>
      </w:pPr>
      <w:r w:rsidRPr="009566AE">
        <w:rPr>
          <w:b w:val="0"/>
        </w:rPr>
        <w:t>Генеральной ассамблее предлагается принять резолюцию следующего содержания:</w:t>
      </w:r>
    </w:p>
    <w:p w14:paraId="2A46BAC4" w14:textId="338C8B69" w:rsidR="008A1ED4" w:rsidRPr="00826795" w:rsidRDefault="00F010E0" w:rsidP="008A1ED4">
      <w:pPr>
        <w:pStyle w:val="GATitleResolution"/>
      </w:pPr>
      <w:r w:rsidRPr="00826795">
        <w:t>ПРОЕКТ РЕЗОЛЮЦИИ 9.GA 7</w:t>
      </w:r>
    </w:p>
    <w:p w14:paraId="7677B217" w14:textId="07325594" w:rsidR="008A1ED4" w:rsidRPr="00826795" w:rsidRDefault="008A1ED4" w:rsidP="008A1ED4">
      <w:pPr>
        <w:pStyle w:val="GAPreambulaResolution"/>
      </w:pPr>
      <w:r w:rsidRPr="00826795">
        <w:t xml:space="preserve">Генеральная </w:t>
      </w:r>
      <w:r w:rsidR="008A377F" w:rsidRPr="00826795">
        <w:rPr>
          <w:lang w:val="fr-FR"/>
        </w:rPr>
        <w:t>a</w:t>
      </w:r>
      <w:proofErr w:type="spellStart"/>
      <w:r w:rsidRPr="00826795">
        <w:t>ссамблея</w:t>
      </w:r>
      <w:proofErr w:type="spellEnd"/>
      <w:r w:rsidRPr="00826795">
        <w:t>,</w:t>
      </w:r>
    </w:p>
    <w:p w14:paraId="07630149" w14:textId="2351BD3B" w:rsidR="005823AB" w:rsidRPr="00826795" w:rsidRDefault="005823AB" w:rsidP="005823AB">
      <w:pPr>
        <w:pStyle w:val="COMParaDecision"/>
        <w:numPr>
          <w:ilvl w:val="0"/>
          <w:numId w:val="10"/>
        </w:numPr>
        <w:ind w:left="1134" w:hanging="567"/>
        <w:jc w:val="left"/>
      </w:pPr>
      <w:r w:rsidRPr="00826795">
        <w:t>Рассмотрев</w:t>
      </w:r>
      <w:r w:rsidRPr="00826795">
        <w:rPr>
          <w:u w:val="none"/>
        </w:rPr>
        <w:t xml:space="preserve"> документ LHE/22/9.GA/7 и приложения к нему,</w:t>
      </w:r>
    </w:p>
    <w:p w14:paraId="7C34FFCB" w14:textId="4CD26436" w:rsidR="005823AB" w:rsidRPr="00826795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26795">
        <w:t>Ссылаясь</w:t>
      </w:r>
      <w:r w:rsidRPr="00826795">
        <w:rPr>
          <w:u w:val="none"/>
        </w:rPr>
        <w:t xml:space="preserve"> на статью 9 Конвенции и пункты 91–99 Оперативного руководства,</w:t>
      </w:r>
    </w:p>
    <w:p w14:paraId="18460A61" w14:textId="218CD4A4" w:rsidR="005823AB" w:rsidRPr="00826795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26795">
        <w:t>Ссылаясь также</w:t>
      </w:r>
      <w:r w:rsidRPr="00826795">
        <w:rPr>
          <w:u w:val="none"/>
        </w:rPr>
        <w:t xml:space="preserve"> на Решение </w:t>
      </w:r>
      <w:hyperlink r:id="rId15" w:history="1">
        <w:r w:rsidRPr="00826795">
          <w:rPr>
            <w:rStyle w:val="Hyperlink"/>
          </w:rPr>
          <w:t>16.COM 15</w:t>
        </w:r>
      </w:hyperlink>
      <w:r w:rsidRPr="00826795">
        <w:rPr>
          <w:rStyle w:val="Hyperlink"/>
          <w:color w:val="auto"/>
          <w:u w:val="none"/>
        </w:rPr>
        <w:t>,</w:t>
      </w:r>
    </w:p>
    <w:p w14:paraId="5208F9FD" w14:textId="53B3E33D" w:rsidR="005823AB" w:rsidRPr="00826795" w:rsidRDefault="005823AB" w:rsidP="005823AB">
      <w:pPr>
        <w:pStyle w:val="COMParaDecision"/>
        <w:numPr>
          <w:ilvl w:val="0"/>
          <w:numId w:val="10"/>
        </w:numPr>
        <w:ind w:left="1134" w:hanging="567"/>
      </w:pPr>
      <w:r w:rsidRPr="00826795">
        <w:t>Аккредитует</w:t>
      </w:r>
      <w:r w:rsidRPr="00826795">
        <w:rPr>
          <w:u w:val="none"/>
        </w:rPr>
        <w:t xml:space="preserve"> тридцать две НПО, перечисленные в Приложении I к данной резолюции, для выполнения консультативных функций при Комитете;</w:t>
      </w:r>
    </w:p>
    <w:p w14:paraId="5D111478" w14:textId="33EB29AC" w:rsidR="00733307" w:rsidRPr="00826795" w:rsidRDefault="003A228F" w:rsidP="00091D00">
      <w:pPr>
        <w:pStyle w:val="COMParaDecision"/>
        <w:keepLines/>
        <w:numPr>
          <w:ilvl w:val="0"/>
          <w:numId w:val="10"/>
        </w:numPr>
        <w:ind w:left="1134" w:hanging="567"/>
      </w:pPr>
      <w:r w:rsidRPr="00826795">
        <w:t>Учитывает</w:t>
      </w:r>
      <w:r w:rsidRPr="00826795">
        <w:rPr>
          <w:u w:val="none"/>
        </w:rPr>
        <w:t xml:space="preserve"> дополнительную информацию, предоставленную организациями, указанными в Приложении II к настоящей резолюции, а также</w:t>
      </w:r>
      <w:r w:rsidR="00F73F25" w:rsidRPr="00826795">
        <w:rPr>
          <w:u w:val="none"/>
        </w:rPr>
        <w:t xml:space="preserve"> [одним из государств-участников]</w:t>
      </w:r>
      <w:r w:rsidRPr="00826795">
        <w:rPr>
          <w:u w:val="none"/>
        </w:rPr>
        <w:t xml:space="preserve"> </w:t>
      </w:r>
      <w:r w:rsidR="001F5D10" w:rsidRPr="00826795">
        <w:rPr>
          <w:u w:val="none"/>
        </w:rPr>
        <w:t>[</w:t>
      </w:r>
      <w:r w:rsidRPr="00826795">
        <w:rPr>
          <w:u w:val="none"/>
        </w:rPr>
        <w:t>соответствующими государствами-участниками</w:t>
      </w:r>
      <w:r w:rsidR="001F5D10" w:rsidRPr="00826795">
        <w:rPr>
          <w:u w:val="none"/>
        </w:rPr>
        <w:t>]</w:t>
      </w:r>
      <w:r w:rsidRPr="00826795">
        <w:rPr>
          <w:u w:val="none"/>
        </w:rPr>
        <w:t>, и</w:t>
      </w:r>
    </w:p>
    <w:p w14:paraId="269B5880" w14:textId="596C8B62" w:rsidR="00733307" w:rsidRPr="00826795" w:rsidRDefault="00733307" w:rsidP="00091D00">
      <w:pPr>
        <w:pStyle w:val="COMParaDecision"/>
        <w:keepLines/>
        <w:ind w:firstLine="0"/>
        <w:rPr>
          <w:u w:val="none"/>
        </w:rPr>
      </w:pPr>
      <w:r w:rsidRPr="00826795">
        <w:rPr>
          <w:u w:val="none"/>
        </w:rPr>
        <w:t xml:space="preserve">[Вариант A] </w:t>
      </w:r>
      <w:r w:rsidRPr="00826795">
        <w:t>Аккредитует также</w:t>
      </w:r>
      <w:r w:rsidRPr="00826795">
        <w:rPr>
          <w:u w:val="none"/>
        </w:rPr>
        <w:t xml:space="preserve"> [Institute for Intangible Cultural Heritage IPACIM] [и] [Direct </w:t>
      </w:r>
      <w:proofErr w:type="spellStart"/>
      <w:r w:rsidRPr="00826795">
        <w:rPr>
          <w:u w:val="none"/>
        </w:rPr>
        <w:t>Gradual</w:t>
      </w:r>
      <w:proofErr w:type="spellEnd"/>
      <w:r w:rsidRPr="00826795">
        <w:rPr>
          <w:u w:val="none"/>
        </w:rPr>
        <w:t xml:space="preserve"> Development, </w:t>
      </w:r>
      <w:proofErr w:type="spellStart"/>
      <w:r w:rsidRPr="00826795">
        <w:rPr>
          <w:u w:val="none"/>
        </w:rPr>
        <w:t>Civil</w:t>
      </w:r>
      <w:proofErr w:type="spellEnd"/>
      <w:r w:rsidRPr="00826795">
        <w:rPr>
          <w:u w:val="none"/>
        </w:rPr>
        <w:t xml:space="preserve"> Association] для выполнения консультативных функций при Комитете;</w:t>
      </w:r>
    </w:p>
    <w:p w14:paraId="3471972A" w14:textId="0C5D35AC" w:rsidR="003A228F" w:rsidRPr="00826795" w:rsidRDefault="00733307" w:rsidP="00091D00">
      <w:pPr>
        <w:pStyle w:val="COMParaDecision"/>
        <w:keepLines/>
        <w:ind w:firstLine="0"/>
        <w:rPr>
          <w:u w:val="none"/>
        </w:rPr>
      </w:pPr>
      <w:r w:rsidRPr="00826795">
        <w:rPr>
          <w:u w:val="none"/>
        </w:rPr>
        <w:t xml:space="preserve">[Вариант B] </w:t>
      </w:r>
      <w:r w:rsidRPr="00826795">
        <w:t>считает</w:t>
      </w:r>
      <w:r w:rsidRPr="00826795">
        <w:rPr>
          <w:u w:val="none"/>
        </w:rPr>
        <w:t xml:space="preserve">, что [Institute for Intangible Cultural Heritage IPACIM] [и] [Direct </w:t>
      </w:r>
      <w:proofErr w:type="spellStart"/>
      <w:r w:rsidRPr="00826795">
        <w:rPr>
          <w:u w:val="none"/>
        </w:rPr>
        <w:t>Gradual</w:t>
      </w:r>
      <w:proofErr w:type="spellEnd"/>
      <w:r w:rsidRPr="00826795">
        <w:rPr>
          <w:u w:val="none"/>
        </w:rPr>
        <w:t xml:space="preserve"> Development, </w:t>
      </w:r>
      <w:proofErr w:type="spellStart"/>
      <w:r w:rsidRPr="00826795">
        <w:rPr>
          <w:u w:val="none"/>
        </w:rPr>
        <w:t>Civil</w:t>
      </w:r>
      <w:proofErr w:type="spellEnd"/>
      <w:r w:rsidRPr="00826795">
        <w:rPr>
          <w:u w:val="none"/>
        </w:rPr>
        <w:t xml:space="preserve"> Association] не соответствуют критериям, указанным в пункте 91 Оперативного руководства;</w:t>
      </w:r>
    </w:p>
    <w:p w14:paraId="3D6B3514" w14:textId="4FE71B51" w:rsidR="005823AB" w:rsidRPr="00826795" w:rsidRDefault="005823AB" w:rsidP="00C003BB">
      <w:pPr>
        <w:pStyle w:val="COMParaDecision"/>
        <w:numPr>
          <w:ilvl w:val="0"/>
          <w:numId w:val="10"/>
        </w:numPr>
        <w:ind w:left="1134" w:hanging="567"/>
      </w:pPr>
      <w:r w:rsidRPr="00826795">
        <w:t>Призывает</w:t>
      </w:r>
      <w:r w:rsidRPr="00826795">
        <w:rPr>
          <w:u w:val="none"/>
        </w:rPr>
        <w:t xml:space="preserve"> НПО из числа недостаточно представленных избирательных групп, которые отвечают критериям аккредитации, как можно быстрее представить свои заявки на аккредитацию, в целях улучшения географического распределения аккредитованных НПО, </w:t>
      </w:r>
      <w:bookmarkStart w:id="1" w:name="_Hlk47615881"/>
      <w:r w:rsidRPr="00826795">
        <w:rPr>
          <w:u w:val="none"/>
        </w:rPr>
        <w:t xml:space="preserve">и </w:t>
      </w:r>
      <w:r w:rsidRPr="00826795">
        <w:t>предлагает</w:t>
      </w:r>
      <w:r w:rsidRPr="00826795">
        <w:rPr>
          <w:u w:val="none"/>
        </w:rPr>
        <w:t xml:space="preserve"> государствам-участникам из числа этих избирательных групп максимально широко ознакомить с настоящим призывом НПО, действующие на их территориях;</w:t>
      </w:r>
    </w:p>
    <w:bookmarkEnd w:id="1"/>
    <w:p w14:paraId="54E015C2" w14:textId="730640E3" w:rsidR="005823AB" w:rsidRPr="00826795" w:rsidRDefault="00965081" w:rsidP="005823AB">
      <w:pPr>
        <w:pStyle w:val="COMParaDecision"/>
        <w:numPr>
          <w:ilvl w:val="0"/>
          <w:numId w:val="10"/>
        </w:numPr>
        <w:ind w:left="1134" w:hanging="567"/>
      </w:pPr>
      <w:r w:rsidRPr="00826795">
        <w:t>Напоминает</w:t>
      </w:r>
      <w:r w:rsidRPr="00826795">
        <w:rPr>
          <w:u w:val="none"/>
        </w:rPr>
        <w:t xml:space="preserve"> НПО, аккредитованным в 2010, 2014 и 2018 гг., что они обязаны представить Секретариату свои отчеты за четырехлетний период до 15 февраля 2023 г., чтобы Комитет мог рассмотреть в ходе своей восемнадцатой сессии вклад и приверженность каждой консультативной организации;</w:t>
      </w:r>
    </w:p>
    <w:p w14:paraId="53F312B6" w14:textId="4EA98000" w:rsidR="00733307" w:rsidRPr="00826795" w:rsidRDefault="00733307" w:rsidP="008B5A83">
      <w:pPr>
        <w:pStyle w:val="COMParaDecision"/>
        <w:numPr>
          <w:ilvl w:val="0"/>
          <w:numId w:val="10"/>
        </w:numPr>
        <w:ind w:left="1134" w:hanging="567"/>
      </w:pPr>
      <w:r w:rsidRPr="00826795">
        <w:t>Принимает к сведению</w:t>
      </w:r>
      <w:r w:rsidRPr="00826795">
        <w:rPr>
          <w:u w:val="none"/>
        </w:rPr>
        <w:t xml:space="preserve"> предложенные корректировки процедуры рассмотрения заявок НПО на аккредитацию и продление аккредитации в отношении сроков публикации указанных заявок и участия подразделений ЮНЕСКО на местах</w:t>
      </w:r>
      <w:r w:rsidR="008B5A83" w:rsidRPr="00826795">
        <w:rPr>
          <w:u w:val="none"/>
        </w:rPr>
        <w:t>.</w:t>
      </w:r>
    </w:p>
    <w:p w14:paraId="787B609F" w14:textId="4C91C485" w:rsidR="005823AB" w:rsidRPr="009566AE" w:rsidRDefault="00FC4620" w:rsidP="00E7113D">
      <w:pPr>
        <w:pStyle w:val="COMParaDecision"/>
        <w:spacing w:before="240" w:after="240"/>
        <w:ind w:left="1985" w:hanging="1985"/>
        <w:rPr>
          <w:b/>
          <w:bCs/>
          <w:snapToGrid w:val="0"/>
          <w:u w:val="none"/>
        </w:rPr>
      </w:pPr>
      <w:r w:rsidRPr="009566AE">
        <w:br w:type="page"/>
      </w:r>
      <w:r w:rsidRPr="009566AE">
        <w:rPr>
          <w:b/>
          <w:snapToGrid w:val="0"/>
          <w:u w:val="none"/>
        </w:rPr>
        <w:t>Приложение</w:t>
      </w:r>
      <w:r w:rsidR="00E7113D">
        <w:rPr>
          <w:b/>
          <w:snapToGrid w:val="0"/>
          <w:u w:val="none"/>
          <w:lang w:val="en-GB"/>
        </w:rPr>
        <w:t> </w:t>
      </w:r>
      <w:r w:rsidRPr="009566AE">
        <w:rPr>
          <w:b/>
          <w:snapToGrid w:val="0"/>
          <w:u w:val="none"/>
        </w:rPr>
        <w:t>I: Неправительственные организации, рекомендованные для аккредитации на шестнадцатой сессии Комитета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6062"/>
        <w:gridCol w:w="1945"/>
        <w:gridCol w:w="1621"/>
      </w:tblGrid>
      <w:tr w:rsidR="005823AB" w:rsidRPr="009566AE" w14:paraId="6BFC22E6" w14:textId="77777777" w:rsidTr="00792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vAlign w:val="center"/>
            <w:hideMark/>
          </w:tcPr>
          <w:p w14:paraId="3036A8BA" w14:textId="77777777" w:rsidR="005823AB" w:rsidRPr="009566AE" w:rsidRDefault="005823AB" w:rsidP="0079216A">
            <w:pPr>
              <w:contextualSpacing/>
              <w:jc w:val="center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Название организации</w:t>
            </w:r>
          </w:p>
        </w:tc>
        <w:tc>
          <w:tcPr>
            <w:tcW w:w="1010" w:type="pct"/>
            <w:vAlign w:val="center"/>
            <w:hideMark/>
          </w:tcPr>
          <w:p w14:paraId="3BF3AFE0" w14:textId="77777777" w:rsidR="005823AB" w:rsidRPr="009566AE" w:rsidRDefault="005823AB" w:rsidP="0079216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Страна, в которой расположена штаб-квартира</w:t>
            </w:r>
          </w:p>
        </w:tc>
        <w:tc>
          <w:tcPr>
            <w:tcW w:w="842" w:type="pct"/>
            <w:vAlign w:val="center"/>
            <w:hideMark/>
          </w:tcPr>
          <w:p w14:paraId="0EAF0915" w14:textId="77777777" w:rsidR="005823AB" w:rsidRPr="009566AE" w:rsidRDefault="005823AB" w:rsidP="0079216A">
            <w:pPr>
              <w:spacing w:before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Номер заявки</w:t>
            </w:r>
          </w:p>
        </w:tc>
      </w:tr>
      <w:tr w:rsidR="005823AB" w:rsidRPr="009566AE" w14:paraId="16E86B24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2D3BB34" w14:textId="77777777" w:rsidR="005823AB" w:rsidRPr="003929D2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fr-FR"/>
              </w:rPr>
            </w:pPr>
            <w:r w:rsidRPr="003929D2">
              <w:rPr>
                <w:rFonts w:asciiTheme="minorBidi" w:hAnsiTheme="minorBidi"/>
                <w:sz w:val="20"/>
                <w:lang w:val="fr-FR"/>
              </w:rPr>
              <w:t>Association pour le Devenir des Autochtones et de leur Connaissance Originelle (A.D.A.C.O)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FC1983A" w14:textId="646F49FC" w:rsidR="005823AB" w:rsidRPr="009566AE" w:rsidRDefault="00D37FCE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Габон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0F9B6D8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NGO-90479</w:t>
            </w:r>
          </w:p>
        </w:tc>
      </w:tr>
      <w:tr w:rsidR="005823AB" w:rsidRPr="009566AE" w14:paraId="5AC94EA5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D63026B" w14:textId="77777777" w:rsidR="005823AB" w:rsidRPr="007E70EA" w:rsidRDefault="005823AB" w:rsidP="0079216A">
            <w:pPr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 xml:space="preserve">Al </w:t>
            </w:r>
            <w:proofErr w:type="spellStart"/>
            <w:r w:rsidRPr="007E70EA">
              <w:rPr>
                <w:rFonts w:asciiTheme="minorBidi" w:hAnsiTheme="minorBidi"/>
                <w:sz w:val="20"/>
                <w:lang w:val="en-US"/>
              </w:rPr>
              <w:t>Sadu</w:t>
            </w:r>
            <w:proofErr w:type="spellEnd"/>
            <w:r w:rsidRPr="007E70EA">
              <w:rPr>
                <w:rFonts w:asciiTheme="minorBidi" w:hAnsiTheme="minorBidi"/>
                <w:sz w:val="20"/>
                <w:lang w:val="en-US"/>
              </w:rPr>
              <w:t xml:space="preserve"> Handcraft Cooperative Society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A60A182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Кувейт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820BB97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NGO-90480</w:t>
            </w:r>
          </w:p>
        </w:tc>
      </w:tr>
      <w:tr w:rsidR="005823AB" w:rsidRPr="009566AE" w14:paraId="69C6605A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4392D92" w14:textId="77777777" w:rsidR="005823AB" w:rsidRPr="003929D2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fr-FR"/>
              </w:rPr>
            </w:pPr>
            <w:r w:rsidRPr="003929D2">
              <w:rPr>
                <w:rFonts w:asciiTheme="minorBidi" w:hAnsiTheme="minorBidi"/>
                <w:color w:val="000000"/>
                <w:sz w:val="20"/>
                <w:lang w:val="fr-FR"/>
              </w:rPr>
              <w:t xml:space="preserve">Fondation Princesse </w:t>
            </w:r>
            <w:proofErr w:type="spellStart"/>
            <w:r w:rsidRPr="003929D2">
              <w:rPr>
                <w:rFonts w:asciiTheme="minorBidi" w:hAnsiTheme="minorBidi"/>
                <w:color w:val="000000"/>
                <w:sz w:val="20"/>
                <w:lang w:val="fr-FR"/>
              </w:rPr>
              <w:t>Momafon</w:t>
            </w:r>
            <w:proofErr w:type="spellEnd"/>
            <w:r w:rsidRPr="003929D2">
              <w:rPr>
                <w:rFonts w:asciiTheme="minorBidi" w:hAnsiTheme="minorBidi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929D2">
              <w:rPr>
                <w:rFonts w:asciiTheme="minorBidi" w:hAnsiTheme="minorBidi"/>
                <w:color w:val="000000"/>
                <w:sz w:val="20"/>
                <w:lang w:val="fr-FR"/>
              </w:rPr>
              <w:t>Rabiatou</w:t>
            </w:r>
            <w:proofErr w:type="spellEnd"/>
            <w:r w:rsidRPr="003929D2">
              <w:rPr>
                <w:rFonts w:asciiTheme="minorBidi" w:hAnsiTheme="minorBidi"/>
                <w:color w:val="000000"/>
                <w:sz w:val="20"/>
                <w:lang w:val="fr-FR"/>
              </w:rPr>
              <w:t xml:space="preserve"> NJOYA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09602DE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Камерун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5F8EDC4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NGO-90482</w:t>
            </w:r>
          </w:p>
        </w:tc>
      </w:tr>
      <w:tr w:rsidR="005823AB" w:rsidRPr="009566AE" w14:paraId="0DBEC64F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A6B491D" w14:textId="77777777" w:rsidR="005823AB" w:rsidRPr="007E70EA" w:rsidRDefault="005823AB" w:rsidP="0079216A">
            <w:pPr>
              <w:rPr>
                <w:rFonts w:asciiTheme="minorBidi" w:eastAsia="Batang" w:hAnsiTheme="minorBidi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Art for Refugees in Transition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0E0D75F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Соединенные Штаты Америки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CB31879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NGO-90484</w:t>
            </w:r>
          </w:p>
        </w:tc>
      </w:tr>
      <w:tr w:rsidR="005823AB" w:rsidRPr="009566AE" w14:paraId="70AAC75A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ACA764D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Mundo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sz w:val="20"/>
              </w:rPr>
              <w:t>Espiral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4294B40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Колумбия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F38CA03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NGO-90485</w:t>
            </w:r>
          </w:p>
        </w:tc>
      </w:tr>
      <w:tr w:rsidR="005823AB" w:rsidRPr="009566AE" w14:paraId="4F33DD63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2AEC80C" w14:textId="77777777" w:rsidR="005823AB" w:rsidRPr="009566AE" w:rsidRDefault="005823AB" w:rsidP="0079216A">
            <w:pPr>
              <w:tabs>
                <w:tab w:val="left" w:pos="1140"/>
              </w:tabs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Stuppa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Indonesia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63D540A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Индонезия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9CE021C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NGO-90486</w:t>
            </w:r>
          </w:p>
        </w:tc>
      </w:tr>
      <w:tr w:rsidR="005823AB" w:rsidRPr="009566AE" w14:paraId="3C2AA746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13C10A6A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Indonesian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sz w:val="20"/>
              </w:rPr>
              <w:t>Batik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FB94A1D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Индонезия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25D30EC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NGO-90487</w:t>
            </w:r>
          </w:p>
        </w:tc>
      </w:tr>
      <w:tr w:rsidR="005823AB" w:rsidRPr="009566AE" w14:paraId="51EFE53C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B600497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Embodying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Reconciliation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3D9CFEBB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Колумбия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AE518A9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NGO-90488</w:t>
            </w:r>
          </w:p>
        </w:tc>
      </w:tr>
      <w:tr w:rsidR="005823AB" w:rsidRPr="009566AE" w14:paraId="6FEC78A0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B3A0077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Société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québécoise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d’ethnologie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7B30D4FB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Канада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B6795D9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NGO-90490</w:t>
            </w:r>
          </w:p>
        </w:tc>
      </w:tr>
      <w:tr w:rsidR="005823AB" w:rsidRPr="009566AE" w14:paraId="2437A996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DDC8750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Norwegian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</w:t>
            </w:r>
            <w:proofErr w:type="spellStart"/>
            <w:r w:rsidRPr="009566AE">
              <w:rPr>
                <w:rFonts w:asciiTheme="minorBidi" w:hAnsiTheme="minorBidi"/>
                <w:sz w:val="20"/>
              </w:rPr>
              <w:t>Youth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03FE532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Норвегия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E48A6E6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NGO-90491</w:t>
            </w:r>
          </w:p>
        </w:tc>
      </w:tr>
      <w:tr w:rsidR="005823AB" w:rsidRPr="009566AE" w14:paraId="2F717D57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671A5C7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Konstelacio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50F1854E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Франция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C93DC26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NGO-90492</w:t>
            </w:r>
          </w:p>
        </w:tc>
      </w:tr>
      <w:tr w:rsidR="005823AB" w:rsidRPr="009566AE" w14:paraId="504B73D4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2C6C1A6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color w:val="000000"/>
                <w:sz w:val="20"/>
                <w:lang w:val="en-US"/>
              </w:rPr>
              <w:t>Academy of the Fair Courtesy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DFFD319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Италия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A523F19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NGO-90494</w:t>
            </w:r>
          </w:p>
        </w:tc>
      </w:tr>
      <w:tr w:rsidR="005823AB" w:rsidRPr="009566AE" w14:paraId="54787263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9A76C5F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Research Centre for Greek Singing (</w:t>
            </w:r>
            <w:proofErr w:type="spellStart"/>
            <w:r w:rsidRPr="007E70EA">
              <w:rPr>
                <w:rFonts w:asciiTheme="minorBidi" w:hAnsiTheme="minorBidi"/>
                <w:sz w:val="20"/>
                <w:lang w:val="en-US"/>
              </w:rPr>
              <w:t>R.C.Gr.S</w:t>
            </w:r>
            <w:proofErr w:type="spellEnd"/>
            <w:r w:rsidRPr="007E70EA">
              <w:rPr>
                <w:rFonts w:asciiTheme="minorBidi" w:hAnsiTheme="minorBidi"/>
                <w:sz w:val="20"/>
                <w:lang w:val="en-US"/>
              </w:rPr>
              <w:t>.]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6F568FB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Греция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FC93163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NGO-90495</w:t>
            </w:r>
          </w:p>
        </w:tc>
      </w:tr>
      <w:tr w:rsidR="005823AB" w:rsidRPr="009566AE" w14:paraId="48542496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BC92E7C" w14:textId="77777777" w:rsidR="005823AB" w:rsidRPr="003929D2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fr-FR"/>
              </w:rPr>
            </w:pPr>
            <w:r w:rsidRPr="003929D2">
              <w:rPr>
                <w:rFonts w:asciiTheme="minorBidi" w:hAnsiTheme="minorBidi"/>
                <w:sz w:val="20"/>
                <w:lang w:val="fr-FR"/>
              </w:rPr>
              <w:t>Institut National des Métiers d’Art (INMA)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00921D0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Франция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9630F70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NGO-90499</w:t>
            </w:r>
          </w:p>
        </w:tc>
      </w:tr>
      <w:tr w:rsidR="005823AB" w:rsidRPr="009566AE" w14:paraId="524C4C28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F0C73B8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Karama Foundation for Social and Cultural Development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BC042E4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Египет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9D317FF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NGO-90500</w:t>
            </w:r>
          </w:p>
        </w:tc>
      </w:tr>
      <w:tr w:rsidR="005823AB" w:rsidRPr="009566AE" w14:paraId="59967B0F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4126F0D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Cultural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Survival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623B1B5D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Соединенные Штаты Америки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095B03B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NGO-90501</w:t>
            </w:r>
          </w:p>
        </w:tc>
      </w:tr>
      <w:tr w:rsidR="005823AB" w:rsidRPr="009566AE" w14:paraId="0686F488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7CFBCE0E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Portobelo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Bay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31CE698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Панама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6C74AA1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NGO-90502</w:t>
            </w:r>
          </w:p>
        </w:tc>
      </w:tr>
      <w:tr w:rsidR="005823AB" w:rsidRPr="009566AE" w14:paraId="2883CE77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25FCA6B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PARCUM VZW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FE52983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Бельгия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5765ABE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NGO-90503</w:t>
            </w:r>
          </w:p>
        </w:tc>
      </w:tr>
      <w:tr w:rsidR="005823AB" w:rsidRPr="009566AE" w14:paraId="480E6C3C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39481D9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National Union of Folk-Art Masters of Ukraine (NSMNMU)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3463AC5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Украина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84988B5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NGO-90504</w:t>
            </w:r>
          </w:p>
        </w:tc>
      </w:tr>
      <w:tr w:rsidR="005823AB" w:rsidRPr="009566AE" w14:paraId="29907A23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C5B0386" w14:textId="77777777" w:rsidR="005823AB" w:rsidRPr="003929D2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fr-FR"/>
              </w:rPr>
            </w:pPr>
            <w:r w:rsidRPr="003929D2">
              <w:rPr>
                <w:rFonts w:asciiTheme="minorBidi" w:hAnsiTheme="minorBidi"/>
                <w:sz w:val="20"/>
                <w:lang w:val="fr-FR"/>
              </w:rPr>
              <w:t xml:space="preserve">Fédération des coopératives des Pays de </w:t>
            </w:r>
            <w:proofErr w:type="spellStart"/>
            <w:r w:rsidRPr="003929D2">
              <w:rPr>
                <w:rFonts w:asciiTheme="minorBidi" w:hAnsiTheme="minorBidi"/>
                <w:sz w:val="20"/>
                <w:lang w:val="fr-FR"/>
              </w:rPr>
              <w:t>Mayoko</w:t>
            </w:r>
            <w:proofErr w:type="spellEnd"/>
            <w:r w:rsidRPr="003929D2">
              <w:rPr>
                <w:rFonts w:asciiTheme="minorBidi" w:hAnsiTheme="minorBidi"/>
                <w:sz w:val="20"/>
                <w:lang w:val="fr-FR"/>
              </w:rPr>
              <w:t xml:space="preserve"> ‘</w:t>
            </w:r>
            <w:proofErr w:type="spellStart"/>
            <w:r w:rsidRPr="003929D2">
              <w:rPr>
                <w:rFonts w:asciiTheme="minorBidi" w:hAnsiTheme="minorBidi"/>
                <w:sz w:val="20"/>
                <w:lang w:val="fr-FR"/>
              </w:rPr>
              <w:t>Fecopam</w:t>
            </w:r>
            <w:proofErr w:type="spellEnd"/>
            <w:r w:rsidRPr="003929D2">
              <w:rPr>
                <w:rFonts w:asciiTheme="minorBidi" w:hAnsiTheme="minorBidi"/>
                <w:sz w:val="20"/>
                <w:lang w:val="fr-FR"/>
              </w:rPr>
              <w:t>’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AA321B0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Республика Конго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F50606F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NGO-90505</w:t>
            </w:r>
          </w:p>
        </w:tc>
      </w:tr>
      <w:tr w:rsidR="005823AB" w:rsidRPr="009566AE" w14:paraId="09D4F697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6AA5534" w14:textId="77777777" w:rsidR="005823AB" w:rsidRPr="009566AE" w:rsidRDefault="005823AB" w:rsidP="0079216A">
            <w:pPr>
              <w:tabs>
                <w:tab w:val="left" w:pos="1050"/>
              </w:tabs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 xml:space="preserve">The </w:t>
            </w:r>
            <w:proofErr w:type="spellStart"/>
            <w:r w:rsidRPr="009566AE">
              <w:rPr>
                <w:rFonts w:asciiTheme="minorBidi" w:hAnsiTheme="minorBidi"/>
                <w:sz w:val="20"/>
              </w:rPr>
              <w:t>Archers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Foundation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F93601D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Турция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3DB2988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NGO-90508</w:t>
            </w:r>
          </w:p>
        </w:tc>
      </w:tr>
      <w:tr w:rsidR="005823AB" w:rsidRPr="009566AE" w14:paraId="115939F9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4A04AA77" w14:textId="51F4324F" w:rsidR="005823AB" w:rsidRPr="003929D2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fr-FR"/>
              </w:rPr>
            </w:pPr>
            <w:r w:rsidRPr="003929D2">
              <w:rPr>
                <w:rFonts w:asciiTheme="minorBidi" w:hAnsiTheme="minorBidi"/>
                <w:sz w:val="20"/>
                <w:lang w:val="fr-FR"/>
              </w:rPr>
              <w:t>France PCI – Association française des éléments inscrits sur les listes du patrimoine culturel immatériel de l’Unesco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00C6622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Франция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6B6E417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NGO-90509</w:t>
            </w:r>
          </w:p>
        </w:tc>
      </w:tr>
      <w:tr w:rsidR="005823AB" w:rsidRPr="009566AE" w14:paraId="5D6D1C73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711C35A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Uganda Community Museums Association (UCOMA)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F800884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Уганда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DD3B255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NGO-90510</w:t>
            </w:r>
          </w:p>
        </w:tc>
      </w:tr>
      <w:tr w:rsidR="005823AB" w:rsidRPr="009566AE" w14:paraId="0678FE54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DE9631C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Cross Arts Cultural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D8C0243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Ливан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F3F9D0E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NGO-90512</w:t>
            </w:r>
          </w:p>
        </w:tc>
      </w:tr>
      <w:tr w:rsidR="005823AB" w:rsidRPr="009566AE" w14:paraId="16B141FF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AC180A1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70EA">
              <w:rPr>
                <w:rFonts w:asciiTheme="minorBidi" w:hAnsiTheme="minorBidi"/>
                <w:color w:val="000000"/>
                <w:sz w:val="20"/>
                <w:lang w:val="en-US"/>
              </w:rPr>
              <w:t>Arrayán</w:t>
            </w:r>
            <w:proofErr w:type="spellEnd"/>
            <w:r w:rsidRPr="007E70EA">
              <w:rPr>
                <w:rFonts w:asciiTheme="minorBidi" w:hAnsiTheme="minorBidi"/>
                <w:color w:val="000000"/>
                <w:sz w:val="20"/>
                <w:lang w:val="en-US"/>
              </w:rPr>
              <w:t xml:space="preserve"> Network of Culture, Heritage and Environment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C708F76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Испания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53C55B8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NGO-90513</w:t>
            </w:r>
          </w:p>
        </w:tc>
      </w:tr>
      <w:tr w:rsidR="005823AB" w:rsidRPr="009566AE" w14:paraId="68B2E601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93D986C" w14:textId="77777777" w:rsidR="005823AB" w:rsidRPr="007E70EA" w:rsidRDefault="005823AB" w:rsidP="0079216A">
            <w:pPr>
              <w:contextualSpacing/>
              <w:rPr>
                <w:rFonts w:asciiTheme="minorBidi" w:eastAsia="Arial" w:hAnsiTheme="minorBidi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Anatolian Handicrafts Conservation and Development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B0D3755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Турция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5109864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NGO-90514</w:t>
            </w:r>
          </w:p>
        </w:tc>
      </w:tr>
      <w:tr w:rsidR="005823AB" w:rsidRPr="009566AE" w14:paraId="27533F06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22E9E9D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70EA">
              <w:rPr>
                <w:rFonts w:asciiTheme="minorBidi" w:hAnsiTheme="minorBidi"/>
                <w:sz w:val="20"/>
                <w:lang w:val="en-US"/>
              </w:rPr>
              <w:t>Doostdaran</w:t>
            </w:r>
            <w:proofErr w:type="spellEnd"/>
            <w:r w:rsidRPr="007E70EA">
              <w:rPr>
                <w:rFonts w:asciiTheme="minorBidi" w:hAnsiTheme="minorBidi"/>
                <w:sz w:val="20"/>
                <w:lang w:val="en-US"/>
              </w:rPr>
              <w:t xml:space="preserve"> and </w:t>
            </w:r>
            <w:proofErr w:type="spellStart"/>
            <w:r w:rsidRPr="007E70EA">
              <w:rPr>
                <w:rFonts w:asciiTheme="minorBidi" w:hAnsiTheme="minorBidi"/>
                <w:sz w:val="20"/>
                <w:lang w:val="en-US"/>
              </w:rPr>
              <w:t>Hafezane</w:t>
            </w:r>
            <w:proofErr w:type="spellEnd"/>
            <w:r w:rsidRPr="007E70EA">
              <w:rPr>
                <w:rFonts w:asciiTheme="minorBidi" w:hAnsiTheme="minorBidi"/>
                <w:sz w:val="20"/>
                <w:lang w:val="en-US"/>
              </w:rPr>
              <w:t xml:space="preserve"> </w:t>
            </w:r>
            <w:proofErr w:type="spellStart"/>
            <w:r w:rsidRPr="007E70EA">
              <w:rPr>
                <w:rFonts w:asciiTheme="minorBidi" w:hAnsiTheme="minorBidi"/>
                <w:sz w:val="20"/>
                <w:lang w:val="en-US"/>
              </w:rPr>
              <w:t>Kheshte</w:t>
            </w:r>
            <w:proofErr w:type="spellEnd"/>
            <w:r w:rsidRPr="007E70EA">
              <w:rPr>
                <w:rFonts w:asciiTheme="minorBidi" w:hAnsiTheme="minorBidi"/>
                <w:sz w:val="20"/>
                <w:lang w:val="en-US"/>
              </w:rPr>
              <w:t xml:space="preserve"> Kham Association (DHKKA)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187B63E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Иран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E672DC3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NGO-90516</w:t>
            </w:r>
          </w:p>
        </w:tc>
      </w:tr>
      <w:tr w:rsidR="005823AB" w:rsidRPr="009566AE" w14:paraId="7A0CD1D4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3FA590F6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ELLINIKI ETAIRIA - Society for the Environment and Cultural Heritage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DB707A8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Греция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1AD8D27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NGO-90517</w:t>
            </w:r>
          </w:p>
        </w:tc>
      </w:tr>
      <w:tr w:rsidR="005823AB" w:rsidRPr="009566AE" w14:paraId="024AB3A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8DAA8DA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 xml:space="preserve">Association </w:t>
            </w:r>
            <w:proofErr w:type="spellStart"/>
            <w:r w:rsidRPr="009566AE">
              <w:rPr>
                <w:rFonts w:asciiTheme="minorBidi" w:hAnsiTheme="minorBidi"/>
                <w:sz w:val="20"/>
              </w:rPr>
              <w:t>Ankraké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578CA742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Франция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9F976AD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NGO-90520</w:t>
            </w:r>
          </w:p>
        </w:tc>
      </w:tr>
      <w:tr w:rsidR="005823AB" w:rsidRPr="009566AE" w14:paraId="26A1F082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6DBABBF" w14:textId="77777777" w:rsidR="005823AB" w:rsidRPr="007E70EA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Society for Digitization of Traditional Cultural Heritage (Society for DTCH)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4588533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Босния и Герцеговина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2FAB296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NGO-90521</w:t>
            </w:r>
          </w:p>
        </w:tc>
      </w:tr>
      <w:tr w:rsidR="005823AB" w:rsidRPr="009566AE" w14:paraId="3FC4159D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2D947C73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sz w:val="20"/>
              </w:rPr>
              <w:t>Fundación</w:t>
            </w:r>
            <w:proofErr w:type="spellEnd"/>
            <w:r w:rsidRPr="009566AE">
              <w:rPr>
                <w:rFonts w:asciiTheme="minorBidi" w:hAnsiTheme="minorBidi"/>
                <w:sz w:val="20"/>
              </w:rPr>
              <w:t xml:space="preserve"> INDICRI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4771DB9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Панама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8BC02CB" w14:textId="77777777" w:rsidR="005823AB" w:rsidRPr="009566AE" w:rsidRDefault="005823AB" w:rsidP="0079216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NGO-90522</w:t>
            </w:r>
          </w:p>
        </w:tc>
      </w:tr>
      <w:tr w:rsidR="005823AB" w:rsidRPr="009566AE" w14:paraId="75A4A8A4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607E0924" w14:textId="77777777" w:rsidR="005823AB" w:rsidRPr="009566AE" w:rsidRDefault="005823AB" w:rsidP="0079216A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Femmes</w:t>
            </w:r>
            <w:proofErr w:type="spellEnd"/>
            <w:r w:rsidRPr="009566AE">
              <w:rPr>
                <w:rFonts w:asciiTheme="minorBidi" w:hAnsiTheme="minorBidi"/>
                <w:color w:val="000000"/>
                <w:sz w:val="20"/>
              </w:rPr>
              <w:t xml:space="preserve"> et </w:t>
            </w:r>
            <w:proofErr w:type="spellStart"/>
            <w:r w:rsidRPr="009566AE">
              <w:rPr>
                <w:rFonts w:asciiTheme="minorBidi" w:hAnsiTheme="minorBidi"/>
                <w:color w:val="000000"/>
                <w:sz w:val="20"/>
              </w:rPr>
              <w:t>traditions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14:paraId="5E319380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Канада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EF48525" w14:textId="77777777" w:rsidR="005823AB" w:rsidRPr="009566AE" w:rsidRDefault="005823AB" w:rsidP="0079216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NGO-90523</w:t>
            </w:r>
          </w:p>
        </w:tc>
      </w:tr>
    </w:tbl>
    <w:p w14:paraId="62530A75" w14:textId="6E7AB437" w:rsidR="00921BC4" w:rsidRPr="009566AE" w:rsidRDefault="005823AB" w:rsidP="00E7113D">
      <w:pPr>
        <w:pStyle w:val="COMParaDecision"/>
        <w:spacing w:before="240" w:after="240"/>
        <w:ind w:left="1843" w:hanging="1843"/>
        <w:rPr>
          <w:b/>
          <w:bCs/>
          <w:snapToGrid w:val="0"/>
          <w:u w:val="none"/>
        </w:rPr>
      </w:pPr>
      <w:r w:rsidRPr="009566AE">
        <w:rPr>
          <w:b/>
          <w:snapToGrid w:val="0"/>
          <w:u w:val="none"/>
        </w:rPr>
        <w:t>Приложение II: Неправительственные организации, рассмотрение которых было отложено до момента проведения Генеральной Ассамблеи в ходе шестнадцатой сессии Комитета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6062"/>
        <w:gridCol w:w="1945"/>
        <w:gridCol w:w="1621"/>
      </w:tblGrid>
      <w:tr w:rsidR="005823AB" w:rsidRPr="009566AE" w14:paraId="71BBED9D" w14:textId="77777777" w:rsidTr="00792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vAlign w:val="center"/>
            <w:hideMark/>
          </w:tcPr>
          <w:p w14:paraId="520BDE93" w14:textId="77777777" w:rsidR="005823AB" w:rsidRPr="009566AE" w:rsidRDefault="005823AB" w:rsidP="0079216A">
            <w:pPr>
              <w:contextualSpacing/>
              <w:jc w:val="center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Название организации</w:t>
            </w:r>
          </w:p>
        </w:tc>
        <w:tc>
          <w:tcPr>
            <w:tcW w:w="1010" w:type="pct"/>
            <w:vAlign w:val="center"/>
            <w:hideMark/>
          </w:tcPr>
          <w:p w14:paraId="2C668525" w14:textId="77777777" w:rsidR="005823AB" w:rsidRPr="009566AE" w:rsidRDefault="005823AB" w:rsidP="0079216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Страна, в которой расположена штаб-квартира</w:t>
            </w:r>
          </w:p>
        </w:tc>
        <w:tc>
          <w:tcPr>
            <w:tcW w:w="842" w:type="pct"/>
            <w:vAlign w:val="center"/>
            <w:hideMark/>
          </w:tcPr>
          <w:p w14:paraId="740EAAD0" w14:textId="77777777" w:rsidR="005823AB" w:rsidRPr="009566AE" w:rsidRDefault="005823AB" w:rsidP="0079216A">
            <w:pPr>
              <w:spacing w:before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color w:val="000000"/>
                <w:sz w:val="20"/>
              </w:rPr>
              <w:t>Номер заявки</w:t>
            </w:r>
          </w:p>
        </w:tc>
      </w:tr>
      <w:tr w:rsidR="005823AB" w:rsidRPr="009566AE" w14:paraId="763C5311" w14:textId="77777777" w:rsidTr="0079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51978A35" w14:textId="398CCA6F" w:rsidR="005823AB" w:rsidRPr="007E70EA" w:rsidRDefault="005823AB" w:rsidP="005823AB">
            <w:pPr>
              <w:contextualSpacing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color w:val="000000"/>
                <w:sz w:val="20"/>
                <w:lang w:val="en-US"/>
              </w:rPr>
              <w:t>Direct Gradual Development, Civil Association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D9DFBEE" w14:textId="693ED060" w:rsidR="005823AB" w:rsidRPr="009566AE" w:rsidRDefault="005823AB" w:rsidP="005823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Мексика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0D6A9C8" w14:textId="29CCDABA" w:rsidR="005823AB" w:rsidRPr="009566AE" w:rsidRDefault="005823AB" w:rsidP="005823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NGO-90481</w:t>
            </w:r>
          </w:p>
        </w:tc>
      </w:tr>
      <w:tr w:rsidR="005823AB" w:rsidRPr="009566AE" w14:paraId="71FA1F42" w14:textId="77777777" w:rsidTr="007921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  <w:shd w:val="clear" w:color="auto" w:fill="auto"/>
            <w:vAlign w:val="center"/>
          </w:tcPr>
          <w:p w14:paraId="034BA54C" w14:textId="32EFE1F8" w:rsidR="005823AB" w:rsidRPr="007E70EA" w:rsidRDefault="005823AB" w:rsidP="005823AB">
            <w:pPr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7E70EA">
              <w:rPr>
                <w:rFonts w:asciiTheme="minorBidi" w:hAnsiTheme="minorBidi"/>
                <w:sz w:val="20"/>
                <w:lang w:val="en-US"/>
              </w:rPr>
              <w:t>Institute for Intangible Cultural Heritage (IPACIM)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810FA4D" w14:textId="37BCBD1D" w:rsidR="005823AB" w:rsidRPr="009566AE" w:rsidRDefault="005823AB" w:rsidP="005823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Испания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E5F1D77" w14:textId="5EAFC917" w:rsidR="005823AB" w:rsidRPr="009566AE" w:rsidRDefault="005823AB" w:rsidP="005823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566AE">
              <w:rPr>
                <w:rFonts w:asciiTheme="minorBidi" w:hAnsiTheme="minorBidi"/>
                <w:sz w:val="20"/>
              </w:rPr>
              <w:t>NGO-90493</w:t>
            </w:r>
          </w:p>
        </w:tc>
      </w:tr>
    </w:tbl>
    <w:p w14:paraId="36D359DC" w14:textId="77777777" w:rsidR="000B24C4" w:rsidRPr="007E70EA" w:rsidRDefault="000B24C4">
      <w:pPr>
        <w:rPr>
          <w:rFonts w:ascii="Arial" w:hAnsi="Arial" w:cs="Arial"/>
          <w:snapToGrid w:val="0"/>
          <w:u w:val="single"/>
          <w:lang w:eastAsia="en-US"/>
        </w:rPr>
      </w:pPr>
    </w:p>
    <w:sectPr w:rsidR="000B24C4" w:rsidRPr="007E70EA" w:rsidSect="00176720">
      <w:headerReference w:type="even" r:id="rId16"/>
      <w:headerReference w:type="default" r:id="rId17"/>
      <w:headerReference w:type="first" r:id="rId18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E29D" w14:textId="77777777" w:rsidR="00DA55B3" w:rsidRDefault="00DA55B3" w:rsidP="00655736">
      <w:r>
        <w:separator/>
      </w:r>
    </w:p>
  </w:endnote>
  <w:endnote w:type="continuationSeparator" w:id="0">
    <w:p w14:paraId="4EEE115A" w14:textId="77777777" w:rsidR="00DA55B3" w:rsidRDefault="00DA55B3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48EF" w14:textId="77777777" w:rsidR="00DA55B3" w:rsidRDefault="00DA55B3" w:rsidP="00655736">
      <w:r>
        <w:separator/>
      </w:r>
    </w:p>
  </w:footnote>
  <w:footnote w:type="continuationSeparator" w:id="0">
    <w:p w14:paraId="292FEC65" w14:textId="77777777" w:rsidR="00DA55B3" w:rsidRDefault="00DA55B3" w:rsidP="00655736">
      <w:r>
        <w:continuationSeparator/>
      </w:r>
    </w:p>
  </w:footnote>
  <w:footnote w:id="1">
    <w:p w14:paraId="677B2FB5" w14:textId="306EFFAA" w:rsidR="004368A3" w:rsidRPr="00202EA2" w:rsidRDefault="004368A3" w:rsidP="004368A3">
      <w:pPr>
        <w:pStyle w:val="FootnoteText"/>
        <w:spacing w:after="60"/>
        <w:ind w:left="567" w:hanging="567"/>
        <w:jc w:val="both"/>
        <w:rPr>
          <w:rFonts w:asciiTheme="minorBidi" w:hAnsiTheme="minorBidi" w:cstheme="minorBidi"/>
          <w:bCs/>
          <w:sz w:val="18"/>
          <w:szCs w:val="18"/>
        </w:rPr>
      </w:pPr>
      <w:r w:rsidRPr="00202EA2">
        <w:rPr>
          <w:rStyle w:val="FootnoteReference"/>
          <w:rFonts w:asciiTheme="minorBidi" w:hAnsiTheme="minorBidi" w:cstheme="minorBidi"/>
          <w:sz w:val="18"/>
          <w:szCs w:val="18"/>
          <w:vertAlign w:val="baseline"/>
        </w:rPr>
        <w:footnoteRef/>
      </w:r>
      <w:r w:rsidR="00202EA2">
        <w:rPr>
          <w:rFonts w:asciiTheme="minorBidi" w:hAnsiTheme="minorBidi" w:cstheme="minorBidi"/>
          <w:sz w:val="18"/>
          <w:szCs w:val="18"/>
          <w:lang w:val="en-GB"/>
        </w:rPr>
        <w:t>.</w:t>
      </w:r>
      <w:r w:rsidRPr="00202EA2">
        <w:rPr>
          <w:rFonts w:asciiTheme="minorBidi" w:hAnsiTheme="minorBidi" w:cstheme="minorBidi"/>
          <w:sz w:val="18"/>
          <w:szCs w:val="18"/>
        </w:rPr>
        <w:t xml:space="preserve"> </w:t>
      </w:r>
      <w:r w:rsidRPr="00202EA2">
        <w:rPr>
          <w:rFonts w:asciiTheme="minorBidi" w:hAnsiTheme="minorBidi" w:cstheme="minorBidi"/>
          <w:sz w:val="18"/>
          <w:szCs w:val="18"/>
        </w:rPr>
        <w:tab/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Генеральная Ассамблея аккредитовала 97 организаций Резолюцией </w:t>
      </w:r>
      <w:hyperlink r:id="rId1" w:history="1">
        <w:r w:rsidRPr="00202EA2">
          <w:rPr>
            <w:rStyle w:val="Hyperlink"/>
            <w:rFonts w:asciiTheme="minorBidi" w:hAnsiTheme="minorBidi" w:cstheme="minorBidi"/>
            <w:bCs/>
            <w:sz w:val="18"/>
            <w:szCs w:val="18"/>
          </w:rPr>
          <w:t>3.GA 7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, 59 – </w:t>
      </w:r>
      <w:r w:rsidR="00E5487D" w:rsidRPr="00202EA2">
        <w:rPr>
          <w:rFonts w:asciiTheme="minorBidi" w:hAnsiTheme="minorBidi" w:cstheme="minorBidi"/>
          <w:sz w:val="18"/>
          <w:szCs w:val="18"/>
        </w:rPr>
        <w:t xml:space="preserve">Резолюцией </w:t>
      </w:r>
      <w:hyperlink r:id="rId2" w:history="1">
        <w:r w:rsidR="00E5487D" w:rsidRPr="00202EA2">
          <w:rPr>
            <w:rStyle w:val="Hyperlink"/>
            <w:rFonts w:asciiTheme="minorBidi" w:hAnsiTheme="minorBidi" w:cstheme="minorBidi"/>
            <w:bCs/>
            <w:sz w:val="18"/>
            <w:szCs w:val="18"/>
          </w:rPr>
          <w:t>4.GA 6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>, 22 – Резолюцией</w:t>
      </w:r>
      <w:hyperlink r:id="rId3" w:history="1">
        <w:r w:rsidRPr="00202EA2">
          <w:rPr>
            <w:rStyle w:val="Hyperlink"/>
            <w:rFonts w:asciiTheme="minorBidi" w:hAnsiTheme="minorBidi" w:cstheme="minorBidi"/>
            <w:bCs/>
            <w:sz w:val="18"/>
            <w:szCs w:val="18"/>
          </w:rPr>
          <w:t xml:space="preserve"> 5.GA 6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, 24 – </w:t>
      </w:r>
      <w:r w:rsidR="00E5487D" w:rsidRPr="00202EA2">
        <w:rPr>
          <w:rFonts w:asciiTheme="minorBidi" w:hAnsiTheme="minorBidi" w:cstheme="minorBidi"/>
          <w:sz w:val="18"/>
          <w:szCs w:val="18"/>
        </w:rPr>
        <w:t xml:space="preserve">Резолюцией </w:t>
      </w:r>
      <w:hyperlink r:id="rId4" w:history="1">
        <w:r w:rsidR="00E5487D" w:rsidRPr="00202EA2">
          <w:rPr>
            <w:rStyle w:val="Hyperlink"/>
            <w:rFonts w:asciiTheme="minorBidi" w:hAnsiTheme="minorBidi" w:cstheme="minorBidi"/>
            <w:sz w:val="18"/>
            <w:szCs w:val="18"/>
          </w:rPr>
          <w:t>6.GA 8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>, 29 –</w:t>
      </w:r>
      <w:r w:rsidRPr="00202EA2">
        <w:rPr>
          <w:rFonts w:asciiTheme="minorBidi" w:hAnsiTheme="minorBidi" w:cstheme="minorBidi"/>
          <w:sz w:val="18"/>
          <w:szCs w:val="18"/>
        </w:rPr>
        <w:t xml:space="preserve"> 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Резолюцией </w:t>
      </w:r>
      <w:hyperlink r:id="rId5" w:history="1">
        <w:r w:rsidRPr="00202EA2">
          <w:rPr>
            <w:rStyle w:val="Hyperlink"/>
            <w:rFonts w:asciiTheme="minorBidi" w:hAnsiTheme="minorBidi" w:cstheme="minorBidi"/>
            <w:bCs/>
            <w:sz w:val="18"/>
            <w:szCs w:val="18"/>
          </w:rPr>
          <w:t>7.GA 11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 и 36 –</w:t>
      </w:r>
      <w:r w:rsidRPr="00202EA2">
        <w:rPr>
          <w:rFonts w:asciiTheme="minorBidi" w:hAnsiTheme="minorBidi" w:cstheme="minorBidi"/>
          <w:sz w:val="18"/>
          <w:szCs w:val="18"/>
        </w:rPr>
        <w:t xml:space="preserve"> 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Резолюцией </w:t>
      </w:r>
      <w:hyperlink r:id="rId6" w:history="1"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8.GA 13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>.</w:t>
      </w:r>
    </w:p>
  </w:footnote>
  <w:footnote w:id="2">
    <w:p w14:paraId="3F2452DD" w14:textId="2D52F0D4" w:rsidR="00C01618" w:rsidRPr="00202EA2" w:rsidRDefault="00C01618" w:rsidP="00C01618">
      <w:pPr>
        <w:pStyle w:val="FootnoteText"/>
        <w:spacing w:after="60"/>
        <w:ind w:left="567" w:hanging="567"/>
        <w:jc w:val="both"/>
        <w:rPr>
          <w:rFonts w:asciiTheme="minorBidi" w:hAnsiTheme="minorBidi" w:cstheme="minorBidi"/>
          <w:sz w:val="18"/>
          <w:szCs w:val="18"/>
        </w:rPr>
      </w:pPr>
      <w:r w:rsidRPr="00202EA2">
        <w:rPr>
          <w:rStyle w:val="FootnoteReference"/>
          <w:rFonts w:asciiTheme="minorBidi" w:hAnsiTheme="minorBidi" w:cstheme="minorBidi"/>
          <w:sz w:val="18"/>
          <w:szCs w:val="18"/>
          <w:vertAlign w:val="baseline"/>
        </w:rPr>
        <w:footnoteRef/>
      </w:r>
      <w:r w:rsidR="00202EA2">
        <w:rPr>
          <w:rFonts w:asciiTheme="minorBidi" w:hAnsiTheme="minorBidi" w:cstheme="minorBidi"/>
          <w:snapToGrid w:val="0"/>
          <w:sz w:val="18"/>
          <w:szCs w:val="18"/>
          <w:lang w:val="en-GB"/>
        </w:rPr>
        <w:t>.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ab/>
        <w:t xml:space="preserve">На своей </w:t>
      </w:r>
      <w:r w:rsidRPr="00202EA2">
        <w:rPr>
          <w:rFonts w:asciiTheme="minorBidi" w:hAnsiTheme="minorBidi" w:cstheme="minorBidi"/>
          <w:b/>
          <w:snapToGrid w:val="0"/>
          <w:sz w:val="18"/>
          <w:szCs w:val="18"/>
        </w:rPr>
        <w:t>десятой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 сессии в 2015 году Комитет принял решение продолжить отношения с 59 НПО и прекратить отношения с 38 НПО (Решение </w:t>
      </w:r>
      <w:hyperlink r:id="rId7" w:history="1"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10.COM 16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), все из которых были аккредитованы в ходе третьей сессии Генеральной Ассамблеи в 2010 году; на своей </w:t>
      </w:r>
      <w:r w:rsidRPr="00202EA2">
        <w:rPr>
          <w:rFonts w:asciiTheme="minorBidi" w:hAnsiTheme="minorBidi" w:cstheme="minorBidi"/>
          <w:b/>
          <w:snapToGrid w:val="0"/>
          <w:sz w:val="18"/>
          <w:szCs w:val="18"/>
        </w:rPr>
        <w:t>двенадцатой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 сессии в 2017 году Комитет принял решение продолжить отношения с 42 НПО и прекратить отношения с 17 НПО (Решение </w:t>
      </w:r>
      <w:hyperlink r:id="rId8" w:history="1"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12.COM 17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), все из которых были аккредитованы в ходе четвертой сессии Генеральной Ассамблеи в 2012 году; на своей </w:t>
      </w:r>
      <w:r w:rsidRPr="00202EA2">
        <w:rPr>
          <w:rFonts w:asciiTheme="minorBidi" w:hAnsiTheme="minorBidi" w:cstheme="minorBidi"/>
          <w:b/>
          <w:snapToGrid w:val="0"/>
          <w:sz w:val="18"/>
          <w:szCs w:val="18"/>
        </w:rPr>
        <w:t>четырнадцатой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 сессии в 2019 году Комитет принял решение продолжить отношения с 62 аккредитованными НПО и прекратить отношения с 19 НПО (Решение </w:t>
      </w:r>
      <w:hyperlink r:id="rId9" w:history="1"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14.</w:t>
        </w:r>
        <w:r w:rsidR="00616AD9"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COM</w:t>
        </w:r>
        <w:r w:rsidR="00616AD9"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  <w:lang w:val="fr-FR"/>
          </w:rPr>
          <w:t> </w:t>
        </w:r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17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), все из которых были аккредитованы в ходе пятой сессии Генеральной Ассамблеи; на своей </w:t>
      </w:r>
      <w:r w:rsidRPr="00202EA2">
        <w:rPr>
          <w:rFonts w:asciiTheme="minorBidi" w:hAnsiTheme="minorBidi" w:cstheme="minorBidi"/>
          <w:b/>
          <w:snapToGrid w:val="0"/>
          <w:sz w:val="18"/>
          <w:szCs w:val="18"/>
        </w:rPr>
        <w:t>шестнадцатой</w:t>
      </w:r>
      <w:r w:rsidRPr="00202EA2">
        <w:rPr>
          <w:rFonts w:asciiTheme="minorBidi" w:hAnsiTheme="minorBidi" w:cstheme="minorBidi"/>
          <w:snapToGrid w:val="0"/>
          <w:sz w:val="18"/>
          <w:szCs w:val="18"/>
        </w:rPr>
        <w:t xml:space="preserve"> сессии в 2021 году Комитет принял решение продолжить отношения с 57 аккредитованными НПО и прекратить отношения с 9 НПО (Решение </w:t>
      </w:r>
      <w:hyperlink r:id="rId10" w:history="1"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16.</w:t>
        </w:r>
        <w:r w:rsidR="00616AD9"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COM</w:t>
        </w:r>
        <w:r w:rsidR="00616AD9"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  <w:lang w:val="fr-FR"/>
          </w:rPr>
          <w:t> </w:t>
        </w:r>
        <w:r w:rsidRPr="00202EA2">
          <w:rPr>
            <w:rStyle w:val="Hyperlink"/>
            <w:rFonts w:asciiTheme="minorBidi" w:hAnsiTheme="minorBidi" w:cstheme="minorBidi"/>
            <w:bCs/>
            <w:snapToGrid w:val="0"/>
            <w:sz w:val="18"/>
            <w:szCs w:val="18"/>
          </w:rPr>
          <w:t>15</w:t>
        </w:r>
      </w:hyperlink>
      <w:r w:rsidRPr="00202EA2">
        <w:rPr>
          <w:rFonts w:asciiTheme="minorBidi" w:hAnsiTheme="minorBidi" w:cstheme="minorBidi"/>
          <w:snapToGrid w:val="0"/>
          <w:sz w:val="18"/>
          <w:szCs w:val="18"/>
        </w:rPr>
        <w:t>), все из которых были аккредитованы в ходе шестой сессии Генеральной Ассамблеи.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D5F8" w14:textId="3D09CE3D" w:rsidR="00D95C4C" w:rsidRPr="00C23A97" w:rsidRDefault="006F41B4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LHE/22/9.GA/7 – страница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F010E0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3C2" w14:textId="3C39BFFE" w:rsidR="00D95C4C" w:rsidRPr="0063300C" w:rsidRDefault="00502D44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LHE/22/9.GA/7– страница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8A1ED4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32A" w14:textId="2D6DE474" w:rsidR="00D95C4C" w:rsidRPr="008724E5" w:rsidRDefault="00CC20A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E20A5C" wp14:editId="5780D9D0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1551780" cy="1332000"/>
          <wp:effectExtent l="0" t="0" r="0" b="1905"/>
          <wp:wrapSquare wrapText="bothSides"/>
          <wp:docPr id="1" name="Imag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80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233C0" w14:textId="0080C653" w:rsidR="00D95C4C" w:rsidRPr="00D25762" w:rsidRDefault="003265D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9 GA</w:t>
    </w:r>
  </w:p>
  <w:p w14:paraId="2037F6C9" w14:textId="0E875835" w:rsidR="00D95C4C" w:rsidRPr="00D25762" w:rsidRDefault="006F41B4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LHE/22/9.GA/7</w:t>
    </w:r>
  </w:p>
  <w:p w14:paraId="1E03530A" w14:textId="664FD2E8" w:rsidR="00D95C4C" w:rsidRPr="00D25762" w:rsidRDefault="00D95C4C" w:rsidP="00655736">
    <w:pPr>
      <w:jc w:val="right"/>
      <w:rPr>
        <w:rFonts w:ascii="Arial" w:hAnsi="Arial" w:cs="Arial"/>
        <w:b/>
        <w:sz w:val="22"/>
        <w:szCs w:val="22"/>
      </w:rPr>
    </w:pPr>
    <w:r w:rsidRPr="00632401">
      <w:rPr>
        <w:rFonts w:ascii="Arial" w:hAnsi="Arial"/>
        <w:b/>
        <w:sz w:val="22"/>
      </w:rPr>
      <w:t xml:space="preserve">Париж, </w:t>
    </w:r>
    <w:r w:rsidRPr="007E70EA">
      <w:rPr>
        <w:rFonts w:ascii="Arial" w:hAnsi="Arial"/>
        <w:b/>
        <w:sz w:val="22"/>
      </w:rPr>
      <w:t>3 июня</w:t>
    </w:r>
    <w:r>
      <w:rPr>
        <w:rFonts w:ascii="Arial" w:hAnsi="Arial"/>
        <w:b/>
        <w:sz w:val="22"/>
      </w:rPr>
      <w:t xml:space="preserve"> 2022 г.</w:t>
    </w:r>
  </w:p>
  <w:p w14:paraId="00956E32" w14:textId="7598642E" w:rsidR="00D95C4C" w:rsidRDefault="00D95C4C" w:rsidP="00703FBF">
    <w:pPr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Оригинал: английский</w:t>
    </w:r>
  </w:p>
  <w:p w14:paraId="7FB1132E" w14:textId="18F92AB5" w:rsidR="00540FE0" w:rsidRDefault="00540FE0" w:rsidP="00540FE0">
    <w:pPr>
      <w:rPr>
        <w:lang w:val="en-GB"/>
      </w:rPr>
    </w:pPr>
  </w:p>
  <w:p w14:paraId="29E813A8" w14:textId="77777777" w:rsidR="00204BCC" w:rsidRPr="00C23A97" w:rsidRDefault="00204BCC" w:rsidP="00540FE0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352"/>
    <w:multiLevelType w:val="hybridMultilevel"/>
    <w:tmpl w:val="0DC0C3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76F"/>
    <w:multiLevelType w:val="hybridMultilevel"/>
    <w:tmpl w:val="2634EA06"/>
    <w:lvl w:ilvl="0" w:tplc="85E65BB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A62126"/>
    <w:multiLevelType w:val="hybridMultilevel"/>
    <w:tmpl w:val="7B7CBF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A51"/>
    <w:multiLevelType w:val="multilevel"/>
    <w:tmpl w:val="FD1C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6D09"/>
    <w:multiLevelType w:val="hybridMultilevel"/>
    <w:tmpl w:val="A2507ECA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53EB"/>
    <w:multiLevelType w:val="hybridMultilevel"/>
    <w:tmpl w:val="C0368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448F771C"/>
    <w:multiLevelType w:val="multilevel"/>
    <w:tmpl w:val="A0CA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C6B5B59"/>
    <w:multiLevelType w:val="multilevel"/>
    <w:tmpl w:val="3E32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3E4C"/>
    <w:multiLevelType w:val="hybridMultilevel"/>
    <w:tmpl w:val="C2826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F5E6B0A"/>
    <w:multiLevelType w:val="hybridMultilevel"/>
    <w:tmpl w:val="76563B0C"/>
    <w:lvl w:ilvl="0" w:tplc="55EA788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3D3D"/>
    <w:multiLevelType w:val="hybridMultilevel"/>
    <w:tmpl w:val="A9280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84E40"/>
    <w:multiLevelType w:val="hybridMultilevel"/>
    <w:tmpl w:val="70B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D39AC"/>
    <w:multiLevelType w:val="hybridMultilevel"/>
    <w:tmpl w:val="98F2FA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7090C"/>
    <w:multiLevelType w:val="hybridMultilevel"/>
    <w:tmpl w:val="6B0875CC"/>
    <w:lvl w:ilvl="0" w:tplc="65FCF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7D10C57"/>
    <w:multiLevelType w:val="multilevel"/>
    <w:tmpl w:val="357A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8222C"/>
    <w:multiLevelType w:val="hybridMultilevel"/>
    <w:tmpl w:val="B1E66D4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C12BE"/>
    <w:multiLevelType w:val="hybridMultilevel"/>
    <w:tmpl w:val="560CA548"/>
    <w:lvl w:ilvl="0" w:tplc="5C7A27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55CE"/>
    <w:multiLevelType w:val="hybridMultilevel"/>
    <w:tmpl w:val="F8D0D33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6FC0292"/>
    <w:multiLevelType w:val="hybridMultilevel"/>
    <w:tmpl w:val="C1F0D092"/>
    <w:lvl w:ilvl="0" w:tplc="EBA0D8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34"/>
  </w:num>
  <w:num w:numId="5">
    <w:abstractNumId w:val="26"/>
  </w:num>
  <w:num w:numId="6">
    <w:abstractNumId w:val="3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30"/>
  </w:num>
  <w:num w:numId="14">
    <w:abstractNumId w:val="18"/>
  </w:num>
  <w:num w:numId="15">
    <w:abstractNumId w:val="20"/>
  </w:num>
  <w:num w:numId="16">
    <w:abstractNumId w:val="11"/>
  </w:num>
  <w:num w:numId="17">
    <w:abstractNumId w:val="11"/>
  </w:num>
  <w:num w:numId="18">
    <w:abstractNumId w:val="11"/>
  </w:num>
  <w:num w:numId="19">
    <w:abstractNumId w:val="0"/>
  </w:num>
  <w:num w:numId="20">
    <w:abstractNumId w:val="2"/>
  </w:num>
  <w:num w:numId="21">
    <w:abstractNumId w:val="32"/>
  </w:num>
  <w:num w:numId="22">
    <w:abstractNumId w:val="22"/>
  </w:num>
  <w:num w:numId="23">
    <w:abstractNumId w:val="28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7"/>
  </w:num>
  <w:num w:numId="29">
    <w:abstractNumId w:val="15"/>
  </w:num>
  <w:num w:numId="30">
    <w:abstractNumId w:val="13"/>
  </w:num>
  <w:num w:numId="31">
    <w:abstractNumId w:val="8"/>
  </w:num>
  <w:num w:numId="32">
    <w:abstractNumId w:val="17"/>
  </w:num>
  <w:num w:numId="33">
    <w:abstractNumId w:val="31"/>
  </w:num>
  <w:num w:numId="34">
    <w:abstractNumId w:val="9"/>
  </w:num>
  <w:num w:numId="35">
    <w:abstractNumId w:val="25"/>
  </w:num>
  <w:num w:numId="36">
    <w:abstractNumId w:val="1"/>
  </w:num>
  <w:num w:numId="37">
    <w:abstractNumId w:val="33"/>
  </w:num>
  <w:num w:numId="38">
    <w:abstractNumId w:val="6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081D"/>
    <w:rsid w:val="00002B19"/>
    <w:rsid w:val="000048ED"/>
    <w:rsid w:val="0003139A"/>
    <w:rsid w:val="00041A66"/>
    <w:rsid w:val="00050428"/>
    <w:rsid w:val="0005176E"/>
    <w:rsid w:val="00053C58"/>
    <w:rsid w:val="000617A8"/>
    <w:rsid w:val="00065B6F"/>
    <w:rsid w:val="000761B7"/>
    <w:rsid w:val="000765F7"/>
    <w:rsid w:val="00077AB7"/>
    <w:rsid w:val="0008046B"/>
    <w:rsid w:val="00081CD8"/>
    <w:rsid w:val="000857CC"/>
    <w:rsid w:val="00091D00"/>
    <w:rsid w:val="000A3C88"/>
    <w:rsid w:val="000A7F0E"/>
    <w:rsid w:val="000B24C4"/>
    <w:rsid w:val="000B3D34"/>
    <w:rsid w:val="000B7111"/>
    <w:rsid w:val="000C0D61"/>
    <w:rsid w:val="000C2FE8"/>
    <w:rsid w:val="000D39DF"/>
    <w:rsid w:val="000E6941"/>
    <w:rsid w:val="000F1204"/>
    <w:rsid w:val="000F3A3F"/>
    <w:rsid w:val="00102557"/>
    <w:rsid w:val="00106920"/>
    <w:rsid w:val="00110062"/>
    <w:rsid w:val="0011061D"/>
    <w:rsid w:val="00110DE5"/>
    <w:rsid w:val="00112165"/>
    <w:rsid w:val="001267A1"/>
    <w:rsid w:val="00132955"/>
    <w:rsid w:val="00133066"/>
    <w:rsid w:val="0014571A"/>
    <w:rsid w:val="00162EE7"/>
    <w:rsid w:val="00164D56"/>
    <w:rsid w:val="00164D8F"/>
    <w:rsid w:val="00167B10"/>
    <w:rsid w:val="0017402F"/>
    <w:rsid w:val="00176720"/>
    <w:rsid w:val="00182B88"/>
    <w:rsid w:val="001862DB"/>
    <w:rsid w:val="00191ADC"/>
    <w:rsid w:val="00196C1B"/>
    <w:rsid w:val="001B0F73"/>
    <w:rsid w:val="001B52CF"/>
    <w:rsid w:val="001D5B35"/>
    <w:rsid w:val="001D5C04"/>
    <w:rsid w:val="001D70CC"/>
    <w:rsid w:val="001E05F4"/>
    <w:rsid w:val="001F1F33"/>
    <w:rsid w:val="001F5D10"/>
    <w:rsid w:val="00202EA2"/>
    <w:rsid w:val="00204BCC"/>
    <w:rsid w:val="00206861"/>
    <w:rsid w:val="002123FD"/>
    <w:rsid w:val="00222A2D"/>
    <w:rsid w:val="00223029"/>
    <w:rsid w:val="002313B6"/>
    <w:rsid w:val="00231809"/>
    <w:rsid w:val="00234745"/>
    <w:rsid w:val="00236FF3"/>
    <w:rsid w:val="002407AF"/>
    <w:rsid w:val="00254D99"/>
    <w:rsid w:val="002641E7"/>
    <w:rsid w:val="00270504"/>
    <w:rsid w:val="00275EC7"/>
    <w:rsid w:val="00296281"/>
    <w:rsid w:val="00296AC6"/>
    <w:rsid w:val="002C09E3"/>
    <w:rsid w:val="002C5D7A"/>
    <w:rsid w:val="002E2EBD"/>
    <w:rsid w:val="002F312A"/>
    <w:rsid w:val="003265D0"/>
    <w:rsid w:val="0032756E"/>
    <w:rsid w:val="00345CB4"/>
    <w:rsid w:val="00352BB3"/>
    <w:rsid w:val="003549B8"/>
    <w:rsid w:val="003555BE"/>
    <w:rsid w:val="00361D79"/>
    <w:rsid w:val="003624DE"/>
    <w:rsid w:val="00365C36"/>
    <w:rsid w:val="00384A1C"/>
    <w:rsid w:val="003916AF"/>
    <w:rsid w:val="00391AC6"/>
    <w:rsid w:val="003929D2"/>
    <w:rsid w:val="00394197"/>
    <w:rsid w:val="003A228F"/>
    <w:rsid w:val="003A708C"/>
    <w:rsid w:val="003B1DF8"/>
    <w:rsid w:val="003B25BD"/>
    <w:rsid w:val="003B4C9D"/>
    <w:rsid w:val="003B5E39"/>
    <w:rsid w:val="003B6D70"/>
    <w:rsid w:val="003B747C"/>
    <w:rsid w:val="003D069C"/>
    <w:rsid w:val="003D7565"/>
    <w:rsid w:val="003D7646"/>
    <w:rsid w:val="003F113A"/>
    <w:rsid w:val="00414643"/>
    <w:rsid w:val="004146F7"/>
    <w:rsid w:val="0041493A"/>
    <w:rsid w:val="00422FC6"/>
    <w:rsid w:val="004368A3"/>
    <w:rsid w:val="0043757A"/>
    <w:rsid w:val="004421E5"/>
    <w:rsid w:val="004472C8"/>
    <w:rsid w:val="00452284"/>
    <w:rsid w:val="00472BCA"/>
    <w:rsid w:val="0047616F"/>
    <w:rsid w:val="004856CA"/>
    <w:rsid w:val="0049705E"/>
    <w:rsid w:val="004A34A0"/>
    <w:rsid w:val="004D32F1"/>
    <w:rsid w:val="004D73A6"/>
    <w:rsid w:val="004F7592"/>
    <w:rsid w:val="00502D44"/>
    <w:rsid w:val="005163C2"/>
    <w:rsid w:val="00526B7B"/>
    <w:rsid w:val="005308CE"/>
    <w:rsid w:val="00540FE0"/>
    <w:rsid w:val="00547B09"/>
    <w:rsid w:val="00552A08"/>
    <w:rsid w:val="0057439C"/>
    <w:rsid w:val="005823AB"/>
    <w:rsid w:val="00593D58"/>
    <w:rsid w:val="00595AF2"/>
    <w:rsid w:val="005A06B4"/>
    <w:rsid w:val="005B0127"/>
    <w:rsid w:val="005B7A35"/>
    <w:rsid w:val="005C4B73"/>
    <w:rsid w:val="005C4E40"/>
    <w:rsid w:val="005E1D2B"/>
    <w:rsid w:val="005F63DD"/>
    <w:rsid w:val="00600D93"/>
    <w:rsid w:val="00600E03"/>
    <w:rsid w:val="00616AD9"/>
    <w:rsid w:val="006212A7"/>
    <w:rsid w:val="00632401"/>
    <w:rsid w:val="0063300C"/>
    <w:rsid w:val="00647FD6"/>
    <w:rsid w:val="00655736"/>
    <w:rsid w:val="00656FCC"/>
    <w:rsid w:val="00663B8D"/>
    <w:rsid w:val="00671AE5"/>
    <w:rsid w:val="00677640"/>
    <w:rsid w:val="0067775C"/>
    <w:rsid w:val="006836FB"/>
    <w:rsid w:val="0069182E"/>
    <w:rsid w:val="006951AE"/>
    <w:rsid w:val="006968E3"/>
    <w:rsid w:val="00696C8D"/>
    <w:rsid w:val="006A2AC2"/>
    <w:rsid w:val="006A3617"/>
    <w:rsid w:val="006A5FFC"/>
    <w:rsid w:val="006A64E9"/>
    <w:rsid w:val="006B3B31"/>
    <w:rsid w:val="006E46E4"/>
    <w:rsid w:val="006F41B4"/>
    <w:rsid w:val="0070187D"/>
    <w:rsid w:val="00703FBF"/>
    <w:rsid w:val="007058DF"/>
    <w:rsid w:val="0071435D"/>
    <w:rsid w:val="00717DA5"/>
    <w:rsid w:val="007238AA"/>
    <w:rsid w:val="00733307"/>
    <w:rsid w:val="00733376"/>
    <w:rsid w:val="00744484"/>
    <w:rsid w:val="00763A0D"/>
    <w:rsid w:val="00773188"/>
    <w:rsid w:val="00776515"/>
    <w:rsid w:val="00782705"/>
    <w:rsid w:val="00783782"/>
    <w:rsid w:val="00784B8C"/>
    <w:rsid w:val="007A21DF"/>
    <w:rsid w:val="007A6B7A"/>
    <w:rsid w:val="007E41FA"/>
    <w:rsid w:val="007E70EA"/>
    <w:rsid w:val="007F16A7"/>
    <w:rsid w:val="007F492B"/>
    <w:rsid w:val="007F5754"/>
    <w:rsid w:val="00806D8C"/>
    <w:rsid w:val="00823A11"/>
    <w:rsid w:val="00826461"/>
    <w:rsid w:val="00826795"/>
    <w:rsid w:val="00831A0F"/>
    <w:rsid w:val="00846310"/>
    <w:rsid w:val="00852866"/>
    <w:rsid w:val="0085414A"/>
    <w:rsid w:val="0086269D"/>
    <w:rsid w:val="0086543A"/>
    <w:rsid w:val="00870246"/>
    <w:rsid w:val="008712A4"/>
    <w:rsid w:val="008724E5"/>
    <w:rsid w:val="00884A9D"/>
    <w:rsid w:val="0088512B"/>
    <w:rsid w:val="008948AA"/>
    <w:rsid w:val="008A1ED4"/>
    <w:rsid w:val="008A2B2D"/>
    <w:rsid w:val="008A377F"/>
    <w:rsid w:val="008A4E1E"/>
    <w:rsid w:val="008B5729"/>
    <w:rsid w:val="008B5A83"/>
    <w:rsid w:val="008C05DD"/>
    <w:rsid w:val="008C181E"/>
    <w:rsid w:val="008C296C"/>
    <w:rsid w:val="008D4305"/>
    <w:rsid w:val="008E014B"/>
    <w:rsid w:val="008E6EB5"/>
    <w:rsid w:val="008F38C8"/>
    <w:rsid w:val="009002D9"/>
    <w:rsid w:val="00902940"/>
    <w:rsid w:val="00904C7C"/>
    <w:rsid w:val="009163A7"/>
    <w:rsid w:val="00921BC4"/>
    <w:rsid w:val="00921EDB"/>
    <w:rsid w:val="00925E52"/>
    <w:rsid w:val="009306DB"/>
    <w:rsid w:val="009320D9"/>
    <w:rsid w:val="009337D2"/>
    <w:rsid w:val="009405A0"/>
    <w:rsid w:val="00946D0B"/>
    <w:rsid w:val="009566AE"/>
    <w:rsid w:val="00965081"/>
    <w:rsid w:val="00972FCE"/>
    <w:rsid w:val="00987765"/>
    <w:rsid w:val="00993CCC"/>
    <w:rsid w:val="009A18CD"/>
    <w:rsid w:val="009A20FA"/>
    <w:rsid w:val="009E7053"/>
    <w:rsid w:val="00A1140F"/>
    <w:rsid w:val="00A12558"/>
    <w:rsid w:val="00A13903"/>
    <w:rsid w:val="00A34ED5"/>
    <w:rsid w:val="00A352E3"/>
    <w:rsid w:val="00A43A4F"/>
    <w:rsid w:val="00A45DBF"/>
    <w:rsid w:val="00A4780F"/>
    <w:rsid w:val="00A5128D"/>
    <w:rsid w:val="00A645DF"/>
    <w:rsid w:val="00A65C29"/>
    <w:rsid w:val="00A72380"/>
    <w:rsid w:val="00A755A2"/>
    <w:rsid w:val="00A96464"/>
    <w:rsid w:val="00AA6660"/>
    <w:rsid w:val="00AB15B0"/>
    <w:rsid w:val="00AB2C36"/>
    <w:rsid w:val="00AB2F57"/>
    <w:rsid w:val="00AB5411"/>
    <w:rsid w:val="00AB70B6"/>
    <w:rsid w:val="00AD1753"/>
    <w:rsid w:val="00AD1A86"/>
    <w:rsid w:val="00AE103E"/>
    <w:rsid w:val="00AF0A07"/>
    <w:rsid w:val="00AF4974"/>
    <w:rsid w:val="00AF4AEC"/>
    <w:rsid w:val="00AF625E"/>
    <w:rsid w:val="00AF6D6A"/>
    <w:rsid w:val="00B02E09"/>
    <w:rsid w:val="00B03FDE"/>
    <w:rsid w:val="00B0496F"/>
    <w:rsid w:val="00B1775B"/>
    <w:rsid w:val="00B3294C"/>
    <w:rsid w:val="00B5568A"/>
    <w:rsid w:val="00B627A9"/>
    <w:rsid w:val="00B715A7"/>
    <w:rsid w:val="00B770B1"/>
    <w:rsid w:val="00B8078F"/>
    <w:rsid w:val="00B96B09"/>
    <w:rsid w:val="00BA27EB"/>
    <w:rsid w:val="00BA6346"/>
    <w:rsid w:val="00BB04AF"/>
    <w:rsid w:val="00BB3713"/>
    <w:rsid w:val="00BB6A81"/>
    <w:rsid w:val="00BD367B"/>
    <w:rsid w:val="00BD52C9"/>
    <w:rsid w:val="00BE2354"/>
    <w:rsid w:val="00BE6354"/>
    <w:rsid w:val="00C003BB"/>
    <w:rsid w:val="00C00655"/>
    <w:rsid w:val="00C01618"/>
    <w:rsid w:val="00C12869"/>
    <w:rsid w:val="00C2150F"/>
    <w:rsid w:val="00C23A97"/>
    <w:rsid w:val="00C4183D"/>
    <w:rsid w:val="00C42C66"/>
    <w:rsid w:val="00C46C0F"/>
    <w:rsid w:val="00C46EBD"/>
    <w:rsid w:val="00C514F4"/>
    <w:rsid w:val="00C6287D"/>
    <w:rsid w:val="00C64FCA"/>
    <w:rsid w:val="00C70EA7"/>
    <w:rsid w:val="00C72006"/>
    <w:rsid w:val="00C72A23"/>
    <w:rsid w:val="00C7516E"/>
    <w:rsid w:val="00C75770"/>
    <w:rsid w:val="00C929AF"/>
    <w:rsid w:val="00C970C0"/>
    <w:rsid w:val="00CA0224"/>
    <w:rsid w:val="00CC0BE1"/>
    <w:rsid w:val="00CC20AD"/>
    <w:rsid w:val="00CD3FDF"/>
    <w:rsid w:val="00CD73F8"/>
    <w:rsid w:val="00CD7430"/>
    <w:rsid w:val="00CF0045"/>
    <w:rsid w:val="00CF47B0"/>
    <w:rsid w:val="00CF66C6"/>
    <w:rsid w:val="00D00B2B"/>
    <w:rsid w:val="00D0496A"/>
    <w:rsid w:val="00D12629"/>
    <w:rsid w:val="00D20879"/>
    <w:rsid w:val="00D24877"/>
    <w:rsid w:val="00D25762"/>
    <w:rsid w:val="00D365B7"/>
    <w:rsid w:val="00D37FCE"/>
    <w:rsid w:val="00D502D2"/>
    <w:rsid w:val="00D51826"/>
    <w:rsid w:val="00D51E08"/>
    <w:rsid w:val="00D525FC"/>
    <w:rsid w:val="00D727BD"/>
    <w:rsid w:val="00D730AD"/>
    <w:rsid w:val="00D7505E"/>
    <w:rsid w:val="00D8267F"/>
    <w:rsid w:val="00D901A7"/>
    <w:rsid w:val="00D90ABA"/>
    <w:rsid w:val="00D9312B"/>
    <w:rsid w:val="00D95C4C"/>
    <w:rsid w:val="00DA082C"/>
    <w:rsid w:val="00DA36ED"/>
    <w:rsid w:val="00DA55B3"/>
    <w:rsid w:val="00DB0EC9"/>
    <w:rsid w:val="00DB5E63"/>
    <w:rsid w:val="00DC6754"/>
    <w:rsid w:val="00DE34F1"/>
    <w:rsid w:val="00DF1A11"/>
    <w:rsid w:val="00DF4942"/>
    <w:rsid w:val="00DF6E4B"/>
    <w:rsid w:val="00DF7A44"/>
    <w:rsid w:val="00E03278"/>
    <w:rsid w:val="00E35769"/>
    <w:rsid w:val="00E477D8"/>
    <w:rsid w:val="00E5487D"/>
    <w:rsid w:val="00E626C8"/>
    <w:rsid w:val="00E627B1"/>
    <w:rsid w:val="00E66DB5"/>
    <w:rsid w:val="00E7113D"/>
    <w:rsid w:val="00E729A3"/>
    <w:rsid w:val="00E86910"/>
    <w:rsid w:val="00E9376C"/>
    <w:rsid w:val="00EA335E"/>
    <w:rsid w:val="00EA528C"/>
    <w:rsid w:val="00EC5E0E"/>
    <w:rsid w:val="00ED5CF8"/>
    <w:rsid w:val="00EE1EDF"/>
    <w:rsid w:val="00EE6AF6"/>
    <w:rsid w:val="00EF16BA"/>
    <w:rsid w:val="00EF19A6"/>
    <w:rsid w:val="00EF34E2"/>
    <w:rsid w:val="00EF4F1F"/>
    <w:rsid w:val="00EF69E3"/>
    <w:rsid w:val="00F010E0"/>
    <w:rsid w:val="00F160B9"/>
    <w:rsid w:val="00F225E0"/>
    <w:rsid w:val="00F22F00"/>
    <w:rsid w:val="00F27A8E"/>
    <w:rsid w:val="00F440C9"/>
    <w:rsid w:val="00F46262"/>
    <w:rsid w:val="00F465E5"/>
    <w:rsid w:val="00F517FC"/>
    <w:rsid w:val="00F53DE9"/>
    <w:rsid w:val="00F576CB"/>
    <w:rsid w:val="00F60563"/>
    <w:rsid w:val="00F67C2E"/>
    <w:rsid w:val="00F71A02"/>
    <w:rsid w:val="00F73F25"/>
    <w:rsid w:val="00F80938"/>
    <w:rsid w:val="00FB6051"/>
    <w:rsid w:val="00FB6630"/>
    <w:rsid w:val="00FC4620"/>
    <w:rsid w:val="00FD1226"/>
    <w:rsid w:val="00FE27F6"/>
    <w:rsid w:val="00FE3A57"/>
    <w:rsid w:val="00FF03A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CAA34B"/>
  <w15:docId w15:val="{71296E5D-8BDD-4C42-81E0-A5DB0EDF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uiPriority w:val="59"/>
    <w:rsid w:val="00191ADC"/>
    <w:rPr>
      <w:lang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391AC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1AC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1A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1AC6"/>
    <w:rPr>
      <w:rFonts w:ascii="Times New Roman" w:eastAsia="Times New Roman" w:hAnsi="Times New Roman"/>
      <w:lang w:val="ru-RU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91AC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823AB"/>
    <w:pPr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3AB"/>
    <w:rPr>
      <w:rFonts w:asciiTheme="minorHAnsi" w:eastAsiaTheme="minorEastAsia" w:hAnsiTheme="minorHAnsi" w:cstheme="minorBidi"/>
      <w:lang w:val="ru-RU" w:eastAsia="ja-JP"/>
    </w:rPr>
  </w:style>
  <w:style w:type="table" w:styleId="GridTable4-Accent1">
    <w:name w:val="Grid Table 4 Accent 1"/>
    <w:basedOn w:val="TableNormal"/>
    <w:uiPriority w:val="49"/>
    <w:rsid w:val="005823AB"/>
    <w:rPr>
      <w:lang w:eastAsia="fr-F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GAPara">
    <w:name w:val="1. GA Para"/>
    <w:qFormat/>
    <w:rsid w:val="00595AF2"/>
    <w:pPr>
      <w:snapToGrid w:val="0"/>
      <w:spacing w:after="120"/>
      <w:ind w:left="720" w:hanging="360"/>
    </w:pPr>
    <w:rPr>
      <w:rFonts w:ascii="Arial" w:eastAsia="Times New Roman" w:hAnsi="Arial" w:cs="Arial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595A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57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12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6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7B"/>
    <w:pPr>
      <w:spacing w:after="0" w:line="240" w:lineRule="auto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7B"/>
    <w:rPr>
      <w:rFonts w:ascii="Times New Roman" w:eastAsia="Times New Roman" w:hAnsi="Times New Roman" w:cstheme="minorBidi"/>
      <w:b/>
      <w:bCs/>
      <w:lang w:val="ru-RU" w:eastAsia="fr-FR"/>
    </w:rPr>
  </w:style>
  <w:style w:type="paragraph" w:customStyle="1" w:styleId="COMPara">
    <w:name w:val="COM Para"/>
    <w:qFormat/>
    <w:rsid w:val="00A352E3"/>
    <w:p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57CC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ich.unesco.org/en/Decisions/7.COM/1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6.COM/1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6.COM/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Decisions/16.COM/15" TargetMode="External"/><Relationship Id="rId10" Type="http://schemas.openxmlformats.org/officeDocument/2006/relationships/hyperlink" Target="https://ich.unesco.org/en/Decisions/16.COM/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8.GA/13" TargetMode="External"/><Relationship Id="rId14" Type="http://schemas.openxmlformats.org/officeDocument/2006/relationships/hyperlink" Target="https://ich.unesco.org/en/Decisions/16.COM/15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2.COM/17" TargetMode="External"/><Relationship Id="rId3" Type="http://schemas.openxmlformats.org/officeDocument/2006/relationships/hyperlink" Target="https://ich.unesco.org/en/Resolutions/5.GA/6" TargetMode="External"/><Relationship Id="rId7" Type="http://schemas.openxmlformats.org/officeDocument/2006/relationships/hyperlink" Target="https://ich.unesco.org/en/Decisions/10.COM/16" TargetMode="External"/><Relationship Id="rId2" Type="http://schemas.openxmlformats.org/officeDocument/2006/relationships/hyperlink" Target="https://ich.unesco.org/en/Resolutions/4.GA/6" TargetMode="External"/><Relationship Id="rId1" Type="http://schemas.openxmlformats.org/officeDocument/2006/relationships/hyperlink" Target="https://ich.unesco.org/en/Resolutions/3.GA/7" TargetMode="External"/><Relationship Id="rId6" Type="http://schemas.openxmlformats.org/officeDocument/2006/relationships/hyperlink" Target="https://ich.unesco.org/en/Decisions/8.GA/13" TargetMode="External"/><Relationship Id="rId5" Type="http://schemas.openxmlformats.org/officeDocument/2006/relationships/hyperlink" Target="https://ich.unesco.org/en/Resolutions/7.GA/11" TargetMode="External"/><Relationship Id="rId10" Type="http://schemas.openxmlformats.org/officeDocument/2006/relationships/hyperlink" Target="https://ich.unesco.org/en/Decisions/16.COM/15" TargetMode="External"/><Relationship Id="rId4" Type="http://schemas.openxmlformats.org/officeDocument/2006/relationships/hyperlink" Target="https://ich.unesco.org/en/Decisions/6.GA/8" TargetMode="External"/><Relationship Id="rId9" Type="http://schemas.openxmlformats.org/officeDocument/2006/relationships/hyperlink" Target="https://ich.unesco.org/en/Decisions/14.COM/1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Рисунок 1. Географическое распределение аккредитованных НПО</a:t>
            </a:r>
            <a:r>
              <a:rPr lang="en-GB" sz="1400"/>
              <a:t> </a:t>
            </a:r>
            <a:r>
              <a:rPr lang="ru-RU" sz="1400"/>
              <a:t>(всего 184 в 2022 году)</a:t>
            </a:r>
          </a:p>
        </c:rich>
      </c:tx>
      <c:layout>
        <c:manualLayout>
          <c:xMode val="edge"/>
          <c:yMode val="edge"/>
          <c:x val="0.1983006423951305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Географическое распределение аккредитованных НПО</c:v>
                </c:pt>
              </c:strCache>
            </c:strRef>
          </c:tx>
          <c:dPt>
            <c:idx val="0"/>
            <c:bubble3D val="0"/>
            <c:spPr>
              <a:pattFill prst="trellis">
                <a:fgClr>
                  <a:srgbClr val="FF00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26-4F34-B287-2B5260B22392}"/>
              </c:ext>
            </c:extLst>
          </c:dPt>
          <c:dPt>
            <c:idx val="1"/>
            <c:bubble3D val="0"/>
            <c:spPr>
              <a:pattFill prst="pct90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26-4F34-B287-2B5260B22392}"/>
              </c:ext>
            </c:extLst>
          </c:dPt>
          <c:dPt>
            <c:idx val="2"/>
            <c:bubble3D val="0"/>
            <c:spPr>
              <a:pattFill prst="pct60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26-4F34-B287-2B5260B22392}"/>
              </c:ext>
            </c:extLst>
          </c:dPt>
          <c:dPt>
            <c:idx val="3"/>
            <c:bubble3D val="0"/>
            <c:spPr>
              <a:pattFill prst="narHorz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26-4F34-B287-2B5260B22392}"/>
              </c:ext>
            </c:extLst>
          </c:dPt>
          <c:dPt>
            <c:idx val="4"/>
            <c:bubble3D val="0"/>
            <c:spPr>
              <a:pattFill prst="pct90">
                <a:fgClr>
                  <a:srgbClr val="FFFF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26-4F34-B287-2B5260B22392}"/>
              </c:ext>
            </c:extLst>
          </c:dPt>
          <c:dPt>
            <c:idx val="5"/>
            <c:bubble3D val="0"/>
            <c:spPr>
              <a:pattFill prst="pct80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526-4F34-B287-2B5260B22392}"/>
              </c:ext>
            </c:extLst>
          </c:dPt>
          <c:dLbls>
            <c:dLbl>
              <c:idx val="0"/>
              <c:layout>
                <c:manualLayout>
                  <c:x val="2.5739933613949276E-2"/>
                  <c:y val="-8.7928640515821532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610303933138566E-2"/>
                      <c:h val="0.12092977586434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526-4F34-B287-2B5260B22392}"/>
                </c:ext>
              </c:extLst>
            </c:dLbl>
            <c:dLbl>
              <c:idx val="1"/>
              <c:layout>
                <c:manualLayout>
                  <c:x val="-1.4040014040014082E-2"/>
                  <c:y val="-8.7928640515821532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26-4F34-B287-2B5260B22392}"/>
                </c:ext>
              </c:extLst>
            </c:dLbl>
            <c:dLbl>
              <c:idx val="2"/>
              <c:layout>
                <c:manualLayout>
                  <c:x val="-3.9780039780039779E-2"/>
                  <c:y val="-2.39808153477219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26-4F34-B287-2B5260B22392}"/>
                </c:ext>
              </c:extLst>
            </c:dLbl>
            <c:dLbl>
              <c:idx val="3"/>
              <c:layout>
                <c:manualLayout>
                  <c:x val="-2.8080028080028123E-2"/>
                  <c:y val="-4.796163069544364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26-4F34-B287-2B5260B22392}"/>
                </c:ext>
              </c:extLst>
            </c:dLbl>
            <c:dLbl>
              <c:idx val="4"/>
              <c:layout>
                <c:manualLayout>
                  <c:x val="-2.1060021060021059E-2"/>
                  <c:y val="4.7961630695443642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595959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4526-4F34-B287-2B5260B22392}"/>
                </c:ext>
              </c:extLst>
            </c:dLbl>
            <c:dLbl>
              <c:idx val="5"/>
              <c:layout>
                <c:manualLayout>
                  <c:x val="4.374962683662954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Group Vb</a:t>
                    </a:r>
                    <a:r>
                      <a:rPr lang="en-US" baseline="0"/>
                      <a:t>
</a:t>
                    </a:r>
                    <a:fld id="{A5B1BEE3-87DB-4944-B6BD-46F069BFA9A5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36885622712394"/>
                      <c:h val="0.117191997525989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526-4F34-B287-2B5260B2239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Группа I</c:v>
                </c:pt>
                <c:pt idx="1">
                  <c:v>Группа II</c:v>
                </c:pt>
                <c:pt idx="2">
                  <c:v>Группа III</c:v>
                </c:pt>
                <c:pt idx="3">
                  <c:v>Группа 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99</c:v>
                </c:pt>
                <c:pt idx="1">
                  <c:v>20</c:v>
                </c:pt>
                <c:pt idx="2">
                  <c:v>10</c:v>
                </c:pt>
                <c:pt idx="3">
                  <c:v>25</c:v>
                </c:pt>
                <c:pt idx="4">
                  <c:v>23</c:v>
                </c:pt>
                <c:pt idx="5" formatCode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526-4F34-B287-2B5260B2239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4FDC-A5C7-477D-91CA-C3567963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36</TotalTime>
  <Pages>7</Pages>
  <Words>1942</Words>
  <Characters>11075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Nakata, Julien</cp:lastModifiedBy>
  <cp:revision>50</cp:revision>
  <cp:lastPrinted>2011-08-06T09:22:00Z</cp:lastPrinted>
  <dcterms:created xsi:type="dcterms:W3CDTF">2022-06-03T15:38:00Z</dcterms:created>
  <dcterms:modified xsi:type="dcterms:W3CDTF">2022-06-03T21:47:00Z</dcterms:modified>
</cp:coreProperties>
</file>