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C37A6" w14:textId="77777777" w:rsidR="0038232B" w:rsidRPr="008663BD" w:rsidRDefault="0038232B" w:rsidP="0038232B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8663BD">
        <w:rPr>
          <w:rFonts w:ascii="Arial" w:hAnsi="Arial"/>
          <w:b/>
          <w:sz w:val="22"/>
        </w:rPr>
        <w:t>CONVENTION POUR LA SAUVEGARDE</w:t>
      </w:r>
      <w:r w:rsidRPr="008663BD">
        <w:rPr>
          <w:rFonts w:ascii="Arial" w:hAnsi="Arial"/>
          <w:b/>
          <w:sz w:val="22"/>
        </w:rPr>
        <w:br/>
        <w:t>DU PATRIMOINE CULTUREL IMMATÉRIEL</w:t>
      </w:r>
    </w:p>
    <w:p w14:paraId="2D8FA735" w14:textId="77777777" w:rsidR="0038232B" w:rsidRPr="008663BD" w:rsidRDefault="0038232B" w:rsidP="0038232B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8663BD">
        <w:rPr>
          <w:rFonts w:ascii="Arial" w:hAnsi="Arial"/>
          <w:b/>
          <w:sz w:val="22"/>
        </w:rPr>
        <w:t>ASSEMBLÉE GÉNÉRALE DES ÉTATS PARTIES À LA CONVENTION</w:t>
      </w:r>
    </w:p>
    <w:p w14:paraId="7B0E762A" w14:textId="77777777" w:rsidR="0038232B" w:rsidRPr="008663BD" w:rsidRDefault="0038232B" w:rsidP="0038232B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 w:rsidRPr="008663BD">
        <w:rPr>
          <w:rFonts w:ascii="Arial" w:hAnsi="Arial"/>
          <w:b/>
          <w:sz w:val="22"/>
        </w:rPr>
        <w:t>Neuvième session</w:t>
      </w:r>
    </w:p>
    <w:p w14:paraId="74D82842" w14:textId="73071F87" w:rsidR="0038232B" w:rsidRPr="008663BD" w:rsidRDefault="0038232B" w:rsidP="0038232B">
      <w:pPr>
        <w:jc w:val="center"/>
        <w:rPr>
          <w:rFonts w:ascii="Arial" w:hAnsi="Arial" w:cs="Arial"/>
          <w:b/>
          <w:sz w:val="22"/>
          <w:szCs w:val="22"/>
        </w:rPr>
      </w:pPr>
      <w:r w:rsidRPr="008663BD">
        <w:rPr>
          <w:rFonts w:ascii="Arial" w:hAnsi="Arial"/>
          <w:b/>
          <w:sz w:val="22"/>
        </w:rPr>
        <w:t>Siège de l</w:t>
      </w:r>
      <w:r w:rsidR="008663BD" w:rsidRPr="008663BD">
        <w:rPr>
          <w:rFonts w:ascii="Arial" w:hAnsi="Arial"/>
          <w:b/>
          <w:sz w:val="22"/>
        </w:rPr>
        <w:t>’</w:t>
      </w:r>
      <w:r w:rsidRPr="008663BD">
        <w:rPr>
          <w:rFonts w:ascii="Arial" w:hAnsi="Arial"/>
          <w:b/>
          <w:sz w:val="22"/>
        </w:rPr>
        <w:t>UNESCO, Salle I</w:t>
      </w:r>
    </w:p>
    <w:p w14:paraId="238D67AF" w14:textId="77777777" w:rsidR="0038232B" w:rsidRPr="008663BD" w:rsidRDefault="0038232B" w:rsidP="0038232B">
      <w:pPr>
        <w:jc w:val="center"/>
        <w:rPr>
          <w:rFonts w:ascii="Arial" w:hAnsi="Arial" w:cs="Arial"/>
          <w:b/>
          <w:sz w:val="22"/>
          <w:szCs w:val="22"/>
        </w:rPr>
      </w:pPr>
      <w:r w:rsidRPr="008663BD">
        <w:rPr>
          <w:rFonts w:ascii="Arial" w:hAnsi="Arial"/>
          <w:b/>
          <w:sz w:val="22"/>
        </w:rPr>
        <w:t>5 – 7 juillet 2022</w:t>
      </w:r>
    </w:p>
    <w:p w14:paraId="02CF7A39" w14:textId="1936DF1F" w:rsidR="0038232B" w:rsidRPr="008663BD" w:rsidRDefault="0038232B" w:rsidP="0038232B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8663BD">
        <w:rPr>
          <w:rFonts w:ascii="Arial" w:hAnsi="Arial"/>
          <w:b/>
          <w:sz w:val="22"/>
          <w:u w:val="single"/>
        </w:rPr>
        <w:t>Point 7 de l</w:t>
      </w:r>
      <w:r w:rsidR="008663BD" w:rsidRPr="008663BD">
        <w:rPr>
          <w:rFonts w:ascii="Arial" w:hAnsi="Arial"/>
          <w:b/>
          <w:sz w:val="22"/>
          <w:u w:val="single"/>
        </w:rPr>
        <w:t>’</w:t>
      </w:r>
      <w:r w:rsidRPr="008663BD">
        <w:rPr>
          <w:rFonts w:ascii="Arial" w:hAnsi="Arial"/>
          <w:b/>
          <w:sz w:val="22"/>
          <w:u w:val="single"/>
        </w:rPr>
        <w:t>ordre du jour provisoire</w:t>
      </w:r>
      <w:r w:rsidRPr="008663BD">
        <w:rPr>
          <w:rFonts w:ascii="Arial" w:hAnsi="Arial"/>
          <w:b/>
          <w:sz w:val="22"/>
        </w:rPr>
        <w:t> :</w:t>
      </w:r>
    </w:p>
    <w:p w14:paraId="7EC1E639" w14:textId="3418A981" w:rsidR="002F312A" w:rsidRPr="008663BD" w:rsidRDefault="00FB6051" w:rsidP="007F3B8F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</w:rPr>
      </w:pPr>
      <w:r w:rsidRPr="008663BD">
        <w:rPr>
          <w:rFonts w:ascii="Arial" w:hAnsi="Arial"/>
          <w:b/>
          <w:sz w:val="22"/>
        </w:rPr>
        <w:t>Accréditation des organisations non gouvernementales</w:t>
      </w:r>
      <w:r w:rsidR="002E7649" w:rsidRPr="008663BD">
        <w:rPr>
          <w:rFonts w:ascii="Arial" w:hAnsi="Arial" w:cs="Arial"/>
          <w:b/>
          <w:sz w:val="22"/>
          <w:szCs w:val="22"/>
        </w:rPr>
        <w:br/>
      </w:r>
      <w:r w:rsidRPr="008663BD">
        <w:rPr>
          <w:rFonts w:ascii="Arial" w:hAnsi="Arial"/>
          <w:b/>
          <w:sz w:val="22"/>
        </w:rPr>
        <w:t xml:space="preserve"> à des fins d</w:t>
      </w:r>
      <w:r w:rsidR="008663BD" w:rsidRPr="008663BD">
        <w:rPr>
          <w:rFonts w:ascii="Arial" w:hAnsi="Arial"/>
          <w:b/>
          <w:sz w:val="22"/>
        </w:rPr>
        <w:t>’</w:t>
      </w:r>
      <w:r w:rsidRPr="008663BD">
        <w:rPr>
          <w:rFonts w:ascii="Arial" w:hAnsi="Arial"/>
          <w:b/>
          <w:sz w:val="22"/>
        </w:rPr>
        <w:t>assistance consultative auprès du Comité</w:t>
      </w:r>
    </w:p>
    <w:tbl>
      <w:tblPr>
        <w:tblW w:w="5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9"/>
      </w:tblGrid>
      <w:tr w:rsidR="00655736" w:rsidRPr="008663BD" w14:paraId="2421EFF6" w14:textId="77777777" w:rsidTr="007A6B7A">
        <w:trPr>
          <w:jc w:val="center"/>
        </w:trPr>
        <w:tc>
          <w:tcPr>
            <w:tcW w:w="5669" w:type="dxa"/>
            <w:vAlign w:val="center"/>
          </w:tcPr>
          <w:p w14:paraId="6FAA0F51" w14:textId="77777777" w:rsidR="0038232B" w:rsidRPr="008663BD" w:rsidRDefault="0038232B" w:rsidP="0038232B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63BD">
              <w:rPr>
                <w:rFonts w:ascii="Arial" w:hAnsi="Arial"/>
                <w:b/>
                <w:sz w:val="22"/>
              </w:rPr>
              <w:t>Résumé</w:t>
            </w:r>
          </w:p>
          <w:p w14:paraId="6A1A84F1" w14:textId="5BF38BF1" w:rsidR="00CC0BE1" w:rsidRPr="008663BD" w:rsidRDefault="00972FCE">
            <w:pPr>
              <w:pStyle w:val="Sansinterligne2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63BD">
              <w:rPr>
                <w:rFonts w:ascii="Arial" w:hAnsi="Arial"/>
                <w:sz w:val="22"/>
              </w:rPr>
              <w:t>La présente session de l</w:t>
            </w:r>
            <w:r w:rsidR="008663BD" w:rsidRPr="008663BD">
              <w:rPr>
                <w:rFonts w:ascii="Arial" w:hAnsi="Arial"/>
                <w:sz w:val="22"/>
              </w:rPr>
              <w:t>’</w:t>
            </w:r>
            <w:r w:rsidRPr="008663BD">
              <w:rPr>
                <w:rFonts w:ascii="Arial" w:hAnsi="Arial"/>
                <w:sz w:val="22"/>
              </w:rPr>
              <w:t>Assemblée est invitée, conformément à l</w:t>
            </w:r>
            <w:r w:rsidR="008663BD" w:rsidRPr="008663BD">
              <w:rPr>
                <w:rFonts w:ascii="Arial" w:hAnsi="Arial"/>
                <w:sz w:val="22"/>
              </w:rPr>
              <w:t>’</w:t>
            </w:r>
            <w:r w:rsidRPr="008663BD">
              <w:rPr>
                <w:rFonts w:ascii="Arial" w:hAnsi="Arial"/>
                <w:sz w:val="22"/>
              </w:rPr>
              <w:t>article 9.1 de la Convention, à se prononcer concernant l</w:t>
            </w:r>
            <w:r w:rsidR="008663BD" w:rsidRPr="008663BD">
              <w:rPr>
                <w:rFonts w:ascii="Arial" w:hAnsi="Arial"/>
                <w:sz w:val="22"/>
              </w:rPr>
              <w:t>’</w:t>
            </w:r>
            <w:r w:rsidRPr="008663BD">
              <w:rPr>
                <w:rFonts w:ascii="Arial" w:hAnsi="Arial"/>
                <w:sz w:val="22"/>
              </w:rPr>
              <w:t>accréditation d</w:t>
            </w:r>
            <w:r w:rsidR="008663BD" w:rsidRPr="008663BD">
              <w:rPr>
                <w:rFonts w:ascii="Arial" w:hAnsi="Arial"/>
                <w:sz w:val="22"/>
              </w:rPr>
              <w:t>’</w:t>
            </w:r>
            <w:r w:rsidRPr="008663BD">
              <w:rPr>
                <w:rFonts w:ascii="Arial" w:hAnsi="Arial"/>
                <w:sz w:val="22"/>
              </w:rPr>
              <w:t>organisations non gouvernementales à des fins d</w:t>
            </w:r>
            <w:r w:rsidR="008663BD" w:rsidRPr="008663BD">
              <w:rPr>
                <w:rFonts w:ascii="Arial" w:hAnsi="Arial"/>
                <w:sz w:val="22"/>
              </w:rPr>
              <w:t>’</w:t>
            </w:r>
            <w:r w:rsidRPr="008663BD">
              <w:rPr>
                <w:rFonts w:ascii="Arial" w:hAnsi="Arial"/>
                <w:sz w:val="22"/>
              </w:rPr>
              <w:t xml:space="preserve">assistance consultative auprès du Comité, à partir de la proposition de la seizième session du Comité. </w:t>
            </w:r>
            <w:r w:rsidR="007C0742" w:rsidRPr="008663BD">
              <w:rPr>
                <w:rFonts w:ascii="Arial" w:hAnsi="Arial"/>
                <w:sz w:val="22"/>
              </w:rPr>
              <w:t>D</w:t>
            </w:r>
            <w:r w:rsidRPr="008663BD">
              <w:rPr>
                <w:rFonts w:ascii="Arial" w:hAnsi="Arial"/>
                <w:sz w:val="22"/>
              </w:rPr>
              <w:t>es propos</w:t>
            </w:r>
            <w:r w:rsidR="007C0742" w:rsidRPr="008663BD">
              <w:rPr>
                <w:rFonts w:ascii="Arial" w:hAnsi="Arial"/>
                <w:sz w:val="22"/>
              </w:rPr>
              <w:t>itions</w:t>
            </w:r>
            <w:r w:rsidRPr="008663BD">
              <w:rPr>
                <w:rFonts w:ascii="Arial" w:hAnsi="Arial"/>
                <w:sz w:val="22"/>
              </w:rPr>
              <w:t xml:space="preserve"> </w:t>
            </w:r>
            <w:r w:rsidR="007C0742" w:rsidRPr="008663BD">
              <w:rPr>
                <w:rFonts w:ascii="Arial" w:hAnsi="Arial"/>
                <w:sz w:val="22"/>
              </w:rPr>
              <w:t>sur le traitement d</w:t>
            </w:r>
            <w:r w:rsidRPr="008663BD">
              <w:rPr>
                <w:rFonts w:ascii="Arial" w:hAnsi="Arial"/>
                <w:sz w:val="22"/>
              </w:rPr>
              <w:t>es demandes d</w:t>
            </w:r>
            <w:r w:rsidR="008663BD" w:rsidRPr="008663BD">
              <w:rPr>
                <w:rFonts w:ascii="Arial" w:hAnsi="Arial"/>
                <w:sz w:val="22"/>
              </w:rPr>
              <w:t>’</w:t>
            </w:r>
            <w:r w:rsidRPr="008663BD">
              <w:rPr>
                <w:rFonts w:ascii="Arial" w:hAnsi="Arial"/>
                <w:sz w:val="22"/>
              </w:rPr>
              <w:t>accréditation et de renouvellement sont également présenté</w:t>
            </w:r>
            <w:r w:rsidR="007C0742" w:rsidRPr="008663BD">
              <w:rPr>
                <w:rFonts w:ascii="Arial" w:hAnsi="Arial"/>
                <w:sz w:val="22"/>
              </w:rPr>
              <w:t>e</w:t>
            </w:r>
            <w:r w:rsidRPr="008663BD">
              <w:rPr>
                <w:rFonts w:ascii="Arial" w:hAnsi="Arial"/>
                <w:sz w:val="22"/>
              </w:rPr>
              <w:t>s.</w:t>
            </w:r>
          </w:p>
          <w:p w14:paraId="166B0EC2" w14:textId="1E093E6D" w:rsidR="00655736" w:rsidRPr="008663BD" w:rsidRDefault="0038232B" w:rsidP="00CC0BE1">
            <w:pPr>
              <w:pStyle w:val="Sansinterligne2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63BD">
              <w:rPr>
                <w:rFonts w:ascii="Arial" w:hAnsi="Arial"/>
                <w:b/>
                <w:sz w:val="22"/>
              </w:rPr>
              <w:t xml:space="preserve">Décision requise : </w:t>
            </w:r>
            <w:r w:rsidRPr="008663BD">
              <w:rPr>
                <w:rFonts w:ascii="Arial" w:hAnsi="Arial"/>
                <w:sz w:val="22"/>
              </w:rPr>
              <w:t>paragraphe 13</w:t>
            </w:r>
          </w:p>
        </w:tc>
      </w:tr>
    </w:tbl>
    <w:p w14:paraId="44FF6EC8" w14:textId="77777777" w:rsidR="00972FCE" w:rsidRPr="008663BD" w:rsidRDefault="00972FCE">
      <w:pPr>
        <w:rPr>
          <w:rFonts w:ascii="Arial" w:hAnsi="Arial" w:cs="Arial"/>
          <w:b/>
          <w:sz w:val="22"/>
          <w:szCs w:val="22"/>
        </w:rPr>
      </w:pPr>
      <w:r w:rsidRPr="008663BD">
        <w:br w:type="page"/>
      </w:r>
    </w:p>
    <w:p w14:paraId="1649D443" w14:textId="77777777" w:rsidR="00391AC6" w:rsidRPr="008663BD" w:rsidRDefault="00391AC6" w:rsidP="00391AC6">
      <w:pPr>
        <w:pStyle w:val="COMTitleDecisio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8628"/>
        </w:tabs>
        <w:spacing w:before="360" w:after="240"/>
        <w:ind w:hanging="567"/>
      </w:pPr>
      <w:r w:rsidRPr="008663BD">
        <w:lastRenderedPageBreak/>
        <w:t>Introduction</w:t>
      </w:r>
    </w:p>
    <w:p w14:paraId="2960CD82" w14:textId="391B55FA" w:rsidR="00D51826" w:rsidRPr="008663BD" w:rsidRDefault="00B8078F" w:rsidP="00D51826">
      <w:pPr>
        <w:pStyle w:val="COMTitleDecision"/>
        <w:keepNext w:val="0"/>
        <w:widowControl w:val="0"/>
        <w:numPr>
          <w:ilvl w:val="0"/>
          <w:numId w:val="20"/>
        </w:numPr>
        <w:spacing w:before="120"/>
        <w:ind w:left="567" w:hanging="567"/>
        <w:rPr>
          <w:b w:val="0"/>
        </w:rPr>
      </w:pPr>
      <w:r w:rsidRPr="008663BD">
        <w:rPr>
          <w:b w:val="0"/>
        </w:rPr>
        <w:t>L</w:t>
      </w:r>
      <w:r w:rsidR="008663BD" w:rsidRPr="008663BD">
        <w:rPr>
          <w:b w:val="0"/>
        </w:rPr>
        <w:t>’</w:t>
      </w:r>
      <w:r w:rsidRPr="008663BD">
        <w:rPr>
          <w:b w:val="0"/>
        </w:rPr>
        <w:t>article 9</w:t>
      </w:r>
      <w:r w:rsidR="004B4588" w:rsidRPr="008663BD">
        <w:rPr>
          <w:b w:val="0"/>
        </w:rPr>
        <w:t>.</w:t>
      </w:r>
      <w:r w:rsidRPr="008663BD">
        <w:rPr>
          <w:b w:val="0"/>
        </w:rPr>
        <w:t>1 de la Convention dispose que le Comité doit proposer à l</w:t>
      </w:r>
      <w:r w:rsidR="008663BD" w:rsidRPr="008663BD">
        <w:rPr>
          <w:b w:val="0"/>
        </w:rPr>
        <w:t>’</w:t>
      </w:r>
      <w:r w:rsidRPr="008663BD">
        <w:rPr>
          <w:b w:val="0"/>
        </w:rPr>
        <w:t>Assemblée générale l</w:t>
      </w:r>
      <w:r w:rsidR="008663BD" w:rsidRPr="008663BD">
        <w:rPr>
          <w:b w:val="0"/>
        </w:rPr>
        <w:t>’</w:t>
      </w:r>
      <w:r w:rsidRPr="008663BD">
        <w:rPr>
          <w:b w:val="0"/>
        </w:rPr>
        <w:t>accréditation d</w:t>
      </w:r>
      <w:r w:rsidR="008663BD" w:rsidRPr="008663BD">
        <w:rPr>
          <w:b w:val="0"/>
        </w:rPr>
        <w:t>’</w:t>
      </w:r>
      <w:r w:rsidRPr="008663BD">
        <w:rPr>
          <w:b w:val="0"/>
        </w:rPr>
        <w:t>organisations non gouvernementales (ONG) possédant des compétences avérées dans le domaine du patrimoine culturel immatériel afin d</w:t>
      </w:r>
      <w:r w:rsidR="008663BD" w:rsidRPr="008663BD">
        <w:rPr>
          <w:b w:val="0"/>
        </w:rPr>
        <w:t>’</w:t>
      </w:r>
      <w:r w:rsidRPr="008663BD">
        <w:rPr>
          <w:b w:val="0"/>
        </w:rPr>
        <w:t xml:space="preserve">assurer des fonctions consultatives auprès du Comité. Les critères et les modalités de cette accréditation sont inclus dans le chapitre III.2.2 des </w:t>
      </w:r>
      <w:r w:rsidR="00182A15">
        <w:rPr>
          <w:b w:val="0"/>
        </w:rPr>
        <w:t>d</w:t>
      </w:r>
      <w:r w:rsidRPr="008663BD">
        <w:rPr>
          <w:b w:val="0"/>
        </w:rPr>
        <w:t>irectives opérationnelles (paragraphes 91-99). À ce jour, l</w:t>
      </w:r>
      <w:r w:rsidR="008663BD" w:rsidRPr="008663BD">
        <w:rPr>
          <w:b w:val="0"/>
        </w:rPr>
        <w:t>’</w:t>
      </w:r>
      <w:r w:rsidRPr="008663BD">
        <w:rPr>
          <w:b w:val="0"/>
        </w:rPr>
        <w:t>Assemblée générale a accrédité 267 organisations.</w:t>
      </w:r>
      <w:r w:rsidR="004368A3" w:rsidRPr="008663BD">
        <w:rPr>
          <w:rStyle w:val="FootnoteReference"/>
          <w:b w:val="0"/>
          <w:snapToGrid w:val="0"/>
          <w:lang w:eastAsia="en-US"/>
        </w:rPr>
        <w:footnoteReference w:id="1"/>
      </w:r>
    </w:p>
    <w:p w14:paraId="01B8AC6D" w14:textId="61816937" w:rsidR="00361D79" w:rsidRPr="008663BD" w:rsidRDefault="00361D79" w:rsidP="00921EDB">
      <w:pPr>
        <w:pStyle w:val="COMTitleDecision"/>
        <w:keepNext w:val="0"/>
        <w:widowControl w:val="0"/>
        <w:numPr>
          <w:ilvl w:val="0"/>
          <w:numId w:val="20"/>
        </w:numPr>
        <w:spacing w:before="120"/>
        <w:ind w:left="567" w:hanging="567"/>
        <w:rPr>
          <w:b w:val="0"/>
        </w:rPr>
      </w:pPr>
      <w:r w:rsidRPr="008663BD">
        <w:rPr>
          <w:b w:val="0"/>
        </w:rPr>
        <w:t>La contribution et l</w:t>
      </w:r>
      <w:r w:rsidR="008663BD" w:rsidRPr="008663BD">
        <w:rPr>
          <w:b w:val="0"/>
        </w:rPr>
        <w:t>’</w:t>
      </w:r>
      <w:r w:rsidRPr="008663BD">
        <w:rPr>
          <w:b w:val="0"/>
        </w:rPr>
        <w:t>implication des ONG accréditées font l</w:t>
      </w:r>
      <w:r w:rsidR="008663BD" w:rsidRPr="008663BD">
        <w:rPr>
          <w:b w:val="0"/>
        </w:rPr>
        <w:t>’</w:t>
      </w:r>
      <w:r w:rsidRPr="008663BD">
        <w:rPr>
          <w:b w:val="0"/>
        </w:rPr>
        <w:t>objet d</w:t>
      </w:r>
      <w:r w:rsidR="008663BD" w:rsidRPr="008663BD">
        <w:rPr>
          <w:b w:val="0"/>
        </w:rPr>
        <w:t>’</w:t>
      </w:r>
      <w:r w:rsidRPr="008663BD">
        <w:rPr>
          <w:b w:val="0"/>
        </w:rPr>
        <w:t>un examen par le Comité tous les quatre ans à compter de l</w:t>
      </w:r>
      <w:r w:rsidR="008663BD" w:rsidRPr="008663BD">
        <w:rPr>
          <w:b w:val="0"/>
        </w:rPr>
        <w:t>’</w:t>
      </w:r>
      <w:r w:rsidRPr="008663BD">
        <w:rPr>
          <w:b w:val="0"/>
        </w:rPr>
        <w:t>accréditation, d</w:t>
      </w:r>
      <w:r w:rsidR="008663BD" w:rsidRPr="008663BD">
        <w:rPr>
          <w:b w:val="0"/>
        </w:rPr>
        <w:t>’</w:t>
      </w:r>
      <w:r w:rsidRPr="008663BD">
        <w:rPr>
          <w:b w:val="0"/>
        </w:rPr>
        <w:t xml:space="preserve">après les modalités et procédures déterminées dans le Chapitre III.2.2 des </w:t>
      </w:r>
      <w:r w:rsidR="00182A15">
        <w:rPr>
          <w:b w:val="0"/>
        </w:rPr>
        <w:t>d</w:t>
      </w:r>
      <w:r w:rsidRPr="008663BD">
        <w:rPr>
          <w:b w:val="0"/>
        </w:rPr>
        <w:t>irectives opérationnelles (paragraphes 92–95). À la suite de cet examen, le Comité peut décider de maintenir ses relations avec les ONG concernées ou d</w:t>
      </w:r>
      <w:r w:rsidR="008663BD" w:rsidRPr="008663BD">
        <w:rPr>
          <w:b w:val="0"/>
        </w:rPr>
        <w:t>’</w:t>
      </w:r>
      <w:r w:rsidRPr="008663BD">
        <w:rPr>
          <w:b w:val="0"/>
        </w:rPr>
        <w:t xml:space="preserve">y mettre un terme. À la suite des décisions prises par le Comité, à cet égard, au cours des cycles précédents, </w:t>
      </w:r>
      <w:r w:rsidR="00C01618" w:rsidRPr="008663BD">
        <w:rPr>
          <w:rStyle w:val="FootnoteReference"/>
          <w:b w:val="0"/>
          <w:snapToGrid w:val="0"/>
          <w:lang w:eastAsia="en-US"/>
        </w:rPr>
        <w:footnoteReference w:id="2"/>
      </w:r>
      <w:r w:rsidRPr="008663BD">
        <w:rPr>
          <w:b w:val="0"/>
        </w:rPr>
        <w:t xml:space="preserve"> 184 </w:t>
      </w:r>
      <w:r w:rsidRPr="008663BD">
        <w:rPr>
          <w:b w:val="0"/>
          <w:snapToGrid w:val="0"/>
        </w:rPr>
        <w:t>ONG sont actuellement accréditées pour exercer des fonctions consultatives auprès du Comité. Leur</w:t>
      </w:r>
      <w:r w:rsidRPr="008663BD">
        <w:rPr>
          <w:b w:val="0"/>
        </w:rPr>
        <w:t xml:space="preserve"> </w:t>
      </w:r>
      <w:r w:rsidRPr="008663BD">
        <w:rPr>
          <w:b w:val="0"/>
          <w:snapToGrid w:val="0"/>
        </w:rPr>
        <w:t>répartition géographique est la suivante (Figure 1) : Groupe électoral I : 99 ; Groupe électoral II : 20 ; Groupe électoral III : 10 ; Groupe électoral IV : 25 ; Groupe électoral V(a) : 23 et Groupe V(b) : 7.</w:t>
      </w:r>
    </w:p>
    <w:p w14:paraId="24BB8DEB" w14:textId="77777777" w:rsidR="00B715A7" w:rsidRPr="008663BD" w:rsidRDefault="00B715A7" w:rsidP="007F3B8F">
      <w:pPr>
        <w:pStyle w:val="COMTitleDecision"/>
        <w:keepNext w:val="0"/>
        <w:widowControl w:val="0"/>
        <w:spacing w:after="240"/>
        <w:jc w:val="center"/>
        <w:rPr>
          <w:b w:val="0"/>
          <w:bCs/>
        </w:rPr>
      </w:pPr>
      <w:r w:rsidRPr="008663BD">
        <w:rPr>
          <w:b w:val="0"/>
          <w:noProof/>
        </w:rPr>
        <w:drawing>
          <wp:inline distT="0" distB="0" distL="0" distR="0" wp14:anchorId="44EB9388" wp14:editId="3A9B8DBF">
            <wp:extent cx="5427879" cy="2648103"/>
            <wp:effectExtent l="0" t="0" r="1905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98DD5E7" w14:textId="741D0663" w:rsidR="00596530" w:rsidRPr="008663BD" w:rsidRDefault="00596530" w:rsidP="004C01E7">
      <w:pPr>
        <w:pStyle w:val="COMTitleDecision"/>
        <w:keepNext w:val="0"/>
        <w:widowControl w:val="0"/>
        <w:numPr>
          <w:ilvl w:val="0"/>
          <w:numId w:val="20"/>
        </w:numPr>
        <w:spacing w:before="120"/>
        <w:ind w:left="567" w:hanging="567"/>
      </w:pPr>
      <w:r w:rsidRPr="008663BD">
        <w:rPr>
          <w:b w:val="0"/>
        </w:rPr>
        <w:t xml:space="preserve">La représentation géographique </w:t>
      </w:r>
      <w:r w:rsidR="009123F7" w:rsidRPr="008663BD">
        <w:rPr>
          <w:b w:val="0"/>
        </w:rPr>
        <w:t xml:space="preserve">des ONG accréditées </w:t>
      </w:r>
      <w:r w:rsidRPr="008663BD">
        <w:rPr>
          <w:b w:val="0"/>
        </w:rPr>
        <w:t>reste déséquilibrée. Lors de sa huitième session, l</w:t>
      </w:r>
      <w:r w:rsidR="008663BD" w:rsidRPr="008663BD">
        <w:rPr>
          <w:b w:val="0"/>
        </w:rPr>
        <w:t>’</w:t>
      </w:r>
      <w:r w:rsidRPr="008663BD">
        <w:rPr>
          <w:b w:val="0"/>
        </w:rPr>
        <w:t xml:space="preserve">Assemblée générale a encouragé les ONG de groupes électoraux sous-représentés qui </w:t>
      </w:r>
      <w:r w:rsidR="0051089C" w:rsidRPr="008663BD">
        <w:rPr>
          <w:b w:val="0"/>
        </w:rPr>
        <w:t>répondent</w:t>
      </w:r>
      <w:r w:rsidRPr="008663BD">
        <w:rPr>
          <w:b w:val="0"/>
        </w:rPr>
        <w:t xml:space="preserve"> aux critères d</w:t>
      </w:r>
      <w:r w:rsidR="008663BD" w:rsidRPr="008663BD">
        <w:rPr>
          <w:b w:val="0"/>
        </w:rPr>
        <w:t>’</w:t>
      </w:r>
      <w:r w:rsidRPr="008663BD">
        <w:rPr>
          <w:b w:val="0"/>
        </w:rPr>
        <w:t>accréditation à soumettre leurs demandes d</w:t>
      </w:r>
      <w:r w:rsidR="008663BD" w:rsidRPr="008663BD">
        <w:rPr>
          <w:b w:val="0"/>
        </w:rPr>
        <w:t>’</w:t>
      </w:r>
      <w:r w:rsidRPr="008663BD">
        <w:rPr>
          <w:b w:val="0"/>
        </w:rPr>
        <w:t>accréditation dans les meilleurs délais, afin d</w:t>
      </w:r>
      <w:r w:rsidR="008663BD" w:rsidRPr="008663BD">
        <w:rPr>
          <w:b w:val="0"/>
        </w:rPr>
        <w:t>’</w:t>
      </w:r>
      <w:r w:rsidRPr="008663BD">
        <w:rPr>
          <w:b w:val="0"/>
        </w:rPr>
        <w:t xml:space="preserve">améliorer la situation (Résolutions </w:t>
      </w:r>
      <w:hyperlink r:id="rId9" w:history="1">
        <w:r w:rsidRPr="008663BD">
          <w:rPr>
            <w:rStyle w:val="Hyperlink"/>
            <w:b w:val="0"/>
          </w:rPr>
          <w:t>8.</w:t>
        </w:r>
        <w:r w:rsidR="00CF5DFA" w:rsidRPr="008663BD">
          <w:rPr>
            <w:rStyle w:val="Hyperlink"/>
            <w:b w:val="0"/>
          </w:rPr>
          <w:t>GA </w:t>
        </w:r>
        <w:r w:rsidRPr="008663BD">
          <w:rPr>
            <w:rStyle w:val="Hyperlink"/>
            <w:b w:val="0"/>
          </w:rPr>
          <w:t>13</w:t>
        </w:r>
      </w:hyperlink>
      <w:r w:rsidRPr="008663BD">
        <w:rPr>
          <w:b w:val="0"/>
        </w:rPr>
        <w:t xml:space="preserve">). La seizième session du Comité a considéré que la répartition géographique des ONG accréditées reste inéquitable et a invité les États parties des groupes électoraux sous-représentés à encourager les ONG </w:t>
      </w:r>
      <w:r w:rsidR="0051089C" w:rsidRPr="008663BD">
        <w:rPr>
          <w:b w:val="0"/>
        </w:rPr>
        <w:t>qui œuvrent</w:t>
      </w:r>
      <w:r w:rsidRPr="008663BD">
        <w:rPr>
          <w:b w:val="0"/>
        </w:rPr>
        <w:t xml:space="preserve"> sur le</w:t>
      </w:r>
      <w:r w:rsidR="0051089C" w:rsidRPr="008663BD">
        <w:rPr>
          <w:b w:val="0"/>
        </w:rPr>
        <w:t>ur</w:t>
      </w:r>
      <w:r w:rsidRPr="008663BD">
        <w:rPr>
          <w:b w:val="0"/>
        </w:rPr>
        <w:t xml:space="preserve"> territoire à </w:t>
      </w:r>
      <w:r w:rsidR="0051089C" w:rsidRPr="008663BD">
        <w:rPr>
          <w:b w:val="0"/>
        </w:rPr>
        <w:t>présenter</w:t>
      </w:r>
      <w:r w:rsidRPr="008663BD">
        <w:rPr>
          <w:b w:val="0"/>
        </w:rPr>
        <w:t xml:space="preserve"> des demandes d</w:t>
      </w:r>
      <w:r w:rsidR="008663BD" w:rsidRPr="008663BD">
        <w:rPr>
          <w:b w:val="0"/>
        </w:rPr>
        <w:t>’</w:t>
      </w:r>
      <w:r w:rsidRPr="008663BD">
        <w:rPr>
          <w:b w:val="0"/>
        </w:rPr>
        <w:t>accréditation (</w:t>
      </w:r>
      <w:r w:rsidR="004A376A" w:rsidRPr="008663BD">
        <w:rPr>
          <w:b w:val="0"/>
        </w:rPr>
        <w:t>D</w:t>
      </w:r>
      <w:r w:rsidRPr="008663BD">
        <w:rPr>
          <w:b w:val="0"/>
        </w:rPr>
        <w:t xml:space="preserve">écision </w:t>
      </w:r>
      <w:hyperlink r:id="rId10" w:history="1">
        <w:r w:rsidRPr="008663BD">
          <w:rPr>
            <w:rStyle w:val="Hyperlink"/>
            <w:b w:val="0"/>
          </w:rPr>
          <w:t>16.</w:t>
        </w:r>
        <w:r w:rsidR="000A2F46" w:rsidRPr="008663BD">
          <w:rPr>
            <w:rStyle w:val="Hyperlink"/>
            <w:b w:val="0"/>
          </w:rPr>
          <w:t>COM </w:t>
        </w:r>
        <w:r w:rsidRPr="008663BD">
          <w:rPr>
            <w:rStyle w:val="Hyperlink"/>
            <w:b w:val="0"/>
          </w:rPr>
          <w:t>15</w:t>
        </w:r>
      </w:hyperlink>
      <w:r w:rsidRPr="008663BD">
        <w:rPr>
          <w:b w:val="0"/>
        </w:rPr>
        <w:t>)</w:t>
      </w:r>
    </w:p>
    <w:p w14:paraId="6911797C" w14:textId="23A330F0" w:rsidR="009320D9" w:rsidRPr="008663BD" w:rsidRDefault="00CD3FDF" w:rsidP="00921EDB">
      <w:pPr>
        <w:pStyle w:val="COMTitleDecision"/>
        <w:numPr>
          <w:ilvl w:val="0"/>
          <w:numId w:val="28"/>
        </w:numPr>
        <w:ind w:left="567" w:hanging="567"/>
      </w:pPr>
      <w:r w:rsidRPr="008663BD">
        <w:lastRenderedPageBreak/>
        <w:t>Accréditation d</w:t>
      </w:r>
      <w:r w:rsidR="008663BD" w:rsidRPr="008663BD">
        <w:t>’</w:t>
      </w:r>
      <w:r w:rsidRPr="008663BD">
        <w:t>ONG recommandée</w:t>
      </w:r>
      <w:r w:rsidR="00357C63">
        <w:t>s</w:t>
      </w:r>
      <w:r w:rsidRPr="008663BD">
        <w:t xml:space="preserve"> par la seizième session du Comité</w:t>
      </w:r>
    </w:p>
    <w:p w14:paraId="5E6E6E73" w14:textId="12A3FD8B" w:rsidR="001D70CC" w:rsidRPr="008663BD" w:rsidRDefault="00D51E08" w:rsidP="00921EDB">
      <w:pPr>
        <w:pStyle w:val="COMTitleDecision"/>
        <w:numPr>
          <w:ilvl w:val="0"/>
          <w:numId w:val="20"/>
        </w:numPr>
        <w:spacing w:before="120"/>
        <w:ind w:left="567" w:hanging="567"/>
        <w:rPr>
          <w:bCs/>
          <w:snapToGrid w:val="0"/>
        </w:rPr>
      </w:pPr>
      <w:r w:rsidRPr="008663BD">
        <w:rPr>
          <w:b w:val="0"/>
        </w:rPr>
        <w:t>Lors de sa seizième session, en 2021, le Comité a examiné les nouvelles demandes d</w:t>
      </w:r>
      <w:r w:rsidR="008663BD" w:rsidRPr="008663BD">
        <w:rPr>
          <w:b w:val="0"/>
        </w:rPr>
        <w:t>’</w:t>
      </w:r>
      <w:r w:rsidRPr="008663BD">
        <w:rPr>
          <w:b w:val="0"/>
        </w:rPr>
        <w:t>accréditation de quarante-six ONG et recommandé à l</w:t>
      </w:r>
      <w:r w:rsidR="008663BD" w:rsidRPr="008663BD">
        <w:rPr>
          <w:b w:val="0"/>
        </w:rPr>
        <w:t>’</w:t>
      </w:r>
      <w:r w:rsidRPr="008663BD">
        <w:rPr>
          <w:b w:val="0"/>
        </w:rPr>
        <w:t>Assemblée générale d</w:t>
      </w:r>
      <w:r w:rsidR="008663BD" w:rsidRPr="008663BD">
        <w:rPr>
          <w:b w:val="0"/>
        </w:rPr>
        <w:t>’</w:t>
      </w:r>
      <w:r w:rsidRPr="008663BD">
        <w:rPr>
          <w:b w:val="0"/>
        </w:rPr>
        <w:t>en accréditer trente-deux (Décision </w:t>
      </w:r>
      <w:hyperlink r:id="rId11" w:history="1">
        <w:r w:rsidRPr="008663BD">
          <w:rPr>
            <w:rStyle w:val="Hyperlink"/>
            <w:rFonts w:asciiTheme="minorBidi" w:hAnsiTheme="minorBidi"/>
            <w:b w:val="0"/>
            <w:snapToGrid w:val="0"/>
          </w:rPr>
          <w:t>16.COM 15</w:t>
        </w:r>
      </w:hyperlink>
      <w:r w:rsidRPr="008663BD">
        <w:rPr>
          <w:b w:val="0"/>
        </w:rPr>
        <w:t>). L</w:t>
      </w:r>
      <w:r w:rsidR="008663BD" w:rsidRPr="008663BD">
        <w:rPr>
          <w:b w:val="0"/>
        </w:rPr>
        <w:t>’</w:t>
      </w:r>
      <w:r w:rsidR="00357C63">
        <w:rPr>
          <w:b w:val="0"/>
        </w:rPr>
        <w:t>a</w:t>
      </w:r>
      <w:r w:rsidRPr="008663BD">
        <w:rPr>
          <w:b w:val="0"/>
        </w:rPr>
        <w:t xml:space="preserve">nnexe I énonce ces organisations. La page Web de la Convention présente toutes les demandes complètes </w:t>
      </w:r>
      <w:r w:rsidR="00357C63">
        <w:rPr>
          <w:b w:val="0"/>
        </w:rPr>
        <w:t>dans les délais</w:t>
      </w:r>
      <w:r w:rsidRPr="008663BD">
        <w:rPr>
          <w:b w:val="0"/>
        </w:rPr>
        <w:t xml:space="preserve"> pour examen par le Comité, dans la langue dans laquelle elles ont été soumises, en l</w:t>
      </w:r>
      <w:r w:rsidR="008663BD" w:rsidRPr="008663BD">
        <w:rPr>
          <w:b w:val="0"/>
        </w:rPr>
        <w:t>’</w:t>
      </w:r>
      <w:r w:rsidRPr="008663BD">
        <w:rPr>
          <w:b w:val="0"/>
        </w:rPr>
        <w:t>occurrence le formulaire ICH-09 soumis par chaque organisation, accompagné des documents complémentaires concernant les points 8.a, 8.b et 8.c du formulaire.</w:t>
      </w:r>
    </w:p>
    <w:p w14:paraId="2C64E3B0" w14:textId="0D57B2AF" w:rsidR="00DB0EC9" w:rsidRPr="008663BD" w:rsidRDefault="00294644" w:rsidP="00921EDB">
      <w:pPr>
        <w:pStyle w:val="COMTitleDecision"/>
        <w:numPr>
          <w:ilvl w:val="0"/>
          <w:numId w:val="28"/>
        </w:numPr>
        <w:ind w:left="567" w:hanging="567"/>
      </w:pPr>
      <w:r w:rsidRPr="008663BD">
        <w:t>Accréditation des o</w:t>
      </w:r>
      <w:r w:rsidR="00DB0EC9" w:rsidRPr="008663BD">
        <w:t>rganisations non gouvernementales dont l</w:t>
      </w:r>
      <w:r w:rsidR="008663BD" w:rsidRPr="008663BD">
        <w:t>’</w:t>
      </w:r>
      <w:r w:rsidR="00DB0EC9" w:rsidRPr="008663BD">
        <w:t xml:space="preserve">examen a été </w:t>
      </w:r>
      <w:r w:rsidR="00357C63">
        <w:t>différé jusqu’à</w:t>
      </w:r>
      <w:r w:rsidR="00DB0EC9" w:rsidRPr="008663BD">
        <w:t xml:space="preserve"> l</w:t>
      </w:r>
      <w:r w:rsidR="008663BD" w:rsidRPr="008663BD">
        <w:t>’</w:t>
      </w:r>
      <w:r w:rsidR="00DB0EC9" w:rsidRPr="008663BD">
        <w:t>Assemblée</w:t>
      </w:r>
      <w:r w:rsidR="00DB0EC9" w:rsidRPr="008663BD">
        <w:rPr>
          <w:snapToGrid w:val="0"/>
        </w:rPr>
        <w:t xml:space="preserve"> générale par la seizième session du Comité</w:t>
      </w:r>
    </w:p>
    <w:p w14:paraId="357FB3A0" w14:textId="40DC0DB9" w:rsidR="008712A4" w:rsidRPr="008663BD" w:rsidRDefault="00B770B1" w:rsidP="00921EDB">
      <w:pPr>
        <w:pStyle w:val="COMTitleDecision"/>
        <w:numPr>
          <w:ilvl w:val="0"/>
          <w:numId w:val="20"/>
        </w:numPr>
        <w:spacing w:before="120"/>
        <w:ind w:left="567" w:hanging="567"/>
        <w:rPr>
          <w:rFonts w:eastAsia="SimSun"/>
          <w:b w:val="0"/>
          <w:bCs/>
        </w:rPr>
      </w:pPr>
      <w:r w:rsidRPr="008663BD">
        <w:rPr>
          <w:b w:val="0"/>
        </w:rPr>
        <w:t>Lors de sa seizième session, le 19 décembre 2021, le Comité a été informé des préoccupations soulevées par le Mexique (sous forme de deux notes verbales datées du 13 décembre 2021) concernant les demandes d</w:t>
      </w:r>
      <w:r w:rsidR="008663BD" w:rsidRPr="008663BD">
        <w:rPr>
          <w:b w:val="0"/>
        </w:rPr>
        <w:t>’</w:t>
      </w:r>
      <w:r w:rsidRPr="008663BD">
        <w:rPr>
          <w:b w:val="0"/>
        </w:rPr>
        <w:t>accréditation présentées par les deux ONG suivantes (également citées à l</w:t>
      </w:r>
      <w:r w:rsidR="008663BD" w:rsidRPr="008663BD">
        <w:rPr>
          <w:b w:val="0"/>
        </w:rPr>
        <w:t>’</w:t>
      </w:r>
      <w:r w:rsidR="00182A15">
        <w:rPr>
          <w:b w:val="0"/>
        </w:rPr>
        <w:t>a</w:t>
      </w:r>
      <w:r w:rsidRPr="008663BD">
        <w:rPr>
          <w:b w:val="0"/>
        </w:rPr>
        <w:t>nnexe II) :</w:t>
      </w:r>
    </w:p>
    <w:p w14:paraId="1820ACFE" w14:textId="77777777" w:rsidR="000B021A" w:rsidRPr="008663BD" w:rsidRDefault="000B021A" w:rsidP="000B021A">
      <w:pPr>
        <w:pStyle w:val="COMTitleDecision"/>
        <w:keepNext w:val="0"/>
        <w:widowControl w:val="0"/>
        <w:numPr>
          <w:ilvl w:val="0"/>
          <w:numId w:val="39"/>
        </w:numPr>
        <w:spacing w:before="120"/>
        <w:rPr>
          <w:b w:val="0"/>
        </w:rPr>
      </w:pPr>
      <w:r w:rsidRPr="008663BD">
        <w:rPr>
          <w:b w:val="0"/>
        </w:rPr>
        <w:t>Direct Gradual Development, Civil Association (ONG-90481), dont le siège se trouve au Mexique</w:t>
      </w:r>
    </w:p>
    <w:p w14:paraId="7F1ACF0C" w14:textId="77777777" w:rsidR="008712A4" w:rsidRPr="008663BD" w:rsidRDefault="0047616F" w:rsidP="0047616F">
      <w:pPr>
        <w:pStyle w:val="COMTitleDecision"/>
        <w:keepNext w:val="0"/>
        <w:widowControl w:val="0"/>
        <w:numPr>
          <w:ilvl w:val="0"/>
          <w:numId w:val="39"/>
        </w:numPr>
        <w:spacing w:before="120"/>
        <w:rPr>
          <w:b w:val="0"/>
        </w:rPr>
      </w:pPr>
      <w:r w:rsidRPr="008663BD">
        <w:rPr>
          <w:b w:val="0"/>
        </w:rPr>
        <w:t>Institute for Intangible Cultural Heritage IPACIM (ONG-90493), dont le siège se trouve en Espagne</w:t>
      </w:r>
    </w:p>
    <w:p w14:paraId="29200F45" w14:textId="049F279C" w:rsidR="006968E3" w:rsidRPr="008663BD" w:rsidRDefault="00D90ABA" w:rsidP="00921EDB">
      <w:pPr>
        <w:pStyle w:val="COMTitleDecision"/>
        <w:keepNext w:val="0"/>
        <w:widowControl w:val="0"/>
        <w:numPr>
          <w:ilvl w:val="0"/>
          <w:numId w:val="20"/>
        </w:numPr>
        <w:spacing w:before="120"/>
        <w:ind w:left="567" w:hanging="567"/>
        <w:rPr>
          <w:rFonts w:eastAsia="SimSun"/>
          <w:b w:val="0"/>
          <w:bCs/>
        </w:rPr>
      </w:pPr>
      <w:r w:rsidRPr="008663BD">
        <w:rPr>
          <w:b w:val="0"/>
        </w:rPr>
        <w:t>Compte tenu du court délai, le Comité a considéré qu</w:t>
      </w:r>
      <w:r w:rsidR="008663BD" w:rsidRPr="008663BD">
        <w:rPr>
          <w:b w:val="0"/>
        </w:rPr>
        <w:t>’</w:t>
      </w:r>
      <w:r w:rsidRPr="008663BD">
        <w:rPr>
          <w:b w:val="0"/>
        </w:rPr>
        <w:t xml:space="preserve">il manquait des informations pour déterminer si ces deux organisations satisfaisaient ou non aux critères énoncés dans le paragraphe 91 des </w:t>
      </w:r>
      <w:r w:rsidR="00182A15">
        <w:rPr>
          <w:b w:val="0"/>
        </w:rPr>
        <w:t>d</w:t>
      </w:r>
      <w:r w:rsidRPr="008663BD">
        <w:rPr>
          <w:b w:val="0"/>
        </w:rPr>
        <w:t>irectives opérationnelles. Le Comité a décidé de reporter l</w:t>
      </w:r>
      <w:r w:rsidR="008663BD" w:rsidRPr="008663BD">
        <w:rPr>
          <w:b w:val="0"/>
        </w:rPr>
        <w:t>’</w:t>
      </w:r>
      <w:r w:rsidRPr="008663BD">
        <w:rPr>
          <w:b w:val="0"/>
        </w:rPr>
        <w:t>examen des demandes d</w:t>
      </w:r>
      <w:r w:rsidR="008663BD" w:rsidRPr="008663BD">
        <w:rPr>
          <w:b w:val="0"/>
        </w:rPr>
        <w:t>’</w:t>
      </w:r>
      <w:r w:rsidRPr="008663BD">
        <w:rPr>
          <w:b w:val="0"/>
        </w:rPr>
        <w:t>accréditation en question à l</w:t>
      </w:r>
      <w:r w:rsidR="008663BD" w:rsidRPr="008663BD">
        <w:rPr>
          <w:b w:val="0"/>
        </w:rPr>
        <w:t>’</w:t>
      </w:r>
      <w:r w:rsidRPr="008663BD">
        <w:rPr>
          <w:b w:val="0"/>
        </w:rPr>
        <w:t>Assemblée générale, en fonction des informations supplémentaires à fournir avant sa neuvième session (Décision </w:t>
      </w:r>
      <w:hyperlink r:id="rId12" w:history="1">
        <w:r w:rsidRPr="008663BD">
          <w:rPr>
            <w:rStyle w:val="Hyperlink"/>
            <w:rFonts w:asciiTheme="minorBidi" w:hAnsiTheme="minorBidi"/>
            <w:b w:val="0"/>
            <w:snapToGrid w:val="0"/>
          </w:rPr>
          <w:t>16.</w:t>
        </w:r>
        <w:r w:rsidR="008901E5" w:rsidRPr="008663BD">
          <w:rPr>
            <w:rStyle w:val="Hyperlink"/>
            <w:rFonts w:asciiTheme="minorBidi" w:hAnsiTheme="minorBidi"/>
            <w:b w:val="0"/>
            <w:snapToGrid w:val="0"/>
          </w:rPr>
          <w:t>COM </w:t>
        </w:r>
        <w:r w:rsidRPr="008663BD">
          <w:rPr>
            <w:rStyle w:val="Hyperlink"/>
            <w:rFonts w:asciiTheme="minorBidi" w:hAnsiTheme="minorBidi"/>
            <w:b w:val="0"/>
            <w:snapToGrid w:val="0"/>
          </w:rPr>
          <w:t>15</w:t>
        </w:r>
      </w:hyperlink>
      <w:r w:rsidRPr="008663BD">
        <w:rPr>
          <w:b w:val="0"/>
        </w:rPr>
        <w:t>).</w:t>
      </w:r>
    </w:p>
    <w:p w14:paraId="4DF68A0E" w14:textId="155BEA42" w:rsidR="00D7505E" w:rsidRPr="008663BD" w:rsidRDefault="001862DB" w:rsidP="00921EDB">
      <w:pPr>
        <w:pStyle w:val="COMTitleDecision"/>
        <w:keepNext w:val="0"/>
        <w:widowControl w:val="0"/>
        <w:numPr>
          <w:ilvl w:val="0"/>
          <w:numId w:val="20"/>
        </w:numPr>
        <w:spacing w:before="120"/>
        <w:ind w:left="567" w:hanging="567"/>
        <w:rPr>
          <w:rFonts w:eastAsia="SimSun"/>
          <w:b w:val="0"/>
          <w:bCs/>
        </w:rPr>
      </w:pPr>
      <w:r w:rsidRPr="008663BD">
        <w:rPr>
          <w:b w:val="0"/>
        </w:rPr>
        <w:t>Le Secrétariat a écrit aux autorités nationales du Mexique, le 7 mars 2022, pour : (a) les informer que les notes verbales seraient transmises aux organisations concernées, ainsi qu</w:t>
      </w:r>
      <w:r w:rsidR="008663BD" w:rsidRPr="008663BD">
        <w:rPr>
          <w:b w:val="0"/>
        </w:rPr>
        <w:t>’</w:t>
      </w:r>
      <w:r w:rsidRPr="008663BD">
        <w:rPr>
          <w:b w:val="0"/>
        </w:rPr>
        <w:t>aux autorités nationales de l</w:t>
      </w:r>
      <w:r w:rsidR="008663BD" w:rsidRPr="008663BD">
        <w:rPr>
          <w:b w:val="0"/>
        </w:rPr>
        <w:t>’</w:t>
      </w:r>
      <w:r w:rsidRPr="008663BD">
        <w:rPr>
          <w:b w:val="0"/>
        </w:rPr>
        <w:t>Espagne concernant le cas de l</w:t>
      </w:r>
      <w:r w:rsidR="008663BD" w:rsidRPr="008663BD">
        <w:rPr>
          <w:b w:val="0"/>
        </w:rPr>
        <w:t>’</w:t>
      </w:r>
      <w:r w:rsidRPr="008663BD">
        <w:rPr>
          <w:b w:val="0"/>
        </w:rPr>
        <w:t>ONG-90493, et (b) demander aux autorités nationales du Mexique si elles souhaiteraient ajouter des informations complémentaires. La réponse du Mexique, reçue le 21 mars 2022, a été dûment transmise, le 18 mai 2022, dans la langue d</w:t>
      </w:r>
      <w:r w:rsidR="008663BD" w:rsidRPr="008663BD">
        <w:rPr>
          <w:b w:val="0"/>
        </w:rPr>
        <w:t>’</w:t>
      </w:r>
      <w:r w:rsidRPr="008663BD">
        <w:rPr>
          <w:b w:val="0"/>
        </w:rPr>
        <w:t>origine (espagnol), avec les deux notes verbales initiales, aux deux ONG concernées et à l</w:t>
      </w:r>
      <w:r w:rsidR="008663BD" w:rsidRPr="008663BD">
        <w:rPr>
          <w:b w:val="0"/>
        </w:rPr>
        <w:t>’</w:t>
      </w:r>
      <w:r w:rsidRPr="008663BD">
        <w:rPr>
          <w:b w:val="0"/>
        </w:rPr>
        <w:t xml:space="preserve">Espagne. </w:t>
      </w:r>
      <w:r w:rsidR="000F3F19" w:rsidRPr="008663BD">
        <w:rPr>
          <w:b w:val="0"/>
        </w:rPr>
        <w:t>Les réponses des deux ONG ont été reçues</w:t>
      </w:r>
      <w:r w:rsidR="004179A5" w:rsidRPr="008663BD">
        <w:rPr>
          <w:b w:val="0"/>
        </w:rPr>
        <w:t xml:space="preserve">, </w:t>
      </w:r>
      <w:r w:rsidR="000F3F19" w:rsidRPr="008663BD">
        <w:rPr>
          <w:b w:val="0"/>
        </w:rPr>
        <w:t>le 31 mai 2022 de la part de NGO-90481 et le 2 juin 2022 de la part de NGO-90493, tandis qu</w:t>
      </w:r>
      <w:r w:rsidR="008663BD" w:rsidRPr="008663BD">
        <w:rPr>
          <w:b w:val="0"/>
        </w:rPr>
        <w:t>’</w:t>
      </w:r>
      <w:r w:rsidR="000F3F19" w:rsidRPr="008663BD">
        <w:rPr>
          <w:b w:val="0"/>
        </w:rPr>
        <w:t xml:space="preserve">aucun commentaire </w:t>
      </w:r>
      <w:r w:rsidR="00201E12" w:rsidRPr="008663BD">
        <w:rPr>
          <w:b w:val="0"/>
        </w:rPr>
        <w:t>de l</w:t>
      </w:r>
      <w:r w:rsidR="008663BD" w:rsidRPr="008663BD">
        <w:rPr>
          <w:b w:val="0"/>
        </w:rPr>
        <w:t>’</w:t>
      </w:r>
      <w:r w:rsidR="00201E12" w:rsidRPr="008663BD">
        <w:rPr>
          <w:b w:val="0"/>
        </w:rPr>
        <w:t xml:space="preserve">Espagne </w:t>
      </w:r>
      <w:r w:rsidR="000F3F19" w:rsidRPr="008663BD">
        <w:rPr>
          <w:b w:val="0"/>
        </w:rPr>
        <w:t>n</w:t>
      </w:r>
      <w:r w:rsidR="008663BD" w:rsidRPr="008663BD">
        <w:rPr>
          <w:b w:val="0"/>
        </w:rPr>
        <w:t>’</w:t>
      </w:r>
      <w:r w:rsidR="000F3F19" w:rsidRPr="008663BD">
        <w:rPr>
          <w:b w:val="0"/>
        </w:rPr>
        <w:t xml:space="preserve">a été reçu au moment de la rédaction de ce document. </w:t>
      </w:r>
      <w:r w:rsidRPr="008663BD">
        <w:rPr>
          <w:b w:val="0"/>
        </w:rPr>
        <w:t xml:space="preserve">Les correspondances susmentionnées </w:t>
      </w:r>
      <w:r w:rsidR="002B1B5D" w:rsidRPr="008663BD">
        <w:rPr>
          <w:b w:val="0"/>
        </w:rPr>
        <w:t>sont</w:t>
      </w:r>
      <w:r w:rsidRPr="008663BD">
        <w:rPr>
          <w:b w:val="0"/>
        </w:rPr>
        <w:t xml:space="preserve"> mises à disposition sur la page Web dédiée de la présente session de l</w:t>
      </w:r>
      <w:r w:rsidR="008663BD" w:rsidRPr="008663BD">
        <w:rPr>
          <w:b w:val="0"/>
        </w:rPr>
        <w:t>’</w:t>
      </w:r>
      <w:r w:rsidRPr="008663BD">
        <w:rPr>
          <w:b w:val="0"/>
        </w:rPr>
        <w:t>Assemblée. Toutes les informations reçues avant la présente session de l</w:t>
      </w:r>
      <w:r w:rsidR="008663BD" w:rsidRPr="008663BD">
        <w:rPr>
          <w:b w:val="0"/>
        </w:rPr>
        <w:t>’</w:t>
      </w:r>
      <w:r w:rsidRPr="008663BD">
        <w:rPr>
          <w:b w:val="0"/>
        </w:rPr>
        <w:t xml:space="preserve">Assemblée seront </w:t>
      </w:r>
      <w:r w:rsidR="00F628DA" w:rsidRPr="008663BD">
        <w:rPr>
          <w:b w:val="0"/>
        </w:rPr>
        <w:t xml:space="preserve">aussi </w:t>
      </w:r>
      <w:r w:rsidRPr="008663BD">
        <w:rPr>
          <w:b w:val="0"/>
        </w:rPr>
        <w:t>mises à disposition. Le Secrétariat a l</w:t>
      </w:r>
      <w:r w:rsidR="008663BD" w:rsidRPr="008663BD">
        <w:rPr>
          <w:b w:val="0"/>
        </w:rPr>
        <w:t>’</w:t>
      </w:r>
      <w:r w:rsidRPr="008663BD">
        <w:rPr>
          <w:b w:val="0"/>
        </w:rPr>
        <w:t>intention de supprimer toutes les correspondances de cette page Web dédiée après la présente session de l</w:t>
      </w:r>
      <w:r w:rsidR="008663BD" w:rsidRPr="008663BD">
        <w:rPr>
          <w:b w:val="0"/>
        </w:rPr>
        <w:t>’</w:t>
      </w:r>
      <w:r w:rsidRPr="008663BD">
        <w:rPr>
          <w:b w:val="0"/>
        </w:rPr>
        <w:t xml:space="preserve">Assemblée générale (conformément à une procédure similaire concernant le traitement des correspondances relatives aux candidatures, dans le sens de la </w:t>
      </w:r>
      <w:r w:rsidR="00182A15">
        <w:rPr>
          <w:b w:val="0"/>
        </w:rPr>
        <w:t>d</w:t>
      </w:r>
      <w:r w:rsidRPr="008663BD">
        <w:rPr>
          <w:b w:val="0"/>
        </w:rPr>
        <w:t>écision </w:t>
      </w:r>
      <w:hyperlink r:id="rId13" w:history="1">
        <w:r w:rsidRPr="008663BD">
          <w:rPr>
            <w:rStyle w:val="Hyperlink"/>
            <w:b w:val="0"/>
          </w:rPr>
          <w:t>7.COM 15</w:t>
        </w:r>
      </w:hyperlink>
      <w:r w:rsidRPr="008663BD">
        <w:rPr>
          <w:b w:val="0"/>
        </w:rPr>
        <w:t>).</w:t>
      </w:r>
    </w:p>
    <w:p w14:paraId="061B1993" w14:textId="0C454236" w:rsidR="00352BB3" w:rsidRPr="008663BD" w:rsidRDefault="00352BB3" w:rsidP="00394197">
      <w:pPr>
        <w:pStyle w:val="COMTitleDecision"/>
        <w:keepNext w:val="0"/>
        <w:widowControl w:val="0"/>
        <w:numPr>
          <w:ilvl w:val="0"/>
          <w:numId w:val="20"/>
        </w:numPr>
        <w:spacing w:before="120"/>
        <w:ind w:left="567" w:hanging="567"/>
        <w:rPr>
          <w:b w:val="0"/>
        </w:rPr>
      </w:pPr>
      <w:r w:rsidRPr="008663BD">
        <w:rPr>
          <w:b w:val="0"/>
        </w:rPr>
        <w:t>En s</w:t>
      </w:r>
      <w:r w:rsidR="008663BD" w:rsidRPr="008663BD">
        <w:rPr>
          <w:b w:val="0"/>
        </w:rPr>
        <w:t>’</w:t>
      </w:r>
      <w:r w:rsidRPr="008663BD">
        <w:rPr>
          <w:b w:val="0"/>
        </w:rPr>
        <w:t>appuyant sur les informations supplémentaires, l</w:t>
      </w:r>
      <w:r w:rsidR="008663BD" w:rsidRPr="008663BD">
        <w:rPr>
          <w:b w:val="0"/>
        </w:rPr>
        <w:t>’</w:t>
      </w:r>
      <w:r w:rsidRPr="008663BD">
        <w:rPr>
          <w:b w:val="0"/>
        </w:rPr>
        <w:t>Assemblée générale est invitée à déterminer si l</w:t>
      </w:r>
      <w:r w:rsidR="008663BD" w:rsidRPr="008663BD">
        <w:rPr>
          <w:b w:val="0"/>
        </w:rPr>
        <w:t>’</w:t>
      </w:r>
      <w:r w:rsidRPr="008663BD">
        <w:rPr>
          <w:b w:val="0"/>
        </w:rPr>
        <w:t>une des deux ONG mentionnées à l</w:t>
      </w:r>
      <w:r w:rsidR="008663BD" w:rsidRPr="008663BD">
        <w:rPr>
          <w:b w:val="0"/>
        </w:rPr>
        <w:t>’</w:t>
      </w:r>
      <w:r w:rsidR="00182A15">
        <w:rPr>
          <w:b w:val="0"/>
        </w:rPr>
        <w:t>a</w:t>
      </w:r>
      <w:r w:rsidRPr="008663BD">
        <w:rPr>
          <w:b w:val="0"/>
        </w:rPr>
        <w:t>nnexe II ou les deux satisfont</w:t>
      </w:r>
      <w:r w:rsidRPr="008663BD">
        <w:t xml:space="preserve"> </w:t>
      </w:r>
      <w:r w:rsidRPr="008663BD">
        <w:rPr>
          <w:b w:val="0"/>
        </w:rPr>
        <w:t>à tous</w:t>
      </w:r>
      <w:r w:rsidRPr="008663BD">
        <w:t xml:space="preserve"> </w:t>
      </w:r>
      <w:r w:rsidRPr="008663BD">
        <w:rPr>
          <w:b w:val="0"/>
        </w:rPr>
        <w:t>les critères d</w:t>
      </w:r>
      <w:r w:rsidR="008663BD" w:rsidRPr="008663BD">
        <w:rPr>
          <w:b w:val="0"/>
        </w:rPr>
        <w:t>’</w:t>
      </w:r>
      <w:r w:rsidRPr="008663BD">
        <w:rPr>
          <w:b w:val="0"/>
        </w:rPr>
        <w:t xml:space="preserve">accréditation énoncés au paragraphe 91 des </w:t>
      </w:r>
      <w:r w:rsidR="00182A15">
        <w:rPr>
          <w:b w:val="0"/>
        </w:rPr>
        <w:t>d</w:t>
      </w:r>
      <w:r w:rsidRPr="008663BD">
        <w:rPr>
          <w:b w:val="0"/>
        </w:rPr>
        <w:t>irectives opérationnelles, afin d</w:t>
      </w:r>
      <w:r w:rsidR="008663BD" w:rsidRPr="008663BD">
        <w:rPr>
          <w:b w:val="0"/>
        </w:rPr>
        <w:t>’</w:t>
      </w:r>
      <w:r w:rsidRPr="008663BD">
        <w:rPr>
          <w:b w:val="0"/>
        </w:rPr>
        <w:t>accréditer en conséquence l</w:t>
      </w:r>
      <w:r w:rsidR="008663BD" w:rsidRPr="008663BD">
        <w:rPr>
          <w:b w:val="0"/>
        </w:rPr>
        <w:t>’</w:t>
      </w:r>
      <w:r w:rsidRPr="008663BD">
        <w:rPr>
          <w:b w:val="0"/>
        </w:rPr>
        <w:t>une de ces ONG, les deux ou aucune, afin qu</w:t>
      </w:r>
      <w:r w:rsidR="008663BD" w:rsidRPr="008663BD">
        <w:rPr>
          <w:b w:val="0"/>
        </w:rPr>
        <w:t>’</w:t>
      </w:r>
      <w:r w:rsidRPr="008663BD">
        <w:rPr>
          <w:b w:val="0"/>
        </w:rPr>
        <w:t>elles exercent des fonctions consultatives auprès du Comité.</w:t>
      </w:r>
    </w:p>
    <w:p w14:paraId="58B0D1C0" w14:textId="442804D1" w:rsidR="003B6D70" w:rsidRPr="008663BD" w:rsidRDefault="0075237D" w:rsidP="007F3B8F">
      <w:pPr>
        <w:pStyle w:val="COMTitleDecision"/>
        <w:keepLines/>
        <w:numPr>
          <w:ilvl w:val="0"/>
          <w:numId w:val="28"/>
        </w:numPr>
        <w:ind w:left="567" w:hanging="567"/>
      </w:pPr>
      <w:r w:rsidRPr="008663BD">
        <w:lastRenderedPageBreak/>
        <w:t>Traitement des demandes d</w:t>
      </w:r>
      <w:r w:rsidR="008663BD" w:rsidRPr="008663BD">
        <w:t>’</w:t>
      </w:r>
      <w:r w:rsidRPr="008663BD">
        <w:t>accréditation et de renouvellement</w:t>
      </w:r>
    </w:p>
    <w:p w14:paraId="126B992E" w14:textId="60F76AE6" w:rsidR="00547B09" w:rsidRPr="008663BD" w:rsidRDefault="00547B09" w:rsidP="007F3B8F">
      <w:pPr>
        <w:pStyle w:val="COMTitleDecision"/>
        <w:keepNext w:val="0"/>
        <w:keepLines/>
        <w:widowControl w:val="0"/>
        <w:numPr>
          <w:ilvl w:val="0"/>
          <w:numId w:val="20"/>
        </w:numPr>
        <w:spacing w:before="120"/>
        <w:ind w:left="567" w:hanging="567"/>
        <w:rPr>
          <w:rFonts w:eastAsia="SimSun"/>
          <w:b w:val="0"/>
          <w:bCs/>
          <w:snapToGrid w:val="0"/>
        </w:rPr>
      </w:pPr>
      <w:r w:rsidRPr="008663BD">
        <w:rPr>
          <w:b w:val="0"/>
          <w:snapToGrid w:val="0"/>
        </w:rPr>
        <w:t>En discutant des deux cas susmentionnés, la seizième session du Comité a considéré qu</w:t>
      </w:r>
      <w:r w:rsidR="008663BD" w:rsidRPr="008663BD">
        <w:rPr>
          <w:b w:val="0"/>
          <w:snapToGrid w:val="0"/>
        </w:rPr>
        <w:t>’</w:t>
      </w:r>
      <w:r w:rsidRPr="008663BD">
        <w:rPr>
          <w:b w:val="0"/>
          <w:snapToGrid w:val="0"/>
        </w:rPr>
        <w:t>il était nécessaire d</w:t>
      </w:r>
      <w:r w:rsidR="008663BD" w:rsidRPr="008663BD">
        <w:rPr>
          <w:b w:val="0"/>
          <w:snapToGrid w:val="0"/>
        </w:rPr>
        <w:t>’</w:t>
      </w:r>
      <w:r w:rsidRPr="008663BD">
        <w:rPr>
          <w:b w:val="0"/>
          <w:snapToGrid w:val="0"/>
        </w:rPr>
        <w:t>améliorer la procédure actuelle d</w:t>
      </w:r>
      <w:r w:rsidR="008663BD" w:rsidRPr="008663BD">
        <w:rPr>
          <w:b w:val="0"/>
          <w:snapToGrid w:val="0"/>
        </w:rPr>
        <w:t>’</w:t>
      </w:r>
      <w:r w:rsidRPr="008663BD">
        <w:rPr>
          <w:b w:val="0"/>
          <w:snapToGrid w:val="0"/>
        </w:rPr>
        <w:t>examen des nouvelles demandes d</w:t>
      </w:r>
      <w:r w:rsidR="008663BD" w:rsidRPr="008663BD">
        <w:rPr>
          <w:b w:val="0"/>
          <w:snapToGrid w:val="0"/>
        </w:rPr>
        <w:t>’</w:t>
      </w:r>
      <w:r w:rsidRPr="008663BD">
        <w:rPr>
          <w:b w:val="0"/>
          <w:snapToGrid w:val="0"/>
        </w:rPr>
        <w:t>accréditation et des demandes de renouvellement du statut d</w:t>
      </w:r>
      <w:r w:rsidR="008663BD" w:rsidRPr="008663BD">
        <w:rPr>
          <w:b w:val="0"/>
          <w:snapToGrid w:val="0"/>
        </w:rPr>
        <w:t>’</w:t>
      </w:r>
      <w:r w:rsidRPr="008663BD">
        <w:rPr>
          <w:b w:val="0"/>
          <w:snapToGrid w:val="0"/>
        </w:rPr>
        <w:t>accréditation. En particulier, le Secrétariat a été invité à « mettre en place un mécanisme de communication clair avec les États parties qui permette d</w:t>
      </w:r>
      <w:r w:rsidR="008663BD" w:rsidRPr="008663BD">
        <w:rPr>
          <w:b w:val="0"/>
          <w:snapToGrid w:val="0"/>
        </w:rPr>
        <w:t>’</w:t>
      </w:r>
      <w:r w:rsidRPr="008663BD">
        <w:rPr>
          <w:b w:val="0"/>
          <w:snapToGrid w:val="0"/>
        </w:rPr>
        <w:t>obtenir un maximum d</w:t>
      </w:r>
      <w:r w:rsidR="008663BD" w:rsidRPr="008663BD">
        <w:rPr>
          <w:b w:val="0"/>
          <w:snapToGrid w:val="0"/>
        </w:rPr>
        <w:t>’</w:t>
      </w:r>
      <w:r w:rsidRPr="008663BD">
        <w:rPr>
          <w:b w:val="0"/>
          <w:snapToGrid w:val="0"/>
        </w:rPr>
        <w:t>informations sur les demandes d</w:t>
      </w:r>
      <w:r w:rsidR="008663BD" w:rsidRPr="008663BD">
        <w:rPr>
          <w:b w:val="0"/>
          <w:snapToGrid w:val="0"/>
        </w:rPr>
        <w:t>’</w:t>
      </w:r>
      <w:r w:rsidRPr="008663BD">
        <w:rPr>
          <w:b w:val="0"/>
          <w:snapToGrid w:val="0"/>
        </w:rPr>
        <w:t>accréditation des ONG, afin de parvenir à la réalisation des objectifs, des principes éthiques et de l</w:t>
      </w:r>
      <w:r w:rsidR="008663BD" w:rsidRPr="008663BD">
        <w:rPr>
          <w:b w:val="0"/>
          <w:snapToGrid w:val="0"/>
        </w:rPr>
        <w:t>’</w:t>
      </w:r>
      <w:r w:rsidRPr="008663BD">
        <w:rPr>
          <w:b w:val="0"/>
          <w:snapToGrid w:val="0"/>
        </w:rPr>
        <w:t>esprit de coopération de la Convention de 2003 » (</w:t>
      </w:r>
      <w:r w:rsidRPr="008663BD">
        <w:rPr>
          <w:rFonts w:asciiTheme="minorBidi" w:hAnsiTheme="minorBidi"/>
          <w:b w:val="0"/>
          <w:snapToGrid w:val="0"/>
        </w:rPr>
        <w:t>Décision </w:t>
      </w:r>
      <w:hyperlink r:id="rId14" w:history="1">
        <w:r w:rsidRPr="008663BD">
          <w:rPr>
            <w:rStyle w:val="Hyperlink"/>
            <w:rFonts w:asciiTheme="minorBidi" w:hAnsiTheme="minorBidi"/>
            <w:b w:val="0"/>
            <w:snapToGrid w:val="0"/>
          </w:rPr>
          <w:t>16.COM 15</w:t>
        </w:r>
      </w:hyperlink>
      <w:r w:rsidRPr="008663BD">
        <w:rPr>
          <w:b w:val="0"/>
          <w:snapToGrid w:val="0"/>
        </w:rPr>
        <w:t>).</w:t>
      </w:r>
    </w:p>
    <w:p w14:paraId="44E038CD" w14:textId="4C253FDB" w:rsidR="00C46C0F" w:rsidRPr="008663BD" w:rsidRDefault="00656FCC" w:rsidP="00FB34CE">
      <w:pPr>
        <w:pStyle w:val="COMTitleDecision"/>
        <w:keepNext w:val="0"/>
        <w:widowControl w:val="0"/>
        <w:numPr>
          <w:ilvl w:val="0"/>
          <w:numId w:val="20"/>
        </w:numPr>
        <w:spacing w:before="120"/>
        <w:ind w:left="567" w:hanging="567"/>
        <w:rPr>
          <w:rFonts w:eastAsia="SimSun"/>
          <w:b w:val="0"/>
          <w:bCs/>
          <w:snapToGrid w:val="0"/>
        </w:rPr>
      </w:pPr>
      <w:r w:rsidRPr="008663BD">
        <w:rPr>
          <w:b w:val="0"/>
          <w:snapToGrid w:val="0"/>
        </w:rPr>
        <w:t>Les nouvelles demandes d</w:t>
      </w:r>
      <w:r w:rsidR="008663BD" w:rsidRPr="008663BD">
        <w:rPr>
          <w:b w:val="0"/>
          <w:snapToGrid w:val="0"/>
        </w:rPr>
        <w:t>’</w:t>
      </w:r>
      <w:r w:rsidRPr="008663BD">
        <w:rPr>
          <w:b w:val="0"/>
          <w:snapToGrid w:val="0"/>
        </w:rPr>
        <w:t xml:space="preserve">accréditation et les demandes de renouvellement sont examinées par le Secrétariat de la Convention de 2003 en fonction des critères définis dans les </w:t>
      </w:r>
      <w:r w:rsidR="00182A15">
        <w:rPr>
          <w:b w:val="0"/>
          <w:snapToGrid w:val="0"/>
        </w:rPr>
        <w:t>d</w:t>
      </w:r>
      <w:r w:rsidRPr="008663BD">
        <w:rPr>
          <w:b w:val="0"/>
          <w:snapToGrid w:val="0"/>
        </w:rPr>
        <w:t xml:space="preserve">irectives opérationnelles. Le Secrétariat enregistre les propositions, conformément au paragraphe 99 des </w:t>
      </w:r>
      <w:r w:rsidR="00182A15">
        <w:rPr>
          <w:b w:val="0"/>
          <w:snapToGrid w:val="0"/>
        </w:rPr>
        <w:t>d</w:t>
      </w:r>
      <w:r w:rsidRPr="008663BD">
        <w:rPr>
          <w:b w:val="0"/>
          <w:snapToGrid w:val="0"/>
        </w:rPr>
        <w:t xml:space="preserve">irectives opérationnelles, aide les organisations à fournir les informations manquantes, le cas échéant, et prépare les recommandations à adresser au Comité, conformément au paragraphe 92 des </w:t>
      </w:r>
      <w:r w:rsidR="00182A15">
        <w:rPr>
          <w:b w:val="0"/>
          <w:snapToGrid w:val="0"/>
        </w:rPr>
        <w:t>d</w:t>
      </w:r>
      <w:r w:rsidRPr="008663BD">
        <w:rPr>
          <w:b w:val="0"/>
          <w:snapToGrid w:val="0"/>
        </w:rPr>
        <w:t>irectives opérationnelles. Les formulaires utilisés et les documents de travail correspondants sont mis à disposition sur la page Web de la Convention au plus tard quatre semaines avant l</w:t>
      </w:r>
      <w:r w:rsidR="008663BD" w:rsidRPr="008663BD">
        <w:rPr>
          <w:b w:val="0"/>
          <w:snapToGrid w:val="0"/>
        </w:rPr>
        <w:t>’</w:t>
      </w:r>
      <w:r w:rsidRPr="008663BD">
        <w:rPr>
          <w:b w:val="0"/>
          <w:snapToGrid w:val="0"/>
        </w:rPr>
        <w:t>ouverture des sessions du Comité et de l</w:t>
      </w:r>
      <w:r w:rsidR="008663BD" w:rsidRPr="008663BD">
        <w:rPr>
          <w:b w:val="0"/>
          <w:snapToGrid w:val="0"/>
        </w:rPr>
        <w:t>’</w:t>
      </w:r>
      <w:r w:rsidRPr="008663BD">
        <w:rPr>
          <w:b w:val="0"/>
          <w:snapToGrid w:val="0"/>
        </w:rPr>
        <w:t>Assemblée générale.</w:t>
      </w:r>
    </w:p>
    <w:p w14:paraId="68EFE810" w14:textId="77777777" w:rsidR="00547B09" w:rsidRPr="008663BD" w:rsidRDefault="008F38C8" w:rsidP="00FB34CE">
      <w:pPr>
        <w:pStyle w:val="COMTitleDecision"/>
        <w:keepNext w:val="0"/>
        <w:widowControl w:val="0"/>
        <w:numPr>
          <w:ilvl w:val="0"/>
          <w:numId w:val="20"/>
        </w:numPr>
        <w:spacing w:before="120"/>
        <w:ind w:left="567" w:hanging="567"/>
        <w:rPr>
          <w:rFonts w:eastAsia="SimSun"/>
          <w:b w:val="0"/>
          <w:bCs/>
          <w:snapToGrid w:val="0"/>
        </w:rPr>
      </w:pPr>
      <w:r w:rsidRPr="008663BD">
        <w:rPr>
          <w:b w:val="0"/>
          <w:snapToGrid w:val="0"/>
        </w:rPr>
        <w:t>En réponse à la demande du Comité lors de sa seizième session, le Secrétariat propose les deux ajustements suivants :</w:t>
      </w:r>
    </w:p>
    <w:p w14:paraId="56A6949D" w14:textId="416C48FA" w:rsidR="008F38C8" w:rsidRPr="008663BD" w:rsidRDefault="008F38C8" w:rsidP="008F38C8">
      <w:pPr>
        <w:pStyle w:val="COMTitleDecision"/>
        <w:keepNext w:val="0"/>
        <w:widowControl w:val="0"/>
        <w:spacing w:before="120"/>
        <w:rPr>
          <w:rFonts w:eastAsia="SimSun"/>
          <w:b w:val="0"/>
          <w:bCs/>
          <w:snapToGrid w:val="0"/>
        </w:rPr>
      </w:pPr>
      <w:r w:rsidRPr="008663BD">
        <w:rPr>
          <w:b w:val="0"/>
          <w:snapToGrid w:val="0"/>
        </w:rPr>
        <w:t>a. Le Secrétariat mettra à disposition les demandes d</w:t>
      </w:r>
      <w:r w:rsidR="008663BD" w:rsidRPr="008663BD">
        <w:rPr>
          <w:b w:val="0"/>
          <w:snapToGrid w:val="0"/>
        </w:rPr>
        <w:t>’</w:t>
      </w:r>
      <w:r w:rsidRPr="008663BD">
        <w:rPr>
          <w:b w:val="0"/>
          <w:snapToGrid w:val="0"/>
        </w:rPr>
        <w:t xml:space="preserve">accréditation (Formulaire ICH-09) et les rapports quadriennaux soumis par les organisations non gouvernementales accréditées (Formulaire ICH-08) sur la page Web de la Convention, le plus tôt possible après leur date limite de soumission (le 30 avril </w:t>
      </w:r>
      <w:r w:rsidR="00182A15">
        <w:rPr>
          <w:b w:val="0"/>
          <w:snapToGrid w:val="0"/>
        </w:rPr>
        <w:t>des</w:t>
      </w:r>
      <w:r w:rsidRPr="008663BD">
        <w:rPr>
          <w:b w:val="0"/>
          <w:snapToGrid w:val="0"/>
        </w:rPr>
        <w:t xml:space="preserve"> années </w:t>
      </w:r>
      <w:r w:rsidR="004B4588" w:rsidRPr="008663BD">
        <w:rPr>
          <w:b w:val="0"/>
          <w:snapToGrid w:val="0"/>
        </w:rPr>
        <w:t>im</w:t>
      </w:r>
      <w:r w:rsidRPr="008663BD">
        <w:rPr>
          <w:b w:val="0"/>
          <w:snapToGrid w:val="0"/>
        </w:rPr>
        <w:t xml:space="preserve">paires et le 15 février </w:t>
      </w:r>
      <w:r w:rsidR="00182A15">
        <w:rPr>
          <w:b w:val="0"/>
          <w:snapToGrid w:val="0"/>
        </w:rPr>
        <w:t>des</w:t>
      </w:r>
      <w:r w:rsidRPr="008663BD">
        <w:rPr>
          <w:b w:val="0"/>
          <w:snapToGrid w:val="0"/>
        </w:rPr>
        <w:t xml:space="preserve"> années </w:t>
      </w:r>
      <w:r w:rsidR="00357C63">
        <w:rPr>
          <w:b w:val="0"/>
          <w:snapToGrid w:val="0"/>
        </w:rPr>
        <w:t>im</w:t>
      </w:r>
      <w:r w:rsidRPr="008663BD">
        <w:rPr>
          <w:b w:val="0"/>
          <w:snapToGrid w:val="0"/>
        </w:rPr>
        <w:t>paires, respectivement).</w:t>
      </w:r>
    </w:p>
    <w:p w14:paraId="4FA02CF7" w14:textId="0CC26620" w:rsidR="00C46C0F" w:rsidRPr="008663BD" w:rsidRDefault="004472C8" w:rsidP="00C00655">
      <w:pPr>
        <w:pStyle w:val="COMTitleDecision"/>
        <w:keepNext w:val="0"/>
        <w:widowControl w:val="0"/>
        <w:spacing w:before="120"/>
        <w:rPr>
          <w:rFonts w:eastAsia="SimSun"/>
          <w:b w:val="0"/>
          <w:bCs/>
          <w:snapToGrid w:val="0"/>
        </w:rPr>
      </w:pPr>
      <w:r w:rsidRPr="008663BD">
        <w:rPr>
          <w:b w:val="0"/>
          <w:snapToGrid w:val="0"/>
        </w:rPr>
        <w:t>b. Le Secrétariat consultera les bureaux hors-siège de l</w:t>
      </w:r>
      <w:r w:rsidR="008663BD" w:rsidRPr="008663BD">
        <w:rPr>
          <w:b w:val="0"/>
          <w:snapToGrid w:val="0"/>
        </w:rPr>
        <w:t>’</w:t>
      </w:r>
      <w:r w:rsidRPr="008663BD">
        <w:rPr>
          <w:b w:val="0"/>
          <w:snapToGrid w:val="0"/>
        </w:rPr>
        <w:t>UNESCO au sujet des nouvelles demandes d</w:t>
      </w:r>
      <w:r w:rsidR="008663BD" w:rsidRPr="008663BD">
        <w:rPr>
          <w:b w:val="0"/>
          <w:snapToGrid w:val="0"/>
        </w:rPr>
        <w:t>’</w:t>
      </w:r>
      <w:r w:rsidRPr="008663BD">
        <w:rPr>
          <w:b w:val="0"/>
          <w:snapToGrid w:val="0"/>
        </w:rPr>
        <w:t>accréditation et des demandes de renouvellement dans le but de recueillir des informations qui lui permettront d</w:t>
      </w:r>
      <w:r w:rsidR="008663BD" w:rsidRPr="008663BD">
        <w:rPr>
          <w:b w:val="0"/>
          <w:snapToGrid w:val="0"/>
        </w:rPr>
        <w:t>’</w:t>
      </w:r>
      <w:r w:rsidRPr="008663BD">
        <w:rPr>
          <w:b w:val="0"/>
          <w:snapToGrid w:val="0"/>
        </w:rPr>
        <w:t xml:space="preserve">évaluer les demandes conformément au paragraphe 92 des </w:t>
      </w:r>
      <w:r w:rsidR="00182A15">
        <w:rPr>
          <w:b w:val="0"/>
          <w:snapToGrid w:val="0"/>
        </w:rPr>
        <w:t>d</w:t>
      </w:r>
      <w:r w:rsidRPr="008663BD">
        <w:rPr>
          <w:b w:val="0"/>
          <w:snapToGrid w:val="0"/>
        </w:rPr>
        <w:t>irectives opérationnelles.</w:t>
      </w:r>
    </w:p>
    <w:p w14:paraId="4EE9E914" w14:textId="148A40BE" w:rsidR="00826461" w:rsidRPr="008663BD" w:rsidRDefault="00826461" w:rsidP="00826461">
      <w:pPr>
        <w:pStyle w:val="COMTitleDecision"/>
        <w:keepNext w:val="0"/>
        <w:widowControl w:val="0"/>
        <w:numPr>
          <w:ilvl w:val="0"/>
          <w:numId w:val="20"/>
        </w:numPr>
        <w:spacing w:before="120"/>
        <w:ind w:left="567" w:hanging="567"/>
        <w:rPr>
          <w:rFonts w:eastAsia="SimSun"/>
          <w:b w:val="0"/>
          <w:bCs/>
          <w:snapToGrid w:val="0"/>
        </w:rPr>
      </w:pPr>
      <w:r w:rsidRPr="008663BD">
        <w:rPr>
          <w:b w:val="0"/>
          <w:snapToGrid w:val="0"/>
        </w:rPr>
        <w:t>Ces ajustements peuvent être appliqués aux demandes d</w:t>
      </w:r>
      <w:r w:rsidR="008663BD" w:rsidRPr="008663BD">
        <w:rPr>
          <w:b w:val="0"/>
          <w:snapToGrid w:val="0"/>
        </w:rPr>
        <w:t>’</w:t>
      </w:r>
      <w:r w:rsidRPr="008663BD">
        <w:rPr>
          <w:b w:val="0"/>
          <w:snapToGrid w:val="0"/>
        </w:rPr>
        <w:t>accréditation et de renouvellement pour examen lors de la dix-huitième session du Comité en 2023 et de la dixième session de l</w:t>
      </w:r>
      <w:r w:rsidR="008663BD" w:rsidRPr="008663BD">
        <w:rPr>
          <w:b w:val="0"/>
          <w:snapToGrid w:val="0"/>
        </w:rPr>
        <w:t>’</w:t>
      </w:r>
      <w:r w:rsidRPr="008663BD">
        <w:rPr>
          <w:b w:val="0"/>
          <w:snapToGrid w:val="0"/>
        </w:rPr>
        <w:t>Assemblée générale en 2024. Le Secrétariat entend rendre compte de l</w:t>
      </w:r>
      <w:r w:rsidR="008663BD" w:rsidRPr="008663BD">
        <w:rPr>
          <w:b w:val="0"/>
          <w:snapToGrid w:val="0"/>
        </w:rPr>
        <w:t>’</w:t>
      </w:r>
      <w:r w:rsidRPr="008663BD">
        <w:rPr>
          <w:b w:val="0"/>
          <w:snapToGrid w:val="0"/>
        </w:rPr>
        <w:t>expérience de l</w:t>
      </w:r>
      <w:r w:rsidR="008663BD" w:rsidRPr="008663BD">
        <w:rPr>
          <w:b w:val="0"/>
          <w:snapToGrid w:val="0"/>
        </w:rPr>
        <w:t>’</w:t>
      </w:r>
      <w:r w:rsidRPr="008663BD">
        <w:rPr>
          <w:b w:val="0"/>
          <w:snapToGrid w:val="0"/>
        </w:rPr>
        <w:t>ajustement de la procédure lors de la dix-huitième session du Comité.</w:t>
      </w:r>
    </w:p>
    <w:p w14:paraId="7E9F8CF0" w14:textId="063B69C1" w:rsidR="00391AC6" w:rsidRPr="008663BD" w:rsidRDefault="00CB1EC8" w:rsidP="00CB1EC8">
      <w:pPr>
        <w:pStyle w:val="COMTitleDecision"/>
        <w:keepNext w:val="0"/>
        <w:widowControl w:val="0"/>
        <w:numPr>
          <w:ilvl w:val="0"/>
          <w:numId w:val="20"/>
        </w:numPr>
        <w:spacing w:before="120"/>
        <w:ind w:left="567" w:hanging="567"/>
        <w:rPr>
          <w:rFonts w:eastAsia="SimSun"/>
          <w:b w:val="0"/>
          <w:bCs/>
          <w:snapToGrid w:val="0"/>
        </w:rPr>
      </w:pPr>
      <w:r w:rsidRPr="008663BD">
        <w:rPr>
          <w:b w:val="0"/>
          <w:snapToGrid w:val="0"/>
          <w:lang w:eastAsia="en-US"/>
        </w:rPr>
        <w:t>L</w:t>
      </w:r>
      <w:r w:rsidR="008663BD" w:rsidRPr="008663BD">
        <w:rPr>
          <w:b w:val="0"/>
          <w:snapToGrid w:val="0"/>
          <w:lang w:eastAsia="en-US"/>
        </w:rPr>
        <w:t>’</w:t>
      </w:r>
      <w:r w:rsidRPr="008663BD">
        <w:rPr>
          <w:b w:val="0"/>
          <w:snapToGrid w:val="0"/>
          <w:lang w:eastAsia="en-US"/>
        </w:rPr>
        <w:t>Assemblée générale souhaitera peut-être adopter la résolution suivante :</w:t>
      </w:r>
    </w:p>
    <w:p w14:paraId="49EEC9E0" w14:textId="77777777" w:rsidR="008A1ED4" w:rsidRPr="008663BD" w:rsidRDefault="00CB1EC8" w:rsidP="008A1ED4">
      <w:pPr>
        <w:pStyle w:val="GATitleResolution"/>
      </w:pPr>
      <w:r w:rsidRPr="008663BD">
        <w:t>PROJET DE RÉSOLUTION 9.GA 7</w:t>
      </w:r>
    </w:p>
    <w:p w14:paraId="68C3656C" w14:textId="409074CF" w:rsidR="00CB1EC8" w:rsidRPr="00182A15" w:rsidRDefault="00CB1EC8" w:rsidP="00CB1EC8">
      <w:pPr>
        <w:pStyle w:val="GAParaResolution"/>
        <w:numPr>
          <w:ilvl w:val="0"/>
          <w:numId w:val="0"/>
        </w:numPr>
        <w:ind w:firstLine="567"/>
        <w:rPr>
          <w:u w:val="none"/>
        </w:rPr>
      </w:pPr>
      <w:r w:rsidRPr="00182A15">
        <w:rPr>
          <w:u w:val="none"/>
          <w:lang w:bidi="fr-FR"/>
        </w:rPr>
        <w:t>L</w:t>
      </w:r>
      <w:r w:rsidR="008663BD" w:rsidRPr="00182A15">
        <w:rPr>
          <w:u w:val="none"/>
          <w:lang w:bidi="fr-FR"/>
        </w:rPr>
        <w:t>’</w:t>
      </w:r>
      <w:r w:rsidRPr="00182A15">
        <w:rPr>
          <w:u w:val="none"/>
          <w:lang w:bidi="fr-FR"/>
        </w:rPr>
        <w:t>Assemblée générale</w:t>
      </w:r>
      <w:r w:rsidRPr="00182A15">
        <w:rPr>
          <w:u w:val="none"/>
        </w:rPr>
        <w:t>,</w:t>
      </w:r>
    </w:p>
    <w:p w14:paraId="2B16D247" w14:textId="626693A8" w:rsidR="005823AB" w:rsidRPr="008663BD" w:rsidRDefault="00CB1EC8" w:rsidP="005823AB">
      <w:pPr>
        <w:pStyle w:val="COMParaDecision"/>
        <w:numPr>
          <w:ilvl w:val="0"/>
          <w:numId w:val="10"/>
        </w:numPr>
        <w:ind w:left="1134" w:hanging="567"/>
        <w:jc w:val="left"/>
      </w:pPr>
      <w:r w:rsidRPr="008663BD">
        <w:t>Ayant examiné</w:t>
      </w:r>
      <w:r w:rsidRPr="008663BD">
        <w:rPr>
          <w:u w:val="none"/>
        </w:rPr>
        <w:t xml:space="preserve"> le document LHE/22/9.GA/7 et ses annexes,</w:t>
      </w:r>
    </w:p>
    <w:p w14:paraId="258DB2CE" w14:textId="2E3E6438" w:rsidR="005823AB" w:rsidRPr="008663BD" w:rsidRDefault="005823AB" w:rsidP="005823AB">
      <w:pPr>
        <w:pStyle w:val="COMParaDecision"/>
        <w:numPr>
          <w:ilvl w:val="0"/>
          <w:numId w:val="10"/>
        </w:numPr>
        <w:ind w:left="1134" w:hanging="567"/>
      </w:pPr>
      <w:r w:rsidRPr="008663BD">
        <w:t>Rappelant</w:t>
      </w:r>
      <w:r w:rsidRPr="008663BD">
        <w:rPr>
          <w:u w:val="none"/>
        </w:rPr>
        <w:t xml:space="preserve"> l</w:t>
      </w:r>
      <w:r w:rsidR="008663BD" w:rsidRPr="008663BD">
        <w:rPr>
          <w:u w:val="none"/>
        </w:rPr>
        <w:t>’</w:t>
      </w:r>
      <w:r w:rsidRPr="008663BD">
        <w:rPr>
          <w:u w:val="none"/>
        </w:rPr>
        <w:t xml:space="preserve">article 9 de la Convention et les paragraphes 91 à 99 des </w:t>
      </w:r>
      <w:r w:rsidR="00182A15">
        <w:rPr>
          <w:u w:val="none"/>
        </w:rPr>
        <w:t>d</w:t>
      </w:r>
      <w:r w:rsidRPr="008663BD">
        <w:rPr>
          <w:u w:val="none"/>
        </w:rPr>
        <w:t>irectives opérationnelles,</w:t>
      </w:r>
    </w:p>
    <w:p w14:paraId="4811477A" w14:textId="298F9D74" w:rsidR="005823AB" w:rsidRPr="008663BD" w:rsidRDefault="005823AB" w:rsidP="005823AB">
      <w:pPr>
        <w:pStyle w:val="COMParaDecision"/>
        <w:numPr>
          <w:ilvl w:val="0"/>
          <w:numId w:val="10"/>
        </w:numPr>
        <w:ind w:left="1134" w:hanging="567"/>
      </w:pPr>
      <w:r w:rsidRPr="008663BD">
        <w:t xml:space="preserve">Rappelant </w:t>
      </w:r>
      <w:r w:rsidR="00182A15">
        <w:t>en outre</w:t>
      </w:r>
      <w:r w:rsidR="00182A15" w:rsidRPr="00182A15">
        <w:rPr>
          <w:u w:val="none"/>
        </w:rPr>
        <w:t xml:space="preserve"> </w:t>
      </w:r>
      <w:r w:rsidR="00261D3F" w:rsidRPr="008663BD">
        <w:rPr>
          <w:u w:val="none"/>
        </w:rPr>
        <w:t>l</w:t>
      </w:r>
      <w:r w:rsidRPr="008663BD">
        <w:rPr>
          <w:u w:val="none"/>
        </w:rPr>
        <w:t>a décision </w:t>
      </w:r>
      <w:hyperlink r:id="rId15" w:history="1">
        <w:r w:rsidRPr="008663BD">
          <w:rPr>
            <w:rStyle w:val="Hyperlink"/>
          </w:rPr>
          <w:t>16.</w:t>
        </w:r>
        <w:r w:rsidR="0058371E" w:rsidRPr="008663BD">
          <w:rPr>
            <w:rStyle w:val="Hyperlink"/>
          </w:rPr>
          <w:t>COM </w:t>
        </w:r>
        <w:r w:rsidRPr="008663BD">
          <w:rPr>
            <w:rStyle w:val="Hyperlink"/>
          </w:rPr>
          <w:t>15</w:t>
        </w:r>
      </w:hyperlink>
      <w:r w:rsidRPr="008663BD">
        <w:rPr>
          <w:rStyle w:val="Hyperlink"/>
          <w:color w:val="auto"/>
          <w:u w:val="none"/>
        </w:rPr>
        <w:t>,</w:t>
      </w:r>
    </w:p>
    <w:p w14:paraId="59EFE777" w14:textId="181AF620" w:rsidR="005823AB" w:rsidRPr="008663BD" w:rsidRDefault="005823AB" w:rsidP="005823AB">
      <w:pPr>
        <w:pStyle w:val="COMParaDecision"/>
        <w:numPr>
          <w:ilvl w:val="0"/>
          <w:numId w:val="10"/>
        </w:numPr>
        <w:ind w:left="1134" w:hanging="567"/>
      </w:pPr>
      <w:r w:rsidRPr="008663BD">
        <w:t>Accrédite</w:t>
      </w:r>
      <w:r w:rsidRPr="008663BD">
        <w:rPr>
          <w:u w:val="none"/>
        </w:rPr>
        <w:t xml:space="preserve"> les trente-deux organisations non gouvernementales dont la liste figure dans l</w:t>
      </w:r>
      <w:r w:rsidR="008663BD" w:rsidRPr="008663BD">
        <w:rPr>
          <w:u w:val="none"/>
        </w:rPr>
        <w:t>’</w:t>
      </w:r>
      <w:r w:rsidR="00182A15">
        <w:rPr>
          <w:u w:val="none"/>
        </w:rPr>
        <w:t>a</w:t>
      </w:r>
      <w:r w:rsidRPr="008663BD">
        <w:rPr>
          <w:u w:val="none"/>
        </w:rPr>
        <w:t xml:space="preserve">nnexe I </w:t>
      </w:r>
      <w:r w:rsidR="00182A15">
        <w:rPr>
          <w:u w:val="none"/>
        </w:rPr>
        <w:t>de</w:t>
      </w:r>
      <w:r w:rsidRPr="008663BD">
        <w:rPr>
          <w:u w:val="none"/>
        </w:rPr>
        <w:t xml:space="preserve"> la présente résolution, pour qu</w:t>
      </w:r>
      <w:r w:rsidR="008663BD" w:rsidRPr="008663BD">
        <w:rPr>
          <w:u w:val="none"/>
        </w:rPr>
        <w:t>’</w:t>
      </w:r>
      <w:r w:rsidRPr="008663BD">
        <w:rPr>
          <w:u w:val="none"/>
        </w:rPr>
        <w:t>elles exercent des fonctions consultatives auprès du Comité ;</w:t>
      </w:r>
    </w:p>
    <w:p w14:paraId="638F9965" w14:textId="24A97691" w:rsidR="00733307" w:rsidRPr="008663BD" w:rsidRDefault="003A228F" w:rsidP="003A228F">
      <w:pPr>
        <w:pStyle w:val="COMParaDecision"/>
        <w:numPr>
          <w:ilvl w:val="0"/>
          <w:numId w:val="10"/>
        </w:numPr>
        <w:ind w:left="1134" w:hanging="567"/>
      </w:pPr>
      <w:r w:rsidRPr="008663BD">
        <w:t>Prend note</w:t>
      </w:r>
      <w:r w:rsidRPr="008663BD">
        <w:rPr>
          <w:u w:val="none"/>
        </w:rPr>
        <w:t xml:space="preserve"> des informations supplémentaires fournies par les organisations dont la liste figure dans l</w:t>
      </w:r>
      <w:r w:rsidR="008663BD" w:rsidRPr="008663BD">
        <w:rPr>
          <w:u w:val="none"/>
        </w:rPr>
        <w:t>’</w:t>
      </w:r>
      <w:r w:rsidR="00182A15">
        <w:rPr>
          <w:u w:val="none"/>
        </w:rPr>
        <w:t>a</w:t>
      </w:r>
      <w:r w:rsidRPr="008663BD">
        <w:rPr>
          <w:u w:val="none"/>
        </w:rPr>
        <w:t xml:space="preserve">nnexe II </w:t>
      </w:r>
      <w:r w:rsidR="00182A15">
        <w:rPr>
          <w:u w:val="none"/>
        </w:rPr>
        <w:t>de</w:t>
      </w:r>
      <w:r w:rsidRPr="008663BD">
        <w:rPr>
          <w:u w:val="none"/>
        </w:rPr>
        <w:t xml:space="preserve"> la présente résolution, ainsi que par</w:t>
      </w:r>
      <w:r w:rsidR="00A6673D" w:rsidRPr="008663BD">
        <w:rPr>
          <w:u w:val="none"/>
        </w:rPr>
        <w:t xml:space="preserve"> [l</w:t>
      </w:r>
      <w:r w:rsidR="008663BD" w:rsidRPr="008663BD">
        <w:rPr>
          <w:u w:val="none"/>
        </w:rPr>
        <w:t>’</w:t>
      </w:r>
      <w:r w:rsidR="00A6673D" w:rsidRPr="008663BD">
        <w:rPr>
          <w:u w:val="none"/>
        </w:rPr>
        <w:t>un des États parties]</w:t>
      </w:r>
      <w:r w:rsidRPr="008663BD">
        <w:rPr>
          <w:u w:val="none"/>
        </w:rPr>
        <w:t xml:space="preserve"> </w:t>
      </w:r>
      <w:r w:rsidR="00A222B4" w:rsidRPr="008663BD">
        <w:rPr>
          <w:u w:val="none"/>
        </w:rPr>
        <w:t>[</w:t>
      </w:r>
      <w:r w:rsidRPr="008663BD">
        <w:rPr>
          <w:u w:val="none"/>
        </w:rPr>
        <w:t>les États parties</w:t>
      </w:r>
      <w:r w:rsidR="007E10C3" w:rsidRPr="008663BD">
        <w:rPr>
          <w:u w:val="none"/>
        </w:rPr>
        <w:t>]</w:t>
      </w:r>
      <w:r w:rsidRPr="008663BD">
        <w:rPr>
          <w:u w:val="none"/>
        </w:rPr>
        <w:t xml:space="preserve"> concernés et</w:t>
      </w:r>
    </w:p>
    <w:p w14:paraId="16FC9761" w14:textId="13D2F9ED" w:rsidR="00733307" w:rsidRPr="008663BD" w:rsidRDefault="00733307" w:rsidP="00733307">
      <w:pPr>
        <w:pStyle w:val="COMParaDecision"/>
        <w:ind w:firstLine="0"/>
        <w:rPr>
          <w:u w:val="none"/>
        </w:rPr>
      </w:pPr>
      <w:r w:rsidRPr="008663BD">
        <w:rPr>
          <w:u w:val="none"/>
        </w:rPr>
        <w:t xml:space="preserve">[Option A] </w:t>
      </w:r>
      <w:r w:rsidRPr="008663BD">
        <w:t>accrédite également</w:t>
      </w:r>
      <w:r w:rsidRPr="008663BD">
        <w:rPr>
          <w:u w:val="none"/>
        </w:rPr>
        <w:t xml:space="preserve"> [Institute for Intangible Cultural Heritage IPACIM] [et] [Direct Gradual Development, Civil Association] pour </w:t>
      </w:r>
      <w:r w:rsidR="00182A15">
        <w:rPr>
          <w:u w:val="none"/>
        </w:rPr>
        <w:t>exercer</w:t>
      </w:r>
      <w:r w:rsidRPr="008663BD">
        <w:rPr>
          <w:u w:val="none"/>
        </w:rPr>
        <w:t xml:space="preserve"> des fonctions consultatives auprès du Comité ;</w:t>
      </w:r>
    </w:p>
    <w:p w14:paraId="734815FD" w14:textId="218A373C" w:rsidR="003A228F" w:rsidRPr="008663BD" w:rsidRDefault="00733307" w:rsidP="00C00655">
      <w:pPr>
        <w:pStyle w:val="COMParaDecision"/>
        <w:ind w:firstLine="0"/>
        <w:rPr>
          <w:u w:val="none"/>
        </w:rPr>
      </w:pPr>
      <w:r w:rsidRPr="008663BD">
        <w:rPr>
          <w:u w:val="none"/>
        </w:rPr>
        <w:lastRenderedPageBreak/>
        <w:t xml:space="preserve">[Option B] </w:t>
      </w:r>
      <w:r w:rsidRPr="008663BD">
        <w:t>considère</w:t>
      </w:r>
      <w:r w:rsidRPr="008663BD">
        <w:rPr>
          <w:u w:val="none"/>
        </w:rPr>
        <w:t xml:space="preserve"> que [Institute for Intangible Cultural Heritage IPACIM] [et] [Direct Gradual Development, Civil Association] ne satisfont pas aux critères énoncés au paragraphe 91 des </w:t>
      </w:r>
      <w:r w:rsidR="00182A15">
        <w:rPr>
          <w:u w:val="none"/>
        </w:rPr>
        <w:t>d</w:t>
      </w:r>
      <w:r w:rsidRPr="008663BD">
        <w:rPr>
          <w:u w:val="none"/>
        </w:rPr>
        <w:t>irectives opérationnelles ;</w:t>
      </w:r>
    </w:p>
    <w:p w14:paraId="2F807C21" w14:textId="25731A2D" w:rsidR="005823AB" w:rsidRPr="008663BD" w:rsidRDefault="005823AB" w:rsidP="00C003BB">
      <w:pPr>
        <w:pStyle w:val="COMParaDecision"/>
        <w:numPr>
          <w:ilvl w:val="0"/>
          <w:numId w:val="10"/>
        </w:numPr>
        <w:ind w:left="1134" w:hanging="567"/>
      </w:pPr>
      <w:r w:rsidRPr="008663BD">
        <w:t>Encourage</w:t>
      </w:r>
      <w:r w:rsidRPr="008663BD">
        <w:rPr>
          <w:u w:val="none"/>
        </w:rPr>
        <w:t xml:space="preserve"> les ONG de groupes électoraux sous-représentés qui satisfont aux critères d</w:t>
      </w:r>
      <w:r w:rsidR="008663BD" w:rsidRPr="008663BD">
        <w:rPr>
          <w:u w:val="none"/>
        </w:rPr>
        <w:t>’</w:t>
      </w:r>
      <w:r w:rsidRPr="008663BD">
        <w:rPr>
          <w:u w:val="none"/>
        </w:rPr>
        <w:t>accréditation à présenter leur demande d</w:t>
      </w:r>
      <w:r w:rsidR="008663BD" w:rsidRPr="008663BD">
        <w:rPr>
          <w:u w:val="none"/>
        </w:rPr>
        <w:t>’</w:t>
      </w:r>
      <w:r w:rsidRPr="008663BD">
        <w:rPr>
          <w:u w:val="none"/>
        </w:rPr>
        <w:t xml:space="preserve">accréditation dans les meilleurs délais, de façon à améliorer la répartition géographique des ONG accréditées </w:t>
      </w:r>
      <w:bookmarkStart w:id="0" w:name="_Hlk47615881"/>
      <w:r w:rsidRPr="008663BD">
        <w:rPr>
          <w:u w:val="none"/>
        </w:rPr>
        <w:t xml:space="preserve">et </w:t>
      </w:r>
      <w:r w:rsidRPr="008663BD">
        <w:t>invite</w:t>
      </w:r>
      <w:r w:rsidRPr="008663BD">
        <w:rPr>
          <w:u w:val="none"/>
        </w:rPr>
        <w:t xml:space="preserve"> les États parties de ces groupes électoraux à diffuser cet appel auprès des ONG présentes sur leur territoire ;</w:t>
      </w:r>
    </w:p>
    <w:bookmarkEnd w:id="0"/>
    <w:p w14:paraId="6F26C325" w14:textId="41D4DB13" w:rsidR="005823AB" w:rsidRPr="008663BD" w:rsidRDefault="00965081" w:rsidP="005823AB">
      <w:pPr>
        <w:pStyle w:val="COMParaDecision"/>
        <w:numPr>
          <w:ilvl w:val="0"/>
          <w:numId w:val="10"/>
        </w:numPr>
        <w:ind w:left="1134" w:hanging="567"/>
      </w:pPr>
      <w:r w:rsidRPr="008663BD">
        <w:t>Rappelle</w:t>
      </w:r>
      <w:r w:rsidRPr="008663BD">
        <w:rPr>
          <w:u w:val="none"/>
        </w:rPr>
        <w:t xml:space="preserve"> aux ONG accréditées en 2010, 2014 et 2018 qu</w:t>
      </w:r>
      <w:r w:rsidR="008663BD" w:rsidRPr="008663BD">
        <w:rPr>
          <w:u w:val="none"/>
        </w:rPr>
        <w:t>’</w:t>
      </w:r>
      <w:r w:rsidRPr="008663BD">
        <w:rPr>
          <w:u w:val="none"/>
        </w:rPr>
        <w:t>elles doivent présenter leur rapport quadrennial au Secrétariat avant la date limite du 15 février 2023 afin que le Comité puisse, lors de sa dix-huitième session, examiner la contribution et l</w:t>
      </w:r>
      <w:r w:rsidR="008663BD" w:rsidRPr="008663BD">
        <w:rPr>
          <w:u w:val="none"/>
        </w:rPr>
        <w:t>’</w:t>
      </w:r>
      <w:r w:rsidRPr="008663BD">
        <w:rPr>
          <w:u w:val="none"/>
        </w:rPr>
        <w:t>implication de chaque organ</w:t>
      </w:r>
      <w:r w:rsidR="00B65F1D" w:rsidRPr="008663BD">
        <w:rPr>
          <w:u w:val="none"/>
        </w:rPr>
        <w:t>isation</w:t>
      </w:r>
      <w:r w:rsidRPr="008663BD">
        <w:rPr>
          <w:u w:val="none"/>
        </w:rPr>
        <w:t xml:space="preserve"> consultati</w:t>
      </w:r>
      <w:r w:rsidR="00B65F1D" w:rsidRPr="008663BD">
        <w:rPr>
          <w:u w:val="none"/>
        </w:rPr>
        <w:t>ve</w:t>
      </w:r>
      <w:r w:rsidRPr="008663BD">
        <w:rPr>
          <w:u w:val="none"/>
        </w:rPr>
        <w:t> ;</w:t>
      </w:r>
    </w:p>
    <w:p w14:paraId="3D195562" w14:textId="75F4FACC" w:rsidR="00733307" w:rsidRPr="008663BD" w:rsidRDefault="00733307" w:rsidP="005823AB">
      <w:pPr>
        <w:pStyle w:val="COMParaDecision"/>
        <w:numPr>
          <w:ilvl w:val="0"/>
          <w:numId w:val="10"/>
        </w:numPr>
        <w:ind w:left="1134" w:hanging="567"/>
      </w:pPr>
      <w:r w:rsidRPr="008663BD">
        <w:t>Prend note</w:t>
      </w:r>
      <w:r w:rsidRPr="008663BD">
        <w:rPr>
          <w:u w:val="none"/>
        </w:rPr>
        <w:t xml:space="preserve"> des </w:t>
      </w:r>
      <w:r w:rsidR="0029267A" w:rsidRPr="008663BD">
        <w:rPr>
          <w:u w:val="none"/>
        </w:rPr>
        <w:t>propositions de traitement</w:t>
      </w:r>
      <w:r w:rsidRPr="008663BD">
        <w:rPr>
          <w:u w:val="none"/>
        </w:rPr>
        <w:t xml:space="preserve"> des demandes d</w:t>
      </w:r>
      <w:r w:rsidR="008663BD" w:rsidRPr="008663BD">
        <w:rPr>
          <w:u w:val="none"/>
        </w:rPr>
        <w:t>’</w:t>
      </w:r>
      <w:r w:rsidRPr="008663BD">
        <w:rPr>
          <w:u w:val="none"/>
        </w:rPr>
        <w:t xml:space="preserve">accréditation et de renouvellement des ONG </w:t>
      </w:r>
      <w:r w:rsidR="008E3A8E" w:rsidRPr="008663BD">
        <w:rPr>
          <w:u w:val="none"/>
        </w:rPr>
        <w:t>à savoir</w:t>
      </w:r>
      <w:r w:rsidRPr="008663BD">
        <w:rPr>
          <w:u w:val="none"/>
        </w:rPr>
        <w:t xml:space="preserve"> le calendrier de publication de ces demandes et la participation des bureaux hors-siège de l</w:t>
      </w:r>
      <w:r w:rsidR="008663BD" w:rsidRPr="008663BD">
        <w:rPr>
          <w:u w:val="none"/>
        </w:rPr>
        <w:t>’</w:t>
      </w:r>
      <w:r w:rsidRPr="008663BD">
        <w:rPr>
          <w:u w:val="none"/>
        </w:rPr>
        <w:t>UNESCO.</w:t>
      </w:r>
    </w:p>
    <w:p w14:paraId="0FED5CA8" w14:textId="70DC6A4F" w:rsidR="005823AB" w:rsidRPr="008663BD" w:rsidRDefault="00FC4620" w:rsidP="00B5568A">
      <w:pPr>
        <w:pStyle w:val="COMParaDecision"/>
        <w:spacing w:before="240" w:after="240"/>
        <w:ind w:left="1123" w:hanging="1123"/>
        <w:rPr>
          <w:b/>
          <w:bCs/>
          <w:snapToGrid w:val="0"/>
          <w:u w:val="none"/>
        </w:rPr>
      </w:pPr>
      <w:r w:rsidRPr="008663BD">
        <w:br w:type="page"/>
      </w:r>
      <w:r w:rsidRPr="008663BD">
        <w:rPr>
          <w:b/>
          <w:snapToGrid w:val="0"/>
          <w:u w:val="none"/>
        </w:rPr>
        <w:lastRenderedPageBreak/>
        <w:t>Annexe I : Organisations non gouvernementales dont l</w:t>
      </w:r>
      <w:r w:rsidR="008663BD" w:rsidRPr="008663BD">
        <w:rPr>
          <w:b/>
          <w:snapToGrid w:val="0"/>
          <w:u w:val="none"/>
        </w:rPr>
        <w:t>’</w:t>
      </w:r>
      <w:r w:rsidRPr="008663BD">
        <w:rPr>
          <w:b/>
          <w:snapToGrid w:val="0"/>
          <w:u w:val="none"/>
        </w:rPr>
        <w:t>accréditation a été recommandée par la seizième session du Comité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6062"/>
        <w:gridCol w:w="1945"/>
        <w:gridCol w:w="1621"/>
      </w:tblGrid>
      <w:tr w:rsidR="005823AB" w:rsidRPr="008663BD" w14:paraId="0200E010" w14:textId="77777777" w:rsidTr="00792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vAlign w:val="center"/>
            <w:hideMark/>
          </w:tcPr>
          <w:p w14:paraId="20085A85" w14:textId="0CD7EF4C" w:rsidR="005823AB" w:rsidRPr="008663BD" w:rsidRDefault="005823AB" w:rsidP="0079216A">
            <w:pPr>
              <w:contextualSpacing/>
              <w:jc w:val="center"/>
              <w:rPr>
                <w:rFonts w:asciiTheme="minorBidi" w:hAnsiTheme="minorBidi"/>
                <w:b w:val="0"/>
                <w:bCs w:val="0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color w:val="000000"/>
                <w:sz w:val="20"/>
              </w:rPr>
              <w:t>Nom de l</w:t>
            </w:r>
            <w:r w:rsidR="008663BD" w:rsidRPr="008663BD">
              <w:rPr>
                <w:rFonts w:asciiTheme="minorBidi" w:hAnsiTheme="minorBidi"/>
                <w:color w:val="000000"/>
                <w:sz w:val="20"/>
              </w:rPr>
              <w:t>’</w:t>
            </w:r>
            <w:r w:rsidRPr="008663BD">
              <w:rPr>
                <w:rFonts w:asciiTheme="minorBidi" w:hAnsiTheme="minorBidi"/>
                <w:color w:val="000000"/>
                <w:sz w:val="20"/>
              </w:rPr>
              <w:t>organisation</w:t>
            </w:r>
          </w:p>
        </w:tc>
        <w:tc>
          <w:tcPr>
            <w:tcW w:w="1010" w:type="pct"/>
            <w:vAlign w:val="center"/>
            <w:hideMark/>
          </w:tcPr>
          <w:p w14:paraId="7B8570B6" w14:textId="77777777" w:rsidR="005823AB" w:rsidRPr="008663BD" w:rsidRDefault="005823AB" w:rsidP="0079216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color w:val="000000"/>
                <w:sz w:val="20"/>
              </w:rPr>
              <w:t>Pays du siège social</w:t>
            </w:r>
          </w:p>
        </w:tc>
        <w:tc>
          <w:tcPr>
            <w:tcW w:w="842" w:type="pct"/>
            <w:vAlign w:val="center"/>
            <w:hideMark/>
          </w:tcPr>
          <w:p w14:paraId="4941F27F" w14:textId="77777777" w:rsidR="005823AB" w:rsidRPr="008663BD" w:rsidRDefault="005823AB" w:rsidP="0079216A">
            <w:pPr>
              <w:spacing w:before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color w:val="000000"/>
                <w:sz w:val="20"/>
              </w:rPr>
              <w:t>Numéro de demande</w:t>
            </w:r>
          </w:p>
        </w:tc>
      </w:tr>
      <w:tr w:rsidR="005823AB" w:rsidRPr="008663BD" w14:paraId="75205AFD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76A064D4" w14:textId="77777777" w:rsidR="005823AB" w:rsidRPr="008663BD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Association pour le Devenir des Autochtones et de leur Connaissance Originelle (A.D.A.C.O)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024920DE" w14:textId="77777777" w:rsidR="005823AB" w:rsidRPr="008663BD" w:rsidRDefault="00D37FCE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Gabon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A7E94D4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ONG-90479</w:t>
            </w:r>
          </w:p>
        </w:tc>
      </w:tr>
      <w:tr w:rsidR="005823AB" w:rsidRPr="008663BD" w14:paraId="54F9D8DE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754F81CF" w14:textId="77777777" w:rsidR="005823AB" w:rsidRPr="00897D6D" w:rsidRDefault="005823AB" w:rsidP="0079216A">
            <w:pPr>
              <w:rPr>
                <w:rFonts w:asciiTheme="minorBidi" w:hAnsiTheme="minorBidi"/>
                <w:color w:val="000000"/>
                <w:sz w:val="20"/>
                <w:szCs w:val="20"/>
                <w:lang w:val="en-GB"/>
              </w:rPr>
            </w:pPr>
            <w:r w:rsidRPr="00897D6D">
              <w:rPr>
                <w:rFonts w:asciiTheme="minorBidi" w:hAnsiTheme="minorBidi"/>
                <w:sz w:val="20"/>
                <w:lang w:val="en-GB"/>
              </w:rPr>
              <w:t>Al Sadu Handcraft Cooperative Society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0633E39B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Koweït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0FAF5919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ONG-90480</w:t>
            </w:r>
          </w:p>
        </w:tc>
      </w:tr>
      <w:tr w:rsidR="005823AB" w:rsidRPr="008663BD" w14:paraId="1C0D19AF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10018CC0" w14:textId="77777777" w:rsidR="005823AB" w:rsidRPr="008663BD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color w:val="000000"/>
                <w:sz w:val="20"/>
              </w:rPr>
              <w:t>Fondation Princesse Momafon Rabiatou NJOYA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6815BE5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Cameroun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BAF383B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ONG-90482</w:t>
            </w:r>
          </w:p>
        </w:tc>
      </w:tr>
      <w:tr w:rsidR="005823AB" w:rsidRPr="008663BD" w14:paraId="4D0C48A8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3D9F17C8" w14:textId="77777777" w:rsidR="005823AB" w:rsidRPr="00897D6D" w:rsidRDefault="005823AB" w:rsidP="0079216A">
            <w:pPr>
              <w:rPr>
                <w:rFonts w:asciiTheme="minorBidi" w:eastAsia="Batang" w:hAnsiTheme="minorBidi"/>
                <w:sz w:val="20"/>
                <w:szCs w:val="20"/>
                <w:lang w:val="en-GB"/>
              </w:rPr>
            </w:pPr>
            <w:r w:rsidRPr="00897D6D">
              <w:rPr>
                <w:rFonts w:asciiTheme="minorBidi" w:hAnsiTheme="minorBidi"/>
                <w:sz w:val="20"/>
                <w:lang w:val="en-GB"/>
              </w:rPr>
              <w:t>Art for Refugees in Transition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1B6018E4" w14:textId="580741DD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États-Unis d</w:t>
            </w:r>
            <w:r w:rsidR="008663BD" w:rsidRPr="008663BD">
              <w:rPr>
                <w:rFonts w:asciiTheme="minorBidi" w:hAnsiTheme="minorBidi"/>
                <w:sz w:val="20"/>
              </w:rPr>
              <w:t>’</w:t>
            </w:r>
            <w:r w:rsidRPr="008663BD">
              <w:rPr>
                <w:rFonts w:asciiTheme="minorBidi" w:hAnsiTheme="minorBidi"/>
                <w:sz w:val="20"/>
              </w:rPr>
              <w:t>Amérique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0A7B65F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ONG-90484</w:t>
            </w:r>
          </w:p>
        </w:tc>
      </w:tr>
      <w:tr w:rsidR="005823AB" w:rsidRPr="008663BD" w14:paraId="1CDF3F2D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6B4C2F51" w14:textId="77777777" w:rsidR="005823AB" w:rsidRPr="008663BD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Mundo Espiral Foundation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64C031E8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Colombie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3C47784F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ONG-90485</w:t>
            </w:r>
          </w:p>
        </w:tc>
      </w:tr>
      <w:tr w:rsidR="005823AB" w:rsidRPr="008663BD" w14:paraId="1284E43E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3B8757F9" w14:textId="77777777" w:rsidR="005823AB" w:rsidRPr="008663BD" w:rsidRDefault="005823AB" w:rsidP="0079216A">
            <w:pPr>
              <w:tabs>
                <w:tab w:val="left" w:pos="1140"/>
              </w:tabs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color w:val="000000"/>
                <w:sz w:val="20"/>
              </w:rPr>
              <w:t>Stuppa Indonesia Foundation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5246AEE4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Indonésie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CB04CF2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ONG-90486</w:t>
            </w:r>
          </w:p>
        </w:tc>
      </w:tr>
      <w:tr w:rsidR="005823AB" w:rsidRPr="008663BD" w14:paraId="0AE23EF8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0F34C99C" w14:textId="77777777" w:rsidR="005823AB" w:rsidRPr="008663BD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Indonesian Batik Foundation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7272A27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Indonésie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34891B1F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ONG-90487</w:t>
            </w:r>
          </w:p>
        </w:tc>
      </w:tr>
      <w:tr w:rsidR="005823AB" w:rsidRPr="008663BD" w14:paraId="15D89764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2496673E" w14:textId="77777777" w:rsidR="005823AB" w:rsidRPr="008663BD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color w:val="000000"/>
                <w:sz w:val="20"/>
              </w:rPr>
              <w:t>Embodying Reconciliation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39038360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Colombie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6D3C926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ONG-90488</w:t>
            </w:r>
          </w:p>
        </w:tc>
      </w:tr>
      <w:tr w:rsidR="005823AB" w:rsidRPr="008663BD" w14:paraId="4C007F9D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31348FFA" w14:textId="4432AA95" w:rsidR="005823AB" w:rsidRPr="008663BD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color w:val="000000"/>
                <w:sz w:val="20"/>
              </w:rPr>
              <w:t>Société québécoise d</w:t>
            </w:r>
            <w:r w:rsidR="008663BD" w:rsidRPr="008663BD">
              <w:rPr>
                <w:rFonts w:asciiTheme="minorBidi" w:hAnsiTheme="minorBidi"/>
                <w:color w:val="000000"/>
                <w:sz w:val="20"/>
              </w:rPr>
              <w:t>’</w:t>
            </w:r>
            <w:r w:rsidRPr="008663BD">
              <w:rPr>
                <w:rFonts w:asciiTheme="minorBidi" w:hAnsiTheme="minorBidi"/>
                <w:color w:val="000000"/>
                <w:sz w:val="20"/>
              </w:rPr>
              <w:t>ethnologie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48842996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Canada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113C2913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ONG-90490</w:t>
            </w:r>
          </w:p>
        </w:tc>
      </w:tr>
      <w:tr w:rsidR="005823AB" w:rsidRPr="008663BD" w14:paraId="3A4EBE00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4A2C8F57" w14:textId="77777777" w:rsidR="005823AB" w:rsidRPr="008663BD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Norwegian Youth Association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A83C643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Norvège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1C59C106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ONG-90491</w:t>
            </w:r>
          </w:p>
        </w:tc>
      </w:tr>
      <w:tr w:rsidR="005823AB" w:rsidRPr="008663BD" w14:paraId="58AA57E3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79DBD007" w14:textId="77777777" w:rsidR="005823AB" w:rsidRPr="008663BD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Konstelacio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00C88812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France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2818C0D4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ONG-90492</w:t>
            </w:r>
          </w:p>
        </w:tc>
      </w:tr>
      <w:tr w:rsidR="005823AB" w:rsidRPr="008663BD" w14:paraId="696CEB3E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19FA80C3" w14:textId="77777777" w:rsidR="005823AB" w:rsidRPr="00897D6D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  <w:lang w:val="en-GB"/>
              </w:rPr>
            </w:pPr>
            <w:r w:rsidRPr="00897D6D">
              <w:rPr>
                <w:rFonts w:asciiTheme="minorBidi" w:hAnsiTheme="minorBidi"/>
                <w:color w:val="000000"/>
                <w:sz w:val="20"/>
                <w:lang w:val="en-GB"/>
              </w:rPr>
              <w:t>Academy of the Fair Courtesy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3A2A7A2E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Italie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0A9DF92D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ONG-90494</w:t>
            </w:r>
          </w:p>
        </w:tc>
      </w:tr>
      <w:tr w:rsidR="005823AB" w:rsidRPr="008663BD" w14:paraId="160D48BC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128996B2" w14:textId="77777777" w:rsidR="005823AB" w:rsidRPr="00897D6D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  <w:lang w:val="en-GB"/>
              </w:rPr>
            </w:pPr>
            <w:r w:rsidRPr="00897D6D">
              <w:rPr>
                <w:rFonts w:asciiTheme="minorBidi" w:hAnsiTheme="minorBidi"/>
                <w:sz w:val="20"/>
                <w:lang w:val="en-GB"/>
              </w:rPr>
              <w:t>Research Centre for Greek Singing [R.C.Gr.S.]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4366F717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Grèce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602211AF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ONG-90495</w:t>
            </w:r>
          </w:p>
        </w:tc>
      </w:tr>
      <w:tr w:rsidR="005823AB" w:rsidRPr="008663BD" w14:paraId="080DED33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16AC05D4" w14:textId="7A0D61F6" w:rsidR="005823AB" w:rsidRPr="008663BD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Institut National des Métiers d</w:t>
            </w:r>
            <w:r w:rsidR="008663BD" w:rsidRPr="008663BD">
              <w:rPr>
                <w:rFonts w:asciiTheme="minorBidi" w:hAnsiTheme="minorBidi"/>
                <w:sz w:val="20"/>
              </w:rPr>
              <w:t>’</w:t>
            </w:r>
            <w:r w:rsidRPr="008663BD">
              <w:rPr>
                <w:rFonts w:asciiTheme="minorBidi" w:hAnsiTheme="minorBidi"/>
                <w:sz w:val="20"/>
              </w:rPr>
              <w:t>Art (INMA)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60684BF6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France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1C37142E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ONG-90499</w:t>
            </w:r>
          </w:p>
        </w:tc>
      </w:tr>
      <w:tr w:rsidR="005823AB" w:rsidRPr="008663BD" w14:paraId="45DB5AA6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195171C1" w14:textId="77777777" w:rsidR="005823AB" w:rsidRPr="00897D6D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  <w:lang w:val="en-GB"/>
              </w:rPr>
            </w:pPr>
            <w:r w:rsidRPr="00897D6D">
              <w:rPr>
                <w:rFonts w:asciiTheme="minorBidi" w:hAnsiTheme="minorBidi"/>
                <w:sz w:val="20"/>
                <w:lang w:val="en-GB"/>
              </w:rPr>
              <w:t>Karama Foundation for Social and Cultural Development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6485C3BD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Égypte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AB32690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ONG-90500</w:t>
            </w:r>
          </w:p>
        </w:tc>
      </w:tr>
      <w:tr w:rsidR="005823AB" w:rsidRPr="008663BD" w14:paraId="2E332321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0B31615C" w14:textId="77777777" w:rsidR="005823AB" w:rsidRPr="008663BD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color w:val="000000"/>
                <w:sz w:val="20"/>
              </w:rPr>
              <w:t>Cultural Survival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0070ABBE" w14:textId="7374AF84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États-Unis d</w:t>
            </w:r>
            <w:r w:rsidR="008663BD" w:rsidRPr="008663BD">
              <w:rPr>
                <w:rFonts w:asciiTheme="minorBidi" w:hAnsiTheme="minorBidi"/>
                <w:sz w:val="20"/>
              </w:rPr>
              <w:t>’</w:t>
            </w:r>
            <w:r w:rsidRPr="008663BD">
              <w:rPr>
                <w:rFonts w:asciiTheme="minorBidi" w:hAnsiTheme="minorBidi"/>
                <w:sz w:val="20"/>
              </w:rPr>
              <w:t>Amérique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D7936AA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ONG-90501</w:t>
            </w:r>
          </w:p>
        </w:tc>
      </w:tr>
      <w:tr w:rsidR="005823AB" w:rsidRPr="008663BD" w14:paraId="47F471BD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7AD7624E" w14:textId="77777777" w:rsidR="005823AB" w:rsidRPr="008663BD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Portobelo Bay Foundation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33E348D1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Panama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316D44C8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ONG-90502</w:t>
            </w:r>
          </w:p>
        </w:tc>
      </w:tr>
      <w:tr w:rsidR="005823AB" w:rsidRPr="008663BD" w14:paraId="0C6A2C2C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07BC4BA3" w14:textId="77777777" w:rsidR="005823AB" w:rsidRPr="008663BD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PARCUM VZW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5DAE55E0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Belgique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04214BEB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ONG-90503</w:t>
            </w:r>
          </w:p>
        </w:tc>
      </w:tr>
      <w:tr w:rsidR="005823AB" w:rsidRPr="008663BD" w14:paraId="46F0DC4C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602D577E" w14:textId="77777777" w:rsidR="005823AB" w:rsidRPr="00897D6D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  <w:lang w:val="en-GB"/>
              </w:rPr>
            </w:pPr>
            <w:r w:rsidRPr="00897D6D">
              <w:rPr>
                <w:rFonts w:asciiTheme="minorBidi" w:hAnsiTheme="minorBidi"/>
                <w:sz w:val="20"/>
                <w:lang w:val="en-GB"/>
              </w:rPr>
              <w:t>National Union of Folk-Art Masters of Ukraine (NSMNMU)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46826FDD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Ukraine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150A4B21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ONG-90504</w:t>
            </w:r>
          </w:p>
        </w:tc>
      </w:tr>
      <w:tr w:rsidR="005823AB" w:rsidRPr="008663BD" w14:paraId="16CF01A2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21402900" w14:textId="77777777" w:rsidR="005823AB" w:rsidRPr="008663BD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Fédération des coopératives des Pays de Mayoko (FECOPAM)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3571B33A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République du Congo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65F583D2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ONG-90505</w:t>
            </w:r>
          </w:p>
        </w:tc>
      </w:tr>
      <w:tr w:rsidR="005823AB" w:rsidRPr="008663BD" w14:paraId="43200360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1E7E5E5F" w14:textId="77777777" w:rsidR="005823AB" w:rsidRPr="008663BD" w:rsidRDefault="005823AB" w:rsidP="0079216A">
            <w:pPr>
              <w:tabs>
                <w:tab w:val="left" w:pos="1050"/>
              </w:tabs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The Archers Foundation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0F73707" w14:textId="30D1BFAD" w:rsidR="005823AB" w:rsidRPr="008663BD" w:rsidRDefault="00C924B0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</w:rPr>
              <w:t>Turkey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707038C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ONG-90508</w:t>
            </w:r>
          </w:p>
        </w:tc>
      </w:tr>
      <w:tr w:rsidR="005823AB" w:rsidRPr="008663BD" w14:paraId="0BA29971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3E2E5AD5" w14:textId="2DE0FD48" w:rsidR="005823AB" w:rsidRPr="008663BD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France PCI – Association française des éléments inscrits sur les listes du patrimoine culturel immatériel de l</w:t>
            </w:r>
            <w:r w:rsidR="008663BD" w:rsidRPr="008663BD">
              <w:rPr>
                <w:rFonts w:asciiTheme="minorBidi" w:hAnsiTheme="minorBidi"/>
                <w:sz w:val="20"/>
              </w:rPr>
              <w:t>’</w:t>
            </w:r>
            <w:r w:rsidRPr="008663BD">
              <w:rPr>
                <w:rFonts w:asciiTheme="minorBidi" w:hAnsiTheme="minorBidi"/>
                <w:sz w:val="20"/>
              </w:rPr>
              <w:t>Unesco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135F78DF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France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0ACAE2B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ONG-90509</w:t>
            </w:r>
          </w:p>
        </w:tc>
      </w:tr>
      <w:tr w:rsidR="005823AB" w:rsidRPr="008663BD" w14:paraId="44E68FFC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77E53427" w14:textId="77777777" w:rsidR="005823AB" w:rsidRPr="00897D6D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  <w:lang w:val="en-GB"/>
              </w:rPr>
            </w:pPr>
            <w:r w:rsidRPr="00897D6D">
              <w:rPr>
                <w:rFonts w:asciiTheme="minorBidi" w:hAnsiTheme="minorBidi"/>
                <w:sz w:val="20"/>
                <w:lang w:val="en-GB"/>
              </w:rPr>
              <w:lastRenderedPageBreak/>
              <w:t>Uganda Community Museums Association (UCOMA)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F0EAD89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Ouganda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612433DD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ONG-90510</w:t>
            </w:r>
          </w:p>
        </w:tc>
      </w:tr>
      <w:tr w:rsidR="005823AB" w:rsidRPr="008663BD" w14:paraId="650541EB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5C2E8332" w14:textId="77777777" w:rsidR="005823AB" w:rsidRPr="008663BD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Cross Arts Cultural Association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F6C0E65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Liban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6F7134D8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ONG-90512</w:t>
            </w:r>
          </w:p>
        </w:tc>
      </w:tr>
      <w:tr w:rsidR="005823AB" w:rsidRPr="008663BD" w14:paraId="43F6D7A2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15BED387" w14:textId="77777777" w:rsidR="005823AB" w:rsidRPr="00897D6D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  <w:lang w:val="en-GB"/>
              </w:rPr>
            </w:pPr>
            <w:r w:rsidRPr="00897D6D">
              <w:rPr>
                <w:rFonts w:asciiTheme="minorBidi" w:hAnsiTheme="minorBidi"/>
                <w:color w:val="000000"/>
                <w:sz w:val="20"/>
                <w:lang w:val="en-GB"/>
              </w:rPr>
              <w:t>Arrayán Network of Culture, Heritage and Environment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54C59EE2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Espagne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3C6D30D3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ONG-90513</w:t>
            </w:r>
          </w:p>
        </w:tc>
      </w:tr>
      <w:tr w:rsidR="005823AB" w:rsidRPr="008663BD" w14:paraId="3FD5859E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6FBB388A" w14:textId="77777777" w:rsidR="005823AB" w:rsidRPr="00897D6D" w:rsidRDefault="005823AB" w:rsidP="0079216A">
            <w:pPr>
              <w:contextualSpacing/>
              <w:rPr>
                <w:rFonts w:asciiTheme="minorBidi" w:eastAsia="Arial" w:hAnsiTheme="minorBidi"/>
                <w:sz w:val="20"/>
                <w:szCs w:val="20"/>
                <w:lang w:val="en-GB"/>
              </w:rPr>
            </w:pPr>
            <w:r w:rsidRPr="00897D6D">
              <w:rPr>
                <w:rFonts w:asciiTheme="minorBidi" w:hAnsiTheme="minorBidi"/>
                <w:sz w:val="20"/>
                <w:lang w:val="en-GB"/>
              </w:rPr>
              <w:t>Anatolian Handicrafts Conservation and Development Association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C750C67" w14:textId="3A740841" w:rsidR="005823AB" w:rsidRPr="008663BD" w:rsidRDefault="00C924B0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</w:rPr>
              <w:t>Turkey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3169B871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ONG-90514</w:t>
            </w:r>
          </w:p>
        </w:tc>
      </w:tr>
      <w:tr w:rsidR="005823AB" w:rsidRPr="008663BD" w14:paraId="33490A65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7D73CB92" w14:textId="77777777" w:rsidR="005823AB" w:rsidRPr="00897D6D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  <w:lang w:val="en-GB"/>
              </w:rPr>
            </w:pPr>
            <w:r w:rsidRPr="00897D6D">
              <w:rPr>
                <w:rFonts w:asciiTheme="minorBidi" w:hAnsiTheme="minorBidi"/>
                <w:sz w:val="20"/>
                <w:lang w:val="en-GB"/>
              </w:rPr>
              <w:t>Doostdaran and Hafezane Kheshte Kham Association (DHKKA)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5E55A3B0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Iran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16757653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ONG-90516</w:t>
            </w:r>
          </w:p>
        </w:tc>
      </w:tr>
      <w:tr w:rsidR="005823AB" w:rsidRPr="008663BD" w14:paraId="02B8D851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1420A008" w14:textId="77777777" w:rsidR="005823AB" w:rsidRPr="00897D6D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  <w:lang w:val="en-GB"/>
              </w:rPr>
            </w:pPr>
            <w:r w:rsidRPr="00897D6D">
              <w:rPr>
                <w:rFonts w:asciiTheme="minorBidi" w:hAnsiTheme="minorBidi"/>
                <w:sz w:val="20"/>
                <w:lang w:val="en-GB"/>
              </w:rPr>
              <w:t>ELLINIKI ETAIRIA – Society for the Environment and Cultural Heritage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42A8167E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Grèce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573B378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ONG-90517</w:t>
            </w:r>
          </w:p>
        </w:tc>
      </w:tr>
      <w:tr w:rsidR="005823AB" w:rsidRPr="008663BD" w14:paraId="7E34C54E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084F471D" w14:textId="77777777" w:rsidR="005823AB" w:rsidRPr="008663BD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Association Ankraké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6467D30A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France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E181D9B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ONG-90520</w:t>
            </w:r>
          </w:p>
        </w:tc>
      </w:tr>
      <w:tr w:rsidR="005823AB" w:rsidRPr="008663BD" w14:paraId="6E988C98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4982473C" w14:textId="77777777" w:rsidR="005823AB" w:rsidRPr="00897D6D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  <w:lang w:val="en-GB"/>
              </w:rPr>
            </w:pPr>
            <w:r w:rsidRPr="00897D6D">
              <w:rPr>
                <w:rFonts w:asciiTheme="minorBidi" w:hAnsiTheme="minorBidi"/>
                <w:sz w:val="20"/>
                <w:lang w:val="en-GB"/>
              </w:rPr>
              <w:t>Society for Digitization of Traditional Cultural Heritage (Society for DTCH)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5F3930D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Bosnie-Herzégovine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0C5D33CA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ONG-90521</w:t>
            </w:r>
          </w:p>
        </w:tc>
      </w:tr>
      <w:tr w:rsidR="005823AB" w:rsidRPr="008663BD" w14:paraId="369819E8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6D56969B" w14:textId="77777777" w:rsidR="005823AB" w:rsidRPr="008663BD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Fundación INDICRI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DDCAE06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Panama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060CDD72" w14:textId="77777777" w:rsidR="005823AB" w:rsidRPr="008663BD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ONG-90522</w:t>
            </w:r>
          </w:p>
        </w:tc>
      </w:tr>
      <w:tr w:rsidR="005823AB" w:rsidRPr="008663BD" w14:paraId="3567AA52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0426BBAB" w14:textId="77777777" w:rsidR="005823AB" w:rsidRPr="008663BD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color w:val="000000"/>
                <w:sz w:val="20"/>
              </w:rPr>
              <w:t>Femmes et traditions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5CFA2F30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Canada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04F13AC1" w14:textId="77777777" w:rsidR="005823AB" w:rsidRPr="008663BD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ONG-90523</w:t>
            </w:r>
          </w:p>
        </w:tc>
      </w:tr>
    </w:tbl>
    <w:p w14:paraId="64FDEC12" w14:textId="77777777" w:rsidR="005823AB" w:rsidRPr="008663BD" w:rsidRDefault="005823AB" w:rsidP="005823AB">
      <w:pPr>
        <w:pStyle w:val="COMParaDecision"/>
        <w:rPr>
          <w:snapToGrid w:val="0"/>
          <w:lang w:eastAsia="en-US"/>
        </w:rPr>
      </w:pPr>
    </w:p>
    <w:p w14:paraId="7C565809" w14:textId="4329C8BD" w:rsidR="00921BC4" w:rsidRPr="008663BD" w:rsidRDefault="005823AB" w:rsidP="00182A15">
      <w:pPr>
        <w:pStyle w:val="COMParaDecision"/>
        <w:spacing w:before="240" w:after="240"/>
        <w:ind w:left="1276" w:hanging="1276"/>
        <w:rPr>
          <w:b/>
          <w:bCs/>
          <w:snapToGrid w:val="0"/>
          <w:u w:val="none"/>
        </w:rPr>
      </w:pPr>
      <w:r w:rsidRPr="008663BD">
        <w:rPr>
          <w:b/>
          <w:snapToGrid w:val="0"/>
          <w:u w:val="none"/>
        </w:rPr>
        <w:t>Annexe II : Organisations non gouvernementales dont l</w:t>
      </w:r>
      <w:r w:rsidR="008663BD" w:rsidRPr="008663BD">
        <w:rPr>
          <w:b/>
          <w:snapToGrid w:val="0"/>
          <w:u w:val="none"/>
        </w:rPr>
        <w:t>’</w:t>
      </w:r>
      <w:r w:rsidRPr="008663BD">
        <w:rPr>
          <w:b/>
          <w:snapToGrid w:val="0"/>
          <w:u w:val="none"/>
        </w:rPr>
        <w:t xml:space="preserve">examen </w:t>
      </w:r>
      <w:r w:rsidR="004C61B1" w:rsidRPr="008663BD">
        <w:rPr>
          <w:b/>
          <w:snapToGrid w:val="0"/>
          <w:u w:val="none"/>
        </w:rPr>
        <w:t>de l</w:t>
      </w:r>
      <w:r w:rsidR="008663BD" w:rsidRPr="008663BD">
        <w:rPr>
          <w:b/>
          <w:snapToGrid w:val="0"/>
          <w:u w:val="none"/>
        </w:rPr>
        <w:t>’</w:t>
      </w:r>
      <w:r w:rsidR="004C61B1" w:rsidRPr="008663BD">
        <w:rPr>
          <w:b/>
          <w:snapToGrid w:val="0"/>
          <w:u w:val="none"/>
        </w:rPr>
        <w:t xml:space="preserve">accréditation </w:t>
      </w:r>
      <w:r w:rsidRPr="008663BD">
        <w:rPr>
          <w:b/>
          <w:snapToGrid w:val="0"/>
          <w:u w:val="none"/>
        </w:rPr>
        <w:t xml:space="preserve">a été </w:t>
      </w:r>
      <w:r w:rsidR="00182A15">
        <w:rPr>
          <w:b/>
          <w:snapToGrid w:val="0"/>
          <w:u w:val="none"/>
        </w:rPr>
        <w:t xml:space="preserve">différé jusqu’à </w:t>
      </w:r>
      <w:r w:rsidRPr="008663BD">
        <w:rPr>
          <w:b/>
          <w:snapToGrid w:val="0"/>
          <w:u w:val="none"/>
        </w:rPr>
        <w:t>l</w:t>
      </w:r>
      <w:r w:rsidR="008663BD" w:rsidRPr="008663BD">
        <w:rPr>
          <w:b/>
          <w:snapToGrid w:val="0"/>
          <w:u w:val="none"/>
        </w:rPr>
        <w:t>’</w:t>
      </w:r>
      <w:r w:rsidRPr="008663BD">
        <w:rPr>
          <w:b/>
          <w:snapToGrid w:val="0"/>
          <w:u w:val="none"/>
        </w:rPr>
        <w:t>Assemblée générale par la seizième session du Comité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6062"/>
        <w:gridCol w:w="1945"/>
        <w:gridCol w:w="1621"/>
      </w:tblGrid>
      <w:tr w:rsidR="005823AB" w:rsidRPr="008663BD" w14:paraId="061AAAE7" w14:textId="77777777" w:rsidTr="00792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vAlign w:val="center"/>
            <w:hideMark/>
          </w:tcPr>
          <w:p w14:paraId="177C47E2" w14:textId="21D42EB6" w:rsidR="005823AB" w:rsidRPr="008663BD" w:rsidRDefault="005823AB" w:rsidP="0079216A">
            <w:pPr>
              <w:contextualSpacing/>
              <w:jc w:val="center"/>
              <w:rPr>
                <w:rFonts w:asciiTheme="minorBidi" w:hAnsiTheme="minorBidi"/>
                <w:b w:val="0"/>
                <w:bCs w:val="0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color w:val="000000"/>
                <w:sz w:val="20"/>
              </w:rPr>
              <w:t>Nom de l</w:t>
            </w:r>
            <w:r w:rsidR="008663BD" w:rsidRPr="008663BD">
              <w:rPr>
                <w:rFonts w:asciiTheme="minorBidi" w:hAnsiTheme="minorBidi"/>
                <w:color w:val="000000"/>
                <w:sz w:val="20"/>
              </w:rPr>
              <w:t>’</w:t>
            </w:r>
            <w:r w:rsidRPr="008663BD">
              <w:rPr>
                <w:rFonts w:asciiTheme="minorBidi" w:hAnsiTheme="minorBidi"/>
                <w:color w:val="000000"/>
                <w:sz w:val="20"/>
              </w:rPr>
              <w:t>organisation</w:t>
            </w:r>
          </w:p>
        </w:tc>
        <w:tc>
          <w:tcPr>
            <w:tcW w:w="1010" w:type="pct"/>
            <w:vAlign w:val="center"/>
            <w:hideMark/>
          </w:tcPr>
          <w:p w14:paraId="15DE7143" w14:textId="77777777" w:rsidR="005823AB" w:rsidRPr="008663BD" w:rsidRDefault="005823AB" w:rsidP="0079216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color w:val="000000"/>
                <w:sz w:val="20"/>
              </w:rPr>
              <w:t>Pays du siège social</w:t>
            </w:r>
          </w:p>
        </w:tc>
        <w:tc>
          <w:tcPr>
            <w:tcW w:w="842" w:type="pct"/>
            <w:vAlign w:val="center"/>
            <w:hideMark/>
          </w:tcPr>
          <w:p w14:paraId="11ABC7BF" w14:textId="77777777" w:rsidR="005823AB" w:rsidRPr="008663BD" w:rsidRDefault="005823AB" w:rsidP="0079216A">
            <w:pPr>
              <w:spacing w:before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color w:val="000000"/>
                <w:sz w:val="20"/>
              </w:rPr>
              <w:t>Numéro de demande</w:t>
            </w:r>
          </w:p>
        </w:tc>
      </w:tr>
      <w:tr w:rsidR="005823AB" w:rsidRPr="008663BD" w14:paraId="35057D54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481B2274" w14:textId="77777777" w:rsidR="005823AB" w:rsidRPr="00897D6D" w:rsidRDefault="005823AB" w:rsidP="005823AB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  <w:lang w:val="en-GB"/>
              </w:rPr>
            </w:pPr>
            <w:r w:rsidRPr="00897D6D">
              <w:rPr>
                <w:rFonts w:asciiTheme="minorBidi" w:hAnsiTheme="minorBidi"/>
                <w:color w:val="000000"/>
                <w:sz w:val="20"/>
                <w:lang w:val="en-GB"/>
              </w:rPr>
              <w:t>Direct Gradual Development, Civil Association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5405A15E" w14:textId="77777777" w:rsidR="005823AB" w:rsidRPr="008663BD" w:rsidRDefault="005823AB" w:rsidP="005823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Mexique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70C7C32" w14:textId="77777777" w:rsidR="005823AB" w:rsidRPr="008663BD" w:rsidRDefault="005823AB" w:rsidP="005823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ONG-90481</w:t>
            </w:r>
          </w:p>
        </w:tc>
      </w:tr>
      <w:tr w:rsidR="005823AB" w:rsidRPr="008663BD" w14:paraId="7140056F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2EA5E066" w14:textId="77777777" w:rsidR="005823AB" w:rsidRPr="00897D6D" w:rsidRDefault="005823AB" w:rsidP="005823AB">
            <w:pPr>
              <w:rPr>
                <w:rFonts w:asciiTheme="minorBidi" w:hAnsiTheme="minorBidi"/>
                <w:color w:val="000000"/>
                <w:sz w:val="20"/>
                <w:szCs w:val="20"/>
                <w:lang w:val="en-GB"/>
              </w:rPr>
            </w:pPr>
            <w:r w:rsidRPr="00897D6D">
              <w:rPr>
                <w:rFonts w:asciiTheme="minorBidi" w:hAnsiTheme="minorBidi"/>
                <w:sz w:val="20"/>
                <w:lang w:val="en-GB"/>
              </w:rPr>
              <w:t>Institute for Intangible Cultural Heritage (IPACIM)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C9E7D93" w14:textId="77777777" w:rsidR="005823AB" w:rsidRPr="008663BD" w:rsidRDefault="005823AB" w:rsidP="005823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Espagne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744460B" w14:textId="77777777" w:rsidR="005823AB" w:rsidRPr="008663BD" w:rsidRDefault="005823AB" w:rsidP="005823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663BD">
              <w:rPr>
                <w:rFonts w:asciiTheme="minorBidi" w:hAnsiTheme="minorBidi"/>
                <w:sz w:val="20"/>
              </w:rPr>
              <w:t>ONG-90493</w:t>
            </w:r>
          </w:p>
        </w:tc>
      </w:tr>
    </w:tbl>
    <w:p w14:paraId="401D73AD" w14:textId="77777777" w:rsidR="000B24C4" w:rsidRPr="008663BD" w:rsidRDefault="000B24C4">
      <w:pPr>
        <w:rPr>
          <w:rFonts w:ascii="Arial" w:hAnsi="Arial" w:cs="Arial"/>
          <w:snapToGrid w:val="0"/>
          <w:u w:val="single"/>
          <w:lang w:eastAsia="en-US"/>
        </w:rPr>
      </w:pPr>
    </w:p>
    <w:sectPr w:rsidR="000B24C4" w:rsidRPr="008663BD" w:rsidSect="00176720">
      <w:headerReference w:type="even" r:id="rId16"/>
      <w:headerReference w:type="default" r:id="rId17"/>
      <w:headerReference w:type="first" r:id="rId18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EF06C" w14:textId="77777777" w:rsidR="008E715C" w:rsidRDefault="008E715C" w:rsidP="00655736">
      <w:r>
        <w:separator/>
      </w:r>
    </w:p>
  </w:endnote>
  <w:endnote w:type="continuationSeparator" w:id="0">
    <w:p w14:paraId="3645CC6F" w14:textId="77777777" w:rsidR="008E715C" w:rsidRDefault="008E715C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825B8" w14:textId="77777777" w:rsidR="008E715C" w:rsidRDefault="008E715C" w:rsidP="00655736">
      <w:r>
        <w:separator/>
      </w:r>
    </w:p>
  </w:footnote>
  <w:footnote w:type="continuationSeparator" w:id="0">
    <w:p w14:paraId="392A8C1E" w14:textId="77777777" w:rsidR="008E715C" w:rsidRDefault="008E715C" w:rsidP="00655736">
      <w:r>
        <w:continuationSeparator/>
      </w:r>
    </w:p>
  </w:footnote>
  <w:footnote w:id="1">
    <w:p w14:paraId="329E2009" w14:textId="294C7950" w:rsidR="004368A3" w:rsidRPr="007F3B8F" w:rsidRDefault="004368A3" w:rsidP="004368A3">
      <w:pPr>
        <w:pStyle w:val="FootnoteText"/>
        <w:spacing w:after="60"/>
        <w:ind w:left="567" w:hanging="567"/>
        <w:jc w:val="both"/>
        <w:rPr>
          <w:rFonts w:asciiTheme="minorBidi" w:hAnsiTheme="minorBidi" w:cstheme="minorBidi"/>
          <w:bCs/>
          <w:sz w:val="18"/>
          <w:szCs w:val="18"/>
        </w:rPr>
      </w:pPr>
      <w:r w:rsidRPr="007F3B8F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7F3B8F">
        <w:rPr>
          <w:rFonts w:asciiTheme="minorBidi" w:hAnsiTheme="minorBidi" w:cstheme="minorBidi"/>
          <w:sz w:val="18"/>
          <w:szCs w:val="18"/>
        </w:rPr>
        <w:t xml:space="preserve"> </w:t>
      </w:r>
      <w:r w:rsidRPr="007F3B8F">
        <w:rPr>
          <w:rFonts w:asciiTheme="minorBidi" w:hAnsiTheme="minorBidi" w:cstheme="minorBidi"/>
          <w:sz w:val="18"/>
          <w:szCs w:val="18"/>
        </w:rPr>
        <w:tab/>
      </w:r>
      <w:r w:rsidRPr="007F3B8F">
        <w:rPr>
          <w:rFonts w:asciiTheme="minorBidi" w:hAnsiTheme="minorBidi" w:cstheme="minorBidi"/>
          <w:snapToGrid w:val="0"/>
          <w:sz w:val="18"/>
          <w:szCs w:val="18"/>
        </w:rPr>
        <w:t>L'Assemblée générale a accrédité 97 organisations par la Résolution </w:t>
      </w:r>
      <w:hyperlink r:id="rId1" w:history="1">
        <w:r w:rsidRPr="007F3B8F">
          <w:rPr>
            <w:rStyle w:val="Hyperlink"/>
            <w:rFonts w:asciiTheme="minorBidi" w:hAnsiTheme="minorBidi" w:cstheme="minorBidi"/>
            <w:sz w:val="18"/>
            <w:szCs w:val="18"/>
          </w:rPr>
          <w:t>3.GA 7</w:t>
        </w:r>
      </w:hyperlink>
      <w:r w:rsidRPr="007F3B8F">
        <w:rPr>
          <w:rFonts w:asciiTheme="minorBidi" w:hAnsiTheme="minorBidi" w:cstheme="minorBidi"/>
          <w:snapToGrid w:val="0"/>
          <w:sz w:val="18"/>
          <w:szCs w:val="18"/>
        </w:rPr>
        <w:t xml:space="preserve">, 59 par la </w:t>
      </w:r>
      <w:hyperlink r:id="rId2" w:history="1">
        <w:r w:rsidRPr="007F3B8F">
          <w:rPr>
            <w:rFonts w:asciiTheme="minorBidi" w:hAnsiTheme="minorBidi" w:cstheme="minorBidi"/>
            <w:snapToGrid w:val="0"/>
            <w:sz w:val="18"/>
            <w:szCs w:val="18"/>
          </w:rPr>
          <w:t>Résolution </w:t>
        </w:r>
        <w:r w:rsidRPr="007F3B8F">
          <w:rPr>
            <w:rStyle w:val="Hyperlink"/>
            <w:rFonts w:asciiTheme="minorBidi" w:hAnsiTheme="minorBidi" w:cstheme="minorBidi"/>
            <w:sz w:val="18"/>
            <w:szCs w:val="18"/>
          </w:rPr>
          <w:t>4.GA 6</w:t>
        </w:r>
      </w:hyperlink>
      <w:r w:rsidRPr="007F3B8F">
        <w:rPr>
          <w:rFonts w:asciiTheme="minorBidi" w:hAnsiTheme="minorBidi" w:cstheme="minorBidi"/>
          <w:snapToGrid w:val="0"/>
          <w:sz w:val="18"/>
          <w:szCs w:val="18"/>
        </w:rPr>
        <w:t>, 22 par la Résolution</w:t>
      </w:r>
      <w:hyperlink r:id="rId3" w:history="1">
        <w:r w:rsidRPr="007F3B8F">
          <w:rPr>
            <w:rStyle w:val="Hyperlink"/>
            <w:rFonts w:asciiTheme="minorBidi" w:hAnsiTheme="minorBidi" w:cstheme="minorBidi"/>
            <w:sz w:val="18"/>
            <w:szCs w:val="18"/>
          </w:rPr>
          <w:t> 5.GA 6</w:t>
        </w:r>
      </w:hyperlink>
      <w:r w:rsidRPr="007F3B8F">
        <w:rPr>
          <w:rFonts w:asciiTheme="minorBidi" w:hAnsiTheme="minorBidi" w:cstheme="minorBidi"/>
          <w:snapToGrid w:val="0"/>
          <w:sz w:val="18"/>
          <w:szCs w:val="18"/>
        </w:rPr>
        <w:t xml:space="preserve">, 24 par la </w:t>
      </w:r>
      <w:hyperlink r:id="rId4" w:history="1">
        <w:r w:rsidRPr="007F3B8F">
          <w:rPr>
            <w:rFonts w:asciiTheme="minorBidi" w:hAnsiTheme="minorBidi" w:cstheme="minorBidi"/>
            <w:snapToGrid w:val="0"/>
            <w:sz w:val="18"/>
            <w:szCs w:val="18"/>
          </w:rPr>
          <w:t>Résolution</w:t>
        </w:r>
        <w:r w:rsidRPr="007F3B8F">
          <w:rPr>
            <w:rFonts w:asciiTheme="minorBidi" w:hAnsiTheme="minorBidi" w:cstheme="minorBidi"/>
            <w:sz w:val="18"/>
            <w:szCs w:val="18"/>
          </w:rPr>
          <w:t> </w:t>
        </w:r>
        <w:r w:rsidRPr="007F3B8F">
          <w:rPr>
            <w:rStyle w:val="Hyperlink"/>
            <w:rFonts w:asciiTheme="minorBidi" w:hAnsiTheme="minorBidi" w:cstheme="minorBidi"/>
            <w:sz w:val="18"/>
            <w:szCs w:val="18"/>
          </w:rPr>
          <w:t>6.GA 8</w:t>
        </w:r>
      </w:hyperlink>
      <w:r w:rsidRPr="007F3B8F">
        <w:rPr>
          <w:rFonts w:asciiTheme="minorBidi" w:hAnsiTheme="minorBidi" w:cstheme="minorBidi"/>
          <w:snapToGrid w:val="0"/>
          <w:sz w:val="18"/>
          <w:szCs w:val="18"/>
        </w:rPr>
        <w:t>, 29 par la</w:t>
      </w:r>
      <w:r w:rsidRPr="007F3B8F">
        <w:rPr>
          <w:rFonts w:asciiTheme="minorBidi" w:hAnsiTheme="minorBidi" w:cstheme="minorBidi"/>
          <w:sz w:val="18"/>
          <w:szCs w:val="18"/>
        </w:rPr>
        <w:t xml:space="preserve"> </w:t>
      </w:r>
      <w:r w:rsidRPr="007F3B8F">
        <w:rPr>
          <w:rFonts w:asciiTheme="minorBidi" w:hAnsiTheme="minorBidi" w:cstheme="minorBidi"/>
          <w:snapToGrid w:val="0"/>
          <w:sz w:val="18"/>
          <w:szCs w:val="18"/>
        </w:rPr>
        <w:t>Résolution </w:t>
      </w:r>
      <w:hyperlink r:id="rId5" w:history="1">
        <w:r w:rsidRPr="007F3B8F">
          <w:rPr>
            <w:rStyle w:val="Hyperlink"/>
            <w:rFonts w:asciiTheme="minorBidi" w:hAnsiTheme="minorBidi" w:cstheme="minorBidi"/>
            <w:sz w:val="18"/>
            <w:szCs w:val="18"/>
          </w:rPr>
          <w:t>7.GA 11</w:t>
        </w:r>
      </w:hyperlink>
      <w:r w:rsidRPr="007F3B8F">
        <w:rPr>
          <w:rFonts w:asciiTheme="minorBidi" w:hAnsiTheme="minorBidi" w:cstheme="minorBidi"/>
          <w:snapToGrid w:val="0"/>
          <w:sz w:val="18"/>
          <w:szCs w:val="18"/>
        </w:rPr>
        <w:t xml:space="preserve"> et 36 par la</w:t>
      </w:r>
      <w:r w:rsidR="00321E53">
        <w:rPr>
          <w:rFonts w:asciiTheme="minorBidi" w:hAnsiTheme="minorBidi" w:cstheme="minorBidi"/>
          <w:sz w:val="18"/>
          <w:szCs w:val="18"/>
        </w:rPr>
        <w:t xml:space="preserve"> </w:t>
      </w:r>
      <w:r w:rsidRPr="007F3B8F">
        <w:rPr>
          <w:rFonts w:asciiTheme="minorBidi" w:hAnsiTheme="minorBidi" w:cstheme="minorBidi"/>
          <w:snapToGrid w:val="0"/>
          <w:sz w:val="18"/>
          <w:szCs w:val="18"/>
        </w:rPr>
        <w:t>Résolution </w:t>
      </w:r>
      <w:hyperlink r:id="rId6" w:history="1">
        <w:r w:rsidRPr="007F3B8F">
          <w:rPr>
            <w:rStyle w:val="Hyperlink"/>
            <w:rFonts w:asciiTheme="minorBidi" w:hAnsiTheme="minorBidi" w:cstheme="minorBidi"/>
            <w:snapToGrid w:val="0"/>
            <w:sz w:val="18"/>
            <w:szCs w:val="18"/>
          </w:rPr>
          <w:t>8.GA 13</w:t>
        </w:r>
      </w:hyperlink>
      <w:r w:rsidRPr="007F3B8F">
        <w:rPr>
          <w:rFonts w:asciiTheme="minorBidi" w:hAnsiTheme="minorBidi" w:cstheme="minorBidi"/>
          <w:snapToGrid w:val="0"/>
          <w:sz w:val="18"/>
          <w:szCs w:val="18"/>
        </w:rPr>
        <w:t>.</w:t>
      </w:r>
    </w:p>
  </w:footnote>
  <w:footnote w:id="2">
    <w:p w14:paraId="773FC266" w14:textId="6855D07D" w:rsidR="00C01618" w:rsidRPr="007F3B8F" w:rsidRDefault="00C01618" w:rsidP="00C01618">
      <w:pPr>
        <w:pStyle w:val="FootnoteText"/>
        <w:spacing w:after="60"/>
        <w:ind w:left="567" w:hanging="567"/>
        <w:jc w:val="both"/>
        <w:rPr>
          <w:rFonts w:asciiTheme="minorBidi" w:hAnsiTheme="minorBidi" w:cstheme="minorBidi"/>
          <w:sz w:val="18"/>
          <w:szCs w:val="18"/>
        </w:rPr>
      </w:pPr>
      <w:r w:rsidRPr="007F3B8F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7F3B8F">
        <w:rPr>
          <w:rFonts w:asciiTheme="minorBidi" w:hAnsiTheme="minorBidi" w:cstheme="minorBidi"/>
          <w:snapToGrid w:val="0"/>
          <w:sz w:val="18"/>
          <w:szCs w:val="18"/>
        </w:rPr>
        <w:tab/>
        <w:t xml:space="preserve">À l'occasion de sa </w:t>
      </w:r>
      <w:r w:rsidRPr="007F3B8F">
        <w:rPr>
          <w:rFonts w:asciiTheme="minorBidi" w:hAnsiTheme="minorBidi" w:cstheme="minorBidi"/>
          <w:b/>
          <w:snapToGrid w:val="0"/>
          <w:sz w:val="18"/>
          <w:szCs w:val="18"/>
        </w:rPr>
        <w:t>dixième</w:t>
      </w:r>
      <w:r w:rsidRPr="007F3B8F">
        <w:rPr>
          <w:rFonts w:asciiTheme="minorBidi" w:hAnsiTheme="minorBidi" w:cstheme="minorBidi"/>
          <w:snapToGrid w:val="0"/>
          <w:sz w:val="18"/>
          <w:szCs w:val="18"/>
        </w:rPr>
        <w:t> session, en 2015, le Comité a décidé de poursuivre ses relations avec cinquante-neuf ONG et de mettre fin à ses relations avec trente-huit autres (Décision </w:t>
      </w:r>
      <w:hyperlink r:id="rId7" w:history="1">
        <w:r w:rsidRPr="007F3B8F">
          <w:rPr>
            <w:rStyle w:val="Hyperlink"/>
            <w:rFonts w:asciiTheme="minorBidi" w:hAnsiTheme="minorBidi" w:cstheme="minorBidi"/>
            <w:snapToGrid w:val="0"/>
            <w:sz w:val="18"/>
            <w:szCs w:val="18"/>
          </w:rPr>
          <w:t>10.COM 16</w:t>
        </w:r>
      </w:hyperlink>
      <w:r w:rsidRPr="007F3B8F">
        <w:rPr>
          <w:rFonts w:asciiTheme="minorBidi" w:hAnsiTheme="minorBidi" w:cstheme="minorBidi"/>
          <w:snapToGrid w:val="0"/>
          <w:sz w:val="18"/>
          <w:szCs w:val="18"/>
        </w:rPr>
        <w:t xml:space="preserve">), toutes accréditées par l’Assemblée générale à sa troisième session en 2010 ; lors de sa </w:t>
      </w:r>
      <w:r w:rsidRPr="007F3B8F">
        <w:rPr>
          <w:rFonts w:asciiTheme="minorBidi" w:hAnsiTheme="minorBidi" w:cstheme="minorBidi"/>
          <w:b/>
          <w:snapToGrid w:val="0"/>
          <w:sz w:val="18"/>
          <w:szCs w:val="18"/>
        </w:rPr>
        <w:t>douzième</w:t>
      </w:r>
      <w:r w:rsidRPr="007F3B8F">
        <w:rPr>
          <w:rFonts w:asciiTheme="minorBidi" w:hAnsiTheme="minorBidi" w:cstheme="minorBidi"/>
          <w:snapToGrid w:val="0"/>
          <w:sz w:val="18"/>
          <w:szCs w:val="18"/>
        </w:rPr>
        <w:t> session en 2017, le Comité a décidé de poursuivre ses relations avec quarante-deux ONG et de mettre fin à ses relations avec dix-sept autres (Décision </w:t>
      </w:r>
      <w:hyperlink r:id="rId8" w:history="1">
        <w:r w:rsidRPr="007F3B8F">
          <w:rPr>
            <w:rStyle w:val="Hyperlink"/>
            <w:rFonts w:asciiTheme="minorBidi" w:hAnsiTheme="minorBidi" w:cstheme="minorBidi"/>
            <w:snapToGrid w:val="0"/>
            <w:sz w:val="18"/>
            <w:szCs w:val="18"/>
          </w:rPr>
          <w:t>12.COM 17</w:t>
        </w:r>
      </w:hyperlink>
      <w:r w:rsidRPr="007F3B8F">
        <w:rPr>
          <w:rFonts w:asciiTheme="minorBidi" w:hAnsiTheme="minorBidi" w:cstheme="minorBidi"/>
          <w:snapToGrid w:val="0"/>
          <w:sz w:val="18"/>
          <w:szCs w:val="18"/>
        </w:rPr>
        <w:t xml:space="preserve">), toutes accréditées par l’Assemblée générale lors de sa quatrième session en 2012 ; lors de sa </w:t>
      </w:r>
      <w:r w:rsidRPr="007F3B8F">
        <w:rPr>
          <w:rFonts w:asciiTheme="minorBidi" w:hAnsiTheme="minorBidi" w:cstheme="minorBidi"/>
          <w:b/>
          <w:snapToGrid w:val="0"/>
          <w:sz w:val="18"/>
          <w:szCs w:val="18"/>
        </w:rPr>
        <w:t>quatorzième</w:t>
      </w:r>
      <w:r w:rsidRPr="007F3B8F">
        <w:rPr>
          <w:rFonts w:asciiTheme="minorBidi" w:hAnsiTheme="minorBidi" w:cstheme="minorBidi"/>
          <w:snapToGrid w:val="0"/>
          <w:sz w:val="18"/>
          <w:szCs w:val="18"/>
        </w:rPr>
        <w:t> session en 2019, le Comité a décidé de poursuivre ses relations avec soixante-deux ONG accréditées et de mettre fin à ses relations avec dix-neuf autres (Décision </w:t>
      </w:r>
      <w:hyperlink r:id="rId9" w:history="1">
        <w:r w:rsidRPr="007F3B8F">
          <w:rPr>
            <w:rStyle w:val="Hyperlink"/>
            <w:rFonts w:asciiTheme="minorBidi" w:hAnsiTheme="minorBidi" w:cstheme="minorBidi"/>
            <w:snapToGrid w:val="0"/>
            <w:sz w:val="18"/>
            <w:szCs w:val="18"/>
          </w:rPr>
          <w:t>14.</w:t>
        </w:r>
        <w:r w:rsidR="00F31B8D" w:rsidRPr="007F3B8F">
          <w:rPr>
            <w:rStyle w:val="Hyperlink"/>
            <w:rFonts w:asciiTheme="minorBidi" w:hAnsiTheme="minorBidi" w:cstheme="minorBidi"/>
            <w:snapToGrid w:val="0"/>
            <w:sz w:val="18"/>
            <w:szCs w:val="18"/>
          </w:rPr>
          <w:t>COM</w:t>
        </w:r>
        <w:r w:rsidR="00F31B8D">
          <w:rPr>
            <w:rStyle w:val="Hyperlink"/>
            <w:rFonts w:asciiTheme="minorBidi" w:hAnsiTheme="minorBidi" w:cstheme="minorBidi"/>
            <w:snapToGrid w:val="0"/>
            <w:sz w:val="18"/>
            <w:szCs w:val="18"/>
          </w:rPr>
          <w:t> </w:t>
        </w:r>
        <w:r w:rsidRPr="007F3B8F">
          <w:rPr>
            <w:rStyle w:val="Hyperlink"/>
            <w:rFonts w:asciiTheme="minorBidi" w:hAnsiTheme="minorBidi" w:cstheme="minorBidi"/>
            <w:snapToGrid w:val="0"/>
            <w:sz w:val="18"/>
            <w:szCs w:val="18"/>
          </w:rPr>
          <w:t>17</w:t>
        </w:r>
      </w:hyperlink>
      <w:r w:rsidRPr="007F3B8F">
        <w:rPr>
          <w:rFonts w:asciiTheme="minorBidi" w:hAnsiTheme="minorBidi" w:cstheme="minorBidi"/>
          <w:snapToGrid w:val="0"/>
          <w:sz w:val="18"/>
          <w:szCs w:val="18"/>
        </w:rPr>
        <w:t xml:space="preserve">), toutes accréditées par l’Assemblée générale lors de sa cinquième session ; lors de sa </w:t>
      </w:r>
      <w:r w:rsidRPr="007F3B8F">
        <w:rPr>
          <w:rFonts w:asciiTheme="minorBidi" w:hAnsiTheme="minorBidi" w:cstheme="minorBidi"/>
          <w:b/>
          <w:snapToGrid w:val="0"/>
          <w:sz w:val="18"/>
          <w:szCs w:val="18"/>
        </w:rPr>
        <w:t>seizième</w:t>
      </w:r>
      <w:r w:rsidRPr="007F3B8F">
        <w:rPr>
          <w:rFonts w:asciiTheme="minorBidi" w:hAnsiTheme="minorBidi" w:cstheme="minorBidi"/>
          <w:snapToGrid w:val="0"/>
          <w:sz w:val="18"/>
          <w:szCs w:val="18"/>
        </w:rPr>
        <w:t> session en 2021, le Comité a décidé de poursuivre ses relations avec cinquante-sept ONG accréditées et de mettre fin à ses relations avec neuf autres (Décision </w:t>
      </w:r>
      <w:hyperlink r:id="rId10" w:history="1">
        <w:r w:rsidRPr="007F3B8F">
          <w:rPr>
            <w:rStyle w:val="Hyperlink"/>
            <w:rFonts w:asciiTheme="minorBidi" w:hAnsiTheme="minorBidi" w:cstheme="minorBidi"/>
            <w:snapToGrid w:val="0"/>
            <w:sz w:val="18"/>
            <w:szCs w:val="18"/>
          </w:rPr>
          <w:t>16.</w:t>
        </w:r>
        <w:r w:rsidR="00F31B8D" w:rsidRPr="007F3B8F">
          <w:rPr>
            <w:rStyle w:val="Hyperlink"/>
            <w:rFonts w:asciiTheme="minorBidi" w:hAnsiTheme="minorBidi" w:cstheme="minorBidi"/>
            <w:snapToGrid w:val="0"/>
            <w:sz w:val="18"/>
            <w:szCs w:val="18"/>
          </w:rPr>
          <w:t>COM</w:t>
        </w:r>
        <w:r w:rsidR="00F31B8D">
          <w:rPr>
            <w:rStyle w:val="Hyperlink"/>
            <w:rFonts w:asciiTheme="minorBidi" w:hAnsiTheme="minorBidi" w:cstheme="minorBidi"/>
            <w:snapToGrid w:val="0"/>
            <w:sz w:val="18"/>
            <w:szCs w:val="18"/>
          </w:rPr>
          <w:t> </w:t>
        </w:r>
        <w:r w:rsidRPr="007F3B8F">
          <w:rPr>
            <w:rStyle w:val="Hyperlink"/>
            <w:rFonts w:asciiTheme="minorBidi" w:hAnsiTheme="minorBidi" w:cstheme="minorBidi"/>
            <w:snapToGrid w:val="0"/>
            <w:sz w:val="18"/>
            <w:szCs w:val="18"/>
          </w:rPr>
          <w:t>15</w:t>
        </w:r>
      </w:hyperlink>
      <w:r w:rsidRPr="007F3B8F">
        <w:rPr>
          <w:rFonts w:asciiTheme="minorBidi" w:hAnsiTheme="minorBidi" w:cstheme="minorBidi"/>
          <w:snapToGrid w:val="0"/>
          <w:sz w:val="18"/>
          <w:szCs w:val="18"/>
        </w:rPr>
        <w:t>), toutes accréditées par l’Assemblée générale lors de sa sixième session.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F529" w14:textId="77777777" w:rsidR="00D95C4C" w:rsidRPr="00C23A97" w:rsidRDefault="006F41B4">
    <w:pPr>
      <w:pStyle w:val="Header"/>
      <w:rPr>
        <w:rFonts w:ascii="Arial" w:hAnsi="Arial" w:cs="Arial"/>
      </w:rPr>
    </w:pPr>
    <w:r>
      <w:rPr>
        <w:rFonts w:ascii="Arial" w:hAnsi="Arial"/>
        <w:sz w:val="20"/>
      </w:rPr>
      <w:t xml:space="preserve">LHE/22/9.GA/7 – page </w:t>
    </w:r>
    <w:r w:rsidR="00D95C4C" w:rsidRPr="00C23A97">
      <w:rPr>
        <w:rStyle w:val="PageNumber"/>
        <w:rFonts w:ascii="Arial" w:hAnsi="Arial" w:cs="Arial"/>
        <w:sz w:val="20"/>
      </w:rPr>
      <w:fldChar w:fldCharType="begin"/>
    </w:r>
    <w:r w:rsidR="00D95C4C" w:rsidRPr="00C23A97">
      <w:rPr>
        <w:rStyle w:val="PageNumber"/>
        <w:rFonts w:ascii="Arial" w:hAnsi="Arial" w:cs="Arial"/>
        <w:sz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</w:rPr>
      <w:fldChar w:fldCharType="separate"/>
    </w:r>
    <w:r w:rsidR="00F010E0">
      <w:rPr>
        <w:rStyle w:val="PageNumber"/>
        <w:rFonts w:ascii="Arial" w:hAnsi="Arial" w:cs="Arial"/>
        <w:sz w:val="20"/>
      </w:rPr>
      <w:t>2</w:t>
    </w:r>
    <w:r w:rsidR="00D95C4C" w:rsidRPr="00C23A97">
      <w:rPr>
        <w:rStyle w:val="PageNumber"/>
        <w:rFonts w:ascii="Arial" w:hAnsi="Arial" w:cs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1504" w14:textId="77777777" w:rsidR="00D95C4C" w:rsidRPr="0063300C" w:rsidRDefault="00502D44" w:rsidP="0063300C">
    <w:pPr>
      <w:pStyle w:val="Header"/>
      <w:jc w:val="right"/>
      <w:rPr>
        <w:rFonts w:ascii="Arial" w:hAnsi="Arial" w:cs="Arial"/>
      </w:rPr>
    </w:pPr>
    <w:r>
      <w:rPr>
        <w:rFonts w:ascii="Arial" w:hAnsi="Arial"/>
        <w:sz w:val="20"/>
      </w:rPr>
      <w:t xml:space="preserve">LHE/22/9.GA/7– page </w:t>
    </w:r>
    <w:r w:rsidR="004A34A0" w:rsidRPr="0063300C">
      <w:rPr>
        <w:rStyle w:val="PageNumber"/>
        <w:rFonts w:ascii="Arial" w:hAnsi="Arial" w:cs="Arial"/>
        <w:sz w:val="20"/>
      </w:rPr>
      <w:fldChar w:fldCharType="begin"/>
    </w:r>
    <w:r w:rsidR="004A34A0" w:rsidRPr="0063300C">
      <w:rPr>
        <w:rStyle w:val="PageNumber"/>
        <w:rFonts w:ascii="Arial" w:hAnsi="Arial" w:cs="Arial"/>
        <w:sz w:val="20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</w:rPr>
      <w:fldChar w:fldCharType="separate"/>
    </w:r>
    <w:r w:rsidR="008A1ED4">
      <w:rPr>
        <w:rStyle w:val="PageNumber"/>
        <w:rFonts w:ascii="Arial" w:hAnsi="Arial" w:cs="Arial"/>
        <w:sz w:val="20"/>
      </w:rPr>
      <w:t>3</w:t>
    </w:r>
    <w:r w:rsidR="004A34A0" w:rsidRPr="0063300C">
      <w:rPr>
        <w:rStyle w:val="PageNumber"/>
        <w:rFonts w:ascii="Arial" w:hAnsi="Arial" w:cs="Arial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A8AD8" w14:textId="62DEC1D0" w:rsidR="00D95C4C" w:rsidRPr="008724E5" w:rsidRDefault="00D91278">
    <w:pPr>
      <w:pStyle w:val="Header"/>
    </w:pPr>
    <w:r>
      <w:rPr>
        <w:rFonts w:ascii="Arial" w:hAnsi="Arial"/>
        <w:b/>
        <w:noProof/>
        <w:sz w:val="44"/>
      </w:rPr>
      <w:drawing>
        <wp:anchor distT="0" distB="0" distL="114300" distR="114300" simplePos="0" relativeHeight="251660288" behindDoc="0" locked="0" layoutInCell="1" allowOverlap="1" wp14:anchorId="3CE9C943" wp14:editId="46DA9EDD">
          <wp:simplePos x="0" y="0"/>
          <wp:positionH relativeFrom="column">
            <wp:posOffset>24174</wp:posOffset>
          </wp:positionH>
          <wp:positionV relativeFrom="paragraph">
            <wp:posOffset>13232</wp:posOffset>
          </wp:positionV>
          <wp:extent cx="1657985" cy="1390015"/>
          <wp:effectExtent l="0" t="0" r="0" b="63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38D5510" w14:textId="0ABBD4C8" w:rsidR="00D95C4C" w:rsidRPr="00D25762" w:rsidRDefault="003265D0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>
      <w:rPr>
        <w:rFonts w:ascii="Arial" w:hAnsi="Arial"/>
        <w:b/>
        <w:sz w:val="44"/>
      </w:rPr>
      <w:t>9 GA</w:t>
    </w:r>
  </w:p>
  <w:p w14:paraId="5005236C" w14:textId="77777777" w:rsidR="00D95C4C" w:rsidRPr="00D25762" w:rsidRDefault="006F41B4" w:rsidP="00655736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</w:rPr>
      <w:t>LHE/22/9.GA/7</w:t>
    </w:r>
  </w:p>
  <w:p w14:paraId="702CD38D" w14:textId="7A065D87" w:rsidR="00D95C4C" w:rsidRPr="00D25762" w:rsidRDefault="00D95C4C" w:rsidP="00655736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</w:rPr>
      <w:t>Paris</w:t>
    </w:r>
    <w:r w:rsidRPr="002E7649">
      <w:rPr>
        <w:rFonts w:ascii="Arial" w:hAnsi="Arial"/>
        <w:b/>
        <w:sz w:val="22"/>
      </w:rPr>
      <w:t xml:space="preserve">, </w:t>
    </w:r>
    <w:r w:rsidR="00786401">
      <w:rPr>
        <w:rFonts w:ascii="Arial" w:hAnsi="Arial"/>
        <w:b/>
        <w:sz w:val="22"/>
      </w:rPr>
      <w:t xml:space="preserve">le </w:t>
    </w:r>
    <w:r w:rsidRPr="007F3B8F">
      <w:rPr>
        <w:rFonts w:ascii="Arial" w:hAnsi="Arial"/>
        <w:b/>
        <w:sz w:val="22"/>
      </w:rPr>
      <w:t xml:space="preserve">3 </w:t>
    </w:r>
    <w:r w:rsidRPr="003B5320">
      <w:rPr>
        <w:rFonts w:ascii="Arial" w:hAnsi="Arial"/>
        <w:b/>
        <w:sz w:val="22"/>
      </w:rPr>
      <w:t>juin</w:t>
    </w:r>
    <w:r>
      <w:rPr>
        <w:rFonts w:ascii="Arial" w:hAnsi="Arial"/>
        <w:b/>
        <w:sz w:val="22"/>
      </w:rPr>
      <w:t xml:space="preserve"> 2022</w:t>
    </w:r>
  </w:p>
  <w:p w14:paraId="02BCC8F4" w14:textId="613EFF73" w:rsidR="00D95C4C" w:rsidRPr="0038232B" w:rsidRDefault="00D95C4C" w:rsidP="00703FBF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</w:rPr>
      <w:t>Original</w:t>
    </w:r>
    <w:r w:rsidR="00786401">
      <w:rPr>
        <w:rFonts w:ascii="Arial" w:hAnsi="Arial"/>
        <w:b/>
        <w:sz w:val="22"/>
      </w:rPr>
      <w:t> </w:t>
    </w:r>
    <w:r>
      <w:rPr>
        <w:rFonts w:ascii="Arial" w:hAnsi="Arial"/>
        <w:b/>
        <w:sz w:val="22"/>
      </w:rPr>
      <w:t>: anglais</w:t>
    </w:r>
  </w:p>
  <w:p w14:paraId="1F75EE84" w14:textId="4F2DDD18" w:rsidR="00540FE0" w:rsidRPr="0038232B" w:rsidRDefault="00540FE0" w:rsidP="00540F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7A4"/>
    <w:multiLevelType w:val="hybridMultilevel"/>
    <w:tmpl w:val="DC648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56352"/>
    <w:multiLevelType w:val="hybridMultilevel"/>
    <w:tmpl w:val="0DC0C3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5376F"/>
    <w:multiLevelType w:val="hybridMultilevel"/>
    <w:tmpl w:val="2634EA06"/>
    <w:lvl w:ilvl="0" w:tplc="85E65BB8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A62126"/>
    <w:multiLevelType w:val="hybridMultilevel"/>
    <w:tmpl w:val="7B7CBF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C6A51"/>
    <w:multiLevelType w:val="multilevel"/>
    <w:tmpl w:val="FD1C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D6D09"/>
    <w:multiLevelType w:val="hybridMultilevel"/>
    <w:tmpl w:val="A2507ECA"/>
    <w:lvl w:ilvl="0" w:tplc="040C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A53EB"/>
    <w:multiLevelType w:val="hybridMultilevel"/>
    <w:tmpl w:val="C0368B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5" w15:restartNumberingAfterBreak="0">
    <w:nsid w:val="448F771C"/>
    <w:multiLevelType w:val="multilevel"/>
    <w:tmpl w:val="A0CAE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4C6B5B59"/>
    <w:multiLevelType w:val="multilevel"/>
    <w:tmpl w:val="3E326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155AE9"/>
    <w:multiLevelType w:val="hybridMultilevel"/>
    <w:tmpl w:val="DFE29FF2"/>
    <w:lvl w:ilvl="0" w:tplc="87983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B3E4C"/>
    <w:multiLevelType w:val="hybridMultilevel"/>
    <w:tmpl w:val="C2826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E7254"/>
    <w:multiLevelType w:val="hybridMultilevel"/>
    <w:tmpl w:val="49909E62"/>
    <w:lvl w:ilvl="0" w:tplc="5FF6C1A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F5E6B0A"/>
    <w:multiLevelType w:val="hybridMultilevel"/>
    <w:tmpl w:val="76563B0C"/>
    <w:lvl w:ilvl="0" w:tplc="55EA788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F3D3D"/>
    <w:multiLevelType w:val="hybridMultilevel"/>
    <w:tmpl w:val="A9280B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A84E40"/>
    <w:multiLevelType w:val="hybridMultilevel"/>
    <w:tmpl w:val="70B8C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D39AC"/>
    <w:multiLevelType w:val="hybridMultilevel"/>
    <w:tmpl w:val="98F2FAC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7090C"/>
    <w:multiLevelType w:val="hybridMultilevel"/>
    <w:tmpl w:val="6B0875CC"/>
    <w:lvl w:ilvl="0" w:tplc="65FCFEB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7D10C57"/>
    <w:multiLevelType w:val="multilevel"/>
    <w:tmpl w:val="357AE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58222C"/>
    <w:multiLevelType w:val="hybridMultilevel"/>
    <w:tmpl w:val="B1E66D4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FB82F79"/>
    <w:multiLevelType w:val="hybridMultilevel"/>
    <w:tmpl w:val="EE7243B4"/>
    <w:lvl w:ilvl="0" w:tplc="4F7CBCD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C12BE"/>
    <w:multiLevelType w:val="hybridMultilevel"/>
    <w:tmpl w:val="560CA548"/>
    <w:lvl w:ilvl="0" w:tplc="5C7A27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455CE"/>
    <w:multiLevelType w:val="hybridMultilevel"/>
    <w:tmpl w:val="F8D0D33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6FC0292"/>
    <w:multiLevelType w:val="hybridMultilevel"/>
    <w:tmpl w:val="C1F0D092"/>
    <w:lvl w:ilvl="0" w:tplc="EBA0D8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4"/>
  </w:num>
  <w:num w:numId="4">
    <w:abstractNumId w:val="34"/>
  </w:num>
  <w:num w:numId="5">
    <w:abstractNumId w:val="26"/>
  </w:num>
  <w:num w:numId="6">
    <w:abstractNumId w:val="3"/>
  </w:num>
  <w:num w:numId="7">
    <w:abstractNumId w:val="5"/>
  </w:num>
  <w:num w:numId="8">
    <w:abstractNumId w:val="16"/>
  </w:num>
  <w:num w:numId="9">
    <w:abstractNumId w:val="8"/>
  </w:num>
  <w:num w:numId="10">
    <w:abstractNumId w:val="11"/>
  </w:num>
  <w:num w:numId="11">
    <w:abstractNumId w:val="14"/>
  </w:num>
  <w:num w:numId="12">
    <w:abstractNumId w:val="12"/>
  </w:num>
  <w:num w:numId="13">
    <w:abstractNumId w:val="30"/>
  </w:num>
  <w:num w:numId="14">
    <w:abstractNumId w:val="18"/>
  </w:num>
  <w:num w:numId="15">
    <w:abstractNumId w:val="20"/>
  </w:num>
  <w:num w:numId="16">
    <w:abstractNumId w:val="11"/>
  </w:num>
  <w:num w:numId="17">
    <w:abstractNumId w:val="11"/>
  </w:num>
  <w:num w:numId="18">
    <w:abstractNumId w:val="11"/>
  </w:num>
  <w:num w:numId="19">
    <w:abstractNumId w:val="0"/>
  </w:num>
  <w:num w:numId="20">
    <w:abstractNumId w:val="2"/>
  </w:num>
  <w:num w:numId="21">
    <w:abstractNumId w:val="32"/>
  </w:num>
  <w:num w:numId="22">
    <w:abstractNumId w:val="22"/>
  </w:num>
  <w:num w:numId="23">
    <w:abstractNumId w:val="28"/>
  </w:num>
  <w:num w:numId="24">
    <w:abstractNumId w:val="7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3"/>
  </w:num>
  <w:num w:numId="28">
    <w:abstractNumId w:val="27"/>
  </w:num>
  <w:num w:numId="29">
    <w:abstractNumId w:val="15"/>
  </w:num>
  <w:num w:numId="30">
    <w:abstractNumId w:val="13"/>
  </w:num>
  <w:num w:numId="31">
    <w:abstractNumId w:val="8"/>
  </w:num>
  <w:num w:numId="32">
    <w:abstractNumId w:val="17"/>
  </w:num>
  <w:num w:numId="33">
    <w:abstractNumId w:val="31"/>
  </w:num>
  <w:num w:numId="34">
    <w:abstractNumId w:val="9"/>
  </w:num>
  <w:num w:numId="35">
    <w:abstractNumId w:val="25"/>
  </w:num>
  <w:num w:numId="36">
    <w:abstractNumId w:val="1"/>
  </w:num>
  <w:num w:numId="37">
    <w:abstractNumId w:val="33"/>
  </w:num>
  <w:num w:numId="38">
    <w:abstractNumId w:val="6"/>
  </w:num>
  <w:num w:numId="39">
    <w:abstractNumId w:val="29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66"/>
    <w:rsid w:val="0000081D"/>
    <w:rsid w:val="00002B19"/>
    <w:rsid w:val="000048ED"/>
    <w:rsid w:val="00041A66"/>
    <w:rsid w:val="0005176E"/>
    <w:rsid w:val="00053C58"/>
    <w:rsid w:val="000617A8"/>
    <w:rsid w:val="00065B6F"/>
    <w:rsid w:val="000761B7"/>
    <w:rsid w:val="000765F7"/>
    <w:rsid w:val="00077AB7"/>
    <w:rsid w:val="0008046B"/>
    <w:rsid w:val="00081CD8"/>
    <w:rsid w:val="000857CC"/>
    <w:rsid w:val="000A2F46"/>
    <w:rsid w:val="000A3C88"/>
    <w:rsid w:val="000A7F0E"/>
    <w:rsid w:val="000B021A"/>
    <w:rsid w:val="000B24C4"/>
    <w:rsid w:val="000B3D34"/>
    <w:rsid w:val="000B7111"/>
    <w:rsid w:val="000C0D61"/>
    <w:rsid w:val="000C1B89"/>
    <w:rsid w:val="000C2FE8"/>
    <w:rsid w:val="000D39DF"/>
    <w:rsid w:val="000D5205"/>
    <w:rsid w:val="000E1257"/>
    <w:rsid w:val="000E6941"/>
    <w:rsid w:val="000F1204"/>
    <w:rsid w:val="000F3A3F"/>
    <w:rsid w:val="000F3F19"/>
    <w:rsid w:val="00102557"/>
    <w:rsid w:val="00106920"/>
    <w:rsid w:val="00110062"/>
    <w:rsid w:val="001267A1"/>
    <w:rsid w:val="00132955"/>
    <w:rsid w:val="00133066"/>
    <w:rsid w:val="0014571A"/>
    <w:rsid w:val="00162EE7"/>
    <w:rsid w:val="00164D56"/>
    <w:rsid w:val="00164D8F"/>
    <w:rsid w:val="00167B10"/>
    <w:rsid w:val="0017402F"/>
    <w:rsid w:val="00176720"/>
    <w:rsid w:val="00182A15"/>
    <w:rsid w:val="001862DB"/>
    <w:rsid w:val="00191ADC"/>
    <w:rsid w:val="00196C1B"/>
    <w:rsid w:val="001B0F73"/>
    <w:rsid w:val="001B263C"/>
    <w:rsid w:val="001B52CF"/>
    <w:rsid w:val="001D5C04"/>
    <w:rsid w:val="001D70CC"/>
    <w:rsid w:val="001E05F4"/>
    <w:rsid w:val="001F1F33"/>
    <w:rsid w:val="00201E12"/>
    <w:rsid w:val="00206861"/>
    <w:rsid w:val="00222A2D"/>
    <w:rsid w:val="00223029"/>
    <w:rsid w:val="002313B6"/>
    <w:rsid w:val="00231809"/>
    <w:rsid w:val="00234745"/>
    <w:rsid w:val="00236FF3"/>
    <w:rsid w:val="002407AF"/>
    <w:rsid w:val="00261D3F"/>
    <w:rsid w:val="002641E7"/>
    <w:rsid w:val="00270504"/>
    <w:rsid w:val="00275EC7"/>
    <w:rsid w:val="0029267A"/>
    <w:rsid w:val="00294644"/>
    <w:rsid w:val="00296281"/>
    <w:rsid w:val="00296AC6"/>
    <w:rsid w:val="002B1B5D"/>
    <w:rsid w:val="002B1C50"/>
    <w:rsid w:val="002C09E3"/>
    <w:rsid w:val="002C5D7A"/>
    <w:rsid w:val="002E2EBD"/>
    <w:rsid w:val="002E7649"/>
    <w:rsid w:val="002F312A"/>
    <w:rsid w:val="00321E53"/>
    <w:rsid w:val="00322A5A"/>
    <w:rsid w:val="003265D0"/>
    <w:rsid w:val="0032756E"/>
    <w:rsid w:val="00334696"/>
    <w:rsid w:val="00345CB4"/>
    <w:rsid w:val="00352BB3"/>
    <w:rsid w:val="003549B8"/>
    <w:rsid w:val="00357C63"/>
    <w:rsid w:val="00361D79"/>
    <w:rsid w:val="003624DE"/>
    <w:rsid w:val="00365C36"/>
    <w:rsid w:val="0038232B"/>
    <w:rsid w:val="00384A1C"/>
    <w:rsid w:val="003916AF"/>
    <w:rsid w:val="00391AC6"/>
    <w:rsid w:val="00394197"/>
    <w:rsid w:val="003A228F"/>
    <w:rsid w:val="003A708C"/>
    <w:rsid w:val="003B1DF8"/>
    <w:rsid w:val="003B25BD"/>
    <w:rsid w:val="003B4C9D"/>
    <w:rsid w:val="003B5320"/>
    <w:rsid w:val="003B6D70"/>
    <w:rsid w:val="003B747C"/>
    <w:rsid w:val="003D069C"/>
    <w:rsid w:val="003D7565"/>
    <w:rsid w:val="003D7646"/>
    <w:rsid w:val="003F113A"/>
    <w:rsid w:val="00414643"/>
    <w:rsid w:val="004146F7"/>
    <w:rsid w:val="0041493A"/>
    <w:rsid w:val="004179A5"/>
    <w:rsid w:val="004368A3"/>
    <w:rsid w:val="0043757A"/>
    <w:rsid w:val="004421E5"/>
    <w:rsid w:val="004472C8"/>
    <w:rsid w:val="00452284"/>
    <w:rsid w:val="004557EC"/>
    <w:rsid w:val="00472BCA"/>
    <w:rsid w:val="0047616F"/>
    <w:rsid w:val="00477804"/>
    <w:rsid w:val="004856CA"/>
    <w:rsid w:val="0049705E"/>
    <w:rsid w:val="004A34A0"/>
    <w:rsid w:val="004A376A"/>
    <w:rsid w:val="004B4588"/>
    <w:rsid w:val="004C01E7"/>
    <w:rsid w:val="004C61B1"/>
    <w:rsid w:val="004D32F1"/>
    <w:rsid w:val="004D73A6"/>
    <w:rsid w:val="004F7592"/>
    <w:rsid w:val="00502D44"/>
    <w:rsid w:val="0051089C"/>
    <w:rsid w:val="005163C2"/>
    <w:rsid w:val="00526B7B"/>
    <w:rsid w:val="005308CE"/>
    <w:rsid w:val="00540FE0"/>
    <w:rsid w:val="00547B09"/>
    <w:rsid w:val="00552A08"/>
    <w:rsid w:val="005564CC"/>
    <w:rsid w:val="0057439C"/>
    <w:rsid w:val="005823AB"/>
    <w:rsid w:val="0058371E"/>
    <w:rsid w:val="00593D58"/>
    <w:rsid w:val="00595AF2"/>
    <w:rsid w:val="00596530"/>
    <w:rsid w:val="005B0127"/>
    <w:rsid w:val="005B7A35"/>
    <w:rsid w:val="005C4B73"/>
    <w:rsid w:val="005E1D2B"/>
    <w:rsid w:val="005F152A"/>
    <w:rsid w:val="00600D93"/>
    <w:rsid w:val="00600E03"/>
    <w:rsid w:val="006209BF"/>
    <w:rsid w:val="006212A7"/>
    <w:rsid w:val="0063300C"/>
    <w:rsid w:val="00647FD6"/>
    <w:rsid w:val="00655736"/>
    <w:rsid w:val="00656FCC"/>
    <w:rsid w:val="0066207B"/>
    <w:rsid w:val="00663B8D"/>
    <w:rsid w:val="00677640"/>
    <w:rsid w:val="0067775C"/>
    <w:rsid w:val="006836FB"/>
    <w:rsid w:val="0069182E"/>
    <w:rsid w:val="006951AE"/>
    <w:rsid w:val="006968E3"/>
    <w:rsid w:val="00696C8D"/>
    <w:rsid w:val="006A2AC2"/>
    <w:rsid w:val="006A3617"/>
    <w:rsid w:val="006A5FFC"/>
    <w:rsid w:val="006A64E9"/>
    <w:rsid w:val="006E46E4"/>
    <w:rsid w:val="006F41B4"/>
    <w:rsid w:val="0070187D"/>
    <w:rsid w:val="00703FBF"/>
    <w:rsid w:val="007058DF"/>
    <w:rsid w:val="0071435D"/>
    <w:rsid w:val="00717DA5"/>
    <w:rsid w:val="00733307"/>
    <w:rsid w:val="00733376"/>
    <w:rsid w:val="00744484"/>
    <w:rsid w:val="0075237D"/>
    <w:rsid w:val="00763A0D"/>
    <w:rsid w:val="00773188"/>
    <w:rsid w:val="00776515"/>
    <w:rsid w:val="00780E4A"/>
    <w:rsid w:val="00783782"/>
    <w:rsid w:val="00784B8C"/>
    <w:rsid w:val="00786401"/>
    <w:rsid w:val="007A21DF"/>
    <w:rsid w:val="007A6B7A"/>
    <w:rsid w:val="007C0742"/>
    <w:rsid w:val="007C47D0"/>
    <w:rsid w:val="007C515A"/>
    <w:rsid w:val="007D35D5"/>
    <w:rsid w:val="007E10C3"/>
    <w:rsid w:val="007E41FA"/>
    <w:rsid w:val="007F16A7"/>
    <w:rsid w:val="007F3B8F"/>
    <w:rsid w:val="007F492B"/>
    <w:rsid w:val="007F5754"/>
    <w:rsid w:val="00823A11"/>
    <w:rsid w:val="00826461"/>
    <w:rsid w:val="00831A0F"/>
    <w:rsid w:val="00835424"/>
    <w:rsid w:val="00846310"/>
    <w:rsid w:val="00852866"/>
    <w:rsid w:val="0085414A"/>
    <w:rsid w:val="0086269D"/>
    <w:rsid w:val="0086543A"/>
    <w:rsid w:val="008663BD"/>
    <w:rsid w:val="00870246"/>
    <w:rsid w:val="008712A4"/>
    <w:rsid w:val="008724E5"/>
    <w:rsid w:val="00884A9D"/>
    <w:rsid w:val="0088512B"/>
    <w:rsid w:val="008901E5"/>
    <w:rsid w:val="008948AA"/>
    <w:rsid w:val="00897D6D"/>
    <w:rsid w:val="008A1ED4"/>
    <w:rsid w:val="008A2B2D"/>
    <w:rsid w:val="008A4E1E"/>
    <w:rsid w:val="008B5729"/>
    <w:rsid w:val="008C05DD"/>
    <w:rsid w:val="008C296C"/>
    <w:rsid w:val="008D4305"/>
    <w:rsid w:val="008E014B"/>
    <w:rsid w:val="008E3A8E"/>
    <w:rsid w:val="008E6EB5"/>
    <w:rsid w:val="008E715C"/>
    <w:rsid w:val="008F38C8"/>
    <w:rsid w:val="00900E0D"/>
    <w:rsid w:val="00902940"/>
    <w:rsid w:val="00904C7C"/>
    <w:rsid w:val="009123F7"/>
    <w:rsid w:val="009163A7"/>
    <w:rsid w:val="00921BC4"/>
    <w:rsid w:val="00921EDB"/>
    <w:rsid w:val="00925E52"/>
    <w:rsid w:val="009306DB"/>
    <w:rsid w:val="009320D9"/>
    <w:rsid w:val="009337D2"/>
    <w:rsid w:val="009405A0"/>
    <w:rsid w:val="00946D0B"/>
    <w:rsid w:val="00965081"/>
    <w:rsid w:val="00972FCE"/>
    <w:rsid w:val="00987765"/>
    <w:rsid w:val="00993CCC"/>
    <w:rsid w:val="009A18CD"/>
    <w:rsid w:val="009A20FA"/>
    <w:rsid w:val="009E7053"/>
    <w:rsid w:val="009F7D8E"/>
    <w:rsid w:val="00A1140F"/>
    <w:rsid w:val="00A12081"/>
    <w:rsid w:val="00A12558"/>
    <w:rsid w:val="00A13903"/>
    <w:rsid w:val="00A222B4"/>
    <w:rsid w:val="00A34ED5"/>
    <w:rsid w:val="00A352E3"/>
    <w:rsid w:val="00A43A4F"/>
    <w:rsid w:val="00A45DBF"/>
    <w:rsid w:val="00A4780F"/>
    <w:rsid w:val="00A5128D"/>
    <w:rsid w:val="00A645DF"/>
    <w:rsid w:val="00A65C29"/>
    <w:rsid w:val="00A6673D"/>
    <w:rsid w:val="00A66D02"/>
    <w:rsid w:val="00A72380"/>
    <w:rsid w:val="00A755A2"/>
    <w:rsid w:val="00A96464"/>
    <w:rsid w:val="00AA6660"/>
    <w:rsid w:val="00AB15B0"/>
    <w:rsid w:val="00AB2C36"/>
    <w:rsid w:val="00AB5411"/>
    <w:rsid w:val="00AB70B6"/>
    <w:rsid w:val="00AD1753"/>
    <w:rsid w:val="00AD1A86"/>
    <w:rsid w:val="00AE103E"/>
    <w:rsid w:val="00AF0A07"/>
    <w:rsid w:val="00AF4974"/>
    <w:rsid w:val="00AF4AEC"/>
    <w:rsid w:val="00AF625E"/>
    <w:rsid w:val="00AF6D6A"/>
    <w:rsid w:val="00B02E09"/>
    <w:rsid w:val="00B03FDE"/>
    <w:rsid w:val="00B1775B"/>
    <w:rsid w:val="00B3294C"/>
    <w:rsid w:val="00B5568A"/>
    <w:rsid w:val="00B65F1D"/>
    <w:rsid w:val="00B715A7"/>
    <w:rsid w:val="00B770B1"/>
    <w:rsid w:val="00B8078F"/>
    <w:rsid w:val="00B96B09"/>
    <w:rsid w:val="00BA27EB"/>
    <w:rsid w:val="00BA6346"/>
    <w:rsid w:val="00BA7285"/>
    <w:rsid w:val="00BB04AF"/>
    <w:rsid w:val="00BD367B"/>
    <w:rsid w:val="00BD52C9"/>
    <w:rsid w:val="00BE2354"/>
    <w:rsid w:val="00BE5DA0"/>
    <w:rsid w:val="00BE6354"/>
    <w:rsid w:val="00C003BB"/>
    <w:rsid w:val="00C00655"/>
    <w:rsid w:val="00C01618"/>
    <w:rsid w:val="00C12869"/>
    <w:rsid w:val="00C23A97"/>
    <w:rsid w:val="00C23D52"/>
    <w:rsid w:val="00C4183D"/>
    <w:rsid w:val="00C42C66"/>
    <w:rsid w:val="00C46C0F"/>
    <w:rsid w:val="00C514F4"/>
    <w:rsid w:val="00C64FCA"/>
    <w:rsid w:val="00C70EA7"/>
    <w:rsid w:val="00C72006"/>
    <w:rsid w:val="00C7516E"/>
    <w:rsid w:val="00C75770"/>
    <w:rsid w:val="00C924B0"/>
    <w:rsid w:val="00C929AF"/>
    <w:rsid w:val="00C970C0"/>
    <w:rsid w:val="00CA0224"/>
    <w:rsid w:val="00CB1EC8"/>
    <w:rsid w:val="00CC0BE1"/>
    <w:rsid w:val="00CD3FDF"/>
    <w:rsid w:val="00CD73F8"/>
    <w:rsid w:val="00CD7430"/>
    <w:rsid w:val="00CF47B0"/>
    <w:rsid w:val="00CF5DFA"/>
    <w:rsid w:val="00D00B2B"/>
    <w:rsid w:val="00D0496A"/>
    <w:rsid w:val="00D12629"/>
    <w:rsid w:val="00D20879"/>
    <w:rsid w:val="00D24877"/>
    <w:rsid w:val="00D25762"/>
    <w:rsid w:val="00D365B7"/>
    <w:rsid w:val="00D37FCE"/>
    <w:rsid w:val="00D502D2"/>
    <w:rsid w:val="00D51826"/>
    <w:rsid w:val="00D51E08"/>
    <w:rsid w:val="00D525FC"/>
    <w:rsid w:val="00D727BD"/>
    <w:rsid w:val="00D730AD"/>
    <w:rsid w:val="00D73CF5"/>
    <w:rsid w:val="00D7505E"/>
    <w:rsid w:val="00D8267F"/>
    <w:rsid w:val="00D90ABA"/>
    <w:rsid w:val="00D91278"/>
    <w:rsid w:val="00D9312B"/>
    <w:rsid w:val="00D95C4C"/>
    <w:rsid w:val="00DA082C"/>
    <w:rsid w:val="00DA36ED"/>
    <w:rsid w:val="00DB0EC9"/>
    <w:rsid w:val="00DB5E63"/>
    <w:rsid w:val="00DE34F1"/>
    <w:rsid w:val="00DF1A11"/>
    <w:rsid w:val="00DF4942"/>
    <w:rsid w:val="00DF6E4B"/>
    <w:rsid w:val="00DF7A44"/>
    <w:rsid w:val="00E35769"/>
    <w:rsid w:val="00E477D8"/>
    <w:rsid w:val="00E51DED"/>
    <w:rsid w:val="00E626C8"/>
    <w:rsid w:val="00E627B1"/>
    <w:rsid w:val="00E66DB5"/>
    <w:rsid w:val="00E729A3"/>
    <w:rsid w:val="00E86910"/>
    <w:rsid w:val="00E90B77"/>
    <w:rsid w:val="00E9376C"/>
    <w:rsid w:val="00EA335E"/>
    <w:rsid w:val="00EA528C"/>
    <w:rsid w:val="00EC5E0E"/>
    <w:rsid w:val="00EE1EDF"/>
    <w:rsid w:val="00EE6AF6"/>
    <w:rsid w:val="00EF19A6"/>
    <w:rsid w:val="00EF34E2"/>
    <w:rsid w:val="00EF4F1F"/>
    <w:rsid w:val="00EF69E3"/>
    <w:rsid w:val="00F010E0"/>
    <w:rsid w:val="00F225E0"/>
    <w:rsid w:val="00F229EF"/>
    <w:rsid w:val="00F22F00"/>
    <w:rsid w:val="00F30E30"/>
    <w:rsid w:val="00F31B8D"/>
    <w:rsid w:val="00F440C9"/>
    <w:rsid w:val="00F46262"/>
    <w:rsid w:val="00F517FC"/>
    <w:rsid w:val="00F53DE9"/>
    <w:rsid w:val="00F576CB"/>
    <w:rsid w:val="00F628DA"/>
    <w:rsid w:val="00F63EB7"/>
    <w:rsid w:val="00F67C2E"/>
    <w:rsid w:val="00F71A02"/>
    <w:rsid w:val="00F80938"/>
    <w:rsid w:val="00FB6051"/>
    <w:rsid w:val="00FB6630"/>
    <w:rsid w:val="00FC4620"/>
    <w:rsid w:val="00FD1226"/>
    <w:rsid w:val="00FE27F6"/>
    <w:rsid w:val="00FF03AE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1237F8B"/>
  <w15:docId w15:val="{71296E5D-8BDD-4C42-81E0-A5DB0EDF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F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fr-FR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jc w:val="both"/>
    </w:pPr>
    <w:rPr>
      <w:rFonts w:ascii="Arial" w:eastAsia="SimSun" w:hAnsi="Arial" w:cs="Arial"/>
      <w:sz w:val="22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2F312A"/>
    <w:pPr>
      <w:ind w:left="720"/>
      <w:contextualSpacing/>
    </w:pPr>
  </w:style>
  <w:style w:type="paragraph" w:customStyle="1" w:styleId="COMParaDecision">
    <w:name w:val="COM Para Decision"/>
    <w:basedOn w:val="Normal"/>
    <w:qFormat/>
    <w:rsid w:val="008A1ED4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</w:rPr>
  </w:style>
  <w:style w:type="table" w:customStyle="1" w:styleId="TableGrid1">
    <w:name w:val="Table Grid1"/>
    <w:basedOn w:val="TableNormal"/>
    <w:uiPriority w:val="59"/>
    <w:rsid w:val="00191ADC"/>
    <w:rPr>
      <w:lang w:eastAsia="fr-F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TitleDecision">
    <w:name w:val="COM Title Decision"/>
    <w:basedOn w:val="Normal"/>
    <w:qFormat/>
    <w:rsid w:val="00391AC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91AC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91A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1AC6"/>
    <w:rPr>
      <w:rFonts w:ascii="Times New Roman" w:eastAsia="Times New Roman" w:hAnsi="Times New Roman"/>
      <w:lang w:val="fr-FR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391AC6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23AB"/>
    <w:rPr>
      <w:rFonts w:asciiTheme="minorHAnsi" w:eastAsiaTheme="minorEastAsia" w:hAnsiTheme="minorHAnsi" w:cstheme="minorBidi"/>
      <w:lang w:val="fr-FR" w:eastAsia="ja-JP"/>
    </w:rPr>
  </w:style>
  <w:style w:type="table" w:styleId="GridTable4-Accent1">
    <w:name w:val="Grid Table 4 Accent 1"/>
    <w:basedOn w:val="TableNormal"/>
    <w:uiPriority w:val="49"/>
    <w:rsid w:val="005823AB"/>
    <w:rPr>
      <w:lang w:eastAsia="fr-FR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1GAPara">
    <w:name w:val="1. GA Para"/>
    <w:qFormat/>
    <w:rsid w:val="00595AF2"/>
    <w:pPr>
      <w:snapToGrid w:val="0"/>
      <w:spacing w:after="120"/>
      <w:ind w:left="720" w:hanging="360"/>
    </w:pPr>
    <w:rPr>
      <w:rFonts w:ascii="Arial" w:eastAsia="Times New Roman" w:hAnsi="Arial" w:cs="Arial"/>
      <w:sz w:val="22"/>
      <w:szCs w:val="22"/>
      <w:lang w:eastAsia="en-US"/>
    </w:rPr>
  </w:style>
  <w:style w:type="table" w:styleId="TableGridLight">
    <w:name w:val="Grid Table Light"/>
    <w:basedOn w:val="TableNormal"/>
    <w:uiPriority w:val="40"/>
    <w:rsid w:val="00595A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F57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312B"/>
    <w:rPr>
      <w:color w:val="954F72" w:themeColor="followedHyperlink"/>
      <w:u w:val="single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67B"/>
    <w:rPr>
      <w:rFonts w:ascii="Times New Roman" w:eastAsia="Times New Roman" w:hAnsi="Times New Roman" w:cstheme="minorBidi"/>
      <w:b/>
      <w:bCs/>
      <w:lang w:val="fr-FR" w:eastAsia="fr-FR"/>
    </w:rPr>
  </w:style>
  <w:style w:type="paragraph" w:customStyle="1" w:styleId="COMPara">
    <w:name w:val="COM Para"/>
    <w:qFormat/>
    <w:rsid w:val="00A352E3"/>
    <w:pPr>
      <w:spacing w:after="12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857CC"/>
    <w:pPr>
      <w:spacing w:before="100" w:beforeAutospacing="1" w:after="100" w:afterAutospacing="1"/>
    </w:pPr>
    <w:rPr>
      <w:lang w:eastAsia="zh-CN"/>
    </w:rPr>
  </w:style>
  <w:style w:type="paragraph" w:customStyle="1" w:styleId="COMPreambulaDecision">
    <w:name w:val="COM Preambula Decision"/>
    <w:basedOn w:val="Marge"/>
    <w:qFormat/>
    <w:rsid w:val="00CB1EC8"/>
    <w:pPr>
      <w:keepNext/>
      <w:spacing w:after="120"/>
      <w:ind w:left="567"/>
    </w:pPr>
    <w:rPr>
      <w:rFonts w:eastAsia="SimSun" w:cs="Arial"/>
      <w:szCs w:val="22"/>
    </w:rPr>
  </w:style>
  <w:style w:type="paragraph" w:styleId="Revision">
    <w:name w:val="Revision"/>
    <w:hidden/>
    <w:uiPriority w:val="99"/>
    <w:semiHidden/>
    <w:rsid w:val="004B4588"/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ich.unesco.org/fr/Decisions/7.COM/15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ch.unesco.org/fr/Decisions/16.COM/15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fr/Decisions/16.COM/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ch.unesco.org/fr/Decisions/16.COM/15" TargetMode="External"/><Relationship Id="rId10" Type="http://schemas.openxmlformats.org/officeDocument/2006/relationships/hyperlink" Target="https://ich.unesco.org/fr/Decisions/16.COM/1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ch.unesco.org/fr/Decisions/8.GA/13" TargetMode="External"/><Relationship Id="rId14" Type="http://schemas.openxmlformats.org/officeDocument/2006/relationships/hyperlink" Target="https://ich.unesco.org/fr/Decisions/16.COM/15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fr/Decisions/12.COM/17" TargetMode="External"/><Relationship Id="rId3" Type="http://schemas.openxmlformats.org/officeDocument/2006/relationships/hyperlink" Target="https://ich.unesco.org/fr/Resolutions/5.GA/6" TargetMode="External"/><Relationship Id="rId7" Type="http://schemas.openxmlformats.org/officeDocument/2006/relationships/hyperlink" Target="https://ich.unesco.org/fr/Decisions/10.COM/16" TargetMode="External"/><Relationship Id="rId2" Type="http://schemas.openxmlformats.org/officeDocument/2006/relationships/hyperlink" Target="https://ich.unesco.org/fr/Resolutions/4.GA/6" TargetMode="External"/><Relationship Id="rId1" Type="http://schemas.openxmlformats.org/officeDocument/2006/relationships/hyperlink" Target="https://ich.unesco.org/fr/Resolutions/3.GA/7" TargetMode="External"/><Relationship Id="rId6" Type="http://schemas.openxmlformats.org/officeDocument/2006/relationships/hyperlink" Target="https://ich.unesco.org/fr/Decisions/8.GA/13" TargetMode="External"/><Relationship Id="rId5" Type="http://schemas.openxmlformats.org/officeDocument/2006/relationships/hyperlink" Target="https://ich.unesco.org/fr/Resolutions/7.GA/11" TargetMode="External"/><Relationship Id="rId10" Type="http://schemas.openxmlformats.org/officeDocument/2006/relationships/hyperlink" Target="https://ich.unesco.org/fr/Decisions/16.COM/15" TargetMode="External"/><Relationship Id="rId4" Type="http://schemas.openxmlformats.org/officeDocument/2006/relationships/hyperlink" Target="https://ich.unesco.org/fr/Decisions/6.GA/8" TargetMode="External"/><Relationship Id="rId9" Type="http://schemas.openxmlformats.org/officeDocument/2006/relationships/hyperlink" Target="https://ich.unesco.org/fr/Decisions/14.COM/17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Working%20document_EN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Figure 1. Répartition géographique des ONG accréditées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(184 au total en 2022)</a:t>
            </a:r>
          </a:p>
        </c:rich>
      </c:tx>
      <c:layout>
        <c:manualLayout>
          <c:xMode val="edge"/>
          <c:yMode val="edge"/>
          <c:x val="0.142140565762613"/>
          <c:y val="7.5915733535775326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Répartition géographique des ONG accréditées</c:v>
                </c:pt>
              </c:strCache>
            </c:strRef>
          </c:tx>
          <c:dPt>
            <c:idx val="0"/>
            <c:bubble3D val="0"/>
            <c:spPr>
              <a:pattFill prst="trellis">
                <a:fgClr>
                  <a:srgbClr val="FF0000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526-4F34-B287-2B5260B22392}"/>
              </c:ext>
            </c:extLst>
          </c:dPt>
          <c:dPt>
            <c:idx val="1"/>
            <c:bubble3D val="0"/>
            <c:spPr>
              <a:pattFill prst="pct90">
                <a:fgClr>
                  <a:srgbClr val="00B050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526-4F34-B287-2B5260B22392}"/>
              </c:ext>
            </c:extLst>
          </c:dPt>
          <c:dPt>
            <c:idx val="2"/>
            <c:bubble3D val="0"/>
            <c:spPr>
              <a:pattFill prst="pct60">
                <a:fgClr>
                  <a:srgbClr val="00B0F0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526-4F34-B287-2B5260B22392}"/>
              </c:ext>
            </c:extLst>
          </c:dPt>
          <c:dPt>
            <c:idx val="3"/>
            <c:bubble3D val="0"/>
            <c:spPr>
              <a:pattFill prst="narHorz">
                <a:fgClr>
                  <a:srgbClr val="7030A0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526-4F34-B287-2B5260B22392}"/>
              </c:ext>
            </c:extLst>
          </c:dPt>
          <c:dPt>
            <c:idx val="4"/>
            <c:bubble3D val="0"/>
            <c:spPr>
              <a:pattFill prst="pct90">
                <a:fgClr>
                  <a:srgbClr val="FFFF00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526-4F34-B287-2B5260B22392}"/>
              </c:ext>
            </c:extLst>
          </c:dPt>
          <c:dPt>
            <c:idx val="5"/>
            <c:bubble3D val="0"/>
            <c:spPr>
              <a:pattFill prst="pct80">
                <a:fgClr>
                  <a:schemeClr val="accent6">
                    <a:lumMod val="75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4526-4F34-B287-2B5260B22392}"/>
              </c:ext>
            </c:extLst>
          </c:dPt>
          <c:dLbls>
            <c:dLbl>
              <c:idx val="2"/>
              <c:layout>
                <c:manualLayout>
                  <c:x val="-1.1700011700011743E-2"/>
                  <c:y val="-1.438848920863309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526-4F34-B287-2B5260B22392}"/>
                </c:ext>
              </c:extLst>
            </c:dLbl>
            <c:dLbl>
              <c:idx val="5"/>
              <c:layout>
                <c:manualLayout>
                  <c:x val="3.087961396661667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Groupe V(b)</a:t>
                    </a:r>
                    <a:r>
                      <a:rPr lang="en-US" baseline="0"/>
                      <a:t>
</a:t>
                    </a:r>
                    <a:fld id="{A5B1BEE3-87DB-4944-B6BD-46F069BFA9A5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4526-4F34-B287-2B5260B2239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Sheet1!$A$2:$A$7</c:f>
              <c:strCache>
                <c:ptCount val="6"/>
                <c:pt idx="0">
                  <c:v>Groupe I</c:v>
                </c:pt>
                <c:pt idx="1">
                  <c:v>Groupe II</c:v>
                </c:pt>
                <c:pt idx="2">
                  <c:v>Groupe III</c:v>
                </c:pt>
                <c:pt idx="3">
                  <c:v>Groupe IV</c:v>
                </c:pt>
                <c:pt idx="4">
                  <c:v>Groupe V(a)</c:v>
                </c:pt>
                <c:pt idx="5">
                  <c:v>Groupe V(b)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99</c:v>
                </c:pt>
                <c:pt idx="1">
                  <c:v>20</c:v>
                </c:pt>
                <c:pt idx="2">
                  <c:v>10</c:v>
                </c:pt>
                <c:pt idx="3">
                  <c:v>25</c:v>
                </c:pt>
                <c:pt idx="4">
                  <c:v>23</c:v>
                </c:pt>
                <c:pt idx="5" formatCode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526-4F34-B287-2B5260B2239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14FDC-A5C7-477D-91CA-C3567963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GA_Working document_EN.dotx</Template>
  <TotalTime>214</TotalTime>
  <Pages>7</Pages>
  <Words>2030</Words>
  <Characters>11574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Shin, Eunkyung</dc:creator>
  <cp:keywords/>
  <cp:lastModifiedBy>Nakata, Julien</cp:lastModifiedBy>
  <cp:revision>68</cp:revision>
  <cp:lastPrinted>2022-06-03T12:39:00Z</cp:lastPrinted>
  <dcterms:created xsi:type="dcterms:W3CDTF">2022-05-30T14:37:00Z</dcterms:created>
  <dcterms:modified xsi:type="dcterms:W3CDTF">2022-06-03T22:13:00Z</dcterms:modified>
</cp:coreProperties>
</file>