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6D3C" w14:textId="2CF1CF31" w:rsidR="00655736" w:rsidRPr="00612323" w:rsidRDefault="00655736" w:rsidP="00655736">
      <w:pPr>
        <w:spacing w:before="1440"/>
        <w:jc w:val="center"/>
        <w:rPr>
          <w:rFonts w:ascii="Arial" w:hAnsi="Arial" w:cs="Arial"/>
          <w:b/>
          <w:sz w:val="22"/>
          <w:szCs w:val="22"/>
        </w:rPr>
      </w:pPr>
      <w:r w:rsidRPr="00612323">
        <w:rPr>
          <w:rFonts w:ascii="Arial" w:hAnsi="Arial"/>
          <w:b/>
          <w:sz w:val="22"/>
          <w:szCs w:val="22"/>
        </w:rPr>
        <w:t>CONVENCIÓN PARA LA SALVAGUARDIA</w:t>
      </w:r>
      <w:r w:rsidR="004C6C5F" w:rsidRPr="00612323">
        <w:rPr>
          <w:rFonts w:ascii="Arial" w:hAnsi="Arial"/>
          <w:b/>
          <w:sz w:val="22"/>
        </w:rPr>
        <w:br/>
      </w:r>
      <w:r w:rsidRPr="00612323">
        <w:rPr>
          <w:rFonts w:ascii="Arial" w:hAnsi="Arial"/>
          <w:b/>
          <w:sz w:val="22"/>
          <w:szCs w:val="22"/>
        </w:rPr>
        <w:t>DEL PATRIMONIO CULTURAL INMATERIAL</w:t>
      </w:r>
    </w:p>
    <w:p w14:paraId="2CDB5643" w14:textId="77777777" w:rsidR="00655736" w:rsidRPr="00612323" w:rsidRDefault="00D95C4C" w:rsidP="00655736">
      <w:pPr>
        <w:spacing w:before="1200"/>
        <w:jc w:val="center"/>
        <w:rPr>
          <w:rFonts w:ascii="Arial" w:hAnsi="Arial" w:cs="Arial"/>
          <w:b/>
          <w:sz w:val="22"/>
          <w:szCs w:val="22"/>
        </w:rPr>
      </w:pPr>
      <w:r w:rsidRPr="00612323">
        <w:rPr>
          <w:rFonts w:ascii="Arial" w:hAnsi="Arial"/>
          <w:b/>
          <w:sz w:val="22"/>
          <w:szCs w:val="22"/>
        </w:rPr>
        <w:t>ASAMBLEA GENERAL DE LOS ESTADOS PARTES EN LA CONVENCIÓN</w:t>
      </w:r>
    </w:p>
    <w:p w14:paraId="75891C68" w14:textId="17A6551A" w:rsidR="00D95C4C" w:rsidRPr="00612323" w:rsidRDefault="003265D0" w:rsidP="00D95C4C">
      <w:pPr>
        <w:spacing w:before="840"/>
        <w:jc w:val="center"/>
        <w:rPr>
          <w:rFonts w:ascii="Arial" w:hAnsi="Arial" w:cs="Arial"/>
          <w:b/>
          <w:sz w:val="22"/>
          <w:szCs w:val="22"/>
        </w:rPr>
      </w:pPr>
      <w:r w:rsidRPr="00612323">
        <w:rPr>
          <w:rFonts w:ascii="Arial" w:hAnsi="Arial"/>
          <w:b/>
          <w:sz w:val="22"/>
          <w:szCs w:val="22"/>
        </w:rPr>
        <w:t>Novena reunión</w:t>
      </w:r>
    </w:p>
    <w:p w14:paraId="2813BA58" w14:textId="77777777" w:rsidR="00D95C4C" w:rsidRPr="00612323" w:rsidRDefault="00D95C4C" w:rsidP="00D95C4C">
      <w:pPr>
        <w:jc w:val="center"/>
        <w:rPr>
          <w:rFonts w:ascii="Arial" w:hAnsi="Arial" w:cs="Arial"/>
          <w:b/>
          <w:sz w:val="22"/>
          <w:szCs w:val="22"/>
        </w:rPr>
      </w:pPr>
      <w:r w:rsidRPr="00612323">
        <w:rPr>
          <w:rFonts w:ascii="Arial" w:hAnsi="Arial"/>
          <w:b/>
          <w:sz w:val="22"/>
          <w:szCs w:val="22"/>
        </w:rPr>
        <w:t>Sede de la UNESCO, Sala I</w:t>
      </w:r>
    </w:p>
    <w:p w14:paraId="17E07F7D" w14:textId="5799B785" w:rsidR="00655736" w:rsidRPr="00612323" w:rsidRDefault="003265D0" w:rsidP="00D95C4C">
      <w:pPr>
        <w:jc w:val="center"/>
        <w:rPr>
          <w:rFonts w:ascii="Arial" w:hAnsi="Arial" w:cs="Arial"/>
          <w:b/>
          <w:sz w:val="22"/>
          <w:szCs w:val="22"/>
        </w:rPr>
      </w:pPr>
      <w:r w:rsidRPr="00612323">
        <w:rPr>
          <w:rFonts w:ascii="Arial" w:hAnsi="Arial"/>
          <w:b/>
          <w:sz w:val="22"/>
          <w:szCs w:val="22"/>
        </w:rPr>
        <w:t>5 a 7 de julio de 2022</w:t>
      </w:r>
    </w:p>
    <w:p w14:paraId="1A8796C2" w14:textId="5547A5AB" w:rsidR="00655736" w:rsidRPr="00612323" w:rsidRDefault="00655736" w:rsidP="00655736">
      <w:pPr>
        <w:pStyle w:val="Sansinterligne2"/>
        <w:spacing w:before="1200"/>
        <w:jc w:val="center"/>
        <w:rPr>
          <w:rFonts w:ascii="Arial" w:hAnsi="Arial" w:cs="Arial"/>
          <w:b/>
          <w:sz w:val="22"/>
          <w:szCs w:val="22"/>
        </w:rPr>
      </w:pPr>
      <w:r w:rsidRPr="00612323">
        <w:rPr>
          <w:rFonts w:ascii="Arial" w:hAnsi="Arial"/>
          <w:b/>
          <w:sz w:val="22"/>
          <w:szCs w:val="22"/>
          <w:u w:val="single"/>
        </w:rPr>
        <w:t>Punto 7 del orden del día provisional</w:t>
      </w:r>
      <w:r w:rsidRPr="00612323">
        <w:rPr>
          <w:rFonts w:ascii="Arial" w:hAnsi="Arial"/>
          <w:b/>
          <w:sz w:val="22"/>
          <w:szCs w:val="22"/>
        </w:rPr>
        <w:t>:</w:t>
      </w:r>
    </w:p>
    <w:p w14:paraId="5EAF5ABB" w14:textId="2C81D207" w:rsidR="002F312A" w:rsidRPr="00612323" w:rsidRDefault="00FB6051" w:rsidP="00246921">
      <w:pPr>
        <w:pStyle w:val="Sansinterligne2"/>
        <w:spacing w:after="1200"/>
        <w:jc w:val="center"/>
        <w:rPr>
          <w:rFonts w:ascii="Arial" w:hAnsi="Arial" w:cs="Arial"/>
          <w:b/>
          <w:sz w:val="22"/>
          <w:szCs w:val="22"/>
        </w:rPr>
      </w:pPr>
      <w:r w:rsidRPr="00612323">
        <w:rPr>
          <w:rFonts w:ascii="Arial" w:hAnsi="Arial"/>
          <w:b/>
          <w:sz w:val="22"/>
          <w:szCs w:val="22"/>
        </w:rPr>
        <w:t xml:space="preserve">Acreditación de organizaciones no gubernamentales </w:t>
      </w:r>
      <w:r w:rsidR="005C27DC" w:rsidRPr="00612323">
        <w:rPr>
          <w:rFonts w:ascii="Arial" w:hAnsi="Arial"/>
          <w:b/>
          <w:sz w:val="22"/>
          <w:szCs w:val="22"/>
        </w:rPr>
        <w:t>con fines de asistencia</w:t>
      </w:r>
      <w:r w:rsidR="004C6C5F" w:rsidRPr="00612323">
        <w:rPr>
          <w:rFonts w:ascii="Arial" w:hAnsi="Arial"/>
          <w:b/>
          <w:sz w:val="22"/>
        </w:rPr>
        <w:br/>
      </w:r>
      <w:r w:rsidRPr="00612323">
        <w:rPr>
          <w:rFonts w:ascii="Arial" w:hAnsi="Arial"/>
          <w:b/>
          <w:sz w:val="22"/>
          <w:szCs w:val="22"/>
        </w:rPr>
        <w:t>consultiva ante el Comité</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55736" w:rsidRPr="00612323" w14:paraId="796B6D01" w14:textId="77777777" w:rsidTr="007A6B7A">
        <w:trPr>
          <w:jc w:val="center"/>
        </w:trPr>
        <w:tc>
          <w:tcPr>
            <w:tcW w:w="5669" w:type="dxa"/>
            <w:vAlign w:val="center"/>
          </w:tcPr>
          <w:p w14:paraId="5452505D" w14:textId="35281FC5" w:rsidR="00972FCE" w:rsidRPr="00612323" w:rsidRDefault="00972FCE" w:rsidP="007A6B7A">
            <w:pPr>
              <w:pStyle w:val="Sansinterligne1"/>
              <w:spacing w:before="200" w:after="200"/>
              <w:jc w:val="center"/>
              <w:rPr>
                <w:rFonts w:ascii="Arial" w:hAnsi="Arial" w:cs="Arial"/>
                <w:b/>
                <w:bCs/>
                <w:sz w:val="22"/>
                <w:szCs w:val="22"/>
              </w:rPr>
            </w:pPr>
            <w:r w:rsidRPr="00612323">
              <w:rPr>
                <w:rFonts w:ascii="Arial" w:hAnsi="Arial"/>
                <w:b/>
                <w:sz w:val="22"/>
                <w:szCs w:val="22"/>
              </w:rPr>
              <w:t>Resumen</w:t>
            </w:r>
          </w:p>
          <w:p w14:paraId="16219C25" w14:textId="2DB3AC9E" w:rsidR="00CC0BE1" w:rsidRPr="00612323" w:rsidRDefault="00972FCE" w:rsidP="00246921">
            <w:pPr>
              <w:pStyle w:val="Sansinterligne2"/>
              <w:spacing w:before="200" w:after="200"/>
              <w:jc w:val="both"/>
              <w:rPr>
                <w:rFonts w:ascii="Arial" w:hAnsi="Arial" w:cs="Arial"/>
                <w:sz w:val="22"/>
                <w:szCs w:val="22"/>
              </w:rPr>
            </w:pPr>
            <w:r w:rsidRPr="00612323">
              <w:rPr>
                <w:rFonts w:ascii="Arial" w:hAnsi="Arial"/>
                <w:sz w:val="22"/>
                <w:szCs w:val="22"/>
              </w:rPr>
              <w:t xml:space="preserve">Se solicita a la presente </w:t>
            </w:r>
            <w:r w:rsidR="00F22381" w:rsidRPr="00612323">
              <w:rPr>
                <w:rFonts w:ascii="Arial" w:hAnsi="Arial"/>
                <w:sz w:val="22"/>
                <w:szCs w:val="22"/>
              </w:rPr>
              <w:t>reunión</w:t>
            </w:r>
            <w:r w:rsidRPr="00612323">
              <w:rPr>
                <w:rFonts w:ascii="Arial" w:hAnsi="Arial"/>
                <w:sz w:val="22"/>
                <w:szCs w:val="22"/>
              </w:rPr>
              <w:t xml:space="preserve"> de la Asamblea que, de conformidad con el artículo 9.1 de la Convención, decida sobre la acreditación de organizaciones no gubernamentales </w:t>
            </w:r>
            <w:r w:rsidR="005C27DC" w:rsidRPr="00612323">
              <w:rPr>
                <w:rFonts w:ascii="Arial" w:hAnsi="Arial"/>
                <w:sz w:val="22"/>
                <w:szCs w:val="22"/>
              </w:rPr>
              <w:t xml:space="preserve">con fines de asistencia </w:t>
            </w:r>
            <w:r w:rsidRPr="00612323">
              <w:rPr>
                <w:rFonts w:ascii="Arial" w:hAnsi="Arial"/>
                <w:sz w:val="22"/>
                <w:szCs w:val="22"/>
              </w:rPr>
              <w:t xml:space="preserve">consultiva ante el Comité, sobre la base de la propuesta de la decimosexta </w:t>
            </w:r>
            <w:r w:rsidR="00F22381" w:rsidRPr="00612323">
              <w:rPr>
                <w:rFonts w:ascii="Arial" w:hAnsi="Arial"/>
                <w:sz w:val="22"/>
                <w:szCs w:val="22"/>
              </w:rPr>
              <w:t>reunión</w:t>
            </w:r>
            <w:r w:rsidRPr="00612323">
              <w:rPr>
                <w:rFonts w:ascii="Arial" w:hAnsi="Arial"/>
                <w:sz w:val="22"/>
                <w:szCs w:val="22"/>
              </w:rPr>
              <w:t xml:space="preserve"> del Comité. También se presentan propuestas de </w:t>
            </w:r>
            <w:r w:rsidR="00293AF7" w:rsidRPr="00612323">
              <w:rPr>
                <w:rFonts w:ascii="Arial" w:hAnsi="Arial"/>
                <w:sz w:val="22"/>
                <w:szCs w:val="22"/>
              </w:rPr>
              <w:t>tratamiento de</w:t>
            </w:r>
            <w:r w:rsidRPr="00612323">
              <w:rPr>
                <w:rFonts w:ascii="Arial" w:hAnsi="Arial"/>
                <w:sz w:val="22"/>
                <w:szCs w:val="22"/>
              </w:rPr>
              <w:t xml:space="preserve"> solicitudes de acreditación y renovación.</w:t>
            </w:r>
          </w:p>
          <w:p w14:paraId="7D45CA36" w14:textId="60F1F094" w:rsidR="00655736" w:rsidRPr="00612323" w:rsidRDefault="00FB6630" w:rsidP="00CC0BE1">
            <w:pPr>
              <w:pStyle w:val="Sansinterligne2"/>
              <w:spacing w:after="120"/>
              <w:jc w:val="both"/>
              <w:rPr>
                <w:rFonts w:ascii="Arial" w:hAnsi="Arial" w:cs="Arial"/>
                <w:b/>
                <w:sz w:val="22"/>
                <w:szCs w:val="22"/>
              </w:rPr>
            </w:pPr>
            <w:r w:rsidRPr="00612323">
              <w:rPr>
                <w:rFonts w:ascii="Arial" w:hAnsi="Arial"/>
                <w:b/>
                <w:sz w:val="22"/>
                <w:szCs w:val="22"/>
              </w:rPr>
              <w:t xml:space="preserve">Decisión requerida: </w:t>
            </w:r>
            <w:r w:rsidRPr="00612323">
              <w:rPr>
                <w:rFonts w:ascii="Arial" w:hAnsi="Arial"/>
                <w:bCs/>
                <w:sz w:val="22"/>
                <w:szCs w:val="22"/>
              </w:rPr>
              <w:t>párrafo 13</w:t>
            </w:r>
          </w:p>
        </w:tc>
      </w:tr>
    </w:tbl>
    <w:p w14:paraId="3059674B" w14:textId="77777777" w:rsidR="00972FCE" w:rsidRPr="00612323" w:rsidRDefault="00972FCE">
      <w:pPr>
        <w:rPr>
          <w:rFonts w:ascii="Arial" w:hAnsi="Arial" w:cs="Arial"/>
          <w:b/>
          <w:sz w:val="22"/>
          <w:szCs w:val="22"/>
        </w:rPr>
      </w:pPr>
      <w:r w:rsidRPr="00612323">
        <w:br w:type="page"/>
      </w:r>
    </w:p>
    <w:p w14:paraId="4DF53EDE" w14:textId="23E55778" w:rsidR="00391AC6" w:rsidRPr="00612323" w:rsidRDefault="00391AC6" w:rsidP="00391AC6">
      <w:pPr>
        <w:pStyle w:val="COMTitleDecision"/>
        <w:tabs>
          <w:tab w:val="left" w:pos="709"/>
          <w:tab w:val="left" w:pos="1418"/>
          <w:tab w:val="left" w:pos="2127"/>
          <w:tab w:val="left" w:pos="2836"/>
          <w:tab w:val="left" w:pos="3545"/>
          <w:tab w:val="left" w:pos="4254"/>
          <w:tab w:val="left" w:pos="4963"/>
          <w:tab w:val="left" w:pos="5672"/>
          <w:tab w:val="left" w:pos="8628"/>
        </w:tabs>
        <w:spacing w:before="360" w:after="240"/>
        <w:ind w:hanging="567"/>
      </w:pPr>
      <w:r w:rsidRPr="00612323">
        <w:lastRenderedPageBreak/>
        <w:t xml:space="preserve">Introducción </w:t>
      </w:r>
    </w:p>
    <w:p w14:paraId="6CE498AF" w14:textId="2C020555" w:rsidR="00D51826" w:rsidRPr="00612323" w:rsidRDefault="00B8078F" w:rsidP="00D51826">
      <w:pPr>
        <w:pStyle w:val="COMTitleDecision"/>
        <w:keepNext w:val="0"/>
        <w:widowControl w:val="0"/>
        <w:numPr>
          <w:ilvl w:val="0"/>
          <w:numId w:val="20"/>
        </w:numPr>
        <w:spacing w:before="120"/>
        <w:ind w:left="567" w:hanging="567"/>
        <w:rPr>
          <w:b w:val="0"/>
        </w:rPr>
      </w:pPr>
      <w:r w:rsidRPr="00612323">
        <w:rPr>
          <w:b w:val="0"/>
          <w:bCs/>
        </w:rPr>
        <w:t>El artículo 9.1 de la Convención exige que el Comité proponga a la Asamblea General la acreditación de organizaciones no gubernamentales (ONG) de probada competencia en el terreno del patrimonio cultural inmaterial para ejercer funciones consultivas ante el Comité. Los criterios y modalidades de dicha acreditación se recogen en el capítulo III.2.2 de las Directrices Operativas (párrafos 91 a 99). Hasta la fecha, la Asamblea General ha acreditado a 267 organizaciones.</w:t>
      </w:r>
      <w:r w:rsidR="004368A3" w:rsidRPr="00246921">
        <w:rPr>
          <w:rStyle w:val="FootnoteReference"/>
          <w:b w:val="0"/>
          <w:snapToGrid w:val="0"/>
          <w:lang w:eastAsia="en-US"/>
        </w:rPr>
        <w:footnoteReference w:id="1"/>
      </w:r>
    </w:p>
    <w:p w14:paraId="26E62FA8" w14:textId="6E716C8E" w:rsidR="00361D79" w:rsidRPr="00612323" w:rsidRDefault="00361D79" w:rsidP="00921EDB">
      <w:pPr>
        <w:pStyle w:val="COMTitleDecision"/>
        <w:keepNext w:val="0"/>
        <w:widowControl w:val="0"/>
        <w:numPr>
          <w:ilvl w:val="0"/>
          <w:numId w:val="20"/>
        </w:numPr>
        <w:spacing w:before="120"/>
        <w:ind w:left="567" w:hanging="567"/>
        <w:rPr>
          <w:b w:val="0"/>
        </w:rPr>
      </w:pPr>
      <w:r w:rsidRPr="00612323">
        <w:rPr>
          <w:b w:val="0"/>
          <w:bCs/>
        </w:rPr>
        <w:t xml:space="preserve">La contribución y el compromiso de las ONG acreditadas son objeto de una revisión por parte del Comité cada cuatro años </w:t>
      </w:r>
      <w:r w:rsidR="0009103B" w:rsidRPr="00612323">
        <w:rPr>
          <w:b w:val="0"/>
          <w:bCs/>
        </w:rPr>
        <w:t>después de</w:t>
      </w:r>
      <w:r w:rsidRPr="00612323">
        <w:rPr>
          <w:b w:val="0"/>
          <w:bCs/>
        </w:rPr>
        <w:t xml:space="preserve"> la acreditación, sobre la base de las modalidades y procedimientos del proceso determinados en el capítulo III.2.2 de las Directrices Operativas (párrafos 92 a 95). Como resultado de dicha revisión, el Comité </w:t>
      </w:r>
      <w:r w:rsidR="00333DAB" w:rsidRPr="00612323">
        <w:rPr>
          <w:b w:val="0"/>
          <w:bCs/>
        </w:rPr>
        <w:t xml:space="preserve">puede </w:t>
      </w:r>
      <w:r w:rsidRPr="00612323">
        <w:rPr>
          <w:b w:val="0"/>
          <w:bCs/>
        </w:rPr>
        <w:t xml:space="preserve">decidir </w:t>
      </w:r>
      <w:r w:rsidR="00333DAB" w:rsidRPr="00612323">
        <w:rPr>
          <w:b w:val="0"/>
          <w:bCs/>
        </w:rPr>
        <w:t xml:space="preserve">sobre el </w:t>
      </w:r>
      <w:r w:rsidRPr="00612323">
        <w:rPr>
          <w:b w:val="0"/>
          <w:bCs/>
        </w:rPr>
        <w:t>manten</w:t>
      </w:r>
      <w:r w:rsidR="00333DAB" w:rsidRPr="00612323">
        <w:rPr>
          <w:b w:val="0"/>
          <w:bCs/>
        </w:rPr>
        <w:t xml:space="preserve">imiento </w:t>
      </w:r>
      <w:r w:rsidRPr="00612323">
        <w:rPr>
          <w:b w:val="0"/>
          <w:bCs/>
        </w:rPr>
        <w:t xml:space="preserve">o </w:t>
      </w:r>
      <w:r w:rsidR="00333DAB" w:rsidRPr="00612323">
        <w:rPr>
          <w:b w:val="0"/>
          <w:bCs/>
        </w:rPr>
        <w:t>el cese de</w:t>
      </w:r>
      <w:r w:rsidRPr="00612323">
        <w:rPr>
          <w:b w:val="0"/>
          <w:bCs/>
        </w:rPr>
        <w:t xml:space="preserve"> las relaciones con las ONG en cuestión. Tras las decisiones del Comité a este respecto en los últimos ciclos</w:t>
      </w:r>
      <w:r w:rsidR="00C01618" w:rsidRPr="00246921">
        <w:rPr>
          <w:rStyle w:val="FootnoteReference"/>
          <w:b w:val="0"/>
          <w:snapToGrid w:val="0"/>
          <w:lang w:eastAsia="en-US"/>
        </w:rPr>
        <w:footnoteReference w:id="2"/>
      </w:r>
      <w:r w:rsidRPr="00612323">
        <w:rPr>
          <w:b w:val="0"/>
          <w:bCs/>
        </w:rPr>
        <w:t xml:space="preserve">, </w:t>
      </w:r>
      <w:r w:rsidR="0009103B" w:rsidRPr="00612323">
        <w:rPr>
          <w:b w:val="0"/>
          <w:bCs/>
        </w:rPr>
        <w:t xml:space="preserve">actualmente hay </w:t>
      </w:r>
      <w:r w:rsidRPr="00612323">
        <w:rPr>
          <w:b w:val="0"/>
          <w:bCs/>
        </w:rPr>
        <w:t xml:space="preserve">184 </w:t>
      </w:r>
      <w:r w:rsidRPr="00612323">
        <w:rPr>
          <w:b w:val="0"/>
          <w:snapToGrid w:val="0"/>
        </w:rPr>
        <w:t xml:space="preserve">ONG acreditadas para ejercer funciones consultivas ante el Comité. Su </w:t>
      </w:r>
      <w:r w:rsidRPr="00612323">
        <w:rPr>
          <w:b w:val="0"/>
        </w:rPr>
        <w:t>distribución geográfica</w:t>
      </w:r>
      <w:r w:rsidRPr="00612323">
        <w:rPr>
          <w:b w:val="0"/>
          <w:snapToGrid w:val="0"/>
        </w:rPr>
        <w:t xml:space="preserve"> es la siguiente (</w:t>
      </w:r>
      <w:r w:rsidR="00141B2E" w:rsidRPr="00612323">
        <w:rPr>
          <w:b w:val="0"/>
          <w:snapToGrid w:val="0"/>
        </w:rPr>
        <w:t>Figura </w:t>
      </w:r>
      <w:r w:rsidRPr="00612323">
        <w:rPr>
          <w:b w:val="0"/>
          <w:snapToGrid w:val="0"/>
        </w:rPr>
        <w:t>1): Grupo electoral I: 99; Grupo Electoral II: 20; Grupo Electoral III: 10; Grupo Electoral IV: 25; Grupo Electoral V(a): 23 y Grupo Electoral V(b): 7.</w:t>
      </w:r>
    </w:p>
    <w:p w14:paraId="4EDFF711" w14:textId="4FA236EC" w:rsidR="00B715A7" w:rsidRPr="00612323" w:rsidRDefault="0009103B" w:rsidP="00246921">
      <w:pPr>
        <w:pStyle w:val="COMTitleDecision"/>
        <w:keepNext w:val="0"/>
        <w:widowControl w:val="0"/>
        <w:spacing w:after="240"/>
        <w:jc w:val="center"/>
        <w:rPr>
          <w:b w:val="0"/>
          <w:bCs/>
        </w:rPr>
      </w:pPr>
      <w:r w:rsidRPr="00246921">
        <w:rPr>
          <w:b w:val="0"/>
          <w:noProof/>
          <w:lang w:eastAsia="es-ES"/>
        </w:rPr>
        <w:drawing>
          <wp:inline distT="0" distB="0" distL="0" distR="0" wp14:anchorId="1D21D98C" wp14:editId="0512D254">
            <wp:extent cx="5427879" cy="2648103"/>
            <wp:effectExtent l="0" t="0" r="190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967A77" w14:textId="10BCBE8E" w:rsidR="00814BD6" w:rsidRPr="00612323" w:rsidRDefault="00814BD6" w:rsidP="00814BD6">
      <w:pPr>
        <w:pStyle w:val="COMTitleDecision"/>
        <w:keepNext w:val="0"/>
        <w:widowControl w:val="0"/>
        <w:numPr>
          <w:ilvl w:val="0"/>
          <w:numId w:val="20"/>
        </w:numPr>
        <w:spacing w:before="120"/>
        <w:ind w:left="567" w:hanging="567"/>
        <w:rPr>
          <w:rFonts w:eastAsia="SimSun"/>
          <w:b w:val="0"/>
          <w:bCs/>
        </w:rPr>
      </w:pPr>
      <w:r w:rsidRPr="00612323">
        <w:rPr>
          <w:b w:val="0"/>
          <w:bCs/>
        </w:rPr>
        <w:t xml:space="preserve">La representación geográfica de las ONG acreditadas sigue siendo desequilibrada. En su octava </w:t>
      </w:r>
      <w:r w:rsidR="009A4FA3" w:rsidRPr="00612323">
        <w:rPr>
          <w:b w:val="0"/>
          <w:bCs/>
        </w:rPr>
        <w:t>reunión</w:t>
      </w:r>
      <w:r w:rsidRPr="00612323">
        <w:rPr>
          <w:b w:val="0"/>
          <w:bCs/>
        </w:rPr>
        <w:t xml:space="preserve">, la Asamblea General invitó a las ONG de grupos electorales subrepresentados que cumplen los criterios de acreditación a presentar sus solicitudes de acreditación lo antes posible, con miras a mejorar la distribución geográfica de las organizaciones acreditadas (Resolución </w:t>
      </w:r>
      <w:hyperlink r:id="rId9" w:history="1">
        <w:r w:rsidRPr="00612323">
          <w:rPr>
            <w:rStyle w:val="Hyperlink"/>
            <w:b w:val="0"/>
            <w:bCs/>
          </w:rPr>
          <w:t>8.</w:t>
        </w:r>
        <w:r w:rsidR="00DC644D" w:rsidRPr="00612323">
          <w:rPr>
            <w:rStyle w:val="Hyperlink"/>
            <w:b w:val="0"/>
            <w:bCs/>
          </w:rPr>
          <w:t>GA </w:t>
        </w:r>
        <w:r w:rsidRPr="00612323">
          <w:rPr>
            <w:rStyle w:val="Hyperlink"/>
            <w:b w:val="0"/>
            <w:bCs/>
          </w:rPr>
          <w:t>13</w:t>
        </w:r>
      </w:hyperlink>
      <w:r w:rsidRPr="00612323">
        <w:rPr>
          <w:b w:val="0"/>
          <w:bCs/>
        </w:rPr>
        <w:t xml:space="preserve">). En la decimosexta </w:t>
      </w:r>
      <w:r w:rsidR="009A4FA3" w:rsidRPr="00612323">
        <w:rPr>
          <w:b w:val="0"/>
          <w:bCs/>
        </w:rPr>
        <w:t>reunión</w:t>
      </w:r>
      <w:r w:rsidR="005158C5" w:rsidRPr="00612323">
        <w:rPr>
          <w:b w:val="0"/>
          <w:bCs/>
        </w:rPr>
        <w:t xml:space="preserve"> </w:t>
      </w:r>
      <w:r w:rsidRPr="00612323">
        <w:rPr>
          <w:b w:val="0"/>
          <w:bCs/>
        </w:rPr>
        <w:t>del Comité se consideró que la distribución geográfica de las ONG acreditadas sigue siendo desigual, y se invitó a los Estados Partes de los grupos electorales subrepresentados a alentar a las ONG que operan en sus territorios a presentar solicitudes de acreditación (Decisión</w:t>
      </w:r>
      <w:r w:rsidR="005158C5" w:rsidRPr="00612323">
        <w:rPr>
          <w:b w:val="0"/>
          <w:bCs/>
        </w:rPr>
        <w:t> </w:t>
      </w:r>
      <w:hyperlink r:id="rId10" w:history="1">
        <w:r w:rsidRPr="00612323">
          <w:rPr>
            <w:rStyle w:val="Hyperlink"/>
            <w:rFonts w:asciiTheme="minorBidi" w:hAnsiTheme="minorBidi"/>
            <w:b w:val="0"/>
            <w:bCs/>
            <w:snapToGrid w:val="0"/>
          </w:rPr>
          <w:t>16.</w:t>
        </w:r>
        <w:r w:rsidR="00DC644D" w:rsidRPr="00612323">
          <w:rPr>
            <w:rStyle w:val="Hyperlink"/>
            <w:rFonts w:asciiTheme="minorBidi" w:hAnsiTheme="minorBidi"/>
            <w:b w:val="0"/>
            <w:bCs/>
            <w:snapToGrid w:val="0"/>
          </w:rPr>
          <w:t>COM </w:t>
        </w:r>
        <w:r w:rsidRPr="00612323">
          <w:rPr>
            <w:rStyle w:val="Hyperlink"/>
            <w:rFonts w:asciiTheme="minorBidi" w:hAnsiTheme="minorBidi"/>
            <w:b w:val="0"/>
            <w:bCs/>
            <w:snapToGrid w:val="0"/>
          </w:rPr>
          <w:t>15</w:t>
        </w:r>
      </w:hyperlink>
      <w:r w:rsidRPr="00612323">
        <w:rPr>
          <w:b w:val="0"/>
          <w:bCs/>
        </w:rPr>
        <w:t>).</w:t>
      </w:r>
    </w:p>
    <w:p w14:paraId="20E3D5C7" w14:textId="5BBE2EDF" w:rsidR="009320D9" w:rsidRPr="00612323" w:rsidRDefault="00CD3FDF" w:rsidP="00921EDB">
      <w:pPr>
        <w:pStyle w:val="COMTitleDecision"/>
        <w:numPr>
          <w:ilvl w:val="0"/>
          <w:numId w:val="28"/>
        </w:numPr>
        <w:ind w:left="567" w:hanging="567"/>
      </w:pPr>
      <w:r w:rsidRPr="00612323">
        <w:lastRenderedPageBreak/>
        <w:t xml:space="preserve">Acreditación de ONG recomendada </w:t>
      </w:r>
      <w:r w:rsidR="00081A8C" w:rsidRPr="00612323">
        <w:t xml:space="preserve">por </w:t>
      </w:r>
      <w:r w:rsidRPr="00612323">
        <w:t>la decimosexta reunión del Comité</w:t>
      </w:r>
    </w:p>
    <w:p w14:paraId="4B3983FF" w14:textId="41B02282" w:rsidR="001D70CC" w:rsidRPr="00612323" w:rsidRDefault="00D51E08" w:rsidP="00921EDB">
      <w:pPr>
        <w:pStyle w:val="COMTitleDecision"/>
        <w:numPr>
          <w:ilvl w:val="0"/>
          <w:numId w:val="20"/>
        </w:numPr>
        <w:spacing w:before="120"/>
        <w:ind w:left="567" w:hanging="567"/>
        <w:rPr>
          <w:bCs/>
          <w:snapToGrid w:val="0"/>
        </w:rPr>
      </w:pPr>
      <w:r w:rsidRPr="00612323">
        <w:rPr>
          <w:b w:val="0"/>
        </w:rPr>
        <w:t xml:space="preserve">En su decimosexta </w:t>
      </w:r>
      <w:r w:rsidR="00F22381" w:rsidRPr="00612323">
        <w:rPr>
          <w:b w:val="0"/>
        </w:rPr>
        <w:t>reunión</w:t>
      </w:r>
      <w:r w:rsidRPr="00612323">
        <w:rPr>
          <w:b w:val="0"/>
        </w:rPr>
        <w:t xml:space="preserve"> de 2021, el Comité examinó las </w:t>
      </w:r>
      <w:r w:rsidRPr="00612323">
        <w:rPr>
          <w:b w:val="0"/>
          <w:bCs/>
        </w:rPr>
        <w:t>nuevas solicitudes de acreditación de 46 ONG, y recomendó que la Asamblea General acreditara a 32 de ellas (</w:t>
      </w:r>
      <w:r w:rsidR="00FB0C9E" w:rsidRPr="00612323">
        <w:rPr>
          <w:b w:val="0"/>
          <w:bCs/>
        </w:rPr>
        <w:t>Decisión </w:t>
      </w:r>
      <w:hyperlink r:id="rId11" w:history="1">
        <w:r w:rsidRPr="00612323">
          <w:rPr>
            <w:rStyle w:val="Hyperlink"/>
            <w:rFonts w:asciiTheme="minorBidi" w:hAnsiTheme="minorBidi"/>
            <w:b w:val="0"/>
            <w:bCs/>
            <w:snapToGrid w:val="0"/>
          </w:rPr>
          <w:t>16.</w:t>
        </w:r>
        <w:r w:rsidR="00FB0C9E" w:rsidRPr="00612323">
          <w:rPr>
            <w:rStyle w:val="Hyperlink"/>
            <w:rFonts w:asciiTheme="minorBidi" w:hAnsiTheme="minorBidi"/>
            <w:b w:val="0"/>
            <w:bCs/>
            <w:snapToGrid w:val="0"/>
          </w:rPr>
          <w:t>COM </w:t>
        </w:r>
        <w:r w:rsidRPr="00612323">
          <w:rPr>
            <w:rStyle w:val="Hyperlink"/>
            <w:rFonts w:asciiTheme="minorBidi" w:hAnsiTheme="minorBidi"/>
            <w:b w:val="0"/>
            <w:bCs/>
            <w:snapToGrid w:val="0"/>
          </w:rPr>
          <w:t>15</w:t>
        </w:r>
      </w:hyperlink>
      <w:r w:rsidRPr="00612323">
        <w:rPr>
          <w:b w:val="0"/>
          <w:bCs/>
        </w:rPr>
        <w:t>). Estas organizaciones se enumeran en el anexo I. En la página web de la Convención están disponibles</w:t>
      </w:r>
      <w:r w:rsidR="00081A8C" w:rsidRPr="00612323">
        <w:rPr>
          <w:b w:val="0"/>
          <w:bCs/>
        </w:rPr>
        <w:t>, en la lengua en la que se presentaron,</w:t>
      </w:r>
      <w:r w:rsidRPr="00612323">
        <w:rPr>
          <w:b w:val="0"/>
          <w:bCs/>
        </w:rPr>
        <w:t xml:space="preserve"> todas las solicitudes que se completaron dentro de plazo para su examen por el Comité, a saber, el formulario ICH-09 </w:t>
      </w:r>
      <w:r w:rsidR="00081A8C" w:rsidRPr="00612323">
        <w:rPr>
          <w:b w:val="0"/>
          <w:bCs/>
        </w:rPr>
        <w:t xml:space="preserve">rellenado </w:t>
      </w:r>
      <w:r w:rsidRPr="00612323">
        <w:rPr>
          <w:b w:val="0"/>
          <w:bCs/>
        </w:rPr>
        <w:t>por cada organización, junto con documentos complementarios relativos a los puntos 8.a, 8.b y 8.c de dicho formulario.</w:t>
      </w:r>
    </w:p>
    <w:p w14:paraId="729D2013" w14:textId="08DCF504" w:rsidR="00DB0EC9" w:rsidRPr="00612323" w:rsidRDefault="00DB0EC9" w:rsidP="00921EDB">
      <w:pPr>
        <w:pStyle w:val="COMTitleDecision"/>
        <w:numPr>
          <w:ilvl w:val="0"/>
          <w:numId w:val="28"/>
        </w:numPr>
        <w:ind w:left="567" w:hanging="567"/>
      </w:pPr>
      <w:r w:rsidRPr="00612323">
        <w:t>Organizaciones no gubernamentales cuyo examen</w:t>
      </w:r>
      <w:r w:rsidR="00905D22" w:rsidRPr="00612323">
        <w:t xml:space="preserve"> de acreditación</w:t>
      </w:r>
      <w:r w:rsidRPr="00612323">
        <w:t xml:space="preserve"> se aplazó a la Asamblea</w:t>
      </w:r>
      <w:r w:rsidRPr="00612323">
        <w:rPr>
          <w:bCs/>
          <w:snapToGrid w:val="0"/>
        </w:rPr>
        <w:t xml:space="preserve"> General </w:t>
      </w:r>
      <w:r w:rsidR="00905D22" w:rsidRPr="00612323">
        <w:rPr>
          <w:bCs/>
          <w:snapToGrid w:val="0"/>
        </w:rPr>
        <w:t>durante</w:t>
      </w:r>
      <w:r w:rsidR="009D17E4" w:rsidRPr="00612323">
        <w:rPr>
          <w:bCs/>
          <w:snapToGrid w:val="0"/>
        </w:rPr>
        <w:t xml:space="preserve"> </w:t>
      </w:r>
      <w:r w:rsidRPr="00612323">
        <w:rPr>
          <w:bCs/>
          <w:snapToGrid w:val="0"/>
        </w:rPr>
        <w:t xml:space="preserve">la decimosexta </w:t>
      </w:r>
      <w:r w:rsidR="00F22381" w:rsidRPr="00612323">
        <w:rPr>
          <w:bCs/>
          <w:snapToGrid w:val="0"/>
        </w:rPr>
        <w:t>reunión</w:t>
      </w:r>
      <w:r w:rsidRPr="00612323">
        <w:rPr>
          <w:bCs/>
          <w:snapToGrid w:val="0"/>
        </w:rPr>
        <w:t xml:space="preserve"> del Comité</w:t>
      </w:r>
    </w:p>
    <w:p w14:paraId="57044B23" w14:textId="551FDCAF" w:rsidR="008712A4" w:rsidRPr="00612323" w:rsidRDefault="00B770B1" w:rsidP="00921EDB">
      <w:pPr>
        <w:pStyle w:val="COMTitleDecision"/>
        <w:numPr>
          <w:ilvl w:val="0"/>
          <w:numId w:val="20"/>
        </w:numPr>
        <w:spacing w:before="120"/>
        <w:ind w:left="567" w:hanging="567"/>
        <w:rPr>
          <w:rFonts w:eastAsia="SimSun"/>
          <w:b w:val="0"/>
          <w:bCs/>
        </w:rPr>
      </w:pPr>
      <w:r w:rsidRPr="00612323">
        <w:rPr>
          <w:b w:val="0"/>
        </w:rPr>
        <w:t xml:space="preserve">Durante su decimosexta </w:t>
      </w:r>
      <w:r w:rsidR="00F22381" w:rsidRPr="00612323">
        <w:rPr>
          <w:b w:val="0"/>
        </w:rPr>
        <w:t>reunión</w:t>
      </w:r>
      <w:r w:rsidRPr="00612323">
        <w:rPr>
          <w:b w:val="0"/>
        </w:rPr>
        <w:t xml:space="preserve">, el 19 de diciembre de 2021, se informó al Comité de inquietudes planteadas por México (en forma de </w:t>
      </w:r>
      <w:r w:rsidRPr="00612323">
        <w:rPr>
          <w:b w:val="0"/>
          <w:bCs/>
        </w:rPr>
        <w:t>dos notas verbales con fecha de 13 de diciembre de 2021</w:t>
      </w:r>
      <w:r w:rsidRPr="00612323">
        <w:rPr>
          <w:b w:val="0"/>
        </w:rPr>
        <w:t xml:space="preserve">) con respecto a las solicitudes de acreditación realizadas por las dos ONG siguientes (que también figuran en el </w:t>
      </w:r>
      <w:r w:rsidR="0084016C" w:rsidRPr="00612323">
        <w:rPr>
          <w:b w:val="0"/>
        </w:rPr>
        <w:t>a</w:t>
      </w:r>
      <w:r w:rsidRPr="00612323">
        <w:rPr>
          <w:b w:val="0"/>
        </w:rPr>
        <w:t>nexo II):</w:t>
      </w:r>
    </w:p>
    <w:p w14:paraId="54281E88" w14:textId="77777777" w:rsidR="002930BC" w:rsidRPr="00612323" w:rsidRDefault="002930BC" w:rsidP="002930BC">
      <w:pPr>
        <w:pStyle w:val="COMTitleDecision"/>
        <w:keepNext w:val="0"/>
        <w:widowControl w:val="0"/>
        <w:numPr>
          <w:ilvl w:val="0"/>
          <w:numId w:val="39"/>
        </w:numPr>
        <w:spacing w:before="120"/>
        <w:rPr>
          <w:b w:val="0"/>
        </w:rPr>
      </w:pPr>
      <w:r w:rsidRPr="00612323">
        <w:rPr>
          <w:b w:val="0"/>
        </w:rPr>
        <w:t>Desarrollo Gradual Directo, Asociación Civil (NGO-90481), con sede en México</w:t>
      </w:r>
    </w:p>
    <w:p w14:paraId="1292994E" w14:textId="37CDBDC4" w:rsidR="008712A4" w:rsidRPr="00612323" w:rsidRDefault="0047616F" w:rsidP="0047616F">
      <w:pPr>
        <w:pStyle w:val="COMTitleDecision"/>
        <w:keepNext w:val="0"/>
        <w:widowControl w:val="0"/>
        <w:numPr>
          <w:ilvl w:val="0"/>
          <w:numId w:val="39"/>
        </w:numPr>
        <w:spacing w:before="120"/>
        <w:rPr>
          <w:b w:val="0"/>
        </w:rPr>
      </w:pPr>
      <w:r w:rsidRPr="00612323">
        <w:rPr>
          <w:b w:val="0"/>
        </w:rPr>
        <w:t>Instituto del Patrimonio Cultural Inmaterial IPACIM (NG</w:t>
      </w:r>
      <w:r w:rsidR="00BC1075" w:rsidRPr="00612323">
        <w:rPr>
          <w:b w:val="0"/>
        </w:rPr>
        <w:t>O</w:t>
      </w:r>
      <w:r w:rsidRPr="00612323">
        <w:rPr>
          <w:b w:val="0"/>
        </w:rPr>
        <w:t>-90493), con sede en España</w:t>
      </w:r>
    </w:p>
    <w:p w14:paraId="634ED811" w14:textId="1D28B13E" w:rsidR="006968E3" w:rsidRPr="00612323" w:rsidRDefault="00D90ABA" w:rsidP="00921EDB">
      <w:pPr>
        <w:pStyle w:val="COMTitleDecision"/>
        <w:keepNext w:val="0"/>
        <w:widowControl w:val="0"/>
        <w:numPr>
          <w:ilvl w:val="0"/>
          <w:numId w:val="20"/>
        </w:numPr>
        <w:spacing w:before="120"/>
        <w:ind w:left="567" w:hanging="567"/>
        <w:rPr>
          <w:rFonts w:eastAsia="SimSun"/>
          <w:b w:val="0"/>
          <w:bCs/>
        </w:rPr>
      </w:pPr>
      <w:r w:rsidRPr="00612323">
        <w:rPr>
          <w:b w:val="0"/>
        </w:rPr>
        <w:t xml:space="preserve">Dada la escasa antelación, el Comité consideró que faltaba información para determinar si estas dos organizaciones cumplían o no los criterios establecidos en el párrafo 91 de las Directrices Operativas. </w:t>
      </w:r>
      <w:r w:rsidRPr="00612323">
        <w:rPr>
          <w:b w:val="0"/>
          <w:bCs/>
        </w:rPr>
        <w:t xml:space="preserve">La decisión del Comité fue aplazar el examen de las solicitudes de acreditación en cuestión a la Asamblea General sobre la base de la información adicional </w:t>
      </w:r>
      <w:r w:rsidR="00BC1075" w:rsidRPr="00612323">
        <w:rPr>
          <w:b w:val="0"/>
          <w:bCs/>
        </w:rPr>
        <w:t xml:space="preserve">que </w:t>
      </w:r>
      <w:r w:rsidRPr="00612323">
        <w:rPr>
          <w:b w:val="0"/>
          <w:bCs/>
        </w:rPr>
        <w:t xml:space="preserve">se </w:t>
      </w:r>
      <w:r w:rsidR="008D2BA1" w:rsidRPr="00612323">
        <w:rPr>
          <w:b w:val="0"/>
          <w:bCs/>
        </w:rPr>
        <w:t>proporcionaría</w:t>
      </w:r>
      <w:r w:rsidRPr="00612323">
        <w:rPr>
          <w:b w:val="0"/>
          <w:bCs/>
        </w:rPr>
        <w:t xml:space="preserve"> antes de su novena </w:t>
      </w:r>
      <w:r w:rsidR="00F22381" w:rsidRPr="00612323">
        <w:rPr>
          <w:b w:val="0"/>
          <w:bCs/>
        </w:rPr>
        <w:t>reunión</w:t>
      </w:r>
      <w:r w:rsidRPr="00612323">
        <w:rPr>
          <w:b w:val="0"/>
          <w:bCs/>
        </w:rPr>
        <w:t xml:space="preserve"> (Decisión </w:t>
      </w:r>
      <w:hyperlink r:id="rId12" w:history="1">
        <w:r w:rsidRPr="00612323">
          <w:rPr>
            <w:rStyle w:val="Hyperlink"/>
            <w:rFonts w:asciiTheme="minorBidi" w:hAnsiTheme="minorBidi"/>
            <w:b w:val="0"/>
            <w:bCs/>
            <w:snapToGrid w:val="0"/>
          </w:rPr>
          <w:t>16.</w:t>
        </w:r>
        <w:r w:rsidR="00937A34" w:rsidRPr="00612323">
          <w:rPr>
            <w:rStyle w:val="Hyperlink"/>
            <w:rFonts w:asciiTheme="minorBidi" w:hAnsiTheme="minorBidi"/>
            <w:b w:val="0"/>
            <w:bCs/>
            <w:snapToGrid w:val="0"/>
          </w:rPr>
          <w:t>COM </w:t>
        </w:r>
        <w:r w:rsidRPr="00612323">
          <w:rPr>
            <w:rStyle w:val="Hyperlink"/>
            <w:rFonts w:asciiTheme="minorBidi" w:hAnsiTheme="minorBidi"/>
            <w:b w:val="0"/>
            <w:bCs/>
            <w:snapToGrid w:val="0"/>
          </w:rPr>
          <w:t>15</w:t>
        </w:r>
      </w:hyperlink>
      <w:r w:rsidRPr="00612323">
        <w:rPr>
          <w:b w:val="0"/>
          <w:bCs/>
        </w:rPr>
        <w:t>).</w:t>
      </w:r>
    </w:p>
    <w:p w14:paraId="01BDEA50" w14:textId="3D244D19" w:rsidR="00D7505E" w:rsidRPr="00612323" w:rsidRDefault="001862DB" w:rsidP="00921EDB">
      <w:pPr>
        <w:pStyle w:val="COMTitleDecision"/>
        <w:keepNext w:val="0"/>
        <w:widowControl w:val="0"/>
        <w:numPr>
          <w:ilvl w:val="0"/>
          <w:numId w:val="20"/>
        </w:numPr>
        <w:spacing w:before="120"/>
        <w:ind w:left="567" w:hanging="567"/>
        <w:rPr>
          <w:rFonts w:eastAsia="SimSun"/>
          <w:b w:val="0"/>
          <w:bCs/>
        </w:rPr>
      </w:pPr>
      <w:r w:rsidRPr="00612323">
        <w:rPr>
          <w:b w:val="0"/>
          <w:bCs/>
        </w:rPr>
        <w:t>La Secretaría escribió a las autoridades nacionales de M</w:t>
      </w:r>
      <w:r w:rsidR="00BC1075" w:rsidRPr="00612323">
        <w:rPr>
          <w:b w:val="0"/>
          <w:bCs/>
        </w:rPr>
        <w:t>éxico el 7 de marzo de 2022 con los siguientes fines</w:t>
      </w:r>
      <w:r w:rsidRPr="00612323">
        <w:rPr>
          <w:b w:val="0"/>
          <w:bCs/>
        </w:rPr>
        <w:t>: (a) notificar que las notas verbales se transmitirán a las organizaciones interesadas, así como a las autoridades nacionales de España en relación con el caso de la NG</w:t>
      </w:r>
      <w:r w:rsidR="00BC1075" w:rsidRPr="00612323">
        <w:rPr>
          <w:b w:val="0"/>
          <w:bCs/>
        </w:rPr>
        <w:t>O</w:t>
      </w:r>
      <w:r w:rsidRPr="00612323">
        <w:rPr>
          <w:b w:val="0"/>
          <w:bCs/>
        </w:rPr>
        <w:t xml:space="preserve">-90493, y (b) preguntar si las autoridades nacionales de México deseaban añadir información complementaria. La respuesta de México recibida el 21 de marzo de 2022 se transmitió debidamente el 18 de mayo de 2022 en su idioma original (español), junto con las dos notas verbales iniciales, a las dos ONG interesadas y a España. </w:t>
      </w:r>
      <w:r w:rsidR="0014711A" w:rsidRPr="00612323">
        <w:rPr>
          <w:b w:val="0"/>
          <w:bCs/>
        </w:rPr>
        <w:t xml:space="preserve">Las respuestas de las dos ONG se recibieron el 31 de mayo de 2022 </w:t>
      </w:r>
      <w:r w:rsidR="003B4EA1" w:rsidRPr="00612323">
        <w:rPr>
          <w:b w:val="0"/>
          <w:bCs/>
        </w:rPr>
        <w:t>en lo que se refiere a la NGO</w:t>
      </w:r>
      <w:r w:rsidR="0014711A" w:rsidRPr="00612323">
        <w:rPr>
          <w:b w:val="0"/>
          <w:bCs/>
        </w:rPr>
        <w:t xml:space="preserve">-90481 y el 2 de junio de 2022 por parte de </w:t>
      </w:r>
      <w:r w:rsidR="003B4EA1" w:rsidRPr="00612323">
        <w:rPr>
          <w:b w:val="0"/>
          <w:bCs/>
        </w:rPr>
        <w:t>la NGO-</w:t>
      </w:r>
      <w:r w:rsidR="0014711A" w:rsidRPr="00612323">
        <w:rPr>
          <w:b w:val="0"/>
          <w:bCs/>
        </w:rPr>
        <w:t xml:space="preserve">90493, mientras que no se han recibido comentarios de España en el momento de </w:t>
      </w:r>
      <w:r w:rsidR="003B4EA1" w:rsidRPr="00612323">
        <w:rPr>
          <w:b w:val="0"/>
          <w:bCs/>
        </w:rPr>
        <w:t>la redacción de</w:t>
      </w:r>
      <w:r w:rsidR="0014711A" w:rsidRPr="00612323">
        <w:rPr>
          <w:b w:val="0"/>
          <w:bCs/>
        </w:rPr>
        <w:t xml:space="preserve"> este documento. </w:t>
      </w:r>
      <w:r w:rsidRPr="00612323">
        <w:rPr>
          <w:b w:val="0"/>
        </w:rPr>
        <w:t>La correspondencia antes mencionada</w:t>
      </w:r>
      <w:r w:rsidR="00E970DE" w:rsidRPr="00612323">
        <w:rPr>
          <w:b w:val="0"/>
        </w:rPr>
        <w:t xml:space="preserve"> está siendo publicada</w:t>
      </w:r>
      <w:r w:rsidRPr="00612323">
        <w:rPr>
          <w:b w:val="0"/>
        </w:rPr>
        <w:t xml:space="preserve">, en las lenguas de trabajo del Comité (inglés y francés) y en el idioma original, </w:t>
      </w:r>
      <w:r w:rsidRPr="00612323">
        <w:rPr>
          <w:b w:val="0"/>
          <w:bCs/>
        </w:rPr>
        <w:t xml:space="preserve">en la página web específica de la presente </w:t>
      </w:r>
      <w:r w:rsidR="00365858" w:rsidRPr="00612323">
        <w:rPr>
          <w:b w:val="0"/>
          <w:bCs/>
        </w:rPr>
        <w:t>reuni</w:t>
      </w:r>
      <w:r w:rsidRPr="00612323">
        <w:rPr>
          <w:b w:val="0"/>
          <w:bCs/>
        </w:rPr>
        <w:t xml:space="preserve">ón de la Asamblea. Toda la información que se reciba antes de la presente </w:t>
      </w:r>
      <w:r w:rsidR="00F22381" w:rsidRPr="00612323">
        <w:rPr>
          <w:b w:val="0"/>
          <w:bCs/>
        </w:rPr>
        <w:t>reunión</w:t>
      </w:r>
      <w:r w:rsidRPr="00612323">
        <w:rPr>
          <w:b w:val="0"/>
          <w:bCs/>
        </w:rPr>
        <w:t xml:space="preserve"> de la Asamblea </w:t>
      </w:r>
      <w:r w:rsidR="00122328" w:rsidRPr="00612323">
        <w:rPr>
          <w:b w:val="0"/>
          <w:bCs/>
        </w:rPr>
        <w:t xml:space="preserve">también </w:t>
      </w:r>
      <w:r w:rsidRPr="00612323">
        <w:rPr>
          <w:b w:val="0"/>
          <w:bCs/>
        </w:rPr>
        <w:t xml:space="preserve">estará disponible. La intención de la Secretaría es eliminar toda la correspondencia de la página web específica después de la presente </w:t>
      </w:r>
      <w:r w:rsidR="00F22381" w:rsidRPr="00612323">
        <w:rPr>
          <w:b w:val="0"/>
          <w:bCs/>
        </w:rPr>
        <w:t>reunión</w:t>
      </w:r>
      <w:r w:rsidRPr="00612323">
        <w:rPr>
          <w:b w:val="0"/>
          <w:bCs/>
        </w:rPr>
        <w:t xml:space="preserve"> de la Asamblea General (de conformidad con un procedimiento similar utilizado para tratar la correspondencia relativa a las </w:t>
      </w:r>
      <w:r w:rsidR="00122328" w:rsidRPr="00612323">
        <w:rPr>
          <w:b w:val="0"/>
          <w:bCs/>
        </w:rPr>
        <w:t>candidaturas</w:t>
      </w:r>
      <w:r w:rsidRPr="00612323">
        <w:rPr>
          <w:b w:val="0"/>
          <w:bCs/>
        </w:rPr>
        <w:t xml:space="preserve"> en el sentido de la Decisión </w:t>
      </w:r>
      <w:hyperlink r:id="rId13" w:history="1">
        <w:r w:rsidRPr="00612323">
          <w:rPr>
            <w:rStyle w:val="Hyperlink"/>
            <w:b w:val="0"/>
            <w:bCs/>
          </w:rPr>
          <w:t>7.</w:t>
        </w:r>
        <w:r w:rsidR="00937A34" w:rsidRPr="00612323">
          <w:rPr>
            <w:rStyle w:val="Hyperlink"/>
            <w:b w:val="0"/>
            <w:bCs/>
          </w:rPr>
          <w:t>COM </w:t>
        </w:r>
        <w:r w:rsidRPr="00612323">
          <w:rPr>
            <w:rStyle w:val="Hyperlink"/>
            <w:b w:val="0"/>
            <w:bCs/>
          </w:rPr>
          <w:t>15</w:t>
        </w:r>
      </w:hyperlink>
      <w:r w:rsidRPr="00612323">
        <w:rPr>
          <w:b w:val="0"/>
          <w:bCs/>
        </w:rPr>
        <w:t>).</w:t>
      </w:r>
    </w:p>
    <w:p w14:paraId="5956FED8" w14:textId="69660633" w:rsidR="00352BB3" w:rsidRPr="00612323" w:rsidRDefault="00352BB3" w:rsidP="00394197">
      <w:pPr>
        <w:pStyle w:val="COMTitleDecision"/>
        <w:keepNext w:val="0"/>
        <w:widowControl w:val="0"/>
        <w:numPr>
          <w:ilvl w:val="0"/>
          <w:numId w:val="20"/>
        </w:numPr>
        <w:spacing w:before="120"/>
        <w:ind w:left="567" w:hanging="567"/>
        <w:rPr>
          <w:b w:val="0"/>
        </w:rPr>
      </w:pPr>
      <w:r w:rsidRPr="00612323">
        <w:rPr>
          <w:b w:val="0"/>
          <w:bCs/>
        </w:rPr>
        <w:t>Sobre</w:t>
      </w:r>
      <w:r w:rsidRPr="00612323">
        <w:rPr>
          <w:b w:val="0"/>
        </w:rPr>
        <w:t xml:space="preserve"> la base de la información adicional, se invita a la Asamblea General a </w:t>
      </w:r>
      <w:r w:rsidRPr="00612323">
        <w:rPr>
          <w:b w:val="0"/>
          <w:bCs/>
        </w:rPr>
        <w:t>considerar</w:t>
      </w:r>
      <w:r w:rsidRPr="00612323">
        <w:rPr>
          <w:b w:val="0"/>
        </w:rPr>
        <w:t xml:space="preserve"> si una o las dos ONG mencionadas en el anexo II satisfacen</w:t>
      </w:r>
      <w:r w:rsidRPr="00612323">
        <w:t xml:space="preserve"> </w:t>
      </w:r>
      <w:r w:rsidRPr="00612323">
        <w:rPr>
          <w:b w:val="0"/>
        </w:rPr>
        <w:t>todos</w:t>
      </w:r>
      <w:r w:rsidRPr="00612323">
        <w:t xml:space="preserve"> </w:t>
      </w:r>
      <w:r w:rsidRPr="00612323">
        <w:rPr>
          <w:b w:val="0"/>
        </w:rPr>
        <w:t>los criterios de acreditación establecidos en el párrafo 91 de las Direct</w:t>
      </w:r>
      <w:r w:rsidR="00F45022" w:rsidRPr="00612323">
        <w:rPr>
          <w:b w:val="0"/>
        </w:rPr>
        <w:t>r</w:t>
      </w:r>
      <w:r w:rsidRPr="00612323">
        <w:rPr>
          <w:b w:val="0"/>
        </w:rPr>
        <w:t>i</w:t>
      </w:r>
      <w:r w:rsidR="00F45022" w:rsidRPr="00612323">
        <w:rPr>
          <w:b w:val="0"/>
        </w:rPr>
        <w:t>ce</w:t>
      </w:r>
      <w:r w:rsidRPr="00612323">
        <w:rPr>
          <w:b w:val="0"/>
        </w:rPr>
        <w:t xml:space="preserve">s Operativas, a fin de acreditar en consecuencia, a ninguna, a una o a ambas </w:t>
      </w:r>
      <w:r w:rsidR="00333DAB" w:rsidRPr="00612323">
        <w:rPr>
          <w:b w:val="0"/>
        </w:rPr>
        <w:t xml:space="preserve">organizaciones </w:t>
      </w:r>
      <w:r w:rsidRPr="00612323">
        <w:rPr>
          <w:b w:val="0"/>
          <w:bCs/>
        </w:rPr>
        <w:t>para ejercer funciones consultivas ante el Comité.</w:t>
      </w:r>
    </w:p>
    <w:p w14:paraId="3D11109D" w14:textId="34AE8D0D" w:rsidR="003B6D70" w:rsidRPr="00612323" w:rsidRDefault="0067576F" w:rsidP="00921EDB">
      <w:pPr>
        <w:pStyle w:val="COMTitleDecision"/>
        <w:numPr>
          <w:ilvl w:val="0"/>
          <w:numId w:val="28"/>
        </w:numPr>
        <w:ind w:left="567" w:hanging="567"/>
      </w:pPr>
      <w:r w:rsidRPr="00612323">
        <w:t>T</w:t>
      </w:r>
      <w:r w:rsidR="00333DAB" w:rsidRPr="00612323">
        <w:t xml:space="preserve">ratamiento de solicitudes de acreditación y </w:t>
      </w:r>
      <w:r w:rsidR="007E41FA" w:rsidRPr="00612323">
        <w:t>de re</w:t>
      </w:r>
      <w:r w:rsidR="00552BFE" w:rsidRPr="00612323">
        <w:t>novac</w:t>
      </w:r>
      <w:r w:rsidR="007E41FA" w:rsidRPr="00612323">
        <w:t>ión</w:t>
      </w:r>
    </w:p>
    <w:p w14:paraId="752A3865" w14:textId="0E0B29E6" w:rsidR="00547B09" w:rsidRPr="00612323" w:rsidRDefault="00547B09" w:rsidP="00FB34CE">
      <w:pPr>
        <w:pStyle w:val="COMTitleDecision"/>
        <w:keepNext w:val="0"/>
        <w:widowControl w:val="0"/>
        <w:numPr>
          <w:ilvl w:val="0"/>
          <w:numId w:val="20"/>
        </w:numPr>
        <w:spacing w:before="120"/>
        <w:ind w:left="567" w:hanging="567"/>
        <w:rPr>
          <w:rFonts w:eastAsia="SimSun"/>
          <w:b w:val="0"/>
          <w:bCs/>
          <w:snapToGrid w:val="0"/>
        </w:rPr>
      </w:pPr>
      <w:r w:rsidRPr="00612323">
        <w:rPr>
          <w:b w:val="0"/>
          <w:bCs/>
          <w:snapToGrid w:val="0"/>
        </w:rPr>
        <w:t xml:space="preserve">Durante el debate de los dos casos mencionados, la decimosexta </w:t>
      </w:r>
      <w:r w:rsidR="00F22381" w:rsidRPr="00612323">
        <w:rPr>
          <w:b w:val="0"/>
          <w:bCs/>
          <w:snapToGrid w:val="0"/>
        </w:rPr>
        <w:t>reunión</w:t>
      </w:r>
      <w:r w:rsidRPr="00612323">
        <w:rPr>
          <w:b w:val="0"/>
          <w:bCs/>
          <w:snapToGrid w:val="0"/>
        </w:rPr>
        <w:t xml:space="preserve"> del Comité consideró que era necesario mejorar el procedimiento que se utiliza actualmente para examinar las solicitudes de nuevas acreditaciones y de renovación del estatus de acreditación. En particular, se solicitó a la Secretaría que </w:t>
      </w:r>
      <w:r w:rsidR="00AE6B5F" w:rsidRPr="00612323">
        <w:rPr>
          <w:b w:val="0"/>
          <w:bCs/>
          <w:snapToGrid w:val="0"/>
        </w:rPr>
        <w:t>“</w:t>
      </w:r>
      <w:r w:rsidRPr="00612323">
        <w:rPr>
          <w:b w:val="0"/>
          <w:bCs/>
          <w:snapToGrid w:val="0"/>
        </w:rPr>
        <w:t>estableciera un mecanismo de comunicación claro con los Estados Partes que le permita obtener la mayor información posible sobre las solicitudes de acreditación de las ONG para lograr el cumplimiento de los objetivos, los principios éticos y el espíritu de cooperación de la Convención de 2003</w:t>
      </w:r>
      <w:r w:rsidR="00AE6B5F" w:rsidRPr="00612323">
        <w:rPr>
          <w:b w:val="0"/>
          <w:bCs/>
          <w:snapToGrid w:val="0"/>
        </w:rPr>
        <w:t>”</w:t>
      </w:r>
      <w:r w:rsidRPr="00612323">
        <w:rPr>
          <w:b w:val="0"/>
          <w:bCs/>
          <w:snapToGrid w:val="0"/>
        </w:rPr>
        <w:t xml:space="preserve"> (</w:t>
      </w:r>
      <w:r w:rsidRPr="00612323">
        <w:rPr>
          <w:rFonts w:asciiTheme="minorBidi" w:hAnsiTheme="minorBidi"/>
          <w:b w:val="0"/>
          <w:bCs/>
          <w:snapToGrid w:val="0"/>
        </w:rPr>
        <w:t>Decisión</w:t>
      </w:r>
      <w:r w:rsidR="00BF4ED0" w:rsidRPr="00612323">
        <w:rPr>
          <w:rFonts w:asciiTheme="minorBidi" w:hAnsiTheme="minorBidi"/>
          <w:b w:val="0"/>
          <w:bCs/>
          <w:snapToGrid w:val="0"/>
        </w:rPr>
        <w:t> </w:t>
      </w:r>
      <w:hyperlink r:id="rId14" w:history="1">
        <w:r w:rsidRPr="00612323">
          <w:rPr>
            <w:rStyle w:val="Hyperlink"/>
            <w:rFonts w:asciiTheme="minorBidi" w:hAnsiTheme="minorBidi"/>
            <w:b w:val="0"/>
            <w:bCs/>
            <w:snapToGrid w:val="0"/>
          </w:rPr>
          <w:t>16.COM</w:t>
        </w:r>
        <w:r w:rsidR="0067576F" w:rsidRPr="00612323">
          <w:rPr>
            <w:rStyle w:val="Hyperlink"/>
            <w:rFonts w:asciiTheme="minorBidi" w:hAnsiTheme="minorBidi"/>
            <w:b w:val="0"/>
            <w:bCs/>
            <w:snapToGrid w:val="0"/>
          </w:rPr>
          <w:t> </w:t>
        </w:r>
        <w:r w:rsidRPr="00612323">
          <w:rPr>
            <w:rStyle w:val="Hyperlink"/>
            <w:rFonts w:asciiTheme="minorBidi" w:hAnsiTheme="minorBidi"/>
            <w:b w:val="0"/>
            <w:bCs/>
            <w:snapToGrid w:val="0"/>
          </w:rPr>
          <w:t>15</w:t>
        </w:r>
      </w:hyperlink>
      <w:r w:rsidRPr="00612323">
        <w:rPr>
          <w:b w:val="0"/>
          <w:bCs/>
          <w:snapToGrid w:val="0"/>
        </w:rPr>
        <w:t>).</w:t>
      </w:r>
    </w:p>
    <w:p w14:paraId="24D55890" w14:textId="57474CD1" w:rsidR="00C46C0F" w:rsidRPr="00612323" w:rsidRDefault="00656FCC" w:rsidP="00246921">
      <w:pPr>
        <w:pStyle w:val="COMTitleDecision"/>
        <w:keepNext w:val="0"/>
        <w:keepLines/>
        <w:widowControl w:val="0"/>
        <w:numPr>
          <w:ilvl w:val="0"/>
          <w:numId w:val="20"/>
        </w:numPr>
        <w:spacing w:before="120"/>
        <w:ind w:left="567" w:hanging="567"/>
        <w:rPr>
          <w:rFonts w:eastAsia="SimSun"/>
          <w:b w:val="0"/>
          <w:bCs/>
          <w:snapToGrid w:val="0"/>
        </w:rPr>
      </w:pPr>
      <w:r w:rsidRPr="00612323">
        <w:rPr>
          <w:b w:val="0"/>
          <w:bCs/>
          <w:snapToGrid w:val="0"/>
        </w:rPr>
        <w:t xml:space="preserve">La Secretaría de la Convención de 2003 revisa las solicitudes de nuevas acreditaciones y renovaciones con arreglo a los criterios establecidos en las Directrices Operativas. La Secretaría registra las propuestas </w:t>
      </w:r>
      <w:r w:rsidR="00BF4ED0" w:rsidRPr="00612323">
        <w:rPr>
          <w:b w:val="0"/>
          <w:bCs/>
          <w:snapToGrid w:val="0"/>
        </w:rPr>
        <w:t>de acuerdo</w:t>
      </w:r>
      <w:r w:rsidRPr="00612323">
        <w:rPr>
          <w:b w:val="0"/>
          <w:bCs/>
          <w:snapToGrid w:val="0"/>
        </w:rPr>
        <w:t xml:space="preserve"> al párrafo 99 de las Directrices Operativas, ayuda a las organizaciones a proporcionar cualquier información que falte, si es necesario, y prepara recomendaciones al Comité conforme a lo dispuesto en el párrafo 92 de las Directrices Operativas. Los formularios pertinentes y los documentos de trabajo correspondientes se publicarán en la página web de la Convención a más tardar cuatro semanas antes de la apertura de las </w:t>
      </w:r>
      <w:r w:rsidR="00BF4ED0" w:rsidRPr="00612323">
        <w:rPr>
          <w:b w:val="0"/>
          <w:bCs/>
          <w:snapToGrid w:val="0"/>
        </w:rPr>
        <w:t xml:space="preserve">reuniones </w:t>
      </w:r>
      <w:r w:rsidRPr="00612323">
        <w:rPr>
          <w:b w:val="0"/>
          <w:bCs/>
          <w:snapToGrid w:val="0"/>
        </w:rPr>
        <w:t>pertinentes del Comité y de la Asamblea General.</w:t>
      </w:r>
    </w:p>
    <w:p w14:paraId="582B8FB7" w14:textId="655ADC98" w:rsidR="00547B09" w:rsidRPr="00612323" w:rsidRDefault="008F38C8" w:rsidP="00FB34CE">
      <w:pPr>
        <w:pStyle w:val="COMTitleDecision"/>
        <w:keepNext w:val="0"/>
        <w:widowControl w:val="0"/>
        <w:numPr>
          <w:ilvl w:val="0"/>
          <w:numId w:val="20"/>
        </w:numPr>
        <w:spacing w:before="120"/>
        <w:ind w:left="567" w:hanging="567"/>
        <w:rPr>
          <w:rFonts w:eastAsia="SimSun"/>
          <w:b w:val="0"/>
          <w:bCs/>
          <w:snapToGrid w:val="0"/>
        </w:rPr>
      </w:pPr>
      <w:r w:rsidRPr="00612323">
        <w:rPr>
          <w:b w:val="0"/>
          <w:bCs/>
          <w:snapToGrid w:val="0"/>
        </w:rPr>
        <w:t xml:space="preserve">En respuesta a la solicitud de la decimosexta </w:t>
      </w:r>
      <w:r w:rsidR="00F22381" w:rsidRPr="00612323">
        <w:rPr>
          <w:b w:val="0"/>
          <w:bCs/>
          <w:snapToGrid w:val="0"/>
        </w:rPr>
        <w:t>reunión</w:t>
      </w:r>
      <w:r w:rsidRPr="00612323">
        <w:rPr>
          <w:b w:val="0"/>
          <w:bCs/>
          <w:snapToGrid w:val="0"/>
        </w:rPr>
        <w:t xml:space="preserve"> del Comité, la Secretaría propone los dos ajustes siguientes:</w:t>
      </w:r>
    </w:p>
    <w:p w14:paraId="688CAD3D" w14:textId="1CC10B4C" w:rsidR="008F38C8" w:rsidRPr="00612323" w:rsidRDefault="008F38C8" w:rsidP="008F38C8">
      <w:pPr>
        <w:pStyle w:val="COMTitleDecision"/>
        <w:keepNext w:val="0"/>
        <w:widowControl w:val="0"/>
        <w:spacing w:before="120"/>
        <w:rPr>
          <w:rFonts w:eastAsia="SimSun"/>
          <w:b w:val="0"/>
          <w:bCs/>
          <w:snapToGrid w:val="0"/>
        </w:rPr>
      </w:pPr>
      <w:r w:rsidRPr="00612323">
        <w:rPr>
          <w:b w:val="0"/>
          <w:bCs/>
          <w:snapToGrid w:val="0"/>
        </w:rPr>
        <w:t>a. La Secretaría pondrá a disposición de los interesados las solicitudes de acreditación (formulario ICH-09) y los informes cuatrienales de las ONG acreditadas (formulario ICH-08) a través de la página web de la Convención, lo antes posible después de sus plazos de presentación (30 de abril de los años impares y 15 de febrero de los años impares, respectivamente).</w:t>
      </w:r>
    </w:p>
    <w:p w14:paraId="305A65BE" w14:textId="707CDD02" w:rsidR="00C46C0F" w:rsidRPr="00612323" w:rsidRDefault="004472C8" w:rsidP="00C00655">
      <w:pPr>
        <w:pStyle w:val="COMTitleDecision"/>
        <w:keepNext w:val="0"/>
        <w:widowControl w:val="0"/>
        <w:spacing w:before="120"/>
        <w:rPr>
          <w:rFonts w:eastAsia="SimSun"/>
          <w:b w:val="0"/>
          <w:bCs/>
          <w:snapToGrid w:val="0"/>
        </w:rPr>
      </w:pPr>
      <w:r w:rsidRPr="00612323">
        <w:rPr>
          <w:b w:val="0"/>
          <w:bCs/>
          <w:snapToGrid w:val="0"/>
        </w:rPr>
        <w:t>b. La Secretaría consultará a las Oficinas Regionales de la UNESCO sobre las solicitudes de nuevas acreditaciones y renovaciones con el fin de recabar información que le permita evaluar las solicitudes en el sentido del párrafo 92 de las Directrices Operativas.</w:t>
      </w:r>
    </w:p>
    <w:p w14:paraId="49DFA528" w14:textId="52FB224B" w:rsidR="00826461" w:rsidRPr="00612323" w:rsidRDefault="00826461" w:rsidP="00826461">
      <w:pPr>
        <w:pStyle w:val="COMTitleDecision"/>
        <w:keepNext w:val="0"/>
        <w:widowControl w:val="0"/>
        <w:numPr>
          <w:ilvl w:val="0"/>
          <w:numId w:val="20"/>
        </w:numPr>
        <w:spacing w:before="120"/>
        <w:ind w:left="567" w:hanging="567"/>
        <w:rPr>
          <w:rFonts w:eastAsia="SimSun"/>
          <w:b w:val="0"/>
          <w:bCs/>
          <w:snapToGrid w:val="0"/>
        </w:rPr>
      </w:pPr>
      <w:r w:rsidRPr="00612323">
        <w:rPr>
          <w:b w:val="0"/>
          <w:bCs/>
          <w:snapToGrid w:val="0"/>
        </w:rPr>
        <w:t xml:space="preserve">Estos ajustes podrán aplicarse a las solicitudes de acreditación y renovación para su examen en la decimoctava </w:t>
      </w:r>
      <w:r w:rsidR="00F22381" w:rsidRPr="00612323">
        <w:rPr>
          <w:b w:val="0"/>
          <w:bCs/>
          <w:snapToGrid w:val="0"/>
        </w:rPr>
        <w:t>reunión</w:t>
      </w:r>
      <w:r w:rsidRPr="00612323">
        <w:rPr>
          <w:b w:val="0"/>
          <w:bCs/>
          <w:snapToGrid w:val="0"/>
        </w:rPr>
        <w:t xml:space="preserve"> del Comité en 2023 y en la décima </w:t>
      </w:r>
      <w:r w:rsidR="00F22381" w:rsidRPr="00612323">
        <w:rPr>
          <w:b w:val="0"/>
          <w:bCs/>
          <w:snapToGrid w:val="0"/>
        </w:rPr>
        <w:t>reunión</w:t>
      </w:r>
      <w:r w:rsidRPr="00612323">
        <w:rPr>
          <w:b w:val="0"/>
          <w:bCs/>
          <w:snapToGrid w:val="0"/>
        </w:rPr>
        <w:t xml:space="preserve"> de la Asamblea General en 2024. La Secretaría tiene previsto informar sobre la experiencia del procedimiento </w:t>
      </w:r>
      <w:r w:rsidR="00CC2D04" w:rsidRPr="00612323">
        <w:rPr>
          <w:b w:val="0"/>
          <w:bCs/>
          <w:snapToGrid w:val="0"/>
        </w:rPr>
        <w:t>ajustado</w:t>
      </w:r>
      <w:r w:rsidRPr="00612323">
        <w:rPr>
          <w:b w:val="0"/>
          <w:bCs/>
          <w:snapToGrid w:val="0"/>
        </w:rPr>
        <w:t xml:space="preserve"> en la decimoctava </w:t>
      </w:r>
      <w:r w:rsidR="00F22381" w:rsidRPr="00612323">
        <w:rPr>
          <w:b w:val="0"/>
          <w:bCs/>
          <w:snapToGrid w:val="0"/>
        </w:rPr>
        <w:t>reunión</w:t>
      </w:r>
      <w:r w:rsidRPr="00612323">
        <w:rPr>
          <w:b w:val="0"/>
          <w:bCs/>
          <w:snapToGrid w:val="0"/>
        </w:rPr>
        <w:t xml:space="preserve"> del Comité.</w:t>
      </w:r>
    </w:p>
    <w:p w14:paraId="1DBA486E" w14:textId="2A482172" w:rsidR="00391AC6" w:rsidRPr="00612323" w:rsidRDefault="00391AC6" w:rsidP="003B3440">
      <w:pPr>
        <w:pStyle w:val="COMTitleDecision"/>
        <w:keepNext w:val="0"/>
        <w:widowControl w:val="0"/>
        <w:numPr>
          <w:ilvl w:val="0"/>
          <w:numId w:val="20"/>
        </w:numPr>
        <w:spacing w:before="120" w:after="240"/>
        <w:ind w:left="567" w:hanging="567"/>
        <w:rPr>
          <w:b w:val="0"/>
        </w:rPr>
      </w:pPr>
      <w:r w:rsidRPr="00612323">
        <w:rPr>
          <w:b w:val="0"/>
        </w:rPr>
        <w:t>La Asamblea General podría adoptar la siguiente resolución:</w:t>
      </w:r>
    </w:p>
    <w:p w14:paraId="2A46BAC4" w14:textId="338C8B69" w:rsidR="008A1ED4" w:rsidRPr="00612323" w:rsidRDefault="00F010E0" w:rsidP="008A1ED4">
      <w:pPr>
        <w:pStyle w:val="GATitleResolution"/>
      </w:pPr>
      <w:r w:rsidRPr="00612323">
        <w:t>PROYECTO DE RESOLUCIÓN 9.GA 7</w:t>
      </w:r>
    </w:p>
    <w:p w14:paraId="7677B217" w14:textId="3F5A8CFA" w:rsidR="008A1ED4" w:rsidRPr="00612323" w:rsidRDefault="008A1ED4" w:rsidP="008A1ED4">
      <w:pPr>
        <w:pStyle w:val="GAPreambulaResolution"/>
      </w:pPr>
      <w:r w:rsidRPr="00612323">
        <w:t>La Asamblea General,</w:t>
      </w:r>
    </w:p>
    <w:p w14:paraId="07630149" w14:textId="2351BD3B" w:rsidR="005823AB" w:rsidRPr="00612323" w:rsidRDefault="005823AB" w:rsidP="005823AB">
      <w:pPr>
        <w:pStyle w:val="COMParaDecision"/>
        <w:numPr>
          <w:ilvl w:val="0"/>
          <w:numId w:val="10"/>
        </w:numPr>
        <w:ind w:left="1134" w:hanging="567"/>
        <w:jc w:val="left"/>
      </w:pPr>
      <w:r w:rsidRPr="00612323">
        <w:t>Habiendo examinado</w:t>
      </w:r>
      <w:r w:rsidRPr="00612323">
        <w:rPr>
          <w:u w:val="none"/>
        </w:rPr>
        <w:t xml:space="preserve"> el documento LHE/22/9.GA/7 y sus anexos,</w:t>
      </w:r>
    </w:p>
    <w:p w14:paraId="7C34FFCB" w14:textId="4CD26436" w:rsidR="005823AB" w:rsidRPr="00612323" w:rsidRDefault="005823AB" w:rsidP="005823AB">
      <w:pPr>
        <w:pStyle w:val="COMParaDecision"/>
        <w:numPr>
          <w:ilvl w:val="0"/>
          <w:numId w:val="10"/>
        </w:numPr>
        <w:ind w:left="1134" w:hanging="567"/>
      </w:pPr>
      <w:r w:rsidRPr="00612323">
        <w:t>Recordando</w:t>
      </w:r>
      <w:r w:rsidRPr="00612323">
        <w:rPr>
          <w:u w:val="none"/>
        </w:rPr>
        <w:t xml:space="preserve"> el artículo 9 de la Convención y los párrafos 91 a 99 de las Directrices Operativas,</w:t>
      </w:r>
    </w:p>
    <w:p w14:paraId="18460A61" w14:textId="276604D0" w:rsidR="005823AB" w:rsidRPr="00612323" w:rsidRDefault="005823AB" w:rsidP="005823AB">
      <w:pPr>
        <w:pStyle w:val="COMParaDecision"/>
        <w:numPr>
          <w:ilvl w:val="0"/>
          <w:numId w:val="10"/>
        </w:numPr>
        <w:ind w:left="1134" w:hanging="567"/>
      </w:pPr>
      <w:r w:rsidRPr="00612323">
        <w:t xml:space="preserve">Recordando </w:t>
      </w:r>
      <w:r w:rsidR="0009103B" w:rsidRPr="00612323">
        <w:t>también</w:t>
      </w:r>
      <w:r w:rsidRPr="003B3440">
        <w:rPr>
          <w:u w:val="none"/>
        </w:rPr>
        <w:t xml:space="preserve"> la </w:t>
      </w:r>
      <w:r w:rsidRPr="00612323">
        <w:rPr>
          <w:u w:val="none"/>
        </w:rPr>
        <w:t xml:space="preserve">Decisión </w:t>
      </w:r>
      <w:hyperlink r:id="rId15" w:history="1">
        <w:r w:rsidRPr="00612323">
          <w:rPr>
            <w:rStyle w:val="Hyperlink"/>
          </w:rPr>
          <w:t>16.</w:t>
        </w:r>
        <w:r w:rsidR="00A73AE8" w:rsidRPr="00612323">
          <w:rPr>
            <w:rStyle w:val="Hyperlink"/>
          </w:rPr>
          <w:t>COM </w:t>
        </w:r>
        <w:r w:rsidRPr="00612323">
          <w:rPr>
            <w:rStyle w:val="Hyperlink"/>
          </w:rPr>
          <w:t>15</w:t>
        </w:r>
      </w:hyperlink>
      <w:r w:rsidRPr="00246921">
        <w:rPr>
          <w:rStyle w:val="Hyperlink"/>
          <w:color w:val="auto"/>
          <w:u w:val="none"/>
        </w:rPr>
        <w:t>,</w:t>
      </w:r>
    </w:p>
    <w:p w14:paraId="5208F9FD" w14:textId="755C7553" w:rsidR="005823AB" w:rsidRPr="00612323" w:rsidRDefault="005823AB" w:rsidP="005823AB">
      <w:pPr>
        <w:pStyle w:val="COMParaDecision"/>
        <w:numPr>
          <w:ilvl w:val="0"/>
          <w:numId w:val="10"/>
        </w:numPr>
        <w:ind w:left="1134" w:hanging="567"/>
      </w:pPr>
      <w:r w:rsidRPr="00612323">
        <w:t>Acredita</w:t>
      </w:r>
      <w:r w:rsidRPr="00612323">
        <w:rPr>
          <w:u w:val="none"/>
        </w:rPr>
        <w:t xml:space="preserve"> a las treinta y dos ONG enumeradas en el anexo I de esta resolución </w:t>
      </w:r>
      <w:r w:rsidR="00CC2D04" w:rsidRPr="00612323">
        <w:rPr>
          <w:u w:val="none"/>
        </w:rPr>
        <w:t>con fines de asistencia</w:t>
      </w:r>
      <w:r w:rsidRPr="00612323">
        <w:rPr>
          <w:u w:val="none"/>
        </w:rPr>
        <w:t xml:space="preserve"> consultiva ante el Comité;</w:t>
      </w:r>
    </w:p>
    <w:p w14:paraId="5D111478" w14:textId="309A0FD2" w:rsidR="00733307" w:rsidRPr="00612323" w:rsidRDefault="003A228F" w:rsidP="003A228F">
      <w:pPr>
        <w:pStyle w:val="COMParaDecision"/>
        <w:numPr>
          <w:ilvl w:val="0"/>
          <w:numId w:val="10"/>
        </w:numPr>
        <w:ind w:left="1134" w:hanging="567"/>
      </w:pPr>
      <w:r w:rsidRPr="00612323">
        <w:t>Toma nota</w:t>
      </w:r>
      <w:r w:rsidRPr="00612323">
        <w:rPr>
          <w:u w:val="none"/>
        </w:rPr>
        <w:t xml:space="preserve"> de la información adicional facilitada por las organizaciones enumeradas en el anexo II de la presente resolución, así como por </w:t>
      </w:r>
      <w:r w:rsidR="00CC2D04" w:rsidRPr="00612323">
        <w:rPr>
          <w:u w:val="none"/>
        </w:rPr>
        <w:t xml:space="preserve">[uno de los Estados Partes] [los Estados Partes] </w:t>
      </w:r>
      <w:r w:rsidRPr="00612323">
        <w:rPr>
          <w:u w:val="none"/>
        </w:rPr>
        <w:t>interesados y</w:t>
      </w:r>
    </w:p>
    <w:p w14:paraId="269B5880" w14:textId="0F300B5D" w:rsidR="00733307" w:rsidRPr="00612323" w:rsidRDefault="00733307" w:rsidP="00733307">
      <w:pPr>
        <w:pStyle w:val="COMParaDecision"/>
        <w:ind w:firstLine="0"/>
        <w:rPr>
          <w:u w:val="none"/>
        </w:rPr>
      </w:pPr>
      <w:r w:rsidRPr="00612323">
        <w:rPr>
          <w:u w:val="none"/>
        </w:rPr>
        <w:t xml:space="preserve">[Opción A] </w:t>
      </w:r>
      <w:r w:rsidRPr="00612323">
        <w:t>acredita también a</w:t>
      </w:r>
      <w:r w:rsidR="00F45022" w:rsidRPr="00612323">
        <w:t>l</w:t>
      </w:r>
      <w:r w:rsidRPr="00612323">
        <w:rPr>
          <w:u w:val="none"/>
        </w:rPr>
        <w:t xml:space="preserve"> [Instituto del Patrimonio Cultural Inmaterial, IPACIM] [y] </w:t>
      </w:r>
      <w:r w:rsidR="00F45022" w:rsidRPr="00612323">
        <w:rPr>
          <w:u w:val="none"/>
        </w:rPr>
        <w:t xml:space="preserve">a </w:t>
      </w:r>
      <w:r w:rsidRPr="00612323">
        <w:rPr>
          <w:u w:val="none"/>
        </w:rPr>
        <w:t>[Desarrollo Gradual Directo</w:t>
      </w:r>
      <w:r w:rsidR="00F45022" w:rsidRPr="00612323">
        <w:rPr>
          <w:u w:val="none"/>
        </w:rPr>
        <w:t>,</w:t>
      </w:r>
      <w:r w:rsidRPr="00612323">
        <w:rPr>
          <w:u w:val="none"/>
        </w:rPr>
        <w:t xml:space="preserve"> Asociación Civil] </w:t>
      </w:r>
      <w:r w:rsidR="00CC2D04" w:rsidRPr="00612323">
        <w:rPr>
          <w:u w:val="none"/>
        </w:rPr>
        <w:t>con fines de asistencia</w:t>
      </w:r>
      <w:r w:rsidRPr="00612323">
        <w:rPr>
          <w:u w:val="none"/>
        </w:rPr>
        <w:t xml:space="preserve"> consultiva ante el Comité;</w:t>
      </w:r>
    </w:p>
    <w:p w14:paraId="3471972A" w14:textId="01B3D72E" w:rsidR="003A228F" w:rsidRPr="00612323" w:rsidRDefault="00733307" w:rsidP="00C00655">
      <w:pPr>
        <w:pStyle w:val="COMParaDecision"/>
        <w:ind w:firstLine="0"/>
        <w:rPr>
          <w:u w:val="none"/>
        </w:rPr>
      </w:pPr>
      <w:r w:rsidRPr="00612323">
        <w:rPr>
          <w:u w:val="none"/>
        </w:rPr>
        <w:t xml:space="preserve">[Opción B] </w:t>
      </w:r>
      <w:r w:rsidRPr="00612323">
        <w:t>considera</w:t>
      </w:r>
      <w:r w:rsidRPr="00612323">
        <w:rPr>
          <w:u w:val="none"/>
        </w:rPr>
        <w:t xml:space="preserve"> que [el Instituto del Patrimonio Cultural Inmaterial (IPACIM)] [y] [Desarrollo Gradual Directo</w:t>
      </w:r>
      <w:r w:rsidR="00F45022" w:rsidRPr="00612323">
        <w:rPr>
          <w:u w:val="none"/>
        </w:rPr>
        <w:t>, Asociación Civil</w:t>
      </w:r>
      <w:r w:rsidRPr="00612323">
        <w:rPr>
          <w:u w:val="none"/>
        </w:rPr>
        <w:t>] no cumplen los criterios establecidos en el párrafo 91 de las Directrices Operativas;</w:t>
      </w:r>
    </w:p>
    <w:p w14:paraId="3D6B3514" w14:textId="4FE71B51" w:rsidR="005823AB" w:rsidRPr="00612323" w:rsidRDefault="005823AB" w:rsidP="00C003BB">
      <w:pPr>
        <w:pStyle w:val="COMParaDecision"/>
        <w:numPr>
          <w:ilvl w:val="0"/>
          <w:numId w:val="10"/>
        </w:numPr>
        <w:ind w:left="1134" w:hanging="567"/>
      </w:pPr>
      <w:r w:rsidRPr="00612323">
        <w:t>Alienta</w:t>
      </w:r>
      <w:r w:rsidRPr="00612323">
        <w:rPr>
          <w:u w:val="none"/>
        </w:rPr>
        <w:t xml:space="preserve"> a las ONG de los grupos electorales subrepresentados que cumplan los criterios de acreditación a que presenten sus solicitudes de acreditación lo antes posible, a fin de mejorar la distribución geográfica de las ONG acreditadas, </w:t>
      </w:r>
      <w:bookmarkStart w:id="0" w:name="_Hlk47615881"/>
      <w:r w:rsidRPr="00612323">
        <w:rPr>
          <w:u w:val="none"/>
        </w:rPr>
        <w:t xml:space="preserve">e </w:t>
      </w:r>
      <w:r w:rsidRPr="00612323">
        <w:t>invita</w:t>
      </w:r>
      <w:r w:rsidRPr="00612323">
        <w:rPr>
          <w:u w:val="none"/>
        </w:rPr>
        <w:t xml:space="preserve"> a los Estados Partes de esos grupos electorales a dar amplia difusión a este llamamiento entre las ONG radicadas en sus territorios;</w:t>
      </w:r>
    </w:p>
    <w:bookmarkEnd w:id="0"/>
    <w:p w14:paraId="54E015C2" w14:textId="6B52B176" w:rsidR="005823AB" w:rsidRPr="00612323" w:rsidRDefault="00965081" w:rsidP="005823AB">
      <w:pPr>
        <w:pStyle w:val="COMParaDecision"/>
        <w:numPr>
          <w:ilvl w:val="0"/>
          <w:numId w:val="10"/>
        </w:numPr>
        <w:ind w:left="1134" w:hanging="567"/>
      </w:pPr>
      <w:r w:rsidRPr="00612323">
        <w:t>Recuerda</w:t>
      </w:r>
      <w:r w:rsidRPr="00612323">
        <w:rPr>
          <w:u w:val="none"/>
        </w:rPr>
        <w:t xml:space="preserve"> a las ONG acreditadas en 2010, 2014 y 2018 que deben presentar su informe cuatrienal a la Secretaría antes de la fecha límite del 15 de febrero de 2023 para que la decimoctava </w:t>
      </w:r>
      <w:r w:rsidR="00F22381" w:rsidRPr="00612323">
        <w:rPr>
          <w:u w:val="none"/>
        </w:rPr>
        <w:t>reunión</w:t>
      </w:r>
      <w:r w:rsidRPr="00612323">
        <w:rPr>
          <w:u w:val="none"/>
        </w:rPr>
        <w:t xml:space="preserve"> del Comité pueda revisar las contribuciones y compromiso de cada organización con función consultiva;</w:t>
      </w:r>
    </w:p>
    <w:p w14:paraId="53F312B6" w14:textId="093E6365" w:rsidR="00733307" w:rsidRPr="00612323" w:rsidRDefault="00733307" w:rsidP="005823AB">
      <w:pPr>
        <w:pStyle w:val="COMParaDecision"/>
        <w:numPr>
          <w:ilvl w:val="0"/>
          <w:numId w:val="10"/>
        </w:numPr>
        <w:ind w:left="1134" w:hanging="567"/>
      </w:pPr>
      <w:r w:rsidRPr="00612323">
        <w:t>Toma nota</w:t>
      </w:r>
      <w:r w:rsidRPr="00612323">
        <w:rPr>
          <w:u w:val="none"/>
        </w:rPr>
        <w:t xml:space="preserve"> de </w:t>
      </w:r>
      <w:r w:rsidR="000E51EE" w:rsidRPr="00612323">
        <w:rPr>
          <w:u w:val="none"/>
        </w:rPr>
        <w:t>las</w:t>
      </w:r>
      <w:r w:rsidRPr="00612323">
        <w:rPr>
          <w:u w:val="none"/>
        </w:rPr>
        <w:t xml:space="preserve"> propuestos para el </w:t>
      </w:r>
      <w:r w:rsidR="000E51EE" w:rsidRPr="00612323">
        <w:rPr>
          <w:u w:val="none"/>
        </w:rPr>
        <w:t xml:space="preserve">tratamiento </w:t>
      </w:r>
      <w:r w:rsidRPr="00612323">
        <w:rPr>
          <w:u w:val="none"/>
        </w:rPr>
        <w:t>de las solicitudes de acreditación y renovación de las ONG en lo referente al calendario de publicación de dichas solicitudes y a la participación de las Oficinas de la UNESCO</w:t>
      </w:r>
      <w:r w:rsidR="000E51EE" w:rsidRPr="00612323">
        <w:rPr>
          <w:u w:val="none"/>
        </w:rPr>
        <w:t xml:space="preserve"> fuera de la Sede</w:t>
      </w:r>
      <w:r w:rsidRPr="00612323">
        <w:rPr>
          <w:u w:val="none"/>
        </w:rPr>
        <w:t>.</w:t>
      </w:r>
    </w:p>
    <w:p w14:paraId="787B609F" w14:textId="3977BFAE" w:rsidR="005823AB" w:rsidRPr="00612323" w:rsidRDefault="00FC4620" w:rsidP="003B3440">
      <w:pPr>
        <w:pStyle w:val="COMParaDecision"/>
        <w:spacing w:before="240" w:after="240"/>
        <w:ind w:left="936" w:hanging="936"/>
        <w:rPr>
          <w:b/>
          <w:bCs/>
          <w:snapToGrid w:val="0"/>
          <w:u w:val="none"/>
        </w:rPr>
      </w:pPr>
      <w:r w:rsidRPr="00612323">
        <w:br w:type="page"/>
      </w:r>
      <w:r w:rsidRPr="00612323">
        <w:rPr>
          <w:b/>
          <w:bCs/>
          <w:snapToGrid w:val="0"/>
          <w:u w:val="none"/>
        </w:rPr>
        <w:t xml:space="preserve">Anexo I: Organizaciones no gubernamentales cuya acreditación ha sido recomendada por el Comité en su decimosexta </w:t>
      </w:r>
      <w:r w:rsidR="00F22381" w:rsidRPr="00612323">
        <w:rPr>
          <w:b/>
          <w:bCs/>
          <w:snapToGrid w:val="0"/>
          <w:u w:val="none"/>
        </w:rPr>
        <w:t>reunión</w:t>
      </w:r>
    </w:p>
    <w:tbl>
      <w:tblPr>
        <w:tblStyle w:val="GridTable4-Accent1"/>
        <w:tblW w:w="5000" w:type="pct"/>
        <w:tblLook w:val="04A0" w:firstRow="1" w:lastRow="0" w:firstColumn="1" w:lastColumn="0" w:noHBand="0" w:noVBand="1"/>
      </w:tblPr>
      <w:tblGrid>
        <w:gridCol w:w="6062"/>
        <w:gridCol w:w="1945"/>
        <w:gridCol w:w="1621"/>
      </w:tblGrid>
      <w:tr w:rsidR="005823AB" w:rsidRPr="00612323" w14:paraId="6BFC22E6"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3036A8BA" w14:textId="77777777" w:rsidR="005823AB" w:rsidRPr="00612323" w:rsidRDefault="005823AB" w:rsidP="0079216A">
            <w:pPr>
              <w:contextualSpacing/>
              <w:jc w:val="center"/>
              <w:rPr>
                <w:rFonts w:asciiTheme="minorBidi" w:hAnsiTheme="minorBidi"/>
                <w:b w:val="0"/>
                <w:bCs w:val="0"/>
                <w:color w:val="000000"/>
                <w:sz w:val="20"/>
                <w:szCs w:val="20"/>
              </w:rPr>
            </w:pPr>
            <w:r w:rsidRPr="00612323">
              <w:rPr>
                <w:rFonts w:asciiTheme="minorBidi" w:hAnsiTheme="minorBidi"/>
                <w:color w:val="000000"/>
                <w:sz w:val="20"/>
                <w:szCs w:val="20"/>
              </w:rPr>
              <w:t>Nombre de la organización</w:t>
            </w:r>
          </w:p>
        </w:tc>
        <w:tc>
          <w:tcPr>
            <w:tcW w:w="1010" w:type="pct"/>
            <w:vAlign w:val="center"/>
            <w:hideMark/>
          </w:tcPr>
          <w:p w14:paraId="3BF3AFE0" w14:textId="77777777" w:rsidR="005823AB" w:rsidRPr="00612323"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sidRPr="00612323">
              <w:rPr>
                <w:rFonts w:asciiTheme="minorBidi" w:hAnsiTheme="minorBidi"/>
                <w:color w:val="000000"/>
                <w:sz w:val="20"/>
                <w:szCs w:val="20"/>
              </w:rPr>
              <w:t>País donde tiene su sede</w:t>
            </w:r>
          </w:p>
        </w:tc>
        <w:tc>
          <w:tcPr>
            <w:tcW w:w="842" w:type="pct"/>
            <w:vAlign w:val="center"/>
            <w:hideMark/>
          </w:tcPr>
          <w:p w14:paraId="0EAF0915" w14:textId="77777777" w:rsidR="005823AB" w:rsidRPr="00612323"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sidRPr="00612323">
              <w:rPr>
                <w:rFonts w:asciiTheme="minorBidi" w:hAnsiTheme="minorBidi"/>
                <w:color w:val="000000"/>
                <w:sz w:val="20"/>
                <w:szCs w:val="20"/>
              </w:rPr>
              <w:t>Número de solicitud</w:t>
            </w:r>
          </w:p>
        </w:tc>
      </w:tr>
      <w:tr w:rsidR="005823AB" w:rsidRPr="00612323" w14:paraId="16E86B24"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2D3BB34" w14:textId="77777777" w:rsidR="005823AB" w:rsidRPr="00246921" w:rsidRDefault="005823AB" w:rsidP="0079216A">
            <w:pPr>
              <w:contextualSpacing/>
              <w:rPr>
                <w:rFonts w:asciiTheme="minorBidi" w:hAnsiTheme="minorBidi"/>
                <w:color w:val="000000"/>
                <w:sz w:val="20"/>
                <w:szCs w:val="20"/>
                <w:lang w:val="fr-FR"/>
              </w:rPr>
            </w:pPr>
            <w:r w:rsidRPr="00246921">
              <w:rPr>
                <w:rFonts w:asciiTheme="minorBidi" w:hAnsiTheme="minorBidi"/>
                <w:sz w:val="20"/>
                <w:szCs w:val="20"/>
                <w:lang w:val="fr-FR"/>
              </w:rPr>
              <w:t>Association pour le Devenir des Autochtones et de leur Connaissance Originelle (A.D.A.C.O)</w:t>
            </w:r>
          </w:p>
        </w:tc>
        <w:tc>
          <w:tcPr>
            <w:tcW w:w="1010" w:type="pct"/>
            <w:shd w:val="clear" w:color="auto" w:fill="auto"/>
            <w:vAlign w:val="center"/>
          </w:tcPr>
          <w:p w14:paraId="4FC1983A" w14:textId="646F49FC" w:rsidR="005823AB" w:rsidRPr="00612323" w:rsidRDefault="00D37FCE"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Gabón</w:t>
            </w:r>
          </w:p>
        </w:tc>
        <w:tc>
          <w:tcPr>
            <w:tcW w:w="842" w:type="pct"/>
            <w:shd w:val="clear" w:color="auto" w:fill="auto"/>
            <w:vAlign w:val="center"/>
          </w:tcPr>
          <w:p w14:paraId="50F9B6D8"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NGO-90479</w:t>
            </w:r>
          </w:p>
        </w:tc>
      </w:tr>
      <w:tr w:rsidR="005823AB" w:rsidRPr="00612323" w14:paraId="5AC94EA5"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D63026B" w14:textId="48818C69" w:rsidR="005823AB" w:rsidRPr="00246921" w:rsidRDefault="005823AB" w:rsidP="0079216A">
            <w:pPr>
              <w:rPr>
                <w:rFonts w:asciiTheme="minorBidi" w:hAnsiTheme="minorBidi"/>
                <w:color w:val="000000"/>
                <w:sz w:val="20"/>
                <w:szCs w:val="20"/>
                <w:lang w:val="en-US"/>
              </w:rPr>
            </w:pPr>
            <w:r w:rsidRPr="00246921">
              <w:rPr>
                <w:rFonts w:asciiTheme="minorBidi" w:hAnsiTheme="minorBidi"/>
                <w:sz w:val="20"/>
                <w:szCs w:val="20"/>
                <w:lang w:val="en-US"/>
              </w:rPr>
              <w:t>Al</w:t>
            </w:r>
            <w:r w:rsidR="00F45022" w:rsidRPr="00246921">
              <w:rPr>
                <w:rFonts w:asciiTheme="minorBidi" w:hAnsiTheme="minorBidi"/>
                <w:sz w:val="20"/>
                <w:szCs w:val="20"/>
                <w:lang w:val="en-US"/>
              </w:rPr>
              <w:t xml:space="preserve"> </w:t>
            </w:r>
            <w:proofErr w:type="spellStart"/>
            <w:r w:rsidRPr="00246921">
              <w:rPr>
                <w:rFonts w:asciiTheme="minorBidi" w:hAnsiTheme="minorBidi"/>
                <w:sz w:val="20"/>
                <w:szCs w:val="20"/>
                <w:lang w:val="en-US"/>
              </w:rPr>
              <w:t>Sadu</w:t>
            </w:r>
            <w:proofErr w:type="spellEnd"/>
            <w:r w:rsidRPr="00246921">
              <w:rPr>
                <w:rFonts w:asciiTheme="minorBidi" w:hAnsiTheme="minorBidi"/>
                <w:sz w:val="20"/>
                <w:szCs w:val="20"/>
                <w:lang w:val="en-US"/>
              </w:rPr>
              <w:t xml:space="preserve"> Handcraft Cooperative Society</w:t>
            </w:r>
          </w:p>
        </w:tc>
        <w:tc>
          <w:tcPr>
            <w:tcW w:w="1010" w:type="pct"/>
            <w:shd w:val="clear" w:color="auto" w:fill="auto"/>
            <w:vAlign w:val="center"/>
          </w:tcPr>
          <w:p w14:paraId="0A60A182"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Kuwait</w:t>
            </w:r>
          </w:p>
        </w:tc>
        <w:tc>
          <w:tcPr>
            <w:tcW w:w="842" w:type="pct"/>
            <w:shd w:val="clear" w:color="auto" w:fill="auto"/>
            <w:vAlign w:val="center"/>
          </w:tcPr>
          <w:p w14:paraId="3820BB97"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NGO-90480</w:t>
            </w:r>
          </w:p>
        </w:tc>
      </w:tr>
      <w:tr w:rsidR="005823AB" w:rsidRPr="00612323" w14:paraId="69C660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4392D92" w14:textId="77777777" w:rsidR="005823AB" w:rsidRPr="00246921" w:rsidRDefault="005823AB" w:rsidP="0079216A">
            <w:pPr>
              <w:contextualSpacing/>
              <w:rPr>
                <w:rFonts w:asciiTheme="minorBidi" w:hAnsiTheme="minorBidi"/>
                <w:color w:val="000000"/>
                <w:sz w:val="20"/>
                <w:szCs w:val="20"/>
                <w:lang w:val="fr-FR"/>
              </w:rPr>
            </w:pPr>
            <w:r w:rsidRPr="00246921">
              <w:rPr>
                <w:rFonts w:asciiTheme="minorBidi" w:hAnsiTheme="minorBidi"/>
                <w:color w:val="000000"/>
                <w:sz w:val="20"/>
                <w:szCs w:val="20"/>
                <w:lang w:val="fr-FR"/>
              </w:rPr>
              <w:t xml:space="preserve">Fondation Princesse </w:t>
            </w:r>
            <w:proofErr w:type="spellStart"/>
            <w:r w:rsidRPr="00246921">
              <w:rPr>
                <w:rFonts w:asciiTheme="minorBidi" w:hAnsiTheme="minorBidi"/>
                <w:color w:val="000000"/>
                <w:sz w:val="20"/>
                <w:szCs w:val="20"/>
                <w:lang w:val="fr-FR"/>
              </w:rPr>
              <w:t>Momafon</w:t>
            </w:r>
            <w:proofErr w:type="spellEnd"/>
            <w:r w:rsidRPr="00246921">
              <w:rPr>
                <w:rFonts w:asciiTheme="minorBidi" w:hAnsiTheme="minorBidi"/>
                <w:color w:val="000000"/>
                <w:sz w:val="20"/>
                <w:szCs w:val="20"/>
                <w:lang w:val="fr-FR"/>
              </w:rPr>
              <w:t xml:space="preserve"> </w:t>
            </w:r>
            <w:proofErr w:type="spellStart"/>
            <w:r w:rsidRPr="00246921">
              <w:rPr>
                <w:rFonts w:asciiTheme="minorBidi" w:hAnsiTheme="minorBidi"/>
                <w:color w:val="000000"/>
                <w:sz w:val="20"/>
                <w:szCs w:val="20"/>
                <w:lang w:val="fr-FR"/>
              </w:rPr>
              <w:t>Rabiatou</w:t>
            </w:r>
            <w:proofErr w:type="spellEnd"/>
            <w:r w:rsidRPr="00246921">
              <w:rPr>
                <w:rFonts w:asciiTheme="minorBidi" w:hAnsiTheme="minorBidi"/>
                <w:color w:val="000000"/>
                <w:sz w:val="20"/>
                <w:szCs w:val="20"/>
                <w:lang w:val="fr-FR"/>
              </w:rPr>
              <w:t xml:space="preserve"> NJOYA</w:t>
            </w:r>
          </w:p>
        </w:tc>
        <w:tc>
          <w:tcPr>
            <w:tcW w:w="1010" w:type="pct"/>
            <w:shd w:val="clear" w:color="auto" w:fill="auto"/>
            <w:vAlign w:val="center"/>
          </w:tcPr>
          <w:p w14:paraId="609602DE"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Camerún</w:t>
            </w:r>
          </w:p>
        </w:tc>
        <w:tc>
          <w:tcPr>
            <w:tcW w:w="842" w:type="pct"/>
            <w:shd w:val="clear" w:color="auto" w:fill="auto"/>
            <w:vAlign w:val="center"/>
          </w:tcPr>
          <w:p w14:paraId="75F8EDC4"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NGO-90482</w:t>
            </w:r>
          </w:p>
        </w:tc>
      </w:tr>
      <w:tr w:rsidR="005823AB" w:rsidRPr="00612323" w14:paraId="0DBEC64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A6B491D" w14:textId="77777777" w:rsidR="005823AB" w:rsidRPr="00246921" w:rsidRDefault="005823AB" w:rsidP="0079216A">
            <w:pPr>
              <w:rPr>
                <w:rFonts w:asciiTheme="minorBidi" w:eastAsia="Batang" w:hAnsiTheme="minorBidi"/>
                <w:sz w:val="20"/>
                <w:szCs w:val="20"/>
                <w:lang w:val="en-US"/>
              </w:rPr>
            </w:pPr>
            <w:r w:rsidRPr="00246921">
              <w:rPr>
                <w:rFonts w:asciiTheme="minorBidi" w:hAnsiTheme="minorBidi"/>
                <w:sz w:val="20"/>
                <w:szCs w:val="20"/>
                <w:lang w:val="en-US"/>
              </w:rPr>
              <w:t>Art for Refugees in Transition</w:t>
            </w:r>
          </w:p>
        </w:tc>
        <w:tc>
          <w:tcPr>
            <w:tcW w:w="1010" w:type="pct"/>
            <w:shd w:val="clear" w:color="auto" w:fill="auto"/>
            <w:vAlign w:val="center"/>
          </w:tcPr>
          <w:p w14:paraId="00E0D75F"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Estados Unidos de América</w:t>
            </w:r>
          </w:p>
        </w:tc>
        <w:tc>
          <w:tcPr>
            <w:tcW w:w="842" w:type="pct"/>
            <w:shd w:val="clear" w:color="auto" w:fill="auto"/>
            <w:vAlign w:val="center"/>
          </w:tcPr>
          <w:p w14:paraId="4CB31879"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NGO-90484</w:t>
            </w:r>
          </w:p>
        </w:tc>
      </w:tr>
      <w:tr w:rsidR="005823AB" w:rsidRPr="00612323" w14:paraId="70AAC7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A764D"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sz w:val="20"/>
                <w:szCs w:val="20"/>
              </w:rPr>
              <w:t>Fundación Mundo Espiral</w:t>
            </w:r>
          </w:p>
        </w:tc>
        <w:tc>
          <w:tcPr>
            <w:tcW w:w="1010" w:type="pct"/>
            <w:shd w:val="clear" w:color="auto" w:fill="auto"/>
            <w:vAlign w:val="center"/>
          </w:tcPr>
          <w:p w14:paraId="74294B40"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Colombia</w:t>
            </w:r>
          </w:p>
        </w:tc>
        <w:tc>
          <w:tcPr>
            <w:tcW w:w="842" w:type="pct"/>
            <w:shd w:val="clear" w:color="auto" w:fill="auto"/>
            <w:vAlign w:val="center"/>
          </w:tcPr>
          <w:p w14:paraId="6F38CA03"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NGO-90485</w:t>
            </w:r>
          </w:p>
        </w:tc>
      </w:tr>
      <w:tr w:rsidR="005823AB" w:rsidRPr="00612323" w14:paraId="4F33DD6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2AEC80C" w14:textId="77777777" w:rsidR="005823AB" w:rsidRPr="00612323" w:rsidRDefault="005823AB" w:rsidP="0079216A">
            <w:pPr>
              <w:tabs>
                <w:tab w:val="left" w:pos="1140"/>
              </w:tabs>
              <w:contextualSpacing/>
              <w:rPr>
                <w:rFonts w:asciiTheme="minorBidi" w:hAnsiTheme="minorBidi"/>
                <w:color w:val="000000"/>
                <w:sz w:val="20"/>
                <w:szCs w:val="20"/>
              </w:rPr>
            </w:pPr>
            <w:proofErr w:type="spellStart"/>
            <w:r w:rsidRPr="00612323">
              <w:rPr>
                <w:rFonts w:asciiTheme="minorBidi" w:hAnsiTheme="minorBidi"/>
                <w:color w:val="000000"/>
                <w:sz w:val="20"/>
                <w:szCs w:val="20"/>
              </w:rPr>
              <w:t>Stuppa</w:t>
            </w:r>
            <w:proofErr w:type="spellEnd"/>
            <w:r w:rsidRPr="00612323">
              <w:rPr>
                <w:rFonts w:asciiTheme="minorBidi" w:hAnsiTheme="minorBidi"/>
                <w:color w:val="000000"/>
                <w:sz w:val="20"/>
                <w:szCs w:val="20"/>
              </w:rPr>
              <w:t xml:space="preserve"> Indonesia </w:t>
            </w:r>
            <w:proofErr w:type="spellStart"/>
            <w:r w:rsidRPr="00612323">
              <w:rPr>
                <w:rFonts w:asciiTheme="minorBidi" w:hAnsiTheme="minorBidi"/>
                <w:color w:val="000000"/>
                <w:sz w:val="20"/>
                <w:szCs w:val="20"/>
              </w:rPr>
              <w:t>Foundation</w:t>
            </w:r>
            <w:proofErr w:type="spellEnd"/>
          </w:p>
        </w:tc>
        <w:tc>
          <w:tcPr>
            <w:tcW w:w="1010" w:type="pct"/>
            <w:shd w:val="clear" w:color="auto" w:fill="auto"/>
            <w:vAlign w:val="center"/>
          </w:tcPr>
          <w:p w14:paraId="663D540A"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Indonesia</w:t>
            </w:r>
          </w:p>
        </w:tc>
        <w:tc>
          <w:tcPr>
            <w:tcW w:w="842" w:type="pct"/>
            <w:shd w:val="clear" w:color="auto" w:fill="auto"/>
            <w:vAlign w:val="center"/>
          </w:tcPr>
          <w:p w14:paraId="59CE021C"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NGO-90486</w:t>
            </w:r>
          </w:p>
        </w:tc>
      </w:tr>
      <w:tr w:rsidR="005823AB" w:rsidRPr="00612323" w14:paraId="3C2AA74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13C10A6A" w14:textId="77777777" w:rsidR="005823AB" w:rsidRPr="00612323" w:rsidRDefault="005823AB" w:rsidP="0079216A">
            <w:pPr>
              <w:contextualSpacing/>
              <w:rPr>
                <w:rFonts w:asciiTheme="minorBidi" w:hAnsiTheme="minorBidi"/>
                <w:color w:val="000000"/>
                <w:sz w:val="20"/>
                <w:szCs w:val="20"/>
              </w:rPr>
            </w:pPr>
            <w:proofErr w:type="spellStart"/>
            <w:r w:rsidRPr="00612323">
              <w:rPr>
                <w:rFonts w:asciiTheme="minorBidi" w:hAnsiTheme="minorBidi"/>
                <w:sz w:val="20"/>
                <w:szCs w:val="20"/>
              </w:rPr>
              <w:t>Indonesian</w:t>
            </w:r>
            <w:proofErr w:type="spellEnd"/>
            <w:r w:rsidRPr="00612323">
              <w:rPr>
                <w:rFonts w:asciiTheme="minorBidi" w:hAnsiTheme="minorBidi"/>
                <w:sz w:val="20"/>
                <w:szCs w:val="20"/>
              </w:rPr>
              <w:t xml:space="preserve"> Batik </w:t>
            </w:r>
            <w:proofErr w:type="spellStart"/>
            <w:r w:rsidRPr="00612323">
              <w:rPr>
                <w:rFonts w:asciiTheme="minorBidi" w:hAnsiTheme="minorBidi"/>
                <w:sz w:val="20"/>
                <w:szCs w:val="20"/>
              </w:rPr>
              <w:t>Foundation</w:t>
            </w:r>
            <w:proofErr w:type="spellEnd"/>
          </w:p>
        </w:tc>
        <w:tc>
          <w:tcPr>
            <w:tcW w:w="1010" w:type="pct"/>
            <w:shd w:val="clear" w:color="auto" w:fill="auto"/>
            <w:vAlign w:val="center"/>
          </w:tcPr>
          <w:p w14:paraId="6FB94A1D"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Indonesia</w:t>
            </w:r>
          </w:p>
        </w:tc>
        <w:tc>
          <w:tcPr>
            <w:tcW w:w="842" w:type="pct"/>
            <w:shd w:val="clear" w:color="auto" w:fill="auto"/>
            <w:vAlign w:val="center"/>
          </w:tcPr>
          <w:p w14:paraId="325D30EC"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NGO-90487</w:t>
            </w:r>
          </w:p>
        </w:tc>
      </w:tr>
      <w:tr w:rsidR="005823AB" w:rsidRPr="00612323" w14:paraId="51EFE53C"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B600497"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color w:val="000000"/>
                <w:sz w:val="20"/>
                <w:szCs w:val="20"/>
              </w:rPr>
              <w:t>Cuerpos para la Reconciliación</w:t>
            </w:r>
          </w:p>
        </w:tc>
        <w:tc>
          <w:tcPr>
            <w:tcW w:w="1010" w:type="pct"/>
            <w:shd w:val="clear" w:color="auto" w:fill="auto"/>
            <w:vAlign w:val="center"/>
          </w:tcPr>
          <w:p w14:paraId="3D9CFEBB"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Colombia</w:t>
            </w:r>
          </w:p>
        </w:tc>
        <w:tc>
          <w:tcPr>
            <w:tcW w:w="842" w:type="pct"/>
            <w:shd w:val="clear" w:color="auto" w:fill="auto"/>
            <w:vAlign w:val="center"/>
          </w:tcPr>
          <w:p w14:paraId="4AE518A9"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NGO-90488</w:t>
            </w:r>
          </w:p>
        </w:tc>
      </w:tr>
      <w:tr w:rsidR="005823AB" w:rsidRPr="00612323" w14:paraId="6FEC78A0"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B3A0077"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color w:val="000000"/>
                <w:sz w:val="20"/>
                <w:szCs w:val="20"/>
              </w:rPr>
              <w:t xml:space="preserve">Société </w:t>
            </w:r>
            <w:proofErr w:type="spellStart"/>
            <w:r w:rsidRPr="00612323">
              <w:rPr>
                <w:rFonts w:asciiTheme="minorBidi" w:hAnsiTheme="minorBidi"/>
                <w:color w:val="000000"/>
                <w:sz w:val="20"/>
                <w:szCs w:val="20"/>
              </w:rPr>
              <w:t>québécoise</w:t>
            </w:r>
            <w:proofErr w:type="spellEnd"/>
            <w:r w:rsidRPr="00612323">
              <w:rPr>
                <w:rFonts w:asciiTheme="minorBidi" w:hAnsiTheme="minorBidi"/>
                <w:color w:val="000000"/>
                <w:sz w:val="20"/>
                <w:szCs w:val="20"/>
              </w:rPr>
              <w:t xml:space="preserve"> </w:t>
            </w:r>
            <w:proofErr w:type="spellStart"/>
            <w:r w:rsidRPr="00612323">
              <w:rPr>
                <w:rFonts w:asciiTheme="minorBidi" w:hAnsiTheme="minorBidi"/>
                <w:color w:val="000000"/>
                <w:sz w:val="20"/>
                <w:szCs w:val="20"/>
              </w:rPr>
              <w:t>d’ethnologie</w:t>
            </w:r>
            <w:proofErr w:type="spellEnd"/>
          </w:p>
        </w:tc>
        <w:tc>
          <w:tcPr>
            <w:tcW w:w="1010" w:type="pct"/>
            <w:shd w:val="clear" w:color="auto" w:fill="auto"/>
            <w:vAlign w:val="center"/>
          </w:tcPr>
          <w:p w14:paraId="7B30D4FB"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Canadá</w:t>
            </w:r>
          </w:p>
        </w:tc>
        <w:tc>
          <w:tcPr>
            <w:tcW w:w="842" w:type="pct"/>
            <w:shd w:val="clear" w:color="auto" w:fill="auto"/>
            <w:vAlign w:val="center"/>
          </w:tcPr>
          <w:p w14:paraId="1B6795D9"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NGO-90490</w:t>
            </w:r>
          </w:p>
        </w:tc>
      </w:tr>
      <w:tr w:rsidR="005823AB" w:rsidRPr="00612323" w14:paraId="2437A9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DDC8750" w14:textId="77777777" w:rsidR="005823AB" w:rsidRPr="00612323" w:rsidRDefault="005823AB" w:rsidP="0079216A">
            <w:pPr>
              <w:contextualSpacing/>
              <w:rPr>
                <w:rFonts w:asciiTheme="minorBidi" w:hAnsiTheme="minorBidi"/>
                <w:color w:val="000000"/>
                <w:sz w:val="20"/>
                <w:szCs w:val="20"/>
              </w:rPr>
            </w:pPr>
            <w:proofErr w:type="spellStart"/>
            <w:r w:rsidRPr="00612323">
              <w:rPr>
                <w:rFonts w:asciiTheme="minorBidi" w:hAnsiTheme="minorBidi"/>
                <w:sz w:val="20"/>
                <w:szCs w:val="20"/>
              </w:rPr>
              <w:t>Norwegian</w:t>
            </w:r>
            <w:proofErr w:type="spellEnd"/>
            <w:r w:rsidRPr="00612323">
              <w:rPr>
                <w:rFonts w:asciiTheme="minorBidi" w:hAnsiTheme="minorBidi"/>
                <w:sz w:val="20"/>
                <w:szCs w:val="20"/>
              </w:rPr>
              <w:t xml:space="preserve"> </w:t>
            </w:r>
            <w:proofErr w:type="spellStart"/>
            <w:r w:rsidRPr="00612323">
              <w:rPr>
                <w:rFonts w:asciiTheme="minorBidi" w:hAnsiTheme="minorBidi"/>
                <w:sz w:val="20"/>
                <w:szCs w:val="20"/>
              </w:rPr>
              <w:t>Youth</w:t>
            </w:r>
            <w:proofErr w:type="spellEnd"/>
            <w:r w:rsidRPr="00612323">
              <w:rPr>
                <w:rFonts w:asciiTheme="minorBidi" w:hAnsiTheme="minorBidi"/>
                <w:sz w:val="20"/>
                <w:szCs w:val="20"/>
              </w:rPr>
              <w:t xml:space="preserve"> Association</w:t>
            </w:r>
          </w:p>
        </w:tc>
        <w:tc>
          <w:tcPr>
            <w:tcW w:w="1010" w:type="pct"/>
            <w:shd w:val="clear" w:color="auto" w:fill="auto"/>
            <w:vAlign w:val="center"/>
          </w:tcPr>
          <w:p w14:paraId="703FE532"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Noruega</w:t>
            </w:r>
          </w:p>
        </w:tc>
        <w:tc>
          <w:tcPr>
            <w:tcW w:w="842" w:type="pct"/>
            <w:shd w:val="clear" w:color="auto" w:fill="auto"/>
            <w:vAlign w:val="center"/>
          </w:tcPr>
          <w:p w14:paraId="5E48A6E6"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NGO-90491</w:t>
            </w:r>
          </w:p>
        </w:tc>
      </w:tr>
      <w:tr w:rsidR="005823AB" w:rsidRPr="00612323" w14:paraId="2F717D5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71A5C7" w14:textId="77777777" w:rsidR="005823AB" w:rsidRPr="00612323" w:rsidRDefault="005823AB" w:rsidP="0079216A">
            <w:pPr>
              <w:contextualSpacing/>
              <w:rPr>
                <w:rFonts w:asciiTheme="minorBidi" w:hAnsiTheme="minorBidi"/>
                <w:color w:val="000000"/>
                <w:sz w:val="20"/>
                <w:szCs w:val="20"/>
              </w:rPr>
            </w:pPr>
            <w:proofErr w:type="spellStart"/>
            <w:r w:rsidRPr="00612323">
              <w:rPr>
                <w:rFonts w:asciiTheme="minorBidi" w:hAnsiTheme="minorBidi"/>
                <w:sz w:val="20"/>
                <w:szCs w:val="20"/>
              </w:rPr>
              <w:t>Konstelacio</w:t>
            </w:r>
            <w:proofErr w:type="spellEnd"/>
          </w:p>
        </w:tc>
        <w:tc>
          <w:tcPr>
            <w:tcW w:w="1010" w:type="pct"/>
            <w:shd w:val="clear" w:color="auto" w:fill="auto"/>
            <w:vAlign w:val="center"/>
          </w:tcPr>
          <w:p w14:paraId="50F1854E"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Francia</w:t>
            </w:r>
          </w:p>
        </w:tc>
        <w:tc>
          <w:tcPr>
            <w:tcW w:w="842" w:type="pct"/>
            <w:shd w:val="clear" w:color="auto" w:fill="auto"/>
            <w:vAlign w:val="center"/>
          </w:tcPr>
          <w:p w14:paraId="5C93DC26"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NGO-90492</w:t>
            </w:r>
          </w:p>
        </w:tc>
      </w:tr>
      <w:tr w:rsidR="005823AB" w:rsidRPr="00612323" w14:paraId="504B73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2C6C1A6"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color w:val="000000"/>
                <w:sz w:val="20"/>
                <w:szCs w:val="20"/>
                <w:lang w:val="en-US"/>
              </w:rPr>
              <w:t>Academy of the Fair Courtesy</w:t>
            </w:r>
          </w:p>
        </w:tc>
        <w:tc>
          <w:tcPr>
            <w:tcW w:w="1010" w:type="pct"/>
            <w:shd w:val="clear" w:color="auto" w:fill="auto"/>
            <w:vAlign w:val="center"/>
          </w:tcPr>
          <w:p w14:paraId="2DFFD319"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Italia</w:t>
            </w:r>
          </w:p>
        </w:tc>
        <w:tc>
          <w:tcPr>
            <w:tcW w:w="842" w:type="pct"/>
            <w:shd w:val="clear" w:color="auto" w:fill="auto"/>
            <w:vAlign w:val="center"/>
          </w:tcPr>
          <w:p w14:paraId="4A523F19"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NGO-90494</w:t>
            </w:r>
          </w:p>
        </w:tc>
      </w:tr>
      <w:tr w:rsidR="005823AB" w:rsidRPr="00612323" w14:paraId="5478726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9A76C5F"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Research Centre for Greek Singing (</w:t>
            </w:r>
            <w:proofErr w:type="spellStart"/>
            <w:r w:rsidRPr="00246921">
              <w:rPr>
                <w:rFonts w:asciiTheme="minorBidi" w:hAnsiTheme="minorBidi"/>
                <w:sz w:val="20"/>
                <w:szCs w:val="20"/>
                <w:lang w:val="en-US"/>
              </w:rPr>
              <w:t>R.C.Gr.S</w:t>
            </w:r>
            <w:proofErr w:type="spellEnd"/>
            <w:r w:rsidRPr="00246921">
              <w:rPr>
                <w:rFonts w:asciiTheme="minorBidi" w:hAnsiTheme="minorBidi"/>
                <w:sz w:val="20"/>
                <w:szCs w:val="20"/>
                <w:lang w:val="en-US"/>
              </w:rPr>
              <w:t>.]</w:t>
            </w:r>
          </w:p>
        </w:tc>
        <w:tc>
          <w:tcPr>
            <w:tcW w:w="1010" w:type="pct"/>
            <w:shd w:val="clear" w:color="auto" w:fill="auto"/>
            <w:vAlign w:val="center"/>
          </w:tcPr>
          <w:p w14:paraId="26F568FB"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Grecia</w:t>
            </w:r>
          </w:p>
        </w:tc>
        <w:tc>
          <w:tcPr>
            <w:tcW w:w="842" w:type="pct"/>
            <w:shd w:val="clear" w:color="auto" w:fill="auto"/>
            <w:vAlign w:val="center"/>
          </w:tcPr>
          <w:p w14:paraId="2FC93163"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NGO-90495</w:t>
            </w:r>
          </w:p>
        </w:tc>
      </w:tr>
      <w:tr w:rsidR="005823AB" w:rsidRPr="00612323" w14:paraId="485424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BC92E7C" w14:textId="77777777" w:rsidR="005823AB" w:rsidRPr="00246921" w:rsidRDefault="005823AB" w:rsidP="0079216A">
            <w:pPr>
              <w:contextualSpacing/>
              <w:rPr>
                <w:rFonts w:asciiTheme="minorBidi" w:hAnsiTheme="minorBidi"/>
                <w:color w:val="000000"/>
                <w:sz w:val="20"/>
                <w:szCs w:val="20"/>
                <w:lang w:val="fr-FR"/>
              </w:rPr>
            </w:pPr>
            <w:r w:rsidRPr="00246921">
              <w:rPr>
                <w:rFonts w:asciiTheme="minorBidi" w:hAnsiTheme="minorBidi"/>
                <w:sz w:val="20"/>
                <w:szCs w:val="20"/>
                <w:lang w:val="fr-FR"/>
              </w:rPr>
              <w:t>Institut National des Métiers d’Art (INMA)</w:t>
            </w:r>
          </w:p>
        </w:tc>
        <w:tc>
          <w:tcPr>
            <w:tcW w:w="1010" w:type="pct"/>
            <w:shd w:val="clear" w:color="auto" w:fill="auto"/>
            <w:vAlign w:val="center"/>
          </w:tcPr>
          <w:p w14:paraId="600921D0"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Francia</w:t>
            </w:r>
          </w:p>
        </w:tc>
        <w:tc>
          <w:tcPr>
            <w:tcW w:w="842" w:type="pct"/>
            <w:shd w:val="clear" w:color="auto" w:fill="auto"/>
            <w:vAlign w:val="center"/>
          </w:tcPr>
          <w:p w14:paraId="59630F70"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NGO-90499</w:t>
            </w:r>
          </w:p>
        </w:tc>
      </w:tr>
      <w:tr w:rsidR="005823AB" w:rsidRPr="00612323" w14:paraId="524C4C2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F0C73B8"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Karama Foundation for Social and Cultural Development</w:t>
            </w:r>
          </w:p>
        </w:tc>
        <w:tc>
          <w:tcPr>
            <w:tcW w:w="1010" w:type="pct"/>
            <w:shd w:val="clear" w:color="auto" w:fill="auto"/>
            <w:vAlign w:val="center"/>
          </w:tcPr>
          <w:p w14:paraId="7BC042E4"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Egipto</w:t>
            </w:r>
          </w:p>
        </w:tc>
        <w:tc>
          <w:tcPr>
            <w:tcW w:w="842" w:type="pct"/>
            <w:shd w:val="clear" w:color="auto" w:fill="auto"/>
            <w:vAlign w:val="center"/>
          </w:tcPr>
          <w:p w14:paraId="19D317FF"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NGO-90500</w:t>
            </w:r>
          </w:p>
        </w:tc>
      </w:tr>
      <w:tr w:rsidR="005823AB" w:rsidRPr="00612323" w14:paraId="59967B0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4126F0D"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color w:val="000000"/>
                <w:sz w:val="20"/>
                <w:szCs w:val="20"/>
              </w:rPr>
              <w:t xml:space="preserve">Cultural </w:t>
            </w:r>
            <w:proofErr w:type="spellStart"/>
            <w:r w:rsidRPr="00612323">
              <w:rPr>
                <w:rFonts w:asciiTheme="minorBidi" w:hAnsiTheme="minorBidi"/>
                <w:color w:val="000000"/>
                <w:sz w:val="20"/>
                <w:szCs w:val="20"/>
              </w:rPr>
              <w:t>Survival</w:t>
            </w:r>
            <w:proofErr w:type="spellEnd"/>
          </w:p>
        </w:tc>
        <w:tc>
          <w:tcPr>
            <w:tcW w:w="1010" w:type="pct"/>
            <w:shd w:val="clear" w:color="auto" w:fill="auto"/>
            <w:vAlign w:val="center"/>
          </w:tcPr>
          <w:p w14:paraId="623B1B5D"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Estados Unidos de América</w:t>
            </w:r>
          </w:p>
        </w:tc>
        <w:tc>
          <w:tcPr>
            <w:tcW w:w="842" w:type="pct"/>
            <w:shd w:val="clear" w:color="auto" w:fill="auto"/>
            <w:vAlign w:val="center"/>
          </w:tcPr>
          <w:p w14:paraId="1095B03B"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NGO-90501</w:t>
            </w:r>
          </w:p>
        </w:tc>
      </w:tr>
      <w:tr w:rsidR="005823AB" w:rsidRPr="00612323" w14:paraId="0686F48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CFBCE0E"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sz w:val="20"/>
                <w:szCs w:val="20"/>
              </w:rPr>
              <w:t>Fundación Bahía de Portobello</w:t>
            </w:r>
          </w:p>
        </w:tc>
        <w:tc>
          <w:tcPr>
            <w:tcW w:w="1010" w:type="pct"/>
            <w:shd w:val="clear" w:color="auto" w:fill="auto"/>
            <w:vAlign w:val="center"/>
          </w:tcPr>
          <w:p w14:paraId="631CE698"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Panamá</w:t>
            </w:r>
          </w:p>
        </w:tc>
        <w:tc>
          <w:tcPr>
            <w:tcW w:w="842" w:type="pct"/>
            <w:shd w:val="clear" w:color="auto" w:fill="auto"/>
            <w:vAlign w:val="center"/>
          </w:tcPr>
          <w:p w14:paraId="66C74AA1"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NGO-90502</w:t>
            </w:r>
          </w:p>
        </w:tc>
      </w:tr>
      <w:tr w:rsidR="005823AB" w:rsidRPr="00612323" w14:paraId="2883CE77"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25FCA6B"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sz w:val="20"/>
                <w:szCs w:val="20"/>
              </w:rPr>
              <w:t>PARCUM VZW</w:t>
            </w:r>
          </w:p>
        </w:tc>
        <w:tc>
          <w:tcPr>
            <w:tcW w:w="1010" w:type="pct"/>
            <w:shd w:val="clear" w:color="auto" w:fill="auto"/>
            <w:vAlign w:val="center"/>
          </w:tcPr>
          <w:p w14:paraId="2FE52983"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Bélgica</w:t>
            </w:r>
          </w:p>
        </w:tc>
        <w:tc>
          <w:tcPr>
            <w:tcW w:w="842" w:type="pct"/>
            <w:shd w:val="clear" w:color="auto" w:fill="auto"/>
            <w:vAlign w:val="center"/>
          </w:tcPr>
          <w:p w14:paraId="05765ABE"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NGO-90503</w:t>
            </w:r>
          </w:p>
        </w:tc>
      </w:tr>
      <w:tr w:rsidR="005823AB" w:rsidRPr="00612323" w14:paraId="480E6C3C"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39481D9"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National Union of Folk-Art Masters of Ukraine (NSMNMU)</w:t>
            </w:r>
          </w:p>
        </w:tc>
        <w:tc>
          <w:tcPr>
            <w:tcW w:w="1010" w:type="pct"/>
            <w:shd w:val="clear" w:color="auto" w:fill="auto"/>
            <w:vAlign w:val="center"/>
          </w:tcPr>
          <w:p w14:paraId="53463AC5"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Ucrania</w:t>
            </w:r>
          </w:p>
        </w:tc>
        <w:tc>
          <w:tcPr>
            <w:tcW w:w="842" w:type="pct"/>
            <w:shd w:val="clear" w:color="auto" w:fill="auto"/>
            <w:vAlign w:val="center"/>
          </w:tcPr>
          <w:p w14:paraId="484988B5"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NGO-90504</w:t>
            </w:r>
          </w:p>
        </w:tc>
      </w:tr>
      <w:tr w:rsidR="005823AB" w:rsidRPr="00612323" w14:paraId="29907A2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C5B0386" w14:textId="77777777" w:rsidR="005823AB" w:rsidRPr="00246921" w:rsidRDefault="005823AB" w:rsidP="0079216A">
            <w:pPr>
              <w:contextualSpacing/>
              <w:rPr>
                <w:rFonts w:asciiTheme="minorBidi" w:hAnsiTheme="minorBidi"/>
                <w:color w:val="000000"/>
                <w:sz w:val="20"/>
                <w:szCs w:val="20"/>
                <w:lang w:val="fr-FR"/>
              </w:rPr>
            </w:pPr>
            <w:r w:rsidRPr="00246921">
              <w:rPr>
                <w:rFonts w:asciiTheme="minorBidi" w:hAnsiTheme="minorBidi"/>
                <w:sz w:val="20"/>
                <w:szCs w:val="20"/>
                <w:lang w:val="fr-FR"/>
              </w:rPr>
              <w:t xml:space="preserve">Fédération des coopératives des Pays de </w:t>
            </w:r>
            <w:proofErr w:type="spellStart"/>
            <w:r w:rsidRPr="00246921">
              <w:rPr>
                <w:rFonts w:asciiTheme="minorBidi" w:hAnsiTheme="minorBidi"/>
                <w:sz w:val="20"/>
                <w:szCs w:val="20"/>
                <w:lang w:val="fr-FR"/>
              </w:rPr>
              <w:t>Mayoko</w:t>
            </w:r>
            <w:proofErr w:type="spellEnd"/>
            <w:r w:rsidRPr="00246921">
              <w:rPr>
                <w:rFonts w:asciiTheme="minorBidi" w:hAnsiTheme="minorBidi"/>
                <w:sz w:val="20"/>
                <w:szCs w:val="20"/>
                <w:lang w:val="fr-FR"/>
              </w:rPr>
              <w:t xml:space="preserve"> ‘</w:t>
            </w:r>
            <w:proofErr w:type="spellStart"/>
            <w:r w:rsidRPr="00246921">
              <w:rPr>
                <w:rFonts w:asciiTheme="minorBidi" w:hAnsiTheme="minorBidi"/>
                <w:sz w:val="20"/>
                <w:szCs w:val="20"/>
                <w:lang w:val="fr-FR"/>
              </w:rPr>
              <w:t>Fecopam</w:t>
            </w:r>
            <w:proofErr w:type="spellEnd"/>
            <w:r w:rsidRPr="00246921">
              <w:rPr>
                <w:rFonts w:asciiTheme="minorBidi" w:hAnsiTheme="minorBidi"/>
                <w:sz w:val="20"/>
                <w:szCs w:val="20"/>
                <w:lang w:val="fr-FR"/>
              </w:rPr>
              <w:t>’</w:t>
            </w:r>
          </w:p>
        </w:tc>
        <w:tc>
          <w:tcPr>
            <w:tcW w:w="1010" w:type="pct"/>
            <w:shd w:val="clear" w:color="auto" w:fill="auto"/>
            <w:vAlign w:val="center"/>
          </w:tcPr>
          <w:p w14:paraId="7AA321B0"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República del Congo</w:t>
            </w:r>
          </w:p>
        </w:tc>
        <w:tc>
          <w:tcPr>
            <w:tcW w:w="842" w:type="pct"/>
            <w:shd w:val="clear" w:color="auto" w:fill="auto"/>
            <w:vAlign w:val="center"/>
          </w:tcPr>
          <w:p w14:paraId="5F50606F"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NGO-90505</w:t>
            </w:r>
          </w:p>
        </w:tc>
      </w:tr>
      <w:tr w:rsidR="005823AB" w:rsidRPr="00612323" w14:paraId="09D4F69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6AA5534" w14:textId="77777777" w:rsidR="005823AB" w:rsidRPr="00612323" w:rsidRDefault="005823AB" w:rsidP="0079216A">
            <w:pPr>
              <w:tabs>
                <w:tab w:val="left" w:pos="1050"/>
              </w:tabs>
              <w:contextualSpacing/>
              <w:rPr>
                <w:rFonts w:asciiTheme="minorBidi" w:hAnsiTheme="minorBidi"/>
                <w:color w:val="000000"/>
                <w:sz w:val="20"/>
                <w:szCs w:val="20"/>
              </w:rPr>
            </w:pPr>
            <w:r w:rsidRPr="00612323">
              <w:rPr>
                <w:rFonts w:asciiTheme="minorBidi" w:hAnsiTheme="minorBidi"/>
                <w:sz w:val="20"/>
                <w:szCs w:val="20"/>
              </w:rPr>
              <w:t xml:space="preserve">The </w:t>
            </w:r>
            <w:proofErr w:type="spellStart"/>
            <w:r w:rsidRPr="00612323">
              <w:rPr>
                <w:rFonts w:asciiTheme="minorBidi" w:hAnsiTheme="minorBidi"/>
                <w:sz w:val="20"/>
                <w:szCs w:val="20"/>
              </w:rPr>
              <w:t>Archers</w:t>
            </w:r>
            <w:proofErr w:type="spellEnd"/>
            <w:r w:rsidRPr="00612323">
              <w:rPr>
                <w:rFonts w:asciiTheme="minorBidi" w:hAnsiTheme="minorBidi"/>
                <w:sz w:val="20"/>
                <w:szCs w:val="20"/>
              </w:rPr>
              <w:t xml:space="preserve"> </w:t>
            </w:r>
            <w:proofErr w:type="spellStart"/>
            <w:r w:rsidRPr="00612323">
              <w:rPr>
                <w:rFonts w:asciiTheme="minorBidi" w:hAnsiTheme="minorBidi"/>
                <w:sz w:val="20"/>
                <w:szCs w:val="20"/>
              </w:rPr>
              <w:t>Foundation</w:t>
            </w:r>
            <w:proofErr w:type="spellEnd"/>
          </w:p>
        </w:tc>
        <w:tc>
          <w:tcPr>
            <w:tcW w:w="1010" w:type="pct"/>
            <w:shd w:val="clear" w:color="auto" w:fill="auto"/>
            <w:vAlign w:val="center"/>
          </w:tcPr>
          <w:p w14:paraId="6F93601D"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Turquía</w:t>
            </w:r>
          </w:p>
        </w:tc>
        <w:tc>
          <w:tcPr>
            <w:tcW w:w="842" w:type="pct"/>
            <w:shd w:val="clear" w:color="auto" w:fill="auto"/>
            <w:vAlign w:val="center"/>
          </w:tcPr>
          <w:p w14:paraId="03DB2988"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NGO-90508</w:t>
            </w:r>
          </w:p>
        </w:tc>
      </w:tr>
      <w:tr w:rsidR="005823AB" w:rsidRPr="00612323" w14:paraId="115939F9"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A04AA77" w14:textId="51F4324F" w:rsidR="005823AB" w:rsidRPr="00246921" w:rsidRDefault="005823AB" w:rsidP="0079216A">
            <w:pPr>
              <w:contextualSpacing/>
              <w:rPr>
                <w:rFonts w:asciiTheme="minorBidi" w:hAnsiTheme="minorBidi"/>
                <w:color w:val="000000"/>
                <w:sz w:val="20"/>
                <w:szCs w:val="20"/>
                <w:lang w:val="fr-FR"/>
              </w:rPr>
            </w:pPr>
            <w:r w:rsidRPr="00246921">
              <w:rPr>
                <w:rFonts w:asciiTheme="minorBidi" w:hAnsiTheme="minorBidi"/>
                <w:sz w:val="20"/>
                <w:szCs w:val="20"/>
                <w:lang w:val="fr-FR"/>
              </w:rPr>
              <w:t>France PCI – Association française des éléments inscrits sur les listes du patrimoine culturel immatériel de l’Unesco</w:t>
            </w:r>
          </w:p>
        </w:tc>
        <w:tc>
          <w:tcPr>
            <w:tcW w:w="1010" w:type="pct"/>
            <w:shd w:val="clear" w:color="auto" w:fill="auto"/>
            <w:vAlign w:val="center"/>
          </w:tcPr>
          <w:p w14:paraId="300C6622"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Francia</w:t>
            </w:r>
          </w:p>
        </w:tc>
        <w:tc>
          <w:tcPr>
            <w:tcW w:w="842" w:type="pct"/>
            <w:shd w:val="clear" w:color="auto" w:fill="auto"/>
            <w:vAlign w:val="center"/>
          </w:tcPr>
          <w:p w14:paraId="66B6E417"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NGO-90509</w:t>
            </w:r>
          </w:p>
        </w:tc>
      </w:tr>
      <w:tr w:rsidR="005823AB" w:rsidRPr="00612323" w14:paraId="5D6D1C7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711C35A"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Uganda Community Museums Association (UCOMA)</w:t>
            </w:r>
          </w:p>
        </w:tc>
        <w:tc>
          <w:tcPr>
            <w:tcW w:w="1010" w:type="pct"/>
            <w:shd w:val="clear" w:color="auto" w:fill="auto"/>
            <w:vAlign w:val="center"/>
          </w:tcPr>
          <w:p w14:paraId="6F800884"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Uganda</w:t>
            </w:r>
          </w:p>
        </w:tc>
        <w:tc>
          <w:tcPr>
            <w:tcW w:w="842" w:type="pct"/>
            <w:shd w:val="clear" w:color="auto" w:fill="auto"/>
            <w:vAlign w:val="center"/>
          </w:tcPr>
          <w:p w14:paraId="1DD3B255"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NGO-90510</w:t>
            </w:r>
          </w:p>
        </w:tc>
      </w:tr>
      <w:tr w:rsidR="005823AB" w:rsidRPr="00612323" w14:paraId="0678FE5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DE9631C" w14:textId="4C918669" w:rsidR="005823AB" w:rsidRPr="00612323" w:rsidRDefault="00F45022" w:rsidP="00F45022">
            <w:pPr>
              <w:contextualSpacing/>
              <w:rPr>
                <w:rFonts w:asciiTheme="minorBidi" w:hAnsiTheme="minorBidi"/>
                <w:color w:val="000000"/>
                <w:sz w:val="20"/>
                <w:szCs w:val="20"/>
              </w:rPr>
            </w:pPr>
            <w:r w:rsidRPr="00612323">
              <w:rPr>
                <w:rFonts w:asciiTheme="minorBidi" w:hAnsiTheme="minorBidi"/>
                <w:sz w:val="20"/>
                <w:szCs w:val="20"/>
              </w:rPr>
              <w:t xml:space="preserve">Cross </w:t>
            </w:r>
            <w:proofErr w:type="spellStart"/>
            <w:r w:rsidRPr="00612323">
              <w:rPr>
                <w:rFonts w:asciiTheme="minorBidi" w:hAnsiTheme="minorBidi"/>
                <w:sz w:val="20"/>
                <w:szCs w:val="20"/>
              </w:rPr>
              <w:t>Arts</w:t>
            </w:r>
            <w:proofErr w:type="spellEnd"/>
            <w:r w:rsidRPr="00612323">
              <w:rPr>
                <w:rFonts w:asciiTheme="minorBidi" w:hAnsiTheme="minorBidi"/>
                <w:sz w:val="20"/>
                <w:szCs w:val="20"/>
              </w:rPr>
              <w:t xml:space="preserve"> Cultural Association</w:t>
            </w:r>
          </w:p>
        </w:tc>
        <w:tc>
          <w:tcPr>
            <w:tcW w:w="1010" w:type="pct"/>
            <w:shd w:val="clear" w:color="auto" w:fill="auto"/>
            <w:vAlign w:val="center"/>
          </w:tcPr>
          <w:p w14:paraId="3D8C0243"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Líbano</w:t>
            </w:r>
          </w:p>
        </w:tc>
        <w:tc>
          <w:tcPr>
            <w:tcW w:w="842" w:type="pct"/>
            <w:shd w:val="clear" w:color="auto" w:fill="auto"/>
            <w:vAlign w:val="center"/>
          </w:tcPr>
          <w:p w14:paraId="3F3F9D0E"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NGO-90512</w:t>
            </w:r>
          </w:p>
        </w:tc>
      </w:tr>
      <w:tr w:rsidR="005823AB" w:rsidRPr="00612323" w14:paraId="16B141FF"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180A1"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color w:val="000000"/>
                <w:sz w:val="20"/>
                <w:szCs w:val="20"/>
              </w:rPr>
              <w:t>Red Arrayán de Cultura, Patrimonio y Medio Ambiente</w:t>
            </w:r>
          </w:p>
        </w:tc>
        <w:tc>
          <w:tcPr>
            <w:tcW w:w="1010" w:type="pct"/>
            <w:shd w:val="clear" w:color="auto" w:fill="auto"/>
            <w:vAlign w:val="center"/>
          </w:tcPr>
          <w:p w14:paraId="1C708F76"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España</w:t>
            </w:r>
          </w:p>
        </w:tc>
        <w:tc>
          <w:tcPr>
            <w:tcW w:w="842" w:type="pct"/>
            <w:shd w:val="clear" w:color="auto" w:fill="auto"/>
            <w:vAlign w:val="center"/>
          </w:tcPr>
          <w:p w14:paraId="253C55B8"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NGO-90513</w:t>
            </w:r>
          </w:p>
        </w:tc>
      </w:tr>
      <w:tr w:rsidR="005823AB" w:rsidRPr="00612323" w14:paraId="68B2E601"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93D986C" w14:textId="77777777" w:rsidR="005823AB" w:rsidRPr="00246921" w:rsidRDefault="005823AB" w:rsidP="0079216A">
            <w:pPr>
              <w:contextualSpacing/>
              <w:rPr>
                <w:rFonts w:asciiTheme="minorBidi" w:eastAsia="Arial" w:hAnsiTheme="minorBidi"/>
                <w:sz w:val="20"/>
                <w:szCs w:val="20"/>
                <w:lang w:val="en-US"/>
              </w:rPr>
            </w:pPr>
            <w:r w:rsidRPr="00246921">
              <w:rPr>
                <w:rFonts w:asciiTheme="minorBidi" w:hAnsiTheme="minorBidi"/>
                <w:sz w:val="20"/>
                <w:szCs w:val="20"/>
                <w:lang w:val="en-US"/>
              </w:rPr>
              <w:t>Anatolian Handicrafts Conservation and Development Association</w:t>
            </w:r>
          </w:p>
        </w:tc>
        <w:tc>
          <w:tcPr>
            <w:tcW w:w="1010" w:type="pct"/>
            <w:shd w:val="clear" w:color="auto" w:fill="auto"/>
            <w:vAlign w:val="center"/>
          </w:tcPr>
          <w:p w14:paraId="3B0D3755"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Turquía</w:t>
            </w:r>
          </w:p>
        </w:tc>
        <w:tc>
          <w:tcPr>
            <w:tcW w:w="842" w:type="pct"/>
            <w:shd w:val="clear" w:color="auto" w:fill="auto"/>
            <w:vAlign w:val="center"/>
          </w:tcPr>
          <w:p w14:paraId="05109864"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NGO-90514</w:t>
            </w:r>
          </w:p>
        </w:tc>
      </w:tr>
      <w:tr w:rsidR="005823AB" w:rsidRPr="00612323" w14:paraId="27533F0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22E9E9D" w14:textId="77777777" w:rsidR="005823AB" w:rsidRPr="00246921" w:rsidRDefault="005823AB" w:rsidP="0079216A">
            <w:pPr>
              <w:contextualSpacing/>
              <w:rPr>
                <w:rFonts w:asciiTheme="minorBidi" w:hAnsiTheme="minorBidi"/>
                <w:color w:val="000000"/>
                <w:sz w:val="20"/>
                <w:szCs w:val="20"/>
                <w:lang w:val="en-US"/>
              </w:rPr>
            </w:pPr>
            <w:proofErr w:type="spellStart"/>
            <w:r w:rsidRPr="00246921">
              <w:rPr>
                <w:rFonts w:asciiTheme="minorBidi" w:hAnsiTheme="minorBidi"/>
                <w:sz w:val="20"/>
                <w:szCs w:val="20"/>
                <w:lang w:val="en-US"/>
              </w:rPr>
              <w:t>Doostdaran</w:t>
            </w:r>
            <w:proofErr w:type="spellEnd"/>
            <w:r w:rsidRPr="00246921">
              <w:rPr>
                <w:rFonts w:asciiTheme="minorBidi" w:hAnsiTheme="minorBidi"/>
                <w:sz w:val="20"/>
                <w:szCs w:val="20"/>
                <w:lang w:val="en-US"/>
              </w:rPr>
              <w:t xml:space="preserve"> and </w:t>
            </w:r>
            <w:proofErr w:type="spellStart"/>
            <w:r w:rsidRPr="00246921">
              <w:rPr>
                <w:rFonts w:asciiTheme="minorBidi" w:hAnsiTheme="minorBidi"/>
                <w:sz w:val="20"/>
                <w:szCs w:val="20"/>
                <w:lang w:val="en-US"/>
              </w:rPr>
              <w:t>Hafezane</w:t>
            </w:r>
            <w:proofErr w:type="spellEnd"/>
            <w:r w:rsidRPr="00246921">
              <w:rPr>
                <w:rFonts w:asciiTheme="minorBidi" w:hAnsiTheme="minorBidi"/>
                <w:sz w:val="20"/>
                <w:szCs w:val="20"/>
                <w:lang w:val="en-US"/>
              </w:rPr>
              <w:t xml:space="preserve"> </w:t>
            </w:r>
            <w:proofErr w:type="spellStart"/>
            <w:r w:rsidRPr="00246921">
              <w:rPr>
                <w:rFonts w:asciiTheme="minorBidi" w:hAnsiTheme="minorBidi"/>
                <w:sz w:val="20"/>
                <w:szCs w:val="20"/>
                <w:lang w:val="en-US"/>
              </w:rPr>
              <w:t>Kheshte</w:t>
            </w:r>
            <w:proofErr w:type="spellEnd"/>
            <w:r w:rsidRPr="00246921">
              <w:rPr>
                <w:rFonts w:asciiTheme="minorBidi" w:hAnsiTheme="minorBidi"/>
                <w:sz w:val="20"/>
                <w:szCs w:val="20"/>
                <w:lang w:val="en-US"/>
              </w:rPr>
              <w:t xml:space="preserve"> Kham Association (DHKKA)</w:t>
            </w:r>
          </w:p>
        </w:tc>
        <w:tc>
          <w:tcPr>
            <w:tcW w:w="1010" w:type="pct"/>
            <w:shd w:val="clear" w:color="auto" w:fill="auto"/>
            <w:vAlign w:val="center"/>
          </w:tcPr>
          <w:p w14:paraId="4187B63E"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Irán</w:t>
            </w:r>
          </w:p>
        </w:tc>
        <w:tc>
          <w:tcPr>
            <w:tcW w:w="842" w:type="pct"/>
            <w:shd w:val="clear" w:color="auto" w:fill="auto"/>
            <w:vAlign w:val="center"/>
          </w:tcPr>
          <w:p w14:paraId="0E672DC3"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NGO-90516</w:t>
            </w:r>
          </w:p>
        </w:tc>
      </w:tr>
      <w:tr w:rsidR="005823AB" w:rsidRPr="00612323" w14:paraId="7A0CD1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FA590F6"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ELLINIKI ETAIRIA - Society for the Environment and Cultural Heritage</w:t>
            </w:r>
          </w:p>
        </w:tc>
        <w:tc>
          <w:tcPr>
            <w:tcW w:w="1010" w:type="pct"/>
            <w:shd w:val="clear" w:color="auto" w:fill="auto"/>
            <w:vAlign w:val="center"/>
          </w:tcPr>
          <w:p w14:paraId="4DB707A8"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Grecia</w:t>
            </w:r>
          </w:p>
        </w:tc>
        <w:tc>
          <w:tcPr>
            <w:tcW w:w="842" w:type="pct"/>
            <w:shd w:val="clear" w:color="auto" w:fill="auto"/>
            <w:vAlign w:val="center"/>
          </w:tcPr>
          <w:p w14:paraId="01AD8D27"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NGO-90517</w:t>
            </w:r>
          </w:p>
        </w:tc>
      </w:tr>
      <w:tr w:rsidR="005823AB" w:rsidRPr="00612323" w14:paraId="024AB3A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8DAA8DA"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sz w:val="20"/>
                <w:szCs w:val="20"/>
              </w:rPr>
              <w:t xml:space="preserve">Association </w:t>
            </w:r>
            <w:proofErr w:type="spellStart"/>
            <w:r w:rsidRPr="00612323">
              <w:rPr>
                <w:rFonts w:asciiTheme="minorBidi" w:hAnsiTheme="minorBidi"/>
                <w:sz w:val="20"/>
                <w:szCs w:val="20"/>
              </w:rPr>
              <w:t>Ankraké</w:t>
            </w:r>
            <w:proofErr w:type="spellEnd"/>
          </w:p>
        </w:tc>
        <w:tc>
          <w:tcPr>
            <w:tcW w:w="1010" w:type="pct"/>
            <w:shd w:val="clear" w:color="auto" w:fill="auto"/>
            <w:vAlign w:val="center"/>
          </w:tcPr>
          <w:p w14:paraId="578CA742"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Francia</w:t>
            </w:r>
          </w:p>
        </w:tc>
        <w:tc>
          <w:tcPr>
            <w:tcW w:w="842" w:type="pct"/>
            <w:shd w:val="clear" w:color="auto" w:fill="auto"/>
            <w:vAlign w:val="center"/>
          </w:tcPr>
          <w:p w14:paraId="49F976AD"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NGO-90520</w:t>
            </w:r>
          </w:p>
        </w:tc>
      </w:tr>
      <w:tr w:rsidR="005823AB" w:rsidRPr="00612323" w14:paraId="26A1F08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DBABBF" w14:textId="77777777" w:rsidR="005823AB" w:rsidRPr="00246921" w:rsidRDefault="005823AB" w:rsidP="0079216A">
            <w:pPr>
              <w:contextualSpacing/>
              <w:rPr>
                <w:rFonts w:asciiTheme="minorBidi" w:hAnsiTheme="minorBidi"/>
                <w:color w:val="000000"/>
                <w:sz w:val="20"/>
                <w:szCs w:val="20"/>
                <w:lang w:val="en-US"/>
              </w:rPr>
            </w:pPr>
            <w:r w:rsidRPr="00246921">
              <w:rPr>
                <w:rFonts w:asciiTheme="minorBidi" w:hAnsiTheme="minorBidi"/>
                <w:sz w:val="20"/>
                <w:szCs w:val="20"/>
                <w:lang w:val="en-US"/>
              </w:rPr>
              <w:t>Society for Digitization of Traditional Cultural Heritage (Society for DTCH)</w:t>
            </w:r>
          </w:p>
        </w:tc>
        <w:tc>
          <w:tcPr>
            <w:tcW w:w="1010" w:type="pct"/>
            <w:shd w:val="clear" w:color="auto" w:fill="auto"/>
            <w:vAlign w:val="center"/>
          </w:tcPr>
          <w:p w14:paraId="34588533"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Bosnia y Herzegovina</w:t>
            </w:r>
          </w:p>
        </w:tc>
        <w:tc>
          <w:tcPr>
            <w:tcW w:w="842" w:type="pct"/>
            <w:shd w:val="clear" w:color="auto" w:fill="auto"/>
            <w:vAlign w:val="center"/>
          </w:tcPr>
          <w:p w14:paraId="42FAB296"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NGO-90521</w:t>
            </w:r>
          </w:p>
        </w:tc>
      </w:tr>
      <w:tr w:rsidR="005823AB" w:rsidRPr="00612323" w14:paraId="3FC4159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D947C73"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sz w:val="20"/>
                <w:szCs w:val="20"/>
              </w:rPr>
              <w:t>Fundación INDICRI</w:t>
            </w:r>
          </w:p>
        </w:tc>
        <w:tc>
          <w:tcPr>
            <w:tcW w:w="1010" w:type="pct"/>
            <w:shd w:val="clear" w:color="auto" w:fill="auto"/>
            <w:vAlign w:val="center"/>
          </w:tcPr>
          <w:p w14:paraId="34771DB9"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Panamá</w:t>
            </w:r>
          </w:p>
        </w:tc>
        <w:tc>
          <w:tcPr>
            <w:tcW w:w="842" w:type="pct"/>
            <w:shd w:val="clear" w:color="auto" w:fill="auto"/>
            <w:vAlign w:val="center"/>
          </w:tcPr>
          <w:p w14:paraId="58BC02CB" w14:textId="77777777" w:rsidR="005823AB" w:rsidRPr="0061232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NGO-90522</w:t>
            </w:r>
          </w:p>
        </w:tc>
      </w:tr>
      <w:tr w:rsidR="005823AB" w:rsidRPr="00612323" w14:paraId="75A4A8A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07E0924" w14:textId="77777777" w:rsidR="005823AB" w:rsidRPr="00612323" w:rsidRDefault="005823AB" w:rsidP="0079216A">
            <w:pPr>
              <w:contextualSpacing/>
              <w:rPr>
                <w:rFonts w:asciiTheme="minorBidi" w:hAnsiTheme="minorBidi"/>
                <w:color w:val="000000"/>
                <w:sz w:val="20"/>
                <w:szCs w:val="20"/>
              </w:rPr>
            </w:pPr>
            <w:r w:rsidRPr="00612323">
              <w:rPr>
                <w:rFonts w:asciiTheme="minorBidi" w:hAnsiTheme="minorBidi"/>
                <w:color w:val="000000"/>
                <w:sz w:val="20"/>
                <w:szCs w:val="20"/>
              </w:rPr>
              <w:t xml:space="preserve">Femmes et </w:t>
            </w:r>
            <w:proofErr w:type="spellStart"/>
            <w:r w:rsidRPr="00612323">
              <w:rPr>
                <w:rFonts w:asciiTheme="minorBidi" w:hAnsiTheme="minorBidi"/>
                <w:color w:val="000000"/>
                <w:sz w:val="20"/>
                <w:szCs w:val="20"/>
              </w:rPr>
              <w:t>traditions</w:t>
            </w:r>
            <w:proofErr w:type="spellEnd"/>
          </w:p>
        </w:tc>
        <w:tc>
          <w:tcPr>
            <w:tcW w:w="1010" w:type="pct"/>
            <w:shd w:val="clear" w:color="auto" w:fill="auto"/>
            <w:vAlign w:val="center"/>
          </w:tcPr>
          <w:p w14:paraId="5E319380"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Canadá</w:t>
            </w:r>
          </w:p>
        </w:tc>
        <w:tc>
          <w:tcPr>
            <w:tcW w:w="842" w:type="pct"/>
            <w:shd w:val="clear" w:color="auto" w:fill="auto"/>
            <w:vAlign w:val="center"/>
          </w:tcPr>
          <w:p w14:paraId="2EF48525" w14:textId="77777777" w:rsidR="005823AB" w:rsidRPr="0061232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NGO-90523</w:t>
            </w:r>
          </w:p>
        </w:tc>
      </w:tr>
    </w:tbl>
    <w:p w14:paraId="48E6915D" w14:textId="77777777" w:rsidR="005823AB" w:rsidRPr="00612323" w:rsidRDefault="005823AB" w:rsidP="00246921">
      <w:pPr>
        <w:pStyle w:val="COMParaDecision"/>
        <w:ind w:left="0" w:firstLine="0"/>
        <w:rPr>
          <w:snapToGrid w:val="0"/>
          <w:lang w:eastAsia="en-US"/>
        </w:rPr>
      </w:pPr>
    </w:p>
    <w:p w14:paraId="62530A75" w14:textId="42015392" w:rsidR="00921BC4" w:rsidRPr="00612323" w:rsidRDefault="005823AB" w:rsidP="003B3440">
      <w:pPr>
        <w:pStyle w:val="COMParaDecision"/>
        <w:spacing w:before="240" w:after="240"/>
        <w:ind w:left="1021" w:hanging="1021"/>
        <w:rPr>
          <w:b/>
          <w:bCs/>
          <w:snapToGrid w:val="0"/>
          <w:u w:val="none"/>
        </w:rPr>
      </w:pPr>
      <w:r w:rsidRPr="00612323">
        <w:rPr>
          <w:b/>
          <w:bCs/>
          <w:snapToGrid w:val="0"/>
          <w:u w:val="none"/>
        </w:rPr>
        <w:t xml:space="preserve">Anexo II: Organizaciones no gubernamentales cuyo examen </w:t>
      </w:r>
      <w:r w:rsidR="00905D22" w:rsidRPr="00612323">
        <w:rPr>
          <w:b/>
          <w:bCs/>
          <w:snapToGrid w:val="0"/>
          <w:u w:val="none"/>
        </w:rPr>
        <w:t xml:space="preserve">de acreditación </w:t>
      </w:r>
      <w:r w:rsidRPr="00612323">
        <w:rPr>
          <w:b/>
          <w:bCs/>
          <w:snapToGrid w:val="0"/>
          <w:u w:val="none"/>
        </w:rPr>
        <w:t xml:space="preserve">se aplazó a la Asamblea General durante la decimosexta </w:t>
      </w:r>
      <w:r w:rsidR="00F22381" w:rsidRPr="00612323">
        <w:rPr>
          <w:b/>
          <w:bCs/>
          <w:snapToGrid w:val="0"/>
          <w:u w:val="none"/>
        </w:rPr>
        <w:t>reunión</w:t>
      </w:r>
      <w:r w:rsidRPr="00612323">
        <w:rPr>
          <w:b/>
          <w:bCs/>
          <w:snapToGrid w:val="0"/>
          <w:u w:val="none"/>
        </w:rPr>
        <w:t xml:space="preserve"> del Comité</w:t>
      </w:r>
    </w:p>
    <w:tbl>
      <w:tblPr>
        <w:tblStyle w:val="GridTable4-Accent1"/>
        <w:tblW w:w="5000" w:type="pct"/>
        <w:tblLook w:val="04A0" w:firstRow="1" w:lastRow="0" w:firstColumn="1" w:lastColumn="0" w:noHBand="0" w:noVBand="1"/>
      </w:tblPr>
      <w:tblGrid>
        <w:gridCol w:w="6062"/>
        <w:gridCol w:w="1945"/>
        <w:gridCol w:w="1621"/>
      </w:tblGrid>
      <w:tr w:rsidR="005823AB" w:rsidRPr="00612323" w14:paraId="71BBED9D"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520BDE93" w14:textId="77777777" w:rsidR="005823AB" w:rsidRPr="00612323" w:rsidRDefault="005823AB" w:rsidP="0079216A">
            <w:pPr>
              <w:contextualSpacing/>
              <w:jc w:val="center"/>
              <w:rPr>
                <w:rFonts w:asciiTheme="minorBidi" w:hAnsiTheme="minorBidi"/>
                <w:b w:val="0"/>
                <w:bCs w:val="0"/>
                <w:color w:val="000000"/>
                <w:sz w:val="20"/>
                <w:szCs w:val="20"/>
              </w:rPr>
            </w:pPr>
            <w:r w:rsidRPr="00612323">
              <w:rPr>
                <w:rFonts w:asciiTheme="minorBidi" w:hAnsiTheme="minorBidi"/>
                <w:color w:val="000000"/>
                <w:sz w:val="20"/>
                <w:szCs w:val="20"/>
              </w:rPr>
              <w:t>Nombre de la organización</w:t>
            </w:r>
          </w:p>
        </w:tc>
        <w:tc>
          <w:tcPr>
            <w:tcW w:w="1010" w:type="pct"/>
            <w:vAlign w:val="center"/>
            <w:hideMark/>
          </w:tcPr>
          <w:p w14:paraId="2C668525" w14:textId="77777777" w:rsidR="005823AB" w:rsidRPr="00612323"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sidRPr="00612323">
              <w:rPr>
                <w:rFonts w:asciiTheme="minorBidi" w:hAnsiTheme="minorBidi"/>
                <w:color w:val="000000"/>
                <w:sz w:val="20"/>
                <w:szCs w:val="20"/>
              </w:rPr>
              <w:t>País donde tiene su sede</w:t>
            </w:r>
          </w:p>
        </w:tc>
        <w:tc>
          <w:tcPr>
            <w:tcW w:w="842" w:type="pct"/>
            <w:vAlign w:val="center"/>
            <w:hideMark/>
          </w:tcPr>
          <w:p w14:paraId="740EAAD0" w14:textId="77777777" w:rsidR="005823AB" w:rsidRPr="00612323"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sidRPr="00612323">
              <w:rPr>
                <w:rFonts w:asciiTheme="minorBidi" w:hAnsiTheme="minorBidi"/>
                <w:color w:val="000000"/>
                <w:sz w:val="20"/>
                <w:szCs w:val="20"/>
              </w:rPr>
              <w:t>Número de solicitud</w:t>
            </w:r>
          </w:p>
        </w:tc>
      </w:tr>
      <w:tr w:rsidR="005823AB" w:rsidRPr="00612323" w14:paraId="763C5311"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1978A35" w14:textId="398CCA6F" w:rsidR="005823AB" w:rsidRPr="00612323" w:rsidRDefault="005823AB" w:rsidP="005823AB">
            <w:pPr>
              <w:contextualSpacing/>
              <w:rPr>
                <w:rFonts w:asciiTheme="minorBidi" w:hAnsiTheme="minorBidi"/>
                <w:color w:val="000000"/>
                <w:sz w:val="20"/>
                <w:szCs w:val="20"/>
              </w:rPr>
            </w:pPr>
            <w:r w:rsidRPr="00612323">
              <w:rPr>
                <w:rFonts w:asciiTheme="minorBidi" w:hAnsiTheme="minorBidi"/>
                <w:color w:val="000000"/>
                <w:sz w:val="20"/>
                <w:szCs w:val="20"/>
              </w:rPr>
              <w:t>Desarrollo Gradual Directo, Asociación Civil</w:t>
            </w:r>
          </w:p>
        </w:tc>
        <w:tc>
          <w:tcPr>
            <w:tcW w:w="1010" w:type="pct"/>
            <w:shd w:val="clear" w:color="auto" w:fill="auto"/>
            <w:vAlign w:val="center"/>
          </w:tcPr>
          <w:p w14:paraId="3D9DFBEE" w14:textId="693ED060" w:rsidR="005823AB" w:rsidRPr="00612323"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México</w:t>
            </w:r>
          </w:p>
        </w:tc>
        <w:tc>
          <w:tcPr>
            <w:tcW w:w="842" w:type="pct"/>
            <w:shd w:val="clear" w:color="auto" w:fill="auto"/>
            <w:vAlign w:val="center"/>
          </w:tcPr>
          <w:p w14:paraId="70D6A9C8" w14:textId="29CCDABA" w:rsidR="005823AB" w:rsidRPr="00612323"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NGO-90481</w:t>
            </w:r>
          </w:p>
        </w:tc>
      </w:tr>
      <w:tr w:rsidR="005823AB" w:rsidRPr="00612323" w14:paraId="71FA1F4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34BA54C" w14:textId="32EFE1F8" w:rsidR="005823AB" w:rsidRPr="00612323" w:rsidRDefault="005823AB" w:rsidP="005823AB">
            <w:pPr>
              <w:rPr>
                <w:rFonts w:asciiTheme="minorBidi" w:hAnsiTheme="minorBidi"/>
                <w:color w:val="000000"/>
                <w:sz w:val="20"/>
                <w:szCs w:val="20"/>
              </w:rPr>
            </w:pPr>
            <w:r w:rsidRPr="00612323">
              <w:rPr>
                <w:rFonts w:asciiTheme="minorBidi" w:hAnsiTheme="minorBidi"/>
                <w:sz w:val="20"/>
                <w:szCs w:val="20"/>
              </w:rPr>
              <w:t>Instituto del Patrimonio Cultural Inmaterial (IPACIM)</w:t>
            </w:r>
          </w:p>
        </w:tc>
        <w:tc>
          <w:tcPr>
            <w:tcW w:w="1010" w:type="pct"/>
            <w:shd w:val="clear" w:color="auto" w:fill="auto"/>
            <w:vAlign w:val="center"/>
          </w:tcPr>
          <w:p w14:paraId="0810FA4D" w14:textId="37BCBD1D" w:rsidR="005823AB" w:rsidRPr="00612323"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12323">
              <w:rPr>
                <w:rFonts w:asciiTheme="minorBidi" w:hAnsiTheme="minorBidi"/>
                <w:sz w:val="20"/>
                <w:szCs w:val="20"/>
              </w:rPr>
              <w:t>España</w:t>
            </w:r>
          </w:p>
        </w:tc>
        <w:tc>
          <w:tcPr>
            <w:tcW w:w="842" w:type="pct"/>
            <w:shd w:val="clear" w:color="auto" w:fill="auto"/>
            <w:vAlign w:val="center"/>
          </w:tcPr>
          <w:p w14:paraId="0E5F1D77" w14:textId="5EAFC917" w:rsidR="005823AB" w:rsidRPr="00612323"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sz w:val="20"/>
                <w:szCs w:val="20"/>
              </w:rPr>
            </w:pPr>
            <w:r w:rsidRPr="00612323">
              <w:rPr>
                <w:rFonts w:asciiTheme="minorBidi" w:hAnsiTheme="minorBidi"/>
                <w:sz w:val="20"/>
                <w:szCs w:val="20"/>
              </w:rPr>
              <w:t>NGO-90493</w:t>
            </w:r>
          </w:p>
        </w:tc>
      </w:tr>
    </w:tbl>
    <w:p w14:paraId="36D359DC" w14:textId="77777777" w:rsidR="000B24C4" w:rsidRPr="00246921" w:rsidRDefault="000B24C4">
      <w:pPr>
        <w:rPr>
          <w:rFonts w:ascii="Arial" w:hAnsi="Arial" w:cs="Arial"/>
          <w:snapToGrid w:val="0"/>
          <w:u w:val="single"/>
          <w:lang w:eastAsia="en-US"/>
        </w:rPr>
      </w:pPr>
    </w:p>
    <w:sectPr w:rsidR="000B24C4" w:rsidRPr="00246921" w:rsidSect="00DB3B99">
      <w:headerReference w:type="even" r:id="rId16"/>
      <w:headerReference w:type="default" r:id="rId17"/>
      <w:headerReference w:type="first" r:id="rId18"/>
      <w:pgSz w:w="11906" w:h="16838" w:code="9"/>
      <w:pgMar w:top="851"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4DE2" w14:textId="77777777" w:rsidR="00AB2F57" w:rsidRDefault="00AB2F57" w:rsidP="00655736">
      <w:r>
        <w:separator/>
      </w:r>
    </w:p>
  </w:endnote>
  <w:endnote w:type="continuationSeparator" w:id="0">
    <w:p w14:paraId="6B96B6C2" w14:textId="77777777" w:rsidR="00AB2F57" w:rsidRDefault="00AB2F5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3BF8" w14:textId="77777777" w:rsidR="00AB2F57" w:rsidRDefault="00AB2F57" w:rsidP="00655736">
      <w:r>
        <w:separator/>
      </w:r>
    </w:p>
  </w:footnote>
  <w:footnote w:type="continuationSeparator" w:id="0">
    <w:p w14:paraId="1539267A" w14:textId="77777777" w:rsidR="00AB2F57" w:rsidRDefault="00AB2F57" w:rsidP="00655736">
      <w:r>
        <w:continuationSeparator/>
      </w:r>
    </w:p>
  </w:footnote>
  <w:footnote w:id="1">
    <w:p w14:paraId="677B2FB5" w14:textId="50AEFAD4" w:rsidR="004368A3" w:rsidRPr="003B3440" w:rsidRDefault="004368A3" w:rsidP="004368A3">
      <w:pPr>
        <w:pStyle w:val="FootnoteText"/>
        <w:spacing w:after="60"/>
        <w:ind w:left="567" w:hanging="567"/>
        <w:jc w:val="both"/>
        <w:rPr>
          <w:rFonts w:asciiTheme="minorBidi" w:hAnsiTheme="minorBidi" w:cstheme="minorBidi"/>
          <w:bCs/>
          <w:sz w:val="18"/>
          <w:szCs w:val="18"/>
        </w:rPr>
      </w:pPr>
      <w:r w:rsidRPr="003B3440">
        <w:rPr>
          <w:rStyle w:val="FootnoteReference"/>
          <w:rFonts w:asciiTheme="minorBidi" w:hAnsiTheme="minorBidi" w:cstheme="minorBidi"/>
          <w:sz w:val="18"/>
          <w:szCs w:val="18"/>
          <w:vertAlign w:val="baseline"/>
        </w:rPr>
        <w:footnoteRef/>
      </w:r>
      <w:r w:rsidR="003B3440">
        <w:rPr>
          <w:rFonts w:asciiTheme="minorBidi" w:hAnsiTheme="minorBidi" w:cstheme="minorBidi"/>
          <w:sz w:val="18"/>
          <w:szCs w:val="18"/>
        </w:rPr>
        <w:t>.</w:t>
      </w:r>
      <w:r w:rsidRPr="003B3440">
        <w:rPr>
          <w:rFonts w:asciiTheme="minorBidi" w:hAnsiTheme="minorBidi" w:cstheme="minorBidi"/>
          <w:sz w:val="18"/>
          <w:szCs w:val="18"/>
        </w:rPr>
        <w:t xml:space="preserve"> </w:t>
      </w:r>
      <w:r w:rsidRPr="003B3440">
        <w:rPr>
          <w:rFonts w:asciiTheme="minorBidi" w:hAnsiTheme="minorBidi" w:cstheme="minorBidi"/>
          <w:sz w:val="18"/>
          <w:szCs w:val="18"/>
        </w:rPr>
        <w:tab/>
      </w:r>
      <w:r w:rsidRPr="003B3440">
        <w:rPr>
          <w:rFonts w:asciiTheme="minorBidi" w:hAnsiTheme="minorBidi" w:cstheme="minorBidi"/>
          <w:bCs/>
          <w:snapToGrid w:val="0"/>
          <w:sz w:val="18"/>
          <w:szCs w:val="18"/>
        </w:rPr>
        <w:t xml:space="preserve">La Asamblea General acreditó a 97 organizaciones </w:t>
      </w:r>
      <w:r w:rsidR="0009103B" w:rsidRPr="003B3440">
        <w:rPr>
          <w:rFonts w:asciiTheme="minorBidi" w:hAnsiTheme="minorBidi" w:cstheme="minorBidi"/>
          <w:bCs/>
          <w:snapToGrid w:val="0"/>
          <w:sz w:val="18"/>
          <w:szCs w:val="18"/>
        </w:rPr>
        <w:t>con</w:t>
      </w:r>
      <w:r w:rsidRPr="003B3440">
        <w:rPr>
          <w:rFonts w:asciiTheme="minorBidi" w:hAnsiTheme="minorBidi" w:cstheme="minorBidi"/>
          <w:bCs/>
          <w:snapToGrid w:val="0"/>
          <w:sz w:val="18"/>
          <w:szCs w:val="18"/>
        </w:rPr>
        <w:t xml:space="preserve"> la Resolución </w:t>
      </w:r>
      <w:hyperlink r:id="rId1" w:history="1">
        <w:r w:rsidRPr="003B3440">
          <w:rPr>
            <w:rStyle w:val="Hyperlink"/>
            <w:rFonts w:asciiTheme="minorBidi" w:hAnsiTheme="minorBidi" w:cstheme="minorBidi"/>
            <w:bCs/>
            <w:sz w:val="18"/>
            <w:szCs w:val="18"/>
          </w:rPr>
          <w:t>3.</w:t>
        </w:r>
        <w:r w:rsidR="00EB7380" w:rsidRPr="003B3440">
          <w:rPr>
            <w:rStyle w:val="Hyperlink"/>
            <w:rFonts w:asciiTheme="minorBidi" w:hAnsiTheme="minorBidi" w:cstheme="minorBidi"/>
            <w:bCs/>
            <w:sz w:val="18"/>
            <w:szCs w:val="18"/>
          </w:rPr>
          <w:t>GA </w:t>
        </w:r>
        <w:r w:rsidRPr="003B3440">
          <w:rPr>
            <w:rStyle w:val="Hyperlink"/>
            <w:rFonts w:asciiTheme="minorBidi" w:hAnsiTheme="minorBidi" w:cstheme="minorBidi"/>
            <w:bCs/>
            <w:sz w:val="18"/>
            <w:szCs w:val="18"/>
          </w:rPr>
          <w:t>7</w:t>
        </w:r>
      </w:hyperlink>
      <w:r w:rsidRPr="003B3440">
        <w:rPr>
          <w:rFonts w:asciiTheme="minorBidi" w:hAnsiTheme="minorBidi" w:cstheme="minorBidi"/>
          <w:bCs/>
          <w:snapToGrid w:val="0"/>
          <w:sz w:val="18"/>
          <w:szCs w:val="18"/>
        </w:rPr>
        <w:t xml:space="preserve">, a 59 con la </w:t>
      </w:r>
      <w:r w:rsidR="00EB7380" w:rsidRPr="003B3440">
        <w:rPr>
          <w:rFonts w:asciiTheme="minorBidi" w:hAnsiTheme="minorBidi" w:cstheme="minorBidi"/>
        </w:rPr>
        <w:t xml:space="preserve">Resolución </w:t>
      </w:r>
      <w:hyperlink r:id="rId2" w:history="1">
        <w:r w:rsidR="00EB7380" w:rsidRPr="003B3440">
          <w:rPr>
            <w:rStyle w:val="Hyperlink"/>
            <w:rFonts w:asciiTheme="minorBidi" w:hAnsiTheme="minorBidi" w:cstheme="minorBidi"/>
            <w:bCs/>
            <w:sz w:val="18"/>
            <w:szCs w:val="18"/>
          </w:rPr>
          <w:t>4.GA 6</w:t>
        </w:r>
      </w:hyperlink>
      <w:r w:rsidRPr="003B3440">
        <w:rPr>
          <w:rFonts w:asciiTheme="minorBidi" w:hAnsiTheme="minorBidi" w:cstheme="minorBidi"/>
          <w:bCs/>
          <w:snapToGrid w:val="0"/>
          <w:sz w:val="18"/>
          <w:szCs w:val="18"/>
        </w:rPr>
        <w:t>, a 22 con la Resolución</w:t>
      </w:r>
      <w:hyperlink r:id="rId3" w:history="1">
        <w:r w:rsidRPr="003B3440">
          <w:rPr>
            <w:rStyle w:val="Hyperlink"/>
            <w:rFonts w:asciiTheme="minorBidi" w:hAnsiTheme="minorBidi" w:cstheme="minorBidi"/>
            <w:bCs/>
            <w:color w:val="auto"/>
            <w:sz w:val="18"/>
            <w:szCs w:val="18"/>
            <w:u w:val="none"/>
          </w:rPr>
          <w:t xml:space="preserve"> </w:t>
        </w:r>
        <w:r w:rsidRPr="003B3440">
          <w:rPr>
            <w:rStyle w:val="Hyperlink"/>
            <w:rFonts w:asciiTheme="minorBidi" w:hAnsiTheme="minorBidi" w:cstheme="minorBidi"/>
            <w:bCs/>
            <w:sz w:val="18"/>
            <w:szCs w:val="18"/>
          </w:rPr>
          <w:t>5.</w:t>
        </w:r>
        <w:r w:rsidR="00EB7380" w:rsidRPr="003B3440">
          <w:rPr>
            <w:rStyle w:val="Hyperlink"/>
            <w:rFonts w:asciiTheme="minorBidi" w:hAnsiTheme="minorBidi" w:cstheme="minorBidi"/>
            <w:bCs/>
            <w:sz w:val="18"/>
            <w:szCs w:val="18"/>
          </w:rPr>
          <w:t>GA </w:t>
        </w:r>
        <w:r w:rsidRPr="003B3440">
          <w:rPr>
            <w:rStyle w:val="Hyperlink"/>
            <w:rFonts w:asciiTheme="minorBidi" w:hAnsiTheme="minorBidi" w:cstheme="minorBidi"/>
            <w:bCs/>
            <w:sz w:val="18"/>
            <w:szCs w:val="18"/>
          </w:rPr>
          <w:t>6</w:t>
        </w:r>
      </w:hyperlink>
      <w:r w:rsidRPr="003B3440">
        <w:rPr>
          <w:rFonts w:asciiTheme="minorBidi" w:hAnsiTheme="minorBidi" w:cstheme="minorBidi"/>
          <w:bCs/>
          <w:snapToGrid w:val="0"/>
          <w:sz w:val="18"/>
          <w:szCs w:val="18"/>
        </w:rPr>
        <w:t xml:space="preserve">, a 24 con la </w:t>
      </w:r>
      <w:r w:rsidR="00EB7380" w:rsidRPr="003B3440">
        <w:rPr>
          <w:rFonts w:asciiTheme="minorBidi" w:hAnsiTheme="minorBidi" w:cstheme="minorBidi"/>
        </w:rPr>
        <w:t>Resolución</w:t>
      </w:r>
      <w:r w:rsidR="00EB7380" w:rsidRPr="003B3440">
        <w:rPr>
          <w:rFonts w:asciiTheme="minorBidi" w:hAnsiTheme="minorBidi" w:cstheme="minorBidi"/>
          <w:sz w:val="18"/>
          <w:szCs w:val="18"/>
        </w:rPr>
        <w:t xml:space="preserve"> </w:t>
      </w:r>
      <w:hyperlink r:id="rId4" w:history="1">
        <w:r w:rsidR="00EB7380" w:rsidRPr="003B3440">
          <w:rPr>
            <w:rStyle w:val="Hyperlink"/>
            <w:rFonts w:asciiTheme="minorBidi" w:hAnsiTheme="minorBidi" w:cstheme="minorBidi"/>
            <w:bCs/>
            <w:sz w:val="18"/>
            <w:szCs w:val="18"/>
          </w:rPr>
          <w:t>6.GA 8</w:t>
        </w:r>
      </w:hyperlink>
      <w:r w:rsidRPr="003B3440">
        <w:rPr>
          <w:rFonts w:asciiTheme="minorBidi" w:hAnsiTheme="minorBidi" w:cstheme="minorBidi"/>
          <w:bCs/>
          <w:snapToGrid w:val="0"/>
          <w:sz w:val="18"/>
          <w:szCs w:val="18"/>
        </w:rPr>
        <w:t>, a 29 con la</w:t>
      </w:r>
      <w:r w:rsidRPr="003B3440">
        <w:rPr>
          <w:rFonts w:asciiTheme="minorBidi" w:hAnsiTheme="minorBidi" w:cstheme="minorBidi"/>
          <w:sz w:val="18"/>
          <w:szCs w:val="18"/>
        </w:rPr>
        <w:t xml:space="preserve"> </w:t>
      </w:r>
      <w:r w:rsidRPr="003B3440">
        <w:rPr>
          <w:rFonts w:asciiTheme="minorBidi" w:hAnsiTheme="minorBidi" w:cstheme="minorBidi"/>
          <w:bCs/>
          <w:snapToGrid w:val="0"/>
          <w:sz w:val="18"/>
          <w:szCs w:val="18"/>
        </w:rPr>
        <w:t xml:space="preserve">Resolución </w:t>
      </w:r>
      <w:hyperlink r:id="rId5" w:history="1">
        <w:r w:rsidRPr="003B3440">
          <w:rPr>
            <w:rStyle w:val="Hyperlink"/>
            <w:rFonts w:asciiTheme="minorBidi" w:hAnsiTheme="minorBidi" w:cstheme="minorBidi"/>
            <w:bCs/>
            <w:sz w:val="18"/>
            <w:szCs w:val="18"/>
          </w:rPr>
          <w:t>7.</w:t>
        </w:r>
        <w:r w:rsidR="00EB7380" w:rsidRPr="003B3440">
          <w:rPr>
            <w:rStyle w:val="Hyperlink"/>
            <w:rFonts w:asciiTheme="minorBidi" w:hAnsiTheme="minorBidi" w:cstheme="minorBidi"/>
            <w:bCs/>
            <w:sz w:val="18"/>
            <w:szCs w:val="18"/>
          </w:rPr>
          <w:t>GA </w:t>
        </w:r>
        <w:r w:rsidRPr="003B3440">
          <w:rPr>
            <w:rStyle w:val="Hyperlink"/>
            <w:rFonts w:asciiTheme="minorBidi" w:hAnsiTheme="minorBidi" w:cstheme="minorBidi"/>
            <w:bCs/>
            <w:sz w:val="18"/>
            <w:szCs w:val="18"/>
          </w:rPr>
          <w:t>11</w:t>
        </w:r>
      </w:hyperlink>
      <w:r w:rsidRPr="003B3440">
        <w:rPr>
          <w:rFonts w:asciiTheme="minorBidi" w:hAnsiTheme="minorBidi" w:cstheme="minorBidi"/>
          <w:bCs/>
          <w:snapToGrid w:val="0"/>
          <w:sz w:val="18"/>
          <w:szCs w:val="18"/>
        </w:rPr>
        <w:t xml:space="preserve"> y a 36 con la</w:t>
      </w:r>
      <w:r w:rsidRPr="003B3440">
        <w:rPr>
          <w:rFonts w:asciiTheme="minorBidi" w:hAnsiTheme="minorBidi" w:cstheme="minorBidi"/>
          <w:sz w:val="18"/>
          <w:szCs w:val="18"/>
        </w:rPr>
        <w:t xml:space="preserve"> </w:t>
      </w:r>
      <w:r w:rsidR="00EB7380" w:rsidRPr="003B3440">
        <w:rPr>
          <w:rFonts w:asciiTheme="minorBidi" w:hAnsiTheme="minorBidi" w:cstheme="minorBidi"/>
          <w:bCs/>
          <w:snapToGrid w:val="0"/>
          <w:sz w:val="18"/>
          <w:szCs w:val="18"/>
        </w:rPr>
        <w:t>Resolución </w:t>
      </w:r>
      <w:hyperlink r:id="rId6" w:history="1">
        <w:r w:rsidRPr="003B3440">
          <w:rPr>
            <w:rStyle w:val="Hyperlink"/>
            <w:rFonts w:asciiTheme="minorBidi" w:hAnsiTheme="minorBidi" w:cstheme="minorBidi"/>
            <w:bCs/>
            <w:snapToGrid w:val="0"/>
            <w:sz w:val="18"/>
            <w:szCs w:val="18"/>
          </w:rPr>
          <w:t>8.</w:t>
        </w:r>
        <w:r w:rsidR="00EB7380" w:rsidRPr="003B3440">
          <w:rPr>
            <w:rStyle w:val="Hyperlink"/>
            <w:rFonts w:asciiTheme="minorBidi" w:hAnsiTheme="minorBidi" w:cstheme="minorBidi"/>
            <w:bCs/>
            <w:snapToGrid w:val="0"/>
            <w:sz w:val="18"/>
            <w:szCs w:val="18"/>
          </w:rPr>
          <w:t>GA </w:t>
        </w:r>
        <w:r w:rsidRPr="003B3440">
          <w:rPr>
            <w:rStyle w:val="Hyperlink"/>
            <w:rFonts w:asciiTheme="minorBidi" w:hAnsiTheme="minorBidi" w:cstheme="minorBidi"/>
            <w:bCs/>
            <w:snapToGrid w:val="0"/>
            <w:sz w:val="18"/>
            <w:szCs w:val="18"/>
          </w:rPr>
          <w:t>13</w:t>
        </w:r>
      </w:hyperlink>
      <w:r w:rsidRPr="003B3440">
        <w:rPr>
          <w:rFonts w:asciiTheme="minorBidi" w:hAnsiTheme="minorBidi" w:cstheme="minorBidi"/>
          <w:bCs/>
          <w:snapToGrid w:val="0"/>
          <w:sz w:val="18"/>
          <w:szCs w:val="18"/>
        </w:rPr>
        <w:t>.</w:t>
      </w:r>
    </w:p>
  </w:footnote>
  <w:footnote w:id="2">
    <w:p w14:paraId="3F2452DD" w14:textId="7CD4F15C" w:rsidR="00C01618" w:rsidRPr="003B3440" w:rsidRDefault="00C01618" w:rsidP="00C01618">
      <w:pPr>
        <w:pStyle w:val="FootnoteText"/>
        <w:spacing w:after="60"/>
        <w:ind w:left="567" w:hanging="567"/>
        <w:jc w:val="both"/>
        <w:rPr>
          <w:rFonts w:asciiTheme="minorBidi" w:hAnsiTheme="minorBidi" w:cstheme="minorBidi"/>
          <w:sz w:val="18"/>
          <w:szCs w:val="18"/>
        </w:rPr>
      </w:pPr>
      <w:r w:rsidRPr="003B3440">
        <w:rPr>
          <w:rStyle w:val="FootnoteReference"/>
          <w:rFonts w:asciiTheme="minorBidi" w:hAnsiTheme="minorBidi" w:cstheme="minorBidi"/>
          <w:sz w:val="18"/>
          <w:szCs w:val="18"/>
          <w:vertAlign w:val="baseline"/>
        </w:rPr>
        <w:footnoteRef/>
      </w:r>
      <w:r w:rsidR="003B3440">
        <w:rPr>
          <w:rFonts w:asciiTheme="minorBidi" w:hAnsiTheme="minorBidi" w:cstheme="minorBidi"/>
          <w:bCs/>
          <w:snapToGrid w:val="0"/>
          <w:sz w:val="18"/>
          <w:szCs w:val="18"/>
        </w:rPr>
        <w:t>.</w:t>
      </w:r>
      <w:r w:rsidRPr="003B3440">
        <w:rPr>
          <w:rFonts w:asciiTheme="minorBidi" w:hAnsiTheme="minorBidi" w:cstheme="minorBidi"/>
          <w:bCs/>
          <w:snapToGrid w:val="0"/>
          <w:sz w:val="18"/>
          <w:szCs w:val="18"/>
        </w:rPr>
        <w:tab/>
        <w:t xml:space="preserve">En su </w:t>
      </w:r>
      <w:r w:rsidRPr="003B3440">
        <w:rPr>
          <w:rFonts w:asciiTheme="minorBidi" w:hAnsiTheme="minorBidi" w:cstheme="minorBidi"/>
          <w:b/>
          <w:snapToGrid w:val="0"/>
          <w:sz w:val="18"/>
          <w:szCs w:val="18"/>
        </w:rPr>
        <w:t>décima</w:t>
      </w:r>
      <w:r w:rsidRPr="003B3440">
        <w:rPr>
          <w:rFonts w:asciiTheme="minorBidi" w:hAnsiTheme="minorBidi" w:cstheme="minorBidi"/>
          <w:bCs/>
          <w:snapToGrid w:val="0"/>
          <w:sz w:val="18"/>
          <w:szCs w:val="18"/>
        </w:rPr>
        <w:t xml:space="preserve"> </w:t>
      </w:r>
      <w:r w:rsidR="009322E3" w:rsidRPr="003B3440">
        <w:rPr>
          <w:rFonts w:asciiTheme="minorBidi" w:hAnsiTheme="minorBidi" w:cstheme="minorBidi"/>
          <w:bCs/>
          <w:snapToGrid w:val="0"/>
          <w:sz w:val="18"/>
          <w:szCs w:val="18"/>
        </w:rPr>
        <w:t xml:space="preserve">reunión </w:t>
      </w:r>
      <w:r w:rsidRPr="003B3440">
        <w:rPr>
          <w:rFonts w:asciiTheme="minorBidi" w:hAnsiTheme="minorBidi" w:cstheme="minorBidi"/>
          <w:bCs/>
          <w:snapToGrid w:val="0"/>
          <w:sz w:val="18"/>
          <w:szCs w:val="18"/>
        </w:rPr>
        <w:t xml:space="preserve">de 2015, el Comité decidió </w:t>
      </w:r>
      <w:r w:rsidR="00DB3B99" w:rsidRPr="003B3440">
        <w:rPr>
          <w:rFonts w:asciiTheme="minorBidi" w:hAnsiTheme="minorBidi" w:cstheme="minorBidi"/>
          <w:bCs/>
          <w:snapToGrid w:val="0"/>
          <w:sz w:val="18"/>
          <w:szCs w:val="18"/>
        </w:rPr>
        <w:t>mantener</w:t>
      </w:r>
      <w:r w:rsidRPr="003B3440">
        <w:rPr>
          <w:rFonts w:asciiTheme="minorBidi" w:hAnsiTheme="minorBidi" w:cstheme="minorBidi"/>
          <w:bCs/>
          <w:snapToGrid w:val="0"/>
          <w:sz w:val="18"/>
          <w:szCs w:val="18"/>
        </w:rPr>
        <w:t xml:space="preserve"> las relaciones con 59 ONG y poner fin a las relaciones con 38 ONG (Decisión </w:t>
      </w:r>
      <w:hyperlink r:id="rId7" w:history="1">
        <w:r w:rsidRPr="003B3440">
          <w:rPr>
            <w:rStyle w:val="Hyperlink"/>
            <w:rFonts w:asciiTheme="minorBidi" w:hAnsiTheme="minorBidi" w:cstheme="minorBidi"/>
            <w:bCs/>
            <w:snapToGrid w:val="0"/>
            <w:sz w:val="18"/>
            <w:szCs w:val="18"/>
          </w:rPr>
          <w:t>10.</w:t>
        </w:r>
        <w:r w:rsidR="00EB7380" w:rsidRPr="003B3440">
          <w:rPr>
            <w:rStyle w:val="Hyperlink"/>
            <w:rFonts w:asciiTheme="minorBidi" w:hAnsiTheme="minorBidi" w:cstheme="minorBidi"/>
            <w:bCs/>
            <w:snapToGrid w:val="0"/>
            <w:sz w:val="18"/>
            <w:szCs w:val="18"/>
          </w:rPr>
          <w:t>COM </w:t>
        </w:r>
        <w:r w:rsidRPr="003B3440">
          <w:rPr>
            <w:rStyle w:val="Hyperlink"/>
            <w:rFonts w:asciiTheme="minorBidi" w:hAnsiTheme="minorBidi" w:cstheme="minorBidi"/>
            <w:bCs/>
            <w:snapToGrid w:val="0"/>
            <w:sz w:val="18"/>
            <w:szCs w:val="18"/>
          </w:rPr>
          <w:t>16</w:t>
        </w:r>
      </w:hyperlink>
      <w:r w:rsidRPr="003B3440">
        <w:rPr>
          <w:rFonts w:asciiTheme="minorBidi" w:hAnsiTheme="minorBidi" w:cstheme="minorBidi"/>
          <w:bCs/>
          <w:snapToGrid w:val="0"/>
          <w:sz w:val="18"/>
          <w:szCs w:val="18"/>
        </w:rPr>
        <w:t xml:space="preserve">), todas ellas acreditadas en la tercera </w:t>
      </w:r>
      <w:r w:rsidR="009322E3" w:rsidRPr="003B3440">
        <w:rPr>
          <w:rFonts w:asciiTheme="minorBidi" w:hAnsiTheme="minorBidi" w:cstheme="minorBidi"/>
          <w:bCs/>
          <w:snapToGrid w:val="0"/>
          <w:sz w:val="18"/>
          <w:szCs w:val="18"/>
        </w:rPr>
        <w:t>reunión</w:t>
      </w:r>
      <w:r w:rsidRPr="003B3440">
        <w:rPr>
          <w:rFonts w:asciiTheme="minorBidi" w:hAnsiTheme="minorBidi" w:cstheme="minorBidi"/>
          <w:bCs/>
          <w:snapToGrid w:val="0"/>
          <w:sz w:val="18"/>
          <w:szCs w:val="18"/>
        </w:rPr>
        <w:t xml:space="preserve"> de la Asamblea General de 2010; en su </w:t>
      </w:r>
      <w:r w:rsidRPr="003B3440">
        <w:rPr>
          <w:rFonts w:asciiTheme="minorBidi" w:hAnsiTheme="minorBidi" w:cstheme="minorBidi"/>
          <w:b/>
          <w:snapToGrid w:val="0"/>
          <w:sz w:val="18"/>
          <w:szCs w:val="18"/>
        </w:rPr>
        <w:t>duodécima</w:t>
      </w:r>
      <w:r w:rsidRPr="003B3440">
        <w:rPr>
          <w:rFonts w:asciiTheme="minorBidi" w:hAnsiTheme="minorBidi" w:cstheme="minorBidi"/>
          <w:bCs/>
          <w:snapToGrid w:val="0"/>
          <w:sz w:val="18"/>
          <w:szCs w:val="18"/>
        </w:rPr>
        <w:t xml:space="preserve"> </w:t>
      </w:r>
      <w:r w:rsidR="009322E3" w:rsidRPr="003B3440">
        <w:rPr>
          <w:rFonts w:asciiTheme="minorBidi" w:hAnsiTheme="minorBidi" w:cstheme="minorBidi"/>
          <w:bCs/>
          <w:snapToGrid w:val="0"/>
          <w:sz w:val="18"/>
          <w:szCs w:val="18"/>
        </w:rPr>
        <w:t xml:space="preserve">reunión </w:t>
      </w:r>
      <w:r w:rsidRPr="003B3440">
        <w:rPr>
          <w:rFonts w:asciiTheme="minorBidi" w:hAnsiTheme="minorBidi" w:cstheme="minorBidi"/>
          <w:bCs/>
          <w:snapToGrid w:val="0"/>
          <w:sz w:val="18"/>
          <w:szCs w:val="18"/>
        </w:rPr>
        <w:t xml:space="preserve">de 2017, el Comité decidió </w:t>
      </w:r>
      <w:r w:rsidR="00DB3B99" w:rsidRPr="003B3440">
        <w:rPr>
          <w:rFonts w:asciiTheme="minorBidi" w:hAnsiTheme="minorBidi" w:cstheme="minorBidi"/>
          <w:bCs/>
          <w:snapToGrid w:val="0"/>
          <w:sz w:val="18"/>
          <w:szCs w:val="18"/>
        </w:rPr>
        <w:t>mantener</w:t>
      </w:r>
      <w:r w:rsidRPr="003B3440">
        <w:rPr>
          <w:rFonts w:asciiTheme="minorBidi" w:hAnsiTheme="minorBidi" w:cstheme="minorBidi"/>
          <w:bCs/>
          <w:snapToGrid w:val="0"/>
          <w:sz w:val="18"/>
          <w:szCs w:val="18"/>
        </w:rPr>
        <w:t xml:space="preserve"> </w:t>
      </w:r>
      <w:r w:rsidR="00BC1075" w:rsidRPr="003B3440">
        <w:rPr>
          <w:rFonts w:asciiTheme="minorBidi" w:hAnsiTheme="minorBidi" w:cstheme="minorBidi"/>
          <w:bCs/>
          <w:snapToGrid w:val="0"/>
          <w:sz w:val="18"/>
          <w:szCs w:val="18"/>
        </w:rPr>
        <w:t xml:space="preserve">las </w:t>
      </w:r>
      <w:r w:rsidRPr="003B3440">
        <w:rPr>
          <w:rFonts w:asciiTheme="minorBidi" w:hAnsiTheme="minorBidi" w:cstheme="minorBidi"/>
          <w:bCs/>
          <w:snapToGrid w:val="0"/>
          <w:sz w:val="18"/>
          <w:szCs w:val="18"/>
        </w:rPr>
        <w:t xml:space="preserve">relaciones con 42 ONG y poner fin a las relaciones con 17 ONG (Decisión </w:t>
      </w:r>
      <w:hyperlink r:id="rId8" w:history="1">
        <w:r w:rsidRPr="003B3440">
          <w:rPr>
            <w:rStyle w:val="Hyperlink"/>
            <w:rFonts w:asciiTheme="minorBidi" w:hAnsiTheme="minorBidi" w:cstheme="minorBidi"/>
            <w:bCs/>
            <w:snapToGrid w:val="0"/>
            <w:sz w:val="18"/>
            <w:szCs w:val="18"/>
          </w:rPr>
          <w:t>12.</w:t>
        </w:r>
        <w:r w:rsidR="00EB7380" w:rsidRPr="003B3440">
          <w:rPr>
            <w:rStyle w:val="Hyperlink"/>
            <w:rFonts w:asciiTheme="minorBidi" w:hAnsiTheme="minorBidi" w:cstheme="minorBidi"/>
            <w:bCs/>
            <w:snapToGrid w:val="0"/>
            <w:sz w:val="18"/>
            <w:szCs w:val="18"/>
          </w:rPr>
          <w:t>COM </w:t>
        </w:r>
        <w:r w:rsidRPr="003B3440">
          <w:rPr>
            <w:rStyle w:val="Hyperlink"/>
            <w:rFonts w:asciiTheme="minorBidi" w:hAnsiTheme="minorBidi" w:cstheme="minorBidi"/>
            <w:bCs/>
            <w:snapToGrid w:val="0"/>
            <w:sz w:val="18"/>
            <w:szCs w:val="18"/>
          </w:rPr>
          <w:t>17</w:t>
        </w:r>
      </w:hyperlink>
      <w:r w:rsidRPr="003B3440">
        <w:rPr>
          <w:rFonts w:asciiTheme="minorBidi" w:hAnsiTheme="minorBidi" w:cstheme="minorBidi"/>
          <w:bCs/>
          <w:snapToGrid w:val="0"/>
          <w:sz w:val="18"/>
          <w:szCs w:val="18"/>
        </w:rPr>
        <w:t xml:space="preserve">), todas ellas acreditadas en la cuarta </w:t>
      </w:r>
      <w:r w:rsidR="009322E3" w:rsidRPr="003B3440">
        <w:rPr>
          <w:rFonts w:asciiTheme="minorBidi" w:hAnsiTheme="minorBidi" w:cstheme="minorBidi"/>
          <w:bCs/>
          <w:snapToGrid w:val="0"/>
          <w:sz w:val="18"/>
          <w:szCs w:val="18"/>
        </w:rPr>
        <w:t>reunión</w:t>
      </w:r>
      <w:r w:rsidRPr="003B3440">
        <w:rPr>
          <w:rFonts w:asciiTheme="minorBidi" w:hAnsiTheme="minorBidi" w:cstheme="minorBidi"/>
          <w:bCs/>
          <w:snapToGrid w:val="0"/>
          <w:sz w:val="18"/>
          <w:szCs w:val="18"/>
        </w:rPr>
        <w:t xml:space="preserve"> de la Asamblea General de 2012; en su </w:t>
      </w:r>
      <w:r w:rsidRPr="003B3440">
        <w:rPr>
          <w:rFonts w:asciiTheme="minorBidi" w:hAnsiTheme="minorBidi" w:cstheme="minorBidi"/>
          <w:b/>
          <w:snapToGrid w:val="0"/>
          <w:sz w:val="18"/>
          <w:szCs w:val="18"/>
        </w:rPr>
        <w:t>decimocuarta</w:t>
      </w:r>
      <w:r w:rsidRPr="003B3440">
        <w:rPr>
          <w:rFonts w:asciiTheme="minorBidi" w:hAnsiTheme="minorBidi" w:cstheme="minorBidi"/>
          <w:bCs/>
          <w:snapToGrid w:val="0"/>
          <w:sz w:val="18"/>
          <w:szCs w:val="18"/>
        </w:rPr>
        <w:t xml:space="preserve"> </w:t>
      </w:r>
      <w:r w:rsidR="009322E3" w:rsidRPr="003B3440">
        <w:rPr>
          <w:rFonts w:asciiTheme="minorBidi" w:hAnsiTheme="minorBidi" w:cstheme="minorBidi"/>
          <w:bCs/>
          <w:snapToGrid w:val="0"/>
          <w:sz w:val="18"/>
          <w:szCs w:val="18"/>
        </w:rPr>
        <w:t xml:space="preserve">reunión </w:t>
      </w:r>
      <w:r w:rsidRPr="003B3440">
        <w:rPr>
          <w:rFonts w:asciiTheme="minorBidi" w:hAnsiTheme="minorBidi" w:cstheme="minorBidi"/>
          <w:bCs/>
          <w:snapToGrid w:val="0"/>
          <w:sz w:val="18"/>
          <w:szCs w:val="18"/>
        </w:rPr>
        <w:t xml:space="preserve">de 2019, el Comité decidió </w:t>
      </w:r>
      <w:r w:rsidR="00DB3B99" w:rsidRPr="003B3440">
        <w:rPr>
          <w:rFonts w:asciiTheme="minorBidi" w:hAnsiTheme="minorBidi" w:cstheme="minorBidi"/>
          <w:bCs/>
          <w:snapToGrid w:val="0"/>
          <w:sz w:val="18"/>
          <w:szCs w:val="18"/>
        </w:rPr>
        <w:t>mantener</w:t>
      </w:r>
      <w:r w:rsidRPr="003B3440">
        <w:rPr>
          <w:rFonts w:asciiTheme="minorBidi" w:hAnsiTheme="minorBidi" w:cstheme="minorBidi"/>
          <w:bCs/>
          <w:snapToGrid w:val="0"/>
          <w:sz w:val="18"/>
          <w:szCs w:val="18"/>
        </w:rPr>
        <w:t xml:space="preserve"> las relaciones con 62 ONG acreditadas y poner fin a las relaciones con 19 ONG (Decisión </w:t>
      </w:r>
      <w:hyperlink r:id="rId9" w:history="1">
        <w:r w:rsidRPr="003B3440">
          <w:rPr>
            <w:rStyle w:val="Hyperlink"/>
            <w:rFonts w:asciiTheme="minorBidi" w:hAnsiTheme="minorBidi" w:cstheme="minorBidi"/>
            <w:bCs/>
            <w:snapToGrid w:val="0"/>
            <w:sz w:val="18"/>
            <w:szCs w:val="18"/>
          </w:rPr>
          <w:t>14.</w:t>
        </w:r>
        <w:r w:rsidR="00EB7380" w:rsidRPr="003B3440">
          <w:rPr>
            <w:rStyle w:val="Hyperlink"/>
            <w:rFonts w:asciiTheme="minorBidi" w:hAnsiTheme="minorBidi" w:cstheme="minorBidi"/>
            <w:bCs/>
            <w:snapToGrid w:val="0"/>
            <w:sz w:val="18"/>
            <w:szCs w:val="18"/>
          </w:rPr>
          <w:t>COM </w:t>
        </w:r>
        <w:r w:rsidRPr="003B3440">
          <w:rPr>
            <w:rStyle w:val="Hyperlink"/>
            <w:rFonts w:asciiTheme="minorBidi" w:hAnsiTheme="minorBidi" w:cstheme="minorBidi"/>
            <w:bCs/>
            <w:snapToGrid w:val="0"/>
            <w:sz w:val="18"/>
            <w:szCs w:val="18"/>
          </w:rPr>
          <w:t>17</w:t>
        </w:r>
      </w:hyperlink>
      <w:r w:rsidRPr="003B3440">
        <w:rPr>
          <w:rFonts w:asciiTheme="minorBidi" w:hAnsiTheme="minorBidi" w:cstheme="minorBidi"/>
          <w:bCs/>
          <w:snapToGrid w:val="0"/>
          <w:sz w:val="18"/>
          <w:szCs w:val="18"/>
        </w:rPr>
        <w:t xml:space="preserve">), todas ellas acreditadas en la quinta </w:t>
      </w:r>
      <w:r w:rsidR="009322E3" w:rsidRPr="003B3440">
        <w:rPr>
          <w:rFonts w:asciiTheme="minorBidi" w:hAnsiTheme="minorBidi" w:cstheme="minorBidi"/>
          <w:bCs/>
          <w:snapToGrid w:val="0"/>
          <w:sz w:val="18"/>
          <w:szCs w:val="18"/>
        </w:rPr>
        <w:t>reunión</w:t>
      </w:r>
      <w:r w:rsidRPr="003B3440">
        <w:rPr>
          <w:rFonts w:asciiTheme="minorBidi" w:hAnsiTheme="minorBidi" w:cstheme="minorBidi"/>
          <w:bCs/>
          <w:snapToGrid w:val="0"/>
          <w:sz w:val="18"/>
          <w:szCs w:val="18"/>
        </w:rPr>
        <w:t xml:space="preserve"> de la Asamblea General; en su </w:t>
      </w:r>
      <w:r w:rsidRPr="003B3440">
        <w:rPr>
          <w:rFonts w:asciiTheme="minorBidi" w:hAnsiTheme="minorBidi" w:cstheme="minorBidi"/>
          <w:b/>
          <w:snapToGrid w:val="0"/>
          <w:sz w:val="18"/>
          <w:szCs w:val="18"/>
        </w:rPr>
        <w:t>decimosexta</w:t>
      </w:r>
      <w:r w:rsidRPr="003B3440">
        <w:rPr>
          <w:rFonts w:asciiTheme="minorBidi" w:hAnsiTheme="minorBidi" w:cstheme="minorBidi"/>
          <w:bCs/>
          <w:snapToGrid w:val="0"/>
          <w:sz w:val="18"/>
          <w:szCs w:val="18"/>
        </w:rPr>
        <w:t xml:space="preserve"> </w:t>
      </w:r>
      <w:r w:rsidR="009322E3" w:rsidRPr="003B3440">
        <w:rPr>
          <w:rFonts w:asciiTheme="minorBidi" w:hAnsiTheme="minorBidi" w:cstheme="minorBidi"/>
          <w:bCs/>
          <w:snapToGrid w:val="0"/>
          <w:sz w:val="18"/>
          <w:szCs w:val="18"/>
        </w:rPr>
        <w:t>reunión</w:t>
      </w:r>
      <w:r w:rsidRPr="003B3440">
        <w:rPr>
          <w:rFonts w:asciiTheme="minorBidi" w:hAnsiTheme="minorBidi" w:cstheme="minorBidi"/>
          <w:bCs/>
          <w:snapToGrid w:val="0"/>
          <w:sz w:val="18"/>
          <w:szCs w:val="18"/>
        </w:rPr>
        <w:t xml:space="preserve"> de 2021, el Comité decidió </w:t>
      </w:r>
      <w:r w:rsidR="00DB3B99" w:rsidRPr="003B3440">
        <w:rPr>
          <w:rFonts w:asciiTheme="minorBidi" w:hAnsiTheme="minorBidi" w:cstheme="minorBidi"/>
          <w:bCs/>
          <w:snapToGrid w:val="0"/>
          <w:sz w:val="18"/>
          <w:szCs w:val="18"/>
        </w:rPr>
        <w:t>mantener</w:t>
      </w:r>
      <w:r w:rsidRPr="003B3440">
        <w:rPr>
          <w:rFonts w:asciiTheme="minorBidi" w:hAnsiTheme="minorBidi" w:cstheme="minorBidi"/>
          <w:bCs/>
          <w:snapToGrid w:val="0"/>
          <w:sz w:val="18"/>
          <w:szCs w:val="18"/>
        </w:rPr>
        <w:t xml:space="preserve"> las relaciones con 57 ONG acreditadas y poner fin a las relaciones con 9 ONG (Decisión </w:t>
      </w:r>
      <w:hyperlink r:id="rId10" w:history="1">
        <w:r w:rsidRPr="003B3440">
          <w:rPr>
            <w:rStyle w:val="Hyperlink"/>
            <w:rFonts w:asciiTheme="minorBidi" w:hAnsiTheme="minorBidi" w:cstheme="minorBidi"/>
            <w:bCs/>
            <w:snapToGrid w:val="0"/>
            <w:sz w:val="18"/>
            <w:szCs w:val="18"/>
          </w:rPr>
          <w:t>16.</w:t>
        </w:r>
        <w:r w:rsidR="00EB7380" w:rsidRPr="003B3440">
          <w:rPr>
            <w:rStyle w:val="Hyperlink"/>
            <w:rFonts w:asciiTheme="minorBidi" w:hAnsiTheme="minorBidi" w:cstheme="minorBidi"/>
            <w:bCs/>
            <w:snapToGrid w:val="0"/>
            <w:sz w:val="18"/>
            <w:szCs w:val="18"/>
          </w:rPr>
          <w:t>COM </w:t>
        </w:r>
        <w:r w:rsidRPr="003B3440">
          <w:rPr>
            <w:rStyle w:val="Hyperlink"/>
            <w:rFonts w:asciiTheme="minorBidi" w:hAnsiTheme="minorBidi" w:cstheme="minorBidi"/>
            <w:bCs/>
            <w:snapToGrid w:val="0"/>
            <w:sz w:val="18"/>
            <w:szCs w:val="18"/>
          </w:rPr>
          <w:t>15</w:t>
        </w:r>
      </w:hyperlink>
      <w:r w:rsidRPr="003B3440">
        <w:rPr>
          <w:rFonts w:asciiTheme="minorBidi" w:hAnsiTheme="minorBidi" w:cstheme="minorBidi"/>
          <w:bCs/>
          <w:snapToGrid w:val="0"/>
          <w:sz w:val="18"/>
          <w:szCs w:val="18"/>
        </w:rPr>
        <w:t xml:space="preserve">), todas ellas acreditadas en la sexta </w:t>
      </w:r>
      <w:r w:rsidR="009322E3" w:rsidRPr="003B3440">
        <w:rPr>
          <w:rFonts w:asciiTheme="minorBidi" w:hAnsiTheme="minorBidi" w:cstheme="minorBidi"/>
          <w:bCs/>
          <w:snapToGrid w:val="0"/>
          <w:sz w:val="18"/>
          <w:szCs w:val="18"/>
        </w:rPr>
        <w:t xml:space="preserve">reunión </w:t>
      </w:r>
      <w:r w:rsidRPr="003B3440">
        <w:rPr>
          <w:rFonts w:asciiTheme="minorBidi" w:hAnsiTheme="minorBidi" w:cstheme="minorBidi"/>
          <w:bCs/>
          <w:snapToGrid w:val="0"/>
          <w:sz w:val="18"/>
          <w:szCs w:val="18"/>
        </w:rPr>
        <w:t>de la Asamblea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3D09CE3D" w:rsidR="00D95C4C" w:rsidRPr="00C23A97" w:rsidRDefault="006F41B4">
    <w:pPr>
      <w:pStyle w:val="Header"/>
      <w:rPr>
        <w:rFonts w:ascii="Arial" w:hAnsi="Arial" w:cs="Arial"/>
      </w:rPr>
    </w:pPr>
    <w:r>
      <w:rPr>
        <w:rFonts w:ascii="Arial" w:hAnsi="Arial"/>
        <w:sz w:val="20"/>
        <w:szCs w:val="20"/>
      </w:rPr>
      <w:t xml:space="preserve">LHE/22/9.GA/7 – página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B032DD">
      <w:rPr>
        <w:rStyle w:val="PageNumber"/>
        <w:rFonts w:ascii="Arial" w:hAnsi="Arial" w:cs="Arial"/>
        <w:noProof/>
        <w:sz w:val="20"/>
        <w:szCs w:val="20"/>
      </w:rPr>
      <w:t>6</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3C39BFFE" w:rsidR="00D95C4C" w:rsidRPr="0063300C" w:rsidRDefault="00502D44" w:rsidP="0063300C">
    <w:pPr>
      <w:pStyle w:val="Header"/>
      <w:jc w:val="right"/>
      <w:rPr>
        <w:rFonts w:ascii="Arial" w:hAnsi="Arial" w:cs="Arial"/>
      </w:rPr>
    </w:pPr>
    <w:r>
      <w:rPr>
        <w:rFonts w:ascii="Arial" w:hAnsi="Arial"/>
        <w:sz w:val="20"/>
        <w:szCs w:val="20"/>
      </w:rPr>
      <w:t xml:space="preserve">LHE/22/9.GA/7– página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B032DD">
      <w:rPr>
        <w:rStyle w:val="PageNumber"/>
        <w:rFonts w:ascii="Arial" w:hAnsi="Arial" w:cs="Arial"/>
        <w:noProof/>
        <w:sz w:val="20"/>
        <w:szCs w:val="20"/>
      </w:rPr>
      <w:t>5</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086427B7" w:rsidR="00D95C4C" w:rsidRPr="008724E5" w:rsidRDefault="0009103B">
    <w:pPr>
      <w:pStyle w:val="Header"/>
    </w:pPr>
    <w:r>
      <w:rPr>
        <w:noProof/>
      </w:rPr>
      <w:drawing>
        <wp:anchor distT="0" distB="0" distL="114300" distR="114300" simplePos="0" relativeHeight="251659264" behindDoc="0" locked="0" layoutInCell="1" allowOverlap="1" wp14:anchorId="2C825F89" wp14:editId="3AF46A2F">
          <wp:simplePos x="0" y="0"/>
          <wp:positionH relativeFrom="column">
            <wp:posOffset>161925</wp:posOffset>
          </wp:positionH>
          <wp:positionV relativeFrom="paragraph">
            <wp:posOffset>0</wp:posOffset>
          </wp:positionV>
          <wp:extent cx="1589405" cy="1337945"/>
          <wp:effectExtent l="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1337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33C0" w14:textId="5B87EB8B" w:rsidR="00D95C4C" w:rsidRPr="00D25762" w:rsidRDefault="003265D0" w:rsidP="00655736">
    <w:pPr>
      <w:pStyle w:val="Header"/>
      <w:spacing w:after="520"/>
      <w:jc w:val="right"/>
      <w:rPr>
        <w:rFonts w:ascii="Arial" w:hAnsi="Arial" w:cs="Arial"/>
        <w:b/>
        <w:sz w:val="44"/>
        <w:szCs w:val="44"/>
      </w:rPr>
    </w:pPr>
    <w:r>
      <w:rPr>
        <w:rFonts w:ascii="Arial" w:hAnsi="Arial"/>
        <w:b/>
        <w:sz w:val="44"/>
        <w:szCs w:val="44"/>
      </w:rPr>
      <w:t>9 GA</w:t>
    </w:r>
  </w:p>
  <w:p w14:paraId="2037F6C9" w14:textId="0E875835" w:rsidR="00D95C4C" w:rsidRPr="00D25762" w:rsidRDefault="006F41B4" w:rsidP="00655736">
    <w:pPr>
      <w:jc w:val="right"/>
      <w:rPr>
        <w:rFonts w:ascii="Arial" w:hAnsi="Arial" w:cs="Arial"/>
        <w:b/>
        <w:sz w:val="22"/>
        <w:szCs w:val="22"/>
      </w:rPr>
    </w:pPr>
    <w:r>
      <w:rPr>
        <w:rFonts w:ascii="Arial" w:hAnsi="Arial"/>
        <w:b/>
        <w:sz w:val="22"/>
        <w:szCs w:val="22"/>
      </w:rPr>
      <w:t>LHE/22/9.GA/7</w:t>
    </w:r>
  </w:p>
  <w:p w14:paraId="1E03530A" w14:textId="664FD2E8" w:rsidR="00D95C4C" w:rsidRPr="00D25762" w:rsidRDefault="00D95C4C" w:rsidP="00655736">
    <w:pPr>
      <w:jc w:val="right"/>
      <w:rPr>
        <w:rFonts w:ascii="Arial" w:hAnsi="Arial" w:cs="Arial"/>
        <w:b/>
        <w:sz w:val="22"/>
        <w:szCs w:val="22"/>
      </w:rPr>
    </w:pPr>
    <w:r>
      <w:rPr>
        <w:rFonts w:ascii="Arial" w:hAnsi="Arial"/>
        <w:b/>
        <w:sz w:val="22"/>
        <w:szCs w:val="22"/>
      </w:rPr>
      <w:t xml:space="preserve">París, </w:t>
    </w:r>
    <w:r w:rsidRPr="005C27DC">
      <w:rPr>
        <w:rFonts w:ascii="Arial" w:hAnsi="Arial"/>
        <w:b/>
        <w:sz w:val="22"/>
        <w:szCs w:val="22"/>
      </w:rPr>
      <w:t>3 de junio</w:t>
    </w:r>
    <w:r>
      <w:rPr>
        <w:rFonts w:ascii="Arial" w:hAnsi="Arial"/>
        <w:b/>
        <w:sz w:val="22"/>
        <w:szCs w:val="22"/>
      </w:rPr>
      <w:t xml:space="preserve"> de 2022</w:t>
    </w:r>
  </w:p>
  <w:p w14:paraId="00956E32" w14:textId="47EFEE51" w:rsidR="00D95C4C" w:rsidRDefault="00D95C4C" w:rsidP="00703FBF">
    <w:pPr>
      <w:jc w:val="right"/>
      <w:rPr>
        <w:rFonts w:ascii="Arial" w:hAnsi="Arial" w:cs="Arial"/>
        <w:b/>
        <w:sz w:val="22"/>
        <w:szCs w:val="22"/>
      </w:rPr>
    </w:pPr>
    <w:r>
      <w:rPr>
        <w:rFonts w:ascii="Arial" w:hAnsi="Arial"/>
        <w:b/>
        <w:sz w:val="22"/>
        <w:szCs w:val="22"/>
      </w:rPr>
      <w:t xml:space="preserve">Original: </w:t>
    </w:r>
    <w:r w:rsidR="00894D1E">
      <w:rPr>
        <w:rFonts w:ascii="Arial" w:hAnsi="Arial"/>
        <w:b/>
        <w:sz w:val="22"/>
        <w:szCs w:val="22"/>
      </w:rPr>
      <w:t>i</w:t>
    </w:r>
    <w:r>
      <w:rPr>
        <w:rFonts w:ascii="Arial" w:hAnsi="Arial"/>
        <w:b/>
        <w:sz w:val="22"/>
        <w:szCs w:val="22"/>
      </w:rPr>
      <w:t>nglés</w:t>
    </w:r>
  </w:p>
  <w:p w14:paraId="7FB1132E"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6352"/>
    <w:multiLevelType w:val="hybridMultilevel"/>
    <w:tmpl w:val="0DC0C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5376F"/>
    <w:multiLevelType w:val="hybridMultilevel"/>
    <w:tmpl w:val="2634EA06"/>
    <w:lvl w:ilvl="0" w:tplc="85E65BB8">
      <w:start w:val="1"/>
      <w:numFmt w:val="decimal"/>
      <w:lvlText w:val="%1."/>
      <w:lvlJc w:val="left"/>
      <w:pPr>
        <w:ind w:left="930" w:hanging="57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A62126"/>
    <w:multiLevelType w:val="hybridMultilevel"/>
    <w:tmpl w:val="7B7CB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DC6A51"/>
    <w:multiLevelType w:val="multilevel"/>
    <w:tmpl w:val="FD1C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D6D09"/>
    <w:multiLevelType w:val="hybridMultilevel"/>
    <w:tmpl w:val="A2507EC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BA53EB"/>
    <w:multiLevelType w:val="hybridMultilevel"/>
    <w:tmpl w:val="C0368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8F771C"/>
    <w:multiLevelType w:val="multilevel"/>
    <w:tmpl w:val="A0C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C6B5B59"/>
    <w:multiLevelType w:val="multilevel"/>
    <w:tmpl w:val="3E3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B3E4C"/>
    <w:multiLevelType w:val="hybridMultilevel"/>
    <w:tmpl w:val="C28269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5E6B0A"/>
    <w:multiLevelType w:val="hybridMultilevel"/>
    <w:tmpl w:val="76563B0C"/>
    <w:lvl w:ilvl="0" w:tplc="55EA7882">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2F3D3D"/>
    <w:multiLevelType w:val="hybridMultilevel"/>
    <w:tmpl w:val="A9280B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D39AC"/>
    <w:multiLevelType w:val="hybridMultilevel"/>
    <w:tmpl w:val="98F2FA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27090C"/>
    <w:multiLevelType w:val="hybridMultilevel"/>
    <w:tmpl w:val="6B0875CC"/>
    <w:lvl w:ilvl="0" w:tplc="65FCFEB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67D10C57"/>
    <w:multiLevelType w:val="multilevel"/>
    <w:tmpl w:val="357A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8222C"/>
    <w:multiLevelType w:val="hybridMultilevel"/>
    <w:tmpl w:val="B1E66D4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5C12BE"/>
    <w:multiLevelType w:val="hybridMultilevel"/>
    <w:tmpl w:val="560CA548"/>
    <w:lvl w:ilvl="0" w:tplc="5C7A275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76FC0292"/>
    <w:multiLevelType w:val="hybridMultilevel"/>
    <w:tmpl w:val="C1F0D092"/>
    <w:lvl w:ilvl="0" w:tplc="EBA0D8D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34"/>
  </w:num>
  <w:num w:numId="5">
    <w:abstractNumId w:val="26"/>
  </w:num>
  <w:num w:numId="6">
    <w:abstractNumId w:val="3"/>
  </w:num>
  <w:num w:numId="7">
    <w:abstractNumId w:val="5"/>
  </w:num>
  <w:num w:numId="8">
    <w:abstractNumId w:val="16"/>
  </w:num>
  <w:num w:numId="9">
    <w:abstractNumId w:val="8"/>
  </w:num>
  <w:num w:numId="10">
    <w:abstractNumId w:val="11"/>
  </w:num>
  <w:num w:numId="11">
    <w:abstractNumId w:val="14"/>
  </w:num>
  <w:num w:numId="12">
    <w:abstractNumId w:val="12"/>
  </w:num>
  <w:num w:numId="13">
    <w:abstractNumId w:val="30"/>
  </w:num>
  <w:num w:numId="14">
    <w:abstractNumId w:val="18"/>
  </w:num>
  <w:num w:numId="15">
    <w:abstractNumId w:val="20"/>
  </w:num>
  <w:num w:numId="16">
    <w:abstractNumId w:val="11"/>
  </w:num>
  <w:num w:numId="17">
    <w:abstractNumId w:val="11"/>
  </w:num>
  <w:num w:numId="18">
    <w:abstractNumId w:val="11"/>
  </w:num>
  <w:num w:numId="19">
    <w:abstractNumId w:val="0"/>
  </w:num>
  <w:num w:numId="20">
    <w:abstractNumId w:val="2"/>
  </w:num>
  <w:num w:numId="21">
    <w:abstractNumId w:val="32"/>
  </w:num>
  <w:num w:numId="22">
    <w:abstractNumId w:val="22"/>
  </w:num>
  <w:num w:numId="23">
    <w:abstractNumId w:val="28"/>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27"/>
  </w:num>
  <w:num w:numId="29">
    <w:abstractNumId w:val="15"/>
  </w:num>
  <w:num w:numId="30">
    <w:abstractNumId w:val="13"/>
  </w:num>
  <w:num w:numId="31">
    <w:abstractNumId w:val="8"/>
  </w:num>
  <w:num w:numId="32">
    <w:abstractNumId w:val="17"/>
  </w:num>
  <w:num w:numId="33">
    <w:abstractNumId w:val="31"/>
  </w:num>
  <w:num w:numId="34">
    <w:abstractNumId w:val="9"/>
  </w:num>
  <w:num w:numId="35">
    <w:abstractNumId w:val="25"/>
  </w:num>
  <w:num w:numId="36">
    <w:abstractNumId w:val="1"/>
  </w:num>
  <w:num w:numId="37">
    <w:abstractNumId w:val="33"/>
  </w:num>
  <w:num w:numId="38">
    <w:abstractNumId w:val="6"/>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081D"/>
    <w:rsid w:val="00002B19"/>
    <w:rsid w:val="000048ED"/>
    <w:rsid w:val="00041A66"/>
    <w:rsid w:val="0005176E"/>
    <w:rsid w:val="00053C58"/>
    <w:rsid w:val="000617A8"/>
    <w:rsid w:val="00065B6F"/>
    <w:rsid w:val="00071AC9"/>
    <w:rsid w:val="000761B7"/>
    <w:rsid w:val="000765F7"/>
    <w:rsid w:val="00077AB7"/>
    <w:rsid w:val="0008046B"/>
    <w:rsid w:val="00081A8C"/>
    <w:rsid w:val="00081CD8"/>
    <w:rsid w:val="000857CC"/>
    <w:rsid w:val="0009103B"/>
    <w:rsid w:val="000A3C88"/>
    <w:rsid w:val="000A7F0E"/>
    <w:rsid w:val="000B24C4"/>
    <w:rsid w:val="000B3D34"/>
    <w:rsid w:val="000B7111"/>
    <w:rsid w:val="000C0D61"/>
    <w:rsid w:val="000C2FE8"/>
    <w:rsid w:val="000D39DF"/>
    <w:rsid w:val="000E51EE"/>
    <w:rsid w:val="000E6941"/>
    <w:rsid w:val="000F1204"/>
    <w:rsid w:val="000F3A3F"/>
    <w:rsid w:val="00102557"/>
    <w:rsid w:val="00106920"/>
    <w:rsid w:val="00110062"/>
    <w:rsid w:val="00122328"/>
    <w:rsid w:val="001267A1"/>
    <w:rsid w:val="00132955"/>
    <w:rsid w:val="00133066"/>
    <w:rsid w:val="00141B2E"/>
    <w:rsid w:val="0014571A"/>
    <w:rsid w:val="0014711A"/>
    <w:rsid w:val="001611E7"/>
    <w:rsid w:val="00162EE7"/>
    <w:rsid w:val="00164D56"/>
    <w:rsid w:val="00164D8F"/>
    <w:rsid w:val="00167B10"/>
    <w:rsid w:val="0017402F"/>
    <w:rsid w:val="00176720"/>
    <w:rsid w:val="001862DB"/>
    <w:rsid w:val="00191ADC"/>
    <w:rsid w:val="00196C1B"/>
    <w:rsid w:val="001B0F73"/>
    <w:rsid w:val="001B52CF"/>
    <w:rsid w:val="001D5C04"/>
    <w:rsid w:val="001D70CC"/>
    <w:rsid w:val="001E05F4"/>
    <w:rsid w:val="001F1F33"/>
    <w:rsid w:val="00206861"/>
    <w:rsid w:val="00222A2D"/>
    <w:rsid w:val="00223029"/>
    <w:rsid w:val="002313B6"/>
    <w:rsid w:val="00231809"/>
    <w:rsid w:val="00234745"/>
    <w:rsid w:val="00236FF3"/>
    <w:rsid w:val="002407AF"/>
    <w:rsid w:val="00246921"/>
    <w:rsid w:val="002552D0"/>
    <w:rsid w:val="002641E7"/>
    <w:rsid w:val="00270504"/>
    <w:rsid w:val="00275EC7"/>
    <w:rsid w:val="002930BC"/>
    <w:rsid w:val="00293AF7"/>
    <w:rsid w:val="00296281"/>
    <w:rsid w:val="00296AC6"/>
    <w:rsid w:val="002C09E3"/>
    <w:rsid w:val="002C5D7A"/>
    <w:rsid w:val="002E2EBD"/>
    <w:rsid w:val="002F312A"/>
    <w:rsid w:val="003265D0"/>
    <w:rsid w:val="0032756E"/>
    <w:rsid w:val="00333DAB"/>
    <w:rsid w:val="00345CB4"/>
    <w:rsid w:val="00352BB3"/>
    <w:rsid w:val="003549B8"/>
    <w:rsid w:val="00361D79"/>
    <w:rsid w:val="003624DE"/>
    <w:rsid w:val="00365858"/>
    <w:rsid w:val="00365C36"/>
    <w:rsid w:val="00384A1C"/>
    <w:rsid w:val="003916AF"/>
    <w:rsid w:val="00391AC6"/>
    <w:rsid w:val="00394197"/>
    <w:rsid w:val="003A228F"/>
    <w:rsid w:val="003A708C"/>
    <w:rsid w:val="003B1DF8"/>
    <w:rsid w:val="003B25BD"/>
    <w:rsid w:val="003B3440"/>
    <w:rsid w:val="003B4C9D"/>
    <w:rsid w:val="003B4EA1"/>
    <w:rsid w:val="003B6D70"/>
    <w:rsid w:val="003B747C"/>
    <w:rsid w:val="003D069C"/>
    <w:rsid w:val="003D7565"/>
    <w:rsid w:val="003D7646"/>
    <w:rsid w:val="003F113A"/>
    <w:rsid w:val="00414643"/>
    <w:rsid w:val="004146F7"/>
    <w:rsid w:val="0041493A"/>
    <w:rsid w:val="004368A3"/>
    <w:rsid w:val="0043757A"/>
    <w:rsid w:val="004421E5"/>
    <w:rsid w:val="004472C8"/>
    <w:rsid w:val="00452284"/>
    <w:rsid w:val="00472BCA"/>
    <w:rsid w:val="0047616F"/>
    <w:rsid w:val="004856CA"/>
    <w:rsid w:val="00496306"/>
    <w:rsid w:val="0049705E"/>
    <w:rsid w:val="004A34A0"/>
    <w:rsid w:val="004C6C5F"/>
    <w:rsid w:val="004D32F1"/>
    <w:rsid w:val="004D73A6"/>
    <w:rsid w:val="004F7592"/>
    <w:rsid w:val="00502D44"/>
    <w:rsid w:val="005158C5"/>
    <w:rsid w:val="005163C2"/>
    <w:rsid w:val="00526B7B"/>
    <w:rsid w:val="005308CE"/>
    <w:rsid w:val="00540FE0"/>
    <w:rsid w:val="00546345"/>
    <w:rsid w:val="00547B09"/>
    <w:rsid w:val="00552A08"/>
    <w:rsid w:val="00552BFE"/>
    <w:rsid w:val="0057439C"/>
    <w:rsid w:val="005823AB"/>
    <w:rsid w:val="00593D58"/>
    <w:rsid w:val="00595AF2"/>
    <w:rsid w:val="005B0127"/>
    <w:rsid w:val="005B7A35"/>
    <w:rsid w:val="005C27DC"/>
    <w:rsid w:val="005C4B73"/>
    <w:rsid w:val="005E1D2B"/>
    <w:rsid w:val="005F63DD"/>
    <w:rsid w:val="00600D93"/>
    <w:rsid w:val="00600E03"/>
    <w:rsid w:val="0060597A"/>
    <w:rsid w:val="00612323"/>
    <w:rsid w:val="006212A7"/>
    <w:rsid w:val="00631EB4"/>
    <w:rsid w:val="0063300C"/>
    <w:rsid w:val="00647FD6"/>
    <w:rsid w:val="00655736"/>
    <w:rsid w:val="00656FCC"/>
    <w:rsid w:val="00663B8D"/>
    <w:rsid w:val="0067576F"/>
    <w:rsid w:val="00677640"/>
    <w:rsid w:val="0067775C"/>
    <w:rsid w:val="006836FB"/>
    <w:rsid w:val="0069182E"/>
    <w:rsid w:val="006951AE"/>
    <w:rsid w:val="006968E3"/>
    <w:rsid w:val="00696C8D"/>
    <w:rsid w:val="006A2AC2"/>
    <w:rsid w:val="006A3617"/>
    <w:rsid w:val="006A5FFC"/>
    <w:rsid w:val="006A64E9"/>
    <w:rsid w:val="006E46E4"/>
    <w:rsid w:val="006F41B4"/>
    <w:rsid w:val="0070187D"/>
    <w:rsid w:val="00703FBF"/>
    <w:rsid w:val="007058DF"/>
    <w:rsid w:val="0071435D"/>
    <w:rsid w:val="00717DA5"/>
    <w:rsid w:val="00733307"/>
    <w:rsid w:val="00733376"/>
    <w:rsid w:val="00744484"/>
    <w:rsid w:val="00763A0D"/>
    <w:rsid w:val="00773188"/>
    <w:rsid w:val="00776515"/>
    <w:rsid w:val="00783782"/>
    <w:rsid w:val="00784B8C"/>
    <w:rsid w:val="007A21DF"/>
    <w:rsid w:val="007A6B7A"/>
    <w:rsid w:val="007E41FA"/>
    <w:rsid w:val="007F16A7"/>
    <w:rsid w:val="007F492B"/>
    <w:rsid w:val="007F5754"/>
    <w:rsid w:val="00814BD6"/>
    <w:rsid w:val="00823A11"/>
    <w:rsid w:val="00826461"/>
    <w:rsid w:val="00831A0F"/>
    <w:rsid w:val="00833207"/>
    <w:rsid w:val="0084016C"/>
    <w:rsid w:val="00846310"/>
    <w:rsid w:val="00852866"/>
    <w:rsid w:val="0085414A"/>
    <w:rsid w:val="0086269D"/>
    <w:rsid w:val="0086543A"/>
    <w:rsid w:val="00870246"/>
    <w:rsid w:val="008712A4"/>
    <w:rsid w:val="008724E5"/>
    <w:rsid w:val="00884A9D"/>
    <w:rsid w:val="0088512B"/>
    <w:rsid w:val="008948AA"/>
    <w:rsid w:val="00894D1E"/>
    <w:rsid w:val="008A1ED4"/>
    <w:rsid w:val="008A2B2D"/>
    <w:rsid w:val="008A4E1E"/>
    <w:rsid w:val="008B5729"/>
    <w:rsid w:val="008C05DD"/>
    <w:rsid w:val="008C296C"/>
    <w:rsid w:val="008D2BA1"/>
    <w:rsid w:val="008D4305"/>
    <w:rsid w:val="008E014B"/>
    <w:rsid w:val="008E6EB5"/>
    <w:rsid w:val="008F38C8"/>
    <w:rsid w:val="00900AF0"/>
    <w:rsid w:val="00902940"/>
    <w:rsid w:val="00904C7C"/>
    <w:rsid w:val="00905D22"/>
    <w:rsid w:val="009163A7"/>
    <w:rsid w:val="00921BC4"/>
    <w:rsid w:val="00921EDB"/>
    <w:rsid w:val="00925E52"/>
    <w:rsid w:val="009306DB"/>
    <w:rsid w:val="009320D9"/>
    <w:rsid w:val="009322E3"/>
    <w:rsid w:val="009337D2"/>
    <w:rsid w:val="00937A34"/>
    <w:rsid w:val="009405A0"/>
    <w:rsid w:val="00946D0B"/>
    <w:rsid w:val="00965081"/>
    <w:rsid w:val="00972FCE"/>
    <w:rsid w:val="00987765"/>
    <w:rsid w:val="00993CCC"/>
    <w:rsid w:val="009A18CD"/>
    <w:rsid w:val="009A20FA"/>
    <w:rsid w:val="009A4FA3"/>
    <w:rsid w:val="009D17E4"/>
    <w:rsid w:val="009E7053"/>
    <w:rsid w:val="00A1140F"/>
    <w:rsid w:val="00A12558"/>
    <w:rsid w:val="00A13903"/>
    <w:rsid w:val="00A34ED5"/>
    <w:rsid w:val="00A352E3"/>
    <w:rsid w:val="00A43A4F"/>
    <w:rsid w:val="00A45DBF"/>
    <w:rsid w:val="00A4780F"/>
    <w:rsid w:val="00A5128D"/>
    <w:rsid w:val="00A645DF"/>
    <w:rsid w:val="00A65C29"/>
    <w:rsid w:val="00A72380"/>
    <w:rsid w:val="00A73AE8"/>
    <w:rsid w:val="00A755A2"/>
    <w:rsid w:val="00A96464"/>
    <w:rsid w:val="00AA6660"/>
    <w:rsid w:val="00AB15B0"/>
    <w:rsid w:val="00AB2C36"/>
    <w:rsid w:val="00AB2F57"/>
    <w:rsid w:val="00AB3AED"/>
    <w:rsid w:val="00AB5411"/>
    <w:rsid w:val="00AB70B6"/>
    <w:rsid w:val="00AD1753"/>
    <w:rsid w:val="00AD1A86"/>
    <w:rsid w:val="00AE103E"/>
    <w:rsid w:val="00AE6B5F"/>
    <w:rsid w:val="00AF0A07"/>
    <w:rsid w:val="00AF4974"/>
    <w:rsid w:val="00AF4AEC"/>
    <w:rsid w:val="00AF625E"/>
    <w:rsid w:val="00AF6D6A"/>
    <w:rsid w:val="00B02E09"/>
    <w:rsid w:val="00B032DD"/>
    <w:rsid w:val="00B03FDE"/>
    <w:rsid w:val="00B1775B"/>
    <w:rsid w:val="00B22AD7"/>
    <w:rsid w:val="00B3294C"/>
    <w:rsid w:val="00B5568A"/>
    <w:rsid w:val="00B715A7"/>
    <w:rsid w:val="00B770B1"/>
    <w:rsid w:val="00B8078F"/>
    <w:rsid w:val="00B96B09"/>
    <w:rsid w:val="00BA27EB"/>
    <w:rsid w:val="00BA6346"/>
    <w:rsid w:val="00BB04AF"/>
    <w:rsid w:val="00BC1075"/>
    <w:rsid w:val="00BD367B"/>
    <w:rsid w:val="00BD52C9"/>
    <w:rsid w:val="00BE2354"/>
    <w:rsid w:val="00BE6354"/>
    <w:rsid w:val="00BF4ED0"/>
    <w:rsid w:val="00C003BB"/>
    <w:rsid w:val="00C00655"/>
    <w:rsid w:val="00C01618"/>
    <w:rsid w:val="00C12869"/>
    <w:rsid w:val="00C23A97"/>
    <w:rsid w:val="00C2768B"/>
    <w:rsid w:val="00C4183D"/>
    <w:rsid w:val="00C42C66"/>
    <w:rsid w:val="00C46C0F"/>
    <w:rsid w:val="00C514F4"/>
    <w:rsid w:val="00C64FCA"/>
    <w:rsid w:val="00C70EA7"/>
    <w:rsid w:val="00C72006"/>
    <w:rsid w:val="00C7516E"/>
    <w:rsid w:val="00C75770"/>
    <w:rsid w:val="00C929AF"/>
    <w:rsid w:val="00C970C0"/>
    <w:rsid w:val="00CA0224"/>
    <w:rsid w:val="00CC0BE1"/>
    <w:rsid w:val="00CC2D04"/>
    <w:rsid w:val="00CD3FDF"/>
    <w:rsid w:val="00CD73F8"/>
    <w:rsid w:val="00CD7430"/>
    <w:rsid w:val="00CF0045"/>
    <w:rsid w:val="00CF47B0"/>
    <w:rsid w:val="00D00B2B"/>
    <w:rsid w:val="00D0496A"/>
    <w:rsid w:val="00D12629"/>
    <w:rsid w:val="00D206D1"/>
    <w:rsid w:val="00D20879"/>
    <w:rsid w:val="00D24877"/>
    <w:rsid w:val="00D25762"/>
    <w:rsid w:val="00D365B7"/>
    <w:rsid w:val="00D37FCE"/>
    <w:rsid w:val="00D502D2"/>
    <w:rsid w:val="00D51826"/>
    <w:rsid w:val="00D51E08"/>
    <w:rsid w:val="00D525FC"/>
    <w:rsid w:val="00D727BD"/>
    <w:rsid w:val="00D730AD"/>
    <w:rsid w:val="00D7505E"/>
    <w:rsid w:val="00D8267F"/>
    <w:rsid w:val="00D90ABA"/>
    <w:rsid w:val="00D9312B"/>
    <w:rsid w:val="00D95C4C"/>
    <w:rsid w:val="00DA082C"/>
    <w:rsid w:val="00DA36ED"/>
    <w:rsid w:val="00DA5C26"/>
    <w:rsid w:val="00DB0EC9"/>
    <w:rsid w:val="00DB3B99"/>
    <w:rsid w:val="00DB5E63"/>
    <w:rsid w:val="00DC21A1"/>
    <w:rsid w:val="00DC644D"/>
    <w:rsid w:val="00DE34F1"/>
    <w:rsid w:val="00DF1A11"/>
    <w:rsid w:val="00DF4942"/>
    <w:rsid w:val="00DF6E4B"/>
    <w:rsid w:val="00DF7A44"/>
    <w:rsid w:val="00E03278"/>
    <w:rsid w:val="00E35769"/>
    <w:rsid w:val="00E477D8"/>
    <w:rsid w:val="00E626C8"/>
    <w:rsid w:val="00E627B1"/>
    <w:rsid w:val="00E66DB5"/>
    <w:rsid w:val="00E729A3"/>
    <w:rsid w:val="00E86910"/>
    <w:rsid w:val="00E9376C"/>
    <w:rsid w:val="00E970DE"/>
    <w:rsid w:val="00EA335E"/>
    <w:rsid w:val="00EA528C"/>
    <w:rsid w:val="00EB7380"/>
    <w:rsid w:val="00EC5E0E"/>
    <w:rsid w:val="00EE1DA9"/>
    <w:rsid w:val="00EE1EDF"/>
    <w:rsid w:val="00EE6AF6"/>
    <w:rsid w:val="00EF19A6"/>
    <w:rsid w:val="00EF34E2"/>
    <w:rsid w:val="00EF4F1F"/>
    <w:rsid w:val="00EF69E3"/>
    <w:rsid w:val="00F010E0"/>
    <w:rsid w:val="00F22381"/>
    <w:rsid w:val="00F225E0"/>
    <w:rsid w:val="00F22F00"/>
    <w:rsid w:val="00F440C9"/>
    <w:rsid w:val="00F45022"/>
    <w:rsid w:val="00F46262"/>
    <w:rsid w:val="00F517FC"/>
    <w:rsid w:val="00F53DE9"/>
    <w:rsid w:val="00F576CB"/>
    <w:rsid w:val="00F67C2E"/>
    <w:rsid w:val="00F71A02"/>
    <w:rsid w:val="00F80938"/>
    <w:rsid w:val="00FA6B2B"/>
    <w:rsid w:val="00FB0C9E"/>
    <w:rsid w:val="00FB6051"/>
    <w:rsid w:val="00FB6630"/>
    <w:rsid w:val="00FC4620"/>
    <w:rsid w:val="00FD1226"/>
    <w:rsid w:val="00FE11E2"/>
    <w:rsid w:val="00FE27F6"/>
    <w:rsid w:val="00FF03A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E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uiPriority w:val="59"/>
    <w:rsid w:val="00191ADC"/>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391AC6"/>
    <w:pPr>
      <w:keepNext/>
      <w:spacing w:before="240" w:after="120"/>
      <w:ind w:left="567"/>
      <w:jc w:val="both"/>
    </w:pPr>
    <w:rPr>
      <w:rFonts w:ascii="Arial" w:hAnsi="Arial" w:cs="Arial"/>
      <w:b/>
      <w:sz w:val="22"/>
      <w:szCs w:val="22"/>
    </w:rPr>
  </w:style>
  <w:style w:type="character" w:styleId="Hyperlink">
    <w:name w:val="Hyperlink"/>
    <w:basedOn w:val="DefaultParagraphFont"/>
    <w:uiPriority w:val="99"/>
    <w:unhideWhenUsed/>
    <w:rsid w:val="00391AC6"/>
    <w:rPr>
      <w:color w:val="0563C1" w:themeColor="hyperlink"/>
      <w:u w:val="single"/>
    </w:rPr>
  </w:style>
  <w:style w:type="paragraph" w:styleId="FootnoteText">
    <w:name w:val="footnote text"/>
    <w:basedOn w:val="Normal"/>
    <w:link w:val="FootnoteTextChar"/>
    <w:uiPriority w:val="99"/>
    <w:unhideWhenUsed/>
    <w:rsid w:val="00391AC6"/>
    <w:rPr>
      <w:sz w:val="20"/>
      <w:szCs w:val="20"/>
    </w:rPr>
  </w:style>
  <w:style w:type="character" w:customStyle="1" w:styleId="FootnoteTextChar">
    <w:name w:val="Footnote Text Char"/>
    <w:basedOn w:val="DefaultParagraphFont"/>
    <w:link w:val="FootnoteText"/>
    <w:uiPriority w:val="99"/>
    <w:rsid w:val="00391AC6"/>
    <w:rPr>
      <w:rFonts w:ascii="Times New Roman" w:eastAsia="Times New Roman" w:hAnsi="Times New Roman"/>
      <w:lang w:val="es-ES" w:eastAsia="fr-FR"/>
    </w:rPr>
  </w:style>
  <w:style w:type="character" w:styleId="FootnoteReference">
    <w:name w:val="footnote reference"/>
    <w:basedOn w:val="DefaultParagraphFont"/>
    <w:uiPriority w:val="99"/>
    <w:semiHidden/>
    <w:unhideWhenUsed/>
    <w:rsid w:val="00391AC6"/>
    <w:rPr>
      <w:vertAlign w:val="superscript"/>
    </w:rPr>
  </w:style>
  <w:style w:type="paragraph" w:styleId="CommentText">
    <w:name w:val="annotation text"/>
    <w:basedOn w:val="Normal"/>
    <w:link w:val="CommentTextChar"/>
    <w:uiPriority w:val="99"/>
    <w:unhideWhenUsed/>
    <w:rsid w:val="005823AB"/>
    <w:pPr>
      <w:spacing w:after="160" w:line="259"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5823AB"/>
    <w:rPr>
      <w:rFonts w:asciiTheme="minorHAnsi" w:eastAsiaTheme="minorEastAsia" w:hAnsiTheme="minorHAnsi" w:cstheme="minorBidi"/>
      <w:lang w:val="es-ES" w:eastAsia="ja-JP"/>
    </w:rPr>
  </w:style>
  <w:style w:type="table" w:styleId="GridTable4-Accent1">
    <w:name w:val="Grid Table 4 Accent 1"/>
    <w:basedOn w:val="TableNormal"/>
    <w:uiPriority w:val="49"/>
    <w:rsid w:val="005823AB"/>
    <w:rPr>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GAPara">
    <w:name w:val="1. GA Para"/>
    <w:qFormat/>
    <w:rsid w:val="00595AF2"/>
    <w:pPr>
      <w:snapToGrid w:val="0"/>
      <w:spacing w:after="120"/>
      <w:ind w:left="720" w:hanging="360"/>
    </w:pPr>
    <w:rPr>
      <w:rFonts w:ascii="Arial" w:eastAsia="Times New Roman" w:hAnsi="Arial" w:cs="Arial"/>
      <w:sz w:val="22"/>
      <w:szCs w:val="22"/>
      <w:lang w:eastAsia="en-US"/>
    </w:rPr>
  </w:style>
  <w:style w:type="table" w:styleId="TableGridLight">
    <w:name w:val="Grid Table Light"/>
    <w:basedOn w:val="TableNormal"/>
    <w:uiPriority w:val="40"/>
    <w:rsid w:val="00595A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F5754"/>
    <w:rPr>
      <w:color w:val="605E5C"/>
      <w:shd w:val="clear" w:color="auto" w:fill="E1DFDD"/>
    </w:rPr>
  </w:style>
  <w:style w:type="character" w:styleId="FollowedHyperlink">
    <w:name w:val="FollowedHyperlink"/>
    <w:basedOn w:val="DefaultParagraphFont"/>
    <w:uiPriority w:val="99"/>
    <w:semiHidden/>
    <w:unhideWhenUsed/>
    <w:rsid w:val="00D9312B"/>
    <w:rPr>
      <w:color w:val="954F72" w:themeColor="followedHyperlink"/>
      <w:u w:val="single"/>
    </w:rPr>
  </w:style>
  <w:style w:type="character" w:styleId="CommentReference">
    <w:name w:val="annotation reference"/>
    <w:basedOn w:val="DefaultParagraphFont"/>
    <w:uiPriority w:val="99"/>
    <w:semiHidden/>
    <w:unhideWhenUsed/>
    <w:rsid w:val="00BD367B"/>
    <w:rPr>
      <w:sz w:val="16"/>
      <w:szCs w:val="16"/>
    </w:rPr>
  </w:style>
  <w:style w:type="paragraph" w:styleId="CommentSubject">
    <w:name w:val="annotation subject"/>
    <w:basedOn w:val="CommentText"/>
    <w:next w:val="CommentText"/>
    <w:link w:val="CommentSubjectChar"/>
    <w:uiPriority w:val="99"/>
    <w:semiHidden/>
    <w:unhideWhenUsed/>
    <w:rsid w:val="00BD367B"/>
    <w:pPr>
      <w:spacing w:after="0" w:line="240" w:lineRule="auto"/>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BD367B"/>
    <w:rPr>
      <w:rFonts w:ascii="Times New Roman" w:eastAsia="Times New Roman" w:hAnsi="Times New Roman" w:cstheme="minorBidi"/>
      <w:b/>
      <w:bCs/>
      <w:lang w:val="es-ES" w:eastAsia="fr-FR"/>
    </w:rPr>
  </w:style>
  <w:style w:type="paragraph" w:customStyle="1" w:styleId="COMPara">
    <w:name w:val="COM Para"/>
    <w:qFormat/>
    <w:rsid w:val="00A352E3"/>
    <w:pPr>
      <w:spacing w:after="120"/>
    </w:pPr>
    <w:rPr>
      <w:rFonts w:ascii="Arial" w:eastAsia="Times New Roman" w:hAnsi="Arial" w:cs="Arial"/>
      <w:snapToGrid w:val="0"/>
      <w:sz w:val="22"/>
      <w:szCs w:val="22"/>
      <w:lang w:eastAsia="en-US"/>
    </w:rPr>
  </w:style>
  <w:style w:type="paragraph" w:styleId="NormalWeb">
    <w:name w:val="Normal (Web)"/>
    <w:basedOn w:val="Normal"/>
    <w:uiPriority w:val="99"/>
    <w:semiHidden/>
    <w:unhideWhenUsed/>
    <w:rsid w:val="000857CC"/>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EB7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760">
      <w:bodyDiv w:val="1"/>
      <w:marLeft w:val="0"/>
      <w:marRight w:val="0"/>
      <w:marTop w:val="0"/>
      <w:marBottom w:val="0"/>
      <w:divBdr>
        <w:top w:val="none" w:sz="0" w:space="0" w:color="auto"/>
        <w:left w:val="none" w:sz="0" w:space="0" w:color="auto"/>
        <w:bottom w:val="none" w:sz="0" w:space="0" w:color="auto"/>
        <w:right w:val="none" w:sz="0" w:space="0" w:color="auto"/>
      </w:divBdr>
    </w:div>
    <w:div w:id="175652273">
      <w:bodyDiv w:val="1"/>
      <w:marLeft w:val="0"/>
      <w:marRight w:val="0"/>
      <w:marTop w:val="0"/>
      <w:marBottom w:val="0"/>
      <w:divBdr>
        <w:top w:val="none" w:sz="0" w:space="0" w:color="auto"/>
        <w:left w:val="none" w:sz="0" w:space="0" w:color="auto"/>
        <w:bottom w:val="none" w:sz="0" w:space="0" w:color="auto"/>
        <w:right w:val="none" w:sz="0" w:space="0" w:color="auto"/>
      </w:divBdr>
    </w:div>
    <w:div w:id="622074602">
      <w:bodyDiv w:val="1"/>
      <w:marLeft w:val="0"/>
      <w:marRight w:val="0"/>
      <w:marTop w:val="0"/>
      <w:marBottom w:val="0"/>
      <w:divBdr>
        <w:top w:val="none" w:sz="0" w:space="0" w:color="auto"/>
        <w:left w:val="none" w:sz="0" w:space="0" w:color="auto"/>
        <w:bottom w:val="none" w:sz="0" w:space="0" w:color="auto"/>
        <w:right w:val="none" w:sz="0" w:space="0" w:color="auto"/>
      </w:divBdr>
    </w:div>
    <w:div w:id="664087980">
      <w:bodyDiv w:val="1"/>
      <w:marLeft w:val="0"/>
      <w:marRight w:val="0"/>
      <w:marTop w:val="0"/>
      <w:marBottom w:val="0"/>
      <w:divBdr>
        <w:top w:val="none" w:sz="0" w:space="0" w:color="auto"/>
        <w:left w:val="none" w:sz="0" w:space="0" w:color="auto"/>
        <w:bottom w:val="none" w:sz="0" w:space="0" w:color="auto"/>
        <w:right w:val="none" w:sz="0" w:space="0" w:color="auto"/>
      </w:divBdr>
    </w:div>
    <w:div w:id="77216986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90788372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414594">
      <w:bodyDiv w:val="1"/>
      <w:marLeft w:val="0"/>
      <w:marRight w:val="0"/>
      <w:marTop w:val="0"/>
      <w:marBottom w:val="0"/>
      <w:divBdr>
        <w:top w:val="none" w:sz="0" w:space="0" w:color="auto"/>
        <w:left w:val="none" w:sz="0" w:space="0" w:color="auto"/>
        <w:bottom w:val="none" w:sz="0" w:space="0" w:color="auto"/>
        <w:right w:val="none" w:sz="0" w:space="0" w:color="auto"/>
      </w:divBdr>
    </w:div>
    <w:div w:id="1322739187">
      <w:bodyDiv w:val="1"/>
      <w:marLeft w:val="0"/>
      <w:marRight w:val="0"/>
      <w:marTop w:val="0"/>
      <w:marBottom w:val="0"/>
      <w:divBdr>
        <w:top w:val="none" w:sz="0" w:space="0" w:color="auto"/>
        <w:left w:val="none" w:sz="0" w:space="0" w:color="auto"/>
        <w:bottom w:val="none" w:sz="0" w:space="0" w:color="auto"/>
        <w:right w:val="none" w:sz="0" w:space="0" w:color="auto"/>
      </w:divBdr>
    </w:div>
    <w:div w:id="1340306554">
      <w:bodyDiv w:val="1"/>
      <w:marLeft w:val="0"/>
      <w:marRight w:val="0"/>
      <w:marTop w:val="0"/>
      <w:marBottom w:val="0"/>
      <w:divBdr>
        <w:top w:val="none" w:sz="0" w:space="0" w:color="auto"/>
        <w:left w:val="none" w:sz="0" w:space="0" w:color="auto"/>
        <w:bottom w:val="none" w:sz="0" w:space="0" w:color="auto"/>
        <w:right w:val="none" w:sz="0" w:space="0" w:color="auto"/>
      </w:divBdr>
    </w:div>
    <w:div w:id="158514126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311152">
      <w:bodyDiv w:val="1"/>
      <w:marLeft w:val="0"/>
      <w:marRight w:val="0"/>
      <w:marTop w:val="0"/>
      <w:marBottom w:val="0"/>
      <w:divBdr>
        <w:top w:val="none" w:sz="0" w:space="0" w:color="auto"/>
        <w:left w:val="none" w:sz="0" w:space="0" w:color="auto"/>
        <w:bottom w:val="none" w:sz="0" w:space="0" w:color="auto"/>
        <w:right w:val="none" w:sz="0" w:space="0" w:color="auto"/>
      </w:divBdr>
    </w:div>
    <w:div w:id="164311951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412592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7658790">
      <w:bodyDiv w:val="1"/>
      <w:marLeft w:val="0"/>
      <w:marRight w:val="0"/>
      <w:marTop w:val="0"/>
      <w:marBottom w:val="0"/>
      <w:divBdr>
        <w:top w:val="none" w:sz="0" w:space="0" w:color="auto"/>
        <w:left w:val="none" w:sz="0" w:space="0" w:color="auto"/>
        <w:bottom w:val="none" w:sz="0" w:space="0" w:color="auto"/>
        <w:right w:val="none" w:sz="0" w:space="0" w:color="auto"/>
      </w:divBdr>
    </w:div>
    <w:div w:id="211015304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7.COM/1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6.COM/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6.COM/15" TargetMode="External"/><Relationship Id="rId5" Type="http://schemas.openxmlformats.org/officeDocument/2006/relationships/webSettings" Target="webSettings.xml"/><Relationship Id="rId15" Type="http://schemas.openxmlformats.org/officeDocument/2006/relationships/hyperlink" Target="https://ich.unesco.org/en/Decisions/16.COM/15" TargetMode="External"/><Relationship Id="rId10" Type="http://schemas.openxmlformats.org/officeDocument/2006/relationships/hyperlink" Target="https://ich.unesco.org/en/Decisions/16.COM/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en/Decisions/8.GA/13" TargetMode="External"/><Relationship Id="rId14" Type="http://schemas.openxmlformats.org/officeDocument/2006/relationships/hyperlink" Target="https://ich.unesco.org/en/Decisions/16.COM/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3" Type="http://schemas.openxmlformats.org/officeDocument/2006/relationships/hyperlink" Target="https://ich.unesco.org/en/Resolutions/5.GA/6" TargetMode="External"/><Relationship Id="rId7" Type="http://schemas.openxmlformats.org/officeDocument/2006/relationships/hyperlink" Target="https://ich.unesco.org/en/Decisions/10.COM/16" TargetMode="External"/><Relationship Id="rId2" Type="http://schemas.openxmlformats.org/officeDocument/2006/relationships/hyperlink" Target="https://ich.unesco.org/en/Resolutions/4.GA/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en/Decisions/8.GA/13" TargetMode="External"/><Relationship Id="rId5" Type="http://schemas.openxmlformats.org/officeDocument/2006/relationships/hyperlink" Target="https://ich.unesco.org/en/Resolutions/7.GA/11" TargetMode="External"/><Relationship Id="rId10" Type="http://schemas.openxmlformats.org/officeDocument/2006/relationships/hyperlink" Target="https://ich.unesco.org/en/Decisions/16.COM/15" TargetMode="External"/><Relationship Id="rId4" Type="http://schemas.openxmlformats.org/officeDocument/2006/relationships/hyperlink" Target="https://ich.unesco.org/en/Decisions/6.GA/8" TargetMode="External"/><Relationship Id="rId9" Type="http://schemas.openxmlformats.org/officeDocument/2006/relationships/hyperlink" Target="https://ich.unesco.org/en/Decisions/14.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Figura 1. Distribución geográfica de las ONG acreditadas</a:t>
            </a:r>
          </a:p>
          <a:p>
            <a:pPr>
              <a:defRPr sz="1400" b="0" i="0" u="none" strike="noStrike" kern="1200" spc="0" baseline="0">
                <a:solidFill>
                  <a:schemeClr val="tx1">
                    <a:lumMod val="65000"/>
                    <a:lumOff val="35000"/>
                  </a:schemeClr>
                </a:solidFill>
                <a:latin typeface="+mn-lt"/>
                <a:ea typeface="+mn-ea"/>
                <a:cs typeface="+mn-cs"/>
              </a:defRPr>
            </a:pPr>
            <a:r>
              <a:rPr lang="en-US"/>
              <a:t>(184 en total</a:t>
            </a:r>
            <a:r>
              <a:rPr lang="en-US" baseline="0"/>
              <a:t> en</a:t>
            </a:r>
            <a:r>
              <a:rPr lang="en-US"/>
              <a:t> 2022)</a:t>
            </a:r>
          </a:p>
        </c:rich>
      </c:tx>
      <c:layout>
        <c:manualLayout>
          <c:xMode val="edge"/>
          <c:yMode val="edge"/>
          <c:x val="0.142140565762613"/>
          <c:y val="7.5915733535775326E-3"/>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4526-4F34-B287-2B5260B22392}"/>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4526-4F34-B287-2B5260B22392}"/>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4526-4F34-B287-2B5260B22392}"/>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4526-4F34-B287-2B5260B22392}"/>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4526-4F34-B287-2B5260B22392}"/>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4526-4F34-B287-2B5260B22392}"/>
              </c:ext>
            </c:extLst>
          </c:dPt>
          <c:dLbls>
            <c:dLbl>
              <c:idx val="2"/>
              <c:layout>
                <c:manualLayout>
                  <c:x val="-1.1700011700011743E-2"/>
                  <c:y val="-1.4388489208633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26-4F34-B287-2B5260B22392}"/>
                </c:ext>
              </c:extLst>
            </c:dLbl>
            <c:dLbl>
              <c:idx val="5"/>
              <c:layout>
                <c:manualLayout>
                  <c:x val="3.0879613966616679E-2"/>
                  <c:y val="0"/>
                </c:manualLayout>
              </c:layout>
              <c:tx>
                <c:rich>
                  <a:bodyPr/>
                  <a:lstStyle/>
                  <a:p>
                    <a:r>
                      <a:rPr lang="en-US"/>
                      <a:t>Group V(b)</a:t>
                    </a:r>
                    <a:r>
                      <a:rPr lang="en-US" baseline="0"/>
                      <a:t>
</a:t>
                    </a:r>
                    <a:fld id="{A5B1BEE3-87DB-4944-B6BD-46F069BFA9A5}"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526-4F34-B287-2B5260B223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Grupo I</c:v>
                </c:pt>
                <c:pt idx="1">
                  <c:v>Grupo II</c:v>
                </c:pt>
                <c:pt idx="2">
                  <c:v>Grupo III</c:v>
                </c:pt>
                <c:pt idx="3">
                  <c:v>Grupo IV</c:v>
                </c:pt>
                <c:pt idx="4">
                  <c:v>Grupo V(a)</c:v>
                </c:pt>
                <c:pt idx="5">
                  <c:v>Grupo V(b)</c:v>
                </c:pt>
              </c:strCache>
            </c:strRef>
          </c:cat>
          <c:val>
            <c:numRef>
              <c:f>Sheet1!$B$2:$B$7</c:f>
              <c:numCache>
                <c:formatCode>General</c:formatCode>
                <c:ptCount val="6"/>
                <c:pt idx="0">
                  <c:v>99</c:v>
                </c:pt>
                <c:pt idx="1">
                  <c:v>20</c:v>
                </c:pt>
                <c:pt idx="2">
                  <c:v>10</c:v>
                </c:pt>
                <c:pt idx="3">
                  <c:v>25</c:v>
                </c:pt>
                <c:pt idx="4">
                  <c:v>23</c:v>
                </c:pt>
                <c:pt idx="5" formatCode="0">
                  <c:v>7</c:v>
                </c:pt>
              </c:numCache>
            </c:numRef>
          </c:val>
          <c:extLst>
            <c:ext xmlns:c16="http://schemas.microsoft.com/office/drawing/2014/chart" uri="{C3380CC4-5D6E-409C-BE32-E72D297353CC}">
              <c16:uniqueId val="{0000000C-4526-4F34-B287-2B5260B22392}"/>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AFA8-519D-4463-901C-8614E6D9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149</TotalTime>
  <Pages>7</Pages>
  <Words>2035</Words>
  <Characters>11605</Characters>
  <Application>Microsoft Office Word</Application>
  <DocSecurity>0</DocSecurity>
  <Lines>96</Lines>
  <Paragraphs>27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58</cp:revision>
  <cp:lastPrinted>2011-08-06T09:22:00Z</cp:lastPrinted>
  <dcterms:created xsi:type="dcterms:W3CDTF">2022-06-03T11:23:00Z</dcterms:created>
  <dcterms:modified xsi:type="dcterms:W3CDTF">2022-06-03T21:54:00Z</dcterms:modified>
</cp:coreProperties>
</file>