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D3C" w14:textId="034E57EF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КОНВЕНЦИЯ ОБ ОХРАНЕ НЕМАТЕРИАЛЬНОГО КУЛЬТУРНОГО НАСЛЕДИЯ</w:t>
      </w:r>
    </w:p>
    <w:p w14:paraId="2CDB5643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 — УЧАСТНИКОВ КОНВЕНЦИИ</w:t>
      </w:r>
    </w:p>
    <w:p w14:paraId="75891C68" w14:textId="17A6551A" w:rsidR="00D95C4C" w:rsidRPr="00FD624F" w:rsidRDefault="003265D0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Девятая сессия</w:t>
      </w:r>
    </w:p>
    <w:p w14:paraId="2813BA58" w14:textId="77777777"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 I</w:t>
      </w:r>
    </w:p>
    <w:p w14:paraId="17E07F7D" w14:textId="5799B785" w:rsidR="00655736" w:rsidRPr="00414643" w:rsidRDefault="003265D0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5–7 июля 2022 года</w:t>
      </w:r>
    </w:p>
    <w:p w14:paraId="1A8796C2" w14:textId="26082E77"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 6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31A9F00D" w14:textId="77777777" w:rsidR="00F52A91" w:rsidRDefault="00F52A91" w:rsidP="00FC3B53">
      <w:pPr>
        <w:pStyle w:val="Sansinterligne2"/>
        <w:spacing w:after="960"/>
        <w:contextualSpacing/>
        <w:jc w:val="center"/>
        <w:rPr>
          <w:rFonts w:asciiTheme="minorBidi" w:hAnsiTheme="minorBidi"/>
          <w:b/>
          <w:sz w:val="22"/>
        </w:rPr>
      </w:pPr>
      <w:r w:rsidRPr="00F52A91">
        <w:rPr>
          <w:rFonts w:asciiTheme="minorBidi" w:hAnsiTheme="minorBidi"/>
          <w:b/>
          <w:sz w:val="22"/>
        </w:rPr>
        <w:t xml:space="preserve">Доклад Секретариата о его деятельности </w:t>
      </w:r>
    </w:p>
    <w:p w14:paraId="5852D9AA" w14:textId="457A1E91" w:rsidR="00FC3B53" w:rsidRPr="006B6390" w:rsidRDefault="00F52A91" w:rsidP="00FC3B53">
      <w:pPr>
        <w:pStyle w:val="Sansinterligne2"/>
        <w:spacing w:after="960"/>
        <w:contextualSpacing/>
        <w:jc w:val="center"/>
        <w:rPr>
          <w:rFonts w:asciiTheme="minorBidi" w:hAnsiTheme="minorBidi" w:cstheme="minorBidi"/>
          <w:b/>
          <w:sz w:val="22"/>
          <w:szCs w:val="22"/>
        </w:rPr>
      </w:pPr>
      <w:r w:rsidRPr="00F52A91">
        <w:rPr>
          <w:rFonts w:asciiTheme="minorBidi" w:hAnsiTheme="minorBidi"/>
          <w:b/>
          <w:sz w:val="22"/>
        </w:rPr>
        <w:t>(январь 2020 г. – декабрь 2021 г.)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44B63" w14:paraId="796B6D01" w14:textId="77777777" w:rsidTr="002F312A">
        <w:trPr>
          <w:jc w:val="center"/>
        </w:trPr>
        <w:tc>
          <w:tcPr>
            <w:tcW w:w="5670" w:type="dxa"/>
            <w:vAlign w:val="center"/>
          </w:tcPr>
          <w:p w14:paraId="08389200" w14:textId="77777777" w:rsidR="0057439C" w:rsidRPr="00414643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Резюме</w:t>
            </w:r>
          </w:p>
          <w:p w14:paraId="5F884104" w14:textId="610D976C" w:rsidR="00FC3B53" w:rsidRPr="006B6390" w:rsidRDefault="00FC3B53" w:rsidP="00FC3B53">
            <w:pPr>
              <w:pStyle w:val="Sansinterligne1"/>
              <w:spacing w:before="200" w:after="20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В настоящем документе представлен обзор деятельности Секретариата Конвенции, принятой в 2003 году, в период с 1 января 2020 года по 31 декабря 2021 года, включая меры реагирования на пандемию COVID-19.</w:t>
            </w:r>
          </w:p>
          <w:p w14:paraId="7D45CA36" w14:textId="0DDAEC7B" w:rsidR="00655736" w:rsidRPr="00414643" w:rsidRDefault="00FB6630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Требуемое решение: </w:t>
            </w:r>
            <w:r>
              <w:rPr>
                <w:rFonts w:ascii="Arial" w:hAnsi="Arial"/>
                <w:sz w:val="22"/>
              </w:rPr>
              <w:t>пункт 35.</w:t>
            </w:r>
          </w:p>
        </w:tc>
      </w:tr>
    </w:tbl>
    <w:p w14:paraId="2941B514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br w:type="page"/>
      </w:r>
    </w:p>
    <w:p w14:paraId="3891F9E6" w14:textId="5684081F" w:rsidR="00C42C66" w:rsidRPr="00BE68A3" w:rsidRDefault="002E1C7F" w:rsidP="00842D2C">
      <w:pPr>
        <w:pStyle w:val="COMPara"/>
        <w:keepNext/>
        <w:spacing w:before="240"/>
        <w:ind w:left="576" w:firstLine="0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lastRenderedPageBreak/>
        <w:t>Введение</w:t>
      </w:r>
    </w:p>
    <w:p w14:paraId="3D7C0183" w14:textId="100E59D5" w:rsidR="00F32411" w:rsidRPr="00D16499" w:rsidRDefault="00FC4A5F" w:rsidP="00F37656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  <w:bCs/>
        </w:rPr>
      </w:pPr>
      <w:r w:rsidRPr="00D16499">
        <w:rPr>
          <w:rFonts w:asciiTheme="minorBidi" w:hAnsiTheme="minorBidi" w:cstheme="minorBidi"/>
        </w:rPr>
        <w:t xml:space="preserve">Настоящий </w:t>
      </w:r>
      <w:r w:rsidR="0036775B" w:rsidRPr="00D16499">
        <w:rPr>
          <w:rFonts w:asciiTheme="minorBidi" w:hAnsiTheme="minorBidi" w:cstheme="minorBidi"/>
        </w:rPr>
        <w:t>доклад</w:t>
      </w:r>
      <w:r w:rsidRPr="00D16499">
        <w:rPr>
          <w:rFonts w:asciiTheme="minorBidi" w:hAnsiTheme="minorBidi" w:cstheme="minorBidi"/>
        </w:rPr>
        <w:t xml:space="preserve"> посвящен работе Секретариата Конвенции, принятой в 2003 году, в период с января 2020 года по декабрь 2021 года. Данный период соответствует другим основным обязательным процессам </w:t>
      </w:r>
      <w:r w:rsidR="008F1EBF" w:rsidRPr="00D16499">
        <w:rPr>
          <w:rFonts w:asciiTheme="minorBidi" w:hAnsiTheme="minorBidi" w:cstheme="minorBidi"/>
        </w:rPr>
        <w:t>представления докладов</w:t>
      </w:r>
      <w:r w:rsidRPr="00D16499">
        <w:rPr>
          <w:rFonts w:asciiTheme="minorBidi" w:hAnsiTheme="minorBidi" w:cstheme="minorBidi"/>
        </w:rPr>
        <w:t xml:space="preserve"> ЮНЕСКО, а именно </w:t>
      </w:r>
      <w:r w:rsidR="00EC3FEF" w:rsidRPr="00D16499">
        <w:rPr>
          <w:rFonts w:asciiTheme="minorBidi" w:hAnsiTheme="minorBidi" w:cstheme="minorBidi"/>
        </w:rPr>
        <w:t>докладам</w:t>
      </w:r>
      <w:r w:rsidRPr="00D16499">
        <w:rPr>
          <w:rFonts w:asciiTheme="minorBidi" w:hAnsiTheme="minorBidi" w:cstheme="minorBidi"/>
        </w:rPr>
        <w:t xml:space="preserve"> Генерального директора Исполнительному совету о выполнении программы, принятой Генеральной конференцией (EX/4). Кроме того, в Приложении I отражено влияние работы Секретариата на достижение результатов 40C/5 и показателей эффективности Ожидаемого результата 6 в рамках Основной программы IV. </w:t>
      </w:r>
      <w:r w:rsidR="000B3CC1" w:rsidRPr="00D16499">
        <w:rPr>
          <w:rFonts w:asciiTheme="minorBidi" w:hAnsiTheme="minorBidi" w:cstheme="minorBidi"/>
        </w:rPr>
        <w:t>Доклад</w:t>
      </w:r>
      <w:r w:rsidRPr="00D16499">
        <w:rPr>
          <w:rFonts w:asciiTheme="minorBidi" w:hAnsiTheme="minorBidi" w:cstheme="minorBidi"/>
        </w:rPr>
        <w:t xml:space="preserve"> следует рассматривать вместе с финансовым отчетом Фонда Конвенции по охране нематериального культурного наследия (документ</w:t>
      </w:r>
      <w:r w:rsidR="00FA622F" w:rsidRPr="00D16499">
        <w:rPr>
          <w:rFonts w:asciiTheme="minorBidi" w:hAnsiTheme="minorBidi" w:cstheme="minorBidi"/>
        </w:rPr>
        <w:t xml:space="preserve"> </w:t>
      </w:r>
      <w:hyperlink r:id="rId8" w:history="1">
        <w:r w:rsidR="00FA622F" w:rsidRPr="00D16499">
          <w:rPr>
            <w:rStyle w:val="Lienhypertexte"/>
            <w:rFonts w:asciiTheme="minorBidi" w:hAnsiTheme="minorBidi" w:cstheme="minorBidi"/>
            <w:lang w:val="en-GB"/>
          </w:rPr>
          <w:t>LHE</w:t>
        </w:r>
        <w:r w:rsidR="00FA622F" w:rsidRPr="00D16499">
          <w:rPr>
            <w:rStyle w:val="Lienhypertexte"/>
            <w:rFonts w:asciiTheme="minorBidi" w:hAnsiTheme="minorBidi" w:cstheme="minorBidi"/>
          </w:rPr>
          <w:t>/22/9.</w:t>
        </w:r>
        <w:r w:rsidR="00FA622F" w:rsidRPr="00D16499">
          <w:rPr>
            <w:rStyle w:val="Lienhypertexte"/>
            <w:rFonts w:asciiTheme="minorBidi" w:hAnsiTheme="minorBidi" w:cstheme="minorBidi"/>
            <w:lang w:val="en-GB"/>
          </w:rPr>
          <w:t>GA</w:t>
        </w:r>
        <w:r w:rsidR="00FA622F" w:rsidRPr="00D16499">
          <w:rPr>
            <w:rStyle w:val="Lienhypertexte"/>
            <w:rFonts w:asciiTheme="minorBidi" w:hAnsiTheme="minorBidi" w:cstheme="minorBidi"/>
          </w:rPr>
          <w:t>/10</w:t>
        </w:r>
      </w:hyperlink>
      <w:r w:rsidRPr="00D16499">
        <w:rPr>
          <w:rFonts w:asciiTheme="minorBidi" w:hAnsiTheme="minorBidi" w:cstheme="minorBidi"/>
        </w:rPr>
        <w:t>). Кроме того, оценка деятельности ЮНЕСКО в рамках Конвенции 2003 года, подготовленная СВН (в 2021 году, документ </w:t>
      </w:r>
      <w:hyperlink r:id="rId9" w:history="1">
        <w:r w:rsidRPr="00D16499">
          <w:rPr>
            <w:rStyle w:val="Lienhypertexte"/>
            <w:rFonts w:asciiTheme="minorBidi" w:hAnsiTheme="minorBidi" w:cstheme="minorBidi"/>
          </w:rPr>
          <w:t>LHE/21/16.COM/INF.</w:t>
        </w:r>
        <w:r w:rsidR="00FA622F" w:rsidRPr="00D16499">
          <w:rPr>
            <w:rStyle w:val="Lienhypertexte"/>
            <w:rFonts w:asciiTheme="minorBidi" w:hAnsiTheme="minorBidi" w:cstheme="minorBidi"/>
          </w:rPr>
          <w:t>10</w:t>
        </w:r>
        <w:r w:rsidR="00FA622F" w:rsidRPr="00D16499">
          <w:rPr>
            <w:rStyle w:val="Lienhypertexte"/>
            <w:rFonts w:asciiTheme="minorBidi" w:hAnsiTheme="minorBidi" w:cstheme="minorBidi"/>
            <w:lang w:val="en-GB"/>
          </w:rPr>
          <w:t> </w:t>
        </w:r>
        <w:r w:rsidRPr="00D16499">
          <w:rPr>
            <w:rStyle w:val="Lienhypertexte"/>
            <w:rFonts w:asciiTheme="minorBidi" w:hAnsiTheme="minorBidi" w:cstheme="minorBidi"/>
          </w:rPr>
          <w:t>Rev.)</w:t>
        </w:r>
      </w:hyperlink>
      <w:r w:rsidRPr="00D16499">
        <w:rPr>
          <w:rFonts w:asciiTheme="minorBidi" w:hAnsiTheme="minorBidi" w:cstheme="minorBidi"/>
        </w:rPr>
        <w:t xml:space="preserve"> содержит дополнительную информацию о деятельности Секретариата после 2018 года.</w:t>
      </w:r>
    </w:p>
    <w:p w14:paraId="4FFC9782" w14:textId="22AEF5D7" w:rsidR="00195E6F" w:rsidRPr="00BE68A3" w:rsidRDefault="00195E6F" w:rsidP="00F32411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Отчетный период ознаменовался пандемией COVID-19 (раздел I). В остальном же Секретариат сосредоточил усилия на следующих основных направлениях: управление Конвенцией 2003 года (раздел II), реализация операционных приоритетов в области наращивания потенциала и нематериального культурного наследия и образования (раздел III), а также коммуникация и информирование (раздел IV). Более того, Секретариат запустил и укрепил тематические инициативы, связывающие живое наследие с устойчивым развитием (раздел V), а также повысил согласованность с другими нормативными документами ЮНЕСКО в области культуры (раздел VI).</w:t>
      </w:r>
    </w:p>
    <w:p w14:paraId="0C1316A8" w14:textId="77777777" w:rsidR="00D73B51" w:rsidRPr="00D16499" w:rsidRDefault="00D73B51" w:rsidP="00D73B51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  <w:bCs/>
        </w:rPr>
      </w:pPr>
      <w:r w:rsidRPr="00D16499">
        <w:rPr>
          <w:rFonts w:asciiTheme="minorBidi" w:hAnsiTheme="minorBidi" w:cstheme="minorBidi"/>
        </w:rPr>
        <w:t>Функции секретариата Конвенции выполняет организация «Живое наследие»</w:t>
      </w:r>
      <w:r w:rsidRPr="00D16499">
        <w:rPr>
          <w:rStyle w:val="Appelnotedebasdep"/>
          <w:rFonts w:asciiTheme="minorBidi" w:hAnsiTheme="minorBidi" w:cstheme="minorBidi"/>
          <w:bCs/>
          <w:lang w:val="en-US"/>
        </w:rPr>
        <w:footnoteReference w:id="1"/>
      </w:r>
      <w:r w:rsidRPr="00D16499">
        <w:rPr>
          <w:rFonts w:asciiTheme="minorBidi" w:hAnsiTheme="minorBidi" w:cstheme="minorBidi"/>
        </w:rPr>
        <w:t>. Он состоит из двух подразделений и двух групп: Группы управления программой (включая Группу формальной поддержки) и Группы наращивания потенциала и политики в области наследия, а также Группы по охране, внедрению и мониторингу и Группы по управлению знаниями и информационной работе.</w:t>
      </w:r>
    </w:p>
    <w:p w14:paraId="38D5016A" w14:textId="0857744F" w:rsidR="002E1C7F" w:rsidRPr="00BE68A3" w:rsidRDefault="002E1C7F" w:rsidP="00842D2C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Последствия пандемии COVID-19 и меры реагирования</w:t>
      </w:r>
    </w:p>
    <w:p w14:paraId="6DB6EC1B" w14:textId="7DD0C190" w:rsidR="004C5321" w:rsidRPr="00D16499" w:rsidRDefault="00A21C7D" w:rsidP="004C5321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Распространение пандемии COVID-19 в начале 2020 года оказало существенное влияние на деятельность Секретариата. Промежуточный </w:t>
      </w:r>
      <w:r w:rsidR="00D570C4" w:rsidRPr="00D16499">
        <w:rPr>
          <w:rFonts w:asciiTheme="minorBidi" w:hAnsiTheme="minorBidi" w:cstheme="minorBidi"/>
        </w:rPr>
        <w:t>доклад</w:t>
      </w:r>
      <w:r w:rsidR="00D570C4" w:rsidRPr="00D16499" w:rsidDel="00D570C4">
        <w:rPr>
          <w:rFonts w:asciiTheme="minorBidi" w:hAnsiTheme="minorBidi" w:cstheme="minorBidi"/>
        </w:rPr>
        <w:t xml:space="preserve"> </w:t>
      </w:r>
      <w:r w:rsidRPr="00D16499">
        <w:rPr>
          <w:rFonts w:asciiTheme="minorBidi" w:hAnsiTheme="minorBidi" w:cstheme="minorBidi"/>
        </w:rPr>
        <w:t xml:space="preserve">о мерах реагирования на пандемию COVID-19, принятых Секретариатом, был представлен Генеральной Ассамблее в 2020 году (см. документ </w:t>
      </w:r>
      <w:hyperlink r:id="rId10" w:history="1">
        <w:r w:rsidRPr="00D16499">
          <w:rPr>
            <w:rStyle w:val="Lienhypertexte"/>
            <w:rFonts w:asciiTheme="minorBidi" w:hAnsiTheme="minorBidi" w:cstheme="minorBidi"/>
            <w:bCs/>
          </w:rPr>
          <w:t>LHE/20/8.GA/6+Add.</w:t>
        </w:r>
      </w:hyperlink>
      <w:r w:rsidRPr="00D16499">
        <w:rPr>
          <w:rFonts w:asciiTheme="minorBidi" w:hAnsiTheme="minorBidi" w:cstheme="minorBidi"/>
        </w:rPr>
        <w:t>). Секретариат предпринял ряд корректирующих усилий в целях обеспечения непрерывности действия формальных механизмов Конвенции и ключевых операционных инициатив, в том числе разработал новые инструменты и пересмотрел формы проведения заседаний. Этот опыт продемонстрировал способность формальной структуры адаптироваться к более гибким условиям работы и показал новые горизонты, которые такая способность откроет после завершения пандемии.</w:t>
      </w:r>
    </w:p>
    <w:p w14:paraId="5B2CBEAF" w14:textId="0BB378F2" w:rsidR="00D474DC" w:rsidRPr="00D16499" w:rsidRDefault="00A401E9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В ответ на пандемию Секретариат присоединился к усилиям Сектора культуры и всей ЮНЕСКО по укреплению глобальной солидарности, активно участвуя в коммуникационной кампании и инициативе открытого доступа, а также публикуя свои материалы по наращиванию потенциала. В апреле 2020 года Секретариат запустил онлайн-опрос «Опыт живого наследия в контексте пандемии COVID-19» с целью собрать информацию о влиянии пандемии на живое наследие различных сообществ и о том, как помочь сообществам справиться с этим кризисом.</w:t>
      </w:r>
    </w:p>
    <w:p w14:paraId="0FCC61D2" w14:textId="5A0D1F28" w:rsidR="00E0443E" w:rsidRPr="00D16499" w:rsidRDefault="005B0710" w:rsidP="0005412F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По результатам опроса ЮНЕСКО опубликовала </w:t>
      </w:r>
      <w:r w:rsidR="00B0499E" w:rsidRPr="00D16499">
        <w:rPr>
          <w:rFonts w:asciiTheme="minorBidi" w:hAnsiTheme="minorBidi" w:cstheme="minorBidi"/>
        </w:rPr>
        <w:t>доклад</w:t>
      </w:r>
      <w:r w:rsidR="00B0499E" w:rsidRPr="00D16499" w:rsidDel="00B0499E">
        <w:rPr>
          <w:rFonts w:asciiTheme="minorBidi" w:hAnsiTheme="minorBidi" w:cstheme="minorBidi"/>
        </w:rPr>
        <w:t xml:space="preserve"> </w:t>
      </w:r>
      <w:r w:rsidRPr="00D16499">
        <w:rPr>
          <w:rFonts w:asciiTheme="minorBidi" w:hAnsiTheme="minorBidi" w:cstheme="minorBidi"/>
        </w:rPr>
        <w:t>«</w:t>
      </w:r>
      <w:hyperlink r:id="rId11" w:history="1">
        <w:r w:rsidRPr="00D16499">
          <w:rPr>
            <w:rStyle w:val="Lienhypertexte"/>
            <w:rFonts w:asciiTheme="minorBidi" w:hAnsiTheme="minorBidi" w:cstheme="minorBidi"/>
          </w:rPr>
          <w:t>Живое наследие перед лицом COVID-19</w:t>
        </w:r>
      </w:hyperlink>
      <w:r w:rsidRPr="00D16499">
        <w:rPr>
          <w:rFonts w:asciiTheme="minorBidi" w:hAnsiTheme="minorBidi" w:cstheme="minorBidi"/>
        </w:rPr>
        <w:t xml:space="preserve">», содержащий ряд рекомендаций; в нем речь идет о том, как пандемия нарушила сложившуюся практику и процессы передачи живого наследия, а также о роли наследия в поддержании социальной сплоченности и солидарности в период </w:t>
      </w:r>
      <w:r w:rsidRPr="00D16499">
        <w:rPr>
          <w:rFonts w:asciiTheme="minorBidi" w:hAnsiTheme="minorBidi" w:cstheme="minorBidi"/>
        </w:rPr>
        <w:lastRenderedPageBreak/>
        <w:t xml:space="preserve">принудительного физического дистанцирования и изоляции. </w:t>
      </w:r>
      <w:r w:rsidR="008457D8" w:rsidRPr="00D16499">
        <w:rPr>
          <w:rFonts w:asciiTheme="minorBidi" w:hAnsiTheme="minorBidi" w:cstheme="minorBidi"/>
        </w:rPr>
        <w:t>Доклад</w:t>
      </w:r>
      <w:r w:rsidR="008457D8" w:rsidRPr="00D16499" w:rsidDel="008457D8">
        <w:rPr>
          <w:rFonts w:asciiTheme="minorBidi" w:hAnsiTheme="minorBidi" w:cstheme="minorBidi"/>
        </w:rPr>
        <w:t xml:space="preserve"> </w:t>
      </w:r>
      <w:r w:rsidRPr="00D16499">
        <w:rPr>
          <w:rFonts w:asciiTheme="minorBidi" w:hAnsiTheme="minorBidi" w:cstheme="minorBidi"/>
        </w:rPr>
        <w:t>послужил основой для разработки пилотных мероприятий в восьми странах</w:t>
      </w:r>
      <w:r w:rsidR="00520457" w:rsidRPr="00D16499">
        <w:rPr>
          <w:rStyle w:val="Appelnotedebasdep"/>
          <w:rFonts w:asciiTheme="minorBidi" w:hAnsiTheme="minorBidi" w:cstheme="minorBidi"/>
        </w:rPr>
        <w:footnoteReference w:id="2"/>
      </w:r>
      <w:r w:rsidRPr="00D16499">
        <w:rPr>
          <w:rFonts w:asciiTheme="minorBidi" w:hAnsiTheme="minorBidi" w:cstheme="minorBidi"/>
        </w:rPr>
        <w:t xml:space="preserve">. Многие проекты уже завершены и принесли разнообразные и значимые </w:t>
      </w:r>
      <w:hyperlink r:id="rId12" w:history="1">
        <w:r w:rsidRPr="00D16499">
          <w:rPr>
            <w:rStyle w:val="Lienhypertexte"/>
            <w:rFonts w:asciiTheme="minorBidi" w:hAnsiTheme="minorBidi" w:cstheme="minorBidi"/>
          </w:rPr>
          <w:t>результаты</w:t>
        </w:r>
      </w:hyperlink>
      <w:r w:rsidRPr="00D16499">
        <w:rPr>
          <w:rFonts w:asciiTheme="minorBidi" w:hAnsiTheme="minorBidi" w:cstheme="minorBidi"/>
        </w:rPr>
        <w:t>. Пилотные мероприятия, проведенные в разных регионах, подчеркнули непреходящую актуальность живого наследия для жизни людей в период пандемии и его важность для обеспечения более устойчивого и инклюзивного пути к восстановлению.</w:t>
      </w:r>
    </w:p>
    <w:p w14:paraId="6F89C55A" w14:textId="142DA682" w:rsidR="002E1C7F" w:rsidRPr="00BE68A3" w:rsidRDefault="002E1C7F" w:rsidP="0005412F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Управление Конвенцией: поддержка участников</w:t>
      </w:r>
    </w:p>
    <w:p w14:paraId="7A6C9CBC" w14:textId="1DA68BBE" w:rsidR="00E61CAD" w:rsidRPr="00D16499" w:rsidRDefault="0044643C" w:rsidP="0005412F">
      <w:pPr>
        <w:pStyle w:val="COMPara"/>
        <w:keepNext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На протяжении всего отчетного периода Секретариат обеспечивал административную, материально-техническую и основную п</w:t>
      </w:r>
      <w:r w:rsidRPr="00D16499">
        <w:rPr>
          <w:rFonts w:asciiTheme="minorBidi" w:hAnsiTheme="minorBidi" w:cstheme="minorBidi"/>
          <w:u w:val="single"/>
        </w:rPr>
        <w:t>оддержку руководящих органов Конвенции</w:t>
      </w:r>
      <w:r w:rsidRPr="00D16499">
        <w:rPr>
          <w:rFonts w:asciiTheme="minorBidi" w:hAnsiTheme="minorBidi" w:cstheme="minorBidi"/>
        </w:rPr>
        <w:t>. Восьмая сессия Генеральной Ассамблеи приняла Операционные принципы и условия охраны нематериального культурного наследия в чрезвычайных ситуациях, а также запустила процесс диалога между Органом по оценке и государствами, подавшими заявки, в рамках процесса оценки. Во время пятнадцатой сессии Комитета, прошедшей в 2020 году в онлайн-режиме из-за пандемии COVID-19, было зарегистрировано наибольшее количество многонациональных элементов (14), что свидетельствует о способности живого наследия объединять людей и способствовать международному сотрудничеству. В свою очередь, на шестнадцатой сессии, которая прошла в 2021 году также в онлайн-режиме, Комитет согласился в порядке исключения включить в перечень объект из Гаити в рамках ускоренной процедуры после ряда стихийных бедствий, обрушившихся на страну. Это решение доводится до сведения Генеральной Ассамблеи для последующего одобрения процедуры в пункте 8 (документ </w:t>
      </w:r>
      <w:hyperlink r:id="rId13" w:history="1">
        <w:r w:rsidRPr="00D16499">
          <w:rPr>
            <w:rStyle w:val="Lienhypertexte"/>
            <w:rFonts w:asciiTheme="minorBidi" w:hAnsiTheme="minorBidi" w:cstheme="minorBidi"/>
          </w:rPr>
          <w:t>LHE/22/9.GA/8</w:t>
        </w:r>
      </w:hyperlink>
      <w:r w:rsidRPr="00D16499">
        <w:rPr>
          <w:rFonts w:asciiTheme="minorBidi" w:hAnsiTheme="minorBidi" w:cstheme="minorBidi"/>
        </w:rPr>
        <w:t xml:space="preserve">). Кроме того, проект </w:t>
      </w:r>
      <w:r w:rsidR="007E4572" w:rsidRPr="00D16499">
        <w:rPr>
          <w:rFonts w:asciiTheme="minorBidi" w:hAnsiTheme="minorBidi" w:cstheme="minorBidi"/>
        </w:rPr>
        <w:t>доклада</w:t>
      </w:r>
      <w:r w:rsidR="007E4572" w:rsidRPr="00D16499" w:rsidDel="007E4572">
        <w:rPr>
          <w:rFonts w:asciiTheme="minorBidi" w:hAnsiTheme="minorBidi" w:cstheme="minorBidi"/>
        </w:rPr>
        <w:t xml:space="preserve"> </w:t>
      </w:r>
      <w:r w:rsidRPr="00D16499">
        <w:rPr>
          <w:rFonts w:asciiTheme="minorBidi" w:hAnsiTheme="minorBidi" w:cstheme="minorBidi"/>
        </w:rPr>
        <w:t>о деятельности Комитета с января 2020 года по декабрь 2021 года представлен на настоящей сессии в пункте 5 (документ </w:t>
      </w:r>
      <w:hyperlink r:id="rId14" w:history="1">
        <w:r w:rsidRPr="00D16499">
          <w:rPr>
            <w:rStyle w:val="Lienhypertexte"/>
            <w:rFonts w:asciiTheme="minorBidi" w:hAnsiTheme="minorBidi" w:cstheme="minorBidi"/>
          </w:rPr>
          <w:t>LHE/22/9.GA/5</w:t>
        </w:r>
      </w:hyperlink>
      <w:r w:rsidRPr="00D16499">
        <w:rPr>
          <w:rFonts w:asciiTheme="minorBidi" w:hAnsiTheme="minorBidi" w:cstheme="minorBidi"/>
        </w:rPr>
        <w:t>).</w:t>
      </w:r>
    </w:p>
    <w:p w14:paraId="61FDEE7B" w14:textId="2DC253F7" w:rsidR="009F7C5C" w:rsidRPr="00D16499" w:rsidRDefault="00EF1506">
      <w:pPr>
        <w:pStyle w:val="COMPara"/>
        <w:numPr>
          <w:ilvl w:val="0"/>
          <w:numId w:val="19"/>
        </w:numPr>
        <w:ind w:left="567" w:hanging="567"/>
        <w:jc w:val="both"/>
        <w:rPr>
          <w:rFonts w:asciiTheme="minorBidi" w:eastAsia="SimSun" w:hAnsiTheme="minorBidi" w:cstheme="minorBidi"/>
          <w:color w:val="000000" w:themeColor="text1"/>
        </w:rPr>
      </w:pPr>
      <w:r w:rsidRPr="00D16499">
        <w:rPr>
          <w:rFonts w:asciiTheme="minorBidi" w:hAnsiTheme="minorBidi" w:cstheme="minorBidi"/>
        </w:rPr>
        <w:t xml:space="preserve">Важным достижением отчетного периода стала </w:t>
      </w:r>
      <w:r w:rsidRPr="00D16499">
        <w:rPr>
          <w:rFonts w:asciiTheme="minorBidi" w:hAnsiTheme="minorBidi" w:cstheme="minorBidi"/>
          <w:u w:val="single"/>
        </w:rPr>
        <w:t>глобальная рефлексия над механизмами включения в перечень</w:t>
      </w:r>
      <w:r w:rsidRPr="00D16499">
        <w:rPr>
          <w:rFonts w:asciiTheme="minorBidi" w:hAnsiTheme="minorBidi" w:cstheme="minorBidi"/>
        </w:rPr>
        <w:t xml:space="preserve"> Конвенции, стартовавшая на двенадцатой сессии Комитета в 2017 году. По итогам опроса, проведенного среди экспертов, в мае 2021 года было организовано онлайн-совещание экспертов категории VI. На основании рекомендаций экспертов в июле (часть I) и сентябре (часть II) 2021 года состоялось онлайн-заседание Межправительственной рабочей группы открытого состава, состоявшее из двух частей, с целью рассмотрения характера и целей механизмов включения в перечень, критериев включения, процессов отслеживания дальнейшей судьбы включенных элементов и методологии оценки. </w:t>
      </w:r>
      <w:r w:rsidRPr="00D16499">
        <w:rPr>
          <w:rFonts w:asciiTheme="minorBidi" w:hAnsiTheme="minorBidi" w:cstheme="minorBidi"/>
          <w:snapToGrid/>
          <w:color w:val="000000" w:themeColor="text1"/>
        </w:rPr>
        <w:t>Шестнадцатая сессия Комитета одобрила рекомендации рабочей группы и решила расширить ее мандат и включить в него процессы обсуждения и принятия решений по дополнительным вопросам, поднятым в рамках заседания (часть III), созванного в начале 2022 года (</w:t>
      </w:r>
      <w:r w:rsidR="00BE68A3" w:rsidRPr="00D16499">
        <w:rPr>
          <w:rFonts w:asciiTheme="minorBidi" w:hAnsiTheme="minorBidi" w:cstheme="minorBidi"/>
        </w:rPr>
        <w:t>Решение </w:t>
      </w:r>
      <w:hyperlink r:id="rId15" w:history="1">
        <w:r w:rsidR="00BE68A3" w:rsidRPr="00D16499">
          <w:rPr>
            <w:rStyle w:val="Lienhypertexte"/>
            <w:rFonts w:asciiTheme="minorBidi" w:hAnsiTheme="minorBidi" w:cstheme="minorBidi"/>
            <w:snapToGrid/>
          </w:rPr>
          <w:t>16.COM 14</w:t>
        </w:r>
      </w:hyperlink>
      <w:r w:rsidRPr="00D16499">
        <w:rPr>
          <w:rFonts w:asciiTheme="minorBidi" w:hAnsiTheme="minorBidi" w:cstheme="minorBidi"/>
          <w:snapToGrid/>
          <w:color w:val="000000" w:themeColor="text1"/>
        </w:rPr>
        <w:t>).</w:t>
      </w:r>
      <w:r w:rsidRPr="00D16499">
        <w:rPr>
          <w:rFonts w:asciiTheme="minorBidi" w:hAnsiTheme="minorBidi" w:cstheme="minorBidi"/>
          <w:color w:val="000000" w:themeColor="text1"/>
        </w:rPr>
        <w:t xml:space="preserve"> </w:t>
      </w:r>
      <w:r w:rsidRPr="00D16499">
        <w:rPr>
          <w:rFonts w:asciiTheme="minorBidi" w:hAnsiTheme="minorBidi" w:cstheme="minorBidi"/>
          <w:snapToGrid/>
        </w:rPr>
        <w:t>Дальнейшие предложения рабочей группы, включая поправки к Операционным директивам, представлены на рассмотрение Ассамблеи в рамках текущей сессии в пункте 9 (документ </w:t>
      </w:r>
      <w:hyperlink r:id="rId16" w:history="1">
        <w:r w:rsidRPr="00D16499">
          <w:rPr>
            <w:rStyle w:val="Lienhypertexte"/>
            <w:rFonts w:asciiTheme="minorBidi" w:hAnsiTheme="minorBidi" w:cstheme="minorBidi"/>
          </w:rPr>
          <w:t>LHE/22/9.GA/9</w:t>
        </w:r>
      </w:hyperlink>
      <w:r w:rsidRPr="00D16499">
        <w:rPr>
          <w:rFonts w:asciiTheme="minorBidi" w:hAnsiTheme="minorBidi" w:cstheme="minorBidi"/>
          <w:snapToGrid/>
          <w:color w:val="000000" w:themeColor="text1"/>
        </w:rPr>
        <w:t>) и завершают глобальную рефлексию на эту тему, в которой приняла участие и Япония.</w:t>
      </w:r>
    </w:p>
    <w:p w14:paraId="7B7E5124" w14:textId="194BA881" w:rsidR="00141275" w:rsidRPr="00BE68A3" w:rsidRDefault="00141275" w:rsidP="0005412F">
      <w:pPr>
        <w:pStyle w:val="COM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сформированная после </w:t>
      </w:r>
      <w:r w:rsidRPr="00D16499">
        <w:rPr>
          <w:rFonts w:asciiTheme="minorBidi" w:hAnsiTheme="minorBidi" w:cstheme="minorBidi"/>
          <w:u w:val="single"/>
        </w:rPr>
        <w:t xml:space="preserve">реформы системы </w:t>
      </w:r>
      <w:r w:rsidR="005A3EAA" w:rsidRPr="00D16499">
        <w:rPr>
          <w:rFonts w:asciiTheme="minorBidi" w:hAnsiTheme="minorBidi" w:cstheme="minorBidi"/>
          <w:u w:val="single"/>
        </w:rPr>
        <w:t>представления периодических докладов</w:t>
      </w:r>
      <w:r w:rsidR="005A3EAA" w:rsidRPr="00D16499" w:rsidDel="005A3EAA">
        <w:rPr>
          <w:rFonts w:asciiTheme="minorBidi" w:hAnsiTheme="minorBidi" w:cstheme="minorBidi"/>
          <w:u w:val="single"/>
        </w:rPr>
        <w:t xml:space="preserve"> </w:t>
      </w:r>
      <w:r w:rsidRPr="00D16499">
        <w:rPr>
          <w:rFonts w:asciiTheme="minorBidi" w:hAnsiTheme="minorBidi" w:cstheme="minorBidi"/>
        </w:rPr>
        <w:t xml:space="preserve">новая система уже продемонстрировала значительно более высокий уровень представления </w:t>
      </w:r>
      <w:r w:rsidR="002A38AC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 xml:space="preserve"> — 87,5 % (двадцать восемь представленных </w:t>
      </w:r>
      <w:r w:rsidR="002A38AC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 xml:space="preserve"> из в общей сложности тридцати двух запланированных) в странах Латинской Америки и Карибского бассейна в 2021 году и 95,4 % (сорок два представленных </w:t>
      </w:r>
      <w:r w:rsidR="006544EB" w:rsidRPr="00D16499">
        <w:rPr>
          <w:rFonts w:asciiTheme="minorBidi" w:hAnsiTheme="minorBidi" w:cstheme="minorBidi"/>
        </w:rPr>
        <w:t>доклада</w:t>
      </w:r>
      <w:r w:rsidRPr="00D16499">
        <w:rPr>
          <w:rFonts w:asciiTheme="minorBidi" w:hAnsiTheme="minorBidi" w:cstheme="minorBidi"/>
        </w:rPr>
        <w:t xml:space="preserve"> из сорока четырех запланированных) в Европе. С этой целью Секретариат в сотрудничестве с центрами ЮНЕСКО категории 2, ведущими деятельность в области живого наследия, внедрил комплексный курс онлайн-обучения, адаптированный к потребностям каждого региона. Улучшение показателя представления </w:t>
      </w:r>
      <w:r w:rsidR="00BC7460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 xml:space="preserve"> свидетельствует об успехе реформы и, по-видимому, объясняется преимущественно региональным подходом к ее реализации, который способствовал активному взаимному обмену между страновыми координаторами, а также поддержкой, оказанной Секретариатом и направленной на </w:t>
      </w:r>
      <w:r w:rsidRPr="00D16499">
        <w:rPr>
          <w:rFonts w:asciiTheme="minorBidi" w:hAnsiTheme="minorBidi" w:cstheme="minorBidi"/>
        </w:rPr>
        <w:lastRenderedPageBreak/>
        <w:t xml:space="preserve">наращивание потенциала по составлению национальных </w:t>
      </w:r>
      <w:r w:rsidR="00E214C3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 xml:space="preserve">. Для арабских государств, которые должны представить свои </w:t>
      </w:r>
      <w:r w:rsidR="004767D5" w:rsidRPr="00D16499">
        <w:rPr>
          <w:rFonts w:asciiTheme="minorBidi" w:hAnsiTheme="minorBidi" w:cstheme="minorBidi"/>
        </w:rPr>
        <w:t>доклады</w:t>
      </w:r>
      <w:r w:rsidRPr="00D16499">
        <w:rPr>
          <w:rFonts w:asciiTheme="minorBidi" w:hAnsiTheme="minorBidi" w:cstheme="minorBidi"/>
        </w:rPr>
        <w:t xml:space="preserve"> в декабре 2022 года, Секретариат организовал первый этап обучения в октябре 2021 года.</w:t>
      </w:r>
    </w:p>
    <w:p w14:paraId="762CC755" w14:textId="60D46FD6" w:rsidR="00CE6727" w:rsidRPr="00BE68A3" w:rsidRDefault="005C30BF" w:rsidP="00AB2C73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Секретариат </w:t>
      </w:r>
      <w:r w:rsidRPr="00D16499">
        <w:rPr>
          <w:rFonts w:asciiTheme="minorBidi" w:hAnsiTheme="minorBidi" w:cstheme="minorBidi"/>
          <w:u w:val="single"/>
        </w:rPr>
        <w:t>оказывал поддержку Органу по оценке</w:t>
      </w:r>
      <w:r w:rsidRPr="00D16499">
        <w:rPr>
          <w:rFonts w:asciiTheme="minorBidi" w:hAnsiTheme="minorBidi" w:cstheme="minorBidi"/>
        </w:rPr>
        <w:t xml:space="preserve"> в процессе рассмотрения документов по кандидатурам в рамках циклов, прошедших в 2020 и 2021 годах, а также участвовал в проверке технической полноты кандидатур в рамках цикла 2022 года. За отчетный период отмечены улучшения в процессе оценки с полным внедрением процесса диалога в циклах 2020 и 2021 годов. Кроме того, Секретариат занимался обработкой периодических </w:t>
      </w:r>
      <w:r w:rsidR="009E03A3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>, а также запросов на аккредитацию и продление, поступивших от неправительственных организаций (НПО). В соответствии с рекомендациями шестнадцатой сессии Комитета эти запросы на аккредитацию представлены на рассмотрение текущей сессии Ассамблеи в пункте 7 (документ </w:t>
      </w:r>
      <w:hyperlink r:id="rId17" w:history="1">
        <w:r w:rsidRPr="00D16499">
          <w:rPr>
            <w:rStyle w:val="Lienhypertexte"/>
            <w:rFonts w:asciiTheme="minorBidi" w:hAnsiTheme="minorBidi" w:cstheme="minorBidi"/>
          </w:rPr>
          <w:t>LHE/22/9.GA/7</w:t>
        </w:r>
      </w:hyperlink>
      <w:r w:rsidRPr="00D16499">
        <w:rPr>
          <w:rFonts w:asciiTheme="minorBidi" w:hAnsiTheme="minorBidi" w:cstheme="minorBidi"/>
        </w:rPr>
        <w:t>).</w:t>
      </w:r>
    </w:p>
    <w:p w14:paraId="34B8E5B1" w14:textId="50D34D31" w:rsidR="007B079C" w:rsidRPr="00BE68A3" w:rsidRDefault="007B079C" w:rsidP="007B079C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По результатам двухлетней </w:t>
      </w:r>
      <w:hyperlink r:id="rId18" w:history="1">
        <w:r w:rsidRPr="00D16499">
          <w:rPr>
            <w:rStyle w:val="Lienhypertexte"/>
            <w:rFonts w:asciiTheme="minorBidi" w:hAnsiTheme="minorBidi" w:cstheme="minorBidi"/>
          </w:rPr>
          <w:t>рефлексии</w:t>
        </w:r>
      </w:hyperlink>
      <w:r w:rsidRPr="00D16499">
        <w:rPr>
          <w:rFonts w:asciiTheme="minorBidi" w:hAnsiTheme="minorBidi" w:cstheme="minorBidi"/>
        </w:rPr>
        <w:t xml:space="preserve"> над ролью аккредитованных НПО, завершенной Генеральной Ассамблеей в 2020 году, Секретариат укрепил </w:t>
      </w:r>
      <w:r w:rsidRPr="00D16499">
        <w:rPr>
          <w:rFonts w:asciiTheme="minorBidi" w:hAnsiTheme="minorBidi" w:cstheme="minorBidi"/>
          <w:u w:val="single"/>
        </w:rPr>
        <w:t>сотрудничество с Форумом НПО НКН</w:t>
      </w:r>
      <w:r w:rsidRPr="00D16499">
        <w:rPr>
          <w:rFonts w:asciiTheme="minorBidi" w:hAnsiTheme="minorBidi" w:cstheme="minorBidi"/>
        </w:rPr>
        <w:t>, поручив последнему заняться картированием областей компетенций аккредитованных НПО</w:t>
      </w:r>
      <w:r w:rsidRPr="00BE68A3">
        <w:rPr>
          <w:rStyle w:val="Appelnotedebasdep"/>
          <w:rFonts w:asciiTheme="minorBidi" w:hAnsiTheme="minorBidi" w:cstheme="minorBidi"/>
        </w:rPr>
        <w:footnoteReference w:id="3"/>
      </w:r>
      <w:r w:rsidRPr="00D16499">
        <w:rPr>
          <w:rFonts w:asciiTheme="minorBidi" w:hAnsiTheme="minorBidi" w:cstheme="minorBidi"/>
        </w:rPr>
        <w:t xml:space="preserve">. Этот процесс, включающий разработку инфографики для визуализации масштабов и разнообразия компетенций многих аккредитованных НПО, позволит выявить способы, с помощью которых аккредитованные НПО смогут оказывать Комитету консультационные услуги, и одновременно будет способствовать налаживанию сотрудничества между аккредитованными НПО и государствами-участниками на национальном уровне. </w:t>
      </w:r>
      <w:r w:rsidR="007F2FC6" w:rsidRPr="00D16499">
        <w:rPr>
          <w:rFonts w:asciiTheme="minorBidi" w:hAnsiTheme="minorBidi" w:cstheme="minorBidi"/>
        </w:rPr>
        <w:t>Доклад</w:t>
      </w:r>
      <w:r w:rsidRPr="00D16499">
        <w:rPr>
          <w:rFonts w:asciiTheme="minorBidi" w:hAnsiTheme="minorBidi" w:cstheme="minorBidi"/>
        </w:rPr>
        <w:t xml:space="preserve"> Форума НПО НКН, признающий ту немаловажную роль, которую НПО играют в охране живого наследия, представлен вниманию нынешней сессии Ассамблеи (документ </w:t>
      </w:r>
      <w:hyperlink r:id="rId19" w:history="1">
        <w:r w:rsidRPr="00D16499">
          <w:rPr>
            <w:rStyle w:val="Lienhypertexte"/>
            <w:rFonts w:asciiTheme="minorBidi" w:hAnsiTheme="minorBidi" w:cstheme="minorBidi"/>
          </w:rPr>
          <w:t>LHE/22/9.GA/INF.3.1</w:t>
        </w:r>
      </w:hyperlink>
      <w:r w:rsidRPr="00D16499">
        <w:rPr>
          <w:rFonts w:asciiTheme="minorBidi" w:hAnsiTheme="minorBidi" w:cstheme="minorBidi"/>
        </w:rPr>
        <w:t>).</w:t>
      </w:r>
    </w:p>
    <w:p w14:paraId="5039CD9A" w14:textId="71CB27D5" w:rsidR="002E1C7F" w:rsidRPr="00BE68A3" w:rsidRDefault="00B368CC" w:rsidP="00E0443E">
      <w:pPr>
        <w:pStyle w:val="GAPara"/>
        <w:numPr>
          <w:ilvl w:val="0"/>
          <w:numId w:val="44"/>
        </w:numPr>
        <w:snapToGrid w:val="0"/>
        <w:ind w:left="540" w:hanging="540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  <w:u w:val="single"/>
        </w:rPr>
        <w:t>Службы управления знаниями</w:t>
      </w:r>
      <w:r w:rsidRPr="00D16499">
        <w:rPr>
          <w:rFonts w:asciiTheme="minorBidi" w:hAnsiTheme="minorBidi" w:cstheme="minorBidi"/>
        </w:rPr>
        <w:t xml:space="preserve"> сыграли решающую роль в обеспечении непрерывности деятельности Секретариата. В течение 2020 и 2021 годов использование обычных методов работы Органа по оценке было затруднено, поскольку его члены не могли встретиться лично для обсуждения своих мнений о документах и достижения консенсуса. Поэтому Секретариат разработал новый интерфейс онлайн-мониторинга, который позволит компенсировать сокращенную продолжительность и ограниченную интерактивность, характерные для виртуальных заседаний. Этот инструмент оказался чрезвычайно полезным и будет и далее частью работы Органа по оценке. Кроме того, более широкое использование системы управления знаниями привело к дополнительной нагрузке на сервер, что вылилось в снижение производительности системы в конце 2020 — начале 2021 года. Приложение было позднее оптимизировано и в июне 2021 года перенесено на новые серверы, что значительно повысило способность веб-сайта обслуживать большое количество пользователей, например во время заседаний Комитета. После перехода ЮНЕСКО на новый фирменный стиль для проверки удобства пользования веб-сайтом Конвенции была привлечена сторонняя компания, а также были наняты дополнительные эксперты для обеспечения непрерывности работы веб-сайта и целостности его данных.</w:t>
      </w:r>
    </w:p>
    <w:p w14:paraId="5B6D2F61" w14:textId="53964310" w:rsidR="001E432A" w:rsidRPr="00BE68A3" w:rsidRDefault="00BC6CCB" w:rsidP="001E432A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bookmarkStart w:id="0" w:name="_Hlk98256554"/>
      <w:r w:rsidRPr="00D16499">
        <w:rPr>
          <w:rFonts w:asciiTheme="minorBidi" w:hAnsiTheme="minorBidi" w:cstheme="minorBidi"/>
        </w:rPr>
        <w:t xml:space="preserve">Секретариат продолжал поддерживать национальные усилия по охране через механизмы </w:t>
      </w:r>
      <w:r w:rsidRPr="00D16499">
        <w:rPr>
          <w:rFonts w:asciiTheme="minorBidi" w:hAnsiTheme="minorBidi" w:cstheme="minorBidi"/>
          <w:u w:val="single"/>
        </w:rPr>
        <w:t>Международной помощи</w:t>
      </w:r>
      <w:r w:rsidRPr="00D16499">
        <w:rPr>
          <w:rFonts w:asciiTheme="minorBidi" w:hAnsiTheme="minorBidi" w:cstheme="minorBidi"/>
        </w:rPr>
        <w:t>, уделяя особое внимание Африке и Малым островным развивающимся государствам. В период с января 2020 года по декабрь 2021 года расходы, связанные с оказанием международной помощи, достигли 2,2 миллиона долларов США. Комитет и его Бюро одобрили шестнадцать новых проектов, однако количество запросов, поданных государствами-участниками, за отчетный период заметно сократилось по сравнению с 2018–2019 гг. (дополнительную информацию см. в документах </w:t>
      </w:r>
      <w:hyperlink r:id="rId20" w:history="1">
        <w:r w:rsidRPr="00D16499">
          <w:rPr>
            <w:rStyle w:val="Lienhypertexte"/>
            <w:rFonts w:asciiTheme="minorBidi" w:hAnsiTheme="minorBidi" w:cstheme="minorBidi"/>
          </w:rPr>
          <w:t>LHE/22/9.GA/10</w:t>
        </w:r>
      </w:hyperlink>
      <w:r w:rsidRPr="00D16499">
        <w:rPr>
          <w:rFonts w:asciiTheme="minorBidi" w:hAnsiTheme="minorBidi" w:cstheme="minorBidi"/>
        </w:rPr>
        <w:t xml:space="preserve"> и </w:t>
      </w:r>
      <w:hyperlink r:id="rId21" w:history="1">
        <w:r w:rsidRPr="00D16499">
          <w:rPr>
            <w:rStyle w:val="Lienhypertexte"/>
            <w:rFonts w:asciiTheme="minorBidi" w:hAnsiTheme="minorBidi" w:cstheme="minorBidi"/>
          </w:rPr>
          <w:t>LHE/22/9.GA/INF.10</w:t>
        </w:r>
      </w:hyperlink>
      <w:r w:rsidRPr="00D16499">
        <w:rPr>
          <w:rFonts w:asciiTheme="minorBidi" w:hAnsiTheme="minorBidi" w:cstheme="minorBidi"/>
        </w:rPr>
        <w:t xml:space="preserve">). Учитывая эту тенденцию, которая, по всей видимости, связана с пандемией, Секретариат сосредоточил внимание на выявлении проблем, с которыми сталкиваются государства и сообщества при подготовке запросов и реализации проектов. В качестве одного из </w:t>
      </w:r>
      <w:r w:rsidRPr="00D16499">
        <w:rPr>
          <w:rFonts w:asciiTheme="minorBidi" w:hAnsiTheme="minorBidi" w:cstheme="minorBidi"/>
        </w:rPr>
        <w:lastRenderedPageBreak/>
        <w:t xml:space="preserve">первых шагов по исправлению ситуации Секретариат подготовил </w:t>
      </w:r>
      <w:hyperlink r:id="rId22" w:history="1">
        <w:r w:rsidRPr="00D16499">
          <w:rPr>
            <w:rStyle w:val="Lienhypertexte"/>
            <w:rFonts w:asciiTheme="minorBidi" w:hAnsiTheme="minorBidi" w:cstheme="minorBidi"/>
          </w:rPr>
          <w:t>Инструментарий</w:t>
        </w:r>
      </w:hyperlink>
      <w:r w:rsidRPr="00D16499">
        <w:rPr>
          <w:rFonts w:asciiTheme="minorBidi" w:hAnsiTheme="minorBidi" w:cstheme="minorBidi"/>
        </w:rPr>
        <w:t xml:space="preserve"> по работе с механизмом Международной помощи.</w:t>
      </w:r>
    </w:p>
    <w:p w14:paraId="45BDA713" w14:textId="77777777" w:rsidR="002E1C7F" w:rsidRPr="00BE68A3" w:rsidRDefault="002E1C7F" w:rsidP="00195153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Операционная деятельность</w:t>
      </w:r>
    </w:p>
    <w:p w14:paraId="313ECF1A" w14:textId="5FF0952D" w:rsidR="00510597" w:rsidRPr="00BE68A3" w:rsidRDefault="000403A5" w:rsidP="0047262B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Продолжая оказывать масштабную </w:t>
      </w:r>
      <w:r w:rsidRPr="00D16499">
        <w:rPr>
          <w:rFonts w:asciiTheme="minorBidi" w:hAnsiTheme="minorBidi" w:cstheme="minorBidi"/>
          <w:u w:val="single"/>
        </w:rPr>
        <w:t>поддержку в наращивании потенциала</w:t>
      </w:r>
      <w:r w:rsidRPr="00D16499">
        <w:rPr>
          <w:rFonts w:asciiTheme="minorBidi" w:hAnsiTheme="minorBidi" w:cstheme="minorBidi"/>
        </w:rPr>
        <w:t xml:space="preserve"> во всем мире, Секретариат начал стратегическую переориентацию и принял мультимодальные подходы к предоставлению такой поддержки с целью расширения доступа к ней, опираясь на уроки, извлеченные из онлайн-обучения во время пандемии COVID-19. Выдающимся событием стал первый массовый открытый онлайн-курс (МООК), посвященный нематериальному культурному наследию и устойчивому развитию. Этот курс, состоящий из шести модулей, направлен на развитие более глубокого понимания взаимосвязи между живым наследием и устойчивым развитием в таких областях, как гендерное равенство, образование, здравоохранение, формирование доходов, стихийные бедствия и миротворчество. Упомянутая переориентация соответствует Оценке, проведенной СВН, которая подтвердила ключевую роль Программы и подчеркнула необходимость адаптации к меняющимся требованиям. Кроме того, Секретариат укрепил свою глобальную сеть координаторов, сформировал межрегиональную рабочую группу, запустил серию веб-семинаров и </w:t>
      </w:r>
      <w:hyperlink r:id="rId23" w:history="1">
        <w:r w:rsidRPr="00D16499">
          <w:rPr>
            <w:rFonts w:asciiTheme="minorBidi" w:hAnsiTheme="minorBidi" w:cstheme="minorBidi"/>
          </w:rPr>
          <w:t>оптимизировал веб-страницу сети</w:t>
        </w:r>
      </w:hyperlink>
      <w:r w:rsidRPr="00D16499">
        <w:rPr>
          <w:rFonts w:asciiTheme="minorBidi" w:hAnsiTheme="minorBidi" w:cstheme="minorBidi"/>
        </w:rPr>
        <w:t>. Программа также расширила тематический охват, разработав учебные материалы в новых областях, таких как нематериальное культурное наследие и снижение риска бедствий; эти материалы были опробованы на практике в ходе онлайн-семинаров и пилотных мероприятий.</w:t>
      </w:r>
    </w:p>
    <w:p w14:paraId="3D59AFD5" w14:textId="61546B99" w:rsidR="00F62FE1" w:rsidRPr="00BE68A3" w:rsidRDefault="004A4B42" w:rsidP="0047262B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Что касается программы </w:t>
      </w:r>
      <w:r w:rsidRPr="00D16499">
        <w:rPr>
          <w:rFonts w:asciiTheme="minorBidi" w:hAnsiTheme="minorBidi" w:cstheme="minorBidi"/>
          <w:u w:val="single"/>
        </w:rPr>
        <w:t>«Охрана нематериального культурного наследия в формальном и неформальном образовании»</w:t>
      </w:r>
      <w:r w:rsidRPr="00D16499">
        <w:rPr>
          <w:rFonts w:asciiTheme="minorBidi" w:hAnsiTheme="minorBidi" w:cstheme="minorBidi"/>
        </w:rPr>
        <w:t>, которая является вторым приоритетом финансирования в 2018–2021 гг.</w:t>
      </w:r>
      <w:r w:rsidR="00527E2A" w:rsidRPr="00BE68A3">
        <w:rPr>
          <w:rStyle w:val="Appelnotedebasdep"/>
          <w:rFonts w:asciiTheme="minorBidi" w:hAnsiTheme="minorBidi" w:cstheme="minorBidi"/>
        </w:rPr>
        <w:footnoteReference w:id="4"/>
      </w:r>
      <w:r w:rsidRPr="00D16499">
        <w:rPr>
          <w:rFonts w:asciiTheme="minorBidi" w:hAnsiTheme="minorBidi" w:cstheme="minorBidi"/>
        </w:rPr>
        <w:t xml:space="preserve"> в рамках Конвенции 2003 года, шестнадцать региональных подразделений запустили проекты и мероприятия в более чем пятидесяти странах, направленные на интеграцию живого наследия в школьное и неформальное образование, а также на наращивание потенциала учителей и педагогов для учителей. Три региона (Европа, Азиатско-Тихоокеанский регион, страны Латинской Америки и Карибского бассейна) поделились своим опытом в рамках опросов. Оценка, проведенная СВН, охватила пятнадцать проектов, продемонстрировавших рост осведомленности о живом наследии и уважения к нему среди молодежи и более широких слоев общества, а также укрепление самобытности, гордости и признательности за культурное разнообразие. Учителя, принявшие участие в проектах, развили свои способности и повысили уверенность в своих силах, что позволило им интегрировать нематериальное культурное наследие в процесс обучения по всем предметам, а партнерские отношения, установившиеся между сообществами, носителями и школами, были признаны одним из самых ценных результатов проектов.</w:t>
      </w:r>
    </w:p>
    <w:p w14:paraId="34BB53A6" w14:textId="76854E9B" w:rsidR="00F62FE1" w:rsidRPr="00BE68A3" w:rsidRDefault="00F62FE1" w:rsidP="004313D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На глобальном уровне Секретариат в сотрудничестве с Сектором образования собрал новые данные о связанных с образованием показателях Матрицы результатов реализации Конвенции и их взаимосвязи с ЦУР 4 (2020 год) в ходе проведения совещания экспертов и открытого </w:t>
      </w:r>
      <w:hyperlink r:id="rId24" w:history="1">
        <w:r w:rsidRPr="00D16499">
          <w:rPr>
            <w:rFonts w:asciiTheme="minorBidi" w:hAnsiTheme="minorBidi" w:cstheme="minorBidi"/>
          </w:rPr>
          <w:t>вебинара</w:t>
        </w:r>
      </w:hyperlink>
      <w:r w:rsidRPr="00D16499">
        <w:rPr>
          <w:rFonts w:asciiTheme="minorBidi" w:hAnsiTheme="minorBidi" w:cstheme="minorBidi"/>
        </w:rPr>
        <w:t xml:space="preserve"> (2021 год). Кроме того, были разработаны и внедрены адаптированный интерактивный учебный план, методология и материалы для курса подготовки инструкторов, работающих с темами живого наследия и образования. Наконец, в целях содействия обмену знаниями, сотрудничеству и инновациям Секретариат открыл </w:t>
      </w:r>
      <w:hyperlink r:id="rId25" w:history="1">
        <w:r w:rsidRPr="00D16499">
          <w:rPr>
            <w:rFonts w:asciiTheme="minorBidi" w:hAnsiTheme="minorBidi" w:cstheme="minorBidi"/>
            <w:u w:val="single"/>
          </w:rPr>
          <w:t>справочно-информационный центр</w:t>
        </w:r>
      </w:hyperlink>
      <w:r w:rsidRPr="00D16499">
        <w:rPr>
          <w:rFonts w:asciiTheme="minorBidi" w:hAnsiTheme="minorBidi" w:cstheme="minorBidi"/>
          <w:u w:val="single"/>
        </w:rPr>
        <w:t xml:space="preserve"> по вопросам живого наследия и образования</w:t>
      </w:r>
      <w:r w:rsidRPr="00D16499">
        <w:rPr>
          <w:rFonts w:asciiTheme="minorBidi" w:hAnsiTheme="minorBidi" w:cstheme="minorBidi"/>
        </w:rPr>
        <w:t xml:space="preserve">, который содержит информацию об инновационных проектах, ресурсах, новостях и событиях, связанных с Программой. Был проведен и включен в состав материалов справочно-информационного центра анализ трех практических ситуаций, связанных с опытом коренных народов в области сохранения живого наследия при помощи инструментов формального и неформального образования. Были также подготовлены материалы для плана работы в рамках Международного десятилетия языков коренных народов мира. Эти стратегические рамки обеспечат международное </w:t>
      </w:r>
      <w:r w:rsidRPr="00D16499">
        <w:rPr>
          <w:rFonts w:asciiTheme="minorBidi" w:hAnsiTheme="minorBidi" w:cstheme="minorBidi"/>
        </w:rPr>
        <w:lastRenderedPageBreak/>
        <w:t>сотрудничество и совместные, скоординированные усилия заинтересованных сторон по возрождению языков коренных народов мира, что имеет критически важное значение для передачи живого наследия коренных общин от одного поколения к другому.</w:t>
      </w:r>
    </w:p>
    <w:bookmarkEnd w:id="0"/>
    <w:p w14:paraId="2B243964" w14:textId="77777777" w:rsidR="002E1C7F" w:rsidRPr="00BE68A3" w:rsidRDefault="002E1C7F" w:rsidP="00842D2C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Тематические инициативы</w:t>
      </w:r>
    </w:p>
    <w:p w14:paraId="45AF0FE7" w14:textId="717E55AA" w:rsidR="009B2F0E" w:rsidRPr="00BE68A3" w:rsidRDefault="00442B7E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В соответствии с проектом Среднесрочной стратегии ЮНЕСКО на 2022–2029 гг. (41C/4), Операционными директивами Конвенции (глава VI) и решением Комитета, в котором подчеркивается важность привлечения внимания к </w:t>
      </w:r>
      <w:r w:rsidRPr="00D16499">
        <w:rPr>
          <w:rFonts w:asciiTheme="minorBidi" w:hAnsiTheme="minorBidi" w:cstheme="minorBidi"/>
          <w:u w:val="single"/>
        </w:rPr>
        <w:t>вкладу живого наследия в устойчивое развитие</w:t>
      </w:r>
      <w:bookmarkStart w:id="1" w:name="_Ref88177584"/>
      <w:r w:rsidRPr="00D16499">
        <w:rPr>
          <w:rFonts w:asciiTheme="minorBidi" w:hAnsiTheme="minorBidi" w:cstheme="minorBidi"/>
          <w:vertAlign w:val="superscript"/>
        </w:rPr>
        <w:footnoteReference w:id="5"/>
      </w:r>
      <w:bookmarkEnd w:id="1"/>
      <w:r w:rsidRPr="00D16499">
        <w:rPr>
          <w:rFonts w:asciiTheme="minorBidi" w:hAnsiTheme="minorBidi" w:cstheme="minorBidi"/>
        </w:rPr>
        <w:t xml:space="preserve">, Секретариат сосредоточил усилия на конкретных тематических областях и направил их на содействие целостному подходу к охране наследия и устойчивому развитию. Среди таких областей — i) охрана нематериального культурного наследия и изменение климата, </w:t>
      </w:r>
      <w:proofErr w:type="spellStart"/>
      <w:r w:rsidRPr="00D16499">
        <w:rPr>
          <w:rFonts w:asciiTheme="minorBidi" w:hAnsiTheme="minorBidi" w:cstheme="minorBidi"/>
        </w:rPr>
        <w:t>ii</w:t>
      </w:r>
      <w:proofErr w:type="spellEnd"/>
      <w:r w:rsidRPr="00D16499">
        <w:rPr>
          <w:rFonts w:asciiTheme="minorBidi" w:hAnsiTheme="minorBidi" w:cstheme="minorBidi"/>
        </w:rPr>
        <w:t xml:space="preserve">) экономический аспект охраны нематериального культурного наследия и </w:t>
      </w:r>
      <w:proofErr w:type="spellStart"/>
      <w:r w:rsidRPr="00D16499">
        <w:rPr>
          <w:rFonts w:asciiTheme="minorBidi" w:hAnsiTheme="minorBidi" w:cstheme="minorBidi"/>
        </w:rPr>
        <w:t>iii</w:t>
      </w:r>
      <w:proofErr w:type="spellEnd"/>
      <w:r w:rsidRPr="00D16499">
        <w:rPr>
          <w:rFonts w:asciiTheme="minorBidi" w:hAnsiTheme="minorBidi" w:cstheme="minorBidi"/>
        </w:rPr>
        <w:t>) охрана нематериального культурного наследия в городских условиях.</w:t>
      </w:r>
    </w:p>
    <w:p w14:paraId="12DE37A2" w14:textId="536B5D56" w:rsidR="00442B7E" w:rsidRPr="00BE68A3" w:rsidRDefault="00562BD3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Для каждой тематической области разрабатывается концептуальная записка с целью углубления понимания и более точного выявления точек приложения дальнейших усилий в рамках Конвенции. Эта работа включает обзор литературных источников, выбор экспертов, формирование экспертной группы и проведение тематических исследований в разных регионах мира. Кроме того, она предусматривает проведение интернационального опроса среди ключевых заинтересованных сторон, в том числе «координаторов» Конвенции на национальном уровне и контактных лиц по включенным в список элементам, основной целью которого является сбор мнений о неблагоприятных последствиях названных процессов для нематериального культурного наследия в этих тематических областях.</w:t>
      </w:r>
    </w:p>
    <w:p w14:paraId="743782C6" w14:textId="10F99177" w:rsidR="008B4CC6" w:rsidRPr="00BE68A3" w:rsidRDefault="005B3A5A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  <w:u w:val="single"/>
        </w:rPr>
        <w:t>Изменение климата</w:t>
      </w:r>
      <w:r w:rsidRPr="00D16499">
        <w:rPr>
          <w:rFonts w:asciiTheme="minorBidi" w:hAnsiTheme="minorBidi" w:cstheme="minorBidi"/>
        </w:rPr>
        <w:t xml:space="preserve"> стало вопросом чрезвычайной важности — в том числе для сохранения живого наследия. Кроме того, предыдущая тематическая работа в области нематериального культурного наследия и чрезвычайных ситуаций подчеркнула уязвимость нематериального культурного наследия перед лицом стихийных бедствий, в том числе вызванных изменением климата. Работа над концептуальной запиской направлен</w:t>
      </w:r>
      <w:r w:rsidR="00A030AC" w:rsidRPr="00D16499">
        <w:rPr>
          <w:rFonts w:asciiTheme="minorBidi" w:hAnsiTheme="minorBidi" w:cstheme="minorBidi"/>
        </w:rPr>
        <w:t>ной</w:t>
      </w:r>
      <w:r w:rsidRPr="00D16499">
        <w:rPr>
          <w:rFonts w:asciiTheme="minorBidi" w:hAnsiTheme="minorBidi" w:cstheme="minorBidi"/>
        </w:rPr>
        <w:t xml:space="preserve"> на углубление понимания взаимосвязи между нематериальным культурным наследием и изменением климата</w:t>
      </w:r>
      <w:r w:rsidR="001113C3" w:rsidRPr="00D16499">
        <w:rPr>
          <w:rFonts w:asciiTheme="minorBidi" w:hAnsiTheme="minorBidi" w:cstheme="minorBidi"/>
        </w:rPr>
        <w:t xml:space="preserve"> была начата в конце 2021 года</w:t>
      </w:r>
      <w:r w:rsidRPr="00D16499">
        <w:rPr>
          <w:rFonts w:asciiTheme="minorBidi" w:hAnsiTheme="minorBidi" w:cstheme="minorBidi"/>
        </w:rPr>
        <w:t xml:space="preserve">. </w:t>
      </w:r>
      <w:r w:rsidR="006E534A" w:rsidRPr="00D16499">
        <w:rPr>
          <w:rFonts w:asciiTheme="minorBidi" w:hAnsiTheme="minorBidi" w:cstheme="minorBidi"/>
        </w:rPr>
        <w:t>Концептуальная записка</w:t>
      </w:r>
      <w:r w:rsidRPr="00D16499">
        <w:rPr>
          <w:rFonts w:asciiTheme="minorBidi" w:hAnsiTheme="minorBidi" w:cstheme="minorBidi"/>
        </w:rPr>
        <w:t xml:space="preserve"> будет включать рассмотрение роли нематериального культурного наследия в адаптации к изменению климата и смягчении последствий этого процесса, а также рисков для нематериального культурного наследия в контексте изменения климата.</w:t>
      </w:r>
    </w:p>
    <w:p w14:paraId="4EA0DC6A" w14:textId="27F31C78" w:rsidR="001E432A" w:rsidRPr="00D16499" w:rsidRDefault="00676625" w:rsidP="003E1FF4">
      <w:pPr>
        <w:pStyle w:val="GAPara"/>
        <w:numPr>
          <w:ilvl w:val="0"/>
          <w:numId w:val="19"/>
        </w:numPr>
        <w:snapToGrid w:val="0"/>
        <w:ind w:left="540" w:hanging="540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На предыдущих сессиях Комитета обсуждение было сосредоточено вокруг </w:t>
      </w:r>
      <w:r w:rsidRPr="00D16499">
        <w:rPr>
          <w:rFonts w:asciiTheme="minorBidi" w:hAnsiTheme="minorBidi" w:cstheme="minorBidi"/>
          <w:u w:val="single"/>
        </w:rPr>
        <w:t>экономических аспектов охраны нематериального культурного наследия</w:t>
      </w:r>
      <w:r w:rsidRPr="00D16499">
        <w:rPr>
          <w:rFonts w:asciiTheme="minorBidi" w:hAnsiTheme="minorBidi" w:cstheme="minorBidi"/>
        </w:rPr>
        <w:t xml:space="preserve"> — как положительных, так и отрицательных. К положительным аспектам, например, относятся случаи, когда коммерциализация непосредственно поддерживает жизнеспособность находящегося под угрозой исчезновения нематериального культурного наследия (к примеру, определенных видов ремесел), тогда как отрицательные аспекты могут включать </w:t>
      </w:r>
      <w:proofErr w:type="spellStart"/>
      <w:r w:rsidRPr="00D16499">
        <w:rPr>
          <w:rFonts w:asciiTheme="minorBidi" w:hAnsiTheme="minorBidi" w:cstheme="minorBidi"/>
        </w:rPr>
        <w:t>деконтекстуализацию</w:t>
      </w:r>
      <w:proofErr w:type="spellEnd"/>
      <w:r w:rsidRPr="00D16499">
        <w:rPr>
          <w:rFonts w:asciiTheme="minorBidi" w:hAnsiTheme="minorBidi" w:cstheme="minorBidi"/>
        </w:rPr>
        <w:t xml:space="preserve"> и стандартизацию в результате чрезмерной коммерциализации. В связи с этим и в ответ на запросы Комитета продолжается разработка руководства по применению различных мер защиты в подобных ситуациях</w:t>
      </w:r>
      <w:r w:rsidR="00FD11C1" w:rsidRPr="00BE68A3">
        <w:rPr>
          <w:rStyle w:val="Appelnotedebasdep"/>
          <w:rFonts w:asciiTheme="minorBidi" w:hAnsiTheme="minorBidi" w:cstheme="minorBidi"/>
        </w:rPr>
        <w:footnoteReference w:id="6"/>
      </w:r>
      <w:r w:rsidRPr="00D16499">
        <w:rPr>
          <w:rFonts w:asciiTheme="minorBidi" w:hAnsiTheme="minorBidi" w:cstheme="minorBidi"/>
        </w:rPr>
        <w:t>. В него будут включены наработки руководящих органов Конвенций и Органа по оценке с самого начала действия Конвенции.</w:t>
      </w:r>
    </w:p>
    <w:p w14:paraId="4A98E686" w14:textId="16B7CC4F" w:rsidR="00442B7E" w:rsidRPr="00BE68A3" w:rsidRDefault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Третьей областью интересов является </w:t>
      </w:r>
      <w:r w:rsidRPr="00D16499">
        <w:rPr>
          <w:rFonts w:asciiTheme="minorBidi" w:hAnsiTheme="minorBidi" w:cstheme="minorBidi"/>
          <w:u w:val="single"/>
        </w:rPr>
        <w:t>охрана живого наследия в городских условиях</w:t>
      </w:r>
      <w:r w:rsidRPr="00D16499">
        <w:rPr>
          <w:rFonts w:asciiTheme="minorBidi" w:hAnsiTheme="minorBidi" w:cstheme="minorBidi"/>
        </w:rPr>
        <w:t xml:space="preserve"> и его вклада в обеспечение устойчивости городов. Разрабатываемый в настоящее время документ о положении дел будет нацелен на формулирование руководящих принципов эффективной реализации Конвенции в городских условиях и рекомендаций для представителей правительственных структур и практиков, подчеркивающих роль живого </w:t>
      </w:r>
      <w:r w:rsidRPr="00D16499">
        <w:rPr>
          <w:rFonts w:asciiTheme="minorBidi" w:hAnsiTheme="minorBidi" w:cstheme="minorBidi"/>
        </w:rPr>
        <w:lastRenderedPageBreak/>
        <w:t xml:space="preserve">наследия в устойчивом развитии городов. В частности, он еще раз подчеркнет тот факт, что городское наследие выражается не только в строениях или материальных формах, но и в их расположении в городских пространствах и в особенностях жизненного уклада в городах. В настоящее время разрабатывается первая часть этого документа, посвященная нематериальному культурному наследию и городскому планированию. Работа в этом направлении включает вопросы, которыми занимаются руководящие органы Конвенции, и результаты инвентаризаций, проводимых в рамках текущего внебюджетного проекта «Нематериальное наследие и творчество для построения устойчивых городов», финансируемого частным сектором Китая с 2018 года. Актуальная информация по проекту доступна на </w:t>
      </w:r>
      <w:hyperlink r:id="rId26" w:history="1">
        <w:r w:rsidRPr="00D16499">
          <w:rPr>
            <w:rStyle w:val="Lienhypertexte"/>
            <w:rFonts w:asciiTheme="minorBidi" w:hAnsiTheme="minorBidi" w:cstheme="minorBidi"/>
          </w:rPr>
          <w:t>тематической веб-странице</w:t>
        </w:r>
      </w:hyperlink>
      <w:r w:rsidRPr="00D16499">
        <w:rPr>
          <w:rFonts w:asciiTheme="minorBidi" w:hAnsiTheme="minorBidi" w:cstheme="minorBidi"/>
        </w:rPr>
        <w:t>.</w:t>
      </w:r>
    </w:p>
    <w:p w14:paraId="29B6AE09" w14:textId="77806F26" w:rsidR="002E1C7F" w:rsidRPr="00BE68A3" w:rsidRDefault="002E1C7F" w:rsidP="00842D2C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Взаимосвязь с другими конвенциями в области культуры</w:t>
      </w:r>
    </w:p>
    <w:p w14:paraId="2DA0B464" w14:textId="41C972F0" w:rsidR="00442B7E" w:rsidRPr="00BE68A3" w:rsidRDefault="00442B7E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Секретариат сотрудничал с секретариатом Гаагской конвенции 1954 года и двух Протоколов к ней с целью подготовки аналитического документа о совместных усилиях по охране нематериального культурного наследия в чрезвычайных ситуациях</w:t>
      </w:r>
      <w:r w:rsidRPr="00D16499">
        <w:rPr>
          <w:rFonts w:asciiTheme="minorBidi" w:hAnsiTheme="minorBidi" w:cstheme="minorBidi"/>
          <w:vertAlign w:val="superscript"/>
        </w:rPr>
        <w:footnoteReference w:id="7"/>
      </w:r>
      <w:r w:rsidRPr="00D16499">
        <w:rPr>
          <w:rFonts w:asciiTheme="minorBidi" w:hAnsiTheme="minorBidi" w:cstheme="minorBidi"/>
        </w:rPr>
        <w:t>.</w:t>
      </w:r>
      <w:r w:rsidRPr="00D16499">
        <w:rPr>
          <w:rFonts w:asciiTheme="minorBidi" w:hAnsiTheme="minorBidi" w:cstheme="minorBidi"/>
          <w:vertAlign w:val="superscript"/>
        </w:rPr>
        <w:t xml:space="preserve"> </w:t>
      </w:r>
      <w:r w:rsidRPr="00D16499">
        <w:rPr>
          <w:rFonts w:asciiTheme="minorBidi" w:hAnsiTheme="minorBidi" w:cstheme="minorBidi"/>
        </w:rPr>
        <w:t>Этот информационный документ был доведен до сведения Комитета по защите культурных ценностей в случае вооруженного конфликта на его шестнадцатом заседании в декабре 2021 года. Предлагаемые дальнейшие шаги в ближайшем будущем заключаются в наращивании потенциала этих субъектов для практического применения Операционных принципов и условий охраны нематериального культурного наследия в чрезвычайных ситуациях и повышения осведомленности об их важности среди соответствующих заинтересованных сторон. Совместно с Чрезвычайным фондом наследия ЮНЕСКО Секретариат продолжает поддерживать усилия по защите культуры в чрезвычайных ситуациях в рамках различных конвенций ЮНЕСКО в этой области.</w:t>
      </w:r>
    </w:p>
    <w:p w14:paraId="2F999E3C" w14:textId="3497FD76" w:rsidR="00565274" w:rsidRPr="00BE68A3" w:rsidRDefault="00565274" w:rsidP="00295F24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Связи с Конвенцией об охране всемирного культурного и природного наследия 1972 года подчеркиваются в оперативных проектах, реализуемых на местах. Хотя ввиду масштабности проектов можно предложить лишь частичный обзор, инициативы ЮНЕСКО включают, например, популяризацию живого наследия и культурного туризма на объектах всемирного наследия</w:t>
      </w:r>
      <w:r w:rsidR="00CB0DAB" w:rsidRPr="00BE68A3">
        <w:rPr>
          <w:rStyle w:val="Appelnotedebasdep"/>
          <w:rFonts w:asciiTheme="minorBidi" w:hAnsiTheme="minorBidi" w:cstheme="minorBidi"/>
        </w:rPr>
        <w:footnoteReference w:id="8"/>
      </w:r>
      <w:r w:rsidRPr="00D16499">
        <w:rPr>
          <w:rFonts w:asciiTheme="minorBidi" w:hAnsiTheme="minorBidi" w:cstheme="minorBidi"/>
        </w:rPr>
        <w:t xml:space="preserve"> или инвентаризацию нематериального культурного наследия в городских условиях</w:t>
      </w:r>
      <w:r w:rsidR="00CB0DAB" w:rsidRPr="00BE68A3">
        <w:rPr>
          <w:rStyle w:val="Appelnotedebasdep"/>
          <w:rFonts w:asciiTheme="minorBidi" w:hAnsiTheme="minorBidi" w:cstheme="minorBidi"/>
        </w:rPr>
        <w:footnoteReference w:id="9"/>
      </w:r>
      <w:r w:rsidRPr="00D16499">
        <w:rPr>
          <w:rFonts w:asciiTheme="minorBidi" w:hAnsiTheme="minorBidi" w:cstheme="minorBidi"/>
        </w:rPr>
        <w:t>. Благодаря участию в Программе ЮНЕСКО «Сеть планеты Земля», возглавляемой Сектором науки, Секретариат стремился укрепить связи с Конвенцией 1972 года и объектами, определенными ЮНЕСКО, с целью поддержки процессов управления экосистемами, их восстановления и укрепления устойчивости посредством обучения и обмена опытом и передовой практикой.</w:t>
      </w:r>
    </w:p>
    <w:p w14:paraId="55B866D3" w14:textId="02DF23F8" w:rsidR="00442B7E" w:rsidRPr="00BE68A3" w:rsidRDefault="00442B7E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Синергия с Конвенцией об охране и поощрении разнообразия форм культурного самовыражения, принятой в 2005 году, в этой области также укрепляется посредством реализации проектов, направленных на сохранение ремесленного мастерства в контексте изменения климата</w:t>
      </w:r>
      <w:r w:rsidR="00CB0DAB" w:rsidRPr="00BE68A3">
        <w:rPr>
          <w:rStyle w:val="Appelnotedebasdep"/>
          <w:rFonts w:asciiTheme="minorBidi" w:hAnsiTheme="minorBidi" w:cstheme="minorBidi"/>
        </w:rPr>
        <w:footnoteReference w:id="10"/>
      </w:r>
      <w:r w:rsidRPr="00D16499">
        <w:rPr>
          <w:rFonts w:asciiTheme="minorBidi" w:hAnsiTheme="minorBidi" w:cstheme="minorBidi"/>
        </w:rPr>
        <w:t>, развитие сельских ремесел и культурных центров</w:t>
      </w:r>
      <w:r w:rsidR="00CC467D" w:rsidRPr="00BE68A3">
        <w:rPr>
          <w:rStyle w:val="Appelnotedebasdep"/>
          <w:rFonts w:asciiTheme="minorBidi" w:hAnsiTheme="minorBidi" w:cstheme="minorBidi"/>
        </w:rPr>
        <w:footnoteReference w:id="11"/>
      </w:r>
      <w:r w:rsidRPr="00D16499">
        <w:rPr>
          <w:rFonts w:asciiTheme="minorBidi" w:hAnsiTheme="minorBidi" w:cstheme="minorBidi"/>
        </w:rPr>
        <w:t xml:space="preserve"> или на поддержку обмена музыкальными ноу-хау среди молодежи</w:t>
      </w:r>
      <w:r w:rsidR="00504163" w:rsidRPr="00BE68A3">
        <w:rPr>
          <w:rStyle w:val="Appelnotedebasdep"/>
          <w:rFonts w:asciiTheme="minorBidi" w:hAnsiTheme="minorBidi" w:cstheme="minorBidi"/>
        </w:rPr>
        <w:footnoteReference w:id="12"/>
      </w:r>
      <w:r w:rsidRPr="00D16499">
        <w:rPr>
          <w:rFonts w:asciiTheme="minorBidi" w:hAnsiTheme="minorBidi" w:cstheme="minorBidi"/>
        </w:rPr>
        <w:t xml:space="preserve">. В ответ на пандемию </w:t>
      </w:r>
      <w:r w:rsidRPr="00D16499">
        <w:rPr>
          <w:rFonts w:asciiTheme="minorBidi" w:hAnsiTheme="minorBidi" w:cstheme="minorBidi"/>
        </w:rPr>
        <w:lastRenderedPageBreak/>
        <w:t>во время восьмой сессии Генеральной Ассамблеи в сентябре 2020 года был организован онлайн-диалог о пандемии ResiliArt.</w:t>
      </w:r>
    </w:p>
    <w:p w14:paraId="1535022A" w14:textId="13A2BB8B" w:rsidR="00442B7E" w:rsidRPr="00BE68A3" w:rsidRDefault="00442B7E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В 2021 году Секретариат принял участие в усилиях секторальной рабочей группы по разработке типового регламента ассамблей/конференций, организуемых сторонами, являющимися участниками различных конвенций ЮНЕСКО в области культуры. После рассмотрения сорок первой сессией Генеральной конференции ЮНЕСКО этот типовой регламент послужил основой для разработки предлагаемых поправок к Регламенту Генеральной Ассамблеи Конвенции 2003 года, представленных на рассмотрение нынешней сессии Ассамблеи в рамках пункта 12 (документ </w:t>
      </w:r>
      <w:hyperlink r:id="rId27" w:history="1">
        <w:r w:rsidR="00FA622F" w:rsidRPr="00D16499">
          <w:rPr>
            <w:rStyle w:val="Lienhypertexte"/>
            <w:rFonts w:asciiTheme="minorBidi" w:hAnsiTheme="minorBidi" w:cstheme="minorBidi"/>
          </w:rPr>
          <w:t>LHE/22/9.GA/12</w:t>
        </w:r>
      </w:hyperlink>
      <w:r w:rsidRPr="00D16499">
        <w:rPr>
          <w:rStyle w:val="Lienhypertexte"/>
          <w:rFonts w:asciiTheme="minorBidi" w:hAnsiTheme="minorBidi" w:cstheme="minorBidi"/>
          <w:color w:val="auto"/>
          <w:u w:val="none"/>
        </w:rPr>
        <w:t>)</w:t>
      </w:r>
      <w:r w:rsidRPr="00D16499">
        <w:rPr>
          <w:rFonts w:asciiTheme="minorBidi" w:hAnsiTheme="minorBidi" w:cstheme="minorBidi"/>
        </w:rPr>
        <w:t>.</w:t>
      </w:r>
    </w:p>
    <w:p w14:paraId="603F551A" w14:textId="645D2450" w:rsidR="002E1C7F" w:rsidRPr="00BE68A3" w:rsidRDefault="002E1C7F" w:rsidP="00842D2C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Коммуникация и информационная работа</w:t>
      </w:r>
    </w:p>
    <w:p w14:paraId="14FE146C" w14:textId="098489C5" w:rsidR="00442B7E" w:rsidRPr="00BE68A3" w:rsidRDefault="0007499B" w:rsidP="00442B7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Стратегическая коммуникация может повысить осведомленность об охране нематериального культурного наследия и узнаваемость Конвенции, а также привлечь различные заинтересованные стороны. Опираясь на положительные отзывы о проекте </w:t>
      </w:r>
      <w:hyperlink r:id="rId28" w:history="1">
        <w:r w:rsidRPr="00D16499">
          <w:rPr>
            <w:rFonts w:asciiTheme="minorBidi" w:hAnsiTheme="minorBidi" w:cstheme="minorBidi"/>
          </w:rPr>
          <w:t>«Погружение в нематериальное культурное наследие»</w:t>
        </w:r>
      </w:hyperlink>
      <w:r w:rsidRPr="00D16499">
        <w:rPr>
          <w:rFonts w:asciiTheme="minorBidi" w:hAnsiTheme="minorBidi" w:cstheme="minorBidi"/>
        </w:rPr>
        <w:t>, запущенном в конце 2019 года, Секретариат дополнительно усовершенствовал его интерфейс, добавив в него демонстрацию разнообразия взаимосвязей живого наследия и устойчивого развития, а также того, как зарегистрированные элементы связаны с ЦУР. Запущенный к пятнадцатой сессии Комитета, этот интерфейс был представлен 21 мая 2021 года во время мероприятия высокого уровня, посвященного культуре и устойчивому развитию и организованного в Нью-Йорке Председателем Генеральной Ассамблеи Организации Объединенных Наций.</w:t>
      </w:r>
    </w:p>
    <w:p w14:paraId="2CEF3254" w14:textId="10BA93C1" w:rsidR="00BE022A" w:rsidRPr="00BE68A3" w:rsidRDefault="00442B7E" w:rsidP="00BE022A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В 2021 году были предприняты усилия по более частому размещению еще более разнообразного и интересного контента на портале Конвенции. Были реализованы инициативы по более полному освещению тематического контента: в 2020 году были созданы тематические страницы, посвященные </w:t>
      </w:r>
      <w:hyperlink r:id="rId29" w:history="1">
        <w:r w:rsidRPr="00D16499">
          <w:rPr>
            <w:rStyle w:val="Lienhypertexte"/>
            <w:rFonts w:asciiTheme="minorBidi" w:hAnsiTheme="minorBidi" w:cstheme="minorBidi"/>
          </w:rPr>
          <w:t>живому наследию в чрезвычайных ситуациях</w:t>
        </w:r>
      </w:hyperlink>
      <w:r w:rsidRPr="00D16499">
        <w:rPr>
          <w:rFonts w:asciiTheme="minorBidi" w:hAnsiTheme="minorBidi" w:cstheme="minorBidi"/>
        </w:rPr>
        <w:t xml:space="preserve"> и </w:t>
      </w:r>
      <w:hyperlink r:id="rId30" w:history="1">
        <w:r w:rsidRPr="00D16499">
          <w:rPr>
            <w:rStyle w:val="Lienhypertexte"/>
            <w:rFonts w:asciiTheme="minorBidi" w:hAnsiTheme="minorBidi" w:cstheme="minorBidi"/>
          </w:rPr>
          <w:t>живому наследию и образованию</w:t>
        </w:r>
      </w:hyperlink>
      <w:r w:rsidRPr="00D16499">
        <w:rPr>
          <w:rFonts w:asciiTheme="minorBidi" w:hAnsiTheme="minorBidi" w:cstheme="minorBidi"/>
        </w:rPr>
        <w:t xml:space="preserve">. Кроме того, была опубликована серия материалов, связанных с различными Международными днями, для более четкой увязки инициатив в области живого наследия с коммуникационными усилиями в масштабах всей ООН. Выставка «Звуки живого наследия. Путешествие по языкам коренных народов мира», первоначально стартовавшая в 2019 году, в настоящее время представлена в залах штаб-квартиры ЮНЕСКО в преддверии Международного десятилетия языков коренных народов мира, которое будет объявлено в 2022–2032 гг. В ознаменование </w:t>
      </w:r>
      <w:hyperlink r:id="rId31" w:history="1">
        <w:r w:rsidRPr="00D16499">
          <w:rPr>
            <w:rFonts w:asciiTheme="minorBidi" w:hAnsiTheme="minorBidi" w:cstheme="minorBidi"/>
          </w:rPr>
          <w:t>75-летия ЮНЕСКО</w:t>
        </w:r>
      </w:hyperlink>
      <w:r w:rsidRPr="00D16499">
        <w:rPr>
          <w:rFonts w:asciiTheme="minorBidi" w:hAnsiTheme="minorBidi" w:cstheme="minorBidi"/>
        </w:rPr>
        <w:t xml:space="preserve"> в штаб-квартире организации была представлена серия фотоснимков, посвященных живому наследию, а изображения элементов живого наследия, присланные государствами-участниками, были выставлены у здания на площади </w:t>
      </w:r>
      <w:proofErr w:type="spellStart"/>
      <w:r w:rsidRPr="00D16499">
        <w:rPr>
          <w:rFonts w:asciiTheme="minorBidi" w:hAnsiTheme="minorBidi" w:cstheme="minorBidi"/>
        </w:rPr>
        <w:t>Фонтенуа</w:t>
      </w:r>
      <w:proofErr w:type="spellEnd"/>
      <w:r w:rsidRPr="00D16499">
        <w:rPr>
          <w:rFonts w:asciiTheme="minorBidi" w:hAnsiTheme="minorBidi" w:cstheme="minorBidi"/>
        </w:rPr>
        <w:t>.</w:t>
      </w:r>
    </w:p>
    <w:p w14:paraId="64470E57" w14:textId="07B5D68B" w:rsidR="00442B7E" w:rsidRPr="00BE68A3" w:rsidRDefault="0007499B" w:rsidP="00F62FE1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Несмотря на то что шестнадцатая сессия Комитета не могла пройти в очном формате, в режиме онлайн проводились параллельные мероприятия, привлекшие множество участников. Пресс-конференции, посвященные основным формальным собраниям, и пресс-кит, подготавливаемый для Комитета ежегодно, были направлены на работу с представителями СМИ, тогда как инициативы в интернете и социальных сетях привлекали внимание широкой общественности, в том числе через </w:t>
      </w:r>
      <w:proofErr w:type="spellStart"/>
      <w:r w:rsidRPr="00D16499">
        <w:rPr>
          <w:rFonts w:asciiTheme="minorBidi" w:hAnsiTheme="minorBidi" w:cstheme="minorBidi"/>
        </w:rPr>
        <w:t>Twitter</w:t>
      </w:r>
      <w:proofErr w:type="spellEnd"/>
      <w:r w:rsidRPr="00D16499">
        <w:rPr>
          <w:rFonts w:asciiTheme="minorBidi" w:hAnsiTheme="minorBidi" w:cstheme="minorBidi"/>
        </w:rPr>
        <w:t xml:space="preserve"> и Facebook Live. В переписке и коммуникационных материалах Секретариата широко используется новый логотип ЮНЕСКО. Осведомленность о Конвенции также повысилась благодаря большему количеству публикаций, посвященных живому наследию, на страницах ЮНЕСКО в социальных сетях.</w:t>
      </w:r>
    </w:p>
    <w:p w14:paraId="6CF9F881" w14:textId="57B75AF8" w:rsidR="002E1C7F" w:rsidRPr="00BE68A3" w:rsidRDefault="002E1C7F" w:rsidP="00842D2C">
      <w:pPr>
        <w:pStyle w:val="COMPara"/>
        <w:keepNext/>
        <w:numPr>
          <w:ilvl w:val="0"/>
          <w:numId w:val="21"/>
        </w:numPr>
        <w:spacing w:before="240"/>
        <w:ind w:left="576" w:hanging="432"/>
        <w:jc w:val="both"/>
        <w:rPr>
          <w:rFonts w:asciiTheme="minorBidi" w:hAnsiTheme="minorBidi" w:cstheme="minorBidi"/>
          <w:b/>
          <w:bCs/>
        </w:rPr>
      </w:pPr>
      <w:r w:rsidRPr="00D16499">
        <w:rPr>
          <w:rFonts w:asciiTheme="minorBidi" w:hAnsiTheme="minorBidi" w:cstheme="minorBidi"/>
          <w:b/>
        </w:rPr>
        <w:t>Ключевые проблемы и дальнейшие шаги</w:t>
      </w:r>
    </w:p>
    <w:p w14:paraId="4B18F857" w14:textId="7FF74A9C" w:rsidR="002636F7" w:rsidRPr="00BE68A3" w:rsidRDefault="00D95A17" w:rsidP="00295F24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Деятельность Секретариата в последние два года велась в условиях пандемии COVID-19, которая особенно ярко высветила ценность нематериального культурного наследия и то значение, которое сообщества придают его сохранению и приумножению. Грянувший кризис породил серьезные проблемы, но в то же время следует отметить, что руководящие органы Конвенции, формальные механизмы и ключевые </w:t>
      </w:r>
      <w:r w:rsidRPr="00D16499">
        <w:rPr>
          <w:rFonts w:asciiTheme="minorBidi" w:hAnsiTheme="minorBidi" w:cstheme="minorBidi"/>
        </w:rPr>
        <w:lastRenderedPageBreak/>
        <w:t>операционные инициативы продолжали работать при поддержке Секретариата, сохраняя баланс среди представителей директивных органов и заинтересованных сторон на региональном уровне в соответствии с положениями Операционных директив. Это показало, что созданная формальная структура была одновременно достаточно прочной, чтобы противостоять воздействию кризиса, и достаточно гибкой, чтобы адаптироваться к неблагоприятным обстоятельствам. Были внедрены инновационные способы сохранения возможности совместной работы и разработаны цифровые инструменты, в том числе такие, которые обязательно найдут применение после завершения пандемии.</w:t>
      </w:r>
    </w:p>
    <w:p w14:paraId="043C7A08" w14:textId="15C734BC" w:rsidR="00817639" w:rsidRPr="00BE68A3" w:rsidRDefault="00DD167B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Первоначальные результаты, достигнутые в результате внедрения реформированного механизма </w:t>
      </w:r>
      <w:r w:rsidR="00EB209C" w:rsidRPr="00D16499">
        <w:rPr>
          <w:rFonts w:asciiTheme="minorBidi" w:hAnsiTheme="minorBidi" w:cstheme="minorBidi"/>
        </w:rPr>
        <w:t>представления периодических докладов</w:t>
      </w:r>
      <w:r w:rsidRPr="00D16499">
        <w:rPr>
          <w:rFonts w:asciiTheme="minorBidi" w:hAnsiTheme="minorBidi" w:cstheme="minorBidi"/>
        </w:rPr>
        <w:t xml:space="preserve">, очень обнадеживают. Заметное улучшение показателей представления </w:t>
      </w:r>
      <w:r w:rsidR="002D4AAC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 xml:space="preserve"> отражает широкое участие государств-участников из первых двух </w:t>
      </w:r>
      <w:r w:rsidR="002E6A9C" w:rsidRPr="00D16499">
        <w:rPr>
          <w:rFonts w:asciiTheme="minorBidi" w:hAnsiTheme="minorBidi" w:cstheme="minorBidi"/>
        </w:rPr>
        <w:t>представляющих доклады</w:t>
      </w:r>
      <w:r w:rsidRPr="00D16499">
        <w:rPr>
          <w:rFonts w:asciiTheme="minorBidi" w:hAnsiTheme="minorBidi" w:cstheme="minorBidi"/>
        </w:rPr>
        <w:t xml:space="preserve"> регионов в реализации Конвенции. Анализ </w:t>
      </w:r>
      <w:r w:rsidR="00DA6393" w:rsidRPr="00D16499">
        <w:rPr>
          <w:rFonts w:asciiTheme="minorBidi" w:hAnsiTheme="minorBidi" w:cstheme="minorBidi"/>
        </w:rPr>
        <w:t>докладов</w:t>
      </w:r>
      <w:r w:rsidRPr="00D16499">
        <w:rPr>
          <w:rFonts w:asciiTheme="minorBidi" w:hAnsiTheme="minorBidi" w:cstheme="minorBidi"/>
        </w:rPr>
        <w:t xml:space="preserve"> также показывает, что значительное число государств-участников из этих регионов разработали и реализуют проекты, программы и политику (а также институциональные рамки для их поддержки), направленные на охрану нематериального культурного наследия на их территориях. При условии, что положительная тенденция сохранится в других регионах и по ходу дела будут внесены необходимые коррективы, пересмотренный механизм </w:t>
      </w:r>
      <w:r w:rsidR="004839B6" w:rsidRPr="00D16499">
        <w:rPr>
          <w:rFonts w:asciiTheme="minorBidi" w:hAnsiTheme="minorBidi" w:cstheme="minorBidi"/>
        </w:rPr>
        <w:t>представления периодических докладов</w:t>
      </w:r>
      <w:r w:rsidRPr="00D16499">
        <w:rPr>
          <w:rFonts w:asciiTheme="minorBidi" w:hAnsiTheme="minorBidi" w:cstheme="minorBidi"/>
        </w:rPr>
        <w:t>, ориентированный на конкретные результаты в соответствии с матрицей результатов реализации Конвенции 2003 года, может стать функциональным инструментом для мониторинга влияния Конвенции на различных уровнях.</w:t>
      </w:r>
    </w:p>
    <w:p w14:paraId="5FBF986D" w14:textId="4279B3D2" w:rsidR="00D95A17" w:rsidRPr="00BE68A3" w:rsidRDefault="00236508" w:rsidP="00817639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Кроме того, глобальная рефлексия над механизмами включения в перечень стала важным шагом на пути к дальнейшему развитию Конвенции. По результатам масштабных консультаций, проходивших в течение последних двух лет, Генеральную Ассамблею просят одобрить поправки к Операционным директивам, которые, как ожидается, повысят доверие к механизмам включения в перечень, и таким образом эта сессия завершит процесс рефлексии над большим количеством сложных и взаимосвязанных вопросов. Затем Конвенция перейдет к следующему этапу реализации изменений, который будет включать в себя тщательный мониторинг результатов изменений и внесение технических корректив по мере необходимости. В то же время глобальная рефлексия дала новый стимул размышлениям о том, как сподвигнуть сообщества, группы и, при необходимости, отдельных лиц к еще более активному участию в реализации всех аспектов Конвенции.</w:t>
      </w:r>
    </w:p>
    <w:p w14:paraId="57D911E4" w14:textId="073493E7" w:rsidR="007B6AF0" w:rsidRPr="00BE68A3" w:rsidRDefault="00681799" w:rsidP="00A81916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В операционном плане Секретариат за отчетный период провел мероприятия по наращиванию потенциала в самом широком смысле в 162 странах, включая 33 страны Африки и 30 малых островных развивающихся государств. Сама Программа также развивалась, и Секретариат намеревается продолжать ее переориентацию, включив в нее мультимодальный подход к реализации, предоставляя тем самым возможности для охвата новой аудитории и использования инновационной педагогики и обеспечивая экономическую эффективность. Программа «Живое наследие и образование» добилась значительного прогресса благодаря нескольким проектам, однако вопрос о том, как расширить масштабы этого опыта, остается открытым. Кроме того, в будущем необходимо укреплять важные связи между охраной живого наследия и устойчивым развитием. С этой целью Секретариат работает над составлением концептуальных записок или документов о положении дел по трем тематическим вопросам, которые будут представлены руководящим органам (см. Раздел IV).</w:t>
      </w:r>
    </w:p>
    <w:p w14:paraId="64E26701" w14:textId="238EFB9A" w:rsidR="00C86E90" w:rsidRPr="00BE68A3" w:rsidRDefault="00AE539A" w:rsidP="00AE539A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Как указано в оценке, проведенной СВН в 2021 году, реализация Конвенции «претерпела множество реформ и преобразований, которые привели к заметному расширению поддержки Организацией государств-членов, партнеров и сообществ». Несмотря на то что разработка Конвенции свидетельствует о росте интереса к нематериальному культурному наследию в различных областях, она также ведет к повышению запросов о предоставлении поддержки государствам-участникам со стороны ЮНЕСКО. Как отмечается в Рекомендации 1 Оценки, проведенной СВН, </w:t>
      </w:r>
      <w:r w:rsidRPr="00D16499">
        <w:rPr>
          <w:rFonts w:asciiTheme="minorBidi" w:hAnsiTheme="minorBidi" w:cstheme="minorBidi"/>
        </w:rPr>
        <w:lastRenderedPageBreak/>
        <w:t>Генеральная Ассамблея обращает внимание на «необходимость расстановки приоритетов при использовании ограниченных ресурсов Секретариата Конвенции 2003 года».</w:t>
      </w:r>
    </w:p>
    <w:p w14:paraId="52E9D44C" w14:textId="5ABC11B7" w:rsidR="00AE741B" w:rsidRPr="00BE68A3" w:rsidRDefault="00AE741B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 xml:space="preserve">Решения, которые ее руководящие органы примут на данном этапе, определят, как Конвенция будет развиваться в течение следующих десяти лет. В связи с этим шестнадцатая сессия Комитета поручила «Секретариату подготовить информацию об основных видах его деятельности с учетом финансовых последствий и вопросов, связанных с рабочей нагрузкой», которая будет рассмотрена на семнадцатой сессии Комитета (Решение </w:t>
      </w:r>
      <w:hyperlink r:id="rId32" w:history="1">
        <w:r w:rsidRPr="00D16499">
          <w:rPr>
            <w:rStyle w:val="Lienhypertexte"/>
            <w:rFonts w:asciiTheme="minorBidi" w:hAnsiTheme="minorBidi" w:cstheme="minorBidi"/>
          </w:rPr>
          <w:t>16.COM 5.b</w:t>
        </w:r>
      </w:hyperlink>
      <w:r w:rsidRPr="00D16499">
        <w:rPr>
          <w:rFonts w:asciiTheme="minorBidi" w:hAnsiTheme="minorBidi" w:cstheme="minorBidi"/>
        </w:rPr>
        <w:t xml:space="preserve">). Аналогичным образом, участники совещания Межправительственной рабочей группы открытого состава (части III) предложили Секретариату подготовить, в соответствии с его рекомендацией 3, «подробное описание финансовых и людских ресурсов, необходимых для укрепления механизмов включения в перечень […]» (документ </w:t>
      </w:r>
      <w:hyperlink r:id="rId33" w:history="1">
        <w:r w:rsidRPr="00D16499">
          <w:rPr>
            <w:rStyle w:val="Lienhypertexte"/>
            <w:rFonts w:asciiTheme="minorBidi" w:hAnsiTheme="minorBidi" w:cstheme="minorBidi"/>
          </w:rPr>
          <w:t>LHE/22/9.GA/9</w:t>
        </w:r>
      </w:hyperlink>
      <w:r w:rsidRPr="00D16499">
        <w:rPr>
          <w:rFonts w:asciiTheme="minorBidi" w:hAnsiTheme="minorBidi" w:cstheme="minorBidi"/>
        </w:rPr>
        <w:t>). В свете этих призывов к поиску решений для обеспечения устойчивого удовлетворения кадровых потребностей Секретариата Генеральная Ассамблея может рассчитывать на получение сводной информации к своей следующей сессии, которая позволит ей подвести итоги сложившейся ситуации, дать рекомендации и определить приоритеты на ближайшие годы.</w:t>
      </w:r>
    </w:p>
    <w:p w14:paraId="4C2B0AB6" w14:textId="645A71D9" w:rsidR="008A1ED4" w:rsidRPr="00BE68A3" w:rsidRDefault="00D95A17" w:rsidP="00E0443E">
      <w:pPr>
        <w:pStyle w:val="GAPara"/>
        <w:numPr>
          <w:ilvl w:val="0"/>
          <w:numId w:val="19"/>
        </w:numPr>
        <w:ind w:left="567" w:hanging="567"/>
        <w:jc w:val="both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Генеральной Ассамблее предлагается принять резолюцию следующего содержания:</w:t>
      </w:r>
    </w:p>
    <w:p w14:paraId="2A46BAC4" w14:textId="4795568E" w:rsidR="008A1ED4" w:rsidRPr="00D16499" w:rsidRDefault="00F010E0" w:rsidP="008A1ED4">
      <w:pPr>
        <w:pStyle w:val="GATitleResolution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ПРОЕКТ РЕЗОЛЮЦИИ 9.GA 6</w:t>
      </w:r>
    </w:p>
    <w:p w14:paraId="7677B217" w14:textId="163ED9EB" w:rsidR="008A1ED4" w:rsidRPr="00D16499" w:rsidRDefault="008A1ED4" w:rsidP="008A1ED4">
      <w:pPr>
        <w:pStyle w:val="GAPreambulaResolution"/>
        <w:rPr>
          <w:rFonts w:asciiTheme="minorBidi" w:eastAsia="SimSun" w:hAnsiTheme="minorBidi" w:cstheme="minorBidi"/>
        </w:rPr>
      </w:pPr>
      <w:r w:rsidRPr="00D16499">
        <w:rPr>
          <w:rFonts w:asciiTheme="minorBidi" w:hAnsiTheme="minorBidi" w:cstheme="minorBidi"/>
        </w:rPr>
        <w:t xml:space="preserve">Генеральная </w:t>
      </w:r>
      <w:r w:rsidR="00F52A91">
        <w:rPr>
          <w:rFonts w:asciiTheme="minorBidi" w:hAnsiTheme="minorBidi" w:cstheme="minorBidi"/>
          <w:lang w:val="en-GB"/>
        </w:rPr>
        <w:t>a</w:t>
      </w:r>
      <w:proofErr w:type="spellStart"/>
      <w:r w:rsidRPr="00D16499">
        <w:rPr>
          <w:rFonts w:asciiTheme="minorBidi" w:hAnsiTheme="minorBidi" w:cstheme="minorBidi"/>
        </w:rPr>
        <w:t>ссамблея</w:t>
      </w:r>
      <w:proofErr w:type="spellEnd"/>
      <w:r w:rsidRPr="00D16499">
        <w:rPr>
          <w:rFonts w:asciiTheme="minorBidi" w:hAnsiTheme="minorBidi" w:cstheme="minorBidi"/>
        </w:rPr>
        <w:t>,</w:t>
      </w:r>
    </w:p>
    <w:p w14:paraId="68F801BB" w14:textId="32A381A4" w:rsidR="008A1ED4" w:rsidRPr="00D16499" w:rsidRDefault="008A1ED4" w:rsidP="0005412F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</w:rPr>
      </w:pPr>
      <w:r w:rsidRPr="00D16499">
        <w:rPr>
          <w:rFonts w:asciiTheme="minorBidi" w:hAnsiTheme="minorBidi" w:cstheme="minorBidi"/>
        </w:rPr>
        <w:t>рассмотрев</w:t>
      </w:r>
      <w:r w:rsidRPr="00D16499">
        <w:rPr>
          <w:rFonts w:asciiTheme="minorBidi" w:hAnsiTheme="minorBidi" w:cstheme="minorBidi"/>
          <w:u w:val="none"/>
        </w:rPr>
        <w:t xml:space="preserve"> документ LHE/22/9.GA/6 и приложения к нему,</w:t>
      </w:r>
    </w:p>
    <w:p w14:paraId="653545F0" w14:textId="7EC4E141" w:rsidR="00935DBB" w:rsidRPr="00D16499" w:rsidRDefault="001D3E1A" w:rsidP="0005412F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t>учитывает</w:t>
      </w:r>
      <w:r w:rsidRPr="00D16499">
        <w:rPr>
          <w:rFonts w:asciiTheme="minorBidi" w:hAnsiTheme="minorBidi" w:cstheme="minorBidi"/>
          <w:u w:val="none"/>
        </w:rPr>
        <w:t xml:space="preserve"> серьезные последствия пандемии COVID-19 для живого наследия, его носителей и практикующих специалистов и </w:t>
      </w:r>
      <w:r w:rsidRPr="00D16499">
        <w:rPr>
          <w:rFonts w:asciiTheme="minorBidi" w:hAnsiTheme="minorBidi" w:cstheme="minorBidi"/>
        </w:rPr>
        <w:t>выражает</w:t>
      </w:r>
      <w:r w:rsidRPr="00D16499">
        <w:rPr>
          <w:rFonts w:asciiTheme="minorBidi" w:hAnsiTheme="minorBidi" w:cstheme="minorBidi"/>
          <w:u w:val="none"/>
        </w:rPr>
        <w:t xml:space="preserve"> Секретариату </w:t>
      </w:r>
      <w:r w:rsidRPr="00D16499">
        <w:rPr>
          <w:rFonts w:asciiTheme="minorBidi" w:hAnsiTheme="minorBidi" w:cstheme="minorBidi"/>
        </w:rPr>
        <w:t>признательность</w:t>
      </w:r>
      <w:r w:rsidRPr="00D16499">
        <w:rPr>
          <w:rFonts w:asciiTheme="minorBidi" w:hAnsiTheme="minorBidi" w:cstheme="minorBidi"/>
          <w:u w:val="none"/>
        </w:rPr>
        <w:t xml:space="preserve"> за коррективы, внесенные в его деятельность — как уставную, так и оперативную — в связи с пандемией, обеспечившие бесперебойную работу руководящих органов Конвенции и поддержку национальных усилий по охране наследия;</w:t>
      </w:r>
    </w:p>
    <w:p w14:paraId="2E2A2AF4" w14:textId="3F56F928" w:rsidR="0066307B" w:rsidRPr="00D16499" w:rsidRDefault="006640BF" w:rsidP="00A81916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t>также выражает</w:t>
      </w:r>
      <w:r w:rsidRPr="00D16499">
        <w:rPr>
          <w:rFonts w:asciiTheme="minorBidi" w:hAnsiTheme="minorBidi" w:cstheme="minorBidi"/>
          <w:u w:val="none"/>
        </w:rPr>
        <w:t xml:space="preserve"> Секретариату </w:t>
      </w:r>
      <w:r w:rsidRPr="00D16499">
        <w:rPr>
          <w:rFonts w:asciiTheme="minorBidi" w:hAnsiTheme="minorBidi" w:cstheme="minorBidi"/>
        </w:rPr>
        <w:t>признательность</w:t>
      </w:r>
      <w:r w:rsidRPr="00D16499">
        <w:rPr>
          <w:rFonts w:asciiTheme="minorBidi" w:hAnsiTheme="minorBidi" w:cstheme="minorBidi"/>
          <w:u w:val="none"/>
        </w:rPr>
        <w:t xml:space="preserve"> за доведение процесса глобальной рефлексии над механизмами включения в перечень Конвенции до логического завершения, предоставление Межправительственной рабочей группе открытого состава необходимой поддержки, которая стала залогом получения важных для будущего развития Конвенции результатов;</w:t>
      </w:r>
    </w:p>
    <w:p w14:paraId="22452175" w14:textId="495B28BF" w:rsidR="006640BF" w:rsidRPr="00D16499" w:rsidRDefault="0082429F" w:rsidP="001D3E1A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t>отмечает с удовлетворением</w:t>
      </w:r>
      <w:r w:rsidRPr="00D16499">
        <w:rPr>
          <w:rFonts w:asciiTheme="minorBidi" w:hAnsiTheme="minorBidi" w:cstheme="minorBidi"/>
          <w:u w:val="none"/>
        </w:rPr>
        <w:t xml:space="preserve"> заметное </w:t>
      </w:r>
      <w:r w:rsidR="0075577D" w:rsidRPr="00D16499">
        <w:rPr>
          <w:rFonts w:asciiTheme="minorBidi" w:hAnsiTheme="minorBidi" w:cstheme="minorBidi"/>
          <w:u w:val="none"/>
        </w:rPr>
        <w:t>улучш</w:t>
      </w:r>
      <w:r w:rsidRPr="00D16499">
        <w:rPr>
          <w:rFonts w:asciiTheme="minorBidi" w:hAnsiTheme="minorBidi" w:cstheme="minorBidi"/>
          <w:u w:val="none"/>
        </w:rPr>
        <w:t>ение</w:t>
      </w:r>
      <w:r w:rsidR="0075577D" w:rsidRPr="00D16499">
        <w:rPr>
          <w:rFonts w:asciiTheme="minorBidi" w:hAnsiTheme="minorBidi" w:cstheme="minorBidi"/>
          <w:u w:val="none"/>
        </w:rPr>
        <w:t xml:space="preserve"> показател</w:t>
      </w:r>
      <w:r w:rsidR="00CD729F" w:rsidRPr="00D16499">
        <w:rPr>
          <w:rFonts w:asciiTheme="minorBidi" w:hAnsiTheme="minorBidi" w:cstheme="minorBidi"/>
          <w:u w:val="none"/>
        </w:rPr>
        <w:t>ей</w:t>
      </w:r>
      <w:r w:rsidR="0075577D" w:rsidRPr="00D16499">
        <w:rPr>
          <w:rFonts w:asciiTheme="minorBidi" w:hAnsiTheme="minorBidi" w:cstheme="minorBidi"/>
          <w:u w:val="none"/>
        </w:rPr>
        <w:t xml:space="preserve"> представления периодических </w:t>
      </w:r>
      <w:r w:rsidR="00792934" w:rsidRPr="00D16499">
        <w:rPr>
          <w:rFonts w:asciiTheme="minorBidi" w:hAnsiTheme="minorBidi" w:cstheme="minorBidi"/>
          <w:u w:val="none"/>
        </w:rPr>
        <w:t>докладов</w:t>
      </w:r>
      <w:r w:rsidR="0075577D" w:rsidRPr="00D16499">
        <w:rPr>
          <w:rFonts w:asciiTheme="minorBidi" w:hAnsiTheme="minorBidi" w:cstheme="minorBidi"/>
          <w:u w:val="none"/>
        </w:rPr>
        <w:t xml:space="preserve"> из стран Латинской Америки, Карибского бассейна и Европы </w:t>
      </w:r>
      <w:r w:rsidR="002152D1" w:rsidRPr="00D16499">
        <w:rPr>
          <w:rFonts w:asciiTheme="minorBidi" w:hAnsiTheme="minorBidi" w:cstheme="minorBidi"/>
          <w:u w:val="none"/>
        </w:rPr>
        <w:t>что свидетельствует о полном потенциале механизма в качестве ориентированного на конкретные результаты инструмента для</w:t>
      </w:r>
      <w:r w:rsidR="002152D1" w:rsidRPr="00D16499" w:rsidDel="002152D1">
        <w:rPr>
          <w:rFonts w:asciiTheme="minorBidi" w:hAnsiTheme="minorBidi" w:cstheme="minorBidi"/>
          <w:u w:val="none"/>
        </w:rPr>
        <w:t xml:space="preserve"> </w:t>
      </w:r>
      <w:r w:rsidR="0075577D" w:rsidRPr="00D16499">
        <w:rPr>
          <w:rFonts w:asciiTheme="minorBidi" w:hAnsiTheme="minorBidi" w:cstheme="minorBidi"/>
          <w:u w:val="none"/>
        </w:rPr>
        <w:t xml:space="preserve">мониторинга воздействия Конвенции </w:t>
      </w:r>
      <w:r w:rsidR="002152D1" w:rsidRPr="00D16499">
        <w:rPr>
          <w:rFonts w:asciiTheme="minorBidi" w:hAnsiTheme="minorBidi" w:cstheme="minorBidi"/>
          <w:u w:val="none"/>
        </w:rPr>
        <w:t xml:space="preserve">и признает усилия, предпринятые Секретариатом для внедрения пересмотренного механизма </w:t>
      </w:r>
      <w:r w:rsidR="00F94CB6" w:rsidRPr="00D16499">
        <w:rPr>
          <w:rFonts w:asciiTheme="minorBidi" w:hAnsiTheme="minorBidi" w:cstheme="minorBidi"/>
          <w:u w:val="none"/>
        </w:rPr>
        <w:t>представления периодических докладов</w:t>
      </w:r>
      <w:r w:rsidR="002152D1" w:rsidRPr="00D16499">
        <w:rPr>
          <w:rFonts w:asciiTheme="minorBidi" w:hAnsiTheme="minorBidi" w:cstheme="minorBidi"/>
          <w:u w:val="none"/>
        </w:rPr>
        <w:t>, а также приверженность отчитывающихся государств этому осуществлению</w:t>
      </w:r>
      <w:r w:rsidR="0075577D" w:rsidRPr="00D16499">
        <w:rPr>
          <w:rFonts w:asciiTheme="minorBidi" w:hAnsiTheme="minorBidi" w:cstheme="minorBidi"/>
          <w:u w:val="none"/>
        </w:rPr>
        <w:t>;</w:t>
      </w:r>
    </w:p>
    <w:p w14:paraId="0F30BEDD" w14:textId="1FDE3F40" w:rsidR="001D3E1A" w:rsidRPr="00BE68A3" w:rsidRDefault="001D3E1A" w:rsidP="001D3E1A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t>особо отмечает</w:t>
      </w:r>
      <w:r w:rsidRPr="00D16499">
        <w:rPr>
          <w:rFonts w:asciiTheme="minorBidi" w:hAnsiTheme="minorBidi" w:cstheme="minorBidi"/>
          <w:u w:val="none"/>
        </w:rPr>
        <w:t xml:space="preserve"> успехи в географическом и тематическом расширении охвата глобальной программы по наращиванию потенциала и </w:t>
      </w:r>
      <w:r w:rsidRPr="00D16499">
        <w:rPr>
          <w:rFonts w:asciiTheme="minorBidi" w:hAnsiTheme="minorBidi" w:cstheme="minorBidi"/>
        </w:rPr>
        <w:t>приветствует</w:t>
      </w:r>
      <w:r w:rsidRPr="00D16499">
        <w:rPr>
          <w:rFonts w:asciiTheme="minorBidi" w:hAnsiTheme="minorBidi" w:cstheme="minorBidi"/>
          <w:u w:val="none"/>
        </w:rPr>
        <w:t xml:space="preserve"> ее текущую переориентацию в сторону адаптации к требованиям мультимодальных подходов к реализации и укрепления партнерских отношений в ходе как реализации программы, так и управления ею;</w:t>
      </w:r>
    </w:p>
    <w:p w14:paraId="5C3D2A5F" w14:textId="77777777" w:rsidR="00740D1E" w:rsidRPr="00BE68A3" w:rsidRDefault="00740D1E" w:rsidP="00740D1E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t>высоко оценивает</w:t>
      </w:r>
      <w:r w:rsidRPr="00D16499">
        <w:rPr>
          <w:rFonts w:asciiTheme="minorBidi" w:hAnsiTheme="minorBidi" w:cstheme="minorBidi"/>
          <w:u w:val="none"/>
        </w:rPr>
        <w:t xml:space="preserve"> прогресс, достигнутый в деле реализации такого приоритета финансирования, как «охрана и передача нематериального культурного наследия посредством формального и неформального образования», а также </w:t>
      </w:r>
      <w:r w:rsidRPr="00D16499">
        <w:rPr>
          <w:rFonts w:asciiTheme="minorBidi" w:hAnsiTheme="minorBidi" w:cstheme="minorBidi"/>
        </w:rPr>
        <w:t>подчеркивает</w:t>
      </w:r>
      <w:r w:rsidRPr="00D16499">
        <w:rPr>
          <w:rFonts w:asciiTheme="minorBidi" w:hAnsiTheme="minorBidi" w:cstheme="minorBidi"/>
          <w:u w:val="none"/>
        </w:rPr>
        <w:t xml:space="preserve"> важность укрепления </w:t>
      </w:r>
      <w:proofErr w:type="spellStart"/>
      <w:r w:rsidRPr="00D16499">
        <w:rPr>
          <w:rFonts w:asciiTheme="minorBidi" w:hAnsiTheme="minorBidi" w:cstheme="minorBidi"/>
          <w:u w:val="none"/>
        </w:rPr>
        <w:t>межсекторального</w:t>
      </w:r>
      <w:proofErr w:type="spellEnd"/>
      <w:r w:rsidRPr="00D16499">
        <w:rPr>
          <w:rFonts w:asciiTheme="minorBidi" w:hAnsiTheme="minorBidi" w:cstheme="minorBidi"/>
          <w:u w:val="none"/>
        </w:rPr>
        <w:t xml:space="preserve"> сотрудничества для достижения наибольшего эффекта;</w:t>
      </w:r>
    </w:p>
    <w:p w14:paraId="0F1D9C75" w14:textId="071ABF97" w:rsidR="001D3E1A" w:rsidRPr="00D16499" w:rsidRDefault="009D0647" w:rsidP="001D3E1A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lastRenderedPageBreak/>
        <w:t>высоко оценивает</w:t>
      </w:r>
      <w:r w:rsidRPr="00D16499">
        <w:rPr>
          <w:rFonts w:asciiTheme="minorBidi" w:hAnsiTheme="minorBidi" w:cstheme="minorBidi"/>
          <w:u w:val="none"/>
        </w:rPr>
        <w:t xml:space="preserve"> прогресс, достигнутый в реализации таких тематических инициатив, как нематериальное культурное наследие и изменение климата, коммерциализация, образование и городская среда, </w:t>
      </w:r>
      <w:r w:rsidRPr="00D16499">
        <w:rPr>
          <w:rFonts w:asciiTheme="minorBidi" w:hAnsiTheme="minorBidi" w:cstheme="minorBidi"/>
        </w:rPr>
        <w:t>подчеркивает</w:t>
      </w:r>
      <w:r w:rsidRPr="00D16499">
        <w:rPr>
          <w:rFonts w:asciiTheme="minorBidi" w:hAnsiTheme="minorBidi" w:cstheme="minorBidi"/>
          <w:u w:val="none"/>
        </w:rPr>
        <w:t xml:space="preserve"> важность достижения синергии с конвенциями ЮНЕСКО в области культуры и иными тематическими программами в этой области и </w:t>
      </w:r>
      <w:r w:rsidRPr="00D16499">
        <w:rPr>
          <w:rFonts w:asciiTheme="minorBidi" w:hAnsiTheme="minorBidi" w:cstheme="minorBidi"/>
        </w:rPr>
        <w:t>призывает</w:t>
      </w:r>
      <w:r w:rsidRPr="00D16499">
        <w:rPr>
          <w:rFonts w:asciiTheme="minorBidi" w:hAnsiTheme="minorBidi" w:cstheme="minorBidi"/>
          <w:u w:val="none"/>
        </w:rPr>
        <w:t xml:space="preserve"> Секретариат продолжать свои усилия;</w:t>
      </w:r>
    </w:p>
    <w:p w14:paraId="3528A5D6" w14:textId="1518B188" w:rsidR="006640BF" w:rsidRPr="00D16499" w:rsidRDefault="006640BF" w:rsidP="006640BF">
      <w:pPr>
        <w:pStyle w:val="COMParaDecision"/>
        <w:numPr>
          <w:ilvl w:val="0"/>
          <w:numId w:val="10"/>
        </w:numPr>
        <w:ind w:left="1134" w:hanging="567"/>
        <w:rPr>
          <w:rFonts w:asciiTheme="minorBidi" w:hAnsiTheme="minorBidi" w:cstheme="minorBidi"/>
          <w:u w:val="none"/>
        </w:rPr>
      </w:pPr>
      <w:r w:rsidRPr="00D16499">
        <w:rPr>
          <w:rFonts w:asciiTheme="minorBidi" w:hAnsiTheme="minorBidi" w:cstheme="minorBidi"/>
        </w:rPr>
        <w:t>просит</w:t>
      </w:r>
      <w:r w:rsidRPr="00D16499">
        <w:rPr>
          <w:rFonts w:asciiTheme="minorBidi" w:hAnsiTheme="minorBidi" w:cstheme="minorBidi"/>
          <w:u w:val="none"/>
        </w:rPr>
        <w:t xml:space="preserve"> Секретариат представить Генеральной Ассамблее </w:t>
      </w:r>
      <w:r w:rsidR="00C0623C" w:rsidRPr="00D16499">
        <w:rPr>
          <w:rFonts w:asciiTheme="minorBidi" w:hAnsiTheme="minorBidi" w:cstheme="minorBidi"/>
          <w:u w:val="none"/>
        </w:rPr>
        <w:t>доклад</w:t>
      </w:r>
      <w:r w:rsidRPr="00D16499">
        <w:rPr>
          <w:rFonts w:asciiTheme="minorBidi" w:hAnsiTheme="minorBidi" w:cstheme="minorBidi"/>
          <w:u w:val="none"/>
        </w:rPr>
        <w:t xml:space="preserve"> о своей деятельности в период с января 2022 года по декабрь 2023 года для рассмотрения на ее десятой сессии.</w:t>
      </w:r>
    </w:p>
    <w:p w14:paraId="355C5A75" w14:textId="43EE11FB" w:rsidR="002B0EDD" w:rsidRDefault="002B0EDD" w:rsidP="0005412F">
      <w:pPr>
        <w:pStyle w:val="COMParaDecision"/>
        <w:ind w:firstLine="0"/>
        <w:jc w:val="left"/>
        <w:rPr>
          <w:u w:val="none"/>
        </w:rPr>
        <w:sectPr w:rsidR="002B0EDD" w:rsidSect="00176720">
          <w:headerReference w:type="even" r:id="rId34"/>
          <w:headerReference w:type="default" r:id="rId35"/>
          <w:headerReference w:type="first" r:id="rId36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14:paraId="79B4D977" w14:textId="1F34A466" w:rsidR="00A268C4" w:rsidRPr="006B6390" w:rsidRDefault="00A268C4" w:rsidP="00A268C4">
      <w:pPr>
        <w:pStyle w:val="COMParaDecision"/>
        <w:ind w:left="0" w:firstLine="0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/>
          <w:b/>
        </w:rPr>
        <w:lastRenderedPageBreak/>
        <w:t>Приложение</w:t>
      </w:r>
    </w:p>
    <w:p w14:paraId="2A07A6B0" w14:textId="77777777" w:rsidR="00A268C4" w:rsidRPr="006B6390" w:rsidRDefault="00A268C4" w:rsidP="00A268C4">
      <w:pPr>
        <w:pStyle w:val="COMParaDecision"/>
        <w:spacing w:after="240"/>
        <w:ind w:left="0" w:firstLine="0"/>
        <w:jc w:val="center"/>
        <w:rPr>
          <w:rFonts w:asciiTheme="minorBidi" w:hAnsiTheme="minorBidi" w:cstheme="minorBidi"/>
          <w:b/>
          <w:u w:val="none"/>
        </w:rPr>
      </w:pPr>
      <w:r>
        <w:rPr>
          <w:rFonts w:asciiTheme="minorBidi" w:hAnsiTheme="minorBidi"/>
          <w:b/>
          <w:u w:val="none"/>
        </w:rPr>
        <w:t>Оценка в соответствии с показателями эффективности</w:t>
      </w:r>
    </w:p>
    <w:tbl>
      <w:tblPr>
        <w:tblStyle w:val="TableGrid2"/>
        <w:tblW w:w="14572" w:type="dxa"/>
        <w:tblLook w:val="04A0" w:firstRow="1" w:lastRow="0" w:firstColumn="1" w:lastColumn="0" w:noHBand="0" w:noVBand="1"/>
      </w:tblPr>
      <w:tblGrid>
        <w:gridCol w:w="3789"/>
        <w:gridCol w:w="10783"/>
      </w:tblGrid>
      <w:tr w:rsidR="00A268C4" w:rsidRPr="002B06AB" w14:paraId="1C560786" w14:textId="77777777" w:rsidTr="00EB3A99">
        <w:trPr>
          <w:cantSplit/>
        </w:trPr>
        <w:tc>
          <w:tcPr>
            <w:tcW w:w="1300" w:type="pct"/>
            <w:shd w:val="clear" w:color="auto" w:fill="808080" w:themeFill="background1" w:themeFillShade="80"/>
            <w:vAlign w:val="center"/>
          </w:tcPr>
          <w:p w14:paraId="02927C8B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Показатель эффективности 40C/5 № 1</w:t>
            </w:r>
          </w:p>
        </w:tc>
        <w:tc>
          <w:tcPr>
            <w:tcW w:w="3700" w:type="pct"/>
            <w:shd w:val="clear" w:color="auto" w:fill="808080" w:themeFill="background1" w:themeFillShade="80"/>
            <w:vAlign w:val="center"/>
          </w:tcPr>
          <w:p w14:paraId="48C0825D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Надлежащее управление, осуществляемое посредством принятия и реализации стратегических резолюций/решений руководящих органов Конвенции 2003 года</w:t>
            </w:r>
          </w:p>
        </w:tc>
      </w:tr>
    </w:tbl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682"/>
        <w:gridCol w:w="1961"/>
        <w:gridCol w:w="7140"/>
      </w:tblGrid>
      <w:tr w:rsidR="00A268C4" w:rsidRPr="006B6390" w14:paraId="020EADB3" w14:textId="77777777" w:rsidTr="00EB3A99">
        <w:trPr>
          <w:tblHeader/>
        </w:trPr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2B6B7314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проводится в соответствии со следующими параметрами: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542A801C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7D8194B3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Цели на 2020–2021 годы</w:t>
            </w:r>
          </w:p>
        </w:tc>
        <w:tc>
          <w:tcPr>
            <w:tcW w:w="2451" w:type="pct"/>
            <w:shd w:val="clear" w:color="auto" w:fill="D9D9D9" w:themeFill="background1" w:themeFillShade="D9"/>
            <w:vAlign w:val="center"/>
          </w:tcPr>
          <w:p w14:paraId="6F3291C2" w14:textId="1753FF4A" w:rsidR="00A268C4" w:rsidRPr="006B6390" w:rsidRDefault="00A268C4" w:rsidP="00EB3A99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01.01.2020–31.12.2021</w:t>
            </w:r>
          </w:p>
        </w:tc>
      </w:tr>
      <w:tr w:rsidR="00A268C4" w:rsidRPr="002B06AB" w14:paraId="61E50C17" w14:textId="77777777" w:rsidTr="00EB3A99">
        <w:trPr>
          <w:trHeight w:val="1498"/>
        </w:trPr>
        <w:tc>
          <w:tcPr>
            <w:tcW w:w="1300" w:type="pct"/>
            <w:tcBorders>
              <w:bottom w:val="single" w:sz="4" w:space="0" w:color="auto"/>
            </w:tcBorders>
          </w:tcPr>
          <w:p w14:paraId="082A6700" w14:textId="6F5F6194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Укрепление способности предоставлять государствам-участникам стратегические указания по реализации и мониторингу Конвенции, в том числе путем изучения представляемых периодических </w:t>
            </w:r>
            <w:r w:rsidR="00FA0A82" w:rsidRPr="00FA0A82">
              <w:rPr>
                <w:rFonts w:asciiTheme="minorBidi" w:hAnsiTheme="minorBidi"/>
                <w:sz w:val="22"/>
              </w:rPr>
              <w:t>докладов</w:t>
            </w:r>
            <w:r w:rsidR="00FA0A82" w:rsidRPr="00FA0A82" w:rsidDel="00FA0A82">
              <w:rPr>
                <w:rFonts w:asciiTheme="minorBidi" w:hAnsiTheme="minorBidi"/>
                <w:sz w:val="22"/>
              </w:rPr>
              <w:t xml:space="preserve"> </w:t>
            </w:r>
          </w:p>
          <w:p w14:paraId="5DBE1C9A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Улучшение методов работы органов управления</w:t>
            </w:r>
          </w:p>
          <w:p w14:paraId="615C3A38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Уровень финансирования, направляемого на реализацию решений, принятых органами управления</w:t>
            </w:r>
          </w:p>
          <w:p w14:paraId="2A3251AF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Величина вклада неправительственных организаций, обладающих достаточными компетенциями в области нематериального </w:t>
            </w:r>
            <w:r>
              <w:rPr>
                <w:rFonts w:asciiTheme="minorBidi" w:hAnsiTheme="minorBidi"/>
                <w:sz w:val="22"/>
              </w:rPr>
              <w:lastRenderedPageBreak/>
              <w:t>культурного наследия, в управление Конвенцией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14:paraId="67746A28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lastRenderedPageBreak/>
              <w:t>Да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78197A96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Да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shd w:val="clear" w:color="auto" w:fill="auto"/>
          </w:tcPr>
          <w:p w14:paraId="0480C894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Методы работы и инструменты руководящих органов Конвенции и органов по оценке адаптированы к условиям использования в интернет-среде, а услуги по управлению знаниями оптимизированы для обеспечения бесперебойной работы формальных механизмов и проведения совещаний.</w:t>
            </w:r>
          </w:p>
          <w:p w14:paraId="5B9B8173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Приняты оперативные принципы и условия охраны нематериального культурного наследия в чрезвычайных ситуациях</w:t>
            </w:r>
            <w:r w:rsidRPr="006B6390">
              <w:rPr>
                <w:rStyle w:val="Appelnotedebasdep"/>
                <w:rFonts w:asciiTheme="minorBidi" w:hAnsiTheme="minorBidi" w:cstheme="minorBidi"/>
                <w:sz w:val="22"/>
                <w:szCs w:val="22"/>
                <w:lang w:val="en-GB"/>
              </w:rPr>
              <w:footnoteReference w:id="13"/>
            </w:r>
            <w:r>
              <w:rPr>
                <w:rFonts w:asciiTheme="minorBidi" w:hAnsiTheme="minorBidi"/>
                <w:sz w:val="22"/>
              </w:rPr>
              <w:t>.</w:t>
            </w:r>
          </w:p>
          <w:p w14:paraId="77C1EEA4" w14:textId="392F6D4B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Процесс диалога между органом по оценке и государствами, представляющими </w:t>
            </w:r>
            <w:r w:rsidR="00FA0A82" w:rsidRPr="00FA0A82">
              <w:rPr>
                <w:rFonts w:asciiTheme="minorBidi" w:hAnsiTheme="minorBidi"/>
                <w:sz w:val="22"/>
              </w:rPr>
              <w:t>доклады</w:t>
            </w:r>
            <w:r>
              <w:rPr>
                <w:rFonts w:asciiTheme="minorBidi" w:hAnsiTheme="minorBidi"/>
                <w:sz w:val="22"/>
              </w:rPr>
              <w:t>, включен в процедуру оценки</w:t>
            </w:r>
            <w:r w:rsidRPr="006B6390">
              <w:rPr>
                <w:rStyle w:val="Appelnotedebasdep"/>
                <w:rFonts w:asciiTheme="minorBidi" w:hAnsiTheme="minorBidi" w:cstheme="minorBidi"/>
                <w:sz w:val="22"/>
                <w:szCs w:val="22"/>
                <w:lang w:val="en-GB"/>
              </w:rPr>
              <w:footnoteReference w:id="14"/>
            </w:r>
            <w:r>
              <w:rPr>
                <w:rFonts w:asciiTheme="minorBidi" w:hAnsiTheme="minorBidi"/>
                <w:sz w:val="22"/>
              </w:rPr>
              <w:t>. Процесс диалога затрагивал 11 файлов в 2020 году и 15 файлов в 2021 году.</w:t>
            </w:r>
          </w:p>
          <w:p w14:paraId="65ED0FEC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62 заявки от 62 государств были поданы в рамках цикла 2020 года; 74 заявки от 81 государства были поданы в рамках цикла 2021 года, и 59 заявок от 64 государств были поданы в рамках цикла 2022 года</w:t>
            </w:r>
            <w:r w:rsidRPr="006B6390">
              <w:rPr>
                <w:rStyle w:val="Appelnotedebasdep"/>
                <w:rFonts w:asciiTheme="minorBidi" w:hAnsiTheme="minorBidi" w:cstheme="minorBidi"/>
                <w:sz w:val="22"/>
                <w:szCs w:val="22"/>
                <w:lang w:val="en-GB"/>
              </w:rPr>
              <w:footnoteReference w:id="15"/>
            </w:r>
            <w:r>
              <w:rPr>
                <w:rFonts w:asciiTheme="minorBidi" w:hAnsiTheme="minorBidi"/>
                <w:sz w:val="22"/>
              </w:rPr>
              <w:t>.</w:t>
            </w:r>
          </w:p>
          <w:p w14:paraId="5288C4CC" w14:textId="1AECBC23" w:rsidR="00A268C4" w:rsidRPr="006B6390" w:rsidRDefault="00180E5B" w:rsidP="00A268C4">
            <w:pPr>
              <w:pStyle w:val="Paragraphedeliste"/>
              <w:keepNext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lastRenderedPageBreak/>
              <w:t>Было организовано 20 формальных заседаний</w:t>
            </w:r>
            <w:r w:rsidR="00A268C4" w:rsidRPr="006B6390">
              <w:rPr>
                <w:rStyle w:val="Appelnotedebasdep"/>
                <w:rFonts w:asciiTheme="minorBidi" w:hAnsiTheme="minorBidi" w:cstheme="minorBidi"/>
                <w:sz w:val="22"/>
                <w:szCs w:val="22"/>
                <w:lang w:val="en-GB"/>
              </w:rPr>
              <w:footnoteReference w:id="16"/>
            </w:r>
            <w:r>
              <w:rPr>
                <w:rFonts w:asciiTheme="minorBidi" w:hAnsiTheme="minorBidi"/>
                <w:sz w:val="22"/>
              </w:rPr>
              <w:t>.</w:t>
            </w:r>
          </w:p>
          <w:p w14:paraId="63F2ADCF" w14:textId="6B8099E7" w:rsidR="00A268C4" w:rsidRPr="006B6390" w:rsidRDefault="003258AE" w:rsidP="00A268C4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Региональный цикл в рамках пересмотренного механизма </w:t>
            </w:r>
            <w:r w:rsidR="00BC332D" w:rsidRPr="00BC332D">
              <w:rPr>
                <w:rFonts w:asciiTheme="minorBidi" w:hAnsiTheme="minorBidi"/>
                <w:sz w:val="22"/>
              </w:rPr>
              <w:t>представления периодических докладов</w:t>
            </w:r>
            <w:r>
              <w:rPr>
                <w:rFonts w:asciiTheme="minorBidi" w:hAnsiTheme="minorBidi"/>
                <w:sz w:val="22"/>
              </w:rPr>
              <w:t>, инициированный для государств-участников из Латинской Америки и Карибского бассейна (коэффициент представления 87,5 % в 2020 году) и Европы (коэффициент представления 95,4 % в 2021 году).</w:t>
            </w:r>
          </w:p>
          <w:p w14:paraId="7002C705" w14:textId="3F9D33F2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Отдельный пункт «</w:t>
            </w:r>
            <w:r w:rsidR="00C81F61" w:rsidRPr="00C81F61">
              <w:rPr>
                <w:rFonts w:asciiTheme="minorBidi" w:hAnsiTheme="minorBidi"/>
                <w:sz w:val="22"/>
              </w:rPr>
              <w:t>Доклад</w:t>
            </w:r>
            <w:r>
              <w:rPr>
                <w:rFonts w:asciiTheme="minorBidi" w:hAnsiTheme="minorBidi"/>
                <w:sz w:val="22"/>
              </w:rPr>
              <w:t xml:space="preserve"> форума неправительственных организаций» впервые включен в повестку дня Комитета в 2020 и 2021 годах.</w:t>
            </w:r>
          </w:p>
          <w:p w14:paraId="359A0F71" w14:textId="0CDE9CAA" w:rsidR="00A268C4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Обработано 46 новых заявок на аккредитацию для неправительственных организаций и зарегистрировано 65 </w:t>
            </w:r>
            <w:r w:rsidR="003C44F0" w:rsidRPr="003C44F0">
              <w:rPr>
                <w:rFonts w:asciiTheme="minorBidi" w:hAnsiTheme="minorBidi"/>
                <w:sz w:val="22"/>
              </w:rPr>
              <w:t>докладов</w:t>
            </w:r>
            <w:r>
              <w:rPr>
                <w:rFonts w:asciiTheme="minorBidi" w:hAnsiTheme="minorBidi"/>
                <w:sz w:val="22"/>
              </w:rPr>
              <w:t>, представленных с целью продления аккредитации.</w:t>
            </w:r>
          </w:p>
          <w:p w14:paraId="724F2901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Обработано 8 предложений по созданию или реорганизации кафедр ЮНЕСКО в области нематериального культурного наследия.</w:t>
            </w:r>
          </w:p>
        </w:tc>
      </w:tr>
      <w:tr w:rsidR="00A268C4" w:rsidRPr="002B06AB" w14:paraId="6881A953" w14:textId="77777777" w:rsidTr="00EB3A99">
        <w:trPr>
          <w:trHeight w:val="367"/>
        </w:trPr>
        <w:tc>
          <w:tcPr>
            <w:tcW w:w="1300" w:type="pct"/>
            <w:tcBorders>
              <w:left w:val="nil"/>
              <w:bottom w:val="nil"/>
              <w:right w:val="nil"/>
            </w:tcBorders>
          </w:tcPr>
          <w:p w14:paraId="2B0DAA98" w14:textId="77777777" w:rsidR="00A268C4" w:rsidRPr="00FF011C" w:rsidRDefault="00A268C4" w:rsidP="00EB3A99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5653B3" w14:textId="77777777" w:rsidR="00A268C4" w:rsidRPr="00FF011C" w:rsidRDefault="00A268C4" w:rsidP="00EB3A99">
            <w:pPr>
              <w:pStyle w:val="Paragraphedeliste"/>
              <w:spacing w:before="120" w:after="120"/>
              <w:ind w:left="312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D5C2A1" w14:textId="77777777" w:rsidR="00A268C4" w:rsidRPr="00FF011C" w:rsidRDefault="00A268C4" w:rsidP="00EB3A99">
            <w:pPr>
              <w:pStyle w:val="Paragraphedeliste"/>
              <w:spacing w:before="120" w:after="120"/>
              <w:ind w:left="312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51" w:type="pct"/>
            <w:tcBorders>
              <w:left w:val="nil"/>
              <w:bottom w:val="nil"/>
              <w:right w:val="nil"/>
            </w:tcBorders>
          </w:tcPr>
          <w:p w14:paraId="3B989B11" w14:textId="77777777" w:rsidR="00A268C4" w:rsidRPr="00FF011C" w:rsidRDefault="00A268C4" w:rsidP="00EB3A99">
            <w:pPr>
              <w:pStyle w:val="Paragraphedeliste"/>
              <w:spacing w:before="120" w:after="120"/>
              <w:ind w:left="544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tbl>
      <w:tblPr>
        <w:tblStyle w:val="TableGrid2"/>
        <w:tblW w:w="145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0783"/>
      </w:tblGrid>
      <w:tr w:rsidR="00A268C4" w:rsidRPr="002B06AB" w14:paraId="15EC050D" w14:textId="77777777" w:rsidTr="00EB3A99">
        <w:trPr>
          <w:cantSplit/>
        </w:trPr>
        <w:tc>
          <w:tcPr>
            <w:tcW w:w="1300" w:type="pct"/>
            <w:shd w:val="clear" w:color="auto" w:fill="808080" w:themeFill="background1" w:themeFillShade="80"/>
            <w:vAlign w:val="center"/>
          </w:tcPr>
          <w:p w14:paraId="5149C04D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lastRenderedPageBreak/>
              <w:t>Показатель эффективности 40C/5 № 2</w:t>
            </w:r>
          </w:p>
        </w:tc>
        <w:tc>
          <w:tcPr>
            <w:tcW w:w="3700" w:type="pct"/>
            <w:shd w:val="clear" w:color="auto" w:fill="808080" w:themeFill="background1" w:themeFillShade="80"/>
            <w:vAlign w:val="center"/>
          </w:tcPr>
          <w:p w14:paraId="15631A13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Количество получивших поддержку государств-участников, использующих увеличенные людские и институциональные ресурсы для охраны нематериального культурного наследия</w:t>
            </w:r>
          </w:p>
        </w:tc>
      </w:tr>
    </w:tbl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2161"/>
        <w:gridCol w:w="1802"/>
        <w:gridCol w:w="6979"/>
      </w:tblGrid>
      <w:tr w:rsidR="00A268C4" w:rsidRPr="00EF175F" w14:paraId="2A20F37B" w14:textId="77777777" w:rsidTr="00EB3A99">
        <w:trPr>
          <w:tblHeader/>
        </w:trPr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1A8A7567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проводится в соответствии со следующими параметрами: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4CC6B44D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7DFFDD8A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Цели на 2020–2021 годы</w:t>
            </w:r>
          </w:p>
        </w:tc>
        <w:tc>
          <w:tcPr>
            <w:tcW w:w="2449" w:type="pct"/>
            <w:shd w:val="clear" w:color="auto" w:fill="D9D9D9" w:themeFill="background1" w:themeFillShade="D9"/>
            <w:vAlign w:val="center"/>
          </w:tcPr>
          <w:p w14:paraId="5BE2E2BA" w14:textId="036DB8C1" w:rsidR="00A268C4" w:rsidRPr="006B6390" w:rsidRDefault="00A268C4" w:rsidP="00EB3A99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01.01.2020–31.12.2021</w:t>
            </w:r>
          </w:p>
        </w:tc>
      </w:tr>
      <w:tr w:rsidR="00A268C4" w:rsidRPr="002B06AB" w14:paraId="0B39507A" w14:textId="77777777" w:rsidTr="00EB3A99">
        <w:tc>
          <w:tcPr>
            <w:tcW w:w="1300" w:type="pct"/>
            <w:tcBorders>
              <w:bottom w:val="single" w:sz="4" w:space="0" w:color="auto"/>
            </w:tcBorders>
          </w:tcPr>
          <w:p w14:paraId="4D297D77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Укрепление или создание новых институциональных рамок для охраны нематериального культурного наследия</w:t>
            </w:r>
          </w:p>
          <w:p w14:paraId="4BBF1885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Принятие или укрепление общинных подходов к инвентаризации нематериального культурного наследия или разработке планов по охране, в том числе таких, которые отражают гендерно-чувствительный подход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14:paraId="7D1C7B6E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95, из которых 34 из Африки и 18 малых островных развивающихся государств (МОРАГ)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48B8385A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100, из которых 34 из Африки и 18 МОРАГ</w:t>
            </w:r>
          </w:p>
        </w:tc>
        <w:tc>
          <w:tcPr>
            <w:tcW w:w="2449" w:type="pct"/>
            <w:tcBorders>
              <w:bottom w:val="single" w:sz="4" w:space="0" w:color="auto"/>
            </w:tcBorders>
          </w:tcPr>
          <w:p w14:paraId="6F4CD2FA" w14:textId="532CDFC0" w:rsidR="00233310" w:rsidRPr="002B06AB" w:rsidRDefault="00233310" w:rsidP="002B06A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162 государства-участника воспользовались программой наращивания потенциала (33 из Африки и 30 МОРАГ). В их число входят 59 стран, участвующих в текущих или новых многолетних проектах, 76 стран, получивших поддержку при подготовке периодических </w:t>
            </w:r>
            <w:r w:rsidR="00203D4E" w:rsidRPr="00203D4E">
              <w:rPr>
                <w:rFonts w:asciiTheme="minorBidi" w:hAnsiTheme="minorBidi"/>
                <w:sz w:val="22"/>
              </w:rPr>
              <w:t>докладов</w:t>
            </w:r>
            <w:r>
              <w:rPr>
                <w:rFonts w:asciiTheme="minorBidi" w:hAnsiTheme="minorBidi"/>
                <w:sz w:val="22"/>
              </w:rPr>
              <w:t>, и 101 страна (25 из Африки), получающая выгоду от краткосрочных мероприятий, в частности из средств бюджета Регулярной программы ЮНЕСКО.</w:t>
            </w:r>
          </w:p>
          <w:p w14:paraId="3D0E1F7A" w14:textId="3651DBC9" w:rsidR="00A268C4" w:rsidRPr="006B6390" w:rsidRDefault="00295F2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16499">
              <w:rPr>
                <w:rFonts w:asciiTheme="minorBidi" w:hAnsiTheme="minorBidi" w:cstheme="minorBidi"/>
                <w:sz w:val="22"/>
                <w:szCs w:val="22"/>
              </w:rPr>
              <w:t>организовано 4 региональных семинара по обучению инструкторов</w:t>
            </w:r>
            <w:r w:rsidR="00A268C4" w:rsidRPr="00203D4E">
              <w:rPr>
                <w:rFonts w:asciiTheme="minorBidi" w:hAnsiTheme="minorBidi" w:cstheme="minorBidi"/>
                <w:sz w:val="22"/>
                <w:szCs w:val="22"/>
                <w:vertAlign w:val="superscript"/>
                <w:lang w:val="en-GB"/>
              </w:rPr>
              <w:footnoteReference w:id="17"/>
            </w:r>
            <w:r w:rsidRPr="00D16499">
              <w:rPr>
                <w:rFonts w:asciiTheme="minorBidi" w:hAnsiTheme="minorBidi" w:cstheme="minorBidi"/>
                <w:sz w:val="22"/>
                <w:szCs w:val="22"/>
              </w:rPr>
              <w:t xml:space="preserve"> в сотрудничестве с 3 центрами категории 2</w:t>
            </w:r>
            <w:r w:rsidR="00FB5FDB" w:rsidRPr="00203D4E">
              <w:rPr>
                <w:rFonts w:asciiTheme="minorBidi" w:hAnsiTheme="minorBidi" w:cstheme="minorBidi"/>
                <w:sz w:val="22"/>
                <w:szCs w:val="22"/>
                <w:vertAlign w:val="superscript"/>
                <w:lang w:val="en-GB"/>
              </w:rPr>
              <w:footnoteReference w:id="18"/>
            </w:r>
            <w:r w:rsidRPr="00D16499">
              <w:rPr>
                <w:rFonts w:asciiTheme="minorBidi" w:hAnsiTheme="minorBidi" w:cstheme="minorBidi"/>
                <w:sz w:val="22"/>
                <w:szCs w:val="22"/>
              </w:rPr>
              <w:t>; обучение прошли 83 члена сети (&gt;50 % женщин) из Латинской Америки и Карибского бассейна, Центральной Азии, Тихоокеанского региона и арабских государств. Кроме того, 48 </w:t>
            </w:r>
            <w:proofErr w:type="spellStart"/>
            <w:r w:rsidRPr="00D16499">
              <w:rPr>
                <w:rFonts w:asciiTheme="minorBidi" w:hAnsiTheme="minorBidi" w:cstheme="minorBidi"/>
                <w:sz w:val="22"/>
                <w:szCs w:val="22"/>
              </w:rPr>
              <w:t>фасилитаторов</w:t>
            </w:r>
            <w:proofErr w:type="spellEnd"/>
            <w:r w:rsidRPr="00D16499">
              <w:rPr>
                <w:rFonts w:asciiTheme="minorBidi" w:hAnsiTheme="minorBidi" w:cstheme="minorBidi"/>
                <w:sz w:val="22"/>
                <w:szCs w:val="22"/>
              </w:rPr>
              <w:t xml:space="preserve"> прошли</w:t>
            </w:r>
            <w:r w:rsidRPr="00D16499">
              <w:rPr>
                <w:rFonts w:asciiTheme="minorBidi" w:hAnsiTheme="minorBidi" w:cstheme="minorBidi"/>
                <w:sz w:val="22"/>
              </w:rPr>
              <w:t xml:space="preserve"> подготовку по вопросам</w:t>
            </w:r>
            <w:r>
              <w:rPr>
                <w:rFonts w:asciiTheme="minorBidi" w:hAnsiTheme="minorBidi"/>
                <w:sz w:val="22"/>
              </w:rPr>
              <w:t xml:space="preserve"> охраны нематериального культурного наследия в рамках формального и неформального образования, была создана учебная сеть.</w:t>
            </w:r>
          </w:p>
          <w:p w14:paraId="61DA70FF" w14:textId="7B279B69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Разработан и реализован особый подход к наращиванию потенциала с целью развертывания реформированного механизма </w:t>
            </w:r>
            <w:r w:rsidR="00CF3679" w:rsidRPr="00CF3679">
              <w:rPr>
                <w:rFonts w:asciiTheme="minorBidi" w:hAnsiTheme="minorBidi"/>
                <w:sz w:val="22"/>
              </w:rPr>
              <w:t>представления периодических докладов</w:t>
            </w:r>
            <w:r>
              <w:rPr>
                <w:rFonts w:asciiTheme="minorBidi" w:hAnsiTheme="minorBidi"/>
                <w:sz w:val="22"/>
              </w:rPr>
              <w:t xml:space="preserve"> в рамках </w:t>
            </w:r>
            <w:r>
              <w:rPr>
                <w:rFonts w:asciiTheme="minorBidi" w:hAnsiTheme="minorBidi"/>
                <w:sz w:val="22"/>
              </w:rPr>
              <w:lastRenderedPageBreak/>
              <w:t xml:space="preserve">первых двух региональных циклов </w:t>
            </w:r>
            <w:r w:rsidR="00164B9F" w:rsidRPr="00164B9F">
              <w:rPr>
                <w:rFonts w:asciiTheme="minorBidi" w:hAnsiTheme="minorBidi"/>
                <w:sz w:val="22"/>
              </w:rPr>
              <w:t>представления периодических докладов</w:t>
            </w:r>
            <w:r>
              <w:rPr>
                <w:rFonts w:asciiTheme="minorBidi" w:hAnsiTheme="minorBidi"/>
                <w:sz w:val="22"/>
              </w:rPr>
              <w:t xml:space="preserve"> (страны Латинской Америки и Карибского бассейна — в 2020 году, Европы — в 2021 году). В октябре 2021 года в рамках третьего цикла также была проведена подготовка инструкторов для </w:t>
            </w:r>
            <w:proofErr w:type="spellStart"/>
            <w:r>
              <w:rPr>
                <w:rFonts w:asciiTheme="minorBidi" w:hAnsiTheme="minorBidi"/>
                <w:sz w:val="22"/>
              </w:rPr>
              <w:t>фасилитаторов</w:t>
            </w:r>
            <w:proofErr w:type="spellEnd"/>
            <w:r>
              <w:rPr>
                <w:rFonts w:asciiTheme="minorBidi" w:hAnsiTheme="minorBidi"/>
                <w:sz w:val="22"/>
              </w:rPr>
              <w:t xml:space="preserve"> в арабских государствах.</w:t>
            </w:r>
          </w:p>
          <w:p w14:paraId="142DD323" w14:textId="4AF4BE5B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78 национальных координаторов по </w:t>
            </w:r>
            <w:r w:rsidR="002C191D" w:rsidRPr="002C191D">
              <w:rPr>
                <w:rFonts w:asciiTheme="minorBidi" w:hAnsiTheme="minorBidi"/>
                <w:sz w:val="22"/>
              </w:rPr>
              <w:t>периодически</w:t>
            </w:r>
            <w:r w:rsidR="00944FCB" w:rsidRPr="00944FCB">
              <w:rPr>
                <w:rFonts w:asciiTheme="minorBidi" w:hAnsiTheme="minorBidi"/>
                <w:sz w:val="22"/>
              </w:rPr>
              <w:t>м</w:t>
            </w:r>
            <w:r w:rsidR="002C191D" w:rsidRPr="002C191D">
              <w:rPr>
                <w:rFonts w:asciiTheme="minorBidi" w:hAnsiTheme="minorBidi"/>
                <w:sz w:val="22"/>
              </w:rPr>
              <w:t xml:space="preserve"> доклад</w:t>
            </w:r>
            <w:r w:rsidR="00944FCB" w:rsidRPr="00944FCB">
              <w:rPr>
                <w:rFonts w:asciiTheme="minorBidi" w:hAnsiTheme="minorBidi"/>
                <w:sz w:val="22"/>
              </w:rPr>
              <w:t>ам</w:t>
            </w:r>
            <w:r>
              <w:rPr>
                <w:rFonts w:asciiTheme="minorBidi" w:hAnsiTheme="minorBidi"/>
                <w:sz w:val="22"/>
              </w:rPr>
              <w:t xml:space="preserve"> в странах Латинской Америки, Карибского бассейна и Европы прошли обучение по вопросам </w:t>
            </w:r>
            <w:r w:rsidR="002C191D" w:rsidRPr="002C191D">
              <w:rPr>
                <w:rFonts w:asciiTheme="minorBidi" w:hAnsiTheme="minorBidi"/>
                <w:sz w:val="22"/>
              </w:rPr>
              <w:t>представления периодических докладов</w:t>
            </w:r>
            <w:r>
              <w:rPr>
                <w:rFonts w:asciiTheme="minorBidi" w:hAnsiTheme="minorBidi"/>
                <w:sz w:val="22"/>
              </w:rPr>
              <w:t xml:space="preserve"> на онлайн-курсах. </w:t>
            </w:r>
          </w:p>
          <w:p w14:paraId="3D0999CA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Более 140 университетов участвуют в сетевой деятельности, в том числе 39 — в арабских государствах (после проведения аналогичных мероприятий в Африке, Азии и Тихоокеанском регионе, странах Латинской Америки и Карибского бассейна).</w:t>
            </w:r>
          </w:p>
          <w:p w14:paraId="345DBD70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Международная помощь, предоставленная Фондом нематериального культурного наследия, способствовала наращиванию потенциала в области инвентаризации и охраны на уровне общин в 26 государствах-участниках.</w:t>
            </w:r>
          </w:p>
        </w:tc>
      </w:tr>
      <w:tr w:rsidR="00A268C4" w:rsidRPr="002B06AB" w14:paraId="1BFD44D0" w14:textId="77777777" w:rsidTr="00EB3A99">
        <w:tc>
          <w:tcPr>
            <w:tcW w:w="1300" w:type="pct"/>
            <w:tcBorders>
              <w:left w:val="nil"/>
              <w:bottom w:val="nil"/>
              <w:right w:val="nil"/>
            </w:tcBorders>
          </w:tcPr>
          <w:p w14:paraId="30D1032E" w14:textId="77777777" w:rsidR="00A268C4" w:rsidRPr="00FF011C" w:rsidRDefault="00A268C4" w:rsidP="00EB3A99">
            <w:pPr>
              <w:pStyle w:val="Paragraphedeliste"/>
              <w:spacing w:before="120" w:after="120"/>
              <w:ind w:left="312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73D1A7" w14:textId="77777777" w:rsidR="00A268C4" w:rsidRPr="00FF011C" w:rsidRDefault="00A268C4" w:rsidP="00EB3A99">
            <w:pPr>
              <w:pStyle w:val="Paragraphedeliste"/>
              <w:spacing w:before="120" w:after="120"/>
              <w:ind w:left="358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EDA9F" w14:textId="77777777" w:rsidR="00A268C4" w:rsidRPr="00FF011C" w:rsidRDefault="00A268C4" w:rsidP="00EB3A99">
            <w:pPr>
              <w:pStyle w:val="Paragraphedeliste"/>
              <w:spacing w:before="120" w:after="120"/>
              <w:ind w:left="501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2449" w:type="pct"/>
            <w:tcBorders>
              <w:left w:val="nil"/>
              <w:bottom w:val="nil"/>
              <w:right w:val="nil"/>
            </w:tcBorders>
          </w:tcPr>
          <w:p w14:paraId="6955CF44" w14:textId="77777777" w:rsidR="00A268C4" w:rsidRPr="00FF011C" w:rsidRDefault="00A268C4" w:rsidP="00EB3A99">
            <w:pPr>
              <w:spacing w:before="120" w:after="12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</w:tr>
    </w:tbl>
    <w:tbl>
      <w:tblPr>
        <w:tblStyle w:val="TableGrid2"/>
        <w:tblW w:w="145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0783"/>
      </w:tblGrid>
      <w:tr w:rsidR="00A268C4" w:rsidRPr="002B06AB" w14:paraId="37AF6AFC" w14:textId="77777777" w:rsidTr="00EB3A99">
        <w:trPr>
          <w:cantSplit/>
        </w:trPr>
        <w:tc>
          <w:tcPr>
            <w:tcW w:w="1300" w:type="pct"/>
            <w:shd w:val="clear" w:color="auto" w:fill="808080" w:themeFill="background1" w:themeFillShade="80"/>
            <w:vAlign w:val="center"/>
          </w:tcPr>
          <w:p w14:paraId="5E45A29F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Показатель эффективности 40C/5 № 3</w:t>
            </w:r>
          </w:p>
        </w:tc>
        <w:tc>
          <w:tcPr>
            <w:tcW w:w="3700" w:type="pct"/>
            <w:shd w:val="clear" w:color="auto" w:fill="808080" w:themeFill="background1" w:themeFillShade="80"/>
            <w:vAlign w:val="center"/>
          </w:tcPr>
          <w:p w14:paraId="307C9D68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Количество получивших поддержку государств-участников, которые включили нематериальное культурное наследие в свои планы, политику и программы, в частности в качестве вклада в достижение ЦУР с учетом гендерных аспектов</w:t>
            </w:r>
          </w:p>
        </w:tc>
      </w:tr>
    </w:tbl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681"/>
        <w:gridCol w:w="1961"/>
        <w:gridCol w:w="7139"/>
      </w:tblGrid>
      <w:tr w:rsidR="00A268C4" w:rsidRPr="00EF175F" w14:paraId="29C1D33C" w14:textId="77777777" w:rsidTr="00EB3A99">
        <w:trPr>
          <w:tblHeader/>
        </w:trPr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5FA814F8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проводится в соответствии со следующими параметрами: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4E395C9D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09A2C9CE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Цели на 2020–2021 годы</w:t>
            </w:r>
          </w:p>
        </w:tc>
        <w:tc>
          <w:tcPr>
            <w:tcW w:w="2450" w:type="pct"/>
            <w:shd w:val="clear" w:color="auto" w:fill="D9D9D9" w:themeFill="background1" w:themeFillShade="D9"/>
            <w:vAlign w:val="center"/>
          </w:tcPr>
          <w:p w14:paraId="4524A459" w14:textId="64201064" w:rsidR="00A268C4" w:rsidRPr="006B6390" w:rsidRDefault="00A268C4" w:rsidP="00EB3A99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01.01.2020–31.12.2021</w:t>
            </w:r>
          </w:p>
        </w:tc>
      </w:tr>
      <w:tr w:rsidR="00A268C4" w:rsidRPr="002B06AB" w14:paraId="71677767" w14:textId="77777777" w:rsidTr="00EB3A99">
        <w:tc>
          <w:tcPr>
            <w:tcW w:w="1300" w:type="pct"/>
            <w:tcBorders>
              <w:bottom w:val="single" w:sz="4" w:space="0" w:color="auto"/>
            </w:tcBorders>
          </w:tcPr>
          <w:p w14:paraId="0BD163AA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 xml:space="preserve">В докладах, связанных с Конвенцией, описаны планы, политика и программы, направленные на интеграцию </w:t>
            </w:r>
            <w:r>
              <w:rPr>
                <w:rFonts w:asciiTheme="minorBidi" w:hAnsiTheme="minorBidi"/>
                <w:sz w:val="22"/>
              </w:rPr>
              <w:lastRenderedPageBreak/>
              <w:t>охраны нематериального культурного наследия в соответствии с гендерно-чувствительным подходом, в том числе в условиях чрезвычайных ситуаций, и приводятся доказательства достижения ЦУР</w:t>
            </w:r>
          </w:p>
          <w:p w14:paraId="7AE93371" w14:textId="77777777" w:rsidR="00A268C4" w:rsidRPr="006B6390" w:rsidRDefault="00A268C4" w:rsidP="00A268C4">
            <w:pPr>
              <w:pStyle w:val="Paragraphedeliste"/>
              <w:keepLines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Установление партнерских отношений в рамках сектора культуры и за его пределами с целью усиления роли нематериального культурного наследия как фактора, способствующего устойчивому развитию и гарантирующего его, и поддержки национальных планов по достижению ЦУР</w:t>
            </w:r>
          </w:p>
          <w:p w14:paraId="5F676937" w14:textId="77777777" w:rsidR="00A268C4" w:rsidRPr="006B6390" w:rsidRDefault="00A268C4" w:rsidP="00A268C4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before="120" w:after="120"/>
              <w:ind w:left="317" w:hanging="346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Разработаны и реализованы инициативы, результатом которых стало включение нематериального культурного наследия в формальное и неформальное образование (ЦУР 4.7)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14:paraId="1D3C43DD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58" w:hanging="284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lastRenderedPageBreak/>
              <w:t xml:space="preserve">41, из которых 22 из </w:t>
            </w:r>
            <w:r>
              <w:rPr>
                <w:rFonts w:asciiTheme="minorBidi" w:hAnsiTheme="minorBidi"/>
                <w:sz w:val="22"/>
              </w:rPr>
              <w:lastRenderedPageBreak/>
              <w:t>Африки и 8 МОРАГ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2C0449CE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58" w:hanging="284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lastRenderedPageBreak/>
              <w:t xml:space="preserve">45, из которых 15 </w:t>
            </w:r>
            <w:r>
              <w:rPr>
                <w:rFonts w:asciiTheme="minorBidi" w:hAnsiTheme="minorBidi"/>
                <w:sz w:val="22"/>
              </w:rPr>
              <w:lastRenderedPageBreak/>
              <w:t>из Африки и 10 МОРАГ</w:t>
            </w:r>
          </w:p>
        </w:tc>
        <w:tc>
          <w:tcPr>
            <w:tcW w:w="2450" w:type="pct"/>
            <w:tcBorders>
              <w:bottom w:val="single" w:sz="4" w:space="0" w:color="auto"/>
            </w:tcBorders>
          </w:tcPr>
          <w:p w14:paraId="3B90397B" w14:textId="042E3F9E" w:rsidR="00A268C4" w:rsidRPr="00134FD4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 w:rsidRPr="00D16499">
              <w:rPr>
                <w:rStyle w:val="textview"/>
                <w:rFonts w:asciiTheme="minorBidi" w:hAnsiTheme="minorBidi" w:cstheme="minorBidi"/>
                <w:sz w:val="22"/>
                <w:szCs w:val="22"/>
              </w:rPr>
              <w:lastRenderedPageBreak/>
              <w:t>51</w:t>
            </w:r>
            <w:r w:rsidRPr="00D16499">
              <w:rPr>
                <w:rFonts w:asciiTheme="minorBidi" w:hAnsiTheme="minorBidi" w:cstheme="minorBidi"/>
                <w:sz w:val="22"/>
                <w:szCs w:val="22"/>
              </w:rPr>
              <w:t> государство-участник получило поддержку в области нематериального культурного наследия и образования, в том числе 26 из Африки и 9 МОРАГ.</w:t>
            </w:r>
          </w:p>
          <w:p w14:paraId="26F9EEC3" w14:textId="7D6981A3" w:rsidR="00A268C4" w:rsidRPr="00134FD4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D16499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Создана глобальная учебная сеть из 48 консультантов для предоставления учебных и консультационных услуг по охране нематериального культурного наследия в рамках формального и неформального образования.</w:t>
            </w:r>
          </w:p>
          <w:p w14:paraId="5D4988D4" w14:textId="77777777" w:rsidR="00A268C4" w:rsidRPr="00134FD4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16499">
              <w:rPr>
                <w:rFonts w:asciiTheme="minorBidi" w:hAnsiTheme="minorBidi" w:cstheme="minorBidi"/>
                <w:sz w:val="22"/>
                <w:szCs w:val="22"/>
              </w:rPr>
              <w:t>Открыт справочно-информационный центр для обмена знаниями, сотрудничества и инноваций в области нематериального культурного наследия и образования; материалы доступны на двух языках (английском и французском), работа центра начата в период проведения Всемирной конференции по образованию в интересах устойчивого развития в мае 2021 года.</w:t>
            </w:r>
          </w:p>
          <w:p w14:paraId="1B9EE422" w14:textId="68B8E987" w:rsidR="00CA16D4" w:rsidRPr="00134FD4" w:rsidRDefault="00CA16D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 w:rsidRPr="00D16499">
              <w:rPr>
                <w:rFonts w:asciiTheme="minorBidi" w:hAnsiTheme="minorBidi" w:cstheme="minorBidi"/>
                <w:sz w:val="22"/>
                <w:szCs w:val="22"/>
              </w:rPr>
              <w:t>Онлайн-опрос «Опыт живого наследия в контексте пандемии COVID-19» собрал более 230 свидетельств из 78 стран, которые были доступны через специальный онлайн-</w:t>
            </w:r>
            <w:hyperlink r:id="rId37" w:history="1">
              <w:r w:rsidRPr="00D16499">
                <w:rPr>
                  <w:rStyle w:val="Lienhypertexte"/>
                  <w:rFonts w:asciiTheme="minorBidi" w:hAnsiTheme="minorBidi" w:cstheme="minorBidi"/>
                  <w:sz w:val="22"/>
                  <w:szCs w:val="22"/>
                </w:rPr>
                <w:t>интерфейс</w:t>
              </w:r>
            </w:hyperlink>
            <w:r w:rsidRPr="00D16499">
              <w:rPr>
                <w:rStyle w:val="Lienhypertexte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.</w:t>
            </w:r>
          </w:p>
          <w:p w14:paraId="1AD82746" w14:textId="3B490185" w:rsidR="00A268C4" w:rsidRPr="00134FD4" w:rsidRDefault="00A268C4" w:rsidP="0005412F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16499">
              <w:rPr>
                <w:rFonts w:asciiTheme="minorBidi" w:hAnsiTheme="minorBidi" w:cstheme="minorBidi"/>
                <w:sz w:val="22"/>
                <w:szCs w:val="22"/>
              </w:rPr>
              <w:t>Доклад ЮНЕСКО «Живое наследие перед лицом COVID-19», опубликованный в мае 2021 года на двух языках (английском и французском), содержит основные рекомендации по подготовке к этапу восстановления и последующему периоду.</w:t>
            </w:r>
          </w:p>
        </w:tc>
      </w:tr>
      <w:tr w:rsidR="00A268C4" w:rsidRPr="002B06AB" w14:paraId="6F20A5A6" w14:textId="77777777" w:rsidTr="00EB3A99">
        <w:tc>
          <w:tcPr>
            <w:tcW w:w="1300" w:type="pct"/>
            <w:tcBorders>
              <w:left w:val="nil"/>
              <w:bottom w:val="nil"/>
              <w:right w:val="nil"/>
            </w:tcBorders>
          </w:tcPr>
          <w:p w14:paraId="295C957E" w14:textId="77777777" w:rsidR="00A268C4" w:rsidRPr="00FF011C" w:rsidRDefault="00A268C4" w:rsidP="00EB3A99">
            <w:pPr>
              <w:pStyle w:val="Paragraphedeliste"/>
              <w:spacing w:before="120" w:after="120"/>
              <w:ind w:left="312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DFCBFA" w14:textId="77777777" w:rsidR="00A268C4" w:rsidRPr="00FF011C" w:rsidRDefault="00A268C4" w:rsidP="00EB3A99">
            <w:pPr>
              <w:pStyle w:val="Paragraphedeliste"/>
              <w:spacing w:before="120" w:after="120"/>
              <w:ind w:left="358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A1216B" w14:textId="77777777" w:rsidR="00A268C4" w:rsidRPr="00FF011C" w:rsidRDefault="00A268C4" w:rsidP="00EB3A99">
            <w:pPr>
              <w:pStyle w:val="Paragraphedeliste"/>
              <w:spacing w:before="120" w:after="120"/>
              <w:ind w:left="358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2450" w:type="pct"/>
            <w:tcBorders>
              <w:left w:val="nil"/>
              <w:bottom w:val="nil"/>
              <w:right w:val="nil"/>
            </w:tcBorders>
          </w:tcPr>
          <w:p w14:paraId="6B8BD96A" w14:textId="77777777" w:rsidR="00A268C4" w:rsidRPr="00FF011C" w:rsidRDefault="00A268C4" w:rsidP="00EB3A99">
            <w:pPr>
              <w:pStyle w:val="Paragraphedeliste"/>
              <w:spacing w:before="120" w:after="120"/>
              <w:ind w:left="543"/>
              <w:contextualSpacing w:val="0"/>
              <w:rPr>
                <w:rStyle w:val="textview"/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tbl>
      <w:tblPr>
        <w:tblStyle w:val="TableGrid2"/>
        <w:tblW w:w="14572" w:type="dxa"/>
        <w:tblLook w:val="04A0" w:firstRow="1" w:lastRow="0" w:firstColumn="1" w:lastColumn="0" w:noHBand="0" w:noVBand="1"/>
      </w:tblPr>
      <w:tblGrid>
        <w:gridCol w:w="3789"/>
        <w:gridCol w:w="10783"/>
      </w:tblGrid>
      <w:tr w:rsidR="00A268C4" w:rsidRPr="002B06AB" w14:paraId="461134F1" w14:textId="77777777" w:rsidTr="00EB3A99">
        <w:trPr>
          <w:cantSplit/>
        </w:trPr>
        <w:tc>
          <w:tcPr>
            <w:tcW w:w="1300" w:type="pct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527FD21B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lastRenderedPageBreak/>
              <w:t>Показатель эффективности 40C/5 № 4</w:t>
            </w:r>
          </w:p>
        </w:tc>
        <w:tc>
          <w:tcPr>
            <w:tcW w:w="3700" w:type="pct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0CAC38F1" w14:textId="77777777" w:rsidR="00A268C4" w:rsidRPr="006B6390" w:rsidRDefault="00A268C4" w:rsidP="00EB3A99">
            <w:pPr>
              <w:keepNext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Количество государств-участников, которые рационально использовали полученную Международную помощь, в том числе из средств Фонда нематериального культурного наследия, в качестве дополнения к своим усилиям по охране такого наследия</w:t>
            </w:r>
          </w:p>
        </w:tc>
      </w:tr>
    </w:tbl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681"/>
        <w:gridCol w:w="1961"/>
        <w:gridCol w:w="7139"/>
      </w:tblGrid>
      <w:tr w:rsidR="00A268C4" w:rsidRPr="006B6390" w14:paraId="76A5A29B" w14:textId="77777777" w:rsidTr="00EB3A99">
        <w:trPr>
          <w:tblHeader/>
        </w:trPr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1D28CEA8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проводится в соответствии со следующими параметрами: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418CB2FC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4DBB50FA" w14:textId="77777777" w:rsidR="00A268C4" w:rsidRPr="006B6390" w:rsidRDefault="00A268C4" w:rsidP="00EB3A99">
            <w:pPr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Цели на 2020–2021 годы</w:t>
            </w:r>
          </w:p>
        </w:tc>
        <w:tc>
          <w:tcPr>
            <w:tcW w:w="2450" w:type="pct"/>
            <w:shd w:val="clear" w:color="auto" w:fill="D9D9D9" w:themeFill="background1" w:themeFillShade="D9"/>
            <w:vAlign w:val="center"/>
          </w:tcPr>
          <w:p w14:paraId="261E6216" w14:textId="52A8067C" w:rsidR="00A268C4" w:rsidRPr="006B6390" w:rsidRDefault="00A268C4" w:rsidP="00EB3A99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01.01.2020–31.12.2021</w:t>
            </w:r>
          </w:p>
        </w:tc>
      </w:tr>
      <w:tr w:rsidR="00A268C4" w:rsidRPr="002B06AB" w14:paraId="44AB0C3A" w14:textId="77777777" w:rsidTr="00EB3A99">
        <w:tc>
          <w:tcPr>
            <w:tcW w:w="1300" w:type="pct"/>
            <w:tcBorders>
              <w:bottom w:val="single" w:sz="4" w:space="0" w:color="auto"/>
            </w:tcBorders>
          </w:tcPr>
          <w:p w14:paraId="4B5C127D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Государства-участники рационально используют средства Фонда нематериального культурного наследия в качестве дополнения к национальным усилиям по охране такого наследия</w:t>
            </w:r>
          </w:p>
          <w:p w14:paraId="263E1AC1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Государства-участники рационально используют подготовительную/техническую помощь от Фонда нематериального культурного наследия для разработки запросов на получение Международной помощи, которая станет ценным дополнением к национальным усилиям по охране такого наследия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14:paraId="379533AF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58" w:hanging="284"/>
              <w:contextualSpacing w:val="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9, из которых 7 из Африки и 2 МОРАГ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71EC84AE" w14:textId="7777777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58" w:hanging="284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16, из которых 12 из Африки и 2 МОРАГ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14:paraId="77759A83" w14:textId="0E2C75CC" w:rsidR="00E54CE9" w:rsidRPr="00195153" w:rsidRDefault="00E54CE9" w:rsidP="00E54CE9">
            <w:pPr>
              <w:pStyle w:val="GAPara"/>
              <w:numPr>
                <w:ilvl w:val="0"/>
                <w:numId w:val="20"/>
              </w:numPr>
              <w:snapToGrid w:val="0"/>
              <w:jc w:val="both"/>
              <w:rPr>
                <w:rFonts w:asciiTheme="minorBidi" w:hAnsiTheme="minorBidi" w:cstheme="minorBidi"/>
                <w:iCs/>
                <w:snapToGrid/>
              </w:rPr>
            </w:pPr>
            <w:r>
              <w:rPr>
                <w:rFonts w:asciiTheme="minorBidi" w:hAnsiTheme="minorBidi"/>
                <w:snapToGrid/>
              </w:rPr>
              <w:t>Секретариатом зарегистрировано и обработано 34 запроса на получение Международной помощи</w:t>
            </w:r>
            <w:r w:rsidR="0011139C">
              <w:rPr>
                <w:rStyle w:val="Appelnotedebasdep"/>
                <w:rFonts w:asciiTheme="minorBidi" w:hAnsiTheme="minorBidi" w:cstheme="minorBidi"/>
                <w:iCs/>
                <w:snapToGrid/>
                <w:lang w:eastAsia="fr-FR"/>
              </w:rPr>
              <w:footnoteReference w:id="19"/>
            </w:r>
            <w:r>
              <w:rPr>
                <w:rFonts w:asciiTheme="minorBidi" w:hAnsiTheme="minorBidi"/>
                <w:snapToGrid/>
              </w:rPr>
              <w:t>, Комитетом и его Бюро одобрено 16 запросов на получение Международной помощи, в том числе 8 из Африки (43 % от общей суммы средств, предоставленных в отчетном периоде) и 4 из МОРАГ.</w:t>
            </w:r>
          </w:p>
          <w:p w14:paraId="695A34DE" w14:textId="3580EAB8" w:rsidR="00A268C4" w:rsidRPr="00FF011C" w:rsidRDefault="00A268C4" w:rsidP="00195153">
            <w:pPr>
              <w:pStyle w:val="Paragraphedeliste"/>
              <w:spacing w:before="120" w:after="120"/>
              <w:ind w:left="501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</w:tr>
      <w:tr w:rsidR="00A268C4" w:rsidRPr="002B06AB" w14:paraId="25AB7275" w14:textId="77777777" w:rsidTr="00EB3A99">
        <w:tc>
          <w:tcPr>
            <w:tcW w:w="1300" w:type="pct"/>
            <w:tcBorders>
              <w:left w:val="nil"/>
              <w:bottom w:val="nil"/>
              <w:right w:val="nil"/>
            </w:tcBorders>
          </w:tcPr>
          <w:p w14:paraId="7100F644" w14:textId="77777777" w:rsidR="00A268C4" w:rsidRPr="00FF011C" w:rsidRDefault="00A268C4" w:rsidP="00EB3A99">
            <w:pPr>
              <w:pStyle w:val="Paragraphedeliste"/>
              <w:spacing w:before="120" w:after="120"/>
              <w:ind w:left="312"/>
              <w:contextualSpacing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F48FCE" w14:textId="77777777" w:rsidR="00A268C4" w:rsidRPr="00FF011C" w:rsidRDefault="00A268C4" w:rsidP="00EB3A99">
            <w:pPr>
              <w:pStyle w:val="Paragraphedeliste"/>
              <w:spacing w:before="120" w:after="120"/>
              <w:ind w:left="358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3DAA7A" w14:textId="77777777" w:rsidR="00A268C4" w:rsidRPr="00FF011C" w:rsidRDefault="00A268C4" w:rsidP="00EB3A99">
            <w:pPr>
              <w:pStyle w:val="Paragraphedeliste"/>
              <w:spacing w:before="120" w:after="120"/>
              <w:ind w:left="358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  <w:tc>
          <w:tcPr>
            <w:tcW w:w="24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C1DF97" w14:textId="77777777" w:rsidR="00A268C4" w:rsidRPr="00FF011C" w:rsidRDefault="00A268C4" w:rsidP="00EB3A99">
            <w:pPr>
              <w:pStyle w:val="Paragraphedeliste"/>
              <w:spacing w:before="120" w:after="120"/>
              <w:ind w:left="358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</w:p>
        </w:tc>
      </w:tr>
    </w:tbl>
    <w:tbl>
      <w:tblPr>
        <w:tblStyle w:val="TableGrid2"/>
        <w:tblW w:w="14572" w:type="dxa"/>
        <w:tblLook w:val="04A0" w:firstRow="1" w:lastRow="0" w:firstColumn="1" w:lastColumn="0" w:noHBand="0" w:noVBand="1"/>
      </w:tblPr>
      <w:tblGrid>
        <w:gridCol w:w="3681"/>
        <w:gridCol w:w="10891"/>
      </w:tblGrid>
      <w:tr w:rsidR="00A268C4" w:rsidRPr="002B06AB" w14:paraId="0FB8C1AA" w14:textId="77777777" w:rsidTr="00EB3A99">
        <w:trPr>
          <w:cantSplit/>
        </w:trPr>
        <w:tc>
          <w:tcPr>
            <w:tcW w:w="1263" w:type="pct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3D52BABC" w14:textId="77777777" w:rsidR="00A268C4" w:rsidRPr="006B6390" w:rsidRDefault="00A268C4" w:rsidP="00EB3A9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lastRenderedPageBreak/>
              <w:t>Показатель эффективности 40C/5 № 5</w:t>
            </w:r>
          </w:p>
        </w:tc>
        <w:tc>
          <w:tcPr>
            <w:tcW w:w="3737" w:type="pct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29D29C09" w14:textId="77777777" w:rsidR="00A268C4" w:rsidRPr="006B6390" w:rsidRDefault="00A268C4" w:rsidP="00EB3A99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22"/>
              </w:rPr>
              <w:t>Количество инициатив, предпринятых получающими поддержку государствами-участниками, которые повысили осведомленность об охране нематериального культурного наследия и Конвенции 2003 года</w:t>
            </w:r>
          </w:p>
        </w:tc>
      </w:tr>
    </w:tbl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89"/>
        <w:gridCol w:w="1961"/>
        <w:gridCol w:w="7139"/>
      </w:tblGrid>
      <w:tr w:rsidR="00A268C4" w:rsidRPr="006B6390" w14:paraId="4B665BB2" w14:textId="77777777" w:rsidTr="00EB3A99">
        <w:trPr>
          <w:tblHeader/>
        </w:trPr>
        <w:tc>
          <w:tcPr>
            <w:tcW w:w="1263" w:type="pct"/>
            <w:shd w:val="clear" w:color="auto" w:fill="D9D9D9" w:themeFill="background1" w:themeFillShade="D9"/>
            <w:vAlign w:val="center"/>
          </w:tcPr>
          <w:p w14:paraId="3DEA59AB" w14:textId="77777777" w:rsidR="00A268C4" w:rsidRPr="006B6390" w:rsidRDefault="00A268C4" w:rsidP="00EB3A99">
            <w:pPr>
              <w:keepNext/>
              <w:keepLines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проводится в соответствии со следующими параметрами: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627ED6D3" w14:textId="77777777" w:rsidR="00A268C4" w:rsidRPr="006B6390" w:rsidRDefault="00A268C4" w:rsidP="00EB3A99">
            <w:pPr>
              <w:keepNext/>
              <w:keepLines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Исходные показатели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37045776" w14:textId="77777777" w:rsidR="00A268C4" w:rsidRPr="006B6390" w:rsidRDefault="00A268C4" w:rsidP="00EB3A99">
            <w:pPr>
              <w:keepNext/>
              <w:keepLines/>
              <w:spacing w:before="60" w:after="60"/>
              <w:jc w:val="center"/>
              <w:rPr>
                <w:rFonts w:asciiTheme="minorBidi" w:eastAsia="Calibr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Цели на 2020–2021 годы</w:t>
            </w:r>
          </w:p>
        </w:tc>
        <w:tc>
          <w:tcPr>
            <w:tcW w:w="2450" w:type="pct"/>
            <w:shd w:val="clear" w:color="auto" w:fill="D9D9D9" w:themeFill="background1" w:themeFillShade="D9"/>
            <w:vAlign w:val="center"/>
          </w:tcPr>
          <w:p w14:paraId="3C9C188B" w14:textId="0EC3C58F" w:rsidR="00A268C4" w:rsidRPr="006B6390" w:rsidRDefault="00A268C4" w:rsidP="00EB3A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</w:rPr>
              <w:t>Оценка прогресса:</w:t>
            </w:r>
            <w:r>
              <w:rPr>
                <w:rFonts w:asciiTheme="minorBidi" w:hAnsiTheme="minorBidi"/>
                <w:b/>
                <w:sz w:val="22"/>
              </w:rPr>
              <w:br/>
              <w:t>01.01.2020–31.12.2021</w:t>
            </w:r>
          </w:p>
        </w:tc>
      </w:tr>
      <w:tr w:rsidR="00A268C4" w:rsidRPr="002B06AB" w14:paraId="0FA859EC" w14:textId="77777777" w:rsidTr="00D16499">
        <w:trPr>
          <w:trHeight w:val="512"/>
        </w:trPr>
        <w:tc>
          <w:tcPr>
            <w:tcW w:w="1263" w:type="pct"/>
          </w:tcPr>
          <w:p w14:paraId="30D89548" w14:textId="77777777" w:rsidR="00A268C4" w:rsidRPr="006B6390" w:rsidRDefault="00A268C4" w:rsidP="00A268C4">
            <w:pPr>
              <w:pStyle w:val="Paragraphedeliste"/>
              <w:keepLines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Свидетельства наличия программ, проектов или инициатив по охране наследия, отражающих принципы и цели Конвенции 2003 года, с доказанной эффективностью в плане сохранения соответствующего нематериального культурного наследия</w:t>
            </w:r>
          </w:p>
          <w:p w14:paraId="7FE3A7EB" w14:textId="77777777" w:rsidR="00A268C4" w:rsidRPr="006B6390" w:rsidRDefault="00A268C4" w:rsidP="00A268C4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Коммуникационные и (или) информационные инициативы, разработанные в соответствии со коммуникационной и информационной стратегией Конвенции</w:t>
            </w:r>
          </w:p>
          <w:p w14:paraId="5BADEE7C" w14:textId="77777777" w:rsidR="00A268C4" w:rsidRPr="006B6390" w:rsidRDefault="00A268C4" w:rsidP="00A268C4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before="120" w:after="120"/>
              <w:ind w:left="312" w:hanging="340"/>
              <w:contextualSpacing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Уровень вовлеченности всех субъектов (государственных и неправительственных), занимающихся охраной нематериального культурного наследия, в соответствующие инициативы</w:t>
            </w:r>
          </w:p>
        </w:tc>
        <w:tc>
          <w:tcPr>
            <w:tcW w:w="614" w:type="pct"/>
            <w:shd w:val="clear" w:color="auto" w:fill="auto"/>
          </w:tcPr>
          <w:p w14:paraId="3AA2FEA9" w14:textId="77777777" w:rsidR="00A268C4" w:rsidRPr="006B6390" w:rsidRDefault="00A268C4" w:rsidP="00A268C4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before="120" w:after="120"/>
              <w:ind w:left="358" w:hanging="284"/>
              <w:contextualSpacing w:val="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15, из которых 5 из Африки и 1 МОРАГ</w:t>
            </w:r>
          </w:p>
        </w:tc>
        <w:tc>
          <w:tcPr>
            <w:tcW w:w="673" w:type="pct"/>
            <w:shd w:val="clear" w:color="auto" w:fill="auto"/>
          </w:tcPr>
          <w:p w14:paraId="1A107DA7" w14:textId="77777777" w:rsidR="00A268C4" w:rsidRPr="006B6390" w:rsidRDefault="00A268C4" w:rsidP="00A268C4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before="120" w:after="120"/>
              <w:ind w:left="358" w:hanging="284"/>
              <w:contextualSpacing w:val="0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20, из которых 5 из Африки и 5 МОРАГ</w:t>
            </w:r>
          </w:p>
        </w:tc>
        <w:tc>
          <w:tcPr>
            <w:tcW w:w="2450" w:type="pct"/>
          </w:tcPr>
          <w:p w14:paraId="05B1247F" w14:textId="2DB97727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30 инициатив предпринято получающими поддержку государствами-участниками, в том числе 8 из Африки и 8 МОРАГ.</w:t>
            </w:r>
          </w:p>
          <w:p w14:paraId="77D1D1C8" w14:textId="7ACC1E8F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Коммуникационные инициативы, запущенные в контексте мер, принимаемых ЮНЕСКО в ответ на пандемию COVID-19, включая онлайн-платформу и опрос «Опыт живого наследия в контексте пандемии COVID-19», с доступом к более чем 230 свидетельствам практикующих специалистов и сообществ.</w:t>
            </w:r>
          </w:p>
          <w:p w14:paraId="4769E7F5" w14:textId="03BD4C96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Одна тематическая выставка, собравшая экспонаты звуковой выставки языков коренных народов мира, открыта в штаб-квартире ЮНЕСКО.</w:t>
            </w:r>
          </w:p>
          <w:p w14:paraId="44F4770C" w14:textId="102FDB0E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«Погружение в нематериальное культурное наследие»: обновление существующих изображений (посвященных культурному разнообразию, окружающей среде и существующим угрозам) экспонатами 2020 года; выпуск в декабре 2020 года нового комплекта изображений, посвященных взаимосвязи между живым наследием и устойчивым развитием (интерфейс, представленный во время мероприятия высокого уровня, посвященного культуре и устойчивому развитию и организованного в Нью-Йорке Председателем Генеральной Ассамблеи Организации Объединенных Наций.).</w:t>
            </w:r>
          </w:p>
          <w:p w14:paraId="7187E76A" w14:textId="123487AB" w:rsidR="00A268C4" w:rsidRPr="006B6390" w:rsidRDefault="00A268C4" w:rsidP="00A268C4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t>Более разнообразный контент публикуется на портале Конвенции все чаще (тематические страницы, новости, посвященные различным Международным дням).</w:t>
            </w:r>
          </w:p>
          <w:p w14:paraId="05C5C878" w14:textId="73DACA4B" w:rsidR="00A268C4" w:rsidRPr="006B6390" w:rsidRDefault="006E2048" w:rsidP="00A268C4">
            <w:pPr>
              <w:pStyle w:val="Paragraphedeliste"/>
              <w:numPr>
                <w:ilvl w:val="0"/>
                <w:numId w:val="20"/>
              </w:numPr>
              <w:spacing w:after="120"/>
              <w:ind w:left="425" w:hanging="425"/>
              <w:contextualSpacing w:val="0"/>
              <w:jc w:val="both"/>
              <w:rPr>
                <w:rFonts w:asciiTheme="minorBidi" w:hAnsiTheme="minorBidi" w:cstheme="minorBidi"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</w:rPr>
              <w:lastRenderedPageBreak/>
              <w:t>Картирование областей компетенций аккредитованных НПО в сотрудничестве с Форумом НПО НКН.</w:t>
            </w:r>
          </w:p>
        </w:tc>
      </w:tr>
    </w:tbl>
    <w:p w14:paraId="045568BD" w14:textId="77777777" w:rsidR="008A1ED4" w:rsidRPr="00FF011C" w:rsidRDefault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sectPr w:rsidR="008A1ED4" w:rsidRPr="00FF011C" w:rsidSect="00A268C4">
      <w:headerReference w:type="first" r:id="rId38"/>
      <w:pgSz w:w="16838" w:h="11906" w:orient="landscape" w:code="9"/>
      <w:pgMar w:top="1134" w:right="1418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EFB1" w14:textId="77777777" w:rsidR="00EA7191" w:rsidRDefault="00EA7191" w:rsidP="00655736">
      <w:r>
        <w:separator/>
      </w:r>
    </w:p>
  </w:endnote>
  <w:endnote w:type="continuationSeparator" w:id="0">
    <w:p w14:paraId="595AFEEE" w14:textId="77777777" w:rsidR="00EA7191" w:rsidRDefault="00EA7191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9D89" w14:textId="77777777" w:rsidR="00EA7191" w:rsidRDefault="00EA7191" w:rsidP="00655736">
      <w:r>
        <w:separator/>
      </w:r>
    </w:p>
  </w:footnote>
  <w:footnote w:type="continuationSeparator" w:id="0">
    <w:p w14:paraId="35BA8699" w14:textId="77777777" w:rsidR="00EA7191" w:rsidRDefault="00EA7191" w:rsidP="00655736">
      <w:r>
        <w:continuationSeparator/>
      </w:r>
    </w:p>
  </w:footnote>
  <w:footnote w:id="1">
    <w:p w14:paraId="5358E39A" w14:textId="12A220BD" w:rsidR="00D73B51" w:rsidRPr="00D16499" w:rsidRDefault="00D73B51" w:rsidP="00195153">
      <w:pPr>
        <w:pStyle w:val="Notedebasdepage"/>
        <w:ind w:left="709" w:hanging="709"/>
        <w:jc w:val="both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</w:rPr>
        <w:t>.</w:t>
      </w:r>
      <w:r w:rsidRPr="00FA622F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</w:r>
      <w:r w:rsidRPr="00FA622F">
        <w:rPr>
          <w:rFonts w:asciiTheme="minorBidi" w:hAnsiTheme="minorBidi"/>
          <w:snapToGrid w:val="0"/>
        </w:rPr>
        <w:t>В оценке деятельности ЮНЕСКО в рамках Конвенции об охране нематериального культурного наследия 2003 года, подготовленной СВН, содержится подробное описание состава и структуры Секретариата (документ </w:t>
      </w:r>
      <w:hyperlink r:id="rId1" w:history="1">
        <w:r w:rsidRPr="00D16499">
          <w:rPr>
            <w:rStyle w:val="Lienhypertexte"/>
            <w:rFonts w:asciiTheme="minorBidi" w:hAnsiTheme="minorBidi" w:cstheme="minorBidi"/>
            <w:snapToGrid w:val="0"/>
          </w:rPr>
          <w:t>LHE/21/16.COM/</w:t>
        </w:r>
        <w:r w:rsidRPr="00D16499">
          <w:rPr>
            <w:rStyle w:val="Lienhypertexte"/>
            <w:rFonts w:asciiTheme="minorBidi" w:hAnsiTheme="minorBidi" w:cstheme="minorBidi"/>
          </w:rPr>
          <w:t>INF.10 Rev.</w:t>
        </w:r>
      </w:hyperlink>
      <w:r w:rsidRPr="00FA622F">
        <w:rPr>
          <w:rFonts w:asciiTheme="minorBidi" w:hAnsiTheme="minorBidi"/>
        </w:rPr>
        <w:t>, пункты 33–34).</w:t>
      </w:r>
    </w:p>
  </w:footnote>
  <w:footnote w:id="2">
    <w:p w14:paraId="016D2987" w14:textId="59FE7A2E" w:rsidR="00520457" w:rsidRPr="00D16499" w:rsidRDefault="00520457" w:rsidP="00D16499">
      <w:pPr>
        <w:pStyle w:val="Notedebasdepage"/>
        <w:ind w:left="567" w:hanging="567"/>
        <w:jc w:val="both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</w:rPr>
        <w:t>.</w:t>
      </w:r>
      <w:r w:rsidRPr="00FA622F">
        <w:rPr>
          <w:rFonts w:asciiTheme="minorBidi" w:hAnsiTheme="minorBidi"/>
        </w:rPr>
        <w:t xml:space="preserve"> </w:t>
      </w:r>
      <w:r w:rsidRPr="00FA622F">
        <w:rPr>
          <w:rFonts w:asciiTheme="minorBidi" w:hAnsiTheme="minorBidi"/>
        </w:rPr>
        <w:tab/>
      </w:r>
      <w:r w:rsidRPr="00D16499">
        <w:rPr>
          <w:rFonts w:asciiTheme="minorBidi" w:hAnsiTheme="minorBidi"/>
        </w:rPr>
        <w:t xml:space="preserve">Барбадос, Босния и Герцеговина, Боливия, Колумбия, Эквадор, Гамбия, </w:t>
      </w:r>
      <w:r w:rsidR="00CD3312" w:rsidRPr="00D16499">
        <w:rPr>
          <w:rFonts w:asciiTheme="minorBidi" w:hAnsiTheme="minorBidi"/>
        </w:rPr>
        <w:t xml:space="preserve">Сент-Винсент и Гренадины и </w:t>
      </w:r>
      <w:proofErr w:type="spellStart"/>
      <w:r w:rsidR="00CD3312" w:rsidRPr="00D16499">
        <w:rPr>
          <w:rFonts w:asciiTheme="minorBidi" w:hAnsiTheme="minorBidi"/>
        </w:rPr>
        <w:t>Синт</w:t>
      </w:r>
      <w:proofErr w:type="spellEnd"/>
      <w:r w:rsidR="00CD3312" w:rsidRPr="00D16499">
        <w:rPr>
          <w:rFonts w:asciiTheme="minorBidi" w:hAnsiTheme="minorBidi"/>
        </w:rPr>
        <w:t>-Мартен.</w:t>
      </w:r>
    </w:p>
  </w:footnote>
  <w:footnote w:id="3">
    <w:p w14:paraId="73E7F8CF" w14:textId="77357CB7" w:rsidR="007B079C" w:rsidRPr="00FA622F" w:rsidRDefault="007B079C" w:rsidP="007B079C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="005D577C"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ab/>
        <w:t>См. Решение </w:t>
      </w:r>
      <w:hyperlink r:id="rId2" w:history="1">
        <w:r w:rsidRPr="00D16499">
          <w:rPr>
            <w:rStyle w:val="Lienhypertexte"/>
            <w:rFonts w:asciiTheme="minorBidi" w:hAnsiTheme="minorBidi" w:cstheme="minorBidi"/>
          </w:rPr>
          <w:t>14.COM 15</w:t>
        </w:r>
      </w:hyperlink>
    </w:p>
  </w:footnote>
  <w:footnote w:id="4">
    <w:p w14:paraId="00DAD77D" w14:textId="1A6386C2" w:rsidR="00527E2A" w:rsidRPr="00FA622F" w:rsidRDefault="00527E2A" w:rsidP="00527E2A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</w:rPr>
        <w:t>.</w:t>
      </w:r>
      <w:r w:rsidRPr="00D16499">
        <w:rPr>
          <w:rFonts w:asciiTheme="minorBidi" w:hAnsiTheme="minorBidi"/>
        </w:rPr>
        <w:t xml:space="preserve"> </w:t>
      </w:r>
      <w:r w:rsidRPr="00FA622F">
        <w:rPr>
          <w:rFonts w:asciiTheme="minorBidi" w:hAnsiTheme="minorBidi"/>
        </w:rPr>
        <w:tab/>
        <w:t xml:space="preserve">См. Решение </w:t>
      </w:r>
      <w:hyperlink r:id="rId3" w:history="1">
        <w:r w:rsidRPr="00D16499">
          <w:rPr>
            <w:rStyle w:val="Lienhypertexte"/>
            <w:rFonts w:asciiTheme="minorBidi" w:hAnsiTheme="minorBidi" w:cstheme="minorBidi"/>
          </w:rPr>
          <w:t>15.COM 8</w:t>
        </w:r>
      </w:hyperlink>
    </w:p>
  </w:footnote>
  <w:footnote w:id="5">
    <w:p w14:paraId="66D0704E" w14:textId="77777777" w:rsidR="00442B7E" w:rsidRPr="00FA622F" w:rsidRDefault="00442B7E" w:rsidP="00442B7E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FA622F">
        <w:rPr>
          <w:rFonts w:asciiTheme="minorBidi" w:hAnsiTheme="minorBidi"/>
        </w:rPr>
        <w:tab/>
        <w:t xml:space="preserve">См. Решение </w:t>
      </w:r>
      <w:hyperlink r:id="rId4" w:history="1">
        <w:r w:rsidRPr="00D16499">
          <w:rPr>
            <w:rStyle w:val="Lienhypertexte"/>
            <w:rFonts w:asciiTheme="minorBidi" w:hAnsiTheme="minorBidi" w:cstheme="minorBidi"/>
          </w:rPr>
          <w:t>15.COM 8</w:t>
        </w:r>
      </w:hyperlink>
    </w:p>
  </w:footnote>
  <w:footnote w:id="6">
    <w:p w14:paraId="4CD25014" w14:textId="77777777" w:rsidR="00FD11C1" w:rsidRPr="00D16499" w:rsidRDefault="00FD11C1" w:rsidP="00FD11C1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ab/>
        <w:t xml:space="preserve">См. Решение </w:t>
      </w:r>
      <w:hyperlink r:id="rId5" w:history="1">
        <w:r w:rsidRPr="00D16499">
          <w:rPr>
            <w:rStyle w:val="Lienhypertexte"/>
            <w:rFonts w:asciiTheme="minorBidi" w:hAnsiTheme="minorBidi" w:cstheme="minorBidi"/>
          </w:rPr>
          <w:t>14.COM 10</w:t>
        </w:r>
      </w:hyperlink>
      <w:r w:rsidRPr="00D16499">
        <w:rPr>
          <w:rFonts w:asciiTheme="minorBidi" w:hAnsiTheme="minorBidi"/>
        </w:rPr>
        <w:t xml:space="preserve"> (пункт 14)</w:t>
      </w:r>
    </w:p>
  </w:footnote>
  <w:footnote w:id="7">
    <w:p w14:paraId="1FEDF8C8" w14:textId="48410441" w:rsidR="00442B7E" w:rsidRPr="00D16499" w:rsidRDefault="00442B7E" w:rsidP="00442B7E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  <w:t xml:space="preserve">См. документ </w:t>
      </w:r>
      <w:hyperlink r:id="rId6" w:history="1">
        <w:r w:rsidRPr="00D16499">
          <w:rPr>
            <w:rStyle w:val="Lienhypertexte"/>
            <w:rFonts w:asciiTheme="minorBidi" w:hAnsiTheme="minorBidi" w:cstheme="minorBidi"/>
          </w:rPr>
          <w:t>C54/21/16.COM/INF.5.III</w:t>
        </w:r>
      </w:hyperlink>
    </w:p>
  </w:footnote>
  <w:footnote w:id="8">
    <w:p w14:paraId="293EC6AB" w14:textId="30EF324A" w:rsidR="00CB0DAB" w:rsidRPr="00D16499" w:rsidRDefault="00CB0DAB" w:rsidP="0005412F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  <w:t xml:space="preserve">Проект «Поддержка нематериального культурного наследия и развитие культурного туризма в районах </w:t>
      </w:r>
      <w:proofErr w:type="spellStart"/>
      <w:r w:rsidRPr="00D16499">
        <w:rPr>
          <w:rFonts w:asciiTheme="minorBidi" w:hAnsiTheme="minorBidi"/>
        </w:rPr>
        <w:t>Джодхпур</w:t>
      </w:r>
      <w:proofErr w:type="spellEnd"/>
      <w:r w:rsidRPr="00D16499">
        <w:rPr>
          <w:rFonts w:asciiTheme="minorBidi" w:hAnsiTheme="minorBidi"/>
        </w:rPr>
        <w:t xml:space="preserve">, </w:t>
      </w:r>
      <w:proofErr w:type="spellStart"/>
      <w:r w:rsidRPr="00D16499">
        <w:rPr>
          <w:rFonts w:asciiTheme="minorBidi" w:hAnsiTheme="minorBidi"/>
        </w:rPr>
        <w:t>Бармер</w:t>
      </w:r>
      <w:proofErr w:type="spellEnd"/>
      <w:r w:rsidRPr="00D16499">
        <w:rPr>
          <w:rFonts w:asciiTheme="minorBidi" w:hAnsiTheme="minorBidi"/>
        </w:rPr>
        <w:t xml:space="preserve">, </w:t>
      </w:r>
      <w:proofErr w:type="spellStart"/>
      <w:r w:rsidRPr="00D16499">
        <w:rPr>
          <w:rFonts w:asciiTheme="minorBidi" w:hAnsiTheme="minorBidi"/>
        </w:rPr>
        <w:t>Джайсалмер</w:t>
      </w:r>
      <w:proofErr w:type="spellEnd"/>
      <w:r w:rsidRPr="00D16499">
        <w:rPr>
          <w:rFonts w:asciiTheme="minorBidi" w:hAnsiTheme="minorBidi"/>
        </w:rPr>
        <w:t xml:space="preserve"> и </w:t>
      </w:r>
      <w:proofErr w:type="spellStart"/>
      <w:r w:rsidRPr="00D16499">
        <w:rPr>
          <w:rFonts w:asciiTheme="minorBidi" w:hAnsiTheme="minorBidi"/>
        </w:rPr>
        <w:t>Биканер</w:t>
      </w:r>
      <w:proofErr w:type="spellEnd"/>
      <w:r w:rsidRPr="00D16499">
        <w:rPr>
          <w:rFonts w:asciiTheme="minorBidi" w:hAnsiTheme="minorBidi"/>
        </w:rPr>
        <w:t xml:space="preserve"> в штате Раджастхан», реализуемый Подразделением ЮНЕСКО в Нью-Дели.</w:t>
      </w:r>
    </w:p>
  </w:footnote>
  <w:footnote w:id="9">
    <w:p w14:paraId="510DF213" w14:textId="63691D91" w:rsidR="00CB0DAB" w:rsidRPr="00D16499" w:rsidRDefault="00CB0DAB" w:rsidP="0005412F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</w:r>
      <w:bookmarkStart w:id="2" w:name="_Hlk106268192"/>
      <w:r w:rsidRPr="00D16499">
        <w:rPr>
          <w:rFonts w:asciiTheme="minorBidi" w:hAnsiTheme="minorBidi"/>
        </w:rPr>
        <w:t>Проект «Общественная инвентаризация нематериального наследия в городских районах», реализованный Подразделением ЮНЕСКО в Лиме (Аякучо, Перу) и организацией «Живое наследие» (Тбилиси, Грузия).</w:t>
      </w:r>
      <w:bookmarkEnd w:id="2"/>
    </w:p>
  </w:footnote>
  <w:footnote w:id="10">
    <w:p w14:paraId="01051E4D" w14:textId="52A037F7" w:rsidR="00CB0DAB" w:rsidRPr="00D16499" w:rsidRDefault="00CB0DAB" w:rsidP="0005412F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</w:r>
      <w:bookmarkStart w:id="3" w:name="_Hlk106268115"/>
      <w:r w:rsidRPr="00D16499">
        <w:rPr>
          <w:rFonts w:asciiTheme="minorBidi" w:hAnsiTheme="minorBidi"/>
        </w:rPr>
        <w:t>Проект «Изменение климата и сохранение и повышение ценности нематериального культурного наследия, связанного с ремеслами», реализуемый Подразделением ЮНЕСКО в Рабате.</w:t>
      </w:r>
      <w:bookmarkEnd w:id="3"/>
    </w:p>
  </w:footnote>
  <w:footnote w:id="11">
    <w:p w14:paraId="345C6FDF" w14:textId="678FD4F9" w:rsidR="00CC467D" w:rsidRPr="00D16499" w:rsidRDefault="00CC467D" w:rsidP="0005412F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  <w:vertAlign w:val="superscript"/>
        </w:rPr>
        <w:t>.</w:t>
      </w:r>
      <w:r w:rsidRPr="00D16499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  <w:t>Проект «Развитие сельских ремесел и культурных центров в Западной Бенгалии в целях поддержки передачи сельских ремесел и исполнительского искусства от поколения к поколению в Индии», реализуемый Подразделением ЮНЕСКО в Нью-Дели.</w:t>
      </w:r>
    </w:p>
  </w:footnote>
  <w:footnote w:id="12">
    <w:p w14:paraId="6A6AB528" w14:textId="13EA30EC" w:rsidR="00504163" w:rsidRPr="00D16499" w:rsidRDefault="00504163" w:rsidP="0005412F">
      <w:pPr>
        <w:pStyle w:val="Notedebasdepage"/>
        <w:ind w:left="567" w:hanging="567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</w:rPr>
        <w:footnoteRef/>
      </w:r>
      <w:r w:rsidR="005D577C" w:rsidRPr="00CF2620">
        <w:rPr>
          <w:rFonts w:asciiTheme="minorBidi" w:hAnsiTheme="minorBidi"/>
        </w:rPr>
        <w:t>.</w:t>
      </w:r>
      <w:r w:rsidRPr="00D16499">
        <w:rPr>
          <w:rFonts w:asciiTheme="minorBidi" w:hAnsiTheme="minorBidi"/>
        </w:rPr>
        <w:t xml:space="preserve"> </w:t>
      </w:r>
      <w:r w:rsidRPr="00D16499">
        <w:rPr>
          <w:rFonts w:asciiTheme="minorBidi" w:hAnsiTheme="minorBidi"/>
        </w:rPr>
        <w:tab/>
      </w:r>
      <w:bookmarkStart w:id="4" w:name="_Hlk106268180"/>
      <w:r w:rsidRPr="00D16499">
        <w:rPr>
          <w:rFonts w:asciiTheme="minorBidi" w:hAnsiTheme="minorBidi"/>
        </w:rPr>
        <w:t>Проект «Охрана и приумножение нематериального культурного наследия и поддержка творчества молодежи в музыкальной индустрии Восточного региона», реализуемый Подразделением ЮНЕСКО в Рабате.</w:t>
      </w:r>
      <w:bookmarkEnd w:id="4"/>
    </w:p>
  </w:footnote>
  <w:footnote w:id="13">
    <w:p w14:paraId="182AEBDB" w14:textId="01E4F50A" w:rsidR="00A268C4" w:rsidRPr="00FA622F" w:rsidRDefault="00A268C4" w:rsidP="00A268C4">
      <w:pPr>
        <w:pStyle w:val="Notedebasdepage"/>
        <w:spacing w:after="60"/>
        <w:ind w:left="567" w:hanging="567"/>
        <w:contextualSpacing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FA622F">
        <w:rPr>
          <w:rFonts w:asciiTheme="minorBidi" w:hAnsiTheme="minorBidi"/>
        </w:rPr>
        <w:tab/>
      </w:r>
      <w:r w:rsidRPr="00D16499">
        <w:rPr>
          <w:rFonts w:asciiTheme="minorBidi" w:hAnsiTheme="minorBidi"/>
        </w:rPr>
        <w:t xml:space="preserve">Резолюция </w:t>
      </w:r>
      <w:hyperlink r:id="rId7" w:history="1">
        <w:r w:rsidRPr="00D16499">
          <w:rPr>
            <w:rStyle w:val="Lienhypertexte"/>
            <w:rFonts w:asciiTheme="minorBidi" w:hAnsiTheme="minorBidi" w:cstheme="minorBidi"/>
          </w:rPr>
          <w:t>8.GA 9</w:t>
        </w:r>
      </w:hyperlink>
    </w:p>
  </w:footnote>
  <w:footnote w:id="14">
    <w:p w14:paraId="41A6E6A8" w14:textId="47992B6B" w:rsidR="00A268C4" w:rsidRPr="00FA622F" w:rsidRDefault="00A268C4" w:rsidP="00A268C4">
      <w:pPr>
        <w:pStyle w:val="Notedebasdepage"/>
        <w:spacing w:after="60"/>
        <w:ind w:left="567" w:hanging="567"/>
        <w:contextualSpacing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FA622F">
        <w:rPr>
          <w:rFonts w:asciiTheme="minorBidi" w:hAnsiTheme="minorBidi"/>
        </w:rPr>
        <w:t xml:space="preserve"> </w:t>
      </w:r>
      <w:r w:rsidRPr="00FA622F">
        <w:rPr>
          <w:rFonts w:asciiTheme="minorBidi" w:hAnsiTheme="minorBidi"/>
        </w:rPr>
        <w:tab/>
        <w:t xml:space="preserve">Резолюция </w:t>
      </w:r>
      <w:hyperlink r:id="rId8" w:history="1">
        <w:r w:rsidRPr="00D16499">
          <w:rPr>
            <w:rStyle w:val="Lienhypertexte"/>
            <w:rFonts w:asciiTheme="minorBidi" w:hAnsiTheme="minorBidi" w:cstheme="minorBidi"/>
          </w:rPr>
          <w:t>8.GA 10</w:t>
        </w:r>
      </w:hyperlink>
    </w:p>
  </w:footnote>
  <w:footnote w:id="15">
    <w:p w14:paraId="3AEB9A6A" w14:textId="129BBD1E" w:rsidR="00A268C4" w:rsidRPr="00FA622F" w:rsidRDefault="00A268C4" w:rsidP="00A268C4">
      <w:pPr>
        <w:pStyle w:val="Notedebasdepage"/>
        <w:spacing w:after="60"/>
        <w:ind w:left="567" w:hanging="567"/>
        <w:contextualSpacing/>
        <w:jc w:val="both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FA622F">
        <w:rPr>
          <w:rFonts w:asciiTheme="minorBidi" w:hAnsiTheme="minorBidi"/>
        </w:rPr>
        <w:tab/>
        <w:t>За отчетный период Секретариат организовал шесть совещаний Органа по оценке для проведения оценки 52 заявок, поданных в рамках цикла 2020 года, а также 60 заявок, поданных в рамках цикла 2021 года. Секретариат также проверял техническую полноту 59 заявок, поданных в рамках цикла 2022 года.</w:t>
      </w:r>
    </w:p>
  </w:footnote>
  <w:footnote w:id="16">
    <w:p w14:paraId="7B8FB71C" w14:textId="77777777" w:rsidR="00A268C4" w:rsidRPr="00FA622F" w:rsidRDefault="00A268C4" w:rsidP="00A268C4">
      <w:pPr>
        <w:pStyle w:val="Notedebasdepage"/>
        <w:tabs>
          <w:tab w:val="left" w:pos="567"/>
        </w:tabs>
        <w:spacing w:after="60"/>
        <w:contextualSpacing/>
        <w:jc w:val="both"/>
        <w:rPr>
          <w:rFonts w:asciiTheme="minorBidi" w:hAnsiTheme="minorBidi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FA622F">
        <w:rPr>
          <w:rFonts w:asciiTheme="minorBidi" w:hAnsiTheme="minorBidi"/>
        </w:rPr>
        <w:t>.</w:t>
      </w:r>
      <w:r w:rsidRPr="00FA622F">
        <w:rPr>
          <w:rFonts w:asciiTheme="minorBidi" w:hAnsiTheme="minorBidi"/>
        </w:rPr>
        <w:tab/>
      </w:r>
      <w:r w:rsidRPr="00FA622F">
        <w:rPr>
          <w:rFonts w:asciiTheme="minorBidi" w:hAnsiTheme="minorBidi"/>
          <w:b/>
        </w:rPr>
        <w:t>Заседания 2020 года:</w:t>
      </w:r>
    </w:p>
    <w:p w14:paraId="5370AEDF" w14:textId="77777777" w:rsidR="00A268C4" w:rsidRPr="00FA622F" w:rsidRDefault="00A268C4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4 заседания Бюро 15.COM;</w:t>
      </w:r>
    </w:p>
    <w:p w14:paraId="24F18B0A" w14:textId="49370CFD" w:rsidR="00A268C4" w:rsidRPr="00FA622F" w:rsidRDefault="00DD2DC8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Восьмая</w:t>
      </w:r>
      <w:r w:rsidRPr="00FA622F" w:rsidDel="00DD2DC8">
        <w:rPr>
          <w:rFonts w:asciiTheme="minorBidi" w:hAnsiTheme="minorBidi"/>
        </w:rPr>
        <w:t xml:space="preserve"> </w:t>
      </w:r>
      <w:r w:rsidR="00A268C4" w:rsidRPr="00FA622F">
        <w:rPr>
          <w:rFonts w:asciiTheme="minorBidi" w:hAnsiTheme="minorBidi"/>
        </w:rPr>
        <w:t>сессия Генеральной Ассамблеи государств — участников Конвенции, штаб-квартира ЮНЕСКО, 8–10 сентября 2020 года;</w:t>
      </w:r>
    </w:p>
    <w:p w14:paraId="616FB2EE" w14:textId="77777777" w:rsidR="00A268C4" w:rsidRPr="00FA622F" w:rsidRDefault="00A268C4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3 заседания Органа по оценке в рамках цикла 2020 года;</w:t>
      </w:r>
    </w:p>
    <w:p w14:paraId="15304C6D" w14:textId="5FFA2B70" w:rsidR="00A268C4" w:rsidRPr="00FA622F" w:rsidRDefault="00384CFD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Пятнадцатая</w:t>
      </w:r>
      <w:r w:rsidRPr="00FA622F" w:rsidDel="00384CFD">
        <w:rPr>
          <w:rFonts w:asciiTheme="minorBidi" w:hAnsiTheme="minorBidi"/>
        </w:rPr>
        <w:t xml:space="preserve"> </w:t>
      </w:r>
      <w:r w:rsidR="00A268C4" w:rsidRPr="00FA622F">
        <w:rPr>
          <w:rFonts w:asciiTheme="minorBidi" w:hAnsiTheme="minorBidi"/>
        </w:rPr>
        <w:t>сессия Межправительственного комитета, онлайн, 14–19 декабря 2020 года.</w:t>
      </w:r>
    </w:p>
    <w:p w14:paraId="78F09DA7" w14:textId="7BB2E70F" w:rsidR="00A268C4" w:rsidRPr="00FA622F" w:rsidRDefault="00A268C4" w:rsidP="00A268C4">
      <w:pPr>
        <w:pStyle w:val="Notedebasdepage"/>
        <w:keepNext/>
        <w:spacing w:after="60"/>
        <w:ind w:left="567"/>
        <w:contextualSpacing/>
        <w:jc w:val="both"/>
        <w:rPr>
          <w:rFonts w:asciiTheme="minorBidi" w:hAnsiTheme="minorBidi"/>
          <w:b/>
        </w:rPr>
      </w:pPr>
      <w:r w:rsidRPr="00FA622F">
        <w:rPr>
          <w:rFonts w:asciiTheme="minorBidi" w:hAnsiTheme="minorBidi"/>
          <w:b/>
        </w:rPr>
        <w:t>Заседания 2021 года:</w:t>
      </w:r>
    </w:p>
    <w:p w14:paraId="41DD0861" w14:textId="19572F60" w:rsidR="00A268C4" w:rsidRPr="00FA622F" w:rsidRDefault="00913B63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4 заседания Бюро 16.COM;</w:t>
      </w:r>
    </w:p>
    <w:p w14:paraId="57973CB1" w14:textId="40C13258" w:rsidR="00A268C4" w:rsidRPr="00FA622F" w:rsidRDefault="00913B63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3 заседания Органа по оценке в рамках цикла 2021 года;</w:t>
      </w:r>
    </w:p>
    <w:p w14:paraId="600028C4" w14:textId="7B2B08F5" w:rsidR="00A268C4" w:rsidRPr="00FA622F" w:rsidRDefault="00A268C4" w:rsidP="00A268C4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совещание экспертов (Категория VI) в рамках глобальной рефлексии над механизмами включения в перечень Конвенции 2003 года, онлайн, 7, 26 и 27 мая 2021 года;</w:t>
      </w:r>
    </w:p>
    <w:p w14:paraId="134116EF" w14:textId="68659A9A" w:rsidR="00913B63" w:rsidRPr="00FA622F" w:rsidRDefault="00913B63" w:rsidP="00E0443E">
      <w:pPr>
        <w:pStyle w:val="Notedebasdepage"/>
        <w:spacing w:after="60"/>
        <w:ind w:left="709" w:firstLine="11"/>
        <w:contextualSpacing/>
        <w:jc w:val="both"/>
        <w:rPr>
          <w:rFonts w:asciiTheme="minorBidi" w:hAnsiTheme="minorBidi"/>
        </w:rPr>
      </w:pPr>
      <w:r w:rsidRPr="00FA622F">
        <w:rPr>
          <w:rFonts w:asciiTheme="minorBidi" w:hAnsiTheme="minorBidi"/>
        </w:rPr>
        <w:t>совещание межправительственной рабочей группы открытого состава в рамках глобальной рефлексии над механизмами включения в перечень Конвенции 2003 года, часть I (онлайн), 8–9 июля 2021 года, и часть II (онлайн), 9–10 сентября 2021 года;</w:t>
      </w:r>
    </w:p>
    <w:p w14:paraId="26C4E771" w14:textId="739B961F" w:rsidR="00913B63" w:rsidRPr="008D0279" w:rsidRDefault="00C77DCD" w:rsidP="00D37D52">
      <w:pPr>
        <w:pStyle w:val="Notedebasdepage"/>
        <w:spacing w:after="60"/>
        <w:ind w:left="567" w:firstLine="153"/>
        <w:contextualSpacing/>
        <w:jc w:val="both"/>
        <w:rPr>
          <w:rFonts w:asciiTheme="minorBidi" w:hAnsiTheme="minorBidi"/>
          <w:lang w:val="fr-FR"/>
        </w:rPr>
      </w:pPr>
      <w:r w:rsidRPr="00FA622F">
        <w:rPr>
          <w:rFonts w:asciiTheme="minorBidi" w:hAnsiTheme="minorBidi"/>
        </w:rPr>
        <w:t>Шестнадцатая</w:t>
      </w:r>
      <w:r w:rsidRPr="00FA622F" w:rsidDel="00C77DCD">
        <w:rPr>
          <w:rFonts w:asciiTheme="minorBidi" w:hAnsiTheme="minorBidi"/>
        </w:rPr>
        <w:t xml:space="preserve"> </w:t>
      </w:r>
      <w:r w:rsidR="00913B63" w:rsidRPr="00FA622F">
        <w:rPr>
          <w:rFonts w:asciiTheme="minorBidi" w:hAnsiTheme="minorBidi"/>
        </w:rPr>
        <w:t>сессия Межправительственного комитета, онлайн, 13–18 декабря 2021 года.</w:t>
      </w:r>
    </w:p>
  </w:footnote>
  <w:footnote w:id="17">
    <w:p w14:paraId="0128D893" w14:textId="6FD2402C" w:rsidR="00A268C4" w:rsidRPr="00FA622F" w:rsidRDefault="00A268C4" w:rsidP="00A268C4">
      <w:pPr>
        <w:pStyle w:val="Notedebasdepage"/>
        <w:tabs>
          <w:tab w:val="left" w:pos="567"/>
        </w:tabs>
        <w:spacing w:after="60"/>
        <w:ind w:left="567" w:hanging="567"/>
        <w:contextualSpacing/>
        <w:jc w:val="both"/>
        <w:rPr>
          <w:rFonts w:asciiTheme="minorBidi" w:hAnsiTheme="minorBidi"/>
          <w:highlight w:val="yellow"/>
        </w:rPr>
      </w:pPr>
      <w:r w:rsidRPr="00CF2620">
        <w:rPr>
          <w:rStyle w:val="Appelnotedebasdep"/>
          <w:rFonts w:asciiTheme="minorBidi" w:hAnsiTheme="minorBidi"/>
          <w:lang w:val="en-GB"/>
        </w:rPr>
        <w:footnoteRef/>
      </w:r>
      <w:r w:rsidRPr="00CF2620">
        <w:rPr>
          <w:rFonts w:asciiTheme="minorBidi" w:hAnsiTheme="minorBidi"/>
          <w:vertAlign w:val="superscript"/>
        </w:rPr>
        <w:t>.</w:t>
      </w:r>
      <w:r w:rsidRPr="00FA622F">
        <w:rPr>
          <w:rFonts w:asciiTheme="minorBidi" w:hAnsiTheme="minorBidi"/>
        </w:rPr>
        <w:tab/>
      </w:r>
      <w:bookmarkStart w:id="5" w:name="_Hlk106219719"/>
      <w:r w:rsidRPr="00D16499">
        <w:rPr>
          <w:rFonts w:asciiTheme="minorBidi" w:hAnsiTheme="minorBidi"/>
        </w:rPr>
        <w:t xml:space="preserve">Обучение национальных координаторов особенностям работы в условиях нового, пересмотренного процесса представления </w:t>
      </w:r>
      <w:r w:rsidR="00592976" w:rsidRPr="00D16499">
        <w:rPr>
          <w:rFonts w:asciiTheme="minorBidi" w:hAnsiTheme="minorBidi"/>
        </w:rPr>
        <w:t>периодических докладов</w:t>
      </w:r>
      <w:r w:rsidRPr="00D16499">
        <w:rPr>
          <w:rFonts w:asciiTheme="minorBidi" w:hAnsiTheme="minorBidi"/>
        </w:rPr>
        <w:t xml:space="preserve"> в Латинской Америке и Карибском бассейне — онлайн (19 мая — 23 июня 2020 года), обучение инструкторов для Центральной Азии по вопросам нематериального культурного наследия — онлайн (24–28 августа 2020 года), обучение инструкторов особенностям работы в условиях нового, пересмотренного процесса представления </w:t>
      </w:r>
      <w:r w:rsidR="002C51C4" w:rsidRPr="00D16499">
        <w:rPr>
          <w:rFonts w:asciiTheme="minorBidi" w:hAnsiTheme="minorBidi"/>
        </w:rPr>
        <w:t>периодических докладов</w:t>
      </w:r>
      <w:r w:rsidRPr="00D16499">
        <w:rPr>
          <w:rFonts w:asciiTheme="minorBidi" w:hAnsiTheme="minorBidi"/>
        </w:rPr>
        <w:t xml:space="preserve"> в Европейском регионе — онлайн (25 января – 24 февраля 2021 года), обучение инструкторов для Тихоокеанского региона (октябрь 2021 года) — онлайн, обучение инструкторов требованиям </w:t>
      </w:r>
      <w:r w:rsidR="003B6669" w:rsidRPr="00D16499">
        <w:rPr>
          <w:rFonts w:asciiTheme="minorBidi" w:hAnsiTheme="minorBidi"/>
        </w:rPr>
        <w:t>представлению периодических докладов</w:t>
      </w:r>
      <w:r w:rsidRPr="00D16499">
        <w:rPr>
          <w:rFonts w:asciiTheme="minorBidi" w:hAnsiTheme="minorBidi"/>
        </w:rPr>
        <w:t xml:space="preserve"> для арабских государств сети </w:t>
      </w:r>
      <w:proofErr w:type="spellStart"/>
      <w:r w:rsidRPr="00D16499">
        <w:rPr>
          <w:rFonts w:asciiTheme="minorBidi" w:hAnsiTheme="minorBidi"/>
        </w:rPr>
        <w:t>фасилитаторов</w:t>
      </w:r>
      <w:proofErr w:type="spellEnd"/>
      <w:r w:rsidRPr="00D16499">
        <w:rPr>
          <w:rFonts w:asciiTheme="minorBidi" w:hAnsiTheme="minorBidi"/>
        </w:rPr>
        <w:t> — онлайн (25–27 октября 2021 года).</w:t>
      </w:r>
    </w:p>
    <w:bookmarkEnd w:id="5"/>
  </w:footnote>
  <w:footnote w:id="18">
    <w:p w14:paraId="554CF49F" w14:textId="39595206" w:rsidR="00FB5FDB" w:rsidRPr="00FA622F" w:rsidRDefault="00FB5FDB" w:rsidP="00FB5FDB">
      <w:pPr>
        <w:tabs>
          <w:tab w:val="left" w:pos="540"/>
        </w:tabs>
        <w:spacing w:after="60"/>
        <w:ind w:left="567" w:hanging="567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CF2620">
        <w:rPr>
          <w:rFonts w:asciiTheme="minorBidi" w:eastAsiaTheme="minorHAnsi" w:hAnsiTheme="minorBidi" w:cstheme="minorBidi"/>
          <w:sz w:val="20"/>
          <w:szCs w:val="20"/>
          <w:vertAlign w:val="superscript"/>
          <w:lang w:eastAsia="en-US"/>
        </w:rPr>
        <w:footnoteRef/>
      </w:r>
      <w:r w:rsidRPr="00CF2620">
        <w:rPr>
          <w:rFonts w:asciiTheme="minorBidi" w:eastAsiaTheme="minorHAnsi" w:hAnsiTheme="minorBidi" w:cstheme="minorBidi"/>
          <w:sz w:val="20"/>
          <w:szCs w:val="20"/>
          <w:vertAlign w:val="superscript"/>
          <w:lang w:eastAsia="en-US"/>
        </w:rPr>
        <w:t>.</w:t>
      </w:r>
      <w:r w:rsidRPr="00D16499">
        <w:rPr>
          <w:rFonts w:asciiTheme="minorBidi" w:eastAsiaTheme="minorHAnsi" w:hAnsiTheme="minorBidi" w:cstheme="minorBidi"/>
          <w:sz w:val="20"/>
          <w:szCs w:val="20"/>
          <w:lang w:eastAsia="en-US"/>
        </w:rPr>
        <w:tab/>
      </w:r>
      <w:bookmarkStart w:id="6" w:name="_Hlk106220221"/>
      <w:r w:rsidRPr="00D16499">
        <w:rPr>
          <w:rFonts w:asciiTheme="minorBidi" w:eastAsiaTheme="minorHAnsi" w:hAnsiTheme="minorBidi" w:cstheme="minorBidi"/>
          <w:sz w:val="20"/>
          <w:szCs w:val="20"/>
          <w:lang w:eastAsia="en-US"/>
        </w:rPr>
        <w:t>Региональный центр по охране нематериального культурного наследия в Латинской Америке (CRESPIAL), Международный учебный центр по нематериальному культурному наследию в Азиатско</w:t>
      </w:r>
      <w:r w:rsidRPr="00D16499">
        <w:rPr>
          <w:rFonts w:asciiTheme="minorBidi" w:eastAsiaTheme="minorHAnsi" w:hAnsiTheme="minorBidi" w:cstheme="minorBidi"/>
          <w:sz w:val="20"/>
          <w:szCs w:val="20"/>
          <w:lang w:eastAsia="en-US"/>
        </w:rPr>
        <w:noBreakHyphen/>
        <w:t>Тихоокеанском регионе (CRIHAP) и Региональный центр по охране нематериального культурного наследия в Юго-Восточной Европе.</w:t>
      </w:r>
      <w:bookmarkEnd w:id="6"/>
    </w:p>
  </w:footnote>
  <w:footnote w:id="19">
    <w:p w14:paraId="0CBCA379" w14:textId="51E20B0E" w:rsidR="0011139C" w:rsidRPr="00D16499" w:rsidRDefault="0011139C" w:rsidP="00CF2620">
      <w:pPr>
        <w:pStyle w:val="Notedebasdepage"/>
        <w:tabs>
          <w:tab w:val="left" w:pos="567"/>
        </w:tabs>
        <w:spacing w:after="60"/>
        <w:ind w:left="567" w:hanging="567"/>
        <w:contextualSpacing/>
        <w:jc w:val="both"/>
        <w:rPr>
          <w:rFonts w:asciiTheme="minorBidi" w:hAnsiTheme="minorBidi"/>
        </w:rPr>
      </w:pPr>
      <w:r w:rsidRPr="00D16499">
        <w:rPr>
          <w:rStyle w:val="Appelnotedebasdep"/>
          <w:rFonts w:asciiTheme="minorBidi" w:hAnsiTheme="minorBidi"/>
          <w:vertAlign w:val="baseline"/>
        </w:rPr>
        <w:footnoteRef/>
      </w:r>
      <w:r w:rsidR="005D577C" w:rsidRPr="00CF2620">
        <w:rPr>
          <w:rFonts w:asciiTheme="minorBidi" w:hAnsiTheme="minorBidi"/>
        </w:rPr>
        <w:t>.</w:t>
      </w:r>
      <w:r w:rsidR="00CF2620">
        <w:rPr>
          <w:rFonts w:asciiTheme="minorBidi" w:hAnsiTheme="minorBidi"/>
        </w:rPr>
        <w:tab/>
      </w:r>
      <w:r w:rsidRPr="00D16499">
        <w:rPr>
          <w:rFonts w:asciiTheme="minorBidi" w:hAnsiTheme="minorBidi"/>
        </w:rPr>
        <w:t>Из 34 запросов на получение Международной помощи:</w:t>
      </w:r>
    </w:p>
    <w:p w14:paraId="62FC32FC" w14:textId="42E0AD66" w:rsidR="0011139C" w:rsidRPr="00D16499" w:rsidRDefault="0001763F" w:rsidP="005D577C">
      <w:pPr>
        <w:pStyle w:val="Notedebasdepage"/>
        <w:numPr>
          <w:ilvl w:val="0"/>
          <w:numId w:val="70"/>
        </w:numPr>
        <w:ind w:left="1134" w:hanging="567"/>
        <w:rPr>
          <w:rFonts w:asciiTheme="minorBidi" w:hAnsiTheme="minorBidi"/>
        </w:rPr>
      </w:pPr>
      <w:r w:rsidRPr="00D16499">
        <w:rPr>
          <w:rFonts w:asciiTheme="minorBidi" w:hAnsiTheme="minorBidi"/>
        </w:rPr>
        <w:t>6 было рекомендовано к одобрению: 3 — Комитетом и 3 — Бюро;</w:t>
      </w:r>
    </w:p>
    <w:p w14:paraId="003CD015" w14:textId="1674B34A" w:rsidR="0011139C" w:rsidRPr="00D16499" w:rsidRDefault="0001763F" w:rsidP="005D577C">
      <w:pPr>
        <w:pStyle w:val="Notedebasdepage"/>
        <w:numPr>
          <w:ilvl w:val="0"/>
          <w:numId w:val="70"/>
        </w:numPr>
        <w:ind w:left="1134" w:hanging="567"/>
        <w:rPr>
          <w:rFonts w:asciiTheme="minorBidi" w:hAnsiTheme="minorBidi"/>
        </w:rPr>
      </w:pPr>
      <w:r w:rsidRPr="00D16499">
        <w:rPr>
          <w:rFonts w:asciiTheme="minorBidi" w:hAnsiTheme="minorBidi"/>
        </w:rPr>
        <w:t>2 получили техническую помощь, но пока не были рассмотрены Бюро;</w:t>
      </w:r>
    </w:p>
    <w:p w14:paraId="380763A3" w14:textId="527C9CD7" w:rsidR="0011139C" w:rsidRPr="00D16499" w:rsidRDefault="0001763F" w:rsidP="005D577C">
      <w:pPr>
        <w:pStyle w:val="Notedebasdepage"/>
        <w:numPr>
          <w:ilvl w:val="0"/>
          <w:numId w:val="70"/>
        </w:numPr>
        <w:ind w:left="1134" w:hanging="567"/>
        <w:rPr>
          <w:rFonts w:asciiTheme="minorBidi" w:hAnsiTheme="minorBidi"/>
        </w:rPr>
      </w:pPr>
      <w:r w:rsidRPr="00D16499">
        <w:rPr>
          <w:rFonts w:asciiTheme="minorBidi" w:hAnsiTheme="minorBidi"/>
        </w:rPr>
        <w:t>6 были признаны выходящими за рамки требований и не проходили обработку по согласованию с подавшими их государствами;</w:t>
      </w:r>
    </w:p>
    <w:p w14:paraId="2DE152A9" w14:textId="55CA7409" w:rsidR="0011139C" w:rsidRPr="00D16499" w:rsidRDefault="0001763F" w:rsidP="005D577C">
      <w:pPr>
        <w:pStyle w:val="Notedebasdepage"/>
        <w:numPr>
          <w:ilvl w:val="0"/>
          <w:numId w:val="70"/>
        </w:numPr>
        <w:ind w:left="1134" w:hanging="567"/>
        <w:rPr>
          <w:rFonts w:asciiTheme="minorBidi" w:hAnsiTheme="minorBidi"/>
        </w:rPr>
      </w:pPr>
      <w:r w:rsidRPr="00D16499">
        <w:rPr>
          <w:rFonts w:asciiTheme="minorBidi" w:hAnsiTheme="minorBidi"/>
        </w:rPr>
        <w:t>4 были отозваны подавшими их государствами.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042FE621" w:rsidR="00D95C4C" w:rsidRPr="00C23A97" w:rsidRDefault="006F41B4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LHE/22/9.GA/6 — страница 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F010E0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50FBDC0E" w:rsidR="00D95C4C" w:rsidRPr="0063300C" w:rsidRDefault="00502D44" w:rsidP="0063300C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LHE/22/9.GA/6 — страница 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8A1ED4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174B4B8E" w:rsidR="00D95C4C" w:rsidRPr="008724E5" w:rsidRDefault="00AC103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759432" wp14:editId="7B00357B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1677035" cy="1439545"/>
          <wp:effectExtent l="0" t="0" r="0" b="8255"/>
          <wp:wrapTight wrapText="bothSides">
            <wp:wrapPolygon edited="0">
              <wp:start x="0" y="0"/>
              <wp:lineTo x="0" y="9147"/>
              <wp:lineTo x="10796" y="9147"/>
              <wp:lineTo x="0" y="10862"/>
              <wp:lineTo x="0" y="21438"/>
              <wp:lineTo x="245" y="21438"/>
              <wp:lineTo x="15212" y="21438"/>
              <wp:lineTo x="17175" y="21438"/>
              <wp:lineTo x="16930" y="20009"/>
              <wp:lineTo x="13740" y="18294"/>
              <wp:lineTo x="21346" y="14864"/>
              <wp:lineTo x="21346" y="10862"/>
              <wp:lineTo x="10796" y="9147"/>
              <wp:lineTo x="21346" y="9147"/>
              <wp:lineTo x="21346" y="0"/>
              <wp:lineTo x="0" y="0"/>
            </wp:wrapPolygon>
          </wp:wrapTight>
          <wp:docPr id="1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7233C0" w14:textId="0080C653" w:rsidR="00D95C4C" w:rsidRPr="00D25762" w:rsidRDefault="003265D0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9 GA</w:t>
    </w:r>
  </w:p>
  <w:p w14:paraId="2037F6C9" w14:textId="119EDC88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LHE/22/9.GA/6</w:t>
    </w:r>
  </w:p>
  <w:p w14:paraId="1E03530A" w14:textId="318E01BB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Париж, </w:t>
    </w:r>
    <w:r w:rsidR="00FA622F" w:rsidRPr="00014CB1">
      <w:rPr>
        <w:rFonts w:ascii="Arial" w:hAnsi="Arial"/>
        <w:b/>
        <w:sz w:val="22"/>
      </w:rPr>
      <w:t>26</w:t>
    </w:r>
    <w:r w:rsidR="00FA622F" w:rsidRPr="00FA622F">
      <w:rPr>
        <w:rFonts w:ascii="Arial" w:hAnsi="Arial"/>
        <w:b/>
        <w:sz w:val="22"/>
      </w:rPr>
      <w:t xml:space="preserve"> июня 2022 г</w:t>
    </w:r>
  </w:p>
  <w:p w14:paraId="00956E32" w14:textId="407200E8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7FB1132E" w14:textId="77777777" w:rsidR="00540FE0" w:rsidRPr="00D16499" w:rsidRDefault="00540FE0" w:rsidP="00540F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1F2E" w14:textId="123FF9CB" w:rsidR="00A268C4" w:rsidRPr="008120C4" w:rsidRDefault="00EF175F" w:rsidP="00E26DD4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LHE/22/9.GA/6 — страница </w:t>
    </w:r>
    <w:r w:rsidR="00A268C4" w:rsidRPr="00C23A97">
      <w:rPr>
        <w:rStyle w:val="Numrodepage"/>
        <w:rFonts w:ascii="Arial" w:hAnsi="Arial" w:cs="Arial"/>
        <w:sz w:val="20"/>
      </w:rPr>
      <w:fldChar w:fldCharType="begin"/>
    </w:r>
    <w:r w:rsidR="00A268C4" w:rsidRPr="00C23A97">
      <w:rPr>
        <w:rStyle w:val="Numrodepage"/>
        <w:rFonts w:ascii="Arial" w:hAnsi="Arial" w:cs="Arial"/>
        <w:sz w:val="20"/>
      </w:rPr>
      <w:instrText xml:space="preserve"> PAGE </w:instrText>
    </w:r>
    <w:r w:rsidR="00A268C4" w:rsidRPr="00C23A97">
      <w:rPr>
        <w:rStyle w:val="Numrodepage"/>
        <w:rFonts w:ascii="Arial" w:hAnsi="Arial" w:cs="Arial"/>
        <w:sz w:val="20"/>
      </w:rPr>
      <w:fldChar w:fldCharType="separate"/>
    </w:r>
    <w:r w:rsidR="00A268C4">
      <w:rPr>
        <w:rStyle w:val="Numrodepage"/>
        <w:rFonts w:ascii="Arial" w:hAnsi="Arial" w:cs="Arial"/>
        <w:sz w:val="20"/>
      </w:rPr>
      <w:t>17</w:t>
    </w:r>
    <w:r w:rsidR="00A268C4" w:rsidRPr="00C23A97">
      <w:rPr>
        <w:rStyle w:val="Numrodepage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11"/>
    <w:multiLevelType w:val="hybridMultilevel"/>
    <w:tmpl w:val="8CDE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6C6D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DCE"/>
    <w:multiLevelType w:val="hybridMultilevel"/>
    <w:tmpl w:val="93FA8C60"/>
    <w:lvl w:ilvl="0" w:tplc="2D3A91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07A4"/>
    <w:multiLevelType w:val="hybridMultilevel"/>
    <w:tmpl w:val="B8A29CAC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70AB"/>
    <w:multiLevelType w:val="hybridMultilevel"/>
    <w:tmpl w:val="D40A30F4"/>
    <w:lvl w:ilvl="0" w:tplc="8B9673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376F"/>
    <w:multiLevelType w:val="hybridMultilevel"/>
    <w:tmpl w:val="2634EA06"/>
    <w:lvl w:ilvl="0" w:tplc="85E65B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3D03B67"/>
    <w:multiLevelType w:val="hybridMultilevel"/>
    <w:tmpl w:val="59E2B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C5365"/>
    <w:multiLevelType w:val="hybridMultilevel"/>
    <w:tmpl w:val="FD7E5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5FE0"/>
    <w:multiLevelType w:val="hybridMultilevel"/>
    <w:tmpl w:val="68EC7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8C16684"/>
    <w:multiLevelType w:val="hybridMultilevel"/>
    <w:tmpl w:val="D962FE12"/>
    <w:lvl w:ilvl="0" w:tplc="0F940FB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786D46"/>
    <w:multiLevelType w:val="hybridMultilevel"/>
    <w:tmpl w:val="C6483E08"/>
    <w:lvl w:ilvl="0" w:tplc="868078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94573A"/>
    <w:multiLevelType w:val="hybridMultilevel"/>
    <w:tmpl w:val="57CC9DD4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12921"/>
    <w:multiLevelType w:val="hybridMultilevel"/>
    <w:tmpl w:val="0B8A0C5C"/>
    <w:lvl w:ilvl="0" w:tplc="6E4616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5391B"/>
    <w:multiLevelType w:val="hybridMultilevel"/>
    <w:tmpl w:val="D9F8A3A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8756812"/>
    <w:multiLevelType w:val="multilevel"/>
    <w:tmpl w:val="88E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28"/>
  </w:num>
  <w:num w:numId="5">
    <w:abstractNumId w:val="24"/>
  </w:num>
  <w:num w:numId="6">
    <w:abstractNumId w:val="5"/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25"/>
  </w:num>
  <w:num w:numId="14">
    <w:abstractNumId w:val="19"/>
  </w:num>
  <w:num w:numId="15">
    <w:abstractNumId w:val="20"/>
  </w:num>
  <w:num w:numId="16">
    <w:abstractNumId w:val="13"/>
  </w:num>
  <w:num w:numId="17">
    <w:abstractNumId w:val="13"/>
  </w:num>
  <w:num w:numId="18">
    <w:abstractNumId w:val="13"/>
  </w:num>
  <w:num w:numId="19">
    <w:abstractNumId w:val="2"/>
  </w:num>
  <w:num w:numId="20">
    <w:abstractNumId w:val="26"/>
  </w:num>
  <w:num w:numId="21">
    <w:abstractNumId w:val="22"/>
  </w:num>
  <w:num w:numId="22">
    <w:abstractNumId w:val="11"/>
  </w:num>
  <w:num w:numId="23">
    <w:abstractNumId w:val="3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1"/>
  </w:num>
  <w:num w:numId="31">
    <w:abstractNumId w:val="11"/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1"/>
  </w:num>
  <w:num w:numId="42">
    <w:abstractNumId w:val="0"/>
  </w:num>
  <w:num w:numId="43">
    <w:abstractNumId w:val="11"/>
  </w:num>
  <w:num w:numId="44">
    <w:abstractNumId w:val="2"/>
  </w:num>
  <w:num w:numId="45">
    <w:abstractNumId w:val="11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</w:num>
  <w:num w:numId="49">
    <w:abstractNumId w:val="11"/>
  </w:num>
  <w:num w:numId="50">
    <w:abstractNumId w:val="4"/>
  </w:num>
  <w:num w:numId="51">
    <w:abstractNumId w:val="21"/>
  </w:num>
  <w:num w:numId="52">
    <w:abstractNumId w:val="11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  <w:num w:numId="57">
    <w:abstractNumId w:val="27"/>
  </w:num>
  <w:num w:numId="58">
    <w:abstractNumId w:val="11"/>
  </w:num>
  <w:num w:numId="59">
    <w:abstractNumId w:val="11"/>
  </w:num>
  <w:num w:numId="60">
    <w:abstractNumId w:val="11"/>
  </w:num>
  <w:num w:numId="61">
    <w:abstractNumId w:val="11"/>
  </w:num>
  <w:num w:numId="62">
    <w:abstractNumId w:val="11"/>
  </w:num>
  <w:num w:numId="63">
    <w:abstractNumId w:val="11"/>
  </w:num>
  <w:num w:numId="64">
    <w:abstractNumId w:val="11"/>
  </w:num>
  <w:num w:numId="65">
    <w:abstractNumId w:val="11"/>
  </w:num>
  <w:num w:numId="66">
    <w:abstractNumId w:val="11"/>
  </w:num>
  <w:num w:numId="67">
    <w:abstractNumId w:val="18"/>
  </w:num>
  <w:num w:numId="68">
    <w:abstractNumId w:val="6"/>
  </w:num>
  <w:num w:numId="69">
    <w:abstractNumId w:val="1"/>
  </w:num>
  <w:num w:numId="70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1965"/>
    <w:rsid w:val="00001990"/>
    <w:rsid w:val="00004318"/>
    <w:rsid w:val="000048ED"/>
    <w:rsid w:val="00010FF3"/>
    <w:rsid w:val="000127C9"/>
    <w:rsid w:val="00014CB1"/>
    <w:rsid w:val="0001763F"/>
    <w:rsid w:val="0002074F"/>
    <w:rsid w:val="00024673"/>
    <w:rsid w:val="00032804"/>
    <w:rsid w:val="00036DAC"/>
    <w:rsid w:val="000403A5"/>
    <w:rsid w:val="00041A66"/>
    <w:rsid w:val="00045C27"/>
    <w:rsid w:val="0005176E"/>
    <w:rsid w:val="0005412F"/>
    <w:rsid w:val="0006129E"/>
    <w:rsid w:val="00064417"/>
    <w:rsid w:val="00066BA3"/>
    <w:rsid w:val="00067353"/>
    <w:rsid w:val="00070DC0"/>
    <w:rsid w:val="0007499B"/>
    <w:rsid w:val="000765F7"/>
    <w:rsid w:val="00077AB7"/>
    <w:rsid w:val="00081CD8"/>
    <w:rsid w:val="00083A25"/>
    <w:rsid w:val="00095C6A"/>
    <w:rsid w:val="000A57E9"/>
    <w:rsid w:val="000A75DA"/>
    <w:rsid w:val="000A78E3"/>
    <w:rsid w:val="000A7F0E"/>
    <w:rsid w:val="000B3CC1"/>
    <w:rsid w:val="000B6998"/>
    <w:rsid w:val="000C0BBA"/>
    <w:rsid w:val="000C0D61"/>
    <w:rsid w:val="000D3E63"/>
    <w:rsid w:val="000E0193"/>
    <w:rsid w:val="000E096B"/>
    <w:rsid w:val="000E20E6"/>
    <w:rsid w:val="000E2976"/>
    <w:rsid w:val="000F174B"/>
    <w:rsid w:val="000F3A3F"/>
    <w:rsid w:val="000F50E8"/>
    <w:rsid w:val="000F6465"/>
    <w:rsid w:val="00101A6C"/>
    <w:rsid w:val="00102557"/>
    <w:rsid w:val="00105D6E"/>
    <w:rsid w:val="001068FD"/>
    <w:rsid w:val="00107F57"/>
    <w:rsid w:val="0011139C"/>
    <w:rsid w:val="001113C3"/>
    <w:rsid w:val="0011293E"/>
    <w:rsid w:val="00112CAB"/>
    <w:rsid w:val="00114BBF"/>
    <w:rsid w:val="00121C4A"/>
    <w:rsid w:val="00125598"/>
    <w:rsid w:val="001314DE"/>
    <w:rsid w:val="00134FD4"/>
    <w:rsid w:val="00136BA3"/>
    <w:rsid w:val="00141275"/>
    <w:rsid w:val="001472F9"/>
    <w:rsid w:val="00157E09"/>
    <w:rsid w:val="00164B9F"/>
    <w:rsid w:val="00164D56"/>
    <w:rsid w:val="00167B10"/>
    <w:rsid w:val="0017402F"/>
    <w:rsid w:val="00176720"/>
    <w:rsid w:val="00180E5B"/>
    <w:rsid w:val="00181284"/>
    <w:rsid w:val="00182973"/>
    <w:rsid w:val="00191ADC"/>
    <w:rsid w:val="00195153"/>
    <w:rsid w:val="00195E6F"/>
    <w:rsid w:val="00196C1B"/>
    <w:rsid w:val="001A16D0"/>
    <w:rsid w:val="001A1CD5"/>
    <w:rsid w:val="001B0F73"/>
    <w:rsid w:val="001C69DD"/>
    <w:rsid w:val="001D3E1A"/>
    <w:rsid w:val="001D5447"/>
    <w:rsid w:val="001D5C04"/>
    <w:rsid w:val="001D5F08"/>
    <w:rsid w:val="001E432A"/>
    <w:rsid w:val="001F4030"/>
    <w:rsid w:val="00203D4E"/>
    <w:rsid w:val="00204DA8"/>
    <w:rsid w:val="00206388"/>
    <w:rsid w:val="00207F3D"/>
    <w:rsid w:val="00214B96"/>
    <w:rsid w:val="002152D1"/>
    <w:rsid w:val="00220663"/>
    <w:rsid w:val="00222A2D"/>
    <w:rsid w:val="00223029"/>
    <w:rsid w:val="0022400C"/>
    <w:rsid w:val="002250E5"/>
    <w:rsid w:val="00233063"/>
    <w:rsid w:val="00233310"/>
    <w:rsid w:val="00234745"/>
    <w:rsid w:val="00236508"/>
    <w:rsid w:val="00237CB1"/>
    <w:rsid w:val="002406BD"/>
    <w:rsid w:val="002407AF"/>
    <w:rsid w:val="00253E81"/>
    <w:rsid w:val="00254221"/>
    <w:rsid w:val="00254264"/>
    <w:rsid w:val="00260DED"/>
    <w:rsid w:val="002636F7"/>
    <w:rsid w:val="00266CD9"/>
    <w:rsid w:val="002708FF"/>
    <w:rsid w:val="00270E9B"/>
    <w:rsid w:val="0027186B"/>
    <w:rsid w:val="00274F58"/>
    <w:rsid w:val="00287B22"/>
    <w:rsid w:val="002946E2"/>
    <w:rsid w:val="00295F24"/>
    <w:rsid w:val="00297DC7"/>
    <w:rsid w:val="002A38AC"/>
    <w:rsid w:val="002B06AB"/>
    <w:rsid w:val="002B0EDD"/>
    <w:rsid w:val="002B6F29"/>
    <w:rsid w:val="002C00BB"/>
    <w:rsid w:val="002C09E3"/>
    <w:rsid w:val="002C191D"/>
    <w:rsid w:val="002C51C4"/>
    <w:rsid w:val="002C5D7C"/>
    <w:rsid w:val="002C7B33"/>
    <w:rsid w:val="002D24BD"/>
    <w:rsid w:val="002D265A"/>
    <w:rsid w:val="002D325D"/>
    <w:rsid w:val="002D494A"/>
    <w:rsid w:val="002D4AAC"/>
    <w:rsid w:val="002E064E"/>
    <w:rsid w:val="002E1C7F"/>
    <w:rsid w:val="002E3396"/>
    <w:rsid w:val="002E44A5"/>
    <w:rsid w:val="002E54AF"/>
    <w:rsid w:val="002E6A9C"/>
    <w:rsid w:val="002F002E"/>
    <w:rsid w:val="002F312A"/>
    <w:rsid w:val="002F6FF8"/>
    <w:rsid w:val="00314276"/>
    <w:rsid w:val="00316962"/>
    <w:rsid w:val="003205C0"/>
    <w:rsid w:val="0032326C"/>
    <w:rsid w:val="00325090"/>
    <w:rsid w:val="003258AE"/>
    <w:rsid w:val="003260FA"/>
    <w:rsid w:val="003265D0"/>
    <w:rsid w:val="00327A8B"/>
    <w:rsid w:val="00331D9A"/>
    <w:rsid w:val="00332E93"/>
    <w:rsid w:val="00335173"/>
    <w:rsid w:val="003362AA"/>
    <w:rsid w:val="003378DE"/>
    <w:rsid w:val="00342A07"/>
    <w:rsid w:val="00345CB4"/>
    <w:rsid w:val="003505FB"/>
    <w:rsid w:val="00352837"/>
    <w:rsid w:val="003549B8"/>
    <w:rsid w:val="00360E2F"/>
    <w:rsid w:val="00361963"/>
    <w:rsid w:val="0036775B"/>
    <w:rsid w:val="003706DC"/>
    <w:rsid w:val="00374153"/>
    <w:rsid w:val="00377FC2"/>
    <w:rsid w:val="003807AF"/>
    <w:rsid w:val="00384CFD"/>
    <w:rsid w:val="00386F82"/>
    <w:rsid w:val="003952C5"/>
    <w:rsid w:val="003A2CEE"/>
    <w:rsid w:val="003A4F0D"/>
    <w:rsid w:val="003B54B9"/>
    <w:rsid w:val="003B6669"/>
    <w:rsid w:val="003C3B21"/>
    <w:rsid w:val="003C44F0"/>
    <w:rsid w:val="003C591E"/>
    <w:rsid w:val="003D069C"/>
    <w:rsid w:val="003D7646"/>
    <w:rsid w:val="003E084C"/>
    <w:rsid w:val="003E1FF4"/>
    <w:rsid w:val="003E23AE"/>
    <w:rsid w:val="003F113A"/>
    <w:rsid w:val="003F5759"/>
    <w:rsid w:val="00400264"/>
    <w:rsid w:val="00401FB2"/>
    <w:rsid w:val="00402135"/>
    <w:rsid w:val="0041003D"/>
    <w:rsid w:val="00414643"/>
    <w:rsid w:val="00421289"/>
    <w:rsid w:val="00427CC9"/>
    <w:rsid w:val="004313DE"/>
    <w:rsid w:val="00435BE2"/>
    <w:rsid w:val="00441989"/>
    <w:rsid w:val="004421E5"/>
    <w:rsid w:val="00442949"/>
    <w:rsid w:val="00442B7E"/>
    <w:rsid w:val="0044643C"/>
    <w:rsid w:val="00452284"/>
    <w:rsid w:val="004537EC"/>
    <w:rsid w:val="0047262B"/>
    <w:rsid w:val="00473DBE"/>
    <w:rsid w:val="004767D5"/>
    <w:rsid w:val="00476916"/>
    <w:rsid w:val="00481756"/>
    <w:rsid w:val="004839B6"/>
    <w:rsid w:val="004842BF"/>
    <w:rsid w:val="004856CA"/>
    <w:rsid w:val="004858B5"/>
    <w:rsid w:val="004862AC"/>
    <w:rsid w:val="00490B62"/>
    <w:rsid w:val="004943F1"/>
    <w:rsid w:val="0049705E"/>
    <w:rsid w:val="004A1247"/>
    <w:rsid w:val="004A34A0"/>
    <w:rsid w:val="004A45BE"/>
    <w:rsid w:val="004A4B42"/>
    <w:rsid w:val="004C5321"/>
    <w:rsid w:val="004D44A6"/>
    <w:rsid w:val="004E63B0"/>
    <w:rsid w:val="004F3DF6"/>
    <w:rsid w:val="004F4C11"/>
    <w:rsid w:val="00502D44"/>
    <w:rsid w:val="00504163"/>
    <w:rsid w:val="005046BF"/>
    <w:rsid w:val="00505897"/>
    <w:rsid w:val="00510407"/>
    <w:rsid w:val="00510597"/>
    <w:rsid w:val="00520457"/>
    <w:rsid w:val="0052179C"/>
    <w:rsid w:val="00526B7B"/>
    <w:rsid w:val="00527E2A"/>
    <w:rsid w:val="005308CE"/>
    <w:rsid w:val="0053106B"/>
    <w:rsid w:val="00535393"/>
    <w:rsid w:val="00540FE0"/>
    <w:rsid w:val="00542D13"/>
    <w:rsid w:val="0054389A"/>
    <w:rsid w:val="00562BD3"/>
    <w:rsid w:val="005631B0"/>
    <w:rsid w:val="00565274"/>
    <w:rsid w:val="0057011E"/>
    <w:rsid w:val="00573109"/>
    <w:rsid w:val="005737D9"/>
    <w:rsid w:val="0057439C"/>
    <w:rsid w:val="00574996"/>
    <w:rsid w:val="005828EC"/>
    <w:rsid w:val="005908BD"/>
    <w:rsid w:val="00592976"/>
    <w:rsid w:val="005A3EAA"/>
    <w:rsid w:val="005A584E"/>
    <w:rsid w:val="005B0127"/>
    <w:rsid w:val="005B0710"/>
    <w:rsid w:val="005B3A5A"/>
    <w:rsid w:val="005B7A35"/>
    <w:rsid w:val="005C30BF"/>
    <w:rsid w:val="005C3701"/>
    <w:rsid w:val="005C4B73"/>
    <w:rsid w:val="005C7002"/>
    <w:rsid w:val="005D2C55"/>
    <w:rsid w:val="005D5701"/>
    <w:rsid w:val="005D577C"/>
    <w:rsid w:val="005E1D2B"/>
    <w:rsid w:val="005E5B36"/>
    <w:rsid w:val="005F1037"/>
    <w:rsid w:val="005F28EE"/>
    <w:rsid w:val="00600D93"/>
    <w:rsid w:val="006071EA"/>
    <w:rsid w:val="006105BD"/>
    <w:rsid w:val="006142CF"/>
    <w:rsid w:val="006250C0"/>
    <w:rsid w:val="0062614E"/>
    <w:rsid w:val="0063300C"/>
    <w:rsid w:val="006337EF"/>
    <w:rsid w:val="00643CA5"/>
    <w:rsid w:val="006460C4"/>
    <w:rsid w:val="00651A58"/>
    <w:rsid w:val="00653660"/>
    <w:rsid w:val="006544EB"/>
    <w:rsid w:val="00655736"/>
    <w:rsid w:val="0066235E"/>
    <w:rsid w:val="0066307B"/>
    <w:rsid w:val="00663171"/>
    <w:rsid w:val="00663B8D"/>
    <w:rsid w:val="006640BF"/>
    <w:rsid w:val="0066658F"/>
    <w:rsid w:val="00672129"/>
    <w:rsid w:val="00676625"/>
    <w:rsid w:val="00681799"/>
    <w:rsid w:val="00684344"/>
    <w:rsid w:val="006852E4"/>
    <w:rsid w:val="0068560C"/>
    <w:rsid w:val="00696C8D"/>
    <w:rsid w:val="006A2AC2"/>
    <w:rsid w:val="006A3617"/>
    <w:rsid w:val="006B462D"/>
    <w:rsid w:val="006B70DE"/>
    <w:rsid w:val="006C2DEF"/>
    <w:rsid w:val="006D13FE"/>
    <w:rsid w:val="006D200F"/>
    <w:rsid w:val="006D2D5A"/>
    <w:rsid w:val="006D3E54"/>
    <w:rsid w:val="006E0806"/>
    <w:rsid w:val="006E13F0"/>
    <w:rsid w:val="006E2048"/>
    <w:rsid w:val="006E247A"/>
    <w:rsid w:val="006E46E4"/>
    <w:rsid w:val="006E534A"/>
    <w:rsid w:val="006E5D5B"/>
    <w:rsid w:val="006F3790"/>
    <w:rsid w:val="006F41B4"/>
    <w:rsid w:val="00703FBF"/>
    <w:rsid w:val="00712884"/>
    <w:rsid w:val="00712FFB"/>
    <w:rsid w:val="00717D90"/>
    <w:rsid w:val="00717DA5"/>
    <w:rsid w:val="00717EB4"/>
    <w:rsid w:val="00722AD5"/>
    <w:rsid w:val="0073710C"/>
    <w:rsid w:val="00740D1E"/>
    <w:rsid w:val="0074199E"/>
    <w:rsid w:val="00742A91"/>
    <w:rsid w:val="00744484"/>
    <w:rsid w:val="00750062"/>
    <w:rsid w:val="007530A6"/>
    <w:rsid w:val="007549B7"/>
    <w:rsid w:val="0075577D"/>
    <w:rsid w:val="007559F8"/>
    <w:rsid w:val="00755E17"/>
    <w:rsid w:val="00763A0D"/>
    <w:rsid w:val="00772940"/>
    <w:rsid w:val="00773188"/>
    <w:rsid w:val="007744B4"/>
    <w:rsid w:val="00783782"/>
    <w:rsid w:val="00784B8C"/>
    <w:rsid w:val="00785A3F"/>
    <w:rsid w:val="00792934"/>
    <w:rsid w:val="0079350E"/>
    <w:rsid w:val="007A11D1"/>
    <w:rsid w:val="007A26FB"/>
    <w:rsid w:val="007B079C"/>
    <w:rsid w:val="007B3904"/>
    <w:rsid w:val="007B5559"/>
    <w:rsid w:val="007B5785"/>
    <w:rsid w:val="007B5992"/>
    <w:rsid w:val="007B6AF0"/>
    <w:rsid w:val="007C3A56"/>
    <w:rsid w:val="007D144B"/>
    <w:rsid w:val="007D293F"/>
    <w:rsid w:val="007D3B45"/>
    <w:rsid w:val="007E235D"/>
    <w:rsid w:val="007E4572"/>
    <w:rsid w:val="007F1D25"/>
    <w:rsid w:val="007F2FC6"/>
    <w:rsid w:val="00807CB3"/>
    <w:rsid w:val="008131F5"/>
    <w:rsid w:val="00815F92"/>
    <w:rsid w:val="0081717C"/>
    <w:rsid w:val="00817639"/>
    <w:rsid w:val="00823A11"/>
    <w:rsid w:val="0082429F"/>
    <w:rsid w:val="00833D88"/>
    <w:rsid w:val="00837355"/>
    <w:rsid w:val="00842D2C"/>
    <w:rsid w:val="00844B63"/>
    <w:rsid w:val="00844BCD"/>
    <w:rsid w:val="00844D51"/>
    <w:rsid w:val="008457D8"/>
    <w:rsid w:val="00846A76"/>
    <w:rsid w:val="0085188A"/>
    <w:rsid w:val="00852866"/>
    <w:rsid w:val="0085414A"/>
    <w:rsid w:val="00856B15"/>
    <w:rsid w:val="0086269D"/>
    <w:rsid w:val="008631AA"/>
    <w:rsid w:val="0086543A"/>
    <w:rsid w:val="008724E5"/>
    <w:rsid w:val="00872953"/>
    <w:rsid w:val="00873DF0"/>
    <w:rsid w:val="00874FEA"/>
    <w:rsid w:val="00875803"/>
    <w:rsid w:val="00877164"/>
    <w:rsid w:val="00880CD9"/>
    <w:rsid w:val="00884A9D"/>
    <w:rsid w:val="0088512B"/>
    <w:rsid w:val="008863D2"/>
    <w:rsid w:val="008911D1"/>
    <w:rsid w:val="00891C19"/>
    <w:rsid w:val="00892B18"/>
    <w:rsid w:val="008948AA"/>
    <w:rsid w:val="00895560"/>
    <w:rsid w:val="0089642C"/>
    <w:rsid w:val="008A1ED4"/>
    <w:rsid w:val="008A1F90"/>
    <w:rsid w:val="008A2B2D"/>
    <w:rsid w:val="008A4E1E"/>
    <w:rsid w:val="008B4CC6"/>
    <w:rsid w:val="008C296C"/>
    <w:rsid w:val="008C39E7"/>
    <w:rsid w:val="008D0279"/>
    <w:rsid w:val="008D4305"/>
    <w:rsid w:val="008D774C"/>
    <w:rsid w:val="008D7CAA"/>
    <w:rsid w:val="008E1ADF"/>
    <w:rsid w:val="008F18CB"/>
    <w:rsid w:val="008F18F8"/>
    <w:rsid w:val="008F1EBF"/>
    <w:rsid w:val="00903B99"/>
    <w:rsid w:val="00905548"/>
    <w:rsid w:val="009064D3"/>
    <w:rsid w:val="00913B63"/>
    <w:rsid w:val="009163A7"/>
    <w:rsid w:val="00920665"/>
    <w:rsid w:val="00926DE0"/>
    <w:rsid w:val="0093358E"/>
    <w:rsid w:val="00934822"/>
    <w:rsid w:val="00935DBB"/>
    <w:rsid w:val="00944FCB"/>
    <w:rsid w:val="009467EB"/>
    <w:rsid w:val="00946D0B"/>
    <w:rsid w:val="00947E5C"/>
    <w:rsid w:val="00952105"/>
    <w:rsid w:val="00955F1F"/>
    <w:rsid w:val="00956608"/>
    <w:rsid w:val="00963736"/>
    <w:rsid w:val="00984D5E"/>
    <w:rsid w:val="00990474"/>
    <w:rsid w:val="0099076C"/>
    <w:rsid w:val="00991D6F"/>
    <w:rsid w:val="00993DB0"/>
    <w:rsid w:val="00995AC8"/>
    <w:rsid w:val="009A12D2"/>
    <w:rsid w:val="009A18CD"/>
    <w:rsid w:val="009A54AE"/>
    <w:rsid w:val="009B08D2"/>
    <w:rsid w:val="009B2F0E"/>
    <w:rsid w:val="009B410F"/>
    <w:rsid w:val="009C0118"/>
    <w:rsid w:val="009C10D3"/>
    <w:rsid w:val="009C4886"/>
    <w:rsid w:val="009D0647"/>
    <w:rsid w:val="009D2098"/>
    <w:rsid w:val="009D23E9"/>
    <w:rsid w:val="009D47C4"/>
    <w:rsid w:val="009E03A3"/>
    <w:rsid w:val="009E3A00"/>
    <w:rsid w:val="009F7C5C"/>
    <w:rsid w:val="00A02BCC"/>
    <w:rsid w:val="00A030AC"/>
    <w:rsid w:val="00A12558"/>
    <w:rsid w:val="00A13903"/>
    <w:rsid w:val="00A13C93"/>
    <w:rsid w:val="00A14DBC"/>
    <w:rsid w:val="00A177C0"/>
    <w:rsid w:val="00A21C7D"/>
    <w:rsid w:val="00A23478"/>
    <w:rsid w:val="00A268C4"/>
    <w:rsid w:val="00A275AB"/>
    <w:rsid w:val="00A30458"/>
    <w:rsid w:val="00A3238D"/>
    <w:rsid w:val="00A34ED5"/>
    <w:rsid w:val="00A3771D"/>
    <w:rsid w:val="00A401E9"/>
    <w:rsid w:val="00A43848"/>
    <w:rsid w:val="00A45DBF"/>
    <w:rsid w:val="00A50368"/>
    <w:rsid w:val="00A60D38"/>
    <w:rsid w:val="00A61E0D"/>
    <w:rsid w:val="00A645DF"/>
    <w:rsid w:val="00A65C29"/>
    <w:rsid w:val="00A65E6D"/>
    <w:rsid w:val="00A67B1F"/>
    <w:rsid w:val="00A755A2"/>
    <w:rsid w:val="00A81916"/>
    <w:rsid w:val="00A9491E"/>
    <w:rsid w:val="00A96506"/>
    <w:rsid w:val="00A97B84"/>
    <w:rsid w:val="00AA4842"/>
    <w:rsid w:val="00AA4D1F"/>
    <w:rsid w:val="00AA6660"/>
    <w:rsid w:val="00AB2C36"/>
    <w:rsid w:val="00AB2C73"/>
    <w:rsid w:val="00AB5E12"/>
    <w:rsid w:val="00AB70B6"/>
    <w:rsid w:val="00AC0694"/>
    <w:rsid w:val="00AC103E"/>
    <w:rsid w:val="00AD1A86"/>
    <w:rsid w:val="00AD1B3B"/>
    <w:rsid w:val="00AD4D18"/>
    <w:rsid w:val="00AD4E49"/>
    <w:rsid w:val="00AD4E56"/>
    <w:rsid w:val="00AD6495"/>
    <w:rsid w:val="00AE103E"/>
    <w:rsid w:val="00AE1DDC"/>
    <w:rsid w:val="00AE539A"/>
    <w:rsid w:val="00AE741B"/>
    <w:rsid w:val="00AF0A07"/>
    <w:rsid w:val="00AF4AEC"/>
    <w:rsid w:val="00AF625E"/>
    <w:rsid w:val="00AF6375"/>
    <w:rsid w:val="00B03C03"/>
    <w:rsid w:val="00B0493C"/>
    <w:rsid w:val="00B0499E"/>
    <w:rsid w:val="00B17AC8"/>
    <w:rsid w:val="00B20454"/>
    <w:rsid w:val="00B20A5A"/>
    <w:rsid w:val="00B34A7F"/>
    <w:rsid w:val="00B361F6"/>
    <w:rsid w:val="00B368CC"/>
    <w:rsid w:val="00B5062A"/>
    <w:rsid w:val="00B53629"/>
    <w:rsid w:val="00B53C0F"/>
    <w:rsid w:val="00B72504"/>
    <w:rsid w:val="00B767CA"/>
    <w:rsid w:val="00B77FED"/>
    <w:rsid w:val="00B86DC7"/>
    <w:rsid w:val="00B91128"/>
    <w:rsid w:val="00B91F10"/>
    <w:rsid w:val="00B939C0"/>
    <w:rsid w:val="00B93C4C"/>
    <w:rsid w:val="00B96A0F"/>
    <w:rsid w:val="00B96B09"/>
    <w:rsid w:val="00BB04AF"/>
    <w:rsid w:val="00BC1100"/>
    <w:rsid w:val="00BC2946"/>
    <w:rsid w:val="00BC332D"/>
    <w:rsid w:val="00BC3361"/>
    <w:rsid w:val="00BC4681"/>
    <w:rsid w:val="00BC6CCB"/>
    <w:rsid w:val="00BC7460"/>
    <w:rsid w:val="00BD52C9"/>
    <w:rsid w:val="00BE022A"/>
    <w:rsid w:val="00BE1594"/>
    <w:rsid w:val="00BE41B3"/>
    <w:rsid w:val="00BE6354"/>
    <w:rsid w:val="00BE68A3"/>
    <w:rsid w:val="00BE6F52"/>
    <w:rsid w:val="00BF25F8"/>
    <w:rsid w:val="00BF3E41"/>
    <w:rsid w:val="00BF7901"/>
    <w:rsid w:val="00C00105"/>
    <w:rsid w:val="00C0623C"/>
    <w:rsid w:val="00C14245"/>
    <w:rsid w:val="00C147BE"/>
    <w:rsid w:val="00C15C94"/>
    <w:rsid w:val="00C208BF"/>
    <w:rsid w:val="00C23A97"/>
    <w:rsid w:val="00C273C2"/>
    <w:rsid w:val="00C27C58"/>
    <w:rsid w:val="00C35262"/>
    <w:rsid w:val="00C42C66"/>
    <w:rsid w:val="00C433D4"/>
    <w:rsid w:val="00C52A00"/>
    <w:rsid w:val="00C6301A"/>
    <w:rsid w:val="00C67832"/>
    <w:rsid w:val="00C70EA7"/>
    <w:rsid w:val="00C7516E"/>
    <w:rsid w:val="00C75770"/>
    <w:rsid w:val="00C77DCD"/>
    <w:rsid w:val="00C8165C"/>
    <w:rsid w:val="00C81F61"/>
    <w:rsid w:val="00C86E90"/>
    <w:rsid w:val="00C9586F"/>
    <w:rsid w:val="00CA16D4"/>
    <w:rsid w:val="00CA64CA"/>
    <w:rsid w:val="00CA719A"/>
    <w:rsid w:val="00CA7F20"/>
    <w:rsid w:val="00CB0DAB"/>
    <w:rsid w:val="00CB2078"/>
    <w:rsid w:val="00CB4D53"/>
    <w:rsid w:val="00CB5650"/>
    <w:rsid w:val="00CB6516"/>
    <w:rsid w:val="00CB7AD8"/>
    <w:rsid w:val="00CC467D"/>
    <w:rsid w:val="00CD3312"/>
    <w:rsid w:val="00CD3A90"/>
    <w:rsid w:val="00CD729F"/>
    <w:rsid w:val="00CE6727"/>
    <w:rsid w:val="00CF2620"/>
    <w:rsid w:val="00CF3679"/>
    <w:rsid w:val="00CF5C0F"/>
    <w:rsid w:val="00CF74EB"/>
    <w:rsid w:val="00D003FC"/>
    <w:rsid w:val="00D00B2B"/>
    <w:rsid w:val="00D0468B"/>
    <w:rsid w:val="00D12573"/>
    <w:rsid w:val="00D16499"/>
    <w:rsid w:val="00D16A03"/>
    <w:rsid w:val="00D218A8"/>
    <w:rsid w:val="00D24877"/>
    <w:rsid w:val="00D25762"/>
    <w:rsid w:val="00D37D52"/>
    <w:rsid w:val="00D40BA5"/>
    <w:rsid w:val="00D445EC"/>
    <w:rsid w:val="00D474DC"/>
    <w:rsid w:val="00D503BE"/>
    <w:rsid w:val="00D5042F"/>
    <w:rsid w:val="00D55CC8"/>
    <w:rsid w:val="00D570C4"/>
    <w:rsid w:val="00D62AB2"/>
    <w:rsid w:val="00D63C89"/>
    <w:rsid w:val="00D64752"/>
    <w:rsid w:val="00D67266"/>
    <w:rsid w:val="00D72BEC"/>
    <w:rsid w:val="00D73B51"/>
    <w:rsid w:val="00D76284"/>
    <w:rsid w:val="00D81EC5"/>
    <w:rsid w:val="00D83B10"/>
    <w:rsid w:val="00D854AC"/>
    <w:rsid w:val="00D86C3D"/>
    <w:rsid w:val="00D95A17"/>
    <w:rsid w:val="00D95C4C"/>
    <w:rsid w:val="00DA36ED"/>
    <w:rsid w:val="00DA6393"/>
    <w:rsid w:val="00DA696E"/>
    <w:rsid w:val="00DB2857"/>
    <w:rsid w:val="00DB3CC3"/>
    <w:rsid w:val="00DB4D51"/>
    <w:rsid w:val="00DD167B"/>
    <w:rsid w:val="00DD2DC8"/>
    <w:rsid w:val="00DD471E"/>
    <w:rsid w:val="00DD5CE7"/>
    <w:rsid w:val="00DE07FA"/>
    <w:rsid w:val="00DE34F1"/>
    <w:rsid w:val="00DE3C7B"/>
    <w:rsid w:val="00DE4A71"/>
    <w:rsid w:val="00DE6A7F"/>
    <w:rsid w:val="00DF1512"/>
    <w:rsid w:val="00DF4942"/>
    <w:rsid w:val="00E02F06"/>
    <w:rsid w:val="00E03602"/>
    <w:rsid w:val="00E0376A"/>
    <w:rsid w:val="00E0443E"/>
    <w:rsid w:val="00E062E5"/>
    <w:rsid w:val="00E16CD8"/>
    <w:rsid w:val="00E174F0"/>
    <w:rsid w:val="00E214C3"/>
    <w:rsid w:val="00E26A4F"/>
    <w:rsid w:val="00E270D3"/>
    <w:rsid w:val="00E300FE"/>
    <w:rsid w:val="00E31002"/>
    <w:rsid w:val="00E31DD8"/>
    <w:rsid w:val="00E36702"/>
    <w:rsid w:val="00E3702E"/>
    <w:rsid w:val="00E40D3D"/>
    <w:rsid w:val="00E532FE"/>
    <w:rsid w:val="00E54CE9"/>
    <w:rsid w:val="00E5650E"/>
    <w:rsid w:val="00E60656"/>
    <w:rsid w:val="00E613A4"/>
    <w:rsid w:val="00E61CAD"/>
    <w:rsid w:val="00E627B1"/>
    <w:rsid w:val="00E63FC3"/>
    <w:rsid w:val="00E7306A"/>
    <w:rsid w:val="00E83AB2"/>
    <w:rsid w:val="00E92298"/>
    <w:rsid w:val="00E92EE8"/>
    <w:rsid w:val="00E9376C"/>
    <w:rsid w:val="00E96422"/>
    <w:rsid w:val="00EA0B0A"/>
    <w:rsid w:val="00EA0DDE"/>
    <w:rsid w:val="00EA1C1A"/>
    <w:rsid w:val="00EA245B"/>
    <w:rsid w:val="00EA335E"/>
    <w:rsid w:val="00EA51AA"/>
    <w:rsid w:val="00EA528C"/>
    <w:rsid w:val="00EA7191"/>
    <w:rsid w:val="00EB1787"/>
    <w:rsid w:val="00EB209C"/>
    <w:rsid w:val="00EB5F9B"/>
    <w:rsid w:val="00EC199B"/>
    <w:rsid w:val="00EC3FEF"/>
    <w:rsid w:val="00EC7561"/>
    <w:rsid w:val="00EC75D0"/>
    <w:rsid w:val="00ED01EA"/>
    <w:rsid w:val="00ED6B87"/>
    <w:rsid w:val="00ED78BA"/>
    <w:rsid w:val="00EE0C4F"/>
    <w:rsid w:val="00EF1506"/>
    <w:rsid w:val="00EF175F"/>
    <w:rsid w:val="00EF19A6"/>
    <w:rsid w:val="00EF34E2"/>
    <w:rsid w:val="00EF3C1F"/>
    <w:rsid w:val="00EF4F1F"/>
    <w:rsid w:val="00EF69E3"/>
    <w:rsid w:val="00EF7D7F"/>
    <w:rsid w:val="00F010E0"/>
    <w:rsid w:val="00F14195"/>
    <w:rsid w:val="00F14506"/>
    <w:rsid w:val="00F219EA"/>
    <w:rsid w:val="00F21D3E"/>
    <w:rsid w:val="00F31EA6"/>
    <w:rsid w:val="00F32056"/>
    <w:rsid w:val="00F32411"/>
    <w:rsid w:val="00F33777"/>
    <w:rsid w:val="00F347A7"/>
    <w:rsid w:val="00F37656"/>
    <w:rsid w:val="00F37CC2"/>
    <w:rsid w:val="00F41EEC"/>
    <w:rsid w:val="00F46262"/>
    <w:rsid w:val="00F52A91"/>
    <w:rsid w:val="00F53DE9"/>
    <w:rsid w:val="00F576CB"/>
    <w:rsid w:val="00F6072A"/>
    <w:rsid w:val="00F6160F"/>
    <w:rsid w:val="00F62FE1"/>
    <w:rsid w:val="00F65666"/>
    <w:rsid w:val="00F71A02"/>
    <w:rsid w:val="00F730BE"/>
    <w:rsid w:val="00F7370E"/>
    <w:rsid w:val="00F74156"/>
    <w:rsid w:val="00F84FFE"/>
    <w:rsid w:val="00F8644D"/>
    <w:rsid w:val="00F94CB6"/>
    <w:rsid w:val="00F953B9"/>
    <w:rsid w:val="00FA0A82"/>
    <w:rsid w:val="00FA5FB6"/>
    <w:rsid w:val="00FA622F"/>
    <w:rsid w:val="00FA7342"/>
    <w:rsid w:val="00FA745F"/>
    <w:rsid w:val="00FA7A54"/>
    <w:rsid w:val="00FB5FDB"/>
    <w:rsid w:val="00FB6630"/>
    <w:rsid w:val="00FC2250"/>
    <w:rsid w:val="00FC2E37"/>
    <w:rsid w:val="00FC3B53"/>
    <w:rsid w:val="00FC4A5F"/>
    <w:rsid w:val="00FD0F59"/>
    <w:rsid w:val="00FD11C1"/>
    <w:rsid w:val="00FD1226"/>
    <w:rsid w:val="00FE0968"/>
    <w:rsid w:val="00FE1176"/>
    <w:rsid w:val="00FE6A0D"/>
    <w:rsid w:val="00FF011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AA34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Paragraphedeliste">
    <w:name w:val="List Paragraph"/>
    <w:aliases w:val="List Paragraph (numbered (a)),Lapis Bulleted List,Dot pt,F5 List Paragraph,No Spacing1,List Paragraph Char Char Char,Indicator Text,Numbered Para 1,Bullet 1,List Paragraph12,Bullet Points,MAIN CONTENT,List Paragraph1,Normal bullet 2"/>
    <w:basedOn w:val="Normal"/>
    <w:link w:val="ParagraphedelisteCar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uiPriority w:val="59"/>
    <w:rsid w:val="00191ADC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A268C4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68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68C4"/>
    <w:rPr>
      <w:rFonts w:asciiTheme="minorHAnsi" w:eastAsiaTheme="minorHAnsi" w:hAnsiTheme="minorHAnsi" w:cstheme="minorBidi"/>
      <w:lang w:val="ru-RU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268C4"/>
    <w:rPr>
      <w:vertAlign w:val="superscript"/>
    </w:rPr>
  </w:style>
  <w:style w:type="character" w:customStyle="1" w:styleId="textview">
    <w:name w:val="textview"/>
    <w:basedOn w:val="Policepardfaut"/>
    <w:rsid w:val="00A268C4"/>
  </w:style>
  <w:style w:type="table" w:customStyle="1" w:styleId="TableGrid2">
    <w:name w:val="Table Grid2"/>
    <w:basedOn w:val="TableauNormal"/>
    <w:next w:val="Grilledutableau"/>
    <w:uiPriority w:val="59"/>
    <w:rsid w:val="00A268C4"/>
    <w:rPr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aliases w:val="List Paragraph (numbered (a)) Car,Lapis Bulleted List Car,Dot pt Car,F5 List Paragraph Car,No Spacing1 Car,List Paragraph Char Char Char Car,Indicator Text Car,Numbered Para 1 Car,Bullet 1 Car,List Paragraph12 Car"/>
    <w:basedOn w:val="Policepardfaut"/>
    <w:link w:val="Paragraphedeliste"/>
    <w:uiPriority w:val="34"/>
    <w:qFormat/>
    <w:locked/>
    <w:rsid w:val="00A268C4"/>
    <w:rPr>
      <w:rFonts w:ascii="Times New Roman" w:eastAsia="Times New Roman" w:hAnsi="Times New Roman"/>
      <w:sz w:val="24"/>
      <w:szCs w:val="24"/>
      <w:lang w:val="ru-RU" w:eastAsia="fr-FR"/>
    </w:rPr>
  </w:style>
  <w:style w:type="paragraph" w:customStyle="1" w:styleId="COMPara">
    <w:name w:val="COM Para"/>
    <w:qFormat/>
    <w:rsid w:val="002E1C7F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E1C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C7F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C7F"/>
    <w:rPr>
      <w:rFonts w:asciiTheme="minorHAnsi" w:eastAsiaTheme="minorEastAsia" w:hAnsiTheme="minorHAnsi" w:cstheme="minorBidi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411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411"/>
    <w:rPr>
      <w:rFonts w:ascii="Times New Roman" w:eastAsia="Times New Roman" w:hAnsi="Times New Roman" w:cstheme="minorBidi"/>
      <w:b/>
      <w:bCs/>
      <w:lang w:val="ru-RU" w:eastAsia="fr-FR"/>
    </w:rPr>
  </w:style>
  <w:style w:type="paragraph" w:customStyle="1" w:styleId="COMTitleDecision">
    <w:name w:val="COM Title Decision"/>
    <w:basedOn w:val="Normal"/>
    <w:qFormat/>
    <w:rsid w:val="00BF7901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table" w:styleId="Grilledetableauclaire">
    <w:name w:val="Grid Table Light"/>
    <w:basedOn w:val="TableauNormal"/>
    <w:uiPriority w:val="40"/>
    <w:rsid w:val="00BF79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Bullet_1"/>
    <w:basedOn w:val="Marge"/>
    <w:link w:val="Bullet1Char"/>
    <w:qFormat/>
    <w:rsid w:val="00D503BE"/>
    <w:pPr>
      <w:numPr>
        <w:numId w:val="51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paragraph" w:customStyle="1" w:styleId="Bullet2">
    <w:name w:val="Bullet_2"/>
    <w:basedOn w:val="Marge"/>
    <w:qFormat/>
    <w:rsid w:val="00D503BE"/>
    <w:pPr>
      <w:numPr>
        <w:ilvl w:val="1"/>
        <w:numId w:val="51"/>
      </w:numPr>
      <w:tabs>
        <w:tab w:val="clear" w:pos="567"/>
      </w:tabs>
      <w:spacing w:before="240" w:line="360" w:lineRule="auto"/>
      <w:ind w:left="1134" w:hanging="567"/>
    </w:pPr>
    <w:rPr>
      <w:rFonts w:eastAsia="SimSun" w:cs="Arial"/>
      <w:sz w:val="28"/>
      <w:szCs w:val="28"/>
      <w:lang w:eastAsia="zh-CN"/>
    </w:rPr>
  </w:style>
  <w:style w:type="character" w:customStyle="1" w:styleId="Bullet1Char">
    <w:name w:val="Bullet_1 Char"/>
    <w:link w:val="Bullet1"/>
    <w:rsid w:val="00D503BE"/>
    <w:rPr>
      <w:rFonts w:ascii="Arial" w:hAnsi="Arial" w:cs="Arial"/>
      <w:snapToGrid w:val="0"/>
      <w:sz w:val="28"/>
      <w:szCs w:val="28"/>
      <w:lang w:eastAsia="zh-CN"/>
    </w:rPr>
  </w:style>
  <w:style w:type="paragraph" w:styleId="Rvision">
    <w:name w:val="Revision"/>
    <w:hidden/>
    <w:uiPriority w:val="99"/>
    <w:semiHidden/>
    <w:rsid w:val="00BC3361"/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0710"/>
    <w:rPr>
      <w:color w:val="954F72" w:themeColor="followedHyperlink"/>
      <w:u w:val="single"/>
    </w:rPr>
  </w:style>
  <w:style w:type="paragraph" w:customStyle="1" w:styleId="decisionelement">
    <w:name w:val="decision_element"/>
    <w:basedOn w:val="Normal"/>
    <w:rsid w:val="00AB2C73"/>
    <w:pPr>
      <w:spacing w:before="100" w:beforeAutospacing="1" w:after="100" w:afterAutospacing="1"/>
    </w:pPr>
    <w:rPr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BC4681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400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400C"/>
    <w:rPr>
      <w:rFonts w:ascii="Times New Roman" w:eastAsia="Times New Roman" w:hAnsi="Times New Roman"/>
      <w:lang w:val="ru-RU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24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2-9.GA-10-RU.docx" TargetMode="External"/><Relationship Id="rId13" Type="http://schemas.openxmlformats.org/officeDocument/2006/relationships/hyperlink" Target="https://ich.unesco.org/doc/src/LHE-22-9.GA-8-RU.docx" TargetMode="External"/><Relationship Id="rId18" Type="http://schemas.openxmlformats.org/officeDocument/2006/relationships/hyperlink" Target="https://ich.unesco.org/en/reflection-on-the-role-of-ngos-01037" TargetMode="External"/><Relationship Id="rId26" Type="http://schemas.openxmlformats.org/officeDocument/2006/relationships/hyperlink" Target="https://ich.unesco.org/en/projects/community-based-inventorying-of-intangible-heritage-in-urban-areas-0042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ch.unesco.org/doc/src/LHE-22-9.GA-INF.10-EN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living-heritage-and-the-covid-19-pandemic-01179" TargetMode="External"/><Relationship Id="rId17" Type="http://schemas.openxmlformats.org/officeDocument/2006/relationships/hyperlink" Target="https://ich.unesco.org/doc/src/LHE-22-9.GA-7-RU.docx" TargetMode="External"/><Relationship Id="rId25" Type="http://schemas.openxmlformats.org/officeDocument/2006/relationships/hyperlink" Target="https://ich.unesco.org/en/clearinghouse-education" TargetMode="External"/><Relationship Id="rId33" Type="http://schemas.openxmlformats.org/officeDocument/2006/relationships/hyperlink" Target="https://ich.unesco.org/doc/src/LHE-22-9.GA-9-RU.docx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22-9.GA-9-RU.docx" TargetMode="External"/><Relationship Id="rId20" Type="http://schemas.openxmlformats.org/officeDocument/2006/relationships/hyperlink" Target="https://ich.unesco.org/doc/src/LHE-22-9.GA-10-RU.docx" TargetMode="External"/><Relationship Id="rId29" Type="http://schemas.openxmlformats.org/officeDocument/2006/relationships/hyperlink" Target="https://ich.unesco.org/en/emergency-situations-011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iving_Heritage_in_the_face_of_COVID-19_-_High_Resolution.pdf" TargetMode="External"/><Relationship Id="rId24" Type="http://schemas.openxmlformats.org/officeDocument/2006/relationships/hyperlink" Target="https://ich.unesco.org/en/events/webinar-on-intangible-cultural-heritage-and-education-for-sustainable-development-00835" TargetMode="External"/><Relationship Id="rId32" Type="http://schemas.openxmlformats.org/officeDocument/2006/relationships/hyperlink" Target="https://ich.unesco.org/en/Decisions/16.COM/5.b" TargetMode="External"/><Relationship Id="rId37" Type="http://schemas.openxmlformats.org/officeDocument/2006/relationships/hyperlink" Target="https://ich.unesco.org/en/platform-on-living-heritage-experiences-and-covid-19-0112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6.COM/14" TargetMode="External"/><Relationship Id="rId23" Type="http://schemas.openxmlformats.org/officeDocument/2006/relationships/hyperlink" Target="https://ich.unesco.org/en/facilitator" TargetMode="External"/><Relationship Id="rId28" Type="http://schemas.openxmlformats.org/officeDocument/2006/relationships/hyperlink" Target="https://ich.unesco.org/en/dive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ich.unesco.org/doc/src/LHE-20-8.GA-6+Add.-EN.docx" TargetMode="External"/><Relationship Id="rId19" Type="http://schemas.openxmlformats.org/officeDocument/2006/relationships/hyperlink" Target="https://ich.unesco.org/doc/src/LHE-22-9.GA-INF.3.1-EN.docx" TargetMode="External"/><Relationship Id="rId31" Type="http://schemas.openxmlformats.org/officeDocument/2006/relationships/hyperlink" Target="https://ich.unesco.org/en/news/75th-anniversary-of-unesco-13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1-16.COM-INF.10_Rev.-EN.pdf" TargetMode="External"/><Relationship Id="rId14" Type="http://schemas.openxmlformats.org/officeDocument/2006/relationships/hyperlink" Target="https://ich.unesco.org/doc/src/LHE-22-9.GA-5-RU.docx" TargetMode="External"/><Relationship Id="rId22" Type="http://schemas.openxmlformats.org/officeDocument/2006/relationships/hyperlink" Target="https://ich.unesco.org/doc/src/53724-EN.pdf" TargetMode="External"/><Relationship Id="rId27" Type="http://schemas.openxmlformats.org/officeDocument/2006/relationships/hyperlink" Target="https://ich.unesco.org/doc/src/LHE-22-9.GA-12_RU.docx" TargetMode="External"/><Relationship Id="rId30" Type="http://schemas.openxmlformats.org/officeDocument/2006/relationships/hyperlink" Target="https://ich.unesco.org/en/education-01017" TargetMode="External"/><Relationship Id="rId35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0-8.GA-Resolutions-RU.docx" TargetMode="External"/><Relationship Id="rId3" Type="http://schemas.openxmlformats.org/officeDocument/2006/relationships/hyperlink" Target="https://ich.unesco.org/en/Decisions/15.COM/8" TargetMode="External"/><Relationship Id="rId7" Type="http://schemas.openxmlformats.org/officeDocument/2006/relationships/hyperlink" Target="https://ich.unesco.org/doc/src/LHE-20-8.GA-Resolutions-RU.docx" TargetMode="External"/><Relationship Id="rId2" Type="http://schemas.openxmlformats.org/officeDocument/2006/relationships/hyperlink" Target="https://ich.unesco.org/en/Decisions/14.COM/15" TargetMode="External"/><Relationship Id="rId1" Type="http://schemas.openxmlformats.org/officeDocument/2006/relationships/hyperlink" Target="https://ich.unesco.org/doc/src/LHE-21-16.COM-INF.10_Rev.-EN.pdf" TargetMode="External"/><Relationship Id="rId6" Type="http://schemas.openxmlformats.org/officeDocument/2006/relationships/hyperlink" Target="https://unesdoc.unesco.org/ark:/48223/pf0000379571.locale=en" TargetMode="External"/><Relationship Id="rId5" Type="http://schemas.openxmlformats.org/officeDocument/2006/relationships/hyperlink" Target="https://ich.unesco.org/en/Decisions/14.COM/10" TargetMode="External"/><Relationship Id="rId4" Type="http://schemas.openxmlformats.org/officeDocument/2006/relationships/hyperlink" Target="https://ich.unesco.org/en/Decisions/15.COM/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FDC-A5C7-477D-91CA-C356796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169</TotalTime>
  <Pages>19</Pages>
  <Words>7139</Words>
  <Characters>39265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Ohinata, Fumiko</cp:lastModifiedBy>
  <cp:revision>75</cp:revision>
  <cp:lastPrinted>2022-06-23T17:27:00Z</cp:lastPrinted>
  <dcterms:created xsi:type="dcterms:W3CDTF">2022-06-22T15:46:00Z</dcterms:created>
  <dcterms:modified xsi:type="dcterms:W3CDTF">2022-06-26T16:05:00Z</dcterms:modified>
</cp:coreProperties>
</file>