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034E57EF" w:rsidR="00655736" w:rsidRPr="00DA1B98" w:rsidRDefault="00655736" w:rsidP="00EC0AE0">
      <w:pPr>
        <w:bidi/>
        <w:spacing w:before="1440"/>
        <w:jc w:val="center"/>
        <w:rPr>
          <w:rFonts w:ascii="Arial" w:hAnsi="Arial"/>
          <w:b/>
          <w:sz w:val="22"/>
          <w:rtl/>
        </w:rPr>
      </w:pPr>
      <w:r w:rsidRPr="00DA1B98">
        <w:rPr>
          <w:rFonts w:ascii="Arial" w:hAnsi="Arial" w:hint="cs"/>
          <w:b/>
          <w:bCs/>
          <w:sz w:val="22"/>
          <w:rtl/>
        </w:rPr>
        <w:t>اتفاقية صون التراث الثقافي غير المادي</w:t>
      </w:r>
    </w:p>
    <w:p w14:paraId="2CDB5643" w14:textId="77777777" w:rsidR="00655736" w:rsidRPr="00DA1B98" w:rsidRDefault="00D95C4C" w:rsidP="00EC0AE0">
      <w:pPr>
        <w:bidi/>
        <w:spacing w:before="1200"/>
        <w:jc w:val="center"/>
        <w:rPr>
          <w:rFonts w:ascii="Arial" w:hAnsi="Arial"/>
          <w:b/>
          <w:sz w:val="22"/>
          <w:rtl/>
        </w:rPr>
      </w:pPr>
      <w:r w:rsidRPr="00DA1B98">
        <w:rPr>
          <w:rFonts w:ascii="Arial" w:hAnsi="Arial" w:hint="cs"/>
          <w:b/>
          <w:bCs/>
          <w:sz w:val="22"/>
          <w:rtl/>
        </w:rPr>
        <w:t>الجمعية العامة للدول الأطراف في الاتفاقية</w:t>
      </w:r>
    </w:p>
    <w:p w14:paraId="75891C68" w14:textId="17A6551A" w:rsidR="00D95C4C" w:rsidRPr="00DA1B98" w:rsidRDefault="003265D0" w:rsidP="00EC0AE0">
      <w:pPr>
        <w:bidi/>
        <w:spacing w:before="840"/>
        <w:jc w:val="center"/>
        <w:rPr>
          <w:rFonts w:ascii="Arial" w:hAnsi="Arial"/>
          <w:b/>
          <w:sz w:val="22"/>
          <w:rtl/>
        </w:rPr>
      </w:pPr>
      <w:r w:rsidRPr="00DA1B98">
        <w:rPr>
          <w:rFonts w:ascii="Arial" w:hAnsi="Arial" w:hint="cs"/>
          <w:b/>
          <w:bCs/>
          <w:sz w:val="22"/>
          <w:rtl/>
        </w:rPr>
        <w:t>الدورة التاسعة</w:t>
      </w:r>
    </w:p>
    <w:p w14:paraId="2813BA58" w14:textId="77777777" w:rsidR="00D95C4C" w:rsidRPr="00DA1B98" w:rsidRDefault="00D95C4C" w:rsidP="00EC0AE0">
      <w:pPr>
        <w:bidi/>
        <w:jc w:val="center"/>
        <w:rPr>
          <w:rFonts w:ascii="Arial" w:hAnsi="Arial"/>
          <w:b/>
          <w:sz w:val="22"/>
          <w:rtl/>
        </w:rPr>
      </w:pPr>
      <w:r w:rsidRPr="00DA1B98">
        <w:rPr>
          <w:rFonts w:ascii="Arial" w:hAnsi="Arial" w:hint="cs"/>
          <w:b/>
          <w:bCs/>
          <w:sz w:val="22"/>
          <w:rtl/>
        </w:rPr>
        <w:t>مقر اليونسكو، القاعة 1</w:t>
      </w:r>
    </w:p>
    <w:p w14:paraId="17E07F7D" w14:textId="1A219ADD" w:rsidR="00655736" w:rsidRPr="00DA1B98" w:rsidRDefault="003265D0" w:rsidP="00EC0AE0">
      <w:pPr>
        <w:bidi/>
        <w:jc w:val="center"/>
        <w:rPr>
          <w:rFonts w:ascii="Arial" w:hAnsi="Arial"/>
          <w:b/>
          <w:sz w:val="22"/>
          <w:rtl/>
        </w:rPr>
      </w:pPr>
      <w:r w:rsidRPr="00DA1B98">
        <w:rPr>
          <w:rFonts w:ascii="Arial" w:hAnsi="Arial" w:hint="cs"/>
          <w:b/>
          <w:bCs/>
          <w:sz w:val="22"/>
          <w:rtl/>
        </w:rPr>
        <w:t>5 - 7 يوليو/تموز 2022</w:t>
      </w:r>
    </w:p>
    <w:p w14:paraId="1A8796C2" w14:textId="169012BE" w:rsidR="00655736" w:rsidRPr="00DA1B98" w:rsidRDefault="00655736" w:rsidP="00EC0AE0">
      <w:pPr>
        <w:pStyle w:val="Sansinterligne2"/>
        <w:bidi/>
        <w:spacing w:before="1200"/>
        <w:jc w:val="center"/>
        <w:rPr>
          <w:rFonts w:ascii="Arial" w:hAnsi="Arial"/>
          <w:b/>
          <w:sz w:val="22"/>
          <w:rtl/>
        </w:rPr>
      </w:pPr>
      <w:r w:rsidRPr="00DA1B98">
        <w:rPr>
          <w:rFonts w:ascii="Arial" w:hAnsi="Arial" w:hint="cs"/>
          <w:b/>
          <w:bCs/>
          <w:sz w:val="22"/>
          <w:u w:val="single"/>
          <w:rtl/>
        </w:rPr>
        <w:t>البند 6 من جدول الأعمال المؤقت</w:t>
      </w:r>
      <w:r w:rsidRPr="00DA1B98">
        <w:rPr>
          <w:rFonts w:ascii="Arial" w:hAnsi="Arial" w:hint="cs"/>
          <w:b/>
          <w:bCs/>
          <w:sz w:val="22"/>
          <w:rtl/>
        </w:rPr>
        <w:t>:</w:t>
      </w:r>
    </w:p>
    <w:p w14:paraId="016344CB" w14:textId="302BB29B" w:rsidR="00FC3B53" w:rsidRPr="00DA1B98" w:rsidRDefault="00FC3B53" w:rsidP="003048E6">
      <w:pPr>
        <w:pStyle w:val="Sansinterligne2"/>
        <w:bidi/>
        <w:jc w:val="center"/>
        <w:rPr>
          <w:rFonts w:asciiTheme="minorBidi" w:hAnsiTheme="minorBidi" w:cstheme="minorBidi"/>
          <w:b/>
          <w:sz w:val="22"/>
          <w:rtl/>
        </w:rPr>
      </w:pPr>
      <w:r w:rsidRPr="00DA1B98">
        <w:rPr>
          <w:rFonts w:asciiTheme="minorBidi" w:hAnsiTheme="minorBidi" w:cstheme="minorBidi" w:hint="cs"/>
          <w:b/>
          <w:bCs/>
          <w:sz w:val="22"/>
          <w:rtl/>
        </w:rPr>
        <w:t>تقرير الأمانة عن أنشطتها</w:t>
      </w:r>
    </w:p>
    <w:p w14:paraId="5852D9AA" w14:textId="176FA4E6" w:rsidR="00FC3B53" w:rsidRPr="00DA1B98" w:rsidRDefault="00FC3B53" w:rsidP="003048E6">
      <w:pPr>
        <w:pStyle w:val="Sansinterligne2"/>
        <w:bidi/>
        <w:spacing w:after="960"/>
        <w:jc w:val="center"/>
        <w:rPr>
          <w:rFonts w:asciiTheme="minorBidi" w:hAnsiTheme="minorBidi" w:cstheme="minorBidi"/>
          <w:b/>
          <w:sz w:val="22"/>
          <w:rtl/>
        </w:rPr>
      </w:pPr>
      <w:r w:rsidRPr="00DA1B98">
        <w:rPr>
          <w:rFonts w:asciiTheme="minorBidi" w:hAnsiTheme="minorBidi" w:cstheme="minorBidi" w:hint="cs"/>
          <w:b/>
          <w:bCs/>
          <w:sz w:val="22"/>
          <w:rtl/>
        </w:rPr>
        <w:t xml:space="preserve">(كانون الثاني/يناير 2020 </w:t>
      </w:r>
      <w:r w:rsidR="00EC0AE0" w:rsidRPr="00775E6D">
        <w:rPr>
          <w:rFonts w:asciiTheme="minorBidi" w:hAnsiTheme="minorBidi" w:cstheme="minorBidi" w:hint="eastAsia"/>
          <w:b/>
          <w:bCs/>
          <w:sz w:val="22"/>
          <w:rtl/>
        </w:rPr>
        <w:t>حتى</w:t>
      </w:r>
      <w:r w:rsidR="00EC0AE0" w:rsidRPr="00DA1B98" w:rsidDel="00EC0AE0">
        <w:rPr>
          <w:rFonts w:asciiTheme="minorBidi" w:hAnsiTheme="minorBidi" w:cstheme="minorBidi" w:hint="cs"/>
          <w:b/>
          <w:bCs/>
          <w:sz w:val="22"/>
          <w:rtl/>
        </w:rPr>
        <w:t xml:space="preserve"> </w:t>
      </w:r>
      <w:r w:rsidRPr="00DA1B98">
        <w:rPr>
          <w:rFonts w:asciiTheme="minorBidi" w:hAnsiTheme="minorBidi" w:cstheme="minorBidi" w:hint="cs"/>
          <w:b/>
          <w:bCs/>
          <w:sz w:val="22"/>
          <w:rtl/>
        </w:rPr>
        <w:t>كانون الأول/ديسمبر 2021)</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DA1B98" w14:paraId="796B6D01" w14:textId="77777777" w:rsidTr="002F312A">
        <w:trPr>
          <w:jc w:val="center"/>
        </w:trPr>
        <w:tc>
          <w:tcPr>
            <w:tcW w:w="5670" w:type="dxa"/>
            <w:vAlign w:val="center"/>
          </w:tcPr>
          <w:p w14:paraId="08389200" w14:textId="77777777" w:rsidR="0057439C" w:rsidRPr="00DA1B98" w:rsidRDefault="0057439C" w:rsidP="009928D3">
            <w:pPr>
              <w:pStyle w:val="Sansinterligne1"/>
              <w:bidi/>
              <w:spacing w:before="200" w:after="200"/>
              <w:jc w:val="center"/>
              <w:rPr>
                <w:rFonts w:ascii="Arial" w:hAnsi="Arial"/>
                <w:b/>
                <w:sz w:val="22"/>
                <w:rtl/>
              </w:rPr>
            </w:pPr>
            <w:r w:rsidRPr="00DA1B98">
              <w:rPr>
                <w:rFonts w:ascii="Arial" w:hAnsi="Arial" w:hint="cs"/>
                <w:b/>
                <w:bCs/>
                <w:sz w:val="22"/>
                <w:rtl/>
              </w:rPr>
              <w:t>الملخص</w:t>
            </w:r>
          </w:p>
          <w:p w14:paraId="5F884104" w14:textId="610D976C" w:rsidR="00FC3B53" w:rsidRPr="00DA1B98" w:rsidRDefault="00FC3B53" w:rsidP="003048E6">
            <w:pPr>
              <w:pStyle w:val="Sansinterligne1"/>
              <w:bidi/>
              <w:spacing w:before="200" w:after="200"/>
              <w:jc w:val="both"/>
              <w:rPr>
                <w:rFonts w:asciiTheme="minorBidi" w:hAnsiTheme="minorBidi" w:cstheme="minorBidi"/>
                <w:bCs/>
                <w:sz w:val="22"/>
                <w:rtl/>
              </w:rPr>
            </w:pPr>
            <w:r w:rsidRPr="00DA1B98">
              <w:rPr>
                <w:rFonts w:asciiTheme="minorBidi" w:hAnsiTheme="minorBidi" w:cstheme="minorBidi" w:hint="cs"/>
                <w:sz w:val="22"/>
                <w:rtl/>
              </w:rPr>
              <w:t>تقدم هذه الوثيقة لمحة عامة عن الأنشطة التي اضطلعت بها أمانة اتفاقية 2003 في الفترة من 1 كانون الثاني/يناير 2020 إلى 31 كانون الأول/ديسمبر 2021، بما في ذلك التصدي لجائحة كوفيد-19.</w:t>
            </w:r>
          </w:p>
          <w:p w14:paraId="7D45CA36" w14:textId="0DDAEC7B" w:rsidR="00655736" w:rsidRPr="00DA1B98" w:rsidRDefault="00FB6630" w:rsidP="003048E6">
            <w:pPr>
              <w:pStyle w:val="Sansinterligne2"/>
              <w:bidi/>
              <w:spacing w:after="120"/>
              <w:jc w:val="both"/>
              <w:rPr>
                <w:rFonts w:ascii="Arial" w:hAnsi="Arial"/>
                <w:b/>
                <w:sz w:val="22"/>
                <w:rtl/>
              </w:rPr>
            </w:pPr>
            <w:r w:rsidRPr="00DA1B98">
              <w:rPr>
                <w:rFonts w:ascii="Arial" w:hAnsi="Arial" w:hint="cs"/>
                <w:b/>
                <w:bCs/>
                <w:sz w:val="22"/>
                <w:rtl/>
              </w:rPr>
              <w:t>القرار المطلوب</w:t>
            </w:r>
            <w:r w:rsidRPr="00DA1B98">
              <w:rPr>
                <w:rFonts w:ascii="Arial" w:hAnsi="Arial" w:hint="cs"/>
                <w:sz w:val="22"/>
                <w:rtl/>
              </w:rPr>
              <w:t>: الفقرة 35</w:t>
            </w:r>
          </w:p>
        </w:tc>
      </w:tr>
    </w:tbl>
    <w:p w14:paraId="2941B514" w14:textId="77777777" w:rsidR="00176720" w:rsidRPr="00DA1B98" w:rsidRDefault="00655736" w:rsidP="00775E6D">
      <w:pPr>
        <w:pStyle w:val="GAPara"/>
        <w:numPr>
          <w:ilvl w:val="0"/>
          <w:numId w:val="0"/>
        </w:numPr>
        <w:bidi/>
        <w:jc w:val="both"/>
        <w:rPr>
          <w:szCs w:val="24"/>
          <w:rtl/>
          <w:lang w:bidi="ur-IN"/>
        </w:rPr>
      </w:pPr>
      <w:r w:rsidRPr="00DA1B98">
        <w:rPr>
          <w:rFonts w:hint="cs"/>
          <w:szCs w:val="24"/>
          <w:rtl/>
        </w:rPr>
        <w:br w:type="page"/>
      </w:r>
    </w:p>
    <w:p w14:paraId="3891F9E6" w14:textId="5684081F" w:rsidR="00C42C66" w:rsidRPr="00DA1B98" w:rsidRDefault="002E1C7F" w:rsidP="00775E6D">
      <w:pPr>
        <w:pStyle w:val="COMPara"/>
        <w:keepNext/>
        <w:bidi/>
        <w:spacing w:before="240"/>
        <w:ind w:left="576" w:firstLine="0"/>
        <w:jc w:val="both"/>
        <w:rPr>
          <w:rFonts w:asciiTheme="minorBidi" w:hAnsiTheme="minorBidi" w:cstheme="minorBidi"/>
          <w:b/>
          <w:bCs/>
          <w:szCs w:val="24"/>
          <w:rtl/>
        </w:rPr>
      </w:pPr>
      <w:r w:rsidRPr="00DA1B98">
        <w:rPr>
          <w:rFonts w:asciiTheme="minorBidi" w:hAnsiTheme="minorBidi" w:cstheme="minorBidi" w:hint="cs"/>
          <w:b/>
          <w:bCs/>
          <w:szCs w:val="24"/>
          <w:rtl/>
        </w:rPr>
        <w:lastRenderedPageBreak/>
        <w:t>مقدمة</w:t>
      </w:r>
    </w:p>
    <w:p w14:paraId="3D7C0183" w14:textId="4C9B74ED" w:rsidR="00F32411" w:rsidRPr="00DA1B98" w:rsidRDefault="00FC4A5F" w:rsidP="00775E6D">
      <w:pPr>
        <w:pStyle w:val="GAPara"/>
        <w:numPr>
          <w:ilvl w:val="0"/>
          <w:numId w:val="19"/>
        </w:numPr>
        <w:bidi/>
        <w:ind w:left="567" w:hanging="567"/>
        <w:jc w:val="both"/>
        <w:rPr>
          <w:bCs/>
          <w:szCs w:val="24"/>
          <w:rtl/>
        </w:rPr>
      </w:pPr>
      <w:r w:rsidRPr="00DA1B98">
        <w:rPr>
          <w:rFonts w:hint="cs"/>
          <w:szCs w:val="24"/>
          <w:rtl/>
        </w:rPr>
        <w:t>يركز هذا التقرير على عمل أمانة اتفاقية 2003 من كانون الثاني/يناير 2020 إلى كانون الأول/ديسمبر 2021. وتتوافق فترة مع عمليات إعداد التقارير النظامية الرئيسية الأخرى لليونسكو، وهي تقارير المدير</w:t>
      </w:r>
      <w:r w:rsidR="00E96B17" w:rsidRPr="00DA1B98">
        <w:rPr>
          <w:rFonts w:hint="cs"/>
          <w:szCs w:val="24"/>
          <w:rtl/>
        </w:rPr>
        <w:t>ة</w:t>
      </w:r>
      <w:r w:rsidRPr="00DA1B98">
        <w:rPr>
          <w:rFonts w:hint="cs"/>
          <w:szCs w:val="24"/>
          <w:rtl/>
        </w:rPr>
        <w:t xml:space="preserve"> العام</w:t>
      </w:r>
      <w:r w:rsidR="00E96B17" w:rsidRPr="00DA1B98">
        <w:rPr>
          <w:rFonts w:hint="cs"/>
          <w:szCs w:val="24"/>
          <w:rtl/>
        </w:rPr>
        <w:t>ة</w:t>
      </w:r>
      <w:r w:rsidRPr="00DA1B98">
        <w:rPr>
          <w:rFonts w:hint="cs"/>
          <w:szCs w:val="24"/>
          <w:rtl/>
        </w:rPr>
        <w:t xml:space="preserve"> إلى المجلس التنفيذي بشأن تنفيذ البرنامج الذي اعتمده المؤتمر العام (</w:t>
      </w:r>
      <w:r w:rsidRPr="00DA1B98">
        <w:rPr>
          <w:szCs w:val="24"/>
        </w:rPr>
        <w:t>EX/ 4</w:t>
      </w:r>
      <w:r w:rsidRPr="00DA1B98">
        <w:rPr>
          <w:rFonts w:hint="cs"/>
          <w:szCs w:val="24"/>
          <w:rtl/>
        </w:rPr>
        <w:t xml:space="preserve">). </w:t>
      </w:r>
      <w:r w:rsidRPr="00DA1B98">
        <w:rPr>
          <w:rFonts w:asciiTheme="minorBidi" w:hAnsiTheme="minorBidi" w:cstheme="minorBidi" w:hint="cs"/>
          <w:szCs w:val="24"/>
          <w:rtl/>
        </w:rPr>
        <w:t xml:space="preserve">ويوضح المرفق الأول كذلك مساهمة عمل الأمانة في إطار النتائج </w:t>
      </w:r>
      <w:r w:rsidRPr="00DA1B98">
        <w:rPr>
          <w:rFonts w:asciiTheme="minorBidi" w:hAnsiTheme="minorBidi" w:cstheme="minorBidi"/>
          <w:szCs w:val="24"/>
        </w:rPr>
        <w:t>40C/5</w:t>
      </w:r>
      <w:r w:rsidRPr="00DA1B98">
        <w:rPr>
          <w:rFonts w:asciiTheme="minorBidi" w:hAnsiTheme="minorBidi" w:cstheme="minorBidi" w:hint="cs"/>
          <w:szCs w:val="24"/>
          <w:rtl/>
        </w:rPr>
        <w:t xml:space="preserve"> ومؤشرات الأداء للنتيجة المنشودة السادسة في البرنامج الرئيسي الرابع </w:t>
      </w:r>
      <w:r w:rsidRPr="00DA1B98">
        <w:rPr>
          <w:rFonts w:hint="cs"/>
          <w:szCs w:val="24"/>
          <w:rtl/>
        </w:rPr>
        <w:t xml:space="preserve">يجب قراءة التقرير جنباً إلى جنب مع التقرير المالي لصندوق اتفاقية صون التراث الثقافي غير المادي (الوثيقة </w:t>
      </w:r>
      <w:hyperlink r:id="rId8" w:history="1">
        <w:r w:rsidRPr="00775E6D">
          <w:rPr>
            <w:rStyle w:val="Hyperlink"/>
          </w:rPr>
          <w:t>LHE/22.9.GA/</w:t>
        </w:r>
        <w:r w:rsidR="00EC0AE0" w:rsidRPr="00775E6D">
          <w:rPr>
            <w:rStyle w:val="Hyperlink"/>
          </w:rPr>
          <w:t>10</w:t>
        </w:r>
      </w:hyperlink>
      <w:r w:rsidR="00EC0AE0" w:rsidRPr="00E96B17">
        <w:rPr>
          <w:szCs w:val="24"/>
          <w:rtl/>
        </w:rPr>
        <w:t xml:space="preserve"> </w:t>
      </w:r>
      <w:r w:rsidR="00EC0AE0" w:rsidRPr="00E96B17">
        <w:rPr>
          <w:szCs w:val="24"/>
        </w:rPr>
        <w:t xml:space="preserve"> </w:t>
      </w:r>
      <w:r w:rsidR="00700862" w:rsidRPr="00E96B17">
        <w:rPr>
          <w:szCs w:val="24"/>
        </w:rPr>
        <w:t>.</w:t>
      </w:r>
      <w:r w:rsidR="00EC0AE0" w:rsidRPr="00E96B17">
        <w:rPr>
          <w:szCs w:val="24"/>
        </w:rPr>
        <w:t>(</w:t>
      </w:r>
      <w:r w:rsidR="00EC0AE0" w:rsidRPr="00DA1B98">
        <w:rPr>
          <w:rFonts w:hint="cs"/>
          <w:szCs w:val="24"/>
          <w:rtl/>
        </w:rPr>
        <w:t>بالإضاف</w:t>
      </w:r>
      <w:r w:rsidR="00EC0AE0" w:rsidRPr="00DA1B98">
        <w:rPr>
          <w:rFonts w:hint="eastAsia"/>
          <w:szCs w:val="24"/>
          <w:rtl/>
        </w:rPr>
        <w:t>ة</w:t>
      </w:r>
      <w:r w:rsidRPr="00DA1B98">
        <w:rPr>
          <w:rFonts w:hint="cs"/>
          <w:szCs w:val="24"/>
          <w:rtl/>
        </w:rPr>
        <w:t xml:space="preserve"> إلى ذلك، يوفر تقييم مرفق الإشراف الداخلي </w:t>
      </w:r>
      <w:r w:rsidRPr="00DA1B98">
        <w:rPr>
          <w:szCs w:val="24"/>
        </w:rPr>
        <w:t>(2021)</w:t>
      </w:r>
      <w:r w:rsidRPr="00DA1B98">
        <w:rPr>
          <w:szCs w:val="24"/>
          <w:cs/>
        </w:rPr>
        <w:t>‎</w:t>
      </w:r>
      <w:r w:rsidRPr="00DA1B98">
        <w:rPr>
          <w:rFonts w:hint="cs"/>
          <w:szCs w:val="24"/>
          <w:rtl/>
        </w:rPr>
        <w:t xml:space="preserve"> لعمل اليونسكو في إطار اتفاقية 2003 (الوثيقة </w:t>
      </w:r>
      <w:hyperlink r:id="rId9" w:history="1">
        <w:r w:rsidRPr="00DA1B98">
          <w:rPr>
            <w:rStyle w:val="Hyperlink"/>
            <w:szCs w:val="24"/>
          </w:rPr>
          <w:t>LHE/21/16.COM/INF.10 Rev.</w:t>
        </w:r>
        <w:r w:rsidRPr="00DA1B98">
          <w:rPr>
            <w:rStyle w:val="Hyperlink"/>
            <w:rFonts w:cs="Arial"/>
            <w:szCs w:val="24"/>
            <w:cs/>
          </w:rPr>
          <w:t>‎</w:t>
        </w:r>
        <w:r w:rsidRPr="00DA1B98">
          <w:rPr>
            <w:rStyle w:val="Hyperlink"/>
            <w:szCs w:val="24"/>
            <w:rtl/>
            <w:cs/>
          </w:rPr>
          <w:t>)</w:t>
        </w:r>
      </w:hyperlink>
      <w:r w:rsidRPr="00DA1B98">
        <w:rPr>
          <w:rFonts w:hint="cs"/>
          <w:szCs w:val="24"/>
          <w:rtl/>
        </w:rPr>
        <w:t xml:space="preserve"> مزيداً من الأفكار حول أنشطة الأمانة منذ عام 2018.</w:t>
      </w:r>
    </w:p>
    <w:p w14:paraId="4FFC9782" w14:textId="22AEF5D7" w:rsidR="00195E6F" w:rsidRPr="00DA1B98" w:rsidRDefault="00195E6F"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تميزت الفترة المشمولة بالتقرير بتفشي جائحة كوفيد-19 (القسم الأول). وبخلاف ذلك، ركزت الأنشطة الأساسية للأمانة على ما يلي: إدارة اتفاقية عام 2003 (القسم الثاني)، وتنفيذ الأولويات التشغيلية بشأن بناء القدرات والتراث الثقافي غير المادي والتعليم (القسم الثالث)، فضلاً عن الاتصال والتوعية (القسم الرابع). بالإضافة إلى ذلك، أطلقت الأمانة وعززت المبادرات المواضيعية التي تربط التراث الحي بالتنمية المستدامة (القسم الخامس) وعززت أوجه التآزر مع الصكوك المعيارية الأخرى لليونسكو في مجال الثقافة (القسم السادس).</w:t>
      </w:r>
    </w:p>
    <w:p w14:paraId="0C1316A8" w14:textId="77777777" w:rsidR="00D73B51" w:rsidRPr="00DA1B98" w:rsidRDefault="00D73B51" w:rsidP="00775E6D">
      <w:pPr>
        <w:pStyle w:val="GAPara"/>
        <w:numPr>
          <w:ilvl w:val="0"/>
          <w:numId w:val="19"/>
        </w:numPr>
        <w:bidi/>
        <w:ind w:left="567" w:hanging="567"/>
        <w:jc w:val="both"/>
        <w:rPr>
          <w:bCs/>
          <w:szCs w:val="24"/>
          <w:rtl/>
        </w:rPr>
      </w:pPr>
      <w:r w:rsidRPr="00DA1B98">
        <w:rPr>
          <w:rFonts w:hint="cs"/>
          <w:szCs w:val="24"/>
          <w:rtl/>
        </w:rPr>
        <w:t>ويعمل كيان التراث الحي</w:t>
      </w:r>
      <w:r w:rsidRPr="00DA1B98">
        <w:rPr>
          <w:rStyle w:val="FootnoteReference"/>
          <w:bCs/>
          <w:szCs w:val="24"/>
          <w:lang w:val="en-US"/>
        </w:rPr>
        <w:footnoteReference w:id="1"/>
      </w:r>
      <w:r w:rsidRPr="00DA1B98">
        <w:rPr>
          <w:rFonts w:hint="cs"/>
          <w:szCs w:val="24"/>
          <w:rtl/>
        </w:rPr>
        <w:t xml:space="preserve"> بمثابة أمانة الاتفاقية. وتتكون من وحدتين وفريقين: وحدة إدارة البرنامج (بما في ذلك فريق الدعم القانوني) ووحدة بناء القدرات وسياسة التراث، بالإضافة إلى فريق الحماية والتنفيذ والمراقبة وفريق إدارة المعرفة والتواصل.</w:t>
      </w:r>
    </w:p>
    <w:p w14:paraId="38D5016A" w14:textId="0857744F" w:rsidR="002E1C7F" w:rsidRPr="00DA1B98" w:rsidRDefault="002E1C7F" w:rsidP="00775E6D">
      <w:pPr>
        <w:pStyle w:val="COMPara"/>
        <w:keepNext/>
        <w:numPr>
          <w:ilvl w:val="0"/>
          <w:numId w:val="21"/>
        </w:numPr>
        <w:bidi/>
        <w:spacing w:before="240"/>
        <w:ind w:left="576" w:hanging="432"/>
        <w:jc w:val="both"/>
        <w:rPr>
          <w:rFonts w:asciiTheme="minorBidi" w:hAnsiTheme="minorBidi" w:cstheme="minorBidi"/>
          <w:b/>
          <w:bCs/>
          <w:szCs w:val="24"/>
          <w:rtl/>
        </w:rPr>
      </w:pPr>
      <w:r w:rsidRPr="00DA1B98">
        <w:rPr>
          <w:rFonts w:asciiTheme="minorBidi" w:hAnsiTheme="minorBidi" w:cstheme="minorBidi" w:hint="cs"/>
          <w:b/>
          <w:bCs/>
          <w:szCs w:val="24"/>
          <w:rtl/>
        </w:rPr>
        <w:t>تأثير جائحة كوفيد-19 والتصدي لها</w:t>
      </w:r>
    </w:p>
    <w:p w14:paraId="6DB6EC1B" w14:textId="45AE2CE6" w:rsidR="004C5321" w:rsidRPr="00DA1B98" w:rsidRDefault="00A21C7D" w:rsidP="00775E6D">
      <w:pPr>
        <w:pStyle w:val="GAPara"/>
        <w:numPr>
          <w:ilvl w:val="0"/>
          <w:numId w:val="19"/>
        </w:numPr>
        <w:bidi/>
        <w:ind w:left="567" w:hanging="567"/>
        <w:jc w:val="both"/>
        <w:rPr>
          <w:szCs w:val="24"/>
          <w:rtl/>
        </w:rPr>
      </w:pPr>
      <w:r w:rsidRPr="00DA1B98">
        <w:rPr>
          <w:rFonts w:hint="cs"/>
          <w:szCs w:val="24"/>
          <w:rtl/>
        </w:rPr>
        <w:t>أثر تفشي جائحة كوفيد-19 في أوائل عام 2020 بشكل كبير على عمليات الأمانة.</w:t>
      </w:r>
      <w:r w:rsidRPr="00DA1B98">
        <w:rPr>
          <w:rFonts w:asciiTheme="minorBidi" w:hAnsiTheme="minorBidi" w:cstheme="minorBidi" w:hint="cs"/>
          <w:szCs w:val="24"/>
          <w:rtl/>
        </w:rPr>
        <w:t xml:space="preserve"> وتم تقديم تقرير مؤقت عن استجابة الأمانة العامة لجائحة كوفيد-19 إلى الجمعية العامة في عام 2020 (انظر الوثيقة</w:t>
      </w:r>
      <w:hyperlink r:id="rId10" w:history="1">
        <w:r w:rsidRPr="00DA1B98">
          <w:rPr>
            <w:rFonts w:hint="cs"/>
            <w:szCs w:val="24"/>
            <w:rtl/>
          </w:rPr>
          <w:t xml:space="preserve"> </w:t>
        </w:r>
        <w:r w:rsidRPr="00DA1B98">
          <w:rPr>
            <w:rStyle w:val="Hyperlink"/>
            <w:rFonts w:asciiTheme="minorBidi" w:hAnsiTheme="minorBidi" w:cstheme="minorBidi"/>
            <w:szCs w:val="24"/>
          </w:rPr>
          <w:t>LHE/20/8.GA/6+Add</w:t>
        </w:r>
      </w:hyperlink>
      <w:r w:rsidR="003374DD" w:rsidRPr="00DA1B98">
        <w:rPr>
          <w:rFonts w:asciiTheme="minorBidi" w:hAnsiTheme="minorBidi" w:cstheme="minorBidi" w:hint="cs"/>
          <w:szCs w:val="24"/>
          <w:rtl/>
        </w:rPr>
        <w:t xml:space="preserve">). </w:t>
      </w:r>
      <w:r w:rsidRPr="00DA1B98">
        <w:rPr>
          <w:rFonts w:asciiTheme="minorBidi" w:hAnsiTheme="minorBidi" w:cstheme="minorBidi" w:hint="cs"/>
          <w:szCs w:val="24"/>
          <w:rtl/>
        </w:rPr>
        <w:t>اتخذت الأمانة العديد من الإجراءات العلاجية لضمان استمرار الآليات القانونية للاتفاقية والمبادرات التشغيلية الرئيسية، مثل تطوير أدوات جديدة وتكييف طرائق الاجتماع. وأظهرت هذه التجربة إمكانية أن يتكيف الهيكل التشريعي مع طرائق عمل أكثر مرونة والإمكانيات الجديدة التي قد يوفرها ذلك في بيئة ما بعد الجائحة.</w:t>
      </w:r>
    </w:p>
    <w:p w14:paraId="5B2CBEAF" w14:textId="5197ADC3" w:rsidR="00D474DC" w:rsidRPr="00DA1B98" w:rsidRDefault="00A401E9" w:rsidP="00775E6D">
      <w:pPr>
        <w:pStyle w:val="GAPara"/>
        <w:numPr>
          <w:ilvl w:val="0"/>
          <w:numId w:val="19"/>
        </w:numPr>
        <w:bidi/>
        <w:ind w:left="567" w:hanging="567"/>
        <w:jc w:val="both"/>
        <w:rPr>
          <w:szCs w:val="24"/>
          <w:rtl/>
        </w:rPr>
      </w:pPr>
      <w:r w:rsidRPr="00DA1B98">
        <w:rPr>
          <w:rFonts w:hint="cs"/>
          <w:szCs w:val="24"/>
          <w:rtl/>
        </w:rPr>
        <w:t>استجابةً للوباء، ساهمت الأمانة في قطاع الثقافة والجهود المبذولة على نطاق اليونسكو لتعزيز التضامن العالمي من خلال المشاركة بنشاط في حملة الاتصالات ومبادرة الوصول المفتوح، مع إطلاق مواد بناء القدرات الخاصة بها.</w:t>
      </w:r>
      <w:r w:rsidRPr="00DA1B98">
        <w:rPr>
          <w:rFonts w:asciiTheme="minorBidi" w:hAnsiTheme="minorBidi" w:cstheme="minorBidi" w:hint="cs"/>
          <w:szCs w:val="24"/>
          <w:rtl/>
        </w:rPr>
        <w:t xml:space="preserve"> </w:t>
      </w:r>
      <w:r w:rsidRPr="00DA1B98">
        <w:rPr>
          <w:rFonts w:hint="cs"/>
          <w:szCs w:val="24"/>
          <w:rtl/>
        </w:rPr>
        <w:t>وكانت الأمانة قد أطلقت في نيسان/أبريل 2020 الدراسة الاستقصائية عبر الإنترنت 'تجارب التراث الحي في سياق جائحة كوفيد-19'، بهدف جمع الخبرات من ا</w:t>
      </w:r>
      <w:r w:rsidR="00833242" w:rsidRPr="00DA1B98">
        <w:rPr>
          <w:rFonts w:asciiTheme="minorBidi" w:hAnsiTheme="minorBidi" w:cstheme="minorBidi" w:hint="cs"/>
          <w:szCs w:val="24"/>
          <w:rtl/>
        </w:rPr>
        <w:t>لجماعات</w:t>
      </w:r>
      <w:r w:rsidRPr="00DA1B98">
        <w:rPr>
          <w:rFonts w:hint="cs"/>
          <w:szCs w:val="24"/>
          <w:rtl/>
        </w:rPr>
        <w:t xml:space="preserve"> حول تأثير الجائحة على تراثهم الحي والدور الذي يمكن أن يؤديه في مساعدة </w:t>
      </w:r>
      <w:r w:rsidR="00833242" w:rsidRPr="00DA1B98">
        <w:rPr>
          <w:rFonts w:hint="cs"/>
          <w:szCs w:val="24"/>
          <w:rtl/>
        </w:rPr>
        <w:t>ا</w:t>
      </w:r>
      <w:r w:rsidR="00833242" w:rsidRPr="00DA1B98">
        <w:rPr>
          <w:rFonts w:asciiTheme="minorBidi" w:hAnsiTheme="minorBidi" w:cstheme="minorBidi" w:hint="cs"/>
          <w:szCs w:val="24"/>
          <w:rtl/>
        </w:rPr>
        <w:t>لجماعات</w:t>
      </w:r>
      <w:r w:rsidRPr="00DA1B98">
        <w:rPr>
          <w:rFonts w:hint="cs"/>
          <w:szCs w:val="24"/>
          <w:rtl/>
        </w:rPr>
        <w:t xml:space="preserve"> على التعامل مع الأزمة.</w:t>
      </w:r>
    </w:p>
    <w:p w14:paraId="0FCC61D2" w14:textId="543097CC" w:rsidR="00E0443E" w:rsidRPr="00DA1B98" w:rsidRDefault="005B0710" w:rsidP="00775E6D">
      <w:pPr>
        <w:pStyle w:val="GAPara"/>
        <w:numPr>
          <w:ilvl w:val="0"/>
          <w:numId w:val="19"/>
        </w:numPr>
        <w:bidi/>
        <w:ind w:left="567" w:hanging="567"/>
        <w:jc w:val="both"/>
        <w:rPr>
          <w:szCs w:val="24"/>
          <w:rtl/>
        </w:rPr>
      </w:pPr>
      <w:r w:rsidRPr="00DA1B98">
        <w:rPr>
          <w:rFonts w:hint="cs"/>
          <w:szCs w:val="24"/>
          <w:rtl/>
        </w:rPr>
        <w:t>وبناءً على نتائج المسح، فقد نشرت اليونسكو تقرير '</w:t>
      </w:r>
      <w:hyperlink r:id="rId11" w:history="1">
        <w:r w:rsidRPr="00DA1B98">
          <w:rPr>
            <w:rStyle w:val="Hyperlink"/>
            <w:rFonts w:hint="cs"/>
            <w:szCs w:val="24"/>
            <w:rtl/>
          </w:rPr>
          <w:t>التراث الحي في مواجهة جائحة كوفيد-19</w:t>
        </w:r>
      </w:hyperlink>
      <w:r w:rsidRPr="00DA1B98">
        <w:rPr>
          <w:rFonts w:hint="cs"/>
          <w:szCs w:val="24"/>
          <w:rtl/>
        </w:rPr>
        <w:t>' مع مجموعة من التوصيات، التي تسلط الضوء على الطرق التي تعطلت بها ممارسة التراث الحي وانتقاله بسبب الجائحة، فضلاً عن دور التراث الحي في الحفاظ على الترابط الاجتماعي والتضامن خلال تدابير التباعد الجسدي والعزل. وقدم التقرير الأساس لتطوير الأنشطة التجريبية في ثمانية بلدان</w:t>
      </w:r>
      <w:r w:rsidR="00833242">
        <w:rPr>
          <w:szCs w:val="24"/>
        </w:rPr>
        <w:t>.</w:t>
      </w:r>
      <w:r w:rsidR="00520457" w:rsidRPr="00DA1B98">
        <w:rPr>
          <w:rStyle w:val="FootnoteReference"/>
          <w:szCs w:val="24"/>
        </w:rPr>
        <w:footnoteReference w:id="2"/>
      </w:r>
      <w:r w:rsidRPr="00DA1B98">
        <w:rPr>
          <w:rFonts w:hint="cs"/>
          <w:szCs w:val="24"/>
          <w:rtl/>
        </w:rPr>
        <w:t xml:space="preserve"> لقد انتهى الآن العديد من المشروعات، مما أسفر عن </w:t>
      </w:r>
      <w:hyperlink r:id="rId12" w:history="1">
        <w:r w:rsidRPr="00DA1B98">
          <w:rPr>
            <w:rStyle w:val="Hyperlink"/>
            <w:rFonts w:hint="cs"/>
            <w:szCs w:val="24"/>
            <w:rtl/>
          </w:rPr>
          <w:t>نتائج</w:t>
        </w:r>
      </w:hyperlink>
      <w:r w:rsidRPr="00DA1B98">
        <w:rPr>
          <w:rFonts w:hint="cs"/>
          <w:szCs w:val="24"/>
          <w:rtl/>
        </w:rPr>
        <w:t xml:space="preserve"> متنوعة وذات مغزى. أظهرت الأنشطة التجريبية التي أجريت في مناطق مختلفة الأهمية الدائمة للتراث الحي لحياة الناس أثناء الجائحة وأهميته لضمان مسار أكثر استدامة وشمولية للتعافي.</w:t>
      </w:r>
    </w:p>
    <w:p w14:paraId="6F89C55A" w14:textId="142DA682" w:rsidR="002E1C7F" w:rsidRPr="00DA1B98" w:rsidRDefault="002E1C7F" w:rsidP="00775E6D">
      <w:pPr>
        <w:pStyle w:val="COMPara"/>
        <w:keepNext/>
        <w:numPr>
          <w:ilvl w:val="0"/>
          <w:numId w:val="21"/>
        </w:numPr>
        <w:bidi/>
        <w:spacing w:before="240"/>
        <w:ind w:left="576" w:hanging="432"/>
        <w:jc w:val="both"/>
        <w:rPr>
          <w:rFonts w:asciiTheme="minorBidi" w:hAnsiTheme="minorBidi" w:cstheme="minorBidi"/>
          <w:b/>
          <w:bCs/>
          <w:szCs w:val="24"/>
          <w:rtl/>
        </w:rPr>
      </w:pPr>
      <w:r w:rsidRPr="00DA1B98">
        <w:rPr>
          <w:rFonts w:asciiTheme="minorBidi" w:hAnsiTheme="minorBidi" w:cstheme="minorBidi" w:hint="cs"/>
          <w:b/>
          <w:bCs/>
          <w:szCs w:val="24"/>
          <w:rtl/>
        </w:rPr>
        <w:t>إدارة الاتفاقية: الدعم القانوني</w:t>
      </w:r>
    </w:p>
    <w:p w14:paraId="7A6C9CBC" w14:textId="4E0C31A9" w:rsidR="00E61CAD" w:rsidRPr="00F844B0" w:rsidRDefault="0044643C" w:rsidP="00775E6D">
      <w:pPr>
        <w:pStyle w:val="COMPara"/>
        <w:keepNext/>
        <w:numPr>
          <w:ilvl w:val="0"/>
          <w:numId w:val="19"/>
        </w:numPr>
        <w:bidi/>
        <w:ind w:left="567" w:hanging="567"/>
        <w:jc w:val="both"/>
        <w:rPr>
          <w:spacing w:val="-4"/>
          <w:szCs w:val="24"/>
          <w:rtl/>
        </w:rPr>
      </w:pPr>
      <w:r w:rsidRPr="00A164CA">
        <w:rPr>
          <w:rFonts w:hint="cs"/>
          <w:spacing w:val="-3"/>
          <w:szCs w:val="24"/>
          <w:rtl/>
        </w:rPr>
        <w:t xml:space="preserve">طوال فترة إعداد التقرير، كفلت الأمانة </w:t>
      </w:r>
      <w:r w:rsidRPr="00A164CA">
        <w:rPr>
          <w:rFonts w:hint="cs"/>
          <w:spacing w:val="-3"/>
          <w:szCs w:val="24"/>
          <w:u w:val="single"/>
          <w:rtl/>
        </w:rPr>
        <w:t>الدعم</w:t>
      </w:r>
      <w:r w:rsidRPr="00A164CA">
        <w:rPr>
          <w:rFonts w:hint="cs"/>
          <w:spacing w:val="-3"/>
          <w:szCs w:val="24"/>
          <w:rtl/>
        </w:rPr>
        <w:t xml:space="preserve"> الإداري واللوجستي والفني </w:t>
      </w:r>
      <w:r w:rsidRPr="00A164CA">
        <w:rPr>
          <w:rFonts w:hint="cs"/>
          <w:spacing w:val="-3"/>
          <w:szCs w:val="24"/>
          <w:u w:val="single"/>
          <w:rtl/>
        </w:rPr>
        <w:t>للهيئات الإدارية للاتفاقية</w:t>
      </w:r>
      <w:r w:rsidRPr="00A164CA">
        <w:rPr>
          <w:rFonts w:hint="cs"/>
          <w:spacing w:val="-3"/>
          <w:szCs w:val="24"/>
          <w:rtl/>
        </w:rPr>
        <w:t xml:space="preserve">. واعتمدت الدورة الثامنة للجمعية العامة مبادئ وطرائق تشغيلية لصون التراث الثقافي غير المادي في حالات الطوارئ، وأدخلت عملية حوار بين هيئة التقييم والدول المقدمة للطلبات كجزء من عملية التقييم. وسجلت الدورة الخامسة عشرة للجنة في عام 2020، أثناء الاجتماع الكامل الذي انعقد عبر الإنترنت بسبب جائحة كوفيد-19، أكبر عدد من العناصر متعددة الجنسيات (14) التي تشهد على قدرة التراث الحي على الجمع بين الناس وتعزيز التعاون الدولي. وقررت اللجنة بدورها في دورتها السادسة عشرة في عام 2021، التي عقدت أيضاً عبر الإنترنت بالكامل، إدراج عنصر من هايتي على أساس المسار السريع الاستثنائي في أعقاب الكوارث الطبيعية المتتالية التي ضربت البلد. ويوجه انتباه الجمعية العامة إلى هذا القرار لتأييده للإجراء الوارد في إطار </w:t>
      </w:r>
      <w:r w:rsidR="00A164CA">
        <w:rPr>
          <w:spacing w:val="-3"/>
          <w:szCs w:val="24"/>
          <w:rtl/>
        </w:rPr>
        <w:br/>
      </w:r>
      <w:r w:rsidRPr="00A164CA">
        <w:rPr>
          <w:rFonts w:hint="cs"/>
          <w:spacing w:val="-3"/>
          <w:szCs w:val="24"/>
          <w:rtl/>
        </w:rPr>
        <w:t xml:space="preserve">البند 8 (الوثيقة </w:t>
      </w:r>
      <w:hyperlink r:id="rId13" w:history="1">
        <w:r w:rsidRPr="00775E6D">
          <w:rPr>
            <w:rStyle w:val="Hyperlink"/>
            <w:rFonts w:cs="Arial"/>
          </w:rPr>
          <w:t>LHE/22/9.GA/8</w:t>
        </w:r>
      </w:hyperlink>
      <w:r w:rsidR="00133B34" w:rsidRPr="00A164CA">
        <w:rPr>
          <w:rFonts w:hint="cs"/>
          <w:spacing w:val="-3"/>
          <w:szCs w:val="24"/>
          <w:rtl/>
        </w:rPr>
        <w:t>).</w:t>
      </w:r>
      <w:r w:rsidRPr="00F844B0">
        <w:rPr>
          <w:rFonts w:hint="cs"/>
          <w:spacing w:val="-4"/>
          <w:szCs w:val="24"/>
          <w:rtl/>
        </w:rPr>
        <w:t xml:space="preserve"> علاوة على ذلك، يتم تقديم مشروع تقرير عن أنشطة اللجنة من كانون الثاني/يناير 2020 إلى كانون الأول/ديسمبر 2021 إلى الدورة الحالية في إطار البند 5 (الوثيقة </w:t>
      </w:r>
      <w:hyperlink r:id="rId14" w:history="1">
        <w:r w:rsidRPr="00F844B0">
          <w:rPr>
            <w:rStyle w:val="Hyperlink"/>
            <w:spacing w:val="-4"/>
            <w:szCs w:val="24"/>
          </w:rPr>
          <w:t>LHE/22/9.GA/5</w:t>
        </w:r>
      </w:hyperlink>
      <w:r w:rsidR="00133B34" w:rsidRPr="00F844B0">
        <w:rPr>
          <w:rFonts w:hint="cs"/>
          <w:spacing w:val="-4"/>
          <w:szCs w:val="24"/>
          <w:rtl/>
        </w:rPr>
        <w:t>).</w:t>
      </w:r>
    </w:p>
    <w:p w14:paraId="61FDEE7B" w14:textId="2F8A7BF4" w:rsidR="009F7C5C" w:rsidRPr="009A647D" w:rsidRDefault="00EF1506" w:rsidP="00775E6D">
      <w:pPr>
        <w:pStyle w:val="COMPara"/>
        <w:numPr>
          <w:ilvl w:val="0"/>
          <w:numId w:val="19"/>
        </w:numPr>
        <w:bidi/>
        <w:ind w:left="567" w:hanging="567"/>
        <w:jc w:val="both"/>
        <w:rPr>
          <w:rFonts w:eastAsia="SimSun"/>
          <w:color w:val="000000" w:themeColor="text1"/>
          <w:spacing w:val="-2"/>
          <w:szCs w:val="24"/>
          <w:rtl/>
        </w:rPr>
      </w:pPr>
      <w:r w:rsidRPr="009A647D">
        <w:rPr>
          <w:rFonts w:asciiTheme="minorBidi" w:hAnsiTheme="minorBidi" w:cstheme="minorBidi" w:hint="cs"/>
          <w:spacing w:val="-2"/>
          <w:szCs w:val="24"/>
          <w:rtl/>
        </w:rPr>
        <w:t xml:space="preserve">كان أحد الإنجازات المهمة في الفترة المشمولة بالتقرير هو </w:t>
      </w:r>
      <w:r w:rsidRPr="009A647D">
        <w:rPr>
          <w:rFonts w:asciiTheme="minorBidi" w:hAnsiTheme="minorBidi" w:cstheme="minorBidi" w:hint="cs"/>
          <w:spacing w:val="-2"/>
          <w:szCs w:val="24"/>
          <w:u w:val="single"/>
          <w:rtl/>
        </w:rPr>
        <w:t>التفكير العالمي في آليات الإدراج</w:t>
      </w:r>
      <w:r w:rsidRPr="00775E6D">
        <w:rPr>
          <w:rFonts w:asciiTheme="minorBidi" w:hAnsiTheme="minorBidi" w:cstheme="minorBidi"/>
          <w:spacing w:val="-2"/>
          <w:szCs w:val="24"/>
          <w:rtl/>
        </w:rPr>
        <w:t xml:space="preserve"> في الاتفاقية</w:t>
      </w:r>
      <w:r w:rsidRPr="009A647D">
        <w:rPr>
          <w:rFonts w:asciiTheme="minorBidi" w:hAnsiTheme="minorBidi" w:cstheme="minorBidi" w:hint="cs"/>
          <w:spacing w:val="-2"/>
          <w:szCs w:val="24"/>
          <w:rtl/>
        </w:rPr>
        <w:t>، الذي بدأته الدورة الثانية عشرة للجنة في عام 2017. بعد إجراء مسح بين الخبراء، نُظّم اجتماع خبراء عبر الإنترنت من الفئة السادسة في أيار/مايو 2021. وبناءً على توصيات الخبراء، عُقد</w:t>
      </w:r>
      <w:r w:rsidRPr="009A647D">
        <w:rPr>
          <w:rFonts w:hint="cs"/>
          <w:spacing w:val="-2"/>
          <w:szCs w:val="24"/>
          <w:rtl/>
        </w:rPr>
        <w:t xml:space="preserve"> اجتماع </w:t>
      </w:r>
      <w:r w:rsidRPr="009A647D">
        <w:rPr>
          <w:rFonts w:asciiTheme="minorBidi" w:hAnsiTheme="minorBidi" w:cstheme="minorBidi" w:hint="cs"/>
          <w:spacing w:val="-2"/>
          <w:szCs w:val="24"/>
          <w:rtl/>
        </w:rPr>
        <w:t>عبر الإنترنت من جزأين للفريق العامل الحكومي الدولي المفتوح العضوية في تموز/يوليو (الجزء الأول)</w:t>
      </w:r>
      <w:r w:rsidRPr="009A647D">
        <w:rPr>
          <w:rFonts w:hint="cs"/>
          <w:spacing w:val="-2"/>
          <w:szCs w:val="24"/>
          <w:rtl/>
        </w:rPr>
        <w:t xml:space="preserve"> و</w:t>
      </w:r>
      <w:r w:rsidRPr="009A647D">
        <w:rPr>
          <w:rFonts w:asciiTheme="minorBidi" w:hAnsiTheme="minorBidi" w:cstheme="minorBidi" w:hint="cs"/>
          <w:spacing w:val="-2"/>
          <w:szCs w:val="24"/>
          <w:rtl/>
        </w:rPr>
        <w:t xml:space="preserve">أيلول/سبتمبر (الجزء الثاني) 2021 من أجل التفكير في طبيعة وأغراض آليات الإدراج ومعايير التسجيل ومتابعة العناصر المدرجة ومنهجية التقويم. </w:t>
      </w:r>
      <w:r w:rsidRPr="009A647D">
        <w:rPr>
          <w:rFonts w:hint="cs"/>
          <w:snapToGrid/>
          <w:color w:val="000000" w:themeColor="text1"/>
          <w:spacing w:val="-2"/>
          <w:szCs w:val="24"/>
          <w:rtl/>
        </w:rPr>
        <w:t>أقرت الدورة السادسة عشرة للجنة توصيات مجموعة العمل وقررت تمديد ولايتها لمناقشة واختتام القضايا الإضافية التي أثيرت من خلال عقد اجتماع الجزء الثالث في أوائل عام 2022 (</w:t>
      </w:r>
      <w:hyperlink r:id="rId15" w:history="1">
        <w:r w:rsidR="0001319B" w:rsidRPr="009A647D">
          <w:rPr>
            <w:rStyle w:val="Hyperlink"/>
            <w:snapToGrid/>
            <w:spacing w:val="-2"/>
            <w:szCs w:val="24"/>
            <w:rtl/>
          </w:rPr>
          <w:t>القرار</w:t>
        </w:r>
        <w:r w:rsidR="0001319B" w:rsidRPr="009A647D">
          <w:rPr>
            <w:rStyle w:val="Hyperlink"/>
            <w:snapToGrid/>
            <w:spacing w:val="-2"/>
            <w:szCs w:val="24"/>
          </w:rPr>
          <w:t xml:space="preserve"> </w:t>
        </w:r>
        <w:r w:rsidR="0001319B" w:rsidRPr="009A647D">
          <w:rPr>
            <w:rStyle w:val="Hyperlink"/>
            <w:snapToGrid/>
            <w:spacing w:val="-2"/>
            <w:szCs w:val="24"/>
            <w:cs/>
          </w:rPr>
          <w:t>‎</w:t>
        </w:r>
        <w:r w:rsidR="0001319B" w:rsidRPr="009A647D">
          <w:rPr>
            <w:rStyle w:val="Hyperlink"/>
            <w:snapToGrid/>
            <w:spacing w:val="-2"/>
            <w:szCs w:val="24"/>
            <w:rtl/>
          </w:rPr>
          <w:t>‏</w:t>
        </w:r>
        <w:r w:rsidR="0001319B" w:rsidRPr="009A647D">
          <w:rPr>
            <w:rStyle w:val="Hyperlink"/>
            <w:snapToGrid/>
            <w:spacing w:val="-2"/>
            <w:szCs w:val="24"/>
          </w:rPr>
          <w:t>(16.COM 14</w:t>
        </w:r>
      </w:hyperlink>
      <w:r w:rsidR="007F5140" w:rsidRPr="009A647D">
        <w:rPr>
          <w:rFonts w:hint="cs"/>
          <w:snapToGrid/>
          <w:color w:val="000000" w:themeColor="text1"/>
          <w:spacing w:val="-2"/>
          <w:szCs w:val="24"/>
          <w:rtl/>
        </w:rPr>
        <w:t xml:space="preserve">. </w:t>
      </w:r>
      <w:r w:rsidRPr="009A647D">
        <w:rPr>
          <w:rFonts w:hint="cs"/>
          <w:snapToGrid/>
          <w:color w:val="000000" w:themeColor="text1"/>
          <w:spacing w:val="-2"/>
          <w:szCs w:val="24"/>
          <w:rtl/>
        </w:rPr>
        <w:t xml:space="preserve">مزيد من مقترحات مجموعة العمل، بما في ذلك التنقيحات على التوجيهات التنفيذية، معروضة لدراستها في الدورة الحالية للجمعية في إطار البند 9 (الوثيقة </w:t>
      </w:r>
      <w:hyperlink r:id="rId16" w:history="1">
        <w:r w:rsidR="00641195" w:rsidRPr="00641195">
          <w:rPr>
            <w:rStyle w:val="Hyperlink"/>
            <w:spacing w:val="-2"/>
            <w:szCs w:val="24"/>
          </w:rPr>
          <w:t>LHE/22/9.GA/9</w:t>
        </w:r>
      </w:hyperlink>
      <w:r w:rsidRPr="009A647D">
        <w:rPr>
          <w:rFonts w:hint="cs"/>
          <w:snapToGrid/>
          <w:color w:val="000000" w:themeColor="text1"/>
          <w:spacing w:val="-2"/>
          <w:szCs w:val="24"/>
          <w:rtl/>
        </w:rPr>
        <w:t>) وستختتم التفكير العالمي الذي دعمته اليابان.</w:t>
      </w:r>
    </w:p>
    <w:p w14:paraId="7B7E5124" w14:textId="25481159" w:rsidR="00141275" w:rsidRPr="00DA1B98" w:rsidRDefault="00141275" w:rsidP="00775E6D">
      <w:pPr>
        <w:pStyle w:val="COM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وبعد </w:t>
      </w:r>
      <w:r w:rsidRPr="00DA1B98">
        <w:rPr>
          <w:rFonts w:asciiTheme="minorBidi" w:hAnsiTheme="minorBidi" w:cstheme="minorBidi" w:hint="cs"/>
          <w:szCs w:val="24"/>
          <w:u w:val="single"/>
          <w:rtl/>
        </w:rPr>
        <w:t>الإصلاح الذي جرى على التقارير الدورية</w:t>
      </w:r>
      <w:r w:rsidRPr="00DA1B98">
        <w:rPr>
          <w:rFonts w:asciiTheme="minorBidi" w:hAnsiTheme="minorBidi" w:cstheme="minorBidi" w:hint="cs"/>
          <w:szCs w:val="24"/>
          <w:rtl/>
        </w:rPr>
        <w:t>، فقد أظهر النظام الجديد بالفعل تحسناً كبيراً في معدل تقديم التقارير حيث بلغ 87.5 في المائة (من المتوقع تقديم ثمانية وعشرين تقريراً من إجمالي اثنين وثلاثين تقريراً) لأمريكا اللاتينية ومنطقة البحر الكاريبي في 2021 و95.4 في المائة (اثنان وأربعون تقريراً مقدماً من إجمالي أربعة وأربعين تقريراً متوقعاً) لمنطقة أوروبا. وتحقيقا لهذه الغاية، نفذت الأمانة دورة تدريبية شاملة عبر الإنترنت مصممة خصيصا لاحتياجات كل منطقة بالتعاون مع مراكز الفئة 2</w:t>
      </w:r>
      <w:r w:rsidRPr="00DA1B98">
        <w:rPr>
          <w:rFonts w:hint="cs"/>
          <w:snapToGrid/>
          <w:color w:val="000000" w:themeColor="text1"/>
          <w:szCs w:val="24"/>
          <w:rtl/>
        </w:rPr>
        <w:t xml:space="preserve"> التابعة</w:t>
      </w:r>
      <w:r w:rsidRPr="00DA1B98">
        <w:rPr>
          <w:rFonts w:asciiTheme="minorBidi" w:hAnsiTheme="minorBidi" w:cstheme="minorBidi" w:hint="cs"/>
          <w:szCs w:val="24"/>
          <w:rtl/>
        </w:rPr>
        <w:t xml:space="preserve"> لليونسكو (</w:t>
      </w:r>
      <w:r w:rsidRPr="00DA1B98">
        <w:rPr>
          <w:rFonts w:asciiTheme="minorBidi" w:hAnsiTheme="minorBidi" w:cstheme="minorBidi"/>
          <w:szCs w:val="24"/>
        </w:rPr>
        <w:t>UNESCO Category 2 Centres</w:t>
      </w:r>
      <w:r w:rsidRPr="00DA1B98">
        <w:rPr>
          <w:rFonts w:asciiTheme="minorBidi" w:hAnsiTheme="minorBidi" w:cstheme="minorBidi" w:hint="cs"/>
          <w:szCs w:val="24"/>
          <w:rtl/>
        </w:rPr>
        <w:t>) في مجال التراث الحي. يشير التحسن في معدل التقديم إلى نجاح عملية الإصلاح ويبدو أنه يُعزى بشكل رئيسي إلى النهج الإقليمي للإصلاح، الذي يسَّر التبادلات وساعة النطاق بين الأقران بين جهات التنسيق القُطرية، فضلاً عن دعم بناء القدرات التي قدمتها الأمانة لمواكبة جهود تقديم التقارير الوطنية. بالنسبة لمنطقة الدول العربية، المقرر أن تقدم تقاريرها في كانون الأول/ديسمبر 2022، فقد نظمت الأمانة العامة المرحلة الأولى من التدريب في تشرين الأول/أكتوبر 2021.</w:t>
      </w:r>
    </w:p>
    <w:p w14:paraId="762CC755" w14:textId="0D152E86" w:rsidR="00CE6727" w:rsidRPr="00DA1B98" w:rsidRDefault="005C30BF"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وقدمت الأمانة </w:t>
      </w:r>
      <w:r w:rsidRPr="00DA1B98">
        <w:rPr>
          <w:rFonts w:asciiTheme="minorBidi" w:hAnsiTheme="minorBidi" w:cstheme="minorBidi" w:hint="cs"/>
          <w:szCs w:val="24"/>
          <w:u w:val="single"/>
          <w:rtl/>
        </w:rPr>
        <w:t>الدعم إلى هيئة التقييم</w:t>
      </w:r>
      <w:r w:rsidRPr="00DA1B98">
        <w:rPr>
          <w:rFonts w:asciiTheme="minorBidi" w:hAnsiTheme="minorBidi" w:cstheme="minorBidi" w:hint="cs"/>
          <w:szCs w:val="24"/>
          <w:rtl/>
        </w:rPr>
        <w:t xml:space="preserve"> في تقييمها لملفات الترشيح بموجب دورتي 2020 و2021، مع التحقق من الاكتمال التقني للترشيحات في إطار دورة 2022. وشهدت الفترة المشمولة بالتقرير تحسينات في عملية التقييم، مع التنفيذ الكامل لعملية الحوار في دورتي 2020 و2021. علاوة على ذلك، عالجت الأمانة التقارير الدورية وطلبات الاعتماد والتجديد من المنظمات غير الحكومية. وطلبات الاعتماد هذه، عقب توصيات الدورة السادسة عشرة للجنة، معروضة على الدورة الحالية للجمعية للنظر فيها في إطار البند 7</w:t>
      </w:r>
      <w:r w:rsidRPr="00DA1B98">
        <w:rPr>
          <w:rFonts w:hint="cs"/>
          <w:szCs w:val="24"/>
          <w:rtl/>
        </w:rPr>
        <w:t xml:space="preserve"> (الوثيقة </w:t>
      </w:r>
      <w:hyperlink r:id="rId17" w:history="1">
        <w:r w:rsidRPr="00775E6D">
          <w:rPr>
            <w:rStyle w:val="Hyperlink"/>
            <w:rFonts w:cs="Arial"/>
          </w:rPr>
          <w:t>LHE/22/9.GA/7</w:t>
        </w:r>
      </w:hyperlink>
      <w:r w:rsidR="007F5140" w:rsidRPr="00DA1B98">
        <w:rPr>
          <w:rFonts w:hint="cs"/>
          <w:szCs w:val="24"/>
          <w:rtl/>
        </w:rPr>
        <w:t>).</w:t>
      </w:r>
    </w:p>
    <w:p w14:paraId="34B8E5B1" w14:textId="566EC5B4" w:rsidR="007B079C" w:rsidRPr="00DA1B98" w:rsidRDefault="007B079C" w:rsidP="00775E6D">
      <w:pPr>
        <w:pStyle w:val="GAPara"/>
        <w:numPr>
          <w:ilvl w:val="0"/>
          <w:numId w:val="19"/>
        </w:numPr>
        <w:bidi/>
        <w:ind w:left="567" w:hanging="567"/>
        <w:jc w:val="both"/>
        <w:rPr>
          <w:rFonts w:asciiTheme="minorBidi" w:hAnsiTheme="minorBidi" w:cstheme="minorBidi"/>
          <w:spacing w:val="-2"/>
          <w:szCs w:val="24"/>
          <w:rtl/>
        </w:rPr>
      </w:pPr>
      <w:r w:rsidRPr="00D51A7C">
        <w:rPr>
          <w:rFonts w:hint="cs"/>
          <w:szCs w:val="24"/>
          <w:rtl/>
        </w:rPr>
        <w:t>ووفقاً</w:t>
      </w:r>
      <w:hyperlink r:id="rId18" w:history="1">
        <w:r w:rsidRPr="00D51A7C">
          <w:rPr>
            <w:rFonts w:asciiTheme="minorBidi" w:hAnsiTheme="minorBidi" w:cstheme="minorBidi" w:hint="cs"/>
            <w:szCs w:val="24"/>
            <w:rtl/>
          </w:rPr>
          <w:t xml:space="preserve"> </w:t>
        </w:r>
        <w:r w:rsidRPr="00D51A7C">
          <w:rPr>
            <w:rStyle w:val="Hyperlink"/>
            <w:rFonts w:asciiTheme="minorBidi" w:hAnsiTheme="minorBidi" w:cstheme="minorBidi" w:hint="cs"/>
            <w:szCs w:val="24"/>
            <w:rtl/>
          </w:rPr>
          <w:t>للتفكير</w:t>
        </w:r>
      </w:hyperlink>
      <w:r w:rsidRPr="00D51A7C">
        <w:rPr>
          <w:rFonts w:asciiTheme="minorBidi" w:hAnsiTheme="minorBidi" w:cstheme="minorBidi" w:hint="cs"/>
          <w:szCs w:val="24"/>
          <w:rtl/>
        </w:rPr>
        <w:t xml:space="preserve"> الذي دار على مدار عامين حول دور المنظمات غير الحكومية المعتمدة، والذي اختتمته الجمعية العامة في عام 2020، فقد عززت الأمانة </w:t>
      </w:r>
      <w:r w:rsidRPr="00D51A7C">
        <w:rPr>
          <w:rFonts w:asciiTheme="minorBidi" w:hAnsiTheme="minorBidi" w:cstheme="minorBidi" w:hint="cs"/>
          <w:szCs w:val="24"/>
          <w:u w:val="single"/>
          <w:rtl/>
        </w:rPr>
        <w:t xml:space="preserve">التعاون مع منتدى المنظمات غير الحكومية المعنية بالتراث الثقافي غير المادي </w:t>
      </w:r>
      <w:r w:rsidR="00D51A7C">
        <w:rPr>
          <w:rFonts w:asciiTheme="minorBidi" w:hAnsiTheme="minorBidi" w:cstheme="minorBidi"/>
          <w:szCs w:val="24"/>
          <w:u w:val="single"/>
          <w:rtl/>
        </w:rPr>
        <w:br/>
      </w:r>
      <w:r w:rsidRPr="00775E6D">
        <w:rPr>
          <w:rFonts w:asciiTheme="minorBidi" w:hAnsiTheme="minorBidi" w:cstheme="minorBidi" w:hint="eastAsia"/>
          <w:spacing w:val="-2"/>
          <w:szCs w:val="24"/>
          <w:rtl/>
        </w:rPr>
        <w:t>من</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خلال</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تكليفها</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بإجراء</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مسح</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لمجالات</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اختصاصات</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المنظمات</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غير</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الحكومية</w:t>
      </w:r>
      <w:r w:rsidRPr="00775E6D">
        <w:rPr>
          <w:rFonts w:asciiTheme="minorBidi" w:hAnsiTheme="minorBidi" w:cstheme="minorBidi"/>
          <w:spacing w:val="-2"/>
          <w:szCs w:val="24"/>
          <w:rtl/>
        </w:rPr>
        <w:t xml:space="preserve"> </w:t>
      </w:r>
      <w:r w:rsidRPr="00775E6D">
        <w:rPr>
          <w:rFonts w:asciiTheme="minorBidi" w:hAnsiTheme="minorBidi" w:cstheme="minorBidi" w:hint="eastAsia"/>
          <w:spacing w:val="-2"/>
          <w:szCs w:val="24"/>
          <w:rtl/>
        </w:rPr>
        <w:t>المعتمدة</w:t>
      </w:r>
      <w:r w:rsidRPr="00775E6D">
        <w:rPr>
          <w:rFonts w:asciiTheme="minorBidi" w:hAnsiTheme="minorBidi" w:cstheme="minorBidi"/>
          <w:spacing w:val="-2"/>
          <w:szCs w:val="24"/>
          <w:rtl/>
        </w:rPr>
        <w:t>.</w:t>
      </w:r>
      <w:r w:rsidRPr="00DA1B98">
        <w:rPr>
          <w:rStyle w:val="FootnoteReference"/>
          <w:rFonts w:asciiTheme="minorBidi" w:hAnsiTheme="minorBidi" w:cstheme="minorBidi"/>
          <w:spacing w:val="-2"/>
          <w:szCs w:val="24"/>
        </w:rPr>
        <w:footnoteReference w:id="3"/>
      </w:r>
      <w:r w:rsidRPr="00DA1B98">
        <w:rPr>
          <w:rFonts w:asciiTheme="minorBidi" w:hAnsiTheme="minorBidi" w:cstheme="minorBidi" w:hint="cs"/>
          <w:spacing w:val="-2"/>
          <w:szCs w:val="24"/>
          <w:rtl/>
        </w:rPr>
        <w:t xml:space="preserve"> ومن خلال إنتاج الرسوم البيانية لتصور نطاق وكفاءات العديد من المنظمات غير الحكومية المعتمدة، سيساهم هذا التمرين في تحديد الطرق التي ستكون من خلالها المنظمات غير الحكومية المعتمدة في وضع يمكنها من تقديم الخدمات الاستشارية للجنة، مع تسهيل التعاون المحتمل بين المنظمات غير الحكومية المعتمدة والمنظمات غير الحكومية والدول الأطراف على المستوى الوطني. وإدراكاً للدور المهم الذي تلعبه المنظمات غير الحكومية في صون التراث الحي، فإن تقرير منتدى المنظمات غير الحكومية المعنية بالتراث الثقافي غير المادي يشير إلى الجدول الزمني</w:t>
      </w:r>
      <w:r w:rsidR="00833242" w:rsidRPr="00DA1B98" w:rsidDel="00833242">
        <w:rPr>
          <w:rFonts w:asciiTheme="minorBidi" w:hAnsiTheme="minorBidi" w:cstheme="minorBidi" w:hint="cs"/>
          <w:spacing w:val="-2"/>
          <w:szCs w:val="24"/>
          <w:rtl/>
        </w:rPr>
        <w:t xml:space="preserve"> </w:t>
      </w:r>
      <w:r w:rsidRPr="00DA1B98">
        <w:rPr>
          <w:rFonts w:asciiTheme="minorBidi" w:hAnsiTheme="minorBidi" w:cstheme="minorBidi" w:hint="cs"/>
          <w:spacing w:val="-2"/>
          <w:szCs w:val="24"/>
          <w:rtl/>
        </w:rPr>
        <w:t xml:space="preserve">(الوثيقة </w:t>
      </w:r>
      <w:hyperlink r:id="rId19" w:history="1">
        <w:r w:rsidRPr="00775E6D">
          <w:rPr>
            <w:rStyle w:val="Hyperlink"/>
            <w:rFonts w:cstheme="minorBidi"/>
          </w:rPr>
          <w:t>LHE/22/9.GA/INF.3.1</w:t>
        </w:r>
      </w:hyperlink>
      <w:r w:rsidRPr="00DA1B98">
        <w:rPr>
          <w:rFonts w:asciiTheme="minorBidi" w:hAnsiTheme="minorBidi" w:cstheme="minorBidi" w:hint="cs"/>
          <w:spacing w:val="-2"/>
          <w:szCs w:val="24"/>
          <w:rtl/>
        </w:rPr>
        <w:t>) للدورة الحالية للجمعية.</w:t>
      </w:r>
    </w:p>
    <w:p w14:paraId="5039CD9A" w14:textId="71CB27D5" w:rsidR="002E1C7F" w:rsidRPr="00DA1B98" w:rsidRDefault="00B368CC" w:rsidP="00775E6D">
      <w:pPr>
        <w:pStyle w:val="GAPara"/>
        <w:numPr>
          <w:ilvl w:val="0"/>
          <w:numId w:val="44"/>
        </w:numPr>
        <w:bidi/>
        <w:snapToGrid w:val="0"/>
        <w:ind w:left="540" w:hanging="540"/>
        <w:jc w:val="both"/>
        <w:rPr>
          <w:rFonts w:asciiTheme="minorBidi" w:hAnsiTheme="minorBidi" w:cstheme="minorBidi"/>
          <w:szCs w:val="24"/>
          <w:rtl/>
        </w:rPr>
      </w:pPr>
      <w:r w:rsidRPr="00DA1B98">
        <w:rPr>
          <w:rFonts w:asciiTheme="minorBidi" w:hAnsiTheme="minorBidi" w:cstheme="minorBidi" w:hint="cs"/>
          <w:szCs w:val="24"/>
          <w:rtl/>
        </w:rPr>
        <w:t xml:space="preserve">لعبت </w:t>
      </w:r>
      <w:r w:rsidRPr="00DA1B98">
        <w:rPr>
          <w:rFonts w:asciiTheme="minorBidi" w:hAnsiTheme="minorBidi" w:cstheme="minorBidi" w:hint="cs"/>
          <w:szCs w:val="24"/>
          <w:u w:val="single"/>
          <w:rtl/>
        </w:rPr>
        <w:t>خدمات إدارة المعارف</w:t>
      </w:r>
      <w:r w:rsidRPr="00DA1B98">
        <w:rPr>
          <w:rFonts w:asciiTheme="minorBidi" w:hAnsiTheme="minorBidi" w:cstheme="minorBidi" w:hint="cs"/>
          <w:szCs w:val="24"/>
          <w:rtl/>
        </w:rPr>
        <w:t xml:space="preserve"> دوراً حاسماً لضمان 'استمرارية الأعمال' في الأمانة. وخلال عامي 2020 و2021، فقد أعيقت طرائق العمل المعتادة لهيئة التقييم إذ تعذر على الأعضاء الاجتماع بشكل مباشر لمناقشة تقييماتهم لملفات الترشيح والتوصل إلى توافق في الآراء. وبناءً على ذلك، طورت الأمانة واجهة جديدة للرصد على الإنترنت للتعويض عن قصر الوقت ومحدودية خاصية التفاعل التي تتسم بها الاجتماعات الافتراضية. وقد ثبت أن الأداة مفيدة بشكل خاص وستظل تشكل جزءاً من أساليب عمل هيئة التقييم. وعلاوة على ذلك، أدى الاستخدام المتزايد لنظام إدارة المعرفة إلى زيادة الضغط على الخادم مما أدى إلى انخفاض مستوى أداء النظام في نهاية عام 2020 وأوائل عام 2021. وتم تحسين التطبيق منذ ذلك الحين وتم ترحيله إلى خوادم جديدة في حزيران/يونيو 2021، مما أدى إلى تحسن كبير في قدرة الموقع على التعامل مع أعداد كبيرة من المستخدمين، كما هو الحال أثناء جلسات اللجنة. بعد التحول إلى القواعد الجديدة لإخراج الوثائق لليونسكو، فقد أُبرم التعاقد مع شركة خارجية لمراجعة تجربة المستخدم للموقع الشبكي للاتفاقية، مع انتداب خبراء إضافيين للحفاظ على استمرارية الموقع وبياناته.</w:t>
      </w:r>
    </w:p>
    <w:p w14:paraId="5B6D2F61" w14:textId="4EFDE33F" w:rsidR="001E432A" w:rsidRPr="00DA1B98" w:rsidRDefault="00BC6CCB" w:rsidP="00775E6D">
      <w:pPr>
        <w:pStyle w:val="GAPara"/>
        <w:numPr>
          <w:ilvl w:val="0"/>
          <w:numId w:val="19"/>
        </w:numPr>
        <w:bidi/>
        <w:ind w:left="567" w:hanging="567"/>
        <w:jc w:val="both"/>
        <w:rPr>
          <w:rFonts w:asciiTheme="minorBidi" w:hAnsiTheme="minorBidi" w:cstheme="minorBidi"/>
          <w:szCs w:val="24"/>
          <w:rtl/>
        </w:rPr>
      </w:pPr>
      <w:bookmarkStart w:id="0" w:name="_Hlk98256554"/>
      <w:r w:rsidRPr="00DA1B98">
        <w:rPr>
          <w:rFonts w:asciiTheme="minorBidi" w:hAnsiTheme="minorBidi" w:cstheme="minorBidi" w:hint="cs"/>
          <w:szCs w:val="24"/>
          <w:rtl/>
        </w:rPr>
        <w:t xml:space="preserve">واصلت الأمانة دعم جهود الصون الوطنية من خلال آليات </w:t>
      </w:r>
      <w:r w:rsidRPr="00DA1B98">
        <w:rPr>
          <w:rFonts w:asciiTheme="minorBidi" w:hAnsiTheme="minorBidi" w:cstheme="minorBidi" w:hint="cs"/>
          <w:szCs w:val="24"/>
          <w:u w:val="single"/>
          <w:rtl/>
        </w:rPr>
        <w:t>المساعدة الدولية</w:t>
      </w:r>
      <w:r w:rsidRPr="00DA1B98">
        <w:rPr>
          <w:rFonts w:asciiTheme="minorBidi" w:hAnsiTheme="minorBidi" w:cstheme="minorBidi" w:hint="cs"/>
          <w:szCs w:val="24"/>
          <w:rtl/>
        </w:rPr>
        <w:t xml:space="preserve">، مع إيلاء اهتمام خاص لأفريقيا والدول الجزرية الصغيرة النامية. وفيما بين كانون الثاني/يناير 2020 وكانون الأول/ديسمبر 2021، بلغت النفقات المرتبطة بالمساعدة الدولية 2.2 مليون دولار أمريكي. ووافقت اللجنة ومكتبها على ستة عشر مشروعاً جديداً. ومع ذلك، شهد عدد الطلبات المقدمة من الدول الأطراف انخفاضاً ملحوظاً خلال الفترة المشمولة بالتقرير مقارنة بالفترة 2018-2019 (لمزيد من المعلومات، انظر </w:t>
      </w:r>
      <w:r w:rsidRPr="009928D3">
        <w:rPr>
          <w:rFonts w:asciiTheme="minorBidi" w:hAnsiTheme="minorBidi" w:cstheme="minorBidi" w:hint="cs"/>
          <w:szCs w:val="24"/>
          <w:rtl/>
        </w:rPr>
        <w:t xml:space="preserve">الوثيقتين </w:t>
      </w:r>
      <w:hyperlink r:id="rId20" w:history="1">
        <w:r w:rsidRPr="00775E6D">
          <w:rPr>
            <w:rStyle w:val="Hyperlink"/>
            <w:rFonts w:cstheme="minorBidi"/>
          </w:rPr>
          <w:t>LHE/22/9.GA/10</w:t>
        </w:r>
      </w:hyperlink>
      <w:r w:rsidRPr="00DA1B98">
        <w:rPr>
          <w:rFonts w:asciiTheme="minorBidi" w:hAnsiTheme="minorBidi" w:cstheme="minorBidi" w:hint="cs"/>
          <w:szCs w:val="24"/>
          <w:rtl/>
        </w:rPr>
        <w:t xml:space="preserve"> و</w:t>
      </w:r>
      <w:hyperlink r:id="rId21" w:history="1">
        <w:r w:rsidRPr="00775E6D">
          <w:rPr>
            <w:rStyle w:val="Hyperlink"/>
            <w:rFonts w:cstheme="minorBidi"/>
          </w:rPr>
          <w:t>LHE/22/9.GA/INF.10</w:t>
        </w:r>
      </w:hyperlink>
      <w:r w:rsidR="00F045C6" w:rsidRPr="00DA1B98">
        <w:rPr>
          <w:rFonts w:asciiTheme="minorBidi" w:hAnsiTheme="minorBidi" w:cstheme="minorBidi" w:hint="cs"/>
          <w:szCs w:val="24"/>
          <w:rtl/>
        </w:rPr>
        <w:t>).</w:t>
      </w:r>
      <w:r w:rsidRPr="00DA1B98">
        <w:rPr>
          <w:rFonts w:asciiTheme="minorBidi" w:hAnsiTheme="minorBidi" w:cstheme="minorBidi" w:hint="cs"/>
          <w:szCs w:val="24"/>
          <w:rtl/>
        </w:rPr>
        <w:t xml:space="preserve"> وبالنظر إلى هذا الاتجاه، الذي من المحتمل أن يكون مرتبطاً بالجائحة، فقد ركزت الأمانة على تحديد التحديات التي تواجهها الدول و</w:t>
      </w:r>
      <w:r w:rsidR="009A4530" w:rsidRPr="00DA1B98">
        <w:rPr>
          <w:rFonts w:hint="cs"/>
          <w:szCs w:val="24"/>
          <w:rtl/>
        </w:rPr>
        <w:t>ا</w:t>
      </w:r>
      <w:r w:rsidR="009A4530" w:rsidRPr="00DA1B98">
        <w:rPr>
          <w:rFonts w:asciiTheme="minorBidi" w:hAnsiTheme="minorBidi" w:cstheme="minorBidi" w:hint="cs"/>
          <w:szCs w:val="24"/>
          <w:rtl/>
        </w:rPr>
        <w:t>لجماعات</w:t>
      </w:r>
      <w:r w:rsidRPr="00DA1B98">
        <w:rPr>
          <w:rFonts w:asciiTheme="minorBidi" w:hAnsiTheme="minorBidi" w:cstheme="minorBidi" w:hint="cs"/>
          <w:szCs w:val="24"/>
          <w:rtl/>
        </w:rPr>
        <w:t xml:space="preserve"> في إعداد طلباتها ومتابعة مشروعاتها. </w:t>
      </w:r>
      <w:r w:rsidRPr="00DA1B98">
        <w:rPr>
          <w:rFonts w:hint="cs"/>
          <w:szCs w:val="24"/>
          <w:rtl/>
        </w:rPr>
        <w:t xml:space="preserve">كإحدى الخطوات الأولى لتصحيح الوضع، أعدت الأمانة </w:t>
      </w:r>
      <w:hyperlink r:id="rId22" w:history="1">
        <w:r w:rsidRPr="00DA1B98">
          <w:rPr>
            <w:rStyle w:val="Hyperlink"/>
            <w:rFonts w:hint="cs"/>
            <w:szCs w:val="24"/>
            <w:rtl/>
          </w:rPr>
          <w:t xml:space="preserve">مجموعة أدوات </w:t>
        </w:r>
      </w:hyperlink>
      <w:r w:rsidRPr="00DA1B98">
        <w:rPr>
          <w:rFonts w:hint="cs"/>
          <w:szCs w:val="24"/>
          <w:rtl/>
        </w:rPr>
        <w:t>حول آلية المساعدة الدولية.</w:t>
      </w:r>
    </w:p>
    <w:p w14:paraId="45BDA713" w14:textId="77777777" w:rsidR="002E1C7F" w:rsidRPr="00DA1B98" w:rsidRDefault="002E1C7F" w:rsidP="00775E6D">
      <w:pPr>
        <w:pStyle w:val="COMPara"/>
        <w:keepNext/>
        <w:numPr>
          <w:ilvl w:val="0"/>
          <w:numId w:val="21"/>
        </w:numPr>
        <w:bidi/>
        <w:spacing w:before="240"/>
        <w:ind w:left="576" w:hanging="432"/>
        <w:jc w:val="both"/>
        <w:rPr>
          <w:rFonts w:asciiTheme="minorBidi" w:hAnsiTheme="minorBidi" w:cstheme="minorBidi"/>
          <w:b/>
          <w:bCs/>
          <w:szCs w:val="24"/>
          <w:rtl/>
        </w:rPr>
      </w:pPr>
      <w:r w:rsidRPr="00DA1B98">
        <w:rPr>
          <w:rFonts w:asciiTheme="minorBidi" w:hAnsiTheme="minorBidi" w:cstheme="minorBidi" w:hint="cs"/>
          <w:b/>
          <w:bCs/>
          <w:szCs w:val="24"/>
          <w:rtl/>
        </w:rPr>
        <w:t>الانشطة التنفيذية</w:t>
      </w:r>
    </w:p>
    <w:p w14:paraId="313ECF1A" w14:textId="1696B433" w:rsidR="00510597" w:rsidRPr="00DA1B98" w:rsidRDefault="000403A5"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pacing w:val="-2"/>
          <w:szCs w:val="24"/>
          <w:rtl/>
        </w:rPr>
        <w:t xml:space="preserve">مع استمرارها في تقديم </w:t>
      </w:r>
      <w:r w:rsidRPr="00DA1B98">
        <w:rPr>
          <w:rFonts w:asciiTheme="minorBidi" w:hAnsiTheme="minorBidi" w:cstheme="minorBidi" w:hint="cs"/>
          <w:spacing w:val="-2"/>
          <w:szCs w:val="24"/>
          <w:u w:val="single"/>
          <w:rtl/>
        </w:rPr>
        <w:t>دعم قوي ل</w:t>
      </w:r>
      <w:r w:rsidR="009A4530" w:rsidRPr="00775E6D">
        <w:rPr>
          <w:rFonts w:asciiTheme="minorBidi" w:hAnsiTheme="minorBidi" w:cstheme="minorBidi"/>
          <w:spacing w:val="-2"/>
          <w:szCs w:val="24"/>
          <w:u w:val="single"/>
          <w:rtl/>
        </w:rPr>
        <w:t>تعزيز</w:t>
      </w:r>
      <w:r w:rsidRPr="00DA1B98">
        <w:rPr>
          <w:rFonts w:asciiTheme="minorBidi" w:hAnsiTheme="minorBidi" w:cstheme="minorBidi" w:hint="cs"/>
          <w:spacing w:val="-2"/>
          <w:szCs w:val="24"/>
          <w:u w:val="single"/>
          <w:rtl/>
        </w:rPr>
        <w:t xml:space="preserve"> القدرات</w:t>
      </w:r>
      <w:r w:rsidRPr="00DA1B98">
        <w:rPr>
          <w:rFonts w:asciiTheme="minorBidi" w:hAnsiTheme="minorBidi" w:cstheme="minorBidi" w:hint="cs"/>
          <w:spacing w:val="-2"/>
          <w:szCs w:val="24"/>
          <w:rtl/>
        </w:rPr>
        <w:t xml:space="preserve"> في جميع أنحاء العالم، بدأت الأمانة في إعادة التوجيه الاستراتيجي لتشمل نهج التسليم متعدد الوسائط لتوسيع نطاق الوصول والتسليم، بالاعتماد على الدروس المستفادة من التعلم عبر الإنترنت خلال جائحة كوفيد-19. كان من أحد الفعاليات تنظيم أول دورة تدريبية مفتوحة ضخمة عبر الإنترنت،</w:t>
      </w:r>
      <w:r w:rsidRPr="00DA1B98">
        <w:rPr>
          <w:rFonts w:asciiTheme="minorBidi" w:hAnsiTheme="minorBidi" w:cstheme="minorBidi" w:hint="cs"/>
          <w:szCs w:val="24"/>
          <w:rtl/>
        </w:rPr>
        <w:t xml:space="preserve"> والتي وُضعت لتتناول التراث الثقافي غير المادي والتنمية المستدامة. وتهدف الدورة المكونة من ست وحدات إلى تعزيز فهم الروابط القائمة بين التراث الحي والتنمية المستدامة في مجالات مثل المساواة بين الجنسين والتعليم والصحة وتوليد الدخل والكوارث وبناء السلام. وتتماشى إعادة التوجيه مع تقييم مرفق الإشراف الداخلي، الذي أكد على أهمية البرنامج وسلط الضوء على الحاجة إلى التكيف مع الطلبات المتنامية. وعلاوة على ذلك، فقد عززت الأمانة شبكتها العالمية من الميسرين، وأنشأت مجموعة عمل أقاليمية وأطلقت سلسلة ندوات عبر الإنترنت و</w:t>
      </w:r>
      <w:hyperlink r:id="rId23" w:history="1">
        <w:r w:rsidRPr="00DA1B98">
          <w:rPr>
            <w:rFonts w:asciiTheme="minorBidi" w:hAnsiTheme="minorBidi" w:cstheme="minorBidi" w:hint="cs"/>
            <w:szCs w:val="24"/>
            <w:rtl/>
          </w:rPr>
          <w:t>صفحة شبكية محسّنة</w:t>
        </w:r>
      </w:hyperlink>
      <w:r w:rsidRPr="00DA1B98">
        <w:rPr>
          <w:rFonts w:asciiTheme="minorBidi" w:hAnsiTheme="minorBidi" w:cstheme="minorBidi" w:hint="cs"/>
          <w:szCs w:val="24"/>
          <w:rtl/>
        </w:rPr>
        <w:t>. كما وسع البرنامج خبرته المواضيعية من خلال تطوير مواد تدريبية في مجالات جديدة، مثل التراث الثقافي غير المادي والحد من مخاطر الكوارث، والتي اُختبرت من خلال حلقات العمل والأنشطة التجريبية الشبكية.</w:t>
      </w:r>
    </w:p>
    <w:p w14:paraId="3D59AFD5" w14:textId="2E8BBC87" w:rsidR="00F62FE1" w:rsidRPr="00DA1B98" w:rsidRDefault="004A4B42"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فيما يتعلق ببرنامج </w:t>
      </w:r>
      <w:r w:rsidRPr="00DA1B98">
        <w:rPr>
          <w:rFonts w:asciiTheme="minorBidi" w:hAnsiTheme="minorBidi" w:cstheme="minorBidi" w:hint="cs"/>
          <w:szCs w:val="24"/>
          <w:u w:val="single"/>
          <w:rtl/>
        </w:rPr>
        <w:t>صون التراث الثقافي غير المادي في التعليم الرسمي وغير الرسمي</w:t>
      </w:r>
      <w:r w:rsidRPr="00DA1B98">
        <w:rPr>
          <w:rFonts w:asciiTheme="minorBidi" w:hAnsiTheme="minorBidi" w:cstheme="minorBidi" w:hint="cs"/>
          <w:szCs w:val="24"/>
          <w:rtl/>
        </w:rPr>
        <w:t>، والذي يمثل أولوية التمويل الثانية بموجب اتفاقية 2003 لعام 2018-2021،</w:t>
      </w:r>
      <w:r w:rsidR="00527E2A" w:rsidRPr="00DA1B98">
        <w:rPr>
          <w:rStyle w:val="FootnoteReference"/>
          <w:rFonts w:asciiTheme="minorBidi" w:hAnsiTheme="minorBidi" w:cstheme="minorBidi"/>
          <w:szCs w:val="24"/>
        </w:rPr>
        <w:footnoteReference w:id="4"/>
      </w:r>
      <w:r w:rsidRPr="00DA1B98">
        <w:rPr>
          <w:rFonts w:asciiTheme="minorBidi" w:hAnsiTheme="minorBidi" w:cstheme="minorBidi" w:hint="cs"/>
          <w:szCs w:val="24"/>
          <w:rtl/>
        </w:rPr>
        <w:t xml:space="preserve"> قاد ستة عشر مكتباً ميدانياً مشروعات وأنشطة في أكثر من خمسين بلداً، ودمج التراث الحي في التعليم المدرسي وغير النظامي، وبناء قدرات المعلمين والمربين. ولدّت ثلاث مناطق (أوروبا وآسيا والمحيط الهادئ وأمريكا اللاتينية ومنطقة البحر الكاريبي) معرفةً بالخبرات الحالية من خلال الدراسات الاستقصائية. وغطى تقييم مرفق الإشراف الداخلي خمسة عشر مشروعاً يُظهر وعياً متزايداً واحتراماً للتراث الحي بين الشباب والمجتمع الأوسع جنباً إلى جنب مع تعزيز الهوية والفخر والتقدير للتنوع الثقافي. طور المعلمون المشاركون القدرات والثقة لإدماج التراث الثقافي غير المادي في تعليمهم عبر جميع المواد، واعتبرت الشراكات التي طُورت بين </w:t>
      </w:r>
      <w:r w:rsidR="009A4530" w:rsidRPr="00DA1B98">
        <w:rPr>
          <w:rFonts w:hint="cs"/>
          <w:szCs w:val="24"/>
          <w:rtl/>
        </w:rPr>
        <w:t>ا</w:t>
      </w:r>
      <w:r w:rsidR="009A4530" w:rsidRPr="00DA1B98">
        <w:rPr>
          <w:rFonts w:asciiTheme="minorBidi" w:hAnsiTheme="minorBidi" w:cstheme="minorBidi" w:hint="cs"/>
          <w:szCs w:val="24"/>
          <w:rtl/>
        </w:rPr>
        <w:t>لجماعات</w:t>
      </w:r>
      <w:r w:rsidRPr="00DA1B98">
        <w:rPr>
          <w:rFonts w:asciiTheme="minorBidi" w:hAnsiTheme="minorBidi" w:cstheme="minorBidi" w:hint="cs"/>
          <w:szCs w:val="24"/>
          <w:rtl/>
        </w:rPr>
        <w:t xml:space="preserve"> والحملة والمدارس واحدة من أكثر السمات مكافأة للمشروعات.</w:t>
      </w:r>
    </w:p>
    <w:p w14:paraId="34BB53A6" w14:textId="04CB1B40" w:rsidR="00F62FE1" w:rsidRPr="00DA1B98" w:rsidRDefault="00F62FE1"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على المستوى العالمي، قامت الأمانة ببناء معرفة جديدة، بالتعاون مع قطاع التعليم، بشأن المؤشرات المتعلقة بالتعليم لإطار النتائج الشامل للاتفاقية وعلاقتها بالهدف 4 للتنمية المستدامة </w:t>
      </w:r>
      <w:r w:rsidRPr="00DA1B98">
        <w:rPr>
          <w:rFonts w:asciiTheme="minorBidi" w:hAnsiTheme="minorBidi" w:cstheme="minorBidi"/>
          <w:szCs w:val="24"/>
        </w:rPr>
        <w:t>(2020</w:t>
      </w:r>
      <w:r w:rsidR="008F0294" w:rsidRPr="00DA1B98">
        <w:rPr>
          <w:rFonts w:asciiTheme="minorBidi" w:hAnsiTheme="minorBidi" w:cstheme="minorBidi"/>
          <w:szCs w:val="24"/>
        </w:rPr>
        <w:t>)</w:t>
      </w:r>
      <w:r w:rsidRPr="00DA1B98">
        <w:rPr>
          <w:rFonts w:asciiTheme="minorBidi" w:hAnsiTheme="minorBidi" w:cstheme="minorBidi" w:hint="cs"/>
          <w:szCs w:val="24"/>
          <w:rtl/>
        </w:rPr>
        <w:t xml:space="preserve"> من خلال اجتماع خبراء </w:t>
      </w:r>
      <w:hyperlink r:id="rId24" w:history="1">
        <w:r w:rsidRPr="00DA1B98">
          <w:rPr>
            <w:rFonts w:asciiTheme="minorBidi" w:hAnsiTheme="minorBidi" w:cstheme="minorBidi" w:hint="cs"/>
            <w:szCs w:val="24"/>
            <w:rtl/>
          </w:rPr>
          <w:t xml:space="preserve">وندوة عامة عبر الإنترنت </w:t>
        </w:r>
      </w:hyperlink>
      <w:r w:rsidRPr="00DA1B98">
        <w:rPr>
          <w:rFonts w:asciiTheme="minorBidi" w:hAnsiTheme="minorBidi" w:cstheme="minorBidi" w:hint="cs"/>
          <w:szCs w:val="24"/>
          <w:rtl/>
        </w:rPr>
        <w:t xml:space="preserve">(2021). علاوة على ذلك، فقد طُوّر ونُفّذ مقرر تعليمي وأسلوب منهجي ومواد مصممة خصيصاً عبر الإنترنت لدورة لتدريب المدربين على التراث الحي والتعليم. وأخيرًا، وحرصًا على تسهيل تبادل المعرفة والتعاون والابتكار، فقد أسست الأمانة </w:t>
      </w:r>
      <w:hyperlink r:id="rId25" w:history="1">
        <w:r w:rsidRPr="00DA1B98">
          <w:rPr>
            <w:rFonts w:asciiTheme="minorBidi" w:hAnsiTheme="minorBidi" w:cstheme="minorBidi" w:hint="cs"/>
            <w:szCs w:val="24"/>
            <w:u w:val="single"/>
            <w:rtl/>
          </w:rPr>
          <w:t>مركزاً لتبادل المعلومات</w:t>
        </w:r>
      </w:hyperlink>
      <w:r w:rsidRPr="00DA1B98">
        <w:rPr>
          <w:rFonts w:asciiTheme="minorBidi" w:hAnsiTheme="minorBidi" w:cstheme="minorBidi" w:hint="cs"/>
          <w:szCs w:val="24"/>
          <w:u w:val="single"/>
          <w:rtl/>
        </w:rPr>
        <w:t xml:space="preserve"> حول التراث الحي والتعليم</w:t>
      </w:r>
      <w:r w:rsidRPr="00DA1B98">
        <w:rPr>
          <w:rFonts w:asciiTheme="minorBidi" w:hAnsiTheme="minorBidi" w:cstheme="minorBidi" w:hint="cs"/>
          <w:szCs w:val="24"/>
          <w:rtl/>
        </w:rPr>
        <w:t>، والتي تحتوي على معلومات عن المشاريع المبتكرة والموارد والأخبار والأحداث المتعلقة بالبرنامج. وتم تحديد ثلاث دراسات حالة ذات صلة بشأن تجارب الشعوب الأصلية في صون التراث الحي من خلال التعليم الرسمي وغير الرسمي، وتم تطويرها وإدماجها في مركز تبادل المعلومات. كما أُعدت مساهمات لخطة عمل العقد الدولي للغات الشعوب الأصلية. وسيضمن هذا الإطار الاستراتيجي التعاون الدولي والعمل المشترك والمنسق بين الجهات المعنية من أجل تنشيط لغات الشعوب الأصلية، وهو أمر حيوي لنقل التراث الحي ل</w:t>
      </w:r>
      <w:r w:rsidR="009A4530" w:rsidRPr="00DA1B98">
        <w:rPr>
          <w:rFonts w:asciiTheme="minorBidi" w:hAnsiTheme="minorBidi" w:cstheme="minorBidi" w:hint="cs"/>
          <w:szCs w:val="24"/>
          <w:rtl/>
        </w:rPr>
        <w:t>جماعات</w:t>
      </w:r>
      <w:r w:rsidR="009A4530">
        <w:rPr>
          <w:rFonts w:asciiTheme="minorBidi" w:hAnsiTheme="minorBidi" w:cstheme="minorBidi"/>
          <w:szCs w:val="24"/>
        </w:rPr>
        <w:t xml:space="preserve"> </w:t>
      </w:r>
      <w:r w:rsidRPr="00DA1B98">
        <w:rPr>
          <w:rFonts w:asciiTheme="minorBidi" w:hAnsiTheme="minorBidi" w:cstheme="minorBidi" w:hint="cs"/>
          <w:szCs w:val="24"/>
          <w:rtl/>
        </w:rPr>
        <w:t>الشعوب الأصلية من جيل إلى جيل.</w:t>
      </w:r>
    </w:p>
    <w:bookmarkEnd w:id="0"/>
    <w:p w14:paraId="2B243964" w14:textId="77777777" w:rsidR="002E1C7F" w:rsidRPr="00DA1B98" w:rsidRDefault="002E1C7F" w:rsidP="00775E6D">
      <w:pPr>
        <w:pStyle w:val="COMPara"/>
        <w:keepNext/>
        <w:numPr>
          <w:ilvl w:val="0"/>
          <w:numId w:val="21"/>
        </w:numPr>
        <w:bidi/>
        <w:spacing w:before="240"/>
        <w:ind w:left="576" w:hanging="432"/>
        <w:jc w:val="both"/>
        <w:rPr>
          <w:rFonts w:asciiTheme="minorBidi" w:hAnsiTheme="minorBidi" w:cstheme="minorBidi"/>
          <w:b/>
          <w:bCs/>
          <w:szCs w:val="24"/>
          <w:rtl/>
        </w:rPr>
      </w:pPr>
      <w:r w:rsidRPr="00DA1B98">
        <w:rPr>
          <w:rFonts w:asciiTheme="minorBidi" w:hAnsiTheme="minorBidi" w:cstheme="minorBidi" w:hint="cs"/>
          <w:b/>
          <w:bCs/>
          <w:szCs w:val="24"/>
          <w:rtl/>
        </w:rPr>
        <w:t>المبادرات المواضيعية</w:t>
      </w:r>
    </w:p>
    <w:p w14:paraId="45AF0FE7" w14:textId="527D79C2" w:rsidR="009B2F0E" w:rsidRPr="00DA1B98" w:rsidRDefault="00442B7E" w:rsidP="00775E6D">
      <w:pPr>
        <w:pStyle w:val="GAPara"/>
        <w:numPr>
          <w:ilvl w:val="0"/>
          <w:numId w:val="19"/>
        </w:numPr>
        <w:bidi/>
        <w:ind w:left="567" w:hanging="567"/>
        <w:jc w:val="both"/>
        <w:rPr>
          <w:rFonts w:asciiTheme="minorBidi" w:hAnsiTheme="minorBidi" w:cstheme="minorBidi"/>
          <w:szCs w:val="24"/>
          <w:rtl/>
        </w:rPr>
      </w:pPr>
      <w:r w:rsidRPr="00DA1B98">
        <w:rPr>
          <w:rFonts w:hint="cs"/>
          <w:szCs w:val="24"/>
          <w:rtl/>
        </w:rPr>
        <w:t>تماشياً مع مشروع الاستراتيجية المتوسطة الأجل لليونسكو للفترة 2022-2029 (</w:t>
      </w:r>
      <w:r w:rsidRPr="00DA1B98">
        <w:rPr>
          <w:szCs w:val="24"/>
        </w:rPr>
        <w:t>41C/4</w:t>
      </w:r>
      <w:r w:rsidR="00BC7E4A" w:rsidRPr="00DA1B98">
        <w:rPr>
          <w:rFonts w:hint="cs"/>
          <w:szCs w:val="24"/>
          <w:rtl/>
        </w:rPr>
        <w:t>)</w:t>
      </w:r>
      <w:r w:rsidRPr="00DA1B98">
        <w:rPr>
          <w:rFonts w:hint="cs"/>
          <w:szCs w:val="24"/>
          <w:rtl/>
        </w:rPr>
        <w:t>، والتوجيهات التنفيذية للاتفاقية (الفصل السادس) وقرار اللجنة الذي يؤكد على أهمية تسليط الضوء على</w:t>
      </w:r>
      <w:r w:rsidRPr="00DA1B98">
        <w:rPr>
          <w:rFonts w:asciiTheme="minorBidi" w:hAnsiTheme="minorBidi" w:cstheme="minorBidi" w:hint="cs"/>
          <w:szCs w:val="24"/>
          <w:rtl/>
        </w:rPr>
        <w:t xml:space="preserve"> </w:t>
      </w:r>
      <w:r w:rsidRPr="00775E6D">
        <w:rPr>
          <w:rFonts w:asciiTheme="minorBidi" w:hAnsiTheme="minorBidi" w:cstheme="minorBidi" w:hint="eastAsia"/>
          <w:szCs w:val="24"/>
          <w:u w:val="single"/>
          <w:rtl/>
        </w:rPr>
        <w:t>مساهمات</w:t>
      </w:r>
      <w:r w:rsidRPr="00775E6D">
        <w:rPr>
          <w:rFonts w:asciiTheme="minorBidi" w:hAnsiTheme="minorBidi" w:cstheme="minorBidi"/>
          <w:szCs w:val="24"/>
          <w:u w:val="single"/>
          <w:rtl/>
        </w:rPr>
        <w:t xml:space="preserve"> </w:t>
      </w:r>
      <w:r w:rsidRPr="00775E6D">
        <w:rPr>
          <w:rFonts w:asciiTheme="minorBidi" w:hAnsiTheme="minorBidi" w:cstheme="minorBidi" w:hint="eastAsia"/>
          <w:szCs w:val="24"/>
          <w:u w:val="single"/>
          <w:rtl/>
        </w:rPr>
        <w:t>التراث</w:t>
      </w:r>
      <w:r w:rsidRPr="00775E6D">
        <w:rPr>
          <w:rFonts w:asciiTheme="minorBidi" w:hAnsiTheme="minorBidi" w:cstheme="minorBidi"/>
          <w:szCs w:val="24"/>
          <w:u w:val="single"/>
          <w:rtl/>
        </w:rPr>
        <w:t xml:space="preserve"> </w:t>
      </w:r>
      <w:r w:rsidRPr="00775E6D">
        <w:rPr>
          <w:rFonts w:asciiTheme="minorBidi" w:hAnsiTheme="minorBidi" w:cstheme="minorBidi" w:hint="eastAsia"/>
          <w:szCs w:val="24"/>
          <w:u w:val="single"/>
          <w:rtl/>
        </w:rPr>
        <w:t>الحي</w:t>
      </w:r>
      <w:r w:rsidRPr="00775E6D">
        <w:rPr>
          <w:rFonts w:asciiTheme="minorBidi" w:hAnsiTheme="minorBidi" w:cstheme="minorBidi"/>
          <w:szCs w:val="24"/>
          <w:u w:val="single"/>
          <w:rtl/>
        </w:rPr>
        <w:t xml:space="preserve"> </w:t>
      </w:r>
      <w:r w:rsidRPr="00775E6D">
        <w:rPr>
          <w:rFonts w:asciiTheme="minorBidi" w:hAnsiTheme="minorBidi" w:cstheme="minorBidi" w:hint="eastAsia"/>
          <w:szCs w:val="24"/>
          <w:u w:val="single"/>
          <w:rtl/>
        </w:rPr>
        <w:t>في</w:t>
      </w:r>
      <w:r w:rsidRPr="00775E6D">
        <w:rPr>
          <w:rFonts w:asciiTheme="minorBidi" w:hAnsiTheme="minorBidi" w:cstheme="minorBidi"/>
          <w:szCs w:val="24"/>
          <w:u w:val="single"/>
          <w:rtl/>
        </w:rPr>
        <w:t xml:space="preserve"> </w:t>
      </w:r>
      <w:r w:rsidRPr="00775E6D">
        <w:rPr>
          <w:rFonts w:asciiTheme="minorBidi" w:hAnsiTheme="minorBidi" w:cstheme="minorBidi" w:hint="eastAsia"/>
          <w:szCs w:val="24"/>
          <w:u w:val="single"/>
          <w:rtl/>
        </w:rPr>
        <w:t>التنمية</w:t>
      </w:r>
      <w:r w:rsidRPr="00775E6D">
        <w:rPr>
          <w:rFonts w:asciiTheme="minorBidi" w:hAnsiTheme="minorBidi" w:cstheme="minorBidi"/>
          <w:szCs w:val="24"/>
          <w:u w:val="single"/>
          <w:rtl/>
        </w:rPr>
        <w:t xml:space="preserve"> </w:t>
      </w:r>
      <w:r w:rsidRPr="00775E6D">
        <w:rPr>
          <w:rFonts w:asciiTheme="minorBidi" w:hAnsiTheme="minorBidi" w:cstheme="minorBidi" w:hint="eastAsia"/>
          <w:szCs w:val="24"/>
          <w:u w:val="single"/>
          <w:rtl/>
        </w:rPr>
        <w:t>المستدامة</w:t>
      </w:r>
      <w:r w:rsidRPr="00DA1B98">
        <w:rPr>
          <w:rFonts w:asciiTheme="minorBidi" w:hAnsiTheme="minorBidi" w:cstheme="minorBidi" w:hint="cs"/>
          <w:szCs w:val="24"/>
          <w:rtl/>
        </w:rPr>
        <w:t>،</w:t>
      </w:r>
      <w:bookmarkStart w:id="1" w:name="_Ref88177584"/>
      <w:r w:rsidRPr="00DA1B98">
        <w:rPr>
          <w:szCs w:val="24"/>
          <w:vertAlign w:val="superscript"/>
        </w:rPr>
        <w:footnoteReference w:id="5"/>
      </w:r>
      <w:bookmarkEnd w:id="1"/>
      <w:r w:rsidRPr="00DA1B98">
        <w:rPr>
          <w:rFonts w:asciiTheme="minorBidi" w:hAnsiTheme="minorBidi" w:cstheme="minorBidi" w:hint="cs"/>
          <w:szCs w:val="24"/>
          <w:vertAlign w:val="superscript"/>
          <w:rtl/>
        </w:rPr>
        <w:t xml:space="preserve"> </w:t>
      </w:r>
      <w:r w:rsidRPr="00DA1B98">
        <w:rPr>
          <w:rFonts w:asciiTheme="minorBidi" w:hAnsiTheme="minorBidi" w:cstheme="minorBidi" w:hint="cs"/>
          <w:szCs w:val="24"/>
          <w:rtl/>
        </w:rPr>
        <w:t xml:space="preserve">بدأت الأمانة الجهود المبذولة في مجالات مواضيعية محددة للمساهمة في نهج شامل لصون التراث والتنمية المستدامة. وتشمل هذه: </w:t>
      </w:r>
      <w:r w:rsidRPr="00DA1B98">
        <w:rPr>
          <w:rFonts w:asciiTheme="minorBidi" w:hAnsiTheme="minorBidi" w:cstheme="minorBidi"/>
          <w:szCs w:val="24"/>
        </w:rPr>
        <w:t>i</w:t>
      </w:r>
      <w:r w:rsidRPr="00DA1B98">
        <w:rPr>
          <w:rFonts w:asciiTheme="minorBidi" w:hAnsiTheme="minorBidi" w:cstheme="minorBidi" w:hint="cs"/>
          <w:szCs w:val="24"/>
          <w:rtl/>
        </w:rPr>
        <w:t xml:space="preserve">) حماية التراث الثقافي غير المادي وتغير المناخ، </w:t>
      </w:r>
      <w:r w:rsidRPr="00DA1B98">
        <w:rPr>
          <w:rFonts w:asciiTheme="minorBidi" w:hAnsiTheme="minorBidi" w:cstheme="minorBidi"/>
          <w:szCs w:val="24"/>
        </w:rPr>
        <w:t>ii</w:t>
      </w:r>
      <w:r w:rsidRPr="00DA1B98">
        <w:rPr>
          <w:rFonts w:asciiTheme="minorBidi" w:hAnsiTheme="minorBidi" w:cstheme="minorBidi" w:hint="cs"/>
          <w:szCs w:val="24"/>
          <w:rtl/>
        </w:rPr>
        <w:t>) البعد الاقتصادي لصون التراث الثقافي غير المادي، و</w:t>
      </w:r>
      <w:r w:rsidRPr="00DA1B98">
        <w:rPr>
          <w:rFonts w:asciiTheme="minorBidi" w:hAnsiTheme="minorBidi" w:cstheme="minorBidi"/>
          <w:szCs w:val="24"/>
        </w:rPr>
        <w:t>iii</w:t>
      </w:r>
      <w:r w:rsidRPr="00DA1B98">
        <w:rPr>
          <w:rFonts w:asciiTheme="minorBidi" w:hAnsiTheme="minorBidi" w:cstheme="minorBidi" w:hint="cs"/>
          <w:szCs w:val="24"/>
          <w:rtl/>
        </w:rPr>
        <w:t>) حماية التراث الثقافي غير المادي في السياقات الحضرية.</w:t>
      </w:r>
    </w:p>
    <w:p w14:paraId="12DE37A2" w14:textId="536B5D56" w:rsidR="00442B7E" w:rsidRPr="00DA1B98" w:rsidRDefault="00562BD3"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بالنسبة لكل مجال مواضيعي، يتم وضع مذكرة مفاهيمية بهدف تعزيز الفهم وتحديد مجالات العمل المستقبلي في إطار الاتفاقية. وسيشمل هذا العمل مراجعة الأدبيات الموجودة، وتحديد الخبراء، وإنشاء فريق مراجعة النظراء وتطوير دراسات الحالة، من مناطق مختلفة حول العالم. بالإضافة إلى ذلك، ستشمل إطلاق دراسة استقصائية عالمية موجهة</w:t>
      </w:r>
      <w:r w:rsidRPr="00DA1B98">
        <w:rPr>
          <w:rFonts w:hint="cs"/>
          <w:szCs w:val="24"/>
          <w:rtl/>
        </w:rPr>
        <w:t xml:space="preserve"> إلى الجهات المعنية الرئيسيين، بما في ذلك 'نقاط الاتصال' للاتفاقية على المستوى الوطني وجهات الاتصال للعناصر المدرجة، لجمع مجموعة واسعة من الأفكار حول الآثار المترتبة على التراث الثقافي غير المادي في هذه المجالات المواضيعية.</w:t>
      </w:r>
    </w:p>
    <w:p w14:paraId="743782C6" w14:textId="7246115E" w:rsidR="008B4CC6" w:rsidRPr="00DA1B98" w:rsidRDefault="005B3A5A"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أصبح </w:t>
      </w:r>
      <w:r w:rsidRPr="00DA1B98">
        <w:rPr>
          <w:rFonts w:asciiTheme="minorBidi" w:hAnsiTheme="minorBidi" w:cstheme="minorBidi" w:hint="cs"/>
          <w:szCs w:val="24"/>
          <w:u w:val="single"/>
          <w:rtl/>
        </w:rPr>
        <w:t>تغير المناخ</w:t>
      </w:r>
      <w:r w:rsidRPr="00DA1B98">
        <w:rPr>
          <w:rFonts w:asciiTheme="minorBidi" w:hAnsiTheme="minorBidi" w:cstheme="minorBidi" w:hint="cs"/>
          <w:szCs w:val="24"/>
          <w:rtl/>
        </w:rPr>
        <w:t xml:space="preserve"> مجال اهتمام عالمي عاجل، بما في ذلك ما يتعلق بصون التراث الحي. علاوة على ذلك، سلط العمل المواضيعي السابق بشأن التراث الثقافي غير المادي وحالات الطوارئ الضوء على قابلية تعرض التراث الثقافي غير المادي للكوارث، بما في ذلك الأخطار الناجمة عن المناخ. بدأ العمل في المذكرة المفاهيمية في نهاية عام 2021 وسيهدف إلى زيادة فهم العلاقة بين التراث الثقافي غير المادي وتغير المناخ. وسيشمل ذلك النظر في أدوار التراث الثقافي غير المادي، في التكيف مع المناخ والتخفيف من حدته، فضلاً عن المخاطر التي يتعرض لها التراث الثقافي غير المادي في سياق تغير المناخ.</w:t>
      </w:r>
    </w:p>
    <w:p w14:paraId="4EA0DC6A" w14:textId="27F31C78" w:rsidR="001E432A" w:rsidRPr="00DA1B98" w:rsidRDefault="00676625" w:rsidP="00775E6D">
      <w:pPr>
        <w:pStyle w:val="GAPara"/>
        <w:numPr>
          <w:ilvl w:val="0"/>
          <w:numId w:val="19"/>
        </w:numPr>
        <w:bidi/>
        <w:snapToGrid w:val="0"/>
        <w:ind w:left="540" w:hanging="540"/>
        <w:jc w:val="both"/>
        <w:rPr>
          <w:szCs w:val="24"/>
          <w:rtl/>
        </w:rPr>
      </w:pPr>
      <w:r w:rsidRPr="00DA1B98">
        <w:rPr>
          <w:rFonts w:asciiTheme="minorBidi" w:hAnsiTheme="minorBidi" w:cstheme="minorBidi" w:hint="cs"/>
          <w:szCs w:val="24"/>
          <w:rtl/>
        </w:rPr>
        <w:t xml:space="preserve">وقد انعكست الدورات السابقة للجنة في </w:t>
      </w:r>
      <w:r w:rsidRPr="00DA1B98">
        <w:rPr>
          <w:rFonts w:asciiTheme="minorBidi" w:hAnsiTheme="minorBidi" w:cstheme="minorBidi" w:hint="cs"/>
          <w:szCs w:val="24"/>
          <w:u w:val="single"/>
          <w:rtl/>
        </w:rPr>
        <w:t>الأبعاد الاقتصادية لصون التراث الثقافي غير المادي،</w:t>
      </w:r>
      <w:r w:rsidRPr="00DA1B98">
        <w:rPr>
          <w:rFonts w:asciiTheme="minorBidi" w:hAnsiTheme="minorBidi" w:cstheme="minorBidi" w:hint="cs"/>
          <w:szCs w:val="24"/>
          <w:rtl/>
        </w:rPr>
        <w:t xml:space="preserve"> بما في ذلك جوانبه الإيجابية والسلبية. على سبيل المثال، قد تشمل الجوانب الإيجابية حالات يمكن فيها للتسويق أن يدعم بشكل مباشر جدوى التراث الثقافي غير المادي المعرّض للخطر (أي أنواع معينة من الحرف) أو قد تنطوي الجوانب السلبية على إزالة السياق والتوحيد القياسي من خلال الإفراط في التجارة. وفي هذا الصدد، واستجابة لطلبات اللجنة، يتواصل العمل لإعداد مذكرة توجيهية بشأن</w:t>
      </w:r>
      <w:r w:rsidRPr="00DA1B98">
        <w:rPr>
          <w:rFonts w:hint="cs"/>
          <w:szCs w:val="24"/>
          <w:rtl/>
        </w:rPr>
        <w:t xml:space="preserve"> تدابير الصون للتعامل مع هذه القضايا.</w:t>
      </w:r>
      <w:r w:rsidR="00FD11C1" w:rsidRPr="00DA1B98">
        <w:rPr>
          <w:rStyle w:val="FootnoteReference"/>
          <w:rFonts w:asciiTheme="minorBidi" w:hAnsiTheme="minorBidi" w:cstheme="minorBidi"/>
          <w:szCs w:val="24"/>
        </w:rPr>
        <w:footnoteReference w:id="6"/>
      </w:r>
      <w:r w:rsidRPr="00DA1B98">
        <w:rPr>
          <w:rFonts w:hint="cs"/>
          <w:szCs w:val="24"/>
          <w:rtl/>
        </w:rPr>
        <w:t xml:space="preserve"> وستتضمن المذكرة التوجيهية القضايا التي تناولتها الأجهزة الرئاسية للاتفاقيات وهيئة التقييم منذ بداية الاتفاقية.</w:t>
      </w:r>
    </w:p>
    <w:p w14:paraId="4A98E686" w14:textId="4889CBDD" w:rsidR="00442B7E" w:rsidRPr="00DA1B98" w:rsidRDefault="00442B7E"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يتعلق مجال الاهتمام الثالث </w:t>
      </w:r>
      <w:r w:rsidRPr="00DA1B98">
        <w:rPr>
          <w:rFonts w:asciiTheme="minorBidi" w:hAnsiTheme="minorBidi" w:cstheme="minorBidi" w:hint="cs"/>
          <w:szCs w:val="24"/>
          <w:u w:val="single"/>
          <w:rtl/>
        </w:rPr>
        <w:t>بصون التراث الحي في السياقات الحضرية</w:t>
      </w:r>
      <w:r w:rsidRPr="00DA1B98">
        <w:rPr>
          <w:rFonts w:asciiTheme="minorBidi" w:hAnsiTheme="minorBidi" w:cstheme="minorBidi" w:hint="cs"/>
          <w:szCs w:val="24"/>
          <w:rtl/>
        </w:rPr>
        <w:t xml:space="preserve"> ومساهمته في المدن المستدامة. </w:t>
      </w:r>
      <w:r w:rsidRPr="00DA1B98">
        <w:rPr>
          <w:rFonts w:hint="cs"/>
          <w:szCs w:val="24"/>
          <w:rtl/>
        </w:rPr>
        <w:t>وستسعى ورقة الموقف قيد التطوير إلى وضع مبادئ توجيهية لل</w:t>
      </w:r>
      <w:r w:rsidR="00656947" w:rsidRPr="00775E6D">
        <w:rPr>
          <w:szCs w:val="24"/>
          <w:rtl/>
        </w:rPr>
        <w:t>تطبيق</w:t>
      </w:r>
      <w:r w:rsidRPr="00DA1B98">
        <w:rPr>
          <w:rFonts w:hint="cs"/>
          <w:szCs w:val="24"/>
          <w:rtl/>
        </w:rPr>
        <w:t xml:space="preserve"> الفعال للاتفاقية في السياقات الحضرية وصياغة توصيات لصانعي السياسات والممارسين من خلال تسليط الضوء على دور التراث الحي في التنمية الحضرية المستدامة. وستدعم بشكل خاص عدم التعبير عن التراث العمراني في أشكاله المبنية أو المادية فحسب، بل من خلال الاستخدامات والممارسات الحية المتبعة في المدن وتواجدها في المساحات الحضرية. وتظل المرحلة الأولى من هذه الوثيقة التي تركز على التراث الثقافي غير المادي والتخطيط الحضري قيد التطوير حالياً.</w:t>
      </w:r>
      <w:r w:rsidRPr="00DA1B98">
        <w:rPr>
          <w:rFonts w:asciiTheme="minorBidi" w:hAnsiTheme="minorBidi" w:cstheme="minorBidi" w:hint="cs"/>
          <w:szCs w:val="24"/>
          <w:rtl/>
        </w:rPr>
        <w:t xml:space="preserve"> يتضمن العمل في السياقات الحضرية القضايا التي تناولتها الهيئات الرئاسية في الاتفاقيات من خلال نتائج قوائم الحصر التي أجريت في إطار المشروع الجاري الممول من خارج الميزانية 'التراث غير المادي والإبداع من أجل مدن مستدامة'، الممول من القطاع الخاص في الصين منذ عام 2018. راجع</w:t>
      </w:r>
      <w:hyperlink r:id="rId26" w:history="1">
        <w:r w:rsidRPr="00DA1B98">
          <w:rPr>
            <w:rFonts w:hint="cs"/>
            <w:szCs w:val="24"/>
            <w:rtl/>
          </w:rPr>
          <w:t xml:space="preserve"> </w:t>
        </w:r>
        <w:r w:rsidRPr="00DA1B98">
          <w:rPr>
            <w:rStyle w:val="Hyperlink"/>
            <w:rFonts w:asciiTheme="minorBidi" w:hAnsiTheme="minorBidi" w:cstheme="minorBidi" w:hint="cs"/>
            <w:szCs w:val="24"/>
            <w:rtl/>
          </w:rPr>
          <w:t>الصفحة الشبكية المخصصة</w:t>
        </w:r>
      </w:hyperlink>
      <w:r w:rsidRPr="00DA1B98">
        <w:rPr>
          <w:rFonts w:asciiTheme="minorBidi" w:hAnsiTheme="minorBidi" w:cstheme="minorBidi" w:hint="cs"/>
          <w:szCs w:val="24"/>
          <w:rtl/>
        </w:rPr>
        <w:t xml:space="preserve"> للحصول على تحديثات هذا المشروع.</w:t>
      </w:r>
    </w:p>
    <w:p w14:paraId="29B6AE09" w14:textId="77806F26" w:rsidR="002E1C7F" w:rsidRPr="00DA1B98" w:rsidRDefault="002E1C7F" w:rsidP="00775E6D">
      <w:pPr>
        <w:pStyle w:val="COMPara"/>
        <w:keepNext/>
        <w:numPr>
          <w:ilvl w:val="0"/>
          <w:numId w:val="21"/>
        </w:numPr>
        <w:bidi/>
        <w:spacing w:before="240"/>
        <w:ind w:left="576" w:hanging="432"/>
        <w:jc w:val="both"/>
        <w:rPr>
          <w:rFonts w:asciiTheme="minorBidi" w:hAnsiTheme="minorBidi" w:cstheme="minorBidi"/>
          <w:b/>
          <w:bCs/>
          <w:szCs w:val="24"/>
          <w:rtl/>
        </w:rPr>
      </w:pPr>
      <w:r w:rsidRPr="00DA1B98">
        <w:rPr>
          <w:rFonts w:asciiTheme="minorBidi" w:hAnsiTheme="minorBidi" w:cstheme="minorBidi" w:hint="cs"/>
          <w:b/>
          <w:bCs/>
          <w:szCs w:val="24"/>
          <w:rtl/>
        </w:rPr>
        <w:t>أوجه التآزر مع الاتفاقيات الثقافية الأخرى</w:t>
      </w:r>
    </w:p>
    <w:p w14:paraId="2DA0B464" w14:textId="726BB627" w:rsidR="00442B7E" w:rsidRPr="00DA1B98" w:rsidRDefault="00442B7E"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تعاونت الأمانة مع أمانة اتفاقية لاهاي لعام 1954 وبروتوكوليها لإعداد وثيقة تفكير حول أوجه التآزر في صون التراث الثقافي غير المادي في حالات الطوارئ.</w:t>
      </w:r>
      <w:r w:rsidRPr="00DA1B98">
        <w:rPr>
          <w:szCs w:val="24"/>
          <w:vertAlign w:val="superscript"/>
        </w:rPr>
        <w:footnoteReference w:id="7"/>
      </w:r>
      <w:r w:rsidRPr="00DA1B98">
        <w:rPr>
          <w:rFonts w:asciiTheme="minorBidi" w:hAnsiTheme="minorBidi" w:cstheme="minorBidi" w:hint="cs"/>
          <w:szCs w:val="24"/>
          <w:vertAlign w:val="superscript"/>
          <w:rtl/>
        </w:rPr>
        <w:t xml:space="preserve"> </w:t>
      </w:r>
      <w:r w:rsidRPr="00DA1B98">
        <w:rPr>
          <w:rFonts w:asciiTheme="minorBidi" w:hAnsiTheme="minorBidi" w:cstheme="minorBidi" w:hint="cs"/>
          <w:szCs w:val="24"/>
          <w:rtl/>
        </w:rPr>
        <w:t>وتم عرض وثيقة المعلومات على لجنة حماية الممتلكات الثقافية في حالة نزاع مسلح في اجتماعها السادس عشر في كانون الأول/ديسمبر 2021. وتتمثل إحدى الطرق المقترحة للمضي قدماً في المستقبل القريب في بناء قدرات هذه الجهات الفاعلة لتفعيل المبادئ والطرائق التشغيلية لصون التراث الثقافي غير المادي في حالات الطوارئ وبناء الوعي بأهميتها بين الجهات المعنية المعنيين. ومن خلال صندوق اليونسكو للتراث في حالات الطوارئ، تواصل الأمانة دعم حماية الثقافة في حالات الطوارئ، عبر اتفاقيات اليونسكو الثقافية.</w:t>
      </w:r>
    </w:p>
    <w:p w14:paraId="2F999E3C" w14:textId="3497FD76" w:rsidR="00565274" w:rsidRPr="00DA1B98" w:rsidRDefault="00565274"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يتم تسليط الضوء على الروابط مع اتفاقية التراث العالمي لعام 1972 في المشروعات التشغيلية المنفذة في هذا المجال. في حين أنه يمكن تقديم نظرة عامة جزئية فقط بالنظر إلى النطاق الواسع للمشروعات، فقد تضمنت مبادرات اليونسكو، على سبيل المثال، تعزيز التراث الحي والسياحة الثقافية في ممتلكات التراث العالمي</w:t>
      </w:r>
      <w:r w:rsidR="00CB0DAB" w:rsidRPr="00DA1B98">
        <w:rPr>
          <w:rStyle w:val="FootnoteReference"/>
          <w:rFonts w:asciiTheme="minorBidi" w:hAnsiTheme="minorBidi" w:cstheme="minorBidi"/>
          <w:szCs w:val="24"/>
        </w:rPr>
        <w:footnoteReference w:id="8"/>
      </w:r>
      <w:r w:rsidRPr="00DA1B98">
        <w:rPr>
          <w:rFonts w:asciiTheme="minorBidi" w:hAnsiTheme="minorBidi" w:cstheme="minorBidi" w:hint="cs"/>
          <w:szCs w:val="24"/>
          <w:rtl/>
        </w:rPr>
        <w:t xml:space="preserve"> أو حصر التراث الثقافي غير المادي في السياقات الحضرية</w:t>
      </w:r>
      <w:r w:rsidR="00CB0DAB" w:rsidRPr="00DA1B98">
        <w:rPr>
          <w:rStyle w:val="FootnoteReference"/>
          <w:rFonts w:asciiTheme="minorBidi" w:hAnsiTheme="minorBidi" w:cstheme="minorBidi"/>
          <w:szCs w:val="24"/>
        </w:rPr>
        <w:footnoteReference w:id="9"/>
      </w:r>
      <w:r w:rsidRPr="00DA1B98">
        <w:rPr>
          <w:rFonts w:asciiTheme="minorBidi" w:hAnsiTheme="minorBidi" w:cstheme="minorBidi" w:hint="cs"/>
          <w:szCs w:val="24"/>
          <w:rtl/>
        </w:rPr>
        <w:t>. ومن خلال مشاركتها في برنامج شبكة الأرض لليونسكو بقيادة قطاع العلوم، فقد سعت الأمانة أيضاً إلى تعزيز الروابط مع اتفاقية عام 1972 والمواقع المعينة من قبل اليونسكو لدعم إدارة النظام الإيكولوجي والاستعادة والمرونة من خلال التدريب وتبادل الخبرات والممارسات الجيدة.</w:t>
      </w:r>
    </w:p>
    <w:p w14:paraId="55B866D3" w14:textId="02DF23F8" w:rsidR="00442B7E" w:rsidRPr="00DA1B98" w:rsidRDefault="00442B7E"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كما يتم تعزيز أوجه التآزر مع اتفاقية 2005 بشأن حماية وتعزيز تنوع أشكال التعبير الثقافي في الميدان، من خلال المشروعات التي تركز على صون الحرف اليدوية في سياق تغير المناخ</w:t>
      </w:r>
      <w:r w:rsidR="00CB0DAB" w:rsidRPr="00DA1B98">
        <w:rPr>
          <w:rStyle w:val="FootnoteReference"/>
          <w:rFonts w:asciiTheme="minorBidi" w:hAnsiTheme="minorBidi" w:cstheme="minorBidi"/>
          <w:szCs w:val="24"/>
        </w:rPr>
        <w:footnoteReference w:id="10"/>
      </w:r>
      <w:r w:rsidRPr="00DA1B98">
        <w:rPr>
          <w:rFonts w:asciiTheme="minorBidi" w:hAnsiTheme="minorBidi" w:cstheme="minorBidi" w:hint="cs"/>
          <w:szCs w:val="24"/>
          <w:rtl/>
        </w:rPr>
        <w:t>، وتطوير الحرف الريفية والمراكز الثقافية</w:t>
      </w:r>
      <w:r w:rsidR="00CC467D" w:rsidRPr="00DA1B98">
        <w:rPr>
          <w:rStyle w:val="FootnoteReference"/>
          <w:rFonts w:asciiTheme="minorBidi" w:hAnsiTheme="minorBidi" w:cstheme="minorBidi"/>
          <w:szCs w:val="24"/>
        </w:rPr>
        <w:footnoteReference w:id="11"/>
      </w:r>
      <w:r w:rsidRPr="00DA1B98">
        <w:rPr>
          <w:rFonts w:asciiTheme="minorBidi" w:hAnsiTheme="minorBidi" w:cstheme="minorBidi" w:hint="cs"/>
          <w:szCs w:val="24"/>
          <w:rtl/>
        </w:rPr>
        <w:t xml:space="preserve"> أو في دعم لنقل المعرفة الموسيقية بين الشباب.</w:t>
      </w:r>
      <w:r w:rsidR="00504163" w:rsidRPr="00DA1B98">
        <w:rPr>
          <w:rStyle w:val="FootnoteReference"/>
          <w:rFonts w:asciiTheme="minorBidi" w:hAnsiTheme="minorBidi" w:cstheme="minorBidi"/>
          <w:szCs w:val="24"/>
        </w:rPr>
        <w:footnoteReference w:id="12"/>
      </w:r>
      <w:r w:rsidRPr="00DA1B98">
        <w:rPr>
          <w:rFonts w:asciiTheme="minorBidi" w:hAnsiTheme="minorBidi" w:cstheme="minorBidi" w:hint="cs"/>
          <w:szCs w:val="24"/>
          <w:rtl/>
        </w:rPr>
        <w:t xml:space="preserve"> واستجابةً للوباء، فقد نُظّم حوار </w:t>
      </w:r>
      <w:r w:rsidRPr="00DA1B98">
        <w:rPr>
          <w:rFonts w:asciiTheme="minorBidi" w:hAnsiTheme="minorBidi" w:cstheme="minorBidi"/>
          <w:szCs w:val="24"/>
        </w:rPr>
        <w:t>ResiliArt</w:t>
      </w:r>
      <w:r w:rsidRPr="00DA1B98">
        <w:rPr>
          <w:rFonts w:asciiTheme="minorBidi" w:hAnsiTheme="minorBidi" w:cstheme="minorBidi" w:hint="cs"/>
          <w:szCs w:val="24"/>
          <w:rtl/>
        </w:rPr>
        <w:t xml:space="preserve"> عبر الإنترنت حول الجائحة خلال الدورة الثامنة للجمعية العامة في أيلول/سبتمبر 2020.</w:t>
      </w:r>
    </w:p>
    <w:p w14:paraId="1535022A" w14:textId="2937F493" w:rsidR="00442B7E" w:rsidRPr="00921795" w:rsidRDefault="00442B7E" w:rsidP="00775E6D">
      <w:pPr>
        <w:pStyle w:val="GAPara"/>
        <w:numPr>
          <w:ilvl w:val="0"/>
          <w:numId w:val="19"/>
        </w:numPr>
        <w:bidi/>
        <w:ind w:left="567" w:hanging="567"/>
        <w:jc w:val="both"/>
        <w:rPr>
          <w:rFonts w:asciiTheme="minorBidi" w:hAnsiTheme="minorBidi" w:cstheme="minorBidi"/>
          <w:spacing w:val="-2"/>
          <w:szCs w:val="24"/>
          <w:rtl/>
        </w:rPr>
      </w:pPr>
      <w:r w:rsidRPr="00921795">
        <w:rPr>
          <w:rFonts w:asciiTheme="minorBidi" w:hAnsiTheme="minorBidi" w:cstheme="minorBidi" w:hint="cs"/>
          <w:spacing w:val="-2"/>
          <w:szCs w:val="24"/>
          <w:rtl/>
        </w:rPr>
        <w:t xml:space="preserve">في عام 2021، شاركت الأمانة في فريق العمل على مستوى القطاع المعني بوضع قواعد إجرائية نموذجية لاجتماعات/مؤتمرات الأطراف في اتفاقيات اليونسكو الثقافية. بعد دراسة الدورة الحادية والأربعين للمؤتمر العام لليونسكو في الدورة الحادية والأربعين، قدّم النظام الداخلي النموذجي الأساس لإعداد التنقيحات المقترحة للنظام الداخلي للجمعية العامة لاتفاقية عام 2003 والتي قُدمت لدراستها في الدورة الحالية للجمعية بموجب البند 12 (الوثيقة </w:t>
      </w:r>
      <w:hyperlink r:id="rId27" w:history="1">
        <w:r w:rsidRPr="00775E6D">
          <w:rPr>
            <w:rStyle w:val="Hyperlink"/>
            <w:spacing w:val="-2"/>
            <w:szCs w:val="24"/>
          </w:rPr>
          <w:t>LHE/22/9.GA/</w:t>
        </w:r>
      </w:hyperlink>
      <w:r w:rsidR="00CC2383" w:rsidRPr="00775E6D">
        <w:rPr>
          <w:rStyle w:val="Hyperlink"/>
          <w:spacing w:val="-2"/>
          <w:szCs w:val="24"/>
        </w:rPr>
        <w:t>12</w:t>
      </w:r>
      <w:r w:rsidRPr="009928D3">
        <w:rPr>
          <w:rStyle w:val="Hyperlink"/>
          <w:rFonts w:hint="cs"/>
          <w:spacing w:val="-2"/>
          <w:szCs w:val="24"/>
          <w:rtl/>
        </w:rPr>
        <w:t>)</w:t>
      </w:r>
      <w:r w:rsidRPr="00F75634">
        <w:rPr>
          <w:rFonts w:asciiTheme="minorBidi" w:hAnsiTheme="minorBidi" w:cstheme="minorBidi"/>
          <w:spacing w:val="-2"/>
          <w:szCs w:val="24"/>
          <w:rtl/>
        </w:rPr>
        <w:t>.</w:t>
      </w:r>
    </w:p>
    <w:p w14:paraId="603F551A" w14:textId="645D2450" w:rsidR="002E1C7F" w:rsidRPr="00DA1B98" w:rsidRDefault="002E1C7F" w:rsidP="00775E6D">
      <w:pPr>
        <w:pStyle w:val="COMPara"/>
        <w:keepNext/>
        <w:numPr>
          <w:ilvl w:val="0"/>
          <w:numId w:val="21"/>
        </w:numPr>
        <w:bidi/>
        <w:spacing w:before="240"/>
        <w:ind w:left="576" w:hanging="432"/>
        <w:jc w:val="both"/>
        <w:rPr>
          <w:rFonts w:asciiTheme="minorBidi" w:hAnsiTheme="minorBidi" w:cstheme="minorBidi"/>
          <w:b/>
          <w:bCs/>
          <w:szCs w:val="24"/>
          <w:rtl/>
        </w:rPr>
      </w:pPr>
      <w:r w:rsidRPr="00DA1B98">
        <w:rPr>
          <w:rFonts w:asciiTheme="minorBidi" w:hAnsiTheme="minorBidi" w:cstheme="minorBidi" w:hint="cs"/>
          <w:b/>
          <w:bCs/>
          <w:szCs w:val="24"/>
          <w:rtl/>
        </w:rPr>
        <w:t>الاتصالات والتواصل</w:t>
      </w:r>
    </w:p>
    <w:p w14:paraId="14FE146C" w14:textId="098489C5" w:rsidR="00442B7E" w:rsidRPr="00DA1B98" w:rsidRDefault="0007499B" w:rsidP="00775E6D">
      <w:pPr>
        <w:pStyle w:val="GAPara"/>
        <w:numPr>
          <w:ilvl w:val="0"/>
          <w:numId w:val="19"/>
        </w:numPr>
        <w:bidi/>
        <w:ind w:left="567" w:hanging="567"/>
        <w:jc w:val="both"/>
        <w:rPr>
          <w:rFonts w:asciiTheme="minorBidi" w:hAnsiTheme="minorBidi" w:cstheme="minorBidi"/>
          <w:szCs w:val="24"/>
          <w:rtl/>
        </w:rPr>
      </w:pPr>
      <w:r w:rsidRPr="00DA1B98">
        <w:rPr>
          <w:rFonts w:hint="cs"/>
          <w:szCs w:val="24"/>
          <w:rtl/>
        </w:rPr>
        <w:t xml:space="preserve">الاتصالات الاستراتيجية لديها القدرة على تعزيز الوعي حول صون التراث الثقافي غير المادي، وزيادة إبراز الاتفاقية والوصول إلى مختلف الجهات المعنية. </w:t>
      </w:r>
      <w:r w:rsidRPr="00DA1B98">
        <w:rPr>
          <w:rFonts w:asciiTheme="minorBidi" w:hAnsiTheme="minorBidi" w:cstheme="minorBidi" w:hint="cs"/>
          <w:szCs w:val="24"/>
          <w:rtl/>
        </w:rPr>
        <w:t xml:space="preserve">وبناءً على التعليقات الإيجابية على مشروع </w:t>
      </w:r>
      <w:r w:rsidRPr="00DA1B98">
        <w:rPr>
          <w:rFonts w:hint="cs"/>
          <w:szCs w:val="24"/>
          <w:rtl/>
        </w:rPr>
        <w:t>'</w:t>
      </w:r>
      <w:hyperlink r:id="rId28" w:history="1">
        <w:r w:rsidRPr="00DA1B98">
          <w:rPr>
            <w:rFonts w:asciiTheme="minorBidi" w:hAnsiTheme="minorBidi" w:cstheme="minorBidi" w:hint="cs"/>
            <w:szCs w:val="24"/>
            <w:rtl/>
          </w:rPr>
          <w:t>الغوص في ثنايا التراث الثقافي غير المادي</w:t>
        </w:r>
      </w:hyperlink>
      <w:r w:rsidRPr="00DA1B98">
        <w:rPr>
          <w:rFonts w:hint="cs"/>
          <w:szCs w:val="24"/>
          <w:rtl/>
        </w:rPr>
        <w:t>'</w:t>
      </w:r>
      <w:r w:rsidRPr="00DA1B98">
        <w:rPr>
          <w:rFonts w:asciiTheme="minorBidi" w:hAnsiTheme="minorBidi" w:cstheme="minorBidi" w:hint="cs"/>
          <w:szCs w:val="24"/>
          <w:rtl/>
        </w:rPr>
        <w:t xml:space="preserve"> الذي أُطلق في نهاية عام 2019، قامت الأمانة بتحسين الواجهة بشكل أكبر لتوضيح الطرق الواسعة النطاق التي يتم من خلالها الترابط بين التراث الحي والتنمية المستدامة، ومدى ارتباط العناصر المدرجة بأهداف التنمية المستدامة. وتم إصدار هذه الواجهة خلال الدورة الخامسة عشرة للجنة، كما عُرضت في 21 أيار/مايو 2021 خلال الحدث رفيع المستوى حول الثقافة والتنمية المستدامة الذي عقده في نيويورك رئيس الجمعية العامة للأمم المتحدة.</w:t>
      </w:r>
    </w:p>
    <w:p w14:paraId="2CEF3254" w14:textId="5AD26D7E" w:rsidR="00BE022A" w:rsidRPr="00DA1B98" w:rsidRDefault="00442B7E"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وقد بُذل جهد في عام 2021 لتوفير محتوى أكثر تواتراً وتنوعاً وجاذبية على البوابة الإلكترونية للاتفاقية. اتخذت مبادرات لإبراز المحتوى الموضوعي بشكل أفضل، مع إنشاء صفحات مواضيعية في عام 2020 مخصصة </w:t>
      </w:r>
      <w:hyperlink r:id="rId29" w:history="1">
        <w:r w:rsidRPr="00DA1B98">
          <w:rPr>
            <w:rStyle w:val="Hyperlink"/>
            <w:rFonts w:asciiTheme="minorBidi" w:hAnsiTheme="minorBidi" w:cstheme="minorBidi" w:hint="cs"/>
            <w:szCs w:val="24"/>
            <w:rtl/>
          </w:rPr>
          <w:t>للتراث الحي في حالات الطوارئ</w:t>
        </w:r>
        <w:r w:rsidRPr="00775E6D">
          <w:rPr>
            <w:rStyle w:val="Hyperlink"/>
            <w:rFonts w:asciiTheme="minorBidi" w:hAnsiTheme="minorBidi" w:cstheme="minorBidi"/>
            <w:szCs w:val="24"/>
            <w:u w:val="none"/>
            <w:rtl/>
          </w:rPr>
          <w:t xml:space="preserve"> </w:t>
        </w:r>
      </w:hyperlink>
      <w:r w:rsidRPr="00DA1B98">
        <w:rPr>
          <w:rFonts w:asciiTheme="minorBidi" w:hAnsiTheme="minorBidi" w:cstheme="minorBidi" w:hint="cs"/>
          <w:szCs w:val="24"/>
          <w:rtl/>
        </w:rPr>
        <w:t>و</w:t>
      </w:r>
      <w:hyperlink r:id="rId30" w:history="1">
        <w:r w:rsidRPr="00DA1B98">
          <w:rPr>
            <w:rStyle w:val="Hyperlink"/>
            <w:rFonts w:asciiTheme="minorBidi" w:hAnsiTheme="minorBidi" w:cstheme="minorBidi" w:hint="cs"/>
            <w:szCs w:val="24"/>
            <w:rtl/>
          </w:rPr>
          <w:t>التراث الحي والتعليم</w:t>
        </w:r>
      </w:hyperlink>
      <w:r w:rsidRPr="00DA1B98">
        <w:rPr>
          <w:rFonts w:asciiTheme="minorBidi" w:hAnsiTheme="minorBidi" w:cstheme="minorBidi" w:hint="cs"/>
          <w:szCs w:val="24"/>
          <w:rtl/>
        </w:rPr>
        <w:t xml:space="preserve">. نُشرت سلسلة من الأخبار المتعلقة بالأيام الدولية لتحسين ربط مبادرات التراث الحي بجهود الاتصال على نطاق الأمم المتحدة. يُعرض معرض 'أصوات التراث الحي، رحلة عبر لغات السكان الأصليين'، الذي انطلق لأول مرة في عام 2019، في قاعات مقر اليونسكو، قبل العقد الدولي للغات الشعوب الأصلية 2022-2032. احتفالاً بالذكرى </w:t>
      </w:r>
      <w:hyperlink r:id="rId31" w:history="1">
        <w:r w:rsidRPr="00DA1B98">
          <w:rPr>
            <w:rFonts w:hint="cs"/>
            <w:szCs w:val="24"/>
            <w:rtl/>
          </w:rPr>
          <w:t>الخامسة والسبعين</w:t>
        </w:r>
        <w:r w:rsidRPr="00DA1B98">
          <w:rPr>
            <w:rFonts w:asciiTheme="minorBidi" w:hAnsiTheme="minorBidi" w:cstheme="minorBidi" w:hint="cs"/>
            <w:szCs w:val="24"/>
            <w:rtl/>
          </w:rPr>
          <w:t xml:space="preserve"> لتأسيس اليونسكو</w:t>
        </w:r>
      </w:hyperlink>
      <w:r w:rsidRPr="00DA1B98">
        <w:rPr>
          <w:rFonts w:asciiTheme="minorBidi" w:hAnsiTheme="minorBidi" w:cstheme="minorBidi" w:hint="cs"/>
          <w:szCs w:val="24"/>
          <w:rtl/>
        </w:rPr>
        <w:t>، قُدمت لجنة مخصصة للتراث الحي في مقر اليونسكو، وتم عرض الصور التي أرسلتها الدول الأطراف لعناصر التراث الحي خارج مبنى 'فونتينوي</w:t>
      </w:r>
      <w:r w:rsidR="00C73C59" w:rsidRPr="00DA1B98">
        <w:rPr>
          <w:rFonts w:asciiTheme="minorBidi" w:hAnsiTheme="minorBidi" w:cstheme="minorBidi" w:hint="cs"/>
          <w:szCs w:val="24"/>
          <w:rtl/>
        </w:rPr>
        <w:t>.</w:t>
      </w:r>
    </w:p>
    <w:p w14:paraId="64470E57" w14:textId="026552E6" w:rsidR="00442B7E" w:rsidRPr="00DA1B98" w:rsidRDefault="0007499B"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في حين تعذر عقد الدورة السادسة عشرة للجنة في الوقت الحاضر، فقد نُظمت أحداث جانبية على الإنترنت، واجتذبت مشاركة واسعة. </w:t>
      </w:r>
      <w:r w:rsidRPr="00DA1B98">
        <w:rPr>
          <w:rFonts w:hint="cs"/>
          <w:szCs w:val="24"/>
          <w:rtl/>
        </w:rPr>
        <w:t xml:space="preserve">تهدف المؤتمرات الصحفية في الاجتماعات التشريعية الرئيسية ومجموعة المواد الصحفية التي يتم إنتاجها سنوياً للجنة إلى مخاطبة أعضاء وسائل الإعلام، بينما وصلت المبادرات الشبكية ووسائل التواصل الاجتماعي إلى الجمهور الأوسع، بما في ذلك عبر موقع "تويتر" و"فيسبوك لايف". </w:t>
      </w:r>
      <w:r w:rsidRPr="00DA1B98">
        <w:rPr>
          <w:rFonts w:asciiTheme="minorBidi" w:hAnsiTheme="minorBidi" w:cstheme="minorBidi" w:hint="cs"/>
          <w:szCs w:val="24"/>
          <w:rtl/>
        </w:rPr>
        <w:t>دُمج شعار اليونسكو الجديد على نطاق واسع في مراسلات الأمانة ومواد الاتصال. كما عُزز إبراز الاتفاقية في اتصالات اليونسكو، من خلال المزيد من المنشورات على وسائل التواصل الاجتماعي التي تعرض التراث الحي.</w:t>
      </w:r>
    </w:p>
    <w:p w14:paraId="6CF9F881" w14:textId="57B75AF8" w:rsidR="002E1C7F" w:rsidRPr="00DA1B98" w:rsidRDefault="002E1C7F" w:rsidP="00775E6D">
      <w:pPr>
        <w:pStyle w:val="COMPara"/>
        <w:keepNext/>
        <w:numPr>
          <w:ilvl w:val="0"/>
          <w:numId w:val="21"/>
        </w:numPr>
        <w:bidi/>
        <w:spacing w:before="240"/>
        <w:ind w:left="576" w:hanging="432"/>
        <w:jc w:val="both"/>
        <w:rPr>
          <w:rFonts w:asciiTheme="minorBidi" w:hAnsiTheme="minorBidi" w:cstheme="minorBidi"/>
          <w:b/>
          <w:bCs/>
          <w:szCs w:val="24"/>
          <w:rtl/>
        </w:rPr>
      </w:pPr>
      <w:r w:rsidRPr="00DA1B98">
        <w:rPr>
          <w:rFonts w:asciiTheme="minorBidi" w:hAnsiTheme="minorBidi" w:cstheme="minorBidi" w:hint="cs"/>
          <w:b/>
          <w:bCs/>
          <w:szCs w:val="24"/>
          <w:rtl/>
        </w:rPr>
        <w:t>التحديات الرئيسية وسبل المضي قدماً</w:t>
      </w:r>
    </w:p>
    <w:p w14:paraId="4B18F857" w14:textId="042A03F2" w:rsidR="002636F7" w:rsidRPr="00DA1B98" w:rsidRDefault="00D95A17"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تميزت أنشطة الأمانة على مدار العامين الماضيين بشكل خاص بتفشي جائحة كوفيد-19 الذي سلط الضوء أكثر من أي وقت مضى على قيمة التراث الثقافي غير المادي والأهمية التي توليها </w:t>
      </w:r>
      <w:r w:rsidR="00F75634" w:rsidRPr="00775E6D">
        <w:rPr>
          <w:rFonts w:asciiTheme="minorBidi" w:hAnsiTheme="minorBidi" w:cstheme="minorBidi" w:hint="eastAsia"/>
          <w:szCs w:val="24"/>
          <w:rtl/>
        </w:rPr>
        <w:t>الجماعات</w:t>
      </w:r>
      <w:r w:rsidRPr="00DA1B98">
        <w:rPr>
          <w:rFonts w:asciiTheme="minorBidi" w:hAnsiTheme="minorBidi" w:cstheme="minorBidi" w:hint="cs"/>
          <w:szCs w:val="24"/>
          <w:rtl/>
        </w:rPr>
        <w:t xml:space="preserve"> لممارسته المستمرة والتعبير عنه. في حين أن الأزمة قد شكلت تحديات كبيرة، تجدر الإشارة إلى أن مجالس إدارة الاتفاقية، والآليات القانونية والمبادرات التشغيلية الرئيسية للاتفاقية، بدعم من الأمانة، استمرت دون انقطاع، والحفاظ على العدالة بين صانعي القرار والتوزيع الإقليمي الجهات المعنية المعنيين، بما يتماشى مع أحكام التوجيهات التنفيذية. وقد أثبت ذلك أن الهيكل التشريعي الذي وُضع كان متيناً بما يكفي لتحمل تأثير الأزمة ومرناً بدرجة كافية للتكيف مع الظروف المعاكسة. وتم تقديم طرق مبتكرة للحفاظ على إمكانية العمل بشكل تعاوني كما طُورت أدوات رقمية، قدم بعضها إمكانيات جديدة يمكن أن تظل في مكانها في بيئة ما بعد الجائحة.</w:t>
      </w:r>
    </w:p>
    <w:p w14:paraId="043C7A08" w14:textId="5AE60BD8" w:rsidR="00817639" w:rsidRPr="00DA1B98" w:rsidRDefault="00DD167B"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وتمتاز النتائج الأولية المحققة من تنفيذ آلية الإبلاغ الدوري بعد إصلاحها بأنها مشجعة على نحوٍ خاص. ويعكس التحسن الملحوظ في معدلات التقديم المشاركة الواسعة للدول الأطراف في أول منطقتين لتقديم التقارير في </w:t>
      </w:r>
      <w:r w:rsidR="00F1139B" w:rsidRPr="00775E6D">
        <w:rPr>
          <w:rFonts w:asciiTheme="minorBidi" w:hAnsiTheme="minorBidi" w:cstheme="minorBidi"/>
          <w:szCs w:val="24"/>
          <w:rtl/>
        </w:rPr>
        <w:t>تطبيق</w:t>
      </w:r>
      <w:r w:rsidRPr="00DA1B98">
        <w:rPr>
          <w:rFonts w:asciiTheme="minorBidi" w:hAnsiTheme="minorBidi" w:cstheme="minorBidi" w:hint="cs"/>
          <w:szCs w:val="24"/>
          <w:rtl/>
        </w:rPr>
        <w:t xml:space="preserve"> الاتفاقية. يوضح تحليل التقارير كذلك أن عدداً كبيراً من الدول الأطراف في هذه المناطق قد تولت إقامة وتنفيذ مشروعات وبرامج وسياسات، فضلاً عن وضع الأطر المؤسسية لدعمها، بهدف صون التراث الثقافي غير المادي الموجود في أراضيها. شريطة استمرار الاتجاه الإيجابي في مناطق أخرى وإجراء التعديلات اللازمة على طول الطريق، يمكن أن تنضج آلية الإبلاغ الدوري بعد إصلاحها بتركيزها على النتائج بما يتماشى مع إطار النتائج الشامل لاتفاقية عام 2003، لتصبح أداة وظيفية للرصد تأثير الاتفاقية على مختلف المستويات.</w:t>
      </w:r>
    </w:p>
    <w:p w14:paraId="5FBF986D" w14:textId="1BC9B965" w:rsidR="00D95A17" w:rsidRPr="00DA1B98" w:rsidRDefault="00236508"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علاوة على ذلك، كان التفكير العالمي في آليات الإدراج خطوة مهمة نحو التطوير المستقبلي للاتفاقية. بعد عملية التشاور المكثفة على مدى العامين الماضيين، يُطلب من الجمعية العامة الموافقة على التنقيحات للتوجيهات التنفيذية التي من المتوقع أن تعزز مصداقية آليات الإدراج، وعلى هذا النحو ستغلق هذه الجلسة عملية التفكير التي تعاملت مع عدد كبير من القضايا المعقدة والمترابطة. وتنتقل الاتفاقية بعد ذلك إلى المرحلة التالية من تنفيذ التغييرات، والتي ستشمل نوعاً آخر من العمل لرصد آثار التغييرات بعناية وإجراء التعديلات التقنية حسب الحاجة. وفي الوقت نفسه، فتح التفكير العالمي خطاً جديداً للتفكير بشأن كيفية زيادة تعزيز المشاركة النشطة للجماعات والمجموعات </w:t>
      </w:r>
      <w:r w:rsidR="00CE78D5" w:rsidRPr="00775E6D">
        <w:rPr>
          <w:rFonts w:asciiTheme="minorBidi" w:hAnsiTheme="minorBidi" w:cstheme="minorBidi"/>
          <w:szCs w:val="24"/>
          <w:rtl/>
        </w:rPr>
        <w:t>وبحسب الحالة</w:t>
      </w:r>
      <w:r w:rsidR="00CE78D5" w:rsidRPr="00DA1B98">
        <w:rPr>
          <w:rFonts w:asciiTheme="minorBidi" w:hAnsiTheme="minorBidi" w:cstheme="minorBidi" w:hint="cs"/>
          <w:szCs w:val="24"/>
          <w:rtl/>
        </w:rPr>
        <w:t xml:space="preserve"> </w:t>
      </w:r>
      <w:r w:rsidRPr="00DA1B98">
        <w:rPr>
          <w:rFonts w:asciiTheme="minorBidi" w:hAnsiTheme="minorBidi" w:cstheme="minorBidi" w:hint="cs"/>
          <w:szCs w:val="24"/>
          <w:rtl/>
        </w:rPr>
        <w:t>الأفراد، في جميع جوانب الاتفاقية.</w:t>
      </w:r>
    </w:p>
    <w:p w14:paraId="57D911E4" w14:textId="073493E7" w:rsidR="007B6AF0" w:rsidRPr="00DA1B98" w:rsidRDefault="00681799"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من الناحية التشغيلية، قامت الأمانة بتدخلات لبناء القدرات بأوسع معانيها خلال الفترة المشمولة بالتقرير، في 162 دولة، بما في ذلك ثلاثة وثلاثون دولة في إفريقيا وثلاثين دولة من الدول الجزرية الصغيرة النامية. كما كان البرنامج نفسه يتطور وتعتزم الأمانة مواصلة إعادة توجيه البرنامج ليشمل نهج التسليم متعدد الوسائط، مما يوفر فرصاً لتوسيع نطاق وصول البرنامج إلى جماهير جديدة وتسخير أصول التدريس المبتكرة، مع ضمان الفعالية من حيث التكلفة. وحقق برنامج التراث الحي والتعليم تقدماً كبيراً من خلال العديد من المشروعات، بينما هناك أيضاً حاجة للتفكير في كيفية توسيع نطاق هذه التجربة. علاوة على ذلك، يجب تعزيز الروابط المهمة بين صون التراث الحي والتنمية المستدامة في المستقبل. وفي هذا الصدد، تعمل الأمانة أيضاً على وضع مذكرات مفاهيمية أو أوراق موقف بشأن ثلاث قضايا مواضيعية لتقديمها إلى الهيئات الرئاسية (انظر القسم الرابع).</w:t>
      </w:r>
    </w:p>
    <w:p w14:paraId="64E26701" w14:textId="238EFB9A" w:rsidR="00C86E90" w:rsidRPr="00DA1B98" w:rsidRDefault="00AE539A"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وكما أوضح تقييم مرفق الإشراف الداخلي لعام 2021، فإن تنفيذ الاتفاقية 'مرت بالعديد من الإصلاحات والتحولات التي عززت بشكل كبير دعم المنظمة للدول الأعضاء والشركاء والمجتمعات.' في حين أن تطوير الاتفاقية يمثل علامة إيجابية على زيادة الوعي بالتراث الثقافي غير المادي في مختلف المجالات، فإنه يترجم أيضاً إلى زيادة الطلب على دعم اليونسكو للدول الأطراف. كما لوحظ في التوصية 1 من تقييم مرفق الإشراف الداخلي، فإن انتباه الجمعية العامة يُوجّه إلى 'ضرورة تحديد الأولويات لتوظيف الموارد المحدودة لأمانة اتفاقية 2003'.</w:t>
      </w:r>
    </w:p>
    <w:p w14:paraId="52E9D44C" w14:textId="24DA17E8" w:rsidR="00AE741B" w:rsidRPr="00DA1B98" w:rsidRDefault="00AE741B"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وستحدد القرارات التي ستتخذها هيئاتها الرئاسية في هذا المنعطف كيف ستنمو الاتفاقية خلال السنوات العشر القادمة. وفي هذا الصدد، طلبت الدورة السادسة عشرة للجنة أن 'تعد الأمانة معلومات عن أنشطتها الرئيسية، مع الآثار المترتبة على التكلفة والمسائل المتعلقة بعبء العمل'، لكي تدرسها الدورة السابعة عشرة للجنة (القرار </w:t>
      </w:r>
      <w:hyperlink r:id="rId32" w:history="1">
        <w:r w:rsidR="00C73C59" w:rsidRPr="00DA1B98">
          <w:rPr>
            <w:rStyle w:val="Hyperlink"/>
            <w:rFonts w:asciiTheme="minorBidi" w:hAnsiTheme="minorBidi" w:cstheme="minorBidi"/>
            <w:szCs w:val="24"/>
          </w:rPr>
          <w:t>16.COM 5.b</w:t>
        </w:r>
      </w:hyperlink>
      <w:r w:rsidR="00C73C59" w:rsidRPr="00DA1B98">
        <w:rPr>
          <w:rFonts w:asciiTheme="minorBidi" w:hAnsiTheme="minorBidi" w:cstheme="minorBidi" w:hint="cs"/>
          <w:szCs w:val="24"/>
          <w:rtl/>
        </w:rPr>
        <w:t>)</w:t>
      </w:r>
      <w:r w:rsidRPr="00DA1B98">
        <w:rPr>
          <w:rFonts w:asciiTheme="minorBidi" w:hAnsiTheme="minorBidi" w:cstheme="minorBidi"/>
          <w:szCs w:val="24"/>
        </w:rPr>
        <w:t>.</w:t>
      </w:r>
      <w:r w:rsidRPr="00DA1B98">
        <w:rPr>
          <w:rFonts w:asciiTheme="minorBidi" w:hAnsiTheme="minorBidi" w:cstheme="minorBidi" w:hint="cs"/>
          <w:szCs w:val="24"/>
          <w:rtl/>
        </w:rPr>
        <w:t xml:space="preserve"> وبالمثل، اقترح اجتماع الجزء الثالث للفريق العامل الحكومي الدولي المفتوح العضوية – بموجب توصيته الثالثة (3) – أن تعد الأمانة 'اقتراحاً تفصيلياً بشأن الموارد المالية والبشرية اللازمة لتعزيز آليات الإدراج [...]' (الوثيقة </w:t>
      </w:r>
      <w:r w:rsidRPr="00775E6D">
        <w:rPr>
          <w:rFonts w:asciiTheme="minorBidi" w:hAnsiTheme="minorBidi" w:cstheme="minorBidi"/>
          <w:szCs w:val="24"/>
        </w:rPr>
        <w:t>LHE/22/9.GA/9</w:t>
      </w:r>
      <w:r w:rsidR="00054A38" w:rsidRPr="00DA1B98">
        <w:rPr>
          <w:rFonts w:asciiTheme="minorBidi" w:hAnsiTheme="minorBidi" w:cstheme="minorBidi" w:hint="cs"/>
          <w:szCs w:val="24"/>
          <w:rtl/>
        </w:rPr>
        <w:t>)</w:t>
      </w:r>
      <w:r w:rsidRPr="00DA1B98">
        <w:rPr>
          <w:rFonts w:asciiTheme="minorBidi" w:hAnsiTheme="minorBidi" w:cstheme="minorBidi"/>
          <w:szCs w:val="24"/>
        </w:rPr>
        <w:t>.</w:t>
      </w:r>
      <w:r w:rsidRPr="00DA1B98">
        <w:rPr>
          <w:rFonts w:asciiTheme="minorBidi" w:hAnsiTheme="minorBidi" w:cstheme="minorBidi" w:hint="cs"/>
          <w:szCs w:val="24"/>
          <w:rtl/>
        </w:rPr>
        <w:t xml:space="preserve"> في ضوء هذه التشجيعات على البحث عن حلول لمتطلبات التوظيف المستدامة للأمانة، يمكن أن تتوقع الجمعية العامة تلقي معلومات موحدة بحلول دورتها القادمة، مما يسمح لها بتقييم هذا الوضع وتقديم التوجيه وتحديد الأولويات للسنوات القادمة.</w:t>
      </w:r>
    </w:p>
    <w:p w14:paraId="4C2B0AB6" w14:textId="5DD3EC4E" w:rsidR="008A1ED4" w:rsidRPr="00DA1B98" w:rsidRDefault="00D95A17" w:rsidP="00775E6D">
      <w:pPr>
        <w:pStyle w:val="GAPara"/>
        <w:numPr>
          <w:ilvl w:val="0"/>
          <w:numId w:val="19"/>
        </w:numPr>
        <w:bidi/>
        <w:ind w:left="567" w:hanging="567"/>
        <w:jc w:val="both"/>
        <w:rPr>
          <w:rFonts w:asciiTheme="minorBidi" w:hAnsiTheme="minorBidi" w:cstheme="minorBidi"/>
          <w:szCs w:val="24"/>
          <w:rtl/>
        </w:rPr>
      </w:pPr>
      <w:r w:rsidRPr="00DA1B98">
        <w:rPr>
          <w:rFonts w:asciiTheme="minorBidi" w:hAnsiTheme="minorBidi" w:cstheme="minorBidi" w:hint="cs"/>
          <w:szCs w:val="24"/>
          <w:rtl/>
        </w:rPr>
        <w:t xml:space="preserve">قد ترغب </w:t>
      </w:r>
      <w:r w:rsidR="00CE78D5" w:rsidRPr="00DA1B98">
        <w:rPr>
          <w:rFonts w:hint="cs"/>
          <w:szCs w:val="24"/>
          <w:rtl/>
        </w:rPr>
        <w:t>الجمعية العامة</w:t>
      </w:r>
      <w:r w:rsidRPr="00DA1B98">
        <w:rPr>
          <w:rFonts w:asciiTheme="minorBidi" w:hAnsiTheme="minorBidi" w:cstheme="minorBidi" w:hint="cs"/>
          <w:szCs w:val="24"/>
          <w:rtl/>
        </w:rPr>
        <w:t xml:space="preserve"> في اعتماد القرار التالي:</w:t>
      </w:r>
    </w:p>
    <w:p w14:paraId="2A46BAC4" w14:textId="13F5EE1D" w:rsidR="008A1ED4" w:rsidRPr="00DA1B98" w:rsidRDefault="00F010E0" w:rsidP="00775E6D">
      <w:pPr>
        <w:pStyle w:val="GATitleResolution"/>
        <w:bidi/>
        <w:rPr>
          <w:szCs w:val="24"/>
          <w:rtl/>
          <w:lang w:bidi="ur-IN"/>
        </w:rPr>
      </w:pPr>
      <w:r w:rsidRPr="00775E6D">
        <w:rPr>
          <w:rFonts w:hint="eastAsia"/>
          <w:b w:val="0"/>
          <w:bCs/>
          <w:szCs w:val="24"/>
          <w:rtl/>
        </w:rPr>
        <w:t>مشروع</w:t>
      </w:r>
      <w:r w:rsidRPr="00775E6D">
        <w:rPr>
          <w:b w:val="0"/>
          <w:bCs/>
          <w:szCs w:val="24"/>
          <w:rtl/>
        </w:rPr>
        <w:t xml:space="preserve"> </w:t>
      </w:r>
      <w:r w:rsidRPr="00775E6D">
        <w:rPr>
          <w:rFonts w:hint="eastAsia"/>
          <w:b w:val="0"/>
          <w:bCs/>
          <w:szCs w:val="24"/>
          <w:rtl/>
        </w:rPr>
        <w:t>قرار</w:t>
      </w:r>
      <w:r w:rsidRPr="00DA1B98">
        <w:rPr>
          <w:rFonts w:hint="cs"/>
          <w:szCs w:val="24"/>
          <w:rtl/>
        </w:rPr>
        <w:t xml:space="preserve"> </w:t>
      </w:r>
      <w:r w:rsidR="00754226">
        <w:t>9.GA 6</w:t>
      </w:r>
    </w:p>
    <w:p w14:paraId="7677B217" w14:textId="77777777" w:rsidR="008A1ED4" w:rsidRPr="00DA1B98" w:rsidRDefault="008A1ED4" w:rsidP="00775E6D">
      <w:pPr>
        <w:pStyle w:val="GAPreambulaResolution"/>
        <w:bidi/>
        <w:rPr>
          <w:rFonts w:eastAsia="SimSun"/>
          <w:szCs w:val="24"/>
          <w:rtl/>
        </w:rPr>
      </w:pPr>
      <w:r w:rsidRPr="00DA1B98">
        <w:rPr>
          <w:rFonts w:hint="cs"/>
          <w:szCs w:val="24"/>
          <w:rtl/>
        </w:rPr>
        <w:t>إن الجمعية العامة،</w:t>
      </w:r>
    </w:p>
    <w:p w14:paraId="68F801BB" w14:textId="32A381A4" w:rsidR="008A1ED4" w:rsidRPr="00DA1B98" w:rsidRDefault="008A1ED4" w:rsidP="00775E6D">
      <w:pPr>
        <w:pStyle w:val="COMParaDecision"/>
        <w:numPr>
          <w:ilvl w:val="0"/>
          <w:numId w:val="10"/>
        </w:numPr>
        <w:bidi/>
        <w:ind w:left="1134" w:hanging="567"/>
        <w:rPr>
          <w:szCs w:val="24"/>
          <w:rtl/>
        </w:rPr>
      </w:pPr>
      <w:r w:rsidRPr="00DA1B98">
        <w:rPr>
          <w:rFonts w:hint="cs"/>
          <w:szCs w:val="24"/>
          <w:rtl/>
        </w:rPr>
        <w:t>وقد درست</w:t>
      </w:r>
      <w:r w:rsidRPr="00DA1B98">
        <w:rPr>
          <w:rFonts w:hint="cs"/>
          <w:szCs w:val="24"/>
          <w:u w:val="none"/>
          <w:rtl/>
        </w:rPr>
        <w:t xml:space="preserve"> الوثيقة رقم </w:t>
      </w:r>
      <w:r w:rsidRPr="00775E6D">
        <w:rPr>
          <w:szCs w:val="24"/>
          <w:u w:val="none"/>
        </w:rPr>
        <w:t>LHE/22/9.GA/6</w:t>
      </w:r>
      <w:r w:rsidRPr="00DA1B98">
        <w:rPr>
          <w:rFonts w:hint="cs"/>
          <w:szCs w:val="24"/>
          <w:u w:val="none"/>
          <w:rtl/>
        </w:rPr>
        <w:t xml:space="preserve"> والملحق الخاص بها،</w:t>
      </w:r>
    </w:p>
    <w:p w14:paraId="653545F0" w14:textId="3B4FA9B4" w:rsidR="00935DBB" w:rsidRPr="00DA1B98" w:rsidRDefault="001D3E1A" w:rsidP="00775E6D">
      <w:pPr>
        <w:pStyle w:val="COMParaDecision"/>
        <w:numPr>
          <w:ilvl w:val="0"/>
          <w:numId w:val="10"/>
        </w:numPr>
        <w:bidi/>
        <w:ind w:left="1134" w:hanging="567"/>
        <w:rPr>
          <w:szCs w:val="24"/>
          <w:u w:val="none"/>
          <w:rtl/>
        </w:rPr>
      </w:pPr>
      <w:r w:rsidRPr="009928D3">
        <w:rPr>
          <w:rFonts w:hint="cs"/>
          <w:szCs w:val="24"/>
          <w:rtl/>
        </w:rPr>
        <w:t xml:space="preserve">وإذ </w:t>
      </w:r>
      <w:r w:rsidRPr="00CE78D5">
        <w:rPr>
          <w:szCs w:val="24"/>
          <w:rtl/>
        </w:rPr>
        <w:t>ت</w:t>
      </w:r>
      <w:r w:rsidR="00CE78D5" w:rsidRPr="00775E6D">
        <w:rPr>
          <w:rFonts w:hint="cs"/>
          <w:szCs w:val="24"/>
          <w:rtl/>
        </w:rPr>
        <w:t>حيط</w:t>
      </w:r>
      <w:r w:rsidR="00CE78D5" w:rsidRPr="00775E6D">
        <w:rPr>
          <w:szCs w:val="24"/>
          <w:rtl/>
        </w:rPr>
        <w:t xml:space="preserve"> </w:t>
      </w:r>
      <w:r w:rsidR="00CE78D5" w:rsidRPr="00775E6D">
        <w:rPr>
          <w:rFonts w:hint="cs"/>
          <w:szCs w:val="24"/>
          <w:rtl/>
        </w:rPr>
        <w:t>علما</w:t>
      </w:r>
      <w:r w:rsidR="00CE78D5" w:rsidRPr="00775E6D">
        <w:rPr>
          <w:szCs w:val="24"/>
          <w:u w:val="none"/>
        </w:rPr>
        <w:t xml:space="preserve"> </w:t>
      </w:r>
      <w:r w:rsidRPr="00DA1B98">
        <w:rPr>
          <w:rFonts w:hint="cs"/>
          <w:szCs w:val="24"/>
          <w:u w:val="none"/>
          <w:rtl/>
        </w:rPr>
        <w:t xml:space="preserve">بالآثار بعيدة المدى لجائحة كوفيد-19 على التراث الحي وعلى حامليه والممارسين </w:t>
      </w:r>
      <w:r w:rsidR="00CE78D5" w:rsidRPr="00775E6D">
        <w:rPr>
          <w:szCs w:val="24"/>
          <w:rtl/>
        </w:rPr>
        <w:t>و</w:t>
      </w:r>
      <w:r w:rsidR="00CE78D5" w:rsidRPr="00CE78D5">
        <w:rPr>
          <w:rFonts w:hint="cs"/>
          <w:sz w:val="36"/>
          <w:rtl/>
          <w:lang w:val="es-ES"/>
        </w:rPr>
        <w:t>تهنئ</w:t>
      </w:r>
      <w:r w:rsidR="00CE78D5" w:rsidRPr="00775E6D" w:rsidDel="00CE78D5">
        <w:rPr>
          <w:szCs w:val="24"/>
          <w:u w:val="none"/>
          <w:rtl/>
        </w:rPr>
        <w:t xml:space="preserve"> </w:t>
      </w:r>
      <w:r w:rsidRPr="00DA1B98">
        <w:rPr>
          <w:rFonts w:hint="cs"/>
          <w:szCs w:val="24"/>
          <w:u w:val="none"/>
          <w:rtl/>
        </w:rPr>
        <w:t>الأمانة للتعديلات التي أدخلتها على أنشطتها – القانونية والتشغيلية – استجابة للوباء، مما يضمن استمرار عمل الهيئات الرئاسية للاتفاقية ودعماً لجهود الصون الوطنية؛</w:t>
      </w:r>
    </w:p>
    <w:p w14:paraId="2E2A2AF4" w14:textId="606EDB64" w:rsidR="0066307B" w:rsidRPr="00754226" w:rsidRDefault="00CE78D5" w:rsidP="00775E6D">
      <w:pPr>
        <w:pStyle w:val="COMParaDecision"/>
        <w:numPr>
          <w:ilvl w:val="0"/>
          <w:numId w:val="10"/>
        </w:numPr>
        <w:bidi/>
        <w:ind w:left="1134" w:hanging="567"/>
        <w:rPr>
          <w:spacing w:val="-2"/>
          <w:szCs w:val="24"/>
          <w:u w:val="none"/>
          <w:rtl/>
        </w:rPr>
      </w:pPr>
      <w:r>
        <w:rPr>
          <w:rFonts w:hint="cs"/>
          <w:sz w:val="36"/>
          <w:rtl/>
          <w:lang w:val="es-ES"/>
        </w:rPr>
        <w:t>و</w:t>
      </w:r>
      <w:r>
        <w:rPr>
          <w:rtl/>
        </w:rPr>
        <w:t>كما</w:t>
      </w:r>
      <w:r w:rsidRPr="00CE78D5">
        <w:rPr>
          <w:rFonts w:hint="cs"/>
          <w:sz w:val="36"/>
          <w:rtl/>
          <w:lang w:val="es-ES"/>
        </w:rPr>
        <w:t xml:space="preserve"> تهنئ</w:t>
      </w:r>
      <w:r w:rsidR="006640BF" w:rsidRPr="00754226">
        <w:rPr>
          <w:rFonts w:hint="cs"/>
          <w:spacing w:val="-2"/>
          <w:szCs w:val="24"/>
          <w:u w:val="none"/>
          <w:rtl/>
        </w:rPr>
        <w:t xml:space="preserve"> الأمانة لقيامها بالتفكير </w:t>
      </w:r>
      <w:r w:rsidR="00642E8A" w:rsidRPr="00775E6D">
        <w:rPr>
          <w:spacing w:val="-2"/>
          <w:szCs w:val="24"/>
          <w:u w:val="none"/>
          <w:rtl/>
        </w:rPr>
        <w:t>الشامل</w:t>
      </w:r>
      <w:r w:rsidR="006640BF" w:rsidRPr="00754226">
        <w:rPr>
          <w:rFonts w:hint="cs"/>
          <w:spacing w:val="-2"/>
          <w:szCs w:val="24"/>
          <w:u w:val="none"/>
          <w:rtl/>
        </w:rPr>
        <w:t xml:space="preserve"> بشأن آليات الإدراج في الاتفاقية حتى نهايتها، وتقديم الدعم المناسب للفريق العامل الحكومي الدولي المفتوح العضوية، مما أسفر عن نتائج مهمة لتطوير الاتفاقية في المستقبل؛</w:t>
      </w:r>
    </w:p>
    <w:p w14:paraId="22452175" w14:textId="0FC6D7B1" w:rsidR="006640BF" w:rsidRPr="00DA1B98" w:rsidRDefault="00CE78D5" w:rsidP="00775E6D">
      <w:pPr>
        <w:pStyle w:val="COMParaDecision"/>
        <w:numPr>
          <w:ilvl w:val="0"/>
          <w:numId w:val="10"/>
        </w:numPr>
        <w:bidi/>
        <w:ind w:left="1134" w:hanging="567"/>
        <w:rPr>
          <w:szCs w:val="24"/>
          <w:u w:val="none"/>
          <w:rtl/>
        </w:rPr>
      </w:pPr>
      <w:r w:rsidRPr="009121F6">
        <w:rPr>
          <w:rFonts w:hint="cs"/>
          <w:szCs w:val="24"/>
          <w:rtl/>
        </w:rPr>
        <w:t>ت</w:t>
      </w:r>
      <w:r w:rsidRPr="009121F6">
        <w:rPr>
          <w:szCs w:val="24"/>
          <w:rtl/>
        </w:rPr>
        <w:t>حيط علما</w:t>
      </w:r>
      <w:r w:rsidRPr="00775E6D">
        <w:rPr>
          <w:szCs w:val="24"/>
          <w:rtl/>
        </w:rPr>
        <w:t xml:space="preserve"> </w:t>
      </w:r>
      <w:r w:rsidRPr="00775E6D">
        <w:rPr>
          <w:rFonts w:hint="cs"/>
          <w:szCs w:val="24"/>
          <w:rtl/>
        </w:rPr>
        <w:t>بارتياح</w:t>
      </w:r>
      <w:r w:rsidRPr="00775E6D">
        <w:rPr>
          <w:szCs w:val="24"/>
          <w:u w:val="none"/>
          <w:rtl/>
        </w:rPr>
        <w:t xml:space="preserve"> </w:t>
      </w:r>
      <w:r w:rsidRPr="00DA1B98">
        <w:rPr>
          <w:rFonts w:hint="cs"/>
          <w:szCs w:val="24"/>
          <w:u w:val="none"/>
          <w:rtl/>
        </w:rPr>
        <w:t>عن تحسن ملحوظ في معدلات تقديم التقارير الدورية من أمريكا اللاتينية ومنطقة البحر الكاريبي وأوروبا، مما يدل على الإمكانات الكاملة للآلية باعتبارها أداة قائمة على النتائج لرصد تأثيرات الاتفاقية على مختلف المستويات</w:t>
      </w:r>
      <w:r w:rsidRPr="00775E6D">
        <w:rPr>
          <w:szCs w:val="24"/>
          <w:u w:val="none"/>
        </w:rPr>
        <w:t xml:space="preserve"> </w:t>
      </w:r>
      <w:r w:rsidR="0075577D" w:rsidRPr="00DA1B98">
        <w:rPr>
          <w:rFonts w:hint="cs"/>
          <w:szCs w:val="24"/>
          <w:rtl/>
        </w:rPr>
        <w:t>وتعترف</w:t>
      </w:r>
      <w:r w:rsidR="0075577D" w:rsidRPr="00DA1B98">
        <w:rPr>
          <w:rFonts w:hint="cs"/>
          <w:szCs w:val="24"/>
          <w:u w:val="none"/>
          <w:rtl/>
        </w:rPr>
        <w:t xml:space="preserve"> بالجهود الكبيرة التي بذلتها الأمانة لدعم تنفيذ آلية </w:t>
      </w:r>
      <w:r w:rsidR="00AD53A4" w:rsidRPr="00775E6D">
        <w:rPr>
          <w:rFonts w:hint="cs"/>
          <w:szCs w:val="24"/>
          <w:u w:val="none"/>
          <w:rtl/>
        </w:rPr>
        <w:t>إعداد</w:t>
      </w:r>
      <w:r w:rsidR="00AD53A4" w:rsidRPr="00775E6D">
        <w:rPr>
          <w:szCs w:val="24"/>
          <w:u w:val="none"/>
          <w:rtl/>
        </w:rPr>
        <w:t xml:space="preserve"> </w:t>
      </w:r>
      <w:r w:rsidR="00AD53A4" w:rsidRPr="00775E6D">
        <w:rPr>
          <w:rFonts w:hint="cs"/>
          <w:szCs w:val="24"/>
          <w:u w:val="none"/>
          <w:rtl/>
        </w:rPr>
        <w:t>التقارير</w:t>
      </w:r>
      <w:r w:rsidR="00AD53A4" w:rsidRPr="00775E6D">
        <w:rPr>
          <w:szCs w:val="24"/>
          <w:u w:val="none"/>
          <w:rtl/>
        </w:rPr>
        <w:t xml:space="preserve"> </w:t>
      </w:r>
      <w:r w:rsidR="00AD53A4" w:rsidRPr="00775E6D">
        <w:rPr>
          <w:rFonts w:hint="cs"/>
          <w:szCs w:val="24"/>
          <w:u w:val="none"/>
          <w:rtl/>
        </w:rPr>
        <w:t>الدورية</w:t>
      </w:r>
      <w:r w:rsidR="00AD53A4" w:rsidRPr="00775E6D">
        <w:rPr>
          <w:szCs w:val="24"/>
          <w:u w:val="none"/>
          <w:rtl/>
        </w:rPr>
        <w:t xml:space="preserve"> </w:t>
      </w:r>
      <w:r w:rsidR="00AD53A4" w:rsidRPr="00775E6D">
        <w:rPr>
          <w:rFonts w:hint="cs"/>
          <w:szCs w:val="24"/>
          <w:u w:val="none"/>
          <w:rtl/>
        </w:rPr>
        <w:t>التي</w:t>
      </w:r>
      <w:r w:rsidR="00AD53A4" w:rsidRPr="00775E6D">
        <w:rPr>
          <w:szCs w:val="24"/>
          <w:u w:val="none"/>
          <w:rtl/>
        </w:rPr>
        <w:t xml:space="preserve"> </w:t>
      </w:r>
      <w:r w:rsidR="00AD53A4" w:rsidRPr="00775E6D">
        <w:rPr>
          <w:rFonts w:hint="cs"/>
          <w:szCs w:val="24"/>
          <w:u w:val="none"/>
          <w:rtl/>
        </w:rPr>
        <w:t>تم</w:t>
      </w:r>
      <w:r w:rsidR="00AD53A4" w:rsidRPr="00775E6D">
        <w:rPr>
          <w:szCs w:val="24"/>
          <w:u w:val="none"/>
          <w:rtl/>
        </w:rPr>
        <w:t xml:space="preserve"> </w:t>
      </w:r>
      <w:r w:rsidR="00AD53A4" w:rsidRPr="00775E6D">
        <w:rPr>
          <w:rFonts w:hint="cs"/>
          <w:szCs w:val="24"/>
          <w:u w:val="none"/>
          <w:rtl/>
        </w:rPr>
        <w:t>إصلاحها،</w:t>
      </w:r>
      <w:r w:rsidR="00AD53A4" w:rsidRPr="00775E6D">
        <w:rPr>
          <w:szCs w:val="24"/>
          <w:u w:val="none"/>
          <w:rtl/>
        </w:rPr>
        <w:t xml:space="preserve"> </w:t>
      </w:r>
      <w:r w:rsidR="00AD53A4" w:rsidRPr="00775E6D">
        <w:rPr>
          <w:rFonts w:hint="cs"/>
          <w:szCs w:val="24"/>
          <w:u w:val="none"/>
          <w:rtl/>
        </w:rPr>
        <w:t>فضلاً</w:t>
      </w:r>
      <w:r w:rsidR="00AD53A4" w:rsidRPr="00775E6D">
        <w:rPr>
          <w:szCs w:val="24"/>
          <w:u w:val="none"/>
          <w:rtl/>
        </w:rPr>
        <w:t xml:space="preserve"> </w:t>
      </w:r>
      <w:r w:rsidR="00AD53A4" w:rsidRPr="00775E6D">
        <w:rPr>
          <w:rFonts w:hint="cs"/>
          <w:szCs w:val="24"/>
          <w:u w:val="none"/>
          <w:rtl/>
        </w:rPr>
        <w:t>عن</w:t>
      </w:r>
      <w:r w:rsidR="00AD53A4" w:rsidRPr="00775E6D">
        <w:rPr>
          <w:szCs w:val="24"/>
          <w:u w:val="none"/>
          <w:rtl/>
        </w:rPr>
        <w:t xml:space="preserve"> </w:t>
      </w:r>
      <w:r w:rsidR="00AD53A4" w:rsidRPr="00775E6D">
        <w:rPr>
          <w:rFonts w:hint="cs"/>
          <w:szCs w:val="24"/>
          <w:u w:val="none"/>
          <w:rtl/>
        </w:rPr>
        <w:t>التزام</w:t>
      </w:r>
      <w:r w:rsidR="00AD53A4" w:rsidRPr="00775E6D">
        <w:rPr>
          <w:szCs w:val="24"/>
          <w:u w:val="none"/>
          <w:rtl/>
        </w:rPr>
        <w:t xml:space="preserve"> </w:t>
      </w:r>
      <w:r w:rsidR="00AD53A4" w:rsidRPr="00775E6D">
        <w:rPr>
          <w:rFonts w:hint="cs"/>
          <w:szCs w:val="24"/>
          <w:u w:val="none"/>
          <w:rtl/>
        </w:rPr>
        <w:t>الدول</w:t>
      </w:r>
      <w:r w:rsidR="00AD53A4" w:rsidRPr="00775E6D">
        <w:rPr>
          <w:szCs w:val="24"/>
          <w:u w:val="none"/>
          <w:rtl/>
        </w:rPr>
        <w:t xml:space="preserve"> </w:t>
      </w:r>
      <w:r w:rsidR="00AD53A4" w:rsidRPr="00775E6D">
        <w:rPr>
          <w:rFonts w:hint="cs"/>
          <w:szCs w:val="24"/>
          <w:u w:val="none"/>
          <w:rtl/>
        </w:rPr>
        <w:t>المبلغة</w:t>
      </w:r>
      <w:r w:rsidR="00AD53A4" w:rsidRPr="00775E6D">
        <w:rPr>
          <w:szCs w:val="24"/>
          <w:u w:val="none"/>
          <w:rtl/>
        </w:rPr>
        <w:t xml:space="preserve"> </w:t>
      </w:r>
      <w:r w:rsidR="00AD53A4" w:rsidRPr="00775E6D">
        <w:rPr>
          <w:rFonts w:hint="cs"/>
          <w:szCs w:val="24"/>
          <w:u w:val="none"/>
          <w:rtl/>
        </w:rPr>
        <w:t>بهذه</w:t>
      </w:r>
      <w:r w:rsidR="00AD53A4" w:rsidRPr="00775E6D">
        <w:rPr>
          <w:szCs w:val="24"/>
          <w:u w:val="none"/>
          <w:rtl/>
        </w:rPr>
        <w:t xml:space="preserve"> </w:t>
      </w:r>
      <w:r w:rsidR="00AD53A4" w:rsidRPr="00775E6D">
        <w:rPr>
          <w:rFonts w:hint="cs"/>
          <w:szCs w:val="24"/>
          <w:u w:val="none"/>
          <w:rtl/>
        </w:rPr>
        <w:t>العملية</w:t>
      </w:r>
      <w:r w:rsidR="0075577D" w:rsidRPr="00DA1B98">
        <w:rPr>
          <w:rFonts w:hint="cs"/>
          <w:szCs w:val="24"/>
          <w:u w:val="none"/>
          <w:rtl/>
        </w:rPr>
        <w:t>؛</w:t>
      </w:r>
    </w:p>
    <w:p w14:paraId="0F30BEDD" w14:textId="1FDE3F40" w:rsidR="001D3E1A" w:rsidRPr="00DA1B98" w:rsidRDefault="001D3E1A" w:rsidP="00775E6D">
      <w:pPr>
        <w:pStyle w:val="COMParaDecision"/>
        <w:numPr>
          <w:ilvl w:val="0"/>
          <w:numId w:val="10"/>
        </w:numPr>
        <w:bidi/>
        <w:ind w:left="1134" w:hanging="567"/>
        <w:rPr>
          <w:rFonts w:asciiTheme="minorBidi" w:hAnsiTheme="minorBidi" w:cstheme="minorBidi"/>
          <w:szCs w:val="24"/>
          <w:u w:val="none"/>
          <w:rtl/>
        </w:rPr>
      </w:pPr>
      <w:r w:rsidRPr="00DA1B98">
        <w:rPr>
          <w:rFonts w:asciiTheme="minorBidi" w:hAnsiTheme="minorBidi" w:cstheme="minorBidi" w:hint="cs"/>
          <w:szCs w:val="24"/>
          <w:rtl/>
        </w:rPr>
        <w:t>وتسلط الضوء</w:t>
      </w:r>
      <w:r w:rsidRPr="00DA1B98">
        <w:rPr>
          <w:rFonts w:asciiTheme="minorBidi" w:hAnsiTheme="minorBidi" w:cstheme="minorBidi" w:hint="cs"/>
          <w:szCs w:val="24"/>
          <w:u w:val="none"/>
          <w:rtl/>
        </w:rPr>
        <w:t xml:space="preserve"> على الإنجازات التي تحققت في التوسع الجغرافي والمواضيعي لبرنامج بناء القدرات العالمي </w:t>
      </w:r>
      <w:r w:rsidRPr="00DA1B98">
        <w:rPr>
          <w:rFonts w:asciiTheme="minorBidi" w:hAnsiTheme="minorBidi" w:cstheme="minorBidi" w:hint="cs"/>
          <w:szCs w:val="24"/>
          <w:rtl/>
        </w:rPr>
        <w:t>وترحب</w:t>
      </w:r>
      <w:r w:rsidRPr="00DA1B98">
        <w:rPr>
          <w:rFonts w:asciiTheme="minorBidi" w:hAnsiTheme="minorBidi" w:cstheme="minorBidi" w:hint="cs"/>
          <w:szCs w:val="24"/>
          <w:u w:val="none"/>
          <w:rtl/>
        </w:rPr>
        <w:t xml:space="preserve"> بالجهود الجالية لإعادة توجيهه للتكيف مع الحاجة إلى نهج التنفيذ متعدد الوسائط وتعزيز الشراكات في تنفيذ البرنامج وإدارته؛</w:t>
      </w:r>
    </w:p>
    <w:p w14:paraId="5C3D2A5F" w14:textId="7D50B44F" w:rsidR="00740D1E" w:rsidRPr="00DA1B98" w:rsidRDefault="00740D1E" w:rsidP="00775E6D">
      <w:pPr>
        <w:pStyle w:val="COMParaDecision"/>
        <w:numPr>
          <w:ilvl w:val="0"/>
          <w:numId w:val="10"/>
        </w:numPr>
        <w:bidi/>
        <w:ind w:left="1134" w:hanging="567"/>
        <w:rPr>
          <w:rFonts w:asciiTheme="minorBidi" w:hAnsiTheme="minorBidi" w:cstheme="minorBidi"/>
          <w:szCs w:val="24"/>
          <w:u w:val="none"/>
          <w:rtl/>
        </w:rPr>
      </w:pPr>
      <w:r w:rsidRPr="00DA1B98">
        <w:rPr>
          <w:rFonts w:asciiTheme="minorBidi" w:hAnsiTheme="minorBidi" w:cstheme="minorBidi" w:hint="cs"/>
          <w:szCs w:val="24"/>
          <w:rtl/>
        </w:rPr>
        <w:t>وتقدر</w:t>
      </w:r>
      <w:r w:rsidRPr="00DA1B98">
        <w:rPr>
          <w:rFonts w:asciiTheme="minorBidi" w:hAnsiTheme="minorBidi" w:cstheme="minorBidi" w:hint="cs"/>
          <w:szCs w:val="24"/>
          <w:u w:val="none"/>
          <w:rtl/>
        </w:rPr>
        <w:t xml:space="preserve"> التقدم المحرز في تنفيذ أولوية التمويل 'صون التراث الثقافي غير المادي ونقله من خلال التعليم الرسمي وغير الرسمي' </w:t>
      </w:r>
      <w:r w:rsidR="00AD53A4" w:rsidRPr="00DA1B98">
        <w:rPr>
          <w:rFonts w:asciiTheme="minorBidi" w:hAnsiTheme="minorBidi" w:cstheme="minorBidi" w:hint="cs"/>
          <w:szCs w:val="24"/>
          <w:rtl/>
        </w:rPr>
        <w:t>و</w:t>
      </w:r>
      <w:r w:rsidR="00AD53A4">
        <w:rPr>
          <w:rtl/>
        </w:rPr>
        <w:t>كما</w:t>
      </w:r>
      <w:r w:rsidR="00AD53A4">
        <w:t xml:space="preserve"> </w:t>
      </w:r>
      <w:r w:rsidR="00AD53A4" w:rsidRPr="00DA1B98">
        <w:rPr>
          <w:rFonts w:asciiTheme="minorBidi" w:hAnsiTheme="minorBidi" w:cstheme="minorBidi" w:hint="cs"/>
          <w:szCs w:val="24"/>
          <w:rtl/>
        </w:rPr>
        <w:t>تسلط الضوء</w:t>
      </w:r>
      <w:r w:rsidR="00AD53A4" w:rsidRPr="00DA1B98">
        <w:rPr>
          <w:rFonts w:asciiTheme="minorBidi" w:hAnsiTheme="minorBidi" w:cstheme="minorBidi" w:hint="cs"/>
          <w:szCs w:val="24"/>
          <w:u w:val="none"/>
          <w:rtl/>
        </w:rPr>
        <w:t xml:space="preserve"> </w:t>
      </w:r>
      <w:r w:rsidRPr="00DA1B98">
        <w:rPr>
          <w:rFonts w:asciiTheme="minorBidi" w:hAnsiTheme="minorBidi" w:cstheme="minorBidi" w:hint="cs"/>
          <w:szCs w:val="24"/>
          <w:u w:val="none"/>
          <w:rtl/>
        </w:rPr>
        <w:t>على أهمية تعزيز التعاون بين القطاعات لتحقيق تأثير أكبر؛</w:t>
      </w:r>
    </w:p>
    <w:p w14:paraId="0F1D9C75" w14:textId="387811D3" w:rsidR="001D3E1A" w:rsidRPr="00DA1B98" w:rsidRDefault="009D0647" w:rsidP="00775E6D">
      <w:pPr>
        <w:pStyle w:val="COMParaDecision"/>
        <w:numPr>
          <w:ilvl w:val="0"/>
          <w:numId w:val="10"/>
        </w:numPr>
        <w:bidi/>
        <w:ind w:left="1134" w:hanging="567"/>
        <w:rPr>
          <w:szCs w:val="24"/>
          <w:u w:val="none"/>
          <w:rtl/>
        </w:rPr>
      </w:pPr>
      <w:r w:rsidRPr="00DA1B98">
        <w:rPr>
          <w:rFonts w:asciiTheme="minorBidi" w:hAnsiTheme="minorBidi" w:cstheme="minorBidi" w:hint="cs"/>
          <w:szCs w:val="24"/>
          <w:rtl/>
        </w:rPr>
        <w:t>و</w:t>
      </w:r>
      <w:r w:rsidR="00AD53A4">
        <w:rPr>
          <w:rtl/>
        </w:rPr>
        <w:t>كما</w:t>
      </w:r>
      <w:r w:rsidR="00AD53A4">
        <w:t xml:space="preserve"> </w:t>
      </w:r>
      <w:r w:rsidRPr="00DA1B98">
        <w:rPr>
          <w:rFonts w:asciiTheme="minorBidi" w:hAnsiTheme="minorBidi" w:cstheme="minorBidi" w:hint="cs"/>
          <w:szCs w:val="24"/>
          <w:rtl/>
        </w:rPr>
        <w:t>تقدر</w:t>
      </w:r>
      <w:r w:rsidRPr="00DA1B98">
        <w:rPr>
          <w:rFonts w:asciiTheme="minorBidi" w:hAnsiTheme="minorBidi" w:cstheme="minorBidi" w:hint="cs"/>
          <w:szCs w:val="24"/>
          <w:u w:val="none"/>
          <w:rtl/>
        </w:rPr>
        <w:t xml:space="preserve"> التقدم المحرز في إطار المبادرات المواضيعية مثل التراث الثقافي غير المادي وتغير المناخ، والتسويق، والتعليم، والسياقات الحضرية، </w:t>
      </w:r>
      <w:r w:rsidRPr="00DA1B98">
        <w:rPr>
          <w:rFonts w:asciiTheme="minorBidi" w:hAnsiTheme="minorBidi" w:cstheme="minorBidi" w:hint="cs"/>
          <w:szCs w:val="24"/>
          <w:rtl/>
        </w:rPr>
        <w:t>وتؤكد</w:t>
      </w:r>
      <w:r w:rsidRPr="00DA1B98">
        <w:rPr>
          <w:rFonts w:asciiTheme="minorBidi" w:hAnsiTheme="minorBidi" w:cstheme="minorBidi" w:hint="cs"/>
          <w:szCs w:val="24"/>
          <w:u w:val="none"/>
          <w:rtl/>
        </w:rPr>
        <w:t xml:space="preserve"> على أهمية ضمان التآزر مع الاتفاقيات الثقافية لليونسكو والبرامج الأخرى ذات الصلة في هذا الصدد،</w:t>
      </w:r>
      <w:r w:rsidRPr="00DA1B98">
        <w:rPr>
          <w:rFonts w:asciiTheme="minorBidi" w:hAnsiTheme="minorBidi" w:cstheme="minorBidi" w:hint="cs"/>
          <w:szCs w:val="24"/>
          <w:rtl/>
        </w:rPr>
        <w:t xml:space="preserve"> وتدعو</w:t>
      </w:r>
      <w:r w:rsidRPr="00DA1B98">
        <w:rPr>
          <w:rFonts w:asciiTheme="minorBidi" w:hAnsiTheme="minorBidi" w:cstheme="minorBidi" w:hint="cs"/>
          <w:szCs w:val="24"/>
          <w:u w:val="none"/>
          <w:rtl/>
        </w:rPr>
        <w:t xml:space="preserve"> الأمانة إلى مواصلة جهودها؛</w:t>
      </w:r>
    </w:p>
    <w:p w14:paraId="3528A5D6" w14:textId="1C223163" w:rsidR="006640BF" w:rsidRPr="00754226" w:rsidRDefault="006640BF" w:rsidP="00775E6D">
      <w:pPr>
        <w:pStyle w:val="COMParaDecision"/>
        <w:numPr>
          <w:ilvl w:val="0"/>
          <w:numId w:val="10"/>
        </w:numPr>
        <w:bidi/>
        <w:ind w:left="1134" w:hanging="567"/>
        <w:rPr>
          <w:spacing w:val="-4"/>
          <w:u w:val="none"/>
          <w:rtl/>
        </w:rPr>
      </w:pPr>
      <w:r w:rsidRPr="00754226">
        <w:rPr>
          <w:rFonts w:hint="cs"/>
          <w:spacing w:val="-4"/>
          <w:szCs w:val="24"/>
          <w:rtl/>
        </w:rPr>
        <w:t>وتطلب</w:t>
      </w:r>
      <w:r w:rsidRPr="00754226">
        <w:rPr>
          <w:rFonts w:hint="cs"/>
          <w:spacing w:val="-4"/>
          <w:szCs w:val="24"/>
          <w:u w:val="none"/>
          <w:rtl/>
        </w:rPr>
        <w:t xml:space="preserve"> من الأمانة تقديم تقرير عن أنشطتها للفترة بين كانون الثاني/يناير 2022 وكانون الأول/ديسمبر 2023 لكي تنظر فيها الجمعية العامة في دورتها العاشرة.</w:t>
      </w:r>
    </w:p>
    <w:p w14:paraId="355C5A75" w14:textId="43EE11FB" w:rsidR="002B0EDD" w:rsidRPr="00DA1B98" w:rsidRDefault="002B0EDD" w:rsidP="00775E6D">
      <w:pPr>
        <w:pStyle w:val="COMParaDecision"/>
        <w:bidi/>
        <w:ind w:firstLine="0"/>
        <w:jc w:val="left"/>
        <w:rPr>
          <w:u w:val="none"/>
        </w:rPr>
        <w:sectPr w:rsidR="002B0EDD" w:rsidRPr="00DA1B98" w:rsidSect="00176720">
          <w:headerReference w:type="even" r:id="rId33"/>
          <w:headerReference w:type="default" r:id="rId34"/>
          <w:headerReference w:type="first" r:id="rId35"/>
          <w:pgSz w:w="11906" w:h="16838" w:code="9"/>
          <w:pgMar w:top="1418" w:right="1134" w:bottom="1134" w:left="1134" w:header="397" w:footer="284" w:gutter="0"/>
          <w:cols w:space="708"/>
          <w:titlePg/>
          <w:docGrid w:linePitch="360"/>
        </w:sectPr>
      </w:pPr>
    </w:p>
    <w:p w14:paraId="79B4D977" w14:textId="1F34A466" w:rsidR="00A268C4" w:rsidRPr="00DA1B98" w:rsidRDefault="00A268C4" w:rsidP="003048E6">
      <w:pPr>
        <w:pStyle w:val="COMParaDecision"/>
        <w:bidi/>
        <w:ind w:left="0" w:firstLine="0"/>
        <w:jc w:val="center"/>
        <w:rPr>
          <w:rFonts w:asciiTheme="minorBidi" w:hAnsiTheme="minorBidi" w:cstheme="minorBidi"/>
          <w:b/>
          <w:rtl/>
        </w:rPr>
      </w:pPr>
      <w:r w:rsidRPr="00DA1B98">
        <w:rPr>
          <w:rFonts w:asciiTheme="minorBidi" w:hAnsiTheme="minorBidi" w:cstheme="minorBidi" w:hint="cs"/>
          <w:b/>
          <w:bCs/>
          <w:rtl/>
        </w:rPr>
        <w:t>المرفق</w:t>
      </w:r>
    </w:p>
    <w:p w14:paraId="2A07A6B0" w14:textId="77777777" w:rsidR="00A268C4" w:rsidRPr="00DA1B98" w:rsidRDefault="00A268C4" w:rsidP="009928D3">
      <w:pPr>
        <w:pStyle w:val="COMParaDecision"/>
        <w:bidi/>
        <w:spacing w:after="240"/>
        <w:ind w:left="0" w:firstLine="0"/>
        <w:jc w:val="center"/>
        <w:rPr>
          <w:rFonts w:asciiTheme="minorBidi" w:hAnsiTheme="minorBidi" w:cstheme="minorBidi"/>
          <w:b/>
          <w:u w:val="none"/>
          <w:rtl/>
          <w:lang w:bidi="ur-IN"/>
        </w:rPr>
      </w:pPr>
      <w:r w:rsidRPr="00DA1B98">
        <w:rPr>
          <w:rFonts w:asciiTheme="minorBidi" w:hAnsiTheme="minorBidi" w:cstheme="minorBidi" w:hint="cs"/>
          <w:b/>
          <w:bCs/>
          <w:u w:val="none"/>
          <w:rtl/>
        </w:rPr>
        <w:t>التقييم حسب مؤشر الأداء</w:t>
      </w:r>
    </w:p>
    <w:tbl>
      <w:tblPr>
        <w:tblStyle w:val="TableGrid2"/>
        <w:bidiVisual/>
        <w:tblW w:w="14572" w:type="dxa"/>
        <w:tblLook w:val="04A0" w:firstRow="1" w:lastRow="0" w:firstColumn="1" w:lastColumn="0" w:noHBand="0" w:noVBand="1"/>
      </w:tblPr>
      <w:tblGrid>
        <w:gridCol w:w="3789"/>
        <w:gridCol w:w="10783"/>
      </w:tblGrid>
      <w:tr w:rsidR="00A268C4" w:rsidRPr="00DA1B98" w14:paraId="1C560786" w14:textId="77777777" w:rsidTr="00054A38">
        <w:trPr>
          <w:cantSplit/>
          <w:trHeight w:val="604"/>
        </w:trPr>
        <w:tc>
          <w:tcPr>
            <w:tcW w:w="1300" w:type="pct"/>
            <w:shd w:val="clear" w:color="auto" w:fill="808080" w:themeFill="background1" w:themeFillShade="80"/>
            <w:vAlign w:val="center"/>
          </w:tcPr>
          <w:p w14:paraId="02927C8B" w14:textId="77777777" w:rsidR="00A268C4" w:rsidRPr="00DA1B98" w:rsidRDefault="00A268C4" w:rsidP="003048E6">
            <w:pPr>
              <w:keepNext/>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b/>
                <w:bCs/>
                <w:color w:val="FFFFFF" w:themeColor="background1"/>
                <w:sz w:val="22"/>
                <w:szCs w:val="22"/>
              </w:rPr>
              <w:t>40C/5</w:t>
            </w:r>
            <w:r w:rsidRPr="00DA1B98">
              <w:rPr>
                <w:rFonts w:asciiTheme="minorBidi" w:hAnsiTheme="minorBidi" w:cstheme="minorBidi" w:hint="cs"/>
                <w:b/>
                <w:bCs/>
                <w:color w:val="FFFFFF" w:themeColor="background1"/>
                <w:sz w:val="22"/>
                <w:szCs w:val="22"/>
                <w:rtl/>
              </w:rPr>
              <w:t xml:space="preserve"> مؤشر الأداء الأول</w:t>
            </w:r>
          </w:p>
        </w:tc>
        <w:tc>
          <w:tcPr>
            <w:tcW w:w="3700" w:type="pct"/>
            <w:shd w:val="clear" w:color="auto" w:fill="808080" w:themeFill="background1" w:themeFillShade="80"/>
            <w:vAlign w:val="center"/>
          </w:tcPr>
          <w:p w14:paraId="48C0825D" w14:textId="5197CF9D" w:rsidR="00A268C4" w:rsidRPr="00DA1B98" w:rsidRDefault="001D663C" w:rsidP="00E96B17">
            <w:pPr>
              <w:keepNext/>
              <w:bidi/>
              <w:spacing w:before="120" w:after="120"/>
              <w:rPr>
                <w:rFonts w:asciiTheme="minorBidi" w:hAnsiTheme="minorBidi" w:cstheme="minorBidi"/>
                <w:b/>
                <w:bCs/>
                <w:color w:val="FFFFFF" w:themeColor="background1"/>
                <w:sz w:val="22"/>
                <w:szCs w:val="22"/>
                <w:rtl/>
              </w:rPr>
            </w:pPr>
            <w:r w:rsidRPr="00775E6D">
              <w:rPr>
                <w:rFonts w:asciiTheme="minorBidi" w:hAnsiTheme="minorBidi" w:cstheme="minorBidi"/>
                <w:b/>
                <w:bCs/>
                <w:color w:val="FFFFFF" w:themeColor="background1"/>
                <w:sz w:val="22"/>
                <w:szCs w:val="22"/>
                <w:rtl/>
              </w:rPr>
              <w:t>ممارس</w:t>
            </w:r>
            <w:r w:rsidRPr="00DA1B98">
              <w:rPr>
                <w:rFonts w:asciiTheme="minorBidi" w:hAnsiTheme="minorBidi" w:cstheme="minorBidi" w:hint="cs"/>
                <w:b/>
                <w:bCs/>
                <w:color w:val="FFFFFF" w:themeColor="background1"/>
                <w:sz w:val="22"/>
                <w:szCs w:val="22"/>
                <w:rtl/>
              </w:rPr>
              <w:t>ة</w:t>
            </w:r>
            <w:r w:rsidR="00A268C4" w:rsidRPr="00DA1B98">
              <w:rPr>
                <w:rFonts w:asciiTheme="minorBidi" w:hAnsiTheme="minorBidi" w:cstheme="minorBidi" w:hint="cs"/>
                <w:b/>
                <w:bCs/>
                <w:color w:val="FFFFFF" w:themeColor="background1"/>
                <w:sz w:val="22"/>
                <w:szCs w:val="22"/>
                <w:rtl/>
              </w:rPr>
              <w:t xml:space="preserve"> الإدارة السليمة من خلال اعتماد وتنفيذ القرارات الاستراتيجية </w:t>
            </w:r>
            <w:r w:rsidRPr="00775E6D">
              <w:rPr>
                <w:rFonts w:asciiTheme="minorBidi" w:hAnsiTheme="minorBidi" w:cstheme="minorBidi"/>
                <w:b/>
                <w:bCs/>
                <w:color w:val="FFFFFF" w:themeColor="background1"/>
                <w:sz w:val="22"/>
                <w:szCs w:val="22"/>
                <w:rtl/>
              </w:rPr>
              <w:t>الصادرة عن</w:t>
            </w:r>
            <w:r>
              <w:rPr>
                <w:rFonts w:asciiTheme="minorBidi" w:hAnsiTheme="minorBidi" w:cstheme="minorBidi"/>
                <w:b/>
                <w:bCs/>
                <w:color w:val="FFFFFF" w:themeColor="background1"/>
                <w:sz w:val="22"/>
                <w:szCs w:val="22"/>
              </w:rPr>
              <w:t xml:space="preserve"> </w:t>
            </w:r>
            <w:r w:rsidRPr="0058385F">
              <w:rPr>
                <w:rFonts w:asciiTheme="minorBidi" w:hAnsiTheme="minorBidi" w:cstheme="minorBidi"/>
                <w:b/>
                <w:bCs/>
                <w:color w:val="FFFFFF" w:themeColor="background1"/>
                <w:sz w:val="22"/>
                <w:szCs w:val="22"/>
                <w:rtl/>
              </w:rPr>
              <w:t>ال</w:t>
            </w:r>
            <w:r w:rsidR="00A268C4" w:rsidRPr="00DA1B98">
              <w:rPr>
                <w:rFonts w:asciiTheme="minorBidi" w:hAnsiTheme="minorBidi" w:cstheme="minorBidi" w:hint="cs"/>
                <w:b/>
                <w:bCs/>
                <w:color w:val="FFFFFF" w:themeColor="background1"/>
                <w:sz w:val="22"/>
                <w:szCs w:val="22"/>
                <w:rtl/>
              </w:rPr>
              <w:t xml:space="preserve">هيئات </w:t>
            </w:r>
            <w:r w:rsidRPr="00DA1B98">
              <w:rPr>
                <w:rFonts w:asciiTheme="minorBidi" w:hAnsiTheme="minorBidi" w:cstheme="minorBidi" w:hint="cs"/>
                <w:b/>
                <w:bCs/>
                <w:color w:val="FFFFFF" w:themeColor="background1"/>
                <w:sz w:val="22"/>
                <w:szCs w:val="22"/>
                <w:rtl/>
              </w:rPr>
              <w:t>ا</w:t>
            </w:r>
            <w:r w:rsidRPr="001D663C">
              <w:rPr>
                <w:rFonts w:asciiTheme="minorBidi" w:hAnsiTheme="minorBidi" w:cstheme="minorBidi" w:hint="eastAsia"/>
                <w:b/>
                <w:bCs/>
                <w:color w:val="FFFFFF" w:themeColor="background1"/>
                <w:sz w:val="22"/>
                <w:szCs w:val="22"/>
                <w:rtl/>
              </w:rPr>
              <w:t>لرئاسية</w:t>
            </w:r>
            <w:r w:rsidR="00A268C4" w:rsidRPr="00DA1B98">
              <w:rPr>
                <w:rFonts w:asciiTheme="minorBidi" w:hAnsiTheme="minorBidi" w:cstheme="minorBidi" w:hint="cs"/>
                <w:b/>
                <w:bCs/>
                <w:color w:val="FFFFFF" w:themeColor="background1"/>
                <w:sz w:val="22"/>
                <w:szCs w:val="22"/>
                <w:rtl/>
              </w:rPr>
              <w:t xml:space="preserve"> لاتفاقية 2003.</w:t>
            </w:r>
          </w:p>
        </w:tc>
      </w:tr>
    </w:tbl>
    <w:tbl>
      <w:tblPr>
        <w:bidiVisual/>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2"/>
        <w:gridCol w:w="1961"/>
        <w:gridCol w:w="7140"/>
      </w:tblGrid>
      <w:tr w:rsidR="00A268C4" w:rsidRPr="00DA1B98" w14:paraId="020EADB3" w14:textId="77777777" w:rsidTr="00054A38">
        <w:trPr>
          <w:trHeight w:val="701"/>
          <w:tblHeader/>
        </w:trPr>
        <w:tc>
          <w:tcPr>
            <w:tcW w:w="1300" w:type="pct"/>
            <w:shd w:val="clear" w:color="auto" w:fill="D9D9D9" w:themeFill="background1" w:themeFillShade="D9"/>
            <w:vAlign w:val="center"/>
          </w:tcPr>
          <w:p w14:paraId="2B6B7314"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جرى التقييم وفق الآتي:</w:t>
            </w:r>
          </w:p>
        </w:tc>
        <w:tc>
          <w:tcPr>
            <w:tcW w:w="577" w:type="pct"/>
            <w:shd w:val="clear" w:color="auto" w:fill="D9D9D9" w:themeFill="background1" w:themeFillShade="D9"/>
            <w:vAlign w:val="center"/>
          </w:tcPr>
          <w:p w14:paraId="542A801C"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خطوط الأساس</w:t>
            </w:r>
          </w:p>
        </w:tc>
        <w:tc>
          <w:tcPr>
            <w:tcW w:w="673" w:type="pct"/>
            <w:shd w:val="clear" w:color="auto" w:fill="D9D9D9" w:themeFill="background1" w:themeFillShade="D9"/>
            <w:vAlign w:val="center"/>
          </w:tcPr>
          <w:p w14:paraId="7D8194B3" w14:textId="0027BDF9"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 xml:space="preserve">أهداف عام </w:t>
            </w:r>
            <w:r w:rsidR="00054A38" w:rsidRPr="00DA1B98">
              <w:rPr>
                <w:rFonts w:asciiTheme="minorBidi" w:hAnsiTheme="minorBidi" w:cstheme="minorBidi"/>
                <w:b/>
                <w:bCs/>
                <w:sz w:val="22"/>
                <w:szCs w:val="22"/>
                <w:rtl/>
              </w:rPr>
              <w:br/>
            </w:r>
            <w:r w:rsidRPr="00DA1B98">
              <w:rPr>
                <w:rFonts w:asciiTheme="minorBidi" w:hAnsiTheme="minorBidi" w:cstheme="minorBidi" w:hint="cs"/>
                <w:b/>
                <w:bCs/>
                <w:sz w:val="22"/>
                <w:szCs w:val="22"/>
                <w:rtl/>
              </w:rPr>
              <w:t>2020-2021</w:t>
            </w:r>
          </w:p>
        </w:tc>
        <w:tc>
          <w:tcPr>
            <w:tcW w:w="2451" w:type="pct"/>
            <w:shd w:val="clear" w:color="auto" w:fill="D9D9D9" w:themeFill="background1" w:themeFillShade="D9"/>
            <w:vAlign w:val="center"/>
          </w:tcPr>
          <w:p w14:paraId="6F3291C2" w14:textId="6FAC000E" w:rsidR="00A268C4" w:rsidRPr="00DA1B98" w:rsidRDefault="00A268C4" w:rsidP="00775E6D">
            <w:pPr>
              <w:autoSpaceDE w:val="0"/>
              <w:autoSpaceDN w:val="0"/>
              <w:bidi/>
              <w:adjustRightInd w:val="0"/>
              <w:jc w:val="center"/>
              <w:rPr>
                <w:rFonts w:asciiTheme="minorBidi" w:eastAsia="Calibri" w:hAnsiTheme="minorBidi" w:cstheme="minorBidi"/>
                <w:b/>
                <w:color w:val="000000"/>
                <w:sz w:val="22"/>
                <w:szCs w:val="22"/>
                <w:rtl/>
              </w:rPr>
            </w:pPr>
            <w:r w:rsidRPr="00DA1B98">
              <w:rPr>
                <w:rFonts w:asciiTheme="minorBidi" w:hAnsiTheme="minorBidi" w:cstheme="minorBidi" w:hint="cs"/>
                <w:b/>
                <w:bCs/>
                <w:sz w:val="22"/>
                <w:szCs w:val="22"/>
                <w:rtl/>
              </w:rPr>
              <w:t>تقييم التقدم:</w:t>
            </w:r>
            <w:r w:rsidRPr="00DA1B98">
              <w:rPr>
                <w:rFonts w:asciiTheme="minorBidi" w:hAnsiTheme="minorBidi" w:cstheme="minorBidi" w:hint="cs"/>
                <w:b/>
                <w:bCs/>
                <w:sz w:val="22"/>
                <w:szCs w:val="22"/>
                <w:rtl/>
              </w:rPr>
              <w:br/>
              <w:t>01‏/01‏/2020 إلى 31‏/12‏/2021</w:t>
            </w:r>
          </w:p>
        </w:tc>
      </w:tr>
      <w:tr w:rsidR="00A268C4" w:rsidRPr="00DA1B98" w14:paraId="61E50C17" w14:textId="77777777" w:rsidTr="00054A38">
        <w:trPr>
          <w:trHeight w:val="2950"/>
        </w:trPr>
        <w:tc>
          <w:tcPr>
            <w:tcW w:w="1300" w:type="pct"/>
            <w:tcBorders>
              <w:bottom w:val="single" w:sz="4" w:space="0" w:color="auto"/>
            </w:tcBorders>
          </w:tcPr>
          <w:p w14:paraId="082A6700" w14:textId="48048F14"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b/>
                <w:bCs/>
                <w:sz w:val="22"/>
                <w:szCs w:val="22"/>
                <w:rtl/>
              </w:rPr>
              <w:t xml:space="preserve"> </w:t>
            </w:r>
            <w:r w:rsidRPr="00DA1B98">
              <w:rPr>
                <w:rFonts w:asciiTheme="minorBidi" w:hAnsiTheme="minorBidi" w:cstheme="minorBidi" w:hint="cs"/>
                <w:sz w:val="22"/>
                <w:szCs w:val="22"/>
                <w:rtl/>
              </w:rPr>
              <w:t xml:space="preserve">تعزيز القدرة على توفير التوجيه الاستراتيجي للدول الأطراف من أجل </w:t>
            </w:r>
            <w:r w:rsidR="00F01C90" w:rsidRPr="00775E6D">
              <w:rPr>
                <w:rFonts w:asciiTheme="minorBidi" w:hAnsiTheme="minorBidi" w:cstheme="minorBidi"/>
                <w:sz w:val="22"/>
                <w:szCs w:val="22"/>
                <w:rtl/>
              </w:rPr>
              <w:t>تطبيق</w:t>
            </w:r>
            <w:r w:rsidRPr="00DA1B98">
              <w:rPr>
                <w:rFonts w:asciiTheme="minorBidi" w:hAnsiTheme="minorBidi" w:cstheme="minorBidi" w:hint="cs"/>
                <w:sz w:val="22"/>
                <w:szCs w:val="22"/>
                <w:rtl/>
              </w:rPr>
              <w:t xml:space="preserve"> الاتفاقية ورصدها، بما في ذلك من خلال فحص التقارير الدورية المقدمة</w:t>
            </w:r>
          </w:p>
          <w:p w14:paraId="5DBE1C9A" w14:textId="77777777"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تحسين أساليب عمل الهيئات الإدارية</w:t>
            </w:r>
          </w:p>
          <w:p w14:paraId="615C3A38" w14:textId="77777777"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مستوى التمويل لتنفيذ القرارات التي تتخذها الهيئات الإدارية</w:t>
            </w:r>
          </w:p>
          <w:p w14:paraId="2A3251AF" w14:textId="77777777"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مستوى مساهمة المنظمات غير الحكومية ذات الكفاءة والمعترف بها في مجال التراث الثقافي غير المادي في إدارة الاتفاقية</w:t>
            </w:r>
          </w:p>
        </w:tc>
        <w:tc>
          <w:tcPr>
            <w:tcW w:w="577" w:type="pct"/>
            <w:tcBorders>
              <w:bottom w:val="single" w:sz="4" w:space="0" w:color="auto"/>
            </w:tcBorders>
            <w:shd w:val="clear" w:color="auto" w:fill="auto"/>
          </w:tcPr>
          <w:p w14:paraId="67746A28" w14:textId="77777777" w:rsidR="00A268C4" w:rsidRPr="00DA1B98" w:rsidRDefault="00A268C4" w:rsidP="00775E6D">
            <w:pPr>
              <w:pStyle w:val="ListParagraph"/>
              <w:numPr>
                <w:ilvl w:val="0"/>
                <w:numId w:val="20"/>
              </w:numPr>
              <w:bidi/>
              <w:spacing w:before="120" w:after="120"/>
              <w:ind w:left="312" w:hanging="340"/>
              <w:contextualSpacing w:val="0"/>
              <w:rPr>
                <w:rFonts w:asciiTheme="minorBidi" w:hAnsiTheme="minorBidi" w:cstheme="minorBidi"/>
                <w:sz w:val="22"/>
                <w:szCs w:val="22"/>
                <w:rtl/>
              </w:rPr>
            </w:pPr>
            <w:r w:rsidRPr="00DA1B98">
              <w:rPr>
                <w:rFonts w:asciiTheme="minorBidi" w:hAnsiTheme="minorBidi" w:cstheme="minorBidi" w:hint="cs"/>
                <w:sz w:val="22"/>
                <w:szCs w:val="22"/>
                <w:rtl/>
              </w:rPr>
              <w:t>نعم</w:t>
            </w:r>
          </w:p>
        </w:tc>
        <w:tc>
          <w:tcPr>
            <w:tcW w:w="673" w:type="pct"/>
            <w:tcBorders>
              <w:bottom w:val="single" w:sz="4" w:space="0" w:color="auto"/>
            </w:tcBorders>
            <w:shd w:val="clear" w:color="auto" w:fill="auto"/>
          </w:tcPr>
          <w:p w14:paraId="78197A96" w14:textId="77777777" w:rsidR="00A268C4" w:rsidRPr="00DA1B98" w:rsidRDefault="00A268C4" w:rsidP="00775E6D">
            <w:pPr>
              <w:pStyle w:val="ListParagraph"/>
              <w:numPr>
                <w:ilvl w:val="0"/>
                <w:numId w:val="20"/>
              </w:numPr>
              <w:bidi/>
              <w:spacing w:before="120" w:after="120"/>
              <w:ind w:left="312" w:hanging="340"/>
              <w:contextualSpacing w:val="0"/>
              <w:rPr>
                <w:rFonts w:asciiTheme="minorBidi" w:hAnsiTheme="minorBidi" w:cstheme="minorBidi"/>
                <w:sz w:val="22"/>
                <w:szCs w:val="22"/>
                <w:rtl/>
              </w:rPr>
            </w:pPr>
            <w:r w:rsidRPr="00DA1B98">
              <w:rPr>
                <w:rFonts w:asciiTheme="minorBidi" w:hAnsiTheme="minorBidi" w:cstheme="minorBidi" w:hint="cs"/>
                <w:sz w:val="22"/>
                <w:szCs w:val="22"/>
                <w:rtl/>
              </w:rPr>
              <w:t>نعم</w:t>
            </w:r>
          </w:p>
        </w:tc>
        <w:tc>
          <w:tcPr>
            <w:tcW w:w="2451" w:type="pct"/>
            <w:tcBorders>
              <w:bottom w:val="single" w:sz="4" w:space="0" w:color="auto"/>
            </w:tcBorders>
            <w:shd w:val="clear" w:color="auto" w:fill="auto"/>
          </w:tcPr>
          <w:p w14:paraId="0480C894" w14:textId="77777777" w:rsidR="00A268C4" w:rsidRPr="00DA1B98" w:rsidRDefault="00A268C4" w:rsidP="00775E6D">
            <w:pPr>
              <w:pStyle w:val="ListParagraph"/>
              <w:numPr>
                <w:ilvl w:val="0"/>
                <w:numId w:val="20"/>
              </w:numPr>
              <w:bidi/>
              <w:spacing w:before="120" w:after="16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كُيفت أساليب وأدوات عمل الهيئات الإدارية التابعة للاتفاقية وهيئات التقييم مع الطرائق عبر الإنترنت، وخدمات إدارة المعرفة المُحسَّنة لضمان استمرارية الآليات القانونية والاجتماعات.</w:t>
            </w:r>
          </w:p>
          <w:p w14:paraId="5B9B8173" w14:textId="77777777" w:rsidR="00A268C4" w:rsidRPr="00DA1B98" w:rsidRDefault="00A268C4" w:rsidP="00775E6D">
            <w:pPr>
              <w:pStyle w:val="ListParagraph"/>
              <w:numPr>
                <w:ilvl w:val="0"/>
                <w:numId w:val="20"/>
              </w:numPr>
              <w:bidi/>
              <w:spacing w:after="16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اعتماد المبادئ والطرائق التشغيلية لصون التراث الثقافي غير المادي في حالات الطوارئ.</w:t>
            </w:r>
            <w:r w:rsidRPr="00DA1B98">
              <w:rPr>
                <w:rStyle w:val="FootnoteReference"/>
                <w:rFonts w:asciiTheme="minorBidi" w:hAnsiTheme="minorBidi" w:cstheme="minorBidi"/>
                <w:sz w:val="22"/>
                <w:szCs w:val="22"/>
                <w:lang w:val="en-GB"/>
              </w:rPr>
              <w:footnoteReference w:id="13"/>
            </w:r>
          </w:p>
          <w:p w14:paraId="77C1EEA4" w14:textId="559F8517" w:rsidR="00A268C4" w:rsidRPr="00DA1B98" w:rsidRDefault="00A268C4" w:rsidP="00775E6D">
            <w:pPr>
              <w:pStyle w:val="ListParagraph"/>
              <w:numPr>
                <w:ilvl w:val="0"/>
                <w:numId w:val="20"/>
              </w:numPr>
              <w:bidi/>
              <w:spacing w:before="120" w:after="16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إدخال عملية الحوار بين هيئة التقييم والدول المقدمة للطلبات في إجراء التقييم.</w:t>
            </w:r>
            <w:r w:rsidRPr="00DA1B98">
              <w:rPr>
                <w:rStyle w:val="FootnoteReference"/>
                <w:rFonts w:asciiTheme="minorBidi" w:hAnsiTheme="minorBidi" w:cstheme="minorBidi"/>
                <w:sz w:val="22"/>
                <w:szCs w:val="22"/>
                <w:lang w:val="en-GB"/>
              </w:rPr>
              <w:footnoteReference w:id="14"/>
            </w:r>
            <w:r w:rsidRPr="00DA1B98">
              <w:rPr>
                <w:rFonts w:asciiTheme="minorBidi" w:hAnsiTheme="minorBidi" w:cstheme="minorBidi" w:hint="cs"/>
                <w:sz w:val="22"/>
                <w:szCs w:val="22"/>
                <w:rtl/>
              </w:rPr>
              <w:t xml:space="preserve"> وجرت عملية الحوار لـ 11 ملفًا في عام 2020 و15 ملفا عام 2021.</w:t>
            </w:r>
          </w:p>
          <w:p w14:paraId="65ED0FEC" w14:textId="77777777" w:rsidR="00A268C4" w:rsidRPr="00DA1B98" w:rsidRDefault="00A268C4" w:rsidP="00775E6D">
            <w:pPr>
              <w:pStyle w:val="ListParagraph"/>
              <w:numPr>
                <w:ilvl w:val="0"/>
                <w:numId w:val="20"/>
              </w:numPr>
              <w:bidi/>
              <w:spacing w:before="120" w:after="16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قُدّم 62 ملف ترشيح من 62 دولة لدورة 2020؛ وقُدّم 74 ملفاً من 81 دولة مؤخراً لدورة عام 2021؛ وقُدّم 59 ملف ترشيح من 64 دولة مؤخراً لدورة 2022.</w:t>
            </w:r>
            <w:r w:rsidRPr="00DA1B98">
              <w:rPr>
                <w:rStyle w:val="FootnoteReference"/>
                <w:rFonts w:asciiTheme="minorBidi" w:hAnsiTheme="minorBidi" w:cstheme="minorBidi"/>
                <w:sz w:val="22"/>
                <w:szCs w:val="22"/>
                <w:lang w:val="en-GB"/>
              </w:rPr>
              <w:footnoteReference w:id="15"/>
            </w:r>
          </w:p>
          <w:p w14:paraId="5288C4CC" w14:textId="1AECBC23" w:rsidR="00A268C4" w:rsidRPr="00DA1B98" w:rsidRDefault="00180E5B" w:rsidP="00775E6D">
            <w:pPr>
              <w:pStyle w:val="ListParagraph"/>
              <w:keepNext/>
              <w:numPr>
                <w:ilvl w:val="0"/>
                <w:numId w:val="20"/>
              </w:numPr>
              <w:bidi/>
              <w:spacing w:before="120" w:after="16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نُظم 20 اجتماعاً قانونياً.</w:t>
            </w:r>
            <w:r w:rsidR="00A268C4" w:rsidRPr="00DA1B98">
              <w:rPr>
                <w:rStyle w:val="FootnoteReference"/>
                <w:rFonts w:asciiTheme="minorBidi" w:hAnsiTheme="minorBidi" w:cstheme="minorBidi"/>
                <w:sz w:val="22"/>
                <w:szCs w:val="22"/>
                <w:lang w:val="en-GB"/>
              </w:rPr>
              <w:footnoteReference w:id="16"/>
            </w:r>
          </w:p>
          <w:p w14:paraId="63F2ADCF" w14:textId="56403C32" w:rsidR="00A268C4" w:rsidRPr="00DA1B98" w:rsidRDefault="003258AE" w:rsidP="00775E6D">
            <w:pPr>
              <w:pStyle w:val="ListParagraph"/>
              <w:keepNext/>
              <w:keepLines/>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بدأت الدورة الإقليمية في آلية الإبلاغ الدوري التي شملها الإصلاح للدول الأطراف في أمريكا اللاتينية ومنطقة البحر الكاريبي (معدل التقديم 87.5% في عام 2020) وأوروبا (معدل التقديم 95.4% في عام 2021).</w:t>
            </w:r>
          </w:p>
          <w:p w14:paraId="7002C705" w14:textId="79523FF3"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إدراج بند مستقل عن 'تقرير منتدى المنظمات غير الحكومية' لأول مرة في جدول أعمال اللجنة في عامي 2020 و2021.</w:t>
            </w:r>
          </w:p>
          <w:p w14:paraId="359A0F71" w14:textId="71F1D252" w:rsidR="00A268C4" w:rsidRPr="00DA1B98" w:rsidRDefault="00F01C90"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775E6D">
              <w:rPr>
                <w:rFonts w:asciiTheme="minorBidi" w:hAnsiTheme="minorBidi" w:cstheme="minorBidi" w:hint="eastAsia"/>
                <w:sz w:val="22"/>
                <w:szCs w:val="22"/>
                <w:rtl/>
              </w:rPr>
              <w:t>معالجة</w:t>
            </w:r>
            <w:r w:rsidR="00A268C4" w:rsidRPr="00DA1B98">
              <w:rPr>
                <w:rFonts w:asciiTheme="minorBidi" w:hAnsiTheme="minorBidi" w:cstheme="minorBidi" w:hint="cs"/>
                <w:sz w:val="22"/>
                <w:szCs w:val="22"/>
                <w:rtl/>
              </w:rPr>
              <w:t xml:space="preserve"> 46 طلب اعتماد جديداً للمنظمات غير الحكومية وسُجّل 65 تقريراً لتجديد الاعتماد.</w:t>
            </w:r>
          </w:p>
          <w:p w14:paraId="724F2901" w14:textId="651E8EBF" w:rsidR="00A268C4" w:rsidRPr="00DA1B98" w:rsidRDefault="00F01C90"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9121F6">
              <w:rPr>
                <w:rFonts w:asciiTheme="minorBidi" w:hAnsiTheme="minorBidi" w:cstheme="minorBidi"/>
                <w:sz w:val="22"/>
                <w:szCs w:val="22"/>
                <w:rtl/>
              </w:rPr>
              <w:t>معالجة</w:t>
            </w:r>
            <w:r w:rsidR="00A268C4" w:rsidRPr="00DA1B98">
              <w:rPr>
                <w:rFonts w:asciiTheme="minorBidi" w:hAnsiTheme="minorBidi" w:cstheme="minorBidi" w:hint="cs"/>
                <w:sz w:val="22"/>
                <w:szCs w:val="22"/>
                <w:rtl/>
              </w:rPr>
              <w:t xml:space="preserve"> 8 مقترحات لإنشاء أو تجديد كراسي اليونسكو في مجال التراث الثقافي غير المادي.</w:t>
            </w:r>
          </w:p>
        </w:tc>
      </w:tr>
      <w:tr w:rsidR="00A268C4" w:rsidRPr="00DA1B98" w14:paraId="6881A953" w14:textId="77777777" w:rsidTr="00EB3A99">
        <w:trPr>
          <w:trHeight w:val="367"/>
        </w:trPr>
        <w:tc>
          <w:tcPr>
            <w:tcW w:w="1300" w:type="pct"/>
            <w:tcBorders>
              <w:left w:val="nil"/>
              <w:bottom w:val="nil"/>
              <w:right w:val="nil"/>
            </w:tcBorders>
          </w:tcPr>
          <w:p w14:paraId="2B0DAA98" w14:textId="77777777" w:rsidR="00A268C4" w:rsidRPr="00DA1B98" w:rsidRDefault="00A268C4" w:rsidP="00775E6D">
            <w:pPr>
              <w:bidi/>
              <w:spacing w:before="120" w:after="120"/>
              <w:rPr>
                <w:rFonts w:asciiTheme="minorBidi" w:hAnsiTheme="minorBidi" w:cstheme="minorBidi"/>
                <w:sz w:val="22"/>
                <w:szCs w:val="22"/>
                <w:lang w:val="en-GB" w:bidi="ur-IN"/>
              </w:rPr>
            </w:pPr>
          </w:p>
        </w:tc>
        <w:tc>
          <w:tcPr>
            <w:tcW w:w="577" w:type="pct"/>
            <w:tcBorders>
              <w:left w:val="nil"/>
              <w:bottom w:val="nil"/>
              <w:right w:val="nil"/>
            </w:tcBorders>
            <w:shd w:val="clear" w:color="auto" w:fill="auto"/>
          </w:tcPr>
          <w:p w14:paraId="465653B3" w14:textId="77777777" w:rsidR="00A268C4" w:rsidRPr="00DA1B98" w:rsidRDefault="00A268C4" w:rsidP="00775E6D">
            <w:pPr>
              <w:pStyle w:val="ListParagraph"/>
              <w:bidi/>
              <w:spacing w:before="120" w:after="120"/>
              <w:ind w:left="312"/>
              <w:contextualSpacing w:val="0"/>
              <w:rPr>
                <w:rFonts w:asciiTheme="minorBidi" w:hAnsiTheme="minorBidi" w:cstheme="minorBidi"/>
                <w:sz w:val="22"/>
                <w:szCs w:val="22"/>
                <w:lang w:val="en-GB"/>
              </w:rPr>
            </w:pPr>
          </w:p>
        </w:tc>
        <w:tc>
          <w:tcPr>
            <w:tcW w:w="673" w:type="pct"/>
            <w:tcBorders>
              <w:left w:val="nil"/>
              <w:bottom w:val="nil"/>
              <w:right w:val="nil"/>
            </w:tcBorders>
            <w:shd w:val="clear" w:color="auto" w:fill="auto"/>
          </w:tcPr>
          <w:p w14:paraId="78D5C2A1" w14:textId="77777777" w:rsidR="00A268C4" w:rsidRPr="00DA1B98" w:rsidRDefault="00A268C4" w:rsidP="00775E6D">
            <w:pPr>
              <w:pStyle w:val="ListParagraph"/>
              <w:bidi/>
              <w:spacing w:before="120" w:after="120"/>
              <w:ind w:left="312"/>
              <w:contextualSpacing w:val="0"/>
              <w:rPr>
                <w:rFonts w:asciiTheme="minorBidi" w:hAnsiTheme="minorBidi" w:cstheme="minorBidi"/>
                <w:sz w:val="22"/>
                <w:szCs w:val="22"/>
                <w:lang w:val="en-GB"/>
              </w:rPr>
            </w:pPr>
          </w:p>
        </w:tc>
        <w:tc>
          <w:tcPr>
            <w:tcW w:w="2451" w:type="pct"/>
            <w:tcBorders>
              <w:left w:val="nil"/>
              <w:bottom w:val="nil"/>
              <w:right w:val="nil"/>
            </w:tcBorders>
          </w:tcPr>
          <w:p w14:paraId="3B989B11" w14:textId="77777777" w:rsidR="00A268C4" w:rsidRPr="00DA1B98" w:rsidRDefault="00A268C4" w:rsidP="00775E6D">
            <w:pPr>
              <w:pStyle w:val="ListParagraph"/>
              <w:bidi/>
              <w:spacing w:before="120" w:after="120"/>
              <w:ind w:left="544"/>
              <w:contextualSpacing w:val="0"/>
              <w:rPr>
                <w:rFonts w:asciiTheme="minorBidi" w:hAnsiTheme="minorBidi" w:cstheme="minorBidi"/>
                <w:sz w:val="22"/>
                <w:szCs w:val="22"/>
                <w:lang w:val="en-GB"/>
              </w:rPr>
            </w:pPr>
          </w:p>
        </w:tc>
      </w:tr>
    </w:tbl>
    <w:tbl>
      <w:tblPr>
        <w:tblStyle w:val="TableGrid2"/>
        <w:bidiVisual/>
        <w:tblW w:w="14572" w:type="dxa"/>
        <w:tblBorders>
          <w:top w:val="single" w:sz="4" w:space="0" w:color="auto"/>
        </w:tblBorders>
        <w:tblLook w:val="04A0" w:firstRow="1" w:lastRow="0" w:firstColumn="1" w:lastColumn="0" w:noHBand="0" w:noVBand="1"/>
      </w:tblPr>
      <w:tblGrid>
        <w:gridCol w:w="3789"/>
        <w:gridCol w:w="10783"/>
      </w:tblGrid>
      <w:tr w:rsidR="00A268C4" w:rsidRPr="00DA1B98" w14:paraId="15EC050D" w14:textId="77777777" w:rsidTr="00EB3A99">
        <w:trPr>
          <w:cantSplit/>
        </w:trPr>
        <w:tc>
          <w:tcPr>
            <w:tcW w:w="1300" w:type="pct"/>
            <w:shd w:val="clear" w:color="auto" w:fill="808080" w:themeFill="background1" w:themeFillShade="80"/>
            <w:vAlign w:val="center"/>
          </w:tcPr>
          <w:p w14:paraId="5149C04D" w14:textId="77777777" w:rsidR="00A268C4" w:rsidRPr="00DA1B98" w:rsidRDefault="00A268C4" w:rsidP="003048E6">
            <w:pPr>
              <w:keepNext/>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b/>
                <w:bCs/>
                <w:color w:val="FFFFFF" w:themeColor="background1"/>
                <w:sz w:val="22"/>
                <w:szCs w:val="22"/>
              </w:rPr>
              <w:t>40C/5</w:t>
            </w:r>
            <w:r w:rsidRPr="00DA1B98">
              <w:rPr>
                <w:rFonts w:asciiTheme="minorBidi" w:hAnsiTheme="minorBidi" w:cstheme="minorBidi" w:hint="cs"/>
                <w:b/>
                <w:bCs/>
                <w:color w:val="FFFFFF" w:themeColor="background1"/>
                <w:sz w:val="22"/>
                <w:szCs w:val="22"/>
                <w:rtl/>
              </w:rPr>
              <w:t xml:space="preserve"> مؤشر الأداء الثاني</w:t>
            </w:r>
          </w:p>
        </w:tc>
        <w:tc>
          <w:tcPr>
            <w:tcW w:w="3700" w:type="pct"/>
            <w:shd w:val="clear" w:color="auto" w:fill="808080" w:themeFill="background1" w:themeFillShade="80"/>
            <w:vAlign w:val="center"/>
          </w:tcPr>
          <w:p w14:paraId="15631A13" w14:textId="075D30D5" w:rsidR="00A268C4" w:rsidRPr="00DA1B98" w:rsidRDefault="00A268C4" w:rsidP="00E96B17">
            <w:pPr>
              <w:keepNext/>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hint="cs"/>
                <w:b/>
                <w:bCs/>
                <w:color w:val="FFFFFF" w:themeColor="background1"/>
                <w:sz w:val="22"/>
                <w:szCs w:val="22"/>
                <w:rtl/>
              </w:rPr>
              <w:t xml:space="preserve">عدد الدول الأعضاء </w:t>
            </w:r>
            <w:r w:rsidR="001D663C" w:rsidRPr="00775E6D">
              <w:rPr>
                <w:rFonts w:asciiTheme="minorBidi" w:hAnsiTheme="minorBidi" w:cstheme="minorBidi"/>
                <w:b/>
                <w:bCs/>
                <w:color w:val="FFFFFF" w:themeColor="background1"/>
                <w:sz w:val="22"/>
                <w:szCs w:val="22"/>
                <w:rtl/>
              </w:rPr>
              <w:t>المتلقية للدع</w:t>
            </w:r>
            <w:r w:rsidRPr="00DA1B98">
              <w:rPr>
                <w:rFonts w:asciiTheme="minorBidi" w:hAnsiTheme="minorBidi" w:cstheme="minorBidi" w:hint="cs"/>
                <w:b/>
                <w:bCs/>
                <w:color w:val="FFFFFF" w:themeColor="background1"/>
                <w:sz w:val="22"/>
                <w:szCs w:val="22"/>
                <w:rtl/>
              </w:rPr>
              <w:t>م</w:t>
            </w:r>
            <w:r w:rsidR="001D663C">
              <w:rPr>
                <w:rFonts w:asciiTheme="minorBidi" w:hAnsiTheme="minorBidi" w:cstheme="minorBidi"/>
                <w:b/>
                <w:bCs/>
                <w:color w:val="FFFFFF" w:themeColor="background1"/>
                <w:sz w:val="22"/>
                <w:szCs w:val="22"/>
              </w:rPr>
              <w:t xml:space="preserve"> </w:t>
            </w:r>
            <w:r w:rsidRPr="00DA1B98">
              <w:rPr>
                <w:rFonts w:asciiTheme="minorBidi" w:hAnsiTheme="minorBidi" w:cstheme="minorBidi" w:hint="cs"/>
                <w:b/>
                <w:bCs/>
                <w:color w:val="FFFFFF" w:themeColor="background1"/>
                <w:sz w:val="22"/>
                <w:szCs w:val="22"/>
                <w:rtl/>
              </w:rPr>
              <w:t xml:space="preserve">التي تستخدم موارد بشرية ومؤسسية معززة </w:t>
            </w:r>
            <w:r w:rsidR="001D663C" w:rsidRPr="00775E6D">
              <w:rPr>
                <w:rFonts w:asciiTheme="minorBidi" w:hAnsiTheme="minorBidi" w:cstheme="minorBidi"/>
                <w:b/>
                <w:bCs/>
                <w:color w:val="FFFFFF" w:themeColor="background1"/>
                <w:sz w:val="22"/>
                <w:szCs w:val="22"/>
                <w:rtl/>
              </w:rPr>
              <w:t>من أج</w:t>
            </w:r>
            <w:r w:rsidRPr="00DA1B98">
              <w:rPr>
                <w:rFonts w:asciiTheme="minorBidi" w:hAnsiTheme="minorBidi" w:cstheme="minorBidi" w:hint="cs"/>
                <w:b/>
                <w:bCs/>
                <w:color w:val="FFFFFF" w:themeColor="background1"/>
                <w:sz w:val="22"/>
                <w:szCs w:val="22"/>
                <w:rtl/>
              </w:rPr>
              <w:t>ل</w:t>
            </w:r>
            <w:r w:rsidR="001D663C">
              <w:rPr>
                <w:rFonts w:asciiTheme="minorBidi" w:hAnsiTheme="minorBidi" w:cstheme="minorBidi"/>
                <w:b/>
                <w:bCs/>
                <w:color w:val="FFFFFF" w:themeColor="background1"/>
                <w:sz w:val="22"/>
                <w:szCs w:val="22"/>
              </w:rPr>
              <w:t xml:space="preserve"> </w:t>
            </w:r>
            <w:r w:rsidRPr="00DA1B98">
              <w:rPr>
                <w:rFonts w:asciiTheme="minorBidi" w:hAnsiTheme="minorBidi" w:cstheme="minorBidi" w:hint="cs"/>
                <w:b/>
                <w:bCs/>
                <w:color w:val="FFFFFF" w:themeColor="background1"/>
                <w:sz w:val="22"/>
                <w:szCs w:val="22"/>
                <w:rtl/>
              </w:rPr>
              <w:t>صون التراث الثقافي غير المادي</w:t>
            </w:r>
          </w:p>
        </w:tc>
      </w:tr>
    </w:tbl>
    <w:tbl>
      <w:tblPr>
        <w:bidiVisual/>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4"/>
        <w:gridCol w:w="1961"/>
        <w:gridCol w:w="7137"/>
      </w:tblGrid>
      <w:tr w:rsidR="00A268C4" w:rsidRPr="00DA1B98" w14:paraId="2A20F37B" w14:textId="77777777" w:rsidTr="00EB3A99">
        <w:trPr>
          <w:tblHeader/>
        </w:trPr>
        <w:tc>
          <w:tcPr>
            <w:tcW w:w="1300" w:type="pct"/>
            <w:shd w:val="clear" w:color="auto" w:fill="D9D9D9" w:themeFill="background1" w:themeFillShade="D9"/>
            <w:vAlign w:val="center"/>
          </w:tcPr>
          <w:p w14:paraId="1A8A7567"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جرى التقييم وفق الآتي:</w:t>
            </w:r>
          </w:p>
        </w:tc>
        <w:tc>
          <w:tcPr>
            <w:tcW w:w="578" w:type="pct"/>
            <w:shd w:val="clear" w:color="auto" w:fill="D9D9D9" w:themeFill="background1" w:themeFillShade="D9"/>
            <w:vAlign w:val="center"/>
          </w:tcPr>
          <w:p w14:paraId="4CC6B44D"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خطوط الأساس</w:t>
            </w:r>
          </w:p>
        </w:tc>
        <w:tc>
          <w:tcPr>
            <w:tcW w:w="673" w:type="pct"/>
            <w:shd w:val="clear" w:color="auto" w:fill="D9D9D9" w:themeFill="background1" w:themeFillShade="D9"/>
            <w:vAlign w:val="center"/>
          </w:tcPr>
          <w:p w14:paraId="7DFFDD8A"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أهداف 2020-2021</w:t>
            </w:r>
          </w:p>
        </w:tc>
        <w:tc>
          <w:tcPr>
            <w:tcW w:w="2449" w:type="pct"/>
            <w:shd w:val="clear" w:color="auto" w:fill="D9D9D9" w:themeFill="background1" w:themeFillShade="D9"/>
            <w:vAlign w:val="center"/>
          </w:tcPr>
          <w:p w14:paraId="5BE2E2BA" w14:textId="036DB8C1" w:rsidR="00A268C4" w:rsidRPr="00DA1B98" w:rsidRDefault="00A268C4" w:rsidP="00775E6D">
            <w:pPr>
              <w:autoSpaceDE w:val="0"/>
              <w:autoSpaceDN w:val="0"/>
              <w:bidi/>
              <w:adjustRightInd w:val="0"/>
              <w:jc w:val="center"/>
              <w:rPr>
                <w:rFonts w:asciiTheme="minorBidi" w:eastAsia="Calibri" w:hAnsiTheme="minorBidi" w:cstheme="minorBidi"/>
                <w:b/>
                <w:color w:val="000000"/>
                <w:sz w:val="22"/>
                <w:szCs w:val="22"/>
                <w:rtl/>
              </w:rPr>
            </w:pPr>
            <w:r w:rsidRPr="00DA1B98">
              <w:rPr>
                <w:rFonts w:asciiTheme="minorBidi" w:hAnsiTheme="minorBidi" w:cstheme="minorBidi" w:hint="cs"/>
                <w:b/>
                <w:bCs/>
                <w:sz w:val="22"/>
                <w:szCs w:val="22"/>
                <w:rtl/>
              </w:rPr>
              <w:t>تقييم التقدم:</w:t>
            </w:r>
            <w:r w:rsidRPr="00DA1B98">
              <w:rPr>
                <w:rFonts w:asciiTheme="minorBidi" w:hAnsiTheme="minorBidi" w:cstheme="minorBidi" w:hint="cs"/>
                <w:b/>
                <w:bCs/>
                <w:sz w:val="22"/>
                <w:szCs w:val="22"/>
                <w:rtl/>
              </w:rPr>
              <w:br/>
              <w:t>01‏/01‏/2020 إلى 31‏/12‏/2021</w:t>
            </w:r>
          </w:p>
        </w:tc>
      </w:tr>
      <w:tr w:rsidR="00A268C4" w:rsidRPr="00DA1B98" w14:paraId="0B39507A" w14:textId="77777777" w:rsidTr="00EB3A99">
        <w:tc>
          <w:tcPr>
            <w:tcW w:w="1300" w:type="pct"/>
            <w:tcBorders>
              <w:bottom w:val="single" w:sz="4" w:space="0" w:color="auto"/>
            </w:tcBorders>
          </w:tcPr>
          <w:p w14:paraId="4D297D77" w14:textId="77777777"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الأطر المؤسسية المعززة أو المنشأة حديثاً لصون التراث الثقافي غير المادي</w:t>
            </w:r>
          </w:p>
          <w:p w14:paraId="4BBF1885" w14:textId="1D270B43"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 xml:space="preserve">اعتماد أو تعزيز النُهُج القائمة على العمل في </w:t>
            </w:r>
            <w:r w:rsidR="0075071E" w:rsidRPr="009121F6">
              <w:rPr>
                <w:rFonts w:asciiTheme="minorBidi" w:hAnsiTheme="minorBidi" w:cstheme="minorBidi" w:hint="eastAsia"/>
                <w:sz w:val="22"/>
                <w:rtl/>
              </w:rPr>
              <w:t>الجماعات</w:t>
            </w:r>
            <w:r w:rsidR="0075071E">
              <w:rPr>
                <w:rFonts w:asciiTheme="minorBidi" w:hAnsiTheme="minorBidi" w:cstheme="minorBidi"/>
                <w:sz w:val="22"/>
                <w:szCs w:val="22"/>
              </w:rPr>
              <w:t xml:space="preserve"> </w:t>
            </w:r>
            <w:r w:rsidRPr="00DA1B98">
              <w:rPr>
                <w:rFonts w:asciiTheme="minorBidi" w:hAnsiTheme="minorBidi" w:cstheme="minorBidi" w:hint="cs"/>
                <w:sz w:val="22"/>
                <w:szCs w:val="22"/>
                <w:rtl/>
              </w:rPr>
              <w:t>لجرد التراث الثقافي غير المادي أو لوضع الخطط الخاصة بصون هذا التراث، بما فيها الخطط التي تجِّسد النهج المراعي للمنظور الجنساني.</w:t>
            </w:r>
          </w:p>
        </w:tc>
        <w:tc>
          <w:tcPr>
            <w:tcW w:w="578" w:type="pct"/>
            <w:tcBorders>
              <w:bottom w:val="single" w:sz="4" w:space="0" w:color="auto"/>
            </w:tcBorders>
            <w:shd w:val="clear" w:color="auto" w:fill="auto"/>
          </w:tcPr>
          <w:p w14:paraId="7D1C7B6E" w14:textId="3EA80B12" w:rsidR="00A268C4" w:rsidRPr="00DA1B98" w:rsidRDefault="00A268C4" w:rsidP="00775E6D">
            <w:pPr>
              <w:pStyle w:val="ListParagraph"/>
              <w:numPr>
                <w:ilvl w:val="0"/>
                <w:numId w:val="20"/>
              </w:numPr>
              <w:bidi/>
              <w:spacing w:before="120" w:after="120"/>
              <w:ind w:left="312" w:hanging="340"/>
              <w:contextualSpacing w:val="0"/>
              <w:rPr>
                <w:rFonts w:asciiTheme="minorBidi" w:hAnsiTheme="minorBidi" w:cstheme="minorBidi"/>
                <w:sz w:val="22"/>
                <w:szCs w:val="22"/>
                <w:rtl/>
              </w:rPr>
            </w:pPr>
            <w:r w:rsidRPr="00DA1B98">
              <w:rPr>
                <w:rFonts w:asciiTheme="minorBidi" w:hAnsiTheme="minorBidi" w:cstheme="minorBidi" w:hint="cs"/>
                <w:sz w:val="22"/>
                <w:szCs w:val="22"/>
                <w:rtl/>
              </w:rPr>
              <w:t xml:space="preserve">95 منها 34 في أفريقيا و18 دول جزرية صغيرة نامية </w:t>
            </w:r>
          </w:p>
        </w:tc>
        <w:tc>
          <w:tcPr>
            <w:tcW w:w="673" w:type="pct"/>
            <w:tcBorders>
              <w:bottom w:val="single" w:sz="4" w:space="0" w:color="auto"/>
            </w:tcBorders>
            <w:shd w:val="clear" w:color="auto" w:fill="auto"/>
          </w:tcPr>
          <w:p w14:paraId="48B8385A" w14:textId="77777777" w:rsidR="00A268C4" w:rsidRPr="00DA1B98" w:rsidRDefault="00A268C4" w:rsidP="00775E6D">
            <w:pPr>
              <w:pStyle w:val="ListParagraph"/>
              <w:numPr>
                <w:ilvl w:val="0"/>
                <w:numId w:val="20"/>
              </w:numPr>
              <w:bidi/>
              <w:spacing w:before="120" w:after="120"/>
              <w:ind w:left="312" w:hanging="340"/>
              <w:contextualSpacing w:val="0"/>
              <w:rPr>
                <w:rFonts w:asciiTheme="minorBidi" w:hAnsiTheme="minorBidi" w:cstheme="minorBidi"/>
                <w:sz w:val="22"/>
                <w:szCs w:val="22"/>
                <w:rtl/>
              </w:rPr>
            </w:pPr>
            <w:r w:rsidRPr="00DA1B98">
              <w:rPr>
                <w:rFonts w:asciiTheme="minorBidi" w:hAnsiTheme="minorBidi" w:cstheme="minorBidi" w:hint="cs"/>
                <w:sz w:val="22"/>
                <w:szCs w:val="22"/>
                <w:rtl/>
              </w:rPr>
              <w:t>100، منها 34 في أفريقيا و18 من الدول الجزرية الصغيرة النامية</w:t>
            </w:r>
          </w:p>
        </w:tc>
        <w:tc>
          <w:tcPr>
            <w:tcW w:w="2449" w:type="pct"/>
            <w:tcBorders>
              <w:bottom w:val="single" w:sz="4" w:space="0" w:color="auto"/>
            </w:tcBorders>
          </w:tcPr>
          <w:p w14:paraId="6F4CD2FA" w14:textId="77777777" w:rsidR="00233310" w:rsidRPr="00DA1B98" w:rsidRDefault="00233310"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استفادت 162 دولة عضواً من برنامج بناء القدرات (33 دولة أفريقية و30 دولة من الدول الجزرية الصغيرة النامية). ويشمل ذلك 59 دولة مستفيدة من المشروعات الجارية أو الجديدة متعددة السنوات، ودعمت 76 دولة في عملية إعداد التقارير الدورية، وتستفيد 101 دولة (25 في إفريقيا) من الأنشطة قصيرة المدى، لا سيما من خلال ميزانية البرنامج العادي لليونسكو.</w:t>
            </w:r>
          </w:p>
          <w:p w14:paraId="3D0E1F7A" w14:textId="3651DBC9" w:rsidR="00A268C4" w:rsidRPr="00DA1B98" w:rsidRDefault="00295F2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 xml:space="preserve">4 حلقات عمل إقليمية لتدريب المدربين </w:t>
            </w:r>
            <w:r w:rsidR="00A268C4" w:rsidRPr="00DA1B98">
              <w:rPr>
                <w:rFonts w:asciiTheme="minorBidi" w:hAnsiTheme="minorBidi" w:cstheme="minorBidi"/>
                <w:sz w:val="22"/>
                <w:szCs w:val="22"/>
                <w:vertAlign w:val="superscript"/>
                <w:lang w:val="en-GB"/>
              </w:rPr>
              <w:footnoteReference w:id="17"/>
            </w:r>
            <w:r w:rsidRPr="00DA1B98">
              <w:rPr>
                <w:rFonts w:asciiTheme="minorBidi" w:hAnsiTheme="minorBidi" w:cstheme="minorBidi" w:hint="cs"/>
                <w:sz w:val="22"/>
                <w:szCs w:val="22"/>
                <w:vertAlign w:val="superscript"/>
                <w:rtl/>
              </w:rPr>
              <w:t xml:space="preserve"> </w:t>
            </w:r>
            <w:r w:rsidRPr="00DA1B98">
              <w:rPr>
                <w:rFonts w:asciiTheme="minorBidi" w:hAnsiTheme="minorBidi" w:cstheme="minorBidi" w:hint="cs"/>
                <w:sz w:val="22"/>
                <w:szCs w:val="22"/>
                <w:rtl/>
              </w:rPr>
              <w:t xml:space="preserve">نُظمت بالتعاون مع 3 مراكز من الفئة 2، </w:t>
            </w:r>
            <w:r w:rsidR="00FB5FDB" w:rsidRPr="00DA1B98">
              <w:rPr>
                <w:rFonts w:asciiTheme="minorBidi" w:hAnsiTheme="minorBidi" w:cstheme="minorBidi"/>
                <w:sz w:val="22"/>
                <w:szCs w:val="22"/>
                <w:vertAlign w:val="superscript"/>
                <w:lang w:val="en-GB"/>
              </w:rPr>
              <w:footnoteReference w:id="18"/>
            </w:r>
            <w:r w:rsidRPr="00DA1B98">
              <w:rPr>
                <w:rFonts w:asciiTheme="minorBidi" w:hAnsiTheme="minorBidi" w:cstheme="minorBidi" w:hint="cs"/>
                <w:sz w:val="22"/>
                <w:szCs w:val="22"/>
                <w:rtl/>
              </w:rPr>
              <w:t xml:space="preserve">لتدريب 83 من أعضاء الشبكة (أكثر من </w:t>
            </w:r>
            <w:r w:rsidRPr="00DA1B98">
              <w:rPr>
                <w:rFonts w:asciiTheme="minorBidi" w:hAnsiTheme="minorBidi"/>
                <w:sz w:val="22"/>
                <w:szCs w:val="22"/>
                <w:cs/>
              </w:rPr>
              <w:t>‎</w:t>
            </w:r>
            <w:r w:rsidRPr="00DA1B98">
              <w:rPr>
                <w:rFonts w:asciiTheme="minorBidi" w:hAnsiTheme="minorBidi" w:cstheme="minorBidi"/>
                <w:sz w:val="22"/>
                <w:szCs w:val="22"/>
                <w:rtl/>
                <w:cs/>
              </w:rPr>
              <w:t>%50</w:t>
            </w:r>
            <w:r w:rsidRPr="00DA1B98">
              <w:rPr>
                <w:rFonts w:asciiTheme="minorBidi" w:hAnsiTheme="minorBidi" w:cstheme="minorBidi" w:hint="cs"/>
                <w:sz w:val="22"/>
                <w:szCs w:val="22"/>
                <w:rtl/>
              </w:rPr>
              <w:t xml:space="preserve"> في المائة من النساء) من أمريكا اللاتينية ومنطقة البحر الكاريبي وآسيا الوسطى والمحيط الهادئ والدول العربية. بالإضافة إلى ذلك، دُرّب 48 ميسراً على صون التراث الثقافي غير المادي في التعليم الرسمي وغير الرسمي وإنشاء شبكة تعليمية.</w:t>
            </w:r>
          </w:p>
          <w:p w14:paraId="61DA70FF" w14:textId="2DF5B047"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طُورت ونُفذت نُهُج محدد لبناء القدرات من أجل بدء تنفيذ آلية إعداد التقارير الدورية بعد إصلاحها في أول دورتي إبلاغ إقليميتين (أمريكا اللاتينية ومنطقة البحر الكاريبي في عام 2020، وأوروبا في عام 2021). كما نُفذ تدريب المدربين للميسرين في الدول العربية في إطار الدورة الثالثة في تشرين الأول/أكتوبر 2021.</w:t>
            </w:r>
          </w:p>
          <w:p w14:paraId="142DD323" w14:textId="77777777"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دُرّبت 78 جهة تنسيق وطنية لإعداد التقارير الدورية في أمريكا اللاتينية ومنطقة البحر الكاريبي وأوروبا من خلال دورات عبر الإنترنت حول إعداد التقارير الدورية.</w:t>
            </w:r>
          </w:p>
          <w:p w14:paraId="3D0999CA" w14:textId="77777777"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 xml:space="preserve"> وشاركت أكثر من 140 جامعة في أنشطة التواصل، بما في ذلك 39 جامعة في الدول العربية (تتبع أنشطة مماثلة في إفريقيا وآسيا والمحيط الهادئ وأمريكا اللاتينية ومنطقة البحر الكاريبي).</w:t>
            </w:r>
          </w:p>
          <w:p w14:paraId="345DBD70" w14:textId="4FBD9438" w:rsidR="00A268C4" w:rsidRPr="00DA1B98" w:rsidRDefault="00A268C4" w:rsidP="00775E6D">
            <w:pPr>
              <w:pStyle w:val="ListParagraph"/>
              <w:numPr>
                <w:ilvl w:val="0"/>
                <w:numId w:val="20"/>
              </w:numPr>
              <w:bidi/>
              <w:spacing w:before="120" w:after="120"/>
              <w:ind w:left="425" w:hanging="425"/>
              <w:contextualSpacing w:val="0"/>
              <w:rPr>
                <w:rFonts w:asciiTheme="minorBidi" w:hAnsiTheme="minorBidi" w:cstheme="minorBidi"/>
                <w:sz w:val="22"/>
                <w:szCs w:val="22"/>
                <w:rtl/>
              </w:rPr>
            </w:pPr>
            <w:r w:rsidRPr="00DA1B98">
              <w:rPr>
                <w:rFonts w:asciiTheme="minorBidi" w:hAnsiTheme="minorBidi" w:cstheme="minorBidi" w:hint="cs"/>
                <w:sz w:val="22"/>
                <w:szCs w:val="22"/>
                <w:rtl/>
              </w:rPr>
              <w:t xml:space="preserve">دعمت المساعدة الدولية من صندوق التراث الثقافي غير المادي بناء القدرات في مجال الحصر والحماية </w:t>
            </w:r>
            <w:r w:rsidR="0075071E" w:rsidRPr="009121F6">
              <w:rPr>
                <w:rFonts w:asciiTheme="minorBidi" w:hAnsiTheme="minorBidi" w:cstheme="minorBidi" w:hint="eastAsia"/>
                <w:sz w:val="22"/>
                <w:rtl/>
              </w:rPr>
              <w:t>للجماعات</w:t>
            </w:r>
            <w:r w:rsidRPr="00DA1B98">
              <w:rPr>
                <w:rFonts w:asciiTheme="minorBidi" w:hAnsiTheme="minorBidi" w:cstheme="minorBidi" w:hint="cs"/>
                <w:sz w:val="22"/>
                <w:szCs w:val="22"/>
                <w:rtl/>
              </w:rPr>
              <w:t xml:space="preserve"> في 26 دولة من الدول الأطراف.</w:t>
            </w:r>
          </w:p>
        </w:tc>
      </w:tr>
      <w:tr w:rsidR="00A268C4" w:rsidRPr="00DA1B98" w14:paraId="1BFD44D0" w14:textId="77777777" w:rsidTr="00EB3A99">
        <w:tc>
          <w:tcPr>
            <w:tcW w:w="1300" w:type="pct"/>
            <w:tcBorders>
              <w:left w:val="nil"/>
              <w:bottom w:val="nil"/>
              <w:right w:val="nil"/>
            </w:tcBorders>
          </w:tcPr>
          <w:p w14:paraId="30D1032E" w14:textId="77777777" w:rsidR="00A268C4" w:rsidRPr="00DA1B98" w:rsidRDefault="00A268C4" w:rsidP="00775E6D">
            <w:pPr>
              <w:pStyle w:val="ListParagraph"/>
              <w:bidi/>
              <w:spacing w:before="120" w:after="120"/>
              <w:ind w:left="312"/>
              <w:contextualSpacing w:val="0"/>
              <w:rPr>
                <w:rFonts w:asciiTheme="minorBidi" w:hAnsiTheme="minorBidi" w:cstheme="minorBidi"/>
                <w:sz w:val="22"/>
                <w:szCs w:val="22"/>
                <w:lang w:val="en-GB"/>
              </w:rPr>
            </w:pPr>
          </w:p>
        </w:tc>
        <w:tc>
          <w:tcPr>
            <w:tcW w:w="578" w:type="pct"/>
            <w:tcBorders>
              <w:left w:val="nil"/>
              <w:bottom w:val="nil"/>
              <w:right w:val="nil"/>
            </w:tcBorders>
            <w:shd w:val="clear" w:color="auto" w:fill="auto"/>
          </w:tcPr>
          <w:p w14:paraId="5D73D1A7" w14:textId="77777777" w:rsidR="00A268C4" w:rsidRPr="00DA1B98" w:rsidRDefault="00A268C4" w:rsidP="00775E6D">
            <w:pPr>
              <w:pStyle w:val="ListParagraph"/>
              <w:bidi/>
              <w:spacing w:before="120" w:after="120"/>
              <w:ind w:left="358"/>
              <w:contextualSpacing w:val="0"/>
              <w:rPr>
                <w:rFonts w:asciiTheme="minorBidi" w:hAnsiTheme="minorBidi" w:cstheme="minorBidi"/>
                <w:iCs/>
                <w:sz w:val="22"/>
                <w:szCs w:val="22"/>
                <w:lang w:val="en-GB"/>
              </w:rPr>
            </w:pPr>
          </w:p>
        </w:tc>
        <w:tc>
          <w:tcPr>
            <w:tcW w:w="673" w:type="pct"/>
            <w:tcBorders>
              <w:left w:val="nil"/>
              <w:bottom w:val="nil"/>
              <w:right w:val="nil"/>
            </w:tcBorders>
            <w:shd w:val="clear" w:color="auto" w:fill="auto"/>
          </w:tcPr>
          <w:p w14:paraId="3F3EDA9F" w14:textId="77777777" w:rsidR="00A268C4" w:rsidRPr="00DA1B98" w:rsidRDefault="00A268C4" w:rsidP="00775E6D">
            <w:pPr>
              <w:pStyle w:val="ListParagraph"/>
              <w:bidi/>
              <w:spacing w:before="120" w:after="120"/>
              <w:ind w:left="501"/>
              <w:rPr>
                <w:rFonts w:asciiTheme="minorBidi" w:hAnsiTheme="minorBidi" w:cstheme="minorBidi"/>
                <w:iCs/>
                <w:sz w:val="22"/>
                <w:szCs w:val="22"/>
                <w:lang w:val="en-GB"/>
              </w:rPr>
            </w:pPr>
          </w:p>
        </w:tc>
        <w:tc>
          <w:tcPr>
            <w:tcW w:w="2449" w:type="pct"/>
            <w:tcBorders>
              <w:left w:val="nil"/>
              <w:bottom w:val="nil"/>
              <w:right w:val="nil"/>
            </w:tcBorders>
          </w:tcPr>
          <w:p w14:paraId="6955CF44" w14:textId="77777777" w:rsidR="00A268C4" w:rsidRPr="00DA1B98" w:rsidRDefault="00A268C4" w:rsidP="00775E6D">
            <w:pPr>
              <w:bidi/>
              <w:spacing w:before="120" w:after="120"/>
              <w:rPr>
                <w:rFonts w:asciiTheme="minorBidi" w:hAnsiTheme="minorBidi" w:cstheme="minorBidi"/>
                <w:iCs/>
                <w:sz w:val="22"/>
                <w:szCs w:val="22"/>
                <w:lang w:val="en-GB"/>
              </w:rPr>
            </w:pPr>
          </w:p>
        </w:tc>
      </w:tr>
    </w:tbl>
    <w:tbl>
      <w:tblPr>
        <w:tblStyle w:val="TableGrid2"/>
        <w:bidiVisual/>
        <w:tblW w:w="14572" w:type="dxa"/>
        <w:tblBorders>
          <w:top w:val="single" w:sz="4" w:space="0" w:color="auto"/>
        </w:tblBorders>
        <w:tblLook w:val="04A0" w:firstRow="1" w:lastRow="0" w:firstColumn="1" w:lastColumn="0" w:noHBand="0" w:noVBand="1"/>
      </w:tblPr>
      <w:tblGrid>
        <w:gridCol w:w="3789"/>
        <w:gridCol w:w="10783"/>
      </w:tblGrid>
      <w:tr w:rsidR="00A268C4" w:rsidRPr="00DA1B98" w14:paraId="37AF6AFC" w14:textId="77777777" w:rsidTr="00EB3A99">
        <w:trPr>
          <w:cantSplit/>
        </w:trPr>
        <w:tc>
          <w:tcPr>
            <w:tcW w:w="1300" w:type="pct"/>
            <w:shd w:val="clear" w:color="auto" w:fill="808080" w:themeFill="background1" w:themeFillShade="80"/>
            <w:vAlign w:val="center"/>
          </w:tcPr>
          <w:p w14:paraId="5E45A29F" w14:textId="77777777" w:rsidR="00A268C4" w:rsidRPr="00DA1B98" w:rsidRDefault="00A268C4" w:rsidP="003048E6">
            <w:pPr>
              <w:keepNext/>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b/>
                <w:bCs/>
                <w:color w:val="FFFFFF" w:themeColor="background1"/>
                <w:sz w:val="22"/>
                <w:szCs w:val="22"/>
              </w:rPr>
              <w:t>40C/5</w:t>
            </w:r>
            <w:r w:rsidRPr="00DA1B98">
              <w:rPr>
                <w:rFonts w:asciiTheme="minorBidi" w:hAnsiTheme="minorBidi" w:cstheme="minorBidi" w:hint="cs"/>
                <w:b/>
                <w:bCs/>
                <w:color w:val="FFFFFF" w:themeColor="background1"/>
                <w:sz w:val="22"/>
                <w:szCs w:val="22"/>
                <w:rtl/>
              </w:rPr>
              <w:t xml:space="preserve"> مؤشر الأداء الثالث</w:t>
            </w:r>
          </w:p>
        </w:tc>
        <w:tc>
          <w:tcPr>
            <w:tcW w:w="3700" w:type="pct"/>
            <w:shd w:val="clear" w:color="auto" w:fill="808080" w:themeFill="background1" w:themeFillShade="80"/>
            <w:vAlign w:val="center"/>
          </w:tcPr>
          <w:p w14:paraId="307C9D68" w14:textId="18616823" w:rsidR="00A268C4" w:rsidRPr="00DA1B98" w:rsidRDefault="00A268C4" w:rsidP="00E96B17">
            <w:pPr>
              <w:keepNext/>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hint="cs"/>
                <w:b/>
                <w:bCs/>
                <w:color w:val="FFFFFF" w:themeColor="background1"/>
                <w:sz w:val="22"/>
                <w:szCs w:val="22"/>
                <w:rtl/>
              </w:rPr>
              <w:t xml:space="preserve">عدد </w:t>
            </w:r>
            <w:r w:rsidR="00C07874" w:rsidRPr="00775E6D">
              <w:rPr>
                <w:rFonts w:asciiTheme="minorBidi" w:hAnsiTheme="minorBidi" w:cstheme="minorBidi"/>
                <w:b/>
                <w:bCs/>
                <w:color w:val="FFFFFF" w:themeColor="background1"/>
                <w:sz w:val="22"/>
                <w:szCs w:val="22"/>
                <w:rtl/>
              </w:rPr>
              <w:t>الدول الأعضاء المتلقية للدعم التي تكون قد أدمجت البعد المتصل بالتراث الثقافي غير المادي في خططها وسياساتها وبرامجها، وذلك على الخصوص بمثابة إسهام في تحقيق أهداف التنمية المستدامة، بطريقة تراعي قضايا الجنسين</w:t>
            </w:r>
          </w:p>
        </w:tc>
      </w:tr>
    </w:tbl>
    <w:tbl>
      <w:tblPr>
        <w:bidiVisual/>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A268C4" w:rsidRPr="00DA1B98" w14:paraId="29C1D33C" w14:textId="77777777" w:rsidTr="00EB3A99">
        <w:trPr>
          <w:tblHeader/>
        </w:trPr>
        <w:tc>
          <w:tcPr>
            <w:tcW w:w="1300" w:type="pct"/>
            <w:shd w:val="clear" w:color="auto" w:fill="D9D9D9" w:themeFill="background1" w:themeFillShade="D9"/>
            <w:vAlign w:val="center"/>
          </w:tcPr>
          <w:p w14:paraId="5FA814F8"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جرى التقييم وفق الآتي:</w:t>
            </w:r>
          </w:p>
        </w:tc>
        <w:tc>
          <w:tcPr>
            <w:tcW w:w="577" w:type="pct"/>
            <w:shd w:val="clear" w:color="auto" w:fill="D9D9D9" w:themeFill="background1" w:themeFillShade="D9"/>
            <w:vAlign w:val="center"/>
          </w:tcPr>
          <w:p w14:paraId="4E395C9D"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خطوط الأساس</w:t>
            </w:r>
          </w:p>
        </w:tc>
        <w:tc>
          <w:tcPr>
            <w:tcW w:w="673" w:type="pct"/>
            <w:shd w:val="clear" w:color="auto" w:fill="D9D9D9" w:themeFill="background1" w:themeFillShade="D9"/>
            <w:vAlign w:val="center"/>
          </w:tcPr>
          <w:p w14:paraId="09A2C9CE"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أهداف 2020-2021</w:t>
            </w:r>
          </w:p>
        </w:tc>
        <w:tc>
          <w:tcPr>
            <w:tcW w:w="2450" w:type="pct"/>
            <w:shd w:val="clear" w:color="auto" w:fill="D9D9D9" w:themeFill="background1" w:themeFillShade="D9"/>
            <w:vAlign w:val="center"/>
          </w:tcPr>
          <w:p w14:paraId="4524A459" w14:textId="64201064" w:rsidR="00A268C4" w:rsidRPr="00DA1B98" w:rsidRDefault="00A268C4" w:rsidP="00775E6D">
            <w:pPr>
              <w:autoSpaceDE w:val="0"/>
              <w:autoSpaceDN w:val="0"/>
              <w:bidi/>
              <w:adjustRightInd w:val="0"/>
              <w:jc w:val="center"/>
              <w:rPr>
                <w:rFonts w:asciiTheme="minorBidi" w:eastAsia="Calibri" w:hAnsiTheme="minorBidi" w:cstheme="minorBidi"/>
                <w:b/>
                <w:color w:val="000000"/>
                <w:sz w:val="22"/>
                <w:szCs w:val="22"/>
                <w:rtl/>
              </w:rPr>
            </w:pPr>
            <w:r w:rsidRPr="00DA1B98">
              <w:rPr>
                <w:rFonts w:asciiTheme="minorBidi" w:hAnsiTheme="minorBidi" w:cstheme="minorBidi" w:hint="cs"/>
                <w:b/>
                <w:bCs/>
                <w:sz w:val="22"/>
                <w:szCs w:val="22"/>
                <w:rtl/>
              </w:rPr>
              <w:t>تقييم التقدم:</w:t>
            </w:r>
            <w:r w:rsidRPr="00DA1B98">
              <w:rPr>
                <w:rFonts w:asciiTheme="minorBidi" w:hAnsiTheme="minorBidi" w:cstheme="minorBidi" w:hint="cs"/>
                <w:b/>
                <w:bCs/>
                <w:sz w:val="22"/>
                <w:szCs w:val="22"/>
                <w:rtl/>
              </w:rPr>
              <w:br/>
              <w:t>01‏/01‏/2020 إلى 31‏/12‏/2021</w:t>
            </w:r>
          </w:p>
        </w:tc>
      </w:tr>
      <w:tr w:rsidR="00A268C4" w:rsidRPr="00DA1B98" w14:paraId="71677767" w14:textId="77777777" w:rsidTr="00EB3A99">
        <w:tc>
          <w:tcPr>
            <w:tcW w:w="1300" w:type="pct"/>
            <w:tcBorders>
              <w:bottom w:val="single" w:sz="4" w:space="0" w:color="auto"/>
            </w:tcBorders>
          </w:tcPr>
          <w:p w14:paraId="0BD163AA" w14:textId="77777777"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كون التقارير المتعلقة بالاتفاقية تتناول الخطط والسياسات والبرامج الرامية إلى إدماج البعد المتصل بصون التراث الثقافي غير المادي وفق نهج مراع للمنظور الجنساني بما في ذلك الأخذ بهذا البعد في ظروف الطوارئ، وكون هذه التقارير تأتي بأدلة على العمل لبلوغ الغايات المنشودة في سياق أهداف التنمية المستدامة</w:t>
            </w:r>
          </w:p>
          <w:p w14:paraId="7AE93371" w14:textId="77777777" w:rsidR="00A268C4" w:rsidRPr="00DA1B98" w:rsidRDefault="00A268C4" w:rsidP="00775E6D">
            <w:pPr>
              <w:pStyle w:val="ListParagraph"/>
              <w:keepLines/>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إقامة الشراكات، ضمن قطاع الثقافة وخارجه، بغية تعزيز دور التراث الثقافي غير المادي بصفته عامل تمكين من التنمية المستدامة وضماناً لها، ودعم الخطط الوطنية الرامية إلى تحقيق أهداف التنمية المستدامة</w:t>
            </w:r>
          </w:p>
          <w:p w14:paraId="5F676937" w14:textId="6BE4B46B" w:rsidR="00A268C4" w:rsidRPr="00DA1B98" w:rsidRDefault="00A268C4" w:rsidP="00775E6D">
            <w:pPr>
              <w:pStyle w:val="ListParagraph"/>
              <w:keepNext/>
              <w:keepLines/>
              <w:numPr>
                <w:ilvl w:val="0"/>
                <w:numId w:val="20"/>
              </w:numPr>
              <w:bidi/>
              <w:spacing w:before="120" w:after="120"/>
              <w:ind w:left="317" w:hanging="346"/>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 xml:space="preserve">إعداد وتنفيذ مبادرات تفضي إلى الأخذ بالبعد المتصل بالتراث الثقافي غير المادي في التعليم </w:t>
            </w:r>
            <w:r w:rsidR="0075071E" w:rsidRPr="00DA1B98">
              <w:rPr>
                <w:rFonts w:asciiTheme="minorBidi" w:hAnsiTheme="minorBidi" w:cstheme="minorBidi" w:hint="cs"/>
                <w:sz w:val="22"/>
                <w:szCs w:val="22"/>
                <w:rtl/>
              </w:rPr>
              <w:t>الرسمي وغير الرسمي</w:t>
            </w:r>
            <w:r w:rsidR="0075071E" w:rsidRPr="00DA1B98" w:rsidDel="0075071E">
              <w:rPr>
                <w:rFonts w:asciiTheme="minorBidi" w:hAnsiTheme="minorBidi" w:cstheme="minorBidi" w:hint="cs"/>
                <w:sz w:val="22"/>
                <w:szCs w:val="22"/>
                <w:rtl/>
              </w:rPr>
              <w:t xml:space="preserve"> </w:t>
            </w:r>
            <w:r w:rsidRPr="00DA1B98">
              <w:rPr>
                <w:rFonts w:asciiTheme="minorBidi" w:hAnsiTheme="minorBidi" w:cstheme="minorBidi" w:hint="cs"/>
                <w:sz w:val="22"/>
                <w:szCs w:val="22"/>
                <w:rtl/>
              </w:rPr>
              <w:t>(غاية التنمية المستدامة 4.7)</w:t>
            </w:r>
          </w:p>
        </w:tc>
        <w:tc>
          <w:tcPr>
            <w:tcW w:w="577" w:type="pct"/>
            <w:tcBorders>
              <w:bottom w:val="single" w:sz="4" w:space="0" w:color="auto"/>
            </w:tcBorders>
            <w:shd w:val="clear" w:color="auto" w:fill="auto"/>
          </w:tcPr>
          <w:p w14:paraId="1D3C43DD" w14:textId="77777777" w:rsidR="00A268C4" w:rsidRPr="00DA1B98" w:rsidRDefault="00A268C4" w:rsidP="00775E6D">
            <w:pPr>
              <w:pStyle w:val="ListParagraph"/>
              <w:numPr>
                <w:ilvl w:val="0"/>
                <w:numId w:val="20"/>
              </w:numPr>
              <w:bidi/>
              <w:spacing w:before="120" w:after="120"/>
              <w:ind w:left="358" w:hanging="284"/>
              <w:contextualSpacing w:val="0"/>
              <w:rPr>
                <w:rFonts w:asciiTheme="minorBidi" w:hAnsiTheme="minorBidi" w:cstheme="minorBidi"/>
                <w:iCs/>
                <w:sz w:val="22"/>
                <w:szCs w:val="22"/>
                <w:rtl/>
              </w:rPr>
            </w:pPr>
            <w:r w:rsidRPr="00DA1B98">
              <w:rPr>
                <w:rFonts w:asciiTheme="minorBidi" w:hAnsiTheme="minorBidi" w:cstheme="minorBidi" w:hint="cs"/>
                <w:sz w:val="22"/>
                <w:szCs w:val="22"/>
                <w:rtl/>
              </w:rPr>
              <w:t>41، منها 22 في أفريقيا و8 من الدول الجزرية الصغيرة النامية</w:t>
            </w:r>
          </w:p>
        </w:tc>
        <w:tc>
          <w:tcPr>
            <w:tcW w:w="673" w:type="pct"/>
            <w:tcBorders>
              <w:bottom w:val="single" w:sz="4" w:space="0" w:color="auto"/>
            </w:tcBorders>
            <w:shd w:val="clear" w:color="auto" w:fill="auto"/>
          </w:tcPr>
          <w:p w14:paraId="2C0449CE" w14:textId="77777777" w:rsidR="00A268C4" w:rsidRPr="00DA1B98" w:rsidRDefault="00A268C4" w:rsidP="00775E6D">
            <w:pPr>
              <w:pStyle w:val="ListParagraph"/>
              <w:numPr>
                <w:ilvl w:val="0"/>
                <w:numId w:val="20"/>
              </w:numPr>
              <w:bidi/>
              <w:spacing w:before="120" w:after="120"/>
              <w:ind w:left="358" w:hanging="284"/>
              <w:contextualSpacing w:val="0"/>
              <w:rPr>
                <w:rFonts w:asciiTheme="minorBidi" w:hAnsiTheme="minorBidi" w:cstheme="minorBidi"/>
                <w:iCs/>
                <w:sz w:val="22"/>
                <w:szCs w:val="22"/>
                <w:rtl/>
              </w:rPr>
            </w:pPr>
            <w:r w:rsidRPr="00DA1B98">
              <w:rPr>
                <w:rFonts w:asciiTheme="minorBidi" w:hAnsiTheme="minorBidi" w:cstheme="minorBidi" w:hint="cs"/>
                <w:sz w:val="22"/>
                <w:szCs w:val="22"/>
                <w:rtl/>
              </w:rPr>
              <w:t>45، منها 15 في أفريقيا و10 من الدول الجزرية الصغيرة النامية</w:t>
            </w:r>
          </w:p>
        </w:tc>
        <w:tc>
          <w:tcPr>
            <w:tcW w:w="2450" w:type="pct"/>
            <w:tcBorders>
              <w:bottom w:val="single" w:sz="4" w:space="0" w:color="auto"/>
            </w:tcBorders>
          </w:tcPr>
          <w:p w14:paraId="3B90397B" w14:textId="042E3F9E"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 xml:space="preserve">دعم </w:t>
            </w:r>
            <w:r w:rsidRPr="00DA1B98">
              <w:rPr>
                <w:rStyle w:val="textview"/>
                <w:rFonts w:asciiTheme="minorBidi" w:hAnsiTheme="minorBidi" w:cstheme="minorBidi" w:hint="cs"/>
                <w:sz w:val="22"/>
                <w:szCs w:val="22"/>
                <w:rtl/>
              </w:rPr>
              <w:t>51</w:t>
            </w:r>
            <w:r w:rsidRPr="00DA1B98">
              <w:rPr>
                <w:rFonts w:asciiTheme="minorBidi" w:hAnsiTheme="minorBidi" w:cstheme="minorBidi" w:hint="cs"/>
                <w:sz w:val="22"/>
                <w:szCs w:val="22"/>
                <w:rtl/>
              </w:rPr>
              <w:t xml:space="preserve"> دولة عضو في مجال التراث الثقافي غير المادي والتعليم، بما في ذلك 26 دولة في أفريقيا و9 دول جزرية صغيرة نامية.</w:t>
            </w:r>
          </w:p>
          <w:p w14:paraId="26F9EEC3" w14:textId="7D6981A3"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أُنشأت شبكة تعلم عالمية تضم 48 شخصاً مرجعياً لتقديم التدريب والخدمات الاستشارية بشأن صون التراث الثقافي غير المادي في التعليم الرسمي وغير الرسمي.</w:t>
            </w:r>
          </w:p>
          <w:p w14:paraId="5D4988D4" w14:textId="77777777" w:rsidR="00A268C4" w:rsidRPr="00DA1B98" w:rsidRDefault="00A268C4" w:rsidP="00775E6D">
            <w:pPr>
              <w:pStyle w:val="ListParagraph"/>
              <w:numPr>
                <w:ilvl w:val="0"/>
                <w:numId w:val="20"/>
              </w:numPr>
              <w:bidi/>
              <w:spacing w:before="120" w:after="120"/>
              <w:ind w:left="425" w:hanging="425"/>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تأسس مركز لتبادل المعرفة والتعاون والابتكار في مجال التراث الثقافي غير المادي والتعليم، وأتيح بلغتين (الإنجليزية والفرنسية) وأُطلق في سياق المؤتمر العالمي للتعليم من أجل التنمية المستدامة في أيار/مايو 2021.</w:t>
            </w:r>
          </w:p>
          <w:p w14:paraId="1B9EE422" w14:textId="2539BCFF" w:rsidR="00CA16D4" w:rsidRPr="00DA1B98" w:rsidRDefault="00CA16D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جمع الاستطلاع المنظم عبر الإنترنت 'تجارب التراث الحي في سياق جائحة كوفيد-19'، أكثر من 230 شهادة من ثمانية وسبعين دولة، والتي أتيحت من خلال</w:t>
            </w:r>
            <w:hyperlink r:id="rId36" w:history="1">
              <w:r w:rsidRPr="00DA1B98">
                <w:rPr>
                  <w:rFonts w:hint="cs"/>
                  <w:rtl/>
                </w:rPr>
                <w:t xml:space="preserve"> </w:t>
              </w:r>
              <w:r w:rsidRPr="00DA1B98">
                <w:rPr>
                  <w:rStyle w:val="Hyperlink"/>
                  <w:rFonts w:asciiTheme="minorBidi" w:hAnsiTheme="minorBidi" w:cstheme="minorBidi" w:hint="cs"/>
                  <w:sz w:val="22"/>
                  <w:rtl/>
                </w:rPr>
                <w:t>الواجهة</w:t>
              </w:r>
            </w:hyperlink>
            <w:r w:rsidRPr="00DA1B98">
              <w:rPr>
                <w:rFonts w:hint="cs"/>
                <w:rtl/>
              </w:rPr>
              <w:t xml:space="preserve"> المخصصة عبر الإنترنت</w:t>
            </w:r>
            <w:r w:rsidR="003E3748" w:rsidRPr="00DA1B98">
              <w:rPr>
                <w:rFonts w:hint="cs"/>
                <w:rtl/>
              </w:rPr>
              <w:t>.</w:t>
            </w:r>
          </w:p>
          <w:p w14:paraId="1AD82746" w14:textId="3B490185" w:rsidR="00A268C4" w:rsidRPr="00DA1B98" w:rsidRDefault="00A268C4" w:rsidP="00775E6D">
            <w:pPr>
              <w:pStyle w:val="ListParagraph"/>
              <w:numPr>
                <w:ilvl w:val="0"/>
                <w:numId w:val="20"/>
              </w:numPr>
              <w:bidi/>
              <w:spacing w:before="120" w:after="120"/>
              <w:ind w:left="425" w:hanging="425"/>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تقرير اليونسكو حول 'التراث الحي في مواجهة كوفيد-19' الذي نُشر في أيار/مايو 2021 بلغتين (الإنجليزية والفرنسية)، مع توصيات رئيسية للتحضير لمرحلة التعافي وما بعدها.</w:t>
            </w:r>
          </w:p>
        </w:tc>
      </w:tr>
      <w:tr w:rsidR="00A268C4" w:rsidRPr="00DA1B98" w14:paraId="6F20A5A6" w14:textId="77777777" w:rsidTr="00EB3A99">
        <w:tc>
          <w:tcPr>
            <w:tcW w:w="1300" w:type="pct"/>
            <w:tcBorders>
              <w:left w:val="nil"/>
              <w:bottom w:val="nil"/>
              <w:right w:val="nil"/>
            </w:tcBorders>
          </w:tcPr>
          <w:p w14:paraId="295C957E" w14:textId="77777777" w:rsidR="00A268C4" w:rsidRPr="00DA1B98" w:rsidRDefault="00A268C4" w:rsidP="00775E6D">
            <w:pPr>
              <w:pStyle w:val="ListParagraph"/>
              <w:bidi/>
              <w:spacing w:before="120" w:after="120"/>
              <w:ind w:left="312"/>
              <w:contextualSpacing w:val="0"/>
              <w:rPr>
                <w:rFonts w:asciiTheme="minorBidi" w:hAnsiTheme="minorBidi" w:cstheme="minorBidi"/>
                <w:sz w:val="32"/>
                <w:szCs w:val="32"/>
                <w:lang w:val="en-GB"/>
              </w:rPr>
            </w:pPr>
          </w:p>
        </w:tc>
        <w:tc>
          <w:tcPr>
            <w:tcW w:w="577" w:type="pct"/>
            <w:tcBorders>
              <w:left w:val="nil"/>
              <w:bottom w:val="nil"/>
              <w:right w:val="nil"/>
            </w:tcBorders>
            <w:shd w:val="clear" w:color="auto" w:fill="auto"/>
          </w:tcPr>
          <w:p w14:paraId="5FDFCBFA" w14:textId="77777777" w:rsidR="00A268C4" w:rsidRPr="00DA1B98" w:rsidRDefault="00A268C4" w:rsidP="00775E6D">
            <w:pPr>
              <w:pStyle w:val="ListParagraph"/>
              <w:bidi/>
              <w:spacing w:before="120" w:after="120"/>
              <w:ind w:left="358"/>
              <w:contextualSpacing w:val="0"/>
              <w:rPr>
                <w:rFonts w:asciiTheme="minorBidi" w:hAnsiTheme="minorBidi" w:cstheme="minorBidi"/>
                <w:iCs/>
                <w:sz w:val="32"/>
                <w:szCs w:val="32"/>
                <w:lang w:val="en-GB"/>
              </w:rPr>
            </w:pPr>
          </w:p>
        </w:tc>
        <w:tc>
          <w:tcPr>
            <w:tcW w:w="673" w:type="pct"/>
            <w:tcBorders>
              <w:left w:val="nil"/>
              <w:bottom w:val="nil"/>
              <w:right w:val="nil"/>
            </w:tcBorders>
            <w:shd w:val="clear" w:color="auto" w:fill="auto"/>
          </w:tcPr>
          <w:p w14:paraId="27A1216B" w14:textId="77777777" w:rsidR="00A268C4" w:rsidRPr="00DA1B98" w:rsidRDefault="00A268C4" w:rsidP="00775E6D">
            <w:pPr>
              <w:pStyle w:val="ListParagraph"/>
              <w:bidi/>
              <w:spacing w:before="120" w:after="120"/>
              <w:ind w:left="358"/>
              <w:contextualSpacing w:val="0"/>
              <w:rPr>
                <w:rFonts w:asciiTheme="minorBidi" w:hAnsiTheme="minorBidi" w:cstheme="minorBidi"/>
                <w:iCs/>
                <w:sz w:val="32"/>
                <w:szCs w:val="32"/>
                <w:lang w:val="en-GB"/>
              </w:rPr>
            </w:pPr>
          </w:p>
        </w:tc>
        <w:tc>
          <w:tcPr>
            <w:tcW w:w="2450" w:type="pct"/>
            <w:tcBorders>
              <w:left w:val="nil"/>
              <w:bottom w:val="nil"/>
              <w:right w:val="nil"/>
            </w:tcBorders>
          </w:tcPr>
          <w:p w14:paraId="6B8BD96A" w14:textId="77777777" w:rsidR="00A268C4" w:rsidRPr="00DA1B98" w:rsidRDefault="00A268C4" w:rsidP="00775E6D">
            <w:pPr>
              <w:pStyle w:val="ListParagraph"/>
              <w:bidi/>
              <w:spacing w:before="120" w:after="120"/>
              <w:ind w:left="543"/>
              <w:contextualSpacing w:val="0"/>
              <w:rPr>
                <w:rStyle w:val="textview"/>
                <w:rFonts w:asciiTheme="minorBidi" w:hAnsiTheme="minorBidi" w:cstheme="minorBidi"/>
                <w:sz w:val="32"/>
                <w:szCs w:val="32"/>
                <w:lang w:val="en-GB"/>
              </w:rPr>
            </w:pPr>
          </w:p>
        </w:tc>
      </w:tr>
    </w:tbl>
    <w:tbl>
      <w:tblPr>
        <w:tblStyle w:val="TableGrid2"/>
        <w:bidiVisual/>
        <w:tblW w:w="14572" w:type="dxa"/>
        <w:tblLook w:val="04A0" w:firstRow="1" w:lastRow="0" w:firstColumn="1" w:lastColumn="0" w:noHBand="0" w:noVBand="1"/>
      </w:tblPr>
      <w:tblGrid>
        <w:gridCol w:w="3789"/>
        <w:gridCol w:w="10783"/>
      </w:tblGrid>
      <w:tr w:rsidR="00A268C4" w:rsidRPr="00DA1B98" w14:paraId="461134F1" w14:textId="77777777" w:rsidTr="00EB3A99">
        <w:trPr>
          <w:cantSplit/>
        </w:trPr>
        <w:tc>
          <w:tcPr>
            <w:tcW w:w="1300" w:type="pct"/>
            <w:tcBorders>
              <w:top w:val="nil"/>
            </w:tcBorders>
            <w:shd w:val="clear" w:color="auto" w:fill="808080" w:themeFill="background1" w:themeFillShade="80"/>
            <w:vAlign w:val="center"/>
          </w:tcPr>
          <w:p w14:paraId="527FD21B" w14:textId="77777777" w:rsidR="00A268C4" w:rsidRPr="00DA1B98" w:rsidRDefault="00A268C4" w:rsidP="003048E6">
            <w:pPr>
              <w:keepNext/>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b/>
                <w:bCs/>
                <w:color w:val="FFFFFF" w:themeColor="background1"/>
                <w:sz w:val="22"/>
                <w:szCs w:val="22"/>
              </w:rPr>
              <w:t>40C/5</w:t>
            </w:r>
            <w:r w:rsidRPr="00DA1B98">
              <w:rPr>
                <w:rFonts w:asciiTheme="minorBidi" w:hAnsiTheme="minorBidi" w:cstheme="minorBidi" w:hint="cs"/>
                <w:b/>
                <w:bCs/>
                <w:color w:val="FFFFFF" w:themeColor="background1"/>
                <w:sz w:val="22"/>
                <w:szCs w:val="22"/>
                <w:rtl/>
              </w:rPr>
              <w:t xml:space="preserve"> مؤشر الأداء الرابع</w:t>
            </w:r>
          </w:p>
        </w:tc>
        <w:tc>
          <w:tcPr>
            <w:tcW w:w="3700" w:type="pct"/>
            <w:tcBorders>
              <w:top w:val="nil"/>
            </w:tcBorders>
            <w:shd w:val="clear" w:color="auto" w:fill="808080" w:themeFill="background1" w:themeFillShade="80"/>
            <w:vAlign w:val="center"/>
          </w:tcPr>
          <w:p w14:paraId="0CAC38F1" w14:textId="678CE6D0" w:rsidR="00A268C4" w:rsidRPr="00DA1B98" w:rsidRDefault="00A268C4" w:rsidP="00E96B17">
            <w:pPr>
              <w:keepNext/>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hint="cs"/>
                <w:b/>
                <w:bCs/>
                <w:color w:val="FFFFFF" w:themeColor="background1"/>
                <w:sz w:val="22"/>
                <w:szCs w:val="22"/>
                <w:rtl/>
              </w:rPr>
              <w:t xml:space="preserve">عدد </w:t>
            </w:r>
            <w:r w:rsidR="00C07874" w:rsidRPr="00775E6D">
              <w:rPr>
                <w:rFonts w:asciiTheme="minorBidi" w:hAnsiTheme="minorBidi" w:cstheme="minorBidi"/>
                <w:b/>
                <w:bCs/>
                <w:color w:val="FFFFFF" w:themeColor="background1"/>
                <w:sz w:val="22"/>
                <w:szCs w:val="22"/>
                <w:rtl/>
              </w:rPr>
              <w:t xml:space="preserve">الدول الأطراف التي تكون قد أعملت المساعدة الدولية على نحو فعال، بما فيها المساعدة المتأتية من صندوق حماية التراث الثقافي غير المادي، مكملة بذلك جهودها الوطنية </w:t>
            </w:r>
            <w:r w:rsidR="00C07874" w:rsidRPr="0058385F">
              <w:rPr>
                <w:rFonts w:asciiTheme="minorBidi" w:hAnsiTheme="minorBidi" w:cstheme="minorBidi"/>
                <w:b/>
                <w:bCs/>
                <w:color w:val="FFFFFF" w:themeColor="background1"/>
                <w:sz w:val="22"/>
                <w:szCs w:val="22"/>
                <w:rtl/>
              </w:rPr>
              <w:t>في</w:t>
            </w:r>
            <w:r w:rsidR="00C07874" w:rsidRPr="00775E6D">
              <w:rPr>
                <w:rFonts w:asciiTheme="minorBidi" w:hAnsiTheme="minorBidi" w:cstheme="minorBidi"/>
                <w:b/>
                <w:bCs/>
                <w:color w:val="FFFFFF" w:themeColor="background1"/>
                <w:sz w:val="22"/>
                <w:szCs w:val="22"/>
                <w:rtl/>
              </w:rPr>
              <w:t xml:space="preserve"> مجال صون هذا التراث</w:t>
            </w:r>
          </w:p>
        </w:tc>
      </w:tr>
    </w:tbl>
    <w:tbl>
      <w:tblPr>
        <w:bidiVisual/>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A268C4" w:rsidRPr="00DA1B98" w14:paraId="76A5A29B" w14:textId="77777777" w:rsidTr="00EB3A99">
        <w:trPr>
          <w:tblHeader/>
        </w:trPr>
        <w:tc>
          <w:tcPr>
            <w:tcW w:w="1300" w:type="pct"/>
            <w:shd w:val="clear" w:color="auto" w:fill="D9D9D9" w:themeFill="background1" w:themeFillShade="D9"/>
            <w:vAlign w:val="center"/>
          </w:tcPr>
          <w:p w14:paraId="1D28CEA8"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تقدر وفق ما يلي</w:t>
            </w:r>
          </w:p>
        </w:tc>
        <w:tc>
          <w:tcPr>
            <w:tcW w:w="577" w:type="pct"/>
            <w:shd w:val="clear" w:color="auto" w:fill="D9D9D9" w:themeFill="background1" w:themeFillShade="D9"/>
            <w:vAlign w:val="center"/>
          </w:tcPr>
          <w:p w14:paraId="418CB2FC" w14:textId="77777777"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خطوط الأساس</w:t>
            </w:r>
          </w:p>
        </w:tc>
        <w:tc>
          <w:tcPr>
            <w:tcW w:w="673" w:type="pct"/>
            <w:shd w:val="clear" w:color="auto" w:fill="D9D9D9" w:themeFill="background1" w:themeFillShade="D9"/>
            <w:vAlign w:val="center"/>
          </w:tcPr>
          <w:p w14:paraId="4DBB50FA" w14:textId="1BA67535" w:rsidR="00A268C4" w:rsidRPr="00DA1B98" w:rsidRDefault="00A268C4" w:rsidP="00775E6D">
            <w:pPr>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 xml:space="preserve">أهداف عام </w:t>
            </w:r>
            <w:r w:rsidR="003E3748" w:rsidRPr="00DA1B98">
              <w:rPr>
                <w:rFonts w:asciiTheme="minorBidi" w:hAnsiTheme="minorBidi" w:cstheme="minorBidi"/>
                <w:b/>
                <w:bCs/>
                <w:sz w:val="22"/>
                <w:szCs w:val="22"/>
                <w:rtl/>
              </w:rPr>
              <w:br/>
            </w:r>
            <w:r w:rsidRPr="00DA1B98">
              <w:rPr>
                <w:rFonts w:asciiTheme="minorBidi" w:hAnsiTheme="minorBidi" w:cstheme="minorBidi" w:hint="cs"/>
                <w:b/>
                <w:bCs/>
                <w:sz w:val="22"/>
                <w:szCs w:val="22"/>
                <w:rtl/>
              </w:rPr>
              <w:t>2020-2021</w:t>
            </w:r>
          </w:p>
        </w:tc>
        <w:tc>
          <w:tcPr>
            <w:tcW w:w="2450" w:type="pct"/>
            <w:shd w:val="clear" w:color="auto" w:fill="D9D9D9" w:themeFill="background1" w:themeFillShade="D9"/>
            <w:vAlign w:val="center"/>
          </w:tcPr>
          <w:p w14:paraId="261E6216" w14:textId="52A8067C" w:rsidR="00A268C4" w:rsidRPr="00DA1B98" w:rsidRDefault="00A268C4" w:rsidP="00775E6D">
            <w:pPr>
              <w:autoSpaceDE w:val="0"/>
              <w:autoSpaceDN w:val="0"/>
              <w:bidi/>
              <w:adjustRightInd w:val="0"/>
              <w:jc w:val="center"/>
              <w:rPr>
                <w:rFonts w:asciiTheme="minorBidi" w:eastAsia="Calibri" w:hAnsiTheme="minorBidi" w:cstheme="minorBidi"/>
                <w:b/>
                <w:color w:val="000000"/>
                <w:sz w:val="22"/>
                <w:szCs w:val="22"/>
                <w:rtl/>
              </w:rPr>
            </w:pPr>
            <w:r w:rsidRPr="00DA1B98">
              <w:rPr>
                <w:rFonts w:asciiTheme="minorBidi" w:hAnsiTheme="minorBidi" w:cstheme="minorBidi" w:hint="cs"/>
                <w:b/>
                <w:bCs/>
                <w:sz w:val="22"/>
                <w:szCs w:val="22"/>
                <w:rtl/>
              </w:rPr>
              <w:t>تقييم التقدم:</w:t>
            </w:r>
            <w:r w:rsidRPr="00DA1B98">
              <w:rPr>
                <w:rFonts w:asciiTheme="minorBidi" w:hAnsiTheme="minorBidi" w:cstheme="minorBidi" w:hint="cs"/>
                <w:b/>
                <w:bCs/>
                <w:sz w:val="22"/>
                <w:szCs w:val="22"/>
                <w:rtl/>
              </w:rPr>
              <w:br/>
              <w:t>01‏/01‏/2020 إلى 31‏/12‏/2021</w:t>
            </w:r>
          </w:p>
        </w:tc>
      </w:tr>
      <w:tr w:rsidR="00A268C4" w:rsidRPr="00DA1B98" w14:paraId="44AB0C3A" w14:textId="77777777" w:rsidTr="00EB3A99">
        <w:tc>
          <w:tcPr>
            <w:tcW w:w="1300" w:type="pct"/>
            <w:tcBorders>
              <w:bottom w:val="single" w:sz="4" w:space="0" w:color="auto"/>
            </w:tcBorders>
          </w:tcPr>
          <w:p w14:paraId="4B5C127D" w14:textId="237FAA2F"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استعانة الدول الأطراف بصندوق حماية التراث غير المادي لكي تكمل على نحو فعال الجهود التي تبذلها على المستوى الوطني من أجل صون هذا التراث</w:t>
            </w:r>
          </w:p>
          <w:p w14:paraId="263E1AC1" w14:textId="7AD51ED6" w:rsidR="00A268C4" w:rsidRPr="00DA1B98" w:rsidRDefault="00A268C4" w:rsidP="00775E6D">
            <w:pPr>
              <w:pStyle w:val="ListParagraph"/>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استفادة الدول الأطراف من العون التحضيري/</w:t>
            </w:r>
            <w:r w:rsidR="00C86719" w:rsidRPr="00DA1B98">
              <w:rPr>
                <w:rFonts w:asciiTheme="minorBidi" w:hAnsiTheme="minorBidi" w:cstheme="minorBidi" w:hint="cs"/>
                <w:sz w:val="22"/>
                <w:szCs w:val="22"/>
                <w:rtl/>
              </w:rPr>
              <w:t xml:space="preserve"> </w:t>
            </w:r>
            <w:r w:rsidRPr="00DA1B98">
              <w:rPr>
                <w:rFonts w:asciiTheme="minorBidi" w:hAnsiTheme="minorBidi" w:cstheme="minorBidi" w:hint="cs"/>
                <w:sz w:val="22"/>
                <w:szCs w:val="22"/>
                <w:rtl/>
              </w:rPr>
              <w:t>التقني المقدم من صندوق حماية التراث الثقافي غير المادي بغية إعداد طلبات المساعدة الدولية لكي تكمل على نحو فعال الجهود التي تبذلها على المستوى الوطني من أجل صون هذا التراث</w:t>
            </w:r>
          </w:p>
        </w:tc>
        <w:tc>
          <w:tcPr>
            <w:tcW w:w="577" w:type="pct"/>
            <w:tcBorders>
              <w:bottom w:val="single" w:sz="4" w:space="0" w:color="auto"/>
            </w:tcBorders>
            <w:shd w:val="clear" w:color="auto" w:fill="auto"/>
          </w:tcPr>
          <w:p w14:paraId="379533AF" w14:textId="77777777" w:rsidR="00A268C4" w:rsidRPr="00DA1B98" w:rsidRDefault="00A268C4" w:rsidP="00775E6D">
            <w:pPr>
              <w:pStyle w:val="ListParagraph"/>
              <w:numPr>
                <w:ilvl w:val="0"/>
                <w:numId w:val="20"/>
              </w:numPr>
              <w:bidi/>
              <w:spacing w:before="120" w:after="120"/>
              <w:ind w:left="358" w:hanging="284"/>
              <w:contextualSpacing w:val="0"/>
              <w:rPr>
                <w:rFonts w:asciiTheme="minorBidi" w:eastAsia="Calibri" w:hAnsiTheme="minorBidi" w:cstheme="minorBidi"/>
                <w:sz w:val="22"/>
                <w:szCs w:val="22"/>
                <w:rtl/>
              </w:rPr>
            </w:pPr>
            <w:r w:rsidRPr="00DA1B98">
              <w:rPr>
                <w:rFonts w:asciiTheme="minorBidi" w:hAnsiTheme="minorBidi" w:cstheme="minorBidi" w:hint="cs"/>
                <w:sz w:val="22"/>
                <w:szCs w:val="22"/>
                <w:rtl/>
              </w:rPr>
              <w:t>9، منها 7 في أفريقيا و2 من الدول الجزرية الصغيرة النامية</w:t>
            </w:r>
          </w:p>
        </w:tc>
        <w:tc>
          <w:tcPr>
            <w:tcW w:w="673" w:type="pct"/>
            <w:tcBorders>
              <w:bottom w:val="single" w:sz="4" w:space="0" w:color="auto"/>
            </w:tcBorders>
            <w:shd w:val="clear" w:color="auto" w:fill="auto"/>
          </w:tcPr>
          <w:p w14:paraId="71EC84AE" w14:textId="77777777" w:rsidR="00A268C4" w:rsidRPr="00DA1B98" w:rsidRDefault="00A268C4" w:rsidP="00775E6D">
            <w:pPr>
              <w:pStyle w:val="ListParagraph"/>
              <w:numPr>
                <w:ilvl w:val="0"/>
                <w:numId w:val="20"/>
              </w:numPr>
              <w:bidi/>
              <w:spacing w:before="120" w:after="120"/>
              <w:ind w:left="358" w:hanging="284"/>
              <w:contextualSpacing w:val="0"/>
              <w:rPr>
                <w:rFonts w:asciiTheme="minorBidi" w:hAnsiTheme="minorBidi" w:cstheme="minorBidi"/>
                <w:iCs/>
                <w:sz w:val="22"/>
                <w:szCs w:val="22"/>
                <w:rtl/>
              </w:rPr>
            </w:pPr>
            <w:r w:rsidRPr="00DA1B98">
              <w:rPr>
                <w:rFonts w:asciiTheme="minorBidi" w:hAnsiTheme="minorBidi" w:cstheme="minorBidi" w:hint="cs"/>
                <w:sz w:val="22"/>
                <w:szCs w:val="22"/>
                <w:rtl/>
              </w:rPr>
              <w:t>16، منها 12 في أفريقيا و2 من الدول الجزرية الصغيرة النامية</w:t>
            </w:r>
          </w:p>
        </w:tc>
        <w:tc>
          <w:tcPr>
            <w:tcW w:w="2450" w:type="pct"/>
            <w:tcBorders>
              <w:bottom w:val="single" w:sz="4" w:space="0" w:color="auto"/>
            </w:tcBorders>
            <w:shd w:val="clear" w:color="auto" w:fill="auto"/>
          </w:tcPr>
          <w:p w14:paraId="77759A83" w14:textId="0E2C75CC" w:rsidR="00E54CE9" w:rsidRPr="00DA1B98" w:rsidRDefault="00E54CE9" w:rsidP="00775E6D">
            <w:pPr>
              <w:pStyle w:val="GAPara"/>
              <w:numPr>
                <w:ilvl w:val="0"/>
                <w:numId w:val="20"/>
              </w:numPr>
              <w:bidi/>
              <w:snapToGrid w:val="0"/>
              <w:jc w:val="both"/>
              <w:rPr>
                <w:rFonts w:asciiTheme="minorBidi" w:hAnsiTheme="minorBidi" w:cstheme="minorBidi"/>
                <w:snapToGrid/>
                <w:rtl/>
              </w:rPr>
            </w:pPr>
            <w:r w:rsidRPr="00DA1B98">
              <w:rPr>
                <w:rFonts w:asciiTheme="minorBidi" w:hAnsiTheme="minorBidi" w:cstheme="minorBidi" w:hint="cs"/>
                <w:snapToGrid/>
                <w:rtl/>
              </w:rPr>
              <w:t>سُجل 34 طلب مساعدة دولية نظرت فيها قبل الأمانة</w:t>
            </w:r>
            <w:r w:rsidR="0011139C" w:rsidRPr="00DA1B98">
              <w:rPr>
                <w:rStyle w:val="FootnoteReference"/>
                <w:rFonts w:asciiTheme="minorBidi" w:hAnsiTheme="minorBidi" w:cstheme="minorBidi"/>
                <w:iCs/>
                <w:snapToGrid/>
                <w:lang w:eastAsia="fr-FR"/>
              </w:rPr>
              <w:footnoteReference w:id="19"/>
            </w:r>
            <w:r w:rsidRPr="00DA1B98">
              <w:rPr>
                <w:rFonts w:asciiTheme="minorBidi" w:hAnsiTheme="minorBidi" w:cstheme="minorBidi" w:hint="cs"/>
                <w:snapToGrid/>
                <w:rtl/>
              </w:rPr>
              <w:t>، ووافقت اللجنة ومكتبها على 16 طلب مساعدة دولية، بما في ذلك ثمانية في إفريقيا (43% من إجمالي المبالغ الممنوحة في فترة التقرير) وأربعة في الدول الجزرية الصغيرة النامية.</w:t>
            </w:r>
          </w:p>
          <w:p w14:paraId="695A34DE" w14:textId="3580EAB8" w:rsidR="00A268C4" w:rsidRPr="00DA1B98" w:rsidRDefault="00A268C4" w:rsidP="00775E6D">
            <w:pPr>
              <w:pStyle w:val="ListParagraph"/>
              <w:bidi/>
              <w:spacing w:before="120" w:after="120"/>
              <w:ind w:left="501"/>
              <w:contextualSpacing w:val="0"/>
              <w:jc w:val="both"/>
              <w:rPr>
                <w:rFonts w:asciiTheme="minorBidi" w:hAnsiTheme="minorBidi" w:cstheme="minorBidi"/>
                <w:iCs/>
                <w:sz w:val="22"/>
                <w:szCs w:val="22"/>
                <w:lang w:val="en-GB"/>
              </w:rPr>
            </w:pPr>
          </w:p>
        </w:tc>
      </w:tr>
      <w:tr w:rsidR="00A268C4" w:rsidRPr="00DA1B98" w14:paraId="25AB7275" w14:textId="77777777" w:rsidTr="00EB3A99">
        <w:tc>
          <w:tcPr>
            <w:tcW w:w="1300" w:type="pct"/>
            <w:tcBorders>
              <w:left w:val="nil"/>
              <w:bottom w:val="nil"/>
              <w:right w:val="nil"/>
            </w:tcBorders>
          </w:tcPr>
          <w:p w14:paraId="7100F644" w14:textId="77777777" w:rsidR="00A268C4" w:rsidRPr="00DA1B98" w:rsidRDefault="00A268C4" w:rsidP="00775E6D">
            <w:pPr>
              <w:pStyle w:val="ListParagraph"/>
              <w:bidi/>
              <w:spacing w:before="120" w:after="120"/>
              <w:ind w:left="312"/>
              <w:contextualSpacing w:val="0"/>
              <w:rPr>
                <w:rFonts w:asciiTheme="minorBidi" w:hAnsiTheme="minorBidi" w:cstheme="minorBidi"/>
                <w:sz w:val="22"/>
                <w:szCs w:val="22"/>
                <w:lang w:val="en-GB"/>
              </w:rPr>
            </w:pPr>
          </w:p>
        </w:tc>
        <w:tc>
          <w:tcPr>
            <w:tcW w:w="577" w:type="pct"/>
            <w:tcBorders>
              <w:left w:val="nil"/>
              <w:bottom w:val="nil"/>
              <w:right w:val="nil"/>
            </w:tcBorders>
            <w:shd w:val="clear" w:color="auto" w:fill="auto"/>
          </w:tcPr>
          <w:p w14:paraId="4CF48FCE" w14:textId="77777777" w:rsidR="00A268C4" w:rsidRPr="00DA1B98" w:rsidRDefault="00A268C4" w:rsidP="00775E6D">
            <w:pPr>
              <w:pStyle w:val="ListParagraph"/>
              <w:bidi/>
              <w:spacing w:before="120" w:after="120"/>
              <w:ind w:left="358"/>
              <w:contextualSpacing w:val="0"/>
              <w:rPr>
                <w:rFonts w:asciiTheme="minorBidi" w:hAnsiTheme="minorBidi" w:cstheme="minorBidi"/>
                <w:iCs/>
                <w:sz w:val="22"/>
                <w:szCs w:val="22"/>
                <w:lang w:val="en-GB"/>
              </w:rPr>
            </w:pPr>
          </w:p>
        </w:tc>
        <w:tc>
          <w:tcPr>
            <w:tcW w:w="673" w:type="pct"/>
            <w:tcBorders>
              <w:left w:val="nil"/>
              <w:bottom w:val="nil"/>
              <w:right w:val="nil"/>
            </w:tcBorders>
            <w:shd w:val="clear" w:color="auto" w:fill="auto"/>
          </w:tcPr>
          <w:p w14:paraId="5D3DAA7A" w14:textId="77777777" w:rsidR="00A268C4" w:rsidRPr="00DA1B98" w:rsidRDefault="00A268C4" w:rsidP="00775E6D">
            <w:pPr>
              <w:pStyle w:val="ListParagraph"/>
              <w:bidi/>
              <w:spacing w:before="120" w:after="120"/>
              <w:ind w:left="358"/>
              <w:contextualSpacing w:val="0"/>
              <w:rPr>
                <w:rFonts w:asciiTheme="minorBidi" w:hAnsiTheme="minorBidi" w:cstheme="minorBidi"/>
                <w:iCs/>
                <w:sz w:val="22"/>
                <w:szCs w:val="22"/>
                <w:lang w:val="en-GB"/>
              </w:rPr>
            </w:pPr>
          </w:p>
        </w:tc>
        <w:tc>
          <w:tcPr>
            <w:tcW w:w="2450" w:type="pct"/>
            <w:tcBorders>
              <w:left w:val="nil"/>
              <w:bottom w:val="nil"/>
              <w:right w:val="nil"/>
            </w:tcBorders>
            <w:shd w:val="clear" w:color="auto" w:fill="auto"/>
          </w:tcPr>
          <w:p w14:paraId="21C1DF97" w14:textId="77777777" w:rsidR="00A268C4" w:rsidRPr="00DA1B98" w:rsidRDefault="00A268C4" w:rsidP="00775E6D">
            <w:pPr>
              <w:pStyle w:val="ListParagraph"/>
              <w:bidi/>
              <w:spacing w:before="120" w:after="120"/>
              <w:ind w:left="358"/>
              <w:contextualSpacing w:val="0"/>
              <w:rPr>
                <w:rFonts w:asciiTheme="minorBidi" w:hAnsiTheme="minorBidi" w:cstheme="minorBidi"/>
                <w:iCs/>
                <w:sz w:val="22"/>
                <w:szCs w:val="22"/>
                <w:lang w:val="en-GB"/>
              </w:rPr>
            </w:pPr>
          </w:p>
        </w:tc>
      </w:tr>
    </w:tbl>
    <w:tbl>
      <w:tblPr>
        <w:tblStyle w:val="TableGrid2"/>
        <w:bidiVisual/>
        <w:tblW w:w="14572" w:type="dxa"/>
        <w:tblLook w:val="04A0" w:firstRow="1" w:lastRow="0" w:firstColumn="1" w:lastColumn="0" w:noHBand="0" w:noVBand="1"/>
      </w:tblPr>
      <w:tblGrid>
        <w:gridCol w:w="3681"/>
        <w:gridCol w:w="10891"/>
      </w:tblGrid>
      <w:tr w:rsidR="00A268C4" w:rsidRPr="00DA1B98" w14:paraId="0FB8C1AA" w14:textId="77777777" w:rsidTr="00EB3A99">
        <w:trPr>
          <w:cantSplit/>
        </w:trPr>
        <w:tc>
          <w:tcPr>
            <w:tcW w:w="1263" w:type="pct"/>
            <w:tcBorders>
              <w:top w:val="nil"/>
            </w:tcBorders>
            <w:shd w:val="clear" w:color="auto" w:fill="808080" w:themeFill="background1" w:themeFillShade="80"/>
            <w:vAlign w:val="center"/>
          </w:tcPr>
          <w:p w14:paraId="3D52BABC" w14:textId="77777777" w:rsidR="00A268C4" w:rsidRPr="00DA1B98" w:rsidRDefault="00A268C4" w:rsidP="003048E6">
            <w:pPr>
              <w:keepNext/>
              <w:keepLines/>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b/>
                <w:bCs/>
                <w:color w:val="FFFFFF" w:themeColor="background1"/>
                <w:sz w:val="22"/>
                <w:szCs w:val="22"/>
              </w:rPr>
              <w:t>40C/5</w:t>
            </w:r>
            <w:r w:rsidRPr="00DA1B98">
              <w:rPr>
                <w:rFonts w:asciiTheme="minorBidi" w:hAnsiTheme="minorBidi" w:cstheme="minorBidi" w:hint="cs"/>
                <w:b/>
                <w:bCs/>
                <w:color w:val="FFFFFF" w:themeColor="background1"/>
                <w:sz w:val="22"/>
                <w:szCs w:val="22"/>
                <w:rtl/>
              </w:rPr>
              <w:t xml:space="preserve"> مؤشر الأداء الخامس</w:t>
            </w:r>
          </w:p>
        </w:tc>
        <w:tc>
          <w:tcPr>
            <w:tcW w:w="3737" w:type="pct"/>
            <w:tcBorders>
              <w:top w:val="nil"/>
            </w:tcBorders>
            <w:shd w:val="clear" w:color="auto" w:fill="808080" w:themeFill="background1" w:themeFillShade="80"/>
            <w:vAlign w:val="center"/>
          </w:tcPr>
          <w:p w14:paraId="29D29C09" w14:textId="55491281" w:rsidR="00A268C4" w:rsidRPr="00DA1B98" w:rsidRDefault="00A268C4" w:rsidP="00E96B17">
            <w:pPr>
              <w:keepNext/>
              <w:keepLines/>
              <w:bidi/>
              <w:spacing w:before="120" w:after="120"/>
              <w:rPr>
                <w:rFonts w:asciiTheme="minorBidi" w:hAnsiTheme="minorBidi" w:cstheme="minorBidi"/>
                <w:b/>
                <w:bCs/>
                <w:color w:val="FFFFFF" w:themeColor="background1"/>
                <w:sz w:val="22"/>
                <w:szCs w:val="22"/>
                <w:rtl/>
              </w:rPr>
            </w:pPr>
            <w:r w:rsidRPr="00DA1B98">
              <w:rPr>
                <w:rFonts w:asciiTheme="minorBidi" w:hAnsiTheme="minorBidi" w:cstheme="minorBidi" w:hint="cs"/>
                <w:b/>
                <w:bCs/>
                <w:color w:val="FFFFFF" w:themeColor="background1"/>
                <w:sz w:val="22"/>
                <w:szCs w:val="22"/>
                <w:rtl/>
              </w:rPr>
              <w:t xml:space="preserve">عدد </w:t>
            </w:r>
            <w:r w:rsidR="00C07874" w:rsidRPr="00775E6D">
              <w:rPr>
                <w:rFonts w:asciiTheme="minorBidi" w:hAnsiTheme="minorBidi" w:cstheme="minorBidi"/>
                <w:b/>
                <w:bCs/>
                <w:color w:val="FFFFFF" w:themeColor="background1"/>
                <w:sz w:val="22"/>
                <w:szCs w:val="22"/>
                <w:rtl/>
              </w:rPr>
              <w:t xml:space="preserve">ما تتخذه الدول الأعضاء المتلقية للدعم من </w:t>
            </w:r>
            <w:r w:rsidR="00C07874" w:rsidRPr="0058385F">
              <w:rPr>
                <w:rFonts w:asciiTheme="minorBidi" w:hAnsiTheme="minorBidi" w:cstheme="minorBidi"/>
                <w:b/>
                <w:bCs/>
                <w:color w:val="FFFFFF" w:themeColor="background1"/>
                <w:sz w:val="22"/>
                <w:szCs w:val="22"/>
                <w:rtl/>
              </w:rPr>
              <w:t>ال</w:t>
            </w:r>
            <w:r w:rsidR="00C07874" w:rsidRPr="00775E6D">
              <w:rPr>
                <w:rFonts w:asciiTheme="minorBidi" w:hAnsiTheme="minorBidi" w:cstheme="minorBidi"/>
                <w:b/>
                <w:bCs/>
                <w:color w:val="FFFFFF" w:themeColor="background1"/>
                <w:sz w:val="22"/>
                <w:szCs w:val="22"/>
                <w:rtl/>
              </w:rPr>
              <w:t xml:space="preserve">مبادرات </w:t>
            </w:r>
            <w:r w:rsidR="00B67260" w:rsidRPr="0058385F">
              <w:rPr>
                <w:rFonts w:asciiTheme="minorBidi" w:hAnsiTheme="minorBidi" w:cstheme="minorBidi"/>
                <w:b/>
                <w:bCs/>
                <w:color w:val="FFFFFF" w:themeColor="background1"/>
                <w:sz w:val="22"/>
                <w:szCs w:val="22"/>
                <w:rtl/>
              </w:rPr>
              <w:t>التي تكون قد عززت</w:t>
            </w:r>
            <w:r w:rsidR="00B67260" w:rsidRPr="00C07874">
              <w:rPr>
                <w:rFonts w:asciiTheme="minorBidi" w:hAnsiTheme="minorBidi" w:cstheme="minorBidi"/>
                <w:b/>
                <w:bCs/>
                <w:color w:val="FFFFFF" w:themeColor="background1"/>
                <w:sz w:val="22"/>
                <w:szCs w:val="22"/>
                <w:rtl/>
              </w:rPr>
              <w:t xml:space="preserve"> </w:t>
            </w:r>
            <w:r w:rsidR="00B67260" w:rsidRPr="0058385F">
              <w:rPr>
                <w:rFonts w:asciiTheme="minorBidi" w:hAnsiTheme="minorBidi" w:cstheme="minorBidi"/>
                <w:b/>
                <w:bCs/>
                <w:color w:val="FFFFFF" w:themeColor="background1"/>
                <w:sz w:val="22"/>
                <w:szCs w:val="22"/>
                <w:rtl/>
              </w:rPr>
              <w:t>المعرفة</w:t>
            </w:r>
            <w:r w:rsidR="00B67260" w:rsidRPr="00C07874">
              <w:rPr>
                <w:rFonts w:asciiTheme="minorBidi" w:hAnsiTheme="minorBidi" w:cstheme="minorBidi"/>
                <w:b/>
                <w:bCs/>
                <w:color w:val="FFFFFF" w:themeColor="background1"/>
                <w:sz w:val="22"/>
                <w:szCs w:val="22"/>
                <w:rtl/>
              </w:rPr>
              <w:t xml:space="preserve"> </w:t>
            </w:r>
            <w:r w:rsidR="00B67260" w:rsidRPr="0058385F">
              <w:rPr>
                <w:rFonts w:asciiTheme="minorBidi" w:hAnsiTheme="minorBidi" w:cstheme="minorBidi"/>
                <w:b/>
                <w:bCs/>
                <w:color w:val="FFFFFF" w:themeColor="background1"/>
                <w:sz w:val="22"/>
                <w:szCs w:val="22"/>
                <w:rtl/>
              </w:rPr>
              <w:t xml:space="preserve">بصون </w:t>
            </w:r>
            <w:r w:rsidR="00C07874" w:rsidRPr="00775E6D">
              <w:rPr>
                <w:rFonts w:asciiTheme="minorBidi" w:hAnsiTheme="minorBidi" w:cstheme="minorBidi"/>
                <w:b/>
                <w:bCs/>
                <w:color w:val="FFFFFF" w:themeColor="background1"/>
                <w:sz w:val="22"/>
                <w:szCs w:val="22"/>
                <w:rtl/>
              </w:rPr>
              <w:t xml:space="preserve">التراث الثقافي غير المادي وباتفاقية عام </w:t>
            </w:r>
            <w:r w:rsidR="00B67260">
              <w:rPr>
                <w:rFonts w:asciiTheme="minorBidi" w:hAnsiTheme="minorBidi" w:cstheme="minorBidi"/>
                <w:b/>
                <w:bCs/>
                <w:color w:val="FFFFFF" w:themeColor="background1"/>
                <w:sz w:val="22"/>
                <w:szCs w:val="22"/>
              </w:rPr>
              <w:t>2003</w:t>
            </w:r>
            <w:r w:rsidR="009E48BD">
              <w:rPr>
                <w:rFonts w:asciiTheme="minorBidi" w:hAnsiTheme="minorBidi" w:cstheme="minorBidi" w:hint="cs"/>
                <w:b/>
                <w:bCs/>
                <w:color w:val="FFFFFF" w:themeColor="background1"/>
                <w:sz w:val="22"/>
                <w:szCs w:val="22"/>
                <w:rtl/>
              </w:rPr>
              <w:t xml:space="preserve"> </w:t>
            </w:r>
            <w:r w:rsidR="00C07874" w:rsidRPr="00775E6D">
              <w:rPr>
                <w:rFonts w:asciiTheme="minorBidi" w:hAnsiTheme="minorBidi" w:cstheme="minorBidi"/>
                <w:b/>
                <w:bCs/>
                <w:color w:val="FFFFFF" w:themeColor="background1"/>
                <w:sz w:val="22"/>
                <w:szCs w:val="22"/>
                <w:rtl/>
              </w:rPr>
              <w:t>والإحاطة بهم</w:t>
            </w:r>
            <w:r w:rsidRPr="00DA1B98">
              <w:rPr>
                <w:rFonts w:asciiTheme="minorBidi" w:hAnsiTheme="minorBidi" w:cstheme="minorBidi" w:hint="cs"/>
                <w:b/>
                <w:bCs/>
                <w:color w:val="FFFFFF" w:themeColor="background1"/>
                <w:sz w:val="22"/>
                <w:szCs w:val="22"/>
                <w:rtl/>
              </w:rPr>
              <w:t xml:space="preserve">ا </w:t>
            </w:r>
          </w:p>
        </w:tc>
      </w:tr>
    </w:tbl>
    <w:tbl>
      <w:tblPr>
        <w:bidiVisual/>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89"/>
        <w:gridCol w:w="1961"/>
        <w:gridCol w:w="7139"/>
      </w:tblGrid>
      <w:tr w:rsidR="00A268C4" w:rsidRPr="00DA1B98" w14:paraId="4B665BB2" w14:textId="77777777" w:rsidTr="00EB3A99">
        <w:trPr>
          <w:tblHeader/>
        </w:trPr>
        <w:tc>
          <w:tcPr>
            <w:tcW w:w="1263" w:type="pct"/>
            <w:shd w:val="clear" w:color="auto" w:fill="D9D9D9" w:themeFill="background1" w:themeFillShade="D9"/>
            <w:vAlign w:val="center"/>
          </w:tcPr>
          <w:p w14:paraId="3DEA59AB" w14:textId="77777777" w:rsidR="00A268C4" w:rsidRPr="00DA1B98" w:rsidRDefault="00A268C4" w:rsidP="00775E6D">
            <w:pPr>
              <w:keepNext/>
              <w:keepLines/>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جرى التقييم وفق الآتي:</w:t>
            </w:r>
          </w:p>
        </w:tc>
        <w:tc>
          <w:tcPr>
            <w:tcW w:w="614" w:type="pct"/>
            <w:shd w:val="clear" w:color="auto" w:fill="D9D9D9" w:themeFill="background1" w:themeFillShade="D9"/>
            <w:vAlign w:val="center"/>
          </w:tcPr>
          <w:p w14:paraId="627ED6D3" w14:textId="77777777" w:rsidR="00A268C4" w:rsidRPr="00DA1B98" w:rsidRDefault="00A268C4" w:rsidP="00775E6D">
            <w:pPr>
              <w:keepNext/>
              <w:keepLines/>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خطوط الأساس</w:t>
            </w:r>
          </w:p>
        </w:tc>
        <w:tc>
          <w:tcPr>
            <w:tcW w:w="673" w:type="pct"/>
            <w:shd w:val="clear" w:color="auto" w:fill="D9D9D9" w:themeFill="background1" w:themeFillShade="D9"/>
            <w:vAlign w:val="center"/>
          </w:tcPr>
          <w:p w14:paraId="37045776" w14:textId="77777777" w:rsidR="00A268C4" w:rsidRPr="00DA1B98" w:rsidRDefault="00A268C4" w:rsidP="00775E6D">
            <w:pPr>
              <w:keepNext/>
              <w:keepLines/>
              <w:bidi/>
              <w:spacing w:before="60" w:after="60"/>
              <w:jc w:val="center"/>
              <w:rPr>
                <w:rFonts w:asciiTheme="minorBidi" w:eastAsia="Calibri" w:hAnsiTheme="minorBidi" w:cstheme="minorBidi"/>
                <w:b/>
                <w:sz w:val="22"/>
                <w:szCs w:val="22"/>
                <w:rtl/>
              </w:rPr>
            </w:pPr>
            <w:r w:rsidRPr="00DA1B98">
              <w:rPr>
                <w:rFonts w:asciiTheme="minorBidi" w:hAnsiTheme="minorBidi" w:cstheme="minorBidi" w:hint="cs"/>
                <w:b/>
                <w:bCs/>
                <w:sz w:val="22"/>
                <w:szCs w:val="22"/>
                <w:rtl/>
              </w:rPr>
              <w:t>أهداف عام 2020-2021</w:t>
            </w:r>
          </w:p>
        </w:tc>
        <w:tc>
          <w:tcPr>
            <w:tcW w:w="2450" w:type="pct"/>
            <w:shd w:val="clear" w:color="auto" w:fill="D9D9D9" w:themeFill="background1" w:themeFillShade="D9"/>
            <w:vAlign w:val="center"/>
          </w:tcPr>
          <w:p w14:paraId="3C9C188B" w14:textId="0EC3C58F" w:rsidR="00A268C4" w:rsidRPr="00DA1B98" w:rsidRDefault="00A268C4" w:rsidP="00775E6D">
            <w:pPr>
              <w:keepNext/>
              <w:keepLines/>
              <w:autoSpaceDE w:val="0"/>
              <w:autoSpaceDN w:val="0"/>
              <w:bidi/>
              <w:adjustRightInd w:val="0"/>
              <w:jc w:val="center"/>
              <w:rPr>
                <w:rFonts w:asciiTheme="minorBidi" w:eastAsia="Calibri" w:hAnsiTheme="minorBidi" w:cstheme="minorBidi"/>
                <w:b/>
                <w:color w:val="000000"/>
                <w:sz w:val="22"/>
                <w:szCs w:val="22"/>
                <w:rtl/>
              </w:rPr>
            </w:pPr>
            <w:r w:rsidRPr="00DA1B98">
              <w:rPr>
                <w:rFonts w:asciiTheme="minorBidi" w:hAnsiTheme="minorBidi" w:cstheme="minorBidi" w:hint="cs"/>
                <w:b/>
                <w:bCs/>
                <w:sz w:val="22"/>
                <w:szCs w:val="22"/>
                <w:rtl/>
              </w:rPr>
              <w:t>تقييم التقدم:</w:t>
            </w:r>
            <w:r w:rsidRPr="00DA1B98">
              <w:rPr>
                <w:rFonts w:asciiTheme="minorBidi" w:hAnsiTheme="minorBidi" w:cstheme="minorBidi" w:hint="cs"/>
                <w:b/>
                <w:bCs/>
                <w:sz w:val="22"/>
                <w:szCs w:val="22"/>
                <w:rtl/>
              </w:rPr>
              <w:br/>
              <w:t>01‏/01‏/2020 إلى 31‏/12‏/2021</w:t>
            </w:r>
          </w:p>
        </w:tc>
      </w:tr>
      <w:tr w:rsidR="00A268C4" w:rsidRPr="00DA1B98" w14:paraId="0FA859EC" w14:textId="77777777" w:rsidTr="00121158">
        <w:trPr>
          <w:trHeight w:val="6043"/>
        </w:trPr>
        <w:tc>
          <w:tcPr>
            <w:tcW w:w="1263" w:type="pct"/>
          </w:tcPr>
          <w:p w14:paraId="30D89548" w14:textId="77777777" w:rsidR="00A268C4" w:rsidRPr="00DA1B98" w:rsidRDefault="00A268C4" w:rsidP="00775E6D">
            <w:pPr>
              <w:pStyle w:val="ListParagraph"/>
              <w:keepLines/>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ما تأتي به البرامج والمشاريع والمبادرات الخاصة بصون التراث من أدلة على تجسيد مبادئ وأهداف اتفاقية عام 2003 على نحو ثبتت فعاليته في الإسهام في تأمين بقاء التراث الثقافي غير المادي المعني</w:t>
            </w:r>
          </w:p>
          <w:p w14:paraId="7FE3A7EB" w14:textId="77777777" w:rsidR="00A268C4" w:rsidRPr="00DA1B98" w:rsidRDefault="00A268C4" w:rsidP="00775E6D">
            <w:pPr>
              <w:pStyle w:val="ListParagraph"/>
              <w:keepNext/>
              <w:keepLines/>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إعداد المبادرات على صعيد الاتصال و/أو شحذ الوعي وفق استراتيجية الاتصال والتوعية فيما يخص الاتفاقية</w:t>
            </w:r>
          </w:p>
          <w:p w14:paraId="5BADEE7C" w14:textId="77777777" w:rsidR="00A268C4" w:rsidRPr="00DA1B98" w:rsidRDefault="00A268C4" w:rsidP="00775E6D">
            <w:pPr>
              <w:pStyle w:val="ListParagraph"/>
              <w:keepNext/>
              <w:keepLines/>
              <w:numPr>
                <w:ilvl w:val="0"/>
                <w:numId w:val="20"/>
              </w:numPr>
              <w:bidi/>
              <w:spacing w:before="120" w:after="120"/>
              <w:ind w:left="312" w:hanging="340"/>
              <w:contextualSpacing w:val="0"/>
              <w:jc w:val="both"/>
              <w:rPr>
                <w:rFonts w:asciiTheme="minorBidi" w:eastAsia="Calibri" w:hAnsiTheme="minorBidi" w:cstheme="minorBidi"/>
                <w:sz w:val="22"/>
                <w:szCs w:val="22"/>
                <w:rtl/>
              </w:rPr>
            </w:pPr>
            <w:r w:rsidRPr="00DA1B98">
              <w:rPr>
                <w:rFonts w:asciiTheme="minorBidi" w:hAnsiTheme="minorBidi" w:cstheme="minorBidi" w:hint="cs"/>
                <w:sz w:val="22"/>
                <w:szCs w:val="22"/>
                <w:rtl/>
              </w:rPr>
              <w:t>مدى مشاركة جميع الأطراف الفاعلة (الحكومية منها وغير الحكومية) المعنية بصون التراث الثقافي غير المادي في المبادرات ذات الصلة</w:t>
            </w:r>
          </w:p>
        </w:tc>
        <w:tc>
          <w:tcPr>
            <w:tcW w:w="614" w:type="pct"/>
            <w:shd w:val="clear" w:color="auto" w:fill="auto"/>
          </w:tcPr>
          <w:p w14:paraId="3AA2FEA9" w14:textId="6F57D253" w:rsidR="00A268C4" w:rsidRPr="00DA1B98" w:rsidRDefault="00A268C4" w:rsidP="00775E6D">
            <w:pPr>
              <w:pStyle w:val="ListParagraph"/>
              <w:keepNext/>
              <w:keepLines/>
              <w:numPr>
                <w:ilvl w:val="0"/>
                <w:numId w:val="20"/>
              </w:numPr>
              <w:bidi/>
              <w:spacing w:before="120" w:after="120"/>
              <w:ind w:left="358" w:hanging="284"/>
              <w:contextualSpacing w:val="0"/>
              <w:rPr>
                <w:rFonts w:asciiTheme="minorBidi" w:eastAsia="Calibri" w:hAnsiTheme="minorBidi" w:cstheme="minorBidi"/>
                <w:sz w:val="22"/>
                <w:szCs w:val="22"/>
                <w:rtl/>
              </w:rPr>
            </w:pPr>
            <w:r w:rsidRPr="00DA1B98">
              <w:rPr>
                <w:rFonts w:asciiTheme="minorBidi" w:hAnsiTheme="minorBidi" w:cstheme="minorBidi" w:hint="cs"/>
                <w:sz w:val="22"/>
                <w:szCs w:val="22"/>
                <w:rtl/>
              </w:rPr>
              <w:t>15، منها 5 في أفريقيا وواحدة من الدول الجزرية الصغيرة النامية</w:t>
            </w:r>
          </w:p>
        </w:tc>
        <w:tc>
          <w:tcPr>
            <w:tcW w:w="673" w:type="pct"/>
            <w:shd w:val="clear" w:color="auto" w:fill="auto"/>
          </w:tcPr>
          <w:p w14:paraId="1A107DA7" w14:textId="77777777" w:rsidR="00A268C4" w:rsidRPr="00DA1B98" w:rsidRDefault="00A268C4" w:rsidP="00775E6D">
            <w:pPr>
              <w:pStyle w:val="ListParagraph"/>
              <w:keepNext/>
              <w:keepLines/>
              <w:numPr>
                <w:ilvl w:val="0"/>
                <w:numId w:val="20"/>
              </w:numPr>
              <w:bidi/>
              <w:spacing w:before="120" w:after="120"/>
              <w:ind w:left="358" w:hanging="284"/>
              <w:contextualSpacing w:val="0"/>
              <w:rPr>
                <w:rFonts w:asciiTheme="minorBidi" w:hAnsiTheme="minorBidi" w:cstheme="minorBidi"/>
                <w:iCs/>
                <w:sz w:val="22"/>
                <w:szCs w:val="22"/>
                <w:rtl/>
              </w:rPr>
            </w:pPr>
            <w:r w:rsidRPr="00DA1B98">
              <w:rPr>
                <w:rFonts w:asciiTheme="minorBidi" w:hAnsiTheme="minorBidi" w:cstheme="minorBidi" w:hint="cs"/>
                <w:sz w:val="22"/>
                <w:szCs w:val="22"/>
                <w:rtl/>
              </w:rPr>
              <w:t>20، منها 5 في أفريقيا و5 من الدول الجزرية الصغيرة النامية</w:t>
            </w:r>
          </w:p>
        </w:tc>
        <w:tc>
          <w:tcPr>
            <w:tcW w:w="2450" w:type="pct"/>
          </w:tcPr>
          <w:p w14:paraId="05B1247F" w14:textId="2DB97727"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30 مبادرة اتخذتها الدول الأعضاء المدعومة، منها 8 في أفريقيا و8 من الدول الجزرية الصغيرة النامية</w:t>
            </w:r>
          </w:p>
          <w:p w14:paraId="77D1D1C8" w14:textId="172CB6D6"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مبادرات الاتصال التي أُطلقت في سياق تصدي اليونسكو لجائحة كوفيد-19، بما في ذلك طرح منصة عبر الإنترنت وإجراء مسح حول 'تجارب التراث الحي في سياق جائحة كوفيد-19'، مع أكثر من 230 شهادة من الممارسين و</w:t>
            </w:r>
            <w:r w:rsidR="0075071E" w:rsidRPr="009121F6">
              <w:rPr>
                <w:rFonts w:asciiTheme="minorBidi" w:hAnsiTheme="minorBidi" w:cstheme="minorBidi" w:hint="eastAsia"/>
                <w:sz w:val="22"/>
                <w:rtl/>
              </w:rPr>
              <w:t>الجماعات</w:t>
            </w:r>
            <w:r w:rsidRPr="00DA1B98">
              <w:rPr>
                <w:rFonts w:asciiTheme="minorBidi" w:hAnsiTheme="minorBidi" w:cstheme="minorBidi" w:hint="cs"/>
                <w:sz w:val="22"/>
                <w:szCs w:val="22"/>
                <w:rtl/>
              </w:rPr>
              <w:t xml:space="preserve"> التي يمكن الوصول إليها.</w:t>
            </w:r>
          </w:p>
          <w:p w14:paraId="4769E7F5" w14:textId="03BD4C96"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معرض مواضيعي واحد – استنساخ لمعرض صوتي للغات السكان الأصليين – أعيد تشكيله وتركيبه في مقر اليونسكو.</w:t>
            </w:r>
          </w:p>
          <w:p w14:paraId="44F4770C" w14:textId="102FDB0E"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"الغوص في ثنايا التراث الثقافي غير المادي": معلومات مستكملة حول التصورات الحالية (تناول التنوع الثقافي والبيئة والتهديدات) مع التسجيلات التي تمت عام 2020؛ وإطلاق مجموعة جديدة من التصورات في كانون الأول/ديسمبر 2020 تختص بالعلاقات القائمة بين التراث الحي والتنمية المستدامة (جرى استعراضها يوم 21 أيار/مايو 2021 خلال الفعالية رفيعة المستوى التي انعقدت حول الثقافة والتنمية المستدامة التي عقدها في نيويورك رئيس الجمعية العامة للأمم المتحدة).</w:t>
            </w:r>
          </w:p>
          <w:p w14:paraId="7187E76A" w14:textId="123487AB" w:rsidR="00A268C4" w:rsidRPr="00DA1B98" w:rsidRDefault="00A268C4" w:rsidP="00775E6D">
            <w:pPr>
              <w:pStyle w:val="ListParagraph"/>
              <w:numPr>
                <w:ilvl w:val="0"/>
                <w:numId w:val="20"/>
              </w:numPr>
              <w:bidi/>
              <w:spacing w:before="120" w:after="120"/>
              <w:ind w:left="425" w:hanging="425"/>
              <w:contextualSpacing w:val="0"/>
              <w:jc w:val="both"/>
              <w:rPr>
                <w:rFonts w:asciiTheme="minorBidi" w:hAnsiTheme="minorBidi" w:cstheme="minorBidi"/>
                <w:sz w:val="22"/>
                <w:szCs w:val="22"/>
                <w:rtl/>
              </w:rPr>
            </w:pPr>
            <w:r w:rsidRPr="00DA1B98">
              <w:rPr>
                <w:rFonts w:asciiTheme="minorBidi" w:hAnsiTheme="minorBidi" w:cstheme="minorBidi" w:hint="cs"/>
                <w:sz w:val="22"/>
                <w:szCs w:val="22"/>
                <w:rtl/>
              </w:rPr>
              <w:t>المزيد من المحتوى المتكرر والمتنوع المنشور على البوابة الإلكترونية للاتفاقية (الصفحات المواضيعية، الأخبار في الأيام الدولية).</w:t>
            </w:r>
          </w:p>
          <w:p w14:paraId="05C5C878" w14:textId="73DACA4B" w:rsidR="00A268C4" w:rsidRPr="00DA1B98" w:rsidRDefault="006E2048" w:rsidP="00775E6D">
            <w:pPr>
              <w:pStyle w:val="ListParagraph"/>
              <w:numPr>
                <w:ilvl w:val="0"/>
                <w:numId w:val="20"/>
              </w:numPr>
              <w:bidi/>
              <w:spacing w:after="120"/>
              <w:ind w:left="425" w:hanging="425"/>
              <w:contextualSpacing w:val="0"/>
              <w:jc w:val="both"/>
              <w:rPr>
                <w:rFonts w:asciiTheme="minorBidi" w:hAnsiTheme="minorBidi" w:cstheme="minorBidi"/>
                <w:iCs/>
                <w:sz w:val="22"/>
                <w:szCs w:val="22"/>
                <w:rtl/>
              </w:rPr>
            </w:pPr>
            <w:r w:rsidRPr="00DA1B98">
              <w:rPr>
                <w:rFonts w:asciiTheme="minorBidi" w:hAnsiTheme="minorBidi" w:cstheme="minorBidi" w:hint="cs"/>
                <w:sz w:val="22"/>
                <w:szCs w:val="22"/>
                <w:rtl/>
              </w:rPr>
              <w:t>رسم خرائط مجالات كفاءات المنظمات غير الحكومية المعتمدة بالتعاون مع منتدى المنظمات غير الحكومية المعنية بالتراث الثقافي غير المادي.</w:t>
            </w:r>
          </w:p>
        </w:tc>
      </w:tr>
    </w:tbl>
    <w:p w14:paraId="045568BD" w14:textId="77777777" w:rsidR="008A1ED4" w:rsidRPr="00AA72AA" w:rsidRDefault="008A1ED4" w:rsidP="00AA72AA">
      <w:pPr>
        <w:bidi/>
        <w:spacing w:after="120"/>
        <w:jc w:val="both"/>
        <w:rPr>
          <w:rFonts w:ascii="Arial" w:hAnsi="Arial"/>
          <w:snapToGrid w:val="0"/>
          <w:sz w:val="22"/>
          <w:szCs w:val="22"/>
          <w:lang w:eastAsia="en-US"/>
        </w:rPr>
      </w:pPr>
    </w:p>
    <w:sectPr w:rsidR="008A1ED4" w:rsidRPr="00AA72AA" w:rsidSect="00A268C4">
      <w:headerReference w:type="first" r:id="rId37"/>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9629" w14:textId="77777777" w:rsidR="00FC1B19" w:rsidRDefault="00FC1B19" w:rsidP="00655736">
      <w:r>
        <w:separator/>
      </w:r>
    </w:p>
  </w:endnote>
  <w:endnote w:type="continuationSeparator" w:id="0">
    <w:p w14:paraId="4E96F318" w14:textId="77777777" w:rsidR="00FC1B19" w:rsidRDefault="00FC1B1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A6FF" w14:textId="77777777" w:rsidR="00FC1B19" w:rsidRDefault="00FC1B19" w:rsidP="00C52AE1">
      <w:pPr>
        <w:bidi/>
      </w:pPr>
      <w:r>
        <w:separator/>
      </w:r>
    </w:p>
  </w:footnote>
  <w:footnote w:type="continuationSeparator" w:id="0">
    <w:p w14:paraId="61F89D38" w14:textId="77777777" w:rsidR="00FC1B19" w:rsidRDefault="00FC1B19" w:rsidP="00C52AE1">
      <w:pPr>
        <w:bidi/>
        <w:rPr>
          <w:rtl/>
          <w:lang w:bidi="ur-IN"/>
        </w:rPr>
      </w:pPr>
      <w:r>
        <w:continuationSeparator/>
      </w:r>
    </w:p>
  </w:footnote>
  <w:footnote w:id="1">
    <w:p w14:paraId="5358E39A" w14:textId="06BCCC7D" w:rsidR="00D73B51" w:rsidRPr="00CB6516" w:rsidRDefault="00D73B51" w:rsidP="003E3748">
      <w:pPr>
        <w:pStyle w:val="FootnoteText"/>
        <w:bidi/>
        <w:spacing w:line="264" w:lineRule="auto"/>
        <w:ind w:left="709" w:hanging="709"/>
        <w:jc w:val="both"/>
        <w:rPr>
          <w:rtl/>
        </w:rPr>
      </w:pPr>
      <w:r>
        <w:rPr>
          <w:rStyle w:val="FootnoteReference"/>
          <w:rFonts w:asciiTheme="minorBidi" w:hAnsiTheme="minorBidi"/>
        </w:rPr>
        <w:footnoteRef/>
      </w:r>
      <w:r>
        <w:rPr>
          <w:rFonts w:hint="cs"/>
          <w:rtl/>
        </w:rPr>
        <w:tab/>
      </w:r>
      <w:r>
        <w:rPr>
          <w:rFonts w:asciiTheme="minorBidi" w:hAnsiTheme="minorBidi" w:hint="cs"/>
          <w:rtl/>
        </w:rPr>
        <w:t xml:space="preserve"> </w:t>
      </w:r>
      <w:r>
        <w:rPr>
          <w:rFonts w:asciiTheme="minorBidi" w:hAnsiTheme="minorBidi" w:hint="cs"/>
          <w:snapToGrid w:val="0"/>
          <w:rtl/>
        </w:rPr>
        <w:t>يقدم تقييم مرفق الإشراف الداخلي لعمل اليونسكو في إطار اتفاقية عام 2003 لصون التراث الثقافي غير المادي وصفاً مفصلاً لتكوين وهيكل الأمانة (الوثيقة</w:t>
      </w:r>
      <w:hyperlink r:id="rId1" w:history="1">
        <w:r>
          <w:rPr>
            <w:rFonts w:hint="cs"/>
            <w:rtl/>
          </w:rPr>
          <w:t xml:space="preserve"> </w:t>
        </w:r>
        <w:r>
          <w:rPr>
            <w:rStyle w:val="Hyperlink"/>
            <w:rFonts w:asciiTheme="minorBidi" w:hAnsiTheme="minorBidi" w:cstheme="minorBidi"/>
            <w:snapToGrid w:val="0"/>
          </w:rPr>
          <w:t>LHE/21/16.COM/</w:t>
        </w:r>
        <w:r>
          <w:rPr>
            <w:rStyle w:val="Hyperlink"/>
            <w:rFonts w:asciiTheme="minorBidi" w:hAnsiTheme="minorBidi" w:cstheme="minorBidi"/>
          </w:rPr>
          <w:t>INF.10 Rev.</w:t>
        </w:r>
      </w:hyperlink>
      <w:r>
        <w:rPr>
          <w:rFonts w:asciiTheme="minorBidi" w:hAnsiTheme="minorBidi" w:hint="cs"/>
          <w:rtl/>
        </w:rPr>
        <w:t>، الفقرتان 33–34).</w:t>
      </w:r>
    </w:p>
  </w:footnote>
  <w:footnote w:id="2">
    <w:p w14:paraId="016D2987" w14:textId="13FD8F2A" w:rsidR="00520457" w:rsidRPr="006337EF" w:rsidRDefault="00520457" w:rsidP="003E3748">
      <w:pPr>
        <w:pStyle w:val="FootnoteText"/>
        <w:bidi/>
        <w:spacing w:line="264" w:lineRule="auto"/>
        <w:jc w:val="both"/>
        <w:rPr>
          <w:rtl/>
        </w:rPr>
      </w:pPr>
      <w:r>
        <w:rPr>
          <w:rStyle w:val="FootnoteReference"/>
          <w:rFonts w:asciiTheme="minorBidi" w:hAnsiTheme="minorBidi"/>
        </w:rPr>
        <w:footnoteRef/>
      </w:r>
      <w:r>
        <w:rPr>
          <w:rFonts w:asciiTheme="minorBidi" w:hAnsiTheme="minorBidi" w:hint="cs"/>
          <w:rtl/>
        </w:rPr>
        <w:tab/>
      </w:r>
      <w:r>
        <w:rPr>
          <w:rFonts w:ascii="Arial" w:hAnsi="Arial" w:cs="Arial" w:hint="cs"/>
          <w:rtl/>
        </w:rPr>
        <w:t xml:space="preserve">باربادوس، البوسنة والهرسك، بوليفيا، كولومبيا، الإكوادور، غامبيا، </w:t>
      </w:r>
      <w:r w:rsidR="00833242" w:rsidRPr="00775E6D">
        <w:rPr>
          <w:rFonts w:ascii="Arial" w:hAnsi="Arial" w:cs="Arial" w:hint="eastAsia"/>
          <w:rtl/>
        </w:rPr>
        <w:t>سانت</w:t>
      </w:r>
      <w:r w:rsidR="00833242" w:rsidRPr="00775E6D">
        <w:rPr>
          <w:rFonts w:ascii="Arial" w:hAnsi="Arial" w:cs="Arial"/>
          <w:rtl/>
        </w:rPr>
        <w:t xml:space="preserve"> </w:t>
      </w:r>
      <w:r w:rsidR="00833242" w:rsidRPr="00775E6D">
        <w:rPr>
          <w:rFonts w:ascii="Arial" w:hAnsi="Arial" w:cs="Arial" w:hint="eastAsia"/>
          <w:rtl/>
        </w:rPr>
        <w:t>فنسنت</w:t>
      </w:r>
      <w:r w:rsidR="00833242" w:rsidRPr="00775E6D">
        <w:rPr>
          <w:rFonts w:ascii="Arial" w:hAnsi="Arial" w:cs="Arial"/>
          <w:rtl/>
        </w:rPr>
        <w:t xml:space="preserve"> </w:t>
      </w:r>
      <w:r w:rsidR="00833242" w:rsidRPr="00775E6D">
        <w:rPr>
          <w:rFonts w:ascii="Arial" w:hAnsi="Arial" w:cs="Arial" w:hint="eastAsia"/>
          <w:rtl/>
        </w:rPr>
        <w:t>وجزر</w:t>
      </w:r>
      <w:r w:rsidR="00833242" w:rsidRPr="00775E6D">
        <w:rPr>
          <w:rFonts w:ascii="Arial" w:hAnsi="Arial" w:cs="Arial"/>
          <w:rtl/>
        </w:rPr>
        <w:t xml:space="preserve"> </w:t>
      </w:r>
      <w:r w:rsidR="00833242" w:rsidRPr="00775E6D">
        <w:rPr>
          <w:rFonts w:ascii="Arial" w:hAnsi="Arial" w:cs="Arial" w:hint="eastAsia"/>
          <w:rtl/>
        </w:rPr>
        <w:t>غرينادين</w:t>
      </w:r>
      <w:r>
        <w:rPr>
          <w:rFonts w:ascii="Arial" w:hAnsi="Arial" w:cs="Arial" w:hint="cs"/>
          <w:rtl/>
        </w:rPr>
        <w:t>، وسينت مارتن</w:t>
      </w:r>
    </w:p>
  </w:footnote>
  <w:footnote w:id="3">
    <w:p w14:paraId="73E7F8CF" w14:textId="0169E7C3" w:rsidR="007B079C" w:rsidRPr="00195153" w:rsidRDefault="007B079C" w:rsidP="003E3748">
      <w:pPr>
        <w:pStyle w:val="FootnoteText"/>
        <w:bidi/>
        <w:spacing w:line="264" w:lineRule="auto"/>
        <w:ind w:left="567" w:hanging="567"/>
        <w:rPr>
          <w:rFonts w:asciiTheme="minorBidi" w:hAnsiTheme="minorBidi"/>
          <w:rtl/>
          <w:lang w:bidi="ar-LB"/>
        </w:rPr>
      </w:pPr>
      <w:r>
        <w:rPr>
          <w:rStyle w:val="FootnoteReference"/>
          <w:rFonts w:asciiTheme="minorBidi" w:hAnsiTheme="minorBidi"/>
          <w:lang w:val="en-GB"/>
        </w:rPr>
        <w:footnoteRef/>
      </w:r>
      <w:r>
        <w:rPr>
          <w:rFonts w:asciiTheme="minorBidi" w:hAnsiTheme="minorBidi" w:hint="cs"/>
          <w:vertAlign w:val="superscript"/>
          <w:rtl/>
        </w:rPr>
        <w:t xml:space="preserve"> .</w:t>
      </w:r>
      <w:r>
        <w:rPr>
          <w:rFonts w:asciiTheme="minorBidi" w:hAnsiTheme="minorBidi" w:hint="cs"/>
          <w:vertAlign w:val="superscript"/>
          <w:rtl/>
        </w:rPr>
        <w:tab/>
      </w:r>
      <w:r>
        <w:rPr>
          <w:rFonts w:asciiTheme="minorBidi" w:hAnsiTheme="minorBidi" w:hint="cs"/>
          <w:rtl/>
        </w:rPr>
        <w:t xml:space="preserve">انظر القرار </w:t>
      </w:r>
      <w:hyperlink r:id="rId2" w:history="1">
        <w:r w:rsidR="00833242">
          <w:rPr>
            <w:rStyle w:val="Hyperlink"/>
            <w:rFonts w:asciiTheme="minorBidi" w:hAnsiTheme="minorBidi" w:cstheme="minorBidi"/>
            <w:lang w:val="fr-FR"/>
          </w:rPr>
          <w:t>14.</w:t>
        </w:r>
        <w:r>
          <w:rPr>
            <w:rStyle w:val="Hyperlink"/>
            <w:rFonts w:asciiTheme="minorBidi" w:hAnsiTheme="minorBidi" w:cstheme="minorBidi"/>
          </w:rPr>
          <w:t>COM 15</w:t>
        </w:r>
      </w:hyperlink>
    </w:p>
  </w:footnote>
  <w:footnote w:id="4">
    <w:p w14:paraId="00DAD77D" w14:textId="56ECE032" w:rsidR="00527E2A" w:rsidRPr="00527E2A" w:rsidRDefault="00527E2A" w:rsidP="003E3748">
      <w:pPr>
        <w:pStyle w:val="FootnoteText"/>
        <w:bidi/>
        <w:spacing w:line="264" w:lineRule="auto"/>
        <w:ind w:left="567" w:hanging="567"/>
        <w:rPr>
          <w:rFonts w:asciiTheme="minorBidi" w:hAnsiTheme="minorBidi"/>
          <w:rtl/>
        </w:rPr>
      </w:pPr>
      <w:r>
        <w:rPr>
          <w:rStyle w:val="FootnoteReference"/>
          <w:rFonts w:asciiTheme="minorBidi" w:hAnsiTheme="minorBidi"/>
        </w:rPr>
        <w:footnoteRef/>
      </w:r>
      <w:r>
        <w:rPr>
          <w:rFonts w:asciiTheme="minorBidi" w:hAnsiTheme="minorBidi" w:hint="cs"/>
          <w:rtl/>
        </w:rPr>
        <w:tab/>
      </w:r>
      <w:r>
        <w:rPr>
          <w:rFonts w:asciiTheme="minorBidi" w:hAnsiTheme="minorBidi" w:hint="cs"/>
          <w:vertAlign w:val="superscript"/>
          <w:rtl/>
        </w:rPr>
        <w:t xml:space="preserve"> </w:t>
      </w:r>
      <w:r>
        <w:rPr>
          <w:rFonts w:asciiTheme="minorBidi" w:hAnsiTheme="minorBidi" w:hint="cs"/>
          <w:rtl/>
        </w:rPr>
        <w:t>انظر القرار</w:t>
      </w:r>
      <w:hyperlink r:id="rId3" w:history="1">
        <w:r>
          <w:rPr>
            <w:rFonts w:hint="cs"/>
            <w:rtl/>
          </w:rPr>
          <w:t xml:space="preserve"> </w:t>
        </w:r>
        <w:r>
          <w:rPr>
            <w:rStyle w:val="Hyperlink"/>
            <w:rFonts w:asciiTheme="minorBidi" w:hAnsiTheme="minorBidi" w:cs="Arial"/>
            <w:cs/>
          </w:rPr>
          <w:t>‎</w:t>
        </w:r>
        <w:r>
          <w:rPr>
            <w:rStyle w:val="Hyperlink"/>
            <w:rFonts w:asciiTheme="minorBidi" w:hAnsiTheme="minorBidi" w:cstheme="minorBidi"/>
            <w:rtl/>
            <w:cs/>
          </w:rPr>
          <w:t>COM 8</w:t>
        </w:r>
      </w:hyperlink>
      <w:r w:rsidR="00656947">
        <w:rPr>
          <w:rStyle w:val="Hyperlink"/>
          <w:rFonts w:asciiTheme="minorBidi" w:hAnsiTheme="minorBidi" w:cstheme="minorBidi"/>
        </w:rPr>
        <w:t>15.</w:t>
      </w:r>
    </w:p>
  </w:footnote>
  <w:footnote w:id="5">
    <w:p w14:paraId="66D0704E" w14:textId="3D9DDE45" w:rsidR="00442B7E" w:rsidRPr="00195153" w:rsidRDefault="00442B7E" w:rsidP="003E3748">
      <w:pPr>
        <w:pStyle w:val="FootnoteText"/>
        <w:bidi/>
        <w:spacing w:line="264" w:lineRule="auto"/>
        <w:ind w:left="567" w:hanging="567"/>
        <w:rPr>
          <w:rFonts w:asciiTheme="minorBidi" w:hAnsiTheme="minorBidi"/>
          <w:rtl/>
        </w:rPr>
      </w:pPr>
      <w:r>
        <w:rPr>
          <w:rStyle w:val="FootnoteReference"/>
          <w:rFonts w:asciiTheme="minorBidi" w:hAnsiTheme="minorBidi"/>
          <w:lang w:val="en-GB"/>
        </w:rPr>
        <w:footnoteRef/>
      </w:r>
      <w:r>
        <w:rPr>
          <w:rFonts w:asciiTheme="minorBidi" w:hAnsiTheme="minorBidi"/>
          <w:vertAlign w:val="superscript"/>
        </w:rPr>
        <w:t>.</w:t>
      </w:r>
      <w:r>
        <w:rPr>
          <w:rFonts w:asciiTheme="minorBidi" w:hAnsiTheme="minorBidi" w:hint="cs"/>
          <w:rtl/>
        </w:rPr>
        <w:tab/>
        <w:t xml:space="preserve">انظر القرار </w:t>
      </w:r>
      <w:hyperlink r:id="rId4" w:history="1">
        <w:r>
          <w:rPr>
            <w:rStyle w:val="Hyperlink"/>
            <w:rFonts w:asciiTheme="minorBidi" w:hAnsiTheme="minorBidi" w:cs="Arial"/>
            <w:cs/>
          </w:rPr>
          <w:t>‎</w:t>
        </w:r>
        <w:r>
          <w:rPr>
            <w:rStyle w:val="Hyperlink"/>
            <w:rFonts w:asciiTheme="minorBidi" w:hAnsiTheme="minorBidi" w:cstheme="minorBidi"/>
            <w:rtl/>
            <w:cs/>
          </w:rPr>
          <w:t>COM 8</w:t>
        </w:r>
      </w:hyperlink>
      <w:r w:rsidR="00656947">
        <w:rPr>
          <w:rStyle w:val="Hyperlink"/>
          <w:rFonts w:asciiTheme="minorBidi" w:hAnsiTheme="minorBidi" w:cstheme="minorBidi"/>
        </w:rPr>
        <w:t>15.</w:t>
      </w:r>
    </w:p>
  </w:footnote>
  <w:footnote w:id="6">
    <w:p w14:paraId="4CD25014" w14:textId="77777777" w:rsidR="00FD11C1" w:rsidRPr="00E0376A" w:rsidRDefault="00FD11C1" w:rsidP="003E3748">
      <w:pPr>
        <w:pStyle w:val="FootnoteText"/>
        <w:bidi/>
        <w:spacing w:line="264" w:lineRule="auto"/>
        <w:ind w:left="567" w:hanging="567"/>
        <w:rPr>
          <w:rFonts w:asciiTheme="minorBidi" w:hAnsiTheme="minorBidi"/>
          <w:sz w:val="18"/>
          <w:szCs w:val="18"/>
          <w:rtl/>
        </w:rPr>
      </w:pPr>
      <w:r>
        <w:rPr>
          <w:rStyle w:val="FootnoteReference"/>
          <w:rFonts w:asciiTheme="minorBidi" w:hAnsiTheme="minorBidi"/>
          <w:sz w:val="18"/>
          <w:szCs w:val="18"/>
          <w:lang w:val="en-GB"/>
        </w:rPr>
        <w:footnoteRef/>
      </w:r>
      <w:r>
        <w:rPr>
          <w:rFonts w:asciiTheme="minorBidi" w:hAnsiTheme="minorBidi"/>
          <w:sz w:val="18"/>
          <w:szCs w:val="18"/>
          <w:vertAlign w:val="superscript"/>
        </w:rPr>
        <w:t>.</w:t>
      </w:r>
      <w:r>
        <w:rPr>
          <w:rFonts w:asciiTheme="minorBidi" w:hAnsiTheme="minorBidi" w:hint="cs"/>
          <w:sz w:val="18"/>
          <w:szCs w:val="18"/>
          <w:rtl/>
        </w:rPr>
        <w:tab/>
        <w:t xml:space="preserve">انظر القرار </w:t>
      </w:r>
      <w:hyperlink r:id="rId5" w:history="1">
        <w:r>
          <w:rPr>
            <w:rStyle w:val="Hyperlink"/>
            <w:rFonts w:asciiTheme="minorBidi" w:hAnsiTheme="minorBidi" w:cstheme="minorBidi" w:hint="cs"/>
            <w:sz w:val="18"/>
            <w:rtl/>
          </w:rPr>
          <w:t>14.</w:t>
        </w:r>
        <w:r>
          <w:rPr>
            <w:rStyle w:val="Hyperlink"/>
            <w:rFonts w:asciiTheme="minorBidi" w:hAnsiTheme="minorBidi" w:cstheme="minorBidi"/>
            <w:sz w:val="18"/>
          </w:rPr>
          <w:t>COM 10</w:t>
        </w:r>
      </w:hyperlink>
      <w:r>
        <w:rPr>
          <w:rFonts w:asciiTheme="minorBidi" w:hAnsiTheme="minorBidi" w:hint="cs"/>
          <w:sz w:val="18"/>
          <w:szCs w:val="18"/>
          <w:rtl/>
        </w:rPr>
        <w:t xml:space="preserve"> (الفقرة 14)</w:t>
      </w:r>
    </w:p>
  </w:footnote>
  <w:footnote w:id="7">
    <w:p w14:paraId="1FEDF8C8" w14:textId="0F442F06" w:rsidR="00442B7E" w:rsidRPr="00325090" w:rsidRDefault="00442B7E" w:rsidP="003E3748">
      <w:pPr>
        <w:pStyle w:val="FootnoteText"/>
        <w:bidi/>
        <w:spacing w:line="264" w:lineRule="auto"/>
        <w:ind w:left="567" w:hanging="567"/>
        <w:rPr>
          <w:rFonts w:asciiTheme="minorBidi" w:hAnsiTheme="minorBidi"/>
          <w:sz w:val="18"/>
          <w:szCs w:val="18"/>
          <w:rtl/>
        </w:rPr>
      </w:pPr>
      <w:r>
        <w:rPr>
          <w:rStyle w:val="FootnoteReference"/>
          <w:rFonts w:asciiTheme="minorBidi" w:hAnsiTheme="minorBidi"/>
          <w:sz w:val="18"/>
          <w:szCs w:val="18"/>
          <w:lang w:val="en-GB"/>
        </w:rPr>
        <w:footnoteRef/>
      </w:r>
      <w:r>
        <w:rPr>
          <w:rFonts w:asciiTheme="minorBidi" w:hAnsiTheme="minorBidi" w:hint="cs"/>
          <w:sz w:val="18"/>
          <w:szCs w:val="18"/>
          <w:vertAlign w:val="superscript"/>
          <w:rtl/>
        </w:rPr>
        <w:t>.</w:t>
      </w:r>
      <w:r>
        <w:rPr>
          <w:rFonts w:asciiTheme="minorBidi" w:hAnsiTheme="minorBidi" w:hint="cs"/>
          <w:sz w:val="18"/>
          <w:szCs w:val="18"/>
          <w:rtl/>
        </w:rPr>
        <w:tab/>
        <w:t xml:space="preserve">انظر الوثيقة </w:t>
      </w:r>
      <w:hyperlink r:id="rId6" w:history="1">
        <w:r>
          <w:rPr>
            <w:rStyle w:val="Hyperlink"/>
            <w:rFonts w:asciiTheme="minorBidi" w:hAnsiTheme="minorBidi" w:cstheme="minorBidi"/>
            <w:sz w:val="18"/>
          </w:rPr>
          <w:t>C54/21/16.COM/INF.5.III</w:t>
        </w:r>
      </w:hyperlink>
      <w:r>
        <w:rPr>
          <w:rStyle w:val="Hyperlink"/>
          <w:rFonts w:asciiTheme="minorBidi" w:hAnsiTheme="minorBidi" w:cstheme="minorBidi" w:hint="cs"/>
          <w:sz w:val="18"/>
          <w:szCs w:val="18"/>
          <w:rtl/>
        </w:rPr>
        <w:t xml:space="preserve"> </w:t>
      </w:r>
    </w:p>
  </w:footnote>
  <w:footnote w:id="8">
    <w:p w14:paraId="293EC6AB" w14:textId="3F3052FB" w:rsidR="00CB0DAB" w:rsidRPr="00195153" w:rsidRDefault="00CB0DAB" w:rsidP="003E3748">
      <w:pPr>
        <w:pStyle w:val="FootnoteText"/>
        <w:bidi/>
        <w:spacing w:line="264" w:lineRule="auto"/>
        <w:ind w:left="567" w:hanging="567"/>
        <w:rPr>
          <w:rFonts w:asciiTheme="minorBidi" w:hAnsiTheme="minorBidi"/>
          <w:sz w:val="18"/>
          <w:szCs w:val="18"/>
          <w:rtl/>
        </w:rPr>
      </w:pPr>
      <w:r>
        <w:rPr>
          <w:rStyle w:val="FootnoteReference"/>
          <w:rFonts w:asciiTheme="minorBidi" w:hAnsiTheme="minorBidi"/>
          <w:sz w:val="18"/>
          <w:szCs w:val="18"/>
        </w:rPr>
        <w:footnoteRef/>
      </w:r>
      <w:r w:rsidR="00B063D5">
        <w:rPr>
          <w:rFonts w:asciiTheme="minorBidi" w:hAnsiTheme="minorBidi"/>
          <w:sz w:val="18"/>
          <w:szCs w:val="18"/>
        </w:rPr>
        <w:t>.</w:t>
      </w:r>
      <w:r>
        <w:rPr>
          <w:rFonts w:asciiTheme="minorBidi" w:hAnsiTheme="minorBidi" w:hint="cs"/>
          <w:sz w:val="18"/>
          <w:szCs w:val="18"/>
          <w:rtl/>
        </w:rPr>
        <w:tab/>
        <w:t xml:space="preserve"> 'تعزيز التراث الثقافي غير المادي وتطوير السياحة الثقافية في مناطق جودبور، بارمير، جايسالمير وبيكانير في راجاستان'، الذي نفذه مكتب اليونسكو في نيودلهي.</w:t>
      </w:r>
    </w:p>
  </w:footnote>
  <w:footnote w:id="9">
    <w:p w14:paraId="510DF213" w14:textId="3BEC45F8" w:rsidR="00CB0DAB" w:rsidRPr="00325090" w:rsidRDefault="00CB0DAB" w:rsidP="003E3748">
      <w:pPr>
        <w:pStyle w:val="FootnoteText"/>
        <w:bidi/>
        <w:spacing w:line="264" w:lineRule="auto"/>
        <w:ind w:left="567" w:hanging="567"/>
        <w:rPr>
          <w:rFonts w:asciiTheme="minorBidi" w:hAnsiTheme="minorBidi"/>
          <w:sz w:val="18"/>
          <w:szCs w:val="18"/>
          <w:rtl/>
        </w:rPr>
      </w:pPr>
      <w:r>
        <w:rPr>
          <w:rStyle w:val="FootnoteReference"/>
          <w:rFonts w:asciiTheme="minorBidi" w:hAnsiTheme="minorBidi"/>
          <w:sz w:val="18"/>
          <w:szCs w:val="18"/>
        </w:rPr>
        <w:footnoteRef/>
      </w:r>
      <w:r w:rsidR="00B063D5">
        <w:rPr>
          <w:rFonts w:asciiTheme="minorBidi" w:hAnsiTheme="minorBidi"/>
          <w:sz w:val="18"/>
          <w:szCs w:val="18"/>
        </w:rPr>
        <w:t>.</w:t>
      </w:r>
      <w:r>
        <w:rPr>
          <w:rFonts w:asciiTheme="minorBidi" w:hAnsiTheme="minorBidi" w:hint="cs"/>
          <w:sz w:val="18"/>
          <w:szCs w:val="18"/>
          <w:rtl/>
        </w:rPr>
        <w:tab/>
      </w:r>
      <w:bookmarkStart w:id="2" w:name="_Hlk106268192"/>
      <w:r>
        <w:rPr>
          <w:rFonts w:asciiTheme="minorBidi" w:hAnsiTheme="minorBidi" w:hint="cs"/>
          <w:sz w:val="18"/>
          <w:szCs w:val="18"/>
          <w:rtl/>
        </w:rPr>
        <w:t xml:space="preserve">'حصر </w:t>
      </w:r>
      <w:r w:rsidR="00656947" w:rsidRPr="00775E6D">
        <w:rPr>
          <w:rFonts w:asciiTheme="minorBidi" w:hAnsiTheme="minorBidi" w:hint="eastAsia"/>
          <w:sz w:val="18"/>
          <w:szCs w:val="18"/>
          <w:rtl/>
        </w:rPr>
        <w:t>الجماعات</w:t>
      </w:r>
      <w:r w:rsidR="00656947" w:rsidRPr="00DA1B98">
        <w:rPr>
          <w:rFonts w:hint="cs"/>
          <w:szCs w:val="24"/>
          <w:rtl/>
        </w:rPr>
        <w:t xml:space="preserve"> </w:t>
      </w:r>
      <w:r>
        <w:rPr>
          <w:rFonts w:asciiTheme="minorBidi" w:hAnsiTheme="minorBidi" w:hint="cs"/>
          <w:sz w:val="18"/>
          <w:szCs w:val="18"/>
          <w:rtl/>
        </w:rPr>
        <w:t xml:space="preserve"> للتراث غير المادي في المناطق الحضرية'، الذي نفذه مكتب اليونسكو في ليما (أياكوتشو، بيرو) وكيان التراث الحي (تبليسي، جورجيا).</w:t>
      </w:r>
      <w:bookmarkEnd w:id="2"/>
    </w:p>
  </w:footnote>
  <w:footnote w:id="10">
    <w:p w14:paraId="01051E4D" w14:textId="14979FE0" w:rsidR="00CB0DAB" w:rsidRPr="00195153" w:rsidRDefault="00CB0DAB" w:rsidP="003E3748">
      <w:pPr>
        <w:pStyle w:val="FootnoteText"/>
        <w:bidi/>
        <w:spacing w:line="264" w:lineRule="auto"/>
        <w:ind w:left="567" w:hanging="567"/>
        <w:rPr>
          <w:rFonts w:asciiTheme="minorBidi" w:hAnsiTheme="minorBidi"/>
          <w:sz w:val="18"/>
          <w:szCs w:val="18"/>
          <w:rtl/>
        </w:rPr>
      </w:pPr>
      <w:r>
        <w:rPr>
          <w:rStyle w:val="FootnoteReference"/>
          <w:rFonts w:asciiTheme="minorBidi" w:hAnsiTheme="minorBidi"/>
          <w:sz w:val="18"/>
          <w:szCs w:val="18"/>
        </w:rPr>
        <w:footnoteRef/>
      </w:r>
      <w:r>
        <w:rPr>
          <w:rFonts w:asciiTheme="minorBidi" w:hAnsiTheme="minorBidi" w:hint="cs"/>
          <w:sz w:val="18"/>
          <w:szCs w:val="18"/>
          <w:rtl/>
        </w:rPr>
        <w:t xml:space="preserve"> </w:t>
      </w:r>
      <w:r>
        <w:rPr>
          <w:rFonts w:asciiTheme="minorBidi" w:hAnsiTheme="minorBidi" w:hint="cs"/>
          <w:sz w:val="18"/>
          <w:szCs w:val="18"/>
          <w:rtl/>
        </w:rPr>
        <w:tab/>
      </w:r>
      <w:bookmarkStart w:id="3" w:name="_Hlk106268115"/>
      <w:r>
        <w:rPr>
          <w:rFonts w:asciiTheme="minorBidi" w:hAnsiTheme="minorBidi" w:hint="cs"/>
          <w:sz w:val="18"/>
          <w:szCs w:val="18"/>
          <w:rtl/>
        </w:rPr>
        <w:t>'تغير المناخ والحفاظ على التراث الثقافي غير المادي المتعلق بالحرف وتثمينه'، الذي نفذه مكتب اليونسكو بالرباط.</w:t>
      </w:r>
      <w:bookmarkEnd w:id="3"/>
    </w:p>
  </w:footnote>
  <w:footnote w:id="11">
    <w:p w14:paraId="345C6FDF" w14:textId="72450C50" w:rsidR="00CC467D" w:rsidRPr="00195153" w:rsidRDefault="00CC467D" w:rsidP="003E3748">
      <w:pPr>
        <w:pStyle w:val="FootnoteText"/>
        <w:bidi/>
        <w:spacing w:line="264" w:lineRule="auto"/>
        <w:ind w:left="567" w:hanging="567"/>
        <w:rPr>
          <w:rFonts w:asciiTheme="minorBidi" w:hAnsiTheme="minorBidi"/>
          <w:sz w:val="18"/>
          <w:szCs w:val="18"/>
          <w:rtl/>
        </w:rPr>
      </w:pPr>
      <w:r>
        <w:rPr>
          <w:rStyle w:val="FootnoteReference"/>
          <w:rFonts w:asciiTheme="minorBidi" w:hAnsiTheme="minorBidi"/>
          <w:sz w:val="18"/>
          <w:szCs w:val="18"/>
        </w:rPr>
        <w:footnoteRef/>
      </w:r>
      <w:r w:rsidR="00B063D5">
        <w:rPr>
          <w:rFonts w:asciiTheme="minorBidi" w:hAnsiTheme="minorBidi"/>
          <w:sz w:val="18"/>
          <w:szCs w:val="18"/>
        </w:rPr>
        <w:t>.</w:t>
      </w:r>
      <w:r>
        <w:rPr>
          <w:rFonts w:asciiTheme="minorBidi" w:hAnsiTheme="minorBidi" w:hint="cs"/>
          <w:sz w:val="18"/>
          <w:szCs w:val="18"/>
          <w:rtl/>
        </w:rPr>
        <w:tab/>
        <w:t xml:space="preserve"> 'تطوير المراكز الريفية والحرف الثقافية في غرب البنغال لدعم انتقال الحرف الريفية والفنون الأدائية عبر الأجيال في الهند'، الذي نفذه مكتب اليونسكو في نيودلهي.</w:t>
      </w:r>
    </w:p>
  </w:footnote>
  <w:footnote w:id="12">
    <w:p w14:paraId="6A6AB528" w14:textId="5DF6555E" w:rsidR="00504163" w:rsidRPr="00CB6516" w:rsidRDefault="00504163" w:rsidP="003E3748">
      <w:pPr>
        <w:pStyle w:val="FootnoteText"/>
        <w:bidi/>
        <w:spacing w:line="264" w:lineRule="auto"/>
        <w:ind w:left="567" w:hanging="567"/>
        <w:rPr>
          <w:rtl/>
        </w:rPr>
      </w:pPr>
      <w:r w:rsidRPr="00B063D5">
        <w:rPr>
          <w:rStyle w:val="FootnoteReference"/>
          <w:rFonts w:asciiTheme="minorBidi" w:hAnsiTheme="minorBidi"/>
        </w:rPr>
        <w:footnoteRef/>
      </w:r>
      <w:r w:rsidR="00B063D5" w:rsidRPr="00B063D5">
        <w:rPr>
          <w:vertAlign w:val="superscript"/>
        </w:rPr>
        <w:t>.</w:t>
      </w:r>
      <w:r>
        <w:rPr>
          <w:rFonts w:hint="cs"/>
          <w:rtl/>
        </w:rPr>
        <w:tab/>
      </w:r>
      <w:bookmarkStart w:id="4" w:name="_Hlk106268180"/>
      <w:r>
        <w:rPr>
          <w:rFonts w:asciiTheme="minorBidi" w:hAnsiTheme="minorBidi" w:hint="cs"/>
          <w:sz w:val="18"/>
          <w:szCs w:val="18"/>
          <w:rtl/>
        </w:rPr>
        <w:t>'صون وتثمين التراث الثقافي غير المادي ودعم الإبداع لدى الشباب في صناعة الموسيقى في المنطقة الشرقية'، الذي نفذه مكتب اليونسكو بالرباط.</w:t>
      </w:r>
      <w:bookmarkEnd w:id="4"/>
    </w:p>
  </w:footnote>
  <w:footnote w:id="13">
    <w:p w14:paraId="182AEBDB" w14:textId="50402019" w:rsidR="00A268C4" w:rsidRPr="00195153" w:rsidRDefault="00A268C4" w:rsidP="003E3748">
      <w:pPr>
        <w:pStyle w:val="FootnoteText"/>
        <w:bidi/>
        <w:spacing w:after="60" w:line="264" w:lineRule="auto"/>
        <w:ind w:left="567" w:hanging="567"/>
        <w:contextualSpacing/>
        <w:rPr>
          <w:rFonts w:asciiTheme="minorBidi" w:hAnsiTheme="minorBidi"/>
          <w:rtl/>
        </w:rPr>
      </w:pPr>
      <w:r w:rsidRPr="00B063D5">
        <w:rPr>
          <w:rStyle w:val="FootnoteReference"/>
          <w:rFonts w:asciiTheme="minorBidi" w:hAnsiTheme="minorBidi"/>
          <w:lang w:val="en-GB"/>
        </w:rPr>
        <w:footnoteRef/>
      </w:r>
      <w:r>
        <w:rPr>
          <w:rFonts w:asciiTheme="minorBidi" w:hAnsiTheme="minorBidi" w:hint="cs"/>
          <w:rtl/>
        </w:rPr>
        <w:t>.</w:t>
      </w:r>
      <w:r>
        <w:rPr>
          <w:rFonts w:asciiTheme="minorBidi" w:hAnsiTheme="minorBidi" w:hint="cs"/>
          <w:rtl/>
        </w:rPr>
        <w:tab/>
        <w:t xml:space="preserve">القرار </w:t>
      </w:r>
      <w:hyperlink r:id="rId7" w:history="1">
        <w:r>
          <w:rPr>
            <w:rStyle w:val="Hyperlink"/>
            <w:rFonts w:asciiTheme="minorBidi" w:hAnsiTheme="minorBidi" w:cs="Arial"/>
            <w:cs/>
          </w:rPr>
          <w:t>‎</w:t>
        </w:r>
        <w:r>
          <w:rPr>
            <w:rStyle w:val="Hyperlink"/>
            <w:rFonts w:asciiTheme="minorBidi" w:hAnsiTheme="minorBidi" w:cstheme="minorBidi"/>
            <w:rtl/>
            <w:cs/>
          </w:rPr>
          <w:t>GA 9</w:t>
        </w:r>
      </w:hyperlink>
      <w:r w:rsidR="0093284A">
        <w:rPr>
          <w:rStyle w:val="Hyperlink"/>
          <w:rFonts w:asciiTheme="minorBidi" w:hAnsiTheme="minorBidi" w:cstheme="minorBidi"/>
        </w:rPr>
        <w:t>8</w:t>
      </w:r>
      <w:r>
        <w:rPr>
          <w:rStyle w:val="Hyperlink"/>
          <w:rFonts w:asciiTheme="minorBidi" w:hAnsiTheme="minorBidi" w:cstheme="minorBidi"/>
        </w:rPr>
        <w:t>.</w:t>
      </w:r>
    </w:p>
  </w:footnote>
  <w:footnote w:id="14">
    <w:p w14:paraId="41A6E6A8" w14:textId="4E35DE2D" w:rsidR="00A268C4" w:rsidRPr="00195153" w:rsidRDefault="00A268C4" w:rsidP="003E3748">
      <w:pPr>
        <w:pStyle w:val="FootnoteText"/>
        <w:bidi/>
        <w:spacing w:after="60" w:line="264" w:lineRule="auto"/>
        <w:ind w:left="567" w:hanging="567"/>
        <w:contextualSpacing/>
        <w:rPr>
          <w:rFonts w:asciiTheme="minorBidi" w:hAnsiTheme="minorBidi"/>
          <w:rtl/>
        </w:rPr>
      </w:pPr>
      <w:r w:rsidRPr="00B063D5">
        <w:rPr>
          <w:rStyle w:val="FootnoteReference"/>
          <w:rFonts w:asciiTheme="minorBidi" w:hAnsiTheme="minorBidi"/>
          <w:lang w:val="en-GB"/>
        </w:rPr>
        <w:footnoteRef/>
      </w:r>
      <w:r w:rsidRPr="00B063D5">
        <w:rPr>
          <w:rFonts w:asciiTheme="minorBidi" w:hAnsiTheme="minorBidi"/>
          <w:vertAlign w:val="superscript"/>
        </w:rPr>
        <w:t>.</w:t>
      </w:r>
      <w:r>
        <w:rPr>
          <w:rFonts w:asciiTheme="minorBidi" w:hAnsiTheme="minorBidi" w:hint="cs"/>
          <w:rtl/>
        </w:rPr>
        <w:tab/>
        <w:t xml:space="preserve">القرار </w:t>
      </w:r>
      <w:hyperlink r:id="rId8" w:history="1">
        <w:r>
          <w:rPr>
            <w:rStyle w:val="Hyperlink"/>
            <w:rFonts w:asciiTheme="minorBidi" w:hAnsiTheme="minorBidi" w:cstheme="minorBidi"/>
            <w:rtl/>
            <w:cs/>
          </w:rPr>
          <w:t>GA 10</w:t>
        </w:r>
      </w:hyperlink>
      <w:r w:rsidR="0093284A">
        <w:rPr>
          <w:rStyle w:val="Hyperlink"/>
          <w:rFonts w:asciiTheme="minorBidi" w:hAnsiTheme="minorBidi" w:cstheme="minorBidi"/>
        </w:rPr>
        <w:t>8</w:t>
      </w:r>
      <w:r>
        <w:rPr>
          <w:rStyle w:val="Hyperlink"/>
          <w:rFonts w:asciiTheme="minorBidi" w:hAnsiTheme="minorBidi" w:cstheme="minorBidi"/>
        </w:rPr>
        <w:t>.</w:t>
      </w:r>
    </w:p>
  </w:footnote>
  <w:footnote w:id="15">
    <w:p w14:paraId="3AEB9A6A" w14:textId="7B94E231" w:rsidR="00A268C4" w:rsidRPr="00195153" w:rsidRDefault="00A268C4" w:rsidP="003E3748">
      <w:pPr>
        <w:pStyle w:val="FootnoteText"/>
        <w:bidi/>
        <w:spacing w:after="60" w:line="264" w:lineRule="auto"/>
        <w:ind w:left="567" w:hanging="567"/>
        <w:contextualSpacing/>
        <w:jc w:val="both"/>
        <w:rPr>
          <w:rFonts w:asciiTheme="minorBidi" w:hAnsiTheme="minorBidi"/>
          <w:rtl/>
        </w:rPr>
      </w:pPr>
      <w:r w:rsidRPr="00B063D5">
        <w:rPr>
          <w:rStyle w:val="FootnoteReference"/>
          <w:rFonts w:asciiTheme="minorBidi" w:hAnsiTheme="minorBidi"/>
          <w:lang w:val="en-GB"/>
        </w:rPr>
        <w:footnoteRef/>
      </w:r>
      <w:r w:rsidRPr="00B063D5">
        <w:rPr>
          <w:rFonts w:asciiTheme="minorBidi" w:hAnsiTheme="minorBidi"/>
          <w:vertAlign w:val="superscript"/>
        </w:rPr>
        <w:t>.</w:t>
      </w:r>
      <w:r>
        <w:rPr>
          <w:rFonts w:asciiTheme="minorBidi" w:hAnsiTheme="minorBidi" w:hint="cs"/>
          <w:rtl/>
        </w:rPr>
        <w:tab/>
        <w:t xml:space="preserve">خلال الفترة المشمولة بالتقرير، نظمت الأمانة ستة اجتماعات لهيئة التقييم لتقييم اثنان وخمسون ملف ترشيح لدورة 2020 بالإضافة إلى ستين ملفاً لدورة 2021. كما قامت الأمانة بإدارة </w:t>
      </w:r>
      <w:r w:rsidR="00F01C90" w:rsidRPr="00775E6D">
        <w:rPr>
          <w:rFonts w:asciiTheme="minorBidi" w:hAnsiTheme="minorBidi" w:hint="eastAsia"/>
          <w:rtl/>
        </w:rPr>
        <w:t>الاكتمال</w:t>
      </w:r>
      <w:r w:rsidR="00F01C90" w:rsidRPr="00775E6D">
        <w:rPr>
          <w:rFonts w:asciiTheme="minorBidi" w:hAnsiTheme="minorBidi"/>
          <w:rtl/>
        </w:rPr>
        <w:t xml:space="preserve"> التقني </w:t>
      </w:r>
      <w:r>
        <w:rPr>
          <w:rFonts w:asciiTheme="minorBidi" w:hAnsiTheme="minorBidi" w:hint="cs"/>
          <w:rtl/>
        </w:rPr>
        <w:t>لتسعة وخمسين ملف ترشيح لدورة عام 2022.</w:t>
      </w:r>
    </w:p>
  </w:footnote>
  <w:footnote w:id="16">
    <w:p w14:paraId="7B8FB71C" w14:textId="2B9193CF" w:rsidR="00A268C4" w:rsidRPr="00195153" w:rsidRDefault="00A268C4" w:rsidP="003E3748">
      <w:pPr>
        <w:pStyle w:val="FootnoteText"/>
        <w:tabs>
          <w:tab w:val="left" w:pos="567"/>
        </w:tabs>
        <w:bidi/>
        <w:spacing w:after="60" w:line="264" w:lineRule="auto"/>
        <w:contextualSpacing/>
        <w:jc w:val="both"/>
        <w:rPr>
          <w:rFonts w:asciiTheme="minorBidi" w:hAnsiTheme="minorBidi"/>
          <w:rtl/>
        </w:rPr>
      </w:pPr>
      <w:r w:rsidRPr="00B063D5">
        <w:rPr>
          <w:rStyle w:val="FootnoteReference"/>
          <w:rFonts w:asciiTheme="minorBidi" w:hAnsiTheme="minorBidi"/>
          <w:lang w:val="en-GB"/>
        </w:rPr>
        <w:footnoteRef/>
      </w:r>
      <w:r>
        <w:rPr>
          <w:rFonts w:asciiTheme="minorBidi" w:hAnsiTheme="minorBidi" w:hint="cs"/>
          <w:rtl/>
        </w:rPr>
        <w:t xml:space="preserve"> </w:t>
      </w:r>
      <w:r w:rsidR="00B063D5">
        <w:rPr>
          <w:rFonts w:asciiTheme="minorBidi" w:hAnsiTheme="minorBidi"/>
        </w:rPr>
        <w:tab/>
      </w:r>
      <w:r w:rsidR="00F01C90">
        <w:rPr>
          <w:rFonts w:asciiTheme="minorBidi" w:hAnsiTheme="minorBidi" w:hint="cs"/>
          <w:b/>
          <w:bCs/>
          <w:rtl/>
        </w:rPr>
        <w:t>اجتماعات</w:t>
      </w:r>
      <w:r w:rsidR="00F01C90" w:rsidDel="00F01C90">
        <w:rPr>
          <w:rFonts w:asciiTheme="minorBidi" w:hAnsiTheme="minorBidi" w:hint="cs"/>
          <w:b/>
          <w:bCs/>
          <w:rtl/>
        </w:rPr>
        <w:t xml:space="preserve"> </w:t>
      </w:r>
      <w:r>
        <w:rPr>
          <w:rFonts w:asciiTheme="minorBidi" w:hAnsiTheme="minorBidi" w:hint="cs"/>
          <w:b/>
          <w:bCs/>
          <w:rtl/>
        </w:rPr>
        <w:t>عام 2020:</w:t>
      </w:r>
    </w:p>
    <w:p w14:paraId="5370AEDF" w14:textId="08D88FC0" w:rsidR="00A268C4" w:rsidRPr="00195153" w:rsidRDefault="00A268C4"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 xml:space="preserve">4 اجتماعات لمكتب </w:t>
      </w:r>
      <w:r>
        <w:rPr>
          <w:rFonts w:asciiTheme="minorBidi" w:hAnsiTheme="minorBidi" w:cs="Arial"/>
          <w:cs/>
        </w:rPr>
        <w:t>‎</w:t>
      </w:r>
      <w:r>
        <w:rPr>
          <w:rFonts w:asciiTheme="minorBidi" w:hAnsiTheme="minorBidi"/>
          <w:rtl/>
          <w:cs/>
        </w:rPr>
        <w:t>COM</w:t>
      </w:r>
      <w:r w:rsidR="00F01C90">
        <w:rPr>
          <w:rFonts w:asciiTheme="minorBidi" w:hAnsiTheme="minorBidi" w:hint="cs"/>
          <w:cs/>
        </w:rPr>
        <w:t>15.</w:t>
      </w:r>
      <w:r>
        <w:rPr>
          <w:rFonts w:asciiTheme="minorBidi" w:hAnsiTheme="minorBidi" w:hint="cs"/>
          <w:rtl/>
        </w:rPr>
        <w:t>؛</w:t>
      </w:r>
    </w:p>
    <w:p w14:paraId="24F18B0A" w14:textId="77777777" w:rsidR="00A268C4" w:rsidRPr="00195153" w:rsidRDefault="00A268C4"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الدورة الثامنة للجمعية العامة للدول الأطراف في الاتفاقية، مقر اليونسكو، 8-10 أيلول/سبتمبر 2020؛</w:t>
      </w:r>
    </w:p>
    <w:p w14:paraId="616FB2EE" w14:textId="31BB3EE1" w:rsidR="00A268C4" w:rsidRPr="00195153" w:rsidRDefault="00A268C4"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3 اجتماعات لهيئة التقييم لدورة 2020؛</w:t>
      </w:r>
      <w:r w:rsidR="00F01C90">
        <w:rPr>
          <w:rFonts w:asciiTheme="minorBidi" w:hAnsiTheme="minorBidi" w:hint="cs"/>
          <w:rtl/>
        </w:rPr>
        <w:t>و</w:t>
      </w:r>
      <w:r w:rsidR="00F01C90">
        <w:rPr>
          <w:rFonts w:asciiTheme="minorBidi" w:hAnsiTheme="minorBidi"/>
        </w:rPr>
        <w:t xml:space="preserve"> </w:t>
      </w:r>
    </w:p>
    <w:p w14:paraId="15304C6D" w14:textId="253C244E" w:rsidR="00A268C4" w:rsidRPr="00195153" w:rsidRDefault="00A268C4"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الدورة الخامسة عشرة للجنة الحكومية الدولية، عبر الإنترنت، 14-19 كانون الأول/ديسمبر 2020.</w:t>
      </w:r>
    </w:p>
    <w:p w14:paraId="78F09DA7" w14:textId="0F498F31" w:rsidR="00A268C4" w:rsidRPr="00195153" w:rsidRDefault="00A268C4" w:rsidP="003E3748">
      <w:pPr>
        <w:pStyle w:val="FootnoteText"/>
        <w:keepNext/>
        <w:bidi/>
        <w:spacing w:after="60" w:line="264" w:lineRule="auto"/>
        <w:ind w:left="567"/>
        <w:contextualSpacing/>
        <w:jc w:val="both"/>
        <w:rPr>
          <w:rFonts w:asciiTheme="minorBidi" w:hAnsiTheme="minorBidi"/>
          <w:b/>
          <w:rtl/>
        </w:rPr>
      </w:pPr>
      <w:r>
        <w:rPr>
          <w:rFonts w:asciiTheme="minorBidi" w:hAnsiTheme="minorBidi" w:hint="cs"/>
          <w:b/>
          <w:bCs/>
          <w:rtl/>
        </w:rPr>
        <w:t>اجتماعات</w:t>
      </w:r>
      <w:r w:rsidR="00F01C90" w:rsidRPr="00F01C90">
        <w:rPr>
          <w:rFonts w:asciiTheme="minorBidi" w:hAnsiTheme="minorBidi" w:hint="cs"/>
          <w:b/>
          <w:bCs/>
          <w:rtl/>
        </w:rPr>
        <w:t xml:space="preserve"> </w:t>
      </w:r>
      <w:r w:rsidR="00F01C90">
        <w:rPr>
          <w:rFonts w:asciiTheme="minorBidi" w:hAnsiTheme="minorBidi" w:hint="cs"/>
          <w:b/>
          <w:bCs/>
          <w:rtl/>
        </w:rPr>
        <w:t>عام</w:t>
      </w:r>
      <w:r w:rsidR="00F01C90">
        <w:rPr>
          <w:rFonts w:asciiTheme="minorBidi" w:hAnsiTheme="minorBidi"/>
          <w:b/>
          <w:bCs/>
        </w:rPr>
        <w:t xml:space="preserve"> </w:t>
      </w:r>
      <w:r>
        <w:rPr>
          <w:rFonts w:asciiTheme="minorBidi" w:hAnsiTheme="minorBidi" w:hint="cs"/>
          <w:b/>
          <w:bCs/>
          <w:rtl/>
        </w:rPr>
        <w:t>2021:</w:t>
      </w:r>
    </w:p>
    <w:p w14:paraId="41DD0861" w14:textId="19572F60" w:rsidR="00A268C4" w:rsidRPr="00195153" w:rsidRDefault="00913B63"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 xml:space="preserve">4 اجتماعات لمكتب </w:t>
      </w:r>
      <w:r>
        <w:rPr>
          <w:rFonts w:asciiTheme="minorBidi" w:hAnsiTheme="minorBidi" w:cs="Arial"/>
          <w:cs/>
        </w:rPr>
        <w:t>‎</w:t>
      </w:r>
      <w:r>
        <w:rPr>
          <w:rFonts w:asciiTheme="minorBidi" w:hAnsiTheme="minorBidi"/>
          <w:rtl/>
          <w:cs/>
        </w:rPr>
        <w:t>16.COM</w:t>
      </w:r>
      <w:r>
        <w:rPr>
          <w:rFonts w:asciiTheme="minorBidi" w:hAnsiTheme="minorBidi" w:hint="cs"/>
          <w:rtl/>
        </w:rPr>
        <w:t>؛</w:t>
      </w:r>
    </w:p>
    <w:p w14:paraId="57973CB1" w14:textId="40C13258" w:rsidR="00A268C4" w:rsidRPr="00195153" w:rsidRDefault="00913B63"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3 اجتماعات لهيئة التقييم لدورة 2021؛</w:t>
      </w:r>
    </w:p>
    <w:p w14:paraId="600028C4" w14:textId="14070FE3" w:rsidR="00A268C4" w:rsidRPr="00195153" w:rsidRDefault="00A268C4"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اجتماع الخبراء (الفئة السادسة) في إطار التفكير ال</w:t>
      </w:r>
      <w:r w:rsidR="00F01C90" w:rsidRPr="00775E6D">
        <w:rPr>
          <w:rFonts w:asciiTheme="minorBidi" w:hAnsiTheme="minorBidi"/>
          <w:rtl/>
        </w:rPr>
        <w:t>شامل</w:t>
      </w:r>
      <w:r>
        <w:rPr>
          <w:rFonts w:asciiTheme="minorBidi" w:hAnsiTheme="minorBidi" w:hint="cs"/>
          <w:rtl/>
        </w:rPr>
        <w:t xml:space="preserve"> في آليات الإدراج في اتفاقية 2003، عبر الإنترنت، 7 و26 و27 أيار/مايو 2021؛</w:t>
      </w:r>
    </w:p>
    <w:p w14:paraId="134116EF" w14:textId="6DF93D12" w:rsidR="00913B63" w:rsidRPr="00195153" w:rsidRDefault="00913B63" w:rsidP="003E3748">
      <w:pPr>
        <w:pStyle w:val="FootnoteText"/>
        <w:bidi/>
        <w:spacing w:after="60" w:line="264" w:lineRule="auto"/>
        <w:ind w:left="709" w:firstLine="11"/>
        <w:contextualSpacing/>
        <w:jc w:val="both"/>
        <w:rPr>
          <w:rFonts w:asciiTheme="minorBidi" w:hAnsiTheme="minorBidi"/>
          <w:rtl/>
        </w:rPr>
      </w:pPr>
      <w:r>
        <w:rPr>
          <w:rFonts w:asciiTheme="minorBidi" w:hAnsiTheme="minorBidi" w:hint="cs"/>
          <w:rtl/>
        </w:rPr>
        <w:t xml:space="preserve">اجتماع الفريق العامل الحكومي الدولي المفتوح العضوية في إطار التفكير </w:t>
      </w:r>
      <w:r w:rsidR="00F01C90">
        <w:rPr>
          <w:rFonts w:asciiTheme="minorBidi" w:hAnsiTheme="minorBidi" w:hint="cs"/>
          <w:rtl/>
        </w:rPr>
        <w:t>ال</w:t>
      </w:r>
      <w:r w:rsidR="00F01C90" w:rsidRPr="009121F6">
        <w:rPr>
          <w:rFonts w:asciiTheme="minorBidi" w:hAnsiTheme="minorBidi"/>
          <w:rtl/>
        </w:rPr>
        <w:t>شامل</w:t>
      </w:r>
      <w:r w:rsidR="00F01C90">
        <w:rPr>
          <w:rFonts w:asciiTheme="minorBidi" w:hAnsiTheme="minorBidi" w:hint="cs"/>
          <w:rtl/>
        </w:rPr>
        <w:t xml:space="preserve"> </w:t>
      </w:r>
      <w:r>
        <w:rPr>
          <w:rFonts w:asciiTheme="minorBidi" w:hAnsiTheme="minorBidi" w:hint="cs"/>
          <w:rtl/>
        </w:rPr>
        <w:t>بشأن آليات الإدراج في اتفاقية 2003، الجزء الأول (عبر الإنترنت)، 8-9 تموز/يوليو 2021، والجزء الثاني (عبر الإنترنت)، 9-10 أيلول/سبتمبر 2021؛</w:t>
      </w:r>
    </w:p>
    <w:p w14:paraId="475758D2" w14:textId="6121AD13" w:rsidR="00913B63" w:rsidRPr="00195153" w:rsidRDefault="00913B63" w:rsidP="003E3748">
      <w:pPr>
        <w:pStyle w:val="FootnoteText"/>
        <w:bidi/>
        <w:spacing w:after="60" w:line="264" w:lineRule="auto"/>
        <w:ind w:left="567" w:firstLine="153"/>
        <w:contextualSpacing/>
        <w:jc w:val="both"/>
        <w:rPr>
          <w:rFonts w:asciiTheme="minorBidi" w:hAnsiTheme="minorBidi"/>
          <w:rtl/>
        </w:rPr>
      </w:pPr>
      <w:r>
        <w:rPr>
          <w:rFonts w:asciiTheme="minorBidi" w:hAnsiTheme="minorBidi" w:hint="cs"/>
          <w:rtl/>
        </w:rPr>
        <w:t>الدورة السادسة عشرة للجنة الحكومية الدولية، عبر الإنترنت، 13-18 كانون الأول/ديسمبر 2021.</w:t>
      </w:r>
    </w:p>
    <w:p w14:paraId="26C4E771" w14:textId="77777777" w:rsidR="00913B63" w:rsidRPr="00054A38" w:rsidRDefault="00913B63" w:rsidP="003E3748">
      <w:pPr>
        <w:pStyle w:val="FootnoteText"/>
        <w:bidi/>
        <w:spacing w:after="60" w:line="264" w:lineRule="auto"/>
        <w:ind w:left="567" w:firstLine="153"/>
        <w:contextualSpacing/>
        <w:jc w:val="both"/>
        <w:rPr>
          <w:rFonts w:asciiTheme="minorBidi" w:hAnsiTheme="minorBidi"/>
          <w:lang w:val="en-IN"/>
        </w:rPr>
      </w:pPr>
    </w:p>
  </w:footnote>
  <w:footnote w:id="17">
    <w:p w14:paraId="0128D893" w14:textId="16D9B74A" w:rsidR="00A268C4" w:rsidRPr="003E3748" w:rsidRDefault="00A268C4" w:rsidP="003E3748">
      <w:pPr>
        <w:pStyle w:val="FootnoteText"/>
        <w:tabs>
          <w:tab w:val="left" w:pos="567"/>
        </w:tabs>
        <w:bidi/>
        <w:spacing w:after="60" w:line="264" w:lineRule="auto"/>
        <w:ind w:left="567" w:hanging="567"/>
        <w:contextualSpacing/>
        <w:jc w:val="both"/>
        <w:rPr>
          <w:rFonts w:asciiTheme="minorBidi" w:hAnsiTheme="minorBidi"/>
          <w:spacing w:val="4"/>
          <w:highlight w:val="yellow"/>
          <w:rtl/>
        </w:rPr>
      </w:pPr>
      <w:r w:rsidRPr="003E3748">
        <w:rPr>
          <w:rStyle w:val="FootnoteReference"/>
          <w:rFonts w:asciiTheme="minorBidi" w:hAnsiTheme="minorBidi"/>
          <w:spacing w:val="4"/>
          <w:lang w:val="en-GB"/>
        </w:rPr>
        <w:footnoteRef/>
      </w:r>
      <w:r w:rsidRPr="003E3748">
        <w:rPr>
          <w:rFonts w:asciiTheme="minorBidi" w:hAnsiTheme="minorBidi" w:hint="cs"/>
          <w:spacing w:val="4"/>
          <w:rtl/>
        </w:rPr>
        <w:t>.</w:t>
      </w:r>
      <w:r w:rsidRPr="003E3748">
        <w:rPr>
          <w:rFonts w:asciiTheme="minorBidi" w:hAnsiTheme="minorBidi" w:hint="cs"/>
          <w:spacing w:val="4"/>
          <w:rtl/>
        </w:rPr>
        <w:tab/>
      </w:r>
      <w:bookmarkStart w:id="5" w:name="_Hlk106219719"/>
      <w:r w:rsidRPr="003E3748">
        <w:rPr>
          <w:rFonts w:asciiTheme="minorBidi" w:hAnsiTheme="minorBidi" w:hint="cs"/>
          <w:spacing w:val="4"/>
          <w:rtl/>
        </w:rPr>
        <w:t>تدريب نقاط الاتصال الوطنية لعملية إعداد التقارير الدورية التي خضعت للإصلاح في أمريكا اللاتينية ومنطقة البحر الكاريبي – عبر الإنترنت (19 أيار/مايو - 23 حزيران/يونيو 2020)، تدريب المدربين على التراث الثقافي غير المادي لآسيا الوسطى - عبر الإنترنت (24-28 آب/أغسطس 2020)، تدريب المدربين لإجراء عملية إعداد التقارير الدورية التي خضعت للإصلاح في منطقة أوروبا – عبر الإنترنت (25 كانون الثاني/يناير - 24 شباط/فبراير 2021)، تدريب المدربين لمنطقة المحيط الهادئ (تشرين الأول/أكتوبر 2021) - عبر الإنترنت، تدريب المدربين على إعداد التقارير الدورية لفصل الدول العربية من شبكة الميسرون - عبر الإنترنت (25-27 تشرين الأول/أكتوبر 2021).</w:t>
      </w:r>
    </w:p>
    <w:bookmarkEnd w:id="5"/>
  </w:footnote>
  <w:footnote w:id="18">
    <w:p w14:paraId="554CF49F" w14:textId="3838F375" w:rsidR="00FB5FDB" w:rsidRPr="00195153" w:rsidRDefault="00FB5FDB" w:rsidP="003E3748">
      <w:pPr>
        <w:tabs>
          <w:tab w:val="left" w:pos="540"/>
        </w:tabs>
        <w:bidi/>
        <w:spacing w:after="60" w:line="264" w:lineRule="auto"/>
        <w:ind w:left="567" w:hanging="567"/>
        <w:contextualSpacing/>
        <w:jc w:val="both"/>
        <w:rPr>
          <w:rFonts w:asciiTheme="minorBidi" w:hAnsiTheme="minorBidi" w:cstheme="minorBidi"/>
          <w:sz w:val="20"/>
          <w:szCs w:val="20"/>
          <w:rtl/>
          <w:lang w:bidi="ur-IN"/>
        </w:rPr>
      </w:pPr>
      <w:r w:rsidRPr="00B063D5">
        <w:rPr>
          <w:rFonts w:asciiTheme="minorBidi" w:hAnsiTheme="minorBidi" w:cstheme="minorBidi"/>
          <w:sz w:val="20"/>
          <w:szCs w:val="20"/>
          <w:vertAlign w:val="superscript"/>
          <w:lang w:val="en-GB"/>
        </w:rPr>
        <w:footnoteRef/>
      </w:r>
      <w:r>
        <w:rPr>
          <w:rFonts w:asciiTheme="minorBidi" w:hAnsiTheme="minorBidi" w:cstheme="minorBidi" w:hint="cs"/>
          <w:sz w:val="20"/>
          <w:szCs w:val="20"/>
          <w:rtl/>
        </w:rPr>
        <w:t>.</w:t>
      </w:r>
      <w:r>
        <w:rPr>
          <w:rFonts w:asciiTheme="minorBidi" w:hAnsiTheme="minorBidi" w:cstheme="minorBidi" w:hint="cs"/>
          <w:sz w:val="20"/>
          <w:szCs w:val="20"/>
          <w:rtl/>
        </w:rPr>
        <w:tab/>
      </w:r>
      <w:bookmarkStart w:id="6" w:name="_Hlk106220221"/>
      <w:r>
        <w:rPr>
          <w:rFonts w:asciiTheme="minorBidi" w:hAnsiTheme="minorBidi" w:cstheme="minorBidi" w:hint="cs"/>
          <w:sz w:val="20"/>
          <w:szCs w:val="20"/>
          <w:rtl/>
        </w:rPr>
        <w:t>المركز الإقليمي لصون التراث الثقافي غير المادي في أمريكا اللاتينية، ومركز التدريب الدولي للتراث الثقافي غير المادي في منطقة آسيا والمحيط الهادئ</w:t>
      </w:r>
      <w:r>
        <w:rPr>
          <w:rFonts w:asciiTheme="minorBidi" w:hAnsiTheme="minorBidi" w:cstheme="minorBidi" w:hint="cs"/>
          <w:sz w:val="20"/>
          <w:szCs w:val="20"/>
          <w:rtl/>
        </w:rPr>
        <w:noBreakHyphen/>
        <w:t>والمركز الإقليمي لصون التراث الثقافي غير المادي في جنوب شرق أوروبا.</w:t>
      </w:r>
      <w:bookmarkEnd w:id="6"/>
    </w:p>
  </w:footnote>
  <w:footnote w:id="19">
    <w:p w14:paraId="0CBCA379" w14:textId="258AB2ED" w:rsidR="0011139C" w:rsidRDefault="0011139C" w:rsidP="003E3748">
      <w:pPr>
        <w:pStyle w:val="FootnoteText"/>
        <w:bidi/>
        <w:spacing w:line="264" w:lineRule="auto"/>
        <w:rPr>
          <w:rtl/>
        </w:rPr>
      </w:pPr>
      <w:r w:rsidRPr="00E85542">
        <w:rPr>
          <w:rStyle w:val="FootnoteReference"/>
        </w:rPr>
        <w:footnoteRef/>
      </w:r>
      <w:r w:rsidR="00E85542" w:rsidRPr="00E85542">
        <w:rPr>
          <w:vertAlign w:val="superscript"/>
        </w:rPr>
        <w:t>.</w:t>
      </w:r>
      <w:r w:rsidR="00E85542">
        <w:rPr>
          <w:vertAlign w:val="superscript"/>
        </w:rPr>
        <w:t xml:space="preserve"> .</w:t>
      </w:r>
      <w:r>
        <w:rPr>
          <w:rFonts w:hint="cs"/>
          <w:rtl/>
        </w:rPr>
        <w:t>من أصل 34 طلب مساعدة دولية:</w:t>
      </w:r>
    </w:p>
    <w:p w14:paraId="62FC32FC" w14:textId="42E0AD66" w:rsidR="0011139C" w:rsidRPr="002B06AB" w:rsidRDefault="0001763F" w:rsidP="003E3748">
      <w:pPr>
        <w:pStyle w:val="FootnoteText"/>
        <w:numPr>
          <w:ilvl w:val="0"/>
          <w:numId w:val="70"/>
        </w:numPr>
        <w:bidi/>
        <w:spacing w:line="264" w:lineRule="auto"/>
        <w:rPr>
          <w:rtl/>
        </w:rPr>
      </w:pPr>
      <w:r>
        <w:rPr>
          <w:rFonts w:hint="cs"/>
          <w:rtl/>
        </w:rPr>
        <w:t>ستة أحيلت: ثلاثة من قبل اللجنة وثلاثة من قبل المكتب</w:t>
      </w:r>
    </w:p>
    <w:p w14:paraId="003CD015" w14:textId="1674B34A" w:rsidR="0011139C" w:rsidRPr="002B06AB" w:rsidRDefault="0001763F" w:rsidP="003E3748">
      <w:pPr>
        <w:pStyle w:val="FootnoteText"/>
        <w:numPr>
          <w:ilvl w:val="0"/>
          <w:numId w:val="70"/>
        </w:numPr>
        <w:bidi/>
        <w:spacing w:line="264" w:lineRule="auto"/>
        <w:rPr>
          <w:rtl/>
        </w:rPr>
      </w:pPr>
      <w:r>
        <w:rPr>
          <w:rFonts w:hint="cs"/>
          <w:rtl/>
        </w:rPr>
        <w:t>استفاد اثنان من المساعدة التقنية ولكن لم يفحصهما المكتب</w:t>
      </w:r>
    </w:p>
    <w:p w14:paraId="380763A3" w14:textId="527C9CD7" w:rsidR="0011139C" w:rsidRPr="002B06AB" w:rsidRDefault="0001763F" w:rsidP="003E3748">
      <w:pPr>
        <w:pStyle w:val="FootnoteText"/>
        <w:numPr>
          <w:ilvl w:val="0"/>
          <w:numId w:val="70"/>
        </w:numPr>
        <w:bidi/>
        <w:spacing w:line="264" w:lineRule="auto"/>
        <w:rPr>
          <w:rtl/>
        </w:rPr>
      </w:pPr>
      <w:r>
        <w:rPr>
          <w:rFonts w:hint="cs"/>
          <w:rtl/>
        </w:rPr>
        <w:t>ستة اعتبرت خارج النطاق ولم تُعالج، بالاتفاق مع الدول المقدمة</w:t>
      </w:r>
    </w:p>
    <w:p w14:paraId="2DE152A9" w14:textId="55CA7409" w:rsidR="0011139C" w:rsidRPr="0011139C" w:rsidRDefault="0001763F" w:rsidP="003E3748">
      <w:pPr>
        <w:pStyle w:val="FootnoteText"/>
        <w:numPr>
          <w:ilvl w:val="0"/>
          <w:numId w:val="70"/>
        </w:numPr>
        <w:bidi/>
        <w:spacing w:line="264" w:lineRule="auto"/>
        <w:rPr>
          <w:rtl/>
        </w:rPr>
      </w:pPr>
      <w:r>
        <w:rPr>
          <w:rFonts w:hint="cs"/>
          <w:rtl/>
        </w:rPr>
        <w:t>وقد سُحبت أربعة منها من قبل الدول المقدمة للطلب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042FE621" w:rsidR="00D95C4C" w:rsidRPr="00C23A97" w:rsidRDefault="006F41B4">
    <w:pPr>
      <w:pStyle w:val="Header"/>
      <w:bidi/>
      <w:rPr>
        <w:rFonts w:ascii="Arial" w:hAnsi="Arial"/>
        <w:rtl/>
      </w:rPr>
    </w:pPr>
    <w:r>
      <w:rPr>
        <w:rFonts w:ascii="Arial" w:hAnsi="Arial"/>
        <w:sz w:val="20"/>
        <w:szCs w:val="20"/>
      </w:rPr>
      <w:t>LHE/22/9.GA/6</w:t>
    </w:r>
    <w:r>
      <w:rPr>
        <w:rFonts w:ascii="Arial" w:hAnsi="Arial" w:hint="cs"/>
        <w:sz w:val="20"/>
        <w:szCs w:val="20"/>
        <w:rtl/>
      </w:rPr>
      <w:t xml:space="preserve"> – صفحة </w:t>
    </w:r>
    <w:r w:rsidR="00D95C4C" w:rsidRPr="00C23A97">
      <w:rPr>
        <w:rStyle w:val="PageNumber"/>
        <w:rFonts w:ascii="Arial" w:hAnsi="Arial" w:hint="cs"/>
        <w:sz w:val="20"/>
        <w:rtl/>
      </w:rPr>
      <w:fldChar w:fldCharType="begin"/>
    </w:r>
    <w:r>
      <w:rPr>
        <w:rtl/>
      </w:rPr>
      <w:instrText xml:space="preserve"> </w:instrText>
    </w:r>
    <w:r w:rsidR="00D95C4C" w:rsidRPr="00C23A97">
      <w:rPr>
        <w:rStyle w:val="PageNumber"/>
        <w:rFonts w:ascii="Arial" w:hAnsi="Arial" w:hint="cs"/>
        <w:sz w:val="20"/>
      </w:rPr>
      <w:instrText xml:space="preserve">PAGE </w:instrText>
    </w:r>
    <w:r w:rsidR="00D95C4C" w:rsidRPr="00C23A97">
      <w:rPr>
        <w:rStyle w:val="PageNumber"/>
        <w:rFonts w:ascii="Arial" w:hAnsi="Arial" w:hint="cs"/>
        <w:sz w:val="20"/>
        <w:rtl/>
      </w:rPr>
      <w:fldChar w:fldCharType="separate"/>
    </w:r>
    <w:r w:rsidR="006F4800">
      <w:rPr>
        <w:noProof/>
        <w:rtl/>
      </w:rPr>
      <w:t>14</w:t>
    </w:r>
    <w:r w:rsidR="00D95C4C" w:rsidRPr="00C23A97">
      <w:rPr>
        <w:rStyle w:val="PageNumber"/>
        <w:rFonts w:ascii="Arial" w:hAnsi="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50FBDC0E" w:rsidR="00D95C4C" w:rsidRPr="0063300C" w:rsidRDefault="00502D44" w:rsidP="0063300C">
    <w:pPr>
      <w:pStyle w:val="Header"/>
      <w:bidi/>
      <w:jc w:val="right"/>
      <w:rPr>
        <w:rFonts w:ascii="Arial" w:hAnsi="Arial"/>
        <w:rtl/>
      </w:rPr>
    </w:pPr>
    <w:r>
      <w:rPr>
        <w:rFonts w:ascii="Arial" w:hAnsi="Arial"/>
        <w:sz w:val="20"/>
        <w:szCs w:val="20"/>
      </w:rPr>
      <w:t>LHE/22/9.GA/6</w:t>
    </w:r>
    <w:r>
      <w:rPr>
        <w:rFonts w:ascii="Arial" w:hAnsi="Arial" w:hint="cs"/>
        <w:sz w:val="20"/>
        <w:szCs w:val="20"/>
        <w:rtl/>
      </w:rPr>
      <w:t xml:space="preserve"> – صفحة </w:t>
    </w:r>
    <w:r w:rsidR="004A34A0" w:rsidRPr="0063300C">
      <w:rPr>
        <w:rStyle w:val="PageNumber"/>
        <w:rFonts w:ascii="Arial" w:hAnsi="Arial" w:hint="cs"/>
        <w:sz w:val="20"/>
        <w:rtl/>
      </w:rPr>
      <w:fldChar w:fldCharType="begin"/>
    </w:r>
    <w:r>
      <w:rPr>
        <w:rtl/>
      </w:rPr>
      <w:instrText xml:space="preserve"> </w:instrText>
    </w:r>
    <w:r w:rsidR="004A34A0" w:rsidRPr="0063300C">
      <w:rPr>
        <w:rStyle w:val="PageNumber"/>
        <w:rFonts w:ascii="Arial" w:hAnsi="Arial" w:hint="cs"/>
        <w:sz w:val="20"/>
      </w:rPr>
      <w:instrText xml:space="preserve">PAGE </w:instrText>
    </w:r>
    <w:r w:rsidR="004A34A0" w:rsidRPr="0063300C">
      <w:rPr>
        <w:rStyle w:val="PageNumber"/>
        <w:rFonts w:ascii="Arial" w:hAnsi="Arial" w:hint="cs"/>
        <w:sz w:val="20"/>
        <w:rtl/>
      </w:rPr>
      <w:fldChar w:fldCharType="separate"/>
    </w:r>
    <w:r w:rsidR="006F4800">
      <w:rPr>
        <w:noProof/>
        <w:rtl/>
      </w:rPr>
      <w:t>15</w:t>
    </w:r>
    <w:r w:rsidR="004A34A0" w:rsidRPr="0063300C">
      <w:rPr>
        <w:rStyle w:val="PageNumber"/>
        <w:rFonts w:ascii="Arial" w:hAnsi="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32A" w14:textId="67A4ED24" w:rsidR="00D95C4C" w:rsidRPr="00DA1B98" w:rsidRDefault="00C86719" w:rsidP="00C86719">
    <w:pPr>
      <w:pStyle w:val="Header"/>
      <w:bidi/>
      <w:jc w:val="right"/>
      <w:rPr>
        <w:rtl/>
        <w:lang w:bidi="ur-IN"/>
      </w:rPr>
    </w:pPr>
    <w:r w:rsidRPr="00DA1B98">
      <w:rPr>
        <w:noProof/>
        <w:lang w:val="en-IN" w:eastAsia="zh-CN"/>
      </w:rPr>
      <w:drawing>
        <wp:anchor distT="0" distB="0" distL="114300" distR="114300" simplePos="0" relativeHeight="251662848" behindDoc="0" locked="0" layoutInCell="1" allowOverlap="1" wp14:anchorId="3D2A6781" wp14:editId="12C7174A">
          <wp:simplePos x="0" y="0"/>
          <wp:positionH relativeFrom="column">
            <wp:posOffset>4721225</wp:posOffset>
          </wp:positionH>
          <wp:positionV relativeFrom="paragraph">
            <wp:posOffset>-80645</wp:posOffset>
          </wp:positionV>
          <wp:extent cx="1729105" cy="1350645"/>
          <wp:effectExtent l="0" t="0" r="4445"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27CA8" w14:textId="77777777" w:rsidR="00EC0AE0" w:rsidRPr="00A41372" w:rsidRDefault="00EC0AE0" w:rsidP="00EC0AE0">
    <w:pPr>
      <w:pStyle w:val="Header"/>
      <w:bidi/>
      <w:spacing w:after="520"/>
      <w:jc w:val="right"/>
      <w:rPr>
        <w:rFonts w:ascii="Arial" w:hAnsi="Arial"/>
        <w:b/>
        <w:sz w:val="44"/>
        <w:szCs w:val="44"/>
        <w:rtl/>
      </w:rPr>
    </w:pPr>
    <w:r>
      <w:rPr>
        <w:rFonts w:ascii="Arial" w:hAnsi="Arial"/>
        <w:b/>
        <w:bCs/>
        <w:sz w:val="44"/>
        <w:szCs w:val="44"/>
      </w:rPr>
      <w:t>9 GA</w:t>
    </w:r>
  </w:p>
  <w:p w14:paraId="03A51C2A" w14:textId="37C4BD37" w:rsidR="00EC0AE0" w:rsidRPr="00A41372" w:rsidRDefault="00EC0AE0" w:rsidP="00EC0AE0">
    <w:pPr>
      <w:bidi/>
      <w:jc w:val="right"/>
      <w:rPr>
        <w:rFonts w:ascii="Arial" w:eastAsia="Malgun Gothic" w:hAnsi="Arial"/>
        <w:b/>
        <w:sz w:val="22"/>
        <w:szCs w:val="22"/>
        <w:rtl/>
      </w:rPr>
    </w:pPr>
    <w:r>
      <w:rPr>
        <w:rFonts w:ascii="Arial" w:hAnsi="Arial"/>
        <w:b/>
        <w:bCs/>
        <w:sz w:val="22"/>
        <w:szCs w:val="22"/>
      </w:rPr>
      <w:t>LHE/22/9.GA/6</w:t>
    </w:r>
  </w:p>
  <w:p w14:paraId="703636A5" w14:textId="1F97A6FB" w:rsidR="00EC0AE0" w:rsidRPr="00A41372" w:rsidRDefault="00EC0AE0" w:rsidP="00EC0AE0">
    <w:pPr>
      <w:bidi/>
      <w:jc w:val="right"/>
      <w:rPr>
        <w:rFonts w:ascii="Arial" w:eastAsia="Malgun Gothic" w:hAnsi="Arial"/>
        <w:b/>
        <w:sz w:val="22"/>
        <w:szCs w:val="22"/>
        <w:rtl/>
      </w:rPr>
    </w:pPr>
    <w:r>
      <w:rPr>
        <w:rFonts w:ascii="Arial" w:hAnsi="Arial" w:hint="cs"/>
        <w:b/>
        <w:bCs/>
        <w:sz w:val="22"/>
        <w:szCs w:val="22"/>
        <w:rtl/>
      </w:rPr>
      <w:t>باريس،</w:t>
    </w:r>
    <w:r w:rsidR="00FF1DF6">
      <w:rPr>
        <w:rFonts w:ascii="Arial" w:hAnsi="Arial"/>
        <w:b/>
        <w:bCs/>
        <w:sz w:val="22"/>
        <w:szCs w:val="22"/>
      </w:rPr>
      <w:t>2</w:t>
    </w:r>
    <w:r w:rsidR="00775E6D">
      <w:rPr>
        <w:rFonts w:ascii="Arial" w:hAnsi="Arial"/>
        <w:b/>
        <w:bCs/>
        <w:sz w:val="22"/>
        <w:szCs w:val="22"/>
      </w:rPr>
      <w:t>6</w:t>
    </w:r>
    <w:r w:rsidRPr="00A31A2E">
      <w:rPr>
        <w:rFonts w:ascii="Arial" w:hAnsi="Arial" w:hint="cs"/>
        <w:b/>
        <w:bCs/>
        <w:sz w:val="22"/>
        <w:szCs w:val="22"/>
        <w:rtl/>
      </w:rPr>
      <w:t xml:space="preserve"> حزيران/يونيو</w:t>
    </w:r>
    <w:r>
      <w:rPr>
        <w:rFonts w:ascii="Arial" w:hAnsi="Arial" w:hint="cs"/>
        <w:b/>
        <w:bCs/>
        <w:sz w:val="22"/>
        <w:szCs w:val="22"/>
        <w:rtl/>
      </w:rPr>
      <w:t xml:space="preserve"> 2022</w:t>
    </w:r>
  </w:p>
  <w:p w14:paraId="6ADB4B67" w14:textId="77777777" w:rsidR="00EC0AE0" w:rsidRPr="00F32C23" w:rsidRDefault="00EC0AE0" w:rsidP="00EC0AE0">
    <w:pPr>
      <w:bidi/>
      <w:jc w:val="right"/>
      <w:rPr>
        <w:rFonts w:ascii="Arial" w:hAnsi="Arial"/>
        <w:b/>
        <w:sz w:val="22"/>
        <w:szCs w:val="22"/>
        <w:rtl/>
      </w:rPr>
    </w:pPr>
    <w:r>
      <w:rPr>
        <w:rFonts w:ascii="Arial" w:hAnsi="Arial" w:hint="cs"/>
        <w:b/>
        <w:bCs/>
        <w:sz w:val="22"/>
        <w:szCs w:val="22"/>
        <w:rtl/>
      </w:rPr>
      <w:t xml:space="preserve">الأصل: </w:t>
    </w:r>
    <w:r w:rsidRPr="00EE50A6">
      <w:rPr>
        <w:rFonts w:ascii="Arial" w:hAnsi="Arial" w:hint="eastAsia"/>
        <w:b/>
        <w:bCs/>
        <w:sz w:val="22"/>
        <w:szCs w:val="22"/>
        <w:rtl/>
      </w:rPr>
      <w:t>إنجليزي</w:t>
    </w:r>
  </w:p>
  <w:p w14:paraId="7FB1132E" w14:textId="77777777" w:rsidR="00540FE0" w:rsidRPr="00C23A97" w:rsidRDefault="00540FE0" w:rsidP="00C86719">
    <w:pPr>
      <w:bidi/>
      <w:jc w:val="right"/>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1F2E" w14:textId="123FF9CB" w:rsidR="00A268C4" w:rsidRPr="008120C4" w:rsidRDefault="00EF175F" w:rsidP="00E26DD4">
    <w:pPr>
      <w:pStyle w:val="Header"/>
      <w:bidi/>
      <w:jc w:val="right"/>
      <w:rPr>
        <w:rFonts w:ascii="Arial" w:hAnsi="Arial"/>
        <w:rtl/>
      </w:rPr>
    </w:pPr>
    <w:r>
      <w:rPr>
        <w:rFonts w:ascii="Arial" w:hAnsi="Arial"/>
        <w:sz w:val="20"/>
        <w:szCs w:val="20"/>
      </w:rPr>
      <w:t>LHE/22/9.GA/6</w:t>
    </w:r>
    <w:r>
      <w:rPr>
        <w:rFonts w:ascii="Arial" w:hAnsi="Arial" w:hint="cs"/>
        <w:sz w:val="20"/>
        <w:szCs w:val="20"/>
        <w:rtl/>
      </w:rPr>
      <w:t xml:space="preserve"> – صفحة </w:t>
    </w:r>
    <w:r w:rsidR="00A268C4" w:rsidRPr="00C23A97">
      <w:rPr>
        <w:rStyle w:val="PageNumber"/>
        <w:rFonts w:ascii="Arial" w:hAnsi="Arial" w:hint="cs"/>
        <w:sz w:val="20"/>
        <w:rtl/>
      </w:rPr>
      <w:fldChar w:fldCharType="begin"/>
    </w:r>
    <w:r>
      <w:rPr>
        <w:rtl/>
      </w:rPr>
      <w:instrText xml:space="preserve"> </w:instrText>
    </w:r>
    <w:r w:rsidR="00A268C4" w:rsidRPr="00C23A97">
      <w:rPr>
        <w:rStyle w:val="PageNumber"/>
        <w:rFonts w:ascii="Arial" w:hAnsi="Arial" w:hint="cs"/>
        <w:sz w:val="20"/>
      </w:rPr>
      <w:instrText xml:space="preserve">PAGE </w:instrText>
    </w:r>
    <w:r w:rsidR="00A268C4" w:rsidRPr="00C23A97">
      <w:rPr>
        <w:rStyle w:val="PageNumber"/>
        <w:rFonts w:ascii="Arial" w:hAnsi="Arial" w:hint="cs"/>
        <w:sz w:val="20"/>
        <w:rtl/>
      </w:rPr>
      <w:fldChar w:fldCharType="separate"/>
    </w:r>
    <w:r w:rsidR="00A268C4">
      <w:rPr>
        <w:rStyle w:val="PageNumber"/>
        <w:rFonts w:ascii="Arial" w:hAnsi="Arial" w:hint="cs"/>
        <w:sz w:val="20"/>
        <w:rtl/>
      </w:rPr>
      <w:t>17</w:t>
    </w:r>
    <w:r w:rsidR="00A268C4" w:rsidRPr="00C23A97">
      <w:rPr>
        <w:rStyle w:val="PageNumber"/>
        <w:rFonts w:ascii="Arial" w:hAnsi="Arial" w:hint="cs"/>
        <w:sz w:val="20"/>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811"/>
    <w:multiLevelType w:val="hybridMultilevel"/>
    <w:tmpl w:val="8CDE9418"/>
    <w:lvl w:ilvl="0" w:tplc="0409000F">
      <w:start w:val="1"/>
      <w:numFmt w:val="decimal"/>
      <w:lvlText w:val="%1."/>
      <w:lvlJc w:val="left"/>
      <w:pPr>
        <w:ind w:left="720" w:hanging="360"/>
      </w:pPr>
      <w:rPr>
        <w:rFonts w:hint="default"/>
      </w:rPr>
    </w:lvl>
    <w:lvl w:ilvl="1" w:tplc="2116C6DA">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2DCE"/>
    <w:multiLevelType w:val="hybridMultilevel"/>
    <w:tmpl w:val="93FA8C60"/>
    <w:lvl w:ilvl="0" w:tplc="2D3A91D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807A4"/>
    <w:multiLevelType w:val="hybridMultilevel"/>
    <w:tmpl w:val="B7CEFB7E"/>
    <w:lvl w:ilvl="0" w:tplc="C032BF88">
      <w:start w:val="1"/>
      <w:numFmt w:val="decimal"/>
      <w:lvlText w:val="%1."/>
      <w:lvlJc w:val="left"/>
      <w:pPr>
        <w:ind w:left="6300" w:hanging="360"/>
      </w:pPr>
      <w:rPr>
        <w:rFonts w:hint="default"/>
        <w:b/>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B70AB"/>
    <w:multiLevelType w:val="hybridMultilevel"/>
    <w:tmpl w:val="D40A30F4"/>
    <w:lvl w:ilvl="0" w:tplc="8B9673E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76F"/>
    <w:multiLevelType w:val="hybridMultilevel"/>
    <w:tmpl w:val="2634EA06"/>
    <w:lvl w:ilvl="0" w:tplc="85E65BB8">
      <w:start w:val="1"/>
      <w:numFmt w:val="decimal"/>
      <w:lvlText w:val="%1."/>
      <w:lvlJc w:val="left"/>
      <w:pPr>
        <w:ind w:left="930" w:hanging="57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3B67"/>
    <w:multiLevelType w:val="hybridMultilevel"/>
    <w:tmpl w:val="59E2B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C35FE0"/>
    <w:multiLevelType w:val="hybridMultilevel"/>
    <w:tmpl w:val="68EC7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42845842"/>
    <w:lvl w:ilvl="0" w:tplc="64884006">
      <w:start w:val="1"/>
      <w:numFmt w:val="decimal"/>
      <w:pStyle w:val="GAParaResolution"/>
      <w:lvlText w:val="%1."/>
      <w:lvlJc w:val="left"/>
      <w:pPr>
        <w:ind w:left="1287" w:hanging="360"/>
      </w:pPr>
      <w:rPr>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8C16684"/>
    <w:multiLevelType w:val="hybridMultilevel"/>
    <w:tmpl w:val="D962FE12"/>
    <w:lvl w:ilvl="0" w:tplc="0F940FB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C786D46"/>
    <w:multiLevelType w:val="hybridMultilevel"/>
    <w:tmpl w:val="C6483E08"/>
    <w:lvl w:ilvl="0" w:tplc="86807812">
      <w:start w:val="1"/>
      <w:numFmt w:val="decimal"/>
      <w:lvlText w:val="%1."/>
      <w:lvlJc w:val="left"/>
      <w:pPr>
        <w:ind w:left="1080" w:hanging="360"/>
      </w:pPr>
      <w:rPr>
        <w:b w:val="0"/>
      </w:rPr>
    </w:lvl>
    <w:lvl w:ilvl="1" w:tplc="0409000F">
      <w:start w:val="1"/>
      <w:numFmt w:val="decimal"/>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5994573A"/>
    <w:multiLevelType w:val="hybridMultilevel"/>
    <w:tmpl w:val="57CC9DD4"/>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12921"/>
    <w:multiLevelType w:val="hybridMultilevel"/>
    <w:tmpl w:val="0B8A0C5C"/>
    <w:lvl w:ilvl="0" w:tplc="6E4616FA">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78756812"/>
    <w:multiLevelType w:val="multilevel"/>
    <w:tmpl w:val="88E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2"/>
  </w:num>
  <w:num w:numId="3">
    <w:abstractNumId w:val="7"/>
  </w:num>
  <w:num w:numId="4">
    <w:abstractNumId w:val="28"/>
  </w:num>
  <w:num w:numId="5">
    <w:abstractNumId w:val="24"/>
  </w:num>
  <w:num w:numId="6">
    <w:abstractNumId w:val="5"/>
  </w:num>
  <w:num w:numId="7">
    <w:abstractNumId w:val="8"/>
  </w:num>
  <w:num w:numId="8">
    <w:abstractNumId w:val="16"/>
  </w:num>
  <w:num w:numId="9">
    <w:abstractNumId w:val="11"/>
  </w:num>
  <w:num w:numId="10">
    <w:abstractNumId w:val="13"/>
  </w:num>
  <w:num w:numId="11">
    <w:abstractNumId w:val="15"/>
  </w:num>
  <w:num w:numId="12">
    <w:abstractNumId w:val="14"/>
  </w:num>
  <w:num w:numId="13">
    <w:abstractNumId w:val="25"/>
  </w:num>
  <w:num w:numId="14">
    <w:abstractNumId w:val="19"/>
  </w:num>
  <w:num w:numId="15">
    <w:abstractNumId w:val="20"/>
  </w:num>
  <w:num w:numId="16">
    <w:abstractNumId w:val="13"/>
  </w:num>
  <w:num w:numId="17">
    <w:abstractNumId w:val="13"/>
  </w:num>
  <w:num w:numId="18">
    <w:abstractNumId w:val="13"/>
  </w:num>
  <w:num w:numId="19">
    <w:abstractNumId w:val="2"/>
  </w:num>
  <w:num w:numId="20">
    <w:abstractNumId w:val="26"/>
  </w:num>
  <w:num w:numId="21">
    <w:abstractNumId w:val="22"/>
  </w:num>
  <w:num w:numId="22">
    <w:abstractNumId w:val="11"/>
  </w:num>
  <w:num w:numId="23">
    <w:abstractNumId w:val="3"/>
  </w:num>
  <w:num w:numId="24">
    <w:abstractNumId w:val="11"/>
  </w:num>
  <w:num w:numId="25">
    <w:abstractNumId w:val="11"/>
  </w:num>
  <w:num w:numId="26">
    <w:abstractNumId w:val="11"/>
  </w:num>
  <w:num w:numId="27">
    <w:abstractNumId w:val="11"/>
  </w:num>
  <w:num w:numId="28">
    <w:abstractNumId w:val="11"/>
  </w:num>
  <w:num w:numId="29">
    <w:abstractNumId w:val="10"/>
  </w:num>
  <w:num w:numId="30">
    <w:abstractNumId w:val="11"/>
  </w:num>
  <w:num w:numId="31">
    <w:abstractNumId w:val="11"/>
  </w:num>
  <w:num w:numId="32">
    <w:abstractNumId w:val="13"/>
    <w:lvlOverride w:ilvl="0">
      <w:startOverride w:val="1"/>
    </w:lvlOverride>
  </w:num>
  <w:num w:numId="33">
    <w:abstractNumId w:val="13"/>
    <w:lvlOverride w:ilvl="0">
      <w:startOverride w:val="1"/>
    </w:lvlOverride>
  </w:num>
  <w:num w:numId="34">
    <w:abstractNumId w:val="11"/>
  </w:num>
  <w:num w:numId="35">
    <w:abstractNumId w:val="11"/>
  </w:num>
  <w:num w:numId="36">
    <w:abstractNumId w:val="11"/>
  </w:num>
  <w:num w:numId="37">
    <w:abstractNumId w:val="11"/>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1"/>
  </w:num>
  <w:num w:numId="42">
    <w:abstractNumId w:val="0"/>
  </w:num>
  <w:num w:numId="43">
    <w:abstractNumId w:val="11"/>
  </w:num>
  <w:num w:numId="44">
    <w:abstractNumId w:val="2"/>
  </w:num>
  <w:num w:numId="45">
    <w:abstractNumId w:val="11"/>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1"/>
  </w:num>
  <w:num w:numId="49">
    <w:abstractNumId w:val="11"/>
  </w:num>
  <w:num w:numId="50">
    <w:abstractNumId w:val="4"/>
  </w:num>
  <w:num w:numId="51">
    <w:abstractNumId w:val="21"/>
  </w:num>
  <w:num w:numId="52">
    <w:abstractNumId w:val="11"/>
  </w:num>
  <w:num w:numId="53">
    <w:abstractNumId w:val="11"/>
  </w:num>
  <w:num w:numId="54">
    <w:abstractNumId w:val="11"/>
  </w:num>
  <w:num w:numId="55">
    <w:abstractNumId w:val="11"/>
  </w:num>
  <w:num w:numId="56">
    <w:abstractNumId w:val="11"/>
  </w:num>
  <w:num w:numId="57">
    <w:abstractNumId w:val="27"/>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8"/>
  </w:num>
  <w:num w:numId="68">
    <w:abstractNumId w:val="6"/>
  </w:num>
  <w:num w:numId="69">
    <w:abstractNumId w:val="1"/>
  </w:num>
  <w:num w:numId="70">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1965"/>
    <w:rsid w:val="00001990"/>
    <w:rsid w:val="00004318"/>
    <w:rsid w:val="000048ED"/>
    <w:rsid w:val="00010FF3"/>
    <w:rsid w:val="000127C9"/>
    <w:rsid w:val="0001319B"/>
    <w:rsid w:val="0001763F"/>
    <w:rsid w:val="0002074F"/>
    <w:rsid w:val="00024673"/>
    <w:rsid w:val="00032804"/>
    <w:rsid w:val="00036DAC"/>
    <w:rsid w:val="000403A5"/>
    <w:rsid w:val="00041A66"/>
    <w:rsid w:val="00045C27"/>
    <w:rsid w:val="0005176E"/>
    <w:rsid w:val="0005412F"/>
    <w:rsid w:val="00054A38"/>
    <w:rsid w:val="0006129E"/>
    <w:rsid w:val="00064417"/>
    <w:rsid w:val="00066BA3"/>
    <w:rsid w:val="00067353"/>
    <w:rsid w:val="00070DC0"/>
    <w:rsid w:val="0007499B"/>
    <w:rsid w:val="000765F7"/>
    <w:rsid w:val="00077AB7"/>
    <w:rsid w:val="00081CD8"/>
    <w:rsid w:val="00083A25"/>
    <w:rsid w:val="00095C6A"/>
    <w:rsid w:val="000A57E9"/>
    <w:rsid w:val="000A75DA"/>
    <w:rsid w:val="000A78E3"/>
    <w:rsid w:val="000A7F0E"/>
    <w:rsid w:val="000B6998"/>
    <w:rsid w:val="000C0BBA"/>
    <w:rsid w:val="000C0D61"/>
    <w:rsid w:val="000D3E63"/>
    <w:rsid w:val="000E0193"/>
    <w:rsid w:val="000E096B"/>
    <w:rsid w:val="000E20E6"/>
    <w:rsid w:val="000E2976"/>
    <w:rsid w:val="000F174B"/>
    <w:rsid w:val="000F3A3F"/>
    <w:rsid w:val="000F50E8"/>
    <w:rsid w:val="000F6465"/>
    <w:rsid w:val="00101A6C"/>
    <w:rsid w:val="00102557"/>
    <w:rsid w:val="00105D6E"/>
    <w:rsid w:val="001068FD"/>
    <w:rsid w:val="00107F57"/>
    <w:rsid w:val="0011139C"/>
    <w:rsid w:val="0011293E"/>
    <w:rsid w:val="00112CAB"/>
    <w:rsid w:val="00114BBF"/>
    <w:rsid w:val="00121158"/>
    <w:rsid w:val="00121C4A"/>
    <w:rsid w:val="00125598"/>
    <w:rsid w:val="001314DE"/>
    <w:rsid w:val="00133B34"/>
    <w:rsid w:val="00136BA3"/>
    <w:rsid w:val="00140C7E"/>
    <w:rsid w:val="00141275"/>
    <w:rsid w:val="001472F9"/>
    <w:rsid w:val="00157E09"/>
    <w:rsid w:val="00164D56"/>
    <w:rsid w:val="00167B10"/>
    <w:rsid w:val="0017402F"/>
    <w:rsid w:val="00176720"/>
    <w:rsid w:val="00180E5B"/>
    <w:rsid w:val="00181284"/>
    <w:rsid w:val="00182973"/>
    <w:rsid w:val="00191ADC"/>
    <w:rsid w:val="00195153"/>
    <w:rsid w:val="00195E6F"/>
    <w:rsid w:val="00196C1B"/>
    <w:rsid w:val="001A16D0"/>
    <w:rsid w:val="001A1CD5"/>
    <w:rsid w:val="001B0F73"/>
    <w:rsid w:val="001C69DD"/>
    <w:rsid w:val="001D3E1A"/>
    <w:rsid w:val="001D5447"/>
    <w:rsid w:val="001D5C04"/>
    <w:rsid w:val="001D5F08"/>
    <w:rsid w:val="001D663C"/>
    <w:rsid w:val="001E432A"/>
    <w:rsid w:val="001F4030"/>
    <w:rsid w:val="00204DA8"/>
    <w:rsid w:val="00206388"/>
    <w:rsid w:val="00207F3D"/>
    <w:rsid w:val="00214B96"/>
    <w:rsid w:val="00222A2D"/>
    <w:rsid w:val="00223029"/>
    <w:rsid w:val="0022400C"/>
    <w:rsid w:val="002250E5"/>
    <w:rsid w:val="00233063"/>
    <w:rsid w:val="00233310"/>
    <w:rsid w:val="00234745"/>
    <w:rsid w:val="00236508"/>
    <w:rsid w:val="00237CB1"/>
    <w:rsid w:val="002406BD"/>
    <w:rsid w:val="002407AF"/>
    <w:rsid w:val="00253E81"/>
    <w:rsid w:val="00254221"/>
    <w:rsid w:val="00254264"/>
    <w:rsid w:val="00260DED"/>
    <w:rsid w:val="0026225C"/>
    <w:rsid w:val="002636F7"/>
    <w:rsid w:val="00266CD9"/>
    <w:rsid w:val="002708FF"/>
    <w:rsid w:val="00270E9B"/>
    <w:rsid w:val="0027186B"/>
    <w:rsid w:val="00274F58"/>
    <w:rsid w:val="00287B22"/>
    <w:rsid w:val="002946E2"/>
    <w:rsid w:val="00295F24"/>
    <w:rsid w:val="00297DC7"/>
    <w:rsid w:val="002B06AB"/>
    <w:rsid w:val="002B0EDD"/>
    <w:rsid w:val="002B6F29"/>
    <w:rsid w:val="002C00BB"/>
    <w:rsid w:val="002C09E3"/>
    <w:rsid w:val="002C5D7C"/>
    <w:rsid w:val="002C7B33"/>
    <w:rsid w:val="002D24BD"/>
    <w:rsid w:val="002D265A"/>
    <w:rsid w:val="002D325D"/>
    <w:rsid w:val="002D494A"/>
    <w:rsid w:val="002E064E"/>
    <w:rsid w:val="002E1C7F"/>
    <w:rsid w:val="002E3396"/>
    <w:rsid w:val="002E44A5"/>
    <w:rsid w:val="002E54AF"/>
    <w:rsid w:val="002F002E"/>
    <w:rsid w:val="002F312A"/>
    <w:rsid w:val="002F6874"/>
    <w:rsid w:val="002F6FF8"/>
    <w:rsid w:val="003048E6"/>
    <w:rsid w:val="00314276"/>
    <w:rsid w:val="00316962"/>
    <w:rsid w:val="003205C0"/>
    <w:rsid w:val="0032326C"/>
    <w:rsid w:val="00325090"/>
    <w:rsid w:val="003258AE"/>
    <w:rsid w:val="003260FA"/>
    <w:rsid w:val="003265D0"/>
    <w:rsid w:val="00327A8B"/>
    <w:rsid w:val="00332E93"/>
    <w:rsid w:val="00335173"/>
    <w:rsid w:val="003362AA"/>
    <w:rsid w:val="003374DD"/>
    <w:rsid w:val="003378DE"/>
    <w:rsid w:val="00342A07"/>
    <w:rsid w:val="00345CB4"/>
    <w:rsid w:val="003505FB"/>
    <w:rsid w:val="00352837"/>
    <w:rsid w:val="003549B8"/>
    <w:rsid w:val="00360E2F"/>
    <w:rsid w:val="00361963"/>
    <w:rsid w:val="003706DC"/>
    <w:rsid w:val="00374153"/>
    <w:rsid w:val="00377FC2"/>
    <w:rsid w:val="003807AF"/>
    <w:rsid w:val="00386F82"/>
    <w:rsid w:val="003952C5"/>
    <w:rsid w:val="003A2CEE"/>
    <w:rsid w:val="003A4F0D"/>
    <w:rsid w:val="003B54B9"/>
    <w:rsid w:val="003C3B21"/>
    <w:rsid w:val="003C591E"/>
    <w:rsid w:val="003D069C"/>
    <w:rsid w:val="003D7646"/>
    <w:rsid w:val="003E056A"/>
    <w:rsid w:val="003E084C"/>
    <w:rsid w:val="003E1FF4"/>
    <w:rsid w:val="003E23AE"/>
    <w:rsid w:val="003E3748"/>
    <w:rsid w:val="003F113A"/>
    <w:rsid w:val="003F5759"/>
    <w:rsid w:val="00400264"/>
    <w:rsid w:val="00401FB2"/>
    <w:rsid w:val="00402135"/>
    <w:rsid w:val="0041003D"/>
    <w:rsid w:val="00414643"/>
    <w:rsid w:val="00415E39"/>
    <w:rsid w:val="00421289"/>
    <w:rsid w:val="00427CC9"/>
    <w:rsid w:val="004313DE"/>
    <w:rsid w:val="00435BE2"/>
    <w:rsid w:val="00441989"/>
    <w:rsid w:val="004421E5"/>
    <w:rsid w:val="00442949"/>
    <w:rsid w:val="00442B7E"/>
    <w:rsid w:val="0044643C"/>
    <w:rsid w:val="00452284"/>
    <w:rsid w:val="004537EC"/>
    <w:rsid w:val="00463AC6"/>
    <w:rsid w:val="0047262B"/>
    <w:rsid w:val="00473DBE"/>
    <w:rsid w:val="00476916"/>
    <w:rsid w:val="00481756"/>
    <w:rsid w:val="004842BF"/>
    <w:rsid w:val="004856CA"/>
    <w:rsid w:val="004858B5"/>
    <w:rsid w:val="00490B62"/>
    <w:rsid w:val="004943F1"/>
    <w:rsid w:val="0049705E"/>
    <w:rsid w:val="004A1247"/>
    <w:rsid w:val="004A34A0"/>
    <w:rsid w:val="004A45BE"/>
    <w:rsid w:val="004A4B42"/>
    <w:rsid w:val="004C5321"/>
    <w:rsid w:val="004D44A6"/>
    <w:rsid w:val="004E63B0"/>
    <w:rsid w:val="004F3DF6"/>
    <w:rsid w:val="00502D44"/>
    <w:rsid w:val="00504163"/>
    <w:rsid w:val="005046BF"/>
    <w:rsid w:val="00505897"/>
    <w:rsid w:val="00510407"/>
    <w:rsid w:val="00510597"/>
    <w:rsid w:val="00520457"/>
    <w:rsid w:val="0052179C"/>
    <w:rsid w:val="00526B7B"/>
    <w:rsid w:val="00527E2A"/>
    <w:rsid w:val="005308CE"/>
    <w:rsid w:val="0053106B"/>
    <w:rsid w:val="00535393"/>
    <w:rsid w:val="00540FE0"/>
    <w:rsid w:val="00542D13"/>
    <w:rsid w:val="0054389A"/>
    <w:rsid w:val="00562BD3"/>
    <w:rsid w:val="005631B0"/>
    <w:rsid w:val="00565274"/>
    <w:rsid w:val="0057011E"/>
    <w:rsid w:val="00573109"/>
    <w:rsid w:val="005737D9"/>
    <w:rsid w:val="0057439C"/>
    <w:rsid w:val="00574996"/>
    <w:rsid w:val="005828EC"/>
    <w:rsid w:val="005908BD"/>
    <w:rsid w:val="005A584E"/>
    <w:rsid w:val="005B0127"/>
    <w:rsid w:val="005B0710"/>
    <w:rsid w:val="005B3A5A"/>
    <w:rsid w:val="005B7A35"/>
    <w:rsid w:val="005C30BF"/>
    <w:rsid w:val="005C3701"/>
    <w:rsid w:val="005C4B73"/>
    <w:rsid w:val="005C7002"/>
    <w:rsid w:val="005D2C55"/>
    <w:rsid w:val="005D5701"/>
    <w:rsid w:val="005D6405"/>
    <w:rsid w:val="005E1D2B"/>
    <w:rsid w:val="005E5B36"/>
    <w:rsid w:val="005F1037"/>
    <w:rsid w:val="005F28EE"/>
    <w:rsid w:val="005F696C"/>
    <w:rsid w:val="00600D93"/>
    <w:rsid w:val="006071EA"/>
    <w:rsid w:val="006105BD"/>
    <w:rsid w:val="006142CF"/>
    <w:rsid w:val="006250C0"/>
    <w:rsid w:val="0062614E"/>
    <w:rsid w:val="0063300C"/>
    <w:rsid w:val="006337EF"/>
    <w:rsid w:val="00641195"/>
    <w:rsid w:val="00642E8A"/>
    <w:rsid w:val="00643CA5"/>
    <w:rsid w:val="006460C4"/>
    <w:rsid w:val="00651A58"/>
    <w:rsid w:val="00653660"/>
    <w:rsid w:val="00655736"/>
    <w:rsid w:val="00656947"/>
    <w:rsid w:val="0066235E"/>
    <w:rsid w:val="0066307B"/>
    <w:rsid w:val="00663171"/>
    <w:rsid w:val="00663B8D"/>
    <w:rsid w:val="006640BF"/>
    <w:rsid w:val="00665227"/>
    <w:rsid w:val="0066658F"/>
    <w:rsid w:val="00672129"/>
    <w:rsid w:val="00676625"/>
    <w:rsid w:val="00681799"/>
    <w:rsid w:val="00684344"/>
    <w:rsid w:val="006852E4"/>
    <w:rsid w:val="0068560C"/>
    <w:rsid w:val="00696C8D"/>
    <w:rsid w:val="006A2AC2"/>
    <w:rsid w:val="006A3617"/>
    <w:rsid w:val="006B462D"/>
    <w:rsid w:val="006B70DE"/>
    <w:rsid w:val="006C2DEF"/>
    <w:rsid w:val="006D13FE"/>
    <w:rsid w:val="006D200F"/>
    <w:rsid w:val="006D2D5A"/>
    <w:rsid w:val="006D3E54"/>
    <w:rsid w:val="006E0806"/>
    <w:rsid w:val="006E13F0"/>
    <w:rsid w:val="006E2048"/>
    <w:rsid w:val="006E247A"/>
    <w:rsid w:val="006E46E4"/>
    <w:rsid w:val="006E5D5B"/>
    <w:rsid w:val="006F3790"/>
    <w:rsid w:val="006F41B4"/>
    <w:rsid w:val="006F4800"/>
    <w:rsid w:val="00700862"/>
    <w:rsid w:val="00703FBF"/>
    <w:rsid w:val="00712884"/>
    <w:rsid w:val="00717D90"/>
    <w:rsid w:val="00717DA5"/>
    <w:rsid w:val="00717EB4"/>
    <w:rsid w:val="00722AD5"/>
    <w:rsid w:val="0073710C"/>
    <w:rsid w:val="00740D1E"/>
    <w:rsid w:val="0074199E"/>
    <w:rsid w:val="00742A91"/>
    <w:rsid w:val="00744484"/>
    <w:rsid w:val="00750062"/>
    <w:rsid w:val="0075071E"/>
    <w:rsid w:val="007530A6"/>
    <w:rsid w:val="00754226"/>
    <w:rsid w:val="007549B7"/>
    <w:rsid w:val="0075577D"/>
    <w:rsid w:val="007559F8"/>
    <w:rsid w:val="00755E17"/>
    <w:rsid w:val="00763A0D"/>
    <w:rsid w:val="00772940"/>
    <w:rsid w:val="00773188"/>
    <w:rsid w:val="007744B4"/>
    <w:rsid w:val="00775E6D"/>
    <w:rsid w:val="00783782"/>
    <w:rsid w:val="00784B8C"/>
    <w:rsid w:val="00785A3F"/>
    <w:rsid w:val="0079350E"/>
    <w:rsid w:val="007A11D1"/>
    <w:rsid w:val="007A26FB"/>
    <w:rsid w:val="007B079C"/>
    <w:rsid w:val="007B3904"/>
    <w:rsid w:val="007B5559"/>
    <w:rsid w:val="007B5785"/>
    <w:rsid w:val="007B5992"/>
    <w:rsid w:val="007B6AF0"/>
    <w:rsid w:val="007C3A56"/>
    <w:rsid w:val="007D144B"/>
    <w:rsid w:val="007D293F"/>
    <w:rsid w:val="007D3B45"/>
    <w:rsid w:val="007F1D25"/>
    <w:rsid w:val="007F5140"/>
    <w:rsid w:val="00807CB3"/>
    <w:rsid w:val="008131F5"/>
    <w:rsid w:val="00815F92"/>
    <w:rsid w:val="0081717C"/>
    <w:rsid w:val="00817639"/>
    <w:rsid w:val="00823A11"/>
    <w:rsid w:val="00833242"/>
    <w:rsid w:val="00837355"/>
    <w:rsid w:val="00842D2C"/>
    <w:rsid w:val="00844B63"/>
    <w:rsid w:val="00844BCD"/>
    <w:rsid w:val="00844D51"/>
    <w:rsid w:val="00846A76"/>
    <w:rsid w:val="008471FB"/>
    <w:rsid w:val="0085188A"/>
    <w:rsid w:val="00852866"/>
    <w:rsid w:val="0085414A"/>
    <w:rsid w:val="00856B15"/>
    <w:rsid w:val="0086269D"/>
    <w:rsid w:val="0086543A"/>
    <w:rsid w:val="00865ABD"/>
    <w:rsid w:val="008724E5"/>
    <w:rsid w:val="00872953"/>
    <w:rsid w:val="00873DF0"/>
    <w:rsid w:val="00874FEA"/>
    <w:rsid w:val="00875803"/>
    <w:rsid w:val="00877164"/>
    <w:rsid w:val="00880CD9"/>
    <w:rsid w:val="00884A9D"/>
    <w:rsid w:val="0088512B"/>
    <w:rsid w:val="008863D2"/>
    <w:rsid w:val="008911D1"/>
    <w:rsid w:val="00892B18"/>
    <w:rsid w:val="008948AA"/>
    <w:rsid w:val="00895560"/>
    <w:rsid w:val="0089642C"/>
    <w:rsid w:val="008A1ED4"/>
    <w:rsid w:val="008A1F90"/>
    <w:rsid w:val="008A2B2D"/>
    <w:rsid w:val="008A4E1E"/>
    <w:rsid w:val="008B4CC6"/>
    <w:rsid w:val="008C296C"/>
    <w:rsid w:val="008C39E7"/>
    <w:rsid w:val="008D4305"/>
    <w:rsid w:val="008D774C"/>
    <w:rsid w:val="008D7CAA"/>
    <w:rsid w:val="008E1ADF"/>
    <w:rsid w:val="008F0294"/>
    <w:rsid w:val="008F18CB"/>
    <w:rsid w:val="008F18F8"/>
    <w:rsid w:val="00903B99"/>
    <w:rsid w:val="00905548"/>
    <w:rsid w:val="009064D3"/>
    <w:rsid w:val="00913B63"/>
    <w:rsid w:val="009163A7"/>
    <w:rsid w:val="00920665"/>
    <w:rsid w:val="00921795"/>
    <w:rsid w:val="00926DE0"/>
    <w:rsid w:val="0093284A"/>
    <w:rsid w:val="0093358E"/>
    <w:rsid w:val="00934822"/>
    <w:rsid w:val="00935DBB"/>
    <w:rsid w:val="009467EB"/>
    <w:rsid w:val="00946D0B"/>
    <w:rsid w:val="00947E5C"/>
    <w:rsid w:val="00952105"/>
    <w:rsid w:val="00955F1F"/>
    <w:rsid w:val="00963736"/>
    <w:rsid w:val="00984D5E"/>
    <w:rsid w:val="00990474"/>
    <w:rsid w:val="0099076C"/>
    <w:rsid w:val="00991D6F"/>
    <w:rsid w:val="009928D3"/>
    <w:rsid w:val="00993DB0"/>
    <w:rsid w:val="00995AC8"/>
    <w:rsid w:val="009A12D2"/>
    <w:rsid w:val="009A18CD"/>
    <w:rsid w:val="009A4530"/>
    <w:rsid w:val="009A54AE"/>
    <w:rsid w:val="009A647D"/>
    <w:rsid w:val="009B08D2"/>
    <w:rsid w:val="009B2F0E"/>
    <w:rsid w:val="009B410F"/>
    <w:rsid w:val="009C0118"/>
    <w:rsid w:val="009C10D3"/>
    <w:rsid w:val="009C4886"/>
    <w:rsid w:val="009D0647"/>
    <w:rsid w:val="009D2098"/>
    <w:rsid w:val="009D23E9"/>
    <w:rsid w:val="009D47C4"/>
    <w:rsid w:val="009E2E23"/>
    <w:rsid w:val="009E3A00"/>
    <w:rsid w:val="009E48BD"/>
    <w:rsid w:val="009F7C5C"/>
    <w:rsid w:val="00A02BCC"/>
    <w:rsid w:val="00A12558"/>
    <w:rsid w:val="00A13903"/>
    <w:rsid w:val="00A13C93"/>
    <w:rsid w:val="00A14DBC"/>
    <w:rsid w:val="00A164CA"/>
    <w:rsid w:val="00A177C0"/>
    <w:rsid w:val="00A21C7D"/>
    <w:rsid w:val="00A268C4"/>
    <w:rsid w:val="00A275AB"/>
    <w:rsid w:val="00A30458"/>
    <w:rsid w:val="00A3238D"/>
    <w:rsid w:val="00A34ED5"/>
    <w:rsid w:val="00A3771D"/>
    <w:rsid w:val="00A401E9"/>
    <w:rsid w:val="00A43848"/>
    <w:rsid w:val="00A45DBF"/>
    <w:rsid w:val="00A50368"/>
    <w:rsid w:val="00A60D38"/>
    <w:rsid w:val="00A61E0D"/>
    <w:rsid w:val="00A645DF"/>
    <w:rsid w:val="00A65C29"/>
    <w:rsid w:val="00A65E6D"/>
    <w:rsid w:val="00A67B1F"/>
    <w:rsid w:val="00A755A2"/>
    <w:rsid w:val="00A81916"/>
    <w:rsid w:val="00A9491E"/>
    <w:rsid w:val="00A96506"/>
    <w:rsid w:val="00A97B84"/>
    <w:rsid w:val="00AA4842"/>
    <w:rsid w:val="00AA4D1F"/>
    <w:rsid w:val="00AA6660"/>
    <w:rsid w:val="00AA72AA"/>
    <w:rsid w:val="00AB2C36"/>
    <w:rsid w:val="00AB2C73"/>
    <w:rsid w:val="00AB5E12"/>
    <w:rsid w:val="00AB70B6"/>
    <w:rsid w:val="00AC0694"/>
    <w:rsid w:val="00AD1A86"/>
    <w:rsid w:val="00AD1B3B"/>
    <w:rsid w:val="00AD4D18"/>
    <w:rsid w:val="00AD4E49"/>
    <w:rsid w:val="00AD4E56"/>
    <w:rsid w:val="00AD53A4"/>
    <w:rsid w:val="00AD6495"/>
    <w:rsid w:val="00AE103E"/>
    <w:rsid w:val="00AE1DDC"/>
    <w:rsid w:val="00AE539A"/>
    <w:rsid w:val="00AE741B"/>
    <w:rsid w:val="00AF0A07"/>
    <w:rsid w:val="00AF4AEC"/>
    <w:rsid w:val="00AF625E"/>
    <w:rsid w:val="00B03C03"/>
    <w:rsid w:val="00B0493C"/>
    <w:rsid w:val="00B063D5"/>
    <w:rsid w:val="00B17AC8"/>
    <w:rsid w:val="00B20454"/>
    <w:rsid w:val="00B20A5A"/>
    <w:rsid w:val="00B34A7F"/>
    <w:rsid w:val="00B361F6"/>
    <w:rsid w:val="00B368CC"/>
    <w:rsid w:val="00B5062A"/>
    <w:rsid w:val="00B53629"/>
    <w:rsid w:val="00B53C0F"/>
    <w:rsid w:val="00B67260"/>
    <w:rsid w:val="00B72504"/>
    <w:rsid w:val="00B767CA"/>
    <w:rsid w:val="00B86DC7"/>
    <w:rsid w:val="00B91128"/>
    <w:rsid w:val="00B91F10"/>
    <w:rsid w:val="00B939C0"/>
    <w:rsid w:val="00B93C4C"/>
    <w:rsid w:val="00B96A0F"/>
    <w:rsid w:val="00B96B09"/>
    <w:rsid w:val="00BB04AF"/>
    <w:rsid w:val="00BB6A7F"/>
    <w:rsid w:val="00BC1100"/>
    <w:rsid w:val="00BC2946"/>
    <w:rsid w:val="00BC3361"/>
    <w:rsid w:val="00BC4681"/>
    <w:rsid w:val="00BC6CCB"/>
    <w:rsid w:val="00BC7E4A"/>
    <w:rsid w:val="00BD52C9"/>
    <w:rsid w:val="00BE022A"/>
    <w:rsid w:val="00BE1594"/>
    <w:rsid w:val="00BE41B3"/>
    <w:rsid w:val="00BE6354"/>
    <w:rsid w:val="00BE6F52"/>
    <w:rsid w:val="00BF25F8"/>
    <w:rsid w:val="00BF3E41"/>
    <w:rsid w:val="00BF7901"/>
    <w:rsid w:val="00C00105"/>
    <w:rsid w:val="00C07874"/>
    <w:rsid w:val="00C14245"/>
    <w:rsid w:val="00C147BE"/>
    <w:rsid w:val="00C208BF"/>
    <w:rsid w:val="00C23A97"/>
    <w:rsid w:val="00C273C2"/>
    <w:rsid w:val="00C27C58"/>
    <w:rsid w:val="00C35262"/>
    <w:rsid w:val="00C42C66"/>
    <w:rsid w:val="00C433D4"/>
    <w:rsid w:val="00C52A00"/>
    <w:rsid w:val="00C52AE1"/>
    <w:rsid w:val="00C6301A"/>
    <w:rsid w:val="00C67832"/>
    <w:rsid w:val="00C70EA7"/>
    <w:rsid w:val="00C73C59"/>
    <w:rsid w:val="00C7516E"/>
    <w:rsid w:val="00C75770"/>
    <w:rsid w:val="00C8165C"/>
    <w:rsid w:val="00C86719"/>
    <w:rsid w:val="00C86E90"/>
    <w:rsid w:val="00C9586F"/>
    <w:rsid w:val="00CA16D4"/>
    <w:rsid w:val="00CA64CA"/>
    <w:rsid w:val="00CA719A"/>
    <w:rsid w:val="00CA7F20"/>
    <w:rsid w:val="00CB0DAB"/>
    <w:rsid w:val="00CB2078"/>
    <w:rsid w:val="00CB4D53"/>
    <w:rsid w:val="00CB5650"/>
    <w:rsid w:val="00CB6516"/>
    <w:rsid w:val="00CB7AD8"/>
    <w:rsid w:val="00CC2383"/>
    <w:rsid w:val="00CC467D"/>
    <w:rsid w:val="00CD3A90"/>
    <w:rsid w:val="00CE6727"/>
    <w:rsid w:val="00CE78D5"/>
    <w:rsid w:val="00CF5C0F"/>
    <w:rsid w:val="00CF74EB"/>
    <w:rsid w:val="00D003FC"/>
    <w:rsid w:val="00D00B2B"/>
    <w:rsid w:val="00D0468B"/>
    <w:rsid w:val="00D12573"/>
    <w:rsid w:val="00D16A03"/>
    <w:rsid w:val="00D218A8"/>
    <w:rsid w:val="00D24877"/>
    <w:rsid w:val="00D25762"/>
    <w:rsid w:val="00D40BA5"/>
    <w:rsid w:val="00D445EC"/>
    <w:rsid w:val="00D474DC"/>
    <w:rsid w:val="00D503BE"/>
    <w:rsid w:val="00D5042F"/>
    <w:rsid w:val="00D51A7C"/>
    <w:rsid w:val="00D55CC8"/>
    <w:rsid w:val="00D62AB2"/>
    <w:rsid w:val="00D63C89"/>
    <w:rsid w:val="00D64752"/>
    <w:rsid w:val="00D67266"/>
    <w:rsid w:val="00D72BEC"/>
    <w:rsid w:val="00D73B51"/>
    <w:rsid w:val="00D76284"/>
    <w:rsid w:val="00D83B10"/>
    <w:rsid w:val="00D854AC"/>
    <w:rsid w:val="00D86C3D"/>
    <w:rsid w:val="00D95A17"/>
    <w:rsid w:val="00D95C4C"/>
    <w:rsid w:val="00DA1B98"/>
    <w:rsid w:val="00DA36ED"/>
    <w:rsid w:val="00DA696E"/>
    <w:rsid w:val="00DB2857"/>
    <w:rsid w:val="00DB3CC3"/>
    <w:rsid w:val="00DB4D51"/>
    <w:rsid w:val="00DD167B"/>
    <w:rsid w:val="00DD471E"/>
    <w:rsid w:val="00DD5CE7"/>
    <w:rsid w:val="00DE07FA"/>
    <w:rsid w:val="00DE34F1"/>
    <w:rsid w:val="00DE3C7B"/>
    <w:rsid w:val="00DE4A71"/>
    <w:rsid w:val="00DE6A7F"/>
    <w:rsid w:val="00DF1512"/>
    <w:rsid w:val="00DF4942"/>
    <w:rsid w:val="00E02F06"/>
    <w:rsid w:val="00E03602"/>
    <w:rsid w:val="00E0376A"/>
    <w:rsid w:val="00E0443E"/>
    <w:rsid w:val="00E062E5"/>
    <w:rsid w:val="00E16CD8"/>
    <w:rsid w:val="00E174F0"/>
    <w:rsid w:val="00E26A4F"/>
    <w:rsid w:val="00E270D3"/>
    <w:rsid w:val="00E300FE"/>
    <w:rsid w:val="00E31002"/>
    <w:rsid w:val="00E31DD8"/>
    <w:rsid w:val="00E36702"/>
    <w:rsid w:val="00E3702E"/>
    <w:rsid w:val="00E40D3D"/>
    <w:rsid w:val="00E532FE"/>
    <w:rsid w:val="00E54CE9"/>
    <w:rsid w:val="00E5650E"/>
    <w:rsid w:val="00E60656"/>
    <w:rsid w:val="00E613A4"/>
    <w:rsid w:val="00E61CAD"/>
    <w:rsid w:val="00E627B1"/>
    <w:rsid w:val="00E63FC3"/>
    <w:rsid w:val="00E83AB2"/>
    <w:rsid w:val="00E85542"/>
    <w:rsid w:val="00E92298"/>
    <w:rsid w:val="00E92EE8"/>
    <w:rsid w:val="00E9376C"/>
    <w:rsid w:val="00E96422"/>
    <w:rsid w:val="00E96B17"/>
    <w:rsid w:val="00EA0B0A"/>
    <w:rsid w:val="00EA0DDE"/>
    <w:rsid w:val="00EA1C1A"/>
    <w:rsid w:val="00EA245B"/>
    <w:rsid w:val="00EA335E"/>
    <w:rsid w:val="00EA51AA"/>
    <w:rsid w:val="00EA528C"/>
    <w:rsid w:val="00EB1787"/>
    <w:rsid w:val="00EB5F9B"/>
    <w:rsid w:val="00EC0AE0"/>
    <w:rsid w:val="00EC199B"/>
    <w:rsid w:val="00EC7561"/>
    <w:rsid w:val="00EC75D0"/>
    <w:rsid w:val="00ED01EA"/>
    <w:rsid w:val="00ED6B87"/>
    <w:rsid w:val="00EE0C4F"/>
    <w:rsid w:val="00EF1506"/>
    <w:rsid w:val="00EF175F"/>
    <w:rsid w:val="00EF19A6"/>
    <w:rsid w:val="00EF34E2"/>
    <w:rsid w:val="00EF3C1F"/>
    <w:rsid w:val="00EF4F1F"/>
    <w:rsid w:val="00EF69E3"/>
    <w:rsid w:val="00EF7D7F"/>
    <w:rsid w:val="00F010E0"/>
    <w:rsid w:val="00F01C90"/>
    <w:rsid w:val="00F045C6"/>
    <w:rsid w:val="00F1139B"/>
    <w:rsid w:val="00F14195"/>
    <w:rsid w:val="00F14506"/>
    <w:rsid w:val="00F219EA"/>
    <w:rsid w:val="00F21D3E"/>
    <w:rsid w:val="00F31EA6"/>
    <w:rsid w:val="00F32056"/>
    <w:rsid w:val="00F32411"/>
    <w:rsid w:val="00F33777"/>
    <w:rsid w:val="00F347A7"/>
    <w:rsid w:val="00F37656"/>
    <w:rsid w:val="00F41EEC"/>
    <w:rsid w:val="00F46262"/>
    <w:rsid w:val="00F53DE9"/>
    <w:rsid w:val="00F576CB"/>
    <w:rsid w:val="00F6072A"/>
    <w:rsid w:val="00F6160F"/>
    <w:rsid w:val="00F62FE1"/>
    <w:rsid w:val="00F65666"/>
    <w:rsid w:val="00F71A02"/>
    <w:rsid w:val="00F730BE"/>
    <w:rsid w:val="00F7370E"/>
    <w:rsid w:val="00F74156"/>
    <w:rsid w:val="00F75634"/>
    <w:rsid w:val="00F844B0"/>
    <w:rsid w:val="00F84FFE"/>
    <w:rsid w:val="00F8644D"/>
    <w:rsid w:val="00F953B9"/>
    <w:rsid w:val="00FA7342"/>
    <w:rsid w:val="00FA745F"/>
    <w:rsid w:val="00FA7A54"/>
    <w:rsid w:val="00FB5FDB"/>
    <w:rsid w:val="00FB6630"/>
    <w:rsid w:val="00FC1B19"/>
    <w:rsid w:val="00FC2250"/>
    <w:rsid w:val="00FC2E37"/>
    <w:rsid w:val="00FC3B53"/>
    <w:rsid w:val="00FC4A5F"/>
    <w:rsid w:val="00FD0F59"/>
    <w:rsid w:val="00FD11C1"/>
    <w:rsid w:val="00FD1226"/>
    <w:rsid w:val="00FE0968"/>
    <w:rsid w:val="00FE1176"/>
    <w:rsid w:val="00FE6A0D"/>
    <w:rsid w:val="00FF1DF6"/>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CAA34B"/>
  <w15:docId w15:val="{24865D69-91E3-4D6A-B106-601DAD9D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sz w:val="16"/>
      <w:szCs w:val="16"/>
    </w:rPr>
  </w:style>
  <w:style w:type="character" w:customStyle="1" w:styleId="BalloonTextChar">
    <w:name w:val="Balloon Text Char"/>
    <w:link w:val="BalloonText"/>
    <w:uiPriority w:val="99"/>
    <w:semiHidden/>
    <w:rsid w:val="008724E5"/>
    <w:rPr>
      <w:rFonts w:ascii="Tahoma" w:hAnsi="Tahoma" w:cs="Arial"/>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cs="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Arial"/>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pPr>
    <w:rPr>
      <w:rFonts w:ascii="Arial" w:eastAsia="Times New Roman" w:hAnsi="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sz w:val="22"/>
      <w:szCs w:val="22"/>
      <w:u w:val="single"/>
      <w:lang w:val="en-GB"/>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ListParagraphChar"/>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SimSun" w:hAnsi="Arial"/>
      <w:sz w:val="22"/>
      <w:szCs w:val="22"/>
      <w:u w:val="single"/>
      <w:lang w:val="en-GB"/>
    </w:rPr>
  </w:style>
  <w:style w:type="table" w:customStyle="1" w:styleId="TableGrid1">
    <w:name w:val="Table Grid1"/>
    <w:basedOn w:val="TableNormal"/>
    <w:uiPriority w:val="59"/>
    <w:rsid w:val="00191ADC"/>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A268C4"/>
    <w:rPr>
      <w:rFonts w:cs="Times New Roman"/>
      <w:color w:val="0000FF"/>
      <w:u w:val="single"/>
    </w:rPr>
  </w:style>
  <w:style w:type="paragraph" w:styleId="FootnoteText">
    <w:name w:val="footnote text"/>
    <w:basedOn w:val="Normal"/>
    <w:link w:val="FootnoteTextChar"/>
    <w:uiPriority w:val="99"/>
    <w:semiHidden/>
    <w:unhideWhenUsed/>
    <w:rsid w:val="00A268C4"/>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A268C4"/>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A268C4"/>
    <w:rPr>
      <w:vertAlign w:val="superscript"/>
    </w:rPr>
  </w:style>
  <w:style w:type="character" w:customStyle="1" w:styleId="textview">
    <w:name w:val="textview"/>
    <w:basedOn w:val="DefaultParagraphFont"/>
    <w:rsid w:val="00A268C4"/>
  </w:style>
  <w:style w:type="table" w:customStyle="1" w:styleId="TableGrid2">
    <w:name w:val="Table Grid2"/>
    <w:basedOn w:val="TableNormal"/>
    <w:next w:val="TableGrid"/>
    <w:uiPriority w:val="59"/>
    <w:rsid w:val="00A268C4"/>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basedOn w:val="DefaultParagraphFont"/>
    <w:link w:val="ListParagraph"/>
    <w:uiPriority w:val="34"/>
    <w:qFormat/>
    <w:locked/>
    <w:rsid w:val="00A268C4"/>
    <w:rPr>
      <w:rFonts w:ascii="Times New Roman" w:eastAsia="Times New Roman" w:hAnsi="Times New Roman" w:cs="Arial"/>
      <w:sz w:val="24"/>
      <w:szCs w:val="24"/>
      <w:lang w:val="fr-FR" w:eastAsia="fr-FR"/>
    </w:rPr>
  </w:style>
  <w:style w:type="paragraph" w:customStyle="1" w:styleId="COMPara">
    <w:name w:val="COM Para"/>
    <w:qFormat/>
    <w:rsid w:val="002E1C7F"/>
    <w:pPr>
      <w:spacing w:after="120"/>
      <w:ind w:left="720" w:hanging="360"/>
    </w:pPr>
    <w:rPr>
      <w:rFonts w:ascii="Arial" w:eastAsia="Times New Roman" w:hAnsi="Arial"/>
      <w:snapToGrid w:val="0"/>
      <w:sz w:val="22"/>
      <w:szCs w:val="22"/>
      <w:lang w:eastAsia="en-US"/>
    </w:rPr>
  </w:style>
  <w:style w:type="character" w:styleId="CommentReference">
    <w:name w:val="annotation reference"/>
    <w:basedOn w:val="DefaultParagraphFont"/>
    <w:uiPriority w:val="99"/>
    <w:semiHidden/>
    <w:unhideWhenUsed/>
    <w:rsid w:val="002E1C7F"/>
    <w:rPr>
      <w:sz w:val="16"/>
      <w:szCs w:val="16"/>
    </w:rPr>
  </w:style>
  <w:style w:type="paragraph" w:styleId="CommentText">
    <w:name w:val="annotation text"/>
    <w:basedOn w:val="Normal"/>
    <w:link w:val="CommentTextChar"/>
    <w:uiPriority w:val="99"/>
    <w:semiHidden/>
    <w:unhideWhenUsed/>
    <w:rsid w:val="002E1C7F"/>
    <w:pPr>
      <w:spacing w:after="160"/>
    </w:pPr>
    <w:rPr>
      <w:rFonts w:asciiTheme="minorHAnsi" w:eastAsiaTheme="minorEastAsia" w:hAnsiTheme="minorHAnsi" w:cstheme="minorBidi"/>
      <w:sz w:val="20"/>
      <w:szCs w:val="20"/>
      <w:lang w:val="en-GB" w:eastAsia="zh-CN"/>
    </w:rPr>
  </w:style>
  <w:style w:type="character" w:customStyle="1" w:styleId="CommentTextChar">
    <w:name w:val="Comment Text Char"/>
    <w:basedOn w:val="DefaultParagraphFont"/>
    <w:link w:val="CommentText"/>
    <w:uiPriority w:val="99"/>
    <w:semiHidden/>
    <w:rsid w:val="002E1C7F"/>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uiPriority w:val="99"/>
    <w:semiHidden/>
    <w:unhideWhenUsed/>
    <w:rsid w:val="00F32411"/>
    <w:pPr>
      <w:spacing w:after="0"/>
    </w:pPr>
    <w:rPr>
      <w:rFonts w:ascii="Times New Roman" w:eastAsia="Times New Roman" w:hAnsi="Times New Roman" w:cs="Arial"/>
      <w:b/>
      <w:bCs/>
      <w:lang w:val="fr-FR" w:eastAsia="fr-FR"/>
    </w:rPr>
  </w:style>
  <w:style w:type="character" w:customStyle="1" w:styleId="CommentSubjectChar">
    <w:name w:val="Comment Subject Char"/>
    <w:basedOn w:val="CommentTextChar"/>
    <w:link w:val="CommentSubject"/>
    <w:uiPriority w:val="99"/>
    <w:semiHidden/>
    <w:rsid w:val="00F32411"/>
    <w:rPr>
      <w:rFonts w:ascii="Times New Roman" w:eastAsia="Times New Roman" w:hAnsi="Times New Roman" w:cstheme="minorBidi"/>
      <w:b/>
      <w:bCs/>
      <w:lang w:val="fr-FR" w:eastAsia="fr-FR"/>
    </w:rPr>
  </w:style>
  <w:style w:type="paragraph" w:customStyle="1" w:styleId="COMTitleDecision">
    <w:name w:val="COM Title Decision"/>
    <w:basedOn w:val="Normal"/>
    <w:qFormat/>
    <w:rsid w:val="00BF7901"/>
    <w:pPr>
      <w:keepNext/>
      <w:spacing w:before="240" w:after="120"/>
      <w:ind w:left="567"/>
      <w:jc w:val="both"/>
    </w:pPr>
    <w:rPr>
      <w:rFonts w:ascii="Arial" w:hAnsi="Arial"/>
      <w:b/>
      <w:sz w:val="22"/>
      <w:szCs w:val="22"/>
    </w:rPr>
  </w:style>
  <w:style w:type="table" w:customStyle="1" w:styleId="Grilledetableauclaire1">
    <w:name w:val="Grille de tableau claire1"/>
    <w:basedOn w:val="TableNormal"/>
    <w:uiPriority w:val="40"/>
    <w:rsid w:val="00BF79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_1"/>
    <w:basedOn w:val="Marge"/>
    <w:link w:val="Bullet1Char"/>
    <w:qFormat/>
    <w:rsid w:val="00D503BE"/>
    <w:pPr>
      <w:numPr>
        <w:numId w:val="51"/>
      </w:numPr>
      <w:tabs>
        <w:tab w:val="clear" w:pos="567"/>
      </w:tabs>
      <w:spacing w:before="240" w:line="360" w:lineRule="auto"/>
    </w:pPr>
    <w:rPr>
      <w:rFonts w:eastAsia="SimSun"/>
      <w:sz w:val="28"/>
      <w:szCs w:val="28"/>
      <w:lang w:val="en-GB" w:eastAsia="zh-CN"/>
    </w:rPr>
  </w:style>
  <w:style w:type="paragraph" w:customStyle="1" w:styleId="Bullet2">
    <w:name w:val="Bullet_2"/>
    <w:basedOn w:val="Marge"/>
    <w:qFormat/>
    <w:rsid w:val="00D503BE"/>
    <w:pPr>
      <w:numPr>
        <w:ilvl w:val="1"/>
        <w:numId w:val="51"/>
      </w:numPr>
      <w:tabs>
        <w:tab w:val="clear" w:pos="567"/>
      </w:tabs>
      <w:spacing w:before="240" w:line="360" w:lineRule="auto"/>
      <w:ind w:left="1134" w:hanging="567"/>
    </w:pPr>
    <w:rPr>
      <w:rFonts w:eastAsia="SimSun"/>
      <w:sz w:val="28"/>
      <w:szCs w:val="28"/>
      <w:lang w:val="en-GB" w:eastAsia="zh-CN"/>
    </w:rPr>
  </w:style>
  <w:style w:type="character" w:customStyle="1" w:styleId="Bullet1Char">
    <w:name w:val="Bullet_1 Char"/>
    <w:link w:val="Bullet1"/>
    <w:rsid w:val="00D503BE"/>
    <w:rPr>
      <w:rFonts w:ascii="Arial" w:hAnsi="Arial" w:cs="Arial"/>
      <w:snapToGrid w:val="0"/>
      <w:sz w:val="28"/>
      <w:szCs w:val="28"/>
      <w:lang w:eastAsia="zh-CN"/>
    </w:rPr>
  </w:style>
  <w:style w:type="paragraph" w:styleId="Revision">
    <w:name w:val="Revision"/>
    <w:hidden/>
    <w:uiPriority w:val="99"/>
    <w:semiHidden/>
    <w:rsid w:val="00BC3361"/>
    <w:rPr>
      <w:rFonts w:ascii="Times New Roman" w:eastAsia="Times New Roman" w:hAnsi="Times New Roman"/>
      <w:sz w:val="24"/>
      <w:szCs w:val="24"/>
      <w:lang w:val="fr-FR" w:eastAsia="fr-FR"/>
    </w:rPr>
  </w:style>
  <w:style w:type="character" w:styleId="FollowedHyperlink">
    <w:name w:val="FollowedHyperlink"/>
    <w:basedOn w:val="DefaultParagraphFont"/>
    <w:uiPriority w:val="99"/>
    <w:semiHidden/>
    <w:unhideWhenUsed/>
    <w:rsid w:val="005B0710"/>
    <w:rPr>
      <w:color w:val="954F72" w:themeColor="followedHyperlink"/>
      <w:u w:val="single"/>
    </w:rPr>
  </w:style>
  <w:style w:type="paragraph" w:customStyle="1" w:styleId="decisionelement">
    <w:name w:val="decision_element"/>
    <w:basedOn w:val="Normal"/>
    <w:rsid w:val="00AB2C73"/>
    <w:pPr>
      <w:spacing w:before="100" w:beforeAutospacing="1" w:after="100" w:afterAutospacing="1"/>
    </w:pPr>
    <w:rPr>
      <w:lang w:val="en-US" w:eastAsia="zh-CN"/>
    </w:rPr>
  </w:style>
  <w:style w:type="character" w:customStyle="1" w:styleId="Mentionnonrsolue1">
    <w:name w:val="Mention non résolue1"/>
    <w:basedOn w:val="DefaultParagraphFont"/>
    <w:uiPriority w:val="99"/>
    <w:semiHidden/>
    <w:unhideWhenUsed/>
    <w:rsid w:val="00BC4681"/>
    <w:rPr>
      <w:color w:val="605E5C"/>
      <w:shd w:val="clear" w:color="auto" w:fill="E1DFDD"/>
    </w:rPr>
  </w:style>
  <w:style w:type="paragraph" w:styleId="EndnoteText">
    <w:name w:val="endnote text"/>
    <w:basedOn w:val="Normal"/>
    <w:link w:val="EndnoteTextChar"/>
    <w:uiPriority w:val="99"/>
    <w:semiHidden/>
    <w:unhideWhenUsed/>
    <w:rsid w:val="0022400C"/>
    <w:rPr>
      <w:sz w:val="20"/>
      <w:szCs w:val="20"/>
    </w:rPr>
  </w:style>
  <w:style w:type="character" w:customStyle="1" w:styleId="EndnoteTextChar">
    <w:name w:val="Endnote Text Char"/>
    <w:basedOn w:val="DefaultParagraphFont"/>
    <w:link w:val="EndnoteText"/>
    <w:uiPriority w:val="99"/>
    <w:semiHidden/>
    <w:rsid w:val="0022400C"/>
    <w:rPr>
      <w:rFonts w:ascii="Times New Roman" w:eastAsia="Times New Roman" w:hAnsi="Times New Roman" w:cs="Arial"/>
      <w:lang w:val="fr-FR" w:eastAsia="fr-FR"/>
    </w:rPr>
  </w:style>
  <w:style w:type="character" w:styleId="EndnoteReference">
    <w:name w:val="endnote reference"/>
    <w:basedOn w:val="DefaultParagraphFont"/>
    <w:uiPriority w:val="99"/>
    <w:semiHidden/>
    <w:unhideWhenUsed/>
    <w:rsid w:val="0022400C"/>
    <w:rPr>
      <w:vertAlign w:val="superscript"/>
    </w:rPr>
  </w:style>
  <w:style w:type="character" w:styleId="UnresolvedMention">
    <w:name w:val="Unresolved Mention"/>
    <w:basedOn w:val="DefaultParagraphFont"/>
    <w:uiPriority w:val="99"/>
    <w:semiHidden/>
    <w:unhideWhenUsed/>
    <w:rsid w:val="00833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1231">
      <w:bodyDiv w:val="1"/>
      <w:marLeft w:val="0"/>
      <w:marRight w:val="0"/>
      <w:marTop w:val="0"/>
      <w:marBottom w:val="0"/>
      <w:divBdr>
        <w:top w:val="none" w:sz="0" w:space="0" w:color="auto"/>
        <w:left w:val="none" w:sz="0" w:space="0" w:color="auto"/>
        <w:bottom w:val="none" w:sz="0" w:space="0" w:color="auto"/>
        <w:right w:val="none" w:sz="0" w:space="0" w:color="auto"/>
      </w:divBdr>
    </w:div>
    <w:div w:id="35095832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16954965">
      <w:bodyDiv w:val="1"/>
      <w:marLeft w:val="0"/>
      <w:marRight w:val="0"/>
      <w:marTop w:val="0"/>
      <w:marBottom w:val="0"/>
      <w:divBdr>
        <w:top w:val="none" w:sz="0" w:space="0" w:color="auto"/>
        <w:left w:val="none" w:sz="0" w:space="0" w:color="auto"/>
        <w:bottom w:val="none" w:sz="0" w:space="0" w:color="auto"/>
        <w:right w:val="none" w:sz="0" w:space="0" w:color="auto"/>
      </w:divBdr>
    </w:div>
    <w:div w:id="131768291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076956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92701445">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10-EN.docx" TargetMode="External"/><Relationship Id="rId13" Type="http://schemas.openxmlformats.org/officeDocument/2006/relationships/hyperlink" Target="https://ich.unesco.org/doc/src/LHE-22-9.GA-8-EN.docx" TargetMode="External"/><Relationship Id="rId18" Type="http://schemas.openxmlformats.org/officeDocument/2006/relationships/hyperlink" Target="https://ich.unesco.org/en/reflection-on-the-role-of-ngos-01037" TargetMode="External"/><Relationship Id="rId26" Type="http://schemas.openxmlformats.org/officeDocument/2006/relationships/hyperlink" Target="https://ich.unesco.org/en/projects/community-based-inventorying-of-intangible-heritage-in-urban-areas-004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doc/src/LHE-22-9.GA-INF.10-EN.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en/living-heritage-and-the-covid-19-pandemic-01179" TargetMode="External"/><Relationship Id="rId17" Type="http://schemas.openxmlformats.org/officeDocument/2006/relationships/hyperlink" Target="https://ich.unesco.org/doc/src/LHE-22-9.GA-7-EN.docx" TargetMode="External"/><Relationship Id="rId25" Type="http://schemas.openxmlformats.org/officeDocument/2006/relationships/hyperlink" Target="https://ich.unesco.org/en/clearinghouse-education"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2-9.GA-9-AR.docx" TargetMode="External"/><Relationship Id="rId20" Type="http://schemas.openxmlformats.org/officeDocument/2006/relationships/hyperlink" Target="https://ich.unesco.org/doc/src/LHE-22-9.GA-10-EN.docx" TargetMode="External"/><Relationship Id="rId29" Type="http://schemas.openxmlformats.org/officeDocument/2006/relationships/hyperlink" Target="https://ich.unesco.org/en/emergency-situations-01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iving_Heritage_in_the_face_of_COVID-19_-_High_Resolution.pdf" TargetMode="External"/><Relationship Id="rId24" Type="http://schemas.openxmlformats.org/officeDocument/2006/relationships/hyperlink" Target="https://ich.unesco.org/en/events/webinar-on-intangible-cultural-heritage-and-education-for-sustainable-development-00835" TargetMode="External"/><Relationship Id="rId32" Type="http://schemas.openxmlformats.org/officeDocument/2006/relationships/hyperlink" Target="https://ich.unesco.org/en/Decisions/16.COM/5.b"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ch.unesco.org/en/Decisions/16.COM/14" TargetMode="External"/><Relationship Id="rId23" Type="http://schemas.openxmlformats.org/officeDocument/2006/relationships/hyperlink" Target="https://ich.unesco.org/en/facilitator" TargetMode="External"/><Relationship Id="rId28" Type="http://schemas.openxmlformats.org/officeDocument/2006/relationships/hyperlink" Target="https://ich.unesco.org/en/dive/" TargetMode="External"/><Relationship Id="rId36" Type="http://schemas.openxmlformats.org/officeDocument/2006/relationships/hyperlink" Target="https://ich.unesco.org/en/platform-on-living-heritage-experiences-and-covid-19-01123" TargetMode="External"/><Relationship Id="rId10" Type="http://schemas.openxmlformats.org/officeDocument/2006/relationships/hyperlink" Target="https://ich.unesco.org/doc/src/LHE-20-8.GA-6+Add.-EN.docx" TargetMode="External"/><Relationship Id="rId19" Type="http://schemas.openxmlformats.org/officeDocument/2006/relationships/hyperlink" Target="https://ich.unesco.org/doc/src/LHE-22-9.GA-INF.3.1-EN.docx" TargetMode="External"/><Relationship Id="rId31" Type="http://schemas.openxmlformats.org/officeDocument/2006/relationships/hyperlink" Target="https://ich.unesco.org/en/news/75th-anniversary-of-unesco-13351" TargetMode="External"/><Relationship Id="rId4" Type="http://schemas.openxmlformats.org/officeDocument/2006/relationships/settings" Target="settings.xml"/><Relationship Id="rId9" Type="http://schemas.openxmlformats.org/officeDocument/2006/relationships/hyperlink" Target="https://ich.unesco.org/doc/src/LHE-21-16.COM-INF.10_Rev.-EN.pdf" TargetMode="External"/><Relationship Id="rId14" Type="http://schemas.openxmlformats.org/officeDocument/2006/relationships/hyperlink" Target="https://ich.unesco.org/doc/src/LHE-22-9.GA-5-AR.docx" TargetMode="External"/><Relationship Id="rId22" Type="http://schemas.openxmlformats.org/officeDocument/2006/relationships/hyperlink" Target="https://ich.unesco.org/doc/src/53724-EN.pdf" TargetMode="External"/><Relationship Id="rId27" Type="http://schemas.openxmlformats.org/officeDocument/2006/relationships/hyperlink" Target="https://ich.unesco.org/doc/src/LHE-22-9.GA-12_EN.docx" TargetMode="External"/><Relationship Id="rId30" Type="http://schemas.openxmlformats.org/officeDocument/2006/relationships/hyperlink" Target="https://ich.unesco.org/en/education-01017"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Decisions/8.GA/10" TargetMode="External"/><Relationship Id="rId3" Type="http://schemas.openxmlformats.org/officeDocument/2006/relationships/hyperlink" Target="https://ich.unesco.org/en/Decisions/15.COM/8" TargetMode="External"/><Relationship Id="rId7" Type="http://schemas.openxmlformats.org/officeDocument/2006/relationships/hyperlink" Target="https://ich.unesco.org/en/Decisions/8.GA/9" TargetMode="External"/><Relationship Id="rId2" Type="http://schemas.openxmlformats.org/officeDocument/2006/relationships/hyperlink" Target="https://ich.unesco.org/en/Decisions/14.COM/15" TargetMode="External"/><Relationship Id="rId1" Type="http://schemas.openxmlformats.org/officeDocument/2006/relationships/hyperlink" Target="https://ich.unesco.org/doc/src/LHE-21-16.COM-INF.10_Rev.-EN.pdf" TargetMode="External"/><Relationship Id="rId6" Type="http://schemas.openxmlformats.org/officeDocument/2006/relationships/hyperlink" Target="https://unesdoc.unesco.org/ark:/48223/pf0000379571.locale=ar" TargetMode="External"/><Relationship Id="rId5" Type="http://schemas.openxmlformats.org/officeDocument/2006/relationships/hyperlink" Target="https://ich.unesco.org/en/Decisions/14.COM/10" TargetMode="External"/><Relationship Id="rId4" Type="http://schemas.openxmlformats.org/officeDocument/2006/relationships/hyperlink" Target="https://ich.unesco.org/en/Decisions/15.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EC4A-B06C-4564-A1F6-EE39DC1E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267</TotalTime>
  <Pages>12</Pages>
  <Words>5390</Words>
  <Characters>30728</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Julien</cp:lastModifiedBy>
  <cp:revision>25</cp:revision>
  <cp:lastPrinted>2022-06-24T13:12:00Z</cp:lastPrinted>
  <dcterms:created xsi:type="dcterms:W3CDTF">2022-06-24T13:22:00Z</dcterms:created>
  <dcterms:modified xsi:type="dcterms:W3CDTF">2022-06-26T17:00:00Z</dcterms:modified>
</cp:coreProperties>
</file>