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D025" w14:textId="77777777" w:rsidR="00BC3420" w:rsidRPr="00016B6B" w:rsidRDefault="00BC3420" w:rsidP="00BC3420">
      <w:pPr>
        <w:spacing w:before="1440"/>
        <w:jc w:val="center"/>
        <w:rPr>
          <w:rFonts w:asciiTheme="minorBidi" w:hAnsiTheme="minorBidi" w:cstheme="minorBidi"/>
          <w:b/>
          <w:sz w:val="22"/>
          <w:szCs w:val="22"/>
        </w:rPr>
      </w:pPr>
      <w:r w:rsidRPr="00016B6B">
        <w:rPr>
          <w:rFonts w:asciiTheme="minorBidi" w:hAnsiTheme="minorBidi" w:cstheme="minorBidi"/>
          <w:b/>
          <w:sz w:val="22"/>
          <w:szCs w:val="22"/>
        </w:rPr>
        <w:t>CONVENTION POUR LA SAUVEGARDE DU</w:t>
      </w:r>
      <w:r w:rsidRPr="00016B6B">
        <w:rPr>
          <w:rFonts w:asciiTheme="minorBidi" w:hAnsiTheme="minorBidi" w:cstheme="minorBidi"/>
          <w:b/>
          <w:sz w:val="22"/>
          <w:szCs w:val="22"/>
        </w:rPr>
        <w:br/>
        <w:t>PATRIMOINE CULTUREL IMMATÉRIEL</w:t>
      </w:r>
    </w:p>
    <w:p w14:paraId="5A484D7A" w14:textId="77777777" w:rsidR="00405873" w:rsidRPr="00016B6B" w:rsidRDefault="00405873" w:rsidP="00405873">
      <w:pPr>
        <w:spacing w:before="1440"/>
        <w:jc w:val="center"/>
        <w:rPr>
          <w:rFonts w:asciiTheme="minorBidi" w:eastAsiaTheme="minorEastAsia" w:hAnsiTheme="minorBidi" w:cstheme="minorBidi"/>
          <w:b/>
          <w:bCs/>
          <w:sz w:val="22"/>
          <w:szCs w:val="22"/>
        </w:rPr>
      </w:pPr>
      <w:r w:rsidRPr="00016B6B">
        <w:rPr>
          <w:rFonts w:asciiTheme="minorBidi" w:eastAsiaTheme="minorEastAsia" w:hAnsiTheme="minorBidi" w:cstheme="minorBidi"/>
          <w:b/>
          <w:bCs/>
          <w:sz w:val="22"/>
          <w:szCs w:val="22"/>
        </w:rPr>
        <w:t>Groupe de travail intergouvernemental à composition non limitée</w:t>
      </w:r>
      <w:r w:rsidRPr="00016B6B">
        <w:rPr>
          <w:rFonts w:asciiTheme="minorBidi" w:eastAsiaTheme="minorEastAsia" w:hAnsiTheme="minorBidi" w:cstheme="minorBidi"/>
          <w:sz w:val="22"/>
          <w:szCs w:val="22"/>
        </w:rPr>
        <w:br/>
      </w:r>
      <w:r w:rsidRPr="00016B6B">
        <w:rPr>
          <w:rFonts w:asciiTheme="minorBidi" w:eastAsiaTheme="minorEastAsia" w:hAnsiTheme="minorBidi" w:cstheme="minorBidi"/>
          <w:b/>
          <w:bCs/>
          <w:sz w:val="22"/>
          <w:szCs w:val="22"/>
        </w:rPr>
        <w:t>dans le cadre de la réflexion globale sur les mécanismes d’inscription sur les listes</w:t>
      </w:r>
    </w:p>
    <w:p w14:paraId="4BA276CE" w14:textId="77777777" w:rsidR="00405873" w:rsidRPr="00016B6B" w:rsidRDefault="00405873" w:rsidP="00405873">
      <w:pPr>
        <w:spacing w:before="840"/>
        <w:jc w:val="center"/>
        <w:rPr>
          <w:rFonts w:asciiTheme="minorBidi" w:hAnsiTheme="minorBidi" w:cstheme="minorBidi"/>
          <w:b/>
          <w:sz w:val="22"/>
          <w:szCs w:val="22"/>
        </w:rPr>
      </w:pPr>
      <w:r w:rsidRPr="00016B6B">
        <w:rPr>
          <w:rFonts w:asciiTheme="minorBidi" w:hAnsiTheme="minorBidi" w:cstheme="minorBidi"/>
          <w:b/>
          <w:sz w:val="22"/>
          <w:szCs w:val="22"/>
        </w:rPr>
        <w:t>En ligne</w:t>
      </w:r>
    </w:p>
    <w:p w14:paraId="32D15B6C" w14:textId="601AEF48" w:rsidR="00BC3420" w:rsidRPr="00016B6B" w:rsidRDefault="00405873" w:rsidP="00405873">
      <w:pPr>
        <w:jc w:val="center"/>
        <w:rPr>
          <w:rFonts w:asciiTheme="minorBidi" w:hAnsiTheme="minorBidi" w:cstheme="minorBidi"/>
          <w:b/>
          <w:sz w:val="22"/>
          <w:szCs w:val="22"/>
        </w:rPr>
      </w:pPr>
      <w:r w:rsidRPr="00016B6B">
        <w:rPr>
          <w:rFonts w:asciiTheme="minorBidi" w:hAnsiTheme="minorBidi" w:cstheme="minorBidi"/>
          <w:b/>
          <w:sz w:val="22"/>
          <w:szCs w:val="22"/>
        </w:rPr>
        <w:t>25 et 26 avril 2022</w:t>
      </w:r>
      <w:r w:rsidR="001032E1">
        <w:rPr>
          <w:rFonts w:asciiTheme="minorBidi" w:hAnsiTheme="minorBidi" w:cstheme="minorBidi"/>
          <w:b/>
          <w:sz w:val="22"/>
          <w:szCs w:val="22"/>
        </w:rPr>
        <w:t xml:space="preserve"> (Partie III)</w:t>
      </w:r>
    </w:p>
    <w:p w14:paraId="72EF57E2" w14:textId="755B7DBD" w:rsidR="008F09EC" w:rsidRPr="00016B6B" w:rsidRDefault="008F09EC" w:rsidP="008F09EC">
      <w:pPr>
        <w:pStyle w:val="Sansinterligne2"/>
        <w:spacing w:before="1200"/>
        <w:jc w:val="center"/>
        <w:rPr>
          <w:rFonts w:asciiTheme="minorBidi" w:hAnsiTheme="minorBidi" w:cstheme="minorBidi"/>
          <w:b/>
          <w:sz w:val="22"/>
          <w:szCs w:val="22"/>
        </w:rPr>
      </w:pPr>
      <w:r w:rsidRPr="00016B6B">
        <w:rPr>
          <w:rFonts w:asciiTheme="minorBidi" w:hAnsiTheme="minorBidi" w:cstheme="minorBidi"/>
          <w:b/>
          <w:sz w:val="22"/>
          <w:szCs w:val="22"/>
          <w:u w:val="single"/>
        </w:rPr>
        <w:t xml:space="preserve">Point </w:t>
      </w:r>
      <w:r w:rsidR="00405873" w:rsidRPr="00016B6B">
        <w:rPr>
          <w:rFonts w:asciiTheme="minorBidi" w:hAnsiTheme="minorBidi" w:cstheme="minorBidi"/>
          <w:b/>
          <w:sz w:val="22"/>
          <w:szCs w:val="22"/>
          <w:u w:val="single"/>
        </w:rPr>
        <w:t>9</w:t>
      </w:r>
      <w:r w:rsidRPr="00016B6B">
        <w:rPr>
          <w:rFonts w:asciiTheme="minorBidi" w:hAnsiTheme="minorBidi" w:cstheme="minorBidi"/>
          <w:b/>
          <w:sz w:val="22"/>
          <w:szCs w:val="22"/>
          <w:u w:val="single"/>
        </w:rPr>
        <w:t xml:space="preserve"> de l’ordre du jour provisoire</w:t>
      </w:r>
      <w:r w:rsidRPr="00016B6B">
        <w:rPr>
          <w:rFonts w:asciiTheme="minorBidi" w:hAnsiTheme="minorBidi" w:cstheme="minorBidi"/>
          <w:b/>
          <w:sz w:val="22"/>
          <w:szCs w:val="22"/>
        </w:rPr>
        <w:t> :</w:t>
      </w:r>
    </w:p>
    <w:p w14:paraId="630B69F1" w14:textId="77FFCD93" w:rsidR="008F09EC" w:rsidRPr="00016B6B" w:rsidRDefault="00405873" w:rsidP="00405873">
      <w:pPr>
        <w:pStyle w:val="NoSpacing"/>
        <w:tabs>
          <w:tab w:val="left" w:pos="4410"/>
          <w:tab w:val="center" w:pos="4819"/>
        </w:tabs>
        <w:spacing w:after="1200"/>
        <w:jc w:val="center"/>
        <w:rPr>
          <w:rFonts w:asciiTheme="minorBidi" w:hAnsiTheme="minorBidi" w:cstheme="minorBidi"/>
          <w:b/>
          <w:sz w:val="22"/>
          <w:szCs w:val="22"/>
        </w:rPr>
      </w:pPr>
      <w:r w:rsidRPr="00016B6B">
        <w:rPr>
          <w:rFonts w:asciiTheme="minorBidi" w:hAnsiTheme="minorBidi" w:cstheme="minorBidi"/>
          <w:b/>
          <w:sz w:val="22"/>
          <w:szCs w:val="22"/>
        </w:rPr>
        <w:t>Ordre du jour, objectifs et méthodologie de travail (Partie III)</w:t>
      </w:r>
    </w:p>
    <w:tbl>
      <w:tblPr>
        <w:tblW w:w="6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tblGrid>
      <w:tr w:rsidR="008F09EC" w:rsidRPr="00016B6B" w14:paraId="730CE323" w14:textId="77777777" w:rsidTr="00405873">
        <w:trPr>
          <w:jc w:val="center"/>
        </w:trPr>
        <w:tc>
          <w:tcPr>
            <w:tcW w:w="6799" w:type="dxa"/>
            <w:vAlign w:val="center"/>
          </w:tcPr>
          <w:p w14:paraId="47EC31AB" w14:textId="77777777" w:rsidR="008F09EC" w:rsidRPr="00016B6B" w:rsidRDefault="008F09EC" w:rsidP="00FF2F30">
            <w:pPr>
              <w:pStyle w:val="Sansinterligne1"/>
              <w:spacing w:before="200" w:after="200"/>
              <w:jc w:val="center"/>
              <w:rPr>
                <w:rFonts w:asciiTheme="minorBidi" w:hAnsiTheme="minorBidi" w:cstheme="minorBidi"/>
                <w:b/>
                <w:sz w:val="22"/>
                <w:szCs w:val="22"/>
              </w:rPr>
            </w:pPr>
            <w:r w:rsidRPr="00016B6B">
              <w:rPr>
                <w:rFonts w:asciiTheme="minorBidi" w:hAnsiTheme="minorBidi" w:cstheme="minorBidi"/>
                <w:b/>
                <w:sz w:val="22"/>
                <w:szCs w:val="22"/>
              </w:rPr>
              <w:t>Résumé</w:t>
            </w:r>
          </w:p>
          <w:p w14:paraId="17E62457" w14:textId="1513149A" w:rsidR="008F09EC" w:rsidRPr="00016B6B" w:rsidRDefault="00405873" w:rsidP="00405873">
            <w:pPr>
              <w:pStyle w:val="Sansinterligne2"/>
              <w:spacing w:before="200" w:after="200"/>
              <w:jc w:val="both"/>
              <w:rPr>
                <w:rFonts w:asciiTheme="minorBidi" w:hAnsiTheme="minorBidi" w:cstheme="minorBidi"/>
                <w:b/>
                <w:sz w:val="22"/>
                <w:szCs w:val="22"/>
              </w:rPr>
            </w:pPr>
            <w:r w:rsidRPr="00016B6B">
              <w:rPr>
                <w:rFonts w:asciiTheme="minorBidi" w:hAnsiTheme="minorBidi" w:cstheme="minorBidi"/>
                <w:sz w:val="22"/>
                <w:szCs w:val="22"/>
              </w:rPr>
              <w:t xml:space="preserve">Dans le cadre de la réflexion globale sur les mécanismes d’inscription de la Convention de 2003, et à la demande de la seizième session du Comité intergouvernemental, le groupe de travail intergouvernemental à composition non limitée est </w:t>
            </w:r>
            <w:r w:rsidR="00016B6B" w:rsidRPr="00016B6B">
              <w:rPr>
                <w:rFonts w:asciiTheme="minorBidi" w:hAnsiTheme="minorBidi" w:cstheme="minorBidi"/>
                <w:sz w:val="22"/>
                <w:szCs w:val="22"/>
              </w:rPr>
              <w:t>invité</w:t>
            </w:r>
            <w:r w:rsidRPr="00016B6B">
              <w:rPr>
                <w:rFonts w:asciiTheme="minorBidi" w:hAnsiTheme="minorBidi" w:cstheme="minorBidi"/>
                <w:sz w:val="22"/>
                <w:szCs w:val="22"/>
              </w:rPr>
              <w:t xml:space="preserve"> pour la partie III de sa réunion. Bien que le groupe de travail ait traité avec succès les sujets de réflexion prioritaires au cours de la partie I et de la partie II de sa réunion en 2021, le Comité a estimé que la discussion sur des questions supplémentaires devait être conclue afin d’achever la réflexion (Décision </w:t>
            </w:r>
            <w:hyperlink r:id="rId8" w:history="1">
              <w:r w:rsidRPr="00016B6B">
                <w:rPr>
                  <w:rStyle w:val="Hyperlink"/>
                  <w:rFonts w:asciiTheme="minorBidi" w:hAnsiTheme="minorBidi" w:cstheme="minorBidi"/>
                  <w:sz w:val="22"/>
                  <w:szCs w:val="22"/>
                </w:rPr>
                <w:t>16.COM</w:t>
              </w:r>
              <w:r w:rsidR="00016B6B" w:rsidRPr="00016B6B">
                <w:rPr>
                  <w:rStyle w:val="Hyperlink"/>
                  <w:rFonts w:asciiTheme="minorBidi" w:hAnsiTheme="minorBidi" w:cstheme="minorBidi"/>
                  <w:sz w:val="22"/>
                  <w:szCs w:val="22"/>
                </w:rPr>
                <w:t> </w:t>
              </w:r>
              <w:r w:rsidRPr="00016B6B">
                <w:rPr>
                  <w:rStyle w:val="Hyperlink"/>
                  <w:rFonts w:asciiTheme="minorBidi" w:hAnsiTheme="minorBidi" w:cstheme="minorBidi"/>
                  <w:sz w:val="22"/>
                  <w:szCs w:val="22"/>
                </w:rPr>
                <w:t>14</w:t>
              </w:r>
            </w:hyperlink>
            <w:r w:rsidRPr="00016B6B">
              <w:rPr>
                <w:rFonts w:asciiTheme="minorBidi" w:hAnsiTheme="minorBidi" w:cstheme="minorBidi"/>
                <w:sz w:val="22"/>
                <w:szCs w:val="22"/>
              </w:rPr>
              <w:t>). Le présent document contient les objectifs et la méthodologie de travail pour la partie III de la réunion, ainsi qu’un ordre du jour annoté.</w:t>
            </w:r>
          </w:p>
        </w:tc>
      </w:tr>
    </w:tbl>
    <w:p w14:paraId="5072A522" w14:textId="77777777" w:rsidR="009B5302" w:rsidRPr="00016B6B" w:rsidRDefault="00BC3420" w:rsidP="007E60C6">
      <w:pPr>
        <w:pStyle w:val="COMTitleDecision"/>
        <w:spacing w:before="360" w:after="240"/>
        <w:ind w:left="0"/>
        <w:rPr>
          <w:rFonts w:asciiTheme="minorBidi" w:hAnsiTheme="minorBidi" w:cstheme="minorBidi"/>
        </w:rPr>
      </w:pPr>
      <w:r w:rsidRPr="00016B6B">
        <w:rPr>
          <w:rFonts w:asciiTheme="minorBidi" w:hAnsiTheme="minorBidi" w:cstheme="minorBidi"/>
        </w:rPr>
        <w:br w:type="page"/>
      </w:r>
    </w:p>
    <w:p w14:paraId="7774BB1B" w14:textId="77777777" w:rsidR="00405873" w:rsidRPr="00016B6B" w:rsidRDefault="00405873" w:rsidP="00016B6B">
      <w:pPr>
        <w:keepNext/>
        <w:spacing w:before="240" w:after="120"/>
        <w:ind w:left="567"/>
        <w:jc w:val="both"/>
        <w:rPr>
          <w:rFonts w:asciiTheme="minorBidi" w:hAnsiTheme="minorBidi" w:cstheme="minorBidi"/>
          <w:b/>
          <w:bCs/>
          <w:sz w:val="22"/>
          <w:szCs w:val="22"/>
        </w:rPr>
      </w:pPr>
      <w:r w:rsidRPr="00016B6B">
        <w:rPr>
          <w:rFonts w:asciiTheme="minorBidi" w:hAnsiTheme="minorBidi" w:cstheme="minorBidi"/>
          <w:b/>
          <w:bCs/>
          <w:sz w:val="22"/>
          <w:szCs w:val="22"/>
          <w:lang w:val="en-GB"/>
        </w:rPr>
        <w:lastRenderedPageBreak/>
        <w:t>Contexte</w:t>
      </w:r>
    </w:p>
    <w:p w14:paraId="543AE25C" w14:textId="14CBD903" w:rsidR="00405873" w:rsidRPr="00016B6B" w:rsidRDefault="00405873" w:rsidP="00016B6B">
      <w:pPr>
        <w:pStyle w:val="1GAPara"/>
        <w:keepNext/>
        <w:numPr>
          <w:ilvl w:val="0"/>
          <w:numId w:val="18"/>
        </w:numPr>
        <w:ind w:left="567" w:hanging="567"/>
        <w:jc w:val="both"/>
        <w:rPr>
          <w:rFonts w:asciiTheme="minorBidi" w:hAnsiTheme="minorBidi" w:cstheme="minorBidi"/>
          <w:bCs/>
          <w:lang w:val="fr-FR"/>
        </w:rPr>
      </w:pPr>
      <w:r w:rsidRPr="00016B6B">
        <w:rPr>
          <w:rFonts w:asciiTheme="minorBidi" w:hAnsiTheme="minorBidi" w:cstheme="minorBidi"/>
          <w:lang w:val="fr-FR"/>
        </w:rPr>
        <w:t>La réflexion globale</w:t>
      </w:r>
      <w:r w:rsidRPr="00016B6B">
        <w:rPr>
          <w:rStyle w:val="FootnoteReference"/>
          <w:rFonts w:asciiTheme="minorBidi" w:hAnsiTheme="minorBidi" w:cstheme="minorBidi"/>
          <w:lang w:val="fr-FR"/>
        </w:rPr>
        <w:footnoteReference w:id="1"/>
      </w:r>
      <w:r w:rsidRPr="00016B6B">
        <w:rPr>
          <w:rFonts w:asciiTheme="minorBidi" w:hAnsiTheme="minorBidi" w:cstheme="minorBidi"/>
          <w:lang w:val="fr-FR"/>
        </w:rPr>
        <w:t xml:space="preserve"> a été lancée en 2018 par la treizième session du Comité pour aborder des aspects vastes, complexes et interdépendants des mécanismes d’inscription sur les listes de la Convention de 2003. Le processus a été soutenu par l’assistance financière du Japon (Décisions </w:t>
      </w:r>
      <w:hyperlink r:id="rId9" w:history="1">
        <w:r w:rsidRPr="00016B6B">
          <w:rPr>
            <w:rStyle w:val="Hyperlink"/>
            <w:rFonts w:asciiTheme="minorBidi" w:hAnsiTheme="minorBidi" w:cstheme="minorBidi"/>
            <w:lang w:val="fr-FR"/>
          </w:rPr>
          <w:t>12.COM 14</w:t>
        </w:r>
      </w:hyperlink>
      <w:r w:rsidRPr="00016B6B">
        <w:rPr>
          <w:rStyle w:val="Hyperlink"/>
          <w:rFonts w:asciiTheme="minorBidi" w:hAnsiTheme="minorBidi" w:cstheme="minorBidi"/>
          <w:lang w:val="fr-FR"/>
        </w:rPr>
        <w:t>,</w:t>
      </w:r>
      <w:r w:rsidRPr="00016B6B">
        <w:rPr>
          <w:rStyle w:val="Hyperlink"/>
          <w:rFonts w:asciiTheme="minorBidi" w:hAnsiTheme="minorBidi" w:cstheme="minorBidi"/>
          <w:color w:val="auto"/>
          <w:u w:val="none"/>
          <w:lang w:val="fr-FR"/>
        </w:rPr>
        <w:t xml:space="preserve"> </w:t>
      </w:r>
      <w:hyperlink r:id="rId10" w:history="1">
        <w:r w:rsidRPr="00016B6B">
          <w:rPr>
            <w:rStyle w:val="Hyperlink"/>
            <w:rFonts w:asciiTheme="minorBidi" w:hAnsiTheme="minorBidi" w:cstheme="minorBidi"/>
            <w:lang w:val="fr-FR"/>
          </w:rPr>
          <w:t>13.COM 6</w:t>
        </w:r>
      </w:hyperlink>
      <w:r w:rsidRPr="00016B6B">
        <w:rPr>
          <w:rFonts w:asciiTheme="minorBidi" w:hAnsiTheme="minorBidi" w:cstheme="minorBidi"/>
          <w:lang w:val="fr-FR"/>
        </w:rPr>
        <w:t xml:space="preserve"> et </w:t>
      </w:r>
      <w:hyperlink r:id="rId11" w:history="1">
        <w:r w:rsidRPr="00016B6B">
          <w:rPr>
            <w:rStyle w:val="Hyperlink"/>
            <w:rFonts w:asciiTheme="minorBidi" w:hAnsiTheme="minorBidi" w:cstheme="minorBidi"/>
            <w:lang w:val="fr-FR"/>
          </w:rPr>
          <w:t>13.COM 10</w:t>
        </w:r>
      </w:hyperlink>
      <w:r w:rsidRPr="00016B6B">
        <w:rPr>
          <w:rFonts w:asciiTheme="minorBidi" w:hAnsiTheme="minorBidi" w:cstheme="minorBidi"/>
          <w:lang w:val="fr-FR"/>
        </w:rPr>
        <w:t xml:space="preserve">). La réflexion a déjà porté ses fruits, en termes de formalisation du processus de dialogue dans l’évaluation des candidatures comme une « récolte précoce » du processus (Résolution </w:t>
      </w:r>
      <w:hyperlink r:id="rId12" w:history="1">
        <w:r w:rsidRPr="00016B6B">
          <w:rPr>
            <w:rStyle w:val="Hyperlink"/>
            <w:rFonts w:asciiTheme="minorBidi" w:hAnsiTheme="minorBidi" w:cstheme="minorBidi"/>
            <w:lang w:val="fr-FR"/>
          </w:rPr>
          <w:t>8.GA 10</w:t>
        </w:r>
      </w:hyperlink>
      <w:r w:rsidRPr="00016B6B">
        <w:rPr>
          <w:rFonts w:asciiTheme="minorBidi" w:hAnsiTheme="minorBidi" w:cstheme="minorBidi"/>
          <w:lang w:val="fr-FR"/>
        </w:rPr>
        <w:t xml:space="preserve">) et par l’engagement du groupe de travail intergouvernemental à composition non limitée (ci-après « le groupe de travail ») en 2021 (voir ci-dessous </w:t>
      </w:r>
      <w:r w:rsidR="00016B6B">
        <w:rPr>
          <w:rFonts w:asciiTheme="minorBidi" w:hAnsiTheme="minorBidi" w:cstheme="minorBidi"/>
          <w:lang w:val="fr-FR"/>
        </w:rPr>
        <w:t xml:space="preserve">pour </w:t>
      </w:r>
      <w:r w:rsidRPr="00016B6B">
        <w:rPr>
          <w:rFonts w:asciiTheme="minorBidi" w:hAnsiTheme="minorBidi" w:cstheme="minorBidi"/>
          <w:lang w:val="fr-FR"/>
        </w:rPr>
        <w:t xml:space="preserve">les documents de travail du groupe de travail). Le groupe de travail a fondé ses travaux sur les propositions reçues dans le cadre d’une consultation inclusive et étendue d’experts (document </w:t>
      </w:r>
      <w:hyperlink r:id="rId13" w:history="1">
        <w:r w:rsidRPr="00016B6B">
          <w:rPr>
            <w:rStyle w:val="Hyperlink"/>
            <w:rFonts w:asciiTheme="minorBidi" w:eastAsiaTheme="minorEastAsia" w:hAnsiTheme="minorBidi" w:cstheme="minorBidi"/>
            <w:lang w:val="fr-FR"/>
          </w:rPr>
          <w:t>LHE/21/16.COM EXP/7</w:t>
        </w:r>
      </w:hyperlink>
      <w:r w:rsidRPr="00016B6B">
        <w:rPr>
          <w:rFonts w:asciiTheme="minorBidi" w:hAnsiTheme="minorBidi" w:cstheme="minorBidi"/>
          <w:lang w:val="fr-FR"/>
        </w:rPr>
        <w:t>).</w:t>
      </w:r>
    </w:p>
    <w:p w14:paraId="21ECCD50" w14:textId="77777777" w:rsidR="0047762B" w:rsidRPr="00016B6B" w:rsidRDefault="0047762B" w:rsidP="0047762B">
      <w:pPr>
        <w:pStyle w:val="1GAPara"/>
        <w:widowControl w:val="0"/>
        <w:spacing w:before="240"/>
        <w:ind w:left="567"/>
        <w:jc w:val="both"/>
        <w:rPr>
          <w:rFonts w:asciiTheme="minorBidi" w:hAnsiTheme="minorBidi" w:cstheme="minorBidi"/>
          <w:b/>
          <w:lang w:val="fr-FR"/>
        </w:rPr>
      </w:pPr>
      <w:r w:rsidRPr="00016B6B">
        <w:rPr>
          <w:rFonts w:asciiTheme="minorBidi" w:hAnsiTheme="minorBidi" w:cstheme="minorBidi"/>
          <w:b/>
          <w:bCs/>
          <w:lang w:val="fr-FR"/>
        </w:rPr>
        <w:t>Parties I et II du groupe de travail et la seizième session du Comité</w:t>
      </w:r>
    </w:p>
    <w:p w14:paraId="148D2AAA" w14:textId="1D99ED26" w:rsidR="0047762B" w:rsidRPr="00016B6B" w:rsidRDefault="0047762B" w:rsidP="0047762B">
      <w:pPr>
        <w:pStyle w:val="1GAPara"/>
        <w:widowControl w:val="0"/>
        <w:numPr>
          <w:ilvl w:val="0"/>
          <w:numId w:val="18"/>
        </w:numPr>
        <w:ind w:left="567" w:hanging="567"/>
        <w:jc w:val="both"/>
        <w:rPr>
          <w:rFonts w:asciiTheme="minorBidi" w:hAnsiTheme="minorBidi" w:cstheme="minorBidi"/>
          <w:bCs/>
          <w:lang w:val="fr-FR"/>
        </w:rPr>
      </w:pPr>
      <w:r w:rsidRPr="00016B6B">
        <w:rPr>
          <w:rFonts w:asciiTheme="minorBidi" w:hAnsiTheme="minorBidi" w:cstheme="minorBidi"/>
          <w:lang w:val="fr-FR"/>
        </w:rPr>
        <w:t>Lors de ses réunions de la partie I (en ligne, 8 et 9 juillet 2021) et de la partie II (en ligne, 9 et 10 septembre 2021), les membres du groupe de travail ont estimé que le système d’inscription réformé devrait continuer à placer les communautés, les groupes et, le cas échéant, les individus au centre des efforts de sauvegarde et s’efforcer de renforcer davantage leur participation active à toutes les étapes des mécanismes d’inscription sur les listes. Ce point a été spécifiquement souligné par la seizième session du Comité (paragraphe 6</w:t>
      </w:r>
      <w:r w:rsidR="00016B6B">
        <w:rPr>
          <w:rFonts w:asciiTheme="minorBidi" w:hAnsiTheme="minorBidi" w:cstheme="minorBidi"/>
          <w:lang w:val="fr-FR"/>
        </w:rPr>
        <w:t xml:space="preserve"> de la </w:t>
      </w:r>
      <w:r w:rsidRPr="00016B6B">
        <w:rPr>
          <w:rFonts w:asciiTheme="minorBidi" w:hAnsiTheme="minorBidi" w:cstheme="minorBidi"/>
          <w:shd w:val="clear" w:color="auto" w:fill="FFFFFF"/>
          <w:lang w:val="fr-FR"/>
        </w:rPr>
        <w:t xml:space="preserve">décision </w:t>
      </w:r>
      <w:hyperlink r:id="rId14" w:history="1">
        <w:r w:rsidRPr="00016B6B">
          <w:rPr>
            <w:rStyle w:val="Hyperlink"/>
            <w:rFonts w:asciiTheme="minorBidi" w:hAnsiTheme="minorBidi" w:cstheme="minorBidi"/>
            <w:shd w:val="clear" w:color="auto" w:fill="FFFFFF"/>
            <w:lang w:val="fr-FR"/>
          </w:rPr>
          <w:t>16.COM 14</w:t>
        </w:r>
      </w:hyperlink>
      <w:r w:rsidRPr="00016B6B">
        <w:rPr>
          <w:rFonts w:asciiTheme="minorBidi" w:hAnsiTheme="minorBidi" w:cstheme="minorBidi"/>
          <w:lang w:val="fr-FR"/>
        </w:rPr>
        <w:t>).</w:t>
      </w:r>
    </w:p>
    <w:p w14:paraId="06AA82DE" w14:textId="7F1E1982" w:rsidR="0047762B" w:rsidRPr="00016B6B" w:rsidRDefault="0047762B" w:rsidP="0047762B">
      <w:pPr>
        <w:pStyle w:val="1GAPara"/>
        <w:widowControl w:val="0"/>
        <w:numPr>
          <w:ilvl w:val="0"/>
          <w:numId w:val="18"/>
        </w:numPr>
        <w:ind w:left="567" w:hanging="567"/>
        <w:jc w:val="both"/>
        <w:rPr>
          <w:rFonts w:asciiTheme="minorBidi" w:hAnsiTheme="minorBidi" w:cstheme="minorBidi"/>
          <w:bCs/>
          <w:lang w:val="fr-FR"/>
        </w:rPr>
      </w:pPr>
      <w:r w:rsidRPr="00016B6B">
        <w:rPr>
          <w:rFonts w:asciiTheme="minorBidi" w:hAnsiTheme="minorBidi" w:cstheme="minorBidi"/>
          <w:lang w:val="fr-FR"/>
        </w:rPr>
        <w:t xml:space="preserve">Le groupe de travail s’est concentré sur les questions prioritaires identifiées par la quatorzième session du Comité (document </w:t>
      </w:r>
      <w:hyperlink r:id="rId15" w:history="1">
        <w:r w:rsidRPr="00016B6B">
          <w:rPr>
            <w:rStyle w:val="Hyperlink"/>
            <w:rFonts w:asciiTheme="minorBidi" w:eastAsiaTheme="minorEastAsia" w:hAnsiTheme="minorBidi" w:cstheme="minorBidi"/>
            <w:lang w:val="fr-FR"/>
          </w:rPr>
          <w:t>LHE/19/14.COM/14</w:t>
        </w:r>
      </w:hyperlink>
      <w:r w:rsidRPr="00016B6B">
        <w:rPr>
          <w:rStyle w:val="Hyperlink"/>
          <w:rFonts w:asciiTheme="minorBidi" w:eastAsiaTheme="minorEastAsia" w:hAnsiTheme="minorBidi" w:cstheme="minorBidi"/>
          <w:color w:val="auto"/>
          <w:u w:val="none"/>
          <w:lang w:val="fr-FR"/>
        </w:rPr>
        <w:t xml:space="preserve"> </w:t>
      </w:r>
      <w:r w:rsidRPr="00016B6B">
        <w:rPr>
          <w:rFonts w:asciiTheme="minorBidi" w:hAnsiTheme="minorBidi" w:cstheme="minorBidi"/>
          <w:lang w:val="fr-FR"/>
        </w:rPr>
        <w:t>et</w:t>
      </w:r>
      <w:r w:rsidRPr="00016B6B">
        <w:rPr>
          <w:rStyle w:val="Hyperlink"/>
          <w:rFonts w:asciiTheme="minorBidi" w:eastAsiaTheme="minorEastAsia" w:hAnsiTheme="minorBidi" w:cstheme="minorBidi"/>
          <w:color w:val="auto"/>
          <w:u w:val="none"/>
          <w:lang w:val="fr-FR"/>
        </w:rPr>
        <w:t xml:space="preserve"> </w:t>
      </w:r>
      <w:r w:rsidRPr="00016B6B">
        <w:rPr>
          <w:rFonts w:asciiTheme="minorBidi" w:hAnsiTheme="minorBidi" w:cstheme="minorBidi"/>
          <w:lang w:val="fr-FR"/>
        </w:rPr>
        <w:t xml:space="preserve">Décision </w:t>
      </w:r>
      <w:hyperlink r:id="rId16" w:history="1">
        <w:r w:rsidRPr="00016B6B">
          <w:rPr>
            <w:rStyle w:val="Hyperlink"/>
            <w:rFonts w:asciiTheme="minorBidi" w:hAnsiTheme="minorBidi" w:cstheme="minorBidi"/>
            <w:lang w:val="fr-FR"/>
          </w:rPr>
          <w:t>14.COM 14</w:t>
        </w:r>
      </w:hyperlink>
      <w:r w:rsidRPr="00016B6B">
        <w:rPr>
          <w:rFonts w:asciiTheme="minorBidi" w:hAnsiTheme="minorBidi" w:cstheme="minorBidi"/>
          <w:lang w:val="fr-FR"/>
        </w:rPr>
        <w:t xml:space="preserve">) qui ont des implications majeures pour le développement </w:t>
      </w:r>
      <w:r w:rsidR="007E46A0">
        <w:rPr>
          <w:rFonts w:asciiTheme="minorBidi" w:hAnsiTheme="minorBidi" w:cstheme="minorBidi"/>
          <w:lang w:val="fr-FR"/>
        </w:rPr>
        <w:t>futur</w:t>
      </w:r>
      <w:r w:rsidRPr="00016B6B">
        <w:rPr>
          <w:rFonts w:asciiTheme="minorBidi" w:hAnsiTheme="minorBidi" w:cstheme="minorBidi"/>
          <w:lang w:val="fr-FR"/>
        </w:rPr>
        <w:t xml:space="preserve"> de la Convention. En particulier :</w:t>
      </w:r>
    </w:p>
    <w:p w14:paraId="566B4096" w14:textId="77777777" w:rsidR="0047762B" w:rsidRPr="00016B6B" w:rsidRDefault="0047762B" w:rsidP="0047762B">
      <w:pPr>
        <w:pStyle w:val="1GAPara"/>
        <w:widowControl w:val="0"/>
        <w:numPr>
          <w:ilvl w:val="0"/>
          <w:numId w:val="20"/>
        </w:numPr>
        <w:ind w:left="851" w:hanging="284"/>
        <w:jc w:val="both"/>
        <w:rPr>
          <w:rFonts w:asciiTheme="minorBidi" w:hAnsiTheme="minorBidi" w:cstheme="minorBidi"/>
          <w:lang w:val="fr-FR"/>
        </w:rPr>
      </w:pPr>
      <w:r w:rsidRPr="00016B6B">
        <w:rPr>
          <w:rFonts w:asciiTheme="minorBidi" w:hAnsiTheme="minorBidi" w:cstheme="minorBidi"/>
          <w:lang w:val="fr-FR"/>
        </w:rPr>
        <w:t xml:space="preserve">En ce qui concerne les questions liées aux </w:t>
      </w:r>
      <w:r w:rsidRPr="00016B6B">
        <w:rPr>
          <w:rFonts w:asciiTheme="minorBidi" w:hAnsiTheme="minorBidi" w:cstheme="minorBidi"/>
          <w:b/>
          <w:bCs/>
          <w:lang w:val="fr-FR"/>
        </w:rPr>
        <w:t>critères d’inscription</w:t>
      </w:r>
      <w:r w:rsidRPr="00016B6B">
        <w:rPr>
          <w:rFonts w:asciiTheme="minorBidi" w:hAnsiTheme="minorBidi" w:cstheme="minorBidi"/>
          <w:lang w:val="fr-FR"/>
        </w:rPr>
        <w:t>, le groupe de travail a recommandé que tous les critères de la Liste représentative du patrimoine culturel immatériel de l’humanité (ci-après « la Liste représentative ») et de la Liste du patrimoine culturel immatériel nécessitant une sauvegarde urgente (ci-après « la Liste de sauvegarde urgente ») soient maintenus. En réponse aux difficultés récurrentes rencontrées avec le critère R.2 dans le processus de candidature, le groupe de travail a recommandé que l’Assemblée générale reformule et simplifie le formulaire de candidature en se concentrant sur la contribution des éléments proposés au développement durable et à l’encouragement du respect mutuel et du dialogue entre les communautés, les groupes et, le cas échéant, les individus.</w:t>
      </w:r>
    </w:p>
    <w:p w14:paraId="6B998E56" w14:textId="77777777" w:rsidR="0047762B" w:rsidRPr="00016B6B" w:rsidRDefault="0047762B" w:rsidP="0047762B">
      <w:pPr>
        <w:pStyle w:val="1GAPara"/>
        <w:widowControl w:val="0"/>
        <w:numPr>
          <w:ilvl w:val="0"/>
          <w:numId w:val="20"/>
        </w:numPr>
        <w:ind w:left="851" w:hanging="284"/>
        <w:jc w:val="both"/>
        <w:rPr>
          <w:rFonts w:asciiTheme="minorBidi" w:hAnsiTheme="minorBidi" w:cstheme="minorBidi"/>
          <w:lang w:val="fr-FR"/>
        </w:rPr>
      </w:pPr>
      <w:r w:rsidRPr="00016B6B">
        <w:rPr>
          <w:rFonts w:asciiTheme="minorBidi" w:hAnsiTheme="minorBidi" w:cstheme="minorBidi"/>
          <w:lang w:val="fr-FR"/>
        </w:rPr>
        <w:t xml:space="preserve">En ce qui concerne les procédures spécifiques de </w:t>
      </w:r>
      <w:r w:rsidRPr="00016B6B">
        <w:rPr>
          <w:rFonts w:asciiTheme="minorBidi" w:hAnsiTheme="minorBidi" w:cstheme="minorBidi"/>
          <w:b/>
          <w:bCs/>
          <w:lang w:val="fr-FR"/>
        </w:rPr>
        <w:t>transfert d’éléments</w:t>
      </w:r>
      <w:r w:rsidRPr="00016B6B">
        <w:rPr>
          <w:rFonts w:asciiTheme="minorBidi" w:hAnsiTheme="minorBidi" w:cstheme="minorBidi"/>
          <w:lang w:val="fr-FR"/>
        </w:rPr>
        <w:t xml:space="preserve"> depuis et entre les Listes, les ajustements proposés à l’Assemblée générale sont guidés par trois considérations principales : (a) accélérer et faciliter l’accès à l’assistance financière et au soutien technique afin d’encourager les efforts de sauvegarde concernant les éléments de la Liste de sauvegarde urgente ; (b) renforcer le système de suivi par le biais du mécanisme de rapport périodique afin de s’assurer que les plans de sauvegarde sont mis en œuvre ; et (c) faciliter le transfert d’éléments entre les Listes, y compris l’inclusion des plans de sauvegarde réussis dans le cadre de la Liste de sauvegarde urgente, dans le Registre de bonnes pratiques de sauvegarde.</w:t>
      </w:r>
    </w:p>
    <w:p w14:paraId="7CF65CE5" w14:textId="6B9A1B77" w:rsidR="00003D20" w:rsidRPr="00016B6B" w:rsidRDefault="0047762B" w:rsidP="0047762B">
      <w:pPr>
        <w:pStyle w:val="1GAPara"/>
        <w:widowControl w:val="0"/>
        <w:numPr>
          <w:ilvl w:val="0"/>
          <w:numId w:val="20"/>
        </w:numPr>
        <w:ind w:left="851" w:hanging="284"/>
        <w:jc w:val="both"/>
        <w:rPr>
          <w:rFonts w:asciiTheme="minorBidi" w:hAnsiTheme="minorBidi" w:cstheme="minorBidi"/>
          <w:lang w:val="fr-FR"/>
        </w:rPr>
      </w:pPr>
      <w:r w:rsidRPr="00016B6B">
        <w:rPr>
          <w:rFonts w:asciiTheme="minorBidi" w:hAnsiTheme="minorBidi" w:cstheme="minorBidi"/>
          <w:lang w:val="fr-FR"/>
        </w:rPr>
        <w:t xml:space="preserve">La procédure de </w:t>
      </w:r>
      <w:r w:rsidRPr="00016B6B">
        <w:rPr>
          <w:rFonts w:asciiTheme="minorBidi" w:hAnsiTheme="minorBidi" w:cstheme="minorBidi"/>
          <w:b/>
          <w:bCs/>
          <w:lang w:val="fr-FR"/>
        </w:rPr>
        <w:t>retrait d’éléments</w:t>
      </w:r>
      <w:r w:rsidRPr="00016B6B">
        <w:rPr>
          <w:rFonts w:asciiTheme="minorBidi" w:hAnsiTheme="minorBidi" w:cstheme="minorBidi"/>
          <w:lang w:val="fr-FR"/>
        </w:rPr>
        <w:t xml:space="preserve"> inclurait la possibilité pour les communautés, les groupes et, le cas échéant, les individus, d’initier des demandes de retrait. Une autre nouveauté est l’introduction d’une mesure intermédiaire permettant de placer un élément </w:t>
      </w:r>
      <w:r w:rsidR="007E46A0">
        <w:rPr>
          <w:rFonts w:asciiTheme="minorBidi" w:hAnsiTheme="minorBidi" w:cstheme="minorBidi"/>
          <w:lang w:val="fr-FR"/>
        </w:rPr>
        <w:t>inscrit</w:t>
      </w:r>
      <w:r w:rsidRPr="00016B6B">
        <w:rPr>
          <w:rFonts w:asciiTheme="minorBidi" w:hAnsiTheme="minorBidi" w:cstheme="minorBidi"/>
          <w:lang w:val="fr-FR"/>
        </w:rPr>
        <w:t xml:space="preserve"> sous le statut de « suivi approfondi » si le Comité estime que des informations supplémentaires sont nécessaires.</w:t>
      </w:r>
    </w:p>
    <w:p w14:paraId="1DC6E625" w14:textId="77777777" w:rsidR="00003D20" w:rsidRPr="00016B6B" w:rsidRDefault="00003D20">
      <w:pPr>
        <w:rPr>
          <w:rFonts w:asciiTheme="minorBidi" w:hAnsiTheme="minorBidi" w:cstheme="minorBidi"/>
          <w:snapToGrid w:val="0"/>
          <w:sz w:val="22"/>
          <w:szCs w:val="22"/>
          <w:lang w:eastAsia="en-US"/>
        </w:rPr>
      </w:pPr>
      <w:r w:rsidRPr="00016B6B">
        <w:rPr>
          <w:rFonts w:asciiTheme="minorBidi" w:hAnsiTheme="minorBidi" w:cstheme="minorBidi"/>
          <w:sz w:val="22"/>
          <w:szCs w:val="22"/>
        </w:rPr>
        <w:br w:type="page"/>
      </w:r>
    </w:p>
    <w:p w14:paraId="1256AD83" w14:textId="26ED284C" w:rsidR="0047762B" w:rsidRPr="00016B6B" w:rsidRDefault="0047762B" w:rsidP="0047762B">
      <w:pPr>
        <w:pStyle w:val="1GAPara"/>
        <w:widowControl w:val="0"/>
        <w:numPr>
          <w:ilvl w:val="0"/>
          <w:numId w:val="20"/>
        </w:numPr>
        <w:ind w:left="851" w:hanging="284"/>
        <w:jc w:val="both"/>
        <w:rPr>
          <w:rFonts w:asciiTheme="minorBidi" w:hAnsiTheme="minorBidi" w:cstheme="minorBidi"/>
          <w:lang w:val="fr-FR"/>
        </w:rPr>
      </w:pPr>
      <w:r w:rsidRPr="00016B6B">
        <w:rPr>
          <w:rFonts w:asciiTheme="minorBidi" w:hAnsiTheme="minorBidi" w:cstheme="minorBidi"/>
          <w:lang w:val="fr-FR"/>
        </w:rPr>
        <w:lastRenderedPageBreak/>
        <w:t xml:space="preserve">En ce qui concerne la méthodologie d’évaluation des candidatures, des procédures spécifiques ont été proposées pour </w:t>
      </w:r>
      <w:r w:rsidRPr="00016B6B">
        <w:rPr>
          <w:rFonts w:asciiTheme="minorBidi" w:hAnsiTheme="minorBidi" w:cstheme="minorBidi"/>
          <w:b/>
          <w:bCs/>
          <w:lang w:val="fr-FR"/>
        </w:rPr>
        <w:t>inscrire des éléments sur</w:t>
      </w:r>
      <w:r w:rsidRPr="00016B6B">
        <w:rPr>
          <w:rFonts w:asciiTheme="minorBidi" w:hAnsiTheme="minorBidi" w:cstheme="minorBidi"/>
          <w:lang w:val="fr-FR"/>
        </w:rPr>
        <w:t xml:space="preserve"> </w:t>
      </w:r>
      <w:r w:rsidRPr="00016B6B">
        <w:rPr>
          <w:rFonts w:asciiTheme="minorBidi" w:hAnsiTheme="minorBidi" w:cstheme="minorBidi"/>
          <w:b/>
          <w:bCs/>
          <w:lang w:val="fr-FR"/>
        </w:rPr>
        <w:t>une base</w:t>
      </w:r>
      <w:r w:rsidRPr="00016B6B">
        <w:rPr>
          <w:rFonts w:asciiTheme="minorBidi" w:hAnsiTheme="minorBidi" w:cstheme="minorBidi"/>
          <w:lang w:val="fr-FR"/>
        </w:rPr>
        <w:t xml:space="preserve"> </w:t>
      </w:r>
      <w:r w:rsidRPr="00016B6B">
        <w:rPr>
          <w:rFonts w:asciiTheme="minorBidi" w:hAnsiTheme="minorBidi" w:cstheme="minorBidi"/>
          <w:b/>
          <w:bCs/>
          <w:lang w:val="fr-FR"/>
        </w:rPr>
        <w:t>élargie ou réduite</w:t>
      </w:r>
      <w:r w:rsidRPr="00016B6B">
        <w:rPr>
          <w:rFonts w:asciiTheme="minorBidi" w:hAnsiTheme="minorBidi" w:cstheme="minorBidi"/>
          <w:lang w:val="fr-FR"/>
        </w:rPr>
        <w:t xml:space="preserve"> (tant au niveau international que national). La principale réforme proposée consiste à alléger la procédure d’élargissement aux niveaux international et national. Pour les deux types d’élargissement, il est demandé à l’État partie de démontrer le consentement à l’élargissement, des communautés, groupes et, le cas échéant, individus d’origine. De même, pour la procédure de réduction, l’État partie est tenu de démontrer le consentement </w:t>
      </w:r>
      <w:r w:rsidR="007E46A0">
        <w:rPr>
          <w:rFonts w:asciiTheme="minorBidi" w:hAnsiTheme="minorBidi" w:cstheme="minorBidi"/>
          <w:lang w:val="fr-FR"/>
        </w:rPr>
        <w:t xml:space="preserve">libre, </w:t>
      </w:r>
      <w:r w:rsidRPr="00016B6B">
        <w:rPr>
          <w:rFonts w:asciiTheme="minorBidi" w:hAnsiTheme="minorBidi" w:cstheme="minorBidi"/>
          <w:lang w:val="fr-FR"/>
        </w:rPr>
        <w:t>préalable et éclairé à la réduction de l’élément par les communautés, les groupes et, le cas échéant, les individus qu’il est proposé de retirer de l’élément inscrit.</w:t>
      </w:r>
    </w:p>
    <w:p w14:paraId="224B38DB" w14:textId="760A2338" w:rsidR="0047762B" w:rsidRPr="00016B6B" w:rsidRDefault="0047762B" w:rsidP="0047762B">
      <w:pPr>
        <w:pStyle w:val="1GAPara"/>
        <w:widowControl w:val="0"/>
        <w:numPr>
          <w:ilvl w:val="0"/>
          <w:numId w:val="18"/>
        </w:numPr>
        <w:ind w:left="567" w:hanging="567"/>
        <w:jc w:val="both"/>
        <w:rPr>
          <w:rFonts w:asciiTheme="minorBidi" w:hAnsiTheme="minorBidi" w:cstheme="minorBidi"/>
          <w:lang w:val="fr-FR"/>
        </w:rPr>
      </w:pPr>
      <w:r w:rsidRPr="00016B6B">
        <w:rPr>
          <w:rFonts w:asciiTheme="minorBidi" w:hAnsiTheme="minorBidi" w:cstheme="minorBidi"/>
          <w:lang w:val="fr-FR"/>
        </w:rPr>
        <w:t xml:space="preserve">En ce qui concerne les questions susmentionnées, la seizième session du Comité en 2021 a recommandé que la neuvième session de l’Assemblée générale révise les Directives opérationnelles </w:t>
      </w:r>
      <w:r w:rsidR="007E46A0" w:rsidRPr="00016B6B">
        <w:rPr>
          <w:rFonts w:asciiTheme="minorBidi" w:hAnsiTheme="minorBidi" w:cstheme="minorBidi"/>
          <w:lang w:val="fr-FR"/>
        </w:rPr>
        <w:t>à la mi-2022</w:t>
      </w:r>
      <w:r w:rsidR="007E46A0">
        <w:rPr>
          <w:rFonts w:asciiTheme="minorBidi" w:hAnsiTheme="minorBidi" w:cstheme="minorBidi"/>
          <w:lang w:val="fr-FR"/>
        </w:rPr>
        <w:t>,</w:t>
      </w:r>
      <w:r w:rsidR="007E46A0" w:rsidRPr="00016B6B">
        <w:rPr>
          <w:rFonts w:asciiTheme="minorBidi" w:hAnsiTheme="minorBidi" w:cstheme="minorBidi"/>
          <w:lang w:val="fr-FR"/>
        </w:rPr>
        <w:t xml:space="preserve"> </w:t>
      </w:r>
      <w:r w:rsidRPr="00016B6B">
        <w:rPr>
          <w:rFonts w:asciiTheme="minorBidi" w:hAnsiTheme="minorBidi" w:cstheme="minorBidi"/>
          <w:lang w:val="fr-FR"/>
        </w:rPr>
        <w:t xml:space="preserve">sur la base et dans l’esprit des recommandations des réunions de la partie I et de la partie II du groupe de travail </w:t>
      </w:r>
      <w:r w:rsidRPr="00016B6B">
        <w:rPr>
          <w:rFonts w:asciiTheme="minorBidi" w:hAnsiTheme="minorBidi" w:cstheme="minorBidi"/>
          <w:shd w:val="clear" w:color="auto" w:fill="FFFFFF"/>
          <w:lang w:val="fr-FR"/>
        </w:rPr>
        <w:t xml:space="preserve">(Décision </w:t>
      </w:r>
      <w:hyperlink r:id="rId17" w:history="1">
        <w:r w:rsidRPr="00016B6B">
          <w:rPr>
            <w:rStyle w:val="Hyperlink"/>
            <w:rFonts w:asciiTheme="minorBidi" w:hAnsiTheme="minorBidi" w:cstheme="minorBidi"/>
            <w:shd w:val="clear" w:color="auto" w:fill="FFFFFF"/>
            <w:lang w:val="fr-FR"/>
          </w:rPr>
          <w:t>16.COM 14</w:t>
        </w:r>
      </w:hyperlink>
      <w:r w:rsidRPr="00016B6B">
        <w:rPr>
          <w:rFonts w:asciiTheme="minorBidi" w:hAnsiTheme="minorBidi" w:cstheme="minorBidi"/>
          <w:lang w:val="fr-FR"/>
        </w:rPr>
        <w:t xml:space="preserve">). (Voir annexes I et II du document </w:t>
      </w:r>
      <w:hyperlink r:id="rId18" w:history="1">
        <w:r w:rsidRPr="00016B6B">
          <w:rPr>
            <w:rStyle w:val="Hyperlink"/>
            <w:rFonts w:asciiTheme="minorBidi" w:eastAsiaTheme="minorEastAsia" w:hAnsiTheme="minorBidi" w:cstheme="minorBidi"/>
            <w:lang w:val="fr-FR"/>
          </w:rPr>
          <w:t>LHE/21/16.COM/14</w:t>
        </w:r>
      </w:hyperlink>
      <w:r w:rsidRPr="00016B6B">
        <w:rPr>
          <w:rFonts w:asciiTheme="minorBidi" w:hAnsiTheme="minorBidi" w:cstheme="minorBidi"/>
          <w:lang w:val="fr-FR"/>
        </w:rPr>
        <w:t>).</w:t>
      </w:r>
    </w:p>
    <w:p w14:paraId="3AD1013A" w14:textId="77777777" w:rsidR="0047762B" w:rsidRPr="00016B6B" w:rsidRDefault="0047762B" w:rsidP="0047762B">
      <w:pPr>
        <w:pStyle w:val="1GAPara"/>
        <w:widowControl w:val="0"/>
        <w:numPr>
          <w:ilvl w:val="0"/>
          <w:numId w:val="18"/>
        </w:numPr>
        <w:ind w:left="567" w:hanging="567"/>
        <w:jc w:val="both"/>
        <w:rPr>
          <w:rFonts w:asciiTheme="minorBidi" w:hAnsiTheme="minorBidi" w:cstheme="minorBidi"/>
          <w:lang w:val="fr-FR"/>
        </w:rPr>
      </w:pPr>
      <w:r w:rsidRPr="00016B6B">
        <w:rPr>
          <w:rFonts w:asciiTheme="minorBidi" w:hAnsiTheme="minorBidi" w:cstheme="minorBidi"/>
          <w:lang w:val="fr-FR"/>
        </w:rPr>
        <w:t xml:space="preserve">Le Comité a également décidé d’encourager un ensemble de trois mesures afin d’assurer l’inclusivité et une participation plus large des communautés, des groupes et, le cas échéant, des individus dans le système d’inscription sur les listes (paragraphe 8 de la </w:t>
      </w:r>
      <w:r w:rsidRPr="00016B6B">
        <w:rPr>
          <w:rFonts w:asciiTheme="minorBidi" w:hAnsiTheme="minorBidi" w:cstheme="minorBidi"/>
          <w:shd w:val="clear" w:color="auto" w:fill="FFFFFF"/>
          <w:lang w:val="fr-FR"/>
        </w:rPr>
        <w:t xml:space="preserve">décision </w:t>
      </w:r>
      <w:hyperlink r:id="rId19" w:history="1">
        <w:r w:rsidRPr="00016B6B">
          <w:rPr>
            <w:rStyle w:val="Hyperlink"/>
            <w:rFonts w:asciiTheme="minorBidi" w:hAnsiTheme="minorBidi" w:cstheme="minorBidi"/>
            <w:shd w:val="clear" w:color="auto" w:fill="FFFFFF"/>
            <w:lang w:val="fr-FR"/>
          </w:rPr>
          <w:t>16.COM 14</w:t>
        </w:r>
      </w:hyperlink>
      <w:r w:rsidRPr="00016B6B">
        <w:rPr>
          <w:rFonts w:asciiTheme="minorBidi" w:hAnsiTheme="minorBidi" w:cstheme="minorBidi"/>
          <w:lang w:val="fr-FR"/>
        </w:rPr>
        <w:t>). Elles concernent l’utilisation de la / des langue(s) de la communauté dans les formulaires de candidature, l’utilisation des technologies pour fournir des informations et l’utilisation d’un langage neutre et inclusif dans tous les aspects des processus d’inscription. Bien qu’elles ne figurent pas dans les amendements proposés aux Directives opérationnelles en tant que telles, elles seront reflétées dans les formulaires de candidature qui seront révisés après la neuvième session de l’Assemblée générale.</w:t>
      </w:r>
    </w:p>
    <w:p w14:paraId="7F28D579" w14:textId="77777777" w:rsidR="0047762B" w:rsidRPr="00016B6B" w:rsidRDefault="0047762B" w:rsidP="0047762B">
      <w:pPr>
        <w:pStyle w:val="1GAPara"/>
        <w:widowControl w:val="0"/>
        <w:numPr>
          <w:ilvl w:val="0"/>
          <w:numId w:val="18"/>
        </w:numPr>
        <w:ind w:left="567" w:hanging="567"/>
        <w:jc w:val="both"/>
        <w:rPr>
          <w:rFonts w:asciiTheme="minorBidi" w:hAnsiTheme="minorBidi" w:cstheme="minorBidi"/>
          <w:lang w:val="fr-FR"/>
        </w:rPr>
      </w:pPr>
      <w:r w:rsidRPr="00016B6B">
        <w:rPr>
          <w:rFonts w:asciiTheme="minorBidi" w:hAnsiTheme="minorBidi" w:cstheme="minorBidi"/>
          <w:lang w:val="fr-FR"/>
        </w:rPr>
        <w:t xml:space="preserve">Parallèlement, la seizième session du Comité a également accepté la recommandation du groupe de travail d’engager une réflexion supplémentaire sur les implications plus larges et l’amélioration du fonctionnement de l’article 18 de la Convention. Le sentiment général est que, au-delà de ce qui a été proposé en termes de nouvelle procédure pour le transfert d’éléments (voir paragraphe 3 (ii) ci-dessus), le potentiel de ce mécanisme n’a pas été pleinement exploré, notamment pour s’assurer que les communautés puissent bénéficier du partage des bonnes pratiques en matière de sauvegarde de leur patrimoine vivant. Le groupe de travail a décidé que cette nouvelle réflexion sur l’article 18 devrait inclure la poursuite de la discussion sur la manière de renforcer le dialogue et la communication entre les parties prenantes de la Convention de 2003, y compris les communautés, les groupes et, le cas échéant, les individus concernés (paragraphe 12 de la </w:t>
      </w:r>
      <w:r w:rsidRPr="00016B6B">
        <w:rPr>
          <w:rFonts w:asciiTheme="minorBidi" w:hAnsiTheme="minorBidi" w:cstheme="minorBidi"/>
          <w:shd w:val="clear" w:color="auto" w:fill="FFFFFF"/>
          <w:lang w:val="fr-FR"/>
        </w:rPr>
        <w:t xml:space="preserve">décision </w:t>
      </w:r>
      <w:hyperlink r:id="rId20" w:history="1">
        <w:r w:rsidRPr="00016B6B">
          <w:rPr>
            <w:rStyle w:val="Hyperlink"/>
            <w:rFonts w:asciiTheme="minorBidi" w:hAnsiTheme="minorBidi" w:cstheme="minorBidi"/>
            <w:shd w:val="clear" w:color="auto" w:fill="FFFFFF"/>
            <w:lang w:val="fr-FR"/>
          </w:rPr>
          <w:t>16.COM 14</w:t>
        </w:r>
      </w:hyperlink>
      <w:r w:rsidRPr="00016B6B">
        <w:rPr>
          <w:rFonts w:asciiTheme="minorBidi" w:hAnsiTheme="minorBidi" w:cstheme="minorBidi"/>
          <w:lang w:val="fr-FR"/>
        </w:rPr>
        <w:t xml:space="preserve">). Pour soutenir cette initiative, la Suède a apporté une contribution en septembre 2021 sous la forme d’un crédit supplémentaire au programme ordinaire de l’UNESCO (document </w:t>
      </w:r>
      <w:hyperlink r:id="rId21" w:history="1">
        <w:r w:rsidRPr="00016B6B">
          <w:rPr>
            <w:rStyle w:val="Hyperlink"/>
            <w:rFonts w:asciiTheme="minorBidi" w:hAnsiTheme="minorBidi" w:cstheme="minorBidi"/>
            <w:lang w:val="fr-FR"/>
          </w:rPr>
          <w:t>LHE/21/16.COM/12</w:t>
        </w:r>
      </w:hyperlink>
      <w:r w:rsidRPr="00016B6B">
        <w:rPr>
          <w:rFonts w:asciiTheme="minorBidi" w:hAnsiTheme="minorBidi" w:cstheme="minorBidi"/>
          <w:lang w:val="fr-FR"/>
        </w:rPr>
        <w:t>). Une réunion d’experts est en cours d’organisation pour préparer une éventuelle discussion intergouvernementale sur ce sujet.</w:t>
      </w:r>
    </w:p>
    <w:p w14:paraId="5C928721" w14:textId="77777777" w:rsidR="0047762B" w:rsidRPr="00016B6B" w:rsidRDefault="0047762B" w:rsidP="0047762B">
      <w:pPr>
        <w:pStyle w:val="1GAPara"/>
        <w:keepNext/>
        <w:spacing w:before="240"/>
        <w:ind w:left="567"/>
        <w:jc w:val="both"/>
        <w:rPr>
          <w:rFonts w:asciiTheme="minorBidi" w:hAnsiTheme="minorBidi" w:cstheme="minorBidi"/>
          <w:b/>
          <w:bCs/>
          <w:lang w:val="fr-FR"/>
        </w:rPr>
      </w:pPr>
      <w:r w:rsidRPr="00016B6B">
        <w:rPr>
          <w:rFonts w:asciiTheme="minorBidi" w:hAnsiTheme="minorBidi" w:cstheme="minorBidi"/>
          <w:b/>
          <w:bCs/>
          <w:lang w:val="fr-FR"/>
        </w:rPr>
        <w:t>Objectifs et méthodes de travail pour la partie III de la réunion</w:t>
      </w:r>
    </w:p>
    <w:p w14:paraId="7C56E6B5" w14:textId="77777777" w:rsidR="0047762B" w:rsidRPr="00016B6B" w:rsidRDefault="0047762B" w:rsidP="0047762B">
      <w:pPr>
        <w:pStyle w:val="1GAPara"/>
        <w:numPr>
          <w:ilvl w:val="0"/>
          <w:numId w:val="18"/>
        </w:numPr>
        <w:ind w:left="567" w:hanging="567"/>
        <w:jc w:val="both"/>
        <w:rPr>
          <w:rFonts w:asciiTheme="minorBidi" w:hAnsiTheme="minorBidi" w:cstheme="minorBidi"/>
          <w:b/>
          <w:bCs/>
          <w:lang w:val="fr-FR"/>
        </w:rPr>
      </w:pPr>
      <w:r w:rsidRPr="00016B6B">
        <w:rPr>
          <w:rFonts w:asciiTheme="minorBidi" w:hAnsiTheme="minorBidi" w:cstheme="minorBidi"/>
          <w:lang w:val="fr-FR"/>
        </w:rPr>
        <w:t xml:space="preserve">Au cours de la partie I et de la partie II de la réunion du groupe de travail, des questions supplémentaires ont été soulevées mais n’ont pas pu être traitées dans les délais. À la demande du groupe de travail, la seizième session du Comité a décidé de prolonger son mandat et de convoquer une partie III de la réunion, au début de 2022, afin de discuter de ces questions supplémentaires (telles qu’énumérées dans la </w:t>
      </w:r>
      <w:r w:rsidRPr="00016B6B">
        <w:rPr>
          <w:rFonts w:asciiTheme="minorBidi" w:hAnsiTheme="minorBidi" w:cstheme="minorBidi"/>
          <w:shd w:val="clear" w:color="auto" w:fill="FFFFFF"/>
          <w:lang w:val="fr-FR"/>
        </w:rPr>
        <w:t>décision </w:t>
      </w:r>
      <w:hyperlink r:id="rId22" w:history="1">
        <w:r w:rsidRPr="00016B6B">
          <w:rPr>
            <w:rStyle w:val="Hyperlink"/>
            <w:rFonts w:asciiTheme="minorBidi" w:hAnsiTheme="minorBidi" w:cstheme="minorBidi"/>
            <w:shd w:val="clear" w:color="auto" w:fill="FFFFFF"/>
            <w:lang w:val="fr-FR"/>
          </w:rPr>
          <w:t>16.COM 14</w:t>
        </w:r>
        <w:r w:rsidRPr="00016B6B">
          <w:rPr>
            <w:rStyle w:val="Hyperlink"/>
            <w:rFonts w:asciiTheme="minorBidi" w:hAnsiTheme="minorBidi" w:cstheme="minorBidi"/>
            <w:color w:val="auto"/>
            <w:u w:val="none"/>
            <w:shd w:val="clear" w:color="auto" w:fill="FFFFFF"/>
            <w:lang w:val="fr-FR"/>
          </w:rPr>
          <w:t>)</w:t>
        </w:r>
      </w:hyperlink>
      <w:r w:rsidRPr="00016B6B">
        <w:rPr>
          <w:rFonts w:asciiTheme="minorBidi" w:hAnsiTheme="minorBidi" w:cstheme="minorBidi"/>
          <w:lang w:val="fr-FR"/>
        </w:rPr>
        <w:t>. Comme détaillé ci-dessous, ces questions peuvent être regroupées en deux grandes catégories :</w:t>
      </w:r>
    </w:p>
    <w:p w14:paraId="2CDDB946" w14:textId="77777777" w:rsidR="0047762B" w:rsidRPr="00016B6B" w:rsidRDefault="0047762B" w:rsidP="0047762B">
      <w:pPr>
        <w:pStyle w:val="1GAPara"/>
        <w:numPr>
          <w:ilvl w:val="0"/>
          <w:numId w:val="21"/>
        </w:numPr>
        <w:ind w:left="1134" w:hanging="567"/>
        <w:jc w:val="both"/>
        <w:rPr>
          <w:rFonts w:asciiTheme="minorBidi" w:hAnsiTheme="minorBidi" w:cstheme="minorBidi"/>
          <w:lang w:val="fr-FR"/>
        </w:rPr>
      </w:pPr>
      <w:r w:rsidRPr="00016B6B">
        <w:rPr>
          <w:rFonts w:asciiTheme="minorBidi" w:hAnsiTheme="minorBidi" w:cstheme="minorBidi"/>
          <w:lang w:val="fr-FR"/>
        </w:rPr>
        <w:t>les questions liées au nombre annuel de dossiers (y compris les aspects connexes tels que la composition et les méthodes de travail de l’Organe d’évaluation) ; et</w:t>
      </w:r>
    </w:p>
    <w:p w14:paraId="51196E4C" w14:textId="57333E5C" w:rsidR="00003D20" w:rsidRPr="00016B6B" w:rsidRDefault="0047762B" w:rsidP="0047762B">
      <w:pPr>
        <w:pStyle w:val="1GAPara"/>
        <w:numPr>
          <w:ilvl w:val="0"/>
          <w:numId w:val="21"/>
        </w:numPr>
        <w:ind w:left="1134" w:hanging="567"/>
        <w:jc w:val="both"/>
        <w:rPr>
          <w:rFonts w:asciiTheme="minorBidi" w:hAnsiTheme="minorBidi" w:cstheme="minorBidi"/>
          <w:lang w:val="fr-FR"/>
        </w:rPr>
      </w:pPr>
      <w:r w:rsidRPr="00016B6B">
        <w:rPr>
          <w:rFonts w:asciiTheme="minorBidi" w:hAnsiTheme="minorBidi" w:cstheme="minorBidi"/>
          <w:lang w:val="fr-FR"/>
        </w:rPr>
        <w:t>toute autre question technique nécessitant une réflexion plus approfondie.</w:t>
      </w:r>
    </w:p>
    <w:p w14:paraId="7BDFE3CE" w14:textId="7836A725" w:rsidR="0047762B" w:rsidRPr="00016B6B" w:rsidRDefault="00003D20" w:rsidP="00003D20">
      <w:pPr>
        <w:rPr>
          <w:rFonts w:asciiTheme="minorBidi" w:hAnsiTheme="minorBidi" w:cstheme="minorBidi"/>
          <w:snapToGrid w:val="0"/>
          <w:sz w:val="22"/>
          <w:szCs w:val="22"/>
          <w:lang w:eastAsia="en-US"/>
        </w:rPr>
      </w:pPr>
      <w:r w:rsidRPr="00016B6B">
        <w:rPr>
          <w:rFonts w:asciiTheme="minorBidi" w:hAnsiTheme="minorBidi" w:cstheme="minorBidi"/>
          <w:sz w:val="22"/>
          <w:szCs w:val="22"/>
        </w:rPr>
        <w:br w:type="page"/>
      </w:r>
    </w:p>
    <w:p w14:paraId="57A93878" w14:textId="77777777" w:rsidR="0047762B" w:rsidRPr="00016B6B" w:rsidRDefault="0047762B" w:rsidP="0047762B">
      <w:pPr>
        <w:pStyle w:val="1GAPara"/>
        <w:numPr>
          <w:ilvl w:val="0"/>
          <w:numId w:val="18"/>
        </w:numPr>
        <w:ind w:left="567" w:hanging="567"/>
        <w:jc w:val="both"/>
        <w:rPr>
          <w:rFonts w:asciiTheme="minorBidi" w:hAnsiTheme="minorBidi" w:cstheme="minorBidi"/>
          <w:b/>
          <w:bCs/>
          <w:lang w:val="fr-FR"/>
        </w:rPr>
      </w:pPr>
      <w:r w:rsidRPr="00016B6B">
        <w:rPr>
          <w:rFonts w:asciiTheme="minorBidi" w:hAnsiTheme="minorBidi" w:cstheme="minorBidi"/>
          <w:lang w:val="fr-FR"/>
        </w:rPr>
        <w:t xml:space="preserve">Ces questions supplémentaires ont été considérées par le groupe de travail comme essentielles à la réflexion. Les points supplémentaires aideraient le système d’inscription réformé à fonctionner de manière optimale, car ils sont liés à la manière dont les États parties s’engageront dans le système. Certains États parties souhaitent un système réformé dans lequel un plus grand nombre de dossiers par cycle pourrait être évalué, car ils souhaitent augmenter le nombre d’éléments inscrits sur leur territoire. Dans le même temps, d’autres États ont mis en garde contre l’accent trop important placé sur les mécanismes d’inscription sur les listes au détriment d’autres activités qui pourraient être entreprises, qu’il s’agisse d’une approche de renforcement des capacités, d’initiatives thématiques ou d’autres activités opérationnelles. </w:t>
      </w:r>
    </w:p>
    <w:p w14:paraId="11E82BCA" w14:textId="6C14346A" w:rsidR="0047762B" w:rsidRPr="00016B6B" w:rsidRDefault="0047762B" w:rsidP="0047762B">
      <w:pPr>
        <w:pStyle w:val="1GAPara"/>
        <w:numPr>
          <w:ilvl w:val="0"/>
          <w:numId w:val="18"/>
        </w:numPr>
        <w:ind w:left="567" w:hanging="567"/>
        <w:jc w:val="both"/>
        <w:rPr>
          <w:rStyle w:val="Strong"/>
          <w:rFonts w:asciiTheme="minorBidi" w:hAnsiTheme="minorBidi" w:cstheme="minorBidi"/>
          <w:b/>
          <w:bCs/>
          <w:lang w:val="fr-FR"/>
        </w:rPr>
      </w:pPr>
      <w:r w:rsidRPr="00016B6B">
        <w:rPr>
          <w:rFonts w:asciiTheme="minorBidi" w:hAnsiTheme="minorBidi" w:cstheme="minorBidi"/>
          <w:lang w:val="fr-FR"/>
        </w:rPr>
        <w:t xml:space="preserve">La partie III de la réunion du groupe de travail sera </w:t>
      </w:r>
      <w:r w:rsidRPr="00D21644">
        <w:rPr>
          <w:rFonts w:asciiTheme="minorBidi" w:hAnsiTheme="minorBidi" w:cstheme="minorBidi"/>
          <w:lang w:val="fr-FR"/>
        </w:rPr>
        <w:t xml:space="preserve">composée de </w:t>
      </w:r>
      <w:r w:rsidR="00812A20" w:rsidRPr="00D21644">
        <w:rPr>
          <w:rFonts w:asciiTheme="minorBidi" w:hAnsiTheme="minorBidi" w:cstheme="minorBidi"/>
          <w:lang w:val="fr-FR"/>
        </w:rPr>
        <w:t>huit</w:t>
      </w:r>
      <w:r w:rsidR="002841FE" w:rsidRPr="00D21644">
        <w:rPr>
          <w:rFonts w:asciiTheme="minorBidi" w:hAnsiTheme="minorBidi" w:cstheme="minorBidi"/>
          <w:lang w:val="fr-FR"/>
        </w:rPr>
        <w:t xml:space="preserve"> </w:t>
      </w:r>
      <w:r w:rsidRPr="00D21644">
        <w:rPr>
          <w:rFonts w:asciiTheme="minorBidi" w:hAnsiTheme="minorBidi" w:cstheme="minorBidi"/>
          <w:lang w:val="fr-FR"/>
        </w:rPr>
        <w:t xml:space="preserve">sessions </w:t>
      </w:r>
      <w:r w:rsidRPr="00D21644">
        <w:rPr>
          <w:rStyle w:val="Strong"/>
          <w:rFonts w:asciiTheme="minorBidi" w:hAnsiTheme="minorBidi" w:cstheme="minorBidi"/>
          <w:lang w:val="fr-FR"/>
        </w:rPr>
        <w:t>au</w:t>
      </w:r>
      <w:r w:rsidRPr="003973AD">
        <w:rPr>
          <w:rStyle w:val="Strong"/>
          <w:rFonts w:asciiTheme="minorBidi" w:hAnsiTheme="minorBidi" w:cstheme="minorBidi"/>
          <w:lang w:val="fr-FR"/>
        </w:rPr>
        <w:t xml:space="preserve"> cours de deux jours,</w:t>
      </w:r>
      <w:r w:rsidRPr="00016B6B">
        <w:rPr>
          <w:rStyle w:val="Strong"/>
          <w:rFonts w:asciiTheme="minorBidi" w:hAnsiTheme="minorBidi" w:cstheme="minorBidi"/>
          <w:b/>
          <w:bCs/>
          <w:lang w:val="fr-FR"/>
        </w:rPr>
        <w:t xml:space="preserve"> </w:t>
      </w:r>
      <w:r w:rsidRPr="00016B6B">
        <w:rPr>
          <w:rFonts w:asciiTheme="minorBidi" w:hAnsiTheme="minorBidi" w:cstheme="minorBidi"/>
          <w:b/>
          <w:bCs/>
          <w:lang w:val="fr-FR"/>
        </w:rPr>
        <w:t>les 25 et 26 avril 2022</w:t>
      </w:r>
      <w:r w:rsidRPr="00016B6B">
        <w:rPr>
          <w:rFonts w:asciiTheme="minorBidi" w:hAnsiTheme="minorBidi" w:cstheme="minorBidi"/>
          <w:lang w:val="fr-FR"/>
        </w:rPr>
        <w:t>.</w:t>
      </w:r>
    </w:p>
    <w:p w14:paraId="12E48FD8" w14:textId="0A0DD8C3" w:rsidR="0047762B" w:rsidRPr="00016B6B" w:rsidRDefault="0047762B" w:rsidP="0047762B">
      <w:pPr>
        <w:pStyle w:val="1GAPara"/>
        <w:numPr>
          <w:ilvl w:val="0"/>
          <w:numId w:val="19"/>
        </w:numPr>
        <w:ind w:left="993" w:hanging="426"/>
        <w:jc w:val="both"/>
        <w:rPr>
          <w:rFonts w:asciiTheme="minorBidi" w:hAnsiTheme="minorBidi" w:cstheme="minorBidi"/>
          <w:b/>
          <w:bCs/>
          <w:lang w:val="fr-FR"/>
        </w:rPr>
      </w:pPr>
      <w:r w:rsidRPr="00016B6B">
        <w:rPr>
          <w:rFonts w:asciiTheme="minorBidi" w:hAnsiTheme="minorBidi" w:cstheme="minorBidi"/>
          <w:lang w:val="fr-FR"/>
        </w:rPr>
        <w:t>Étant donné que la partie III est une prolongation des deux premières parties de la réunion, les points de l’ordre du jour et les documents de travail correspondants sont présentés comme une extension de la partie I et de la partie II de la réunion du groupe de travail (et commencent par le point 9, qui est soutenu par le document 9, et ainsi de suite).</w:t>
      </w:r>
      <w:r w:rsidRPr="00016B6B">
        <w:rPr>
          <w:rFonts w:asciiTheme="minorBidi" w:hAnsiTheme="minorBidi" w:cstheme="minorBidi"/>
          <w:b/>
          <w:bCs/>
          <w:lang w:val="fr-FR"/>
        </w:rPr>
        <w:t xml:space="preserve"> </w:t>
      </w:r>
      <w:r w:rsidRPr="00016B6B">
        <w:rPr>
          <w:rFonts w:asciiTheme="minorBidi" w:hAnsiTheme="minorBidi" w:cstheme="minorBidi"/>
          <w:lang w:val="fr-FR"/>
        </w:rPr>
        <w:t xml:space="preserve">De même, tous les documents de travail pour la partie III de la réunion sont censés être examinés avec les documents précédemment présentés pour les parties I et II, et avec les documents </w:t>
      </w:r>
      <w:hyperlink r:id="rId23" w:history="1">
        <w:r w:rsidRPr="00016B6B">
          <w:rPr>
            <w:rStyle w:val="Hyperlink"/>
            <w:rFonts w:asciiTheme="minorBidi" w:eastAsiaTheme="minorEastAsia" w:hAnsiTheme="minorBidi" w:cstheme="minorBidi"/>
            <w:lang w:val="fr-FR"/>
          </w:rPr>
          <w:t>LHE/21/16.COM/14</w:t>
        </w:r>
      </w:hyperlink>
      <w:r w:rsidRPr="00016B6B">
        <w:rPr>
          <w:rFonts w:asciiTheme="minorBidi" w:hAnsiTheme="minorBidi" w:cstheme="minorBidi"/>
          <w:lang w:val="fr-FR"/>
        </w:rPr>
        <w:t xml:space="preserve"> et </w:t>
      </w:r>
      <w:hyperlink r:id="rId24" w:history="1">
        <w:r w:rsidRPr="00016B6B">
          <w:rPr>
            <w:rStyle w:val="Hyperlink"/>
            <w:rFonts w:asciiTheme="minorBidi" w:eastAsiaTheme="minorEastAsia" w:hAnsiTheme="minorBidi" w:cstheme="minorBidi"/>
            <w:lang w:val="fr-FR"/>
          </w:rPr>
          <w:t>LHE/21/16.COM/INF.14</w:t>
        </w:r>
      </w:hyperlink>
      <w:r w:rsidRPr="00016B6B">
        <w:rPr>
          <w:rStyle w:val="Hyperlink"/>
          <w:rFonts w:asciiTheme="minorBidi" w:eastAsiaTheme="minorEastAsia" w:hAnsiTheme="minorBidi" w:cstheme="minorBidi"/>
          <w:color w:val="auto"/>
          <w:u w:val="none"/>
          <w:lang w:val="fr-FR"/>
        </w:rPr>
        <w:t xml:space="preserve"> qui ont été </w:t>
      </w:r>
      <w:r w:rsidRPr="00016B6B">
        <w:rPr>
          <w:rFonts w:asciiTheme="minorBidi" w:hAnsiTheme="minorBidi" w:cstheme="minorBidi"/>
          <w:lang w:val="fr-FR"/>
        </w:rPr>
        <w:t>présentés à la seizième session du Comité.</w:t>
      </w:r>
    </w:p>
    <w:p w14:paraId="656F126E" w14:textId="008B370B" w:rsidR="0047762B" w:rsidRPr="00016B6B" w:rsidRDefault="0047762B" w:rsidP="0047762B">
      <w:pPr>
        <w:pStyle w:val="1GAPara"/>
        <w:numPr>
          <w:ilvl w:val="0"/>
          <w:numId w:val="19"/>
        </w:numPr>
        <w:ind w:left="993" w:hanging="426"/>
        <w:jc w:val="both"/>
        <w:rPr>
          <w:rFonts w:asciiTheme="minorBidi" w:hAnsiTheme="minorBidi" w:cstheme="minorBidi"/>
          <w:lang w:val="fr-FR"/>
        </w:rPr>
      </w:pPr>
      <w:r w:rsidRPr="00016B6B">
        <w:rPr>
          <w:rFonts w:asciiTheme="minorBidi" w:hAnsiTheme="minorBidi" w:cstheme="minorBidi"/>
          <w:lang w:val="fr-FR"/>
        </w:rPr>
        <w:t xml:space="preserve">Le Bureau établi par la partie I (et maintenu par la partie II) du groupe de travail reste en fonction jusqu’à la fin de la </w:t>
      </w:r>
      <w:r w:rsidRPr="00D21644">
        <w:rPr>
          <w:rFonts w:asciiTheme="minorBidi" w:hAnsiTheme="minorBidi" w:cstheme="minorBidi"/>
          <w:lang w:val="fr-FR"/>
        </w:rPr>
        <w:t>partie III</w:t>
      </w:r>
      <w:r w:rsidR="00812A20" w:rsidRPr="00D21644">
        <w:rPr>
          <w:rFonts w:asciiTheme="minorBidi" w:hAnsiTheme="minorBidi" w:cstheme="minorBidi"/>
          <w:lang w:val="fr-FR"/>
        </w:rPr>
        <w:t xml:space="preserve">. </w:t>
      </w:r>
      <w:r w:rsidR="00C300A3" w:rsidRPr="00D21644">
        <w:rPr>
          <w:rFonts w:asciiTheme="minorBidi" w:hAnsiTheme="minorBidi" w:cstheme="minorBidi"/>
          <w:lang w:val="fr-FR"/>
        </w:rPr>
        <w:t>Il</w:t>
      </w:r>
      <w:r w:rsidR="00812A20" w:rsidRPr="00D21644">
        <w:rPr>
          <w:rFonts w:asciiTheme="minorBidi" w:hAnsiTheme="minorBidi" w:cstheme="minorBidi"/>
          <w:lang w:val="fr-FR"/>
        </w:rPr>
        <w:t xml:space="preserve"> est composé </w:t>
      </w:r>
      <w:r w:rsidR="00C300A3" w:rsidRPr="00D21644">
        <w:rPr>
          <w:rFonts w:asciiTheme="minorBidi" w:hAnsiTheme="minorBidi" w:cstheme="minorBidi"/>
          <w:lang w:val="fr-FR"/>
        </w:rPr>
        <w:t xml:space="preserve">de S.E. M. Atsuyuki Oike (Japon) en tant que </w:t>
      </w:r>
      <w:r w:rsidR="0056655B" w:rsidRPr="00D21644">
        <w:rPr>
          <w:rFonts w:asciiTheme="minorBidi" w:hAnsiTheme="minorBidi" w:cstheme="minorBidi"/>
          <w:lang w:val="fr-FR"/>
        </w:rPr>
        <w:t>P</w:t>
      </w:r>
      <w:r w:rsidR="00C300A3" w:rsidRPr="00D21644">
        <w:rPr>
          <w:rFonts w:asciiTheme="minorBidi" w:hAnsiTheme="minorBidi" w:cstheme="minorBidi"/>
          <w:lang w:val="fr-FR"/>
        </w:rPr>
        <w:t xml:space="preserve">résident ainsi que d’un groupe de </w:t>
      </w:r>
      <w:r w:rsidR="0056655B" w:rsidRPr="00D21644">
        <w:rPr>
          <w:rFonts w:asciiTheme="minorBidi" w:hAnsiTheme="minorBidi" w:cstheme="minorBidi"/>
          <w:lang w:val="fr-FR"/>
        </w:rPr>
        <w:t>V</w:t>
      </w:r>
      <w:r w:rsidR="00C300A3" w:rsidRPr="00D21644">
        <w:rPr>
          <w:rFonts w:asciiTheme="minorBidi" w:hAnsiTheme="minorBidi" w:cstheme="minorBidi"/>
          <w:lang w:val="fr-FR"/>
        </w:rPr>
        <w:t>ice-</w:t>
      </w:r>
      <w:r w:rsidR="0056655B" w:rsidRPr="00D21644">
        <w:rPr>
          <w:rFonts w:asciiTheme="minorBidi" w:hAnsiTheme="minorBidi" w:cstheme="minorBidi"/>
          <w:lang w:val="fr-FR"/>
        </w:rPr>
        <w:t>P</w:t>
      </w:r>
      <w:r w:rsidR="00C300A3" w:rsidRPr="00D21644">
        <w:rPr>
          <w:rFonts w:asciiTheme="minorBidi" w:hAnsiTheme="minorBidi" w:cstheme="minorBidi"/>
          <w:lang w:val="fr-FR"/>
        </w:rPr>
        <w:t>résidents, un pour chacun des groupes électoraux restants, qui agissent égaleme</w:t>
      </w:r>
      <w:r w:rsidR="0056655B" w:rsidRPr="00D21644">
        <w:rPr>
          <w:rFonts w:asciiTheme="minorBidi" w:hAnsiTheme="minorBidi" w:cstheme="minorBidi"/>
          <w:lang w:val="fr-FR"/>
        </w:rPr>
        <w:t>n</w:t>
      </w:r>
      <w:r w:rsidR="00C300A3" w:rsidRPr="00D21644">
        <w:rPr>
          <w:rFonts w:asciiTheme="minorBidi" w:hAnsiTheme="minorBidi" w:cstheme="minorBidi"/>
          <w:lang w:val="fr-FR"/>
        </w:rPr>
        <w:t>t en tant que rapporteurs : Allemagne, Pologne, Pérou, Côte d’Ivoire et Koweït.</w:t>
      </w:r>
      <w:r w:rsidRPr="00D21644">
        <w:rPr>
          <w:rFonts w:asciiTheme="minorBidi" w:hAnsiTheme="minorBidi" w:cstheme="minorBidi"/>
          <w:lang w:val="fr-FR"/>
        </w:rPr>
        <w:t xml:space="preserve"> </w:t>
      </w:r>
      <w:r w:rsidR="00C300A3" w:rsidRPr="00D21644">
        <w:rPr>
          <w:rFonts w:asciiTheme="minorBidi" w:hAnsiTheme="minorBidi" w:cstheme="minorBidi"/>
          <w:lang w:val="fr-FR"/>
        </w:rPr>
        <w:t>L</w:t>
      </w:r>
      <w:r w:rsidRPr="00D21644">
        <w:rPr>
          <w:rFonts w:asciiTheme="minorBidi" w:hAnsiTheme="minorBidi" w:cstheme="minorBidi"/>
          <w:lang w:val="fr-FR"/>
        </w:rPr>
        <w:t>es membres se réuniront en ligne les deux jours de la réunion, afin de faciliter le travail et d’ajuster les méthodes de travail, y compris le calendrier, si nécessaire. Comme ce fut</w:t>
      </w:r>
      <w:r w:rsidRPr="00016B6B">
        <w:rPr>
          <w:rFonts w:asciiTheme="minorBidi" w:hAnsiTheme="minorBidi" w:cstheme="minorBidi"/>
          <w:lang w:val="fr-FR"/>
        </w:rPr>
        <w:t xml:space="preserve"> le cas pour les parties I et II, les réunions du Bureau de la partie III seront privées.</w:t>
      </w:r>
    </w:p>
    <w:p w14:paraId="7122F24E" w14:textId="77777777" w:rsidR="0047762B" w:rsidRPr="00016B6B" w:rsidRDefault="0047762B" w:rsidP="0047762B">
      <w:pPr>
        <w:pStyle w:val="1GAPara"/>
        <w:keepNext/>
        <w:spacing w:before="240"/>
        <w:ind w:left="567"/>
        <w:jc w:val="both"/>
        <w:rPr>
          <w:rFonts w:asciiTheme="minorBidi" w:hAnsiTheme="minorBidi" w:cstheme="minorBidi"/>
          <w:b/>
          <w:bCs/>
          <w:lang w:val="fr-FR"/>
        </w:rPr>
      </w:pPr>
      <w:r w:rsidRPr="00016B6B">
        <w:rPr>
          <w:rFonts w:asciiTheme="minorBidi" w:hAnsiTheme="minorBidi" w:cstheme="minorBidi"/>
          <w:b/>
          <w:bCs/>
          <w:lang w:val="fr-FR"/>
        </w:rPr>
        <w:t>Ordre du jour annoté</w:t>
      </w:r>
    </w:p>
    <w:p w14:paraId="64B68D33" w14:textId="77777777" w:rsidR="0047762B" w:rsidRPr="00016B6B" w:rsidRDefault="0047762B" w:rsidP="0047762B">
      <w:pPr>
        <w:pStyle w:val="1GAPara"/>
        <w:numPr>
          <w:ilvl w:val="0"/>
          <w:numId w:val="18"/>
        </w:numPr>
        <w:ind w:left="567" w:hanging="567"/>
        <w:jc w:val="both"/>
        <w:rPr>
          <w:rStyle w:val="Strong"/>
          <w:rFonts w:asciiTheme="minorBidi" w:hAnsiTheme="minorBidi" w:cstheme="minorBidi"/>
          <w:b/>
          <w:bCs/>
          <w:lang w:val="fr-FR"/>
        </w:rPr>
      </w:pPr>
      <w:r w:rsidRPr="00016B6B">
        <w:rPr>
          <w:rFonts w:asciiTheme="minorBidi" w:hAnsiTheme="minorBidi" w:cstheme="minorBidi"/>
          <w:lang w:val="fr-FR"/>
        </w:rPr>
        <w:t xml:space="preserve">Après les remarques liminaires du Sous-Directeur général pour la Culture au début du premier jour, le 25 avril 2022, la réunion commencera, au titre du point 9, par une intervention du Président du groupe de travail, S.E. M. Atsuyuki Oike (Japon), afin de faire le point sur les principaux résultats des parties I et II du groupe de travail et sur </w:t>
      </w:r>
      <w:r w:rsidRPr="00016B6B">
        <w:rPr>
          <w:rStyle w:val="Strong"/>
          <w:rFonts w:asciiTheme="minorBidi" w:hAnsiTheme="minorBidi" w:cstheme="minorBidi"/>
          <w:b/>
          <w:bCs/>
          <w:lang w:val="fr-FR"/>
        </w:rPr>
        <w:t xml:space="preserve">les objectifs et les méthodes de travail de la partie III. </w:t>
      </w:r>
    </w:p>
    <w:p w14:paraId="4A53C8E6" w14:textId="77777777" w:rsidR="0047762B" w:rsidRPr="00016B6B" w:rsidRDefault="0047762B" w:rsidP="0047762B">
      <w:pPr>
        <w:pStyle w:val="1GAPara"/>
        <w:numPr>
          <w:ilvl w:val="0"/>
          <w:numId w:val="18"/>
        </w:numPr>
        <w:ind w:left="567" w:hanging="567"/>
        <w:jc w:val="both"/>
        <w:rPr>
          <w:rStyle w:val="Strong"/>
          <w:rFonts w:asciiTheme="minorBidi" w:hAnsiTheme="minorBidi" w:cstheme="minorBidi"/>
          <w:lang w:val="fr-FR"/>
        </w:rPr>
      </w:pPr>
      <w:r w:rsidRPr="00016B6B">
        <w:rPr>
          <w:rStyle w:val="Strong"/>
          <w:rFonts w:asciiTheme="minorBidi" w:hAnsiTheme="minorBidi" w:cstheme="minorBidi"/>
          <w:lang w:val="fr-FR"/>
        </w:rPr>
        <w:t>Le reste de la première journée sera consacré au point 10 :</w:t>
      </w:r>
    </w:p>
    <w:p w14:paraId="0B4F0490" w14:textId="1124A07F" w:rsidR="00003D20" w:rsidRPr="00016B6B" w:rsidRDefault="0047762B" w:rsidP="0047762B">
      <w:pPr>
        <w:pStyle w:val="1GAPara"/>
        <w:ind w:left="567"/>
        <w:jc w:val="both"/>
        <w:rPr>
          <w:rFonts w:asciiTheme="minorBidi" w:hAnsiTheme="minorBidi" w:cstheme="minorBidi"/>
          <w:lang w:val="fr-FR"/>
        </w:rPr>
      </w:pPr>
      <w:r w:rsidRPr="00016B6B">
        <w:rPr>
          <w:rFonts w:asciiTheme="minorBidi" w:hAnsiTheme="minorBidi" w:cstheme="minorBidi"/>
          <w:b/>
          <w:bCs/>
          <w:lang w:val="fr-FR"/>
        </w:rPr>
        <w:t>Point 10 </w:t>
      </w:r>
      <w:r w:rsidRPr="00016B6B">
        <w:rPr>
          <w:rFonts w:asciiTheme="minorBidi" w:hAnsiTheme="minorBidi" w:cstheme="minorBidi"/>
          <w:lang w:val="fr-FR"/>
        </w:rPr>
        <w:t xml:space="preserve">: Ce point est consacré aux cinq sujets de discussion liés au nombre de dossiers par cycle (document </w:t>
      </w:r>
      <w:hyperlink r:id="rId25" w:history="1">
        <w:r w:rsidRPr="00016B6B">
          <w:rPr>
            <w:rStyle w:val="Hyperlink"/>
            <w:rFonts w:asciiTheme="minorBidi" w:hAnsiTheme="minorBidi" w:cstheme="minorBidi"/>
            <w:lang w:val="fr-FR"/>
          </w:rPr>
          <w:t>LHE/22/17.COM WG/10</w:t>
        </w:r>
      </w:hyperlink>
      <w:r w:rsidRPr="00016B6B">
        <w:rPr>
          <w:rFonts w:asciiTheme="minorBidi" w:hAnsiTheme="minorBidi" w:cstheme="minorBidi"/>
          <w:lang w:val="fr-FR"/>
        </w:rPr>
        <w:t xml:space="preserve">). Ces points sont indiqués au paragraphe 14 (c) de la rubrique « Perspectives futures » de l’annexe I de la décision </w:t>
      </w:r>
      <w:hyperlink r:id="rId26" w:history="1">
        <w:r w:rsidRPr="00016B6B">
          <w:rPr>
            <w:rStyle w:val="Hyperlink"/>
            <w:rFonts w:asciiTheme="minorBidi" w:hAnsiTheme="minorBidi" w:cstheme="minorBidi"/>
            <w:lang w:val="fr-FR"/>
          </w:rPr>
          <w:t>16.COM 14</w:t>
        </w:r>
      </w:hyperlink>
      <w:r w:rsidRPr="00016B6B">
        <w:rPr>
          <w:rFonts w:asciiTheme="minorBidi" w:hAnsiTheme="minorBidi" w:cstheme="minorBidi"/>
          <w:lang w:val="fr-FR"/>
        </w:rPr>
        <w:t xml:space="preserve">. Les numéros des sujets sont inclus ci-dessous pour faciliter la discussion. Le groupe de travail pourrait </w:t>
      </w:r>
      <w:r w:rsidR="00752FC9">
        <w:rPr>
          <w:rFonts w:asciiTheme="minorBidi" w:hAnsiTheme="minorBidi" w:cstheme="minorBidi"/>
          <w:lang w:val="fr-FR"/>
        </w:rPr>
        <w:t xml:space="preserve">souhaiter </w:t>
      </w:r>
      <w:r w:rsidRPr="00016B6B">
        <w:rPr>
          <w:rFonts w:asciiTheme="minorBidi" w:hAnsiTheme="minorBidi" w:cstheme="minorBidi"/>
          <w:lang w:val="fr-FR"/>
        </w:rPr>
        <w:t>se concentrer sur le thème 1. La proposition serait d’entreprendre en premier lieu une discussion générale pour permettre aux États parties participants d’exprimer leurs points de vue, avant de discuter plus spécifiquement d’éventuelles recommandations liées aux sujets couverts par le point 10.</w:t>
      </w:r>
    </w:p>
    <w:p w14:paraId="03DE0A8A" w14:textId="4EBAEEF5" w:rsidR="0047762B" w:rsidRPr="00016B6B" w:rsidRDefault="00003D20" w:rsidP="00003D20">
      <w:pPr>
        <w:rPr>
          <w:rFonts w:asciiTheme="minorBidi" w:hAnsiTheme="minorBidi" w:cstheme="minorBidi"/>
          <w:snapToGrid w:val="0"/>
          <w:sz w:val="22"/>
          <w:szCs w:val="22"/>
          <w:lang w:eastAsia="en-US"/>
        </w:rPr>
      </w:pPr>
      <w:r w:rsidRPr="00016B6B">
        <w:rPr>
          <w:rFonts w:asciiTheme="minorBidi" w:hAnsiTheme="minorBidi" w:cstheme="minorBidi"/>
          <w:sz w:val="22"/>
          <w:szCs w:val="22"/>
        </w:rPr>
        <w:br w:type="page"/>
      </w:r>
    </w:p>
    <w:tbl>
      <w:tblPr>
        <w:tblStyle w:val="TableGrid"/>
        <w:tblW w:w="0" w:type="auto"/>
        <w:tblInd w:w="567" w:type="dxa"/>
        <w:tblLook w:val="04A0" w:firstRow="1" w:lastRow="0" w:firstColumn="1" w:lastColumn="0" w:noHBand="0" w:noVBand="1"/>
      </w:tblPr>
      <w:tblGrid>
        <w:gridCol w:w="9061"/>
      </w:tblGrid>
      <w:tr w:rsidR="0047762B" w:rsidRPr="00016B6B" w14:paraId="4BAB9D6E" w14:textId="77777777" w:rsidTr="00D268C9">
        <w:tc>
          <w:tcPr>
            <w:tcW w:w="9061" w:type="dxa"/>
            <w:shd w:val="clear" w:color="auto" w:fill="DBE5F1" w:themeFill="accent1" w:themeFillTint="33"/>
          </w:tcPr>
          <w:p w14:paraId="0FFCDBC0" w14:textId="129AC9FE" w:rsidR="00DD1953" w:rsidRPr="00D21644" w:rsidRDefault="00DD1953" w:rsidP="00D21644">
            <w:pPr>
              <w:spacing w:before="120" w:after="120"/>
              <w:jc w:val="both"/>
              <w:rPr>
                <w:rFonts w:asciiTheme="minorBidi" w:hAnsiTheme="minorBidi" w:cstheme="minorBidi"/>
                <w:sz w:val="22"/>
                <w:szCs w:val="22"/>
              </w:rPr>
            </w:pPr>
            <w:r w:rsidRPr="00DD1953">
              <w:rPr>
                <w:rFonts w:asciiTheme="minorBidi" w:hAnsiTheme="minorBidi" w:cstheme="minorBidi"/>
                <w:sz w:val="22"/>
                <w:szCs w:val="22"/>
              </w:rPr>
              <w:t>Conclure sur les questions suivantes liées au nombre de dossiers par cycle</w:t>
            </w:r>
            <w:r>
              <w:rPr>
                <w:rFonts w:asciiTheme="minorBidi" w:hAnsiTheme="minorBidi" w:cstheme="minorBidi"/>
                <w:sz w:val="22"/>
                <w:szCs w:val="22"/>
              </w:rPr>
              <w:t> :</w:t>
            </w:r>
          </w:p>
          <w:p w14:paraId="3F395D68" w14:textId="0DCD0B00" w:rsidR="0047762B" w:rsidRDefault="0047762B" w:rsidP="00A9754A">
            <w:pPr>
              <w:pStyle w:val="ListParagraph"/>
              <w:numPr>
                <w:ilvl w:val="1"/>
                <w:numId w:val="22"/>
              </w:numPr>
              <w:spacing w:before="120" w:after="120"/>
              <w:ind w:left="454" w:hanging="284"/>
              <w:contextualSpacing w:val="0"/>
              <w:jc w:val="both"/>
              <w:rPr>
                <w:rFonts w:asciiTheme="minorBidi" w:hAnsiTheme="minorBidi" w:cstheme="minorBidi"/>
                <w:sz w:val="22"/>
                <w:szCs w:val="22"/>
              </w:rPr>
            </w:pPr>
            <w:r w:rsidRPr="00016B6B">
              <w:rPr>
                <w:rFonts w:asciiTheme="minorBidi" w:hAnsiTheme="minorBidi" w:cstheme="minorBidi"/>
                <w:i/>
                <w:iCs/>
                <w:sz w:val="22"/>
                <w:szCs w:val="22"/>
              </w:rPr>
              <w:t>(Sujet 1) « </w:t>
            </w:r>
            <w:r w:rsidRPr="00016B6B">
              <w:rPr>
                <w:rFonts w:asciiTheme="minorBidi" w:hAnsiTheme="minorBidi" w:cstheme="minorBidi"/>
                <w:sz w:val="22"/>
                <w:szCs w:val="22"/>
              </w:rPr>
              <w:t xml:space="preserve">Revoir l’adaptabilité de la composition et des méthodes de travail de l’Organe d’évaluation </w:t>
            </w:r>
            <w:r w:rsidR="00DD1953">
              <w:rPr>
                <w:rFonts w:asciiTheme="minorBidi" w:hAnsiTheme="minorBidi" w:cstheme="minorBidi"/>
                <w:sz w:val="22"/>
                <w:szCs w:val="22"/>
              </w:rPr>
              <w:t xml:space="preserve">afin de </w:t>
            </w:r>
            <w:r w:rsidRPr="00016B6B">
              <w:rPr>
                <w:rFonts w:asciiTheme="minorBidi" w:hAnsiTheme="minorBidi" w:cstheme="minorBidi"/>
                <w:sz w:val="22"/>
                <w:szCs w:val="22"/>
              </w:rPr>
              <w:t xml:space="preserve">permettre l’évaluation d’un plus grand nombre de dossiers par cycle, </w:t>
            </w:r>
            <w:r w:rsidR="00DD1953" w:rsidRPr="00DD1953">
              <w:rPr>
                <w:rFonts w:asciiTheme="minorBidi" w:hAnsiTheme="minorBidi" w:cstheme="minorBidi"/>
                <w:sz w:val="22"/>
                <w:szCs w:val="22"/>
              </w:rPr>
              <w:t>en gardant à l’esprit la représentation géographique</w:t>
            </w:r>
            <w:r w:rsidRPr="00016B6B">
              <w:rPr>
                <w:rFonts w:asciiTheme="minorBidi" w:hAnsiTheme="minorBidi" w:cstheme="minorBidi"/>
                <w:sz w:val="22"/>
                <w:szCs w:val="22"/>
              </w:rPr>
              <w:t> ».</w:t>
            </w:r>
          </w:p>
          <w:p w14:paraId="03D45B05" w14:textId="7055DC34" w:rsidR="00DD1953" w:rsidRPr="00D21644" w:rsidRDefault="00DD1953" w:rsidP="00D21644">
            <w:pPr>
              <w:spacing w:before="120" w:after="120"/>
              <w:ind w:left="170"/>
              <w:jc w:val="center"/>
              <w:rPr>
                <w:rFonts w:asciiTheme="minorBidi" w:hAnsiTheme="minorBidi" w:cstheme="minorBidi"/>
                <w:sz w:val="22"/>
                <w:szCs w:val="22"/>
              </w:rPr>
            </w:pPr>
            <w:r>
              <w:rPr>
                <w:rFonts w:asciiTheme="minorBidi" w:hAnsiTheme="minorBidi" w:cstheme="minorBidi"/>
                <w:sz w:val="22"/>
                <w:szCs w:val="22"/>
              </w:rPr>
              <w:t>***</w:t>
            </w:r>
          </w:p>
          <w:p w14:paraId="16C12EA8" w14:textId="47BB88CA" w:rsidR="0047762B" w:rsidRPr="00016B6B" w:rsidRDefault="0047762B" w:rsidP="00A9754A">
            <w:pPr>
              <w:pStyle w:val="ListParagraph"/>
              <w:numPr>
                <w:ilvl w:val="1"/>
                <w:numId w:val="22"/>
              </w:numPr>
              <w:spacing w:before="120" w:after="120"/>
              <w:ind w:left="454" w:hanging="283"/>
              <w:contextualSpacing w:val="0"/>
              <w:jc w:val="both"/>
              <w:rPr>
                <w:rFonts w:asciiTheme="minorBidi" w:hAnsiTheme="minorBidi" w:cstheme="minorBidi"/>
                <w:sz w:val="22"/>
                <w:szCs w:val="22"/>
              </w:rPr>
            </w:pPr>
            <w:r w:rsidRPr="00016B6B">
              <w:rPr>
                <w:rFonts w:asciiTheme="minorBidi" w:hAnsiTheme="minorBidi" w:cstheme="minorBidi"/>
                <w:i/>
                <w:iCs/>
                <w:sz w:val="22"/>
                <w:szCs w:val="22"/>
              </w:rPr>
              <w:t>(Sujet 2)</w:t>
            </w:r>
            <w:r w:rsidRPr="00016B6B">
              <w:rPr>
                <w:rFonts w:asciiTheme="minorBidi" w:hAnsiTheme="minorBidi" w:cstheme="minorBidi"/>
                <w:sz w:val="22"/>
                <w:szCs w:val="22"/>
              </w:rPr>
              <w:t xml:space="preserve"> « Examiner deux dossiers par État </w:t>
            </w:r>
            <w:r w:rsidR="00DD1953">
              <w:rPr>
                <w:rFonts w:asciiTheme="minorBidi" w:hAnsiTheme="minorBidi" w:cstheme="minorBidi"/>
                <w:sz w:val="22"/>
                <w:szCs w:val="22"/>
              </w:rPr>
              <w:t>par cycle de</w:t>
            </w:r>
            <w:r w:rsidRPr="00016B6B">
              <w:rPr>
                <w:rFonts w:asciiTheme="minorBidi" w:hAnsiTheme="minorBidi" w:cstheme="minorBidi"/>
                <w:sz w:val="22"/>
                <w:szCs w:val="22"/>
              </w:rPr>
              <w:t xml:space="preserve"> trois ans, avec une alternance entre une candidature </w:t>
            </w:r>
            <w:r w:rsidR="00DD1953">
              <w:rPr>
                <w:rFonts w:asciiTheme="minorBidi" w:hAnsiTheme="minorBidi" w:cstheme="minorBidi"/>
                <w:sz w:val="22"/>
                <w:szCs w:val="22"/>
              </w:rPr>
              <w:t>à</w:t>
            </w:r>
            <w:r w:rsidR="00DD1953" w:rsidRPr="00016B6B">
              <w:rPr>
                <w:rFonts w:asciiTheme="minorBidi" w:hAnsiTheme="minorBidi" w:cstheme="minorBidi"/>
                <w:sz w:val="22"/>
                <w:szCs w:val="22"/>
              </w:rPr>
              <w:t xml:space="preserve"> </w:t>
            </w:r>
            <w:r w:rsidRPr="00016B6B">
              <w:rPr>
                <w:rFonts w:asciiTheme="minorBidi" w:hAnsiTheme="minorBidi" w:cstheme="minorBidi"/>
                <w:sz w:val="22"/>
                <w:szCs w:val="22"/>
              </w:rPr>
              <w:t xml:space="preserve">la Liste représentative et </w:t>
            </w:r>
            <w:r w:rsidR="00DD1953">
              <w:rPr>
                <w:rFonts w:asciiTheme="minorBidi" w:hAnsiTheme="minorBidi" w:cstheme="minorBidi"/>
                <w:sz w:val="22"/>
                <w:szCs w:val="22"/>
              </w:rPr>
              <w:t xml:space="preserve">à </w:t>
            </w:r>
            <w:r w:rsidRPr="00016B6B">
              <w:rPr>
                <w:rFonts w:asciiTheme="minorBidi" w:hAnsiTheme="minorBidi" w:cstheme="minorBidi"/>
                <w:sz w:val="22"/>
                <w:szCs w:val="22"/>
              </w:rPr>
              <w:t>la Liste de sauvegarde urgente ou au Registre de bonnes pratiques de sauvegarde ».</w:t>
            </w:r>
          </w:p>
          <w:p w14:paraId="0C27AEA3" w14:textId="77777777" w:rsidR="0047762B" w:rsidRPr="00016B6B" w:rsidRDefault="0047762B" w:rsidP="00A9754A">
            <w:pPr>
              <w:pStyle w:val="ListParagraph"/>
              <w:numPr>
                <w:ilvl w:val="1"/>
                <w:numId w:val="22"/>
              </w:numPr>
              <w:spacing w:before="120" w:after="120"/>
              <w:ind w:left="454" w:hanging="283"/>
              <w:contextualSpacing w:val="0"/>
              <w:jc w:val="both"/>
              <w:rPr>
                <w:rFonts w:asciiTheme="minorBidi" w:hAnsiTheme="minorBidi" w:cstheme="minorBidi"/>
                <w:sz w:val="22"/>
                <w:szCs w:val="22"/>
              </w:rPr>
            </w:pPr>
            <w:r w:rsidRPr="00016B6B">
              <w:rPr>
                <w:rFonts w:asciiTheme="minorBidi" w:hAnsiTheme="minorBidi" w:cstheme="minorBidi"/>
                <w:i/>
                <w:iCs/>
                <w:sz w:val="22"/>
                <w:szCs w:val="22"/>
              </w:rPr>
              <w:t>(Sujet 3)</w:t>
            </w:r>
            <w:r w:rsidRPr="00016B6B">
              <w:rPr>
                <w:rFonts w:asciiTheme="minorBidi" w:hAnsiTheme="minorBidi" w:cstheme="minorBidi"/>
                <w:sz w:val="22"/>
                <w:szCs w:val="22"/>
              </w:rPr>
              <w:t xml:space="preserve"> « Déplacer toutes les demandes d’assistance internationale au Bureau du Comité intergouvernemental de sauvegarde du patrimoine culturel immatériel ».</w:t>
            </w:r>
          </w:p>
          <w:p w14:paraId="69636141" w14:textId="77777777" w:rsidR="0047762B" w:rsidRPr="00016B6B" w:rsidRDefault="0047762B" w:rsidP="00A9754A">
            <w:pPr>
              <w:pStyle w:val="ListParagraph"/>
              <w:numPr>
                <w:ilvl w:val="1"/>
                <w:numId w:val="22"/>
              </w:numPr>
              <w:spacing w:before="120" w:after="120"/>
              <w:ind w:left="454" w:hanging="283"/>
              <w:contextualSpacing w:val="0"/>
              <w:jc w:val="both"/>
              <w:rPr>
                <w:rFonts w:asciiTheme="minorBidi" w:hAnsiTheme="minorBidi" w:cstheme="minorBidi"/>
                <w:sz w:val="22"/>
                <w:szCs w:val="22"/>
              </w:rPr>
            </w:pPr>
            <w:r w:rsidRPr="00016B6B">
              <w:rPr>
                <w:rFonts w:asciiTheme="minorBidi" w:hAnsiTheme="minorBidi" w:cstheme="minorBidi"/>
                <w:i/>
                <w:iCs/>
                <w:sz w:val="22"/>
                <w:szCs w:val="22"/>
              </w:rPr>
              <w:t>(Sujet 4)</w:t>
            </w:r>
            <w:r w:rsidRPr="00016B6B">
              <w:rPr>
                <w:rFonts w:asciiTheme="minorBidi" w:hAnsiTheme="minorBidi" w:cstheme="minorBidi"/>
                <w:sz w:val="22"/>
                <w:szCs w:val="22"/>
              </w:rPr>
              <w:t xml:space="preserve"> « Si les demandes de transfert depuis la Liste de sauvegarde urgente vers la Liste représentative doivent être traitées comme faisant partie du plafond annuel approuvé par le Comité »</w:t>
            </w:r>
          </w:p>
          <w:p w14:paraId="2496E3BD" w14:textId="77777777" w:rsidR="0047762B" w:rsidRPr="00016B6B" w:rsidRDefault="0047762B" w:rsidP="00A9754A">
            <w:pPr>
              <w:pStyle w:val="ListParagraph"/>
              <w:numPr>
                <w:ilvl w:val="1"/>
                <w:numId w:val="22"/>
              </w:numPr>
              <w:spacing w:before="120" w:after="120"/>
              <w:ind w:left="454" w:hanging="283"/>
              <w:contextualSpacing w:val="0"/>
              <w:jc w:val="both"/>
              <w:rPr>
                <w:rFonts w:asciiTheme="minorBidi" w:hAnsiTheme="minorBidi" w:cstheme="minorBidi"/>
                <w:i/>
                <w:iCs/>
                <w:sz w:val="22"/>
                <w:szCs w:val="22"/>
              </w:rPr>
            </w:pPr>
            <w:r w:rsidRPr="00016B6B">
              <w:rPr>
                <w:rFonts w:asciiTheme="minorBidi" w:hAnsiTheme="minorBidi" w:cstheme="minorBidi"/>
                <w:i/>
                <w:iCs/>
                <w:sz w:val="22"/>
                <w:szCs w:val="22"/>
              </w:rPr>
              <w:t>(Sujet 5)</w:t>
            </w:r>
            <w:r w:rsidRPr="00016B6B">
              <w:rPr>
                <w:rFonts w:asciiTheme="minorBidi" w:hAnsiTheme="minorBidi" w:cstheme="minorBidi"/>
                <w:sz w:val="22"/>
                <w:szCs w:val="22"/>
              </w:rPr>
              <w:t xml:space="preserve"> « Si les demandes d’extension seront traitées comme faisant partie du plafond annuel des dossiers à examiner et dans le cadre des priorités définies par le paragraphe 34 des Directives opérationnelles ».</w:t>
            </w:r>
          </w:p>
        </w:tc>
      </w:tr>
    </w:tbl>
    <w:p w14:paraId="46BA9047" w14:textId="77777777" w:rsidR="00003D20" w:rsidRPr="00016B6B" w:rsidRDefault="00003D20" w:rsidP="00003D20">
      <w:pPr>
        <w:pStyle w:val="1GAPara"/>
        <w:numPr>
          <w:ilvl w:val="0"/>
          <w:numId w:val="18"/>
        </w:numPr>
        <w:spacing w:before="120"/>
        <w:ind w:left="567" w:hanging="567"/>
        <w:jc w:val="both"/>
        <w:rPr>
          <w:rStyle w:val="Strong"/>
          <w:rFonts w:asciiTheme="minorBidi" w:hAnsiTheme="minorBidi" w:cstheme="minorBidi"/>
          <w:lang w:val="fr-FR"/>
        </w:rPr>
      </w:pPr>
      <w:r w:rsidRPr="00016B6B">
        <w:rPr>
          <w:rStyle w:val="Strong"/>
          <w:rFonts w:asciiTheme="minorBidi" w:hAnsiTheme="minorBidi" w:cstheme="minorBidi"/>
          <w:lang w:val="fr-FR"/>
        </w:rPr>
        <w:t>Le plan proposé consiste à commencer le deuxième jour par le point 11 :</w:t>
      </w:r>
    </w:p>
    <w:p w14:paraId="7E3DE11C" w14:textId="71EA59EF" w:rsidR="00003D20" w:rsidRPr="00016B6B" w:rsidRDefault="00003D20" w:rsidP="00003D20">
      <w:pPr>
        <w:pStyle w:val="1GAPara"/>
        <w:spacing w:before="120"/>
        <w:ind w:left="567"/>
        <w:jc w:val="both"/>
        <w:rPr>
          <w:rFonts w:asciiTheme="minorBidi" w:hAnsiTheme="minorBidi" w:cstheme="minorBidi"/>
          <w:lang w:val="fr-FR"/>
        </w:rPr>
      </w:pPr>
      <w:r w:rsidRPr="00016B6B">
        <w:rPr>
          <w:rFonts w:asciiTheme="minorBidi" w:hAnsiTheme="minorBidi" w:cstheme="minorBidi"/>
          <w:b/>
          <w:bCs/>
          <w:lang w:val="fr-FR"/>
        </w:rPr>
        <w:t>Point 11 </w:t>
      </w:r>
      <w:r w:rsidRPr="00016B6B">
        <w:rPr>
          <w:rFonts w:asciiTheme="minorBidi" w:hAnsiTheme="minorBidi" w:cstheme="minorBidi"/>
          <w:lang w:val="fr-FR"/>
        </w:rPr>
        <w:t xml:space="preserve">: Ce point concerne quatre autres sujets ou aspects des mécanismes d’inscription sur les listes (document </w:t>
      </w:r>
      <w:hyperlink r:id="rId27" w:history="1">
        <w:r w:rsidRPr="00016B6B">
          <w:rPr>
            <w:rStyle w:val="Hyperlink"/>
            <w:rFonts w:asciiTheme="minorBidi" w:hAnsiTheme="minorBidi" w:cstheme="minorBidi"/>
            <w:lang w:val="fr-FR"/>
          </w:rPr>
          <w:t>LHE/22/17.COM WG/11</w:t>
        </w:r>
      </w:hyperlink>
      <w:r w:rsidRPr="00016B6B">
        <w:rPr>
          <w:rFonts w:asciiTheme="minorBidi" w:hAnsiTheme="minorBidi" w:cstheme="minorBidi"/>
          <w:lang w:val="fr-FR"/>
        </w:rPr>
        <w:t>). Les sujets 6 et 7 sont tirés des paragraphes 14 (a) et 14 (b) de</w:t>
      </w:r>
      <w:r w:rsidR="00C300A3">
        <w:rPr>
          <w:rFonts w:asciiTheme="minorBidi" w:hAnsiTheme="minorBidi" w:cstheme="minorBidi"/>
          <w:lang w:val="fr-FR"/>
        </w:rPr>
        <w:t>s</w:t>
      </w:r>
      <w:r w:rsidRPr="00016B6B">
        <w:rPr>
          <w:rFonts w:asciiTheme="minorBidi" w:hAnsiTheme="minorBidi" w:cstheme="minorBidi"/>
          <w:lang w:val="fr-FR"/>
        </w:rPr>
        <w:t xml:space="preserve"> « Perspectives futures » </w:t>
      </w:r>
      <w:r w:rsidR="00C300A3">
        <w:rPr>
          <w:rFonts w:asciiTheme="minorBidi" w:hAnsiTheme="minorBidi" w:cstheme="minorBidi"/>
          <w:lang w:val="fr-FR"/>
        </w:rPr>
        <w:t>dans</w:t>
      </w:r>
      <w:r w:rsidRPr="00016B6B">
        <w:rPr>
          <w:rFonts w:asciiTheme="minorBidi" w:hAnsiTheme="minorBidi" w:cstheme="minorBidi"/>
          <w:lang w:val="fr-FR"/>
        </w:rPr>
        <w:t xml:space="preserve"> l’annexe I de la décision </w:t>
      </w:r>
      <w:hyperlink r:id="rId28" w:history="1">
        <w:r w:rsidRPr="00016B6B">
          <w:rPr>
            <w:rStyle w:val="Hyperlink"/>
            <w:rFonts w:asciiTheme="minorBidi" w:hAnsiTheme="minorBidi" w:cstheme="minorBidi"/>
            <w:lang w:val="fr-FR"/>
          </w:rPr>
          <w:t>16.COM</w:t>
        </w:r>
        <w:r w:rsidR="00C300A3">
          <w:rPr>
            <w:rStyle w:val="Hyperlink"/>
            <w:rFonts w:asciiTheme="minorBidi" w:hAnsiTheme="minorBidi" w:cstheme="minorBidi"/>
            <w:lang w:val="fr-FR"/>
          </w:rPr>
          <w:t> </w:t>
        </w:r>
        <w:r w:rsidRPr="00016B6B">
          <w:rPr>
            <w:rStyle w:val="Hyperlink"/>
            <w:rFonts w:asciiTheme="minorBidi" w:hAnsiTheme="minorBidi" w:cstheme="minorBidi"/>
            <w:lang w:val="fr-FR"/>
          </w:rPr>
          <w:t>14</w:t>
        </w:r>
      </w:hyperlink>
      <w:r w:rsidRPr="00016B6B">
        <w:rPr>
          <w:rFonts w:asciiTheme="minorBidi" w:hAnsiTheme="minorBidi" w:cstheme="minorBidi"/>
          <w:lang w:val="fr-FR"/>
        </w:rPr>
        <w:t xml:space="preserve">, telle que préparée par le groupe de travail. Le sujet 8 et le sujet 9 ont été ajoutés par la seizième session du Comité, comme indiqué au paragraphe 11 de la décision </w:t>
      </w:r>
      <w:hyperlink r:id="rId29" w:history="1">
        <w:r w:rsidRPr="00016B6B">
          <w:rPr>
            <w:rStyle w:val="Hyperlink"/>
            <w:rFonts w:asciiTheme="minorBidi" w:hAnsiTheme="minorBidi" w:cstheme="minorBidi"/>
            <w:lang w:val="fr-FR"/>
          </w:rPr>
          <w:t>16.COM</w:t>
        </w:r>
        <w:r w:rsidR="00C300A3">
          <w:rPr>
            <w:rStyle w:val="Hyperlink"/>
            <w:rFonts w:asciiTheme="minorBidi" w:hAnsiTheme="minorBidi" w:cstheme="minorBidi"/>
            <w:lang w:val="fr-FR"/>
          </w:rPr>
          <w:t> </w:t>
        </w:r>
        <w:r w:rsidRPr="00016B6B">
          <w:rPr>
            <w:rStyle w:val="Hyperlink"/>
            <w:rFonts w:asciiTheme="minorBidi" w:hAnsiTheme="minorBidi" w:cstheme="minorBidi"/>
            <w:lang w:val="fr-FR"/>
          </w:rPr>
          <w:t>14</w:t>
        </w:r>
      </w:hyperlink>
      <w:r w:rsidRPr="00016B6B">
        <w:rPr>
          <w:rFonts w:asciiTheme="minorBidi" w:hAnsiTheme="minorBidi" w:cstheme="minorBidi"/>
          <w:lang w:val="fr-FR"/>
        </w:rPr>
        <w:t>. La proposition serait, une fois de plus, d’entreprendre en premier lieu une discussion générale pour permettre aux États parties participants d’exprimer leurs points de vue, avant de discuter plus spécifiquement d’éventuelles recommandations liées aux sujets couverts par le point 11.</w:t>
      </w:r>
    </w:p>
    <w:tbl>
      <w:tblPr>
        <w:tblStyle w:val="TableGrid"/>
        <w:tblW w:w="0" w:type="auto"/>
        <w:tblInd w:w="567" w:type="dxa"/>
        <w:tblLook w:val="04A0" w:firstRow="1" w:lastRow="0" w:firstColumn="1" w:lastColumn="0" w:noHBand="0" w:noVBand="1"/>
      </w:tblPr>
      <w:tblGrid>
        <w:gridCol w:w="9061"/>
      </w:tblGrid>
      <w:tr w:rsidR="00003D20" w:rsidRPr="00016B6B" w14:paraId="1B30A632" w14:textId="77777777" w:rsidTr="00D268C9">
        <w:tc>
          <w:tcPr>
            <w:tcW w:w="9061" w:type="dxa"/>
            <w:shd w:val="clear" w:color="auto" w:fill="DAEEF3" w:themeFill="accent5" w:themeFillTint="33"/>
          </w:tcPr>
          <w:p w14:paraId="20835603" w14:textId="77777777" w:rsidR="00003D20" w:rsidRPr="00016B6B" w:rsidRDefault="00003D20" w:rsidP="00A9754A">
            <w:pPr>
              <w:pStyle w:val="ListParagraph"/>
              <w:numPr>
                <w:ilvl w:val="1"/>
                <w:numId w:val="22"/>
              </w:numPr>
              <w:spacing w:before="120" w:after="120"/>
              <w:ind w:left="454" w:hanging="284"/>
              <w:contextualSpacing w:val="0"/>
              <w:jc w:val="both"/>
              <w:rPr>
                <w:rFonts w:asciiTheme="minorBidi" w:hAnsiTheme="minorBidi" w:cstheme="minorBidi"/>
                <w:sz w:val="22"/>
                <w:szCs w:val="22"/>
              </w:rPr>
            </w:pPr>
            <w:bookmarkStart w:id="0" w:name="_Hlk100074273"/>
            <w:r w:rsidRPr="00016B6B">
              <w:rPr>
                <w:rFonts w:asciiTheme="minorBidi" w:hAnsiTheme="minorBidi" w:cstheme="minorBidi"/>
                <w:i/>
                <w:iCs/>
                <w:sz w:val="22"/>
                <w:szCs w:val="22"/>
              </w:rPr>
              <w:t xml:space="preserve">(Sujet 6) </w:t>
            </w:r>
            <w:r w:rsidRPr="00016B6B">
              <w:rPr>
                <w:rFonts w:asciiTheme="minorBidi" w:hAnsiTheme="minorBidi" w:cstheme="minorBidi"/>
                <w:sz w:val="22"/>
                <w:szCs w:val="22"/>
              </w:rPr>
              <w:t>« Réviser la priorité pour l’examen des dossiers de candidature des États parties qui n’ont pas rempli leurs obligations de rapport concernant la mise en œuvre de la Convention et le statut des éléments inscrits sur la Liste représentative ou sur la Liste de sauvegarde urgente ».</w:t>
            </w:r>
          </w:p>
          <w:p w14:paraId="698768E9" w14:textId="6D61B322" w:rsidR="00003D20" w:rsidRPr="00016B6B" w:rsidRDefault="00003D20" w:rsidP="00A9754A">
            <w:pPr>
              <w:pStyle w:val="ListParagraph"/>
              <w:numPr>
                <w:ilvl w:val="1"/>
                <w:numId w:val="22"/>
              </w:numPr>
              <w:spacing w:before="120" w:after="120"/>
              <w:ind w:left="454" w:hanging="283"/>
              <w:contextualSpacing w:val="0"/>
              <w:jc w:val="both"/>
              <w:rPr>
                <w:rFonts w:asciiTheme="minorBidi" w:hAnsiTheme="minorBidi" w:cstheme="minorBidi"/>
                <w:i/>
                <w:iCs/>
                <w:sz w:val="22"/>
                <w:szCs w:val="22"/>
              </w:rPr>
            </w:pPr>
            <w:r w:rsidRPr="00016B6B">
              <w:rPr>
                <w:rFonts w:asciiTheme="minorBidi" w:hAnsiTheme="minorBidi" w:cstheme="minorBidi"/>
                <w:i/>
                <w:iCs/>
                <w:sz w:val="22"/>
                <w:szCs w:val="22"/>
              </w:rPr>
              <w:t>(Sujet 7)</w:t>
            </w:r>
            <w:r w:rsidR="00967128">
              <w:rPr>
                <w:rFonts w:asciiTheme="minorBidi" w:hAnsiTheme="minorBidi" w:cstheme="minorBidi"/>
                <w:i/>
                <w:iCs/>
                <w:sz w:val="22"/>
                <w:szCs w:val="22"/>
              </w:rPr>
              <w:t> </w:t>
            </w:r>
            <w:r w:rsidRPr="00016B6B">
              <w:rPr>
                <w:rFonts w:asciiTheme="minorBidi" w:hAnsiTheme="minorBidi" w:cstheme="minorBidi"/>
                <w:sz w:val="22"/>
                <w:szCs w:val="22"/>
              </w:rPr>
              <w:t>« Considérer la possibilité d’obtenir des informations supplémentaires concernant les candidatures en utilisant un processus de dialogue avec les ONG accréditées et les communautés, les groupes et, le cas échéant, les individus concernés ».</w:t>
            </w:r>
          </w:p>
          <w:p w14:paraId="0AD098DA" w14:textId="204CACDF" w:rsidR="00003D20" w:rsidRPr="00016B6B" w:rsidRDefault="00003D20" w:rsidP="00A9754A">
            <w:pPr>
              <w:pStyle w:val="ListParagraph"/>
              <w:numPr>
                <w:ilvl w:val="1"/>
                <w:numId w:val="22"/>
              </w:numPr>
              <w:spacing w:before="120" w:after="120"/>
              <w:ind w:left="454" w:hanging="283"/>
              <w:contextualSpacing w:val="0"/>
              <w:jc w:val="both"/>
              <w:rPr>
                <w:rFonts w:asciiTheme="minorBidi" w:hAnsiTheme="minorBidi" w:cstheme="minorBidi"/>
                <w:i/>
                <w:iCs/>
                <w:sz w:val="22"/>
                <w:szCs w:val="22"/>
              </w:rPr>
            </w:pPr>
            <w:r w:rsidRPr="00016B6B">
              <w:rPr>
                <w:rFonts w:asciiTheme="minorBidi" w:hAnsiTheme="minorBidi" w:cstheme="minorBidi"/>
                <w:i/>
                <w:iCs/>
                <w:sz w:val="22"/>
                <w:szCs w:val="22"/>
              </w:rPr>
              <w:t xml:space="preserve">(Sujet 8) </w:t>
            </w:r>
            <w:r w:rsidRPr="00016B6B">
              <w:rPr>
                <w:rFonts w:asciiTheme="minorBidi" w:hAnsiTheme="minorBidi" w:cstheme="minorBidi"/>
                <w:sz w:val="22"/>
                <w:szCs w:val="22"/>
              </w:rPr>
              <w:t>« </w:t>
            </w:r>
            <w:r w:rsidR="00DD1953">
              <w:rPr>
                <w:rFonts w:asciiTheme="minorBidi" w:hAnsiTheme="minorBidi" w:cstheme="minorBidi"/>
                <w:sz w:val="22"/>
                <w:szCs w:val="22"/>
              </w:rPr>
              <w:t>La p</w:t>
            </w:r>
            <w:r w:rsidRPr="00016B6B">
              <w:rPr>
                <w:rFonts w:asciiTheme="minorBidi" w:hAnsiTheme="minorBidi" w:cstheme="minorBidi"/>
                <w:sz w:val="22"/>
                <w:szCs w:val="22"/>
              </w:rPr>
              <w:t xml:space="preserve">rocédure nécessaire pour examiner </w:t>
            </w:r>
            <w:r w:rsidR="00DD1953">
              <w:rPr>
                <w:rFonts w:asciiTheme="minorBidi" w:hAnsiTheme="minorBidi" w:cstheme="minorBidi"/>
                <w:sz w:val="22"/>
                <w:szCs w:val="22"/>
              </w:rPr>
              <w:t>l</w:t>
            </w:r>
            <w:r w:rsidRPr="00016B6B">
              <w:rPr>
                <w:rFonts w:asciiTheme="minorBidi" w:hAnsiTheme="minorBidi" w:cstheme="minorBidi"/>
                <w:sz w:val="22"/>
                <w:szCs w:val="22"/>
              </w:rPr>
              <w:t>es cas exceptionnels ».</w:t>
            </w:r>
          </w:p>
          <w:p w14:paraId="7F848D60" w14:textId="38909937" w:rsidR="00003D20" w:rsidRPr="00016B6B" w:rsidRDefault="00003D20" w:rsidP="00A9754A">
            <w:pPr>
              <w:pStyle w:val="ListParagraph"/>
              <w:numPr>
                <w:ilvl w:val="1"/>
                <w:numId w:val="22"/>
              </w:numPr>
              <w:spacing w:before="120" w:after="120"/>
              <w:ind w:left="454" w:hanging="283"/>
              <w:contextualSpacing w:val="0"/>
              <w:jc w:val="both"/>
              <w:rPr>
                <w:rFonts w:asciiTheme="minorBidi" w:hAnsiTheme="minorBidi" w:cstheme="minorBidi"/>
                <w:sz w:val="22"/>
                <w:szCs w:val="22"/>
              </w:rPr>
            </w:pPr>
            <w:r w:rsidRPr="00016B6B">
              <w:rPr>
                <w:rFonts w:asciiTheme="minorBidi" w:hAnsiTheme="minorBidi" w:cstheme="minorBidi"/>
                <w:i/>
                <w:iCs/>
                <w:sz w:val="22"/>
                <w:szCs w:val="22"/>
              </w:rPr>
              <w:t>(Sujet 9)</w:t>
            </w:r>
            <w:r w:rsidR="00967128">
              <w:rPr>
                <w:rFonts w:asciiTheme="minorBidi" w:hAnsiTheme="minorBidi" w:cstheme="minorBidi"/>
                <w:i/>
                <w:iCs/>
                <w:sz w:val="22"/>
                <w:szCs w:val="22"/>
              </w:rPr>
              <w:t> </w:t>
            </w:r>
            <w:r w:rsidRPr="00016B6B">
              <w:rPr>
                <w:rFonts w:asciiTheme="minorBidi" w:hAnsiTheme="minorBidi" w:cstheme="minorBidi"/>
                <w:sz w:val="22"/>
                <w:szCs w:val="22"/>
              </w:rPr>
              <w:t>« </w:t>
            </w:r>
            <w:r w:rsidR="00DD1953">
              <w:rPr>
                <w:rFonts w:asciiTheme="minorBidi" w:hAnsiTheme="minorBidi" w:cstheme="minorBidi"/>
                <w:sz w:val="22"/>
                <w:szCs w:val="22"/>
              </w:rPr>
              <w:t>Les r</w:t>
            </w:r>
            <w:r w:rsidRPr="00016B6B">
              <w:rPr>
                <w:rFonts w:asciiTheme="minorBidi" w:hAnsiTheme="minorBidi" w:cstheme="minorBidi"/>
                <w:sz w:val="22"/>
                <w:szCs w:val="22"/>
              </w:rPr>
              <w:t>éflexions sur la possibilité d’intégrer des procédures d’évaluation préliminaires au processus</w:t>
            </w:r>
            <w:r w:rsidR="00DD1953">
              <w:rPr>
                <w:rFonts w:asciiTheme="minorBidi" w:hAnsiTheme="minorBidi" w:cstheme="minorBidi"/>
                <w:sz w:val="22"/>
                <w:szCs w:val="22"/>
              </w:rPr>
              <w:t xml:space="preserve"> en amont</w:t>
            </w:r>
            <w:r w:rsidRPr="00016B6B">
              <w:rPr>
                <w:rFonts w:asciiTheme="minorBidi" w:hAnsiTheme="minorBidi" w:cstheme="minorBidi"/>
                <w:sz w:val="22"/>
                <w:szCs w:val="22"/>
              </w:rPr>
              <w:t xml:space="preserve"> existant ».</w:t>
            </w:r>
            <w:bookmarkEnd w:id="0"/>
          </w:p>
        </w:tc>
      </w:tr>
    </w:tbl>
    <w:p w14:paraId="49D89328" w14:textId="4DE0A9EE" w:rsidR="00003D20" w:rsidRPr="00016B6B" w:rsidRDefault="00003D20" w:rsidP="00003D20">
      <w:pPr>
        <w:pStyle w:val="1GAPara"/>
        <w:numPr>
          <w:ilvl w:val="0"/>
          <w:numId w:val="18"/>
        </w:numPr>
        <w:spacing w:before="240"/>
        <w:ind w:left="567" w:hanging="567"/>
        <w:jc w:val="both"/>
        <w:rPr>
          <w:rFonts w:asciiTheme="minorBidi" w:hAnsiTheme="minorBidi" w:cstheme="minorBidi"/>
          <w:b/>
          <w:bCs/>
          <w:lang w:val="fr-FR"/>
        </w:rPr>
      </w:pPr>
      <w:r w:rsidRPr="00016B6B">
        <w:rPr>
          <w:rStyle w:val="Strong"/>
          <w:rFonts w:asciiTheme="minorBidi" w:hAnsiTheme="minorBidi" w:cstheme="minorBidi"/>
          <w:lang w:val="fr-FR"/>
        </w:rPr>
        <w:t xml:space="preserve">La dernière partie de la deuxième journée sera consacrée à l’établissement de recommandations spécifiques pour adoption par le groupe de travail au titre du point 12 (document </w:t>
      </w:r>
      <w:hyperlink r:id="rId30" w:history="1">
        <w:r w:rsidRPr="00016B6B">
          <w:rPr>
            <w:rStyle w:val="Hyperlink"/>
            <w:rFonts w:asciiTheme="minorBidi" w:hAnsiTheme="minorBidi" w:cstheme="minorBidi"/>
            <w:lang w:val="fr-FR"/>
          </w:rPr>
          <w:t>LHE/22/17.COM WG/12</w:t>
        </w:r>
      </w:hyperlink>
      <w:r w:rsidRPr="00016B6B">
        <w:rPr>
          <w:rStyle w:val="Strong"/>
          <w:rFonts w:asciiTheme="minorBidi" w:hAnsiTheme="minorBidi" w:cstheme="minorBidi"/>
          <w:lang w:val="fr-FR"/>
        </w:rPr>
        <w:t>), sur la base des délibérations au titre des points 10 et 11.</w:t>
      </w:r>
    </w:p>
    <w:p w14:paraId="5E0F889F" w14:textId="52942AEA" w:rsidR="00003D20" w:rsidRPr="00016B6B" w:rsidRDefault="00003D20" w:rsidP="00430FBD">
      <w:pPr>
        <w:pStyle w:val="1GAPara"/>
        <w:numPr>
          <w:ilvl w:val="0"/>
          <w:numId w:val="18"/>
        </w:numPr>
        <w:ind w:left="567" w:hanging="567"/>
        <w:jc w:val="both"/>
        <w:rPr>
          <w:rFonts w:asciiTheme="minorBidi" w:hAnsiTheme="minorBidi" w:cstheme="minorBidi"/>
          <w:u w:val="single"/>
          <w:lang w:val="fr-FR"/>
        </w:rPr>
      </w:pPr>
      <w:r w:rsidRPr="00016B6B">
        <w:rPr>
          <w:rFonts w:asciiTheme="minorBidi" w:hAnsiTheme="minorBidi" w:cstheme="minorBidi"/>
          <w:lang w:val="fr-FR"/>
        </w:rPr>
        <w:t>Conformément à la décision de la seizième session du Comité, les résultats de la partie III de la réunion du groupe de travail peuvent être examinés par une session extraordinaire du Comité (prévue en tant que réunion en ligne le 31 mai 2022) sous la forme de Directives opérationnelles révisées, après quoi le Comité peut souhaiter envoyer les révisions proposées pour examen et adoption par la neuvième session de l’Assemblée générale à la mi-2022 (prévue en tant que réunion présentielle du 5 au 7 juillet 2022).</w:t>
      </w:r>
      <w:r w:rsidRPr="00016B6B">
        <w:rPr>
          <w:rFonts w:asciiTheme="minorBidi" w:hAnsiTheme="minorBidi" w:cstheme="minorBidi"/>
          <w:lang w:val="fr-FR"/>
        </w:rPr>
        <w:br w:type="page"/>
      </w:r>
    </w:p>
    <w:p w14:paraId="64EE54D7" w14:textId="77777777" w:rsidR="00003D20" w:rsidRPr="00016B6B" w:rsidRDefault="00003D20" w:rsidP="00A9754A">
      <w:pPr>
        <w:pStyle w:val="1GAPara"/>
        <w:spacing w:before="600" w:after="360"/>
        <w:jc w:val="both"/>
        <w:rPr>
          <w:rFonts w:asciiTheme="minorBidi" w:hAnsiTheme="minorBidi" w:cstheme="minorBidi"/>
          <w:b/>
          <w:bCs/>
          <w:lang w:val="fr-FR"/>
        </w:rPr>
      </w:pPr>
      <w:r w:rsidRPr="00016B6B">
        <w:rPr>
          <w:rFonts w:asciiTheme="minorBidi" w:hAnsiTheme="minorBidi" w:cstheme="minorBidi"/>
          <w:b/>
          <w:bCs/>
          <w:lang w:val="fr-FR"/>
        </w:rPr>
        <w:t>Ordre du jour</w:t>
      </w:r>
    </w:p>
    <w:tbl>
      <w:tblPr>
        <w:tblW w:w="4999" w:type="pct"/>
        <w:tblInd w:w="108" w:type="dxa"/>
        <w:tblLayout w:type="fixed"/>
        <w:tblLook w:val="01E0" w:firstRow="1" w:lastRow="1" w:firstColumn="1" w:lastColumn="1" w:noHBand="0" w:noVBand="0"/>
      </w:tblPr>
      <w:tblGrid>
        <w:gridCol w:w="1451"/>
        <w:gridCol w:w="561"/>
        <w:gridCol w:w="715"/>
        <w:gridCol w:w="6909"/>
      </w:tblGrid>
      <w:tr w:rsidR="00003D20" w:rsidRPr="00016B6B" w14:paraId="0D7EB0F5" w14:textId="77777777" w:rsidTr="00A9754A">
        <w:trPr>
          <w:cantSplit/>
          <w:trHeight w:val="505"/>
        </w:trPr>
        <w:tc>
          <w:tcPr>
            <w:tcW w:w="5000" w:type="pct"/>
            <w:gridSpan w:val="4"/>
            <w:shd w:val="clear" w:color="auto" w:fill="4F81BD" w:themeFill="accent1"/>
          </w:tcPr>
          <w:p w14:paraId="2639ABC0" w14:textId="77777777" w:rsidR="00003D20" w:rsidRPr="00016B6B" w:rsidRDefault="00003D20" w:rsidP="00D268C9">
            <w:pPr>
              <w:keepNext/>
              <w:adjustRightInd w:val="0"/>
              <w:spacing w:before="120"/>
              <w:rPr>
                <w:rFonts w:asciiTheme="minorBidi" w:hAnsiTheme="minorBidi" w:cstheme="minorBidi"/>
                <w:b/>
                <w:color w:val="FFFFFF" w:themeColor="background1"/>
                <w:sz w:val="22"/>
                <w:szCs w:val="22"/>
              </w:rPr>
            </w:pPr>
            <w:r w:rsidRPr="00016B6B">
              <w:rPr>
                <w:rFonts w:asciiTheme="minorBidi" w:hAnsiTheme="minorBidi" w:cstheme="minorBidi"/>
                <w:sz w:val="22"/>
                <w:szCs w:val="22"/>
              </w:rPr>
              <w:br w:type="page"/>
            </w:r>
            <w:r w:rsidRPr="00016B6B">
              <w:rPr>
                <w:rFonts w:asciiTheme="minorBidi" w:hAnsiTheme="minorBidi" w:cstheme="minorBidi"/>
                <w:b/>
                <w:bCs/>
                <w:color w:val="FFFFFF" w:themeColor="background1"/>
                <w:sz w:val="22"/>
                <w:szCs w:val="22"/>
              </w:rPr>
              <w:t>Lundi 25 avril 2022</w:t>
            </w:r>
          </w:p>
        </w:tc>
      </w:tr>
      <w:tr w:rsidR="00003D20" w:rsidRPr="00016B6B" w14:paraId="33838BD2" w14:textId="77777777" w:rsidTr="00377958">
        <w:trPr>
          <w:cantSplit/>
        </w:trPr>
        <w:tc>
          <w:tcPr>
            <w:tcW w:w="753" w:type="pct"/>
            <w:shd w:val="clear" w:color="auto" w:fill="auto"/>
          </w:tcPr>
          <w:p w14:paraId="50575010" w14:textId="77777777" w:rsidR="00003D20" w:rsidRPr="00016B6B" w:rsidRDefault="00003D20" w:rsidP="00D268C9">
            <w:pPr>
              <w:keepNext/>
              <w:adjustRightInd w:val="0"/>
              <w:spacing w:before="120"/>
              <w:rPr>
                <w:rFonts w:asciiTheme="minorBidi" w:hAnsiTheme="minorBidi" w:cstheme="minorBidi"/>
                <w:b/>
                <w:bCs/>
                <w:sz w:val="22"/>
                <w:szCs w:val="22"/>
              </w:rPr>
            </w:pPr>
            <w:r w:rsidRPr="00016B6B">
              <w:rPr>
                <w:rFonts w:asciiTheme="minorBidi" w:hAnsiTheme="minorBidi" w:cstheme="minorBidi"/>
                <w:b/>
                <w:bCs/>
                <w:sz w:val="22"/>
                <w:szCs w:val="22"/>
              </w:rPr>
              <w:t>Heure</w:t>
            </w:r>
          </w:p>
        </w:tc>
        <w:tc>
          <w:tcPr>
            <w:tcW w:w="662" w:type="pct"/>
            <w:gridSpan w:val="2"/>
            <w:shd w:val="clear" w:color="auto" w:fill="auto"/>
          </w:tcPr>
          <w:p w14:paraId="40A76455" w14:textId="77777777" w:rsidR="00003D20" w:rsidRPr="00016B6B" w:rsidRDefault="00003D20" w:rsidP="00377958">
            <w:pPr>
              <w:keepNext/>
              <w:adjustRightInd w:val="0"/>
              <w:spacing w:before="120" w:after="120"/>
              <w:jc w:val="right"/>
              <w:rPr>
                <w:rFonts w:asciiTheme="minorBidi" w:hAnsiTheme="minorBidi" w:cstheme="minorBidi"/>
                <w:b/>
                <w:bCs/>
                <w:sz w:val="22"/>
                <w:szCs w:val="22"/>
              </w:rPr>
            </w:pPr>
            <w:r w:rsidRPr="00016B6B">
              <w:rPr>
                <w:rFonts w:asciiTheme="minorBidi" w:hAnsiTheme="minorBidi" w:cstheme="minorBidi"/>
                <w:b/>
                <w:bCs/>
                <w:sz w:val="22"/>
                <w:szCs w:val="22"/>
              </w:rPr>
              <w:t>Point n°</w:t>
            </w:r>
          </w:p>
        </w:tc>
        <w:tc>
          <w:tcPr>
            <w:tcW w:w="3585" w:type="pct"/>
            <w:shd w:val="clear" w:color="auto" w:fill="auto"/>
          </w:tcPr>
          <w:p w14:paraId="70C0E7A5" w14:textId="77777777" w:rsidR="00003D20" w:rsidRPr="00016B6B" w:rsidRDefault="00003D20" w:rsidP="00D268C9">
            <w:pPr>
              <w:keepNext/>
              <w:adjustRightInd w:val="0"/>
              <w:spacing w:before="120"/>
              <w:rPr>
                <w:rFonts w:asciiTheme="minorBidi" w:hAnsiTheme="minorBidi" w:cstheme="minorBidi"/>
                <w:b/>
                <w:bCs/>
                <w:sz w:val="22"/>
                <w:szCs w:val="22"/>
              </w:rPr>
            </w:pPr>
            <w:r w:rsidRPr="00016B6B">
              <w:rPr>
                <w:rFonts w:asciiTheme="minorBidi" w:hAnsiTheme="minorBidi" w:cstheme="minorBidi"/>
                <w:b/>
                <w:bCs/>
                <w:sz w:val="22"/>
                <w:szCs w:val="22"/>
              </w:rPr>
              <w:t xml:space="preserve">Point </w:t>
            </w:r>
          </w:p>
        </w:tc>
      </w:tr>
      <w:tr w:rsidR="00003D20" w:rsidRPr="00016B6B" w14:paraId="1DC7E2AE" w14:textId="77777777" w:rsidTr="00D268C9">
        <w:trPr>
          <w:cantSplit/>
        </w:trPr>
        <w:tc>
          <w:tcPr>
            <w:tcW w:w="1415" w:type="pct"/>
            <w:gridSpan w:val="3"/>
          </w:tcPr>
          <w:p w14:paraId="5897B9E6" w14:textId="77777777" w:rsidR="00003D20" w:rsidRPr="00016B6B" w:rsidRDefault="00003D20" w:rsidP="0056655B">
            <w:pPr>
              <w:spacing w:before="120" w:after="120"/>
              <w:rPr>
                <w:rFonts w:asciiTheme="minorBidi" w:eastAsiaTheme="minorEastAsia" w:hAnsiTheme="minorBidi" w:cstheme="minorBidi"/>
                <w:sz w:val="22"/>
                <w:szCs w:val="22"/>
              </w:rPr>
            </w:pPr>
            <w:r w:rsidRPr="00016B6B">
              <w:rPr>
                <w:rFonts w:asciiTheme="minorBidi" w:eastAsiaTheme="minorEastAsia" w:hAnsiTheme="minorBidi" w:cstheme="minorBidi"/>
                <w:sz w:val="22"/>
                <w:szCs w:val="22"/>
              </w:rPr>
              <w:t>À partir de 8h30</w:t>
            </w:r>
          </w:p>
        </w:tc>
        <w:tc>
          <w:tcPr>
            <w:tcW w:w="3585" w:type="pct"/>
          </w:tcPr>
          <w:p w14:paraId="4FC398C0" w14:textId="77777777" w:rsidR="00003D20" w:rsidRPr="00016B6B" w:rsidRDefault="00003D20" w:rsidP="0056655B">
            <w:pPr>
              <w:adjustRightInd w:val="0"/>
              <w:spacing w:before="120" w:after="120"/>
              <w:rPr>
                <w:rFonts w:asciiTheme="minorBidi" w:eastAsiaTheme="minorEastAsia" w:hAnsiTheme="minorBidi" w:cstheme="minorBidi"/>
                <w:sz w:val="22"/>
                <w:szCs w:val="22"/>
              </w:rPr>
            </w:pPr>
            <w:r w:rsidRPr="00016B6B">
              <w:rPr>
                <w:rFonts w:asciiTheme="minorBidi" w:eastAsiaTheme="minorEastAsia" w:hAnsiTheme="minorBidi" w:cstheme="minorBidi"/>
                <w:sz w:val="22"/>
                <w:szCs w:val="22"/>
              </w:rPr>
              <w:t>Enregistrement des participants / Test de connectivité</w:t>
            </w:r>
          </w:p>
        </w:tc>
      </w:tr>
      <w:tr w:rsidR="00003D20" w:rsidRPr="00016B6B" w14:paraId="6C721DF3" w14:textId="77777777" w:rsidTr="00A9754A">
        <w:trPr>
          <w:cantSplit/>
        </w:trPr>
        <w:tc>
          <w:tcPr>
            <w:tcW w:w="1044" w:type="pct"/>
            <w:gridSpan w:val="2"/>
          </w:tcPr>
          <w:p w14:paraId="184FFA64" w14:textId="5B970884" w:rsidR="00003D20" w:rsidRPr="00016B6B" w:rsidRDefault="00003D20" w:rsidP="0056655B">
            <w:pPr>
              <w:spacing w:before="120" w:after="120"/>
              <w:rPr>
                <w:rFonts w:asciiTheme="minorBidi" w:hAnsiTheme="minorBidi" w:cstheme="minorBidi"/>
                <w:sz w:val="22"/>
                <w:szCs w:val="22"/>
              </w:rPr>
            </w:pPr>
            <w:r w:rsidRPr="00016B6B">
              <w:rPr>
                <w:rFonts w:asciiTheme="minorBidi" w:hAnsiTheme="minorBidi" w:cstheme="minorBidi"/>
                <w:sz w:val="22"/>
                <w:szCs w:val="22"/>
              </w:rPr>
              <w:t xml:space="preserve">9h30 </w:t>
            </w:r>
            <w:r w:rsidR="0056655B">
              <w:rPr>
                <w:rFonts w:asciiTheme="minorBidi" w:hAnsiTheme="minorBidi" w:cstheme="minorBidi"/>
                <w:sz w:val="22"/>
                <w:szCs w:val="22"/>
              </w:rPr>
              <w:t>–</w:t>
            </w:r>
            <w:r w:rsidRPr="00016B6B">
              <w:rPr>
                <w:rFonts w:asciiTheme="minorBidi" w:hAnsiTheme="minorBidi" w:cstheme="minorBidi"/>
                <w:sz w:val="22"/>
                <w:szCs w:val="22"/>
              </w:rPr>
              <w:t xml:space="preserve"> 9h40</w:t>
            </w:r>
          </w:p>
        </w:tc>
        <w:tc>
          <w:tcPr>
            <w:tcW w:w="371" w:type="pct"/>
          </w:tcPr>
          <w:p w14:paraId="4F458540" w14:textId="77777777" w:rsidR="00003D20" w:rsidRPr="00016B6B" w:rsidRDefault="00003D20" w:rsidP="0056655B">
            <w:pPr>
              <w:tabs>
                <w:tab w:val="decimal" w:pos="284"/>
              </w:tabs>
              <w:spacing w:before="120" w:after="120"/>
              <w:rPr>
                <w:rFonts w:asciiTheme="minorBidi" w:hAnsiTheme="minorBidi" w:cstheme="minorBidi"/>
                <w:b/>
                <w:bCs/>
                <w:sz w:val="22"/>
                <w:szCs w:val="22"/>
              </w:rPr>
            </w:pPr>
          </w:p>
        </w:tc>
        <w:tc>
          <w:tcPr>
            <w:tcW w:w="3585" w:type="pct"/>
          </w:tcPr>
          <w:p w14:paraId="3915C78F" w14:textId="77777777" w:rsidR="00003D20" w:rsidRPr="00016B6B" w:rsidRDefault="00003D20" w:rsidP="0056655B">
            <w:pPr>
              <w:adjustRightInd w:val="0"/>
              <w:spacing w:before="120" w:after="120"/>
              <w:rPr>
                <w:rFonts w:asciiTheme="minorBidi" w:hAnsiTheme="minorBidi" w:cstheme="minorBidi"/>
                <w:b/>
                <w:bCs/>
                <w:sz w:val="22"/>
                <w:szCs w:val="22"/>
              </w:rPr>
            </w:pPr>
            <w:r w:rsidRPr="00016B6B">
              <w:rPr>
                <w:rFonts w:asciiTheme="minorBidi" w:hAnsiTheme="minorBidi" w:cstheme="minorBidi"/>
                <w:b/>
                <w:bCs/>
                <w:sz w:val="22"/>
                <w:szCs w:val="22"/>
              </w:rPr>
              <w:t>Ouverture</w:t>
            </w:r>
          </w:p>
          <w:p w14:paraId="13959497" w14:textId="77777777" w:rsidR="00003D20" w:rsidRPr="00016B6B" w:rsidRDefault="00003D20" w:rsidP="0056655B">
            <w:pPr>
              <w:adjustRightInd w:val="0"/>
              <w:spacing w:before="120" w:after="120"/>
              <w:rPr>
                <w:rFonts w:asciiTheme="minorBidi" w:hAnsiTheme="minorBidi" w:cstheme="minorBidi"/>
                <w:sz w:val="22"/>
                <w:szCs w:val="22"/>
              </w:rPr>
            </w:pPr>
            <w:r w:rsidRPr="00016B6B">
              <w:rPr>
                <w:rFonts w:asciiTheme="minorBidi" w:hAnsiTheme="minorBidi" w:cstheme="minorBidi"/>
                <w:sz w:val="22"/>
                <w:szCs w:val="22"/>
              </w:rPr>
              <w:t>Allocution de bienvenue par M. Ernesto Ottone R., Sous-Directeur général pour la culture</w:t>
            </w:r>
          </w:p>
        </w:tc>
      </w:tr>
      <w:tr w:rsidR="00003D20" w:rsidRPr="00016B6B" w14:paraId="53293BC6" w14:textId="77777777" w:rsidTr="00A9754A">
        <w:trPr>
          <w:cantSplit/>
        </w:trPr>
        <w:tc>
          <w:tcPr>
            <w:tcW w:w="1044" w:type="pct"/>
            <w:gridSpan w:val="2"/>
          </w:tcPr>
          <w:p w14:paraId="70F3DCD9" w14:textId="77777777" w:rsidR="00003D20" w:rsidRPr="00016B6B" w:rsidRDefault="00003D20" w:rsidP="0056655B">
            <w:pPr>
              <w:spacing w:before="120" w:after="120"/>
              <w:rPr>
                <w:rFonts w:asciiTheme="minorBidi" w:hAnsiTheme="minorBidi" w:cstheme="minorBidi"/>
                <w:sz w:val="22"/>
                <w:szCs w:val="22"/>
              </w:rPr>
            </w:pPr>
            <w:r w:rsidRPr="00016B6B">
              <w:rPr>
                <w:rFonts w:asciiTheme="minorBidi" w:hAnsiTheme="minorBidi" w:cstheme="minorBidi"/>
                <w:sz w:val="22"/>
                <w:szCs w:val="22"/>
              </w:rPr>
              <w:t>9h40 – 10h00</w:t>
            </w:r>
          </w:p>
        </w:tc>
        <w:tc>
          <w:tcPr>
            <w:tcW w:w="371" w:type="pct"/>
          </w:tcPr>
          <w:p w14:paraId="566C6E7C" w14:textId="77777777" w:rsidR="00003D20" w:rsidRPr="00016B6B" w:rsidRDefault="00003D20" w:rsidP="0056655B">
            <w:pPr>
              <w:tabs>
                <w:tab w:val="decimal" w:pos="284"/>
              </w:tabs>
              <w:spacing w:before="120" w:after="120"/>
              <w:rPr>
                <w:rFonts w:asciiTheme="minorBidi" w:hAnsiTheme="minorBidi" w:cstheme="minorBidi"/>
                <w:b/>
                <w:bCs/>
                <w:sz w:val="22"/>
                <w:szCs w:val="22"/>
              </w:rPr>
            </w:pPr>
            <w:r w:rsidRPr="00016B6B">
              <w:rPr>
                <w:rFonts w:asciiTheme="minorBidi" w:hAnsiTheme="minorBidi" w:cstheme="minorBidi"/>
                <w:b/>
                <w:bCs/>
                <w:sz w:val="22"/>
                <w:szCs w:val="22"/>
              </w:rPr>
              <w:t>9</w:t>
            </w:r>
          </w:p>
        </w:tc>
        <w:tc>
          <w:tcPr>
            <w:tcW w:w="3585" w:type="pct"/>
          </w:tcPr>
          <w:p w14:paraId="18D77C6B" w14:textId="77777777" w:rsidR="00003D20" w:rsidRPr="00016B6B" w:rsidRDefault="00003D20" w:rsidP="0056655B">
            <w:pPr>
              <w:adjustRightInd w:val="0"/>
              <w:spacing w:before="120" w:after="120"/>
              <w:rPr>
                <w:rFonts w:asciiTheme="minorBidi" w:hAnsiTheme="minorBidi" w:cstheme="minorBidi"/>
                <w:b/>
                <w:bCs/>
                <w:sz w:val="22"/>
                <w:szCs w:val="22"/>
              </w:rPr>
            </w:pPr>
            <w:r w:rsidRPr="00EC7727">
              <w:rPr>
                <w:rFonts w:asciiTheme="minorBidi" w:hAnsiTheme="minorBidi" w:cstheme="minorBidi"/>
                <w:b/>
                <w:bCs/>
                <w:sz w:val="22"/>
                <w:szCs w:val="22"/>
              </w:rPr>
              <w:t>Ordre</w:t>
            </w:r>
            <w:r w:rsidRPr="00016B6B">
              <w:rPr>
                <w:rFonts w:asciiTheme="minorBidi" w:hAnsiTheme="minorBidi" w:cstheme="minorBidi"/>
                <w:b/>
                <w:bCs/>
                <w:sz w:val="22"/>
                <w:szCs w:val="22"/>
              </w:rPr>
              <w:t xml:space="preserve"> du jour, objectifs et méthodologie de travail de la réunion (Partie III)</w:t>
            </w:r>
          </w:p>
          <w:p w14:paraId="1DCCC188" w14:textId="77777777" w:rsidR="00003D20" w:rsidRPr="00016B6B" w:rsidRDefault="00003D20" w:rsidP="0056655B">
            <w:pPr>
              <w:adjustRightInd w:val="0"/>
              <w:spacing w:before="120" w:after="120"/>
              <w:rPr>
                <w:rFonts w:asciiTheme="minorBidi" w:hAnsiTheme="minorBidi" w:cstheme="minorBidi"/>
                <w:b/>
                <w:bCs/>
                <w:sz w:val="22"/>
                <w:szCs w:val="22"/>
              </w:rPr>
            </w:pPr>
            <w:r w:rsidRPr="00016B6B">
              <w:rPr>
                <w:rFonts w:asciiTheme="minorBidi" w:hAnsiTheme="minorBidi" w:cstheme="minorBidi"/>
                <w:sz w:val="22"/>
                <w:szCs w:val="22"/>
              </w:rPr>
              <w:t>Résumé des parties I et II de la réunion par S.E. M. Atsuyuki Oike (Japon), Président du groupe de travail intergouvernemental à composition non limitée</w:t>
            </w:r>
          </w:p>
        </w:tc>
      </w:tr>
      <w:tr w:rsidR="00003D20" w:rsidRPr="00016B6B" w14:paraId="0AE893C8" w14:textId="77777777" w:rsidTr="00A9754A">
        <w:trPr>
          <w:cantSplit/>
        </w:trPr>
        <w:tc>
          <w:tcPr>
            <w:tcW w:w="1044" w:type="pct"/>
            <w:gridSpan w:val="2"/>
          </w:tcPr>
          <w:p w14:paraId="6FE6EBB3" w14:textId="77777777" w:rsidR="00003D20" w:rsidRPr="00016B6B" w:rsidRDefault="00003D20" w:rsidP="0056655B">
            <w:pPr>
              <w:spacing w:before="120" w:after="120"/>
              <w:rPr>
                <w:rFonts w:asciiTheme="minorBidi" w:hAnsiTheme="minorBidi" w:cstheme="minorBidi"/>
                <w:sz w:val="22"/>
                <w:szCs w:val="22"/>
              </w:rPr>
            </w:pPr>
            <w:r w:rsidRPr="00016B6B">
              <w:rPr>
                <w:rFonts w:asciiTheme="minorBidi" w:hAnsiTheme="minorBidi" w:cstheme="minorBidi"/>
                <w:sz w:val="22"/>
                <w:szCs w:val="22"/>
              </w:rPr>
              <w:t xml:space="preserve">10h00 – 11h00 </w:t>
            </w:r>
          </w:p>
        </w:tc>
        <w:tc>
          <w:tcPr>
            <w:tcW w:w="371" w:type="pct"/>
          </w:tcPr>
          <w:p w14:paraId="0D931FDC" w14:textId="3048EF6F" w:rsidR="00003D20" w:rsidRPr="00016B6B" w:rsidRDefault="00003D20" w:rsidP="0056655B">
            <w:pPr>
              <w:tabs>
                <w:tab w:val="decimal" w:pos="284"/>
              </w:tabs>
              <w:spacing w:before="120" w:after="120"/>
              <w:rPr>
                <w:rFonts w:asciiTheme="minorBidi" w:hAnsiTheme="minorBidi" w:cstheme="minorBidi"/>
                <w:b/>
                <w:bCs/>
                <w:sz w:val="22"/>
                <w:szCs w:val="22"/>
              </w:rPr>
            </w:pPr>
            <w:r w:rsidRPr="00016B6B">
              <w:rPr>
                <w:rFonts w:asciiTheme="minorBidi" w:eastAsiaTheme="minorEastAsia" w:hAnsiTheme="minorBidi" w:cstheme="minorBidi"/>
                <w:b/>
                <w:bCs/>
                <w:sz w:val="22"/>
                <w:szCs w:val="22"/>
              </w:rPr>
              <w:t>10</w:t>
            </w:r>
          </w:p>
        </w:tc>
        <w:tc>
          <w:tcPr>
            <w:tcW w:w="3585" w:type="pct"/>
          </w:tcPr>
          <w:p w14:paraId="6039E2C8" w14:textId="12F54256" w:rsidR="00003D20" w:rsidRPr="00016B6B" w:rsidRDefault="00003D20" w:rsidP="0056655B">
            <w:pPr>
              <w:adjustRightInd w:val="0"/>
              <w:spacing w:before="120" w:after="120"/>
              <w:rPr>
                <w:rFonts w:asciiTheme="minorBidi" w:hAnsiTheme="minorBidi" w:cstheme="minorBidi"/>
                <w:b/>
                <w:bCs/>
                <w:sz w:val="22"/>
                <w:szCs w:val="22"/>
              </w:rPr>
            </w:pPr>
            <w:r w:rsidRPr="00016B6B">
              <w:rPr>
                <w:rFonts w:asciiTheme="minorBidi" w:hAnsiTheme="minorBidi" w:cstheme="minorBidi"/>
                <w:b/>
                <w:bCs/>
                <w:sz w:val="22"/>
                <w:szCs w:val="22"/>
              </w:rPr>
              <w:t>Vers un système réformé d’inscription sur les listes (Partie III) : questions liées au nombre annuel de dossiers</w:t>
            </w:r>
          </w:p>
          <w:p w14:paraId="27BE04C6" w14:textId="77777777" w:rsidR="00003D20" w:rsidRPr="00016B6B" w:rsidRDefault="00003D20" w:rsidP="0056655B">
            <w:pPr>
              <w:adjustRightInd w:val="0"/>
              <w:spacing w:before="120" w:after="120"/>
              <w:rPr>
                <w:rFonts w:asciiTheme="minorBidi" w:hAnsiTheme="minorBidi" w:cstheme="minorBidi"/>
                <w:sz w:val="22"/>
                <w:szCs w:val="22"/>
              </w:rPr>
            </w:pPr>
            <w:r w:rsidRPr="00016B6B">
              <w:rPr>
                <w:rFonts w:asciiTheme="minorBidi" w:hAnsiTheme="minorBidi" w:cstheme="minorBidi"/>
                <w:sz w:val="22"/>
                <w:szCs w:val="22"/>
              </w:rPr>
              <w:t>Introduction par le Secrétariat de la Convention de 2003 (10 minutes)</w:t>
            </w:r>
          </w:p>
          <w:p w14:paraId="3FC9EBE8" w14:textId="77777777" w:rsidR="00003D20" w:rsidRPr="00016B6B" w:rsidRDefault="00003D20" w:rsidP="0056655B">
            <w:pPr>
              <w:adjustRightInd w:val="0"/>
              <w:spacing w:before="120" w:after="120"/>
              <w:rPr>
                <w:rFonts w:asciiTheme="minorBidi" w:hAnsiTheme="minorBidi" w:cstheme="minorBidi"/>
                <w:sz w:val="22"/>
                <w:szCs w:val="22"/>
              </w:rPr>
            </w:pPr>
            <w:r w:rsidRPr="00016B6B">
              <w:rPr>
                <w:rFonts w:asciiTheme="minorBidi" w:hAnsiTheme="minorBidi" w:cstheme="minorBidi"/>
                <w:sz w:val="22"/>
                <w:szCs w:val="22"/>
              </w:rPr>
              <w:t>Discussion générale</w:t>
            </w:r>
          </w:p>
          <w:p w14:paraId="406C042A" w14:textId="77777777" w:rsidR="00003D20" w:rsidRPr="00016B6B" w:rsidRDefault="00003D20" w:rsidP="0056655B">
            <w:pPr>
              <w:pStyle w:val="ListParagraph"/>
              <w:numPr>
                <w:ilvl w:val="0"/>
                <w:numId w:val="26"/>
              </w:numPr>
              <w:adjustRightInd w:val="0"/>
              <w:spacing w:before="120" w:after="120"/>
              <w:ind w:left="751" w:hanging="284"/>
              <w:contextualSpacing w:val="0"/>
              <w:rPr>
                <w:rFonts w:asciiTheme="minorBidi" w:hAnsiTheme="minorBidi" w:cstheme="minorBidi"/>
                <w:sz w:val="22"/>
                <w:szCs w:val="22"/>
              </w:rPr>
            </w:pPr>
            <w:r w:rsidRPr="00016B6B">
              <w:rPr>
                <w:rFonts w:asciiTheme="minorBidi" w:hAnsiTheme="minorBidi" w:cstheme="minorBidi"/>
                <w:sz w:val="22"/>
                <w:szCs w:val="22"/>
              </w:rPr>
              <w:t>Approche générale</w:t>
            </w:r>
          </w:p>
        </w:tc>
      </w:tr>
      <w:tr w:rsidR="00003D20" w:rsidRPr="00016B6B" w14:paraId="35C482B1" w14:textId="77777777" w:rsidTr="00377958">
        <w:trPr>
          <w:cantSplit/>
          <w:trHeight w:val="489"/>
        </w:trPr>
        <w:tc>
          <w:tcPr>
            <w:tcW w:w="1044" w:type="pct"/>
            <w:gridSpan w:val="2"/>
            <w:shd w:val="clear" w:color="auto" w:fill="F2F2F2"/>
          </w:tcPr>
          <w:p w14:paraId="177A0EF0" w14:textId="77777777" w:rsidR="00003D20" w:rsidRPr="00016B6B" w:rsidRDefault="00003D20" w:rsidP="00D268C9">
            <w:pPr>
              <w:spacing w:before="120"/>
              <w:rPr>
                <w:rFonts w:asciiTheme="minorBidi" w:hAnsiTheme="minorBidi" w:cstheme="minorBidi"/>
                <w:sz w:val="22"/>
                <w:szCs w:val="22"/>
              </w:rPr>
            </w:pPr>
            <w:r w:rsidRPr="00016B6B">
              <w:rPr>
                <w:rFonts w:asciiTheme="minorBidi" w:eastAsiaTheme="minorEastAsia" w:hAnsiTheme="minorBidi" w:cstheme="minorBidi"/>
                <w:sz w:val="22"/>
                <w:szCs w:val="22"/>
              </w:rPr>
              <w:t>11h00 – 11h30</w:t>
            </w:r>
          </w:p>
        </w:tc>
        <w:tc>
          <w:tcPr>
            <w:tcW w:w="3956" w:type="pct"/>
            <w:gridSpan w:val="2"/>
            <w:shd w:val="clear" w:color="auto" w:fill="F2F2F2"/>
          </w:tcPr>
          <w:p w14:paraId="409BD844" w14:textId="77777777" w:rsidR="00003D20" w:rsidRPr="00016B6B" w:rsidRDefault="00003D20" w:rsidP="00D268C9">
            <w:pPr>
              <w:adjustRightInd w:val="0"/>
              <w:spacing w:before="120"/>
              <w:rPr>
                <w:rFonts w:asciiTheme="minorBidi" w:hAnsiTheme="minorBidi" w:cstheme="minorBidi"/>
                <w:sz w:val="22"/>
                <w:szCs w:val="22"/>
              </w:rPr>
            </w:pPr>
            <w:r w:rsidRPr="00016B6B">
              <w:rPr>
                <w:rFonts w:asciiTheme="minorBidi" w:eastAsiaTheme="minorEastAsia" w:hAnsiTheme="minorBidi" w:cstheme="minorBidi"/>
                <w:sz w:val="22"/>
                <w:szCs w:val="22"/>
              </w:rPr>
              <w:t xml:space="preserve">Pause </w:t>
            </w:r>
          </w:p>
        </w:tc>
      </w:tr>
      <w:tr w:rsidR="00003D20" w:rsidRPr="00016B6B" w14:paraId="74D2F16F" w14:textId="77777777" w:rsidTr="00A9754A">
        <w:trPr>
          <w:cantSplit/>
        </w:trPr>
        <w:tc>
          <w:tcPr>
            <w:tcW w:w="1044" w:type="pct"/>
            <w:gridSpan w:val="2"/>
          </w:tcPr>
          <w:p w14:paraId="4ED69FE9" w14:textId="77777777" w:rsidR="00003D20" w:rsidRPr="00016B6B" w:rsidRDefault="00003D20" w:rsidP="00D268C9">
            <w:pPr>
              <w:spacing w:before="120"/>
              <w:rPr>
                <w:rFonts w:asciiTheme="minorBidi" w:eastAsiaTheme="minorEastAsia" w:hAnsiTheme="minorBidi" w:cstheme="minorBidi"/>
                <w:sz w:val="22"/>
                <w:szCs w:val="22"/>
              </w:rPr>
            </w:pPr>
            <w:r w:rsidRPr="00016B6B">
              <w:rPr>
                <w:rFonts w:asciiTheme="minorBidi" w:hAnsiTheme="minorBidi" w:cstheme="minorBidi"/>
                <w:sz w:val="22"/>
                <w:szCs w:val="22"/>
              </w:rPr>
              <w:t>11h30 – 13h00</w:t>
            </w:r>
          </w:p>
        </w:tc>
        <w:tc>
          <w:tcPr>
            <w:tcW w:w="371" w:type="pct"/>
          </w:tcPr>
          <w:p w14:paraId="0C2A00B9" w14:textId="79165455" w:rsidR="00003D20" w:rsidRPr="00016B6B" w:rsidRDefault="00003D20" w:rsidP="00AB3E1F">
            <w:pPr>
              <w:tabs>
                <w:tab w:val="decimal" w:pos="284"/>
              </w:tabs>
              <w:spacing w:before="120"/>
              <w:rPr>
                <w:rFonts w:asciiTheme="minorBidi" w:eastAsiaTheme="minorEastAsia" w:hAnsiTheme="minorBidi" w:cstheme="minorBidi"/>
                <w:sz w:val="22"/>
                <w:szCs w:val="22"/>
              </w:rPr>
            </w:pPr>
            <w:r w:rsidRPr="00016B6B">
              <w:rPr>
                <w:rFonts w:asciiTheme="minorBidi" w:eastAsiaTheme="minorEastAsia" w:hAnsiTheme="minorBidi" w:cstheme="minorBidi"/>
                <w:b/>
                <w:bCs/>
                <w:sz w:val="22"/>
                <w:szCs w:val="22"/>
              </w:rPr>
              <w:t>10</w:t>
            </w:r>
          </w:p>
        </w:tc>
        <w:tc>
          <w:tcPr>
            <w:tcW w:w="3585" w:type="pct"/>
          </w:tcPr>
          <w:p w14:paraId="426A7DEB" w14:textId="70A9C408" w:rsidR="00003D20" w:rsidRPr="00016B6B" w:rsidRDefault="00003D20" w:rsidP="00D268C9">
            <w:pPr>
              <w:adjustRightInd w:val="0"/>
              <w:spacing w:before="120"/>
              <w:rPr>
                <w:rFonts w:asciiTheme="minorBidi" w:hAnsiTheme="minorBidi" w:cstheme="minorBidi"/>
                <w:b/>
                <w:bCs/>
                <w:sz w:val="22"/>
                <w:szCs w:val="22"/>
              </w:rPr>
            </w:pPr>
            <w:r w:rsidRPr="00016B6B">
              <w:rPr>
                <w:rFonts w:asciiTheme="minorBidi" w:hAnsiTheme="minorBidi" w:cstheme="minorBidi"/>
                <w:b/>
                <w:bCs/>
                <w:sz w:val="22"/>
                <w:szCs w:val="22"/>
              </w:rPr>
              <w:t>Vers un système réformé d’inscription sur les listes (Partie III) : questions liées au nombre annuel de dossiers</w:t>
            </w:r>
          </w:p>
          <w:p w14:paraId="0A6D6981" w14:textId="77777777" w:rsidR="00003D20" w:rsidRPr="00016B6B" w:rsidRDefault="00003D20" w:rsidP="00D268C9">
            <w:pPr>
              <w:adjustRightInd w:val="0"/>
              <w:spacing w:before="120"/>
              <w:rPr>
                <w:rFonts w:asciiTheme="minorBidi" w:hAnsiTheme="minorBidi" w:cstheme="minorBidi"/>
                <w:sz w:val="22"/>
                <w:szCs w:val="22"/>
              </w:rPr>
            </w:pPr>
            <w:r w:rsidRPr="00016B6B">
              <w:rPr>
                <w:rFonts w:asciiTheme="minorBidi" w:hAnsiTheme="minorBidi" w:cstheme="minorBidi"/>
                <w:sz w:val="22"/>
                <w:szCs w:val="22"/>
              </w:rPr>
              <w:t>Discussion générale</w:t>
            </w:r>
          </w:p>
          <w:p w14:paraId="22753821" w14:textId="77777777" w:rsidR="00003D20" w:rsidRPr="00016B6B" w:rsidRDefault="00003D20" w:rsidP="00003D20">
            <w:pPr>
              <w:pStyle w:val="ListParagraph"/>
              <w:numPr>
                <w:ilvl w:val="0"/>
                <w:numId w:val="25"/>
              </w:numPr>
              <w:adjustRightInd w:val="0"/>
              <w:spacing w:before="120" w:after="120"/>
              <w:ind w:left="751" w:hanging="284"/>
              <w:contextualSpacing w:val="0"/>
              <w:rPr>
                <w:rFonts w:asciiTheme="minorBidi" w:hAnsiTheme="minorBidi" w:cstheme="minorBidi"/>
                <w:sz w:val="22"/>
                <w:szCs w:val="22"/>
              </w:rPr>
            </w:pPr>
            <w:r w:rsidRPr="00016B6B">
              <w:rPr>
                <w:rFonts w:asciiTheme="minorBidi" w:hAnsiTheme="minorBidi" w:cstheme="minorBidi"/>
                <w:sz w:val="22"/>
                <w:szCs w:val="22"/>
              </w:rPr>
              <w:t>Nombre annuel de dossiers, ordre de priorité et dossiers en attente (backlog)</w:t>
            </w:r>
          </w:p>
          <w:p w14:paraId="05F721A9" w14:textId="77777777" w:rsidR="00003D20" w:rsidRPr="00016B6B" w:rsidRDefault="00003D20" w:rsidP="00003D20">
            <w:pPr>
              <w:pStyle w:val="ListParagraph"/>
              <w:numPr>
                <w:ilvl w:val="0"/>
                <w:numId w:val="25"/>
              </w:numPr>
              <w:adjustRightInd w:val="0"/>
              <w:spacing w:before="120" w:after="120"/>
              <w:ind w:left="751" w:hanging="284"/>
              <w:contextualSpacing w:val="0"/>
              <w:rPr>
                <w:rFonts w:asciiTheme="minorBidi" w:hAnsiTheme="minorBidi" w:cstheme="minorBidi"/>
                <w:sz w:val="22"/>
                <w:szCs w:val="22"/>
              </w:rPr>
            </w:pPr>
            <w:r w:rsidRPr="00016B6B">
              <w:rPr>
                <w:rFonts w:asciiTheme="minorBidi" w:hAnsiTheme="minorBidi" w:cstheme="minorBidi"/>
                <w:sz w:val="22"/>
                <w:szCs w:val="22"/>
              </w:rPr>
              <w:t>Composition et méthodes de travail de l’Organe d’évaluation</w:t>
            </w:r>
          </w:p>
        </w:tc>
      </w:tr>
      <w:tr w:rsidR="00003D20" w:rsidRPr="00016B6B" w14:paraId="72CA7513" w14:textId="77777777" w:rsidTr="00377958">
        <w:trPr>
          <w:cantSplit/>
          <w:trHeight w:val="525"/>
        </w:trPr>
        <w:tc>
          <w:tcPr>
            <w:tcW w:w="1044" w:type="pct"/>
            <w:gridSpan w:val="2"/>
            <w:shd w:val="clear" w:color="auto" w:fill="F2F2F2"/>
          </w:tcPr>
          <w:p w14:paraId="5B85337F" w14:textId="77777777" w:rsidR="00003D20" w:rsidRPr="00016B6B" w:rsidRDefault="00003D20" w:rsidP="00D268C9">
            <w:pPr>
              <w:spacing w:before="120"/>
              <w:rPr>
                <w:rFonts w:asciiTheme="minorBidi" w:hAnsiTheme="minorBidi" w:cstheme="minorBidi"/>
                <w:sz w:val="22"/>
                <w:szCs w:val="22"/>
              </w:rPr>
            </w:pPr>
            <w:r w:rsidRPr="00016B6B">
              <w:rPr>
                <w:rFonts w:asciiTheme="minorBidi" w:eastAsiaTheme="minorEastAsia" w:hAnsiTheme="minorBidi" w:cstheme="minorBidi"/>
                <w:sz w:val="22"/>
                <w:szCs w:val="22"/>
              </w:rPr>
              <w:t>13h00 – 14h00</w:t>
            </w:r>
          </w:p>
        </w:tc>
        <w:tc>
          <w:tcPr>
            <w:tcW w:w="3956" w:type="pct"/>
            <w:gridSpan w:val="2"/>
            <w:shd w:val="clear" w:color="auto" w:fill="F2F2F2"/>
          </w:tcPr>
          <w:p w14:paraId="201578DD" w14:textId="77777777" w:rsidR="00003D20" w:rsidRPr="00016B6B" w:rsidRDefault="00003D20" w:rsidP="00D268C9">
            <w:pPr>
              <w:adjustRightInd w:val="0"/>
              <w:spacing w:before="120"/>
              <w:rPr>
                <w:rFonts w:asciiTheme="minorBidi" w:hAnsiTheme="minorBidi" w:cstheme="minorBidi"/>
                <w:sz w:val="22"/>
                <w:szCs w:val="22"/>
              </w:rPr>
            </w:pPr>
            <w:r w:rsidRPr="00016B6B">
              <w:rPr>
                <w:rFonts w:asciiTheme="minorBidi" w:eastAsiaTheme="minorEastAsia" w:hAnsiTheme="minorBidi" w:cstheme="minorBidi"/>
                <w:sz w:val="22"/>
                <w:szCs w:val="22"/>
              </w:rPr>
              <w:t>Pause longue</w:t>
            </w:r>
          </w:p>
        </w:tc>
      </w:tr>
      <w:tr w:rsidR="00003D20" w:rsidRPr="00016B6B" w14:paraId="2943381B" w14:textId="77777777" w:rsidTr="00A9754A">
        <w:trPr>
          <w:cantSplit/>
        </w:trPr>
        <w:tc>
          <w:tcPr>
            <w:tcW w:w="1044" w:type="pct"/>
            <w:gridSpan w:val="2"/>
            <w:shd w:val="clear" w:color="auto" w:fill="auto"/>
          </w:tcPr>
          <w:p w14:paraId="5BFA3BFB" w14:textId="77777777" w:rsidR="00003D20" w:rsidRPr="00016B6B" w:rsidRDefault="00003D20" w:rsidP="00D268C9">
            <w:pPr>
              <w:adjustRightInd w:val="0"/>
              <w:spacing w:before="120"/>
              <w:rPr>
                <w:rFonts w:asciiTheme="minorBidi" w:hAnsiTheme="minorBidi" w:cstheme="minorBidi"/>
                <w:b/>
                <w:sz w:val="22"/>
                <w:szCs w:val="22"/>
              </w:rPr>
            </w:pPr>
            <w:r w:rsidRPr="00016B6B">
              <w:rPr>
                <w:rFonts w:asciiTheme="minorBidi" w:hAnsiTheme="minorBidi" w:cstheme="minorBidi"/>
                <w:sz w:val="22"/>
                <w:szCs w:val="22"/>
              </w:rPr>
              <w:t>14h00 – 15h30</w:t>
            </w:r>
          </w:p>
        </w:tc>
        <w:tc>
          <w:tcPr>
            <w:tcW w:w="371" w:type="pct"/>
            <w:shd w:val="clear" w:color="auto" w:fill="auto"/>
          </w:tcPr>
          <w:p w14:paraId="7880D2E5" w14:textId="68AE2701" w:rsidR="00003D20" w:rsidRPr="00016B6B" w:rsidRDefault="00003D20" w:rsidP="00AB3E1F">
            <w:pPr>
              <w:tabs>
                <w:tab w:val="decimal" w:pos="284"/>
              </w:tabs>
              <w:spacing w:before="120"/>
              <w:rPr>
                <w:rFonts w:asciiTheme="minorBidi" w:eastAsiaTheme="minorEastAsia" w:hAnsiTheme="minorBidi" w:cstheme="minorBidi"/>
                <w:b/>
                <w:bCs/>
                <w:sz w:val="22"/>
                <w:szCs w:val="22"/>
              </w:rPr>
            </w:pPr>
            <w:r w:rsidRPr="00016B6B">
              <w:rPr>
                <w:rFonts w:asciiTheme="minorBidi" w:eastAsiaTheme="minorEastAsia" w:hAnsiTheme="minorBidi" w:cstheme="minorBidi"/>
                <w:b/>
                <w:bCs/>
                <w:sz w:val="22"/>
                <w:szCs w:val="22"/>
              </w:rPr>
              <w:t>10</w:t>
            </w:r>
          </w:p>
        </w:tc>
        <w:tc>
          <w:tcPr>
            <w:tcW w:w="3585" w:type="pct"/>
            <w:shd w:val="clear" w:color="auto" w:fill="auto"/>
          </w:tcPr>
          <w:p w14:paraId="01278E83" w14:textId="3BD26277" w:rsidR="00003D20" w:rsidRPr="00016B6B" w:rsidRDefault="00003D20" w:rsidP="00D268C9">
            <w:pPr>
              <w:adjustRightInd w:val="0"/>
              <w:spacing w:before="120"/>
              <w:rPr>
                <w:rFonts w:asciiTheme="minorBidi" w:hAnsiTheme="minorBidi" w:cstheme="minorBidi"/>
                <w:b/>
                <w:bCs/>
                <w:sz w:val="22"/>
                <w:szCs w:val="22"/>
              </w:rPr>
            </w:pPr>
            <w:r w:rsidRPr="00016B6B">
              <w:rPr>
                <w:rFonts w:asciiTheme="minorBidi" w:hAnsiTheme="minorBidi" w:cstheme="minorBidi"/>
                <w:b/>
                <w:bCs/>
                <w:sz w:val="22"/>
                <w:szCs w:val="22"/>
              </w:rPr>
              <w:t>Vers un système réformé d’inscription sur les listes (Partie III) : questions liées au nombre annuel de dossiers</w:t>
            </w:r>
          </w:p>
          <w:p w14:paraId="6592D9AE" w14:textId="77777777" w:rsidR="00003D20" w:rsidRPr="00016B6B" w:rsidRDefault="00003D20" w:rsidP="00D268C9">
            <w:pPr>
              <w:adjustRightInd w:val="0"/>
              <w:spacing w:before="120"/>
              <w:rPr>
                <w:rFonts w:asciiTheme="minorBidi" w:hAnsiTheme="minorBidi" w:cstheme="minorBidi"/>
                <w:sz w:val="22"/>
                <w:szCs w:val="22"/>
              </w:rPr>
            </w:pPr>
            <w:r w:rsidRPr="00016B6B">
              <w:rPr>
                <w:rFonts w:asciiTheme="minorBidi" w:hAnsiTheme="minorBidi" w:cstheme="minorBidi"/>
                <w:sz w:val="22"/>
                <w:szCs w:val="22"/>
              </w:rPr>
              <w:t>Discussion générale</w:t>
            </w:r>
          </w:p>
          <w:p w14:paraId="4DB5DADA" w14:textId="77777777" w:rsidR="00003D20" w:rsidRPr="00016B6B" w:rsidRDefault="00003D20" w:rsidP="00003D20">
            <w:pPr>
              <w:pStyle w:val="ListParagraph"/>
              <w:numPr>
                <w:ilvl w:val="0"/>
                <w:numId w:val="25"/>
              </w:numPr>
              <w:adjustRightInd w:val="0"/>
              <w:spacing w:before="120" w:after="120"/>
              <w:ind w:left="751" w:hanging="284"/>
              <w:contextualSpacing w:val="0"/>
              <w:rPr>
                <w:rFonts w:asciiTheme="minorBidi" w:hAnsiTheme="minorBidi" w:cstheme="minorBidi"/>
                <w:sz w:val="22"/>
                <w:szCs w:val="22"/>
              </w:rPr>
            </w:pPr>
            <w:r w:rsidRPr="00016B6B">
              <w:rPr>
                <w:rFonts w:asciiTheme="minorBidi" w:hAnsiTheme="minorBidi" w:cstheme="minorBidi"/>
                <w:sz w:val="22"/>
                <w:szCs w:val="22"/>
              </w:rPr>
              <w:t>Nombre annuel de dossiers, ordre de priorité et dossiers en attente (backlog)</w:t>
            </w:r>
          </w:p>
          <w:p w14:paraId="5499BF0D" w14:textId="77777777" w:rsidR="00003D20" w:rsidRPr="00016B6B" w:rsidRDefault="00003D20" w:rsidP="00003D20">
            <w:pPr>
              <w:pStyle w:val="ListParagraph"/>
              <w:numPr>
                <w:ilvl w:val="0"/>
                <w:numId w:val="25"/>
              </w:numPr>
              <w:adjustRightInd w:val="0"/>
              <w:spacing w:before="120" w:after="120" w:line="360" w:lineRule="auto"/>
              <w:ind w:left="751" w:hanging="284"/>
              <w:contextualSpacing w:val="0"/>
              <w:rPr>
                <w:rFonts w:asciiTheme="minorBidi" w:hAnsiTheme="minorBidi" w:cstheme="minorBidi"/>
                <w:sz w:val="22"/>
                <w:szCs w:val="22"/>
              </w:rPr>
            </w:pPr>
            <w:r w:rsidRPr="00016B6B">
              <w:rPr>
                <w:rFonts w:asciiTheme="minorBidi" w:hAnsiTheme="minorBidi" w:cstheme="minorBidi"/>
                <w:sz w:val="22"/>
                <w:szCs w:val="22"/>
              </w:rPr>
              <w:t>Composition et méthodes de travail de l’Organe d’évaluation</w:t>
            </w:r>
          </w:p>
        </w:tc>
      </w:tr>
      <w:tr w:rsidR="00003D20" w:rsidRPr="00016B6B" w14:paraId="0D516088" w14:textId="77777777" w:rsidTr="00377958">
        <w:trPr>
          <w:cantSplit/>
          <w:trHeight w:val="434"/>
        </w:trPr>
        <w:tc>
          <w:tcPr>
            <w:tcW w:w="1044" w:type="pct"/>
            <w:gridSpan w:val="2"/>
            <w:shd w:val="clear" w:color="auto" w:fill="F2F2F2"/>
          </w:tcPr>
          <w:p w14:paraId="12CC2A3F" w14:textId="77777777" w:rsidR="00003D20" w:rsidRPr="00016B6B" w:rsidRDefault="00003D20" w:rsidP="00D268C9">
            <w:pPr>
              <w:adjustRightInd w:val="0"/>
              <w:spacing w:before="120"/>
              <w:rPr>
                <w:rFonts w:asciiTheme="minorBidi" w:eastAsiaTheme="minorEastAsia" w:hAnsiTheme="minorBidi" w:cstheme="minorBidi"/>
                <w:sz w:val="22"/>
                <w:szCs w:val="22"/>
              </w:rPr>
            </w:pPr>
            <w:r w:rsidRPr="00016B6B">
              <w:rPr>
                <w:rFonts w:asciiTheme="minorBidi" w:eastAsiaTheme="minorEastAsia" w:hAnsiTheme="minorBidi" w:cstheme="minorBidi"/>
                <w:sz w:val="22"/>
                <w:szCs w:val="22"/>
              </w:rPr>
              <w:t>15h30 – 16h00</w:t>
            </w:r>
          </w:p>
        </w:tc>
        <w:tc>
          <w:tcPr>
            <w:tcW w:w="3956" w:type="pct"/>
            <w:gridSpan w:val="2"/>
            <w:shd w:val="clear" w:color="auto" w:fill="F2F2F2"/>
          </w:tcPr>
          <w:p w14:paraId="3D7D5C79" w14:textId="77777777" w:rsidR="00003D20" w:rsidRPr="00016B6B" w:rsidRDefault="00003D20" w:rsidP="00D268C9">
            <w:pPr>
              <w:adjustRightInd w:val="0"/>
              <w:spacing w:before="120"/>
              <w:rPr>
                <w:rFonts w:asciiTheme="minorBidi" w:eastAsiaTheme="minorEastAsia" w:hAnsiTheme="minorBidi" w:cstheme="minorBidi"/>
                <w:sz w:val="22"/>
                <w:szCs w:val="22"/>
              </w:rPr>
            </w:pPr>
            <w:r w:rsidRPr="00016B6B">
              <w:rPr>
                <w:rFonts w:asciiTheme="minorBidi" w:eastAsiaTheme="minorEastAsia" w:hAnsiTheme="minorBidi" w:cstheme="minorBidi"/>
                <w:sz w:val="22"/>
                <w:szCs w:val="22"/>
              </w:rPr>
              <w:t>Pause (réunion du Bureau)</w:t>
            </w:r>
          </w:p>
        </w:tc>
      </w:tr>
      <w:tr w:rsidR="00003D20" w:rsidRPr="00016B6B" w14:paraId="773B1C2F" w14:textId="77777777" w:rsidTr="00A9754A">
        <w:trPr>
          <w:cantSplit/>
        </w:trPr>
        <w:tc>
          <w:tcPr>
            <w:tcW w:w="1044" w:type="pct"/>
            <w:gridSpan w:val="2"/>
          </w:tcPr>
          <w:p w14:paraId="05F0FB54" w14:textId="77777777" w:rsidR="00003D20" w:rsidRPr="00016B6B" w:rsidRDefault="00003D20" w:rsidP="00D268C9">
            <w:pPr>
              <w:keepNext/>
              <w:spacing w:before="120"/>
              <w:rPr>
                <w:rFonts w:asciiTheme="minorBidi" w:hAnsiTheme="minorBidi" w:cstheme="minorBidi"/>
                <w:sz w:val="22"/>
                <w:szCs w:val="22"/>
              </w:rPr>
            </w:pPr>
            <w:r w:rsidRPr="00016B6B">
              <w:rPr>
                <w:rFonts w:asciiTheme="minorBidi" w:hAnsiTheme="minorBidi" w:cstheme="minorBidi"/>
                <w:sz w:val="22"/>
                <w:szCs w:val="22"/>
              </w:rPr>
              <w:t>16h00 – 17h30</w:t>
            </w:r>
          </w:p>
        </w:tc>
        <w:tc>
          <w:tcPr>
            <w:tcW w:w="371" w:type="pct"/>
          </w:tcPr>
          <w:p w14:paraId="0F153EEB" w14:textId="7C1B4161" w:rsidR="00003D20" w:rsidRPr="00016B6B" w:rsidRDefault="00003D20" w:rsidP="00AB3E1F">
            <w:pPr>
              <w:tabs>
                <w:tab w:val="decimal" w:pos="284"/>
              </w:tabs>
              <w:spacing w:before="120"/>
              <w:rPr>
                <w:rFonts w:asciiTheme="minorBidi" w:eastAsiaTheme="minorEastAsia" w:hAnsiTheme="minorBidi" w:cstheme="minorBidi"/>
                <w:b/>
                <w:bCs/>
                <w:sz w:val="22"/>
                <w:szCs w:val="22"/>
              </w:rPr>
            </w:pPr>
            <w:r w:rsidRPr="00016B6B">
              <w:rPr>
                <w:rFonts w:asciiTheme="minorBidi" w:eastAsiaTheme="minorEastAsia" w:hAnsiTheme="minorBidi" w:cstheme="minorBidi"/>
                <w:b/>
                <w:bCs/>
                <w:sz w:val="22"/>
                <w:szCs w:val="22"/>
              </w:rPr>
              <w:t>10</w:t>
            </w:r>
          </w:p>
        </w:tc>
        <w:tc>
          <w:tcPr>
            <w:tcW w:w="3585" w:type="pct"/>
          </w:tcPr>
          <w:p w14:paraId="3D1B8574" w14:textId="21C29797" w:rsidR="00003D20" w:rsidRPr="00016B6B" w:rsidRDefault="00003D20" w:rsidP="00D268C9">
            <w:pPr>
              <w:adjustRightInd w:val="0"/>
              <w:spacing w:before="120"/>
              <w:rPr>
                <w:rFonts w:asciiTheme="minorBidi" w:hAnsiTheme="minorBidi" w:cstheme="minorBidi"/>
                <w:b/>
                <w:bCs/>
                <w:sz w:val="22"/>
                <w:szCs w:val="22"/>
              </w:rPr>
            </w:pPr>
            <w:r w:rsidRPr="00016B6B">
              <w:rPr>
                <w:rFonts w:asciiTheme="minorBidi" w:hAnsiTheme="minorBidi" w:cstheme="minorBidi"/>
                <w:b/>
                <w:bCs/>
                <w:sz w:val="22"/>
                <w:szCs w:val="22"/>
              </w:rPr>
              <w:t>Vers un système réformé d’inscription sur les listes (Partie III) : questions liées au nombre annuel de dossiers</w:t>
            </w:r>
          </w:p>
          <w:p w14:paraId="63DB82F0" w14:textId="77777777" w:rsidR="00003D20" w:rsidRPr="00016B6B" w:rsidRDefault="00003D20" w:rsidP="00D268C9">
            <w:pPr>
              <w:adjustRightInd w:val="0"/>
              <w:spacing w:before="120"/>
              <w:rPr>
                <w:rFonts w:asciiTheme="minorBidi" w:eastAsiaTheme="minorEastAsia" w:hAnsiTheme="minorBidi" w:cstheme="minorBidi"/>
                <w:b/>
                <w:bCs/>
                <w:sz w:val="22"/>
                <w:szCs w:val="22"/>
              </w:rPr>
            </w:pPr>
            <w:r w:rsidRPr="00016B6B">
              <w:rPr>
                <w:rFonts w:asciiTheme="minorBidi" w:hAnsiTheme="minorBidi" w:cstheme="minorBidi"/>
                <w:sz w:val="22"/>
                <w:szCs w:val="22"/>
              </w:rPr>
              <w:t>Discussion sur les recommandations</w:t>
            </w:r>
          </w:p>
        </w:tc>
      </w:tr>
    </w:tbl>
    <w:p w14:paraId="45650759" w14:textId="77777777" w:rsidR="00A9754A" w:rsidRPr="00016B6B" w:rsidRDefault="00A9754A">
      <w:pPr>
        <w:rPr>
          <w:rFonts w:asciiTheme="minorBidi" w:hAnsiTheme="minorBidi" w:cstheme="minorBidi"/>
          <w:sz w:val="22"/>
          <w:szCs w:val="22"/>
        </w:rPr>
      </w:pPr>
      <w:r w:rsidRPr="00016B6B">
        <w:rPr>
          <w:rFonts w:asciiTheme="minorBidi" w:hAnsiTheme="minorBidi" w:cstheme="minorBidi"/>
          <w:sz w:val="22"/>
          <w:szCs w:val="22"/>
        </w:rPr>
        <w:br w:type="page"/>
      </w:r>
    </w:p>
    <w:tbl>
      <w:tblPr>
        <w:tblW w:w="4999" w:type="pct"/>
        <w:tblInd w:w="108" w:type="dxa"/>
        <w:tblLayout w:type="fixed"/>
        <w:tblLook w:val="01E0" w:firstRow="1" w:lastRow="1" w:firstColumn="1" w:lastColumn="1" w:noHBand="0" w:noVBand="0"/>
      </w:tblPr>
      <w:tblGrid>
        <w:gridCol w:w="1594"/>
        <w:gridCol w:w="418"/>
        <w:gridCol w:w="715"/>
        <w:gridCol w:w="6801"/>
        <w:gridCol w:w="108"/>
      </w:tblGrid>
      <w:tr w:rsidR="00003D20" w:rsidRPr="00016B6B" w14:paraId="0C8A1969" w14:textId="77777777" w:rsidTr="00A9754A">
        <w:trPr>
          <w:cantSplit/>
          <w:trHeight w:val="505"/>
        </w:trPr>
        <w:tc>
          <w:tcPr>
            <w:tcW w:w="5000" w:type="pct"/>
            <w:gridSpan w:val="5"/>
            <w:shd w:val="clear" w:color="auto" w:fill="4F81BD" w:themeFill="accent1"/>
          </w:tcPr>
          <w:p w14:paraId="31B51F9A" w14:textId="77777777" w:rsidR="00003D20" w:rsidRPr="00016B6B" w:rsidRDefault="00003D20" w:rsidP="00D268C9">
            <w:pPr>
              <w:adjustRightInd w:val="0"/>
              <w:spacing w:before="120"/>
              <w:rPr>
                <w:rFonts w:asciiTheme="minorBidi" w:hAnsiTheme="minorBidi" w:cstheme="minorBidi"/>
                <w:b/>
                <w:color w:val="FFFFFF" w:themeColor="background1"/>
                <w:sz w:val="22"/>
                <w:szCs w:val="22"/>
              </w:rPr>
            </w:pPr>
            <w:r w:rsidRPr="00016B6B">
              <w:rPr>
                <w:rFonts w:asciiTheme="minorBidi" w:hAnsiTheme="minorBidi" w:cstheme="minorBidi"/>
                <w:b/>
                <w:bCs/>
                <w:color w:val="FFFFFF" w:themeColor="background1"/>
                <w:sz w:val="22"/>
                <w:szCs w:val="22"/>
              </w:rPr>
              <w:t>Mardi 26 avril 2022</w:t>
            </w:r>
          </w:p>
        </w:tc>
      </w:tr>
      <w:tr w:rsidR="00003D20" w:rsidRPr="00016B6B" w14:paraId="386086AB" w14:textId="77777777" w:rsidTr="00A9754A">
        <w:trPr>
          <w:cantSplit/>
          <w:trHeight w:val="639"/>
        </w:trPr>
        <w:tc>
          <w:tcPr>
            <w:tcW w:w="827" w:type="pct"/>
            <w:shd w:val="clear" w:color="auto" w:fill="auto"/>
          </w:tcPr>
          <w:p w14:paraId="28FD890B" w14:textId="77777777" w:rsidR="00003D20" w:rsidRPr="00016B6B" w:rsidRDefault="00003D20" w:rsidP="00D268C9">
            <w:pPr>
              <w:keepNext/>
              <w:adjustRightInd w:val="0"/>
              <w:spacing w:before="120"/>
              <w:rPr>
                <w:rFonts w:asciiTheme="minorBidi" w:hAnsiTheme="minorBidi" w:cstheme="minorBidi"/>
                <w:b/>
                <w:bCs/>
                <w:sz w:val="22"/>
                <w:szCs w:val="22"/>
              </w:rPr>
            </w:pPr>
            <w:r w:rsidRPr="00016B6B">
              <w:rPr>
                <w:rFonts w:asciiTheme="minorBidi" w:hAnsiTheme="minorBidi" w:cstheme="minorBidi"/>
                <w:b/>
                <w:bCs/>
                <w:sz w:val="22"/>
                <w:szCs w:val="22"/>
              </w:rPr>
              <w:t>Heure</w:t>
            </w:r>
          </w:p>
        </w:tc>
        <w:tc>
          <w:tcPr>
            <w:tcW w:w="588" w:type="pct"/>
            <w:gridSpan w:val="2"/>
            <w:shd w:val="clear" w:color="auto" w:fill="auto"/>
          </w:tcPr>
          <w:p w14:paraId="217F31CE" w14:textId="77777777" w:rsidR="00003D20" w:rsidRPr="00016B6B" w:rsidRDefault="00003D20" w:rsidP="00377958">
            <w:pPr>
              <w:keepNext/>
              <w:adjustRightInd w:val="0"/>
              <w:spacing w:before="120" w:after="120"/>
              <w:jc w:val="right"/>
              <w:rPr>
                <w:rFonts w:asciiTheme="minorBidi" w:hAnsiTheme="minorBidi" w:cstheme="minorBidi"/>
                <w:b/>
                <w:bCs/>
                <w:sz w:val="22"/>
                <w:szCs w:val="22"/>
              </w:rPr>
            </w:pPr>
            <w:r w:rsidRPr="00016B6B">
              <w:rPr>
                <w:rFonts w:asciiTheme="minorBidi" w:hAnsiTheme="minorBidi" w:cstheme="minorBidi"/>
                <w:b/>
                <w:bCs/>
                <w:sz w:val="22"/>
                <w:szCs w:val="22"/>
              </w:rPr>
              <w:t>Point n°</w:t>
            </w:r>
          </w:p>
        </w:tc>
        <w:tc>
          <w:tcPr>
            <w:tcW w:w="3585" w:type="pct"/>
            <w:gridSpan w:val="2"/>
            <w:shd w:val="clear" w:color="auto" w:fill="auto"/>
          </w:tcPr>
          <w:p w14:paraId="27A67844" w14:textId="42BAFEFD" w:rsidR="00003D20" w:rsidRPr="00016B6B" w:rsidRDefault="00A9754A" w:rsidP="00D268C9">
            <w:pPr>
              <w:keepNext/>
              <w:adjustRightInd w:val="0"/>
              <w:spacing w:before="120"/>
              <w:rPr>
                <w:rFonts w:asciiTheme="minorBidi" w:hAnsiTheme="minorBidi" w:cstheme="minorBidi"/>
                <w:b/>
                <w:bCs/>
                <w:sz w:val="22"/>
                <w:szCs w:val="22"/>
              </w:rPr>
            </w:pPr>
            <w:r w:rsidRPr="00016B6B">
              <w:rPr>
                <w:rFonts w:asciiTheme="minorBidi" w:hAnsiTheme="minorBidi" w:cstheme="minorBidi"/>
                <w:b/>
                <w:bCs/>
                <w:sz w:val="22"/>
                <w:szCs w:val="22"/>
              </w:rPr>
              <w:t>Point</w:t>
            </w:r>
          </w:p>
        </w:tc>
      </w:tr>
      <w:tr w:rsidR="00003D20" w:rsidRPr="00016B6B" w14:paraId="0D639E5D" w14:textId="77777777" w:rsidTr="00A9754A">
        <w:trPr>
          <w:cantSplit/>
        </w:trPr>
        <w:tc>
          <w:tcPr>
            <w:tcW w:w="1044" w:type="pct"/>
            <w:gridSpan w:val="2"/>
          </w:tcPr>
          <w:p w14:paraId="6A1B3046" w14:textId="77777777" w:rsidR="00003D20" w:rsidRPr="00016B6B" w:rsidRDefault="00003D20" w:rsidP="00D268C9">
            <w:pPr>
              <w:spacing w:before="120"/>
              <w:rPr>
                <w:rFonts w:asciiTheme="minorBidi" w:hAnsiTheme="minorBidi" w:cstheme="minorBidi"/>
                <w:sz w:val="22"/>
                <w:szCs w:val="22"/>
              </w:rPr>
            </w:pPr>
            <w:r w:rsidRPr="00016B6B">
              <w:rPr>
                <w:rFonts w:asciiTheme="minorBidi" w:hAnsiTheme="minorBidi" w:cstheme="minorBidi"/>
                <w:sz w:val="22"/>
                <w:szCs w:val="22"/>
              </w:rPr>
              <w:t>9h30 – 11h00</w:t>
            </w:r>
          </w:p>
        </w:tc>
        <w:tc>
          <w:tcPr>
            <w:tcW w:w="371" w:type="pct"/>
          </w:tcPr>
          <w:p w14:paraId="3017EBAF" w14:textId="77777777" w:rsidR="00003D20" w:rsidRPr="00016B6B" w:rsidRDefault="00003D20" w:rsidP="00D268C9">
            <w:pPr>
              <w:tabs>
                <w:tab w:val="decimal" w:pos="284"/>
              </w:tabs>
              <w:spacing w:before="120"/>
              <w:rPr>
                <w:rFonts w:asciiTheme="minorBidi" w:eastAsiaTheme="minorEastAsia" w:hAnsiTheme="minorBidi" w:cstheme="minorBidi"/>
                <w:b/>
                <w:bCs/>
                <w:sz w:val="22"/>
                <w:szCs w:val="22"/>
              </w:rPr>
            </w:pPr>
            <w:r w:rsidRPr="00016B6B">
              <w:rPr>
                <w:rFonts w:asciiTheme="minorBidi" w:eastAsiaTheme="minorEastAsia" w:hAnsiTheme="minorBidi" w:cstheme="minorBidi"/>
                <w:b/>
                <w:bCs/>
                <w:sz w:val="22"/>
                <w:szCs w:val="22"/>
              </w:rPr>
              <w:t>11</w:t>
            </w:r>
          </w:p>
        </w:tc>
        <w:tc>
          <w:tcPr>
            <w:tcW w:w="3585" w:type="pct"/>
            <w:gridSpan w:val="2"/>
          </w:tcPr>
          <w:p w14:paraId="20B974E3" w14:textId="77777777" w:rsidR="00003D20" w:rsidRPr="00016B6B" w:rsidRDefault="00003D20" w:rsidP="00D268C9">
            <w:pPr>
              <w:adjustRightInd w:val="0"/>
              <w:spacing w:before="120"/>
              <w:rPr>
                <w:rFonts w:asciiTheme="minorBidi" w:eastAsiaTheme="minorEastAsia" w:hAnsiTheme="minorBidi" w:cstheme="minorBidi"/>
                <w:b/>
                <w:bCs/>
                <w:sz w:val="22"/>
                <w:szCs w:val="22"/>
              </w:rPr>
            </w:pPr>
            <w:r w:rsidRPr="00016B6B">
              <w:rPr>
                <w:rFonts w:asciiTheme="minorBidi" w:eastAsiaTheme="minorEastAsia" w:hAnsiTheme="minorBidi" w:cstheme="minorBidi"/>
                <w:b/>
                <w:bCs/>
                <w:sz w:val="22"/>
                <w:szCs w:val="22"/>
              </w:rPr>
              <w:t>Autres questions nécessitant une réflexion plus approfondie (Partie III)</w:t>
            </w:r>
          </w:p>
          <w:p w14:paraId="05C5F9EA" w14:textId="77777777" w:rsidR="00003D20" w:rsidRPr="00016B6B" w:rsidRDefault="00003D20" w:rsidP="00003D20">
            <w:pPr>
              <w:pStyle w:val="ListParagraph"/>
              <w:numPr>
                <w:ilvl w:val="0"/>
                <w:numId w:val="27"/>
              </w:numPr>
              <w:spacing w:before="120" w:after="120"/>
              <w:contextualSpacing w:val="0"/>
              <w:rPr>
                <w:rFonts w:asciiTheme="minorBidi" w:eastAsiaTheme="minorEastAsia" w:hAnsiTheme="minorBidi" w:cstheme="minorBidi"/>
                <w:sz w:val="22"/>
                <w:szCs w:val="22"/>
              </w:rPr>
            </w:pPr>
            <w:r w:rsidRPr="00016B6B">
              <w:rPr>
                <w:rFonts w:asciiTheme="minorBidi" w:eastAsiaTheme="minorEastAsia" w:hAnsiTheme="minorBidi" w:cstheme="minorBidi"/>
                <w:sz w:val="22"/>
                <w:szCs w:val="22"/>
              </w:rPr>
              <w:t>« Réviser la priorité pour l’examen des dossiers de candidature des États parties qui n’ont pas rempli leurs obligations de rapport concernant la mise en œuvre de la Convention et le statut des éléments inscrits sur la Liste représentative ou sur la Liste de sauvegarde urgente »</w:t>
            </w:r>
          </w:p>
          <w:p w14:paraId="17114A7F" w14:textId="4EA98CA7" w:rsidR="00003D20" w:rsidRPr="00016B6B" w:rsidRDefault="00003D20" w:rsidP="00003D20">
            <w:pPr>
              <w:pStyle w:val="ListParagraph"/>
              <w:numPr>
                <w:ilvl w:val="0"/>
                <w:numId w:val="27"/>
              </w:numPr>
              <w:spacing w:before="120" w:after="120"/>
              <w:contextualSpacing w:val="0"/>
              <w:rPr>
                <w:rFonts w:asciiTheme="minorBidi" w:eastAsiaTheme="minorEastAsia" w:hAnsiTheme="minorBidi" w:cstheme="minorBidi"/>
                <w:sz w:val="22"/>
                <w:szCs w:val="22"/>
              </w:rPr>
            </w:pPr>
            <w:r w:rsidRPr="00016B6B">
              <w:rPr>
                <w:rFonts w:asciiTheme="minorBidi" w:eastAsiaTheme="minorEastAsia" w:hAnsiTheme="minorBidi" w:cstheme="minorBidi"/>
                <w:sz w:val="22"/>
                <w:szCs w:val="22"/>
              </w:rPr>
              <w:t>« </w:t>
            </w:r>
            <w:r w:rsidR="00DD1953">
              <w:rPr>
                <w:rFonts w:asciiTheme="minorBidi" w:eastAsiaTheme="minorEastAsia" w:hAnsiTheme="minorBidi" w:cstheme="minorBidi"/>
                <w:sz w:val="22"/>
                <w:szCs w:val="22"/>
              </w:rPr>
              <w:t>La p</w:t>
            </w:r>
            <w:r w:rsidRPr="00016B6B">
              <w:rPr>
                <w:rFonts w:asciiTheme="minorBidi" w:hAnsiTheme="minorBidi" w:cstheme="minorBidi"/>
                <w:sz w:val="22"/>
                <w:szCs w:val="22"/>
              </w:rPr>
              <w:t xml:space="preserve">rocédure nécessaire pour examiner </w:t>
            </w:r>
            <w:r w:rsidR="00DD1953">
              <w:rPr>
                <w:rFonts w:asciiTheme="minorBidi" w:hAnsiTheme="minorBidi" w:cstheme="minorBidi"/>
                <w:sz w:val="22"/>
                <w:szCs w:val="22"/>
              </w:rPr>
              <w:t>l</w:t>
            </w:r>
            <w:r w:rsidRPr="00016B6B">
              <w:rPr>
                <w:rFonts w:asciiTheme="minorBidi" w:hAnsiTheme="minorBidi" w:cstheme="minorBidi"/>
                <w:sz w:val="22"/>
                <w:szCs w:val="22"/>
              </w:rPr>
              <w:t>es cas exceptionnels </w:t>
            </w:r>
            <w:r w:rsidRPr="00016B6B">
              <w:rPr>
                <w:rFonts w:asciiTheme="minorBidi" w:eastAsiaTheme="minorEastAsia" w:hAnsiTheme="minorBidi" w:cstheme="minorBidi"/>
                <w:sz w:val="22"/>
                <w:szCs w:val="22"/>
              </w:rPr>
              <w:t>»</w:t>
            </w:r>
          </w:p>
        </w:tc>
      </w:tr>
      <w:tr w:rsidR="00003D20" w:rsidRPr="00016B6B" w14:paraId="51A419B2" w14:textId="77777777" w:rsidTr="00377958">
        <w:trPr>
          <w:cantSplit/>
          <w:trHeight w:val="475"/>
        </w:trPr>
        <w:tc>
          <w:tcPr>
            <w:tcW w:w="1044" w:type="pct"/>
            <w:gridSpan w:val="2"/>
            <w:shd w:val="clear" w:color="auto" w:fill="F2F2F2"/>
          </w:tcPr>
          <w:p w14:paraId="41BF206A" w14:textId="77777777" w:rsidR="00003D20" w:rsidRPr="00016B6B" w:rsidRDefault="00003D20" w:rsidP="00D268C9">
            <w:pPr>
              <w:spacing w:before="120"/>
              <w:rPr>
                <w:rFonts w:asciiTheme="minorBidi" w:hAnsiTheme="minorBidi" w:cstheme="minorBidi"/>
                <w:sz w:val="22"/>
                <w:szCs w:val="22"/>
              </w:rPr>
            </w:pPr>
            <w:r w:rsidRPr="00016B6B">
              <w:rPr>
                <w:rFonts w:asciiTheme="minorBidi" w:eastAsiaTheme="minorEastAsia" w:hAnsiTheme="minorBidi" w:cstheme="minorBidi"/>
                <w:sz w:val="22"/>
                <w:szCs w:val="22"/>
              </w:rPr>
              <w:t>11h00 – 11h30</w:t>
            </w:r>
          </w:p>
        </w:tc>
        <w:tc>
          <w:tcPr>
            <w:tcW w:w="3956" w:type="pct"/>
            <w:gridSpan w:val="3"/>
            <w:shd w:val="clear" w:color="auto" w:fill="F2F2F2"/>
          </w:tcPr>
          <w:p w14:paraId="5C4B590C" w14:textId="77777777" w:rsidR="00003D20" w:rsidRPr="00016B6B" w:rsidRDefault="00003D20" w:rsidP="00D268C9">
            <w:pPr>
              <w:adjustRightInd w:val="0"/>
              <w:spacing w:before="120"/>
              <w:rPr>
                <w:rFonts w:asciiTheme="minorBidi" w:hAnsiTheme="minorBidi" w:cstheme="minorBidi"/>
                <w:sz w:val="22"/>
                <w:szCs w:val="22"/>
              </w:rPr>
            </w:pPr>
            <w:r w:rsidRPr="00016B6B">
              <w:rPr>
                <w:rFonts w:asciiTheme="minorBidi" w:eastAsiaTheme="minorEastAsia" w:hAnsiTheme="minorBidi" w:cstheme="minorBidi"/>
                <w:sz w:val="22"/>
                <w:szCs w:val="22"/>
              </w:rPr>
              <w:t xml:space="preserve">Pause </w:t>
            </w:r>
          </w:p>
        </w:tc>
      </w:tr>
      <w:tr w:rsidR="00003D20" w:rsidRPr="00016B6B" w14:paraId="4154714B" w14:textId="77777777" w:rsidTr="00A9754A">
        <w:trPr>
          <w:cantSplit/>
        </w:trPr>
        <w:tc>
          <w:tcPr>
            <w:tcW w:w="1044" w:type="pct"/>
            <w:gridSpan w:val="2"/>
          </w:tcPr>
          <w:p w14:paraId="1F7A9091" w14:textId="77777777" w:rsidR="00003D20" w:rsidRPr="00016B6B" w:rsidRDefault="00003D20" w:rsidP="00D268C9">
            <w:pPr>
              <w:spacing w:before="120"/>
              <w:rPr>
                <w:rFonts w:asciiTheme="minorBidi" w:hAnsiTheme="minorBidi" w:cstheme="minorBidi"/>
                <w:sz w:val="22"/>
                <w:szCs w:val="22"/>
              </w:rPr>
            </w:pPr>
            <w:r w:rsidRPr="00016B6B">
              <w:rPr>
                <w:rFonts w:asciiTheme="minorBidi" w:hAnsiTheme="minorBidi" w:cstheme="minorBidi"/>
                <w:sz w:val="22"/>
                <w:szCs w:val="22"/>
              </w:rPr>
              <w:t>11h30 – 13h00</w:t>
            </w:r>
          </w:p>
        </w:tc>
        <w:tc>
          <w:tcPr>
            <w:tcW w:w="371" w:type="pct"/>
          </w:tcPr>
          <w:p w14:paraId="37FD7E1F" w14:textId="3CA81548" w:rsidR="00003D20" w:rsidRPr="00016B6B" w:rsidRDefault="00003D20" w:rsidP="00AB3E1F">
            <w:pPr>
              <w:tabs>
                <w:tab w:val="decimal" w:pos="284"/>
              </w:tabs>
              <w:spacing w:before="120"/>
              <w:rPr>
                <w:rFonts w:asciiTheme="minorBidi" w:eastAsiaTheme="minorEastAsia" w:hAnsiTheme="minorBidi" w:cstheme="minorBidi"/>
                <w:sz w:val="22"/>
                <w:szCs w:val="22"/>
              </w:rPr>
            </w:pPr>
            <w:r w:rsidRPr="00016B6B">
              <w:rPr>
                <w:rFonts w:asciiTheme="minorBidi" w:eastAsiaTheme="minorEastAsia" w:hAnsiTheme="minorBidi" w:cstheme="minorBidi"/>
                <w:b/>
                <w:bCs/>
                <w:sz w:val="22"/>
                <w:szCs w:val="22"/>
              </w:rPr>
              <w:t>11</w:t>
            </w:r>
          </w:p>
        </w:tc>
        <w:tc>
          <w:tcPr>
            <w:tcW w:w="3585" w:type="pct"/>
            <w:gridSpan w:val="2"/>
          </w:tcPr>
          <w:p w14:paraId="12DC4F85" w14:textId="77777777" w:rsidR="00003D20" w:rsidRPr="00016B6B" w:rsidRDefault="00003D20" w:rsidP="00D268C9">
            <w:pPr>
              <w:adjustRightInd w:val="0"/>
              <w:spacing w:before="120"/>
              <w:rPr>
                <w:rFonts w:asciiTheme="minorBidi" w:eastAsiaTheme="minorEastAsia" w:hAnsiTheme="minorBidi" w:cstheme="minorBidi"/>
                <w:b/>
                <w:bCs/>
                <w:sz w:val="22"/>
                <w:szCs w:val="22"/>
              </w:rPr>
            </w:pPr>
            <w:r w:rsidRPr="00016B6B">
              <w:rPr>
                <w:rFonts w:asciiTheme="minorBidi" w:eastAsiaTheme="minorEastAsia" w:hAnsiTheme="minorBidi" w:cstheme="minorBidi"/>
                <w:b/>
                <w:bCs/>
                <w:sz w:val="22"/>
                <w:szCs w:val="22"/>
              </w:rPr>
              <w:t>Autres questions nécessitant une réflexion plus approfondie (Partie III)</w:t>
            </w:r>
          </w:p>
          <w:p w14:paraId="28E35625" w14:textId="77777777" w:rsidR="00003D20" w:rsidRPr="00016B6B" w:rsidRDefault="00003D20" w:rsidP="00003D20">
            <w:pPr>
              <w:pStyle w:val="ListParagraph"/>
              <w:numPr>
                <w:ilvl w:val="0"/>
                <w:numId w:val="24"/>
              </w:numPr>
              <w:adjustRightInd w:val="0"/>
              <w:spacing w:before="120" w:after="120"/>
              <w:ind w:left="714" w:hanging="357"/>
              <w:contextualSpacing w:val="0"/>
              <w:rPr>
                <w:rFonts w:asciiTheme="minorBidi" w:eastAsiaTheme="minorEastAsia" w:hAnsiTheme="minorBidi" w:cstheme="minorBidi"/>
                <w:sz w:val="22"/>
                <w:szCs w:val="22"/>
              </w:rPr>
            </w:pPr>
            <w:r w:rsidRPr="00016B6B">
              <w:rPr>
                <w:rFonts w:asciiTheme="minorBidi" w:eastAsiaTheme="minorEastAsia" w:hAnsiTheme="minorBidi" w:cstheme="minorBidi"/>
                <w:sz w:val="22"/>
                <w:szCs w:val="22"/>
              </w:rPr>
              <w:t>« Considérer la possibilité d’obtenir des informations supplémentaires concernant les candidatures en utilisant un processus de dialogue avec les ONG accréditées et les communautés, les groupes et, le cas échéant, les individus concernés »</w:t>
            </w:r>
          </w:p>
          <w:p w14:paraId="346C7F17" w14:textId="5985C26D" w:rsidR="00003D20" w:rsidRPr="00016B6B" w:rsidRDefault="00003D20" w:rsidP="00003D20">
            <w:pPr>
              <w:pStyle w:val="ListParagraph"/>
              <w:numPr>
                <w:ilvl w:val="0"/>
                <w:numId w:val="23"/>
              </w:numPr>
              <w:adjustRightInd w:val="0"/>
              <w:spacing w:before="120" w:after="120"/>
              <w:contextualSpacing w:val="0"/>
              <w:rPr>
                <w:rFonts w:asciiTheme="minorBidi" w:eastAsiaTheme="minorEastAsia" w:hAnsiTheme="minorBidi" w:cstheme="minorBidi"/>
                <w:b/>
                <w:bCs/>
                <w:sz w:val="22"/>
                <w:szCs w:val="22"/>
              </w:rPr>
            </w:pPr>
            <w:r w:rsidRPr="00016B6B">
              <w:rPr>
                <w:rFonts w:asciiTheme="minorBidi" w:eastAsiaTheme="minorEastAsia" w:hAnsiTheme="minorBidi" w:cstheme="minorBidi"/>
                <w:sz w:val="22"/>
                <w:szCs w:val="22"/>
              </w:rPr>
              <w:t>« </w:t>
            </w:r>
            <w:r w:rsidR="00DD1953">
              <w:rPr>
                <w:rFonts w:asciiTheme="minorBidi" w:eastAsiaTheme="minorEastAsia" w:hAnsiTheme="minorBidi" w:cstheme="minorBidi"/>
                <w:sz w:val="22"/>
                <w:szCs w:val="22"/>
              </w:rPr>
              <w:t>Les r</w:t>
            </w:r>
            <w:r w:rsidRPr="00016B6B">
              <w:rPr>
                <w:rFonts w:asciiTheme="minorBidi" w:eastAsiaTheme="minorEastAsia" w:hAnsiTheme="minorBidi" w:cstheme="minorBidi"/>
                <w:sz w:val="22"/>
                <w:szCs w:val="22"/>
              </w:rPr>
              <w:t>éflexions sur la possibilité d’intégrer des procédures d’évaluation préliminaires au processus</w:t>
            </w:r>
            <w:r w:rsidR="00DD1953">
              <w:rPr>
                <w:rFonts w:asciiTheme="minorBidi" w:eastAsiaTheme="minorEastAsia" w:hAnsiTheme="minorBidi" w:cstheme="minorBidi"/>
                <w:sz w:val="22"/>
                <w:szCs w:val="22"/>
              </w:rPr>
              <w:t xml:space="preserve"> en amont</w:t>
            </w:r>
            <w:r w:rsidRPr="00016B6B">
              <w:rPr>
                <w:rFonts w:asciiTheme="minorBidi" w:eastAsiaTheme="minorEastAsia" w:hAnsiTheme="minorBidi" w:cstheme="minorBidi"/>
                <w:sz w:val="22"/>
                <w:szCs w:val="22"/>
              </w:rPr>
              <w:t xml:space="preserve"> existant »</w:t>
            </w:r>
          </w:p>
        </w:tc>
      </w:tr>
      <w:tr w:rsidR="00003D20" w:rsidRPr="00016B6B" w14:paraId="6E413D40" w14:textId="77777777" w:rsidTr="00377958">
        <w:trPr>
          <w:cantSplit/>
          <w:trHeight w:val="479"/>
        </w:trPr>
        <w:tc>
          <w:tcPr>
            <w:tcW w:w="1044" w:type="pct"/>
            <w:gridSpan w:val="2"/>
            <w:shd w:val="clear" w:color="auto" w:fill="F2F2F2"/>
          </w:tcPr>
          <w:p w14:paraId="5F8B1F37" w14:textId="77777777" w:rsidR="00003D20" w:rsidRPr="00016B6B" w:rsidRDefault="00003D20" w:rsidP="00D268C9">
            <w:pPr>
              <w:spacing w:before="120"/>
              <w:rPr>
                <w:rFonts w:asciiTheme="minorBidi" w:hAnsiTheme="minorBidi" w:cstheme="minorBidi"/>
                <w:sz w:val="22"/>
                <w:szCs w:val="22"/>
              </w:rPr>
            </w:pPr>
            <w:r w:rsidRPr="00016B6B">
              <w:rPr>
                <w:rFonts w:asciiTheme="minorBidi" w:eastAsiaTheme="minorEastAsia" w:hAnsiTheme="minorBidi" w:cstheme="minorBidi"/>
                <w:sz w:val="22"/>
                <w:szCs w:val="22"/>
              </w:rPr>
              <w:t>13h00 – 14h00</w:t>
            </w:r>
          </w:p>
        </w:tc>
        <w:tc>
          <w:tcPr>
            <w:tcW w:w="3956" w:type="pct"/>
            <w:gridSpan w:val="3"/>
            <w:shd w:val="clear" w:color="auto" w:fill="F2F2F2"/>
          </w:tcPr>
          <w:p w14:paraId="77395A11" w14:textId="2A3846C4" w:rsidR="00003D20" w:rsidRPr="00016B6B" w:rsidRDefault="00003D20" w:rsidP="00D268C9">
            <w:pPr>
              <w:adjustRightInd w:val="0"/>
              <w:spacing w:before="120"/>
              <w:rPr>
                <w:rFonts w:asciiTheme="minorBidi" w:hAnsiTheme="minorBidi" w:cstheme="minorBidi"/>
                <w:sz w:val="22"/>
                <w:szCs w:val="22"/>
              </w:rPr>
            </w:pPr>
            <w:r w:rsidRPr="00D21644">
              <w:rPr>
                <w:rFonts w:asciiTheme="minorBidi" w:eastAsiaTheme="minorEastAsia" w:hAnsiTheme="minorBidi" w:cstheme="minorBidi"/>
                <w:sz w:val="22"/>
                <w:szCs w:val="22"/>
              </w:rPr>
              <w:t>Pause</w:t>
            </w:r>
            <w:r w:rsidR="0056655B" w:rsidRPr="00D21644">
              <w:rPr>
                <w:rFonts w:asciiTheme="minorBidi" w:eastAsiaTheme="minorEastAsia" w:hAnsiTheme="minorBidi" w:cstheme="minorBidi"/>
                <w:sz w:val="22"/>
                <w:szCs w:val="22"/>
              </w:rPr>
              <w:t xml:space="preserve"> longue</w:t>
            </w:r>
          </w:p>
        </w:tc>
      </w:tr>
      <w:tr w:rsidR="00003D20" w:rsidRPr="00016B6B" w14:paraId="77AF84C5" w14:textId="77777777" w:rsidTr="00A9754A">
        <w:trPr>
          <w:cantSplit/>
        </w:trPr>
        <w:tc>
          <w:tcPr>
            <w:tcW w:w="1044" w:type="pct"/>
            <w:gridSpan w:val="2"/>
            <w:shd w:val="clear" w:color="auto" w:fill="auto"/>
          </w:tcPr>
          <w:p w14:paraId="57D7C2D9" w14:textId="77777777" w:rsidR="00003D20" w:rsidRPr="00016B6B" w:rsidRDefault="00003D20" w:rsidP="00D268C9">
            <w:pPr>
              <w:adjustRightInd w:val="0"/>
              <w:spacing w:before="120"/>
              <w:rPr>
                <w:rFonts w:asciiTheme="minorBidi" w:hAnsiTheme="minorBidi" w:cstheme="minorBidi"/>
                <w:b/>
                <w:sz w:val="22"/>
                <w:szCs w:val="22"/>
              </w:rPr>
            </w:pPr>
            <w:r w:rsidRPr="00016B6B">
              <w:rPr>
                <w:rFonts w:asciiTheme="minorBidi" w:hAnsiTheme="minorBidi" w:cstheme="minorBidi"/>
                <w:sz w:val="22"/>
                <w:szCs w:val="22"/>
              </w:rPr>
              <w:t>14h00 – 15h30</w:t>
            </w:r>
          </w:p>
        </w:tc>
        <w:tc>
          <w:tcPr>
            <w:tcW w:w="371" w:type="pct"/>
            <w:shd w:val="clear" w:color="auto" w:fill="auto"/>
          </w:tcPr>
          <w:p w14:paraId="3AAC6853" w14:textId="17454C7E" w:rsidR="00003D20" w:rsidRPr="00016B6B" w:rsidRDefault="00003D20" w:rsidP="00AB3E1F">
            <w:pPr>
              <w:tabs>
                <w:tab w:val="decimal" w:pos="284"/>
              </w:tabs>
              <w:spacing w:before="120"/>
              <w:rPr>
                <w:rFonts w:asciiTheme="minorBidi" w:eastAsiaTheme="minorEastAsia" w:hAnsiTheme="minorBidi" w:cstheme="minorBidi"/>
                <w:sz w:val="22"/>
                <w:szCs w:val="22"/>
              </w:rPr>
            </w:pPr>
            <w:r w:rsidRPr="00016B6B">
              <w:rPr>
                <w:rFonts w:asciiTheme="minorBidi" w:eastAsiaTheme="minorEastAsia" w:hAnsiTheme="minorBidi" w:cstheme="minorBidi"/>
                <w:b/>
                <w:bCs/>
                <w:sz w:val="22"/>
                <w:szCs w:val="22"/>
              </w:rPr>
              <w:t>11</w:t>
            </w:r>
          </w:p>
        </w:tc>
        <w:tc>
          <w:tcPr>
            <w:tcW w:w="3585" w:type="pct"/>
            <w:gridSpan w:val="2"/>
            <w:shd w:val="clear" w:color="auto" w:fill="auto"/>
          </w:tcPr>
          <w:p w14:paraId="032B0E40" w14:textId="77777777" w:rsidR="00003D20" w:rsidRPr="00016B6B" w:rsidRDefault="00003D20" w:rsidP="00D268C9">
            <w:pPr>
              <w:adjustRightInd w:val="0"/>
              <w:spacing w:before="120"/>
              <w:rPr>
                <w:rFonts w:asciiTheme="minorBidi" w:hAnsiTheme="minorBidi" w:cstheme="minorBidi"/>
                <w:b/>
                <w:bCs/>
                <w:sz w:val="22"/>
                <w:szCs w:val="22"/>
              </w:rPr>
            </w:pPr>
            <w:r w:rsidRPr="00016B6B">
              <w:rPr>
                <w:rFonts w:asciiTheme="minorBidi" w:hAnsiTheme="minorBidi" w:cstheme="minorBidi"/>
                <w:b/>
                <w:bCs/>
                <w:sz w:val="22"/>
                <w:szCs w:val="22"/>
              </w:rPr>
              <w:t>Autres questions nécessitant une réflexion plus approfondie (Partie III)</w:t>
            </w:r>
          </w:p>
          <w:p w14:paraId="25CE556A" w14:textId="77777777" w:rsidR="00003D20" w:rsidRPr="00016B6B" w:rsidRDefault="00003D20" w:rsidP="00210BAF">
            <w:pPr>
              <w:adjustRightInd w:val="0"/>
              <w:spacing w:before="120" w:after="120"/>
              <w:rPr>
                <w:rFonts w:asciiTheme="minorBidi" w:hAnsiTheme="minorBidi" w:cstheme="minorBidi"/>
                <w:sz w:val="22"/>
                <w:szCs w:val="22"/>
              </w:rPr>
            </w:pPr>
            <w:r w:rsidRPr="00016B6B">
              <w:rPr>
                <w:rFonts w:asciiTheme="minorBidi" w:hAnsiTheme="minorBidi" w:cstheme="minorBidi"/>
                <w:sz w:val="22"/>
                <w:szCs w:val="22"/>
              </w:rPr>
              <w:t>Discussion sur les recommandations</w:t>
            </w:r>
          </w:p>
        </w:tc>
      </w:tr>
      <w:tr w:rsidR="00003D20" w:rsidRPr="00016B6B" w14:paraId="4090F023" w14:textId="77777777" w:rsidTr="00377958">
        <w:trPr>
          <w:cantSplit/>
          <w:trHeight w:val="414"/>
        </w:trPr>
        <w:tc>
          <w:tcPr>
            <w:tcW w:w="1044" w:type="pct"/>
            <w:gridSpan w:val="2"/>
            <w:shd w:val="clear" w:color="auto" w:fill="F2F2F2"/>
          </w:tcPr>
          <w:p w14:paraId="2385726E" w14:textId="77777777" w:rsidR="00003D20" w:rsidRPr="00016B6B" w:rsidRDefault="00003D20" w:rsidP="00D268C9">
            <w:pPr>
              <w:adjustRightInd w:val="0"/>
              <w:spacing w:before="120"/>
              <w:rPr>
                <w:rFonts w:asciiTheme="minorBidi" w:eastAsiaTheme="minorEastAsia" w:hAnsiTheme="minorBidi" w:cstheme="minorBidi"/>
                <w:sz w:val="22"/>
                <w:szCs w:val="22"/>
              </w:rPr>
            </w:pPr>
            <w:r w:rsidRPr="00016B6B">
              <w:rPr>
                <w:rFonts w:asciiTheme="minorBidi" w:eastAsiaTheme="minorEastAsia" w:hAnsiTheme="minorBidi" w:cstheme="minorBidi"/>
                <w:sz w:val="22"/>
                <w:szCs w:val="22"/>
              </w:rPr>
              <w:t>15h30 – 16h00</w:t>
            </w:r>
          </w:p>
        </w:tc>
        <w:tc>
          <w:tcPr>
            <w:tcW w:w="3956" w:type="pct"/>
            <w:gridSpan w:val="3"/>
            <w:shd w:val="clear" w:color="auto" w:fill="F2F2F2"/>
          </w:tcPr>
          <w:p w14:paraId="518398FD" w14:textId="77777777" w:rsidR="00003D20" w:rsidRPr="00016B6B" w:rsidRDefault="00003D20" w:rsidP="00D268C9">
            <w:pPr>
              <w:adjustRightInd w:val="0"/>
              <w:spacing w:before="120"/>
              <w:rPr>
                <w:rFonts w:asciiTheme="minorBidi" w:eastAsiaTheme="minorEastAsia" w:hAnsiTheme="minorBidi" w:cstheme="minorBidi"/>
                <w:sz w:val="22"/>
                <w:szCs w:val="22"/>
              </w:rPr>
            </w:pPr>
            <w:r w:rsidRPr="00016B6B">
              <w:rPr>
                <w:rFonts w:asciiTheme="minorBidi" w:eastAsiaTheme="minorEastAsia" w:hAnsiTheme="minorBidi" w:cstheme="minorBidi"/>
                <w:sz w:val="22"/>
                <w:szCs w:val="22"/>
              </w:rPr>
              <w:t>Pause (réunion du Bureau)</w:t>
            </w:r>
          </w:p>
        </w:tc>
      </w:tr>
      <w:tr w:rsidR="00003D20" w:rsidRPr="00016B6B" w14:paraId="230B8342" w14:textId="77777777" w:rsidTr="00A9754A">
        <w:trPr>
          <w:gridAfter w:val="1"/>
          <w:wAfter w:w="56" w:type="pct"/>
          <w:cantSplit/>
        </w:trPr>
        <w:tc>
          <w:tcPr>
            <w:tcW w:w="1044" w:type="pct"/>
            <w:gridSpan w:val="2"/>
            <w:shd w:val="clear" w:color="auto" w:fill="FFFFFF" w:themeFill="background1"/>
          </w:tcPr>
          <w:p w14:paraId="13593A78" w14:textId="77777777" w:rsidR="00003D20" w:rsidRPr="00016B6B" w:rsidRDefault="00003D20" w:rsidP="00D268C9">
            <w:pPr>
              <w:adjustRightInd w:val="0"/>
              <w:spacing w:before="120"/>
              <w:rPr>
                <w:rFonts w:asciiTheme="minorBidi" w:eastAsiaTheme="minorEastAsia" w:hAnsiTheme="minorBidi" w:cstheme="minorBidi"/>
                <w:sz w:val="22"/>
                <w:szCs w:val="22"/>
              </w:rPr>
            </w:pPr>
            <w:r w:rsidRPr="00016B6B">
              <w:rPr>
                <w:rFonts w:asciiTheme="minorBidi" w:hAnsiTheme="minorBidi" w:cstheme="minorBidi"/>
                <w:sz w:val="22"/>
                <w:szCs w:val="22"/>
              </w:rPr>
              <w:t>16h00 – 17h30</w:t>
            </w:r>
          </w:p>
        </w:tc>
        <w:tc>
          <w:tcPr>
            <w:tcW w:w="371" w:type="pct"/>
            <w:shd w:val="clear" w:color="auto" w:fill="FFFFFF" w:themeFill="background1"/>
          </w:tcPr>
          <w:p w14:paraId="5DBB96EB" w14:textId="58942F60" w:rsidR="00003D20" w:rsidRPr="00016B6B" w:rsidRDefault="00003D20" w:rsidP="00AB3E1F">
            <w:pPr>
              <w:adjustRightInd w:val="0"/>
              <w:spacing w:before="120"/>
              <w:rPr>
                <w:rFonts w:asciiTheme="minorBidi" w:eastAsiaTheme="minorEastAsia" w:hAnsiTheme="minorBidi" w:cstheme="minorBidi"/>
                <w:sz w:val="22"/>
                <w:szCs w:val="22"/>
              </w:rPr>
            </w:pPr>
            <w:r w:rsidRPr="00016B6B">
              <w:rPr>
                <w:rFonts w:asciiTheme="minorBidi" w:eastAsiaTheme="minorEastAsia" w:hAnsiTheme="minorBidi" w:cstheme="minorBidi"/>
                <w:b/>
                <w:bCs/>
                <w:sz w:val="22"/>
                <w:szCs w:val="22"/>
              </w:rPr>
              <w:t>12</w:t>
            </w:r>
          </w:p>
        </w:tc>
        <w:tc>
          <w:tcPr>
            <w:tcW w:w="3529" w:type="pct"/>
            <w:shd w:val="clear" w:color="auto" w:fill="FFFFFF" w:themeFill="background1"/>
          </w:tcPr>
          <w:p w14:paraId="0099B042" w14:textId="77777777" w:rsidR="00003D20" w:rsidRPr="00016B6B" w:rsidRDefault="00003D20" w:rsidP="00D268C9">
            <w:pPr>
              <w:adjustRightInd w:val="0"/>
              <w:spacing w:before="120"/>
              <w:rPr>
                <w:rFonts w:asciiTheme="minorBidi" w:hAnsiTheme="minorBidi" w:cstheme="minorBidi"/>
                <w:sz w:val="22"/>
                <w:szCs w:val="22"/>
              </w:rPr>
            </w:pPr>
            <w:r w:rsidRPr="00016B6B">
              <w:rPr>
                <w:rFonts w:asciiTheme="minorBidi" w:hAnsiTheme="minorBidi" w:cstheme="minorBidi"/>
                <w:b/>
                <w:bCs/>
                <w:sz w:val="22"/>
                <w:szCs w:val="22"/>
              </w:rPr>
              <w:t>Adoption des recommandations générales du groupe de travail intergouvernemental à composition non limitée au Comité intergouvernemental de sauvegarde du patrimoine culturel immatériel</w:t>
            </w:r>
          </w:p>
        </w:tc>
      </w:tr>
    </w:tbl>
    <w:p w14:paraId="68822C67" w14:textId="2F3CFFCC" w:rsidR="00003D20" w:rsidRPr="00016B6B" w:rsidRDefault="00003D20" w:rsidP="00405873">
      <w:pPr>
        <w:pStyle w:val="COMParaDecision"/>
        <w:numPr>
          <w:ilvl w:val="0"/>
          <w:numId w:val="0"/>
        </w:numPr>
        <w:jc w:val="left"/>
        <w:rPr>
          <w:rFonts w:asciiTheme="minorBidi" w:hAnsiTheme="minorBidi" w:cstheme="minorBidi"/>
        </w:rPr>
      </w:pPr>
    </w:p>
    <w:p w14:paraId="522E0D00" w14:textId="77777777" w:rsidR="00003D20" w:rsidRPr="00016B6B" w:rsidRDefault="00003D20">
      <w:pPr>
        <w:rPr>
          <w:rFonts w:asciiTheme="minorBidi" w:hAnsiTheme="minorBidi" w:cstheme="minorBidi"/>
          <w:sz w:val="22"/>
          <w:szCs w:val="22"/>
          <w:u w:val="single"/>
        </w:rPr>
      </w:pPr>
      <w:r w:rsidRPr="00016B6B">
        <w:rPr>
          <w:rFonts w:asciiTheme="minorBidi" w:hAnsiTheme="minorBidi" w:cstheme="minorBidi"/>
          <w:sz w:val="22"/>
          <w:szCs w:val="22"/>
        </w:rPr>
        <w:br w:type="page"/>
      </w:r>
    </w:p>
    <w:p w14:paraId="253528BA" w14:textId="77777777" w:rsidR="00003D20" w:rsidRPr="00016B6B" w:rsidRDefault="00003D20" w:rsidP="001A68F6">
      <w:pPr>
        <w:pStyle w:val="1GAPara"/>
        <w:keepNext/>
        <w:spacing w:before="600"/>
        <w:ind w:left="142"/>
        <w:rPr>
          <w:rFonts w:asciiTheme="minorBidi" w:hAnsiTheme="minorBidi" w:cstheme="minorBidi"/>
          <w:b/>
          <w:bCs/>
          <w:lang w:val="fr-FR"/>
        </w:rPr>
      </w:pPr>
      <w:r w:rsidRPr="00016B6B">
        <w:rPr>
          <w:rFonts w:asciiTheme="minorBidi" w:hAnsiTheme="minorBidi" w:cstheme="minorBidi"/>
          <w:b/>
          <w:bCs/>
          <w:lang w:val="fr-FR"/>
        </w:rPr>
        <w:t>Documents disponibles</w:t>
      </w:r>
    </w:p>
    <w:tbl>
      <w:tblPr>
        <w:tblStyle w:val="TableGrid"/>
        <w:tblW w:w="5000" w:type="pct"/>
        <w:tblLook w:val="04A0" w:firstRow="1" w:lastRow="0" w:firstColumn="1" w:lastColumn="0" w:noHBand="0" w:noVBand="1"/>
      </w:tblPr>
      <w:tblGrid>
        <w:gridCol w:w="3141"/>
        <w:gridCol w:w="6487"/>
      </w:tblGrid>
      <w:tr w:rsidR="00003D20" w:rsidRPr="00016B6B" w14:paraId="50B6756C" w14:textId="77777777" w:rsidTr="001A68F6">
        <w:trPr>
          <w:trHeight w:val="20"/>
        </w:trPr>
        <w:tc>
          <w:tcPr>
            <w:tcW w:w="5000" w:type="pct"/>
            <w:gridSpan w:val="2"/>
            <w:shd w:val="clear" w:color="auto" w:fill="B8CCE4"/>
          </w:tcPr>
          <w:p w14:paraId="03683B45" w14:textId="77777777" w:rsidR="00003D20" w:rsidRPr="00016B6B" w:rsidRDefault="00003D20" w:rsidP="00D268C9">
            <w:pPr>
              <w:pStyle w:val="1GAPara"/>
              <w:widowControl w:val="0"/>
              <w:spacing w:before="120"/>
              <w:rPr>
                <w:rFonts w:asciiTheme="minorBidi" w:eastAsiaTheme="minorEastAsia" w:hAnsiTheme="minorBidi" w:cstheme="minorBidi"/>
                <w:lang w:val="fr-FR"/>
              </w:rPr>
            </w:pPr>
            <w:r w:rsidRPr="00016B6B">
              <w:rPr>
                <w:rFonts w:asciiTheme="minorBidi" w:eastAsiaTheme="minorEastAsia" w:hAnsiTheme="minorBidi" w:cstheme="minorBidi"/>
                <w:b/>
                <w:bCs/>
                <w:lang w:val="fr-FR"/>
              </w:rPr>
              <w:t>Partie III de la réunion du groupe de travail intergouvernemental à composition non limitée</w:t>
            </w:r>
          </w:p>
        </w:tc>
      </w:tr>
      <w:tr w:rsidR="00003D20" w:rsidRPr="00016B6B" w14:paraId="74DDF82A" w14:textId="77777777" w:rsidTr="001A68F6">
        <w:trPr>
          <w:trHeight w:val="20"/>
        </w:trPr>
        <w:tc>
          <w:tcPr>
            <w:tcW w:w="1631" w:type="pct"/>
          </w:tcPr>
          <w:p w14:paraId="02C38249" w14:textId="4274E3A0" w:rsidR="00003D20" w:rsidRPr="00016B6B" w:rsidRDefault="001032E1" w:rsidP="00D268C9">
            <w:pPr>
              <w:pStyle w:val="1GAPara"/>
              <w:widowControl w:val="0"/>
              <w:spacing w:before="120"/>
              <w:rPr>
                <w:rFonts w:asciiTheme="minorBidi" w:eastAsiaTheme="minorEastAsia" w:hAnsiTheme="minorBidi" w:cstheme="minorBidi"/>
                <w:lang w:val="fr-FR"/>
              </w:rPr>
            </w:pPr>
            <w:hyperlink r:id="rId31" w:history="1">
              <w:r w:rsidR="00003D20" w:rsidRPr="00016B6B">
                <w:rPr>
                  <w:rStyle w:val="Hyperlink"/>
                  <w:rFonts w:asciiTheme="minorBidi" w:eastAsiaTheme="minorEastAsia" w:hAnsiTheme="minorBidi" w:cstheme="minorBidi"/>
                  <w:lang w:val="fr-FR"/>
                </w:rPr>
                <w:t>LHE/22/17.COM WG/9</w:t>
              </w:r>
            </w:hyperlink>
          </w:p>
        </w:tc>
        <w:tc>
          <w:tcPr>
            <w:tcW w:w="3369" w:type="pct"/>
          </w:tcPr>
          <w:p w14:paraId="2169DA07" w14:textId="77777777" w:rsidR="00003D20" w:rsidRPr="00016B6B" w:rsidRDefault="00003D20" w:rsidP="00D268C9">
            <w:pPr>
              <w:pStyle w:val="1GAPara"/>
              <w:widowControl w:val="0"/>
              <w:spacing w:before="120"/>
              <w:rPr>
                <w:rFonts w:asciiTheme="minorBidi" w:eastAsiaTheme="minorEastAsia" w:hAnsiTheme="minorBidi" w:cstheme="minorBidi"/>
                <w:lang w:val="fr-FR"/>
              </w:rPr>
            </w:pPr>
            <w:r w:rsidRPr="00016B6B">
              <w:rPr>
                <w:rFonts w:asciiTheme="minorBidi" w:eastAsiaTheme="minorEastAsia" w:hAnsiTheme="minorBidi" w:cstheme="minorBidi"/>
                <w:lang w:val="fr-FR"/>
              </w:rPr>
              <w:t>Ordre du jour, objectifs et méthodologie de travail (Partie III)</w:t>
            </w:r>
          </w:p>
        </w:tc>
      </w:tr>
      <w:tr w:rsidR="00003D20" w:rsidRPr="00016B6B" w14:paraId="069B6AA3" w14:textId="77777777" w:rsidTr="001A68F6">
        <w:trPr>
          <w:trHeight w:val="20"/>
        </w:trPr>
        <w:tc>
          <w:tcPr>
            <w:tcW w:w="1631" w:type="pct"/>
          </w:tcPr>
          <w:p w14:paraId="028647E4" w14:textId="66FAC710" w:rsidR="00003D20" w:rsidRPr="00016B6B" w:rsidRDefault="00003D20" w:rsidP="00D268C9">
            <w:pPr>
              <w:pStyle w:val="1GAPara"/>
              <w:widowControl w:val="0"/>
              <w:spacing w:before="120"/>
              <w:rPr>
                <w:rFonts w:asciiTheme="minorBidi" w:hAnsiTheme="minorBidi" w:cstheme="minorBidi"/>
                <w:lang w:val="fr-FR"/>
              </w:rPr>
            </w:pPr>
            <w:r w:rsidRPr="00210BAF">
              <w:rPr>
                <w:rFonts w:asciiTheme="minorBidi" w:eastAsiaTheme="minorEastAsia" w:hAnsiTheme="minorBidi" w:cstheme="minorBidi"/>
                <w:lang w:val="fr-FR"/>
              </w:rPr>
              <w:t>LHE/22/17.COM WG/10</w:t>
            </w:r>
          </w:p>
        </w:tc>
        <w:tc>
          <w:tcPr>
            <w:tcW w:w="3369" w:type="pct"/>
          </w:tcPr>
          <w:p w14:paraId="7480A734" w14:textId="7B80AEAE" w:rsidR="00003D20" w:rsidRPr="00016B6B" w:rsidRDefault="00003D20" w:rsidP="00D268C9">
            <w:pPr>
              <w:pStyle w:val="1GAPara"/>
              <w:widowControl w:val="0"/>
              <w:spacing w:before="120"/>
              <w:rPr>
                <w:rFonts w:asciiTheme="minorBidi" w:eastAsiaTheme="minorEastAsia" w:hAnsiTheme="minorBidi" w:cstheme="minorBidi"/>
                <w:lang w:val="fr-FR"/>
              </w:rPr>
            </w:pPr>
            <w:r w:rsidRPr="00016B6B">
              <w:rPr>
                <w:rFonts w:asciiTheme="minorBidi" w:hAnsiTheme="minorBidi" w:cstheme="minorBidi"/>
                <w:lang w:val="fr-FR"/>
              </w:rPr>
              <w:t>Vers un système réformé d’inscription sur les listes (Partie III) : questions liées au nombre annuel de dossiers</w:t>
            </w:r>
          </w:p>
        </w:tc>
      </w:tr>
      <w:tr w:rsidR="00003D20" w:rsidRPr="00016B6B" w14:paraId="155CC15F" w14:textId="77777777" w:rsidTr="001A68F6">
        <w:trPr>
          <w:trHeight w:val="20"/>
        </w:trPr>
        <w:tc>
          <w:tcPr>
            <w:tcW w:w="1631" w:type="pct"/>
          </w:tcPr>
          <w:p w14:paraId="13569342" w14:textId="2E466E82" w:rsidR="00003D20" w:rsidRPr="00016B6B" w:rsidRDefault="00003D20" w:rsidP="00D268C9">
            <w:pPr>
              <w:pStyle w:val="1GAPara"/>
              <w:widowControl w:val="0"/>
              <w:spacing w:before="120"/>
              <w:rPr>
                <w:rFonts w:asciiTheme="minorBidi" w:eastAsiaTheme="minorEastAsia" w:hAnsiTheme="minorBidi" w:cstheme="minorBidi"/>
                <w:lang w:val="fr-FR"/>
              </w:rPr>
            </w:pPr>
            <w:r w:rsidRPr="00210BAF">
              <w:rPr>
                <w:rFonts w:asciiTheme="minorBidi" w:eastAsiaTheme="minorEastAsia" w:hAnsiTheme="minorBidi" w:cstheme="minorBidi"/>
                <w:lang w:val="fr-FR"/>
              </w:rPr>
              <w:t>LHE/22/17.COM WG/11</w:t>
            </w:r>
          </w:p>
        </w:tc>
        <w:tc>
          <w:tcPr>
            <w:tcW w:w="3369" w:type="pct"/>
          </w:tcPr>
          <w:p w14:paraId="7B5C0C9C" w14:textId="77777777" w:rsidR="00003D20" w:rsidRPr="00016B6B" w:rsidRDefault="00003D20" w:rsidP="00D268C9">
            <w:pPr>
              <w:pStyle w:val="1GAPara"/>
              <w:widowControl w:val="0"/>
              <w:spacing w:before="120"/>
              <w:rPr>
                <w:rFonts w:asciiTheme="minorBidi" w:eastAsiaTheme="minorEastAsia" w:hAnsiTheme="minorBidi" w:cstheme="minorBidi"/>
                <w:lang w:val="fr-FR"/>
              </w:rPr>
            </w:pPr>
            <w:r w:rsidRPr="00016B6B">
              <w:rPr>
                <w:rFonts w:asciiTheme="minorBidi" w:eastAsiaTheme="minorEastAsia" w:hAnsiTheme="minorBidi" w:cstheme="minorBidi"/>
                <w:lang w:val="fr-FR"/>
              </w:rPr>
              <w:t>Autres questions nécessitant une réflexion plus approfondie (Partie III)</w:t>
            </w:r>
          </w:p>
        </w:tc>
      </w:tr>
      <w:tr w:rsidR="00003D20" w:rsidRPr="00016B6B" w14:paraId="15552209" w14:textId="77777777" w:rsidTr="001A68F6">
        <w:trPr>
          <w:trHeight w:val="20"/>
        </w:trPr>
        <w:tc>
          <w:tcPr>
            <w:tcW w:w="1631" w:type="pct"/>
          </w:tcPr>
          <w:p w14:paraId="2273275D" w14:textId="28872181" w:rsidR="00003D20" w:rsidRPr="00016B6B" w:rsidRDefault="00003D20" w:rsidP="00D268C9">
            <w:pPr>
              <w:pStyle w:val="1GAPara"/>
              <w:widowControl w:val="0"/>
              <w:spacing w:before="120"/>
              <w:rPr>
                <w:rFonts w:asciiTheme="minorBidi" w:eastAsiaTheme="minorEastAsia" w:hAnsiTheme="minorBidi" w:cstheme="minorBidi"/>
                <w:lang w:val="fr-FR"/>
              </w:rPr>
            </w:pPr>
            <w:r w:rsidRPr="00210BAF">
              <w:rPr>
                <w:rFonts w:asciiTheme="minorBidi" w:eastAsiaTheme="minorEastAsia" w:hAnsiTheme="minorBidi" w:cstheme="minorBidi"/>
                <w:lang w:val="fr-FR"/>
              </w:rPr>
              <w:t>LHE/22/17.COM WG/12</w:t>
            </w:r>
          </w:p>
        </w:tc>
        <w:tc>
          <w:tcPr>
            <w:tcW w:w="3369" w:type="pct"/>
          </w:tcPr>
          <w:p w14:paraId="36B9EA0F" w14:textId="77777777" w:rsidR="00003D20" w:rsidRPr="00016B6B" w:rsidRDefault="00003D20" w:rsidP="00D268C9">
            <w:pPr>
              <w:pStyle w:val="1GAPara"/>
              <w:widowControl w:val="0"/>
              <w:spacing w:before="120"/>
              <w:rPr>
                <w:rFonts w:asciiTheme="minorBidi" w:eastAsiaTheme="minorEastAsia" w:hAnsiTheme="minorBidi" w:cstheme="minorBidi"/>
                <w:lang w:val="fr-FR"/>
              </w:rPr>
            </w:pPr>
            <w:r w:rsidRPr="00016B6B">
              <w:rPr>
                <w:rFonts w:asciiTheme="minorBidi" w:eastAsiaTheme="minorEastAsia" w:hAnsiTheme="minorBidi" w:cstheme="minorBidi"/>
                <w:lang w:val="fr-FR"/>
              </w:rPr>
              <w:t>Rapport au Comité intergouvernemental</w:t>
            </w:r>
          </w:p>
        </w:tc>
      </w:tr>
      <w:tr w:rsidR="00003D20" w:rsidRPr="00016B6B" w14:paraId="7DC3D622" w14:textId="77777777" w:rsidTr="001A68F6">
        <w:trPr>
          <w:trHeight w:val="20"/>
        </w:trPr>
        <w:tc>
          <w:tcPr>
            <w:tcW w:w="5000" w:type="pct"/>
            <w:gridSpan w:val="2"/>
            <w:shd w:val="clear" w:color="auto" w:fill="B8CCE4"/>
            <w:vAlign w:val="center"/>
          </w:tcPr>
          <w:p w14:paraId="7E076BE9" w14:textId="77777777" w:rsidR="00003D20" w:rsidRPr="00016B6B" w:rsidRDefault="00003D20" w:rsidP="00D268C9">
            <w:pPr>
              <w:pStyle w:val="1GAPara"/>
              <w:widowControl w:val="0"/>
              <w:spacing w:before="120"/>
              <w:rPr>
                <w:rFonts w:asciiTheme="minorBidi" w:eastAsiaTheme="minorEastAsia" w:hAnsiTheme="minorBidi" w:cstheme="minorBidi"/>
                <w:b/>
                <w:bCs/>
                <w:lang w:val="fr-FR"/>
              </w:rPr>
            </w:pPr>
            <w:r w:rsidRPr="00016B6B">
              <w:rPr>
                <w:rFonts w:asciiTheme="minorBidi" w:eastAsiaTheme="minorEastAsia" w:hAnsiTheme="minorBidi" w:cstheme="minorBidi"/>
                <w:b/>
                <w:bCs/>
                <w:lang w:val="fr-FR"/>
              </w:rPr>
              <w:t>Seizième session du Comité intergouvernemental</w:t>
            </w:r>
          </w:p>
        </w:tc>
      </w:tr>
      <w:tr w:rsidR="00003D20" w:rsidRPr="00016B6B" w14:paraId="55B95FDA" w14:textId="77777777" w:rsidTr="001A68F6">
        <w:trPr>
          <w:trHeight w:val="20"/>
        </w:trPr>
        <w:tc>
          <w:tcPr>
            <w:tcW w:w="1631" w:type="pct"/>
            <w:shd w:val="clear" w:color="auto" w:fill="auto"/>
            <w:vAlign w:val="center"/>
          </w:tcPr>
          <w:p w14:paraId="5CFAC65E" w14:textId="77777777" w:rsidR="00003D20" w:rsidRPr="00016B6B" w:rsidRDefault="001032E1" w:rsidP="00D268C9">
            <w:pPr>
              <w:pStyle w:val="1GAPara"/>
              <w:widowControl w:val="0"/>
              <w:spacing w:before="120"/>
              <w:rPr>
                <w:rFonts w:asciiTheme="minorBidi" w:eastAsiaTheme="minorEastAsia" w:hAnsiTheme="minorBidi" w:cstheme="minorBidi"/>
                <w:b/>
                <w:bCs/>
                <w:lang w:val="fr-FR"/>
              </w:rPr>
            </w:pPr>
            <w:hyperlink r:id="rId32" w:history="1">
              <w:r w:rsidR="00003D20" w:rsidRPr="00016B6B">
                <w:rPr>
                  <w:rStyle w:val="Hyperlink"/>
                  <w:rFonts w:asciiTheme="minorBidi" w:eastAsiaTheme="minorEastAsia" w:hAnsiTheme="minorBidi" w:cstheme="minorBidi"/>
                  <w:lang w:val="fr-FR"/>
                </w:rPr>
                <w:t>LHE/21/16.COM/14</w:t>
              </w:r>
            </w:hyperlink>
          </w:p>
        </w:tc>
        <w:tc>
          <w:tcPr>
            <w:tcW w:w="3369" w:type="pct"/>
            <w:shd w:val="clear" w:color="auto" w:fill="auto"/>
            <w:vAlign w:val="center"/>
          </w:tcPr>
          <w:p w14:paraId="1B98F345" w14:textId="12BA364F" w:rsidR="00003D20" w:rsidRPr="00016B6B" w:rsidRDefault="00003D20" w:rsidP="00D268C9">
            <w:pPr>
              <w:pStyle w:val="1GAPara"/>
              <w:widowControl w:val="0"/>
              <w:spacing w:before="120"/>
              <w:rPr>
                <w:rFonts w:asciiTheme="minorBidi" w:eastAsiaTheme="minorEastAsia" w:hAnsiTheme="minorBidi" w:cstheme="minorBidi"/>
                <w:b/>
                <w:bCs/>
                <w:lang w:val="fr-FR"/>
              </w:rPr>
            </w:pPr>
            <w:r w:rsidRPr="00016B6B">
              <w:rPr>
                <w:rFonts w:asciiTheme="minorBidi" w:eastAsiaTheme="minorEastAsia" w:hAnsiTheme="minorBidi" w:cstheme="minorBidi"/>
                <w:lang w:val="fr-FR"/>
              </w:rPr>
              <w:t xml:space="preserve">Réflexion sur les mécanismes d’inscription sur les listes de la Convention et proposition de révisions connexes des </w:t>
            </w:r>
            <w:r w:rsidR="00B834C4">
              <w:rPr>
                <w:rFonts w:asciiTheme="minorBidi" w:eastAsiaTheme="minorEastAsia" w:hAnsiTheme="minorBidi" w:cstheme="minorBidi"/>
                <w:lang w:val="fr-FR"/>
              </w:rPr>
              <w:t>d</w:t>
            </w:r>
            <w:r w:rsidRPr="00016B6B">
              <w:rPr>
                <w:rFonts w:asciiTheme="minorBidi" w:eastAsiaTheme="minorEastAsia" w:hAnsiTheme="minorBidi" w:cstheme="minorBidi"/>
                <w:lang w:val="fr-FR"/>
              </w:rPr>
              <w:t>irectives opérationnelles</w:t>
            </w:r>
          </w:p>
        </w:tc>
      </w:tr>
      <w:tr w:rsidR="00003D20" w:rsidRPr="00016B6B" w14:paraId="7A01420A" w14:textId="77777777" w:rsidTr="001A68F6">
        <w:trPr>
          <w:trHeight w:val="20"/>
        </w:trPr>
        <w:tc>
          <w:tcPr>
            <w:tcW w:w="1631" w:type="pct"/>
            <w:shd w:val="clear" w:color="auto" w:fill="auto"/>
            <w:vAlign w:val="center"/>
          </w:tcPr>
          <w:p w14:paraId="439F1A78" w14:textId="7FCF1C5C" w:rsidR="00003D20" w:rsidRPr="00016B6B" w:rsidRDefault="001032E1" w:rsidP="00D268C9">
            <w:pPr>
              <w:pStyle w:val="1GAPara"/>
              <w:widowControl w:val="0"/>
              <w:spacing w:before="120"/>
              <w:rPr>
                <w:rFonts w:asciiTheme="minorBidi" w:eastAsiaTheme="minorEastAsia" w:hAnsiTheme="minorBidi" w:cstheme="minorBidi"/>
                <w:b/>
                <w:bCs/>
                <w:lang w:val="fr-FR"/>
              </w:rPr>
            </w:pPr>
            <w:hyperlink r:id="rId33" w:history="1">
              <w:r w:rsidR="00003D20" w:rsidRPr="00016B6B">
                <w:rPr>
                  <w:rStyle w:val="Hyperlink"/>
                  <w:rFonts w:asciiTheme="minorBidi" w:eastAsiaTheme="minorEastAsia" w:hAnsiTheme="minorBidi" w:cstheme="minorBidi"/>
                  <w:lang w:val="fr-FR"/>
                </w:rPr>
                <w:t>LHE/21/16.COM/INF.14</w:t>
              </w:r>
            </w:hyperlink>
          </w:p>
        </w:tc>
        <w:tc>
          <w:tcPr>
            <w:tcW w:w="3369" w:type="pct"/>
            <w:shd w:val="clear" w:color="auto" w:fill="auto"/>
            <w:vAlign w:val="center"/>
          </w:tcPr>
          <w:p w14:paraId="49C73320" w14:textId="0CC23A29" w:rsidR="00003D20" w:rsidRPr="00016B6B" w:rsidRDefault="00003D20" w:rsidP="00D268C9">
            <w:pPr>
              <w:pStyle w:val="1GAPara"/>
              <w:widowControl w:val="0"/>
              <w:spacing w:before="120"/>
              <w:rPr>
                <w:rFonts w:asciiTheme="minorBidi" w:eastAsiaTheme="minorEastAsia" w:hAnsiTheme="minorBidi" w:cstheme="minorBidi"/>
                <w:b/>
                <w:bCs/>
                <w:lang w:val="fr-FR"/>
              </w:rPr>
            </w:pPr>
            <w:r w:rsidRPr="00016B6B">
              <w:rPr>
                <w:rFonts w:asciiTheme="minorBidi" w:eastAsiaTheme="minorEastAsia" w:hAnsiTheme="minorBidi" w:cstheme="minorBidi"/>
                <w:lang w:val="fr-FR"/>
              </w:rPr>
              <w:t xml:space="preserve">Compte-rendu des </w:t>
            </w:r>
            <w:r w:rsidR="00B834C4">
              <w:rPr>
                <w:rFonts w:asciiTheme="minorBidi" w:eastAsiaTheme="minorEastAsia" w:hAnsiTheme="minorBidi" w:cstheme="minorBidi"/>
                <w:lang w:val="fr-FR"/>
              </w:rPr>
              <w:t>P</w:t>
            </w:r>
            <w:r w:rsidR="00B834C4" w:rsidRPr="00016B6B">
              <w:rPr>
                <w:rFonts w:asciiTheme="minorBidi" w:eastAsiaTheme="minorEastAsia" w:hAnsiTheme="minorBidi" w:cstheme="minorBidi"/>
                <w:lang w:val="fr-FR"/>
              </w:rPr>
              <w:t xml:space="preserve">arties </w:t>
            </w:r>
            <w:r w:rsidRPr="00016B6B">
              <w:rPr>
                <w:rFonts w:asciiTheme="minorBidi" w:eastAsiaTheme="minorEastAsia" w:hAnsiTheme="minorBidi" w:cstheme="minorBidi"/>
                <w:lang w:val="fr-FR"/>
              </w:rPr>
              <w:t>I et II</w:t>
            </w:r>
          </w:p>
        </w:tc>
      </w:tr>
      <w:tr w:rsidR="00003D20" w:rsidRPr="00016B6B" w14:paraId="0D9471F9" w14:textId="77777777" w:rsidTr="001A68F6">
        <w:trPr>
          <w:trHeight w:val="20"/>
        </w:trPr>
        <w:tc>
          <w:tcPr>
            <w:tcW w:w="5000" w:type="pct"/>
            <w:gridSpan w:val="2"/>
            <w:shd w:val="clear" w:color="auto" w:fill="B8CCE4"/>
            <w:vAlign w:val="center"/>
          </w:tcPr>
          <w:p w14:paraId="1D4F7DA9" w14:textId="77777777" w:rsidR="00003D20" w:rsidRPr="00016B6B" w:rsidRDefault="00003D20" w:rsidP="00D268C9">
            <w:pPr>
              <w:pStyle w:val="1GAPara"/>
              <w:widowControl w:val="0"/>
              <w:spacing w:before="120"/>
              <w:rPr>
                <w:rFonts w:asciiTheme="minorBidi" w:eastAsiaTheme="minorEastAsia" w:hAnsiTheme="minorBidi" w:cstheme="minorBidi"/>
                <w:lang w:val="fr-FR"/>
              </w:rPr>
            </w:pPr>
            <w:r w:rsidRPr="00016B6B">
              <w:rPr>
                <w:rFonts w:asciiTheme="minorBidi" w:eastAsiaTheme="minorEastAsia" w:hAnsiTheme="minorBidi" w:cstheme="minorBidi"/>
                <w:b/>
                <w:bCs/>
                <w:lang w:val="fr-FR"/>
              </w:rPr>
              <w:t>Partie II de la réunion du groupe de travail intergouvernemental à composition non limitée</w:t>
            </w:r>
          </w:p>
        </w:tc>
      </w:tr>
      <w:tr w:rsidR="00003D20" w:rsidRPr="00016B6B" w14:paraId="169F68A3" w14:textId="77777777" w:rsidTr="001A68F6">
        <w:trPr>
          <w:trHeight w:val="20"/>
        </w:trPr>
        <w:tc>
          <w:tcPr>
            <w:tcW w:w="1631" w:type="pct"/>
          </w:tcPr>
          <w:p w14:paraId="12E50C11" w14:textId="77777777" w:rsidR="00003D20" w:rsidRPr="00016B6B" w:rsidRDefault="001032E1" w:rsidP="00D268C9">
            <w:pPr>
              <w:pStyle w:val="1GAPara"/>
              <w:widowControl w:val="0"/>
              <w:spacing w:before="120"/>
              <w:rPr>
                <w:rFonts w:asciiTheme="minorBidi" w:eastAsiaTheme="minorEastAsia" w:hAnsiTheme="minorBidi" w:cstheme="minorBidi"/>
                <w:lang w:val="fr-FR"/>
              </w:rPr>
            </w:pPr>
            <w:hyperlink r:id="rId34" w:history="1">
              <w:r w:rsidR="00003D20" w:rsidRPr="00016B6B">
                <w:rPr>
                  <w:rStyle w:val="Hyperlink"/>
                  <w:rFonts w:asciiTheme="minorBidi" w:hAnsiTheme="minorBidi" w:cstheme="minorBidi"/>
                  <w:lang w:val="fr-FR"/>
                </w:rPr>
                <w:t>LHE/21/16.COM WG/4</w:t>
              </w:r>
            </w:hyperlink>
          </w:p>
        </w:tc>
        <w:tc>
          <w:tcPr>
            <w:tcW w:w="3369" w:type="pct"/>
            <w:vAlign w:val="center"/>
          </w:tcPr>
          <w:p w14:paraId="780C9AE6" w14:textId="77777777" w:rsidR="00003D20" w:rsidRPr="00016B6B" w:rsidRDefault="00003D20" w:rsidP="00D268C9">
            <w:pPr>
              <w:pStyle w:val="1GAPara"/>
              <w:widowControl w:val="0"/>
              <w:spacing w:before="120"/>
              <w:rPr>
                <w:rFonts w:asciiTheme="minorBidi" w:eastAsiaTheme="minorEastAsia" w:hAnsiTheme="minorBidi" w:cstheme="minorBidi"/>
                <w:lang w:val="fr-FR"/>
              </w:rPr>
            </w:pPr>
            <w:r w:rsidRPr="00016B6B">
              <w:rPr>
                <w:rFonts w:asciiTheme="minorBidi" w:eastAsiaTheme="minorEastAsia" w:hAnsiTheme="minorBidi" w:cstheme="minorBidi"/>
                <w:lang w:val="fr-FR"/>
              </w:rPr>
              <w:t>Ordre du jour et calendrier (Partie II)</w:t>
            </w:r>
          </w:p>
        </w:tc>
      </w:tr>
      <w:tr w:rsidR="00003D20" w:rsidRPr="00016B6B" w14:paraId="6357297F" w14:textId="77777777" w:rsidTr="001A68F6">
        <w:trPr>
          <w:trHeight w:val="20"/>
        </w:trPr>
        <w:tc>
          <w:tcPr>
            <w:tcW w:w="1631" w:type="pct"/>
          </w:tcPr>
          <w:p w14:paraId="7C7DEB16" w14:textId="77777777" w:rsidR="00003D20" w:rsidRPr="00016B6B" w:rsidRDefault="001032E1" w:rsidP="00D268C9">
            <w:pPr>
              <w:pStyle w:val="1GAPara"/>
              <w:widowControl w:val="0"/>
              <w:spacing w:before="120"/>
              <w:rPr>
                <w:rFonts w:asciiTheme="minorBidi" w:eastAsiaTheme="minorEastAsia" w:hAnsiTheme="minorBidi" w:cstheme="minorBidi"/>
                <w:lang w:val="fr-FR"/>
              </w:rPr>
            </w:pPr>
            <w:hyperlink r:id="rId35" w:history="1">
              <w:r w:rsidR="00003D20" w:rsidRPr="00016B6B">
                <w:rPr>
                  <w:rStyle w:val="Hyperlink"/>
                  <w:rFonts w:asciiTheme="minorBidi" w:hAnsiTheme="minorBidi" w:cstheme="minorBidi"/>
                  <w:lang w:val="fr-FR"/>
                </w:rPr>
                <w:t>LHE/21/16.COM WG/5</w:t>
              </w:r>
            </w:hyperlink>
          </w:p>
        </w:tc>
        <w:tc>
          <w:tcPr>
            <w:tcW w:w="3369" w:type="pct"/>
            <w:vAlign w:val="center"/>
          </w:tcPr>
          <w:p w14:paraId="05B09BD7" w14:textId="6E8596F6" w:rsidR="00003D20" w:rsidRPr="00016B6B" w:rsidRDefault="00003D20" w:rsidP="00D268C9">
            <w:pPr>
              <w:pStyle w:val="1GAPara"/>
              <w:widowControl w:val="0"/>
              <w:spacing w:before="120"/>
              <w:rPr>
                <w:rFonts w:asciiTheme="minorBidi" w:eastAsiaTheme="minorEastAsia" w:hAnsiTheme="minorBidi" w:cstheme="minorBidi"/>
                <w:lang w:val="fr-FR"/>
              </w:rPr>
            </w:pPr>
            <w:r w:rsidRPr="00016B6B">
              <w:rPr>
                <w:rFonts w:asciiTheme="minorBidi" w:eastAsiaTheme="minorEastAsia" w:hAnsiTheme="minorBidi" w:cstheme="minorBidi"/>
                <w:lang w:val="fr-FR"/>
              </w:rPr>
              <w:t xml:space="preserve">Résumé de la </w:t>
            </w:r>
            <w:r w:rsidR="00B834C4">
              <w:rPr>
                <w:rFonts w:asciiTheme="minorBidi" w:eastAsiaTheme="minorEastAsia" w:hAnsiTheme="minorBidi" w:cstheme="minorBidi"/>
                <w:lang w:val="fr-FR"/>
              </w:rPr>
              <w:t>P</w:t>
            </w:r>
            <w:r w:rsidR="00B834C4" w:rsidRPr="00016B6B">
              <w:rPr>
                <w:rFonts w:asciiTheme="minorBidi" w:eastAsiaTheme="minorEastAsia" w:hAnsiTheme="minorBidi" w:cstheme="minorBidi"/>
                <w:lang w:val="fr-FR"/>
              </w:rPr>
              <w:t xml:space="preserve">artie </w:t>
            </w:r>
            <w:r w:rsidRPr="00016B6B">
              <w:rPr>
                <w:rFonts w:asciiTheme="minorBidi" w:eastAsiaTheme="minorEastAsia" w:hAnsiTheme="minorBidi" w:cstheme="minorBidi"/>
                <w:lang w:val="fr-FR"/>
              </w:rPr>
              <w:t xml:space="preserve">I et objectifs de la réunion pour la </w:t>
            </w:r>
            <w:r w:rsidR="00B834C4">
              <w:rPr>
                <w:rFonts w:asciiTheme="minorBidi" w:eastAsiaTheme="minorEastAsia" w:hAnsiTheme="minorBidi" w:cstheme="minorBidi"/>
                <w:lang w:val="fr-FR"/>
              </w:rPr>
              <w:t>P</w:t>
            </w:r>
            <w:r w:rsidR="00B834C4" w:rsidRPr="00016B6B">
              <w:rPr>
                <w:rFonts w:asciiTheme="minorBidi" w:eastAsiaTheme="minorEastAsia" w:hAnsiTheme="minorBidi" w:cstheme="minorBidi"/>
                <w:lang w:val="fr-FR"/>
              </w:rPr>
              <w:t xml:space="preserve">artie </w:t>
            </w:r>
            <w:r w:rsidRPr="00016B6B">
              <w:rPr>
                <w:rFonts w:asciiTheme="minorBidi" w:eastAsiaTheme="minorEastAsia" w:hAnsiTheme="minorBidi" w:cstheme="minorBidi"/>
                <w:lang w:val="fr-FR"/>
              </w:rPr>
              <w:t>II</w:t>
            </w:r>
          </w:p>
        </w:tc>
      </w:tr>
      <w:tr w:rsidR="00003D20" w:rsidRPr="00016B6B" w14:paraId="417D5A48" w14:textId="77777777" w:rsidTr="001A68F6">
        <w:trPr>
          <w:trHeight w:val="20"/>
        </w:trPr>
        <w:tc>
          <w:tcPr>
            <w:tcW w:w="1631" w:type="pct"/>
          </w:tcPr>
          <w:p w14:paraId="21DFD54A" w14:textId="77777777" w:rsidR="00003D20" w:rsidRPr="00016B6B" w:rsidRDefault="001032E1" w:rsidP="00D268C9">
            <w:pPr>
              <w:pStyle w:val="1GAPara"/>
              <w:widowControl w:val="0"/>
              <w:spacing w:before="120"/>
              <w:rPr>
                <w:rFonts w:asciiTheme="minorBidi" w:hAnsiTheme="minorBidi" w:cstheme="minorBidi"/>
                <w:lang w:val="fr-FR"/>
              </w:rPr>
            </w:pPr>
            <w:hyperlink r:id="rId36" w:history="1">
              <w:r w:rsidR="00003D20" w:rsidRPr="00016B6B">
                <w:rPr>
                  <w:rStyle w:val="Hyperlink"/>
                  <w:rFonts w:asciiTheme="minorBidi" w:hAnsiTheme="minorBidi" w:cstheme="minorBidi"/>
                  <w:lang w:val="fr-FR"/>
                </w:rPr>
                <w:t>LHE/21/16.COM WG/6</w:t>
              </w:r>
            </w:hyperlink>
          </w:p>
        </w:tc>
        <w:tc>
          <w:tcPr>
            <w:tcW w:w="3369" w:type="pct"/>
            <w:vAlign w:val="center"/>
          </w:tcPr>
          <w:p w14:paraId="23063DCB" w14:textId="51C97BC5" w:rsidR="00003D20" w:rsidRPr="00016B6B" w:rsidRDefault="00003D20" w:rsidP="00D268C9">
            <w:pPr>
              <w:pStyle w:val="1GAPara"/>
              <w:widowControl w:val="0"/>
              <w:spacing w:before="120"/>
              <w:rPr>
                <w:rFonts w:asciiTheme="minorBidi" w:eastAsiaTheme="minorEastAsia" w:hAnsiTheme="minorBidi" w:cstheme="minorBidi"/>
                <w:lang w:val="fr-FR"/>
              </w:rPr>
            </w:pPr>
            <w:r w:rsidRPr="00016B6B">
              <w:rPr>
                <w:rFonts w:asciiTheme="minorBidi" w:eastAsiaTheme="minorEastAsia" w:hAnsiTheme="minorBidi" w:cstheme="minorBidi"/>
                <w:lang w:val="fr-FR"/>
              </w:rPr>
              <w:t>Vers un système réformé d’inscription sur les listes (Partie II)</w:t>
            </w:r>
            <w:r w:rsidR="00B834C4">
              <w:rPr>
                <w:rFonts w:asciiTheme="minorBidi" w:eastAsiaTheme="minorEastAsia" w:hAnsiTheme="minorBidi" w:cstheme="minorBidi"/>
                <w:lang w:val="fr-FR"/>
              </w:rPr>
              <w:t xml:space="preserve"> : </w:t>
            </w:r>
            <w:r w:rsidR="00B834C4" w:rsidRPr="00B834C4">
              <w:rPr>
                <w:rFonts w:asciiTheme="minorBidi" w:eastAsiaTheme="minorEastAsia" w:hAnsiTheme="minorBidi" w:cstheme="minorBidi"/>
                <w:lang w:val="fr-FR"/>
              </w:rPr>
              <w:t>transfert, retrait et extension d’éléments inscrits sur les Listes</w:t>
            </w:r>
          </w:p>
        </w:tc>
      </w:tr>
      <w:tr w:rsidR="00003D20" w:rsidRPr="00016B6B" w14:paraId="4BDEAD95" w14:textId="77777777" w:rsidTr="001A68F6">
        <w:trPr>
          <w:trHeight w:val="20"/>
        </w:trPr>
        <w:tc>
          <w:tcPr>
            <w:tcW w:w="1631" w:type="pct"/>
          </w:tcPr>
          <w:p w14:paraId="00FD4537" w14:textId="77777777" w:rsidR="00003D20" w:rsidRPr="00016B6B" w:rsidRDefault="001032E1" w:rsidP="00D268C9">
            <w:pPr>
              <w:pStyle w:val="1GAPara"/>
              <w:widowControl w:val="0"/>
              <w:spacing w:before="120"/>
              <w:rPr>
                <w:rFonts w:asciiTheme="minorBidi" w:eastAsiaTheme="minorEastAsia" w:hAnsiTheme="minorBidi" w:cstheme="minorBidi"/>
                <w:lang w:val="fr-FR"/>
              </w:rPr>
            </w:pPr>
            <w:hyperlink r:id="rId37" w:history="1">
              <w:r w:rsidR="00003D20" w:rsidRPr="00016B6B">
                <w:rPr>
                  <w:rStyle w:val="Hyperlink"/>
                  <w:rFonts w:asciiTheme="minorBidi" w:hAnsiTheme="minorBidi" w:cstheme="minorBidi"/>
                  <w:lang w:val="fr-FR"/>
                </w:rPr>
                <w:t>LHE/21/16.COM WG/7</w:t>
              </w:r>
            </w:hyperlink>
          </w:p>
        </w:tc>
        <w:tc>
          <w:tcPr>
            <w:tcW w:w="3369" w:type="pct"/>
            <w:vAlign w:val="center"/>
          </w:tcPr>
          <w:p w14:paraId="0F550648" w14:textId="77777777" w:rsidR="00003D20" w:rsidRPr="00016B6B" w:rsidRDefault="00003D20" w:rsidP="00D268C9">
            <w:pPr>
              <w:pStyle w:val="1GAPara"/>
              <w:widowControl w:val="0"/>
              <w:spacing w:before="120"/>
              <w:rPr>
                <w:rFonts w:asciiTheme="minorBidi" w:eastAsiaTheme="minorEastAsia" w:hAnsiTheme="minorBidi" w:cstheme="minorBidi"/>
                <w:lang w:val="fr-FR"/>
              </w:rPr>
            </w:pPr>
            <w:r w:rsidRPr="00016B6B">
              <w:rPr>
                <w:rFonts w:asciiTheme="minorBidi" w:eastAsiaTheme="minorEastAsia" w:hAnsiTheme="minorBidi" w:cstheme="minorBidi"/>
                <w:lang w:val="fr-FR"/>
              </w:rPr>
              <w:t>Autres questions nécessitant une réflexion plus approfondie</w:t>
            </w:r>
          </w:p>
        </w:tc>
      </w:tr>
      <w:tr w:rsidR="00003D20" w:rsidRPr="00016B6B" w14:paraId="4B1A5951" w14:textId="77777777" w:rsidTr="001A68F6">
        <w:trPr>
          <w:trHeight w:val="20"/>
        </w:trPr>
        <w:tc>
          <w:tcPr>
            <w:tcW w:w="1631" w:type="pct"/>
          </w:tcPr>
          <w:p w14:paraId="38B5FFAA" w14:textId="77777777" w:rsidR="00003D20" w:rsidRPr="00016B6B" w:rsidRDefault="001032E1" w:rsidP="00D268C9">
            <w:pPr>
              <w:pStyle w:val="1GAPara"/>
              <w:widowControl w:val="0"/>
              <w:spacing w:before="120"/>
              <w:rPr>
                <w:rFonts w:asciiTheme="minorBidi" w:eastAsiaTheme="minorEastAsia" w:hAnsiTheme="minorBidi" w:cstheme="minorBidi"/>
                <w:lang w:val="fr-FR"/>
              </w:rPr>
            </w:pPr>
            <w:hyperlink r:id="rId38" w:history="1">
              <w:r w:rsidR="00003D20" w:rsidRPr="00016B6B">
                <w:rPr>
                  <w:rStyle w:val="Hyperlink"/>
                  <w:rFonts w:asciiTheme="minorBidi" w:hAnsiTheme="minorBidi" w:cstheme="minorBidi"/>
                  <w:lang w:val="fr-FR"/>
                </w:rPr>
                <w:t>LHE/21/16.COM WG/8</w:t>
              </w:r>
            </w:hyperlink>
          </w:p>
        </w:tc>
        <w:tc>
          <w:tcPr>
            <w:tcW w:w="3369" w:type="pct"/>
            <w:vAlign w:val="center"/>
          </w:tcPr>
          <w:p w14:paraId="391DE657" w14:textId="77777777" w:rsidR="00003D20" w:rsidRPr="00016B6B" w:rsidRDefault="00003D20" w:rsidP="00D268C9">
            <w:pPr>
              <w:pStyle w:val="1GAPara"/>
              <w:widowControl w:val="0"/>
              <w:spacing w:before="120"/>
              <w:rPr>
                <w:rFonts w:asciiTheme="minorBidi" w:eastAsiaTheme="minorEastAsia" w:hAnsiTheme="minorBidi" w:cstheme="minorBidi"/>
                <w:lang w:val="fr-FR"/>
              </w:rPr>
            </w:pPr>
            <w:r w:rsidRPr="00016B6B">
              <w:rPr>
                <w:rFonts w:asciiTheme="minorBidi" w:eastAsiaTheme="minorEastAsia" w:hAnsiTheme="minorBidi" w:cstheme="minorBidi"/>
                <w:lang w:val="fr-FR"/>
              </w:rPr>
              <w:t>Rapport au Comité intergouvernemental</w:t>
            </w:r>
          </w:p>
        </w:tc>
      </w:tr>
      <w:tr w:rsidR="00003D20" w:rsidRPr="00016B6B" w14:paraId="294BA18A" w14:textId="77777777" w:rsidTr="001A68F6">
        <w:trPr>
          <w:trHeight w:val="20"/>
        </w:trPr>
        <w:tc>
          <w:tcPr>
            <w:tcW w:w="1631" w:type="pct"/>
          </w:tcPr>
          <w:p w14:paraId="4CE15DBA" w14:textId="77777777" w:rsidR="00003D20" w:rsidRPr="00812A20" w:rsidRDefault="001032E1" w:rsidP="00D268C9">
            <w:pPr>
              <w:pStyle w:val="1GAPara"/>
              <w:widowControl w:val="0"/>
              <w:spacing w:before="120"/>
              <w:rPr>
                <w:rFonts w:asciiTheme="minorBidi" w:eastAsiaTheme="minorEastAsia" w:hAnsiTheme="minorBidi" w:cstheme="minorBidi"/>
              </w:rPr>
            </w:pPr>
            <w:hyperlink r:id="rId39" w:history="1">
              <w:r w:rsidR="00003D20" w:rsidRPr="00812A20">
                <w:rPr>
                  <w:rStyle w:val="Hyperlink"/>
                  <w:rFonts w:asciiTheme="minorBidi" w:hAnsiTheme="minorBidi" w:cstheme="minorBidi"/>
                </w:rPr>
                <w:t>LHE/21/16.COM WG/8 -ways forward</w:t>
              </w:r>
            </w:hyperlink>
          </w:p>
        </w:tc>
        <w:tc>
          <w:tcPr>
            <w:tcW w:w="3369" w:type="pct"/>
            <w:vAlign w:val="center"/>
          </w:tcPr>
          <w:p w14:paraId="7CD59896" w14:textId="77777777" w:rsidR="00003D20" w:rsidRPr="00016B6B" w:rsidRDefault="00003D20" w:rsidP="00D268C9">
            <w:pPr>
              <w:pStyle w:val="1GAPara"/>
              <w:widowControl w:val="0"/>
              <w:spacing w:before="120"/>
              <w:rPr>
                <w:rFonts w:asciiTheme="minorBidi" w:eastAsiaTheme="minorEastAsia" w:hAnsiTheme="minorBidi" w:cstheme="minorBidi"/>
                <w:lang w:val="fr-FR"/>
              </w:rPr>
            </w:pPr>
            <w:r w:rsidRPr="00016B6B">
              <w:rPr>
                <w:rFonts w:asciiTheme="minorBidi" w:eastAsiaTheme="minorEastAsia" w:hAnsiTheme="minorBidi" w:cstheme="minorBidi"/>
                <w:lang w:val="fr-FR"/>
              </w:rPr>
              <w:t>Perspectives futures</w:t>
            </w:r>
          </w:p>
        </w:tc>
      </w:tr>
      <w:tr w:rsidR="00003D20" w:rsidRPr="00016B6B" w14:paraId="5241DE6C" w14:textId="77777777" w:rsidTr="001A68F6">
        <w:trPr>
          <w:trHeight w:val="20"/>
        </w:trPr>
        <w:tc>
          <w:tcPr>
            <w:tcW w:w="1631" w:type="pct"/>
            <w:vAlign w:val="center"/>
          </w:tcPr>
          <w:p w14:paraId="5580E61A" w14:textId="32CD1298" w:rsidR="00003D20" w:rsidRPr="00016B6B" w:rsidRDefault="001032E1" w:rsidP="00D268C9">
            <w:pPr>
              <w:pStyle w:val="1GAPara"/>
              <w:widowControl w:val="0"/>
              <w:spacing w:before="120"/>
              <w:rPr>
                <w:rFonts w:asciiTheme="minorBidi" w:eastAsiaTheme="minorEastAsia" w:hAnsiTheme="minorBidi" w:cstheme="minorBidi"/>
                <w:lang w:val="fr-FR"/>
              </w:rPr>
            </w:pPr>
            <w:hyperlink r:id="rId40" w:history="1">
              <w:r w:rsidR="00003D20" w:rsidRPr="00016B6B">
                <w:rPr>
                  <w:rStyle w:val="Hyperlink"/>
                  <w:rFonts w:asciiTheme="minorBidi" w:eastAsiaTheme="minorEastAsia" w:hAnsiTheme="minorBidi" w:cstheme="minorBidi"/>
                  <w:lang w:val="fr-FR"/>
                </w:rPr>
                <w:t>LHE/21/16.COM WG/Recomm</w:t>
              </w:r>
              <w:r w:rsidR="00210BAF">
                <w:rPr>
                  <w:rStyle w:val="Hyperlink"/>
                  <w:rFonts w:asciiTheme="minorBidi" w:eastAsiaTheme="minorEastAsia" w:hAnsiTheme="minorBidi" w:cstheme="minorBidi"/>
                  <w:lang w:val="fr-FR"/>
                </w:rPr>
                <w:t>a</w:t>
              </w:r>
              <w:r w:rsidR="00003D20" w:rsidRPr="00016B6B">
                <w:rPr>
                  <w:rStyle w:val="Hyperlink"/>
                  <w:rFonts w:asciiTheme="minorBidi" w:eastAsiaTheme="minorEastAsia" w:hAnsiTheme="minorBidi" w:cstheme="minorBidi"/>
                  <w:lang w:val="fr-FR"/>
                </w:rPr>
                <w:t>ndations</w:t>
              </w:r>
            </w:hyperlink>
          </w:p>
        </w:tc>
        <w:tc>
          <w:tcPr>
            <w:tcW w:w="3369" w:type="pct"/>
            <w:vAlign w:val="center"/>
          </w:tcPr>
          <w:p w14:paraId="4D084B69" w14:textId="77777777" w:rsidR="00003D20" w:rsidRPr="00016B6B" w:rsidRDefault="00003D20" w:rsidP="00D268C9">
            <w:pPr>
              <w:pStyle w:val="1GAPara"/>
              <w:widowControl w:val="0"/>
              <w:spacing w:before="120"/>
              <w:rPr>
                <w:rFonts w:asciiTheme="minorBidi" w:eastAsiaTheme="minorEastAsia" w:hAnsiTheme="minorBidi" w:cstheme="minorBidi"/>
                <w:lang w:val="fr-FR"/>
              </w:rPr>
            </w:pPr>
            <w:r w:rsidRPr="00016B6B">
              <w:rPr>
                <w:rFonts w:asciiTheme="minorBidi" w:eastAsiaTheme="minorEastAsia" w:hAnsiTheme="minorBidi" w:cstheme="minorBidi"/>
                <w:lang w:val="fr-FR"/>
              </w:rPr>
              <w:t>Recommandations</w:t>
            </w:r>
          </w:p>
        </w:tc>
      </w:tr>
      <w:tr w:rsidR="00003D20" w:rsidRPr="00016B6B" w14:paraId="206EF0F6" w14:textId="77777777" w:rsidTr="001A68F6">
        <w:trPr>
          <w:trHeight w:val="20"/>
        </w:trPr>
        <w:tc>
          <w:tcPr>
            <w:tcW w:w="5000" w:type="pct"/>
            <w:gridSpan w:val="2"/>
            <w:shd w:val="clear" w:color="auto" w:fill="B8CCE4"/>
            <w:vAlign w:val="center"/>
          </w:tcPr>
          <w:p w14:paraId="43FEC8EC" w14:textId="77777777" w:rsidR="00003D20" w:rsidRPr="00016B6B" w:rsidRDefault="00003D20" w:rsidP="00D268C9">
            <w:pPr>
              <w:pStyle w:val="1GAPara"/>
              <w:spacing w:before="120"/>
              <w:rPr>
                <w:rFonts w:asciiTheme="minorBidi" w:eastAsiaTheme="minorEastAsia" w:hAnsiTheme="minorBidi" w:cstheme="minorBidi"/>
                <w:lang w:val="fr-FR"/>
              </w:rPr>
            </w:pPr>
            <w:r w:rsidRPr="00016B6B">
              <w:rPr>
                <w:rFonts w:asciiTheme="minorBidi" w:eastAsiaTheme="minorEastAsia" w:hAnsiTheme="minorBidi" w:cstheme="minorBidi"/>
                <w:b/>
                <w:bCs/>
                <w:lang w:val="fr-FR"/>
              </w:rPr>
              <w:t>Partie I de la réunion du groupe de travail intergouvernemental à composition non limitée</w:t>
            </w:r>
          </w:p>
        </w:tc>
      </w:tr>
      <w:tr w:rsidR="00003D20" w:rsidRPr="00016B6B" w14:paraId="3E542083" w14:textId="77777777" w:rsidTr="001A68F6">
        <w:trPr>
          <w:trHeight w:val="20"/>
        </w:trPr>
        <w:tc>
          <w:tcPr>
            <w:tcW w:w="1631" w:type="pct"/>
          </w:tcPr>
          <w:p w14:paraId="5B1EBE12" w14:textId="77777777" w:rsidR="00003D20" w:rsidRPr="00016B6B" w:rsidRDefault="001032E1" w:rsidP="00D268C9">
            <w:pPr>
              <w:pStyle w:val="1GAPara"/>
              <w:spacing w:before="120"/>
              <w:rPr>
                <w:rFonts w:asciiTheme="minorBidi" w:eastAsiaTheme="minorEastAsia" w:hAnsiTheme="minorBidi" w:cstheme="minorBidi"/>
                <w:lang w:val="fr-FR"/>
              </w:rPr>
            </w:pPr>
            <w:hyperlink r:id="rId41" w:history="1">
              <w:r w:rsidR="00003D20" w:rsidRPr="00016B6B">
                <w:rPr>
                  <w:rStyle w:val="Hyperlink"/>
                  <w:rFonts w:asciiTheme="minorBidi" w:hAnsiTheme="minorBidi" w:cstheme="minorBidi"/>
                  <w:lang w:val="fr-FR"/>
                </w:rPr>
                <w:t>LHE/21/16.COM WG/1</w:t>
              </w:r>
            </w:hyperlink>
          </w:p>
        </w:tc>
        <w:tc>
          <w:tcPr>
            <w:tcW w:w="3369" w:type="pct"/>
            <w:vAlign w:val="center"/>
          </w:tcPr>
          <w:p w14:paraId="456E94ED" w14:textId="77777777" w:rsidR="00003D20" w:rsidRPr="00016B6B" w:rsidRDefault="00003D20" w:rsidP="00D268C9">
            <w:pPr>
              <w:pStyle w:val="1GAPara"/>
              <w:spacing w:before="120"/>
              <w:rPr>
                <w:rFonts w:asciiTheme="minorBidi" w:eastAsiaTheme="minorEastAsia" w:hAnsiTheme="minorBidi" w:cstheme="minorBidi"/>
                <w:lang w:val="fr-FR"/>
              </w:rPr>
            </w:pPr>
            <w:r w:rsidRPr="00016B6B">
              <w:rPr>
                <w:rFonts w:asciiTheme="minorBidi" w:eastAsiaTheme="minorEastAsia" w:hAnsiTheme="minorBidi" w:cstheme="minorBidi"/>
                <w:lang w:val="fr-FR"/>
              </w:rPr>
              <w:t>Ordre du jour et calendrier (Partie I)</w:t>
            </w:r>
          </w:p>
        </w:tc>
      </w:tr>
      <w:tr w:rsidR="00003D20" w:rsidRPr="00016B6B" w14:paraId="427B716F" w14:textId="77777777" w:rsidTr="001A68F6">
        <w:trPr>
          <w:trHeight w:val="20"/>
        </w:trPr>
        <w:tc>
          <w:tcPr>
            <w:tcW w:w="1631" w:type="pct"/>
          </w:tcPr>
          <w:p w14:paraId="3C702851" w14:textId="77777777" w:rsidR="00003D20" w:rsidRPr="00016B6B" w:rsidRDefault="001032E1" w:rsidP="00D268C9">
            <w:pPr>
              <w:pStyle w:val="1GAPara"/>
              <w:spacing w:before="120"/>
              <w:rPr>
                <w:rFonts w:asciiTheme="minorBidi" w:eastAsiaTheme="minorEastAsia" w:hAnsiTheme="minorBidi" w:cstheme="minorBidi"/>
                <w:lang w:val="fr-FR"/>
              </w:rPr>
            </w:pPr>
            <w:hyperlink r:id="rId42" w:history="1">
              <w:r w:rsidR="00003D20" w:rsidRPr="00016B6B">
                <w:rPr>
                  <w:rStyle w:val="Hyperlink"/>
                  <w:rFonts w:asciiTheme="minorBidi" w:hAnsiTheme="minorBidi" w:cstheme="minorBidi"/>
                  <w:lang w:val="fr-FR"/>
                </w:rPr>
                <w:t>LHE/21/16.COM WG/2</w:t>
              </w:r>
            </w:hyperlink>
          </w:p>
        </w:tc>
        <w:tc>
          <w:tcPr>
            <w:tcW w:w="3369" w:type="pct"/>
            <w:vAlign w:val="center"/>
          </w:tcPr>
          <w:p w14:paraId="35C78664" w14:textId="77777777" w:rsidR="00003D20" w:rsidRPr="00016B6B" w:rsidRDefault="00003D20" w:rsidP="00D268C9">
            <w:pPr>
              <w:pStyle w:val="1GAPara"/>
              <w:spacing w:before="120"/>
              <w:rPr>
                <w:rFonts w:asciiTheme="minorBidi" w:eastAsiaTheme="minorEastAsia" w:hAnsiTheme="minorBidi" w:cstheme="minorBidi"/>
                <w:lang w:val="fr-FR"/>
              </w:rPr>
            </w:pPr>
            <w:r w:rsidRPr="00016B6B">
              <w:rPr>
                <w:rFonts w:asciiTheme="minorBidi" w:eastAsiaTheme="minorEastAsia" w:hAnsiTheme="minorBidi" w:cstheme="minorBidi"/>
                <w:lang w:val="fr-FR"/>
              </w:rPr>
              <w:t>Réflexion globale sur les mécanismes d’inscription sur les listes de la Convention de 2003 : Progrès à ce jour et objectifs de la réunion</w:t>
            </w:r>
          </w:p>
        </w:tc>
      </w:tr>
      <w:tr w:rsidR="00003D20" w:rsidRPr="00016B6B" w14:paraId="5CC315BF" w14:textId="77777777" w:rsidTr="001A68F6">
        <w:trPr>
          <w:trHeight w:val="20"/>
        </w:trPr>
        <w:tc>
          <w:tcPr>
            <w:tcW w:w="1631" w:type="pct"/>
          </w:tcPr>
          <w:p w14:paraId="14BB97A1" w14:textId="77777777" w:rsidR="00003D20" w:rsidRPr="00016B6B" w:rsidRDefault="001032E1" w:rsidP="00D268C9">
            <w:pPr>
              <w:pStyle w:val="1GAPara"/>
              <w:spacing w:before="120"/>
              <w:rPr>
                <w:rFonts w:asciiTheme="minorBidi" w:hAnsiTheme="minorBidi" w:cstheme="minorBidi"/>
                <w:lang w:val="fr-FR"/>
              </w:rPr>
            </w:pPr>
            <w:hyperlink r:id="rId43" w:history="1">
              <w:r w:rsidR="00003D20" w:rsidRPr="00016B6B">
                <w:rPr>
                  <w:rStyle w:val="Hyperlink"/>
                  <w:rFonts w:asciiTheme="minorBidi" w:hAnsiTheme="minorBidi" w:cstheme="minorBidi"/>
                  <w:lang w:val="fr-FR"/>
                </w:rPr>
                <w:t>LHE/21/16.COM WG/3</w:t>
              </w:r>
            </w:hyperlink>
          </w:p>
        </w:tc>
        <w:tc>
          <w:tcPr>
            <w:tcW w:w="3369" w:type="pct"/>
            <w:vAlign w:val="center"/>
          </w:tcPr>
          <w:p w14:paraId="7BB4A8F7" w14:textId="77777777" w:rsidR="00003D20" w:rsidRPr="00016B6B" w:rsidRDefault="00003D20" w:rsidP="00D268C9">
            <w:pPr>
              <w:pStyle w:val="1GAPara"/>
              <w:spacing w:before="120"/>
              <w:rPr>
                <w:rFonts w:asciiTheme="minorBidi" w:eastAsiaTheme="minorEastAsia" w:hAnsiTheme="minorBidi" w:cstheme="minorBidi"/>
                <w:lang w:val="fr-FR"/>
              </w:rPr>
            </w:pPr>
            <w:r w:rsidRPr="00016B6B">
              <w:rPr>
                <w:rFonts w:asciiTheme="minorBidi" w:eastAsiaTheme="minorEastAsia" w:hAnsiTheme="minorBidi" w:cstheme="minorBidi"/>
                <w:lang w:val="fr-FR"/>
              </w:rPr>
              <w:t>Vers un système réformé d’inscription sur les listes</w:t>
            </w:r>
          </w:p>
        </w:tc>
      </w:tr>
      <w:tr w:rsidR="00003D20" w:rsidRPr="00016B6B" w14:paraId="1DE60D9D" w14:textId="77777777" w:rsidTr="001A68F6">
        <w:trPr>
          <w:trHeight w:val="20"/>
        </w:trPr>
        <w:tc>
          <w:tcPr>
            <w:tcW w:w="1631" w:type="pct"/>
            <w:vAlign w:val="center"/>
          </w:tcPr>
          <w:p w14:paraId="432630B4" w14:textId="470E3556" w:rsidR="00003D20" w:rsidRPr="00016B6B" w:rsidRDefault="001032E1" w:rsidP="00D268C9">
            <w:pPr>
              <w:pStyle w:val="1GAPara"/>
              <w:spacing w:before="120"/>
              <w:rPr>
                <w:rFonts w:asciiTheme="minorBidi" w:eastAsiaTheme="minorEastAsia" w:hAnsiTheme="minorBidi" w:cstheme="minorBidi"/>
                <w:lang w:val="fr-FR"/>
              </w:rPr>
            </w:pPr>
            <w:hyperlink r:id="rId44" w:history="1">
              <w:r w:rsidR="00003D20" w:rsidRPr="00016B6B">
                <w:rPr>
                  <w:rStyle w:val="Hyperlink"/>
                  <w:rFonts w:asciiTheme="minorBidi" w:eastAsiaTheme="minorEastAsia" w:hAnsiTheme="minorBidi" w:cstheme="minorBidi"/>
                  <w:lang w:val="fr-FR"/>
                </w:rPr>
                <w:t>LHE/21/16.COM EXP/7</w:t>
              </w:r>
            </w:hyperlink>
          </w:p>
        </w:tc>
        <w:tc>
          <w:tcPr>
            <w:tcW w:w="3369" w:type="pct"/>
            <w:vAlign w:val="center"/>
          </w:tcPr>
          <w:p w14:paraId="2B274DF2" w14:textId="159B8ED6" w:rsidR="00003D20" w:rsidRPr="00016B6B" w:rsidRDefault="00003D20" w:rsidP="00D268C9">
            <w:pPr>
              <w:pStyle w:val="1GAPara"/>
              <w:spacing w:before="120"/>
              <w:rPr>
                <w:rFonts w:asciiTheme="minorBidi" w:eastAsiaTheme="minorEastAsia" w:hAnsiTheme="minorBidi" w:cstheme="minorBidi"/>
                <w:lang w:val="fr-FR"/>
              </w:rPr>
            </w:pPr>
            <w:r w:rsidRPr="00016B6B">
              <w:rPr>
                <w:rFonts w:asciiTheme="minorBidi" w:eastAsiaTheme="minorEastAsia" w:hAnsiTheme="minorBidi" w:cstheme="minorBidi"/>
                <w:lang w:val="fr-FR"/>
              </w:rPr>
              <w:t xml:space="preserve">Rapport de la réunion d’experts dans le cadre de la réflexion globale sur les mécanismes d’inscription </w:t>
            </w:r>
            <w:r w:rsidR="00210BAF">
              <w:rPr>
                <w:rFonts w:asciiTheme="minorBidi" w:eastAsiaTheme="minorEastAsia" w:hAnsiTheme="minorBidi" w:cstheme="minorBidi"/>
                <w:lang w:val="fr-FR"/>
              </w:rPr>
              <w:t xml:space="preserve">sur les listes </w:t>
            </w:r>
            <w:r w:rsidRPr="00016B6B">
              <w:rPr>
                <w:rFonts w:asciiTheme="minorBidi" w:eastAsiaTheme="minorEastAsia" w:hAnsiTheme="minorBidi" w:cstheme="minorBidi"/>
                <w:lang w:val="fr-FR"/>
              </w:rPr>
              <w:t>de la Convention de 2003</w:t>
            </w:r>
          </w:p>
        </w:tc>
      </w:tr>
    </w:tbl>
    <w:p w14:paraId="14C6F1F5" w14:textId="77777777" w:rsidR="00405873" w:rsidRPr="00016B6B" w:rsidRDefault="00405873" w:rsidP="001A68F6">
      <w:pPr>
        <w:pStyle w:val="COMParaDecision"/>
        <w:numPr>
          <w:ilvl w:val="0"/>
          <w:numId w:val="0"/>
        </w:numPr>
        <w:spacing w:after="0"/>
        <w:jc w:val="left"/>
        <w:rPr>
          <w:rFonts w:asciiTheme="minorBidi" w:hAnsiTheme="minorBidi" w:cstheme="minorBidi"/>
        </w:rPr>
      </w:pPr>
    </w:p>
    <w:sectPr w:rsidR="00405873" w:rsidRPr="00016B6B" w:rsidSect="00655736">
      <w:headerReference w:type="even" r:id="rId45"/>
      <w:headerReference w:type="default" r:id="rId46"/>
      <w:headerReference w:type="first" r:id="rId4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BC46A" w14:textId="77777777" w:rsidR="00CB564C" w:rsidRDefault="00CB564C" w:rsidP="00655736">
      <w:r>
        <w:separator/>
      </w:r>
    </w:p>
    <w:p w14:paraId="592B04F3" w14:textId="77777777" w:rsidR="00CB564C" w:rsidRDefault="00CB564C"/>
    <w:p w14:paraId="6269D470" w14:textId="77777777" w:rsidR="00CB564C" w:rsidRDefault="00CB564C" w:rsidP="002E58D4"/>
    <w:p w14:paraId="1107B7B0" w14:textId="77777777" w:rsidR="00CB564C" w:rsidRDefault="00CB564C" w:rsidP="002E58D4"/>
    <w:p w14:paraId="701E9D19" w14:textId="77777777" w:rsidR="00CB564C" w:rsidRDefault="00CB564C" w:rsidP="002E58D4"/>
  </w:endnote>
  <w:endnote w:type="continuationSeparator" w:id="0">
    <w:p w14:paraId="2DF5B2D2" w14:textId="77777777" w:rsidR="00CB564C" w:rsidRDefault="00CB564C" w:rsidP="00655736">
      <w:r>
        <w:continuationSeparator/>
      </w:r>
    </w:p>
    <w:p w14:paraId="45D9FB27" w14:textId="77777777" w:rsidR="00CB564C" w:rsidRDefault="00CB564C"/>
    <w:p w14:paraId="5684F157" w14:textId="77777777" w:rsidR="00CB564C" w:rsidRDefault="00CB564C" w:rsidP="002E58D4"/>
    <w:p w14:paraId="452B7F35" w14:textId="77777777" w:rsidR="00CB564C" w:rsidRDefault="00CB564C" w:rsidP="002E58D4"/>
    <w:p w14:paraId="30BBDD9C" w14:textId="77777777" w:rsidR="00CB564C" w:rsidRDefault="00CB564C"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30A3" w14:textId="77777777" w:rsidR="00CB564C" w:rsidRDefault="00CB564C" w:rsidP="00655736">
      <w:r>
        <w:separator/>
      </w:r>
    </w:p>
  </w:footnote>
  <w:footnote w:type="continuationSeparator" w:id="0">
    <w:p w14:paraId="03399FD0" w14:textId="77777777" w:rsidR="00CB564C" w:rsidRDefault="00CB564C" w:rsidP="00655736">
      <w:r>
        <w:continuationSeparator/>
      </w:r>
    </w:p>
    <w:p w14:paraId="54B4A3D6" w14:textId="77777777" w:rsidR="00CB564C" w:rsidRDefault="00CB564C"/>
    <w:p w14:paraId="30FE2834" w14:textId="77777777" w:rsidR="00CB564C" w:rsidRDefault="00CB564C" w:rsidP="002E58D4"/>
    <w:p w14:paraId="21592D1B" w14:textId="77777777" w:rsidR="00CB564C" w:rsidRDefault="00CB564C" w:rsidP="002E58D4"/>
    <w:p w14:paraId="752432F5" w14:textId="77777777" w:rsidR="00CB564C" w:rsidRDefault="00CB564C" w:rsidP="002E58D4"/>
  </w:footnote>
  <w:footnote w:id="1">
    <w:p w14:paraId="720ABE75" w14:textId="2F602787" w:rsidR="00405873" w:rsidRPr="00FA1921" w:rsidRDefault="00405873" w:rsidP="00405873">
      <w:pPr>
        <w:pStyle w:val="FootnoteText"/>
        <w:ind w:left="567" w:hanging="567"/>
        <w:jc w:val="both"/>
        <w:rPr>
          <w:rFonts w:asciiTheme="minorBidi" w:hAnsiTheme="minorBidi" w:cstheme="minorBidi"/>
          <w:sz w:val="18"/>
          <w:szCs w:val="18"/>
        </w:rPr>
      </w:pPr>
      <w:r>
        <w:rPr>
          <w:rStyle w:val="FootnoteReference"/>
          <w:rFonts w:asciiTheme="minorBidi" w:hAnsiTheme="minorBidi" w:cstheme="minorBidi"/>
          <w:sz w:val="18"/>
          <w:szCs w:val="18"/>
          <w:lang w:val="fr"/>
        </w:rPr>
        <w:footnoteRef/>
      </w:r>
      <w:r>
        <w:rPr>
          <w:rFonts w:asciiTheme="minorBidi" w:hAnsiTheme="minorBidi" w:cstheme="minorBidi"/>
          <w:sz w:val="18"/>
          <w:szCs w:val="18"/>
          <w:lang w:val="fr"/>
        </w:rPr>
        <w:t xml:space="preserve"> </w:t>
      </w:r>
      <w:r>
        <w:rPr>
          <w:rFonts w:asciiTheme="minorBidi" w:hAnsiTheme="minorBidi" w:cstheme="minorBidi"/>
          <w:sz w:val="18"/>
          <w:szCs w:val="18"/>
          <w:lang w:val="fr"/>
        </w:rPr>
        <w:tab/>
        <w:t xml:space="preserve">Des informations générales concernant le processus de </w:t>
      </w:r>
      <w:r w:rsidR="007E46A0">
        <w:rPr>
          <w:rFonts w:asciiTheme="minorBidi" w:hAnsiTheme="minorBidi" w:cstheme="minorBidi"/>
          <w:sz w:val="18"/>
          <w:szCs w:val="18"/>
          <w:lang w:val="fr"/>
        </w:rPr>
        <w:t xml:space="preserve">la </w:t>
      </w:r>
      <w:r>
        <w:rPr>
          <w:rFonts w:asciiTheme="minorBidi" w:hAnsiTheme="minorBidi" w:cstheme="minorBidi"/>
          <w:sz w:val="18"/>
          <w:szCs w:val="18"/>
          <w:lang w:val="fr"/>
        </w:rPr>
        <w:t>réflexion globale sont disponibles sur la page Web de la Convention de 2003</w:t>
      </w:r>
      <w:r w:rsidR="007E46A0">
        <w:rPr>
          <w:rFonts w:asciiTheme="minorBidi" w:hAnsiTheme="minorBidi" w:cstheme="minorBidi"/>
          <w:sz w:val="18"/>
          <w:szCs w:val="18"/>
          <w:lang w:val="fr"/>
        </w:rPr>
        <w:t> :</w:t>
      </w:r>
      <w:r w:rsidR="007E46A0" w:rsidRPr="007E46A0">
        <w:t xml:space="preserve"> </w:t>
      </w:r>
      <w:hyperlink r:id="rId1" w:history="1">
        <w:r w:rsidR="007E46A0" w:rsidRPr="007E46A0">
          <w:rPr>
            <w:rStyle w:val="Hyperlink"/>
            <w:rFonts w:asciiTheme="minorBidi" w:hAnsiTheme="minorBidi" w:cstheme="minorBidi"/>
            <w:sz w:val="18"/>
            <w:szCs w:val="18"/>
            <w:lang w:val="fr"/>
          </w:rPr>
          <w:t>https://ich.unesco.org/fr/rflexion-globale-sur-les-mcanismes-dinscription-sur-les-listes-01164</w:t>
        </w:r>
      </w:hyperlink>
      <w:r>
        <w:rPr>
          <w:rFonts w:asciiTheme="minorBidi" w:hAnsiTheme="minorBidi" w:cstheme="minorBidi"/>
          <w:sz w:val="18"/>
          <w:szCs w:val="18"/>
          <w:lang w:val="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C5C" w14:textId="4027D448" w:rsidR="006B5001" w:rsidRPr="002E58D4" w:rsidRDefault="008F09EC" w:rsidP="00461168">
    <w:pPr>
      <w:pStyle w:val="Header"/>
      <w:rPr>
        <w:rFonts w:ascii="Arial" w:hAnsi="Arial" w:cs="Arial"/>
        <w:lang w:val="en-US"/>
      </w:rPr>
    </w:pPr>
    <w:r>
      <w:rPr>
        <w:rFonts w:ascii="Arial" w:hAnsi="Arial" w:cs="Arial"/>
        <w:sz w:val="20"/>
        <w:szCs w:val="20"/>
        <w:lang w:val="en-US"/>
      </w:rPr>
      <w:t>LHE/</w:t>
    </w:r>
    <w:r w:rsidR="00D520C1">
      <w:rPr>
        <w:rFonts w:ascii="Arial" w:hAnsi="Arial" w:cs="Arial"/>
        <w:sz w:val="20"/>
        <w:szCs w:val="20"/>
        <w:lang w:val="en-US"/>
      </w:rPr>
      <w:t>2</w:t>
    </w:r>
    <w:r w:rsidR="00AE3322">
      <w:rPr>
        <w:rFonts w:ascii="Arial" w:hAnsi="Arial" w:cs="Arial"/>
        <w:sz w:val="20"/>
        <w:szCs w:val="20"/>
        <w:lang w:val="en-US"/>
      </w:rPr>
      <w:t>2</w:t>
    </w:r>
    <w:r>
      <w:rPr>
        <w:rFonts w:ascii="Arial" w:hAnsi="Arial" w:cs="Arial"/>
        <w:sz w:val="20"/>
        <w:szCs w:val="20"/>
        <w:lang w:val="en-US"/>
      </w:rPr>
      <w:t>/1</w:t>
    </w:r>
    <w:r w:rsidR="00AE3322">
      <w:rPr>
        <w:rFonts w:ascii="Arial" w:hAnsi="Arial" w:cs="Arial"/>
        <w:sz w:val="20"/>
        <w:szCs w:val="20"/>
        <w:lang w:val="en-US"/>
      </w:rPr>
      <w:t>7</w:t>
    </w:r>
    <w:r>
      <w:rPr>
        <w:rFonts w:ascii="Arial" w:hAnsi="Arial" w:cs="Arial"/>
        <w:sz w:val="20"/>
        <w:szCs w:val="20"/>
        <w:lang w:val="en-US"/>
      </w:rPr>
      <w:t>.COM</w:t>
    </w:r>
    <w:r w:rsidR="00405873">
      <w:rPr>
        <w:rFonts w:ascii="Arial" w:hAnsi="Arial" w:cs="Arial"/>
        <w:sz w:val="20"/>
        <w:szCs w:val="20"/>
        <w:lang w:val="en-US"/>
      </w:rPr>
      <w:t xml:space="preserve"> WG</w:t>
    </w:r>
    <w:r w:rsidR="00E9376C">
      <w:rPr>
        <w:rFonts w:ascii="Arial" w:hAnsi="Arial" w:cs="Arial"/>
        <w:sz w:val="20"/>
        <w:szCs w:val="20"/>
        <w:lang w:val="en-US"/>
      </w:rPr>
      <w:t>/</w:t>
    </w:r>
    <w:r w:rsidR="00405873">
      <w:rPr>
        <w:rFonts w:ascii="Arial" w:hAnsi="Arial" w:cs="Arial"/>
        <w:sz w:val="20"/>
        <w:szCs w:val="20"/>
        <w:lang w:val="en-US"/>
      </w:rPr>
      <w:t>9</w:t>
    </w:r>
    <w:r w:rsidR="00E9376C" w:rsidRPr="00EF563B">
      <w:rPr>
        <w:rFonts w:ascii="Arial" w:hAnsi="Arial" w:cs="Arial"/>
        <w:sz w:val="20"/>
        <w:szCs w:val="20"/>
        <w:lang w:val="en-US"/>
      </w:rPr>
      <w:t xml:space="preserve"> – page </w:t>
    </w:r>
    <w:r w:rsidR="00E9376C" w:rsidRPr="00EF563B">
      <w:rPr>
        <w:rStyle w:val="PageNumber"/>
        <w:rFonts w:ascii="Arial" w:hAnsi="Arial" w:cs="Arial"/>
        <w:sz w:val="20"/>
        <w:szCs w:val="20"/>
      </w:rPr>
      <w:fldChar w:fldCharType="begin"/>
    </w:r>
    <w:r w:rsidR="00E9376C" w:rsidRPr="00EF563B">
      <w:rPr>
        <w:rStyle w:val="PageNumber"/>
        <w:rFonts w:ascii="Arial" w:hAnsi="Arial" w:cs="Arial"/>
        <w:sz w:val="20"/>
        <w:szCs w:val="20"/>
        <w:lang w:val="en-US"/>
      </w:rPr>
      <w:instrText xml:space="preserve"> </w:instrText>
    </w:r>
    <w:r w:rsidR="00E9376C">
      <w:rPr>
        <w:rStyle w:val="PageNumber"/>
        <w:rFonts w:ascii="Arial" w:hAnsi="Arial" w:cs="Arial"/>
        <w:sz w:val="20"/>
        <w:szCs w:val="20"/>
        <w:lang w:val="en-US"/>
      </w:rPr>
      <w:instrText>PAGE</w:instrText>
    </w:r>
    <w:r w:rsidR="00E9376C" w:rsidRPr="00EF563B">
      <w:rPr>
        <w:rStyle w:val="PageNumber"/>
        <w:rFonts w:ascii="Arial" w:hAnsi="Arial" w:cs="Arial"/>
        <w:sz w:val="20"/>
        <w:szCs w:val="20"/>
        <w:lang w:val="en-US"/>
      </w:rPr>
      <w:instrText xml:space="preserve"> </w:instrText>
    </w:r>
    <w:r w:rsidR="00E9376C" w:rsidRPr="00EF563B">
      <w:rPr>
        <w:rStyle w:val="PageNumber"/>
        <w:rFonts w:ascii="Arial" w:hAnsi="Arial" w:cs="Arial"/>
        <w:sz w:val="20"/>
        <w:szCs w:val="20"/>
      </w:rPr>
      <w:fldChar w:fldCharType="separate"/>
    </w:r>
    <w:r w:rsidR="009B223B">
      <w:rPr>
        <w:rStyle w:val="PageNumber"/>
        <w:rFonts w:ascii="Arial" w:hAnsi="Arial" w:cs="Arial"/>
        <w:noProof/>
        <w:sz w:val="20"/>
        <w:szCs w:val="20"/>
        <w:lang w:val="en-US"/>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CBE" w14:textId="1B92DAC5" w:rsidR="006B5001" w:rsidRPr="00BC3420" w:rsidRDefault="008F09EC" w:rsidP="00461168">
    <w:pPr>
      <w:pStyle w:val="Header"/>
      <w:jc w:val="right"/>
      <w:rPr>
        <w:rFonts w:ascii="Arial" w:hAnsi="Arial" w:cs="Arial"/>
        <w:lang w:val="en-US"/>
      </w:rPr>
    </w:pPr>
    <w:r>
      <w:rPr>
        <w:rFonts w:ascii="Arial" w:hAnsi="Arial" w:cs="Arial"/>
        <w:sz w:val="20"/>
        <w:szCs w:val="20"/>
        <w:lang w:val="en-US"/>
      </w:rPr>
      <w:t>LHE/</w:t>
    </w:r>
    <w:r w:rsidR="00EF74E3">
      <w:rPr>
        <w:rFonts w:ascii="Arial" w:hAnsi="Arial" w:cs="Arial"/>
        <w:sz w:val="20"/>
        <w:szCs w:val="20"/>
        <w:lang w:val="en-US"/>
      </w:rPr>
      <w:t>2</w:t>
    </w:r>
    <w:r w:rsidR="002E2F53">
      <w:rPr>
        <w:rFonts w:ascii="Arial" w:hAnsi="Arial" w:cs="Arial"/>
        <w:sz w:val="20"/>
        <w:szCs w:val="20"/>
        <w:lang w:val="en-US"/>
      </w:rPr>
      <w:t>2</w:t>
    </w:r>
    <w:r w:rsidR="00EF74E3">
      <w:rPr>
        <w:rFonts w:ascii="Arial" w:hAnsi="Arial" w:cs="Arial"/>
        <w:sz w:val="20"/>
        <w:szCs w:val="20"/>
        <w:lang w:val="en-US"/>
      </w:rPr>
      <w:t>/1</w:t>
    </w:r>
    <w:r w:rsidR="002E2F53">
      <w:rPr>
        <w:rFonts w:ascii="Arial" w:hAnsi="Arial" w:cs="Arial"/>
        <w:sz w:val="20"/>
        <w:szCs w:val="20"/>
        <w:lang w:val="en-US"/>
      </w:rPr>
      <w:t>7</w:t>
    </w:r>
    <w:r>
      <w:rPr>
        <w:rFonts w:ascii="Arial" w:hAnsi="Arial" w:cs="Arial"/>
        <w:sz w:val="20"/>
        <w:szCs w:val="20"/>
        <w:lang w:val="en-US"/>
      </w:rPr>
      <w:t>.COM</w:t>
    </w:r>
    <w:r w:rsidR="0047762B">
      <w:rPr>
        <w:rFonts w:ascii="Arial" w:hAnsi="Arial" w:cs="Arial"/>
        <w:sz w:val="20"/>
        <w:szCs w:val="20"/>
        <w:lang w:val="en-US"/>
      </w:rPr>
      <w:t xml:space="preserve"> WG</w:t>
    </w:r>
    <w:r w:rsidR="002C0D14">
      <w:rPr>
        <w:rFonts w:ascii="Arial" w:hAnsi="Arial" w:cs="Arial"/>
        <w:sz w:val="20"/>
        <w:szCs w:val="20"/>
        <w:lang w:val="en-US"/>
      </w:rPr>
      <w:t>/</w:t>
    </w:r>
    <w:r w:rsidR="0047762B">
      <w:rPr>
        <w:rFonts w:ascii="Arial" w:hAnsi="Arial" w:cs="Arial"/>
        <w:sz w:val="20"/>
        <w:szCs w:val="20"/>
        <w:lang w:val="en-US"/>
      </w:rPr>
      <w:t>9</w:t>
    </w:r>
    <w:r w:rsidR="002C0D14" w:rsidRPr="00EF563B">
      <w:rPr>
        <w:rFonts w:ascii="Arial" w:hAnsi="Arial" w:cs="Arial"/>
        <w:sz w:val="20"/>
        <w:szCs w:val="20"/>
        <w:lang w:val="en-US"/>
      </w:rPr>
      <w:t xml:space="preserve"> –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7C354B">
      <w:rPr>
        <w:rStyle w:val="PageNumber"/>
        <w:rFonts w:ascii="Arial" w:hAnsi="Arial" w:cs="Arial"/>
        <w:noProof/>
        <w:sz w:val="20"/>
        <w:szCs w:val="20"/>
        <w:lang w:val="en-US"/>
      </w:rPr>
      <w:t>3</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E5A4" w14:textId="645F339E" w:rsidR="00E9376C" w:rsidRPr="008B64DF" w:rsidRDefault="00F84A0B">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0BB07EF6">
          <wp:simplePos x="0" y="0"/>
          <wp:positionH relativeFrom="column">
            <wp:posOffset>0</wp:posOffset>
          </wp:positionH>
          <wp:positionV relativeFrom="paragraph">
            <wp:posOffset>156210</wp:posOffset>
          </wp:positionV>
          <wp:extent cx="1657350" cy="139192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EAA2E" w14:textId="68BCBBD0" w:rsidR="00E9376C" w:rsidRPr="00C318BF" w:rsidRDefault="00EA602C" w:rsidP="008F09EC">
    <w:pPr>
      <w:pStyle w:val="Header"/>
      <w:spacing w:after="520"/>
      <w:jc w:val="right"/>
      <w:rPr>
        <w:rFonts w:ascii="Arial" w:hAnsi="Arial" w:cs="Arial"/>
        <w:b/>
        <w:sz w:val="44"/>
        <w:szCs w:val="44"/>
        <w:lang w:val="pt-PT"/>
      </w:rPr>
    </w:pPr>
    <w:r w:rsidRPr="00C318BF">
      <w:rPr>
        <w:rFonts w:ascii="Arial" w:hAnsi="Arial" w:cs="Arial"/>
        <w:b/>
        <w:sz w:val="44"/>
        <w:szCs w:val="44"/>
        <w:lang w:val="pt-PT"/>
      </w:rPr>
      <w:t>1</w:t>
    </w:r>
    <w:r w:rsidR="00AE3322">
      <w:rPr>
        <w:rFonts w:ascii="Arial" w:hAnsi="Arial" w:cs="Arial"/>
        <w:b/>
        <w:sz w:val="44"/>
        <w:szCs w:val="44"/>
        <w:lang w:val="pt-PT"/>
      </w:rPr>
      <w:t>7</w:t>
    </w:r>
    <w:r w:rsidR="00E9376C" w:rsidRPr="00C318BF">
      <w:rPr>
        <w:rFonts w:ascii="Arial" w:hAnsi="Arial" w:cs="Arial"/>
        <w:b/>
        <w:sz w:val="44"/>
        <w:szCs w:val="44"/>
        <w:lang w:val="pt-PT"/>
      </w:rPr>
      <w:t xml:space="preserve"> </w:t>
    </w:r>
    <w:r w:rsidR="00BC3420" w:rsidRPr="00C318BF">
      <w:rPr>
        <w:rFonts w:ascii="Arial" w:hAnsi="Arial" w:cs="Arial"/>
        <w:b/>
        <w:sz w:val="44"/>
        <w:szCs w:val="44"/>
        <w:lang w:val="pt-PT"/>
      </w:rPr>
      <w:t>COM</w:t>
    </w:r>
    <w:r w:rsidR="00405873">
      <w:rPr>
        <w:rFonts w:ascii="Arial" w:hAnsi="Arial" w:cs="Arial"/>
        <w:b/>
        <w:sz w:val="44"/>
        <w:szCs w:val="44"/>
        <w:lang w:val="pt-PT"/>
      </w:rPr>
      <w:t xml:space="preserve"> WG</w:t>
    </w:r>
  </w:p>
  <w:p w14:paraId="4AD38C3D" w14:textId="7CC6051A" w:rsidR="00E9376C" w:rsidRPr="00C318BF" w:rsidRDefault="008F09EC" w:rsidP="008F09EC">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D520C1">
      <w:rPr>
        <w:rFonts w:ascii="Arial" w:hAnsi="Arial" w:cs="Arial"/>
        <w:b/>
        <w:sz w:val="22"/>
        <w:szCs w:val="22"/>
        <w:lang w:val="pt-PT"/>
      </w:rPr>
      <w:t>2</w:t>
    </w:r>
    <w:r w:rsidR="00AE3322">
      <w:rPr>
        <w:rFonts w:ascii="Arial" w:hAnsi="Arial" w:cs="Arial"/>
        <w:b/>
        <w:sz w:val="22"/>
        <w:szCs w:val="22"/>
        <w:lang w:val="pt-PT"/>
      </w:rPr>
      <w:t>2</w:t>
    </w:r>
    <w:r w:rsidR="00E9376C" w:rsidRPr="00C318BF">
      <w:rPr>
        <w:rFonts w:ascii="Arial" w:hAnsi="Arial" w:cs="Arial"/>
        <w:b/>
        <w:sz w:val="22"/>
        <w:szCs w:val="22"/>
        <w:lang w:val="pt-PT"/>
      </w:rPr>
      <w:t>/</w:t>
    </w:r>
    <w:r w:rsidR="00EA602C" w:rsidRPr="00C318BF">
      <w:rPr>
        <w:rFonts w:ascii="Arial" w:hAnsi="Arial" w:cs="Arial"/>
        <w:b/>
        <w:sz w:val="22"/>
        <w:szCs w:val="22"/>
        <w:lang w:val="pt-PT"/>
      </w:rPr>
      <w:t>1</w:t>
    </w:r>
    <w:r w:rsidR="00AE3322">
      <w:rPr>
        <w:rFonts w:ascii="Arial" w:hAnsi="Arial" w:cs="Arial"/>
        <w:b/>
        <w:sz w:val="22"/>
        <w:szCs w:val="22"/>
        <w:lang w:val="pt-PT"/>
      </w:rPr>
      <w:t>7</w:t>
    </w:r>
    <w:r w:rsidR="00E9376C" w:rsidRPr="00C318BF">
      <w:rPr>
        <w:rFonts w:ascii="Arial" w:hAnsi="Arial" w:cs="Arial"/>
        <w:b/>
        <w:sz w:val="22"/>
        <w:szCs w:val="22"/>
        <w:lang w:val="pt-PT"/>
      </w:rPr>
      <w:t>.</w:t>
    </w:r>
    <w:r w:rsidR="00BC3420" w:rsidRPr="00C318BF">
      <w:rPr>
        <w:rFonts w:ascii="Arial" w:hAnsi="Arial" w:cs="Arial"/>
        <w:b/>
        <w:sz w:val="22"/>
        <w:szCs w:val="22"/>
        <w:lang w:val="pt-PT"/>
      </w:rPr>
      <w:t>COM</w:t>
    </w:r>
    <w:r w:rsidR="00405873">
      <w:rPr>
        <w:rFonts w:ascii="Arial" w:hAnsi="Arial" w:cs="Arial"/>
        <w:b/>
        <w:sz w:val="22"/>
        <w:szCs w:val="22"/>
        <w:lang w:val="pt-PT"/>
      </w:rPr>
      <w:t xml:space="preserve"> WG</w:t>
    </w:r>
    <w:r w:rsidR="00E9376C" w:rsidRPr="00C318BF">
      <w:rPr>
        <w:rFonts w:ascii="Arial" w:hAnsi="Arial" w:cs="Arial"/>
        <w:b/>
        <w:sz w:val="22"/>
        <w:szCs w:val="22"/>
        <w:lang w:val="pt-PT"/>
      </w:rPr>
      <w:t>/</w:t>
    </w:r>
    <w:r w:rsidR="00405873">
      <w:rPr>
        <w:rFonts w:ascii="Arial" w:hAnsi="Arial" w:cs="Arial"/>
        <w:b/>
        <w:sz w:val="22"/>
        <w:szCs w:val="22"/>
        <w:lang w:val="pt-PT"/>
      </w:rPr>
      <w:t>9</w:t>
    </w:r>
  </w:p>
  <w:p w14:paraId="30B7DEB9" w14:textId="72D32DF4" w:rsidR="00E9376C" w:rsidRPr="00C318BF" w:rsidRDefault="008F09EC" w:rsidP="007E60C6">
    <w:pPr>
      <w:jc w:val="right"/>
      <w:rPr>
        <w:rFonts w:ascii="Arial" w:eastAsiaTheme="minorEastAsia" w:hAnsi="Arial" w:cs="Arial"/>
        <w:b/>
        <w:sz w:val="22"/>
        <w:szCs w:val="22"/>
        <w:lang w:val="pt-PT" w:eastAsia="ko-KR"/>
      </w:rPr>
    </w:pPr>
    <w:r w:rsidRPr="00C318BF">
      <w:rPr>
        <w:rFonts w:ascii="Arial" w:hAnsi="Arial" w:cs="Arial"/>
        <w:b/>
        <w:sz w:val="22"/>
        <w:szCs w:val="22"/>
        <w:lang w:val="pt-PT"/>
      </w:rPr>
      <w:t>Paris</w:t>
    </w:r>
    <w:r w:rsidR="00E9376C" w:rsidRPr="006F5354">
      <w:rPr>
        <w:rFonts w:ascii="Arial" w:hAnsi="Arial" w:cs="Arial"/>
        <w:b/>
        <w:sz w:val="22"/>
        <w:szCs w:val="22"/>
        <w:lang w:val="pt-PT"/>
      </w:rPr>
      <w:t xml:space="preserve">, </w:t>
    </w:r>
    <w:r w:rsidR="00962119" w:rsidRPr="006F5354">
      <w:rPr>
        <w:rFonts w:ascii="Arial" w:hAnsi="Arial" w:cs="Arial"/>
        <w:b/>
        <w:sz w:val="22"/>
        <w:szCs w:val="22"/>
        <w:lang w:val="pt-PT"/>
      </w:rPr>
      <w:t xml:space="preserve">le </w:t>
    </w:r>
    <w:r w:rsidR="00405873" w:rsidRPr="006F5354">
      <w:rPr>
        <w:rFonts w:ascii="Arial" w:hAnsi="Arial" w:cs="Arial"/>
        <w:b/>
        <w:sz w:val="22"/>
        <w:szCs w:val="22"/>
        <w:lang w:val="pt-PT"/>
      </w:rPr>
      <w:t>8 avril</w:t>
    </w:r>
    <w:r w:rsidR="00405873">
      <w:rPr>
        <w:rFonts w:ascii="Arial" w:hAnsi="Arial" w:cs="Arial"/>
        <w:b/>
        <w:sz w:val="22"/>
        <w:szCs w:val="22"/>
        <w:lang w:val="pt-PT"/>
      </w:rPr>
      <w:t xml:space="preserve"> </w:t>
    </w:r>
    <w:r w:rsidR="00495C25" w:rsidRPr="00C318BF">
      <w:rPr>
        <w:rFonts w:ascii="Arial" w:hAnsi="Arial" w:cs="Arial"/>
        <w:b/>
        <w:sz w:val="22"/>
        <w:szCs w:val="22"/>
        <w:lang w:val="pt-PT"/>
      </w:rPr>
      <w:t>20</w:t>
    </w:r>
    <w:r w:rsidR="00D520C1">
      <w:rPr>
        <w:rFonts w:ascii="Arial" w:hAnsi="Arial" w:cs="Arial"/>
        <w:b/>
        <w:sz w:val="22"/>
        <w:szCs w:val="22"/>
        <w:lang w:val="pt-PT"/>
      </w:rPr>
      <w:t>2</w:t>
    </w:r>
    <w:r w:rsidR="00AE3322">
      <w:rPr>
        <w:rFonts w:ascii="Arial" w:hAnsi="Arial" w:cs="Arial"/>
        <w:b/>
        <w:sz w:val="22"/>
        <w:szCs w:val="22"/>
        <w:lang w:val="pt-PT"/>
      </w:rPr>
      <w:t>2</w:t>
    </w:r>
  </w:p>
  <w:p w14:paraId="18E81B87" w14:textId="38C5B514" w:rsidR="00E9376C" w:rsidRPr="0020150F" w:rsidRDefault="00E9376C" w:rsidP="00F84A0B">
    <w:pPr>
      <w:spacing w:after="240"/>
      <w:jc w:val="right"/>
      <w:rPr>
        <w:rFonts w:ascii="Arial" w:hAnsi="Arial" w:cs="Arial"/>
        <w:b/>
        <w:sz w:val="22"/>
        <w:szCs w:val="22"/>
      </w:rPr>
    </w:pPr>
    <w:r w:rsidRPr="00022428">
      <w:rPr>
        <w:rFonts w:ascii="Arial" w:hAnsi="Arial" w:cs="Arial"/>
        <w:b/>
        <w:sz w:val="22"/>
        <w:szCs w:val="22"/>
      </w:rPr>
      <w:t>Original</w:t>
    </w:r>
    <w:r w:rsidR="003E2A08" w:rsidRPr="00022428">
      <w:rPr>
        <w:rFonts w:ascii="Arial" w:hAnsi="Arial" w:cs="Arial"/>
        <w:b/>
        <w:sz w:val="22"/>
        <w:szCs w:val="22"/>
      </w:rPr>
      <w:t> </w:t>
    </w:r>
    <w:r w:rsidRPr="00022428">
      <w:rPr>
        <w:rFonts w:ascii="Arial" w:hAnsi="Arial" w:cs="Arial"/>
        <w:b/>
        <w:sz w:val="22"/>
        <w:szCs w:val="22"/>
      </w:rPr>
      <w:t xml:space="preserve">: </w:t>
    </w:r>
    <w:r w:rsidR="00405873">
      <w:rPr>
        <w:rFonts w:ascii="Arial" w:hAnsi="Arial" w:cs="Arial"/>
        <w:b/>
        <w:sz w:val="22"/>
        <w:szCs w:val="22"/>
      </w:rPr>
      <w:t>anglais</w:t>
    </w:r>
  </w:p>
  <w:p w14:paraId="1B74C5FD" w14:textId="77777777" w:rsidR="00E9376C" w:rsidRPr="008B64DF" w:rsidRDefault="00E9376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6BC"/>
    <w:multiLevelType w:val="hybridMultilevel"/>
    <w:tmpl w:val="6E58BE6E"/>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1" w15:restartNumberingAfterBreak="0">
    <w:nsid w:val="0AC96B9B"/>
    <w:multiLevelType w:val="hybridMultilevel"/>
    <w:tmpl w:val="AAE24B18"/>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C75FBD"/>
    <w:multiLevelType w:val="hybridMultilevel"/>
    <w:tmpl w:val="2CA6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10298"/>
    <w:multiLevelType w:val="hybridMultilevel"/>
    <w:tmpl w:val="61E4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35FFC"/>
    <w:multiLevelType w:val="hybridMultilevel"/>
    <w:tmpl w:val="FF6C7FF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2266748"/>
    <w:multiLevelType w:val="hybridMultilevel"/>
    <w:tmpl w:val="EC5418AA"/>
    <w:lvl w:ilvl="0" w:tplc="8E8E7F16">
      <w:start w:val="1"/>
      <w:numFmt w:val="lowerLetter"/>
      <w:lvlText w:val="(%1)"/>
      <w:lvlJc w:val="left"/>
      <w:pPr>
        <w:ind w:left="927" w:hanging="360"/>
      </w:pPr>
      <w:rPr>
        <w:rFonts w:ascii="Arial" w:hAnsi="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78A3560"/>
    <w:multiLevelType w:val="hybridMultilevel"/>
    <w:tmpl w:val="4934ABC8"/>
    <w:lvl w:ilvl="0" w:tplc="1C3C942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9"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53AD6309"/>
    <w:multiLevelType w:val="hybridMultilevel"/>
    <w:tmpl w:val="13DAE52A"/>
    <w:lvl w:ilvl="0" w:tplc="04090001">
      <w:start w:val="1"/>
      <w:numFmt w:val="bullet"/>
      <w:lvlText w:val=""/>
      <w:lvlJc w:val="left"/>
      <w:pPr>
        <w:ind w:left="1189" w:hanging="360"/>
      </w:pPr>
      <w:rPr>
        <w:rFonts w:ascii="Symbol" w:hAnsi="Symbol"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19"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935F6"/>
    <w:multiLevelType w:val="hybridMultilevel"/>
    <w:tmpl w:val="D7405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2" w15:restartNumberingAfterBreak="0">
    <w:nsid w:val="648D4684"/>
    <w:multiLevelType w:val="hybridMultilevel"/>
    <w:tmpl w:val="ACCC7D8A"/>
    <w:lvl w:ilvl="0" w:tplc="ADE84CF0">
      <w:start w:val="1"/>
      <w:numFmt w:val="decimal"/>
      <w:lvlText w:val="%1."/>
      <w:lvlJc w:val="left"/>
      <w:pPr>
        <w:ind w:left="720" w:hanging="360"/>
      </w:pPr>
      <w:rPr>
        <w:rFonts w:asciiTheme="minorBidi" w:hAnsiTheme="minorBidi" w:cstheme="minorBidi" w:hint="default"/>
        <w:b w:val="0"/>
        <w:bCs/>
      </w:rPr>
    </w:lvl>
    <w:lvl w:ilvl="1" w:tplc="78805A46">
      <w:start w:val="1"/>
      <w:numFmt w:val="lowerLetter"/>
      <w:lvlText w:val="%2."/>
      <w:lvlJc w:val="left"/>
      <w:pPr>
        <w:ind w:left="1620" w:hanging="54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4"/>
  </w:num>
  <w:num w:numId="3">
    <w:abstractNumId w:val="8"/>
  </w:num>
  <w:num w:numId="4">
    <w:abstractNumId w:val="25"/>
  </w:num>
  <w:num w:numId="5">
    <w:abstractNumId w:val="23"/>
  </w:num>
  <w:num w:numId="6">
    <w:abstractNumId w:val="5"/>
  </w:num>
  <w:num w:numId="7">
    <w:abstractNumId w:val="9"/>
  </w:num>
  <w:num w:numId="8">
    <w:abstractNumId w:val="16"/>
  </w:num>
  <w:num w:numId="9">
    <w:abstractNumId w:val="13"/>
  </w:num>
  <w:num w:numId="10">
    <w:abstractNumId w:val="15"/>
  </w:num>
  <w:num w:numId="11">
    <w:abstractNumId w:val="12"/>
  </w:num>
  <w:num w:numId="12">
    <w:abstractNumId w:val="11"/>
  </w:num>
  <w:num w:numId="13">
    <w:abstractNumId w:val="19"/>
  </w:num>
  <w:num w:numId="14">
    <w:abstractNumId w:val="10"/>
  </w:num>
  <w:num w:numId="15">
    <w:abstractNumId w:val="24"/>
  </w:num>
  <w:num w:numId="16">
    <w:abstractNumId w:val="17"/>
  </w:num>
  <w:num w:numId="17">
    <w:abstractNumId w:val="15"/>
    <w:lvlOverride w:ilvl="0">
      <w:startOverride w:val="1"/>
    </w:lvlOverride>
  </w:num>
  <w:num w:numId="18">
    <w:abstractNumId w:val="22"/>
  </w:num>
  <w:num w:numId="19">
    <w:abstractNumId w:val="4"/>
  </w:num>
  <w:num w:numId="20">
    <w:abstractNumId w:val="7"/>
  </w:num>
  <w:num w:numId="21">
    <w:abstractNumId w:val="6"/>
  </w:num>
  <w:num w:numId="22">
    <w:abstractNumId w:val="1"/>
  </w:num>
  <w:num w:numId="23">
    <w:abstractNumId w:val="20"/>
  </w:num>
  <w:num w:numId="24">
    <w:abstractNumId w:val="3"/>
  </w:num>
  <w:num w:numId="25">
    <w:abstractNumId w:val="0"/>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03D20"/>
    <w:rsid w:val="00016B6B"/>
    <w:rsid w:val="00020BFC"/>
    <w:rsid w:val="00022428"/>
    <w:rsid w:val="000263BA"/>
    <w:rsid w:val="0003530D"/>
    <w:rsid w:val="0005176E"/>
    <w:rsid w:val="00077AB7"/>
    <w:rsid w:val="00081CD8"/>
    <w:rsid w:val="0008329C"/>
    <w:rsid w:val="000A7F0E"/>
    <w:rsid w:val="000D0DA0"/>
    <w:rsid w:val="000E6CD7"/>
    <w:rsid w:val="000F3A3F"/>
    <w:rsid w:val="001032E1"/>
    <w:rsid w:val="00164D56"/>
    <w:rsid w:val="00165170"/>
    <w:rsid w:val="00167B10"/>
    <w:rsid w:val="0019264E"/>
    <w:rsid w:val="00196C1B"/>
    <w:rsid w:val="001A68F6"/>
    <w:rsid w:val="001A766C"/>
    <w:rsid w:val="001B0F73"/>
    <w:rsid w:val="001F18AF"/>
    <w:rsid w:val="0020150F"/>
    <w:rsid w:val="00210BAF"/>
    <w:rsid w:val="00222A2D"/>
    <w:rsid w:val="002407AF"/>
    <w:rsid w:val="00280D62"/>
    <w:rsid w:val="002841FE"/>
    <w:rsid w:val="002A6C11"/>
    <w:rsid w:val="002A6F73"/>
    <w:rsid w:val="002C0D14"/>
    <w:rsid w:val="002E2F53"/>
    <w:rsid w:val="002E3D25"/>
    <w:rsid w:val="002E58D4"/>
    <w:rsid w:val="0032583C"/>
    <w:rsid w:val="003732E4"/>
    <w:rsid w:val="00377958"/>
    <w:rsid w:val="003845BE"/>
    <w:rsid w:val="003973AD"/>
    <w:rsid w:val="003C1678"/>
    <w:rsid w:val="003D069C"/>
    <w:rsid w:val="003E07D8"/>
    <w:rsid w:val="003E22B0"/>
    <w:rsid w:val="003E2A08"/>
    <w:rsid w:val="003F113A"/>
    <w:rsid w:val="00405873"/>
    <w:rsid w:val="004239C7"/>
    <w:rsid w:val="00440F9B"/>
    <w:rsid w:val="004421E5"/>
    <w:rsid w:val="00443880"/>
    <w:rsid w:val="00452284"/>
    <w:rsid w:val="00461168"/>
    <w:rsid w:val="00467FBE"/>
    <w:rsid w:val="0047762B"/>
    <w:rsid w:val="00486948"/>
    <w:rsid w:val="00495C25"/>
    <w:rsid w:val="0049705E"/>
    <w:rsid w:val="005158FF"/>
    <w:rsid w:val="00526B7B"/>
    <w:rsid w:val="005308CE"/>
    <w:rsid w:val="0056655B"/>
    <w:rsid w:val="005678AF"/>
    <w:rsid w:val="0057439C"/>
    <w:rsid w:val="005B0127"/>
    <w:rsid w:val="005C094D"/>
    <w:rsid w:val="005C4B73"/>
    <w:rsid w:val="00600D93"/>
    <w:rsid w:val="00616C7B"/>
    <w:rsid w:val="00627C5C"/>
    <w:rsid w:val="00655736"/>
    <w:rsid w:val="00663B8D"/>
    <w:rsid w:val="006923BD"/>
    <w:rsid w:val="00696C8D"/>
    <w:rsid w:val="006A2AC2"/>
    <w:rsid w:val="006A3617"/>
    <w:rsid w:val="006B5001"/>
    <w:rsid w:val="006D21D9"/>
    <w:rsid w:val="006D2536"/>
    <w:rsid w:val="006E46E4"/>
    <w:rsid w:val="006F5354"/>
    <w:rsid w:val="00717AAB"/>
    <w:rsid w:val="00717DBD"/>
    <w:rsid w:val="00741016"/>
    <w:rsid w:val="00752FC9"/>
    <w:rsid w:val="00764CF9"/>
    <w:rsid w:val="00784B8C"/>
    <w:rsid w:val="00790F2D"/>
    <w:rsid w:val="007A000F"/>
    <w:rsid w:val="007B0DC5"/>
    <w:rsid w:val="007C1512"/>
    <w:rsid w:val="007C354B"/>
    <w:rsid w:val="007E46A0"/>
    <w:rsid w:val="007E5D66"/>
    <w:rsid w:val="007E60C6"/>
    <w:rsid w:val="007F435C"/>
    <w:rsid w:val="008046CA"/>
    <w:rsid w:val="008064F0"/>
    <w:rsid w:val="00812A20"/>
    <w:rsid w:val="00823A11"/>
    <w:rsid w:val="00824EF7"/>
    <w:rsid w:val="0085414A"/>
    <w:rsid w:val="0086269D"/>
    <w:rsid w:val="00863302"/>
    <w:rsid w:val="008712A2"/>
    <w:rsid w:val="00871C8F"/>
    <w:rsid w:val="008724E5"/>
    <w:rsid w:val="00884A9D"/>
    <w:rsid w:val="008A4E1E"/>
    <w:rsid w:val="008B64DF"/>
    <w:rsid w:val="008C0E44"/>
    <w:rsid w:val="008C296C"/>
    <w:rsid w:val="008D4305"/>
    <w:rsid w:val="008D4D0D"/>
    <w:rsid w:val="008F09EC"/>
    <w:rsid w:val="0090763F"/>
    <w:rsid w:val="00913D86"/>
    <w:rsid w:val="009163A7"/>
    <w:rsid w:val="00922E3E"/>
    <w:rsid w:val="00933C6B"/>
    <w:rsid w:val="00950F68"/>
    <w:rsid w:val="00962119"/>
    <w:rsid w:val="00967128"/>
    <w:rsid w:val="00974249"/>
    <w:rsid w:val="00993211"/>
    <w:rsid w:val="009A18CD"/>
    <w:rsid w:val="009B223B"/>
    <w:rsid w:val="009B5302"/>
    <w:rsid w:val="009E1B50"/>
    <w:rsid w:val="00A12558"/>
    <w:rsid w:val="00A13903"/>
    <w:rsid w:val="00A22951"/>
    <w:rsid w:val="00A34ED5"/>
    <w:rsid w:val="00A45DBF"/>
    <w:rsid w:val="00A61C6E"/>
    <w:rsid w:val="00A755A2"/>
    <w:rsid w:val="00A90761"/>
    <w:rsid w:val="00A9754A"/>
    <w:rsid w:val="00AB2C36"/>
    <w:rsid w:val="00AB3E1F"/>
    <w:rsid w:val="00AD1A86"/>
    <w:rsid w:val="00AE103E"/>
    <w:rsid w:val="00AE3322"/>
    <w:rsid w:val="00AF0A07"/>
    <w:rsid w:val="00AF5AE5"/>
    <w:rsid w:val="00AF625E"/>
    <w:rsid w:val="00AF721B"/>
    <w:rsid w:val="00B152B1"/>
    <w:rsid w:val="00B43974"/>
    <w:rsid w:val="00B45750"/>
    <w:rsid w:val="00B834C4"/>
    <w:rsid w:val="00B90701"/>
    <w:rsid w:val="00BC3420"/>
    <w:rsid w:val="00BD52C9"/>
    <w:rsid w:val="00BE6354"/>
    <w:rsid w:val="00C06C42"/>
    <w:rsid w:val="00C300A3"/>
    <w:rsid w:val="00C318BF"/>
    <w:rsid w:val="00C358C4"/>
    <w:rsid w:val="00C377F5"/>
    <w:rsid w:val="00C70EA7"/>
    <w:rsid w:val="00C7516E"/>
    <w:rsid w:val="00CB564C"/>
    <w:rsid w:val="00D02494"/>
    <w:rsid w:val="00D20C3E"/>
    <w:rsid w:val="00D21644"/>
    <w:rsid w:val="00D24877"/>
    <w:rsid w:val="00D520C1"/>
    <w:rsid w:val="00D75D42"/>
    <w:rsid w:val="00DA36ED"/>
    <w:rsid w:val="00DB4A84"/>
    <w:rsid w:val="00DC0F3C"/>
    <w:rsid w:val="00DD1953"/>
    <w:rsid w:val="00DE34F1"/>
    <w:rsid w:val="00DF4942"/>
    <w:rsid w:val="00E22288"/>
    <w:rsid w:val="00E60B9D"/>
    <w:rsid w:val="00E627B1"/>
    <w:rsid w:val="00E62B4C"/>
    <w:rsid w:val="00E9376C"/>
    <w:rsid w:val="00EA602C"/>
    <w:rsid w:val="00EC7727"/>
    <w:rsid w:val="00ED3691"/>
    <w:rsid w:val="00EF38C0"/>
    <w:rsid w:val="00EF74E3"/>
    <w:rsid w:val="00F134B7"/>
    <w:rsid w:val="00F4581D"/>
    <w:rsid w:val="00F576CB"/>
    <w:rsid w:val="00F84A0B"/>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aliases w:val="CRITERES"/>
    <w:basedOn w:val="Normal"/>
    <w:uiPriority w:val="34"/>
    <w:qFormat/>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paragraph" w:customStyle="1" w:styleId="1GAPara">
    <w:name w:val="1. GA Para"/>
    <w:qFormat/>
    <w:rsid w:val="00405873"/>
    <w:pPr>
      <w:spacing w:after="120"/>
    </w:pPr>
    <w:rPr>
      <w:rFonts w:ascii="Arial" w:eastAsia="Times New Roman" w:hAnsi="Arial" w:cs="Arial"/>
      <w:snapToGrid w:val="0"/>
      <w:sz w:val="22"/>
      <w:szCs w:val="22"/>
      <w:lang w:val="en-GB" w:eastAsia="en-US"/>
    </w:rPr>
  </w:style>
  <w:style w:type="paragraph" w:styleId="FootnoteText">
    <w:name w:val="footnote text"/>
    <w:basedOn w:val="Normal"/>
    <w:link w:val="FootnoteTextChar"/>
    <w:uiPriority w:val="99"/>
    <w:semiHidden/>
    <w:unhideWhenUsed/>
    <w:rsid w:val="00405873"/>
    <w:rPr>
      <w:sz w:val="20"/>
      <w:szCs w:val="20"/>
    </w:rPr>
  </w:style>
  <w:style w:type="character" w:customStyle="1" w:styleId="FootnoteTextChar">
    <w:name w:val="Footnote Text Char"/>
    <w:basedOn w:val="DefaultParagraphFont"/>
    <w:link w:val="FootnoteText"/>
    <w:uiPriority w:val="99"/>
    <w:semiHidden/>
    <w:rsid w:val="00405873"/>
    <w:rPr>
      <w:rFonts w:ascii="Times New Roman" w:eastAsia="Times New Roman" w:hAnsi="Times New Roman"/>
    </w:rPr>
  </w:style>
  <w:style w:type="character" w:styleId="FootnoteReference">
    <w:name w:val="footnote reference"/>
    <w:basedOn w:val="DefaultParagraphFont"/>
    <w:uiPriority w:val="99"/>
    <w:semiHidden/>
    <w:unhideWhenUsed/>
    <w:rsid w:val="00405873"/>
    <w:rPr>
      <w:vertAlign w:val="superscript"/>
    </w:rPr>
  </w:style>
  <w:style w:type="paragraph" w:styleId="EndnoteText">
    <w:name w:val="endnote text"/>
    <w:basedOn w:val="Normal"/>
    <w:link w:val="EndnoteTextChar"/>
    <w:uiPriority w:val="99"/>
    <w:semiHidden/>
    <w:unhideWhenUsed/>
    <w:rsid w:val="00405873"/>
    <w:rPr>
      <w:sz w:val="20"/>
      <w:szCs w:val="20"/>
    </w:rPr>
  </w:style>
  <w:style w:type="character" w:customStyle="1" w:styleId="EndnoteTextChar">
    <w:name w:val="Endnote Text Char"/>
    <w:basedOn w:val="DefaultParagraphFont"/>
    <w:link w:val="EndnoteText"/>
    <w:uiPriority w:val="99"/>
    <w:semiHidden/>
    <w:rsid w:val="00405873"/>
    <w:rPr>
      <w:rFonts w:ascii="Times New Roman" w:eastAsia="Times New Roman" w:hAnsi="Times New Roman"/>
    </w:rPr>
  </w:style>
  <w:style w:type="character" w:styleId="EndnoteReference">
    <w:name w:val="endnote reference"/>
    <w:basedOn w:val="DefaultParagraphFont"/>
    <w:uiPriority w:val="99"/>
    <w:semiHidden/>
    <w:unhideWhenUsed/>
    <w:rsid w:val="00405873"/>
    <w:rPr>
      <w:vertAlign w:val="superscript"/>
    </w:rPr>
  </w:style>
  <w:style w:type="character" w:styleId="Strong">
    <w:name w:val="Strong"/>
    <w:aliases w:val="Text"/>
    <w:uiPriority w:val="22"/>
    <w:rsid w:val="0047762B"/>
    <w:rPr>
      <w:rFonts w:ascii="Arial" w:hAnsi="Arial" w:cs="Arial"/>
      <w:lang w:val="en-GB"/>
    </w:rPr>
  </w:style>
  <w:style w:type="character" w:styleId="UnresolvedMention">
    <w:name w:val="Unresolved Mention"/>
    <w:basedOn w:val="DefaultParagraphFont"/>
    <w:uiPriority w:val="99"/>
    <w:semiHidden/>
    <w:unhideWhenUsed/>
    <w:rsid w:val="0090763F"/>
    <w:rPr>
      <w:color w:val="605E5C"/>
      <w:shd w:val="clear" w:color="auto" w:fill="E1DFDD"/>
    </w:rPr>
  </w:style>
  <w:style w:type="character" w:styleId="FollowedHyperlink">
    <w:name w:val="FollowedHyperlink"/>
    <w:basedOn w:val="DefaultParagraphFont"/>
    <w:uiPriority w:val="99"/>
    <w:semiHidden/>
    <w:unhideWhenUsed/>
    <w:rsid w:val="007E46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doc/src/LHE-21-EXP-7-FR.docx" TargetMode="External"/><Relationship Id="rId18" Type="http://schemas.openxmlformats.org/officeDocument/2006/relationships/hyperlink" Target="https://ich.unesco.org/doc/src/LHE-21-16.COM-14-FR.docx" TargetMode="External"/><Relationship Id="rId26" Type="http://schemas.openxmlformats.org/officeDocument/2006/relationships/hyperlink" Target="https://ich.unesco.org/fr/Decisions/16.COM/14" TargetMode="External"/><Relationship Id="rId39" Type="http://schemas.openxmlformats.org/officeDocument/2006/relationships/hyperlink" Target="https://ich.unesco.org/doc/src/LHE-21-16.COM_WG-8-Ways_forward-EN-FR.docx" TargetMode="External"/><Relationship Id="rId3" Type="http://schemas.openxmlformats.org/officeDocument/2006/relationships/styles" Target="styles.xml"/><Relationship Id="rId21" Type="http://schemas.openxmlformats.org/officeDocument/2006/relationships/hyperlink" Target="https://ich.unesco.org/doc/src/LHE-21-16.COM-12-FR.docx" TargetMode="External"/><Relationship Id="rId34" Type="http://schemas.openxmlformats.org/officeDocument/2006/relationships/hyperlink" Target="https://ich.unesco.org/doc/src/LHE-21-16.COM_WG-4-FR.docx" TargetMode="External"/><Relationship Id="rId42" Type="http://schemas.openxmlformats.org/officeDocument/2006/relationships/hyperlink" Target="https://ich.unesco.org/doc/src/LHE-21-16.COM_WG-2-FR.docx" TargetMode="External"/><Relationship Id="rId47"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ch.unesco.org/fr/Decisions/8.GA/10" TargetMode="External"/><Relationship Id="rId17" Type="http://schemas.openxmlformats.org/officeDocument/2006/relationships/hyperlink" Target="https://ich.unesco.org/fr/Decisions/16.COM/14" TargetMode="External"/><Relationship Id="rId25" Type="http://schemas.openxmlformats.org/officeDocument/2006/relationships/hyperlink" Target="https://ich.unesco.org/doc/src/LHE-22-17.COM_WG-10-FR.docx" TargetMode="External"/><Relationship Id="rId33" Type="http://schemas.openxmlformats.org/officeDocument/2006/relationships/hyperlink" Target="https://ich.unesco.org/doc/src/LHE-21-16.COM-INF.14-FR.docx" TargetMode="External"/><Relationship Id="rId38" Type="http://schemas.openxmlformats.org/officeDocument/2006/relationships/hyperlink" Target="https://ich.unesco.org/doc/src/LHE-21-16.COM_WG-8-FR.docx"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ch.unesco.org/fr/Decisions/14.COM/14" TargetMode="External"/><Relationship Id="rId20" Type="http://schemas.openxmlformats.org/officeDocument/2006/relationships/hyperlink" Target="https://ich.unesco.org/fr/Decisions/16.COM/14" TargetMode="External"/><Relationship Id="rId29" Type="http://schemas.openxmlformats.org/officeDocument/2006/relationships/hyperlink" Target="https://ich.unesco.org/fr/Decisions/16.COM/14" TargetMode="External"/><Relationship Id="rId41" Type="http://schemas.openxmlformats.org/officeDocument/2006/relationships/hyperlink" Target="https://ich.unesco.org/doc/src/LHE-21-16.COM_WG-1-FR.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3.COM/10" TargetMode="External"/><Relationship Id="rId24" Type="http://schemas.openxmlformats.org/officeDocument/2006/relationships/hyperlink" Target="https://ich.unesco.org/doc/src/LHE-21-16.COM-INF.14-FR.docx" TargetMode="External"/><Relationship Id="rId32" Type="http://schemas.openxmlformats.org/officeDocument/2006/relationships/hyperlink" Target="https://ich.unesco.org/doc/src/LHE-21-16.COM-14-FR.docx" TargetMode="External"/><Relationship Id="rId37" Type="http://schemas.openxmlformats.org/officeDocument/2006/relationships/hyperlink" Target="https://ich.unesco.org/doc/src/LHE-21-16.COM_WG-7-FR.docx" TargetMode="External"/><Relationship Id="rId40" Type="http://schemas.openxmlformats.org/officeDocument/2006/relationships/hyperlink" Target="https://ich.unesco.org/doc/src/LHE-21-16.COM_WG-Recommandations_FR.docx"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ch.unesco.org/doc/src/LHE-19-14.COM-14-FR.docx" TargetMode="External"/><Relationship Id="rId23" Type="http://schemas.openxmlformats.org/officeDocument/2006/relationships/hyperlink" Target="https://ich.unesco.org/doc/src/LHE-21-16.COM-14-FR.docx" TargetMode="External"/><Relationship Id="rId28" Type="http://schemas.openxmlformats.org/officeDocument/2006/relationships/hyperlink" Target="https://ich.unesco.org/fr/Decisions/16.COM/14" TargetMode="External"/><Relationship Id="rId36" Type="http://schemas.openxmlformats.org/officeDocument/2006/relationships/hyperlink" Target="https://ich.unesco.org/doc/src/LHE-21-16.COM_WG-6-FR-.docx" TargetMode="External"/><Relationship Id="rId49" Type="http://schemas.openxmlformats.org/officeDocument/2006/relationships/theme" Target="theme/theme1.xml"/><Relationship Id="rId10" Type="http://schemas.openxmlformats.org/officeDocument/2006/relationships/hyperlink" Target="https://ich.unesco.org/fr/Decisions/13.COM/6" TargetMode="External"/><Relationship Id="rId19" Type="http://schemas.openxmlformats.org/officeDocument/2006/relationships/hyperlink" Target="https://ich.unesco.org/fr/Decisions/16.COM/14" TargetMode="External"/><Relationship Id="rId31" Type="http://schemas.openxmlformats.org/officeDocument/2006/relationships/hyperlink" Target="https://ich.unesco.org/doc/src/LHE-22-17.COM_WG-9-FR.docx" TargetMode="External"/><Relationship Id="rId44" Type="http://schemas.openxmlformats.org/officeDocument/2006/relationships/hyperlink" Target="https://ich.unesco.org/doc/src/LHE-21-EXP-7-FR.docx" TargetMode="External"/><Relationship Id="rId4" Type="http://schemas.openxmlformats.org/officeDocument/2006/relationships/settings" Target="settings.xml"/><Relationship Id="rId9" Type="http://schemas.openxmlformats.org/officeDocument/2006/relationships/hyperlink" Target="https://ich.unesco.org/fr/Decisions/12.COM/14" TargetMode="External"/><Relationship Id="rId14" Type="http://schemas.openxmlformats.org/officeDocument/2006/relationships/hyperlink" Target="https://ich.unesco.org/fr/Decisions/16.COM/14" TargetMode="External"/><Relationship Id="rId22" Type="http://schemas.openxmlformats.org/officeDocument/2006/relationships/hyperlink" Target="https://ich.unesco.org/fr/Decisions/16.COM/14" TargetMode="External"/><Relationship Id="rId27" Type="http://schemas.openxmlformats.org/officeDocument/2006/relationships/hyperlink" Target="https://ich.unesco.org/doc/src/LHE-22-17.COM_WG-11-FR.docx" TargetMode="External"/><Relationship Id="rId30" Type="http://schemas.openxmlformats.org/officeDocument/2006/relationships/hyperlink" Target="https://ich.unesco.org/doc/src/LHE-22-17.COM_WG-12-FR.docx" TargetMode="External"/><Relationship Id="rId35" Type="http://schemas.openxmlformats.org/officeDocument/2006/relationships/hyperlink" Target="https://ich.unesco.org/doc/src/LHE-21-16.COM_WG-5-FR.docx" TargetMode="External"/><Relationship Id="rId43" Type="http://schemas.openxmlformats.org/officeDocument/2006/relationships/hyperlink" Target="https://ich.unesco.org/doc/src/LHE-21-16.COM_WG-3-FR.docx" TargetMode="External"/><Relationship Id="rId48" Type="http://schemas.openxmlformats.org/officeDocument/2006/relationships/fontTable" Target="fontTable.xml"/><Relationship Id="rId8" Type="http://schemas.openxmlformats.org/officeDocument/2006/relationships/hyperlink" Target="https://ich.unesco.org/fr/Decisions/16.COM/1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fr/rflexion-globale-sur-les-mcanismes-dinscription-sur-les-listes-0116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document_FR.dotx</Template>
  <TotalTime>127</TotalTime>
  <Pages>8</Pages>
  <Words>3467</Words>
  <Characters>19767</Characters>
  <Application>Microsoft Office Word</Application>
  <DocSecurity>0</DocSecurity>
  <Lines>164</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Julien</cp:lastModifiedBy>
  <cp:revision>35</cp:revision>
  <cp:lastPrinted>2011-08-06T10:22:00Z</cp:lastPrinted>
  <dcterms:created xsi:type="dcterms:W3CDTF">2021-07-19T09:20:00Z</dcterms:created>
  <dcterms:modified xsi:type="dcterms:W3CDTF">2022-04-13T20:23:00Z</dcterms:modified>
</cp:coreProperties>
</file>