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1A5DFD2" w14:textId="19C1BD90" w:rsidR="007D2B08" w:rsidRPr="00EC30E9" w:rsidRDefault="007D2B08" w:rsidP="00561AE0">
      <w:pPr>
        <w:spacing w:before="1440"/>
        <w:jc w:val="center"/>
        <w:rPr>
          <w:rFonts w:ascii="Arial" w:hAnsi="Arial" w:cs="Arial"/>
          <w:b/>
          <w:szCs w:val="22"/>
          <w:lang w:val="fr-FR"/>
        </w:rPr>
      </w:pPr>
      <w:r>
        <w:rPr>
          <w:rFonts w:ascii="Arial" w:hAnsi="Arial" w:cs="Arial"/>
          <w:b/>
          <w:bCs/>
          <w:szCs w:val="22"/>
          <w:lang w:val="fr"/>
        </w:rPr>
        <w:t>CONVENTION POUR LA SAUVEGARDE DU</w:t>
      </w:r>
      <w:r>
        <w:rPr>
          <w:rFonts w:ascii="Arial" w:hAnsi="Arial" w:cs="Arial"/>
          <w:szCs w:val="22"/>
          <w:lang w:val="fr"/>
        </w:rPr>
        <w:br/>
      </w:r>
      <w:r>
        <w:rPr>
          <w:rFonts w:ascii="Arial" w:hAnsi="Arial" w:cs="Arial"/>
          <w:b/>
          <w:bCs/>
          <w:szCs w:val="22"/>
          <w:lang w:val="fr"/>
        </w:rPr>
        <w:t>PATRIMOINE CULTUREL IMMATÉRIEL</w:t>
      </w:r>
    </w:p>
    <w:p w14:paraId="638864C9" w14:textId="66871FB1" w:rsidR="007D2B08" w:rsidRPr="00EC30E9" w:rsidRDefault="007D2B08" w:rsidP="007D2B08">
      <w:pPr>
        <w:spacing w:before="1440" w:after="0"/>
        <w:jc w:val="center"/>
        <w:rPr>
          <w:rFonts w:ascii="Arial" w:eastAsiaTheme="minorEastAsia" w:hAnsi="Arial" w:cs="Arial"/>
          <w:b/>
          <w:szCs w:val="22"/>
          <w:lang w:val="fr-FR"/>
        </w:rPr>
      </w:pPr>
      <w:r>
        <w:rPr>
          <w:rFonts w:ascii="Arial" w:eastAsiaTheme="minorEastAsia" w:hAnsi="Arial" w:cs="Arial"/>
          <w:b/>
          <w:bCs/>
          <w:szCs w:val="22"/>
          <w:lang w:val="fr"/>
        </w:rPr>
        <w:t>Groupe de travail intergouvernemental à composition non limitée</w:t>
      </w:r>
      <w:r>
        <w:rPr>
          <w:rFonts w:ascii="Arial" w:eastAsiaTheme="minorEastAsia" w:hAnsi="Arial" w:cs="Arial"/>
          <w:szCs w:val="22"/>
          <w:lang w:val="fr"/>
        </w:rPr>
        <w:br/>
      </w:r>
      <w:r>
        <w:rPr>
          <w:rFonts w:ascii="Arial" w:eastAsiaTheme="minorEastAsia" w:hAnsi="Arial" w:cs="Arial"/>
          <w:b/>
          <w:bCs/>
          <w:szCs w:val="22"/>
          <w:lang w:val="fr"/>
        </w:rPr>
        <w:t>dans le cadre de la réflexion globale sur les mécanismes d</w:t>
      </w:r>
      <w:r w:rsidR="00244CEA">
        <w:rPr>
          <w:rFonts w:ascii="Arial" w:eastAsiaTheme="minorEastAsia" w:hAnsi="Arial" w:cs="Arial"/>
          <w:b/>
          <w:bCs/>
          <w:szCs w:val="22"/>
          <w:lang w:val="fr"/>
        </w:rPr>
        <w:t>’</w:t>
      </w:r>
      <w:r>
        <w:rPr>
          <w:rFonts w:ascii="Arial" w:eastAsiaTheme="minorEastAsia" w:hAnsi="Arial" w:cs="Arial"/>
          <w:b/>
          <w:bCs/>
          <w:szCs w:val="22"/>
          <w:lang w:val="fr"/>
        </w:rPr>
        <w:t>inscription sur les listes</w:t>
      </w:r>
    </w:p>
    <w:p w14:paraId="028F69A3" w14:textId="77777777" w:rsidR="007D2B08" w:rsidRPr="00EC30E9" w:rsidRDefault="007D2B08" w:rsidP="007D2B08">
      <w:pPr>
        <w:spacing w:before="840" w:after="0"/>
        <w:jc w:val="center"/>
        <w:rPr>
          <w:rFonts w:ascii="Arial" w:eastAsiaTheme="minorEastAsia" w:hAnsi="Arial" w:cs="Arial"/>
          <w:b/>
          <w:szCs w:val="22"/>
          <w:lang w:val="fr-FR"/>
        </w:rPr>
      </w:pPr>
      <w:r>
        <w:rPr>
          <w:rFonts w:ascii="Arial" w:eastAsiaTheme="minorEastAsia" w:hAnsi="Arial" w:cs="Arial"/>
          <w:b/>
          <w:bCs/>
          <w:szCs w:val="22"/>
          <w:lang w:val="fr"/>
        </w:rPr>
        <w:t>En ligne</w:t>
      </w:r>
    </w:p>
    <w:p w14:paraId="52D433EF" w14:textId="025D812E" w:rsidR="007D2B08" w:rsidRPr="00EC30E9" w:rsidRDefault="007D2B08" w:rsidP="007D2B08">
      <w:pPr>
        <w:spacing w:after="0"/>
        <w:jc w:val="center"/>
        <w:rPr>
          <w:rFonts w:ascii="Arial" w:eastAsiaTheme="minorEastAsia" w:hAnsi="Arial" w:cs="Arial"/>
          <w:b/>
          <w:szCs w:val="22"/>
          <w:lang w:val="fr-FR"/>
        </w:rPr>
      </w:pPr>
      <w:r>
        <w:rPr>
          <w:rFonts w:ascii="Arial" w:hAnsi="Arial" w:cs="Arial"/>
          <w:b/>
          <w:bCs/>
          <w:szCs w:val="22"/>
          <w:lang w:val="fr"/>
        </w:rPr>
        <w:t>25 et 26 avril 2022</w:t>
      </w:r>
      <w:r w:rsidR="002B0997">
        <w:rPr>
          <w:rFonts w:ascii="Arial" w:hAnsi="Arial" w:cs="Arial"/>
          <w:b/>
          <w:bCs/>
          <w:szCs w:val="22"/>
          <w:lang w:val="fr"/>
        </w:rPr>
        <w:t xml:space="preserve"> (Partie III)</w:t>
      </w:r>
    </w:p>
    <w:p w14:paraId="69D50555" w14:textId="35609951" w:rsidR="007D2B08" w:rsidRPr="00DF06A3" w:rsidRDefault="007D2B08" w:rsidP="007D2B08">
      <w:pPr>
        <w:pStyle w:val="Sansinterligne2"/>
        <w:spacing w:before="1200"/>
        <w:jc w:val="center"/>
        <w:rPr>
          <w:rFonts w:ascii="Arial" w:hAnsi="Arial" w:cs="Arial"/>
          <w:b/>
          <w:sz w:val="22"/>
          <w:szCs w:val="22"/>
        </w:rPr>
      </w:pPr>
      <w:r>
        <w:rPr>
          <w:rFonts w:ascii="Arial" w:hAnsi="Arial" w:cs="Arial"/>
          <w:b/>
          <w:bCs/>
          <w:sz w:val="22"/>
          <w:szCs w:val="22"/>
          <w:u w:val="single"/>
          <w:lang w:val="fr"/>
        </w:rPr>
        <w:t>Point 10 de l</w:t>
      </w:r>
      <w:r w:rsidR="00244CEA">
        <w:rPr>
          <w:rFonts w:ascii="Arial" w:hAnsi="Arial" w:cs="Arial"/>
          <w:b/>
          <w:bCs/>
          <w:sz w:val="22"/>
          <w:szCs w:val="22"/>
          <w:u w:val="single"/>
          <w:lang w:val="fr"/>
        </w:rPr>
        <w:t>’</w:t>
      </w:r>
      <w:r>
        <w:rPr>
          <w:rFonts w:ascii="Arial" w:hAnsi="Arial" w:cs="Arial"/>
          <w:b/>
          <w:bCs/>
          <w:sz w:val="22"/>
          <w:szCs w:val="22"/>
          <w:u w:val="single"/>
          <w:lang w:val="fr"/>
        </w:rPr>
        <w:t>ordre du jour provisoire</w:t>
      </w:r>
      <w:r w:rsidRPr="00561AE0">
        <w:rPr>
          <w:rFonts w:ascii="Arial" w:hAnsi="Arial" w:cs="Arial"/>
          <w:b/>
          <w:bCs/>
          <w:sz w:val="22"/>
          <w:szCs w:val="22"/>
          <w:lang w:val="fr"/>
        </w:rPr>
        <w:t> :</w:t>
      </w:r>
    </w:p>
    <w:p w14:paraId="2C3A731C" w14:textId="55E692DD" w:rsidR="007D2B08" w:rsidRPr="00DF06A3" w:rsidRDefault="007D2B08" w:rsidP="007D2B08">
      <w:pPr>
        <w:pStyle w:val="Sansinterligne2"/>
        <w:jc w:val="center"/>
        <w:rPr>
          <w:rFonts w:ascii="Arial" w:hAnsi="Arial" w:cs="Arial"/>
          <w:b/>
          <w:sz w:val="22"/>
          <w:szCs w:val="22"/>
        </w:rPr>
      </w:pPr>
      <w:r>
        <w:rPr>
          <w:rFonts w:ascii="Arial" w:hAnsi="Arial" w:cs="Arial"/>
          <w:b/>
          <w:bCs/>
          <w:sz w:val="22"/>
          <w:szCs w:val="22"/>
          <w:lang w:val="fr"/>
        </w:rPr>
        <w:t>Vers un système réformé d</w:t>
      </w:r>
      <w:r w:rsidR="00244CEA">
        <w:rPr>
          <w:rFonts w:ascii="Arial" w:hAnsi="Arial" w:cs="Arial"/>
          <w:b/>
          <w:bCs/>
          <w:sz w:val="22"/>
          <w:szCs w:val="22"/>
          <w:lang w:val="fr"/>
        </w:rPr>
        <w:t>’</w:t>
      </w:r>
      <w:r>
        <w:rPr>
          <w:rFonts w:ascii="Arial" w:hAnsi="Arial" w:cs="Arial"/>
          <w:b/>
          <w:bCs/>
          <w:sz w:val="22"/>
          <w:szCs w:val="22"/>
          <w:lang w:val="fr"/>
        </w:rPr>
        <w:t>inscription sur les listes (Partie III) :</w:t>
      </w:r>
    </w:p>
    <w:p w14:paraId="595EBBDB" w14:textId="099D0B58" w:rsidR="007D2B08" w:rsidRPr="00DF06A3" w:rsidRDefault="00A16033" w:rsidP="007D2B08">
      <w:pPr>
        <w:pStyle w:val="Sansinterligne2"/>
        <w:spacing w:after="960"/>
        <w:jc w:val="center"/>
        <w:rPr>
          <w:rFonts w:ascii="Arial" w:hAnsi="Arial" w:cs="Arial"/>
          <w:b/>
          <w:sz w:val="22"/>
          <w:szCs w:val="22"/>
        </w:rPr>
      </w:pPr>
      <w:proofErr w:type="gramStart"/>
      <w:r>
        <w:rPr>
          <w:rFonts w:ascii="Arial" w:hAnsi="Arial" w:cs="Arial"/>
          <w:b/>
          <w:bCs/>
          <w:sz w:val="22"/>
          <w:szCs w:val="22"/>
          <w:lang w:val="fr"/>
        </w:rPr>
        <w:t>questions</w:t>
      </w:r>
      <w:proofErr w:type="gramEnd"/>
      <w:r>
        <w:rPr>
          <w:rFonts w:ascii="Arial" w:hAnsi="Arial" w:cs="Arial"/>
          <w:b/>
          <w:bCs/>
          <w:sz w:val="22"/>
          <w:szCs w:val="22"/>
          <w:lang w:val="fr"/>
        </w:rPr>
        <w:t xml:space="preserve"> </w:t>
      </w:r>
      <w:r w:rsidR="007D2B08">
        <w:rPr>
          <w:rFonts w:ascii="Arial" w:hAnsi="Arial" w:cs="Arial"/>
          <w:b/>
          <w:bCs/>
          <w:sz w:val="22"/>
          <w:szCs w:val="22"/>
          <w:lang w:val="fr"/>
        </w:rPr>
        <w:t>liées au nombre annuel de dossiers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7D2B08" w:rsidRPr="00E17DFF" w14:paraId="3E3DE401" w14:textId="77777777" w:rsidTr="00EC30E9">
        <w:trPr>
          <w:jc w:val="center"/>
        </w:trPr>
        <w:tc>
          <w:tcPr>
            <w:tcW w:w="5670" w:type="dxa"/>
            <w:vAlign w:val="center"/>
          </w:tcPr>
          <w:p w14:paraId="2259B3BA" w14:textId="77777777" w:rsidR="007D2B08" w:rsidRPr="00DF06A3" w:rsidRDefault="007D2B08" w:rsidP="00EC30E9">
            <w:pPr>
              <w:pStyle w:val="Sansinterligne2"/>
              <w:spacing w:before="200" w:after="200"/>
              <w:jc w:val="center"/>
              <w:rPr>
                <w:rFonts w:ascii="Arial" w:hAnsi="Arial" w:cs="Arial"/>
                <w:b/>
                <w:sz w:val="22"/>
                <w:szCs w:val="22"/>
              </w:rPr>
            </w:pPr>
            <w:r>
              <w:rPr>
                <w:rFonts w:ascii="Arial" w:hAnsi="Arial" w:cs="Arial"/>
                <w:b/>
                <w:bCs/>
                <w:sz w:val="22"/>
                <w:szCs w:val="22"/>
                <w:lang w:val="fr"/>
              </w:rPr>
              <w:t>Résumé</w:t>
            </w:r>
          </w:p>
          <w:p w14:paraId="6650A103" w14:textId="10525242" w:rsidR="007D2B08" w:rsidRPr="00DF06A3" w:rsidRDefault="007D2B08" w:rsidP="00EC30E9">
            <w:pPr>
              <w:pStyle w:val="Sansinterligne2"/>
              <w:spacing w:before="200" w:after="200"/>
              <w:jc w:val="both"/>
              <w:rPr>
                <w:rFonts w:ascii="Arial" w:hAnsi="Arial" w:cs="Arial"/>
                <w:bCs/>
                <w:sz w:val="22"/>
                <w:szCs w:val="22"/>
                <w:highlight w:val="yellow"/>
              </w:rPr>
            </w:pPr>
            <w:r>
              <w:rPr>
                <w:rFonts w:ascii="Arial" w:hAnsi="Arial" w:cs="Arial"/>
                <w:sz w:val="22"/>
                <w:szCs w:val="22"/>
                <w:lang w:val="fr"/>
              </w:rPr>
              <w:t xml:space="preserve">Le mandat principal de la partie III du groupe de travail concerne les questions liées au nombre annuel de dossiers à examiner par le Comité. Le présent document fournit une analyse des </w:t>
            </w:r>
            <w:r w:rsidRPr="0045222D">
              <w:rPr>
                <w:rFonts w:ascii="Arial" w:hAnsi="Arial" w:cs="Arial"/>
                <w:sz w:val="22"/>
                <w:szCs w:val="22"/>
                <w:lang w:val="fr"/>
              </w:rPr>
              <w:t>problèmes liés au système actuel et propose deux options</w:t>
            </w:r>
            <w:r w:rsidR="004172CE" w:rsidRPr="0045222D">
              <w:rPr>
                <w:rFonts w:ascii="Arial" w:hAnsi="Arial" w:cs="Arial"/>
                <w:sz w:val="22"/>
                <w:szCs w:val="22"/>
                <w:lang w:val="fr"/>
              </w:rPr>
              <w:t xml:space="preserve"> </w:t>
            </w:r>
            <w:r w:rsidRPr="00561AE0">
              <w:rPr>
                <w:rFonts w:ascii="Arial" w:hAnsi="Arial" w:cs="Arial"/>
                <w:sz w:val="22"/>
                <w:szCs w:val="22"/>
                <w:lang w:val="fr"/>
              </w:rPr>
              <w:t>(maintenir « au moins cinquante-cinq et pas plus de soixante dossiers par cycle » ou aller au-delà de ce plafond</w:t>
            </w:r>
            <w:r w:rsidRPr="00561AE0">
              <w:rPr>
                <w:rFonts w:ascii="Arial" w:hAnsi="Arial" w:cs="Arial"/>
                <w:i/>
                <w:iCs/>
                <w:sz w:val="22"/>
                <w:szCs w:val="22"/>
                <w:lang w:val="fr"/>
              </w:rPr>
              <w:t xml:space="preserve"> de facto </w:t>
            </w:r>
            <w:r w:rsidRPr="00561AE0">
              <w:rPr>
                <w:rFonts w:ascii="Arial" w:hAnsi="Arial" w:cs="Arial"/>
                <w:sz w:val="22"/>
                <w:szCs w:val="22"/>
                <w:lang w:val="fr"/>
              </w:rPr>
              <w:t>actuel</w:t>
            </w:r>
            <w:r w:rsidRPr="0045222D">
              <w:rPr>
                <w:rFonts w:ascii="Arial" w:hAnsi="Arial" w:cs="Arial"/>
                <w:sz w:val="22"/>
                <w:szCs w:val="22"/>
                <w:lang w:val="fr"/>
              </w:rPr>
              <w:t xml:space="preserve">), chacune avec des implications </w:t>
            </w:r>
            <w:r w:rsidRPr="00A86585">
              <w:rPr>
                <w:rFonts w:ascii="Arial" w:hAnsi="Arial" w:cs="Arial"/>
                <w:sz w:val="22"/>
                <w:szCs w:val="22"/>
                <w:lang w:val="fr"/>
              </w:rPr>
              <w:t>possibles.</w:t>
            </w:r>
          </w:p>
        </w:tc>
      </w:tr>
    </w:tbl>
    <w:p w14:paraId="6760D420" w14:textId="77777777" w:rsidR="007D2B08" w:rsidRPr="00EC30E9" w:rsidRDefault="007D2B08" w:rsidP="007D2B08">
      <w:pPr>
        <w:pStyle w:val="1GAPara"/>
        <w:ind w:left="567" w:hanging="567"/>
        <w:rPr>
          <w:lang w:val="fr-FR"/>
        </w:rPr>
      </w:pPr>
      <w:r>
        <w:rPr>
          <w:lang w:val="fr"/>
        </w:rPr>
        <w:br w:type="page"/>
      </w:r>
    </w:p>
    <w:p w14:paraId="08B6C0B2" w14:textId="77777777" w:rsidR="007D2B08" w:rsidRPr="00DF06A3" w:rsidRDefault="007D2B08" w:rsidP="007D2B08">
      <w:pPr>
        <w:pStyle w:val="1GAPara"/>
        <w:tabs>
          <w:tab w:val="left" w:pos="5803"/>
        </w:tabs>
        <w:spacing w:before="240"/>
        <w:ind w:left="567" w:hanging="567"/>
        <w:rPr>
          <w:b/>
          <w:bCs/>
        </w:rPr>
      </w:pPr>
      <w:r>
        <w:rPr>
          <w:b/>
          <w:bCs/>
          <w:lang w:val="fr"/>
        </w:rPr>
        <w:lastRenderedPageBreak/>
        <w:t>Introduction</w:t>
      </w:r>
    </w:p>
    <w:p w14:paraId="660B23CF" w14:textId="717372FB" w:rsidR="007D2B08" w:rsidRPr="00EC30E9" w:rsidRDefault="007D2B08" w:rsidP="007D2B08">
      <w:pPr>
        <w:pStyle w:val="1GAPara"/>
        <w:numPr>
          <w:ilvl w:val="0"/>
          <w:numId w:val="3"/>
        </w:numPr>
        <w:ind w:left="567" w:hanging="567"/>
        <w:jc w:val="both"/>
        <w:rPr>
          <w:lang w:val="fr-FR"/>
        </w:rPr>
      </w:pPr>
      <w:r>
        <w:rPr>
          <w:color w:val="000000"/>
          <w:lang w:val="fr"/>
        </w:rPr>
        <w:t>Le principal mandat donné à la</w:t>
      </w:r>
      <w:r w:rsidR="002B0997">
        <w:rPr>
          <w:color w:val="000000"/>
          <w:lang w:val="fr"/>
        </w:rPr>
        <w:t xml:space="preserve"> partie III de la</w:t>
      </w:r>
      <w:r>
        <w:rPr>
          <w:color w:val="000000"/>
          <w:lang w:val="fr"/>
        </w:rPr>
        <w:t xml:space="preserve"> réunion du groupe de travail intergouvernemental à composition non limitée concerne le nombre annuel de dossiers à examiner par le Comité.</w:t>
      </w:r>
      <w:r>
        <w:rPr>
          <w:lang w:val="fr"/>
        </w:rPr>
        <w:t xml:space="preserve"> </w:t>
      </w:r>
      <w:r>
        <w:rPr>
          <w:color w:val="000000"/>
          <w:lang w:val="fr"/>
        </w:rPr>
        <w:t>Il s</w:t>
      </w:r>
      <w:r w:rsidR="00244CEA">
        <w:rPr>
          <w:color w:val="000000"/>
          <w:lang w:val="fr"/>
        </w:rPr>
        <w:t>’</w:t>
      </w:r>
      <w:r>
        <w:rPr>
          <w:color w:val="000000"/>
          <w:lang w:val="fr"/>
        </w:rPr>
        <w:t>agit des candidatures à la Liste du patrimoine culturel immatériel nécessitant une sauvegarde urgente (ci-après la « Liste de sauvegarde urgente ») et à la Liste représentative du patrimoine culturel immatériel de l</w:t>
      </w:r>
      <w:r w:rsidR="00244CEA">
        <w:rPr>
          <w:color w:val="000000"/>
          <w:lang w:val="fr"/>
        </w:rPr>
        <w:t>’</w:t>
      </w:r>
      <w:r>
        <w:rPr>
          <w:color w:val="000000"/>
          <w:lang w:val="fr"/>
        </w:rPr>
        <w:t>humanité (ci-après la « Liste représentative »), des propositions de programmes, projets et activités qui reflètent le mieux les principes et objectifs de la Convention (ci-après le « Registre de bonnes pratiques de sauvegarde »), et des demandes d</w:t>
      </w:r>
      <w:r w:rsidR="00244CEA">
        <w:rPr>
          <w:color w:val="000000"/>
          <w:lang w:val="fr"/>
        </w:rPr>
        <w:t>’</w:t>
      </w:r>
      <w:r>
        <w:rPr>
          <w:color w:val="000000"/>
          <w:lang w:val="fr"/>
        </w:rPr>
        <w:t xml:space="preserve">assistance internationale supérieures à 100 000 dollars </w:t>
      </w:r>
      <w:r w:rsidR="004172CE">
        <w:rPr>
          <w:color w:val="000000"/>
          <w:lang w:val="fr"/>
        </w:rPr>
        <w:t>des États-Unis</w:t>
      </w:r>
      <w:r>
        <w:rPr>
          <w:color w:val="000000"/>
          <w:lang w:val="fr"/>
        </w:rPr>
        <w:t>.</w:t>
      </w:r>
    </w:p>
    <w:p w14:paraId="5469B069" w14:textId="1BB251C6" w:rsidR="007D2B08" w:rsidRPr="00EC30E9" w:rsidRDefault="007D2B08" w:rsidP="007D2B08">
      <w:pPr>
        <w:pStyle w:val="1GAPara"/>
        <w:numPr>
          <w:ilvl w:val="0"/>
          <w:numId w:val="3"/>
        </w:numPr>
        <w:ind w:left="567" w:hanging="567"/>
        <w:jc w:val="both"/>
        <w:rPr>
          <w:lang w:val="fr-FR"/>
        </w:rPr>
      </w:pPr>
      <w:r>
        <w:rPr>
          <w:lang w:val="fr"/>
        </w:rPr>
        <w:t xml:space="preserve">La question du nombre annuel de dossiers à examiner remonte au début des mécanismes </w:t>
      </w:r>
      <w:r w:rsidR="004172CE">
        <w:rPr>
          <w:lang w:val="fr"/>
        </w:rPr>
        <w:t>d</w:t>
      </w:r>
      <w:r w:rsidR="00244CEA">
        <w:rPr>
          <w:lang w:val="fr"/>
        </w:rPr>
        <w:t>’</w:t>
      </w:r>
      <w:r w:rsidR="004172CE">
        <w:rPr>
          <w:lang w:val="fr"/>
        </w:rPr>
        <w:t>inscription sur les listes</w:t>
      </w:r>
      <w:r>
        <w:rPr>
          <w:lang w:val="fr"/>
        </w:rPr>
        <w:t xml:space="preserve">. La première série de </w:t>
      </w:r>
      <w:r w:rsidR="002B0997">
        <w:rPr>
          <w:lang w:val="fr"/>
        </w:rPr>
        <w:t xml:space="preserve">directives </w:t>
      </w:r>
      <w:r>
        <w:rPr>
          <w:lang w:val="fr"/>
        </w:rPr>
        <w:t xml:space="preserve">opérationnelles (2008) ne comportait aucune limitation ou disposition concernant le nombre de dossiers. Pour le premier cycle de </w:t>
      </w:r>
      <w:r w:rsidR="004172CE">
        <w:rPr>
          <w:lang w:val="fr"/>
        </w:rPr>
        <w:t xml:space="preserve">candidature </w:t>
      </w:r>
      <w:r>
        <w:rPr>
          <w:lang w:val="fr"/>
        </w:rPr>
        <w:t xml:space="preserve">en 2009, il a été demandé </w:t>
      </w:r>
      <w:r w:rsidR="007B783A">
        <w:rPr>
          <w:lang w:val="fr"/>
        </w:rPr>
        <w:t xml:space="preserve">à la quatrième session du </w:t>
      </w:r>
      <w:r>
        <w:rPr>
          <w:lang w:val="fr"/>
        </w:rPr>
        <w:t>Comité d</w:t>
      </w:r>
      <w:r w:rsidR="00244CEA">
        <w:rPr>
          <w:lang w:val="fr"/>
        </w:rPr>
        <w:t>’</w:t>
      </w:r>
      <w:r>
        <w:rPr>
          <w:lang w:val="fr"/>
        </w:rPr>
        <w:t xml:space="preserve">examiner pas moins de 130 dossiers, dont 111 candidatures sur la Liste représentative (pour laquelle trois États parties ont soumis soixante-cinq candidatures au total, dont plus de la moitié ont été soumises par le </w:t>
      </w:r>
      <w:r w:rsidR="002B0997">
        <w:rPr>
          <w:lang w:val="fr"/>
        </w:rPr>
        <w:t>g</w:t>
      </w:r>
      <w:r>
        <w:rPr>
          <w:lang w:val="fr"/>
        </w:rPr>
        <w:t>roupe électoral IV). Outre la discussion du Comité lors de sa quatrième session, l</w:t>
      </w:r>
      <w:r w:rsidR="00244CEA">
        <w:rPr>
          <w:lang w:val="fr"/>
        </w:rPr>
        <w:t>’</w:t>
      </w:r>
      <w:r>
        <w:rPr>
          <w:lang w:val="fr"/>
        </w:rPr>
        <w:t xml:space="preserve">expérience du premier cycle de </w:t>
      </w:r>
      <w:r w:rsidR="0045222D">
        <w:rPr>
          <w:lang w:val="fr"/>
        </w:rPr>
        <w:t>candidature</w:t>
      </w:r>
      <w:r w:rsidR="002B0997">
        <w:rPr>
          <w:lang w:val="fr"/>
        </w:rPr>
        <w:t>s</w:t>
      </w:r>
      <w:r w:rsidR="0045222D">
        <w:rPr>
          <w:lang w:val="fr"/>
        </w:rPr>
        <w:t xml:space="preserve"> </w:t>
      </w:r>
      <w:r>
        <w:rPr>
          <w:lang w:val="fr"/>
        </w:rPr>
        <w:t>a donné lieu à une réunion d</w:t>
      </w:r>
      <w:r w:rsidR="00244CEA">
        <w:rPr>
          <w:lang w:val="fr"/>
        </w:rPr>
        <w:t>’</w:t>
      </w:r>
      <w:r>
        <w:rPr>
          <w:lang w:val="fr"/>
        </w:rPr>
        <w:t>experts</w:t>
      </w:r>
      <w:r>
        <w:rPr>
          <w:rStyle w:val="Appelnotedebasdep"/>
          <w:lang w:val="fr"/>
        </w:rPr>
        <w:footnoteReference w:id="2"/>
      </w:r>
      <w:r>
        <w:rPr>
          <w:lang w:val="fr"/>
        </w:rPr>
        <w:t xml:space="preserve"> (2010), à trois réunions de groupes de travail</w:t>
      </w:r>
      <w:r>
        <w:rPr>
          <w:rStyle w:val="Appelnotedebasdep"/>
          <w:lang w:val="fr"/>
        </w:rPr>
        <w:footnoteReference w:id="3"/>
      </w:r>
      <w:r>
        <w:rPr>
          <w:lang w:val="fr"/>
        </w:rPr>
        <w:t xml:space="preserve"> (2010) et à une réunion d</w:t>
      </w:r>
      <w:r w:rsidR="002B0997">
        <w:rPr>
          <w:lang w:val="fr"/>
        </w:rPr>
        <w:t>u</w:t>
      </w:r>
      <w:r>
        <w:rPr>
          <w:lang w:val="fr"/>
        </w:rPr>
        <w:t xml:space="preserve"> groupe de travail intergouvernemental à composition non limitée</w:t>
      </w:r>
      <w:r>
        <w:rPr>
          <w:rStyle w:val="Appelnotedebasdep"/>
          <w:lang w:val="fr"/>
        </w:rPr>
        <w:footnoteReference w:id="4"/>
      </w:r>
      <w:r>
        <w:rPr>
          <w:lang w:val="fr"/>
        </w:rPr>
        <w:t xml:space="preserve"> (2011) consacrée à la question du nombre annuel de dossiers à traiter.</w:t>
      </w:r>
    </w:p>
    <w:p w14:paraId="75A1A1C7" w14:textId="191B8FED" w:rsidR="007D2B08" w:rsidRPr="00EC30E9" w:rsidRDefault="007D2B08" w:rsidP="007D2B08">
      <w:pPr>
        <w:pStyle w:val="1GAPara"/>
        <w:numPr>
          <w:ilvl w:val="0"/>
          <w:numId w:val="3"/>
        </w:numPr>
        <w:ind w:left="567" w:hanging="567"/>
        <w:jc w:val="both"/>
        <w:rPr>
          <w:lang w:val="fr-FR"/>
        </w:rPr>
      </w:pPr>
      <w:proofErr w:type="gramStart"/>
      <w:r>
        <w:rPr>
          <w:lang w:val="fr"/>
        </w:rPr>
        <w:t>Suite à</w:t>
      </w:r>
      <w:proofErr w:type="gramEnd"/>
      <w:r>
        <w:rPr>
          <w:lang w:val="fr"/>
        </w:rPr>
        <w:t xml:space="preserve"> ces réflexions, les </w:t>
      </w:r>
      <w:r w:rsidR="002B0997">
        <w:rPr>
          <w:lang w:val="fr"/>
        </w:rPr>
        <w:t>d</w:t>
      </w:r>
      <w:r>
        <w:rPr>
          <w:lang w:val="fr"/>
        </w:rPr>
        <w:t>irectives opérationnelles ont été modifiées en juillet 2012, établissant le système actuel qui permet au Comité d</w:t>
      </w:r>
      <w:r w:rsidR="00244CEA">
        <w:rPr>
          <w:lang w:val="fr"/>
        </w:rPr>
        <w:t>’</w:t>
      </w:r>
      <w:r>
        <w:rPr>
          <w:lang w:val="fr"/>
        </w:rPr>
        <w:t>ajuster le nombre de dossiers d</w:t>
      </w:r>
      <w:r w:rsidR="00244CEA">
        <w:rPr>
          <w:lang w:val="fr"/>
        </w:rPr>
        <w:t>’</w:t>
      </w:r>
      <w:r>
        <w:rPr>
          <w:lang w:val="fr"/>
        </w:rPr>
        <w:t>un cycle donné en fonction d</w:t>
      </w:r>
      <w:r w:rsidR="00244CEA">
        <w:rPr>
          <w:lang w:val="fr"/>
        </w:rPr>
        <w:t>’</w:t>
      </w:r>
      <w:r>
        <w:rPr>
          <w:lang w:val="fr"/>
        </w:rPr>
        <w:t>un plafond et d</w:t>
      </w:r>
      <w:r w:rsidR="00244CEA">
        <w:rPr>
          <w:lang w:val="fr"/>
        </w:rPr>
        <w:t>’</w:t>
      </w:r>
      <w:r>
        <w:rPr>
          <w:lang w:val="fr"/>
        </w:rPr>
        <w:t xml:space="preserve">un ensemble de priorités, tout en reconnaissant la prérogative des États parties de soumettre un nombre </w:t>
      </w:r>
      <w:r w:rsidR="002B0997">
        <w:rPr>
          <w:lang w:val="fr"/>
        </w:rPr>
        <w:t xml:space="preserve">indéterminé </w:t>
      </w:r>
      <w:r>
        <w:rPr>
          <w:lang w:val="fr"/>
        </w:rPr>
        <w:t>de dossiers pour un cycle donné.</w:t>
      </w:r>
    </w:p>
    <w:p w14:paraId="54C8563D" w14:textId="516D4805" w:rsidR="007D2B08" w:rsidRPr="00EC30E9" w:rsidRDefault="007D2B08" w:rsidP="007D2B08">
      <w:pPr>
        <w:pStyle w:val="1GAPara"/>
        <w:numPr>
          <w:ilvl w:val="0"/>
          <w:numId w:val="3"/>
        </w:numPr>
        <w:ind w:left="567" w:hanging="567"/>
        <w:jc w:val="both"/>
        <w:rPr>
          <w:color w:val="000000"/>
          <w:lang w:val="fr-FR"/>
        </w:rPr>
      </w:pPr>
      <w:r>
        <w:rPr>
          <w:color w:val="000000"/>
          <w:lang w:val="fr"/>
        </w:rPr>
        <w:t xml:space="preserve">Une liste de </w:t>
      </w:r>
      <w:r w:rsidR="000A6C16">
        <w:rPr>
          <w:color w:val="000000"/>
          <w:lang w:val="fr"/>
        </w:rPr>
        <w:t>candidatures</w:t>
      </w:r>
      <w:r>
        <w:rPr>
          <w:color w:val="000000"/>
          <w:lang w:val="fr"/>
        </w:rPr>
        <w:t xml:space="preserve"> à traiter dans un cycle donné est établie sur la base des </w:t>
      </w:r>
      <w:r>
        <w:rPr>
          <w:lang w:val="fr"/>
        </w:rPr>
        <w:t>principes</w:t>
      </w:r>
      <w:r w:rsidR="000A6C16">
        <w:rPr>
          <w:lang w:val="fr"/>
        </w:rPr>
        <w:t xml:space="preserve"> </w:t>
      </w:r>
      <w:r>
        <w:rPr>
          <w:color w:val="000000"/>
          <w:lang w:val="fr"/>
        </w:rPr>
        <w:t xml:space="preserve">généraux </w:t>
      </w:r>
      <w:r w:rsidRPr="000A6C16">
        <w:rPr>
          <w:color w:val="000000"/>
          <w:lang w:val="fr"/>
        </w:rPr>
        <w:t>suivants</w:t>
      </w:r>
      <w:r w:rsidRPr="00561AE0">
        <w:rPr>
          <w:lang w:val="fr"/>
        </w:rPr>
        <w:t> :</w:t>
      </w:r>
    </w:p>
    <w:p w14:paraId="24A1413F" w14:textId="6870C83F" w:rsidR="007D2B08" w:rsidRPr="00EC30E9" w:rsidRDefault="007D2B08" w:rsidP="007D2B08">
      <w:pPr>
        <w:pStyle w:val="1GAPara"/>
        <w:ind w:left="567"/>
        <w:jc w:val="both"/>
        <w:rPr>
          <w:lang w:val="fr-FR"/>
        </w:rPr>
      </w:pPr>
      <w:r>
        <w:rPr>
          <w:b/>
          <w:bCs/>
          <w:lang w:val="fr"/>
        </w:rPr>
        <w:t>a. Plafond global annuel </w:t>
      </w:r>
      <w:r>
        <w:rPr>
          <w:lang w:val="fr"/>
        </w:rPr>
        <w:t>: Depuis 2012, le Comité détermine le nombre de candidatures aux quatre mécanismes susmentionnés qu</w:t>
      </w:r>
      <w:r w:rsidR="00244CEA">
        <w:rPr>
          <w:lang w:val="fr"/>
        </w:rPr>
        <w:t>’</w:t>
      </w:r>
      <w:r>
        <w:rPr>
          <w:lang w:val="fr"/>
        </w:rPr>
        <w:t xml:space="preserve">il peut traiter pour les deux sessions suivantes, comme indiqué au paragraphe 33 des </w:t>
      </w:r>
      <w:r w:rsidR="002B0997">
        <w:rPr>
          <w:lang w:val="fr"/>
        </w:rPr>
        <w:t>d</w:t>
      </w:r>
      <w:r>
        <w:rPr>
          <w:lang w:val="fr"/>
        </w:rPr>
        <w:t>irectives opérationnelles.</w:t>
      </w:r>
    </w:p>
    <w:p w14:paraId="5950D49E" w14:textId="5AA1EECF" w:rsidR="00EF2D6F" w:rsidRDefault="007D2B08" w:rsidP="007D2B08">
      <w:pPr>
        <w:pStyle w:val="1GAPara"/>
        <w:ind w:left="567"/>
        <w:jc w:val="both"/>
        <w:rPr>
          <w:color w:val="000000"/>
          <w:lang w:val="fr"/>
        </w:rPr>
      </w:pPr>
      <w:r>
        <w:rPr>
          <w:b/>
          <w:bCs/>
          <w:color w:val="000000"/>
          <w:lang w:val="fr"/>
        </w:rPr>
        <w:t>b. Priorités :</w:t>
      </w:r>
      <w:r>
        <w:rPr>
          <w:color w:val="000000"/>
          <w:lang w:val="fr"/>
        </w:rPr>
        <w:t xml:space="preserve"> Lorsque le nombre de dossiers proposés était supérieur au nombre établi comme plafond annuel global, le Comité s</w:t>
      </w:r>
      <w:r w:rsidR="00244CEA">
        <w:rPr>
          <w:color w:val="000000"/>
          <w:lang w:val="fr"/>
        </w:rPr>
        <w:t>’</w:t>
      </w:r>
      <w:r>
        <w:rPr>
          <w:color w:val="000000"/>
          <w:lang w:val="fr"/>
        </w:rPr>
        <w:t xml:space="preserve">est efforcé, depuis 2012, de suivre les priorités telles que définies au paragraphe 34 des </w:t>
      </w:r>
      <w:r w:rsidR="002B0997">
        <w:rPr>
          <w:color w:val="000000"/>
          <w:lang w:val="fr"/>
        </w:rPr>
        <w:t>d</w:t>
      </w:r>
      <w:r>
        <w:rPr>
          <w:color w:val="000000"/>
          <w:lang w:val="fr"/>
        </w:rPr>
        <w:t xml:space="preserve">irectives opérationnelles. En outre, </w:t>
      </w:r>
      <w:r w:rsidR="007B783A">
        <w:rPr>
          <w:color w:val="000000"/>
          <w:lang w:val="fr"/>
        </w:rPr>
        <w:t xml:space="preserve">la neuvième session du </w:t>
      </w:r>
      <w:r>
        <w:rPr>
          <w:color w:val="000000"/>
          <w:lang w:val="fr"/>
        </w:rPr>
        <w:t>Comité a décidé,</w:t>
      </w:r>
      <w:r w:rsidR="000A6C16">
        <w:rPr>
          <w:color w:val="000000"/>
          <w:lang w:val="fr"/>
        </w:rPr>
        <w:t xml:space="preserve"> en 2014,</w:t>
      </w:r>
      <w:r>
        <w:rPr>
          <w:color w:val="000000"/>
          <w:lang w:val="fr"/>
        </w:rPr>
        <w:t xml:space="preserve"> pour la période 201</w:t>
      </w:r>
      <w:r w:rsidR="00273797">
        <w:rPr>
          <w:color w:val="000000"/>
          <w:lang w:val="fr"/>
        </w:rPr>
        <w:t>6</w:t>
      </w:r>
      <w:r>
        <w:rPr>
          <w:lang w:val="fr"/>
        </w:rPr>
        <w:t>–</w:t>
      </w:r>
      <w:r>
        <w:rPr>
          <w:color w:val="000000"/>
          <w:lang w:val="fr"/>
        </w:rPr>
        <w:t>201</w:t>
      </w:r>
      <w:r w:rsidR="00273797">
        <w:rPr>
          <w:color w:val="000000"/>
          <w:lang w:val="fr"/>
        </w:rPr>
        <w:t>7</w:t>
      </w:r>
      <w:r>
        <w:rPr>
          <w:color w:val="000000"/>
          <w:lang w:val="fr"/>
        </w:rPr>
        <w:t>, qu</w:t>
      </w:r>
      <w:r w:rsidR="00244CEA">
        <w:rPr>
          <w:color w:val="000000"/>
          <w:lang w:val="fr"/>
        </w:rPr>
        <w:t>’</w:t>
      </w:r>
      <w:r>
        <w:rPr>
          <w:lang w:val="fr"/>
        </w:rPr>
        <w:t xml:space="preserve">au moins un dossier par État </w:t>
      </w:r>
      <w:r w:rsidR="0045222D">
        <w:rPr>
          <w:lang w:val="fr"/>
        </w:rPr>
        <w:t>soumissionnaire</w:t>
      </w:r>
      <w:r w:rsidR="000A6C16">
        <w:rPr>
          <w:lang w:val="fr"/>
        </w:rPr>
        <w:t xml:space="preserve"> </w:t>
      </w:r>
      <w:r>
        <w:rPr>
          <w:lang w:val="fr"/>
        </w:rPr>
        <w:t>devait être traité sur une période de deux ans, ce qui est devenu la « priorité (0) » ; cette décision a été renouvelée tous les deux ans à ce jour</w:t>
      </w:r>
      <w:r>
        <w:rPr>
          <w:rStyle w:val="Appelnotedebasdep"/>
          <w:lang w:val="fr"/>
        </w:rPr>
        <w:footnoteReference w:id="5"/>
      </w:r>
      <w:r>
        <w:rPr>
          <w:lang w:val="fr"/>
        </w:rPr>
        <w:t>.</w:t>
      </w:r>
      <w:r>
        <w:rPr>
          <w:color w:val="000000"/>
          <w:lang w:val="fr"/>
        </w:rPr>
        <w:t xml:space="preserve"> En résumé, les dossiers sont traités selon l</w:t>
      </w:r>
      <w:r w:rsidR="00244CEA">
        <w:rPr>
          <w:color w:val="000000"/>
          <w:lang w:val="fr"/>
        </w:rPr>
        <w:t>’</w:t>
      </w:r>
      <w:r>
        <w:rPr>
          <w:color w:val="000000"/>
          <w:lang w:val="fr"/>
        </w:rPr>
        <w:t>ordre de priorité suivant :</w:t>
      </w:r>
    </w:p>
    <w:p w14:paraId="11535411" w14:textId="77777777" w:rsidR="00EF2D6F" w:rsidRDefault="00EF2D6F">
      <w:pPr>
        <w:spacing w:after="0"/>
        <w:rPr>
          <w:rFonts w:ascii="Arial" w:hAnsi="Arial" w:cs="Arial"/>
          <w:snapToGrid w:val="0"/>
          <w:color w:val="000000"/>
          <w:szCs w:val="22"/>
          <w:lang w:val="fr" w:eastAsia="en-US"/>
        </w:rPr>
      </w:pPr>
      <w:r>
        <w:rPr>
          <w:color w:val="000000"/>
          <w:lang w:val="fr"/>
        </w:rPr>
        <w:br w:type="page"/>
      </w:r>
    </w:p>
    <w:tbl>
      <w:tblPr>
        <w:tblStyle w:val="Grilledutableau"/>
        <w:tblW w:w="0" w:type="auto"/>
        <w:tblInd w:w="567" w:type="dxa"/>
        <w:tblLook w:val="04A0" w:firstRow="1" w:lastRow="0" w:firstColumn="1" w:lastColumn="0" w:noHBand="0" w:noVBand="1"/>
      </w:tblPr>
      <w:tblGrid>
        <w:gridCol w:w="9061"/>
      </w:tblGrid>
      <w:tr w:rsidR="007D2B08" w:rsidRPr="00E17DFF" w14:paraId="13FE6F10" w14:textId="77777777" w:rsidTr="00561AE0">
        <w:trPr>
          <w:trHeight w:val="1124"/>
        </w:trPr>
        <w:tc>
          <w:tcPr>
            <w:tcW w:w="9061" w:type="dxa"/>
          </w:tcPr>
          <w:p w14:paraId="0CF99D39" w14:textId="175FD5BA" w:rsidR="007D2B08" w:rsidRDefault="007D2B08" w:rsidP="00830A0D">
            <w:pPr>
              <w:tabs>
                <w:tab w:val="left" w:pos="600"/>
              </w:tabs>
              <w:spacing w:before="120"/>
              <w:ind w:left="567" w:hanging="567"/>
              <w:jc w:val="both"/>
              <w:rPr>
                <w:rFonts w:ascii="Arial" w:hAnsi="Arial" w:cs="Arial"/>
                <w:lang w:val="fr"/>
              </w:rPr>
            </w:pPr>
            <w:r>
              <w:rPr>
                <w:rFonts w:ascii="Arial" w:hAnsi="Arial" w:cs="Arial"/>
                <w:lang w:val="fr"/>
              </w:rPr>
              <w:lastRenderedPageBreak/>
              <w:t>(0)</w:t>
            </w:r>
            <w:r w:rsidR="007B783A">
              <w:rPr>
                <w:rFonts w:ascii="Arial" w:hAnsi="Arial" w:cs="Arial"/>
                <w:lang w:val="fr"/>
              </w:rPr>
              <w:t xml:space="preserve"> </w:t>
            </w:r>
            <w:r w:rsidR="007B783A">
              <w:rPr>
                <w:rFonts w:ascii="Arial" w:hAnsi="Arial" w:cs="Arial"/>
                <w:lang w:val="fr"/>
              </w:rPr>
              <w:tab/>
            </w:r>
            <w:r w:rsidRPr="00561AE0">
              <w:rPr>
                <w:rFonts w:ascii="Arial" w:hAnsi="Arial" w:cs="Arial"/>
                <w:lang w:val="fr-FR"/>
              </w:rPr>
              <w:t>dossiers</w:t>
            </w:r>
            <w:r>
              <w:rPr>
                <w:rFonts w:ascii="Arial" w:hAnsi="Arial" w:cs="Arial"/>
                <w:lang w:val="fr"/>
              </w:rPr>
              <w:t xml:space="preserve"> d</w:t>
            </w:r>
            <w:r w:rsidR="00244CEA">
              <w:rPr>
                <w:rFonts w:ascii="Arial" w:hAnsi="Arial" w:cs="Arial"/>
                <w:lang w:val="fr"/>
              </w:rPr>
              <w:t>’</w:t>
            </w:r>
            <w:r>
              <w:rPr>
                <w:rFonts w:ascii="Arial" w:hAnsi="Arial" w:cs="Arial"/>
                <w:lang w:val="fr"/>
              </w:rPr>
              <w:t>États qui n</w:t>
            </w:r>
            <w:r w:rsidR="00244CEA">
              <w:rPr>
                <w:rFonts w:ascii="Arial" w:hAnsi="Arial" w:cs="Arial"/>
                <w:lang w:val="fr"/>
              </w:rPr>
              <w:t>’</w:t>
            </w:r>
            <w:r>
              <w:rPr>
                <w:rFonts w:ascii="Arial" w:hAnsi="Arial" w:cs="Arial"/>
                <w:lang w:val="fr"/>
              </w:rPr>
              <w:t>ont pas eu de dossier traité au cours du cycle précédent ;</w:t>
            </w:r>
          </w:p>
          <w:p w14:paraId="5F1155CB" w14:textId="79406BB6" w:rsidR="007D2B08" w:rsidRPr="00EC30E9" w:rsidRDefault="007D2B08" w:rsidP="00561AE0">
            <w:pPr>
              <w:tabs>
                <w:tab w:val="left" w:pos="600"/>
              </w:tabs>
              <w:spacing w:before="120"/>
              <w:ind w:left="567" w:hanging="567"/>
              <w:jc w:val="both"/>
              <w:rPr>
                <w:rFonts w:ascii="Arial" w:hAnsi="Arial" w:cs="Arial"/>
                <w:lang w:val="fr-FR"/>
              </w:rPr>
            </w:pPr>
            <w:r>
              <w:rPr>
                <w:rFonts w:ascii="Arial" w:hAnsi="Arial" w:cs="Arial"/>
                <w:lang w:val="fr"/>
              </w:rPr>
              <w:t xml:space="preserve">(i) </w:t>
            </w:r>
            <w:r>
              <w:rPr>
                <w:rFonts w:ascii="Arial" w:hAnsi="Arial" w:cs="Arial"/>
                <w:lang w:val="fr"/>
              </w:rPr>
              <w:tab/>
              <w:t>dossiers d</w:t>
            </w:r>
            <w:r w:rsidR="00244CEA">
              <w:rPr>
                <w:rFonts w:ascii="Arial" w:hAnsi="Arial" w:cs="Arial"/>
                <w:lang w:val="fr"/>
              </w:rPr>
              <w:t>’</w:t>
            </w:r>
            <w:r>
              <w:rPr>
                <w:rFonts w:ascii="Arial" w:hAnsi="Arial" w:cs="Arial"/>
                <w:lang w:val="fr"/>
              </w:rPr>
              <w:t>États n</w:t>
            </w:r>
            <w:r w:rsidR="00244CEA">
              <w:rPr>
                <w:rFonts w:ascii="Arial" w:hAnsi="Arial" w:cs="Arial"/>
                <w:lang w:val="fr"/>
              </w:rPr>
              <w:t>’</w:t>
            </w:r>
            <w:r>
              <w:rPr>
                <w:rFonts w:ascii="Arial" w:hAnsi="Arial" w:cs="Arial"/>
                <w:lang w:val="fr"/>
              </w:rPr>
              <w:t>ayant aucun élément inscrit, ayant de bonnes pratiques de sauvegarde sélectionnées ou des demandes d</w:t>
            </w:r>
            <w:r w:rsidR="00244CEA">
              <w:rPr>
                <w:rFonts w:ascii="Arial" w:hAnsi="Arial" w:cs="Arial"/>
                <w:lang w:val="fr"/>
              </w:rPr>
              <w:t>’</w:t>
            </w:r>
            <w:r>
              <w:rPr>
                <w:rFonts w:ascii="Arial" w:hAnsi="Arial" w:cs="Arial"/>
                <w:lang w:val="fr"/>
              </w:rPr>
              <w:t xml:space="preserve">assistance internationale supérieures à 100 000 dollars </w:t>
            </w:r>
            <w:r w:rsidR="000A6C16">
              <w:rPr>
                <w:rFonts w:ascii="Arial" w:hAnsi="Arial" w:cs="Arial"/>
                <w:lang w:val="fr"/>
              </w:rPr>
              <w:t xml:space="preserve">des États-Unis </w:t>
            </w:r>
            <w:r>
              <w:rPr>
                <w:rFonts w:ascii="Arial" w:hAnsi="Arial" w:cs="Arial"/>
                <w:lang w:val="fr"/>
              </w:rPr>
              <w:t>approuvées, et des candidatures à la Liste du patrimoine culturel immatériel nécessitant une sauvegarde urgente ;</w:t>
            </w:r>
          </w:p>
          <w:p w14:paraId="37152E87" w14:textId="77777777" w:rsidR="007D2B08" w:rsidRPr="00EC30E9" w:rsidRDefault="007D2B08" w:rsidP="00561AE0">
            <w:pPr>
              <w:tabs>
                <w:tab w:val="left" w:pos="600"/>
              </w:tabs>
              <w:spacing w:before="120" w:after="0"/>
              <w:ind w:left="567" w:hanging="567"/>
              <w:jc w:val="both"/>
              <w:rPr>
                <w:rFonts w:ascii="Arial" w:hAnsi="Arial" w:cs="Arial"/>
                <w:lang w:val="fr-FR"/>
              </w:rPr>
            </w:pPr>
            <w:r>
              <w:rPr>
                <w:rFonts w:ascii="Arial" w:hAnsi="Arial" w:cs="Arial"/>
                <w:lang w:val="fr"/>
              </w:rPr>
              <w:t xml:space="preserve">(ii) </w:t>
            </w:r>
            <w:r>
              <w:rPr>
                <w:rFonts w:ascii="Arial" w:hAnsi="Arial" w:cs="Arial"/>
                <w:lang w:val="fr"/>
              </w:rPr>
              <w:tab/>
              <w:t>dossiers multinationaux ; et</w:t>
            </w:r>
          </w:p>
          <w:p w14:paraId="42A6CC75" w14:textId="63CDE6EB" w:rsidR="007D2B08" w:rsidRPr="00EC30E9" w:rsidRDefault="007D2B08" w:rsidP="00561AE0">
            <w:pPr>
              <w:tabs>
                <w:tab w:val="left" w:pos="600"/>
              </w:tabs>
              <w:spacing w:before="120"/>
              <w:ind w:left="567" w:hanging="567"/>
              <w:jc w:val="both"/>
              <w:rPr>
                <w:rFonts w:ascii="Arial" w:hAnsi="Arial" w:cs="Arial"/>
                <w:color w:val="000000"/>
                <w:lang w:val="fr-FR"/>
              </w:rPr>
            </w:pPr>
            <w:r>
              <w:rPr>
                <w:rFonts w:ascii="Arial" w:hAnsi="Arial" w:cs="Arial"/>
                <w:lang w:val="fr"/>
              </w:rPr>
              <w:t xml:space="preserve">(iii) </w:t>
            </w:r>
            <w:r>
              <w:rPr>
                <w:rFonts w:ascii="Arial" w:hAnsi="Arial" w:cs="Arial"/>
                <w:lang w:val="fr"/>
              </w:rPr>
              <w:tab/>
              <w:t>dossiers d</w:t>
            </w:r>
            <w:r w:rsidR="00244CEA">
              <w:rPr>
                <w:rFonts w:ascii="Arial" w:hAnsi="Arial" w:cs="Arial"/>
                <w:lang w:val="fr"/>
              </w:rPr>
              <w:t>’</w:t>
            </w:r>
            <w:r>
              <w:rPr>
                <w:rFonts w:ascii="Arial" w:hAnsi="Arial" w:cs="Arial"/>
                <w:lang w:val="fr"/>
              </w:rPr>
              <w:t>États ayant le moins d</w:t>
            </w:r>
            <w:r w:rsidR="00244CEA">
              <w:rPr>
                <w:rFonts w:ascii="Arial" w:hAnsi="Arial" w:cs="Arial"/>
                <w:lang w:val="fr"/>
              </w:rPr>
              <w:t>’</w:t>
            </w:r>
            <w:r>
              <w:rPr>
                <w:rFonts w:ascii="Arial" w:hAnsi="Arial" w:cs="Arial"/>
                <w:lang w:val="fr"/>
              </w:rPr>
              <w:t>éléments inscrits, de bonnes pratiques de sauvegarde sélectionnées ou de demandes d</w:t>
            </w:r>
            <w:r w:rsidR="00244CEA">
              <w:rPr>
                <w:rFonts w:ascii="Arial" w:hAnsi="Arial" w:cs="Arial"/>
                <w:lang w:val="fr"/>
              </w:rPr>
              <w:t>’</w:t>
            </w:r>
            <w:r>
              <w:rPr>
                <w:rFonts w:ascii="Arial" w:hAnsi="Arial" w:cs="Arial"/>
                <w:lang w:val="fr"/>
              </w:rPr>
              <w:t xml:space="preserve">assistance internationale supérieures à 100 000 dollars </w:t>
            </w:r>
            <w:r w:rsidR="000A6C16">
              <w:rPr>
                <w:rFonts w:ascii="Arial" w:hAnsi="Arial" w:cs="Arial"/>
                <w:lang w:val="fr"/>
              </w:rPr>
              <w:t xml:space="preserve">des États-Unis </w:t>
            </w:r>
            <w:r>
              <w:rPr>
                <w:rFonts w:ascii="Arial" w:hAnsi="Arial" w:cs="Arial"/>
                <w:lang w:val="fr"/>
              </w:rPr>
              <w:t>approuvées, par rapport aux autres États soumissionnaires au cours du même cycle.</w:t>
            </w:r>
          </w:p>
        </w:tc>
      </w:tr>
    </w:tbl>
    <w:p w14:paraId="22F76206" w14:textId="074D9D4E" w:rsidR="007D2B08" w:rsidRPr="00EC30E9" w:rsidRDefault="007D2B08" w:rsidP="007D2B08">
      <w:pPr>
        <w:pStyle w:val="1GAPara"/>
        <w:spacing w:before="120"/>
        <w:ind w:left="567"/>
        <w:jc w:val="both"/>
        <w:rPr>
          <w:lang w:val="fr-FR"/>
        </w:rPr>
      </w:pPr>
      <w:r>
        <w:rPr>
          <w:b/>
          <w:bCs/>
          <w:lang w:val="fr"/>
        </w:rPr>
        <w:t>c. Équité </w:t>
      </w:r>
      <w:r>
        <w:rPr>
          <w:lang w:val="fr"/>
        </w:rPr>
        <w:t xml:space="preserve">: En outre, le Comité a décidé que, pour chaque cycle depuis 2015, </w:t>
      </w:r>
      <w:r w:rsidR="002B0997">
        <w:rPr>
          <w:lang w:val="fr"/>
        </w:rPr>
        <w:t>une</w:t>
      </w:r>
      <w:r>
        <w:rPr>
          <w:lang w:val="fr"/>
        </w:rPr>
        <w:t xml:space="preserve"> flexibilité pouvait être exercée si elle permettait d</w:t>
      </w:r>
      <w:r w:rsidR="00244CEA">
        <w:rPr>
          <w:lang w:val="fr"/>
        </w:rPr>
        <w:t>’</w:t>
      </w:r>
      <w:r>
        <w:rPr>
          <w:lang w:val="fr"/>
        </w:rPr>
        <w:t xml:space="preserve">atteindre une plus grande équité entre les États soumissionnaires ayant une priorité égale en vertu du paragraphe 34 des </w:t>
      </w:r>
      <w:r w:rsidR="002B0997">
        <w:rPr>
          <w:lang w:val="fr"/>
        </w:rPr>
        <w:t>d</w:t>
      </w:r>
      <w:r>
        <w:rPr>
          <w:lang w:val="fr"/>
        </w:rPr>
        <w:t>irectives opérationnelles. En d</w:t>
      </w:r>
      <w:r w:rsidR="00244CEA">
        <w:rPr>
          <w:lang w:val="fr"/>
        </w:rPr>
        <w:t>’</w:t>
      </w:r>
      <w:r>
        <w:rPr>
          <w:lang w:val="fr"/>
        </w:rPr>
        <w:t>autres termes, si plusieurs États ont le même nombre d</w:t>
      </w:r>
      <w:r w:rsidR="00244CEA">
        <w:rPr>
          <w:lang w:val="fr"/>
        </w:rPr>
        <w:t>’</w:t>
      </w:r>
      <w:r>
        <w:rPr>
          <w:lang w:val="fr"/>
        </w:rPr>
        <w:t xml:space="preserve">éléments inscrits ou de bonnes pratiques sélectionnées, ils deviendront </w:t>
      </w:r>
      <w:r>
        <w:rPr>
          <w:color w:val="000000"/>
          <w:lang w:val="fr"/>
        </w:rPr>
        <w:t>tous</w:t>
      </w:r>
      <w:r>
        <w:rPr>
          <w:lang w:val="fr"/>
        </w:rPr>
        <w:t xml:space="preserve"> des États prioritaires, même si le nombre total de dossiers dépasse le plafond annuel, comme ce fut le cas pour les cycles 2016 et 2019.</w:t>
      </w:r>
    </w:p>
    <w:p w14:paraId="07785647" w14:textId="2C3A97CD" w:rsidR="007D2B08" w:rsidRPr="00DF06A3" w:rsidRDefault="007D2B08" w:rsidP="007D2B08">
      <w:pPr>
        <w:pStyle w:val="1GAPara"/>
        <w:spacing w:before="240"/>
        <w:ind w:left="567" w:hanging="567"/>
        <w:rPr>
          <w:b/>
          <w:bCs/>
        </w:rPr>
      </w:pPr>
      <w:r>
        <w:rPr>
          <w:b/>
          <w:bCs/>
          <w:lang w:val="fr"/>
        </w:rPr>
        <w:t xml:space="preserve">A. </w:t>
      </w:r>
      <w:r w:rsidR="00BB2536">
        <w:rPr>
          <w:b/>
          <w:bCs/>
          <w:lang w:val="fr"/>
        </w:rPr>
        <w:tab/>
      </w:r>
      <w:r>
        <w:rPr>
          <w:b/>
          <w:bCs/>
          <w:lang w:val="fr"/>
        </w:rPr>
        <w:t>Sujets de réflexion</w:t>
      </w:r>
    </w:p>
    <w:p w14:paraId="2E9289F5" w14:textId="4056596C" w:rsidR="007D2B08" w:rsidRPr="00EC30E9" w:rsidRDefault="007D2B08" w:rsidP="007D2B08">
      <w:pPr>
        <w:pStyle w:val="1GAPara"/>
        <w:numPr>
          <w:ilvl w:val="0"/>
          <w:numId w:val="3"/>
        </w:numPr>
        <w:ind w:left="567" w:hanging="567"/>
        <w:jc w:val="both"/>
        <w:rPr>
          <w:lang w:val="fr-FR"/>
        </w:rPr>
      </w:pPr>
      <w:r>
        <w:rPr>
          <w:color w:val="000000"/>
          <w:lang w:val="fr"/>
        </w:rPr>
        <w:t xml:space="preserve">Les sujets que le groupe de travail est invité à examiner au titre du point 10 lors de la </w:t>
      </w:r>
      <w:r w:rsidR="00CD7990">
        <w:rPr>
          <w:color w:val="000000"/>
          <w:lang w:val="fr"/>
        </w:rPr>
        <w:t>p</w:t>
      </w:r>
      <w:r>
        <w:rPr>
          <w:color w:val="000000"/>
          <w:lang w:val="fr"/>
        </w:rPr>
        <w:t>artie III</w:t>
      </w:r>
      <w:r w:rsidR="002B0997">
        <w:rPr>
          <w:color w:val="000000"/>
          <w:lang w:val="fr"/>
        </w:rPr>
        <w:t xml:space="preserve"> de sa réunion</w:t>
      </w:r>
      <w:r>
        <w:rPr>
          <w:color w:val="000000"/>
          <w:lang w:val="fr"/>
        </w:rPr>
        <w:t xml:space="preserve"> sont énumérés ci-dessous, tels que déterminés par la </w:t>
      </w:r>
      <w:r w:rsidR="0045222D">
        <w:rPr>
          <w:color w:val="000000"/>
          <w:lang w:val="fr"/>
        </w:rPr>
        <w:t>s</w:t>
      </w:r>
      <w:r>
        <w:rPr>
          <w:color w:val="000000"/>
          <w:lang w:val="fr"/>
        </w:rPr>
        <w:t>eizième session du Comité (</w:t>
      </w:r>
      <w:r w:rsidR="00BB2536">
        <w:rPr>
          <w:color w:val="000000"/>
          <w:lang w:val="fr"/>
        </w:rPr>
        <w:t>voir</w:t>
      </w:r>
      <w:r>
        <w:rPr>
          <w:rFonts w:asciiTheme="minorBidi" w:hAnsiTheme="minorBidi"/>
          <w:lang w:val="fr"/>
        </w:rPr>
        <w:t xml:space="preserve"> le paragraphe 14 (c) de la rubrique </w:t>
      </w:r>
      <w:proofErr w:type="gramStart"/>
      <w:r>
        <w:rPr>
          <w:rFonts w:asciiTheme="minorBidi" w:hAnsiTheme="minorBidi"/>
          <w:lang w:val="fr"/>
        </w:rPr>
        <w:t>« </w:t>
      </w:r>
      <w:r w:rsidR="00A4430F">
        <w:rPr>
          <w:rFonts w:asciiTheme="minorBidi" w:hAnsiTheme="minorBidi"/>
          <w:lang w:val="fr"/>
        </w:rPr>
        <w:t>Perspectives futures</w:t>
      </w:r>
      <w:r>
        <w:rPr>
          <w:rFonts w:asciiTheme="minorBidi" w:hAnsiTheme="minorBidi"/>
          <w:lang w:val="fr"/>
        </w:rPr>
        <w:t> »</w:t>
      </w:r>
      <w:proofErr w:type="gramEnd"/>
      <w:r>
        <w:rPr>
          <w:rFonts w:asciiTheme="minorBidi" w:hAnsiTheme="minorBidi"/>
          <w:lang w:val="fr"/>
        </w:rPr>
        <w:t xml:space="preserve"> de l</w:t>
      </w:r>
      <w:r w:rsidR="00244CEA">
        <w:rPr>
          <w:rFonts w:asciiTheme="minorBidi" w:hAnsiTheme="minorBidi"/>
          <w:lang w:val="fr"/>
        </w:rPr>
        <w:t>’</w:t>
      </w:r>
      <w:r w:rsidR="00BB2536" w:rsidRPr="00561AE0">
        <w:rPr>
          <w:lang w:val="fr-FR"/>
        </w:rPr>
        <w:t>annexe I</w:t>
      </w:r>
      <w:r>
        <w:rPr>
          <w:rFonts w:asciiTheme="minorBidi" w:hAnsiTheme="minorBidi"/>
          <w:lang w:val="fr"/>
        </w:rPr>
        <w:t xml:space="preserve"> de la </w:t>
      </w:r>
      <w:r w:rsidR="0045222D">
        <w:rPr>
          <w:rFonts w:asciiTheme="minorBidi" w:hAnsiTheme="minorBidi"/>
          <w:lang w:val="fr"/>
        </w:rPr>
        <w:t>d</w:t>
      </w:r>
      <w:r>
        <w:rPr>
          <w:rFonts w:asciiTheme="minorBidi" w:hAnsiTheme="minorBidi"/>
          <w:lang w:val="fr"/>
        </w:rPr>
        <w:t>écision </w:t>
      </w:r>
      <w:hyperlink r:id="rId8" w:history="1">
        <w:r>
          <w:rPr>
            <w:rStyle w:val="Lienhypertexte"/>
            <w:rFonts w:asciiTheme="minorBidi" w:hAnsiTheme="minorBidi" w:cstheme="minorBidi"/>
            <w:lang w:val="fr"/>
          </w:rPr>
          <w:t>16.COM 14</w:t>
        </w:r>
      </w:hyperlink>
      <w:r>
        <w:rPr>
          <w:color w:val="000000"/>
          <w:lang w:val="fr"/>
        </w:rPr>
        <w:t>).</w:t>
      </w:r>
      <w:r>
        <w:rPr>
          <w:lang w:val="fr"/>
        </w:rPr>
        <w:t xml:space="preserve"> Il est proposé que le groupe de travail se concentre sur le </w:t>
      </w:r>
      <w:r w:rsidR="00FB7362">
        <w:rPr>
          <w:lang w:val="fr"/>
        </w:rPr>
        <w:t xml:space="preserve">sujet </w:t>
      </w:r>
      <w:r>
        <w:rPr>
          <w:lang w:val="fr"/>
        </w:rPr>
        <w:t xml:space="preserve">1 comme principal sujet de discussion, puisque les </w:t>
      </w:r>
      <w:r w:rsidR="00FB7362">
        <w:rPr>
          <w:lang w:val="fr"/>
        </w:rPr>
        <w:t xml:space="preserve">sujets </w:t>
      </w:r>
      <w:r>
        <w:rPr>
          <w:lang w:val="fr"/>
        </w:rPr>
        <w:t xml:space="preserve">2 à 5 peuvent être considérés comme dépendant du résultat des discussions sur le </w:t>
      </w:r>
      <w:r w:rsidR="00FB7362">
        <w:rPr>
          <w:lang w:val="fr"/>
        </w:rPr>
        <w:t xml:space="preserve">sujet </w:t>
      </w:r>
      <w:r>
        <w:rPr>
          <w:lang w:val="fr"/>
        </w:rPr>
        <w:t>1.</w:t>
      </w:r>
    </w:p>
    <w:tbl>
      <w:tblPr>
        <w:tblStyle w:val="Grilledutableau"/>
        <w:tblW w:w="0" w:type="auto"/>
        <w:tblInd w:w="567" w:type="dxa"/>
        <w:tblLook w:val="04A0" w:firstRow="1" w:lastRow="0" w:firstColumn="1" w:lastColumn="0" w:noHBand="0" w:noVBand="1"/>
      </w:tblPr>
      <w:tblGrid>
        <w:gridCol w:w="9061"/>
      </w:tblGrid>
      <w:tr w:rsidR="007D2B08" w:rsidRPr="00E17DFF" w14:paraId="514A978C" w14:textId="77777777" w:rsidTr="00561AE0">
        <w:tc>
          <w:tcPr>
            <w:tcW w:w="9061"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46C33D44" w14:textId="6EB393BF" w:rsidR="007D2B08" w:rsidRPr="00EC30E9" w:rsidRDefault="007D2B08" w:rsidP="00561AE0">
            <w:pPr>
              <w:pStyle w:val="Paragraphedeliste"/>
              <w:numPr>
                <w:ilvl w:val="1"/>
                <w:numId w:val="4"/>
              </w:numPr>
              <w:spacing w:before="120"/>
              <w:ind w:left="743" w:hanging="567"/>
              <w:contextualSpacing w:val="0"/>
              <w:jc w:val="both"/>
              <w:rPr>
                <w:rFonts w:asciiTheme="minorBidi" w:hAnsiTheme="minorBidi" w:cstheme="minorBidi"/>
                <w:szCs w:val="22"/>
                <w:lang w:val="fr-FR"/>
              </w:rPr>
            </w:pPr>
            <w:r>
              <w:rPr>
                <w:rFonts w:asciiTheme="minorBidi" w:hAnsiTheme="minorBidi" w:cstheme="minorBidi"/>
                <w:i/>
                <w:iCs/>
                <w:szCs w:val="22"/>
                <w:lang w:val="fr"/>
              </w:rPr>
              <w:t>(Sujet 1) « </w:t>
            </w:r>
            <w:r>
              <w:rPr>
                <w:rFonts w:asciiTheme="minorBidi" w:hAnsiTheme="minorBidi" w:cstheme="minorBidi"/>
                <w:szCs w:val="22"/>
                <w:lang w:val="fr"/>
              </w:rPr>
              <w:t>Revoir l</w:t>
            </w:r>
            <w:r w:rsidR="00244CEA">
              <w:rPr>
                <w:rFonts w:asciiTheme="minorBidi" w:hAnsiTheme="minorBidi" w:cstheme="minorBidi"/>
                <w:szCs w:val="22"/>
                <w:lang w:val="fr"/>
              </w:rPr>
              <w:t>’</w:t>
            </w:r>
            <w:r>
              <w:rPr>
                <w:rFonts w:asciiTheme="minorBidi" w:hAnsiTheme="minorBidi" w:cstheme="minorBidi"/>
                <w:szCs w:val="22"/>
                <w:lang w:val="fr"/>
              </w:rPr>
              <w:t>adaptabilité de la composition et des méthodes de travail de l</w:t>
            </w:r>
            <w:r w:rsidR="00244CEA">
              <w:rPr>
                <w:rFonts w:asciiTheme="minorBidi" w:hAnsiTheme="minorBidi" w:cstheme="minorBidi"/>
                <w:szCs w:val="22"/>
                <w:lang w:val="fr"/>
              </w:rPr>
              <w:t>’</w:t>
            </w:r>
            <w:r>
              <w:rPr>
                <w:rFonts w:asciiTheme="minorBidi" w:hAnsiTheme="minorBidi" w:cstheme="minorBidi"/>
                <w:szCs w:val="22"/>
                <w:lang w:val="fr"/>
              </w:rPr>
              <w:t>Organe d</w:t>
            </w:r>
            <w:r w:rsidR="00244CEA">
              <w:rPr>
                <w:rFonts w:asciiTheme="minorBidi" w:hAnsiTheme="minorBidi" w:cstheme="minorBidi"/>
                <w:szCs w:val="22"/>
                <w:lang w:val="fr"/>
              </w:rPr>
              <w:t>’</w:t>
            </w:r>
            <w:r>
              <w:rPr>
                <w:rFonts w:asciiTheme="minorBidi" w:hAnsiTheme="minorBidi" w:cstheme="minorBidi"/>
                <w:szCs w:val="22"/>
                <w:lang w:val="fr"/>
              </w:rPr>
              <w:t>évaluation afin de permettre l</w:t>
            </w:r>
            <w:r w:rsidR="00244CEA">
              <w:rPr>
                <w:rFonts w:asciiTheme="minorBidi" w:hAnsiTheme="minorBidi" w:cstheme="minorBidi"/>
                <w:szCs w:val="22"/>
                <w:lang w:val="fr"/>
              </w:rPr>
              <w:t>’</w:t>
            </w:r>
            <w:r>
              <w:rPr>
                <w:rFonts w:asciiTheme="minorBidi" w:hAnsiTheme="minorBidi" w:cstheme="minorBidi"/>
                <w:szCs w:val="22"/>
                <w:lang w:val="fr"/>
              </w:rPr>
              <w:t>évaluation d</w:t>
            </w:r>
            <w:r w:rsidR="00244CEA">
              <w:rPr>
                <w:rFonts w:asciiTheme="minorBidi" w:hAnsiTheme="minorBidi" w:cstheme="minorBidi"/>
                <w:szCs w:val="22"/>
                <w:lang w:val="fr"/>
              </w:rPr>
              <w:t>’</w:t>
            </w:r>
            <w:r>
              <w:rPr>
                <w:rFonts w:asciiTheme="minorBidi" w:hAnsiTheme="minorBidi" w:cstheme="minorBidi"/>
                <w:szCs w:val="22"/>
                <w:lang w:val="fr"/>
              </w:rPr>
              <w:t>un plus grand nombre de dossiers par cycle, en gardant à l</w:t>
            </w:r>
            <w:r w:rsidR="00244CEA">
              <w:rPr>
                <w:rFonts w:asciiTheme="minorBidi" w:hAnsiTheme="minorBidi" w:cstheme="minorBidi"/>
                <w:szCs w:val="22"/>
                <w:lang w:val="fr"/>
              </w:rPr>
              <w:t>’</w:t>
            </w:r>
            <w:r>
              <w:rPr>
                <w:rFonts w:asciiTheme="minorBidi" w:hAnsiTheme="minorBidi" w:cstheme="minorBidi"/>
                <w:szCs w:val="22"/>
                <w:lang w:val="fr"/>
              </w:rPr>
              <w:t>esprit la représentation géographique ».</w:t>
            </w:r>
          </w:p>
          <w:p w14:paraId="4B123B8F" w14:textId="77777777" w:rsidR="007D2B08" w:rsidRPr="00DF06A3" w:rsidRDefault="007D2B08" w:rsidP="00561AE0">
            <w:pPr>
              <w:pStyle w:val="Paragraphedeliste"/>
              <w:spacing w:before="120"/>
              <w:ind w:left="743"/>
              <w:contextualSpacing w:val="0"/>
              <w:jc w:val="center"/>
              <w:rPr>
                <w:rFonts w:asciiTheme="minorBidi" w:hAnsiTheme="minorBidi" w:cstheme="minorBidi"/>
                <w:szCs w:val="22"/>
              </w:rPr>
            </w:pPr>
            <w:r>
              <w:rPr>
                <w:rFonts w:asciiTheme="minorBidi" w:hAnsiTheme="minorBidi" w:cstheme="minorBidi"/>
                <w:i/>
                <w:iCs/>
                <w:szCs w:val="22"/>
                <w:lang w:val="fr"/>
              </w:rPr>
              <w:t>***</w:t>
            </w:r>
          </w:p>
          <w:p w14:paraId="1583BF55" w14:textId="3361120A" w:rsidR="007D2B08" w:rsidRPr="00EC30E9" w:rsidRDefault="007D2B08" w:rsidP="00561AE0">
            <w:pPr>
              <w:pStyle w:val="Paragraphedeliste"/>
              <w:numPr>
                <w:ilvl w:val="1"/>
                <w:numId w:val="4"/>
              </w:numPr>
              <w:spacing w:before="120"/>
              <w:ind w:left="743" w:hanging="567"/>
              <w:contextualSpacing w:val="0"/>
              <w:jc w:val="both"/>
              <w:rPr>
                <w:rFonts w:asciiTheme="minorBidi" w:hAnsiTheme="minorBidi" w:cstheme="minorBidi"/>
                <w:szCs w:val="22"/>
                <w:lang w:val="fr-FR"/>
              </w:rPr>
            </w:pPr>
            <w:r>
              <w:rPr>
                <w:rFonts w:asciiTheme="minorBidi" w:hAnsiTheme="minorBidi" w:cstheme="minorBidi"/>
                <w:i/>
                <w:iCs/>
                <w:szCs w:val="22"/>
                <w:lang w:val="fr"/>
              </w:rPr>
              <w:t>(Sujet 2)</w:t>
            </w:r>
            <w:r>
              <w:rPr>
                <w:rFonts w:asciiTheme="minorBidi" w:hAnsiTheme="minorBidi" w:cstheme="minorBidi"/>
                <w:szCs w:val="22"/>
                <w:lang w:val="fr"/>
              </w:rPr>
              <w:t xml:space="preserve"> « Examiner deux dossiers par État par cycle de trois ans</w:t>
            </w:r>
            <w:r w:rsidR="00FB7362">
              <w:rPr>
                <w:rFonts w:asciiTheme="minorBidi" w:hAnsiTheme="minorBidi" w:cstheme="minorBidi"/>
                <w:szCs w:val="22"/>
                <w:lang w:val="fr"/>
              </w:rPr>
              <w:t>,</w:t>
            </w:r>
            <w:r>
              <w:rPr>
                <w:rFonts w:asciiTheme="minorBidi" w:hAnsiTheme="minorBidi" w:cstheme="minorBidi"/>
                <w:szCs w:val="22"/>
                <w:lang w:val="fr"/>
              </w:rPr>
              <w:t xml:space="preserve"> avec une alternance entre une candidature à la Liste représentative et à la Liste de sauvegarde urgente ou au Registre de bonnes pratiques de sauvegarde. »</w:t>
            </w:r>
          </w:p>
          <w:p w14:paraId="7A4FE64F" w14:textId="4BB14D4A" w:rsidR="007D2B08" w:rsidRPr="00EC30E9" w:rsidRDefault="007D2B08" w:rsidP="00561AE0">
            <w:pPr>
              <w:pStyle w:val="Paragraphedeliste"/>
              <w:numPr>
                <w:ilvl w:val="1"/>
                <w:numId w:val="4"/>
              </w:numPr>
              <w:spacing w:before="120"/>
              <w:ind w:left="743" w:hanging="567"/>
              <w:contextualSpacing w:val="0"/>
              <w:jc w:val="both"/>
              <w:rPr>
                <w:rFonts w:asciiTheme="minorBidi" w:hAnsiTheme="minorBidi" w:cstheme="minorBidi"/>
                <w:szCs w:val="22"/>
                <w:lang w:val="fr-FR"/>
              </w:rPr>
            </w:pPr>
            <w:r>
              <w:rPr>
                <w:rFonts w:asciiTheme="minorBidi" w:hAnsiTheme="minorBidi" w:cstheme="minorBidi"/>
                <w:i/>
                <w:iCs/>
                <w:szCs w:val="22"/>
                <w:lang w:val="fr"/>
              </w:rPr>
              <w:t>(Sujet 3)</w:t>
            </w:r>
            <w:r>
              <w:rPr>
                <w:rFonts w:asciiTheme="minorBidi" w:hAnsiTheme="minorBidi" w:cstheme="minorBidi"/>
                <w:szCs w:val="22"/>
                <w:lang w:val="fr"/>
              </w:rPr>
              <w:t xml:space="preserve"> « Déplacer toutes les demandes d</w:t>
            </w:r>
            <w:r w:rsidR="00244CEA">
              <w:rPr>
                <w:rFonts w:asciiTheme="minorBidi" w:hAnsiTheme="minorBidi" w:cstheme="minorBidi"/>
                <w:szCs w:val="22"/>
                <w:lang w:val="fr"/>
              </w:rPr>
              <w:t>’</w:t>
            </w:r>
            <w:r>
              <w:rPr>
                <w:rFonts w:asciiTheme="minorBidi" w:hAnsiTheme="minorBidi" w:cstheme="minorBidi"/>
                <w:szCs w:val="22"/>
                <w:lang w:val="fr"/>
              </w:rPr>
              <w:t xml:space="preserve">assistance internationale </w:t>
            </w:r>
            <w:r w:rsidR="00E4487F">
              <w:rPr>
                <w:rFonts w:asciiTheme="minorBidi" w:hAnsiTheme="minorBidi" w:cstheme="minorBidi"/>
                <w:szCs w:val="22"/>
                <w:lang w:val="fr"/>
              </w:rPr>
              <w:t>au</w:t>
            </w:r>
            <w:r>
              <w:rPr>
                <w:rFonts w:asciiTheme="minorBidi" w:hAnsiTheme="minorBidi" w:cstheme="minorBidi"/>
                <w:szCs w:val="22"/>
                <w:lang w:val="fr"/>
              </w:rPr>
              <w:t xml:space="preserve"> Bureau du Comité intergouvernemental </w:t>
            </w:r>
            <w:r w:rsidR="00FB7362">
              <w:rPr>
                <w:rFonts w:asciiTheme="minorBidi" w:hAnsiTheme="minorBidi" w:cstheme="minorBidi"/>
                <w:szCs w:val="22"/>
                <w:lang w:val="fr"/>
              </w:rPr>
              <w:t xml:space="preserve">de </w:t>
            </w:r>
            <w:r>
              <w:rPr>
                <w:rFonts w:asciiTheme="minorBidi" w:hAnsiTheme="minorBidi" w:cstheme="minorBidi"/>
                <w:szCs w:val="22"/>
                <w:lang w:val="fr"/>
              </w:rPr>
              <w:t>la sauvegarde du patrimoine culturel immatériel. »</w:t>
            </w:r>
          </w:p>
          <w:p w14:paraId="66435B02" w14:textId="77777777" w:rsidR="007D2B08" w:rsidRPr="00EC30E9" w:rsidRDefault="007D2B08" w:rsidP="00561AE0">
            <w:pPr>
              <w:pStyle w:val="Paragraphedeliste"/>
              <w:numPr>
                <w:ilvl w:val="1"/>
                <w:numId w:val="4"/>
              </w:numPr>
              <w:spacing w:before="120"/>
              <w:ind w:left="743" w:hanging="567"/>
              <w:contextualSpacing w:val="0"/>
              <w:jc w:val="both"/>
              <w:rPr>
                <w:rFonts w:asciiTheme="minorBidi" w:hAnsiTheme="minorBidi" w:cstheme="minorBidi"/>
                <w:szCs w:val="22"/>
                <w:lang w:val="fr-FR"/>
              </w:rPr>
            </w:pPr>
            <w:r>
              <w:rPr>
                <w:rFonts w:asciiTheme="minorBidi" w:hAnsiTheme="minorBidi" w:cstheme="minorBidi"/>
                <w:i/>
                <w:iCs/>
                <w:szCs w:val="22"/>
                <w:lang w:val="fr"/>
              </w:rPr>
              <w:t>(Sujet 4)</w:t>
            </w:r>
            <w:r>
              <w:rPr>
                <w:rFonts w:asciiTheme="minorBidi" w:hAnsiTheme="minorBidi" w:cstheme="minorBidi"/>
                <w:szCs w:val="22"/>
                <w:lang w:val="fr"/>
              </w:rPr>
              <w:t xml:space="preserve"> « Si les demandes de transfert depuis la Liste de sauvegarde urgente vers la Liste représentative doivent être traitées comme faisant partie du plafond annuel approuvé par le Comité. »</w:t>
            </w:r>
          </w:p>
          <w:p w14:paraId="410754BC" w14:textId="57021B59" w:rsidR="007D2B08" w:rsidRPr="00EC30E9" w:rsidRDefault="007D2B08" w:rsidP="00561AE0">
            <w:pPr>
              <w:pStyle w:val="Paragraphedeliste"/>
              <w:numPr>
                <w:ilvl w:val="1"/>
                <w:numId w:val="4"/>
              </w:numPr>
              <w:spacing w:before="120"/>
              <w:ind w:left="743" w:hanging="567"/>
              <w:contextualSpacing w:val="0"/>
              <w:jc w:val="both"/>
              <w:rPr>
                <w:rFonts w:asciiTheme="minorBidi" w:hAnsiTheme="minorBidi" w:cstheme="minorBidi"/>
                <w:i/>
                <w:iCs/>
                <w:szCs w:val="22"/>
                <w:lang w:val="fr-FR"/>
              </w:rPr>
            </w:pPr>
            <w:r>
              <w:rPr>
                <w:rFonts w:asciiTheme="minorBidi" w:hAnsiTheme="minorBidi" w:cstheme="minorBidi"/>
                <w:i/>
                <w:iCs/>
                <w:szCs w:val="22"/>
                <w:lang w:val="fr"/>
              </w:rPr>
              <w:t>(Sujet 5)</w:t>
            </w:r>
            <w:r>
              <w:rPr>
                <w:rFonts w:asciiTheme="minorBidi" w:hAnsiTheme="minorBidi" w:cstheme="minorBidi"/>
                <w:szCs w:val="22"/>
                <w:lang w:val="fr"/>
              </w:rPr>
              <w:t xml:space="preserve"> « Si les demandes d</w:t>
            </w:r>
            <w:r w:rsidR="00244CEA">
              <w:rPr>
                <w:rFonts w:asciiTheme="minorBidi" w:hAnsiTheme="minorBidi" w:cstheme="minorBidi"/>
                <w:szCs w:val="22"/>
                <w:lang w:val="fr"/>
              </w:rPr>
              <w:t>’</w:t>
            </w:r>
            <w:r>
              <w:rPr>
                <w:rFonts w:asciiTheme="minorBidi" w:hAnsiTheme="minorBidi" w:cstheme="minorBidi"/>
                <w:szCs w:val="22"/>
                <w:lang w:val="fr"/>
              </w:rPr>
              <w:t>extension seront traitées comme faisant partie du plafond annuel des dossiers à examiner et dans le cadre des priorités définies par le paragraphe 34 des Directives opérationnelles. »</w:t>
            </w:r>
          </w:p>
        </w:tc>
      </w:tr>
    </w:tbl>
    <w:p w14:paraId="35A4BB3D" w14:textId="2178A0CD" w:rsidR="007D2B08" w:rsidRPr="00EC30E9" w:rsidRDefault="007D2B08" w:rsidP="00561AE0">
      <w:pPr>
        <w:pStyle w:val="1GAPara"/>
        <w:spacing w:before="240"/>
        <w:ind w:left="567" w:hanging="567"/>
        <w:rPr>
          <w:b/>
          <w:bCs/>
          <w:lang w:val="fr-FR"/>
        </w:rPr>
      </w:pPr>
      <w:r>
        <w:rPr>
          <w:b/>
          <w:bCs/>
          <w:lang w:val="fr"/>
        </w:rPr>
        <w:t xml:space="preserve">B. </w:t>
      </w:r>
      <w:r w:rsidR="00BB2536">
        <w:rPr>
          <w:b/>
          <w:bCs/>
          <w:lang w:val="fr"/>
        </w:rPr>
        <w:tab/>
      </w:r>
      <w:r>
        <w:rPr>
          <w:b/>
          <w:bCs/>
          <w:lang w:val="fr"/>
        </w:rPr>
        <w:t>Problèmes liés au système actuel</w:t>
      </w:r>
    </w:p>
    <w:p w14:paraId="0BAFE3C9" w14:textId="4DDAFE5F" w:rsidR="007D2B08" w:rsidRPr="00EC30E9" w:rsidRDefault="007D2B08" w:rsidP="007D2B08">
      <w:pPr>
        <w:pStyle w:val="1GAPara"/>
        <w:numPr>
          <w:ilvl w:val="0"/>
          <w:numId w:val="3"/>
        </w:numPr>
        <w:ind w:left="567" w:hanging="567"/>
        <w:jc w:val="both"/>
        <w:rPr>
          <w:lang w:val="fr-FR"/>
        </w:rPr>
      </w:pPr>
      <w:r>
        <w:rPr>
          <w:lang w:val="fr"/>
        </w:rPr>
        <w:t>L</w:t>
      </w:r>
      <w:r w:rsidR="00244CEA">
        <w:rPr>
          <w:lang w:val="fr"/>
        </w:rPr>
        <w:t>’</w:t>
      </w:r>
      <w:r>
        <w:rPr>
          <w:lang w:val="fr"/>
        </w:rPr>
        <w:t>inscription sur les Listes et le Registre se fait dans les mêmes conditions depuis plus d</w:t>
      </w:r>
      <w:r w:rsidR="00244CEA">
        <w:rPr>
          <w:lang w:val="fr"/>
        </w:rPr>
        <w:t>’</w:t>
      </w:r>
      <w:r>
        <w:rPr>
          <w:lang w:val="fr"/>
        </w:rPr>
        <w:t xml:space="preserve">une décennie. Cependant, une tendance des derniers cycles a </w:t>
      </w:r>
      <w:r w:rsidRPr="00FB7362">
        <w:rPr>
          <w:lang w:val="fr"/>
        </w:rPr>
        <w:t xml:space="preserve">remis </w:t>
      </w:r>
      <w:r w:rsidRPr="00561AE0">
        <w:rPr>
          <w:lang w:val="fr"/>
        </w:rPr>
        <w:t xml:space="preserve">en question la </w:t>
      </w:r>
      <w:r w:rsidR="00FB7362">
        <w:rPr>
          <w:lang w:val="fr"/>
        </w:rPr>
        <w:t>viabilité</w:t>
      </w:r>
      <w:r w:rsidR="00FB7362" w:rsidRPr="00561AE0">
        <w:rPr>
          <w:lang w:val="fr"/>
        </w:rPr>
        <w:t xml:space="preserve"> </w:t>
      </w:r>
      <w:r w:rsidRPr="00561AE0">
        <w:rPr>
          <w:lang w:val="fr"/>
        </w:rPr>
        <w:t>du</w:t>
      </w:r>
      <w:r w:rsidRPr="00FB7362">
        <w:rPr>
          <w:lang w:val="fr"/>
        </w:rPr>
        <w:t xml:space="preserve"> système actuel (document </w:t>
      </w:r>
      <w:hyperlink r:id="rId9" w:history="1">
        <w:r w:rsidRPr="00FB7362">
          <w:rPr>
            <w:rStyle w:val="Lienhypertexte"/>
            <w:lang w:val="fr"/>
          </w:rPr>
          <w:t>LHE/20/15.COM/9</w:t>
        </w:r>
      </w:hyperlink>
      <w:r w:rsidRPr="00FB7362">
        <w:rPr>
          <w:lang w:val="fr"/>
        </w:rPr>
        <w:t>).</w:t>
      </w:r>
    </w:p>
    <w:p w14:paraId="75C25A93" w14:textId="77777777" w:rsidR="007D2B08" w:rsidRPr="00EC30E9" w:rsidRDefault="007D2B08" w:rsidP="007D2B08">
      <w:pPr>
        <w:pStyle w:val="1GAPara"/>
        <w:keepNext/>
        <w:spacing w:before="240"/>
        <w:ind w:left="567"/>
        <w:jc w:val="both"/>
        <w:rPr>
          <w:u w:val="single"/>
          <w:lang w:val="fr-FR"/>
        </w:rPr>
      </w:pPr>
      <w:r>
        <w:rPr>
          <w:u w:val="single"/>
          <w:lang w:val="fr"/>
        </w:rPr>
        <w:lastRenderedPageBreak/>
        <w:t>Augmentation du nombre de dossiers nationaux dans la catégorie prioritaire (0) et de dossiers multinationaux</w:t>
      </w:r>
    </w:p>
    <w:p w14:paraId="3C19C153" w14:textId="6D05BCA0" w:rsidR="007D2B08" w:rsidRPr="00561AE0" w:rsidRDefault="007D2B08" w:rsidP="007D2B08">
      <w:pPr>
        <w:pStyle w:val="1GAPara"/>
        <w:keepNext/>
        <w:numPr>
          <w:ilvl w:val="0"/>
          <w:numId w:val="3"/>
        </w:numPr>
        <w:ind w:left="567" w:hanging="567"/>
        <w:jc w:val="both"/>
        <w:rPr>
          <w:u w:val="single"/>
          <w:lang w:val="fr-FR"/>
        </w:rPr>
      </w:pPr>
      <w:r>
        <w:rPr>
          <w:lang w:val="fr"/>
        </w:rPr>
        <w:t xml:space="preserve">Ces dernières années, un nombre croissant de dossiers nationaux </w:t>
      </w:r>
      <w:r w:rsidR="00CD7990">
        <w:rPr>
          <w:lang w:val="fr"/>
        </w:rPr>
        <w:t>relevant de</w:t>
      </w:r>
      <w:r>
        <w:rPr>
          <w:lang w:val="fr"/>
        </w:rPr>
        <w:t xml:space="preserve"> la catégorie prioritaire (0) </w:t>
      </w:r>
      <w:r w:rsidRPr="00561AE0">
        <w:rPr>
          <w:lang w:val="fr"/>
        </w:rPr>
        <w:t>sont</w:t>
      </w:r>
      <w:r w:rsidRPr="00FB7362">
        <w:rPr>
          <w:lang w:val="fr"/>
        </w:rPr>
        <w:t xml:space="preserve"> soumis</w:t>
      </w:r>
      <w:r>
        <w:rPr>
          <w:lang w:val="fr"/>
        </w:rPr>
        <w:t xml:space="preserve"> par un nombre</w:t>
      </w:r>
      <w:r w:rsidR="00CD7990">
        <w:rPr>
          <w:lang w:val="fr"/>
        </w:rPr>
        <w:t xml:space="preserve"> proportionnellement</w:t>
      </w:r>
      <w:r>
        <w:rPr>
          <w:lang w:val="fr"/>
        </w:rPr>
        <w:t xml:space="preserve"> élevé d</w:t>
      </w:r>
      <w:r w:rsidR="00244CEA">
        <w:rPr>
          <w:lang w:val="fr"/>
        </w:rPr>
        <w:t>’</w:t>
      </w:r>
      <w:r>
        <w:rPr>
          <w:lang w:val="fr"/>
        </w:rPr>
        <w:t>États</w:t>
      </w:r>
      <w:r w:rsidR="00A16033">
        <w:rPr>
          <w:lang w:val="fr"/>
        </w:rPr>
        <w:t xml:space="preserve"> parties</w:t>
      </w:r>
      <w:r>
        <w:rPr>
          <w:lang w:val="fr"/>
        </w:rPr>
        <w:t xml:space="preserve">. Un avertissement a été lancé en 2018 lors de la treizième session du Comité, selon lequel la Convention pourrait être confrontée à une situation </w:t>
      </w:r>
      <w:r w:rsidR="00CD7990">
        <w:rPr>
          <w:lang w:val="fr"/>
        </w:rPr>
        <w:t>où</w:t>
      </w:r>
      <w:r>
        <w:rPr>
          <w:lang w:val="fr"/>
        </w:rPr>
        <w:t xml:space="preserve"> il serait impossible de traiter tous les dossiers multinationaux </w:t>
      </w:r>
      <w:r w:rsidR="00CD7990">
        <w:rPr>
          <w:lang w:val="fr"/>
        </w:rPr>
        <w:t>relevant de la</w:t>
      </w:r>
      <w:r>
        <w:rPr>
          <w:lang w:val="fr"/>
        </w:rPr>
        <w:t xml:space="preserve"> catégorie prioritaire (ii) (voir le document </w:t>
      </w:r>
      <w:hyperlink r:id="rId10" w:history="1">
        <w:r>
          <w:rPr>
            <w:rStyle w:val="Lienhypertexte"/>
            <w:lang w:val="fr"/>
          </w:rPr>
          <w:t>ITH/18/13.COM/15</w:t>
        </w:r>
      </w:hyperlink>
      <w:r>
        <w:rPr>
          <w:lang w:val="fr"/>
        </w:rPr>
        <w:t xml:space="preserve"> </w:t>
      </w:r>
      <w:r w:rsidRPr="00FB7362">
        <w:rPr>
          <w:lang w:val="fr"/>
        </w:rPr>
        <w:t xml:space="preserve">et </w:t>
      </w:r>
      <w:hyperlink w:anchor="_Annexe_I_:" w:history="1">
        <w:r w:rsidRPr="00561AE0">
          <w:rPr>
            <w:rStyle w:val="Lienhypertexte"/>
            <w:color w:val="auto"/>
            <w:u w:val="none"/>
            <w:lang w:val="fr"/>
          </w:rPr>
          <w:t>l</w:t>
        </w:r>
        <w:r w:rsidR="00244CEA" w:rsidRPr="00561AE0">
          <w:rPr>
            <w:rStyle w:val="Lienhypertexte"/>
            <w:color w:val="auto"/>
            <w:u w:val="none"/>
            <w:lang w:val="fr"/>
          </w:rPr>
          <w:t>’</w:t>
        </w:r>
        <w:r w:rsidR="00A4430F">
          <w:rPr>
            <w:rStyle w:val="Lienhypertexte"/>
            <w:lang w:val="fr"/>
          </w:rPr>
          <w:t>a</w:t>
        </w:r>
        <w:r w:rsidRPr="00B43C94">
          <w:rPr>
            <w:rStyle w:val="Lienhypertexte"/>
            <w:lang w:val="fr"/>
          </w:rPr>
          <w:t>nnexe I</w:t>
        </w:r>
      </w:hyperlink>
      <w:r w:rsidRPr="00FB7362">
        <w:rPr>
          <w:lang w:val="fr"/>
        </w:rPr>
        <w:t xml:space="preserve"> du</w:t>
      </w:r>
      <w:r>
        <w:rPr>
          <w:lang w:val="fr"/>
        </w:rPr>
        <w:t xml:space="preserve"> présent document). Cette prédiction s</w:t>
      </w:r>
      <w:r w:rsidR="00244CEA">
        <w:rPr>
          <w:lang w:val="fr"/>
        </w:rPr>
        <w:t>’</w:t>
      </w:r>
      <w:r>
        <w:rPr>
          <w:lang w:val="fr"/>
        </w:rPr>
        <w:t>est réalisée pour le cycle de 2021.</w:t>
      </w:r>
    </w:p>
    <w:p w14:paraId="431A53CF" w14:textId="10222E6E" w:rsidR="007D2B08" w:rsidRPr="00561AE0" w:rsidRDefault="007D2B08" w:rsidP="00561AE0">
      <w:pPr>
        <w:pStyle w:val="COMPara"/>
        <w:numPr>
          <w:ilvl w:val="0"/>
          <w:numId w:val="5"/>
        </w:numPr>
        <w:ind w:left="1134" w:hanging="567"/>
        <w:jc w:val="both"/>
        <w:rPr>
          <w:lang w:val="fr-FR"/>
        </w:rPr>
      </w:pPr>
      <w:r w:rsidRPr="00561AE0">
        <w:rPr>
          <w:lang w:val="fr-FR"/>
        </w:rPr>
        <w:t xml:space="preserve">Pour le cycle 2019, il y avait trente-huit dossiers sous la priorité (0), représentant soixante-douze pour cent des dossiers traités ; alors que tous les dossiers sous les priorités (0), (i) et (ii) </w:t>
      </w:r>
      <w:r w:rsidR="002B0997">
        <w:rPr>
          <w:lang w:val="fr-FR"/>
        </w:rPr>
        <w:t xml:space="preserve">ont pu </w:t>
      </w:r>
      <w:r w:rsidRPr="00561AE0">
        <w:rPr>
          <w:lang w:val="fr-FR"/>
        </w:rPr>
        <w:t>être traités, seuls cinq des vingt dossiers sous la priorité (iii) pouvaient être inclus dans le cycle 2019.</w:t>
      </w:r>
    </w:p>
    <w:p w14:paraId="640E110D" w14:textId="0197D5B6" w:rsidR="007D2B08" w:rsidRPr="00561AE0" w:rsidRDefault="007D2B08" w:rsidP="00561AE0">
      <w:pPr>
        <w:pStyle w:val="COMPara"/>
        <w:numPr>
          <w:ilvl w:val="0"/>
          <w:numId w:val="5"/>
        </w:numPr>
        <w:ind w:left="1134" w:hanging="567"/>
        <w:jc w:val="both"/>
        <w:rPr>
          <w:lang w:val="fr-FR"/>
        </w:rPr>
      </w:pPr>
      <w:r w:rsidRPr="00561AE0">
        <w:rPr>
          <w:lang w:val="fr-FR"/>
        </w:rPr>
        <w:t>Pour le cycle 2020, les trente-cinq dossiers en priorité (0) représent</w:t>
      </w:r>
      <w:r w:rsidR="002B0997">
        <w:rPr>
          <w:lang w:val="fr-FR"/>
        </w:rPr>
        <w:t>aient</w:t>
      </w:r>
      <w:r w:rsidRPr="00561AE0">
        <w:rPr>
          <w:lang w:val="fr-FR"/>
        </w:rPr>
        <w:t xml:space="preserve"> soixante-six pour cent des dossiers traités ; en outre, seize dossiers multinationaux ont été soumis pour ce cycle. Par conséquent, seuls les dossiers relevant des priorités (0), (i) et (ii) ont pu être inclus dans le cycle 2020.</w:t>
      </w:r>
    </w:p>
    <w:p w14:paraId="0AB10C4C" w14:textId="1D3B37A4" w:rsidR="007D2B08" w:rsidRPr="00561AE0" w:rsidRDefault="007D2B08" w:rsidP="00561AE0">
      <w:pPr>
        <w:pStyle w:val="COMPara"/>
        <w:numPr>
          <w:ilvl w:val="0"/>
          <w:numId w:val="5"/>
        </w:numPr>
        <w:ind w:left="1134" w:hanging="567"/>
        <w:jc w:val="both"/>
        <w:rPr>
          <w:lang w:val="fr-FR"/>
        </w:rPr>
      </w:pPr>
      <w:r w:rsidRPr="00561AE0">
        <w:rPr>
          <w:lang w:val="fr-FR"/>
        </w:rPr>
        <w:t>Pour le cycle 2021, un nombre inhabituellement élevé de nouveaux dossiers de candidature (70) a été reçu d</w:t>
      </w:r>
      <w:r w:rsidR="00244CEA" w:rsidRPr="00561AE0">
        <w:rPr>
          <w:lang w:val="fr-FR"/>
        </w:rPr>
        <w:t>’</w:t>
      </w:r>
      <w:r w:rsidRPr="00561AE0">
        <w:rPr>
          <w:lang w:val="fr-FR"/>
        </w:rPr>
        <w:t>un nombre supérieur à la normale d</w:t>
      </w:r>
      <w:r w:rsidR="00244CEA" w:rsidRPr="00561AE0">
        <w:rPr>
          <w:lang w:val="fr-FR"/>
        </w:rPr>
        <w:t>’</w:t>
      </w:r>
      <w:r w:rsidRPr="00561AE0">
        <w:rPr>
          <w:lang w:val="fr-FR"/>
        </w:rPr>
        <w:t>États soumissionnaires (81). Le nombre de dossiers nationaux relevant de la seule priorité (0) (53 dossiers) dépassait le plafond annuel de cinquante candidatures fixé pour ce cycle, et donc tous les dossiers relevant des autres catégories, dont seize dossiers multinationaux, n</w:t>
      </w:r>
      <w:r w:rsidR="00244CEA" w:rsidRPr="00561AE0">
        <w:rPr>
          <w:lang w:val="fr-FR"/>
        </w:rPr>
        <w:t>’</w:t>
      </w:r>
      <w:r w:rsidRPr="00561AE0">
        <w:rPr>
          <w:lang w:val="fr-FR"/>
        </w:rPr>
        <w:t>auraient pas été pris en considération. Finalement, le Secrétariat a décidé d</w:t>
      </w:r>
      <w:r w:rsidR="00244CEA" w:rsidRPr="00561AE0">
        <w:rPr>
          <w:lang w:val="fr-FR"/>
        </w:rPr>
        <w:t>’</w:t>
      </w:r>
      <w:r w:rsidRPr="00561AE0">
        <w:rPr>
          <w:lang w:val="fr-FR"/>
        </w:rPr>
        <w:t xml:space="preserve">inclure soixante dossiers dans le cycle 2021 en traitant les dossiers nationaux des États soumissionnaires sans éléments inscrits, les candidatures à la Liste de sauvegarde urgente sous la priorité (i), et une partie des dossiers multinationaux sous la priorité (ii), en donnant la priorité aux dossiers multinationaux qui incluent des États </w:t>
      </w:r>
      <w:r w:rsidR="00A16033" w:rsidRPr="00561AE0">
        <w:rPr>
          <w:lang w:val="fr-FR"/>
        </w:rPr>
        <w:t xml:space="preserve">soumissionnaires </w:t>
      </w:r>
      <w:r w:rsidRPr="00561AE0">
        <w:rPr>
          <w:lang w:val="fr-FR"/>
        </w:rPr>
        <w:t>sans élément inscrit. Même avec cet effort, onze dossiers multinationaux n</w:t>
      </w:r>
      <w:r w:rsidR="00244CEA" w:rsidRPr="00561AE0">
        <w:rPr>
          <w:lang w:val="fr-FR"/>
        </w:rPr>
        <w:t>’</w:t>
      </w:r>
      <w:r w:rsidRPr="00561AE0">
        <w:rPr>
          <w:lang w:val="fr-FR"/>
        </w:rPr>
        <w:t>ont pas pu être traités dans le cadre de ce cycle.</w:t>
      </w:r>
    </w:p>
    <w:p w14:paraId="45317AA7" w14:textId="62676D14" w:rsidR="007D2B08" w:rsidRPr="00561AE0" w:rsidRDefault="007D2B08" w:rsidP="00561AE0">
      <w:pPr>
        <w:pStyle w:val="COMPara"/>
        <w:numPr>
          <w:ilvl w:val="0"/>
          <w:numId w:val="5"/>
        </w:numPr>
        <w:ind w:left="1134" w:hanging="567"/>
        <w:jc w:val="both"/>
        <w:rPr>
          <w:lang w:val="fr-FR"/>
        </w:rPr>
      </w:pPr>
      <w:r w:rsidRPr="00561AE0">
        <w:rPr>
          <w:lang w:val="fr-FR"/>
        </w:rPr>
        <w:t>Pour le cycle 2022, une fois de plus, un nombre élevé de nouveaux dossiers de candidature (60) a été reçu d</w:t>
      </w:r>
      <w:r w:rsidR="00244CEA" w:rsidRPr="00561AE0">
        <w:rPr>
          <w:lang w:val="fr-FR"/>
        </w:rPr>
        <w:t>’</w:t>
      </w:r>
      <w:r w:rsidRPr="00561AE0">
        <w:rPr>
          <w:lang w:val="fr-FR"/>
        </w:rPr>
        <w:t>un nombre élevé d</w:t>
      </w:r>
      <w:r w:rsidR="00244CEA" w:rsidRPr="00561AE0">
        <w:rPr>
          <w:lang w:val="fr-FR"/>
        </w:rPr>
        <w:t>’</w:t>
      </w:r>
      <w:r w:rsidRPr="00561AE0">
        <w:rPr>
          <w:lang w:val="fr-FR"/>
        </w:rPr>
        <w:t>États soumissionnaires (64). Suivant la même approche que pour le cycle 2021, une liste de cinquante-neuf dossiers a été établie (alors que la demande du Comité était de traiter « au moins cinquante-cinq » dossiers), dont dix-neuf dossiers multinationaux. Cependant, une fois de plus, tous les dossiers multinationaux soumis pour ce cycle n</w:t>
      </w:r>
      <w:r w:rsidR="00244CEA" w:rsidRPr="00561AE0">
        <w:rPr>
          <w:lang w:val="fr-FR"/>
        </w:rPr>
        <w:t>’</w:t>
      </w:r>
      <w:r w:rsidRPr="00561AE0">
        <w:rPr>
          <w:lang w:val="fr-FR"/>
        </w:rPr>
        <w:t xml:space="preserve">ont pu être traités et quatre dossiers multinationaux </w:t>
      </w:r>
      <w:r w:rsidR="00BA23D2">
        <w:rPr>
          <w:lang w:val="fr-FR"/>
        </w:rPr>
        <w:t>ont é</w:t>
      </w:r>
      <w:r w:rsidR="00BA23D2" w:rsidRPr="00561AE0">
        <w:rPr>
          <w:lang w:val="fr-FR"/>
        </w:rPr>
        <w:t>t</w:t>
      </w:r>
      <w:r w:rsidR="00BA23D2">
        <w:rPr>
          <w:lang w:val="fr-FR"/>
        </w:rPr>
        <w:t>é</w:t>
      </w:r>
      <w:r w:rsidR="00BA23D2" w:rsidRPr="00561AE0">
        <w:rPr>
          <w:lang w:val="fr-FR"/>
        </w:rPr>
        <w:t xml:space="preserve"> </w:t>
      </w:r>
      <w:r w:rsidRPr="00561AE0">
        <w:rPr>
          <w:lang w:val="fr-FR"/>
        </w:rPr>
        <w:t xml:space="preserve">reportés </w:t>
      </w:r>
      <w:r w:rsidR="00BA23D2">
        <w:rPr>
          <w:lang w:val="fr-FR"/>
        </w:rPr>
        <w:t xml:space="preserve">au </w:t>
      </w:r>
      <w:r w:rsidRPr="00561AE0">
        <w:rPr>
          <w:lang w:val="fr-FR"/>
        </w:rPr>
        <w:t>cycle suivant.</w:t>
      </w:r>
    </w:p>
    <w:p w14:paraId="163B379B" w14:textId="1C527E7A" w:rsidR="007D2B08" w:rsidRPr="00DF06A3" w:rsidRDefault="007D2B08" w:rsidP="00561AE0">
      <w:pPr>
        <w:pStyle w:val="1GAPara"/>
        <w:keepNext/>
        <w:shd w:val="clear" w:color="auto" w:fill="FFFFFF"/>
        <w:spacing w:after="150"/>
        <w:ind w:left="720" w:hanging="153"/>
        <w:jc w:val="both"/>
        <w:rPr>
          <w:u w:val="single"/>
        </w:rPr>
      </w:pPr>
      <w:r>
        <w:rPr>
          <w:u w:val="single"/>
          <w:lang w:val="fr"/>
        </w:rPr>
        <w:t xml:space="preserve">Dossiers en </w:t>
      </w:r>
      <w:r w:rsidR="0033263E">
        <w:rPr>
          <w:u w:val="single"/>
          <w:lang w:val="fr"/>
        </w:rPr>
        <w:t>attente (« </w:t>
      </w:r>
      <w:proofErr w:type="spellStart"/>
      <w:r w:rsidR="0033263E">
        <w:rPr>
          <w:u w:val="single"/>
          <w:lang w:val="fr"/>
        </w:rPr>
        <w:t>backlog</w:t>
      </w:r>
      <w:proofErr w:type="spellEnd"/>
      <w:r w:rsidR="0033263E">
        <w:rPr>
          <w:u w:val="single"/>
          <w:lang w:val="fr"/>
        </w:rPr>
        <w:t> »)</w:t>
      </w:r>
    </w:p>
    <w:p w14:paraId="78D0EE1A" w14:textId="762B3DFF" w:rsidR="00EF2D6F" w:rsidRDefault="007D2B08" w:rsidP="007D2B08">
      <w:pPr>
        <w:pStyle w:val="1GAPara"/>
        <w:numPr>
          <w:ilvl w:val="0"/>
          <w:numId w:val="3"/>
        </w:numPr>
        <w:ind w:left="567" w:hanging="567"/>
        <w:jc w:val="both"/>
        <w:rPr>
          <w:lang w:val="fr"/>
        </w:rPr>
      </w:pPr>
      <w:r w:rsidRPr="00830A0D">
        <w:rPr>
          <w:lang w:val="fr"/>
        </w:rPr>
        <w:t>Les dossiers qui n</w:t>
      </w:r>
      <w:r w:rsidR="00244CEA" w:rsidRPr="00830A0D">
        <w:rPr>
          <w:lang w:val="fr"/>
        </w:rPr>
        <w:t>’</w:t>
      </w:r>
      <w:r w:rsidRPr="00830A0D">
        <w:rPr>
          <w:lang w:val="fr"/>
        </w:rPr>
        <w:t xml:space="preserve">ont pas pu être traités en raison du plafond annuel et du système de priorité sont appelés dossiers « en attente » </w:t>
      </w:r>
      <w:r w:rsidR="002B0997">
        <w:rPr>
          <w:lang w:val="fr"/>
        </w:rPr>
        <w:t>(</w:t>
      </w:r>
      <w:proofErr w:type="spellStart"/>
      <w:r w:rsidR="002B0997">
        <w:rPr>
          <w:lang w:val="fr"/>
        </w:rPr>
        <w:t>backlog</w:t>
      </w:r>
      <w:proofErr w:type="spellEnd"/>
      <w:r w:rsidR="002B0997">
        <w:rPr>
          <w:lang w:val="fr"/>
        </w:rPr>
        <w:t xml:space="preserve">) </w:t>
      </w:r>
      <w:r w:rsidRPr="00830A0D">
        <w:rPr>
          <w:lang w:val="fr"/>
        </w:rPr>
        <w:t xml:space="preserve">et restent </w:t>
      </w:r>
      <w:r w:rsidR="002B0997">
        <w:rPr>
          <w:lang w:val="fr"/>
        </w:rPr>
        <w:t>en attente de traitement</w:t>
      </w:r>
      <w:r w:rsidRPr="00830A0D">
        <w:rPr>
          <w:lang w:val="fr"/>
        </w:rPr>
        <w:t>. Lorsque la priorité (0) s</w:t>
      </w:r>
      <w:r w:rsidR="00244CEA" w:rsidRPr="00830A0D">
        <w:rPr>
          <w:lang w:val="fr"/>
        </w:rPr>
        <w:t>’</w:t>
      </w:r>
      <w:r w:rsidRPr="00830A0D">
        <w:rPr>
          <w:lang w:val="fr"/>
        </w:rPr>
        <w:t>applique à un État, il est demandé à cet État s</w:t>
      </w:r>
      <w:r w:rsidR="00244CEA" w:rsidRPr="00830A0D">
        <w:rPr>
          <w:lang w:val="fr"/>
        </w:rPr>
        <w:t>’</w:t>
      </w:r>
      <w:r w:rsidRPr="00830A0D">
        <w:rPr>
          <w:lang w:val="fr"/>
        </w:rPr>
        <w:t>il souhaite que l</w:t>
      </w:r>
      <w:r w:rsidR="00244CEA" w:rsidRPr="00830A0D">
        <w:rPr>
          <w:lang w:val="fr"/>
        </w:rPr>
        <w:t>’</w:t>
      </w:r>
      <w:r w:rsidRPr="00830A0D">
        <w:rPr>
          <w:lang w:val="fr"/>
        </w:rPr>
        <w:t xml:space="preserve">un de ses dossiers en </w:t>
      </w:r>
      <w:r w:rsidR="0033263E" w:rsidRPr="00830A0D">
        <w:rPr>
          <w:lang w:val="fr"/>
        </w:rPr>
        <w:t xml:space="preserve">attente </w:t>
      </w:r>
      <w:r w:rsidRPr="00830A0D">
        <w:rPr>
          <w:lang w:val="fr"/>
        </w:rPr>
        <w:t>soit pris en compte pour le cycle à venir, indépendamment d</w:t>
      </w:r>
      <w:r w:rsidR="00244CEA" w:rsidRPr="00830A0D">
        <w:rPr>
          <w:lang w:val="fr"/>
        </w:rPr>
        <w:t>’</w:t>
      </w:r>
      <w:r w:rsidRPr="00830A0D">
        <w:rPr>
          <w:lang w:val="fr"/>
        </w:rPr>
        <w:t>un dossier nouvellement soumis. Si l</w:t>
      </w:r>
      <w:r w:rsidR="00244CEA" w:rsidRPr="00830A0D">
        <w:rPr>
          <w:lang w:val="fr"/>
        </w:rPr>
        <w:t>’</w:t>
      </w:r>
      <w:r w:rsidRPr="00830A0D">
        <w:rPr>
          <w:lang w:val="fr"/>
        </w:rPr>
        <w:t xml:space="preserve">État en question choisit un dossier en </w:t>
      </w:r>
      <w:r w:rsidR="0033263E" w:rsidRPr="00830A0D">
        <w:rPr>
          <w:lang w:val="fr"/>
        </w:rPr>
        <w:t>attente</w:t>
      </w:r>
      <w:r w:rsidRPr="00830A0D">
        <w:rPr>
          <w:lang w:val="fr"/>
        </w:rPr>
        <w:t>, après une vérification</w:t>
      </w:r>
      <w:r w:rsidR="0033263E" w:rsidRPr="00561AE0">
        <w:rPr>
          <w:lang w:val="fr"/>
        </w:rPr>
        <w:t>/évaluation</w:t>
      </w:r>
      <w:r w:rsidR="0033263E" w:rsidRPr="00830A0D">
        <w:rPr>
          <w:lang w:val="fr"/>
        </w:rPr>
        <w:t xml:space="preserve"> de complétude technique</w:t>
      </w:r>
      <w:r w:rsidR="0033263E" w:rsidRPr="00561AE0">
        <w:rPr>
          <w:lang w:val="fr"/>
        </w:rPr>
        <w:t xml:space="preserve"> </w:t>
      </w:r>
      <w:r w:rsidRPr="00830A0D">
        <w:rPr>
          <w:lang w:val="fr"/>
        </w:rPr>
        <w:t>par le Secrétariat, l</w:t>
      </w:r>
      <w:r w:rsidR="00244CEA" w:rsidRPr="00830A0D">
        <w:rPr>
          <w:lang w:val="fr"/>
        </w:rPr>
        <w:t>’</w:t>
      </w:r>
      <w:r w:rsidRPr="00830A0D">
        <w:rPr>
          <w:lang w:val="fr"/>
        </w:rPr>
        <w:t>État a la possibilité de mettre à jour le dossier avant qu</w:t>
      </w:r>
      <w:r w:rsidR="00244CEA" w:rsidRPr="00830A0D">
        <w:rPr>
          <w:lang w:val="fr"/>
        </w:rPr>
        <w:t>’</w:t>
      </w:r>
      <w:r w:rsidRPr="00830A0D">
        <w:rPr>
          <w:lang w:val="fr"/>
        </w:rPr>
        <w:t>il ne soit transmis à l</w:t>
      </w:r>
      <w:r w:rsidR="00244CEA" w:rsidRPr="00830A0D">
        <w:rPr>
          <w:lang w:val="fr"/>
        </w:rPr>
        <w:t>’</w:t>
      </w:r>
      <w:r w:rsidRPr="00830A0D">
        <w:rPr>
          <w:lang w:val="fr"/>
        </w:rPr>
        <w:t>Organe d</w:t>
      </w:r>
      <w:r w:rsidR="00244CEA" w:rsidRPr="00830A0D">
        <w:rPr>
          <w:lang w:val="fr"/>
        </w:rPr>
        <w:t>’</w:t>
      </w:r>
      <w:r w:rsidRPr="00830A0D">
        <w:rPr>
          <w:lang w:val="fr"/>
        </w:rPr>
        <w:t>évaluation. Comme le montrent le tableau 1 (résumé) et l</w:t>
      </w:r>
      <w:r w:rsidR="00244CEA" w:rsidRPr="00830A0D">
        <w:rPr>
          <w:lang w:val="fr"/>
        </w:rPr>
        <w:t>’</w:t>
      </w:r>
      <w:hyperlink w:anchor="_Annexe_II_:" w:history="1">
        <w:r w:rsidR="00A4430F" w:rsidRPr="00830A0D">
          <w:rPr>
            <w:rStyle w:val="Lienhypertexte"/>
            <w:lang w:val="fr"/>
          </w:rPr>
          <w:t>a</w:t>
        </w:r>
        <w:r w:rsidRPr="00830A0D">
          <w:rPr>
            <w:rStyle w:val="Lienhypertexte"/>
            <w:lang w:val="fr"/>
          </w:rPr>
          <w:t xml:space="preserve">nnexe </w:t>
        </w:r>
        <w:r w:rsidR="00BC00AF" w:rsidRPr="00830A0D">
          <w:rPr>
            <w:rStyle w:val="Lienhypertexte"/>
            <w:lang w:val="fr"/>
          </w:rPr>
          <w:t>II</w:t>
        </w:r>
        <w:r w:rsidR="00BC00AF" w:rsidRPr="00561AE0">
          <w:rPr>
            <w:rStyle w:val="Lienhypertexte"/>
            <w:u w:val="none"/>
            <w:lang w:val="fr"/>
          </w:rPr>
          <w:t xml:space="preserve"> </w:t>
        </w:r>
      </w:hyperlink>
      <w:r w:rsidRPr="00830A0D">
        <w:rPr>
          <w:lang w:val="fr"/>
        </w:rPr>
        <w:t xml:space="preserve">(informations par pays), le nombre de dossiers en </w:t>
      </w:r>
      <w:r w:rsidR="0033263E" w:rsidRPr="00830A0D">
        <w:rPr>
          <w:lang w:val="fr"/>
        </w:rPr>
        <w:t xml:space="preserve">attente </w:t>
      </w:r>
      <w:r w:rsidRPr="00830A0D">
        <w:rPr>
          <w:lang w:val="fr"/>
        </w:rPr>
        <w:t>(actuellement 129 au total - à la fin de la seizième session du Comité en 2021) est réparti de manière inégale entre les groupes électoraux, la plus grande proportion (57</w:t>
      </w:r>
      <w:r w:rsidR="002908FD">
        <w:rPr>
          <w:lang w:val="fr"/>
        </w:rPr>
        <w:t>.4</w:t>
      </w:r>
      <w:r w:rsidRPr="00830A0D">
        <w:rPr>
          <w:lang w:val="fr"/>
        </w:rPr>
        <w:t xml:space="preserve">%) se trouvant dans le groupe IV. Une analyse encore plus approfondie révèle que trois États </w:t>
      </w:r>
      <w:r w:rsidR="00A16033" w:rsidRPr="00830A0D">
        <w:rPr>
          <w:lang w:val="fr"/>
        </w:rPr>
        <w:t xml:space="preserve">parties </w:t>
      </w:r>
      <w:r w:rsidRPr="00830A0D">
        <w:rPr>
          <w:lang w:val="fr"/>
        </w:rPr>
        <w:t xml:space="preserve">du groupe </w:t>
      </w:r>
      <w:r w:rsidR="0033263E" w:rsidRPr="00830A0D">
        <w:rPr>
          <w:lang w:val="fr"/>
        </w:rPr>
        <w:t>I</w:t>
      </w:r>
      <w:r w:rsidRPr="00830A0D">
        <w:rPr>
          <w:lang w:val="fr"/>
        </w:rPr>
        <w:t xml:space="preserve">V ont </w:t>
      </w:r>
      <w:r w:rsidR="0033263E" w:rsidRPr="00830A0D">
        <w:rPr>
          <w:lang w:val="fr"/>
        </w:rPr>
        <w:t xml:space="preserve">cinquante-sept </w:t>
      </w:r>
      <w:r w:rsidRPr="00830A0D">
        <w:rPr>
          <w:lang w:val="fr"/>
        </w:rPr>
        <w:t xml:space="preserve">dossiers en </w:t>
      </w:r>
      <w:r w:rsidR="0033263E" w:rsidRPr="00830A0D">
        <w:rPr>
          <w:lang w:val="fr"/>
        </w:rPr>
        <w:t>attente</w:t>
      </w:r>
      <w:r w:rsidRPr="00830A0D">
        <w:rPr>
          <w:lang w:val="fr"/>
        </w:rPr>
        <w:t>, ce qui représente</w:t>
      </w:r>
      <w:r w:rsidRPr="00561AE0">
        <w:rPr>
          <w:lang w:val="fr"/>
        </w:rPr>
        <w:t xml:space="preserve"> </w:t>
      </w:r>
      <w:r w:rsidR="0033263E" w:rsidRPr="00561AE0">
        <w:rPr>
          <w:lang w:val="fr"/>
        </w:rPr>
        <w:t>44.2</w:t>
      </w:r>
      <w:r w:rsidRPr="00561AE0">
        <w:rPr>
          <w:lang w:val="fr"/>
        </w:rPr>
        <w:t>%</w:t>
      </w:r>
      <w:r w:rsidRPr="00830A0D">
        <w:rPr>
          <w:lang w:val="fr"/>
        </w:rPr>
        <w:t xml:space="preserve"> de tous les dossiers en </w:t>
      </w:r>
      <w:r w:rsidR="0033263E" w:rsidRPr="00830A0D">
        <w:rPr>
          <w:lang w:val="fr"/>
        </w:rPr>
        <w:t>attente</w:t>
      </w:r>
      <w:r w:rsidRPr="00830A0D">
        <w:rPr>
          <w:lang w:val="fr"/>
        </w:rPr>
        <w:t>.</w:t>
      </w:r>
    </w:p>
    <w:p w14:paraId="68328BD4" w14:textId="4C1E1FFE" w:rsidR="007D2B08" w:rsidRPr="00EF2D6F" w:rsidRDefault="00EF2D6F" w:rsidP="00EF2D6F">
      <w:pPr>
        <w:spacing w:after="0"/>
        <w:rPr>
          <w:rFonts w:ascii="Arial" w:hAnsi="Arial" w:cs="Arial"/>
          <w:snapToGrid w:val="0"/>
          <w:szCs w:val="22"/>
          <w:lang w:val="fr" w:eastAsia="en-US"/>
        </w:rPr>
      </w:pPr>
      <w:r>
        <w:rPr>
          <w:lang w:val="fr"/>
        </w:rPr>
        <w:br w:type="page"/>
      </w:r>
    </w:p>
    <w:p w14:paraId="04303782" w14:textId="0959270F" w:rsidR="009E7965" w:rsidRPr="00EF2D6F" w:rsidRDefault="007D2B08" w:rsidP="00EF2D6F">
      <w:pPr>
        <w:pStyle w:val="COMPara"/>
        <w:numPr>
          <w:ilvl w:val="0"/>
          <w:numId w:val="37"/>
        </w:numPr>
        <w:ind w:left="1134" w:hanging="567"/>
        <w:jc w:val="both"/>
        <w:rPr>
          <w:lang w:val="fr"/>
        </w:rPr>
      </w:pPr>
      <w:r>
        <w:rPr>
          <w:lang w:val="fr"/>
        </w:rPr>
        <w:lastRenderedPageBreak/>
        <w:t xml:space="preserve">Cette situation peut impliquer que les États </w:t>
      </w:r>
      <w:r w:rsidR="00A16033">
        <w:rPr>
          <w:lang w:val="fr"/>
        </w:rPr>
        <w:t xml:space="preserve">parties </w:t>
      </w:r>
      <w:r>
        <w:rPr>
          <w:lang w:val="fr"/>
        </w:rPr>
        <w:t xml:space="preserve">qui ont un ou plusieurs dossiers en </w:t>
      </w:r>
      <w:r w:rsidR="0033263E">
        <w:rPr>
          <w:lang w:val="fr"/>
        </w:rPr>
        <w:t xml:space="preserve">attente </w:t>
      </w:r>
      <w:r>
        <w:rPr>
          <w:lang w:val="fr"/>
        </w:rPr>
        <w:t>bénéficient d</w:t>
      </w:r>
      <w:r w:rsidR="00244CEA">
        <w:rPr>
          <w:lang w:val="fr"/>
        </w:rPr>
        <w:t>’</w:t>
      </w:r>
      <w:r>
        <w:rPr>
          <w:lang w:val="fr"/>
        </w:rPr>
        <w:t>un certain avantage pour les inscriptions futures, car il est peu probable qu</w:t>
      </w:r>
      <w:r w:rsidR="00244CEA">
        <w:rPr>
          <w:lang w:val="fr"/>
        </w:rPr>
        <w:t>’</w:t>
      </w:r>
      <w:r>
        <w:rPr>
          <w:lang w:val="fr"/>
        </w:rPr>
        <w:t>ils laissent passer l</w:t>
      </w:r>
      <w:r w:rsidR="00244CEA">
        <w:rPr>
          <w:lang w:val="fr"/>
        </w:rPr>
        <w:t>’</w:t>
      </w:r>
      <w:r>
        <w:rPr>
          <w:lang w:val="fr"/>
        </w:rPr>
        <w:t>occasion de faire examiner leurs dossiers une année sur deux lorsque la priorité (0) s</w:t>
      </w:r>
      <w:r w:rsidR="00244CEA">
        <w:rPr>
          <w:lang w:val="fr"/>
        </w:rPr>
        <w:t>’</w:t>
      </w:r>
      <w:r>
        <w:rPr>
          <w:lang w:val="fr"/>
        </w:rPr>
        <w:t xml:space="preserve">applique à eux. Il faut également rappeler que les dossiers en </w:t>
      </w:r>
      <w:r w:rsidR="0033263E">
        <w:rPr>
          <w:lang w:val="fr"/>
        </w:rPr>
        <w:t xml:space="preserve">attente </w:t>
      </w:r>
      <w:r>
        <w:rPr>
          <w:lang w:val="fr"/>
        </w:rPr>
        <w:t>soumis il y a de nombreuses années nécessitent une mise à jour importante, car les éléments concernés, leurs contextes et les exigences techniques des candidatures ont tendance à évoluer avec le temps.</w:t>
      </w:r>
    </w:p>
    <w:p w14:paraId="1E361601" w14:textId="333DAB03" w:rsidR="007D2B08" w:rsidRPr="00EC30E9" w:rsidRDefault="007D2B08" w:rsidP="00561AE0">
      <w:pPr>
        <w:pStyle w:val="COMPara"/>
        <w:numPr>
          <w:ilvl w:val="0"/>
          <w:numId w:val="37"/>
        </w:numPr>
        <w:ind w:left="1134" w:hanging="567"/>
        <w:jc w:val="both"/>
        <w:rPr>
          <w:lang w:val="fr-FR"/>
        </w:rPr>
      </w:pPr>
      <w:r>
        <w:rPr>
          <w:lang w:val="fr"/>
        </w:rPr>
        <w:t>Lors de sa dixième session en 2015, le Comité a encouragé les États parties à « </w:t>
      </w:r>
      <w:r w:rsidR="002B0997">
        <w:rPr>
          <w:lang w:val="fr"/>
        </w:rPr>
        <w:t xml:space="preserve">retirer, auprès du </w:t>
      </w:r>
      <w:r>
        <w:rPr>
          <w:lang w:val="fr"/>
        </w:rPr>
        <w:t>Secrétariat</w:t>
      </w:r>
      <w:r w:rsidR="002B0997">
        <w:rPr>
          <w:lang w:val="fr"/>
        </w:rPr>
        <w:t>,</w:t>
      </w:r>
      <w:r>
        <w:rPr>
          <w:lang w:val="fr"/>
        </w:rPr>
        <w:t xml:space="preserve"> les dossiers soumis il y a quatre ans ou plus qui n</w:t>
      </w:r>
      <w:r w:rsidR="00244CEA">
        <w:rPr>
          <w:lang w:val="fr"/>
        </w:rPr>
        <w:t>’</w:t>
      </w:r>
      <w:r w:rsidR="002B0997">
        <w:rPr>
          <w:lang w:val="fr"/>
        </w:rPr>
        <w:t>auraient</w:t>
      </w:r>
      <w:r>
        <w:rPr>
          <w:lang w:val="fr"/>
        </w:rPr>
        <w:t xml:space="preserve"> pas été examinés par le Comité » (</w:t>
      </w:r>
      <w:r w:rsidR="00A16033" w:rsidRPr="00561AE0">
        <w:rPr>
          <w:lang w:val="fr-FR"/>
        </w:rPr>
        <w:t xml:space="preserve">décision </w:t>
      </w:r>
      <w:hyperlink r:id="rId11" w:history="1">
        <w:r w:rsidR="00A16033" w:rsidRPr="00830A0D">
          <w:rPr>
            <w:rStyle w:val="Lienhypertexte"/>
            <w:lang w:val="fr"/>
          </w:rPr>
          <w:t>10.COM 13</w:t>
        </w:r>
      </w:hyperlink>
      <w:r w:rsidR="002B0997">
        <w:rPr>
          <w:lang w:val="fr"/>
        </w:rPr>
        <w:t>,</w:t>
      </w:r>
      <w:r>
        <w:rPr>
          <w:lang w:val="fr"/>
        </w:rPr>
        <w:t xml:space="preserve"> paragraphe 10). Jusqu</w:t>
      </w:r>
      <w:r w:rsidR="00244CEA">
        <w:rPr>
          <w:lang w:val="fr"/>
        </w:rPr>
        <w:t>’</w:t>
      </w:r>
      <w:r>
        <w:rPr>
          <w:lang w:val="fr"/>
        </w:rPr>
        <w:t xml:space="preserve">à présent, seuls six États </w:t>
      </w:r>
      <w:r w:rsidR="00A16033">
        <w:rPr>
          <w:lang w:val="fr"/>
        </w:rPr>
        <w:t xml:space="preserve">parties </w:t>
      </w:r>
      <w:r>
        <w:rPr>
          <w:lang w:val="fr"/>
        </w:rPr>
        <w:t>ont retiré le</w:t>
      </w:r>
      <w:r w:rsidR="002B0997">
        <w:rPr>
          <w:lang w:val="fr"/>
        </w:rPr>
        <w:t>ur</w:t>
      </w:r>
      <w:r>
        <w:rPr>
          <w:lang w:val="fr"/>
        </w:rPr>
        <w:t xml:space="preserve">s candidatures en </w:t>
      </w:r>
      <w:r w:rsidR="00AD2FD9">
        <w:rPr>
          <w:lang w:val="fr"/>
        </w:rPr>
        <w:t xml:space="preserve">attente </w:t>
      </w:r>
      <w:r>
        <w:rPr>
          <w:lang w:val="fr"/>
        </w:rPr>
        <w:t>(</w:t>
      </w:r>
      <w:r w:rsidR="002B0997">
        <w:rPr>
          <w:lang w:val="fr"/>
        </w:rPr>
        <w:t xml:space="preserve">ce qui </w:t>
      </w:r>
      <w:r>
        <w:rPr>
          <w:lang w:val="fr"/>
        </w:rPr>
        <w:t>correspond à 36 dossiers). En 2021, la seizième session du Comité a exprimé le souhait de trouver « </w:t>
      </w:r>
      <w:r w:rsidR="00AD2FD9" w:rsidRPr="00AD2FD9">
        <w:rPr>
          <w:lang w:val="fr"/>
        </w:rPr>
        <w:t>des solutions dynamiques pour les candidatures mises en attente en vue d</w:t>
      </w:r>
      <w:r w:rsidR="00244CEA">
        <w:rPr>
          <w:lang w:val="fr"/>
        </w:rPr>
        <w:t>’</w:t>
      </w:r>
      <w:r w:rsidR="00AD2FD9" w:rsidRPr="00AD2FD9">
        <w:rPr>
          <w:lang w:val="fr"/>
        </w:rPr>
        <w:t>une meilleure représentation régionale.</w:t>
      </w:r>
      <w:r w:rsidR="00244CEA">
        <w:rPr>
          <w:lang w:val="fr"/>
        </w:rPr>
        <w:t>’</w:t>
      </w:r>
      <w:proofErr w:type="gramStart"/>
      <w:r w:rsidR="00244CEA">
        <w:rPr>
          <w:lang w:val="fr"/>
        </w:rPr>
        <w:t>’</w:t>
      </w:r>
      <w:r>
        <w:rPr>
          <w:lang w:val="fr"/>
        </w:rPr>
        <w:t>»</w:t>
      </w:r>
      <w:proofErr w:type="gramEnd"/>
      <w:r>
        <w:rPr>
          <w:lang w:val="fr"/>
        </w:rPr>
        <w:t xml:space="preserve"> (</w:t>
      </w:r>
      <w:proofErr w:type="gramStart"/>
      <w:r w:rsidR="0045222D">
        <w:rPr>
          <w:lang w:val="fr"/>
        </w:rPr>
        <w:t>d</w:t>
      </w:r>
      <w:r>
        <w:rPr>
          <w:lang w:val="fr"/>
        </w:rPr>
        <w:t>écision</w:t>
      </w:r>
      <w:proofErr w:type="gramEnd"/>
      <w:r>
        <w:rPr>
          <w:lang w:val="fr"/>
        </w:rPr>
        <w:t xml:space="preserve"> </w:t>
      </w:r>
      <w:hyperlink r:id="rId12" w:history="1">
        <w:r w:rsidR="00AD2FD9">
          <w:rPr>
            <w:rStyle w:val="Lienhypertexte"/>
            <w:lang w:val="fr"/>
          </w:rPr>
          <w:t>16.COM 8</w:t>
        </w:r>
      </w:hyperlink>
      <w:r w:rsidR="00A16033">
        <w:rPr>
          <w:lang w:val="fr"/>
        </w:rPr>
        <w:t xml:space="preserve">, </w:t>
      </w:r>
      <w:r>
        <w:rPr>
          <w:lang w:val="fr"/>
        </w:rPr>
        <w:t>paragraphe 12).</w:t>
      </w:r>
    </w:p>
    <w:p w14:paraId="1BF6EDCC" w14:textId="22B57829" w:rsidR="007D2B08" w:rsidRPr="00EC30E9" w:rsidRDefault="007D2B08" w:rsidP="00561AE0">
      <w:pPr>
        <w:pStyle w:val="COMPara"/>
        <w:keepNext/>
        <w:ind w:left="993" w:firstLine="141"/>
        <w:jc w:val="both"/>
        <w:rPr>
          <w:b/>
          <w:bCs/>
          <w:lang w:val="fr-FR"/>
        </w:rPr>
      </w:pPr>
      <w:r>
        <w:rPr>
          <w:b/>
          <w:bCs/>
          <w:lang w:val="fr"/>
        </w:rPr>
        <w:t xml:space="preserve">Tableau 1 : Dossiers en </w:t>
      </w:r>
      <w:r w:rsidR="00AD2FD9">
        <w:rPr>
          <w:b/>
          <w:bCs/>
          <w:lang w:val="fr"/>
        </w:rPr>
        <w:t xml:space="preserve">attente </w:t>
      </w:r>
      <w:r>
        <w:rPr>
          <w:b/>
          <w:bCs/>
          <w:lang w:val="fr"/>
        </w:rPr>
        <w:t>par groupe électoral</w:t>
      </w:r>
    </w:p>
    <w:tbl>
      <w:tblPr>
        <w:tblStyle w:val="Grilledutableau"/>
        <w:tblW w:w="8505" w:type="dxa"/>
        <w:tblInd w:w="1129" w:type="dxa"/>
        <w:tblLook w:val="04A0" w:firstRow="1" w:lastRow="0" w:firstColumn="1" w:lastColumn="0" w:noHBand="0" w:noVBand="1"/>
      </w:tblPr>
      <w:tblGrid>
        <w:gridCol w:w="1347"/>
        <w:gridCol w:w="1193"/>
        <w:gridCol w:w="1193"/>
        <w:gridCol w:w="1193"/>
        <w:gridCol w:w="1193"/>
        <w:gridCol w:w="1193"/>
        <w:gridCol w:w="1193"/>
      </w:tblGrid>
      <w:tr w:rsidR="00830A0D" w14:paraId="0477EB90" w14:textId="77777777" w:rsidTr="009E7965">
        <w:tc>
          <w:tcPr>
            <w:tcW w:w="13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cPr>
          <w:p w14:paraId="6B0D75E3" w14:textId="77777777" w:rsidR="007D2B08" w:rsidRPr="00561AE0" w:rsidRDefault="007D2B08" w:rsidP="00561AE0">
            <w:pPr>
              <w:pStyle w:val="1GAPara"/>
              <w:widowControl w:val="0"/>
              <w:spacing w:after="150"/>
              <w:jc w:val="both"/>
              <w:rPr>
                <w:b/>
                <w:bCs/>
                <w:sz w:val="18"/>
                <w:szCs w:val="18"/>
                <w:lang w:val="fr-FR"/>
              </w:rPr>
            </w:pPr>
          </w:p>
        </w:tc>
        <w:tc>
          <w:tcPr>
            <w:tcW w:w="11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cPr>
          <w:p w14:paraId="7E7069F1" w14:textId="77777777" w:rsidR="007D2B08" w:rsidRPr="00DF06A3" w:rsidRDefault="007D2B08" w:rsidP="00EC30E9">
            <w:pPr>
              <w:pStyle w:val="1GAPara"/>
              <w:keepNext/>
              <w:spacing w:after="150"/>
              <w:jc w:val="both"/>
              <w:rPr>
                <w:b/>
                <w:bCs/>
                <w:sz w:val="18"/>
                <w:szCs w:val="18"/>
              </w:rPr>
            </w:pPr>
            <w:r>
              <w:rPr>
                <w:b/>
                <w:bCs/>
                <w:sz w:val="18"/>
                <w:szCs w:val="18"/>
                <w:lang w:val="fr"/>
              </w:rPr>
              <w:t>Groupe I</w:t>
            </w:r>
          </w:p>
          <w:p w14:paraId="399D32B8" w14:textId="77777777" w:rsidR="007D2B08" w:rsidRPr="00DF06A3" w:rsidRDefault="007D2B08" w:rsidP="00EC30E9">
            <w:pPr>
              <w:pStyle w:val="1GAPara"/>
              <w:keepNext/>
              <w:spacing w:after="150"/>
              <w:jc w:val="both"/>
              <w:rPr>
                <w:b/>
                <w:bCs/>
                <w:sz w:val="18"/>
                <w:szCs w:val="18"/>
              </w:rPr>
            </w:pPr>
            <w:r>
              <w:rPr>
                <w:b/>
                <w:bCs/>
                <w:sz w:val="18"/>
                <w:szCs w:val="18"/>
                <w:lang w:val="fr"/>
              </w:rPr>
              <w:t>(22 États)</w:t>
            </w:r>
          </w:p>
        </w:tc>
        <w:tc>
          <w:tcPr>
            <w:tcW w:w="11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cPr>
          <w:p w14:paraId="5EAF9389" w14:textId="77777777" w:rsidR="007D2B08" w:rsidRPr="00DF06A3" w:rsidRDefault="007D2B08" w:rsidP="00EC30E9">
            <w:pPr>
              <w:pStyle w:val="1GAPara"/>
              <w:keepNext/>
              <w:spacing w:after="150"/>
              <w:jc w:val="both"/>
              <w:rPr>
                <w:b/>
                <w:bCs/>
                <w:sz w:val="18"/>
                <w:szCs w:val="18"/>
              </w:rPr>
            </w:pPr>
            <w:r>
              <w:rPr>
                <w:b/>
                <w:bCs/>
                <w:sz w:val="18"/>
                <w:szCs w:val="18"/>
                <w:lang w:val="fr"/>
              </w:rPr>
              <w:t>Groupe II</w:t>
            </w:r>
          </w:p>
          <w:p w14:paraId="10BBCEAE" w14:textId="77777777" w:rsidR="007D2B08" w:rsidRPr="00DF06A3" w:rsidRDefault="007D2B08" w:rsidP="00EC30E9">
            <w:pPr>
              <w:pStyle w:val="1GAPara"/>
              <w:keepNext/>
              <w:spacing w:after="150"/>
              <w:jc w:val="both"/>
              <w:rPr>
                <w:b/>
                <w:bCs/>
                <w:sz w:val="18"/>
                <w:szCs w:val="18"/>
              </w:rPr>
            </w:pPr>
            <w:r>
              <w:rPr>
                <w:b/>
                <w:bCs/>
                <w:sz w:val="18"/>
                <w:szCs w:val="18"/>
                <w:lang w:val="fr"/>
              </w:rPr>
              <w:t>(24 États)</w:t>
            </w:r>
          </w:p>
        </w:tc>
        <w:tc>
          <w:tcPr>
            <w:tcW w:w="11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cPr>
          <w:p w14:paraId="0FF4AFDF" w14:textId="77777777" w:rsidR="007D2B08" w:rsidRPr="00DF06A3" w:rsidRDefault="007D2B08" w:rsidP="00EC30E9">
            <w:pPr>
              <w:pStyle w:val="1GAPara"/>
              <w:keepNext/>
              <w:spacing w:after="150"/>
              <w:jc w:val="both"/>
              <w:rPr>
                <w:b/>
                <w:bCs/>
                <w:sz w:val="18"/>
                <w:szCs w:val="18"/>
              </w:rPr>
            </w:pPr>
            <w:r>
              <w:rPr>
                <w:b/>
                <w:bCs/>
                <w:sz w:val="18"/>
                <w:szCs w:val="18"/>
                <w:lang w:val="fr"/>
              </w:rPr>
              <w:t>Groupe III</w:t>
            </w:r>
          </w:p>
          <w:p w14:paraId="390BBC81" w14:textId="77777777" w:rsidR="007D2B08" w:rsidRPr="00DF06A3" w:rsidRDefault="007D2B08" w:rsidP="00EC30E9">
            <w:pPr>
              <w:pStyle w:val="1GAPara"/>
              <w:keepNext/>
              <w:spacing w:after="150"/>
              <w:jc w:val="both"/>
              <w:rPr>
                <w:b/>
                <w:bCs/>
                <w:sz w:val="18"/>
                <w:szCs w:val="18"/>
              </w:rPr>
            </w:pPr>
            <w:r>
              <w:rPr>
                <w:b/>
                <w:bCs/>
                <w:sz w:val="18"/>
                <w:szCs w:val="18"/>
                <w:lang w:val="fr"/>
              </w:rPr>
              <w:t>(32 États)</w:t>
            </w:r>
          </w:p>
        </w:tc>
        <w:tc>
          <w:tcPr>
            <w:tcW w:w="11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cPr>
          <w:p w14:paraId="124B6713" w14:textId="77777777" w:rsidR="007D2B08" w:rsidRPr="00DF06A3" w:rsidRDefault="007D2B08" w:rsidP="00EC30E9">
            <w:pPr>
              <w:pStyle w:val="1GAPara"/>
              <w:keepNext/>
              <w:spacing w:after="150"/>
              <w:jc w:val="both"/>
              <w:rPr>
                <w:b/>
                <w:bCs/>
                <w:sz w:val="18"/>
                <w:szCs w:val="18"/>
              </w:rPr>
            </w:pPr>
            <w:r>
              <w:rPr>
                <w:b/>
                <w:bCs/>
                <w:sz w:val="18"/>
                <w:szCs w:val="18"/>
                <w:lang w:val="fr"/>
              </w:rPr>
              <w:t>Groupe IV</w:t>
            </w:r>
          </w:p>
          <w:p w14:paraId="71BDFEF1" w14:textId="77777777" w:rsidR="007D2B08" w:rsidRPr="00DF06A3" w:rsidRDefault="007D2B08" w:rsidP="00EC30E9">
            <w:pPr>
              <w:pStyle w:val="1GAPara"/>
              <w:keepNext/>
              <w:spacing w:after="150"/>
              <w:jc w:val="both"/>
              <w:rPr>
                <w:b/>
                <w:bCs/>
                <w:sz w:val="18"/>
                <w:szCs w:val="18"/>
              </w:rPr>
            </w:pPr>
            <w:r>
              <w:rPr>
                <w:b/>
                <w:bCs/>
                <w:sz w:val="18"/>
                <w:szCs w:val="18"/>
                <w:lang w:val="fr"/>
              </w:rPr>
              <w:t>(40 États)</w:t>
            </w:r>
          </w:p>
        </w:tc>
        <w:tc>
          <w:tcPr>
            <w:tcW w:w="11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cPr>
          <w:p w14:paraId="20EA68DA" w14:textId="4B98B77C" w:rsidR="007D2B08" w:rsidRPr="00DF06A3" w:rsidRDefault="007D2B08" w:rsidP="00EC30E9">
            <w:pPr>
              <w:pStyle w:val="1GAPara"/>
              <w:keepNext/>
              <w:spacing w:after="150"/>
              <w:jc w:val="both"/>
              <w:rPr>
                <w:b/>
                <w:bCs/>
                <w:sz w:val="18"/>
                <w:szCs w:val="18"/>
              </w:rPr>
            </w:pPr>
            <w:r>
              <w:rPr>
                <w:b/>
                <w:bCs/>
                <w:sz w:val="18"/>
                <w:szCs w:val="18"/>
                <w:lang w:val="fr"/>
              </w:rPr>
              <w:t>Groupe V</w:t>
            </w:r>
            <w:r w:rsidR="00830A0D">
              <w:rPr>
                <w:b/>
                <w:bCs/>
                <w:sz w:val="18"/>
                <w:szCs w:val="18"/>
                <w:lang w:val="fr"/>
              </w:rPr>
              <w:t>(</w:t>
            </w:r>
            <w:r>
              <w:rPr>
                <w:b/>
                <w:bCs/>
                <w:sz w:val="18"/>
                <w:szCs w:val="18"/>
                <w:lang w:val="fr"/>
              </w:rPr>
              <w:t>a)</w:t>
            </w:r>
          </w:p>
          <w:p w14:paraId="5BC52C11" w14:textId="77777777" w:rsidR="007D2B08" w:rsidRPr="00DF06A3" w:rsidRDefault="007D2B08" w:rsidP="00EC30E9">
            <w:pPr>
              <w:pStyle w:val="1GAPara"/>
              <w:keepNext/>
              <w:spacing w:after="150"/>
              <w:jc w:val="both"/>
              <w:rPr>
                <w:b/>
                <w:bCs/>
                <w:sz w:val="18"/>
                <w:szCs w:val="18"/>
              </w:rPr>
            </w:pPr>
            <w:r>
              <w:rPr>
                <w:b/>
                <w:bCs/>
                <w:sz w:val="18"/>
                <w:szCs w:val="18"/>
                <w:lang w:val="fr"/>
              </w:rPr>
              <w:t>(44 États)</w:t>
            </w:r>
          </w:p>
        </w:tc>
        <w:tc>
          <w:tcPr>
            <w:tcW w:w="11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cPr>
          <w:p w14:paraId="36385CD8" w14:textId="3CC3FFD7" w:rsidR="007D2B08" w:rsidRPr="00DF06A3" w:rsidRDefault="007D2B08" w:rsidP="00EC30E9">
            <w:pPr>
              <w:pStyle w:val="1GAPara"/>
              <w:keepNext/>
              <w:spacing w:after="150"/>
              <w:jc w:val="both"/>
              <w:rPr>
                <w:b/>
                <w:bCs/>
                <w:sz w:val="18"/>
                <w:szCs w:val="18"/>
              </w:rPr>
            </w:pPr>
            <w:r>
              <w:rPr>
                <w:b/>
                <w:bCs/>
                <w:sz w:val="18"/>
                <w:szCs w:val="18"/>
                <w:lang w:val="fr"/>
              </w:rPr>
              <w:t>Groupe V</w:t>
            </w:r>
            <w:r w:rsidR="00830A0D">
              <w:rPr>
                <w:b/>
                <w:bCs/>
                <w:sz w:val="18"/>
                <w:szCs w:val="18"/>
                <w:lang w:val="fr"/>
              </w:rPr>
              <w:t>(</w:t>
            </w:r>
            <w:r>
              <w:rPr>
                <w:b/>
                <w:bCs/>
                <w:sz w:val="18"/>
                <w:szCs w:val="18"/>
                <w:lang w:val="fr"/>
              </w:rPr>
              <w:t>b)</w:t>
            </w:r>
          </w:p>
          <w:p w14:paraId="2B4EAE0D" w14:textId="77777777" w:rsidR="007D2B08" w:rsidRPr="00DF06A3" w:rsidRDefault="007D2B08" w:rsidP="00EC30E9">
            <w:pPr>
              <w:pStyle w:val="1GAPara"/>
              <w:keepNext/>
              <w:spacing w:after="150"/>
              <w:jc w:val="both"/>
              <w:rPr>
                <w:b/>
                <w:bCs/>
                <w:sz w:val="18"/>
                <w:szCs w:val="18"/>
              </w:rPr>
            </w:pPr>
            <w:r>
              <w:rPr>
                <w:b/>
                <w:bCs/>
                <w:sz w:val="18"/>
                <w:szCs w:val="18"/>
                <w:lang w:val="fr"/>
              </w:rPr>
              <w:t>(18 États)</w:t>
            </w:r>
          </w:p>
        </w:tc>
      </w:tr>
      <w:tr w:rsidR="00830A0D" w14:paraId="7E3D21F1" w14:textId="77777777" w:rsidTr="00561AE0">
        <w:tc>
          <w:tcPr>
            <w:tcW w:w="13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794A7B1" w14:textId="5FD64E08" w:rsidR="007D2B08" w:rsidRPr="00EC30E9" w:rsidRDefault="007D2B08" w:rsidP="00EC30E9">
            <w:pPr>
              <w:pStyle w:val="1GAPara"/>
              <w:keepNext/>
              <w:spacing w:after="0"/>
              <w:jc w:val="both"/>
              <w:rPr>
                <w:b/>
                <w:bCs/>
                <w:sz w:val="18"/>
                <w:szCs w:val="18"/>
                <w:lang w:val="fr-FR"/>
              </w:rPr>
            </w:pPr>
            <w:r>
              <w:rPr>
                <w:b/>
                <w:bCs/>
                <w:sz w:val="18"/>
                <w:szCs w:val="18"/>
                <w:lang w:val="fr"/>
              </w:rPr>
              <w:t xml:space="preserve">Nombre de dossiers </w:t>
            </w:r>
            <w:r w:rsidR="00AD2FD9">
              <w:rPr>
                <w:b/>
                <w:bCs/>
                <w:sz w:val="18"/>
                <w:szCs w:val="18"/>
                <w:lang w:val="fr"/>
              </w:rPr>
              <w:t>en attente</w:t>
            </w:r>
          </w:p>
          <w:p w14:paraId="6CF1E380" w14:textId="77777777" w:rsidR="007D2B08" w:rsidRPr="00EC30E9" w:rsidRDefault="007D2B08" w:rsidP="00EC30E9">
            <w:pPr>
              <w:pStyle w:val="1GAPara"/>
              <w:keepNext/>
              <w:spacing w:after="0"/>
              <w:jc w:val="both"/>
              <w:rPr>
                <w:b/>
                <w:bCs/>
                <w:sz w:val="18"/>
                <w:szCs w:val="18"/>
                <w:lang w:val="fr-FR"/>
              </w:rPr>
            </w:pPr>
            <w:r>
              <w:rPr>
                <w:b/>
                <w:bCs/>
                <w:sz w:val="18"/>
                <w:szCs w:val="18"/>
                <w:lang w:val="fr"/>
              </w:rPr>
              <w:t>(129 au total)</w:t>
            </w:r>
          </w:p>
        </w:tc>
        <w:tc>
          <w:tcPr>
            <w:tcW w:w="1193" w:type="dxa"/>
          </w:tcPr>
          <w:p w14:paraId="16B19A2B" w14:textId="77777777" w:rsidR="007D2B08" w:rsidRPr="00DF06A3" w:rsidRDefault="007D2B08" w:rsidP="00EC30E9">
            <w:pPr>
              <w:pStyle w:val="1GAPara"/>
              <w:keepNext/>
              <w:spacing w:after="0"/>
              <w:jc w:val="both"/>
              <w:rPr>
                <w:sz w:val="18"/>
                <w:szCs w:val="18"/>
              </w:rPr>
            </w:pPr>
            <w:r>
              <w:rPr>
                <w:sz w:val="18"/>
                <w:szCs w:val="18"/>
                <w:lang w:val="fr"/>
              </w:rPr>
              <w:t>16</w:t>
            </w:r>
          </w:p>
        </w:tc>
        <w:tc>
          <w:tcPr>
            <w:tcW w:w="1193" w:type="dxa"/>
          </w:tcPr>
          <w:p w14:paraId="3674100E" w14:textId="77777777" w:rsidR="007D2B08" w:rsidRPr="00DF06A3" w:rsidRDefault="007D2B08" w:rsidP="00EC30E9">
            <w:pPr>
              <w:pStyle w:val="1GAPara"/>
              <w:keepNext/>
              <w:spacing w:after="0"/>
              <w:jc w:val="both"/>
              <w:rPr>
                <w:sz w:val="18"/>
                <w:szCs w:val="18"/>
              </w:rPr>
            </w:pPr>
            <w:r>
              <w:rPr>
                <w:rFonts w:asciiTheme="minorBidi" w:hAnsiTheme="minorBidi" w:cstheme="minorBidi"/>
                <w:sz w:val="18"/>
                <w:szCs w:val="18"/>
                <w:lang w:val="fr"/>
              </w:rPr>
              <w:t>15</w:t>
            </w:r>
          </w:p>
        </w:tc>
        <w:tc>
          <w:tcPr>
            <w:tcW w:w="1193" w:type="dxa"/>
          </w:tcPr>
          <w:p w14:paraId="1D98B7EA" w14:textId="77777777" w:rsidR="007D2B08" w:rsidRPr="00DF06A3" w:rsidRDefault="007D2B08" w:rsidP="00EC30E9">
            <w:pPr>
              <w:pStyle w:val="1GAPara"/>
              <w:keepNext/>
              <w:spacing w:after="0"/>
              <w:jc w:val="both"/>
              <w:rPr>
                <w:sz w:val="18"/>
                <w:szCs w:val="18"/>
              </w:rPr>
            </w:pPr>
            <w:r>
              <w:rPr>
                <w:sz w:val="18"/>
                <w:szCs w:val="18"/>
                <w:lang w:val="fr"/>
              </w:rPr>
              <w:t>4</w:t>
            </w:r>
          </w:p>
        </w:tc>
        <w:tc>
          <w:tcPr>
            <w:tcW w:w="1193" w:type="dxa"/>
          </w:tcPr>
          <w:p w14:paraId="06D442C9" w14:textId="77777777" w:rsidR="007D2B08" w:rsidRPr="00DF06A3" w:rsidRDefault="007D2B08" w:rsidP="00EC30E9">
            <w:pPr>
              <w:pStyle w:val="1GAPara"/>
              <w:keepNext/>
              <w:spacing w:after="0"/>
              <w:jc w:val="both"/>
              <w:rPr>
                <w:sz w:val="18"/>
                <w:szCs w:val="18"/>
              </w:rPr>
            </w:pPr>
            <w:r>
              <w:rPr>
                <w:rFonts w:asciiTheme="minorBidi" w:hAnsiTheme="minorBidi" w:cstheme="minorBidi"/>
                <w:sz w:val="18"/>
                <w:szCs w:val="18"/>
                <w:lang w:val="fr"/>
              </w:rPr>
              <w:t>74</w:t>
            </w:r>
          </w:p>
        </w:tc>
        <w:tc>
          <w:tcPr>
            <w:tcW w:w="1193" w:type="dxa"/>
          </w:tcPr>
          <w:p w14:paraId="1812C408" w14:textId="77777777" w:rsidR="007D2B08" w:rsidRPr="00DF06A3" w:rsidRDefault="007D2B08" w:rsidP="00EC30E9">
            <w:pPr>
              <w:pStyle w:val="1GAPara"/>
              <w:keepNext/>
              <w:spacing w:after="0"/>
              <w:jc w:val="both"/>
              <w:rPr>
                <w:sz w:val="18"/>
                <w:szCs w:val="18"/>
              </w:rPr>
            </w:pPr>
            <w:r>
              <w:rPr>
                <w:rFonts w:asciiTheme="minorBidi" w:hAnsiTheme="minorBidi" w:cstheme="minorBidi"/>
                <w:sz w:val="18"/>
                <w:szCs w:val="18"/>
                <w:lang w:val="fr"/>
              </w:rPr>
              <w:t>5</w:t>
            </w:r>
          </w:p>
        </w:tc>
        <w:tc>
          <w:tcPr>
            <w:tcW w:w="1193" w:type="dxa"/>
          </w:tcPr>
          <w:p w14:paraId="22F7246D" w14:textId="77777777" w:rsidR="007D2B08" w:rsidRPr="00DF06A3" w:rsidRDefault="007D2B08" w:rsidP="00EC30E9">
            <w:pPr>
              <w:pStyle w:val="1GAPara"/>
              <w:keepNext/>
              <w:spacing w:after="0"/>
              <w:jc w:val="both"/>
              <w:rPr>
                <w:sz w:val="18"/>
                <w:szCs w:val="18"/>
              </w:rPr>
            </w:pPr>
            <w:r>
              <w:rPr>
                <w:rFonts w:asciiTheme="minorBidi" w:hAnsiTheme="minorBidi" w:cstheme="minorBidi"/>
                <w:sz w:val="18"/>
                <w:szCs w:val="18"/>
                <w:lang w:val="fr"/>
              </w:rPr>
              <w:t>15</w:t>
            </w:r>
          </w:p>
        </w:tc>
      </w:tr>
      <w:tr w:rsidR="00830A0D" w14:paraId="4A2866DA" w14:textId="77777777" w:rsidTr="00561AE0">
        <w:tc>
          <w:tcPr>
            <w:tcW w:w="13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A4C0B2C" w14:textId="77777777" w:rsidR="007D2B08" w:rsidRPr="00DF06A3" w:rsidRDefault="007D2B08" w:rsidP="00EC30E9">
            <w:pPr>
              <w:pStyle w:val="1GAPara"/>
              <w:keepNext/>
              <w:spacing w:after="0"/>
              <w:jc w:val="both"/>
              <w:rPr>
                <w:b/>
                <w:bCs/>
                <w:sz w:val="18"/>
                <w:szCs w:val="18"/>
              </w:rPr>
            </w:pPr>
            <w:r>
              <w:rPr>
                <w:b/>
                <w:bCs/>
                <w:sz w:val="18"/>
                <w:szCs w:val="18"/>
                <w:lang w:val="fr"/>
              </w:rPr>
              <w:t>Pourcentage</w:t>
            </w:r>
          </w:p>
          <w:p w14:paraId="22554AC3" w14:textId="77777777" w:rsidR="007D2B08" w:rsidRPr="00DF06A3" w:rsidRDefault="007D2B08" w:rsidP="00EC30E9">
            <w:pPr>
              <w:pStyle w:val="1GAPara"/>
              <w:keepNext/>
              <w:spacing w:after="0"/>
              <w:jc w:val="both"/>
              <w:rPr>
                <w:b/>
                <w:bCs/>
                <w:sz w:val="18"/>
                <w:szCs w:val="18"/>
              </w:rPr>
            </w:pPr>
            <w:r>
              <w:rPr>
                <w:b/>
                <w:bCs/>
                <w:sz w:val="18"/>
                <w:szCs w:val="18"/>
                <w:lang w:val="fr"/>
              </w:rPr>
              <w:t>(%)</w:t>
            </w:r>
          </w:p>
        </w:tc>
        <w:tc>
          <w:tcPr>
            <w:tcW w:w="1193" w:type="dxa"/>
          </w:tcPr>
          <w:p w14:paraId="3D21E206" w14:textId="77777777" w:rsidR="007D2B08" w:rsidRPr="00DF06A3" w:rsidRDefault="007D2B08" w:rsidP="00EC30E9">
            <w:pPr>
              <w:pStyle w:val="1GAPara"/>
              <w:keepNext/>
              <w:spacing w:after="0"/>
              <w:jc w:val="both"/>
              <w:rPr>
                <w:sz w:val="18"/>
                <w:szCs w:val="18"/>
              </w:rPr>
            </w:pPr>
            <w:r>
              <w:rPr>
                <w:sz w:val="18"/>
                <w:szCs w:val="18"/>
                <w:lang w:val="fr"/>
              </w:rPr>
              <w:t>12,4%</w:t>
            </w:r>
          </w:p>
        </w:tc>
        <w:tc>
          <w:tcPr>
            <w:tcW w:w="1193" w:type="dxa"/>
          </w:tcPr>
          <w:p w14:paraId="57E8C915" w14:textId="77777777" w:rsidR="007D2B08" w:rsidRPr="00DF06A3" w:rsidRDefault="007D2B08" w:rsidP="00EC30E9">
            <w:pPr>
              <w:pStyle w:val="1GAPara"/>
              <w:keepNext/>
              <w:spacing w:after="0"/>
              <w:jc w:val="both"/>
              <w:rPr>
                <w:sz w:val="18"/>
                <w:szCs w:val="18"/>
              </w:rPr>
            </w:pPr>
            <w:r>
              <w:rPr>
                <w:rFonts w:asciiTheme="minorBidi" w:hAnsiTheme="minorBidi" w:cstheme="minorBidi"/>
                <w:snapToGrid/>
                <w:sz w:val="18"/>
                <w:szCs w:val="18"/>
                <w:lang w:val="fr"/>
              </w:rPr>
              <w:t>11,6%</w:t>
            </w:r>
          </w:p>
        </w:tc>
        <w:tc>
          <w:tcPr>
            <w:tcW w:w="1193" w:type="dxa"/>
          </w:tcPr>
          <w:p w14:paraId="187720B8" w14:textId="77777777" w:rsidR="007D2B08" w:rsidRPr="00DF06A3" w:rsidRDefault="007D2B08" w:rsidP="00EC30E9">
            <w:pPr>
              <w:pStyle w:val="1GAPara"/>
              <w:keepNext/>
              <w:spacing w:after="0"/>
              <w:jc w:val="both"/>
              <w:rPr>
                <w:sz w:val="18"/>
                <w:szCs w:val="18"/>
              </w:rPr>
            </w:pPr>
            <w:r>
              <w:rPr>
                <w:sz w:val="18"/>
                <w:szCs w:val="18"/>
                <w:lang w:val="fr"/>
              </w:rPr>
              <w:t>3,1%</w:t>
            </w:r>
          </w:p>
        </w:tc>
        <w:tc>
          <w:tcPr>
            <w:tcW w:w="1193" w:type="dxa"/>
          </w:tcPr>
          <w:p w14:paraId="2D2EF083" w14:textId="77777777" w:rsidR="007D2B08" w:rsidRPr="00DF06A3" w:rsidRDefault="007D2B08" w:rsidP="00EC30E9">
            <w:pPr>
              <w:pStyle w:val="1GAPara"/>
              <w:keepNext/>
              <w:spacing w:after="0"/>
              <w:jc w:val="both"/>
              <w:rPr>
                <w:sz w:val="18"/>
                <w:szCs w:val="18"/>
              </w:rPr>
            </w:pPr>
            <w:r>
              <w:rPr>
                <w:rFonts w:asciiTheme="minorBidi" w:hAnsiTheme="minorBidi" w:cstheme="minorBidi"/>
                <w:snapToGrid/>
                <w:sz w:val="18"/>
                <w:szCs w:val="18"/>
                <w:lang w:val="fr"/>
              </w:rPr>
              <w:t>57,4%</w:t>
            </w:r>
          </w:p>
        </w:tc>
        <w:tc>
          <w:tcPr>
            <w:tcW w:w="1193" w:type="dxa"/>
          </w:tcPr>
          <w:p w14:paraId="7CCD97DF" w14:textId="3B7C6EBC" w:rsidR="007D2B08" w:rsidRPr="00DF06A3" w:rsidRDefault="007D2B08" w:rsidP="00EC30E9">
            <w:pPr>
              <w:pStyle w:val="1GAPara"/>
              <w:keepNext/>
              <w:spacing w:after="0"/>
              <w:jc w:val="both"/>
              <w:rPr>
                <w:sz w:val="18"/>
                <w:szCs w:val="18"/>
              </w:rPr>
            </w:pPr>
            <w:r>
              <w:rPr>
                <w:rFonts w:asciiTheme="minorBidi" w:hAnsiTheme="minorBidi"/>
                <w:sz w:val="18"/>
                <w:szCs w:val="18"/>
                <w:lang w:val="fr"/>
              </w:rPr>
              <w:t>3,</w:t>
            </w:r>
            <w:r w:rsidR="002B0997">
              <w:rPr>
                <w:rFonts w:asciiTheme="minorBidi" w:hAnsiTheme="minorBidi"/>
                <w:sz w:val="18"/>
                <w:szCs w:val="18"/>
                <w:lang w:val="fr"/>
              </w:rPr>
              <w:t>9</w:t>
            </w:r>
            <w:r>
              <w:rPr>
                <w:rFonts w:asciiTheme="minorBidi" w:hAnsiTheme="minorBidi"/>
                <w:sz w:val="18"/>
                <w:szCs w:val="18"/>
                <w:lang w:val="fr"/>
              </w:rPr>
              <w:t>%</w:t>
            </w:r>
          </w:p>
        </w:tc>
        <w:tc>
          <w:tcPr>
            <w:tcW w:w="1193" w:type="dxa"/>
          </w:tcPr>
          <w:p w14:paraId="76482E62" w14:textId="77777777" w:rsidR="007D2B08" w:rsidRPr="00DF06A3" w:rsidRDefault="007D2B08" w:rsidP="00EC30E9">
            <w:pPr>
              <w:pStyle w:val="1GAPara"/>
              <w:keepNext/>
              <w:spacing w:after="0"/>
              <w:jc w:val="both"/>
              <w:rPr>
                <w:sz w:val="18"/>
                <w:szCs w:val="18"/>
              </w:rPr>
            </w:pPr>
            <w:r>
              <w:rPr>
                <w:rFonts w:asciiTheme="minorBidi" w:hAnsiTheme="minorBidi"/>
                <w:sz w:val="18"/>
                <w:szCs w:val="18"/>
                <w:lang w:val="fr"/>
              </w:rPr>
              <w:t>11,6%</w:t>
            </w:r>
          </w:p>
        </w:tc>
      </w:tr>
    </w:tbl>
    <w:p w14:paraId="65443BF4" w14:textId="2FB0F65E" w:rsidR="007D2B08" w:rsidRPr="00EC30E9" w:rsidRDefault="007D2B08" w:rsidP="00561AE0">
      <w:pPr>
        <w:pStyle w:val="1GAPara"/>
        <w:spacing w:before="240"/>
        <w:ind w:left="567" w:hanging="567"/>
        <w:rPr>
          <w:lang w:val="fr-FR"/>
        </w:rPr>
      </w:pPr>
      <w:r>
        <w:rPr>
          <w:b/>
          <w:bCs/>
          <w:lang w:val="fr"/>
        </w:rPr>
        <w:t xml:space="preserve">C. </w:t>
      </w:r>
      <w:r w:rsidR="00BB2536">
        <w:rPr>
          <w:b/>
          <w:bCs/>
          <w:lang w:val="fr"/>
        </w:rPr>
        <w:tab/>
      </w:r>
      <w:r>
        <w:rPr>
          <w:b/>
          <w:bCs/>
          <w:lang w:val="fr"/>
        </w:rPr>
        <w:t>Composition et méthodes de travail de l</w:t>
      </w:r>
      <w:r w:rsidR="00244CEA">
        <w:rPr>
          <w:b/>
          <w:bCs/>
          <w:lang w:val="fr"/>
        </w:rPr>
        <w:t>’</w:t>
      </w:r>
      <w:r>
        <w:rPr>
          <w:b/>
          <w:bCs/>
          <w:lang w:val="fr"/>
        </w:rPr>
        <w:t>Organe d</w:t>
      </w:r>
      <w:r w:rsidR="00244CEA">
        <w:rPr>
          <w:b/>
          <w:bCs/>
          <w:lang w:val="fr"/>
        </w:rPr>
        <w:t>’</w:t>
      </w:r>
      <w:r>
        <w:rPr>
          <w:b/>
          <w:bCs/>
          <w:lang w:val="fr"/>
        </w:rPr>
        <w:t>évaluation</w:t>
      </w:r>
    </w:p>
    <w:p w14:paraId="05BCF55B" w14:textId="12247DCE" w:rsidR="007D2B08" w:rsidRPr="00EC30E9" w:rsidRDefault="007D2B08" w:rsidP="007D2B08">
      <w:pPr>
        <w:pStyle w:val="1GAPara"/>
        <w:numPr>
          <w:ilvl w:val="0"/>
          <w:numId w:val="3"/>
        </w:numPr>
        <w:ind w:left="567" w:hanging="567"/>
        <w:jc w:val="both"/>
        <w:rPr>
          <w:lang w:val="fr-FR"/>
        </w:rPr>
      </w:pPr>
      <w:r>
        <w:rPr>
          <w:lang w:val="fr"/>
        </w:rPr>
        <w:t>La question du nombre annuel de candidatures à traiter ne peut être séparée des considérations concernant la composition et les méthodes de travail de l</w:t>
      </w:r>
      <w:r w:rsidR="00244CEA">
        <w:rPr>
          <w:lang w:val="fr"/>
        </w:rPr>
        <w:t>’</w:t>
      </w:r>
      <w:r w:rsidR="00AD2FD9">
        <w:rPr>
          <w:lang w:val="fr"/>
        </w:rPr>
        <w:t>O</w:t>
      </w:r>
      <w:r>
        <w:rPr>
          <w:lang w:val="fr"/>
        </w:rPr>
        <w:t>rgane d</w:t>
      </w:r>
      <w:r w:rsidR="00244CEA">
        <w:rPr>
          <w:lang w:val="fr"/>
        </w:rPr>
        <w:t>’</w:t>
      </w:r>
      <w:r>
        <w:rPr>
          <w:lang w:val="fr"/>
        </w:rPr>
        <w:t xml:space="preserve">évaluation et les coûts associés au processus de </w:t>
      </w:r>
      <w:r w:rsidR="00AD2FD9">
        <w:rPr>
          <w:lang w:val="fr"/>
        </w:rPr>
        <w:t>candidature </w:t>
      </w:r>
      <w:r>
        <w:rPr>
          <w:lang w:val="fr"/>
        </w:rPr>
        <w:t>:</w:t>
      </w:r>
    </w:p>
    <w:p w14:paraId="70842A93" w14:textId="13DF81C7" w:rsidR="005C36CD" w:rsidRPr="005C36CD" w:rsidRDefault="007D2B08" w:rsidP="00561AE0">
      <w:pPr>
        <w:pStyle w:val="1GAPara"/>
        <w:ind w:left="567"/>
        <w:jc w:val="both"/>
        <w:rPr>
          <w:lang w:val="fr"/>
        </w:rPr>
      </w:pPr>
      <w:r>
        <w:rPr>
          <w:b/>
          <w:bCs/>
          <w:lang w:val="fr"/>
        </w:rPr>
        <w:t>a. Composition et méthodes de travail de l</w:t>
      </w:r>
      <w:r w:rsidR="00244CEA">
        <w:rPr>
          <w:b/>
          <w:bCs/>
          <w:lang w:val="fr"/>
        </w:rPr>
        <w:t>’</w:t>
      </w:r>
      <w:r>
        <w:rPr>
          <w:b/>
          <w:bCs/>
          <w:lang w:val="fr"/>
        </w:rPr>
        <w:t>Organe d</w:t>
      </w:r>
      <w:r w:rsidR="00244CEA">
        <w:rPr>
          <w:b/>
          <w:bCs/>
          <w:lang w:val="fr"/>
        </w:rPr>
        <w:t>’</w:t>
      </w:r>
      <w:r>
        <w:rPr>
          <w:b/>
          <w:bCs/>
          <w:lang w:val="fr"/>
        </w:rPr>
        <w:t>évaluation </w:t>
      </w:r>
      <w:r>
        <w:rPr>
          <w:lang w:val="fr"/>
        </w:rPr>
        <w:t>: L</w:t>
      </w:r>
      <w:r w:rsidR="00244CEA">
        <w:rPr>
          <w:lang w:val="fr"/>
        </w:rPr>
        <w:t>’</w:t>
      </w:r>
      <w:r>
        <w:rPr>
          <w:lang w:val="fr"/>
        </w:rPr>
        <w:t>Organe d</w:t>
      </w:r>
      <w:r w:rsidR="00244CEA">
        <w:rPr>
          <w:lang w:val="fr"/>
        </w:rPr>
        <w:t>’</w:t>
      </w:r>
      <w:r>
        <w:rPr>
          <w:lang w:val="fr"/>
        </w:rPr>
        <w:t>évaluation est composé de six experts représentant les États parties et de six experts représentant les organisations non gouvernementales (ONG) accréditées, en tenant compte d</w:t>
      </w:r>
      <w:r w:rsidR="00244CEA">
        <w:rPr>
          <w:lang w:val="fr"/>
        </w:rPr>
        <w:t>’</w:t>
      </w:r>
      <w:r>
        <w:rPr>
          <w:lang w:val="fr"/>
        </w:rPr>
        <w:t xml:space="preserve">une représentation géographique équitable. Tous les membres sont élus par le Comité. </w:t>
      </w:r>
      <w:r w:rsidR="005C36CD" w:rsidRPr="005C36CD">
        <w:rPr>
          <w:lang w:val="fr"/>
        </w:rPr>
        <w:t>Le groupe de travail se souviendra que la composition actuelle de l</w:t>
      </w:r>
      <w:r w:rsidR="00244CEA">
        <w:rPr>
          <w:lang w:val="fr"/>
        </w:rPr>
        <w:t>’</w:t>
      </w:r>
      <w:r w:rsidR="005C36CD">
        <w:rPr>
          <w:lang w:val="fr"/>
        </w:rPr>
        <w:t>O</w:t>
      </w:r>
      <w:r w:rsidR="005C36CD" w:rsidRPr="005C36CD">
        <w:rPr>
          <w:lang w:val="fr"/>
        </w:rPr>
        <w:t>rgane d</w:t>
      </w:r>
      <w:r w:rsidR="00244CEA">
        <w:rPr>
          <w:lang w:val="fr"/>
        </w:rPr>
        <w:t>’</w:t>
      </w:r>
      <w:r w:rsidR="005C36CD" w:rsidRPr="005C36CD">
        <w:rPr>
          <w:lang w:val="fr"/>
        </w:rPr>
        <w:t>évaluation résulte d</w:t>
      </w:r>
      <w:r w:rsidR="00244CEA">
        <w:rPr>
          <w:lang w:val="fr"/>
        </w:rPr>
        <w:t>’</w:t>
      </w:r>
      <w:r w:rsidR="005C36CD" w:rsidRPr="005C36CD">
        <w:rPr>
          <w:lang w:val="fr"/>
        </w:rPr>
        <w:t xml:space="preserve">une réforme importante qui a débuté avec la cinquième session du Comité en 2010 (décision </w:t>
      </w:r>
      <w:hyperlink r:id="rId13" w:history="1">
        <w:r w:rsidR="005C36CD" w:rsidRPr="00561AE0">
          <w:rPr>
            <w:rStyle w:val="Lienhypertexte"/>
            <w:lang w:val="fr-FR"/>
          </w:rPr>
          <w:t>5.COM 7</w:t>
        </w:r>
      </w:hyperlink>
      <w:r w:rsidR="005C36CD" w:rsidRPr="005C36CD">
        <w:rPr>
          <w:lang w:val="fr"/>
        </w:rPr>
        <w:t xml:space="preserve">, résolution </w:t>
      </w:r>
      <w:hyperlink r:id="rId14" w:history="1">
        <w:r w:rsidR="005C36CD" w:rsidRPr="00561AE0">
          <w:rPr>
            <w:rStyle w:val="Lienhypertexte"/>
            <w:lang w:val="fr-FR"/>
          </w:rPr>
          <w:t>4.GA 5</w:t>
        </w:r>
      </w:hyperlink>
      <w:r w:rsidR="005C36CD" w:rsidRPr="005C36CD">
        <w:rPr>
          <w:lang w:val="fr"/>
        </w:rPr>
        <w:t xml:space="preserve">) et qui a été formalisée par les révisions des </w:t>
      </w:r>
      <w:r w:rsidR="002B0997">
        <w:rPr>
          <w:lang w:val="fr"/>
        </w:rPr>
        <w:t>d</w:t>
      </w:r>
      <w:r w:rsidR="005C36CD" w:rsidRPr="005C36CD">
        <w:rPr>
          <w:lang w:val="fr"/>
        </w:rPr>
        <w:t>irectives opérationnelles par la cinquième session de l</w:t>
      </w:r>
      <w:r w:rsidR="00244CEA">
        <w:rPr>
          <w:lang w:val="fr"/>
        </w:rPr>
        <w:t>’</w:t>
      </w:r>
      <w:r w:rsidR="005C36CD" w:rsidRPr="005C36CD">
        <w:rPr>
          <w:lang w:val="fr"/>
        </w:rPr>
        <w:t xml:space="preserve">Assemblée générale en 2014 (résolution </w:t>
      </w:r>
      <w:hyperlink r:id="rId15" w:history="1">
        <w:r w:rsidR="005C36CD" w:rsidRPr="00C6631C">
          <w:rPr>
            <w:rStyle w:val="Lienhypertexte"/>
            <w:lang w:val="fr"/>
          </w:rPr>
          <w:t>5.GA 5.1</w:t>
        </w:r>
      </w:hyperlink>
      <w:r w:rsidR="005C36CD" w:rsidRPr="005C36CD">
        <w:rPr>
          <w:lang w:val="fr"/>
        </w:rPr>
        <w:t xml:space="preserve">). La réforme a essentiellement consisté à fusionner les deux </w:t>
      </w:r>
      <w:r w:rsidR="002B0997">
        <w:rPr>
          <w:lang w:val="fr"/>
        </w:rPr>
        <w:t>o</w:t>
      </w:r>
      <w:r w:rsidR="005C36CD" w:rsidRPr="005C36CD">
        <w:rPr>
          <w:lang w:val="fr"/>
        </w:rPr>
        <w:t>rganes précédents - l</w:t>
      </w:r>
      <w:r w:rsidR="00244CEA">
        <w:rPr>
          <w:lang w:val="fr"/>
        </w:rPr>
        <w:t>’</w:t>
      </w:r>
      <w:r w:rsidR="005C36CD">
        <w:rPr>
          <w:lang w:val="fr"/>
        </w:rPr>
        <w:t>O</w:t>
      </w:r>
      <w:r w:rsidR="005C36CD" w:rsidRPr="005C36CD">
        <w:rPr>
          <w:lang w:val="fr"/>
        </w:rPr>
        <w:t>rgane subsidiaire et l</w:t>
      </w:r>
      <w:r w:rsidR="00244CEA">
        <w:rPr>
          <w:lang w:val="fr"/>
        </w:rPr>
        <w:t>’</w:t>
      </w:r>
      <w:r w:rsidR="005C36CD">
        <w:rPr>
          <w:lang w:val="fr"/>
        </w:rPr>
        <w:t>O</w:t>
      </w:r>
      <w:r w:rsidR="005C36CD" w:rsidRPr="005C36CD">
        <w:rPr>
          <w:lang w:val="fr"/>
        </w:rPr>
        <w:t xml:space="preserve">rgane consultatif - en un seul et à équilibrer la représentation des experts présentés par les États </w:t>
      </w:r>
      <w:r w:rsidR="00A16033">
        <w:rPr>
          <w:lang w:val="fr"/>
        </w:rPr>
        <w:t xml:space="preserve">parties </w:t>
      </w:r>
      <w:r w:rsidR="005C36CD" w:rsidRPr="005C36CD">
        <w:rPr>
          <w:lang w:val="fr"/>
        </w:rPr>
        <w:t>et celle des organisations non gouvernementales accréditées.</w:t>
      </w:r>
    </w:p>
    <w:p w14:paraId="2BC1FCC7" w14:textId="5A4D6FDB" w:rsidR="007D2B08" w:rsidRPr="00EC30E9" w:rsidRDefault="005C36CD" w:rsidP="00561AE0">
      <w:pPr>
        <w:pStyle w:val="1GAPara"/>
        <w:numPr>
          <w:ilvl w:val="1"/>
          <w:numId w:val="33"/>
        </w:numPr>
        <w:ind w:left="1134" w:hanging="567"/>
        <w:jc w:val="both"/>
        <w:rPr>
          <w:lang w:val="fr-FR"/>
        </w:rPr>
      </w:pPr>
      <w:r w:rsidRPr="005C36CD">
        <w:rPr>
          <w:lang w:val="fr"/>
        </w:rPr>
        <w:t>Selon la procédure établie, les membres de l</w:t>
      </w:r>
      <w:r w:rsidR="00244CEA">
        <w:rPr>
          <w:lang w:val="fr"/>
        </w:rPr>
        <w:t>’</w:t>
      </w:r>
      <w:r w:rsidRPr="005C36CD">
        <w:rPr>
          <w:lang w:val="fr"/>
        </w:rPr>
        <w:t>Organe d</w:t>
      </w:r>
      <w:r w:rsidR="00244CEA">
        <w:rPr>
          <w:lang w:val="fr"/>
        </w:rPr>
        <w:t>’</w:t>
      </w:r>
      <w:r w:rsidRPr="005C36CD">
        <w:rPr>
          <w:lang w:val="fr"/>
        </w:rPr>
        <w:t>évaluation évaluent chaque dossier individuellement avant de discuter les dossiers collectivement pour arriver à un consensus pour chaque critère pour chaque dossier.</w:t>
      </w:r>
      <w:r>
        <w:rPr>
          <w:lang w:val="fr"/>
        </w:rPr>
        <w:t xml:space="preserve"> </w:t>
      </w:r>
      <w:r w:rsidR="007D2B08">
        <w:rPr>
          <w:lang w:val="fr"/>
        </w:rPr>
        <w:t>La discussion au sein de l</w:t>
      </w:r>
      <w:r w:rsidR="00244CEA">
        <w:rPr>
          <w:lang w:val="fr"/>
        </w:rPr>
        <w:t>’</w:t>
      </w:r>
      <w:r w:rsidR="007D2B08">
        <w:rPr>
          <w:lang w:val="fr"/>
        </w:rPr>
        <w:t>Organe d</w:t>
      </w:r>
      <w:r w:rsidR="00244CEA">
        <w:rPr>
          <w:lang w:val="fr"/>
        </w:rPr>
        <w:t>’</w:t>
      </w:r>
      <w:r w:rsidR="007D2B08">
        <w:rPr>
          <w:lang w:val="fr"/>
        </w:rPr>
        <w:t>évaluation est menée sur la base d</w:t>
      </w:r>
      <w:r w:rsidR="00244CEA">
        <w:rPr>
          <w:lang w:val="fr"/>
        </w:rPr>
        <w:t>’</w:t>
      </w:r>
      <w:r w:rsidR="007D2B08">
        <w:rPr>
          <w:lang w:val="fr"/>
        </w:rPr>
        <w:t>un système de « </w:t>
      </w:r>
      <w:r>
        <w:rPr>
          <w:lang w:val="fr"/>
        </w:rPr>
        <w:t xml:space="preserve">poids </w:t>
      </w:r>
      <w:r w:rsidR="007D2B08">
        <w:rPr>
          <w:lang w:val="fr"/>
        </w:rPr>
        <w:t xml:space="preserve">et contrepoids », puisque des échanges de </w:t>
      </w:r>
      <w:r>
        <w:rPr>
          <w:lang w:val="fr"/>
        </w:rPr>
        <w:t xml:space="preserve">points de </w:t>
      </w:r>
      <w:r w:rsidR="007D2B08">
        <w:rPr>
          <w:lang w:val="fr"/>
        </w:rPr>
        <w:t xml:space="preserve">vue ont lieu entre douze membres provenant de différentes </w:t>
      </w:r>
      <w:r w:rsidR="007D2B08" w:rsidRPr="005C36CD">
        <w:rPr>
          <w:lang w:val="fr"/>
        </w:rPr>
        <w:t>régions et possédant des compétences différentes en la matière, a</w:t>
      </w:r>
      <w:r w:rsidR="007D2B08" w:rsidRPr="00973BB5">
        <w:rPr>
          <w:lang w:val="fr"/>
        </w:rPr>
        <w:t>insi que des degrés variables d</w:t>
      </w:r>
      <w:r w:rsidR="00244CEA">
        <w:rPr>
          <w:lang w:val="fr"/>
        </w:rPr>
        <w:t>’</w:t>
      </w:r>
      <w:r w:rsidR="007D2B08" w:rsidRPr="00973BB5">
        <w:rPr>
          <w:lang w:val="fr"/>
        </w:rPr>
        <w:t>expérience du processus d</w:t>
      </w:r>
      <w:r w:rsidR="00244CEA">
        <w:rPr>
          <w:lang w:val="fr"/>
        </w:rPr>
        <w:t>’</w:t>
      </w:r>
      <w:r w:rsidR="007D2B08" w:rsidRPr="00973BB5">
        <w:rPr>
          <w:lang w:val="fr"/>
        </w:rPr>
        <w:t xml:space="preserve">évaluation lui-même. </w:t>
      </w:r>
      <w:r w:rsidR="007D2B08" w:rsidRPr="00561AE0">
        <w:rPr>
          <w:lang w:val="fr"/>
        </w:rPr>
        <w:t>De cette façon, l</w:t>
      </w:r>
      <w:r w:rsidR="00244CEA">
        <w:rPr>
          <w:lang w:val="fr"/>
        </w:rPr>
        <w:t>’</w:t>
      </w:r>
      <w:r w:rsidR="007D2B08" w:rsidRPr="00561AE0">
        <w:rPr>
          <w:lang w:val="fr"/>
        </w:rPr>
        <w:t>Organe d</w:t>
      </w:r>
      <w:r w:rsidR="00244CEA">
        <w:rPr>
          <w:lang w:val="fr"/>
        </w:rPr>
        <w:t>’</w:t>
      </w:r>
      <w:r w:rsidR="007D2B08" w:rsidRPr="00561AE0">
        <w:rPr>
          <w:lang w:val="fr"/>
        </w:rPr>
        <w:t xml:space="preserve">évaluation peut appliquer </w:t>
      </w:r>
      <w:r w:rsidR="007D2B08" w:rsidRPr="00561AE0">
        <w:rPr>
          <w:u w:val="single"/>
          <w:lang w:val="fr"/>
        </w:rPr>
        <w:t>une perspective globale, ou universelle, par le biais d</w:t>
      </w:r>
      <w:r w:rsidR="00244CEA">
        <w:rPr>
          <w:u w:val="single"/>
          <w:lang w:val="fr"/>
        </w:rPr>
        <w:t>’</w:t>
      </w:r>
      <w:r w:rsidR="007D2B08" w:rsidRPr="00561AE0">
        <w:rPr>
          <w:u w:val="single"/>
          <w:lang w:val="fr"/>
        </w:rPr>
        <w:t>une méthodologie consensuelle</w:t>
      </w:r>
      <w:r w:rsidR="007D2B08" w:rsidRPr="00561AE0">
        <w:rPr>
          <w:lang w:val="fr"/>
        </w:rPr>
        <w:t xml:space="preserve"> pour l</w:t>
      </w:r>
      <w:r w:rsidR="00244CEA">
        <w:rPr>
          <w:lang w:val="fr"/>
        </w:rPr>
        <w:t>’</w:t>
      </w:r>
      <w:r w:rsidR="007D2B08" w:rsidRPr="00561AE0">
        <w:rPr>
          <w:lang w:val="fr"/>
        </w:rPr>
        <w:t>évaluation de chaque critère de chaque dossier de candidature.</w:t>
      </w:r>
      <w:r w:rsidR="007D2B08" w:rsidRPr="005C36CD">
        <w:rPr>
          <w:lang w:val="fr"/>
        </w:rPr>
        <w:t xml:space="preserve"> Au</w:t>
      </w:r>
      <w:r w:rsidR="007D2B08">
        <w:rPr>
          <w:lang w:val="fr"/>
        </w:rPr>
        <w:t xml:space="preserve"> fil des ans, l</w:t>
      </w:r>
      <w:r w:rsidR="00244CEA">
        <w:rPr>
          <w:lang w:val="fr"/>
        </w:rPr>
        <w:t>’</w:t>
      </w:r>
      <w:r w:rsidR="007D2B08">
        <w:rPr>
          <w:lang w:val="fr"/>
        </w:rPr>
        <w:t>Organe d</w:t>
      </w:r>
      <w:r w:rsidR="00244CEA">
        <w:rPr>
          <w:lang w:val="fr"/>
        </w:rPr>
        <w:t>’</w:t>
      </w:r>
      <w:r w:rsidR="007D2B08">
        <w:rPr>
          <w:lang w:val="fr"/>
        </w:rPr>
        <w:t>évaluation a acquis une crédibilité grâce à cette méthode de travail, qui lui permet de rendre compte au Comité d</w:t>
      </w:r>
      <w:r w:rsidR="00244CEA">
        <w:rPr>
          <w:lang w:val="fr"/>
        </w:rPr>
        <w:t>’</w:t>
      </w:r>
      <w:r w:rsidR="007D2B08">
        <w:rPr>
          <w:lang w:val="fr"/>
        </w:rPr>
        <w:t>une seule voix.</w:t>
      </w:r>
    </w:p>
    <w:p w14:paraId="4C0B1E6E" w14:textId="008260AD" w:rsidR="007D2B08" w:rsidRPr="00EC30E9" w:rsidRDefault="007D2B08" w:rsidP="00561AE0">
      <w:pPr>
        <w:pStyle w:val="1GAPara"/>
        <w:numPr>
          <w:ilvl w:val="1"/>
          <w:numId w:val="33"/>
        </w:numPr>
        <w:ind w:left="1134" w:hanging="567"/>
        <w:jc w:val="both"/>
        <w:rPr>
          <w:lang w:val="fr-FR"/>
        </w:rPr>
      </w:pPr>
      <w:r>
        <w:rPr>
          <w:lang w:val="fr"/>
        </w:rPr>
        <w:lastRenderedPageBreak/>
        <w:t>Le groupe de travail, lors de la partie I et de la partie II</w:t>
      </w:r>
      <w:r w:rsidR="002B0997" w:rsidRPr="002B0997">
        <w:rPr>
          <w:lang w:val="fr"/>
        </w:rPr>
        <w:t xml:space="preserve"> </w:t>
      </w:r>
      <w:r w:rsidR="002B0997">
        <w:rPr>
          <w:lang w:val="fr"/>
        </w:rPr>
        <w:t>de ses réunions</w:t>
      </w:r>
      <w:r>
        <w:rPr>
          <w:lang w:val="fr"/>
        </w:rPr>
        <w:t>, a discuté de la réforme de l</w:t>
      </w:r>
      <w:r w:rsidR="00244CEA">
        <w:rPr>
          <w:lang w:val="fr"/>
        </w:rPr>
        <w:t>’</w:t>
      </w:r>
      <w:r>
        <w:rPr>
          <w:lang w:val="fr"/>
        </w:rPr>
        <w:t xml:space="preserve">Organe </w:t>
      </w:r>
      <w:r w:rsidRPr="005C36CD">
        <w:rPr>
          <w:lang w:val="fr"/>
        </w:rPr>
        <w:t>d</w:t>
      </w:r>
      <w:r w:rsidR="00244CEA">
        <w:rPr>
          <w:lang w:val="fr"/>
        </w:rPr>
        <w:t>’</w:t>
      </w:r>
      <w:r w:rsidRPr="005C36CD">
        <w:rPr>
          <w:lang w:val="fr"/>
        </w:rPr>
        <w:t xml:space="preserve">évaluation afin de redistribuer la charge de travail, notamment en envisageant la possibilité </w:t>
      </w:r>
      <w:r w:rsidRPr="00561AE0">
        <w:rPr>
          <w:lang w:val="fr"/>
        </w:rPr>
        <w:t>selon laquelle i) un deuxième Organe d</w:t>
      </w:r>
      <w:r w:rsidR="00244CEA">
        <w:rPr>
          <w:lang w:val="fr"/>
        </w:rPr>
        <w:t>’</w:t>
      </w:r>
      <w:r w:rsidRPr="00561AE0">
        <w:rPr>
          <w:lang w:val="fr"/>
        </w:rPr>
        <w:t>évaluation composé de douze membres serait établi pour évaluer un nombre supplémentaire de dossiers ou ii) le nombre de membres de l</w:t>
      </w:r>
      <w:r w:rsidR="00244CEA">
        <w:rPr>
          <w:lang w:val="fr"/>
        </w:rPr>
        <w:t>’</w:t>
      </w:r>
      <w:r w:rsidRPr="00561AE0">
        <w:rPr>
          <w:lang w:val="fr"/>
        </w:rPr>
        <w:t>Organe d</w:t>
      </w:r>
      <w:r w:rsidR="00244CEA">
        <w:rPr>
          <w:lang w:val="fr"/>
        </w:rPr>
        <w:t>’</w:t>
      </w:r>
      <w:r w:rsidRPr="00561AE0">
        <w:rPr>
          <w:lang w:val="fr"/>
        </w:rPr>
        <w:t>évaluation resterait de douze, deux groupes de six membres évaluant séparément un ensemble différent de candidatures.</w:t>
      </w:r>
      <w:r w:rsidRPr="005C36CD">
        <w:rPr>
          <w:lang w:val="fr"/>
        </w:rPr>
        <w:t xml:space="preserve"> Alors</w:t>
      </w:r>
      <w:r>
        <w:rPr>
          <w:lang w:val="fr"/>
        </w:rPr>
        <w:t xml:space="preserve"> que cette répartition pourrait préserver une approche globale et consensuelle, elle s</w:t>
      </w:r>
      <w:r w:rsidR="00244CEA">
        <w:rPr>
          <w:lang w:val="fr"/>
        </w:rPr>
        <w:t>’</w:t>
      </w:r>
      <w:r>
        <w:rPr>
          <w:lang w:val="fr"/>
        </w:rPr>
        <w:t>accompagne de deux complications importantes. La première concerne la difficulté de maintenir la constance et la cohérence de la qualité et de l</w:t>
      </w:r>
      <w:r w:rsidR="00244CEA">
        <w:rPr>
          <w:lang w:val="fr"/>
        </w:rPr>
        <w:t>’</w:t>
      </w:r>
      <w:r>
        <w:rPr>
          <w:lang w:val="fr"/>
        </w:rPr>
        <w:t>approche au sein d</w:t>
      </w:r>
      <w:r w:rsidR="00244CEA">
        <w:rPr>
          <w:lang w:val="fr"/>
        </w:rPr>
        <w:t>’</w:t>
      </w:r>
      <w:r>
        <w:rPr>
          <w:lang w:val="fr"/>
        </w:rPr>
        <w:t xml:space="preserve">un cycle donné entre deux </w:t>
      </w:r>
      <w:r w:rsidR="005C36CD">
        <w:rPr>
          <w:lang w:val="fr"/>
        </w:rPr>
        <w:t xml:space="preserve">Organes </w:t>
      </w:r>
      <w:r>
        <w:rPr>
          <w:lang w:val="fr"/>
        </w:rPr>
        <w:t>travaillant séparément (c</w:t>
      </w:r>
      <w:r w:rsidR="00244CEA">
        <w:rPr>
          <w:lang w:val="fr"/>
        </w:rPr>
        <w:t>’</w:t>
      </w:r>
      <w:r>
        <w:rPr>
          <w:lang w:val="fr"/>
        </w:rPr>
        <w:t>est d</w:t>
      </w:r>
      <w:r w:rsidR="00244CEA">
        <w:rPr>
          <w:lang w:val="fr"/>
        </w:rPr>
        <w:t>’</w:t>
      </w:r>
      <w:r>
        <w:rPr>
          <w:lang w:val="fr"/>
        </w:rPr>
        <w:t>ailleurs l</w:t>
      </w:r>
      <w:r w:rsidR="00244CEA">
        <w:rPr>
          <w:lang w:val="fr"/>
        </w:rPr>
        <w:t>’</w:t>
      </w:r>
      <w:r>
        <w:rPr>
          <w:lang w:val="fr"/>
        </w:rPr>
        <w:t xml:space="preserve">une des raisons pour lesquelles le précédent système à deux </w:t>
      </w:r>
      <w:r w:rsidR="005C36CD">
        <w:rPr>
          <w:lang w:val="fr"/>
        </w:rPr>
        <w:t>Organes – l</w:t>
      </w:r>
      <w:r w:rsidR="00244CEA">
        <w:rPr>
          <w:lang w:val="fr"/>
        </w:rPr>
        <w:t>’</w:t>
      </w:r>
      <w:r w:rsidR="005C36CD">
        <w:rPr>
          <w:lang w:val="fr"/>
        </w:rPr>
        <w:t>Organe consultatif et l</w:t>
      </w:r>
      <w:r w:rsidR="00244CEA">
        <w:rPr>
          <w:lang w:val="fr"/>
        </w:rPr>
        <w:t>’</w:t>
      </w:r>
      <w:r w:rsidR="005C36CD">
        <w:rPr>
          <w:lang w:val="fr"/>
        </w:rPr>
        <w:t xml:space="preserve">Organe subsidiaire – </w:t>
      </w:r>
      <w:r>
        <w:rPr>
          <w:lang w:val="fr"/>
        </w:rPr>
        <w:t>a été fusionné en un seul). Deuxièmement, cela doublerait effectivement la charge de travail du Secrétariat s</w:t>
      </w:r>
      <w:r w:rsidR="00244CEA">
        <w:rPr>
          <w:lang w:val="fr"/>
        </w:rPr>
        <w:t>’</w:t>
      </w:r>
      <w:r>
        <w:rPr>
          <w:lang w:val="fr"/>
        </w:rPr>
        <w:t xml:space="preserve">il devait continuer à </w:t>
      </w:r>
      <w:r w:rsidR="005C36CD">
        <w:rPr>
          <w:lang w:val="fr"/>
        </w:rPr>
        <w:t xml:space="preserve">fournir </w:t>
      </w:r>
      <w:r>
        <w:rPr>
          <w:lang w:val="fr"/>
        </w:rPr>
        <w:t xml:space="preserve">le même niveau de soutien </w:t>
      </w:r>
      <w:r w:rsidR="005C36CD">
        <w:rPr>
          <w:lang w:val="fr"/>
        </w:rPr>
        <w:t xml:space="preserve">à </w:t>
      </w:r>
      <w:r>
        <w:rPr>
          <w:lang w:val="fr"/>
        </w:rPr>
        <w:t>l</w:t>
      </w:r>
      <w:r w:rsidR="00244CEA">
        <w:rPr>
          <w:lang w:val="fr"/>
        </w:rPr>
        <w:t>’</w:t>
      </w:r>
      <w:r>
        <w:rPr>
          <w:lang w:val="fr"/>
        </w:rPr>
        <w:t>Organe d</w:t>
      </w:r>
      <w:r w:rsidR="00244CEA">
        <w:rPr>
          <w:lang w:val="fr"/>
        </w:rPr>
        <w:t>’</w:t>
      </w:r>
      <w:r>
        <w:rPr>
          <w:lang w:val="fr"/>
        </w:rPr>
        <w:t>évaluation</w:t>
      </w:r>
      <w:r w:rsidR="005C36CD">
        <w:rPr>
          <w:lang w:val="fr"/>
        </w:rPr>
        <w:t xml:space="preserve"> que celui qu</w:t>
      </w:r>
      <w:r w:rsidR="00244CEA">
        <w:rPr>
          <w:lang w:val="fr"/>
        </w:rPr>
        <w:t>’</w:t>
      </w:r>
      <w:r w:rsidR="005C36CD">
        <w:rPr>
          <w:lang w:val="fr"/>
        </w:rPr>
        <w:t>il fournit actuellement</w:t>
      </w:r>
      <w:r>
        <w:rPr>
          <w:lang w:val="fr"/>
        </w:rPr>
        <w:t xml:space="preserve">. </w:t>
      </w:r>
    </w:p>
    <w:p w14:paraId="619B4E61" w14:textId="574E84B8" w:rsidR="007D2B08" w:rsidRPr="00EC30E9" w:rsidRDefault="00333153" w:rsidP="00561AE0">
      <w:pPr>
        <w:pStyle w:val="1GAPara"/>
        <w:numPr>
          <w:ilvl w:val="1"/>
          <w:numId w:val="33"/>
        </w:numPr>
        <w:ind w:left="1134" w:hanging="567"/>
        <w:jc w:val="both"/>
        <w:rPr>
          <w:lang w:val="fr-FR"/>
        </w:rPr>
      </w:pPr>
      <w:r w:rsidRPr="00333153">
        <w:rPr>
          <w:lang w:val="fr"/>
        </w:rPr>
        <w:t>En outre, la production du rapport substantiel de l</w:t>
      </w:r>
      <w:r w:rsidR="00244CEA">
        <w:rPr>
          <w:lang w:val="fr"/>
        </w:rPr>
        <w:t>’</w:t>
      </w:r>
      <w:r>
        <w:rPr>
          <w:lang w:val="fr"/>
        </w:rPr>
        <w:t>O</w:t>
      </w:r>
      <w:r w:rsidRPr="00333153">
        <w:rPr>
          <w:lang w:val="fr"/>
        </w:rPr>
        <w:t>rgane d</w:t>
      </w:r>
      <w:r w:rsidR="00244CEA">
        <w:rPr>
          <w:lang w:val="fr"/>
        </w:rPr>
        <w:t>’</w:t>
      </w:r>
      <w:r w:rsidRPr="00333153">
        <w:rPr>
          <w:lang w:val="fr"/>
        </w:rPr>
        <w:t xml:space="preserve">évaluation demande </w:t>
      </w:r>
      <w:r>
        <w:rPr>
          <w:lang w:val="fr"/>
        </w:rPr>
        <w:t>un travail important</w:t>
      </w:r>
      <w:r w:rsidRPr="00333153">
        <w:rPr>
          <w:lang w:val="fr"/>
        </w:rPr>
        <w:t xml:space="preserve"> et doit être réalisée en trois mois environ afin de respecter les délais statutaires.</w:t>
      </w:r>
      <w:r>
        <w:rPr>
          <w:lang w:val="fr"/>
        </w:rPr>
        <w:t xml:space="preserve"> </w:t>
      </w:r>
      <w:r w:rsidR="007D2B08">
        <w:rPr>
          <w:lang w:val="fr"/>
        </w:rPr>
        <w:t>La qualité de ces rapports est de la plus haute importance pour la crédibilité actuelle et future de la Convention, et il ne semblerait pas possible de rendre justice à la richesse des débats au sein de l</w:t>
      </w:r>
      <w:r w:rsidR="00244CEA">
        <w:rPr>
          <w:lang w:val="fr"/>
        </w:rPr>
        <w:t>’</w:t>
      </w:r>
      <w:r w:rsidR="007D2B08">
        <w:rPr>
          <w:lang w:val="fr"/>
        </w:rPr>
        <w:t>Organe d</w:t>
      </w:r>
      <w:r w:rsidR="00244CEA">
        <w:rPr>
          <w:lang w:val="fr"/>
        </w:rPr>
        <w:t>’</w:t>
      </w:r>
      <w:r w:rsidR="007D2B08">
        <w:rPr>
          <w:lang w:val="fr"/>
        </w:rPr>
        <w:t xml:space="preserve">évaluation si le temps consacré au rapport devait être divisé par deux pour tenir compte des deux </w:t>
      </w:r>
      <w:r>
        <w:rPr>
          <w:lang w:val="fr"/>
        </w:rPr>
        <w:t>O</w:t>
      </w:r>
      <w:r w:rsidR="007D2B08">
        <w:rPr>
          <w:lang w:val="fr"/>
        </w:rPr>
        <w:t>rganes. En ce sens, il ne semble tout simplement pas possible d</w:t>
      </w:r>
      <w:r w:rsidR="00244CEA">
        <w:rPr>
          <w:lang w:val="fr"/>
        </w:rPr>
        <w:t>’</w:t>
      </w:r>
      <w:r w:rsidR="007D2B08">
        <w:rPr>
          <w:lang w:val="fr"/>
        </w:rPr>
        <w:t>inclure beaucoup plus de dossiers dans le cycle annuel et de s</w:t>
      </w:r>
      <w:r w:rsidR="00244CEA">
        <w:rPr>
          <w:lang w:val="fr"/>
        </w:rPr>
        <w:t>’</w:t>
      </w:r>
      <w:r w:rsidR="007D2B08">
        <w:rPr>
          <w:lang w:val="fr"/>
        </w:rPr>
        <w:t>attendre à ce que la même qualité de recommandations soit fournie au Comité dans le même délai.</w:t>
      </w:r>
    </w:p>
    <w:p w14:paraId="1E1AD913" w14:textId="493AEB88" w:rsidR="007D2B08" w:rsidRPr="00EC30E9" w:rsidRDefault="007D2B08" w:rsidP="007D2B08">
      <w:pPr>
        <w:pStyle w:val="1GAPara"/>
        <w:ind w:left="567"/>
        <w:jc w:val="both"/>
        <w:rPr>
          <w:lang w:val="fr-FR"/>
        </w:rPr>
      </w:pPr>
      <w:r>
        <w:rPr>
          <w:b/>
          <w:bCs/>
          <w:lang w:val="fr"/>
        </w:rPr>
        <w:t>b. Flux de travail et calendrier </w:t>
      </w:r>
      <w:r>
        <w:rPr>
          <w:lang w:val="fr"/>
        </w:rPr>
        <w:t xml:space="preserve">: Le processus de </w:t>
      </w:r>
      <w:r w:rsidR="00333153">
        <w:rPr>
          <w:lang w:val="fr"/>
        </w:rPr>
        <w:t xml:space="preserve">candidature </w:t>
      </w:r>
      <w:r>
        <w:rPr>
          <w:lang w:val="fr"/>
        </w:rPr>
        <w:t>prend jusqu</w:t>
      </w:r>
      <w:r w:rsidR="00244CEA">
        <w:rPr>
          <w:lang w:val="fr"/>
        </w:rPr>
        <w:t>’</w:t>
      </w:r>
      <w:r>
        <w:rPr>
          <w:lang w:val="fr"/>
        </w:rPr>
        <w:t xml:space="preserve">à vingt et un mois entre la soumission du dossier et la décision du Comité (voir paragraphe 54 des </w:t>
      </w:r>
      <w:r w:rsidR="0063527F">
        <w:rPr>
          <w:lang w:val="fr"/>
        </w:rPr>
        <w:t>d</w:t>
      </w:r>
      <w:r>
        <w:rPr>
          <w:lang w:val="fr"/>
        </w:rPr>
        <w:t xml:space="preserve">irectives opérationnelles). Le flux de travail détaillé est présenté à </w:t>
      </w:r>
      <w:r w:rsidRPr="00E17DFF">
        <w:rPr>
          <w:lang w:val="fr-FR"/>
        </w:rPr>
        <w:t>l</w:t>
      </w:r>
      <w:r w:rsidR="00244CEA" w:rsidRPr="00E17DFF">
        <w:rPr>
          <w:lang w:val="fr"/>
        </w:rPr>
        <w:t>’</w:t>
      </w:r>
      <w:hyperlink w:anchor="_Annexe_III_:" w:history="1">
        <w:r w:rsidR="00A4430F" w:rsidRPr="00E17DFF">
          <w:rPr>
            <w:rStyle w:val="Lienhypertexte"/>
            <w:lang w:val="fr-FR"/>
          </w:rPr>
          <w:t>a</w:t>
        </w:r>
        <w:r w:rsidRPr="00E17DFF">
          <w:rPr>
            <w:rStyle w:val="Lienhypertexte"/>
            <w:lang w:val="fr-FR"/>
          </w:rPr>
          <w:t>n</w:t>
        </w:r>
        <w:r w:rsidRPr="00E17DFF">
          <w:rPr>
            <w:rStyle w:val="Lienhypertexte"/>
            <w:lang w:val="fr-FR"/>
          </w:rPr>
          <w:t>n</w:t>
        </w:r>
        <w:r w:rsidRPr="00E17DFF">
          <w:rPr>
            <w:rStyle w:val="Lienhypertexte"/>
            <w:lang w:val="fr-FR"/>
          </w:rPr>
          <w:t>exe II</w:t>
        </w:r>
        <w:r w:rsidR="00E17DFF" w:rsidRPr="00E17DFF">
          <w:rPr>
            <w:rStyle w:val="Lienhypertexte"/>
            <w:lang w:val="fr-FR"/>
          </w:rPr>
          <w:t>I</w:t>
        </w:r>
      </w:hyperlink>
      <w:r>
        <w:rPr>
          <w:lang w:val="fr"/>
        </w:rPr>
        <w:t>, qui indique les différentes étapes depuis la phase d</w:t>
      </w:r>
      <w:r w:rsidR="00244CEA">
        <w:rPr>
          <w:lang w:val="fr"/>
        </w:rPr>
        <w:t>’</w:t>
      </w:r>
      <w:r>
        <w:rPr>
          <w:lang w:val="fr"/>
        </w:rPr>
        <w:t>assistance préparatoire jusqu</w:t>
      </w:r>
      <w:r w:rsidR="00244CEA">
        <w:rPr>
          <w:lang w:val="fr"/>
        </w:rPr>
        <w:t>’</w:t>
      </w:r>
      <w:r>
        <w:rPr>
          <w:lang w:val="fr"/>
        </w:rPr>
        <w:t>à la soumission des candidatures, l</w:t>
      </w:r>
      <w:r w:rsidR="00244CEA">
        <w:rPr>
          <w:lang w:val="fr"/>
        </w:rPr>
        <w:t>’</w:t>
      </w:r>
      <w:r>
        <w:rPr>
          <w:lang w:val="fr"/>
        </w:rPr>
        <w:t>établissement de la liste des dossiers pour chaque cycle, le traitement des dossiers par le Secrétariat, le travail de l</w:t>
      </w:r>
      <w:r w:rsidR="00244CEA">
        <w:rPr>
          <w:lang w:val="fr"/>
        </w:rPr>
        <w:t>’</w:t>
      </w:r>
      <w:r>
        <w:rPr>
          <w:lang w:val="fr"/>
        </w:rPr>
        <w:t>Organe d</w:t>
      </w:r>
      <w:r w:rsidR="00244CEA">
        <w:rPr>
          <w:lang w:val="fr"/>
        </w:rPr>
        <w:t>’</w:t>
      </w:r>
      <w:r>
        <w:rPr>
          <w:lang w:val="fr"/>
        </w:rPr>
        <w:t>évaluation (y compris un éventuel processus de dialogue), et l</w:t>
      </w:r>
      <w:r w:rsidR="00244CEA">
        <w:rPr>
          <w:lang w:val="fr"/>
        </w:rPr>
        <w:t>’</w:t>
      </w:r>
      <w:r>
        <w:rPr>
          <w:lang w:val="fr"/>
        </w:rPr>
        <w:t>examen des candidatures par le Comité avec sa phase administrative post-inscription.</w:t>
      </w:r>
    </w:p>
    <w:p w14:paraId="07066EB8" w14:textId="28EC1BD8" w:rsidR="007D2B08" w:rsidRPr="00561AE0" w:rsidRDefault="007D2B08" w:rsidP="00561AE0">
      <w:pPr>
        <w:pStyle w:val="1GAPara"/>
        <w:numPr>
          <w:ilvl w:val="1"/>
          <w:numId w:val="33"/>
        </w:numPr>
        <w:ind w:left="1134" w:hanging="567"/>
        <w:jc w:val="both"/>
        <w:rPr>
          <w:lang w:val="fr-FR"/>
        </w:rPr>
      </w:pPr>
      <w:r>
        <w:rPr>
          <w:lang w:val="fr"/>
        </w:rPr>
        <w:t>L</w:t>
      </w:r>
      <w:r w:rsidR="00244CEA">
        <w:rPr>
          <w:lang w:val="fr"/>
        </w:rPr>
        <w:t>’</w:t>
      </w:r>
      <w:r w:rsidR="00E46393">
        <w:rPr>
          <w:lang w:val="fr"/>
        </w:rPr>
        <w:t>analyse</w:t>
      </w:r>
      <w:r>
        <w:rPr>
          <w:lang w:val="fr"/>
        </w:rPr>
        <w:t xml:space="preserve"> préliminaire indique que les changements dans la composition de l</w:t>
      </w:r>
      <w:r w:rsidR="00244CEA">
        <w:rPr>
          <w:lang w:val="fr"/>
        </w:rPr>
        <w:t>’</w:t>
      </w:r>
      <w:r>
        <w:rPr>
          <w:lang w:val="fr"/>
        </w:rPr>
        <w:t>Organe d</w:t>
      </w:r>
      <w:r w:rsidR="00244CEA">
        <w:rPr>
          <w:lang w:val="fr"/>
        </w:rPr>
        <w:t>’</w:t>
      </w:r>
      <w:r>
        <w:rPr>
          <w:lang w:val="fr"/>
        </w:rPr>
        <w:t xml:space="preserve">évaluation </w:t>
      </w:r>
      <w:r w:rsidR="00E46393">
        <w:rPr>
          <w:lang w:val="fr"/>
        </w:rPr>
        <w:t>–</w:t>
      </w:r>
      <w:r>
        <w:rPr>
          <w:lang w:val="fr"/>
        </w:rPr>
        <w:t xml:space="preserve"> soit</w:t>
      </w:r>
      <w:r w:rsidR="00E46393">
        <w:rPr>
          <w:lang w:val="fr"/>
        </w:rPr>
        <w:t xml:space="preserve"> </w:t>
      </w:r>
      <w:r>
        <w:rPr>
          <w:lang w:val="fr"/>
        </w:rPr>
        <w:t xml:space="preserve">le doublement du nombre de membres, soit la division en plusieurs groupes plus petits </w:t>
      </w:r>
      <w:r w:rsidR="00E46393">
        <w:rPr>
          <w:lang w:val="fr"/>
        </w:rPr>
        <w:t>–</w:t>
      </w:r>
      <w:r>
        <w:rPr>
          <w:lang w:val="fr"/>
        </w:rPr>
        <w:t xml:space="preserve"> signifieraient</w:t>
      </w:r>
      <w:r w:rsidR="00E46393">
        <w:rPr>
          <w:lang w:val="fr"/>
        </w:rPr>
        <w:t xml:space="preserve"> </w:t>
      </w:r>
      <w:r>
        <w:rPr>
          <w:lang w:val="fr"/>
        </w:rPr>
        <w:t>que (i) l</w:t>
      </w:r>
      <w:r w:rsidRPr="00333153">
        <w:rPr>
          <w:lang w:val="fr"/>
        </w:rPr>
        <w:t xml:space="preserve">a </w:t>
      </w:r>
      <w:r w:rsidRPr="00561AE0">
        <w:rPr>
          <w:lang w:val="fr"/>
        </w:rPr>
        <w:t>charge de travail du Secrétariat serait doublée</w:t>
      </w:r>
      <w:r w:rsidRPr="00333153">
        <w:rPr>
          <w:lang w:val="fr"/>
        </w:rPr>
        <w:t>, ce</w:t>
      </w:r>
      <w:r>
        <w:rPr>
          <w:lang w:val="fr"/>
        </w:rPr>
        <w:t xml:space="preserve"> qui rendrait </w:t>
      </w:r>
      <w:r w:rsidR="00A16033">
        <w:rPr>
          <w:lang w:val="fr"/>
        </w:rPr>
        <w:t xml:space="preserve">extrêmement difficile </w:t>
      </w:r>
      <w:r>
        <w:rPr>
          <w:lang w:val="fr"/>
        </w:rPr>
        <w:t>pour le Secrétariat d</w:t>
      </w:r>
      <w:r w:rsidR="00244CEA">
        <w:rPr>
          <w:lang w:val="fr"/>
        </w:rPr>
        <w:t>’</w:t>
      </w:r>
      <w:r>
        <w:rPr>
          <w:lang w:val="fr"/>
        </w:rPr>
        <w:t>accompagner le travail de l</w:t>
      </w:r>
      <w:r w:rsidR="00244CEA">
        <w:rPr>
          <w:lang w:val="fr"/>
        </w:rPr>
        <w:t>’</w:t>
      </w:r>
      <w:r>
        <w:rPr>
          <w:lang w:val="fr"/>
        </w:rPr>
        <w:t>Organe d</w:t>
      </w:r>
      <w:r w:rsidR="00244CEA">
        <w:rPr>
          <w:lang w:val="fr"/>
        </w:rPr>
        <w:t>’</w:t>
      </w:r>
      <w:r>
        <w:rPr>
          <w:lang w:val="fr"/>
        </w:rPr>
        <w:t xml:space="preserve">évaluation </w:t>
      </w:r>
      <w:r w:rsidR="00A16033">
        <w:rPr>
          <w:lang w:val="fr"/>
        </w:rPr>
        <w:t>de la même manière et selon les mêmes calendriers</w:t>
      </w:r>
      <w:r>
        <w:rPr>
          <w:lang w:val="fr"/>
        </w:rPr>
        <w:t>, et (ii) cela ne permettrait pas au rapport de l</w:t>
      </w:r>
      <w:r w:rsidR="00244CEA">
        <w:rPr>
          <w:lang w:val="fr"/>
        </w:rPr>
        <w:t>’</w:t>
      </w:r>
      <w:r w:rsidR="00333153">
        <w:rPr>
          <w:lang w:val="fr"/>
        </w:rPr>
        <w:t>O</w:t>
      </w:r>
      <w:r>
        <w:rPr>
          <w:lang w:val="fr"/>
        </w:rPr>
        <w:t xml:space="preserve">rgane ou des </w:t>
      </w:r>
      <w:r w:rsidR="00333153">
        <w:rPr>
          <w:lang w:val="fr"/>
        </w:rPr>
        <w:t>O</w:t>
      </w:r>
      <w:r>
        <w:rPr>
          <w:lang w:val="fr"/>
        </w:rPr>
        <w:t>rganes d</w:t>
      </w:r>
      <w:r w:rsidR="00244CEA">
        <w:rPr>
          <w:lang w:val="fr"/>
        </w:rPr>
        <w:t>’</w:t>
      </w:r>
      <w:r>
        <w:rPr>
          <w:lang w:val="fr"/>
        </w:rPr>
        <w:t xml:space="preserve">évaluation de maintenir à la fois </w:t>
      </w:r>
      <w:r w:rsidR="0063527F">
        <w:rPr>
          <w:lang w:val="fr"/>
        </w:rPr>
        <w:t>une</w:t>
      </w:r>
      <w:r>
        <w:rPr>
          <w:lang w:val="fr"/>
        </w:rPr>
        <w:t xml:space="preserve"> cohérence et </w:t>
      </w:r>
      <w:r w:rsidR="0063527F">
        <w:rPr>
          <w:lang w:val="fr"/>
        </w:rPr>
        <w:t>une</w:t>
      </w:r>
      <w:r>
        <w:rPr>
          <w:lang w:val="fr"/>
        </w:rPr>
        <w:t xml:space="preserve"> qualité si le processus devait continuer à être maintenu dans la période globale actuelle de vingt et un mois. Cela impliquerait presque certainement d</w:t>
      </w:r>
      <w:r w:rsidR="00244CEA">
        <w:rPr>
          <w:lang w:val="fr"/>
        </w:rPr>
        <w:t>’</w:t>
      </w:r>
      <w:r>
        <w:rPr>
          <w:lang w:val="fr"/>
        </w:rPr>
        <w:t>allonger le processus.</w:t>
      </w:r>
    </w:p>
    <w:p w14:paraId="1CD240E5" w14:textId="1443F55C" w:rsidR="00EF2D6F" w:rsidRDefault="007D2B08" w:rsidP="007D2B08">
      <w:pPr>
        <w:pStyle w:val="1GAPara"/>
        <w:ind w:left="567"/>
        <w:jc w:val="both"/>
        <w:rPr>
          <w:lang w:val="fr"/>
        </w:rPr>
      </w:pPr>
      <w:r>
        <w:rPr>
          <w:b/>
          <w:bCs/>
          <w:lang w:val="fr"/>
        </w:rPr>
        <w:t>c. Ressources :</w:t>
      </w:r>
      <w:r>
        <w:rPr>
          <w:lang w:val="fr"/>
        </w:rPr>
        <w:t xml:space="preserve"> Le coût de chaque candidature est estimé à environ </w:t>
      </w:r>
      <w:r>
        <w:rPr>
          <w:u w:val="single"/>
          <w:lang w:val="fr"/>
        </w:rPr>
        <w:t>20</w:t>
      </w:r>
      <w:r w:rsidR="00333153">
        <w:rPr>
          <w:u w:val="single"/>
          <w:lang w:val="fr"/>
        </w:rPr>
        <w:t> </w:t>
      </w:r>
      <w:r>
        <w:rPr>
          <w:u w:val="single"/>
          <w:lang w:val="fr"/>
        </w:rPr>
        <w:t xml:space="preserve">000 dollars </w:t>
      </w:r>
      <w:r w:rsidR="00333153">
        <w:rPr>
          <w:u w:val="single"/>
          <w:lang w:val="fr"/>
        </w:rPr>
        <w:t>des États-Unis</w:t>
      </w:r>
      <w:r w:rsidRPr="007F5EB2">
        <w:rPr>
          <w:lang w:val="fr"/>
        </w:rPr>
        <w:t>,</w:t>
      </w:r>
      <w:r>
        <w:rPr>
          <w:lang w:val="fr"/>
        </w:rPr>
        <w:t xml:space="preserve"> financés par le Programme ordinaire de l</w:t>
      </w:r>
      <w:r w:rsidR="00244CEA">
        <w:rPr>
          <w:lang w:val="fr"/>
        </w:rPr>
        <w:t>’</w:t>
      </w:r>
      <w:r>
        <w:rPr>
          <w:lang w:val="fr"/>
        </w:rPr>
        <w:t>UNESCO (69%) et le Fonds du patrimoine culturel immatériel (31%), depuis la soumission des dossiers au Secrétariat (et pour certaines candidatures, y compris l</w:t>
      </w:r>
      <w:r w:rsidR="00244CEA">
        <w:rPr>
          <w:lang w:val="fr"/>
        </w:rPr>
        <w:t>’</w:t>
      </w:r>
      <w:r>
        <w:rPr>
          <w:lang w:val="fr"/>
        </w:rPr>
        <w:t>administration de l</w:t>
      </w:r>
      <w:r w:rsidR="00244CEA">
        <w:rPr>
          <w:lang w:val="fr"/>
        </w:rPr>
        <w:t>’</w:t>
      </w:r>
      <w:r>
        <w:rPr>
          <w:lang w:val="fr"/>
        </w:rPr>
        <w:t>assistance préparatoire) jusqu</w:t>
      </w:r>
      <w:r w:rsidR="00244CEA">
        <w:rPr>
          <w:lang w:val="fr"/>
        </w:rPr>
        <w:t>’</w:t>
      </w:r>
      <w:r>
        <w:rPr>
          <w:lang w:val="fr"/>
        </w:rPr>
        <w:t>à l</w:t>
      </w:r>
      <w:r w:rsidR="00244CEA">
        <w:rPr>
          <w:lang w:val="fr"/>
        </w:rPr>
        <w:t>’</w:t>
      </w:r>
      <w:r>
        <w:rPr>
          <w:lang w:val="fr"/>
        </w:rPr>
        <w:t>examen par le Comité. Ce montant comprend environ 10</w:t>
      </w:r>
      <w:r w:rsidR="00333153">
        <w:rPr>
          <w:lang w:val="fr"/>
        </w:rPr>
        <w:t> </w:t>
      </w:r>
      <w:r>
        <w:rPr>
          <w:lang w:val="fr"/>
        </w:rPr>
        <w:t xml:space="preserve">000 dollars </w:t>
      </w:r>
      <w:r w:rsidR="00E46393">
        <w:rPr>
          <w:lang w:val="fr"/>
        </w:rPr>
        <w:t xml:space="preserve">des États-Unis </w:t>
      </w:r>
      <w:r>
        <w:rPr>
          <w:lang w:val="fr"/>
        </w:rPr>
        <w:t>pour le traitement, l</w:t>
      </w:r>
      <w:r w:rsidR="00244CEA">
        <w:rPr>
          <w:lang w:val="fr"/>
        </w:rPr>
        <w:t>’</w:t>
      </w:r>
      <w:r>
        <w:rPr>
          <w:lang w:val="fr"/>
        </w:rPr>
        <w:t>évaluation et l</w:t>
      </w:r>
      <w:r w:rsidR="00244CEA">
        <w:rPr>
          <w:lang w:val="fr"/>
        </w:rPr>
        <w:t>’</w:t>
      </w:r>
      <w:r>
        <w:rPr>
          <w:lang w:val="fr"/>
        </w:rPr>
        <w:t>examen de chaque candidature, ainsi qu</w:t>
      </w:r>
      <w:r w:rsidR="00244CEA">
        <w:rPr>
          <w:lang w:val="fr"/>
        </w:rPr>
        <w:t>’</w:t>
      </w:r>
      <w:r>
        <w:rPr>
          <w:lang w:val="fr"/>
        </w:rPr>
        <w:t>environ 10</w:t>
      </w:r>
      <w:r w:rsidR="00333153">
        <w:rPr>
          <w:lang w:val="fr"/>
        </w:rPr>
        <w:t> </w:t>
      </w:r>
      <w:r>
        <w:rPr>
          <w:lang w:val="fr"/>
        </w:rPr>
        <w:t>000 dollars</w:t>
      </w:r>
      <w:r w:rsidR="00E46393">
        <w:rPr>
          <w:lang w:val="fr"/>
        </w:rPr>
        <w:t xml:space="preserve"> des États-Unis</w:t>
      </w:r>
      <w:r>
        <w:rPr>
          <w:lang w:val="fr"/>
        </w:rPr>
        <w:t xml:space="preserve"> </w:t>
      </w:r>
      <w:r w:rsidR="0063527F">
        <w:rPr>
          <w:lang w:val="fr"/>
        </w:rPr>
        <w:t xml:space="preserve">par </w:t>
      </w:r>
      <w:r>
        <w:rPr>
          <w:lang w:val="fr"/>
        </w:rPr>
        <w:t>dossier de candidature pour la coordination par le Secrétariat de l</w:t>
      </w:r>
      <w:r w:rsidR="00244CEA">
        <w:rPr>
          <w:lang w:val="fr"/>
        </w:rPr>
        <w:t>’</w:t>
      </w:r>
      <w:r>
        <w:rPr>
          <w:lang w:val="fr"/>
        </w:rPr>
        <w:t>ensemble du processus d</w:t>
      </w:r>
      <w:r w:rsidR="00244CEA">
        <w:rPr>
          <w:lang w:val="fr"/>
        </w:rPr>
        <w:t>’</w:t>
      </w:r>
      <w:r>
        <w:rPr>
          <w:lang w:val="fr"/>
        </w:rPr>
        <w:t>évaluation et des réunions associé</w:t>
      </w:r>
      <w:r w:rsidRPr="00333153">
        <w:rPr>
          <w:lang w:val="fr"/>
        </w:rPr>
        <w:t xml:space="preserve">es. </w:t>
      </w:r>
      <w:r w:rsidRPr="00561AE0">
        <w:rPr>
          <w:lang w:val="fr"/>
        </w:rPr>
        <w:t>À ce chiffrage s</w:t>
      </w:r>
      <w:r w:rsidR="00244CEA">
        <w:rPr>
          <w:lang w:val="fr"/>
        </w:rPr>
        <w:t>’</w:t>
      </w:r>
      <w:r w:rsidRPr="00561AE0">
        <w:rPr>
          <w:lang w:val="fr"/>
        </w:rPr>
        <w:t xml:space="preserve">ajoutent les coûts </w:t>
      </w:r>
      <w:r w:rsidR="00333153" w:rsidRPr="00561AE0">
        <w:rPr>
          <w:lang w:val="fr"/>
        </w:rPr>
        <w:t xml:space="preserve">encourus </w:t>
      </w:r>
      <w:r w:rsidRPr="00561AE0">
        <w:rPr>
          <w:lang w:val="fr"/>
        </w:rPr>
        <w:t>par les États soumissionnaires, qui semblent varier sensiblement en fonction du contexte propre à chaque pays.</w:t>
      </w:r>
    </w:p>
    <w:p w14:paraId="5167C02A" w14:textId="439DA4C7" w:rsidR="007D2B08" w:rsidRPr="00EF2D6F" w:rsidRDefault="00EF2D6F" w:rsidP="00EF2D6F">
      <w:pPr>
        <w:spacing w:after="0"/>
        <w:rPr>
          <w:rFonts w:ascii="Arial" w:hAnsi="Arial" w:cs="Arial"/>
          <w:snapToGrid w:val="0"/>
          <w:szCs w:val="22"/>
          <w:lang w:val="fr" w:eastAsia="en-US"/>
        </w:rPr>
      </w:pPr>
      <w:r>
        <w:rPr>
          <w:lang w:val="fr"/>
        </w:rPr>
        <w:br w:type="page"/>
      </w:r>
    </w:p>
    <w:p w14:paraId="6BCC7141" w14:textId="480905CA" w:rsidR="007D2B08" w:rsidRPr="00EF2D6F" w:rsidRDefault="007D2B08" w:rsidP="00EF2D6F">
      <w:pPr>
        <w:pStyle w:val="1GAPara"/>
        <w:numPr>
          <w:ilvl w:val="1"/>
          <w:numId w:val="33"/>
        </w:numPr>
        <w:ind w:left="1134" w:hanging="567"/>
        <w:jc w:val="both"/>
        <w:rPr>
          <w:lang w:val="fr"/>
        </w:rPr>
      </w:pPr>
      <w:r>
        <w:rPr>
          <w:lang w:val="fr"/>
        </w:rPr>
        <w:lastRenderedPageBreak/>
        <w:t>Cela signifie qu</w:t>
      </w:r>
      <w:r w:rsidR="00244CEA">
        <w:rPr>
          <w:lang w:val="fr"/>
        </w:rPr>
        <w:t>’</w:t>
      </w:r>
      <w:r>
        <w:rPr>
          <w:lang w:val="fr"/>
        </w:rPr>
        <w:t xml:space="preserve">environ 1 à 1,2 million de dollars </w:t>
      </w:r>
      <w:r w:rsidR="0063527F">
        <w:rPr>
          <w:lang w:val="fr"/>
        </w:rPr>
        <w:t xml:space="preserve">des États-Unis </w:t>
      </w:r>
      <w:r>
        <w:rPr>
          <w:lang w:val="fr"/>
        </w:rPr>
        <w:t>ont</w:t>
      </w:r>
      <w:r w:rsidR="00C6631C">
        <w:rPr>
          <w:lang w:val="fr"/>
        </w:rPr>
        <w:t xml:space="preserve"> récemment</w:t>
      </w:r>
      <w:r>
        <w:rPr>
          <w:lang w:val="fr"/>
        </w:rPr>
        <w:t xml:space="preserve"> été dépensés chaque année pour soutenir les mécanismes d</w:t>
      </w:r>
      <w:r w:rsidR="00244CEA">
        <w:rPr>
          <w:lang w:val="fr"/>
        </w:rPr>
        <w:t>’</w:t>
      </w:r>
      <w:r>
        <w:rPr>
          <w:lang w:val="fr"/>
        </w:rPr>
        <w:t xml:space="preserve">inscription sur les listes. Comme indiqué </w:t>
      </w:r>
      <w:r w:rsidRPr="00316433">
        <w:rPr>
          <w:lang w:val="fr"/>
        </w:rPr>
        <w:t xml:space="preserve">à </w:t>
      </w:r>
      <w:hyperlink w:anchor="_Annexe_III_:" w:history="1">
        <w:r w:rsidRPr="00561AE0">
          <w:rPr>
            <w:rStyle w:val="Lienhypertexte"/>
            <w:color w:val="auto"/>
            <w:u w:val="none"/>
            <w:lang w:val="fr"/>
          </w:rPr>
          <w:t>l</w:t>
        </w:r>
        <w:r w:rsidR="00244CEA" w:rsidRPr="00561AE0">
          <w:rPr>
            <w:rStyle w:val="Lienhypertexte"/>
            <w:color w:val="auto"/>
            <w:u w:val="none"/>
            <w:lang w:val="fr"/>
          </w:rPr>
          <w:t>’</w:t>
        </w:r>
        <w:r w:rsidR="00A16033">
          <w:rPr>
            <w:rStyle w:val="Lienhypertexte"/>
            <w:lang w:val="fr"/>
          </w:rPr>
          <w:t>a</w:t>
        </w:r>
        <w:r w:rsidRPr="003F23F7">
          <w:rPr>
            <w:rStyle w:val="Lienhypertexte"/>
            <w:lang w:val="fr"/>
          </w:rPr>
          <w:t>nnexe III</w:t>
        </w:r>
        <w:r w:rsidRPr="007F5EB2">
          <w:rPr>
            <w:rStyle w:val="Lienhypertexte"/>
            <w:color w:val="auto"/>
            <w:u w:val="none"/>
            <w:lang w:val="fr"/>
          </w:rPr>
          <w:t>,</w:t>
        </w:r>
      </w:hyperlink>
      <w:r w:rsidRPr="00316433">
        <w:rPr>
          <w:lang w:val="fr"/>
        </w:rPr>
        <w:t xml:space="preserve"> une équipe d</w:t>
      </w:r>
      <w:r w:rsidR="00244CEA">
        <w:rPr>
          <w:lang w:val="fr"/>
        </w:rPr>
        <w:t>’</w:t>
      </w:r>
      <w:r w:rsidRPr="00316433">
        <w:rPr>
          <w:lang w:val="fr"/>
        </w:rPr>
        <w:t xml:space="preserve">au moins </w:t>
      </w:r>
      <w:r w:rsidR="00410575">
        <w:rPr>
          <w:lang w:val="fr"/>
        </w:rPr>
        <w:t xml:space="preserve">cinq à </w:t>
      </w:r>
      <w:r w:rsidRPr="00316433">
        <w:rPr>
          <w:lang w:val="fr"/>
        </w:rPr>
        <w:t>huit personnes du Secrétariat est étroitement impliquée dans le processus</w:t>
      </w:r>
      <w:r>
        <w:rPr>
          <w:lang w:val="fr"/>
        </w:rPr>
        <w:t xml:space="preserve"> de </w:t>
      </w:r>
      <w:r w:rsidR="00C6631C">
        <w:rPr>
          <w:lang w:val="fr"/>
        </w:rPr>
        <w:t>candidature</w:t>
      </w:r>
      <w:r>
        <w:rPr>
          <w:lang w:val="fr"/>
        </w:rPr>
        <w:t>. La nature technique et la complexité des tâches sont telles que l</w:t>
      </w:r>
      <w:r w:rsidR="00244CEA">
        <w:rPr>
          <w:lang w:val="fr"/>
        </w:rPr>
        <w:t>’</w:t>
      </w:r>
      <w:r>
        <w:rPr>
          <w:lang w:val="fr"/>
        </w:rPr>
        <w:t>engagement d</w:t>
      </w:r>
      <w:r w:rsidR="00244CEA">
        <w:rPr>
          <w:lang w:val="fr"/>
        </w:rPr>
        <w:t>’</w:t>
      </w:r>
      <w:r>
        <w:rPr>
          <w:lang w:val="fr"/>
        </w:rPr>
        <w:t xml:space="preserve">un personnel permanent est nécessaire pour les activités de base ; ce personnel ne peut être remplacé par du personnel temporaire ou détaché, </w:t>
      </w:r>
      <w:r w:rsidR="00316433" w:rsidRPr="00316433">
        <w:rPr>
          <w:lang w:val="fr"/>
        </w:rPr>
        <w:t>car la rotation fréquente rend la qualité et la constance des opérations du Secrétariat difficiles à assurer.</w:t>
      </w:r>
      <w:r w:rsidR="00316433">
        <w:rPr>
          <w:lang w:val="fr"/>
        </w:rPr>
        <w:t xml:space="preserve"> </w:t>
      </w:r>
    </w:p>
    <w:p w14:paraId="0F63AE97" w14:textId="565ADEDA" w:rsidR="007D2B08" w:rsidRPr="00561AE0" w:rsidRDefault="007D2B08" w:rsidP="00561AE0">
      <w:pPr>
        <w:pStyle w:val="1GAPara"/>
        <w:numPr>
          <w:ilvl w:val="1"/>
          <w:numId w:val="33"/>
        </w:numPr>
        <w:ind w:left="1134" w:hanging="567"/>
        <w:jc w:val="both"/>
        <w:rPr>
          <w:lang w:val="fr-FR"/>
        </w:rPr>
      </w:pPr>
      <w:r>
        <w:rPr>
          <w:lang w:val="fr"/>
        </w:rPr>
        <w:t>Si (i) un deuxième Organe d</w:t>
      </w:r>
      <w:r w:rsidR="00244CEA">
        <w:rPr>
          <w:lang w:val="fr"/>
        </w:rPr>
        <w:t>’</w:t>
      </w:r>
      <w:r>
        <w:rPr>
          <w:lang w:val="fr"/>
        </w:rPr>
        <w:t>évaluation composé de douze membres est établi pour évaluer un nombre supplémentaire de dossiers ou (ii) le nombre de membres de l</w:t>
      </w:r>
      <w:r w:rsidR="00244CEA">
        <w:rPr>
          <w:lang w:val="fr"/>
        </w:rPr>
        <w:t>’</w:t>
      </w:r>
      <w:r>
        <w:rPr>
          <w:lang w:val="fr"/>
        </w:rPr>
        <w:t>Organe d</w:t>
      </w:r>
      <w:r w:rsidR="00244CEA">
        <w:rPr>
          <w:lang w:val="fr"/>
        </w:rPr>
        <w:t>’</w:t>
      </w:r>
      <w:r>
        <w:rPr>
          <w:lang w:val="fr"/>
        </w:rPr>
        <w:t>évaluation reste à douze, avec deux groupes de six membres évaluant séparément un ensemble différent de candidatures, des coûts supplémentaires seraient encourus pour le traitement, l</w:t>
      </w:r>
      <w:r w:rsidR="00244CEA">
        <w:rPr>
          <w:lang w:val="fr"/>
        </w:rPr>
        <w:t>’</w:t>
      </w:r>
      <w:r>
        <w:rPr>
          <w:lang w:val="fr"/>
        </w:rPr>
        <w:t>évaluation et l</w:t>
      </w:r>
      <w:r w:rsidR="00244CEA">
        <w:rPr>
          <w:lang w:val="fr"/>
        </w:rPr>
        <w:t>’</w:t>
      </w:r>
      <w:r>
        <w:rPr>
          <w:lang w:val="fr"/>
        </w:rPr>
        <w:t>examen de chaque dossier supplémentaire à évaluer (estimé à 10</w:t>
      </w:r>
      <w:r w:rsidR="00316433">
        <w:rPr>
          <w:lang w:val="fr"/>
        </w:rPr>
        <w:t> </w:t>
      </w:r>
      <w:r>
        <w:rPr>
          <w:lang w:val="fr"/>
        </w:rPr>
        <w:t xml:space="preserve">000 dollars </w:t>
      </w:r>
      <w:r w:rsidR="00316433">
        <w:rPr>
          <w:lang w:val="fr"/>
        </w:rPr>
        <w:t>des États-Unis</w:t>
      </w:r>
      <w:r>
        <w:rPr>
          <w:lang w:val="fr"/>
        </w:rPr>
        <w:t xml:space="preserve"> par dossier) et, peut-être plus important encore, la coordination du processus d</w:t>
      </w:r>
      <w:r w:rsidR="00244CEA">
        <w:rPr>
          <w:lang w:val="fr"/>
        </w:rPr>
        <w:t>’</w:t>
      </w:r>
      <w:r>
        <w:rPr>
          <w:lang w:val="fr"/>
        </w:rPr>
        <w:t xml:space="preserve">évaluation et des réunions associées devrait être </w:t>
      </w:r>
      <w:r>
        <w:rPr>
          <w:u w:val="single"/>
          <w:lang w:val="fr"/>
        </w:rPr>
        <w:t>externalisée</w:t>
      </w:r>
      <w:r>
        <w:rPr>
          <w:lang w:val="fr"/>
        </w:rPr>
        <w:t xml:space="preserve"> étant donné les contraintes actuelles du Secrétariat en matière de ressources humaines.</w:t>
      </w:r>
    </w:p>
    <w:p w14:paraId="1B49585D" w14:textId="1119880C" w:rsidR="00A16033" w:rsidRPr="00A16033" w:rsidRDefault="00A16033" w:rsidP="00561AE0">
      <w:pPr>
        <w:pStyle w:val="1GAPara"/>
        <w:numPr>
          <w:ilvl w:val="1"/>
          <w:numId w:val="33"/>
        </w:numPr>
        <w:ind w:left="1134" w:hanging="567"/>
        <w:jc w:val="both"/>
        <w:rPr>
          <w:lang w:val="fr-FR"/>
        </w:rPr>
      </w:pPr>
      <w:r w:rsidRPr="00A16033">
        <w:rPr>
          <w:lang w:val="fr-FR"/>
        </w:rPr>
        <w:t xml:space="preserve">Si le nombre de dossiers et, par conséquent, le nombre de réunions devaient être </w:t>
      </w:r>
      <w:r w:rsidRPr="00561AE0">
        <w:rPr>
          <w:lang w:val="fr"/>
        </w:rPr>
        <w:t>doublés</w:t>
      </w:r>
      <w:r w:rsidRPr="00A16033">
        <w:rPr>
          <w:lang w:val="fr-FR"/>
        </w:rPr>
        <w:t>, le Secrétariat devrait être renforcé de manière substantielle et proportionnelle afin d</w:t>
      </w:r>
      <w:r>
        <w:rPr>
          <w:lang w:val="fr-FR"/>
        </w:rPr>
        <w:t>’</w:t>
      </w:r>
      <w:r w:rsidRPr="00A16033">
        <w:rPr>
          <w:lang w:val="fr-FR"/>
        </w:rPr>
        <w:t>avoir la capacité d</w:t>
      </w:r>
      <w:r>
        <w:rPr>
          <w:lang w:val="fr-FR"/>
        </w:rPr>
        <w:t>’</w:t>
      </w:r>
      <w:r w:rsidRPr="00A16033">
        <w:rPr>
          <w:lang w:val="fr-FR"/>
        </w:rPr>
        <w:t>absorber une telle augmentation et d</w:t>
      </w:r>
      <w:r>
        <w:rPr>
          <w:lang w:val="fr-FR"/>
        </w:rPr>
        <w:t>’</w:t>
      </w:r>
      <w:r w:rsidRPr="00A16033">
        <w:rPr>
          <w:lang w:val="fr-FR"/>
        </w:rPr>
        <w:t>avoir les moyens de soutenir adéquatement l</w:t>
      </w:r>
      <w:r>
        <w:rPr>
          <w:lang w:val="fr-FR"/>
        </w:rPr>
        <w:t>’</w:t>
      </w:r>
      <w:r w:rsidRPr="00A16033">
        <w:rPr>
          <w:lang w:val="fr-FR"/>
        </w:rPr>
        <w:t>Organe d</w:t>
      </w:r>
      <w:r>
        <w:rPr>
          <w:lang w:val="fr-FR"/>
        </w:rPr>
        <w:t>’</w:t>
      </w:r>
      <w:r w:rsidRPr="00A16033">
        <w:rPr>
          <w:lang w:val="fr-FR"/>
        </w:rPr>
        <w:t>évaluation. La seule autre option semble être d</w:t>
      </w:r>
      <w:r>
        <w:rPr>
          <w:lang w:val="fr-FR"/>
        </w:rPr>
        <w:t>’</w:t>
      </w:r>
      <w:r w:rsidRPr="00A16033">
        <w:rPr>
          <w:lang w:val="fr-FR"/>
        </w:rPr>
        <w:t>externaliser l</w:t>
      </w:r>
      <w:r>
        <w:rPr>
          <w:lang w:val="fr-FR"/>
        </w:rPr>
        <w:t>’</w:t>
      </w:r>
      <w:r w:rsidRPr="00A16033">
        <w:rPr>
          <w:lang w:val="fr-FR"/>
        </w:rPr>
        <w:t>organisation du travail de l</w:t>
      </w:r>
      <w:r>
        <w:rPr>
          <w:lang w:val="fr-FR"/>
        </w:rPr>
        <w:t>’O</w:t>
      </w:r>
      <w:r w:rsidRPr="00A16033">
        <w:rPr>
          <w:lang w:val="fr-FR"/>
        </w:rPr>
        <w:t>rgane d</w:t>
      </w:r>
      <w:r>
        <w:rPr>
          <w:lang w:val="fr-FR"/>
        </w:rPr>
        <w:t>’</w:t>
      </w:r>
      <w:r w:rsidRPr="00A16033">
        <w:rPr>
          <w:lang w:val="fr-FR"/>
        </w:rPr>
        <w:t>évaluation, ce qui soulèverait une série d</w:t>
      </w:r>
      <w:r>
        <w:rPr>
          <w:lang w:val="fr-FR"/>
        </w:rPr>
        <w:t>’</w:t>
      </w:r>
      <w:r w:rsidRPr="00A16033">
        <w:rPr>
          <w:lang w:val="fr-FR"/>
        </w:rPr>
        <w:t>autres préoccupations : à qui les tâches seraient-elles confiées et combien cela coûterait-il ? Comment assurer la continuité et la qualité des évaluations, ainsi que leur cohérence avec les principes de la Convention ? Cela comporterait-il des risques en termes d</w:t>
      </w:r>
      <w:r>
        <w:rPr>
          <w:lang w:val="fr-FR"/>
        </w:rPr>
        <w:t>’</w:t>
      </w:r>
      <w:r w:rsidRPr="00A16033">
        <w:rPr>
          <w:lang w:val="fr-FR"/>
        </w:rPr>
        <w:t>é</w:t>
      </w:r>
      <w:r>
        <w:rPr>
          <w:lang w:val="fr-FR"/>
        </w:rPr>
        <w:t>galité</w:t>
      </w:r>
      <w:r w:rsidRPr="00A16033">
        <w:rPr>
          <w:lang w:val="fr-FR"/>
        </w:rPr>
        <w:t xml:space="preserve"> de traitement ?</w:t>
      </w:r>
    </w:p>
    <w:p w14:paraId="7E2D9591" w14:textId="188849E0" w:rsidR="007D2B08" w:rsidRPr="00EC30E9" w:rsidRDefault="007D2B08" w:rsidP="00561AE0">
      <w:pPr>
        <w:pStyle w:val="1GAPara"/>
        <w:spacing w:before="240"/>
        <w:ind w:left="567" w:hanging="567"/>
        <w:rPr>
          <w:b/>
          <w:bCs/>
          <w:lang w:val="fr-FR"/>
        </w:rPr>
      </w:pPr>
      <w:r>
        <w:rPr>
          <w:b/>
          <w:bCs/>
          <w:lang w:val="fr"/>
        </w:rPr>
        <w:t>D.</w:t>
      </w:r>
      <w:r w:rsidR="00BB2536">
        <w:rPr>
          <w:b/>
          <w:bCs/>
          <w:lang w:val="fr"/>
        </w:rPr>
        <w:tab/>
      </w:r>
      <w:r>
        <w:rPr>
          <w:b/>
          <w:bCs/>
          <w:lang w:val="fr"/>
        </w:rPr>
        <w:t>Le plafond annuel et l</w:t>
      </w:r>
      <w:r w:rsidR="00244CEA">
        <w:rPr>
          <w:b/>
          <w:bCs/>
          <w:lang w:val="fr"/>
        </w:rPr>
        <w:t>’</w:t>
      </w:r>
      <w:r>
        <w:rPr>
          <w:b/>
          <w:bCs/>
          <w:lang w:val="fr"/>
        </w:rPr>
        <w:t xml:space="preserve">ordre des priorités </w:t>
      </w:r>
      <w:r w:rsidR="00F9426D">
        <w:rPr>
          <w:b/>
          <w:bCs/>
          <w:lang w:val="fr"/>
        </w:rPr>
        <w:t>–</w:t>
      </w:r>
      <w:r>
        <w:rPr>
          <w:b/>
          <w:bCs/>
          <w:lang w:val="fr"/>
        </w:rPr>
        <w:t xml:space="preserve"> deux</w:t>
      </w:r>
      <w:r w:rsidR="00F9426D">
        <w:rPr>
          <w:b/>
          <w:bCs/>
          <w:lang w:val="fr"/>
        </w:rPr>
        <w:t xml:space="preserve"> </w:t>
      </w:r>
      <w:r>
        <w:rPr>
          <w:b/>
          <w:bCs/>
          <w:lang w:val="fr"/>
        </w:rPr>
        <w:t>options et leurs implications</w:t>
      </w:r>
    </w:p>
    <w:p w14:paraId="35CFDD27" w14:textId="622E8297" w:rsidR="007D2B08" w:rsidRPr="00EC30E9" w:rsidRDefault="007D2B08" w:rsidP="007D2B08">
      <w:pPr>
        <w:pStyle w:val="1GAPara"/>
        <w:keepNext/>
        <w:numPr>
          <w:ilvl w:val="0"/>
          <w:numId w:val="3"/>
        </w:numPr>
        <w:ind w:left="567" w:hanging="567"/>
        <w:jc w:val="both"/>
        <w:rPr>
          <w:lang w:val="fr-FR"/>
        </w:rPr>
      </w:pPr>
      <w:r>
        <w:rPr>
          <w:lang w:val="fr"/>
        </w:rPr>
        <w:t>Pour aller de l</w:t>
      </w:r>
      <w:r w:rsidR="00244CEA">
        <w:rPr>
          <w:lang w:val="fr"/>
        </w:rPr>
        <w:t>’</w:t>
      </w:r>
      <w:r>
        <w:rPr>
          <w:lang w:val="fr"/>
        </w:rPr>
        <w:t xml:space="preserve">avant, le groupe de travail peut envisager les deux options suivantes afin de conclure sa recommandation sur la question du nombre de candidatures à traiter par cycle. Ces deux options prennent en compte le </w:t>
      </w:r>
      <w:r w:rsidR="00316433">
        <w:rPr>
          <w:lang w:val="fr"/>
        </w:rPr>
        <w:t xml:space="preserve">sujet </w:t>
      </w:r>
      <w:r>
        <w:rPr>
          <w:lang w:val="fr"/>
        </w:rPr>
        <w:t xml:space="preserve">1 ainsi que les </w:t>
      </w:r>
      <w:r w:rsidR="00316433">
        <w:rPr>
          <w:lang w:val="fr"/>
        </w:rPr>
        <w:t xml:space="preserve">sujets </w:t>
      </w:r>
      <w:r>
        <w:rPr>
          <w:lang w:val="fr"/>
        </w:rPr>
        <w:t>2 à 5 tels que confiés à l</w:t>
      </w:r>
      <w:r w:rsidR="00244CEA">
        <w:rPr>
          <w:lang w:val="fr"/>
        </w:rPr>
        <w:t>’</w:t>
      </w:r>
      <w:r>
        <w:rPr>
          <w:lang w:val="fr"/>
        </w:rPr>
        <w:t>examen de la partie III du groupe de travail.</w:t>
      </w:r>
    </w:p>
    <w:p w14:paraId="6AF3785B" w14:textId="77242A6F" w:rsidR="00F9426D" w:rsidRDefault="00F9426D" w:rsidP="00561AE0">
      <w:pPr>
        <w:pStyle w:val="1GAPara"/>
        <w:pBdr>
          <w:top w:val="single" w:sz="4" w:space="1" w:color="auto"/>
          <w:left w:val="single" w:sz="4" w:space="4" w:color="auto"/>
          <w:bottom w:val="single" w:sz="4" w:space="1" w:color="auto"/>
          <w:right w:val="single" w:sz="4" w:space="4" w:color="auto"/>
        </w:pBdr>
        <w:shd w:val="clear" w:color="auto" w:fill="B6DDE8" w:themeFill="accent5" w:themeFillTint="66"/>
        <w:spacing w:before="120"/>
        <w:ind w:left="567"/>
        <w:jc w:val="both"/>
        <w:rPr>
          <w:u w:val="single"/>
          <w:lang w:val="fr"/>
        </w:rPr>
      </w:pPr>
      <w:r>
        <w:rPr>
          <w:lang w:val="fr"/>
        </w:rPr>
        <w:t xml:space="preserve">Option A. Maintenir le système </w:t>
      </w:r>
      <w:r>
        <w:rPr>
          <w:i/>
          <w:iCs/>
          <w:lang w:val="fr"/>
        </w:rPr>
        <w:t xml:space="preserve">de </w:t>
      </w:r>
      <w:r w:rsidRPr="00316433">
        <w:rPr>
          <w:i/>
          <w:iCs/>
          <w:lang w:val="fr"/>
        </w:rPr>
        <w:t>facto</w:t>
      </w:r>
      <w:r w:rsidRPr="00973BB5">
        <w:rPr>
          <w:lang w:val="fr"/>
        </w:rPr>
        <w:t xml:space="preserve"> </w:t>
      </w:r>
      <w:r w:rsidR="00E46393">
        <w:rPr>
          <w:lang w:val="fr"/>
        </w:rPr>
        <w:t xml:space="preserve">actuel </w:t>
      </w:r>
      <w:r w:rsidRPr="00973BB5">
        <w:rPr>
          <w:lang w:val="fr"/>
        </w:rPr>
        <w:t>(</w:t>
      </w:r>
      <w:r w:rsidRPr="00090782">
        <w:rPr>
          <w:b/>
          <w:bCs/>
          <w:lang w:val="fr"/>
        </w:rPr>
        <w:t>au moins cinquante-cinq et pas plus de</w:t>
      </w:r>
      <w:r w:rsidRPr="00090782">
        <w:rPr>
          <w:lang w:val="fr"/>
        </w:rPr>
        <w:t xml:space="preserve"> </w:t>
      </w:r>
      <w:r w:rsidRPr="00090782">
        <w:rPr>
          <w:b/>
          <w:bCs/>
          <w:lang w:val="fr"/>
        </w:rPr>
        <w:t>soixante dossiers</w:t>
      </w:r>
      <w:r w:rsidRPr="00090782">
        <w:rPr>
          <w:lang w:val="fr"/>
        </w:rPr>
        <w:t xml:space="preserve"> </w:t>
      </w:r>
      <w:r w:rsidRPr="00090782">
        <w:rPr>
          <w:b/>
          <w:bCs/>
          <w:lang w:val="fr"/>
        </w:rPr>
        <w:t>par an</w:t>
      </w:r>
      <w:r w:rsidRPr="00316433">
        <w:rPr>
          <w:lang w:val="fr"/>
        </w:rPr>
        <w:t>) avec un système de priorisation révisé</w:t>
      </w:r>
    </w:p>
    <w:p w14:paraId="4588A272" w14:textId="417CCAFA" w:rsidR="007D2B08" w:rsidRPr="00EC30E9" w:rsidRDefault="007D2B08" w:rsidP="00561AE0">
      <w:pPr>
        <w:pStyle w:val="1GAPara"/>
        <w:spacing w:before="240"/>
        <w:ind w:left="567"/>
        <w:jc w:val="both"/>
        <w:rPr>
          <w:u w:val="single"/>
          <w:lang w:val="fr-FR"/>
        </w:rPr>
      </w:pPr>
      <w:r>
        <w:rPr>
          <w:u w:val="single"/>
          <w:lang w:val="fr"/>
        </w:rPr>
        <w:t xml:space="preserve">Pourquoi maintenir le système </w:t>
      </w:r>
      <w:r>
        <w:rPr>
          <w:i/>
          <w:iCs/>
          <w:u w:val="single"/>
          <w:lang w:val="fr"/>
        </w:rPr>
        <w:t>de facto </w:t>
      </w:r>
      <w:proofErr w:type="gramStart"/>
      <w:r w:rsidR="00E46393">
        <w:rPr>
          <w:u w:val="single"/>
          <w:lang w:val="fr"/>
        </w:rPr>
        <w:t>actuel</w:t>
      </w:r>
      <w:r>
        <w:rPr>
          <w:u w:val="single"/>
          <w:lang w:val="fr"/>
        </w:rPr>
        <w:t>?</w:t>
      </w:r>
      <w:proofErr w:type="gramEnd"/>
    </w:p>
    <w:p w14:paraId="25CCBCAB" w14:textId="201D25E1" w:rsidR="007D2B08" w:rsidRPr="00EC30E9" w:rsidRDefault="007D2B08" w:rsidP="007D2B08">
      <w:pPr>
        <w:pStyle w:val="1GAPara"/>
        <w:numPr>
          <w:ilvl w:val="0"/>
          <w:numId w:val="3"/>
        </w:numPr>
        <w:spacing w:before="120"/>
        <w:ind w:left="567" w:hanging="567"/>
        <w:jc w:val="both"/>
        <w:rPr>
          <w:lang w:val="fr-FR"/>
        </w:rPr>
      </w:pPr>
      <w:r>
        <w:rPr>
          <w:lang w:val="fr"/>
        </w:rPr>
        <w:t>Les résultats du processus de réflexion globale sur le</w:t>
      </w:r>
      <w:r w:rsidR="00316433">
        <w:rPr>
          <w:lang w:val="fr"/>
        </w:rPr>
        <w:t>s</w:t>
      </w:r>
      <w:r>
        <w:rPr>
          <w:lang w:val="fr"/>
        </w:rPr>
        <w:t xml:space="preserve"> mécanisme</w:t>
      </w:r>
      <w:r w:rsidR="00316433">
        <w:rPr>
          <w:lang w:val="fr"/>
        </w:rPr>
        <w:t>s d</w:t>
      </w:r>
      <w:r w:rsidR="00244CEA">
        <w:rPr>
          <w:lang w:val="fr"/>
        </w:rPr>
        <w:t>’</w:t>
      </w:r>
      <w:r w:rsidR="00316433">
        <w:rPr>
          <w:lang w:val="fr"/>
        </w:rPr>
        <w:t xml:space="preserve">inscription sur les </w:t>
      </w:r>
      <w:r w:rsidR="00AE5232">
        <w:rPr>
          <w:lang w:val="fr"/>
        </w:rPr>
        <w:t>l</w:t>
      </w:r>
      <w:r w:rsidR="00316433">
        <w:rPr>
          <w:lang w:val="fr"/>
        </w:rPr>
        <w:t>istes</w:t>
      </w:r>
      <w:r>
        <w:rPr>
          <w:lang w:val="fr"/>
        </w:rPr>
        <w:t xml:space="preserve"> ne permettent pas à ce jour de diminuer la charge de travail. En effet, tous les critères relatifs aux Listes et au Registre (à l</w:t>
      </w:r>
      <w:r w:rsidR="00244CEA">
        <w:rPr>
          <w:lang w:val="fr"/>
        </w:rPr>
        <w:t>’</w:t>
      </w:r>
      <w:r>
        <w:rPr>
          <w:lang w:val="fr"/>
        </w:rPr>
        <w:t>exception du critère P.9, qu</w:t>
      </w:r>
      <w:r w:rsidR="00244CEA">
        <w:rPr>
          <w:lang w:val="fr"/>
        </w:rPr>
        <w:t>’</w:t>
      </w:r>
      <w:r>
        <w:rPr>
          <w:lang w:val="fr"/>
        </w:rPr>
        <w:t>il est proposé de supprimer) resteraient inchangés. En d</w:t>
      </w:r>
      <w:r w:rsidR="00244CEA">
        <w:rPr>
          <w:lang w:val="fr"/>
        </w:rPr>
        <w:t>’</w:t>
      </w:r>
      <w:r>
        <w:rPr>
          <w:lang w:val="fr"/>
        </w:rPr>
        <w:t>autres termes, même avec de nombreux ajustements techniques tels que des formulaires plus légers, le système réformé ne libérerait pas le temps et les ressources actuellement engagés par les États soumissionnaires, l</w:t>
      </w:r>
      <w:r w:rsidR="00244CEA">
        <w:rPr>
          <w:lang w:val="fr"/>
        </w:rPr>
        <w:t>’</w:t>
      </w:r>
      <w:r>
        <w:rPr>
          <w:lang w:val="fr"/>
        </w:rPr>
        <w:t>Organe d</w:t>
      </w:r>
      <w:r w:rsidR="00244CEA">
        <w:rPr>
          <w:lang w:val="fr"/>
        </w:rPr>
        <w:t>’</w:t>
      </w:r>
      <w:r>
        <w:rPr>
          <w:lang w:val="fr"/>
        </w:rPr>
        <w:t>évaluation, le Comité et le Secrétariat.</w:t>
      </w:r>
    </w:p>
    <w:p w14:paraId="3A6EAA03" w14:textId="57522906" w:rsidR="007D2B08" w:rsidRPr="00EC30E9" w:rsidRDefault="007D2B08" w:rsidP="007D2B08">
      <w:pPr>
        <w:pStyle w:val="1GAPara"/>
        <w:numPr>
          <w:ilvl w:val="0"/>
          <w:numId w:val="3"/>
        </w:numPr>
        <w:ind w:left="567" w:hanging="567"/>
        <w:jc w:val="both"/>
        <w:rPr>
          <w:lang w:val="fr-FR"/>
        </w:rPr>
      </w:pPr>
      <w:r>
        <w:rPr>
          <w:lang w:val="fr"/>
        </w:rPr>
        <w:t>Il ressort de ce qui précède qu</w:t>
      </w:r>
      <w:r w:rsidR="00244CEA">
        <w:rPr>
          <w:lang w:val="fr"/>
        </w:rPr>
        <w:t>’</w:t>
      </w:r>
      <w:r>
        <w:rPr>
          <w:lang w:val="fr"/>
        </w:rPr>
        <w:t xml:space="preserve">un plafond peut continuer à être fixé </w:t>
      </w:r>
      <w:r w:rsidRPr="00973BB5">
        <w:rPr>
          <w:lang w:val="fr"/>
        </w:rPr>
        <w:t>à « </w:t>
      </w:r>
      <w:r w:rsidRPr="00561AE0">
        <w:rPr>
          <w:u w:val="single"/>
          <w:lang w:val="fr"/>
        </w:rPr>
        <w:t xml:space="preserve">au </w:t>
      </w:r>
      <w:r w:rsidR="00E46393">
        <w:rPr>
          <w:u w:val="single"/>
          <w:lang w:val="fr"/>
        </w:rPr>
        <w:t>moins</w:t>
      </w:r>
      <w:r w:rsidR="00E46393" w:rsidRPr="00561AE0">
        <w:rPr>
          <w:u w:val="single"/>
          <w:lang w:val="fr"/>
        </w:rPr>
        <w:t xml:space="preserve"> </w:t>
      </w:r>
      <w:r w:rsidRPr="00561AE0">
        <w:rPr>
          <w:u w:val="single"/>
          <w:lang w:val="fr"/>
        </w:rPr>
        <w:t xml:space="preserve">à cinquante-cinq et </w:t>
      </w:r>
      <w:r w:rsidR="00E46393">
        <w:rPr>
          <w:u w:val="single"/>
          <w:lang w:val="fr"/>
        </w:rPr>
        <w:t>pas plus de</w:t>
      </w:r>
      <w:r w:rsidRPr="00561AE0">
        <w:rPr>
          <w:u w:val="single"/>
          <w:lang w:val="fr"/>
        </w:rPr>
        <w:t xml:space="preserve"> soixante dossiers par an</w:t>
      </w:r>
      <w:r w:rsidRPr="00561AE0">
        <w:rPr>
          <w:lang w:val="fr"/>
        </w:rPr>
        <w:t> »</w:t>
      </w:r>
      <w:r>
        <w:rPr>
          <w:lang w:val="fr"/>
        </w:rPr>
        <w:t xml:space="preserve"> sans nécessiter une refonte majeure de l</w:t>
      </w:r>
      <w:r w:rsidR="00244CEA">
        <w:rPr>
          <w:lang w:val="fr"/>
        </w:rPr>
        <w:t>’</w:t>
      </w:r>
      <w:r>
        <w:rPr>
          <w:lang w:val="fr"/>
        </w:rPr>
        <w:t xml:space="preserve">organisation du processus de </w:t>
      </w:r>
      <w:r w:rsidR="00973BB5">
        <w:rPr>
          <w:lang w:val="fr"/>
        </w:rPr>
        <w:t>candidature</w:t>
      </w:r>
      <w:r w:rsidR="00C6631C">
        <w:rPr>
          <w:lang w:val="fr"/>
        </w:rPr>
        <w:t>,</w:t>
      </w:r>
      <w:r w:rsidR="00973BB5">
        <w:rPr>
          <w:lang w:val="fr"/>
        </w:rPr>
        <w:t xml:space="preserve"> </w:t>
      </w:r>
      <w:r>
        <w:rPr>
          <w:lang w:val="fr"/>
        </w:rPr>
        <w:t>ni une augmentation significative des ressources. De même, ce scénario ne nécessite aucun changement structurel de la composition actuelle de l</w:t>
      </w:r>
      <w:r w:rsidR="00244CEA">
        <w:rPr>
          <w:lang w:val="fr"/>
        </w:rPr>
        <w:t>’</w:t>
      </w:r>
      <w:r>
        <w:rPr>
          <w:lang w:val="fr"/>
        </w:rPr>
        <w:t>Organe d</w:t>
      </w:r>
      <w:r w:rsidR="00244CEA">
        <w:rPr>
          <w:lang w:val="fr"/>
        </w:rPr>
        <w:t>’</w:t>
      </w:r>
      <w:r>
        <w:rPr>
          <w:lang w:val="fr"/>
        </w:rPr>
        <w:t>évaluation et de ses méthodes de travail. Cela s</w:t>
      </w:r>
      <w:r w:rsidR="00244CEA">
        <w:rPr>
          <w:lang w:val="fr"/>
        </w:rPr>
        <w:t>’</w:t>
      </w:r>
      <w:r>
        <w:rPr>
          <w:lang w:val="fr"/>
        </w:rPr>
        <w:t xml:space="preserve">inscrirait dans la continuité de la pratique </w:t>
      </w:r>
      <w:r>
        <w:rPr>
          <w:i/>
          <w:iCs/>
          <w:lang w:val="fr"/>
        </w:rPr>
        <w:t>de facto</w:t>
      </w:r>
      <w:r>
        <w:rPr>
          <w:lang w:val="fr"/>
        </w:rPr>
        <w:t xml:space="preserve"> actuelle, puisque le nombre de dossiers traités par cycle est égal ou proche de soixante depuis 2021 (</w:t>
      </w:r>
      <w:r w:rsidRPr="00973BB5">
        <w:rPr>
          <w:lang w:val="fr"/>
        </w:rPr>
        <w:t>voir</w:t>
      </w:r>
      <w:r w:rsidR="00A16033">
        <w:rPr>
          <w:lang w:val="fr"/>
        </w:rPr>
        <w:t xml:space="preserve"> l’</w:t>
      </w:r>
      <w:hyperlink w:anchor="_Annexe_I_:" w:history="1">
        <w:r w:rsidR="00A16033">
          <w:rPr>
            <w:rStyle w:val="Lienhypertexte"/>
            <w:lang w:val="fr"/>
          </w:rPr>
          <w:t>a</w:t>
        </w:r>
        <w:r w:rsidRPr="003F23F7">
          <w:rPr>
            <w:rStyle w:val="Lienhypertexte"/>
            <w:lang w:val="fr"/>
          </w:rPr>
          <w:t>nnexe I</w:t>
        </w:r>
      </w:hyperlink>
      <w:r w:rsidRPr="00973BB5">
        <w:rPr>
          <w:lang w:val="fr"/>
        </w:rPr>
        <w:t>).</w:t>
      </w:r>
      <w:r>
        <w:rPr>
          <w:lang w:val="fr"/>
        </w:rPr>
        <w:t xml:space="preserve"> Dans le même temps, l</w:t>
      </w:r>
      <w:r w:rsidR="00244CEA">
        <w:rPr>
          <w:lang w:val="fr"/>
        </w:rPr>
        <w:t>’</w:t>
      </w:r>
      <w:r>
        <w:rPr>
          <w:lang w:val="fr"/>
        </w:rPr>
        <w:t xml:space="preserve">approche de renforcement des capacités devrait être </w:t>
      </w:r>
      <w:r w:rsidR="0063527F">
        <w:rPr>
          <w:lang w:val="fr"/>
        </w:rPr>
        <w:t xml:space="preserve">intensifiée </w:t>
      </w:r>
      <w:r>
        <w:rPr>
          <w:lang w:val="fr"/>
        </w:rPr>
        <w:t xml:space="preserve">pour aider les États </w:t>
      </w:r>
      <w:r w:rsidR="00A4430F">
        <w:rPr>
          <w:lang w:val="fr"/>
        </w:rPr>
        <w:t xml:space="preserve">parties </w:t>
      </w:r>
      <w:r>
        <w:rPr>
          <w:lang w:val="fr"/>
        </w:rPr>
        <w:t>à préparer les candidatures.</w:t>
      </w:r>
    </w:p>
    <w:p w14:paraId="427D1047" w14:textId="7D852BFF" w:rsidR="007D2B08" w:rsidRPr="00EC30E9" w:rsidRDefault="007D2B08" w:rsidP="007D2B08">
      <w:pPr>
        <w:pStyle w:val="1GAPara"/>
        <w:numPr>
          <w:ilvl w:val="0"/>
          <w:numId w:val="3"/>
        </w:numPr>
        <w:spacing w:before="120"/>
        <w:ind w:left="567" w:hanging="567"/>
        <w:jc w:val="both"/>
        <w:rPr>
          <w:lang w:val="fr-FR"/>
        </w:rPr>
      </w:pPr>
      <w:r>
        <w:rPr>
          <w:lang w:val="fr"/>
        </w:rPr>
        <w:lastRenderedPageBreak/>
        <w:t>Ce scénario permettrait une répartition raisonnable des ressources déjà limitées pour développer différents aspects de la Convention, au-delà du système d</w:t>
      </w:r>
      <w:r w:rsidR="00244CEA">
        <w:rPr>
          <w:lang w:val="fr"/>
        </w:rPr>
        <w:t>’</w:t>
      </w:r>
      <w:r>
        <w:rPr>
          <w:lang w:val="fr"/>
        </w:rPr>
        <w:t xml:space="preserve">inscription sur les listes. En 2021, </w:t>
      </w:r>
      <w:r w:rsidR="00BA1F8B">
        <w:rPr>
          <w:lang w:val="fr"/>
        </w:rPr>
        <w:t xml:space="preserve">la Division des Services de Contrôle Interne de l’UNESCO (IOS ; préalablement appelé </w:t>
      </w:r>
      <w:r w:rsidR="00973BB5">
        <w:rPr>
          <w:lang w:val="fr"/>
        </w:rPr>
        <w:t>le s</w:t>
      </w:r>
      <w:r w:rsidR="00973BB5" w:rsidRPr="00973BB5">
        <w:rPr>
          <w:lang w:val="fr"/>
        </w:rPr>
        <w:t>ervice d</w:t>
      </w:r>
      <w:r w:rsidR="00244CEA">
        <w:rPr>
          <w:lang w:val="fr"/>
        </w:rPr>
        <w:t>’</w:t>
      </w:r>
      <w:r w:rsidR="00973BB5" w:rsidRPr="00973BB5">
        <w:rPr>
          <w:lang w:val="fr"/>
        </w:rPr>
        <w:t>évaluation et d</w:t>
      </w:r>
      <w:r w:rsidR="00244CEA">
        <w:rPr>
          <w:lang w:val="fr"/>
        </w:rPr>
        <w:t>’</w:t>
      </w:r>
      <w:r w:rsidR="00973BB5" w:rsidRPr="00973BB5">
        <w:rPr>
          <w:lang w:val="fr"/>
        </w:rPr>
        <w:t>audit</w:t>
      </w:r>
      <w:r w:rsidR="00BA1F8B">
        <w:rPr>
          <w:lang w:val="fr"/>
        </w:rPr>
        <w:t>)</w:t>
      </w:r>
      <w:r>
        <w:rPr>
          <w:lang w:val="fr"/>
        </w:rPr>
        <w:t xml:space="preserve"> </w:t>
      </w:r>
      <w:r w:rsidR="00A86585">
        <w:rPr>
          <w:lang w:val="fr"/>
        </w:rPr>
        <w:t>a</w:t>
      </w:r>
      <w:r>
        <w:rPr>
          <w:lang w:val="fr"/>
        </w:rPr>
        <w:t xml:space="preserve"> procédé à une évaluation de la mise en œuvre de la Convention et </w:t>
      </w:r>
      <w:r w:rsidR="00A86585">
        <w:rPr>
          <w:lang w:val="fr"/>
        </w:rPr>
        <w:t>a</w:t>
      </w:r>
      <w:r>
        <w:rPr>
          <w:lang w:val="fr"/>
        </w:rPr>
        <w:t xml:space="preserve"> précisément souligné la nécessité d</w:t>
      </w:r>
      <w:r w:rsidR="00244CEA">
        <w:rPr>
          <w:lang w:val="fr"/>
        </w:rPr>
        <w:t>’</w:t>
      </w:r>
      <w:r>
        <w:rPr>
          <w:lang w:val="fr"/>
        </w:rPr>
        <w:t>établir des priorités pour l</w:t>
      </w:r>
      <w:r w:rsidR="00244CEA">
        <w:rPr>
          <w:lang w:val="fr"/>
        </w:rPr>
        <w:t>’</w:t>
      </w:r>
      <w:r>
        <w:rPr>
          <w:lang w:val="fr"/>
        </w:rPr>
        <w:t>utilisation des ressources du Secrétariat de la Convention de 2003 (document </w:t>
      </w:r>
      <w:hyperlink r:id="rId16" w:history="1">
        <w:r>
          <w:rPr>
            <w:rStyle w:val="Lienhypertexte"/>
            <w:lang w:val="fr"/>
          </w:rPr>
          <w:t>LHE/21/16.COM/</w:t>
        </w:r>
        <w:r w:rsidR="00A16033">
          <w:rPr>
            <w:rStyle w:val="Lienhypertexte"/>
            <w:lang w:val="fr"/>
          </w:rPr>
          <w:t>10 </w:t>
        </w:r>
        <w:proofErr w:type="spellStart"/>
        <w:r>
          <w:rPr>
            <w:rStyle w:val="Lienhypertexte"/>
            <w:lang w:val="fr"/>
          </w:rPr>
          <w:t>Rev</w:t>
        </w:r>
        <w:proofErr w:type="spellEnd"/>
        <w:r>
          <w:rPr>
            <w:rStyle w:val="Lienhypertexte"/>
            <w:lang w:val="fr"/>
          </w:rPr>
          <w:t>.</w:t>
        </w:r>
      </w:hyperlink>
      <w:r w:rsidRPr="00561AE0">
        <w:rPr>
          <w:rStyle w:val="Lienhypertexte"/>
          <w:color w:val="auto"/>
          <w:u w:val="none"/>
          <w:lang w:val="fr"/>
        </w:rPr>
        <w:t>,</w:t>
      </w:r>
      <w:r>
        <w:rPr>
          <w:lang w:val="fr"/>
        </w:rPr>
        <w:t xml:space="preserve"> recommandation 1). Ce scénario permettrait également la coexistence du système d</w:t>
      </w:r>
      <w:r w:rsidR="00244CEA">
        <w:rPr>
          <w:lang w:val="fr"/>
        </w:rPr>
        <w:t>’</w:t>
      </w:r>
      <w:r>
        <w:rPr>
          <w:lang w:val="fr"/>
        </w:rPr>
        <w:t>inscription sur les listes avec la poursuite des efforts de renforcement des capacités, l</w:t>
      </w:r>
      <w:r w:rsidR="00244CEA">
        <w:rPr>
          <w:lang w:val="fr"/>
        </w:rPr>
        <w:t>’</w:t>
      </w:r>
      <w:r>
        <w:rPr>
          <w:lang w:val="fr"/>
        </w:rPr>
        <w:t>engagement dans la réponse aux situations d</w:t>
      </w:r>
      <w:r w:rsidR="00244CEA">
        <w:rPr>
          <w:lang w:val="fr"/>
        </w:rPr>
        <w:t>’</w:t>
      </w:r>
      <w:r>
        <w:rPr>
          <w:lang w:val="fr"/>
        </w:rPr>
        <w:t>urgence, la contribution au développement durable, le développement d</w:t>
      </w:r>
      <w:r w:rsidR="00244CEA">
        <w:rPr>
          <w:lang w:val="fr"/>
        </w:rPr>
        <w:t>’</w:t>
      </w:r>
      <w:r>
        <w:rPr>
          <w:lang w:val="fr"/>
        </w:rPr>
        <w:t>initiatives thématiques en cours ou émergentes, ainsi que la réalisation d</w:t>
      </w:r>
      <w:r w:rsidR="00244CEA">
        <w:rPr>
          <w:lang w:val="fr"/>
        </w:rPr>
        <w:t>’</w:t>
      </w:r>
      <w:r>
        <w:rPr>
          <w:lang w:val="fr"/>
        </w:rPr>
        <w:t>autres activités opérationnelles. Même avec cette approche, il faut toutefois tenir compte du fait que des ressources supplémentaires seraient nécessaires (voir le paragraphe 24) pour mettre en œuvre les ajustements aux nouvelles procédures recommandées jusqu</w:t>
      </w:r>
      <w:r w:rsidR="00244CEA">
        <w:rPr>
          <w:lang w:val="fr"/>
        </w:rPr>
        <w:t>’</w:t>
      </w:r>
      <w:r>
        <w:rPr>
          <w:lang w:val="fr"/>
        </w:rPr>
        <w:t>à présent dans le cadre de la réflexion globale (comme le transfert d</w:t>
      </w:r>
      <w:r w:rsidR="00244CEA">
        <w:rPr>
          <w:lang w:val="fr"/>
        </w:rPr>
        <w:t>’</w:t>
      </w:r>
      <w:r>
        <w:rPr>
          <w:lang w:val="fr"/>
        </w:rPr>
        <w:t xml:space="preserve">éléments entre les </w:t>
      </w:r>
      <w:r w:rsidR="0063527F">
        <w:rPr>
          <w:lang w:val="fr"/>
        </w:rPr>
        <w:t>l</w:t>
      </w:r>
      <w:r>
        <w:rPr>
          <w:lang w:val="fr"/>
        </w:rPr>
        <w:t>istes et vers le Registre, le retrait d</w:t>
      </w:r>
      <w:r w:rsidR="00244CEA">
        <w:rPr>
          <w:lang w:val="fr"/>
        </w:rPr>
        <w:t>’</w:t>
      </w:r>
      <w:r>
        <w:rPr>
          <w:lang w:val="fr"/>
        </w:rPr>
        <w:t>éléments et l</w:t>
      </w:r>
      <w:r w:rsidR="00244CEA">
        <w:rPr>
          <w:lang w:val="fr"/>
        </w:rPr>
        <w:t>’</w:t>
      </w:r>
      <w:r>
        <w:rPr>
          <w:lang w:val="fr"/>
        </w:rPr>
        <w:t>inscription d</w:t>
      </w:r>
      <w:r w:rsidR="00244CEA">
        <w:rPr>
          <w:lang w:val="fr"/>
        </w:rPr>
        <w:t>’</w:t>
      </w:r>
      <w:r>
        <w:rPr>
          <w:lang w:val="fr"/>
        </w:rPr>
        <w:t xml:space="preserve">éléments sur une base </w:t>
      </w:r>
      <w:r w:rsidR="00973BB5">
        <w:rPr>
          <w:lang w:val="fr"/>
        </w:rPr>
        <w:t xml:space="preserve">élargie </w:t>
      </w:r>
      <w:r>
        <w:rPr>
          <w:lang w:val="fr"/>
        </w:rPr>
        <w:t>ou réduite).</w:t>
      </w:r>
    </w:p>
    <w:p w14:paraId="52E64FCE" w14:textId="4963A793" w:rsidR="007D2B08" w:rsidRPr="00561AE0" w:rsidRDefault="00973BB5" w:rsidP="007D2B08">
      <w:pPr>
        <w:pStyle w:val="1GAPara"/>
        <w:spacing w:before="120"/>
        <w:ind w:left="567"/>
        <w:jc w:val="both"/>
        <w:rPr>
          <w:u w:val="single"/>
          <w:lang w:val="fr-FR"/>
        </w:rPr>
      </w:pPr>
      <w:r>
        <w:rPr>
          <w:u w:val="single"/>
          <w:lang w:val="fr"/>
        </w:rPr>
        <w:t xml:space="preserve">Ajustement </w:t>
      </w:r>
      <w:r w:rsidR="007D2B08">
        <w:rPr>
          <w:u w:val="single"/>
          <w:lang w:val="fr"/>
        </w:rPr>
        <w:t>de l</w:t>
      </w:r>
      <w:r w:rsidR="00244CEA">
        <w:rPr>
          <w:u w:val="single"/>
          <w:lang w:val="fr"/>
        </w:rPr>
        <w:t>’</w:t>
      </w:r>
      <w:r w:rsidR="007D2B08">
        <w:rPr>
          <w:u w:val="single"/>
          <w:lang w:val="fr"/>
        </w:rPr>
        <w:t>ordre de priorité</w:t>
      </w:r>
    </w:p>
    <w:p w14:paraId="68906DC5" w14:textId="0BA8F8F4" w:rsidR="007D2B08" w:rsidRPr="00EC30E9" w:rsidRDefault="007D2B08" w:rsidP="007D2B08">
      <w:pPr>
        <w:pStyle w:val="1GAPara"/>
        <w:numPr>
          <w:ilvl w:val="0"/>
          <w:numId w:val="3"/>
        </w:numPr>
        <w:spacing w:before="120"/>
        <w:ind w:left="567" w:hanging="567"/>
        <w:jc w:val="both"/>
        <w:rPr>
          <w:rFonts w:asciiTheme="minorBidi" w:hAnsiTheme="minorBidi" w:cstheme="minorBidi"/>
          <w:lang w:val="fr-FR"/>
        </w:rPr>
      </w:pPr>
      <w:r>
        <w:rPr>
          <w:rFonts w:asciiTheme="minorBidi" w:hAnsiTheme="minorBidi"/>
          <w:lang w:val="fr"/>
        </w:rPr>
        <w:t>Il est très probable qu</w:t>
      </w:r>
      <w:r w:rsidR="00244CEA">
        <w:rPr>
          <w:rFonts w:asciiTheme="minorBidi" w:hAnsiTheme="minorBidi"/>
          <w:lang w:val="fr"/>
        </w:rPr>
        <w:t>’</w:t>
      </w:r>
      <w:r>
        <w:rPr>
          <w:rFonts w:asciiTheme="minorBidi" w:hAnsiTheme="minorBidi"/>
          <w:lang w:val="fr"/>
        </w:rPr>
        <w:t xml:space="preserve">un nombre élevé de dossiers continuera à être présenté chaque année, et, avec 180 États parties à bord, </w:t>
      </w:r>
      <w:r w:rsidR="00E46393">
        <w:rPr>
          <w:rFonts w:asciiTheme="minorBidi" w:hAnsiTheme="minorBidi"/>
          <w:lang w:val="fr"/>
        </w:rPr>
        <w:t>la prédiction est</w:t>
      </w:r>
      <w:r>
        <w:rPr>
          <w:rFonts w:asciiTheme="minorBidi" w:hAnsiTheme="minorBidi"/>
          <w:lang w:val="fr"/>
        </w:rPr>
        <w:t xml:space="preserve"> qu</w:t>
      </w:r>
      <w:r w:rsidR="00244CEA">
        <w:rPr>
          <w:rFonts w:asciiTheme="minorBidi" w:hAnsiTheme="minorBidi"/>
          <w:lang w:val="fr"/>
        </w:rPr>
        <w:t>’</w:t>
      </w:r>
      <w:r>
        <w:rPr>
          <w:rFonts w:asciiTheme="minorBidi" w:hAnsiTheme="minorBidi"/>
          <w:lang w:val="fr"/>
        </w:rPr>
        <w:t xml:space="preserve">il ne </w:t>
      </w:r>
      <w:r>
        <w:rPr>
          <w:lang w:val="fr"/>
        </w:rPr>
        <w:t>sera</w:t>
      </w:r>
      <w:r>
        <w:rPr>
          <w:rFonts w:asciiTheme="minorBidi" w:hAnsiTheme="minorBidi"/>
          <w:lang w:val="fr"/>
        </w:rPr>
        <w:t xml:space="preserve"> pas possible de continuer à respecter le principe de traiter un dossier par État partie tous les deux ans, et encore moins de répondre aux priorités énoncées au paragraphe 34 des </w:t>
      </w:r>
      <w:r w:rsidR="0063527F">
        <w:rPr>
          <w:rFonts w:asciiTheme="minorBidi" w:hAnsiTheme="minorBidi"/>
          <w:lang w:val="fr"/>
        </w:rPr>
        <w:t>d</w:t>
      </w:r>
      <w:r>
        <w:rPr>
          <w:rFonts w:asciiTheme="minorBidi" w:hAnsiTheme="minorBidi"/>
          <w:lang w:val="fr"/>
        </w:rPr>
        <w:t>irectives opérationnelles. Des mesures devraient être introduites pour remplacer ou adapter le système actuel. L</w:t>
      </w:r>
      <w:r w:rsidR="00244CEA">
        <w:rPr>
          <w:rFonts w:asciiTheme="minorBidi" w:hAnsiTheme="minorBidi"/>
          <w:lang w:val="fr"/>
        </w:rPr>
        <w:t>’</w:t>
      </w:r>
      <w:r>
        <w:rPr>
          <w:rFonts w:asciiTheme="minorBidi" w:hAnsiTheme="minorBidi"/>
          <w:lang w:val="fr"/>
        </w:rPr>
        <w:t>objectif principal serait de faire face au nombre croissant d</w:t>
      </w:r>
      <w:r w:rsidR="00244CEA">
        <w:rPr>
          <w:rFonts w:asciiTheme="minorBidi" w:hAnsiTheme="minorBidi"/>
          <w:lang w:val="fr"/>
        </w:rPr>
        <w:t>’</w:t>
      </w:r>
      <w:r>
        <w:rPr>
          <w:rFonts w:asciiTheme="minorBidi" w:hAnsiTheme="minorBidi"/>
          <w:lang w:val="fr"/>
        </w:rPr>
        <w:t>États soumissionnaires, tout en incluant autant</w:t>
      </w:r>
      <w:r w:rsidR="0063527F">
        <w:rPr>
          <w:rFonts w:asciiTheme="minorBidi" w:hAnsiTheme="minorBidi"/>
          <w:lang w:val="fr"/>
        </w:rPr>
        <w:t xml:space="preserve"> que possible</w:t>
      </w:r>
      <w:r>
        <w:rPr>
          <w:rFonts w:asciiTheme="minorBidi" w:hAnsiTheme="minorBidi"/>
          <w:lang w:val="fr"/>
        </w:rPr>
        <w:t>, sinon toutes, les candidatures multinationales soumises pour renforcer la coopération internationale.</w:t>
      </w:r>
    </w:p>
    <w:p w14:paraId="07D019E7" w14:textId="6C636C4C" w:rsidR="007D2B08" w:rsidRPr="00EC30E9" w:rsidRDefault="007D2B08" w:rsidP="007D2B08">
      <w:pPr>
        <w:pStyle w:val="1GAPara"/>
        <w:numPr>
          <w:ilvl w:val="0"/>
          <w:numId w:val="3"/>
        </w:numPr>
        <w:spacing w:before="120"/>
        <w:ind w:left="567" w:hanging="567"/>
        <w:jc w:val="both"/>
        <w:rPr>
          <w:lang w:val="fr-FR"/>
        </w:rPr>
      </w:pPr>
      <w:r>
        <w:rPr>
          <w:lang w:val="fr"/>
        </w:rPr>
        <w:t xml:space="preserve">En ce qui </w:t>
      </w:r>
      <w:r>
        <w:rPr>
          <w:rFonts w:asciiTheme="minorBidi" w:hAnsiTheme="minorBidi"/>
          <w:lang w:val="fr"/>
        </w:rPr>
        <w:t>concerne</w:t>
      </w:r>
      <w:r>
        <w:rPr>
          <w:lang w:val="fr"/>
        </w:rPr>
        <w:t xml:space="preserve"> le sujet 2 de la réflexion, l</w:t>
      </w:r>
      <w:r w:rsidR="00244CEA">
        <w:rPr>
          <w:lang w:val="fr"/>
        </w:rPr>
        <w:t>’</w:t>
      </w:r>
      <w:r>
        <w:rPr>
          <w:u w:val="single"/>
          <w:lang w:val="fr"/>
        </w:rPr>
        <w:t>augmentation de l</w:t>
      </w:r>
      <w:r w:rsidR="00244CEA">
        <w:rPr>
          <w:u w:val="single"/>
          <w:lang w:val="fr"/>
        </w:rPr>
        <w:t>’</w:t>
      </w:r>
      <w:r>
        <w:rPr>
          <w:u w:val="single"/>
          <w:lang w:val="fr"/>
        </w:rPr>
        <w:t xml:space="preserve">intervalle de la priorité (0) de deux à trois ans, tout en alternant entre une </w:t>
      </w:r>
      <w:r w:rsidR="00973BB5">
        <w:rPr>
          <w:u w:val="single"/>
          <w:lang w:val="fr"/>
        </w:rPr>
        <w:t>candidature pour</w:t>
      </w:r>
      <w:r>
        <w:rPr>
          <w:u w:val="single"/>
          <w:lang w:val="fr"/>
        </w:rPr>
        <w:t xml:space="preserve"> la Liste représentative et la Liste de </w:t>
      </w:r>
      <w:r>
        <w:rPr>
          <w:rFonts w:asciiTheme="minorBidi" w:hAnsiTheme="minorBidi"/>
          <w:u w:val="single"/>
          <w:lang w:val="fr"/>
        </w:rPr>
        <w:t>sauvegarde</w:t>
      </w:r>
      <w:r>
        <w:rPr>
          <w:u w:val="single"/>
          <w:lang w:val="fr"/>
        </w:rPr>
        <w:t xml:space="preserve"> urgente ou </w:t>
      </w:r>
      <w:r w:rsidRPr="00973BB5">
        <w:rPr>
          <w:u w:val="single"/>
          <w:lang w:val="fr"/>
        </w:rPr>
        <w:t>l</w:t>
      </w:r>
      <w:r w:rsidRPr="00561AE0">
        <w:rPr>
          <w:u w:val="single"/>
          <w:lang w:val="fr"/>
        </w:rPr>
        <w:t xml:space="preserve">e Registre de bonnes pratiques </w:t>
      </w:r>
      <w:r>
        <w:rPr>
          <w:lang w:val="fr"/>
        </w:rPr>
        <w:t>n</w:t>
      </w:r>
      <w:r w:rsidR="00244CEA">
        <w:rPr>
          <w:lang w:val="fr"/>
        </w:rPr>
        <w:t>’</w:t>
      </w:r>
      <w:r>
        <w:rPr>
          <w:lang w:val="fr"/>
        </w:rPr>
        <w:t>apporterait pas de solution aux problèmes identifiés. Cette proposition peut être comprise comme un moyen d</w:t>
      </w:r>
      <w:r w:rsidR="00244CEA">
        <w:rPr>
          <w:lang w:val="fr"/>
        </w:rPr>
        <w:t>’</w:t>
      </w:r>
      <w:r>
        <w:rPr>
          <w:lang w:val="fr"/>
        </w:rPr>
        <w:t xml:space="preserve">encourager les soumissions pour la Liste de sauvegarde urgente, à la fois par le biais des catégories de priorité (0) et </w:t>
      </w:r>
      <w:r w:rsidRPr="00244CEA">
        <w:rPr>
          <w:lang w:val="fr"/>
        </w:rPr>
        <w:t xml:space="preserve">de priorité (i), mais le nombre global de dossiers soumis dans le cadre de la priorité (0) serait </w:t>
      </w:r>
      <w:r w:rsidRPr="00561AE0">
        <w:rPr>
          <w:lang w:val="fr"/>
        </w:rPr>
        <w:t>probablement augmenté de telle manière qu</w:t>
      </w:r>
      <w:r w:rsidR="00244CEA">
        <w:rPr>
          <w:lang w:val="fr"/>
        </w:rPr>
        <w:t>’</w:t>
      </w:r>
      <w:r w:rsidRPr="00561AE0">
        <w:rPr>
          <w:lang w:val="fr"/>
        </w:rPr>
        <w:t>il ne serait toujours pas possible de traiter les candidatures dans les autres catégories.</w:t>
      </w:r>
    </w:p>
    <w:p w14:paraId="557E65A5" w14:textId="77777777" w:rsidR="007D2B08" w:rsidRPr="00EC30E9" w:rsidRDefault="007D2B08" w:rsidP="007D2B08">
      <w:pPr>
        <w:pStyle w:val="1GAPara"/>
        <w:keepNext/>
        <w:numPr>
          <w:ilvl w:val="0"/>
          <w:numId w:val="3"/>
        </w:numPr>
        <w:spacing w:before="120"/>
        <w:ind w:left="567" w:hanging="567"/>
        <w:jc w:val="both"/>
        <w:rPr>
          <w:rFonts w:asciiTheme="minorBidi" w:hAnsiTheme="minorBidi" w:cstheme="minorBidi"/>
          <w:lang w:val="fr-FR"/>
        </w:rPr>
      </w:pPr>
      <w:r>
        <w:rPr>
          <w:lang w:val="fr"/>
        </w:rPr>
        <w:t>Les mesures alternatives</w:t>
      </w:r>
      <w:r>
        <w:rPr>
          <w:rFonts w:asciiTheme="minorBidi" w:hAnsiTheme="minorBidi"/>
          <w:lang w:val="fr"/>
        </w:rPr>
        <w:t xml:space="preserve"> pourraient inclure :</w:t>
      </w:r>
    </w:p>
    <w:p w14:paraId="411C6E69" w14:textId="489A6797" w:rsidR="00244CEA" w:rsidRPr="00244CEA" w:rsidRDefault="00244CEA" w:rsidP="007F5EB2">
      <w:pPr>
        <w:pStyle w:val="1GAPara"/>
        <w:numPr>
          <w:ilvl w:val="4"/>
          <w:numId w:val="38"/>
        </w:numPr>
        <w:ind w:left="1134" w:hanging="567"/>
        <w:jc w:val="both"/>
        <w:rPr>
          <w:lang w:val="fr"/>
        </w:rPr>
      </w:pPr>
      <w:r w:rsidRPr="00244CEA">
        <w:rPr>
          <w:lang w:val="fr"/>
        </w:rPr>
        <w:t xml:space="preserve">Poursuivre le système actuel de priorités, mais aussi allouer, si nécessaire, un nombre </w:t>
      </w:r>
      <w:r>
        <w:rPr>
          <w:lang w:val="fr"/>
        </w:rPr>
        <w:t>fixe</w:t>
      </w:r>
      <w:r w:rsidRPr="00244CEA">
        <w:rPr>
          <w:lang w:val="fr"/>
        </w:rPr>
        <w:t xml:space="preserve"> dans le plafond global à consacrer aux dossiers multinationaux (par exemple, dix dossiers), et donc aussi aux dossiers nationaux (45 à 50 dossiers), et établir un système de priorisation dans le quota de dossiers multinationaux alloué. En même temps, s</w:t>
      </w:r>
      <w:r>
        <w:rPr>
          <w:lang w:val="fr"/>
        </w:rPr>
        <w:t>’</w:t>
      </w:r>
      <w:r w:rsidRPr="00244CEA">
        <w:rPr>
          <w:lang w:val="fr"/>
        </w:rPr>
        <w:t>il y a un nombre élevé de dossiers nationaux soumis dans la catégorie prioritaire (0) (plus de 45 ou 50 dossiers), un autre ordre de priorité, basé sur les éléments déjà inscrits, devra également être établi dans le cadre du quota de dossiers nationaux dans la catégorie prioritaire (0). Dans le cas où il y aurait un faible nombre de dossiers nationaux sous la catégorie prioritaire (0), il serait possible d</w:t>
      </w:r>
      <w:r>
        <w:rPr>
          <w:lang w:val="fr"/>
        </w:rPr>
        <w:t>’</w:t>
      </w:r>
      <w:r w:rsidRPr="00244CEA">
        <w:rPr>
          <w:lang w:val="fr"/>
        </w:rPr>
        <w:t>absorber des dossiers multinationaux au-delà de l</w:t>
      </w:r>
      <w:r>
        <w:rPr>
          <w:lang w:val="fr"/>
        </w:rPr>
        <w:t>’</w:t>
      </w:r>
      <w:r w:rsidRPr="00244CEA">
        <w:rPr>
          <w:lang w:val="fr"/>
        </w:rPr>
        <w:t>allocation.</w:t>
      </w:r>
    </w:p>
    <w:p w14:paraId="41E8019F" w14:textId="6B221FD8" w:rsidR="00EF2D6F" w:rsidRDefault="00B714AB" w:rsidP="005D2844">
      <w:pPr>
        <w:pStyle w:val="1GAPara"/>
        <w:numPr>
          <w:ilvl w:val="0"/>
          <w:numId w:val="38"/>
        </w:numPr>
        <w:spacing w:after="240"/>
        <w:ind w:left="1134" w:hanging="567"/>
        <w:jc w:val="both"/>
        <w:rPr>
          <w:lang w:val="fr"/>
        </w:rPr>
      </w:pPr>
      <w:r>
        <w:rPr>
          <w:lang w:val="fr"/>
        </w:rPr>
        <w:t xml:space="preserve">Discontinuer </w:t>
      </w:r>
      <w:r w:rsidR="007D2B08">
        <w:rPr>
          <w:lang w:val="fr"/>
        </w:rPr>
        <w:t>le principe d</w:t>
      </w:r>
      <w:r w:rsidR="00244CEA">
        <w:rPr>
          <w:lang w:val="fr"/>
        </w:rPr>
        <w:t>’</w:t>
      </w:r>
      <w:r w:rsidR="007D2B08">
        <w:rPr>
          <w:lang w:val="fr"/>
        </w:rPr>
        <w:t>un dossier par État partie tous les deux ans et n</w:t>
      </w:r>
      <w:r w:rsidR="00244CEA">
        <w:rPr>
          <w:lang w:val="fr"/>
        </w:rPr>
        <w:t>’</w:t>
      </w:r>
      <w:r w:rsidR="007D2B08">
        <w:rPr>
          <w:lang w:val="fr"/>
        </w:rPr>
        <w:t xml:space="preserve">appliquer que les priorités telles que définies au paragraphe 34 des </w:t>
      </w:r>
      <w:r w:rsidR="0063527F">
        <w:rPr>
          <w:lang w:val="fr"/>
        </w:rPr>
        <w:t>d</w:t>
      </w:r>
      <w:r w:rsidR="007D2B08">
        <w:rPr>
          <w:lang w:val="fr"/>
        </w:rPr>
        <w:t xml:space="preserve">irectives opérationnelles. Cette option signifierait que les États </w:t>
      </w:r>
      <w:r w:rsidR="00A4430F">
        <w:rPr>
          <w:lang w:val="fr"/>
        </w:rPr>
        <w:t xml:space="preserve">parties </w:t>
      </w:r>
      <w:r w:rsidR="007D2B08">
        <w:rPr>
          <w:lang w:val="fr"/>
        </w:rPr>
        <w:t>ne seraient plus assurés d</w:t>
      </w:r>
      <w:r w:rsidR="00244CEA">
        <w:rPr>
          <w:lang w:val="fr"/>
        </w:rPr>
        <w:t>’</w:t>
      </w:r>
      <w:r w:rsidR="007D2B08">
        <w:rPr>
          <w:lang w:val="fr"/>
        </w:rPr>
        <w:t xml:space="preserve">avoir une place </w:t>
      </w:r>
      <w:r w:rsidR="00A86585">
        <w:rPr>
          <w:lang w:val="fr"/>
        </w:rPr>
        <w:t>de façon</w:t>
      </w:r>
      <w:r w:rsidR="007D2B08">
        <w:rPr>
          <w:lang w:val="fr"/>
        </w:rPr>
        <w:t xml:space="preserve"> régulière, mais pourrait encourager les soumissions des États</w:t>
      </w:r>
      <w:r w:rsidR="00A4430F">
        <w:rPr>
          <w:lang w:val="fr"/>
        </w:rPr>
        <w:t xml:space="preserve"> parties</w:t>
      </w:r>
      <w:r w:rsidR="007D2B08">
        <w:rPr>
          <w:lang w:val="fr"/>
        </w:rPr>
        <w:t xml:space="preserve"> sans aucun élément inscrit ou avec un faible nombre d</w:t>
      </w:r>
      <w:r w:rsidR="00244CEA">
        <w:rPr>
          <w:lang w:val="fr"/>
        </w:rPr>
        <w:t>’</w:t>
      </w:r>
      <w:r w:rsidR="007D2B08">
        <w:rPr>
          <w:lang w:val="fr"/>
        </w:rPr>
        <w:t>éléments inscrits, ainsi que l</w:t>
      </w:r>
      <w:r w:rsidR="00244CEA">
        <w:rPr>
          <w:lang w:val="fr"/>
        </w:rPr>
        <w:t>’</w:t>
      </w:r>
      <w:r w:rsidR="007D2B08">
        <w:rPr>
          <w:lang w:val="fr"/>
        </w:rPr>
        <w:t>utilisation de la Liste de sauvegarde urgente et du Registre de bonnes pratiques de sauvegarde. Cette approche tendrait alors à favoriser une représentation équilibrée sur les listes.</w:t>
      </w:r>
    </w:p>
    <w:p w14:paraId="22E5F62F" w14:textId="24FE43EC" w:rsidR="007D2B08" w:rsidRPr="00EF2D6F" w:rsidRDefault="00EF2D6F" w:rsidP="00EF2D6F">
      <w:pPr>
        <w:spacing w:after="0"/>
        <w:rPr>
          <w:rFonts w:ascii="Arial" w:hAnsi="Arial" w:cs="Arial"/>
          <w:snapToGrid w:val="0"/>
          <w:szCs w:val="22"/>
          <w:lang w:val="fr" w:eastAsia="en-US"/>
        </w:rPr>
      </w:pPr>
      <w:r>
        <w:rPr>
          <w:lang w:val="fr"/>
        </w:rPr>
        <w:br w:type="page"/>
      </w:r>
    </w:p>
    <w:p w14:paraId="51E515BF" w14:textId="5C802444" w:rsidR="00F9426D" w:rsidRPr="00561AE0" w:rsidRDefault="00F9426D" w:rsidP="00561AE0">
      <w:pPr>
        <w:pStyle w:val="1GAPara"/>
        <w:pBdr>
          <w:top w:val="single" w:sz="4" w:space="1" w:color="auto"/>
          <w:left w:val="single" w:sz="4" w:space="4" w:color="auto"/>
          <w:bottom w:val="single" w:sz="4" w:space="1" w:color="auto"/>
          <w:right w:val="single" w:sz="4" w:space="4" w:color="auto"/>
        </w:pBdr>
        <w:shd w:val="clear" w:color="auto" w:fill="B6DDE8" w:themeFill="accent5" w:themeFillTint="66"/>
        <w:spacing w:before="120"/>
        <w:ind w:left="567"/>
        <w:jc w:val="both"/>
        <w:rPr>
          <w:lang w:val="fr"/>
        </w:rPr>
      </w:pPr>
      <w:r>
        <w:rPr>
          <w:lang w:val="fr"/>
        </w:rPr>
        <w:lastRenderedPageBreak/>
        <w:t>Option B : Fixer le plafond annuel à un nombre supérieur à soixante dossiers par an</w:t>
      </w:r>
    </w:p>
    <w:p w14:paraId="1B52E6D8" w14:textId="68604FDF" w:rsidR="007D2B08" w:rsidRPr="00DF06A3" w:rsidRDefault="007D2B08" w:rsidP="00561AE0">
      <w:pPr>
        <w:pStyle w:val="1GAPara"/>
        <w:spacing w:before="240"/>
        <w:ind w:left="714" w:hanging="147"/>
        <w:jc w:val="both"/>
        <w:rPr>
          <w:u w:val="single"/>
        </w:rPr>
      </w:pPr>
      <w:r>
        <w:rPr>
          <w:u w:val="single"/>
          <w:lang w:val="fr"/>
        </w:rPr>
        <w:t>Quelles seraient les implications ?</w:t>
      </w:r>
    </w:p>
    <w:p w14:paraId="566EB4B3" w14:textId="3B58FA2E" w:rsidR="007D2B08" w:rsidRPr="00EC30E9" w:rsidRDefault="007D2B08" w:rsidP="007D2B08">
      <w:pPr>
        <w:pStyle w:val="1GAPara"/>
        <w:numPr>
          <w:ilvl w:val="0"/>
          <w:numId w:val="3"/>
        </w:numPr>
        <w:spacing w:before="120"/>
        <w:ind w:left="567" w:hanging="567"/>
        <w:jc w:val="both"/>
        <w:rPr>
          <w:lang w:val="fr-FR"/>
        </w:rPr>
      </w:pPr>
      <w:r>
        <w:rPr>
          <w:lang w:val="fr"/>
        </w:rPr>
        <w:t>Certains États parties ont proposé d</w:t>
      </w:r>
      <w:r w:rsidR="00244CEA">
        <w:rPr>
          <w:lang w:val="fr"/>
        </w:rPr>
        <w:t>’</w:t>
      </w:r>
      <w:r>
        <w:rPr>
          <w:lang w:val="fr"/>
        </w:rPr>
        <w:t>augmenter considérablement ou légèrement le nombre de dossiers à traiter par cycle, tandis que d</w:t>
      </w:r>
      <w:r w:rsidR="00244CEA">
        <w:rPr>
          <w:lang w:val="fr"/>
        </w:rPr>
        <w:t>’</w:t>
      </w:r>
      <w:r>
        <w:rPr>
          <w:lang w:val="fr"/>
        </w:rPr>
        <w:t>autres ont mis en garde contre le fait de mettre trop l</w:t>
      </w:r>
      <w:r w:rsidR="00244CEA">
        <w:rPr>
          <w:lang w:val="fr"/>
        </w:rPr>
        <w:t>’</w:t>
      </w:r>
      <w:r>
        <w:rPr>
          <w:lang w:val="fr"/>
        </w:rPr>
        <w:t>accent sur le système d</w:t>
      </w:r>
      <w:r w:rsidR="00244CEA">
        <w:rPr>
          <w:lang w:val="fr"/>
        </w:rPr>
        <w:t>’</w:t>
      </w:r>
      <w:r>
        <w:rPr>
          <w:lang w:val="fr"/>
        </w:rPr>
        <w:t>inscription sur les listes au détriment d</w:t>
      </w:r>
      <w:r w:rsidR="00244CEA">
        <w:rPr>
          <w:lang w:val="fr"/>
        </w:rPr>
        <w:t>’</w:t>
      </w:r>
      <w:r>
        <w:rPr>
          <w:lang w:val="fr"/>
        </w:rPr>
        <w:t>autres opérations de sauvegarde sur lesquelles la Convention de 2003 devrait se concentrer. En discutant de cette question, la Convention se trouve à un carrefour important qui déterminera son orientation future, dans le sens de l</w:t>
      </w:r>
      <w:r w:rsidR="00244CEA">
        <w:rPr>
          <w:lang w:val="fr"/>
        </w:rPr>
        <w:t>’</w:t>
      </w:r>
      <w:r>
        <w:rPr>
          <w:lang w:val="fr"/>
        </w:rPr>
        <w:t>évaluation d</w:t>
      </w:r>
      <w:r w:rsidR="00244CEA">
        <w:rPr>
          <w:lang w:val="fr"/>
        </w:rPr>
        <w:t>’</w:t>
      </w:r>
      <w:r>
        <w:rPr>
          <w:lang w:val="fr"/>
        </w:rPr>
        <w:t>IOS 2021 (voir paragraphe 13) qui soulignait la nécessité pour les organes directeurs de la Convention de clarifier les domaines prioritaires à poursuivre.</w:t>
      </w:r>
    </w:p>
    <w:p w14:paraId="701714C3" w14:textId="70C77594" w:rsidR="007D2B08" w:rsidRPr="00EC30E9" w:rsidRDefault="007D2B08" w:rsidP="007D2B08">
      <w:pPr>
        <w:pStyle w:val="1GAPara"/>
        <w:numPr>
          <w:ilvl w:val="0"/>
          <w:numId w:val="3"/>
        </w:numPr>
        <w:spacing w:before="120"/>
        <w:ind w:left="567" w:hanging="567"/>
        <w:jc w:val="both"/>
        <w:rPr>
          <w:lang w:val="fr-FR"/>
        </w:rPr>
      </w:pPr>
      <w:r>
        <w:rPr>
          <w:lang w:val="fr"/>
        </w:rPr>
        <w:t xml:space="preserve">Le plafond appliqué au système </w:t>
      </w:r>
      <w:r w:rsidR="00840388">
        <w:rPr>
          <w:lang w:val="fr"/>
        </w:rPr>
        <w:t>d’inscription sur les Listes</w:t>
      </w:r>
      <w:r>
        <w:rPr>
          <w:lang w:val="fr"/>
        </w:rPr>
        <w:t xml:space="preserve"> n</w:t>
      </w:r>
      <w:r w:rsidR="00244CEA">
        <w:rPr>
          <w:lang w:val="fr"/>
        </w:rPr>
        <w:t>’</w:t>
      </w:r>
      <w:r>
        <w:rPr>
          <w:lang w:val="fr"/>
        </w:rPr>
        <w:t>a cessé d</w:t>
      </w:r>
      <w:r w:rsidR="00244CEA">
        <w:rPr>
          <w:lang w:val="fr"/>
        </w:rPr>
        <w:t>’</w:t>
      </w:r>
      <w:r>
        <w:rPr>
          <w:lang w:val="fr"/>
        </w:rPr>
        <w:t xml:space="preserve">augmenter, passant de cinquante dossiers par cycle à « au moins cinquante-cinq » dossiers, puis, plus récemment, à soixante dossiers </w:t>
      </w:r>
      <w:r>
        <w:rPr>
          <w:i/>
          <w:iCs/>
          <w:lang w:val="fr"/>
        </w:rPr>
        <w:t>de facto</w:t>
      </w:r>
      <w:r>
        <w:rPr>
          <w:lang w:val="fr"/>
        </w:rPr>
        <w:t>. Il faut considérer que la proportion de dossiers multinationaux est en augmentation et que ces dossiers dépassent généralement de manière significative les dossiers nationaux en termes de charge de travail. En d</w:t>
      </w:r>
      <w:r w:rsidR="00244CEA">
        <w:rPr>
          <w:lang w:val="fr"/>
        </w:rPr>
        <w:t>’</w:t>
      </w:r>
      <w:r>
        <w:rPr>
          <w:lang w:val="fr"/>
        </w:rPr>
        <w:t xml:space="preserve">autres termes, soixante dossiers par cycle </w:t>
      </w:r>
      <w:proofErr w:type="gramStart"/>
      <w:r>
        <w:rPr>
          <w:lang w:val="fr"/>
        </w:rPr>
        <w:t>représente</w:t>
      </w:r>
      <w:proofErr w:type="gramEnd"/>
      <w:r>
        <w:rPr>
          <w:lang w:val="fr"/>
        </w:rPr>
        <w:t xml:space="preserve"> une limite stricte ; si un plafond plus élevé devait être adopté, il faudrait prévoir des changements radicaux dans le système actuel.</w:t>
      </w:r>
    </w:p>
    <w:p w14:paraId="40845F98" w14:textId="4373AD7C" w:rsidR="007D2B08" w:rsidRPr="00E46393" w:rsidRDefault="007D2B08" w:rsidP="007D2B08">
      <w:pPr>
        <w:pStyle w:val="1GAPara"/>
        <w:numPr>
          <w:ilvl w:val="0"/>
          <w:numId w:val="3"/>
        </w:numPr>
        <w:spacing w:before="120"/>
        <w:ind w:left="567" w:hanging="567"/>
        <w:jc w:val="both"/>
        <w:rPr>
          <w:lang w:val="fr-FR"/>
        </w:rPr>
      </w:pPr>
      <w:r w:rsidRPr="00E46393">
        <w:rPr>
          <w:lang w:val="fr"/>
        </w:rPr>
        <w:t>Si le mécanisme actuel reste inchangé, l</w:t>
      </w:r>
      <w:r w:rsidR="00244CEA" w:rsidRPr="00E46393">
        <w:rPr>
          <w:lang w:val="fr"/>
        </w:rPr>
        <w:t>’</w:t>
      </w:r>
      <w:r w:rsidRPr="00B714AB">
        <w:rPr>
          <w:lang w:val="fr"/>
        </w:rPr>
        <w:t>augm</w:t>
      </w:r>
      <w:r w:rsidRPr="004357D2">
        <w:rPr>
          <w:lang w:val="fr"/>
        </w:rPr>
        <w:t>entation du nombre de dossiers à traiter entraînerait également une augmentation proportionnelle des dépenses (d</w:t>
      </w:r>
      <w:r w:rsidR="00244CEA" w:rsidRPr="00E46393">
        <w:rPr>
          <w:lang w:val="fr"/>
        </w:rPr>
        <w:t>’</w:t>
      </w:r>
      <w:r w:rsidRPr="00E46393">
        <w:rPr>
          <w:lang w:val="fr"/>
        </w:rPr>
        <w:t xml:space="preserve">environ 1 à 1,2 million </w:t>
      </w:r>
      <w:r w:rsidR="00BA1F8B" w:rsidRPr="007F5EB2">
        <w:rPr>
          <w:lang w:val="fr"/>
        </w:rPr>
        <w:t>de dollars des États-Unis</w:t>
      </w:r>
      <w:r w:rsidR="00BA1F8B" w:rsidRPr="00E46393">
        <w:rPr>
          <w:lang w:val="fr"/>
        </w:rPr>
        <w:t xml:space="preserve"> </w:t>
      </w:r>
      <w:r w:rsidRPr="00B714AB">
        <w:rPr>
          <w:lang w:val="fr"/>
        </w:rPr>
        <w:t>pour soixante dossiers, d</w:t>
      </w:r>
      <w:r w:rsidR="00244CEA" w:rsidRPr="004357D2">
        <w:rPr>
          <w:lang w:val="fr"/>
        </w:rPr>
        <w:t>’</w:t>
      </w:r>
      <w:r w:rsidRPr="004357D2">
        <w:rPr>
          <w:lang w:val="fr"/>
        </w:rPr>
        <w:t xml:space="preserve">environ 1,25 à 1,56 million </w:t>
      </w:r>
      <w:r w:rsidR="00BA1F8B" w:rsidRPr="007F5EB2">
        <w:rPr>
          <w:lang w:val="fr"/>
        </w:rPr>
        <w:t>de dollars des États-Unis</w:t>
      </w:r>
      <w:r w:rsidRPr="00E46393">
        <w:rPr>
          <w:lang w:val="fr"/>
        </w:rPr>
        <w:t xml:space="preserve"> pour soixante-quinze dossiers, et d</w:t>
      </w:r>
      <w:r w:rsidR="00244CEA" w:rsidRPr="00E46393">
        <w:rPr>
          <w:lang w:val="fr"/>
        </w:rPr>
        <w:t>’</w:t>
      </w:r>
      <w:r w:rsidRPr="00E46393">
        <w:rPr>
          <w:lang w:val="fr"/>
        </w:rPr>
        <w:t xml:space="preserve">environ 1,5 à 1,8 million </w:t>
      </w:r>
      <w:r w:rsidR="00BA1F8B" w:rsidRPr="007F5EB2">
        <w:rPr>
          <w:lang w:val="fr"/>
        </w:rPr>
        <w:t>de dollars des États-Unis</w:t>
      </w:r>
      <w:r w:rsidRPr="00E46393">
        <w:rPr>
          <w:lang w:val="fr"/>
        </w:rPr>
        <w:t xml:space="preserve"> pour quatre-vingt-dix dossiers ; voir paragraphe 9.c ci-dessus). Cette augmentation des dépenses peut être difficile à justifier, et une question difficile à résoudre serait </w:t>
      </w:r>
      <w:r w:rsidR="00840388" w:rsidRPr="00E46393">
        <w:rPr>
          <w:lang w:val="fr"/>
        </w:rPr>
        <w:t>d’identifier les ressources des activités qui devraient être réduites afin de financer cette augmentation.</w:t>
      </w:r>
    </w:p>
    <w:p w14:paraId="315433A5" w14:textId="23A6C677" w:rsidR="007D2B08" w:rsidRPr="00EC30E9" w:rsidRDefault="007D2B08" w:rsidP="007D2B08">
      <w:pPr>
        <w:pStyle w:val="1GAPara"/>
        <w:numPr>
          <w:ilvl w:val="0"/>
          <w:numId w:val="3"/>
        </w:numPr>
        <w:spacing w:before="120"/>
        <w:ind w:left="567" w:hanging="567"/>
        <w:jc w:val="both"/>
        <w:rPr>
          <w:lang w:val="fr-FR"/>
        </w:rPr>
      </w:pPr>
      <w:r>
        <w:rPr>
          <w:lang w:val="fr"/>
        </w:rPr>
        <w:t>En outre, si le plafond annuel de dossiers devait être fixé à plus de soixante dossiers par an, il ne serait plus possible de s</w:t>
      </w:r>
      <w:r w:rsidR="00244CEA">
        <w:rPr>
          <w:lang w:val="fr"/>
        </w:rPr>
        <w:t>’</w:t>
      </w:r>
      <w:r>
        <w:rPr>
          <w:lang w:val="fr"/>
        </w:rPr>
        <w:t>appuyer sur la méthodologie de travail actuelle de l</w:t>
      </w:r>
      <w:r w:rsidR="00244CEA">
        <w:rPr>
          <w:lang w:val="fr"/>
        </w:rPr>
        <w:t>’</w:t>
      </w:r>
      <w:r>
        <w:rPr>
          <w:lang w:val="fr"/>
        </w:rPr>
        <w:t>Organe d</w:t>
      </w:r>
      <w:r w:rsidR="00244CEA">
        <w:rPr>
          <w:lang w:val="fr"/>
        </w:rPr>
        <w:t>’</w:t>
      </w:r>
      <w:r>
        <w:rPr>
          <w:lang w:val="fr"/>
        </w:rPr>
        <w:t>évaluation. Augmenter le nombre de membres de l</w:t>
      </w:r>
      <w:r w:rsidR="00244CEA">
        <w:rPr>
          <w:lang w:val="fr"/>
        </w:rPr>
        <w:t>’</w:t>
      </w:r>
      <w:r>
        <w:rPr>
          <w:lang w:val="fr"/>
        </w:rPr>
        <w:t>Organe d</w:t>
      </w:r>
      <w:r w:rsidR="00244CEA">
        <w:rPr>
          <w:lang w:val="fr"/>
        </w:rPr>
        <w:t>’</w:t>
      </w:r>
      <w:r>
        <w:rPr>
          <w:lang w:val="fr"/>
        </w:rPr>
        <w:t>évaluation ou le diviser pour permettre à l</w:t>
      </w:r>
      <w:r w:rsidR="00244CEA">
        <w:rPr>
          <w:lang w:val="fr"/>
        </w:rPr>
        <w:t>’</w:t>
      </w:r>
      <w:r>
        <w:rPr>
          <w:lang w:val="fr"/>
        </w:rPr>
        <w:t>Organe de travailler en groupes parallèles augmenterait le risque d</w:t>
      </w:r>
      <w:r w:rsidR="00244CEA">
        <w:rPr>
          <w:lang w:val="fr"/>
        </w:rPr>
        <w:t>’</w:t>
      </w:r>
      <w:r>
        <w:rPr>
          <w:lang w:val="fr"/>
        </w:rPr>
        <w:t>évaluations incohérentes au sein d</w:t>
      </w:r>
      <w:r w:rsidR="00244CEA">
        <w:rPr>
          <w:lang w:val="fr"/>
        </w:rPr>
        <w:t>’</w:t>
      </w:r>
      <w:r>
        <w:rPr>
          <w:lang w:val="fr"/>
        </w:rPr>
        <w:t>un cycle. Les contraintes de temps liées au calendrier d</w:t>
      </w:r>
      <w:r w:rsidR="00244CEA">
        <w:rPr>
          <w:lang w:val="fr"/>
        </w:rPr>
        <w:t>’</w:t>
      </w:r>
      <w:r>
        <w:rPr>
          <w:lang w:val="fr"/>
        </w:rPr>
        <w:t xml:space="preserve">évaluation et la capacité </w:t>
      </w:r>
      <w:r w:rsidR="00840388">
        <w:rPr>
          <w:lang w:val="fr"/>
        </w:rPr>
        <w:t>actuelle</w:t>
      </w:r>
      <w:r>
        <w:rPr>
          <w:lang w:val="fr"/>
        </w:rPr>
        <w:t xml:space="preserve"> du Secrétariat signifient que le Secrétariat ne serait pas en mesure de soutenir </w:t>
      </w:r>
      <w:r>
        <w:rPr>
          <w:rFonts w:asciiTheme="minorBidi" w:hAnsiTheme="minorBidi"/>
          <w:lang w:val="fr"/>
        </w:rPr>
        <w:t xml:space="preserve">deux </w:t>
      </w:r>
      <w:r>
        <w:rPr>
          <w:lang w:val="fr"/>
        </w:rPr>
        <w:t>groupes de l</w:t>
      </w:r>
      <w:r w:rsidR="00244CEA">
        <w:rPr>
          <w:lang w:val="fr"/>
        </w:rPr>
        <w:t>’</w:t>
      </w:r>
      <w:r>
        <w:rPr>
          <w:lang w:val="fr"/>
        </w:rPr>
        <w:t>Organe d</w:t>
      </w:r>
      <w:r w:rsidR="00244CEA">
        <w:rPr>
          <w:lang w:val="fr"/>
        </w:rPr>
        <w:t>’</w:t>
      </w:r>
      <w:r>
        <w:rPr>
          <w:lang w:val="fr"/>
        </w:rPr>
        <w:t>évaluation en même temps. Il serait alors probablement nécessaire d</w:t>
      </w:r>
      <w:r w:rsidR="00244CEA">
        <w:rPr>
          <w:lang w:val="fr"/>
        </w:rPr>
        <w:t>’</w:t>
      </w:r>
      <w:r>
        <w:rPr>
          <w:u w:val="single"/>
          <w:lang w:val="fr"/>
        </w:rPr>
        <w:t>externaliser</w:t>
      </w:r>
      <w:r w:rsidRPr="00561AE0">
        <w:rPr>
          <w:lang w:val="fr"/>
        </w:rPr>
        <w:t xml:space="preserve"> le</w:t>
      </w:r>
      <w:r>
        <w:rPr>
          <w:lang w:val="fr"/>
        </w:rPr>
        <w:t xml:space="preserve"> travail</w:t>
      </w:r>
      <w:r w:rsidR="00A4430F">
        <w:rPr>
          <w:lang w:val="fr"/>
        </w:rPr>
        <w:t xml:space="preserve"> (voir paragraphe 9.c)</w:t>
      </w:r>
      <w:r>
        <w:rPr>
          <w:lang w:val="fr"/>
        </w:rPr>
        <w:t>, par le biais d</w:t>
      </w:r>
      <w:r w:rsidR="00244CEA">
        <w:rPr>
          <w:lang w:val="fr"/>
        </w:rPr>
        <w:t>’</w:t>
      </w:r>
      <w:r>
        <w:rPr>
          <w:lang w:val="fr"/>
        </w:rPr>
        <w:t xml:space="preserve">une plateforme de coordination et sans le soutien administratif </w:t>
      </w:r>
      <w:r w:rsidRPr="00561AE0">
        <w:rPr>
          <w:lang w:val="fr"/>
        </w:rPr>
        <w:t>et substantiel</w:t>
      </w:r>
      <w:r w:rsidRPr="00AE5232">
        <w:rPr>
          <w:lang w:val="fr"/>
        </w:rPr>
        <w:t xml:space="preserve"> qui</w:t>
      </w:r>
      <w:r>
        <w:rPr>
          <w:lang w:val="fr"/>
        </w:rPr>
        <w:t xml:space="preserve"> est normalement fourni à l</w:t>
      </w:r>
      <w:r w:rsidR="00244CEA">
        <w:rPr>
          <w:lang w:val="fr"/>
        </w:rPr>
        <w:t>’</w:t>
      </w:r>
      <w:r>
        <w:rPr>
          <w:lang w:val="fr"/>
        </w:rPr>
        <w:t>Organe d</w:t>
      </w:r>
      <w:r w:rsidR="00244CEA">
        <w:rPr>
          <w:lang w:val="fr"/>
        </w:rPr>
        <w:t>’</w:t>
      </w:r>
      <w:r>
        <w:rPr>
          <w:lang w:val="fr"/>
        </w:rPr>
        <w:t>évaluation par le Secrétariat, y compris l</w:t>
      </w:r>
      <w:r w:rsidR="00244CEA">
        <w:rPr>
          <w:lang w:val="fr"/>
        </w:rPr>
        <w:t>’</w:t>
      </w:r>
      <w:r>
        <w:rPr>
          <w:lang w:val="fr"/>
        </w:rPr>
        <w:t>aide à la préparation des recommandations de l</w:t>
      </w:r>
      <w:r w:rsidR="00244CEA">
        <w:rPr>
          <w:lang w:val="fr"/>
        </w:rPr>
        <w:t>’</w:t>
      </w:r>
      <w:r>
        <w:rPr>
          <w:lang w:val="fr"/>
        </w:rPr>
        <w:t>Organe d</w:t>
      </w:r>
      <w:r w:rsidR="00244CEA">
        <w:rPr>
          <w:lang w:val="fr"/>
        </w:rPr>
        <w:t>’</w:t>
      </w:r>
      <w:r>
        <w:rPr>
          <w:lang w:val="fr"/>
        </w:rPr>
        <w:t>évaluation.</w:t>
      </w:r>
    </w:p>
    <w:p w14:paraId="064E0A3A" w14:textId="7D737489" w:rsidR="007D2B08" w:rsidRPr="00EC30E9" w:rsidRDefault="007D2B08" w:rsidP="007D2B08">
      <w:pPr>
        <w:pStyle w:val="1GAPara"/>
        <w:numPr>
          <w:ilvl w:val="0"/>
          <w:numId w:val="3"/>
        </w:numPr>
        <w:spacing w:before="120"/>
        <w:ind w:left="567" w:hanging="567"/>
        <w:jc w:val="both"/>
        <w:rPr>
          <w:rFonts w:asciiTheme="minorBidi" w:hAnsiTheme="minorBidi" w:cstheme="minorBidi"/>
          <w:lang w:val="fr-FR"/>
        </w:rPr>
      </w:pPr>
      <w:r>
        <w:rPr>
          <w:lang w:val="fr"/>
        </w:rPr>
        <w:t xml:space="preserve">Dans ce scénario, </w:t>
      </w:r>
      <w:r w:rsidR="00A4430F">
        <w:rPr>
          <w:lang w:val="fr"/>
        </w:rPr>
        <w:t>l</w:t>
      </w:r>
      <w:r>
        <w:rPr>
          <w:rFonts w:asciiTheme="minorBidi" w:hAnsiTheme="minorBidi"/>
          <w:lang w:val="fr"/>
        </w:rPr>
        <w:t>es priorités actuelles de financement (</w:t>
      </w:r>
      <w:r w:rsidR="00A4430F" w:rsidRPr="00561AE0">
        <w:rPr>
          <w:lang w:val="fr-FR"/>
        </w:rPr>
        <w:t xml:space="preserve">décision </w:t>
      </w:r>
      <w:hyperlink r:id="rId17" w:history="1">
        <w:r w:rsidR="00A4430F" w:rsidRPr="00830A0D">
          <w:rPr>
            <w:rStyle w:val="Lienhypertexte"/>
            <w:rFonts w:asciiTheme="minorBidi" w:hAnsiTheme="minorBidi" w:cstheme="minorBidi"/>
            <w:lang w:val="fr"/>
          </w:rPr>
          <w:t>16.COM 12</w:t>
        </w:r>
      </w:hyperlink>
      <w:r>
        <w:rPr>
          <w:rFonts w:asciiTheme="minorBidi" w:hAnsiTheme="minorBidi"/>
          <w:lang w:val="fr"/>
        </w:rPr>
        <w:t>) de la Convention devraient certainement être redéfinies. Par ailleurs, il serait nécessaire d</w:t>
      </w:r>
      <w:r w:rsidR="00244CEA">
        <w:rPr>
          <w:rFonts w:asciiTheme="minorBidi" w:hAnsiTheme="minorBidi"/>
          <w:lang w:val="fr"/>
        </w:rPr>
        <w:t>’</w:t>
      </w:r>
      <w:r>
        <w:rPr>
          <w:rFonts w:asciiTheme="minorBidi" w:hAnsiTheme="minorBidi"/>
          <w:lang w:val="fr"/>
        </w:rPr>
        <w:t xml:space="preserve">augmenter considérablement la capacité des ressources humaines du Secrétariat </w:t>
      </w:r>
      <w:r w:rsidR="0063527F">
        <w:rPr>
          <w:rFonts w:asciiTheme="minorBidi" w:hAnsiTheme="minorBidi"/>
          <w:lang w:val="fr"/>
        </w:rPr>
        <w:t>pour</w:t>
      </w:r>
      <w:r>
        <w:rPr>
          <w:rFonts w:asciiTheme="minorBidi" w:hAnsiTheme="minorBidi"/>
          <w:lang w:val="fr"/>
        </w:rPr>
        <w:t xml:space="preserve"> maintenir toutes les opérations actuelles.</w:t>
      </w:r>
    </w:p>
    <w:p w14:paraId="7AEAF8E8" w14:textId="216C5099" w:rsidR="007D2B08" w:rsidRPr="00DF06A3" w:rsidRDefault="007D2B08" w:rsidP="00561AE0">
      <w:pPr>
        <w:pStyle w:val="1GAPara"/>
        <w:keepNext/>
        <w:spacing w:before="120"/>
        <w:ind w:left="720" w:hanging="153"/>
        <w:jc w:val="both"/>
        <w:rPr>
          <w:u w:val="single"/>
        </w:rPr>
      </w:pPr>
      <w:r>
        <w:rPr>
          <w:u w:val="single"/>
          <w:lang w:val="fr"/>
        </w:rPr>
        <w:t>L</w:t>
      </w:r>
      <w:r w:rsidR="00244CEA">
        <w:rPr>
          <w:u w:val="single"/>
          <w:lang w:val="fr"/>
        </w:rPr>
        <w:t>’</w:t>
      </w:r>
      <w:r>
        <w:rPr>
          <w:u w:val="single"/>
          <w:lang w:val="fr"/>
        </w:rPr>
        <w:t>ordre de priorité</w:t>
      </w:r>
    </w:p>
    <w:p w14:paraId="235BD212" w14:textId="45EA0FD4" w:rsidR="00EF2D6F" w:rsidRDefault="007D2B08" w:rsidP="007F5EB2">
      <w:pPr>
        <w:pStyle w:val="1GAPara"/>
        <w:keepNext/>
        <w:numPr>
          <w:ilvl w:val="0"/>
          <w:numId w:val="3"/>
        </w:numPr>
        <w:spacing w:after="240"/>
        <w:ind w:left="567" w:hanging="567"/>
        <w:jc w:val="both"/>
        <w:rPr>
          <w:lang w:val="fr"/>
        </w:rPr>
      </w:pPr>
      <w:r>
        <w:rPr>
          <w:lang w:val="fr"/>
        </w:rPr>
        <w:t>Dans ce scénario, le plafond et l</w:t>
      </w:r>
      <w:r w:rsidR="00244CEA">
        <w:rPr>
          <w:lang w:val="fr"/>
        </w:rPr>
        <w:t>’</w:t>
      </w:r>
      <w:r>
        <w:rPr>
          <w:lang w:val="fr"/>
        </w:rPr>
        <w:t>ordre des priorités devront être examinés selon que l</w:t>
      </w:r>
      <w:r w:rsidR="00244CEA">
        <w:rPr>
          <w:lang w:val="fr"/>
        </w:rPr>
        <w:t>’</w:t>
      </w:r>
      <w:r>
        <w:rPr>
          <w:lang w:val="fr"/>
        </w:rPr>
        <w:t xml:space="preserve">augmentation proposée est de nature légère ou considérable. En théorie, le système actuel de hiérarchisation des priorités pourrait être maintenu si le plafond </w:t>
      </w:r>
      <w:r w:rsidR="00AE5232">
        <w:rPr>
          <w:lang w:val="fr"/>
        </w:rPr>
        <w:t xml:space="preserve">augmentait </w:t>
      </w:r>
      <w:r>
        <w:rPr>
          <w:lang w:val="fr"/>
        </w:rPr>
        <w:t xml:space="preserve">considérablement, car les </w:t>
      </w:r>
      <w:r w:rsidRPr="00AE5232">
        <w:rPr>
          <w:lang w:val="fr"/>
        </w:rPr>
        <w:t xml:space="preserve">nouvelles « places » absorberaient </w:t>
      </w:r>
      <w:r w:rsidRPr="000820FA">
        <w:rPr>
          <w:lang w:val="fr"/>
        </w:rPr>
        <w:t xml:space="preserve">le nombre croissant de soumissions nationales et multinationales. </w:t>
      </w:r>
      <w:r w:rsidRPr="00561AE0">
        <w:rPr>
          <w:lang w:val="fr"/>
        </w:rPr>
        <w:t>Il serait possible d</w:t>
      </w:r>
      <w:r w:rsidR="00244CEA" w:rsidRPr="00561AE0">
        <w:rPr>
          <w:lang w:val="fr"/>
        </w:rPr>
        <w:t>’</w:t>
      </w:r>
      <w:r w:rsidRPr="00561AE0">
        <w:rPr>
          <w:lang w:val="fr"/>
        </w:rPr>
        <w:t>envisager</w:t>
      </w:r>
      <w:r w:rsidRPr="00AE5232">
        <w:rPr>
          <w:lang w:val="fr"/>
        </w:rPr>
        <w:t xml:space="preserve"> l</w:t>
      </w:r>
      <w:r w:rsidR="00244CEA" w:rsidRPr="000820FA">
        <w:rPr>
          <w:lang w:val="fr"/>
        </w:rPr>
        <w:t>’</w:t>
      </w:r>
      <w:r w:rsidRPr="000820FA">
        <w:rPr>
          <w:lang w:val="fr"/>
        </w:rPr>
        <w:t>ajustement de l</w:t>
      </w:r>
      <w:r w:rsidR="00244CEA" w:rsidRPr="000820FA">
        <w:rPr>
          <w:lang w:val="fr"/>
        </w:rPr>
        <w:t>’</w:t>
      </w:r>
      <w:r w:rsidRPr="000820FA">
        <w:rPr>
          <w:lang w:val="fr"/>
        </w:rPr>
        <w:t xml:space="preserve">ordre de priorité dans le sens du </w:t>
      </w:r>
      <w:r w:rsidR="00AE5232" w:rsidRPr="000820FA">
        <w:rPr>
          <w:lang w:val="fr"/>
        </w:rPr>
        <w:t xml:space="preserve">sujet </w:t>
      </w:r>
      <w:r w:rsidRPr="000820FA">
        <w:rPr>
          <w:lang w:val="fr"/>
        </w:rPr>
        <w:t>2 de la réflexion (</w:t>
      </w:r>
      <w:r w:rsidRPr="00561AE0">
        <w:rPr>
          <w:lang w:val="fr"/>
        </w:rPr>
        <w:t>augmenter l</w:t>
      </w:r>
      <w:r w:rsidR="00244CEA" w:rsidRPr="00561AE0">
        <w:rPr>
          <w:lang w:val="fr"/>
        </w:rPr>
        <w:t>’</w:t>
      </w:r>
      <w:r w:rsidRPr="00561AE0">
        <w:rPr>
          <w:lang w:val="fr"/>
        </w:rPr>
        <w:t xml:space="preserve">intervalle de la priorité (0) de deux à trois ans, tout en alternant entre une </w:t>
      </w:r>
      <w:r w:rsidR="00AE5232" w:rsidRPr="00561AE0">
        <w:rPr>
          <w:lang w:val="fr"/>
        </w:rPr>
        <w:t xml:space="preserve">candidature </w:t>
      </w:r>
      <w:r w:rsidRPr="00561AE0">
        <w:rPr>
          <w:lang w:val="fr"/>
        </w:rPr>
        <w:t>sur la liste représentative et la Liste de sauvegarde urgente ou le Registre des bonnes pratiques de sauvegarde</w:t>
      </w:r>
      <w:r w:rsidRPr="00AE5232">
        <w:rPr>
          <w:lang w:val="fr"/>
        </w:rPr>
        <w:t xml:space="preserve">). </w:t>
      </w:r>
      <w:r w:rsidRPr="004357D2">
        <w:rPr>
          <w:lang w:val="fr"/>
        </w:rPr>
        <w:t>Toutefois, si l</w:t>
      </w:r>
      <w:r w:rsidR="00244CEA" w:rsidRPr="00992DB6">
        <w:rPr>
          <w:lang w:val="fr"/>
        </w:rPr>
        <w:t>’</w:t>
      </w:r>
      <w:r w:rsidRPr="00410575">
        <w:rPr>
          <w:lang w:val="fr"/>
        </w:rPr>
        <w:t>augmentation est modeste, il peut être nécessaire de procéder à des ajustements en choisissant l</w:t>
      </w:r>
      <w:r w:rsidR="00244CEA" w:rsidRPr="004357D2">
        <w:rPr>
          <w:lang w:val="fr"/>
        </w:rPr>
        <w:t>’</w:t>
      </w:r>
      <w:r w:rsidRPr="004357D2">
        <w:rPr>
          <w:lang w:val="fr"/>
        </w:rPr>
        <w:t xml:space="preserve">une des </w:t>
      </w:r>
      <w:r w:rsidR="0063527F" w:rsidRPr="007F5EB2">
        <w:rPr>
          <w:lang w:val="fr"/>
        </w:rPr>
        <w:t>deux</w:t>
      </w:r>
      <w:r w:rsidR="0063527F" w:rsidRPr="004357D2">
        <w:rPr>
          <w:lang w:val="fr"/>
        </w:rPr>
        <w:t xml:space="preserve"> </w:t>
      </w:r>
      <w:r w:rsidRPr="004357D2">
        <w:rPr>
          <w:lang w:val="fr"/>
        </w:rPr>
        <w:t>mesures propo</w:t>
      </w:r>
      <w:r w:rsidRPr="00992DB6">
        <w:rPr>
          <w:lang w:val="fr"/>
        </w:rPr>
        <w:t>sées pour l</w:t>
      </w:r>
      <w:r w:rsidR="00244CEA" w:rsidRPr="00410575">
        <w:rPr>
          <w:lang w:val="fr"/>
        </w:rPr>
        <w:t>’</w:t>
      </w:r>
      <w:r w:rsidRPr="004357D2">
        <w:rPr>
          <w:lang w:val="fr"/>
        </w:rPr>
        <w:t xml:space="preserve">option A (voir </w:t>
      </w:r>
      <w:r w:rsidR="00AE5232" w:rsidRPr="004357D2">
        <w:rPr>
          <w:lang w:val="fr"/>
        </w:rPr>
        <w:t xml:space="preserve">paragraphe </w:t>
      </w:r>
      <w:r w:rsidRPr="004357D2">
        <w:rPr>
          <w:lang w:val="fr"/>
        </w:rPr>
        <w:t>1</w:t>
      </w:r>
      <w:r w:rsidR="0063527F" w:rsidRPr="007F5EB2">
        <w:rPr>
          <w:lang w:val="fr"/>
        </w:rPr>
        <w:t>6</w:t>
      </w:r>
      <w:r w:rsidRPr="004357D2">
        <w:rPr>
          <w:lang w:val="fr"/>
        </w:rPr>
        <w:t>).</w:t>
      </w:r>
    </w:p>
    <w:p w14:paraId="60FC30D4" w14:textId="7D8A4666" w:rsidR="007D2B08" w:rsidRPr="00EF2D6F" w:rsidRDefault="00EF2D6F" w:rsidP="00EF2D6F">
      <w:pPr>
        <w:spacing w:after="0"/>
        <w:rPr>
          <w:rFonts w:ascii="Arial" w:hAnsi="Arial" w:cs="Arial"/>
          <w:snapToGrid w:val="0"/>
          <w:szCs w:val="22"/>
          <w:lang w:val="fr" w:eastAsia="en-US"/>
        </w:rPr>
      </w:pPr>
      <w:r>
        <w:rPr>
          <w:lang w:val="fr"/>
        </w:rPr>
        <w:br w:type="page"/>
      </w:r>
    </w:p>
    <w:p w14:paraId="7D86B17A" w14:textId="33538F14" w:rsidR="00F9426D" w:rsidRPr="00830A0D" w:rsidRDefault="00F9426D" w:rsidP="00561AE0">
      <w:pPr>
        <w:pStyle w:val="1GAPara"/>
        <w:pBdr>
          <w:top w:val="single" w:sz="4" w:space="1" w:color="auto"/>
          <w:left w:val="single" w:sz="4" w:space="4" w:color="auto"/>
          <w:bottom w:val="single" w:sz="4" w:space="1" w:color="auto"/>
          <w:right w:val="single" w:sz="4" w:space="4" w:color="auto"/>
        </w:pBdr>
        <w:shd w:val="clear" w:color="auto" w:fill="B6DDE8" w:themeFill="accent5" w:themeFillTint="66"/>
        <w:spacing w:before="120"/>
        <w:ind w:left="567"/>
        <w:jc w:val="both"/>
        <w:rPr>
          <w:lang w:val="fr"/>
        </w:rPr>
      </w:pPr>
      <w:r>
        <w:rPr>
          <w:lang w:val="fr"/>
        </w:rPr>
        <w:lastRenderedPageBreak/>
        <w:t>Considérations communes à l’option A et à l’option B</w:t>
      </w:r>
    </w:p>
    <w:p w14:paraId="0AFDDDD7" w14:textId="5CBD94F7" w:rsidR="007D2B08" w:rsidRPr="00EC30E9" w:rsidRDefault="007D2B08" w:rsidP="007D2B08">
      <w:pPr>
        <w:pStyle w:val="1GAPara"/>
        <w:numPr>
          <w:ilvl w:val="0"/>
          <w:numId w:val="3"/>
        </w:numPr>
        <w:spacing w:before="120"/>
        <w:ind w:left="567" w:hanging="567"/>
        <w:jc w:val="both"/>
        <w:rPr>
          <w:lang w:val="fr-FR"/>
        </w:rPr>
      </w:pPr>
      <w:r>
        <w:rPr>
          <w:lang w:val="fr"/>
        </w:rPr>
        <w:t>Que la limite par cycle reste à soixante dossiers ou qu</w:t>
      </w:r>
      <w:r w:rsidR="00244CEA">
        <w:rPr>
          <w:lang w:val="fr"/>
        </w:rPr>
        <w:t>’</w:t>
      </w:r>
      <w:r>
        <w:rPr>
          <w:lang w:val="fr"/>
        </w:rPr>
        <w:t xml:space="preserve">elle soit augmentée, </w:t>
      </w:r>
      <w:r>
        <w:rPr>
          <w:rFonts w:asciiTheme="minorBidi" w:hAnsiTheme="minorBidi"/>
          <w:lang w:val="fr"/>
        </w:rPr>
        <w:t>l</w:t>
      </w:r>
      <w:r w:rsidR="00244CEA">
        <w:rPr>
          <w:rFonts w:asciiTheme="minorBidi" w:hAnsiTheme="minorBidi"/>
          <w:lang w:val="fr"/>
        </w:rPr>
        <w:t>’</w:t>
      </w:r>
      <w:r>
        <w:rPr>
          <w:rFonts w:asciiTheme="minorBidi" w:hAnsiTheme="minorBidi"/>
          <w:lang w:val="fr"/>
        </w:rPr>
        <w:t xml:space="preserve">idée de </w:t>
      </w:r>
      <w:r>
        <w:rPr>
          <w:rFonts w:asciiTheme="minorBidi" w:hAnsiTheme="minorBidi"/>
          <w:u w:val="single"/>
          <w:lang w:val="fr"/>
        </w:rPr>
        <w:t>transférer toutes les demandes d</w:t>
      </w:r>
      <w:r w:rsidR="00244CEA">
        <w:rPr>
          <w:rFonts w:asciiTheme="minorBidi" w:hAnsiTheme="minorBidi"/>
          <w:u w:val="single"/>
          <w:lang w:val="fr"/>
        </w:rPr>
        <w:t>’</w:t>
      </w:r>
      <w:r>
        <w:rPr>
          <w:rFonts w:asciiTheme="minorBidi" w:hAnsiTheme="minorBidi"/>
          <w:u w:val="single"/>
          <w:lang w:val="fr"/>
        </w:rPr>
        <w:t xml:space="preserve">assistance internationale au Bureau du Comité </w:t>
      </w:r>
      <w:r>
        <w:rPr>
          <w:rFonts w:asciiTheme="minorBidi" w:hAnsiTheme="minorBidi"/>
          <w:lang w:val="fr"/>
        </w:rPr>
        <w:t xml:space="preserve">(Sujet 3) ne </w:t>
      </w:r>
      <w:r w:rsidR="00AE5232">
        <w:rPr>
          <w:rFonts w:asciiTheme="minorBidi" w:hAnsiTheme="minorBidi"/>
          <w:lang w:val="fr"/>
        </w:rPr>
        <w:t xml:space="preserve">serait pas problématique. </w:t>
      </w:r>
      <w:r>
        <w:rPr>
          <w:rFonts w:asciiTheme="minorBidi" w:hAnsiTheme="minorBidi"/>
          <w:lang w:val="fr"/>
        </w:rPr>
        <w:t>Toutefois, l</w:t>
      </w:r>
      <w:r w:rsidR="00244CEA">
        <w:rPr>
          <w:rFonts w:asciiTheme="minorBidi" w:hAnsiTheme="minorBidi"/>
          <w:lang w:val="fr"/>
        </w:rPr>
        <w:t>’</w:t>
      </w:r>
      <w:r>
        <w:rPr>
          <w:rFonts w:asciiTheme="minorBidi" w:hAnsiTheme="minorBidi"/>
          <w:lang w:val="fr"/>
        </w:rPr>
        <w:t xml:space="preserve">impact de cette mesure sur le système global de priorisation devrait être minime, puisque, ces dernières années, une moyenne de trois demandes de ce type a été reçue. Néanmoins, le groupe de travail est encouragé à suggérer de plafonner chaque demande à 100 000 dollars </w:t>
      </w:r>
      <w:r w:rsidR="00AE5232">
        <w:rPr>
          <w:rFonts w:asciiTheme="minorBidi" w:hAnsiTheme="minorBidi"/>
          <w:lang w:val="fr"/>
        </w:rPr>
        <w:t>des États-Unis</w:t>
      </w:r>
      <w:r>
        <w:rPr>
          <w:rFonts w:asciiTheme="minorBidi" w:hAnsiTheme="minorBidi"/>
          <w:lang w:val="fr"/>
        </w:rPr>
        <w:t xml:space="preserve"> (en accord avec le nombre de demandes que le Bureau est autorisé à examiner) afin de ne pas épuiser le Fonds du patrimoine culturel immatériel avec quelques demandes </w:t>
      </w:r>
      <w:r w:rsidR="0063527F">
        <w:rPr>
          <w:rFonts w:asciiTheme="minorBidi" w:hAnsiTheme="minorBidi"/>
          <w:lang w:val="fr"/>
        </w:rPr>
        <w:t>importantes</w:t>
      </w:r>
      <w:r>
        <w:rPr>
          <w:rFonts w:asciiTheme="minorBidi" w:hAnsiTheme="minorBidi"/>
          <w:lang w:val="fr"/>
        </w:rPr>
        <w:t>, sauf en cas d</w:t>
      </w:r>
      <w:r w:rsidR="00244CEA">
        <w:rPr>
          <w:rFonts w:asciiTheme="minorBidi" w:hAnsiTheme="minorBidi"/>
          <w:lang w:val="fr"/>
        </w:rPr>
        <w:t>’</w:t>
      </w:r>
      <w:r>
        <w:rPr>
          <w:rFonts w:asciiTheme="minorBidi" w:hAnsiTheme="minorBidi"/>
          <w:lang w:val="fr"/>
        </w:rPr>
        <w:t>urgence comme c</w:t>
      </w:r>
      <w:r w:rsidR="00244CEA">
        <w:rPr>
          <w:rFonts w:asciiTheme="minorBidi" w:hAnsiTheme="minorBidi"/>
          <w:lang w:val="fr"/>
        </w:rPr>
        <w:t>’</w:t>
      </w:r>
      <w:r>
        <w:rPr>
          <w:rFonts w:asciiTheme="minorBidi" w:hAnsiTheme="minorBidi"/>
          <w:lang w:val="fr"/>
        </w:rPr>
        <w:t>est le cas actuellement.</w:t>
      </w:r>
    </w:p>
    <w:p w14:paraId="483443B7" w14:textId="0DB02CE0" w:rsidR="007D2B08" w:rsidRPr="00EC30E9" w:rsidRDefault="007D2B08" w:rsidP="007D2B08">
      <w:pPr>
        <w:pStyle w:val="1GAPara"/>
        <w:numPr>
          <w:ilvl w:val="0"/>
          <w:numId w:val="3"/>
        </w:numPr>
        <w:spacing w:before="120"/>
        <w:ind w:left="567" w:hanging="567"/>
        <w:jc w:val="both"/>
        <w:rPr>
          <w:rFonts w:asciiTheme="minorBidi" w:hAnsiTheme="minorBidi" w:cstheme="minorBidi"/>
          <w:lang w:val="fr-FR"/>
        </w:rPr>
      </w:pPr>
      <w:r>
        <w:rPr>
          <w:rFonts w:asciiTheme="minorBidi" w:hAnsiTheme="minorBidi" w:cstheme="minorBidi"/>
          <w:lang w:val="fr"/>
        </w:rPr>
        <w:t xml:space="preserve">En ce qui concerne le </w:t>
      </w:r>
      <w:r w:rsidR="00AE5232">
        <w:rPr>
          <w:rFonts w:asciiTheme="minorBidi" w:hAnsiTheme="minorBidi" w:cstheme="minorBidi"/>
          <w:lang w:val="fr"/>
        </w:rPr>
        <w:t xml:space="preserve">sujet </w:t>
      </w:r>
      <w:r>
        <w:rPr>
          <w:rFonts w:asciiTheme="minorBidi" w:hAnsiTheme="minorBidi" w:cstheme="minorBidi"/>
          <w:lang w:val="fr"/>
        </w:rPr>
        <w:t xml:space="preserve">4 et le </w:t>
      </w:r>
      <w:r w:rsidR="00AE5232">
        <w:rPr>
          <w:rFonts w:asciiTheme="minorBidi" w:hAnsiTheme="minorBidi" w:cstheme="minorBidi"/>
          <w:lang w:val="fr"/>
        </w:rPr>
        <w:t xml:space="preserve">sujet </w:t>
      </w:r>
      <w:r>
        <w:rPr>
          <w:rFonts w:asciiTheme="minorBidi" w:hAnsiTheme="minorBidi" w:cstheme="minorBidi"/>
          <w:lang w:val="fr"/>
        </w:rPr>
        <w:t>5 de la réflexion, il est difficile d</w:t>
      </w:r>
      <w:r w:rsidR="00244CEA">
        <w:rPr>
          <w:rFonts w:asciiTheme="minorBidi" w:hAnsiTheme="minorBidi" w:cstheme="minorBidi"/>
          <w:lang w:val="fr"/>
        </w:rPr>
        <w:t>’</w:t>
      </w:r>
      <w:r>
        <w:rPr>
          <w:rFonts w:asciiTheme="minorBidi" w:hAnsiTheme="minorBidi" w:cstheme="minorBidi"/>
          <w:lang w:val="fr"/>
        </w:rPr>
        <w:t xml:space="preserve">estimer, à ce stade, le nombre de demandes qui pourraient être reçues pour le </w:t>
      </w:r>
      <w:r>
        <w:rPr>
          <w:rFonts w:asciiTheme="minorBidi" w:hAnsiTheme="minorBidi" w:cstheme="minorBidi"/>
          <w:u w:val="single"/>
          <w:lang w:val="fr"/>
        </w:rPr>
        <w:t>transfert et le retrait d</w:t>
      </w:r>
      <w:r w:rsidR="00244CEA">
        <w:rPr>
          <w:rFonts w:asciiTheme="minorBidi" w:hAnsiTheme="minorBidi" w:cstheme="minorBidi"/>
          <w:u w:val="single"/>
          <w:lang w:val="fr"/>
        </w:rPr>
        <w:t>’</w:t>
      </w:r>
      <w:r>
        <w:rPr>
          <w:rFonts w:asciiTheme="minorBidi" w:hAnsiTheme="minorBidi" w:cstheme="minorBidi"/>
          <w:u w:val="single"/>
          <w:lang w:val="fr"/>
        </w:rPr>
        <w:t>éléments et l</w:t>
      </w:r>
      <w:r w:rsidR="00244CEA">
        <w:rPr>
          <w:rFonts w:asciiTheme="minorBidi" w:hAnsiTheme="minorBidi" w:cstheme="minorBidi"/>
          <w:u w:val="single"/>
          <w:lang w:val="fr"/>
        </w:rPr>
        <w:t>’</w:t>
      </w:r>
      <w:r>
        <w:rPr>
          <w:rFonts w:asciiTheme="minorBidi" w:hAnsiTheme="minorBidi" w:cstheme="minorBidi"/>
          <w:u w:val="single"/>
          <w:lang w:val="fr"/>
        </w:rPr>
        <w:t xml:space="preserve">inscription sur une base </w:t>
      </w:r>
      <w:r w:rsidR="00AE5232">
        <w:rPr>
          <w:rFonts w:asciiTheme="minorBidi" w:hAnsiTheme="minorBidi" w:cstheme="minorBidi"/>
          <w:u w:val="single"/>
          <w:lang w:val="fr"/>
        </w:rPr>
        <w:t xml:space="preserve">élargie </w:t>
      </w:r>
      <w:r>
        <w:rPr>
          <w:rFonts w:asciiTheme="minorBidi" w:hAnsiTheme="minorBidi" w:cstheme="minorBidi"/>
          <w:u w:val="single"/>
          <w:lang w:val="fr"/>
        </w:rPr>
        <w:t>ou réduite</w:t>
      </w:r>
      <w:r w:rsidRPr="007F5EB2">
        <w:rPr>
          <w:rFonts w:asciiTheme="minorBidi" w:hAnsiTheme="minorBidi" w:cstheme="minorBidi"/>
          <w:lang w:val="fr"/>
        </w:rPr>
        <w:t xml:space="preserve">. </w:t>
      </w:r>
      <w:r>
        <w:rPr>
          <w:rFonts w:asciiTheme="minorBidi" w:hAnsiTheme="minorBidi" w:cstheme="minorBidi"/>
          <w:lang w:val="fr"/>
        </w:rPr>
        <w:t>Une estimation préliminaire des coûts impliqués se situe entre 18</w:t>
      </w:r>
      <w:r w:rsidR="00A86585">
        <w:rPr>
          <w:rFonts w:asciiTheme="minorBidi" w:hAnsiTheme="minorBidi" w:cstheme="minorBidi"/>
          <w:lang w:val="fr"/>
        </w:rPr>
        <w:t> </w:t>
      </w:r>
      <w:r>
        <w:rPr>
          <w:rFonts w:asciiTheme="minorBidi" w:hAnsiTheme="minorBidi" w:cstheme="minorBidi"/>
          <w:lang w:val="fr"/>
        </w:rPr>
        <w:t>000 et 20</w:t>
      </w:r>
      <w:r w:rsidR="00A86585">
        <w:rPr>
          <w:rFonts w:asciiTheme="minorBidi" w:hAnsiTheme="minorBidi" w:cstheme="minorBidi"/>
          <w:lang w:val="fr"/>
        </w:rPr>
        <w:t> </w:t>
      </w:r>
      <w:r>
        <w:rPr>
          <w:rFonts w:asciiTheme="minorBidi" w:hAnsiTheme="minorBidi" w:cstheme="minorBidi"/>
          <w:lang w:val="fr"/>
        </w:rPr>
        <w:t>000 dollars</w:t>
      </w:r>
      <w:r w:rsidR="00AE5232">
        <w:rPr>
          <w:rFonts w:asciiTheme="minorBidi" w:hAnsiTheme="minorBidi" w:cstheme="minorBidi"/>
          <w:lang w:val="fr"/>
        </w:rPr>
        <w:t xml:space="preserve"> des États-Unis</w:t>
      </w:r>
      <w:r>
        <w:rPr>
          <w:rFonts w:asciiTheme="minorBidi" w:hAnsiTheme="minorBidi" w:cstheme="minorBidi"/>
          <w:lang w:val="fr"/>
        </w:rPr>
        <w:t xml:space="preserve"> par demande pour chacune de ces nouvelles procédures, qui comprennent plusieurs étapes. Une approche expérimentale, tant pour l</w:t>
      </w:r>
      <w:r w:rsidR="00244CEA">
        <w:rPr>
          <w:rFonts w:asciiTheme="minorBidi" w:hAnsiTheme="minorBidi" w:cstheme="minorBidi"/>
          <w:lang w:val="fr"/>
        </w:rPr>
        <w:t>’</w:t>
      </w:r>
      <w:r>
        <w:rPr>
          <w:rFonts w:asciiTheme="minorBidi" w:hAnsiTheme="minorBidi" w:cstheme="minorBidi"/>
          <w:lang w:val="fr"/>
        </w:rPr>
        <w:t>option A que pour l</w:t>
      </w:r>
      <w:r w:rsidR="00244CEA">
        <w:rPr>
          <w:rFonts w:asciiTheme="minorBidi" w:hAnsiTheme="minorBidi" w:cstheme="minorBidi"/>
          <w:lang w:val="fr"/>
        </w:rPr>
        <w:t>’</w:t>
      </w:r>
      <w:r>
        <w:rPr>
          <w:rFonts w:asciiTheme="minorBidi" w:hAnsiTheme="minorBidi" w:cstheme="minorBidi"/>
          <w:lang w:val="fr"/>
        </w:rPr>
        <w:t>option B, pourrait consister à inclure ces demandes dans le nombre annuel de dossiers à traiter et à réévaluer la situation dans quelques années, après avoir acquis une expérience pratique des nouvelles procédures.</w:t>
      </w:r>
    </w:p>
    <w:p w14:paraId="1816AFAE" w14:textId="08FFF697" w:rsidR="007D2B08" w:rsidRPr="00F77221" w:rsidRDefault="007D2B08" w:rsidP="007D2B08">
      <w:pPr>
        <w:pStyle w:val="1GAPara"/>
        <w:numPr>
          <w:ilvl w:val="0"/>
          <w:numId w:val="3"/>
        </w:numPr>
        <w:spacing w:before="120"/>
        <w:ind w:left="567" w:hanging="567"/>
        <w:jc w:val="both"/>
        <w:rPr>
          <w:lang w:val="fr-FR"/>
        </w:rPr>
      </w:pPr>
      <w:r>
        <w:rPr>
          <w:lang w:val="fr"/>
        </w:rPr>
        <w:t xml:space="preserve">Le groupe de </w:t>
      </w:r>
      <w:r>
        <w:rPr>
          <w:rFonts w:asciiTheme="minorBidi" w:hAnsiTheme="minorBidi"/>
          <w:lang w:val="fr"/>
        </w:rPr>
        <w:t>travail</w:t>
      </w:r>
      <w:r>
        <w:rPr>
          <w:lang w:val="fr"/>
        </w:rPr>
        <w:t xml:space="preserve"> peut envisager de recommander l</w:t>
      </w:r>
      <w:r w:rsidR="00244CEA">
        <w:rPr>
          <w:lang w:val="fr"/>
        </w:rPr>
        <w:t>’</w:t>
      </w:r>
      <w:r>
        <w:rPr>
          <w:lang w:val="fr"/>
        </w:rPr>
        <w:t xml:space="preserve">ajustement du système </w:t>
      </w:r>
      <w:r w:rsidR="000820FA">
        <w:rPr>
          <w:lang w:val="fr"/>
        </w:rPr>
        <w:t>de</w:t>
      </w:r>
      <w:r w:rsidR="00A86585">
        <w:rPr>
          <w:lang w:val="fr"/>
        </w:rPr>
        <w:t xml:space="preserve"> dossiers en attente (</w:t>
      </w:r>
      <w:r w:rsidR="000820FA">
        <w:rPr>
          <w:lang w:val="fr"/>
        </w:rPr>
        <w:t>« </w:t>
      </w:r>
      <w:proofErr w:type="spellStart"/>
      <w:r w:rsidR="000820FA">
        <w:rPr>
          <w:lang w:val="fr"/>
        </w:rPr>
        <w:t>backlog</w:t>
      </w:r>
      <w:proofErr w:type="spellEnd"/>
      <w:r w:rsidR="000820FA">
        <w:rPr>
          <w:lang w:val="fr"/>
        </w:rPr>
        <w:t> »</w:t>
      </w:r>
      <w:r w:rsidR="00A86585">
        <w:rPr>
          <w:lang w:val="fr"/>
        </w:rPr>
        <w:t>)</w:t>
      </w:r>
      <w:r>
        <w:rPr>
          <w:lang w:val="fr"/>
        </w:rPr>
        <w:t xml:space="preserve"> de manière à renvoyer tout </w:t>
      </w:r>
      <w:r>
        <w:rPr>
          <w:u w:val="single"/>
          <w:lang w:val="fr"/>
        </w:rPr>
        <w:t xml:space="preserve">dossier en </w:t>
      </w:r>
      <w:r w:rsidR="000820FA">
        <w:rPr>
          <w:u w:val="single"/>
          <w:lang w:val="fr"/>
        </w:rPr>
        <w:t>attente</w:t>
      </w:r>
      <w:r>
        <w:rPr>
          <w:lang w:val="fr"/>
        </w:rPr>
        <w:t xml:space="preserve"> existant ou futur aux États </w:t>
      </w:r>
      <w:r w:rsidRPr="005D2844">
        <w:rPr>
          <w:lang w:val="fr"/>
        </w:rPr>
        <w:t>soumissionnaires s</w:t>
      </w:r>
      <w:r w:rsidR="00244CEA" w:rsidRPr="005D2844">
        <w:rPr>
          <w:lang w:val="fr"/>
        </w:rPr>
        <w:t>’</w:t>
      </w:r>
      <w:r w:rsidRPr="00F77221">
        <w:rPr>
          <w:lang w:val="fr"/>
        </w:rPr>
        <w:t xml:space="preserve">il a été soumis il y a quatre ans ou plus. Les États soumissionnaires peuvent alors soumettre à nouveau les </w:t>
      </w:r>
      <w:r w:rsidR="000820FA" w:rsidRPr="00F77221">
        <w:rPr>
          <w:lang w:val="fr"/>
        </w:rPr>
        <w:t>dossiers actualisés</w:t>
      </w:r>
      <w:r w:rsidRPr="00F77221">
        <w:rPr>
          <w:lang w:val="fr"/>
        </w:rPr>
        <w:t xml:space="preserve"> dans le cadre d</w:t>
      </w:r>
      <w:r w:rsidR="00244CEA" w:rsidRPr="00F77221">
        <w:rPr>
          <w:lang w:val="fr"/>
        </w:rPr>
        <w:t>’</w:t>
      </w:r>
      <w:r w:rsidRPr="00F77221">
        <w:rPr>
          <w:lang w:val="fr"/>
        </w:rPr>
        <w:t>un cycle ultérieur</w:t>
      </w:r>
      <w:r w:rsidRPr="00F77221">
        <w:rPr>
          <w:rFonts w:asciiTheme="minorBidi" w:hAnsiTheme="minorBidi"/>
          <w:lang w:val="fr"/>
        </w:rPr>
        <w:t>.</w:t>
      </w:r>
    </w:p>
    <w:p w14:paraId="395E64C7" w14:textId="5EA3ADAF" w:rsidR="007D2B08" w:rsidRPr="00F77221" w:rsidRDefault="007D2B08" w:rsidP="00561AE0">
      <w:pPr>
        <w:pStyle w:val="1GAPara"/>
        <w:spacing w:before="240"/>
        <w:ind w:left="567" w:hanging="567"/>
        <w:rPr>
          <w:b/>
          <w:bCs/>
        </w:rPr>
      </w:pPr>
      <w:r w:rsidRPr="00F77221">
        <w:rPr>
          <w:b/>
          <w:bCs/>
          <w:lang w:val="fr"/>
        </w:rPr>
        <w:t>E.</w:t>
      </w:r>
      <w:r w:rsidR="00F9426D" w:rsidRPr="00F77221">
        <w:rPr>
          <w:b/>
          <w:bCs/>
          <w:lang w:val="fr"/>
        </w:rPr>
        <w:tab/>
      </w:r>
      <w:r w:rsidRPr="00F77221">
        <w:rPr>
          <w:b/>
          <w:bCs/>
          <w:lang w:val="fr"/>
        </w:rPr>
        <w:t>Conclusion</w:t>
      </w:r>
    </w:p>
    <w:p w14:paraId="754CF377" w14:textId="77777777" w:rsidR="007D2B08" w:rsidRPr="00F77221" w:rsidRDefault="007D2B08" w:rsidP="007D2B08">
      <w:pPr>
        <w:pStyle w:val="1GAPara"/>
        <w:keepNext/>
        <w:numPr>
          <w:ilvl w:val="0"/>
          <w:numId w:val="3"/>
        </w:numPr>
        <w:spacing w:before="120"/>
        <w:ind w:left="567" w:hanging="567"/>
        <w:jc w:val="both"/>
        <w:rPr>
          <w:lang w:val="fr-FR"/>
        </w:rPr>
      </w:pPr>
      <w:r w:rsidRPr="00F77221">
        <w:rPr>
          <w:lang w:val="fr"/>
        </w:rPr>
        <w:t>Pour faciliter la comparaison et la discussion du groupe de travail, les tableaux suivants résument les deux options de fixation du plafond annuel :</w:t>
      </w:r>
    </w:p>
    <w:p w14:paraId="24251FE2" w14:textId="77777777" w:rsidR="007D2B08" w:rsidRPr="00F77221" w:rsidRDefault="007D2B08" w:rsidP="00EF2D6F">
      <w:pPr>
        <w:pStyle w:val="1GAPara"/>
        <w:widowControl w:val="0"/>
        <w:spacing w:before="120"/>
        <w:jc w:val="both"/>
        <w:rPr>
          <w:b/>
          <w:bCs/>
        </w:rPr>
      </w:pPr>
      <w:r w:rsidRPr="00F77221">
        <w:rPr>
          <w:b/>
          <w:bCs/>
          <w:lang w:val="fr"/>
        </w:rPr>
        <w:t>Option A</w:t>
      </w:r>
    </w:p>
    <w:tbl>
      <w:tblPr>
        <w:tblStyle w:val="Grilledutableau"/>
        <w:tblW w:w="0" w:type="auto"/>
        <w:tblLook w:val="04A0" w:firstRow="1" w:lastRow="0" w:firstColumn="1" w:lastColumn="0" w:noHBand="0" w:noVBand="1"/>
      </w:tblPr>
      <w:tblGrid>
        <w:gridCol w:w="9628"/>
      </w:tblGrid>
      <w:tr w:rsidR="007D2B08" w:rsidRPr="00E17DFF" w14:paraId="4F70B9DE" w14:textId="77777777" w:rsidTr="00561AE0">
        <w:tc>
          <w:tcPr>
            <w:tcW w:w="9628" w:type="dxa"/>
            <w:shd w:val="clear" w:color="auto" w:fill="B6DDE8" w:themeFill="accent5" w:themeFillTint="66"/>
          </w:tcPr>
          <w:p w14:paraId="3F44DA1F" w14:textId="77777777" w:rsidR="007D2B08" w:rsidRPr="00F77221" w:rsidRDefault="007D2B08" w:rsidP="00EC30E9">
            <w:pPr>
              <w:pStyle w:val="1GAPara"/>
              <w:widowControl w:val="0"/>
              <w:spacing w:after="0"/>
              <w:jc w:val="both"/>
              <w:rPr>
                <w:rFonts w:asciiTheme="minorBidi" w:hAnsiTheme="minorBidi" w:cstheme="minorBidi"/>
                <w:b/>
                <w:bCs/>
                <w:lang w:val="fr-FR"/>
              </w:rPr>
            </w:pPr>
            <w:r w:rsidRPr="00F77221">
              <w:rPr>
                <w:rFonts w:asciiTheme="minorBidi" w:hAnsiTheme="minorBidi" w:cstheme="minorBidi"/>
                <w:b/>
                <w:bCs/>
                <w:lang w:val="fr"/>
              </w:rPr>
              <w:t xml:space="preserve">Poursuivre le système actuel </w:t>
            </w:r>
            <w:r w:rsidRPr="00F77221">
              <w:rPr>
                <w:rFonts w:asciiTheme="minorBidi" w:hAnsiTheme="minorBidi" w:cstheme="minorBidi"/>
                <w:b/>
                <w:bCs/>
                <w:i/>
                <w:iCs/>
                <w:lang w:val="fr"/>
              </w:rPr>
              <w:t>de facto</w:t>
            </w:r>
            <w:r w:rsidRPr="00F77221">
              <w:rPr>
                <w:rFonts w:asciiTheme="minorBidi" w:hAnsiTheme="minorBidi" w:cstheme="minorBidi"/>
                <w:b/>
                <w:bCs/>
                <w:lang w:val="fr"/>
              </w:rPr>
              <w:t xml:space="preserve"> (au moins cinquante-cinq et pas plus de soixante dossiers par an) avec un système de priorité révisé</w:t>
            </w:r>
          </w:p>
        </w:tc>
      </w:tr>
      <w:tr w:rsidR="007D2B08" w:rsidRPr="00E17DFF" w14:paraId="7A58C92B" w14:textId="77777777" w:rsidTr="00EC30E9">
        <w:tc>
          <w:tcPr>
            <w:tcW w:w="9628" w:type="dxa"/>
            <w:shd w:val="clear" w:color="auto" w:fill="EEECE1" w:themeFill="background2"/>
          </w:tcPr>
          <w:p w14:paraId="329754FD" w14:textId="484B0092" w:rsidR="007D2B08" w:rsidRPr="00F77221" w:rsidRDefault="007D2B08" w:rsidP="00EC30E9">
            <w:pPr>
              <w:pStyle w:val="1GAPara"/>
              <w:widowControl w:val="0"/>
              <w:spacing w:after="0"/>
              <w:jc w:val="both"/>
              <w:rPr>
                <w:rFonts w:asciiTheme="minorBidi" w:hAnsiTheme="minorBidi" w:cstheme="minorBidi"/>
              </w:rPr>
            </w:pPr>
            <w:r w:rsidRPr="005D2844">
              <w:rPr>
                <w:rFonts w:asciiTheme="minorBidi" w:hAnsiTheme="minorBidi" w:cstheme="minorBidi"/>
                <w:lang w:val="fr"/>
              </w:rPr>
              <w:t>L</w:t>
            </w:r>
            <w:r w:rsidR="00244CEA" w:rsidRPr="005D2844">
              <w:rPr>
                <w:rFonts w:asciiTheme="minorBidi" w:hAnsiTheme="minorBidi" w:cstheme="minorBidi"/>
                <w:lang w:val="fr"/>
              </w:rPr>
              <w:t>’</w:t>
            </w:r>
            <w:r w:rsidRPr="00F77221">
              <w:rPr>
                <w:rFonts w:asciiTheme="minorBidi" w:hAnsiTheme="minorBidi" w:cstheme="minorBidi"/>
                <w:lang w:val="fr"/>
              </w:rPr>
              <w:t>ordre de priorité :</w:t>
            </w:r>
          </w:p>
          <w:p w14:paraId="72A4317E" w14:textId="654972E9" w:rsidR="007D2B08" w:rsidRPr="00F77221" w:rsidRDefault="007D2B08" w:rsidP="00561AE0">
            <w:pPr>
              <w:pStyle w:val="1GAPara"/>
              <w:widowControl w:val="0"/>
              <w:numPr>
                <w:ilvl w:val="0"/>
                <w:numId w:val="39"/>
              </w:numPr>
              <w:spacing w:before="120" w:after="0"/>
              <w:ind w:left="1134" w:hanging="567"/>
              <w:jc w:val="both"/>
              <w:rPr>
                <w:rFonts w:asciiTheme="minorBidi" w:hAnsiTheme="minorBidi" w:cstheme="minorBidi"/>
                <w:lang w:val="fr-FR"/>
              </w:rPr>
            </w:pPr>
            <w:r w:rsidRPr="00F77221">
              <w:rPr>
                <w:rFonts w:asciiTheme="minorBidi" w:hAnsiTheme="minorBidi" w:cstheme="minorBidi"/>
                <w:lang w:val="fr-FR"/>
              </w:rPr>
              <w:t>Choisir l</w:t>
            </w:r>
            <w:r w:rsidR="00244CEA" w:rsidRPr="00F77221">
              <w:rPr>
                <w:rFonts w:asciiTheme="minorBidi" w:hAnsiTheme="minorBidi" w:cstheme="minorBidi"/>
                <w:lang w:val="fr-FR"/>
              </w:rPr>
              <w:t>’</w:t>
            </w:r>
            <w:r w:rsidRPr="00F77221">
              <w:rPr>
                <w:rFonts w:asciiTheme="minorBidi" w:hAnsiTheme="minorBidi" w:cstheme="minorBidi"/>
                <w:lang w:val="fr-FR"/>
              </w:rPr>
              <w:t xml:space="preserve">une des </w:t>
            </w:r>
            <w:r w:rsidR="0063527F">
              <w:rPr>
                <w:rFonts w:asciiTheme="minorBidi" w:hAnsiTheme="minorBidi" w:cstheme="minorBidi"/>
                <w:lang w:val="fr-FR"/>
              </w:rPr>
              <w:t>deux</w:t>
            </w:r>
            <w:r w:rsidR="0063527F" w:rsidRPr="005D2844">
              <w:rPr>
                <w:rFonts w:asciiTheme="minorBidi" w:hAnsiTheme="minorBidi" w:cstheme="minorBidi"/>
                <w:lang w:val="fr-FR"/>
              </w:rPr>
              <w:t xml:space="preserve"> </w:t>
            </w:r>
            <w:r w:rsidRPr="005D2844">
              <w:rPr>
                <w:rFonts w:asciiTheme="minorBidi" w:hAnsiTheme="minorBidi" w:cstheme="minorBidi"/>
                <w:lang w:val="fr-FR"/>
              </w:rPr>
              <w:t>options du paragraphe 16, tout en déplaçant également toutes les demandes d</w:t>
            </w:r>
            <w:r w:rsidR="00244CEA" w:rsidRPr="00F77221">
              <w:rPr>
                <w:rFonts w:asciiTheme="minorBidi" w:hAnsiTheme="minorBidi" w:cstheme="minorBidi"/>
                <w:lang w:val="fr-FR"/>
              </w:rPr>
              <w:t>’</w:t>
            </w:r>
            <w:r w:rsidRPr="00F77221">
              <w:rPr>
                <w:rFonts w:asciiTheme="minorBidi" w:hAnsiTheme="minorBidi" w:cstheme="minorBidi"/>
                <w:lang w:val="fr-FR"/>
              </w:rPr>
              <w:t>assistance internationale pour examen par le Bureau (</w:t>
            </w:r>
            <w:r w:rsidR="000820FA" w:rsidRPr="00F77221">
              <w:rPr>
                <w:rFonts w:asciiTheme="minorBidi" w:hAnsiTheme="minorBidi" w:cstheme="minorBidi"/>
                <w:lang w:val="fr-FR"/>
              </w:rPr>
              <w:t>s</w:t>
            </w:r>
            <w:r w:rsidRPr="00F77221">
              <w:rPr>
                <w:rFonts w:asciiTheme="minorBidi" w:hAnsiTheme="minorBidi" w:cstheme="minorBidi"/>
                <w:lang w:val="fr-FR"/>
              </w:rPr>
              <w:t xml:space="preserve">ujet 3) ; la suggestion faite au sens du </w:t>
            </w:r>
            <w:r w:rsidR="000820FA" w:rsidRPr="00F77221">
              <w:rPr>
                <w:rFonts w:asciiTheme="minorBidi" w:hAnsiTheme="minorBidi" w:cstheme="minorBidi"/>
                <w:lang w:val="fr-FR"/>
              </w:rPr>
              <w:t>s</w:t>
            </w:r>
            <w:r w:rsidRPr="00F77221">
              <w:rPr>
                <w:rFonts w:asciiTheme="minorBidi" w:hAnsiTheme="minorBidi" w:cstheme="minorBidi"/>
                <w:lang w:val="fr-FR"/>
              </w:rPr>
              <w:t>ujet 2 n</w:t>
            </w:r>
            <w:r w:rsidR="00244CEA" w:rsidRPr="00F77221">
              <w:rPr>
                <w:rFonts w:asciiTheme="minorBidi" w:hAnsiTheme="minorBidi" w:cstheme="minorBidi"/>
                <w:lang w:val="fr-FR"/>
              </w:rPr>
              <w:t>’</w:t>
            </w:r>
            <w:r w:rsidRPr="00F77221">
              <w:rPr>
                <w:rFonts w:asciiTheme="minorBidi" w:hAnsiTheme="minorBidi" w:cstheme="minorBidi"/>
                <w:lang w:val="fr-FR"/>
              </w:rPr>
              <w:t>est pas à suivre.</w:t>
            </w:r>
          </w:p>
          <w:p w14:paraId="200BA8D5" w14:textId="755E5864" w:rsidR="007D2B08" w:rsidRPr="00F77221" w:rsidRDefault="007D2B08" w:rsidP="00561AE0">
            <w:pPr>
              <w:pStyle w:val="1GAPara"/>
              <w:widowControl w:val="0"/>
              <w:numPr>
                <w:ilvl w:val="0"/>
                <w:numId w:val="39"/>
              </w:numPr>
              <w:spacing w:before="120" w:after="0"/>
              <w:ind w:left="1134" w:hanging="567"/>
              <w:jc w:val="both"/>
              <w:rPr>
                <w:rFonts w:asciiTheme="minorBidi" w:hAnsiTheme="minorBidi" w:cstheme="minorBidi"/>
                <w:lang w:val="fr-FR"/>
              </w:rPr>
            </w:pPr>
            <w:r w:rsidRPr="00F77221">
              <w:rPr>
                <w:rFonts w:asciiTheme="minorBidi" w:hAnsiTheme="minorBidi" w:cstheme="minorBidi"/>
                <w:lang w:val="fr-FR"/>
              </w:rPr>
              <w:t>Considérer les nouvelles procédures (concernant le transfert, le retrait et l</w:t>
            </w:r>
            <w:r w:rsidR="00244CEA" w:rsidRPr="00F77221">
              <w:rPr>
                <w:rFonts w:asciiTheme="minorBidi" w:hAnsiTheme="minorBidi" w:cstheme="minorBidi"/>
                <w:lang w:val="fr-FR"/>
              </w:rPr>
              <w:t>’</w:t>
            </w:r>
            <w:r w:rsidRPr="00F77221">
              <w:rPr>
                <w:rFonts w:asciiTheme="minorBidi" w:hAnsiTheme="minorBidi" w:cstheme="minorBidi"/>
                <w:lang w:val="fr-FR"/>
              </w:rPr>
              <w:t xml:space="preserve">inscription sur une base </w:t>
            </w:r>
            <w:r w:rsidR="000820FA" w:rsidRPr="00F77221">
              <w:rPr>
                <w:rFonts w:asciiTheme="minorBidi" w:hAnsiTheme="minorBidi" w:cstheme="minorBidi"/>
                <w:lang w:val="fr-FR"/>
              </w:rPr>
              <w:t xml:space="preserve">élargie </w:t>
            </w:r>
            <w:r w:rsidRPr="00F77221">
              <w:rPr>
                <w:rFonts w:asciiTheme="minorBidi" w:hAnsiTheme="minorBidi" w:cstheme="minorBidi"/>
                <w:lang w:val="fr-FR"/>
              </w:rPr>
              <w:t>ou réduite) dans le cadre du plafond annuel, à titre expérimental (</w:t>
            </w:r>
            <w:r w:rsidR="000820FA" w:rsidRPr="00F77221">
              <w:rPr>
                <w:rFonts w:asciiTheme="minorBidi" w:hAnsiTheme="minorBidi" w:cstheme="minorBidi"/>
                <w:lang w:val="fr-FR"/>
              </w:rPr>
              <w:t>s</w:t>
            </w:r>
            <w:r w:rsidRPr="00F77221">
              <w:rPr>
                <w:rFonts w:asciiTheme="minorBidi" w:hAnsiTheme="minorBidi" w:cstheme="minorBidi"/>
                <w:lang w:val="fr-FR"/>
              </w:rPr>
              <w:t xml:space="preserve">ujet 4 et </w:t>
            </w:r>
            <w:r w:rsidR="000820FA" w:rsidRPr="00F77221">
              <w:rPr>
                <w:rFonts w:asciiTheme="minorBidi" w:hAnsiTheme="minorBidi" w:cstheme="minorBidi"/>
                <w:lang w:val="fr-FR"/>
              </w:rPr>
              <w:t>s</w:t>
            </w:r>
            <w:r w:rsidRPr="00F77221">
              <w:rPr>
                <w:rFonts w:asciiTheme="minorBidi" w:hAnsiTheme="minorBidi" w:cstheme="minorBidi"/>
                <w:lang w:val="fr-FR"/>
              </w:rPr>
              <w:t>ujet 5).</w:t>
            </w:r>
          </w:p>
        </w:tc>
      </w:tr>
      <w:tr w:rsidR="007D2B08" w:rsidRPr="00E17DFF" w14:paraId="66FDAFBF" w14:textId="77777777" w:rsidTr="00EC30E9">
        <w:tc>
          <w:tcPr>
            <w:tcW w:w="9628" w:type="dxa"/>
            <w:shd w:val="clear" w:color="auto" w:fill="F2F2F2" w:themeFill="background1" w:themeFillShade="F2"/>
          </w:tcPr>
          <w:p w14:paraId="3B2A7600" w14:textId="21C009E4" w:rsidR="007D2B08" w:rsidRPr="00F77221" w:rsidRDefault="007D2B08" w:rsidP="00EC30E9">
            <w:pPr>
              <w:pStyle w:val="1GAPara"/>
              <w:widowControl w:val="0"/>
              <w:spacing w:before="120"/>
              <w:jc w:val="both"/>
              <w:rPr>
                <w:rFonts w:asciiTheme="minorBidi" w:hAnsiTheme="minorBidi" w:cstheme="minorBidi"/>
                <w:lang w:val="fr-FR"/>
              </w:rPr>
            </w:pPr>
            <w:r w:rsidRPr="005D2844">
              <w:rPr>
                <w:rFonts w:asciiTheme="minorBidi" w:hAnsiTheme="minorBidi" w:cstheme="minorBidi"/>
                <w:lang w:val="fr"/>
              </w:rPr>
              <w:t>→ Les besoins budgétaires estimés resteront stables, permettant une répartition raisonnable des ressources déjà limitées pour développer différents aspects de la Convention au-delà du système d</w:t>
            </w:r>
            <w:r w:rsidR="00244CEA" w:rsidRPr="00F77221">
              <w:rPr>
                <w:rFonts w:asciiTheme="minorBidi" w:hAnsiTheme="minorBidi" w:cstheme="minorBidi"/>
                <w:lang w:val="fr"/>
              </w:rPr>
              <w:t>’</w:t>
            </w:r>
            <w:r w:rsidRPr="00F77221">
              <w:rPr>
                <w:rFonts w:asciiTheme="minorBidi" w:hAnsiTheme="minorBidi" w:cstheme="minorBidi"/>
                <w:lang w:val="fr"/>
              </w:rPr>
              <w:t>inscription sur les listes (c</w:t>
            </w:r>
            <w:r w:rsidR="00244CEA" w:rsidRPr="00F77221">
              <w:rPr>
                <w:rFonts w:asciiTheme="minorBidi" w:hAnsiTheme="minorBidi" w:cstheme="minorBidi"/>
                <w:lang w:val="fr"/>
              </w:rPr>
              <w:t>’</w:t>
            </w:r>
            <w:r w:rsidRPr="00F77221">
              <w:rPr>
                <w:rFonts w:asciiTheme="minorBidi" w:hAnsiTheme="minorBidi" w:cstheme="minorBidi"/>
                <w:lang w:val="fr"/>
              </w:rPr>
              <w:t>est-à-dire les efforts de renforcement des capacités, la réponse aux situations d</w:t>
            </w:r>
            <w:r w:rsidR="00244CEA" w:rsidRPr="00F77221">
              <w:rPr>
                <w:rFonts w:asciiTheme="minorBidi" w:hAnsiTheme="minorBidi" w:cstheme="minorBidi"/>
                <w:lang w:val="fr"/>
              </w:rPr>
              <w:t>’</w:t>
            </w:r>
            <w:r w:rsidRPr="00F77221">
              <w:rPr>
                <w:rFonts w:asciiTheme="minorBidi" w:hAnsiTheme="minorBidi" w:cstheme="minorBidi"/>
                <w:lang w:val="fr"/>
              </w:rPr>
              <w:t>urgence, la contribution au développement durable, les initiatives thématiques ainsi que d</w:t>
            </w:r>
            <w:r w:rsidR="00244CEA" w:rsidRPr="00F77221">
              <w:rPr>
                <w:rFonts w:asciiTheme="minorBidi" w:hAnsiTheme="minorBidi" w:cstheme="minorBidi"/>
                <w:lang w:val="fr"/>
              </w:rPr>
              <w:t>’</w:t>
            </w:r>
            <w:r w:rsidRPr="00F77221">
              <w:rPr>
                <w:rFonts w:asciiTheme="minorBidi" w:hAnsiTheme="minorBidi" w:cstheme="minorBidi"/>
                <w:lang w:val="fr"/>
              </w:rPr>
              <w:t>autres activités opérationnelles).</w:t>
            </w:r>
          </w:p>
        </w:tc>
      </w:tr>
      <w:tr w:rsidR="007D2B08" w:rsidRPr="00E17DFF" w14:paraId="5A77F37D" w14:textId="77777777" w:rsidTr="00EC30E9">
        <w:tc>
          <w:tcPr>
            <w:tcW w:w="9628" w:type="dxa"/>
            <w:shd w:val="clear" w:color="auto" w:fill="F2F2F2" w:themeFill="background1" w:themeFillShade="F2"/>
          </w:tcPr>
          <w:p w14:paraId="2D4C12BF" w14:textId="5B5A75B3" w:rsidR="007D2B08" w:rsidRPr="00F77221" w:rsidRDefault="007D2B08" w:rsidP="00EC30E9">
            <w:pPr>
              <w:pStyle w:val="1GAPara"/>
              <w:widowControl w:val="0"/>
              <w:spacing w:before="120"/>
              <w:jc w:val="both"/>
              <w:rPr>
                <w:rFonts w:asciiTheme="minorBidi" w:hAnsiTheme="minorBidi" w:cstheme="minorBidi"/>
                <w:lang w:val="fr-FR"/>
              </w:rPr>
            </w:pPr>
            <w:r w:rsidRPr="005D2844">
              <w:rPr>
                <w:rFonts w:asciiTheme="minorBidi" w:hAnsiTheme="minorBidi" w:cstheme="minorBidi"/>
                <w:lang w:val="fr"/>
              </w:rPr>
              <w:t>→ Des ressources supplémentaires sont nécessaires (18</w:t>
            </w:r>
            <w:r w:rsidR="004128AA" w:rsidRPr="005D2844">
              <w:rPr>
                <w:rFonts w:asciiTheme="minorBidi" w:hAnsiTheme="minorBidi" w:cstheme="minorBidi"/>
                <w:lang w:val="fr"/>
              </w:rPr>
              <w:t> </w:t>
            </w:r>
            <w:r w:rsidRPr="00F77221">
              <w:rPr>
                <w:rFonts w:asciiTheme="minorBidi" w:hAnsiTheme="minorBidi" w:cstheme="minorBidi"/>
                <w:lang w:val="fr"/>
              </w:rPr>
              <w:t>000 à 20</w:t>
            </w:r>
            <w:r w:rsidR="004128AA" w:rsidRPr="00F77221">
              <w:rPr>
                <w:rFonts w:asciiTheme="minorBidi" w:hAnsiTheme="minorBidi" w:cstheme="minorBidi"/>
                <w:lang w:val="fr"/>
              </w:rPr>
              <w:t> </w:t>
            </w:r>
            <w:r w:rsidRPr="00F77221">
              <w:rPr>
                <w:rFonts w:asciiTheme="minorBidi" w:hAnsiTheme="minorBidi" w:cstheme="minorBidi"/>
                <w:lang w:val="fr"/>
              </w:rPr>
              <w:t xml:space="preserve">000 </w:t>
            </w:r>
            <w:r w:rsidR="00C14E4A" w:rsidRPr="00F77221">
              <w:rPr>
                <w:rFonts w:asciiTheme="minorBidi" w:hAnsiTheme="minorBidi" w:cstheme="minorBidi"/>
                <w:lang w:val="fr"/>
              </w:rPr>
              <w:t xml:space="preserve">dollars des États-Unis </w:t>
            </w:r>
            <w:r w:rsidRPr="00F77221">
              <w:rPr>
                <w:rFonts w:asciiTheme="minorBidi" w:hAnsiTheme="minorBidi" w:cstheme="minorBidi"/>
                <w:lang w:val="fr"/>
              </w:rPr>
              <w:t>par demande dans le cadre des nouvelles procédures de transfert, de retrait, d</w:t>
            </w:r>
            <w:r w:rsidR="00244CEA" w:rsidRPr="00F77221">
              <w:rPr>
                <w:rFonts w:asciiTheme="minorBidi" w:hAnsiTheme="minorBidi" w:cstheme="minorBidi"/>
                <w:lang w:val="fr"/>
              </w:rPr>
              <w:t>’</w:t>
            </w:r>
            <w:r w:rsidR="00C14E4A" w:rsidRPr="00F77221">
              <w:rPr>
                <w:rFonts w:asciiTheme="minorBidi" w:hAnsiTheme="minorBidi" w:cstheme="minorBidi"/>
                <w:lang w:val="fr"/>
              </w:rPr>
              <w:t>élargissement</w:t>
            </w:r>
            <w:r w:rsidRPr="00F77221">
              <w:rPr>
                <w:rFonts w:asciiTheme="minorBidi" w:hAnsiTheme="minorBidi" w:cstheme="minorBidi"/>
                <w:lang w:val="fr"/>
              </w:rPr>
              <w:t xml:space="preserve"> et de réduction).</w:t>
            </w:r>
          </w:p>
        </w:tc>
      </w:tr>
      <w:tr w:rsidR="007D2B08" w:rsidRPr="00E17DFF" w14:paraId="093ED128" w14:textId="77777777" w:rsidTr="00EC30E9">
        <w:tc>
          <w:tcPr>
            <w:tcW w:w="9628" w:type="dxa"/>
            <w:shd w:val="clear" w:color="auto" w:fill="F2F2F2" w:themeFill="background1" w:themeFillShade="F2"/>
          </w:tcPr>
          <w:p w14:paraId="0CF40A61" w14:textId="777AECC8" w:rsidR="007D2B08" w:rsidRPr="00F77221" w:rsidRDefault="007D2B08" w:rsidP="004128AA">
            <w:pPr>
              <w:pStyle w:val="1GAPara"/>
              <w:widowControl w:val="0"/>
              <w:spacing w:before="120"/>
              <w:jc w:val="both"/>
              <w:rPr>
                <w:rFonts w:asciiTheme="minorBidi" w:hAnsiTheme="minorBidi" w:cstheme="minorBidi"/>
                <w:lang w:val="fr-FR"/>
              </w:rPr>
            </w:pPr>
            <w:r w:rsidRPr="005D2844">
              <w:rPr>
                <w:rFonts w:asciiTheme="minorBidi" w:hAnsiTheme="minorBidi"/>
                <w:lang w:val="fr"/>
              </w:rPr>
              <w:t>→ La composition de l</w:t>
            </w:r>
            <w:r w:rsidR="00244CEA" w:rsidRPr="005D2844">
              <w:rPr>
                <w:rFonts w:asciiTheme="minorBidi" w:hAnsiTheme="minorBidi"/>
                <w:lang w:val="fr"/>
              </w:rPr>
              <w:t>’</w:t>
            </w:r>
            <w:r w:rsidRPr="00F77221">
              <w:rPr>
                <w:rFonts w:asciiTheme="minorBidi" w:hAnsiTheme="minorBidi"/>
                <w:lang w:val="fr"/>
              </w:rPr>
              <w:t>Organe d</w:t>
            </w:r>
            <w:r w:rsidR="00244CEA" w:rsidRPr="00F77221">
              <w:rPr>
                <w:rFonts w:asciiTheme="minorBidi" w:hAnsiTheme="minorBidi"/>
                <w:lang w:val="fr"/>
              </w:rPr>
              <w:t>’</w:t>
            </w:r>
            <w:r w:rsidRPr="00F77221">
              <w:rPr>
                <w:rFonts w:asciiTheme="minorBidi" w:hAnsiTheme="minorBidi"/>
                <w:lang w:val="fr"/>
              </w:rPr>
              <w:t xml:space="preserve">évaluation reste inchangée, en conservant la méthodologie globale et consensuelle appliquée </w:t>
            </w:r>
            <w:r w:rsidRPr="00F77221">
              <w:rPr>
                <w:lang w:val="fr"/>
              </w:rPr>
              <w:t>à chaque critère de chaque dossier de candidature</w:t>
            </w:r>
            <w:r w:rsidRPr="00F77221">
              <w:rPr>
                <w:rFonts w:asciiTheme="minorBidi" w:hAnsiTheme="minorBidi"/>
                <w:lang w:val="fr"/>
              </w:rPr>
              <w:t>.</w:t>
            </w:r>
          </w:p>
        </w:tc>
      </w:tr>
      <w:tr w:rsidR="007D2B08" w:rsidRPr="00E17DFF" w14:paraId="485EA759" w14:textId="77777777" w:rsidTr="00EC30E9">
        <w:tc>
          <w:tcPr>
            <w:tcW w:w="9628" w:type="dxa"/>
            <w:shd w:val="clear" w:color="auto" w:fill="F2F2F2" w:themeFill="background1" w:themeFillShade="F2"/>
          </w:tcPr>
          <w:p w14:paraId="49EA9B8F" w14:textId="41DAB648" w:rsidR="007D2B08" w:rsidRPr="00F77221" w:rsidRDefault="007D2B08" w:rsidP="00EC30E9">
            <w:pPr>
              <w:pStyle w:val="1GAPara"/>
              <w:widowControl w:val="0"/>
              <w:spacing w:before="120"/>
              <w:jc w:val="both"/>
              <w:rPr>
                <w:rFonts w:asciiTheme="minorBidi" w:hAnsiTheme="minorBidi" w:cstheme="minorBidi"/>
                <w:lang w:val="fr-FR"/>
              </w:rPr>
            </w:pPr>
            <w:r w:rsidRPr="005D2844">
              <w:rPr>
                <w:rFonts w:asciiTheme="minorBidi" w:hAnsiTheme="minorBidi" w:cstheme="minorBidi"/>
                <w:lang w:val="fr"/>
              </w:rPr>
              <w:t xml:space="preserve">→ Les dossiers en </w:t>
            </w:r>
            <w:r w:rsidR="004128AA" w:rsidRPr="005D2844">
              <w:rPr>
                <w:rFonts w:asciiTheme="minorBidi" w:hAnsiTheme="minorBidi" w:cstheme="minorBidi"/>
                <w:lang w:val="fr"/>
              </w:rPr>
              <w:t xml:space="preserve">attente </w:t>
            </w:r>
            <w:r w:rsidRPr="00F77221">
              <w:rPr>
                <w:rFonts w:asciiTheme="minorBidi" w:hAnsiTheme="minorBidi" w:cstheme="minorBidi"/>
                <w:lang w:val="fr"/>
              </w:rPr>
              <w:t>de plus de quatre ans seront automatiquement renvoyés aux États soumissionnaires.</w:t>
            </w:r>
          </w:p>
        </w:tc>
      </w:tr>
    </w:tbl>
    <w:p w14:paraId="7246D879" w14:textId="3204EEB8" w:rsidR="007D2B08" w:rsidRPr="00F77221" w:rsidRDefault="007D2B08" w:rsidP="007D2B08">
      <w:pPr>
        <w:pStyle w:val="1GAPara"/>
        <w:keepNext/>
        <w:spacing w:before="360"/>
        <w:jc w:val="both"/>
        <w:rPr>
          <w:b/>
          <w:bCs/>
        </w:rPr>
      </w:pPr>
      <w:r w:rsidRPr="00F77221">
        <w:rPr>
          <w:b/>
          <w:bCs/>
          <w:lang w:val="fr"/>
        </w:rPr>
        <w:lastRenderedPageBreak/>
        <w:t>Option B</w:t>
      </w:r>
    </w:p>
    <w:tbl>
      <w:tblPr>
        <w:tblStyle w:val="Grilledutableau"/>
        <w:tblW w:w="0" w:type="auto"/>
        <w:tblLook w:val="04A0" w:firstRow="1" w:lastRow="0" w:firstColumn="1" w:lastColumn="0" w:noHBand="0" w:noVBand="1"/>
      </w:tblPr>
      <w:tblGrid>
        <w:gridCol w:w="9628"/>
      </w:tblGrid>
      <w:tr w:rsidR="007D2B08" w:rsidRPr="00E17DFF" w14:paraId="3F333A82" w14:textId="77777777" w:rsidTr="00561AE0">
        <w:tc>
          <w:tcPr>
            <w:tcW w:w="9628" w:type="dxa"/>
            <w:shd w:val="clear" w:color="auto" w:fill="B6DDE8" w:themeFill="accent5" w:themeFillTint="66"/>
          </w:tcPr>
          <w:p w14:paraId="22EB7D50" w14:textId="77777777" w:rsidR="007D2B08" w:rsidRPr="00F77221" w:rsidRDefault="007D2B08" w:rsidP="00EC30E9">
            <w:pPr>
              <w:pStyle w:val="1GAPara"/>
              <w:keepNext/>
              <w:spacing w:after="0"/>
              <w:jc w:val="both"/>
              <w:rPr>
                <w:rFonts w:asciiTheme="minorBidi" w:hAnsiTheme="minorBidi" w:cstheme="minorBidi"/>
                <w:b/>
                <w:bCs/>
                <w:lang w:val="fr-FR"/>
              </w:rPr>
            </w:pPr>
            <w:r w:rsidRPr="00F77221">
              <w:rPr>
                <w:rFonts w:asciiTheme="minorBidi" w:hAnsiTheme="minorBidi" w:cstheme="minorBidi"/>
                <w:b/>
                <w:bCs/>
                <w:lang w:val="fr"/>
              </w:rPr>
              <w:t>Le plafond annuel doit être fixé à un nombre supérieur à soixante dossiers</w:t>
            </w:r>
          </w:p>
        </w:tc>
      </w:tr>
      <w:tr w:rsidR="007D2B08" w:rsidRPr="00E17DFF" w14:paraId="1304D8B9" w14:textId="77777777" w:rsidTr="00EC30E9">
        <w:tc>
          <w:tcPr>
            <w:tcW w:w="9628" w:type="dxa"/>
            <w:shd w:val="clear" w:color="auto" w:fill="EEECE1" w:themeFill="background2"/>
          </w:tcPr>
          <w:p w14:paraId="2B585BE7" w14:textId="7E8FCB48" w:rsidR="007D2B08" w:rsidRPr="00F77221" w:rsidRDefault="007D2B08" w:rsidP="00EC30E9">
            <w:pPr>
              <w:pStyle w:val="1GAPara"/>
              <w:widowControl w:val="0"/>
              <w:spacing w:after="0"/>
              <w:jc w:val="both"/>
              <w:rPr>
                <w:rFonts w:asciiTheme="minorBidi" w:hAnsiTheme="minorBidi" w:cstheme="minorBidi"/>
              </w:rPr>
            </w:pPr>
            <w:r w:rsidRPr="005D2844">
              <w:rPr>
                <w:rFonts w:asciiTheme="minorBidi" w:hAnsiTheme="minorBidi" w:cstheme="minorBidi"/>
                <w:lang w:val="fr"/>
              </w:rPr>
              <w:t>L</w:t>
            </w:r>
            <w:r w:rsidR="00244CEA" w:rsidRPr="005D2844">
              <w:rPr>
                <w:rFonts w:asciiTheme="minorBidi" w:hAnsiTheme="minorBidi" w:cstheme="minorBidi"/>
                <w:lang w:val="fr"/>
              </w:rPr>
              <w:t>’</w:t>
            </w:r>
            <w:r w:rsidRPr="005D2844">
              <w:rPr>
                <w:rFonts w:asciiTheme="minorBidi" w:hAnsiTheme="minorBidi" w:cstheme="minorBidi"/>
                <w:lang w:val="fr"/>
              </w:rPr>
              <w:t>ordre de priorité :</w:t>
            </w:r>
          </w:p>
          <w:p w14:paraId="77CA7C1D" w14:textId="4DCA3141" w:rsidR="007D2B08" w:rsidRPr="00F77221" w:rsidRDefault="007D2B08" w:rsidP="00561AE0">
            <w:pPr>
              <w:pStyle w:val="1GAPara"/>
              <w:widowControl w:val="0"/>
              <w:numPr>
                <w:ilvl w:val="0"/>
                <w:numId w:val="39"/>
              </w:numPr>
              <w:spacing w:before="120" w:after="0"/>
              <w:ind w:left="1134" w:hanging="567"/>
              <w:jc w:val="both"/>
              <w:rPr>
                <w:rFonts w:asciiTheme="minorBidi" w:hAnsiTheme="minorBidi" w:cstheme="minorBidi"/>
                <w:lang w:val="fr-FR"/>
              </w:rPr>
            </w:pPr>
            <w:r w:rsidRPr="00F77221">
              <w:rPr>
                <w:rFonts w:asciiTheme="minorBidi" w:hAnsiTheme="minorBidi" w:cstheme="minorBidi"/>
                <w:lang w:val="fr-FR"/>
              </w:rPr>
              <w:t>Choisir l</w:t>
            </w:r>
            <w:r w:rsidR="00244CEA" w:rsidRPr="00F77221">
              <w:rPr>
                <w:rFonts w:asciiTheme="minorBidi" w:hAnsiTheme="minorBidi" w:cstheme="minorBidi"/>
                <w:lang w:val="fr-FR"/>
              </w:rPr>
              <w:t>’</w:t>
            </w:r>
            <w:r w:rsidRPr="00F77221">
              <w:rPr>
                <w:rFonts w:asciiTheme="minorBidi" w:hAnsiTheme="minorBidi" w:cstheme="minorBidi"/>
                <w:lang w:val="fr-FR"/>
              </w:rPr>
              <w:t xml:space="preserve">une des </w:t>
            </w:r>
            <w:r w:rsidR="0063527F">
              <w:rPr>
                <w:rFonts w:asciiTheme="minorBidi" w:hAnsiTheme="minorBidi" w:cstheme="minorBidi"/>
                <w:lang w:val="fr-FR"/>
              </w:rPr>
              <w:t>deux</w:t>
            </w:r>
            <w:r w:rsidR="0063527F" w:rsidRPr="005D2844">
              <w:rPr>
                <w:rFonts w:asciiTheme="minorBidi" w:hAnsiTheme="minorBidi" w:cstheme="minorBidi"/>
                <w:lang w:val="fr-FR"/>
              </w:rPr>
              <w:t xml:space="preserve"> </w:t>
            </w:r>
            <w:r w:rsidRPr="005D2844">
              <w:rPr>
                <w:rFonts w:asciiTheme="minorBidi" w:hAnsiTheme="minorBidi" w:cstheme="minorBidi"/>
                <w:lang w:val="fr-FR"/>
              </w:rPr>
              <w:t>options du paragraphe 16 ou envisager l</w:t>
            </w:r>
            <w:r w:rsidR="00244CEA" w:rsidRPr="00F77221">
              <w:rPr>
                <w:rFonts w:asciiTheme="minorBidi" w:hAnsiTheme="minorBidi" w:cstheme="minorBidi"/>
                <w:lang w:val="fr-FR"/>
              </w:rPr>
              <w:t>’</w:t>
            </w:r>
            <w:r w:rsidRPr="00F77221">
              <w:rPr>
                <w:rFonts w:asciiTheme="minorBidi" w:hAnsiTheme="minorBidi" w:cstheme="minorBidi"/>
                <w:lang w:val="fr-FR"/>
              </w:rPr>
              <w:t xml:space="preserve">ajustement proposé sous le </w:t>
            </w:r>
            <w:r w:rsidR="004128AA" w:rsidRPr="00F77221">
              <w:rPr>
                <w:rFonts w:asciiTheme="minorBidi" w:hAnsiTheme="minorBidi" w:cstheme="minorBidi"/>
                <w:lang w:val="fr-FR"/>
              </w:rPr>
              <w:t xml:space="preserve">sujet </w:t>
            </w:r>
            <w:r w:rsidRPr="00F77221">
              <w:rPr>
                <w:rFonts w:asciiTheme="minorBidi" w:hAnsiTheme="minorBidi" w:cstheme="minorBidi"/>
                <w:lang w:val="fr-FR"/>
              </w:rPr>
              <w:t>2, tout en déplaçant toutes les demandes d</w:t>
            </w:r>
            <w:r w:rsidR="00244CEA" w:rsidRPr="00F77221">
              <w:rPr>
                <w:rFonts w:asciiTheme="minorBidi" w:hAnsiTheme="minorBidi" w:cstheme="minorBidi"/>
                <w:lang w:val="fr-FR"/>
              </w:rPr>
              <w:t>’</w:t>
            </w:r>
            <w:r w:rsidRPr="00F77221">
              <w:rPr>
                <w:rFonts w:asciiTheme="minorBidi" w:hAnsiTheme="minorBidi" w:cstheme="minorBidi"/>
                <w:lang w:val="fr-FR"/>
              </w:rPr>
              <w:t>assistance internationale pour examen par le Bureau (</w:t>
            </w:r>
            <w:r w:rsidR="004128AA" w:rsidRPr="00F77221">
              <w:rPr>
                <w:rFonts w:asciiTheme="minorBidi" w:hAnsiTheme="minorBidi" w:cstheme="minorBidi"/>
                <w:lang w:val="fr-FR"/>
              </w:rPr>
              <w:t xml:space="preserve">sujet </w:t>
            </w:r>
            <w:r w:rsidRPr="00F77221">
              <w:rPr>
                <w:rFonts w:asciiTheme="minorBidi" w:hAnsiTheme="minorBidi" w:cstheme="minorBidi"/>
                <w:lang w:val="fr-FR"/>
              </w:rPr>
              <w:t>3).</w:t>
            </w:r>
          </w:p>
          <w:p w14:paraId="2E086484" w14:textId="29C5DE0C" w:rsidR="007D2B08" w:rsidRPr="00F77221" w:rsidRDefault="007D2B08" w:rsidP="00561AE0">
            <w:pPr>
              <w:pStyle w:val="1GAPara"/>
              <w:widowControl w:val="0"/>
              <w:numPr>
                <w:ilvl w:val="0"/>
                <w:numId w:val="39"/>
              </w:numPr>
              <w:spacing w:before="120" w:after="0"/>
              <w:ind w:left="1134" w:hanging="567"/>
              <w:jc w:val="both"/>
              <w:rPr>
                <w:rFonts w:asciiTheme="minorBidi" w:hAnsiTheme="minorBidi" w:cstheme="minorBidi"/>
                <w:lang w:val="fr-FR"/>
              </w:rPr>
            </w:pPr>
            <w:r w:rsidRPr="00F77221">
              <w:rPr>
                <w:rFonts w:asciiTheme="minorBidi" w:hAnsiTheme="minorBidi" w:cstheme="minorBidi"/>
                <w:lang w:val="fr-FR"/>
              </w:rPr>
              <w:t>Considérer les nouvelles procédures (concernant le transfert, le retrait et l</w:t>
            </w:r>
            <w:r w:rsidR="00244CEA" w:rsidRPr="00F77221">
              <w:rPr>
                <w:rFonts w:asciiTheme="minorBidi" w:hAnsiTheme="minorBidi" w:cstheme="minorBidi"/>
                <w:lang w:val="fr-FR"/>
              </w:rPr>
              <w:t>’</w:t>
            </w:r>
            <w:r w:rsidRPr="00F77221">
              <w:rPr>
                <w:rFonts w:asciiTheme="minorBidi" w:hAnsiTheme="minorBidi" w:cstheme="minorBidi"/>
                <w:lang w:val="fr-FR"/>
              </w:rPr>
              <w:t xml:space="preserve">inscription sur une base </w:t>
            </w:r>
            <w:r w:rsidR="004128AA" w:rsidRPr="00F77221">
              <w:rPr>
                <w:rFonts w:asciiTheme="minorBidi" w:hAnsiTheme="minorBidi" w:cstheme="minorBidi"/>
                <w:lang w:val="fr-FR"/>
              </w:rPr>
              <w:t xml:space="preserve">élargie </w:t>
            </w:r>
            <w:r w:rsidRPr="00F77221">
              <w:rPr>
                <w:rFonts w:asciiTheme="minorBidi" w:hAnsiTheme="minorBidi" w:cstheme="minorBidi"/>
                <w:lang w:val="fr-FR"/>
              </w:rPr>
              <w:t>ou réduite) dans le cadre du plafond annuel, à titre expérimental (</w:t>
            </w:r>
            <w:r w:rsidR="004128AA" w:rsidRPr="00F77221">
              <w:rPr>
                <w:rFonts w:asciiTheme="minorBidi" w:hAnsiTheme="minorBidi" w:cstheme="minorBidi"/>
                <w:lang w:val="fr-FR"/>
              </w:rPr>
              <w:t>s</w:t>
            </w:r>
            <w:r w:rsidRPr="00F77221">
              <w:rPr>
                <w:rFonts w:asciiTheme="minorBidi" w:hAnsiTheme="minorBidi" w:cstheme="minorBidi"/>
                <w:lang w:val="fr-FR"/>
              </w:rPr>
              <w:t xml:space="preserve">ujet 4 et </w:t>
            </w:r>
            <w:r w:rsidR="004128AA" w:rsidRPr="00F77221">
              <w:rPr>
                <w:rFonts w:asciiTheme="minorBidi" w:hAnsiTheme="minorBidi" w:cstheme="minorBidi"/>
                <w:lang w:val="fr-FR"/>
              </w:rPr>
              <w:t>s</w:t>
            </w:r>
            <w:r w:rsidRPr="00F77221">
              <w:rPr>
                <w:rFonts w:asciiTheme="minorBidi" w:hAnsiTheme="minorBidi" w:cstheme="minorBidi"/>
                <w:lang w:val="fr-FR"/>
              </w:rPr>
              <w:t>ujet 5).</w:t>
            </w:r>
          </w:p>
        </w:tc>
      </w:tr>
      <w:tr w:rsidR="007D2B08" w:rsidRPr="00E17DFF" w14:paraId="24ECEAAF" w14:textId="77777777" w:rsidTr="00EC30E9">
        <w:tc>
          <w:tcPr>
            <w:tcW w:w="9628" w:type="dxa"/>
            <w:shd w:val="clear" w:color="auto" w:fill="F2F2F2" w:themeFill="background1" w:themeFillShade="F2"/>
          </w:tcPr>
          <w:p w14:paraId="3BFAF099" w14:textId="5C8934D0" w:rsidR="007D2B08" w:rsidRPr="005D2844" w:rsidRDefault="007D2B08" w:rsidP="00EC30E9">
            <w:pPr>
              <w:pStyle w:val="1GAPara"/>
              <w:widowControl w:val="0"/>
              <w:spacing w:before="120"/>
              <w:jc w:val="both"/>
              <w:rPr>
                <w:rFonts w:asciiTheme="minorBidi" w:hAnsiTheme="minorBidi" w:cstheme="minorBidi"/>
                <w:lang w:val="fr-FR"/>
              </w:rPr>
            </w:pPr>
            <w:r w:rsidRPr="00992DB6">
              <w:rPr>
                <w:rFonts w:asciiTheme="minorBidi" w:hAnsiTheme="minorBidi"/>
                <w:lang w:val="fr"/>
              </w:rPr>
              <w:t>→ Augmentation significative des ressources nécessaires en fonction du niveau d</w:t>
            </w:r>
            <w:r w:rsidR="00244CEA" w:rsidRPr="00EC6B25">
              <w:rPr>
                <w:rFonts w:asciiTheme="minorBidi" w:hAnsiTheme="minorBidi"/>
                <w:lang w:val="fr"/>
              </w:rPr>
              <w:t>’</w:t>
            </w:r>
            <w:r w:rsidRPr="00410575">
              <w:rPr>
                <w:rFonts w:asciiTheme="minorBidi" w:hAnsiTheme="minorBidi"/>
                <w:lang w:val="fr"/>
              </w:rPr>
              <w:t>augmentation (</w:t>
            </w:r>
            <w:r w:rsidRPr="00ED4470">
              <w:rPr>
                <w:lang w:val="fr"/>
              </w:rPr>
              <w:t>d</w:t>
            </w:r>
            <w:r w:rsidR="00244CEA" w:rsidRPr="006125CD">
              <w:rPr>
                <w:lang w:val="fr"/>
              </w:rPr>
              <w:t>’</w:t>
            </w:r>
            <w:r w:rsidRPr="006125CD">
              <w:rPr>
                <w:lang w:val="fr"/>
              </w:rPr>
              <w:t xml:space="preserve">environ 1 à 1,2 million </w:t>
            </w:r>
            <w:r w:rsidR="004357D2" w:rsidRPr="007F5EB2">
              <w:rPr>
                <w:lang w:val="fr"/>
              </w:rPr>
              <w:t>de dollars des États-Unis</w:t>
            </w:r>
            <w:r w:rsidR="004357D2" w:rsidRPr="00992DB6">
              <w:rPr>
                <w:lang w:val="fr"/>
              </w:rPr>
              <w:t xml:space="preserve"> </w:t>
            </w:r>
            <w:r w:rsidRPr="00EC6B25">
              <w:rPr>
                <w:lang w:val="fr"/>
              </w:rPr>
              <w:t xml:space="preserve">pour soixante dossiers, à environ 1,25 à 1,56 million </w:t>
            </w:r>
            <w:r w:rsidR="004357D2" w:rsidRPr="007F5EB2">
              <w:rPr>
                <w:lang w:val="fr"/>
              </w:rPr>
              <w:t>de dollars des États-Unis</w:t>
            </w:r>
            <w:r w:rsidRPr="006125CD">
              <w:rPr>
                <w:lang w:val="fr"/>
              </w:rPr>
              <w:t xml:space="preserve"> pour soixante-quinze dossiers, et à environ 1,5 à 1,8 million </w:t>
            </w:r>
            <w:r w:rsidR="004357D2" w:rsidRPr="007F5EB2">
              <w:rPr>
                <w:lang w:val="fr"/>
              </w:rPr>
              <w:t>de dollars des États-Unis</w:t>
            </w:r>
            <w:r w:rsidRPr="006125CD">
              <w:rPr>
                <w:lang w:val="fr"/>
              </w:rPr>
              <w:t xml:space="preserve"> pour quatre-vingt-dix dossiers</w:t>
            </w:r>
            <w:r w:rsidRPr="006125CD">
              <w:rPr>
                <w:rFonts w:asciiTheme="minorBidi" w:hAnsiTheme="minorBidi"/>
                <w:lang w:val="fr"/>
              </w:rPr>
              <w:t>).</w:t>
            </w:r>
            <w:r w:rsidRPr="005D2844">
              <w:rPr>
                <w:rFonts w:asciiTheme="minorBidi" w:hAnsiTheme="minorBidi"/>
                <w:lang w:val="fr"/>
              </w:rPr>
              <w:t xml:space="preserve"> </w:t>
            </w:r>
          </w:p>
        </w:tc>
      </w:tr>
      <w:tr w:rsidR="007D2B08" w:rsidRPr="00E17DFF" w14:paraId="415F3B42" w14:textId="77777777" w:rsidTr="00EC30E9">
        <w:tc>
          <w:tcPr>
            <w:tcW w:w="9628" w:type="dxa"/>
            <w:shd w:val="clear" w:color="auto" w:fill="F2F2F2" w:themeFill="background1" w:themeFillShade="F2"/>
          </w:tcPr>
          <w:p w14:paraId="2FF411E5" w14:textId="7FB90ED8" w:rsidR="007D2B08" w:rsidRPr="00F77221" w:rsidRDefault="007D2B08" w:rsidP="00EC30E9">
            <w:pPr>
              <w:pStyle w:val="1GAPara"/>
              <w:widowControl w:val="0"/>
              <w:spacing w:before="120"/>
              <w:jc w:val="both"/>
              <w:rPr>
                <w:rFonts w:asciiTheme="minorBidi" w:hAnsiTheme="minorBidi" w:cstheme="minorBidi"/>
                <w:lang w:val="fr-FR"/>
              </w:rPr>
            </w:pPr>
            <w:r w:rsidRPr="005D2844">
              <w:rPr>
                <w:rFonts w:asciiTheme="minorBidi" w:hAnsiTheme="minorBidi" w:cstheme="minorBidi"/>
                <w:lang w:val="fr"/>
              </w:rPr>
              <w:t>→ Des ressources supplémentaires sont nécessaires (18</w:t>
            </w:r>
            <w:r w:rsidR="004128AA" w:rsidRPr="005D2844">
              <w:rPr>
                <w:rFonts w:asciiTheme="minorBidi" w:hAnsiTheme="minorBidi" w:cstheme="minorBidi"/>
                <w:lang w:val="fr"/>
              </w:rPr>
              <w:t> </w:t>
            </w:r>
            <w:r w:rsidRPr="00F77221">
              <w:rPr>
                <w:rFonts w:asciiTheme="minorBidi" w:hAnsiTheme="minorBidi" w:cstheme="minorBidi"/>
                <w:lang w:val="fr"/>
              </w:rPr>
              <w:t>000 à 20</w:t>
            </w:r>
            <w:r w:rsidR="004128AA" w:rsidRPr="00F77221">
              <w:rPr>
                <w:rFonts w:asciiTheme="minorBidi" w:hAnsiTheme="minorBidi" w:cstheme="minorBidi"/>
                <w:lang w:val="fr"/>
              </w:rPr>
              <w:t> </w:t>
            </w:r>
            <w:r w:rsidRPr="00F77221">
              <w:rPr>
                <w:rFonts w:asciiTheme="minorBidi" w:hAnsiTheme="minorBidi" w:cstheme="minorBidi"/>
                <w:lang w:val="fr"/>
              </w:rPr>
              <w:t>000</w:t>
            </w:r>
            <w:r w:rsidR="004128AA" w:rsidRPr="00F77221">
              <w:rPr>
                <w:rFonts w:asciiTheme="minorBidi" w:hAnsiTheme="minorBidi" w:cstheme="minorBidi"/>
                <w:lang w:val="fr"/>
              </w:rPr>
              <w:t xml:space="preserve"> dollars des États-Unis</w:t>
            </w:r>
            <w:r w:rsidRPr="00F77221">
              <w:rPr>
                <w:rFonts w:asciiTheme="minorBidi" w:hAnsiTheme="minorBidi" w:cstheme="minorBidi"/>
                <w:lang w:val="fr"/>
              </w:rPr>
              <w:t xml:space="preserve"> par demande dans le cadre des nouvelles procédures de transfert, de retrait, d</w:t>
            </w:r>
            <w:r w:rsidR="00244CEA" w:rsidRPr="00F77221">
              <w:rPr>
                <w:rFonts w:asciiTheme="minorBidi" w:hAnsiTheme="minorBidi" w:cstheme="minorBidi"/>
                <w:lang w:val="fr"/>
              </w:rPr>
              <w:t>’</w:t>
            </w:r>
            <w:r w:rsidR="004128AA" w:rsidRPr="00F77221">
              <w:rPr>
                <w:rFonts w:asciiTheme="minorBidi" w:hAnsiTheme="minorBidi" w:cstheme="minorBidi"/>
                <w:lang w:val="fr"/>
              </w:rPr>
              <w:t>élargissement</w:t>
            </w:r>
            <w:r w:rsidRPr="00F77221">
              <w:rPr>
                <w:rFonts w:asciiTheme="minorBidi" w:hAnsiTheme="minorBidi" w:cstheme="minorBidi"/>
                <w:lang w:val="fr"/>
              </w:rPr>
              <w:t xml:space="preserve"> et de réduction).</w:t>
            </w:r>
          </w:p>
        </w:tc>
      </w:tr>
      <w:tr w:rsidR="007D2B08" w:rsidRPr="00E17DFF" w14:paraId="7A07BD23" w14:textId="77777777" w:rsidTr="00EC30E9">
        <w:tc>
          <w:tcPr>
            <w:tcW w:w="9628" w:type="dxa"/>
            <w:shd w:val="clear" w:color="auto" w:fill="F2F2F2" w:themeFill="background1" w:themeFillShade="F2"/>
          </w:tcPr>
          <w:p w14:paraId="7D712E3C" w14:textId="26305171" w:rsidR="007D2B08" w:rsidRPr="00F77221" w:rsidRDefault="007D2B08" w:rsidP="00EC30E9">
            <w:pPr>
              <w:pStyle w:val="1GAPara"/>
              <w:widowControl w:val="0"/>
              <w:spacing w:before="120"/>
              <w:jc w:val="both"/>
              <w:rPr>
                <w:rFonts w:asciiTheme="minorBidi" w:hAnsiTheme="minorBidi" w:cstheme="minorBidi"/>
                <w:lang w:val="fr-FR"/>
              </w:rPr>
            </w:pPr>
            <w:r w:rsidRPr="005D2844">
              <w:rPr>
                <w:rFonts w:asciiTheme="minorBidi" w:hAnsiTheme="minorBidi"/>
                <w:lang w:val="fr"/>
              </w:rPr>
              <w:t xml:space="preserve">→ La </w:t>
            </w:r>
            <w:r w:rsidRPr="005D2844">
              <w:rPr>
                <w:lang w:val="fr"/>
              </w:rPr>
              <w:t xml:space="preserve">méthodologie de travail actuelle de </w:t>
            </w:r>
            <w:r w:rsidRPr="00F77221">
              <w:rPr>
                <w:rFonts w:asciiTheme="minorBidi" w:hAnsiTheme="minorBidi"/>
                <w:lang w:val="fr"/>
              </w:rPr>
              <w:t>l</w:t>
            </w:r>
            <w:r w:rsidR="00244CEA" w:rsidRPr="00F77221">
              <w:rPr>
                <w:rFonts w:asciiTheme="minorBidi" w:hAnsiTheme="minorBidi"/>
                <w:lang w:val="fr"/>
              </w:rPr>
              <w:t>’</w:t>
            </w:r>
            <w:r w:rsidRPr="00F77221">
              <w:rPr>
                <w:rFonts w:asciiTheme="minorBidi" w:hAnsiTheme="minorBidi"/>
                <w:lang w:val="fr"/>
              </w:rPr>
              <w:t>Organe d</w:t>
            </w:r>
            <w:r w:rsidR="00244CEA" w:rsidRPr="00F77221">
              <w:rPr>
                <w:rFonts w:asciiTheme="minorBidi" w:hAnsiTheme="minorBidi"/>
                <w:lang w:val="fr"/>
              </w:rPr>
              <w:t>’</w:t>
            </w:r>
            <w:r w:rsidRPr="00F77221">
              <w:rPr>
                <w:rFonts w:asciiTheme="minorBidi" w:hAnsiTheme="minorBidi"/>
                <w:lang w:val="fr"/>
              </w:rPr>
              <w:t>évaluation serait abandonnée, et l</w:t>
            </w:r>
            <w:r w:rsidR="00244CEA" w:rsidRPr="00F77221">
              <w:rPr>
                <w:rFonts w:asciiTheme="minorBidi" w:hAnsiTheme="minorBidi"/>
                <w:lang w:val="fr"/>
              </w:rPr>
              <w:t>’</w:t>
            </w:r>
            <w:r w:rsidRPr="00F77221">
              <w:rPr>
                <w:rFonts w:asciiTheme="minorBidi" w:hAnsiTheme="minorBidi"/>
                <w:lang w:val="fr"/>
              </w:rPr>
              <w:t>évaluation des candidatures devrait être confiée à un organe externe dont le fonctionnement devrait être soutenu financièrement.</w:t>
            </w:r>
          </w:p>
        </w:tc>
      </w:tr>
      <w:tr w:rsidR="007D2B08" w:rsidRPr="00E17DFF" w14:paraId="2F56377B" w14:textId="77777777" w:rsidTr="00EC30E9">
        <w:tc>
          <w:tcPr>
            <w:tcW w:w="9628" w:type="dxa"/>
            <w:shd w:val="clear" w:color="auto" w:fill="F2F2F2" w:themeFill="background1" w:themeFillShade="F2"/>
          </w:tcPr>
          <w:p w14:paraId="15EFE5F9" w14:textId="7AEE955D" w:rsidR="007D2B08" w:rsidRPr="00F77221" w:rsidRDefault="007D2B08" w:rsidP="00EC30E9">
            <w:pPr>
              <w:pStyle w:val="1GAPara"/>
              <w:widowControl w:val="0"/>
              <w:spacing w:before="120"/>
              <w:jc w:val="both"/>
              <w:rPr>
                <w:rFonts w:asciiTheme="minorBidi" w:hAnsiTheme="minorBidi" w:cstheme="minorBidi"/>
                <w:lang w:val="fr-FR"/>
              </w:rPr>
            </w:pPr>
            <w:r w:rsidRPr="005D2844">
              <w:rPr>
                <w:rFonts w:asciiTheme="minorBidi" w:hAnsiTheme="minorBidi" w:cstheme="minorBidi"/>
                <w:lang w:val="fr"/>
              </w:rPr>
              <w:t>→ Sans une augmentation significative des ressources</w:t>
            </w:r>
            <w:r w:rsidRPr="00F77221">
              <w:rPr>
                <w:rFonts w:asciiTheme="minorBidi" w:hAnsiTheme="minorBidi" w:cstheme="minorBidi"/>
                <w:lang w:val="fr"/>
              </w:rPr>
              <w:t>, le Secrétariat ne serait pas en mesure d</w:t>
            </w:r>
            <w:r w:rsidR="00244CEA" w:rsidRPr="00F77221">
              <w:rPr>
                <w:rFonts w:asciiTheme="minorBidi" w:hAnsiTheme="minorBidi" w:cstheme="minorBidi"/>
                <w:lang w:val="fr"/>
              </w:rPr>
              <w:t>’</w:t>
            </w:r>
            <w:r w:rsidRPr="00F77221">
              <w:rPr>
                <w:rFonts w:asciiTheme="minorBidi" w:hAnsiTheme="minorBidi" w:cstheme="minorBidi"/>
                <w:lang w:val="fr"/>
              </w:rPr>
              <w:t>entreprendre des opérations autres que l</w:t>
            </w:r>
            <w:r w:rsidR="00244CEA" w:rsidRPr="00F77221">
              <w:rPr>
                <w:rFonts w:asciiTheme="minorBidi" w:hAnsiTheme="minorBidi" w:cstheme="minorBidi"/>
                <w:lang w:val="fr"/>
              </w:rPr>
              <w:t>’</w:t>
            </w:r>
            <w:r w:rsidRPr="00F77221">
              <w:rPr>
                <w:rFonts w:asciiTheme="minorBidi" w:hAnsiTheme="minorBidi" w:cstheme="minorBidi"/>
                <w:lang w:val="fr"/>
              </w:rPr>
              <w:t>administration des mécanismes d</w:t>
            </w:r>
            <w:r w:rsidR="00244CEA" w:rsidRPr="00F77221">
              <w:rPr>
                <w:rFonts w:asciiTheme="minorBidi" w:hAnsiTheme="minorBidi" w:cstheme="minorBidi"/>
                <w:lang w:val="fr"/>
              </w:rPr>
              <w:t>’</w:t>
            </w:r>
            <w:r w:rsidRPr="00F77221">
              <w:rPr>
                <w:rFonts w:asciiTheme="minorBidi" w:hAnsiTheme="minorBidi" w:cstheme="minorBidi"/>
                <w:lang w:val="fr"/>
              </w:rPr>
              <w:t>inscription sur les listes (c</w:t>
            </w:r>
            <w:r w:rsidR="00244CEA" w:rsidRPr="00F77221">
              <w:rPr>
                <w:rFonts w:asciiTheme="minorBidi" w:hAnsiTheme="minorBidi" w:cstheme="minorBidi"/>
                <w:lang w:val="fr"/>
              </w:rPr>
              <w:t>’</w:t>
            </w:r>
            <w:r w:rsidRPr="00F77221">
              <w:rPr>
                <w:rFonts w:asciiTheme="minorBidi" w:hAnsiTheme="minorBidi" w:cstheme="minorBidi"/>
                <w:lang w:val="fr"/>
              </w:rPr>
              <w:t>est-à-dire les efforts de renforcement des capacités, la réponse aux situations d</w:t>
            </w:r>
            <w:r w:rsidR="00244CEA" w:rsidRPr="00F77221">
              <w:rPr>
                <w:rFonts w:asciiTheme="minorBidi" w:hAnsiTheme="minorBidi" w:cstheme="minorBidi"/>
                <w:lang w:val="fr"/>
              </w:rPr>
              <w:t>’</w:t>
            </w:r>
            <w:r w:rsidRPr="00F77221">
              <w:rPr>
                <w:rFonts w:asciiTheme="minorBidi" w:hAnsiTheme="minorBidi" w:cstheme="minorBidi"/>
                <w:lang w:val="fr"/>
              </w:rPr>
              <w:t>urgence, la contribution au développement durable, les initiatives thématiques ainsi que d</w:t>
            </w:r>
            <w:r w:rsidR="00244CEA" w:rsidRPr="00F77221">
              <w:rPr>
                <w:rFonts w:asciiTheme="minorBidi" w:hAnsiTheme="minorBidi" w:cstheme="minorBidi"/>
                <w:lang w:val="fr"/>
              </w:rPr>
              <w:t>’</w:t>
            </w:r>
            <w:r w:rsidRPr="00F77221">
              <w:rPr>
                <w:rFonts w:asciiTheme="minorBidi" w:hAnsiTheme="minorBidi" w:cstheme="minorBidi"/>
                <w:lang w:val="fr"/>
              </w:rPr>
              <w:t>autres activités opérationnelles) et les priorités de financement de la Convention devraient être redéfinies.</w:t>
            </w:r>
          </w:p>
        </w:tc>
      </w:tr>
      <w:tr w:rsidR="007D2B08" w:rsidRPr="00E17DFF" w14:paraId="74439FCE" w14:textId="77777777" w:rsidTr="00EC30E9">
        <w:tc>
          <w:tcPr>
            <w:tcW w:w="9628" w:type="dxa"/>
            <w:shd w:val="clear" w:color="auto" w:fill="F2F2F2" w:themeFill="background1" w:themeFillShade="F2"/>
          </w:tcPr>
          <w:p w14:paraId="199B421A" w14:textId="2DE5084C" w:rsidR="007D2B08" w:rsidRPr="00F77221" w:rsidRDefault="007D2B08" w:rsidP="00EC30E9">
            <w:pPr>
              <w:pStyle w:val="1GAPara"/>
              <w:widowControl w:val="0"/>
              <w:spacing w:before="120"/>
              <w:jc w:val="both"/>
              <w:rPr>
                <w:rFonts w:asciiTheme="minorBidi" w:hAnsiTheme="minorBidi" w:cstheme="minorBidi"/>
                <w:lang w:val="fr-FR"/>
              </w:rPr>
            </w:pPr>
            <w:r w:rsidRPr="005D2844">
              <w:rPr>
                <w:rFonts w:asciiTheme="minorBidi" w:hAnsiTheme="minorBidi" w:cstheme="minorBidi"/>
                <w:lang w:val="fr"/>
              </w:rPr>
              <w:t xml:space="preserve">→ Les dossiers en </w:t>
            </w:r>
            <w:r w:rsidR="004128AA" w:rsidRPr="005D2844">
              <w:rPr>
                <w:rFonts w:asciiTheme="minorBidi" w:hAnsiTheme="minorBidi" w:cstheme="minorBidi"/>
                <w:lang w:val="fr"/>
              </w:rPr>
              <w:t xml:space="preserve">attente </w:t>
            </w:r>
            <w:r w:rsidRPr="00F77221">
              <w:rPr>
                <w:rFonts w:asciiTheme="minorBidi" w:hAnsiTheme="minorBidi" w:cstheme="minorBidi"/>
                <w:lang w:val="fr"/>
              </w:rPr>
              <w:t>de plus de quatre ans seront automatiquement renvoyés aux États soumissionnaires.</w:t>
            </w:r>
          </w:p>
        </w:tc>
      </w:tr>
    </w:tbl>
    <w:p w14:paraId="6156A329" w14:textId="77777777" w:rsidR="007D2B08" w:rsidRPr="00EC30E9" w:rsidRDefault="007D2B08" w:rsidP="007D2B08">
      <w:pPr>
        <w:spacing w:after="0"/>
        <w:rPr>
          <w:rFonts w:ascii="Arial" w:hAnsi="Arial" w:cs="Arial"/>
          <w:snapToGrid w:val="0"/>
          <w:szCs w:val="22"/>
          <w:lang w:val="fr-FR"/>
        </w:rPr>
      </w:pPr>
      <w:r w:rsidRPr="007F5EB2">
        <w:rPr>
          <w:szCs w:val="22"/>
          <w:lang w:val="fr"/>
        </w:rPr>
        <w:br w:type="page"/>
      </w:r>
    </w:p>
    <w:p w14:paraId="1D96511B" w14:textId="77777777" w:rsidR="00FC5F1B" w:rsidRPr="00884042" w:rsidRDefault="00FC5F1B" w:rsidP="00563DDD">
      <w:pPr>
        <w:spacing w:after="0"/>
        <w:rPr>
          <w:rFonts w:ascii="Arial" w:hAnsi="Arial" w:cs="Arial"/>
          <w:snapToGrid w:val="0"/>
          <w:szCs w:val="22"/>
          <w:lang w:val="fr-FR"/>
        </w:rPr>
        <w:sectPr w:rsidR="00FC5F1B" w:rsidRPr="00884042" w:rsidSect="002938F2">
          <w:headerReference w:type="even" r:id="rId18"/>
          <w:headerReference w:type="default" r:id="rId19"/>
          <w:headerReference w:type="first" r:id="rId20"/>
          <w:pgSz w:w="11906" w:h="16838" w:code="9"/>
          <w:pgMar w:top="1418" w:right="1134" w:bottom="1134" w:left="1134" w:header="397" w:footer="284" w:gutter="0"/>
          <w:cols w:space="708"/>
          <w:titlePg/>
          <w:docGrid w:linePitch="360"/>
        </w:sectPr>
      </w:pPr>
    </w:p>
    <w:p w14:paraId="2AB24876" w14:textId="77777777" w:rsidR="00AE31B9" w:rsidRPr="00884042" w:rsidRDefault="008D48FA" w:rsidP="00561AE0">
      <w:pPr>
        <w:pStyle w:val="Titre1"/>
        <w:spacing w:after="240"/>
        <w:rPr>
          <w:rFonts w:ascii="Arial" w:eastAsia="Times New Roman" w:hAnsi="Arial" w:cs="Arial"/>
          <w:b/>
          <w:bCs/>
          <w:snapToGrid w:val="0"/>
          <w:color w:val="auto"/>
          <w:sz w:val="22"/>
          <w:szCs w:val="22"/>
          <w:lang w:val="fr-FR"/>
        </w:rPr>
      </w:pPr>
      <w:bookmarkStart w:id="0" w:name="_Annexe_I_:"/>
      <w:bookmarkStart w:id="1" w:name="_MailOriginal"/>
      <w:bookmarkEnd w:id="0"/>
      <w:r>
        <w:rPr>
          <w:rFonts w:ascii="Arial" w:eastAsia="Times New Roman" w:hAnsi="Arial" w:cs="Arial"/>
          <w:b/>
          <w:bCs/>
          <w:snapToGrid w:val="0"/>
          <w:color w:val="auto"/>
          <w:sz w:val="22"/>
          <w:szCs w:val="22"/>
          <w:lang w:val="fr"/>
        </w:rPr>
        <w:lastRenderedPageBreak/>
        <w:t>Annexe I : Nombre de dossiers par priorité depuis le cycle de 2015</w:t>
      </w:r>
    </w:p>
    <w:p w14:paraId="14928D91" w14:textId="77777777" w:rsidR="00AE31B9" w:rsidRPr="00884042" w:rsidRDefault="008D48FA" w:rsidP="00AE31B9">
      <w:pPr>
        <w:keepNext/>
        <w:rPr>
          <w:rFonts w:ascii="Arial" w:hAnsi="Arial" w:cs="Arial"/>
          <w:lang w:val="fr-FR"/>
        </w:rPr>
      </w:pPr>
      <w:r>
        <w:rPr>
          <w:rFonts w:ascii="Arial" w:hAnsi="Arial" w:cs="Arial"/>
          <w:lang w:val="fr"/>
        </w:rPr>
        <w:t>Le tableau ci-dessous résume le nombre de dossiers traités par ordre de priorité.</w:t>
      </w:r>
    </w:p>
    <w:tbl>
      <w:tblPr>
        <w:tblStyle w:val="Grilledutableau"/>
        <w:tblW w:w="10100" w:type="dxa"/>
        <w:tblInd w:w="-147" w:type="dxa"/>
        <w:tblLayout w:type="fixed"/>
        <w:tblLook w:val="04A0" w:firstRow="1" w:lastRow="0" w:firstColumn="1" w:lastColumn="0" w:noHBand="0" w:noVBand="1"/>
      </w:tblPr>
      <w:tblGrid>
        <w:gridCol w:w="851"/>
        <w:gridCol w:w="2126"/>
        <w:gridCol w:w="1276"/>
        <w:gridCol w:w="992"/>
        <w:gridCol w:w="1276"/>
        <w:gridCol w:w="992"/>
        <w:gridCol w:w="1418"/>
        <w:gridCol w:w="1169"/>
      </w:tblGrid>
      <w:tr w:rsidR="00B6785F" w:rsidRPr="00E17DFF" w14:paraId="6AC41138" w14:textId="77777777" w:rsidTr="00EF2D6F">
        <w:trPr>
          <w:trHeight w:val="386"/>
        </w:trPr>
        <w:tc>
          <w:tcPr>
            <w:tcW w:w="851" w:type="dxa"/>
            <w:vMerge w:val="restart"/>
            <w:shd w:val="clear" w:color="auto" w:fill="B8CCE4"/>
          </w:tcPr>
          <w:p w14:paraId="554DBE14" w14:textId="77777777" w:rsidR="00E3533D" w:rsidRPr="00DF06A3" w:rsidRDefault="008D48FA" w:rsidP="002A69EB">
            <w:pPr>
              <w:jc w:val="center"/>
              <w:rPr>
                <w:rFonts w:ascii="Arial" w:hAnsi="Arial" w:cs="Arial"/>
                <w:b/>
              </w:rPr>
            </w:pPr>
            <w:r>
              <w:rPr>
                <w:rFonts w:ascii="Arial" w:hAnsi="Arial" w:cs="Arial"/>
                <w:b/>
                <w:bCs/>
                <w:lang w:val="fr"/>
              </w:rPr>
              <w:t>Cycle</w:t>
            </w:r>
          </w:p>
        </w:tc>
        <w:tc>
          <w:tcPr>
            <w:tcW w:w="5670" w:type="dxa"/>
            <w:gridSpan w:val="4"/>
            <w:shd w:val="clear" w:color="auto" w:fill="B8CCE4"/>
          </w:tcPr>
          <w:p w14:paraId="2281ED45" w14:textId="77777777" w:rsidR="00E3533D" w:rsidRPr="00884042" w:rsidRDefault="008D48FA" w:rsidP="002A69EB">
            <w:pPr>
              <w:jc w:val="center"/>
              <w:rPr>
                <w:rFonts w:ascii="Arial" w:hAnsi="Arial" w:cs="Arial"/>
                <w:b/>
                <w:lang w:val="fr-FR"/>
              </w:rPr>
            </w:pPr>
            <w:r>
              <w:rPr>
                <w:rFonts w:ascii="Arial" w:hAnsi="Arial" w:cs="Arial"/>
                <w:b/>
                <w:bCs/>
                <w:lang w:val="fr"/>
              </w:rPr>
              <w:t>Nombre de dossiers par niveau de priorité</w:t>
            </w:r>
          </w:p>
        </w:tc>
        <w:tc>
          <w:tcPr>
            <w:tcW w:w="992" w:type="dxa"/>
            <w:vMerge w:val="restart"/>
            <w:shd w:val="clear" w:color="auto" w:fill="B8CCE4"/>
          </w:tcPr>
          <w:p w14:paraId="6D782809" w14:textId="77777777" w:rsidR="00E3533D" w:rsidRPr="00884042" w:rsidRDefault="008D48FA" w:rsidP="002A69EB">
            <w:pPr>
              <w:rPr>
                <w:rFonts w:ascii="Arial" w:hAnsi="Arial" w:cs="Arial"/>
                <w:sz w:val="20"/>
                <w:szCs w:val="20"/>
                <w:lang w:val="fr-FR"/>
              </w:rPr>
            </w:pPr>
            <w:r>
              <w:rPr>
                <w:rFonts w:ascii="Arial" w:hAnsi="Arial" w:cs="Arial"/>
                <w:sz w:val="20"/>
                <w:szCs w:val="20"/>
                <w:lang w:val="fr"/>
              </w:rPr>
              <w:t>Nombre total de dossiers traités</w:t>
            </w:r>
          </w:p>
        </w:tc>
        <w:tc>
          <w:tcPr>
            <w:tcW w:w="1418" w:type="dxa"/>
            <w:vMerge w:val="restart"/>
            <w:shd w:val="clear" w:color="auto" w:fill="B8CCE4"/>
          </w:tcPr>
          <w:p w14:paraId="35A4D569" w14:textId="7D254AE8" w:rsidR="00E3533D" w:rsidRPr="00884042" w:rsidRDefault="008D48FA" w:rsidP="002A69EB">
            <w:pPr>
              <w:rPr>
                <w:rFonts w:ascii="Arial" w:hAnsi="Arial" w:cs="Arial"/>
                <w:sz w:val="20"/>
                <w:szCs w:val="20"/>
                <w:lang w:val="fr-FR"/>
              </w:rPr>
            </w:pPr>
            <w:r>
              <w:rPr>
                <w:rFonts w:ascii="Arial" w:hAnsi="Arial" w:cs="Arial"/>
                <w:sz w:val="20"/>
                <w:szCs w:val="20"/>
                <w:lang w:val="fr"/>
              </w:rPr>
              <w:t>Nombre d</w:t>
            </w:r>
            <w:r w:rsidR="00244CEA">
              <w:rPr>
                <w:rFonts w:ascii="Arial" w:hAnsi="Arial" w:cs="Arial"/>
                <w:sz w:val="20"/>
                <w:szCs w:val="20"/>
                <w:lang w:val="fr"/>
              </w:rPr>
              <w:t>’</w:t>
            </w:r>
            <w:r>
              <w:rPr>
                <w:rFonts w:ascii="Arial" w:hAnsi="Arial" w:cs="Arial"/>
                <w:sz w:val="20"/>
                <w:szCs w:val="20"/>
                <w:lang w:val="fr"/>
              </w:rPr>
              <w:t>États pour lesquels aucun</w:t>
            </w:r>
            <w:r w:rsidR="004128AA">
              <w:rPr>
                <w:rFonts w:ascii="Arial" w:hAnsi="Arial" w:cs="Arial"/>
                <w:sz w:val="20"/>
                <w:szCs w:val="20"/>
                <w:lang w:val="fr"/>
              </w:rPr>
              <w:t xml:space="preserve"> dossier</w:t>
            </w:r>
            <w:r>
              <w:rPr>
                <w:rFonts w:ascii="Arial" w:hAnsi="Arial" w:cs="Arial"/>
                <w:sz w:val="20"/>
                <w:szCs w:val="20"/>
                <w:lang w:val="fr"/>
              </w:rPr>
              <w:t xml:space="preserve"> national n</w:t>
            </w:r>
            <w:r w:rsidR="00244CEA">
              <w:rPr>
                <w:rFonts w:ascii="Arial" w:hAnsi="Arial" w:cs="Arial"/>
                <w:sz w:val="20"/>
                <w:szCs w:val="20"/>
                <w:lang w:val="fr"/>
              </w:rPr>
              <w:t>’</w:t>
            </w:r>
            <w:r>
              <w:rPr>
                <w:rFonts w:ascii="Arial" w:hAnsi="Arial" w:cs="Arial"/>
                <w:sz w:val="20"/>
                <w:szCs w:val="20"/>
                <w:lang w:val="fr"/>
              </w:rPr>
              <w:t>a pu être traité</w:t>
            </w:r>
          </w:p>
        </w:tc>
        <w:tc>
          <w:tcPr>
            <w:tcW w:w="1169" w:type="dxa"/>
            <w:vMerge w:val="restart"/>
            <w:shd w:val="clear" w:color="auto" w:fill="B8CCE4"/>
          </w:tcPr>
          <w:p w14:paraId="0F9BE59A" w14:textId="1AB7B1A7" w:rsidR="00E3533D" w:rsidRPr="00884042" w:rsidRDefault="008D48FA" w:rsidP="002A69EB">
            <w:pPr>
              <w:rPr>
                <w:rFonts w:ascii="Arial" w:hAnsi="Arial" w:cs="Arial"/>
                <w:sz w:val="20"/>
                <w:szCs w:val="20"/>
                <w:lang w:val="fr-FR"/>
              </w:rPr>
            </w:pPr>
            <w:r>
              <w:rPr>
                <w:rFonts w:ascii="Arial" w:hAnsi="Arial" w:cs="Arial"/>
                <w:sz w:val="20"/>
                <w:szCs w:val="20"/>
                <w:lang w:val="fr"/>
              </w:rPr>
              <w:t>Nombre de dossiers multinationaux qui n</w:t>
            </w:r>
            <w:r w:rsidR="00244CEA">
              <w:rPr>
                <w:rFonts w:ascii="Arial" w:hAnsi="Arial" w:cs="Arial"/>
                <w:sz w:val="20"/>
                <w:szCs w:val="20"/>
                <w:lang w:val="fr"/>
              </w:rPr>
              <w:t>’</w:t>
            </w:r>
            <w:r>
              <w:rPr>
                <w:rFonts w:ascii="Arial" w:hAnsi="Arial" w:cs="Arial"/>
                <w:sz w:val="20"/>
                <w:szCs w:val="20"/>
                <w:lang w:val="fr"/>
              </w:rPr>
              <w:t xml:space="preserve">ont pas pu être traités </w:t>
            </w:r>
          </w:p>
        </w:tc>
      </w:tr>
      <w:tr w:rsidR="00B6785F" w:rsidRPr="00E17DFF" w14:paraId="13DD5EEC" w14:textId="77777777" w:rsidTr="00EF2D6F">
        <w:tc>
          <w:tcPr>
            <w:tcW w:w="851" w:type="dxa"/>
            <w:vMerge/>
            <w:shd w:val="clear" w:color="auto" w:fill="B6DDE8" w:themeFill="accent5" w:themeFillTint="66"/>
          </w:tcPr>
          <w:p w14:paraId="7ED58E19" w14:textId="77777777" w:rsidR="00E3533D" w:rsidRPr="00884042" w:rsidRDefault="00E3533D" w:rsidP="002A69EB">
            <w:pPr>
              <w:ind w:left="-113"/>
              <w:jc w:val="center"/>
              <w:rPr>
                <w:rFonts w:ascii="Arial" w:hAnsi="Arial" w:cs="Arial"/>
                <w:b/>
                <w:lang w:val="fr-FR"/>
              </w:rPr>
            </w:pPr>
          </w:p>
        </w:tc>
        <w:tc>
          <w:tcPr>
            <w:tcW w:w="2126" w:type="dxa"/>
            <w:shd w:val="clear" w:color="auto" w:fill="B8CCE4"/>
          </w:tcPr>
          <w:p w14:paraId="61B93F7A" w14:textId="77777777" w:rsidR="00E3533D" w:rsidRPr="00884042" w:rsidRDefault="008D48FA" w:rsidP="002A69EB">
            <w:pPr>
              <w:rPr>
                <w:rFonts w:ascii="Arial" w:hAnsi="Arial" w:cs="Arial"/>
                <w:sz w:val="20"/>
                <w:szCs w:val="20"/>
                <w:lang w:val="fr-FR"/>
              </w:rPr>
            </w:pPr>
            <w:r>
              <w:rPr>
                <w:rFonts w:ascii="Arial" w:hAnsi="Arial" w:cs="Arial"/>
                <w:sz w:val="20"/>
                <w:szCs w:val="20"/>
                <w:lang w:val="fr"/>
              </w:rPr>
              <w:t>(0) aucun dossier national traité au cours du cycle précédent</w:t>
            </w:r>
          </w:p>
        </w:tc>
        <w:tc>
          <w:tcPr>
            <w:tcW w:w="1276" w:type="dxa"/>
            <w:shd w:val="clear" w:color="auto" w:fill="B8CCE4"/>
          </w:tcPr>
          <w:p w14:paraId="1AC528D4" w14:textId="77777777" w:rsidR="00E3533D" w:rsidRPr="00884042" w:rsidRDefault="008D48FA" w:rsidP="002A69EB">
            <w:pPr>
              <w:rPr>
                <w:rFonts w:ascii="Arial" w:hAnsi="Arial" w:cs="Arial"/>
                <w:sz w:val="20"/>
                <w:szCs w:val="20"/>
                <w:lang w:val="fr-FR"/>
              </w:rPr>
            </w:pPr>
            <w:r>
              <w:rPr>
                <w:rFonts w:ascii="Arial" w:hAnsi="Arial" w:cs="Arial"/>
                <w:sz w:val="20"/>
                <w:szCs w:val="20"/>
                <w:lang w:val="fr"/>
              </w:rPr>
              <w:t>(i) aucun élément national inscrit ni dossier LSU</w:t>
            </w:r>
          </w:p>
        </w:tc>
        <w:tc>
          <w:tcPr>
            <w:tcW w:w="992" w:type="dxa"/>
            <w:shd w:val="clear" w:color="auto" w:fill="B8CCE4"/>
          </w:tcPr>
          <w:p w14:paraId="18BC0A03" w14:textId="77777777" w:rsidR="00E3533D" w:rsidRPr="00DF06A3" w:rsidRDefault="008D48FA" w:rsidP="002A69EB">
            <w:pPr>
              <w:rPr>
                <w:rFonts w:ascii="Arial" w:hAnsi="Arial" w:cs="Arial"/>
                <w:sz w:val="20"/>
                <w:szCs w:val="20"/>
              </w:rPr>
            </w:pPr>
            <w:r>
              <w:rPr>
                <w:rFonts w:ascii="Arial" w:hAnsi="Arial" w:cs="Arial"/>
                <w:sz w:val="20"/>
                <w:szCs w:val="20"/>
                <w:lang w:val="fr"/>
              </w:rPr>
              <w:t>(ii) dossiers multinationaux</w:t>
            </w:r>
          </w:p>
        </w:tc>
        <w:tc>
          <w:tcPr>
            <w:tcW w:w="1276" w:type="dxa"/>
            <w:shd w:val="clear" w:color="auto" w:fill="B8CCE4"/>
          </w:tcPr>
          <w:p w14:paraId="00D8C306" w14:textId="14270174" w:rsidR="00E3533D" w:rsidRPr="00884042" w:rsidRDefault="008D48FA" w:rsidP="002A69EB">
            <w:pPr>
              <w:rPr>
                <w:rFonts w:ascii="Arial" w:hAnsi="Arial" w:cs="Arial"/>
                <w:sz w:val="20"/>
                <w:szCs w:val="20"/>
                <w:lang w:val="fr-FR"/>
              </w:rPr>
            </w:pPr>
            <w:r>
              <w:rPr>
                <w:rFonts w:ascii="Arial" w:hAnsi="Arial" w:cs="Arial"/>
                <w:sz w:val="20"/>
                <w:szCs w:val="20"/>
                <w:lang w:val="fr"/>
              </w:rPr>
              <w:t>(iii) le moins d</w:t>
            </w:r>
            <w:r w:rsidR="00244CEA">
              <w:rPr>
                <w:rFonts w:ascii="Arial" w:hAnsi="Arial" w:cs="Arial"/>
                <w:sz w:val="20"/>
                <w:szCs w:val="20"/>
                <w:lang w:val="fr"/>
              </w:rPr>
              <w:t>’</w:t>
            </w:r>
            <w:r>
              <w:rPr>
                <w:rFonts w:ascii="Arial" w:hAnsi="Arial" w:cs="Arial"/>
                <w:sz w:val="20"/>
                <w:szCs w:val="20"/>
                <w:lang w:val="fr"/>
              </w:rPr>
              <w:t>éléments nationaux inscrits</w:t>
            </w:r>
          </w:p>
        </w:tc>
        <w:tc>
          <w:tcPr>
            <w:tcW w:w="992" w:type="dxa"/>
            <w:vMerge/>
            <w:shd w:val="clear" w:color="auto" w:fill="B6DDE8" w:themeFill="accent5" w:themeFillTint="66"/>
          </w:tcPr>
          <w:p w14:paraId="16BE7DEC" w14:textId="77777777" w:rsidR="00E3533D" w:rsidRPr="00884042" w:rsidRDefault="00E3533D" w:rsidP="002A69EB">
            <w:pPr>
              <w:rPr>
                <w:rFonts w:ascii="Arial" w:hAnsi="Arial" w:cs="Arial"/>
                <w:b/>
                <w:sz w:val="20"/>
                <w:szCs w:val="20"/>
                <w:lang w:val="fr-FR"/>
              </w:rPr>
            </w:pPr>
          </w:p>
        </w:tc>
        <w:tc>
          <w:tcPr>
            <w:tcW w:w="1418" w:type="dxa"/>
            <w:vMerge/>
            <w:shd w:val="clear" w:color="auto" w:fill="B6DDE8" w:themeFill="accent5" w:themeFillTint="66"/>
          </w:tcPr>
          <w:p w14:paraId="24F177D1" w14:textId="77777777" w:rsidR="00E3533D" w:rsidRPr="00884042" w:rsidRDefault="00E3533D" w:rsidP="002A69EB">
            <w:pPr>
              <w:rPr>
                <w:rFonts w:ascii="Arial" w:hAnsi="Arial" w:cs="Arial"/>
                <w:b/>
                <w:sz w:val="20"/>
                <w:szCs w:val="20"/>
                <w:lang w:val="fr-FR"/>
              </w:rPr>
            </w:pPr>
          </w:p>
        </w:tc>
        <w:tc>
          <w:tcPr>
            <w:tcW w:w="1169" w:type="dxa"/>
            <w:vMerge/>
            <w:shd w:val="clear" w:color="auto" w:fill="B6DDE8" w:themeFill="accent5" w:themeFillTint="66"/>
          </w:tcPr>
          <w:p w14:paraId="5E8E4AED" w14:textId="77777777" w:rsidR="00E3533D" w:rsidRPr="00884042" w:rsidRDefault="00E3533D" w:rsidP="002A69EB">
            <w:pPr>
              <w:rPr>
                <w:rFonts w:ascii="Arial" w:hAnsi="Arial" w:cs="Arial"/>
                <w:b/>
                <w:sz w:val="20"/>
                <w:szCs w:val="20"/>
                <w:lang w:val="fr-FR"/>
              </w:rPr>
            </w:pPr>
          </w:p>
        </w:tc>
      </w:tr>
      <w:tr w:rsidR="00B6785F" w14:paraId="5E90C63B" w14:textId="77777777" w:rsidTr="00884042">
        <w:tc>
          <w:tcPr>
            <w:tcW w:w="851" w:type="dxa"/>
            <w:shd w:val="clear" w:color="auto" w:fill="D9D9D9" w:themeFill="background1" w:themeFillShade="D9"/>
          </w:tcPr>
          <w:p w14:paraId="498D6A09" w14:textId="4ACB3202" w:rsidR="00E3533D" w:rsidRPr="00DF06A3" w:rsidRDefault="008D48FA">
            <w:pPr>
              <w:ind w:left="-113"/>
              <w:jc w:val="center"/>
              <w:rPr>
                <w:rFonts w:ascii="Arial" w:hAnsi="Arial" w:cs="Arial"/>
                <w:bCs/>
              </w:rPr>
            </w:pPr>
            <w:r>
              <w:rPr>
                <w:rFonts w:ascii="Arial" w:hAnsi="Arial" w:cs="Arial"/>
                <w:b/>
                <w:bCs/>
                <w:lang w:val="fr"/>
              </w:rPr>
              <w:t>2015</w:t>
            </w:r>
          </w:p>
        </w:tc>
        <w:tc>
          <w:tcPr>
            <w:tcW w:w="2126" w:type="dxa"/>
          </w:tcPr>
          <w:p w14:paraId="5129BC13" w14:textId="77777777" w:rsidR="00E3533D" w:rsidRPr="00DF06A3" w:rsidRDefault="008D48FA" w:rsidP="002A69EB">
            <w:pPr>
              <w:rPr>
                <w:rFonts w:ascii="Arial" w:hAnsi="Arial" w:cs="Arial"/>
                <w:sz w:val="20"/>
                <w:szCs w:val="20"/>
              </w:rPr>
            </w:pPr>
            <w:r>
              <w:rPr>
                <w:rFonts w:ascii="Arial" w:hAnsi="Arial" w:cs="Arial"/>
                <w:sz w:val="20"/>
                <w:szCs w:val="20"/>
                <w:lang w:val="fr"/>
              </w:rPr>
              <w:t>Non applicable</w:t>
            </w:r>
          </w:p>
        </w:tc>
        <w:tc>
          <w:tcPr>
            <w:tcW w:w="1276" w:type="dxa"/>
          </w:tcPr>
          <w:p w14:paraId="492118D1" w14:textId="77777777" w:rsidR="00E3533D" w:rsidRPr="00DF06A3" w:rsidRDefault="008D48FA" w:rsidP="002A69EB">
            <w:pPr>
              <w:rPr>
                <w:rFonts w:ascii="Arial" w:hAnsi="Arial" w:cs="Arial"/>
                <w:sz w:val="20"/>
                <w:szCs w:val="20"/>
              </w:rPr>
            </w:pPr>
            <w:r>
              <w:rPr>
                <w:rFonts w:ascii="Arial" w:hAnsi="Arial" w:cs="Arial"/>
                <w:sz w:val="20"/>
                <w:szCs w:val="20"/>
                <w:lang w:val="fr"/>
              </w:rPr>
              <w:t>14 (aucun élément)</w:t>
            </w:r>
          </w:p>
          <w:p w14:paraId="15C1E3B1" w14:textId="77777777" w:rsidR="00E3533D" w:rsidRPr="00DF06A3" w:rsidRDefault="008D48FA" w:rsidP="002A69EB">
            <w:pPr>
              <w:rPr>
                <w:rFonts w:ascii="Arial" w:hAnsi="Arial" w:cs="Arial"/>
                <w:sz w:val="20"/>
                <w:szCs w:val="20"/>
              </w:rPr>
            </w:pPr>
            <w:r>
              <w:rPr>
                <w:rFonts w:ascii="Arial" w:hAnsi="Arial" w:cs="Arial"/>
                <w:sz w:val="20"/>
                <w:szCs w:val="20"/>
                <w:lang w:val="fr"/>
              </w:rPr>
              <w:t>9 (LSU)</w:t>
            </w:r>
          </w:p>
        </w:tc>
        <w:tc>
          <w:tcPr>
            <w:tcW w:w="992" w:type="dxa"/>
          </w:tcPr>
          <w:p w14:paraId="4A48C801" w14:textId="77777777" w:rsidR="00E3533D" w:rsidRPr="00DF06A3" w:rsidRDefault="008D48FA" w:rsidP="002A69EB">
            <w:pPr>
              <w:rPr>
                <w:rFonts w:ascii="Arial" w:hAnsi="Arial" w:cs="Arial"/>
                <w:sz w:val="20"/>
                <w:szCs w:val="20"/>
              </w:rPr>
            </w:pPr>
            <w:r>
              <w:rPr>
                <w:rFonts w:ascii="Arial" w:hAnsi="Arial" w:cs="Arial"/>
                <w:sz w:val="20"/>
                <w:szCs w:val="20"/>
                <w:lang w:val="fr"/>
              </w:rPr>
              <w:t>7</w:t>
            </w:r>
          </w:p>
        </w:tc>
        <w:tc>
          <w:tcPr>
            <w:tcW w:w="1276" w:type="dxa"/>
          </w:tcPr>
          <w:p w14:paraId="44CCD33D" w14:textId="77777777" w:rsidR="0063527F" w:rsidRDefault="008D48FA" w:rsidP="002A69EB">
            <w:pPr>
              <w:rPr>
                <w:rFonts w:ascii="Arial" w:hAnsi="Arial" w:cs="Arial"/>
                <w:sz w:val="20"/>
                <w:szCs w:val="20"/>
                <w:lang w:val="fr"/>
              </w:rPr>
            </w:pPr>
            <w:r>
              <w:rPr>
                <w:rFonts w:ascii="Arial" w:hAnsi="Arial" w:cs="Arial"/>
                <w:sz w:val="20"/>
                <w:szCs w:val="20"/>
                <w:lang w:val="fr"/>
              </w:rPr>
              <w:t xml:space="preserve">20 </w:t>
            </w:r>
          </w:p>
          <w:p w14:paraId="652DABDF" w14:textId="6408E883" w:rsidR="00E3533D" w:rsidRPr="00DF06A3" w:rsidRDefault="008D48FA" w:rsidP="002A69EB">
            <w:pPr>
              <w:rPr>
                <w:rFonts w:ascii="Arial" w:hAnsi="Arial" w:cs="Arial"/>
                <w:sz w:val="20"/>
                <w:szCs w:val="20"/>
              </w:rPr>
            </w:pPr>
            <w:r>
              <w:rPr>
                <w:rFonts w:ascii="Arial" w:hAnsi="Arial" w:cs="Arial"/>
                <w:sz w:val="20"/>
                <w:szCs w:val="20"/>
                <w:lang w:val="fr"/>
              </w:rPr>
              <w:t>(</w:t>
            </w:r>
            <w:proofErr w:type="gramStart"/>
            <w:r>
              <w:rPr>
                <w:rFonts w:ascii="Arial" w:hAnsi="Arial" w:cs="Arial"/>
                <w:sz w:val="20"/>
                <w:szCs w:val="20"/>
                <w:lang w:val="fr"/>
              </w:rPr>
              <w:t>jusqu</w:t>
            </w:r>
            <w:r w:rsidR="00244CEA">
              <w:rPr>
                <w:rFonts w:ascii="Arial" w:hAnsi="Arial" w:cs="Arial"/>
                <w:sz w:val="20"/>
                <w:szCs w:val="20"/>
                <w:lang w:val="fr"/>
              </w:rPr>
              <w:t>’</w:t>
            </w:r>
            <w:r>
              <w:rPr>
                <w:rFonts w:ascii="Arial" w:hAnsi="Arial" w:cs="Arial"/>
                <w:sz w:val="20"/>
                <w:szCs w:val="20"/>
                <w:lang w:val="fr"/>
              </w:rPr>
              <w:t>à</w:t>
            </w:r>
            <w:proofErr w:type="gramEnd"/>
            <w:r>
              <w:rPr>
                <w:rFonts w:ascii="Arial" w:hAnsi="Arial" w:cs="Arial"/>
                <w:sz w:val="20"/>
                <w:szCs w:val="20"/>
                <w:lang w:val="fr"/>
              </w:rPr>
              <w:t xml:space="preserve"> 7 éléments)</w:t>
            </w:r>
          </w:p>
        </w:tc>
        <w:tc>
          <w:tcPr>
            <w:tcW w:w="992" w:type="dxa"/>
          </w:tcPr>
          <w:p w14:paraId="24277E3A" w14:textId="77777777" w:rsidR="00E3533D" w:rsidRPr="00DF06A3" w:rsidRDefault="008D48FA" w:rsidP="002A69EB">
            <w:pPr>
              <w:rPr>
                <w:rFonts w:ascii="Arial" w:hAnsi="Arial" w:cs="Arial"/>
                <w:sz w:val="20"/>
                <w:szCs w:val="20"/>
              </w:rPr>
            </w:pPr>
            <w:r>
              <w:rPr>
                <w:rFonts w:ascii="Arial" w:hAnsi="Arial" w:cs="Arial"/>
                <w:sz w:val="20"/>
                <w:szCs w:val="20"/>
                <w:lang w:val="fr"/>
              </w:rPr>
              <w:t>50</w:t>
            </w:r>
          </w:p>
        </w:tc>
        <w:tc>
          <w:tcPr>
            <w:tcW w:w="1418" w:type="dxa"/>
          </w:tcPr>
          <w:p w14:paraId="1A224659" w14:textId="77777777" w:rsidR="00E3533D" w:rsidRPr="00DF06A3" w:rsidRDefault="008D48FA" w:rsidP="002A69EB">
            <w:pPr>
              <w:rPr>
                <w:rFonts w:ascii="Arial" w:hAnsi="Arial" w:cs="Arial"/>
                <w:sz w:val="20"/>
                <w:szCs w:val="20"/>
              </w:rPr>
            </w:pPr>
            <w:r>
              <w:rPr>
                <w:rFonts w:ascii="Arial" w:hAnsi="Arial" w:cs="Arial"/>
                <w:sz w:val="20"/>
                <w:szCs w:val="20"/>
                <w:lang w:val="fr"/>
              </w:rPr>
              <w:t>11 États</w:t>
            </w:r>
            <w:r>
              <w:rPr>
                <w:rStyle w:val="Appelnotedebasdep"/>
                <w:rFonts w:ascii="Arial" w:hAnsi="Arial" w:cs="Arial"/>
                <w:sz w:val="20"/>
                <w:szCs w:val="20"/>
                <w:lang w:val="fr"/>
              </w:rPr>
              <w:footnoteReference w:id="6"/>
            </w:r>
          </w:p>
        </w:tc>
        <w:tc>
          <w:tcPr>
            <w:tcW w:w="1169" w:type="dxa"/>
          </w:tcPr>
          <w:p w14:paraId="2FF17E8D" w14:textId="77777777" w:rsidR="00E3533D" w:rsidRPr="00DF06A3" w:rsidRDefault="008D48FA" w:rsidP="002A69EB">
            <w:pPr>
              <w:rPr>
                <w:rFonts w:ascii="Arial" w:hAnsi="Arial" w:cs="Arial"/>
                <w:sz w:val="20"/>
                <w:szCs w:val="20"/>
              </w:rPr>
            </w:pPr>
            <w:r>
              <w:rPr>
                <w:rFonts w:ascii="Arial" w:hAnsi="Arial" w:cs="Arial"/>
                <w:sz w:val="20"/>
                <w:szCs w:val="20"/>
                <w:lang w:val="fr"/>
              </w:rPr>
              <w:t>0</w:t>
            </w:r>
          </w:p>
        </w:tc>
      </w:tr>
      <w:tr w:rsidR="00B6785F" w14:paraId="323BE127" w14:textId="77777777" w:rsidTr="00884042">
        <w:tc>
          <w:tcPr>
            <w:tcW w:w="851" w:type="dxa"/>
            <w:shd w:val="clear" w:color="auto" w:fill="D9D9D9" w:themeFill="background1" w:themeFillShade="D9"/>
          </w:tcPr>
          <w:p w14:paraId="07EF7CE5" w14:textId="6FE7667D" w:rsidR="00E3533D" w:rsidRPr="00DF06A3" w:rsidRDefault="008D48FA">
            <w:pPr>
              <w:ind w:left="-113"/>
              <w:jc w:val="center"/>
              <w:rPr>
                <w:rFonts w:ascii="Arial" w:hAnsi="Arial" w:cs="Arial"/>
                <w:bCs/>
              </w:rPr>
            </w:pPr>
            <w:r>
              <w:rPr>
                <w:rFonts w:ascii="Arial" w:hAnsi="Arial" w:cs="Arial"/>
                <w:b/>
                <w:bCs/>
                <w:lang w:val="fr"/>
              </w:rPr>
              <w:t>2016</w:t>
            </w:r>
          </w:p>
        </w:tc>
        <w:tc>
          <w:tcPr>
            <w:tcW w:w="2126" w:type="dxa"/>
          </w:tcPr>
          <w:p w14:paraId="09971F0F" w14:textId="49730A3C" w:rsidR="00E3533D" w:rsidRPr="00884042" w:rsidRDefault="008D48FA" w:rsidP="002A69EB">
            <w:pPr>
              <w:rPr>
                <w:rFonts w:ascii="Arial" w:hAnsi="Arial" w:cs="Arial"/>
                <w:sz w:val="20"/>
                <w:szCs w:val="20"/>
                <w:lang w:val="fr-FR"/>
              </w:rPr>
            </w:pPr>
            <w:r>
              <w:rPr>
                <w:rFonts w:ascii="Arial" w:hAnsi="Arial" w:cs="Arial"/>
                <w:sz w:val="20"/>
                <w:szCs w:val="20"/>
                <w:lang w:val="fr"/>
              </w:rPr>
              <w:t>11 États ayant soumis un dossier national qui n</w:t>
            </w:r>
            <w:r w:rsidR="00244CEA">
              <w:rPr>
                <w:rFonts w:ascii="Arial" w:hAnsi="Arial" w:cs="Arial"/>
                <w:sz w:val="20"/>
                <w:szCs w:val="20"/>
                <w:lang w:val="fr"/>
              </w:rPr>
              <w:t>’</w:t>
            </w:r>
            <w:r>
              <w:rPr>
                <w:rFonts w:ascii="Arial" w:hAnsi="Arial" w:cs="Arial"/>
                <w:sz w:val="20"/>
                <w:szCs w:val="20"/>
                <w:lang w:val="fr"/>
              </w:rPr>
              <w:t>a pas pu être traité en 2015</w:t>
            </w:r>
          </w:p>
        </w:tc>
        <w:tc>
          <w:tcPr>
            <w:tcW w:w="1276" w:type="dxa"/>
          </w:tcPr>
          <w:p w14:paraId="058F28F7" w14:textId="77777777" w:rsidR="00E3533D" w:rsidRPr="00DF06A3" w:rsidRDefault="008D48FA" w:rsidP="002A69EB">
            <w:pPr>
              <w:rPr>
                <w:rFonts w:ascii="Arial" w:hAnsi="Arial" w:cs="Arial"/>
                <w:sz w:val="20"/>
                <w:szCs w:val="20"/>
              </w:rPr>
            </w:pPr>
            <w:r>
              <w:rPr>
                <w:rFonts w:ascii="Arial" w:hAnsi="Arial" w:cs="Arial"/>
                <w:sz w:val="20"/>
                <w:szCs w:val="20"/>
                <w:lang w:val="fr"/>
              </w:rPr>
              <w:t>12 (aucun élément)</w:t>
            </w:r>
          </w:p>
          <w:p w14:paraId="60234D24" w14:textId="77777777" w:rsidR="00E3533D" w:rsidRPr="00DF06A3" w:rsidRDefault="008D48FA" w:rsidP="002A69EB">
            <w:pPr>
              <w:rPr>
                <w:rFonts w:ascii="Arial" w:hAnsi="Arial" w:cs="Arial"/>
                <w:sz w:val="20"/>
                <w:szCs w:val="20"/>
              </w:rPr>
            </w:pPr>
            <w:r>
              <w:rPr>
                <w:rFonts w:ascii="Arial" w:hAnsi="Arial" w:cs="Arial"/>
                <w:sz w:val="20"/>
                <w:szCs w:val="20"/>
                <w:lang w:val="fr"/>
              </w:rPr>
              <w:t>6 (LSU)</w:t>
            </w:r>
          </w:p>
        </w:tc>
        <w:tc>
          <w:tcPr>
            <w:tcW w:w="992" w:type="dxa"/>
          </w:tcPr>
          <w:p w14:paraId="45534DDF" w14:textId="77777777" w:rsidR="00E3533D" w:rsidRPr="00DF06A3" w:rsidRDefault="008D48FA" w:rsidP="002A69EB">
            <w:pPr>
              <w:rPr>
                <w:rFonts w:ascii="Arial" w:hAnsi="Arial" w:cs="Arial"/>
                <w:sz w:val="20"/>
                <w:szCs w:val="20"/>
              </w:rPr>
            </w:pPr>
            <w:r>
              <w:rPr>
                <w:rFonts w:ascii="Arial" w:hAnsi="Arial" w:cs="Arial"/>
                <w:sz w:val="20"/>
                <w:szCs w:val="20"/>
                <w:lang w:val="fr"/>
              </w:rPr>
              <w:t>3</w:t>
            </w:r>
          </w:p>
        </w:tc>
        <w:tc>
          <w:tcPr>
            <w:tcW w:w="1276" w:type="dxa"/>
          </w:tcPr>
          <w:p w14:paraId="5FFD7B2B" w14:textId="77777777" w:rsidR="0063527F" w:rsidRDefault="008D48FA" w:rsidP="002A69EB">
            <w:pPr>
              <w:rPr>
                <w:rFonts w:ascii="Arial" w:hAnsi="Arial" w:cs="Arial"/>
                <w:sz w:val="20"/>
                <w:szCs w:val="20"/>
                <w:lang w:val="fr"/>
              </w:rPr>
            </w:pPr>
            <w:r>
              <w:rPr>
                <w:rFonts w:ascii="Arial" w:hAnsi="Arial" w:cs="Arial"/>
                <w:sz w:val="20"/>
                <w:szCs w:val="20"/>
                <w:lang w:val="fr"/>
              </w:rPr>
              <w:t>19</w:t>
            </w:r>
          </w:p>
          <w:p w14:paraId="27DF3E27" w14:textId="16BBECED" w:rsidR="00E3533D" w:rsidRPr="00DF06A3" w:rsidRDefault="008D48FA" w:rsidP="002A69EB">
            <w:pPr>
              <w:rPr>
                <w:rFonts w:ascii="Arial" w:hAnsi="Arial" w:cs="Arial"/>
                <w:sz w:val="20"/>
                <w:szCs w:val="20"/>
              </w:rPr>
            </w:pPr>
            <w:r>
              <w:rPr>
                <w:rFonts w:ascii="Arial" w:hAnsi="Arial" w:cs="Arial"/>
                <w:sz w:val="20"/>
                <w:szCs w:val="20"/>
                <w:lang w:val="fr"/>
              </w:rPr>
              <w:t>(</w:t>
            </w:r>
            <w:proofErr w:type="gramStart"/>
            <w:r>
              <w:rPr>
                <w:rFonts w:ascii="Arial" w:hAnsi="Arial" w:cs="Arial"/>
                <w:sz w:val="20"/>
                <w:szCs w:val="20"/>
                <w:lang w:val="fr"/>
              </w:rPr>
              <w:t>jusqu</w:t>
            </w:r>
            <w:r w:rsidR="00244CEA">
              <w:rPr>
                <w:rFonts w:ascii="Arial" w:hAnsi="Arial" w:cs="Arial"/>
                <w:sz w:val="20"/>
                <w:szCs w:val="20"/>
                <w:lang w:val="fr"/>
              </w:rPr>
              <w:t>’</w:t>
            </w:r>
            <w:r>
              <w:rPr>
                <w:rFonts w:ascii="Arial" w:hAnsi="Arial" w:cs="Arial"/>
                <w:sz w:val="20"/>
                <w:szCs w:val="20"/>
                <w:lang w:val="fr"/>
              </w:rPr>
              <w:t>à</w:t>
            </w:r>
            <w:proofErr w:type="gramEnd"/>
            <w:r>
              <w:rPr>
                <w:rFonts w:ascii="Arial" w:hAnsi="Arial" w:cs="Arial"/>
                <w:sz w:val="20"/>
                <w:szCs w:val="20"/>
                <w:lang w:val="fr"/>
              </w:rPr>
              <w:t xml:space="preserve"> 3 éléments)</w:t>
            </w:r>
          </w:p>
        </w:tc>
        <w:tc>
          <w:tcPr>
            <w:tcW w:w="992" w:type="dxa"/>
          </w:tcPr>
          <w:p w14:paraId="3A60255A" w14:textId="77777777" w:rsidR="00E3533D" w:rsidRPr="00DF06A3" w:rsidRDefault="008D48FA" w:rsidP="002A69EB">
            <w:pPr>
              <w:rPr>
                <w:rFonts w:ascii="Arial" w:hAnsi="Arial" w:cs="Arial"/>
                <w:sz w:val="20"/>
                <w:szCs w:val="20"/>
              </w:rPr>
            </w:pPr>
            <w:r>
              <w:rPr>
                <w:rFonts w:ascii="Arial" w:hAnsi="Arial" w:cs="Arial"/>
                <w:sz w:val="20"/>
                <w:szCs w:val="20"/>
                <w:lang w:val="fr"/>
              </w:rPr>
              <w:t>51</w:t>
            </w:r>
          </w:p>
        </w:tc>
        <w:tc>
          <w:tcPr>
            <w:tcW w:w="1418" w:type="dxa"/>
          </w:tcPr>
          <w:p w14:paraId="1585B69A" w14:textId="77777777" w:rsidR="00E3533D" w:rsidRPr="00DF06A3" w:rsidRDefault="008D48FA" w:rsidP="002A69EB">
            <w:pPr>
              <w:rPr>
                <w:rFonts w:ascii="Arial" w:hAnsi="Arial" w:cs="Arial"/>
                <w:sz w:val="20"/>
                <w:szCs w:val="20"/>
              </w:rPr>
            </w:pPr>
            <w:r>
              <w:rPr>
                <w:rFonts w:ascii="Arial" w:hAnsi="Arial" w:cs="Arial"/>
                <w:sz w:val="20"/>
                <w:szCs w:val="20"/>
                <w:lang w:val="fr"/>
              </w:rPr>
              <w:t>12 États</w:t>
            </w:r>
            <w:r>
              <w:rPr>
                <w:rStyle w:val="Appelnotedebasdep"/>
                <w:rFonts w:ascii="Arial" w:hAnsi="Arial" w:cs="Arial"/>
                <w:sz w:val="20"/>
                <w:szCs w:val="20"/>
                <w:lang w:val="fr"/>
              </w:rPr>
              <w:footnoteReference w:id="7"/>
            </w:r>
          </w:p>
        </w:tc>
        <w:tc>
          <w:tcPr>
            <w:tcW w:w="1169" w:type="dxa"/>
          </w:tcPr>
          <w:p w14:paraId="45BB01AB" w14:textId="77777777" w:rsidR="00E3533D" w:rsidRPr="00DF06A3" w:rsidRDefault="008D48FA" w:rsidP="002A69EB">
            <w:pPr>
              <w:rPr>
                <w:rFonts w:ascii="Arial" w:hAnsi="Arial" w:cs="Arial"/>
                <w:sz w:val="20"/>
                <w:szCs w:val="20"/>
              </w:rPr>
            </w:pPr>
            <w:r>
              <w:rPr>
                <w:rFonts w:ascii="Arial" w:hAnsi="Arial" w:cs="Arial"/>
                <w:sz w:val="20"/>
                <w:szCs w:val="20"/>
                <w:lang w:val="fr"/>
              </w:rPr>
              <w:t>0</w:t>
            </w:r>
          </w:p>
        </w:tc>
      </w:tr>
      <w:tr w:rsidR="00B6785F" w14:paraId="5420909D" w14:textId="77777777" w:rsidTr="00884042">
        <w:tc>
          <w:tcPr>
            <w:tcW w:w="851" w:type="dxa"/>
            <w:shd w:val="clear" w:color="auto" w:fill="D9D9D9" w:themeFill="background1" w:themeFillShade="D9"/>
          </w:tcPr>
          <w:p w14:paraId="39763327" w14:textId="7778E8A4" w:rsidR="00E3533D" w:rsidRPr="00DF06A3" w:rsidRDefault="008D48FA">
            <w:pPr>
              <w:ind w:left="-113"/>
              <w:jc w:val="center"/>
              <w:rPr>
                <w:rFonts w:ascii="Arial" w:hAnsi="Arial" w:cs="Arial"/>
                <w:bCs/>
              </w:rPr>
            </w:pPr>
            <w:r>
              <w:rPr>
                <w:rFonts w:ascii="Arial" w:hAnsi="Arial" w:cs="Arial"/>
                <w:b/>
                <w:bCs/>
                <w:lang w:val="fr"/>
              </w:rPr>
              <w:t>2017</w:t>
            </w:r>
          </w:p>
        </w:tc>
        <w:tc>
          <w:tcPr>
            <w:tcW w:w="2126" w:type="dxa"/>
          </w:tcPr>
          <w:p w14:paraId="069539FC" w14:textId="3F7116DD" w:rsidR="00E3533D" w:rsidRPr="00884042" w:rsidRDefault="008D48FA" w:rsidP="002A69EB">
            <w:pPr>
              <w:rPr>
                <w:rFonts w:ascii="Arial" w:hAnsi="Arial" w:cs="Arial"/>
                <w:sz w:val="20"/>
                <w:szCs w:val="20"/>
                <w:lang w:val="fr-FR"/>
              </w:rPr>
            </w:pPr>
            <w:r>
              <w:rPr>
                <w:rFonts w:ascii="Arial" w:hAnsi="Arial" w:cs="Arial"/>
                <w:sz w:val="20"/>
                <w:szCs w:val="20"/>
                <w:lang w:val="fr"/>
              </w:rPr>
              <w:t>11 États</w:t>
            </w:r>
            <w:r>
              <w:rPr>
                <w:rStyle w:val="Appelnotedebasdep"/>
                <w:rFonts w:ascii="Arial" w:hAnsi="Arial" w:cs="Arial"/>
                <w:sz w:val="20"/>
                <w:szCs w:val="20"/>
                <w:lang w:val="fr"/>
              </w:rPr>
              <w:footnoteReference w:id="8"/>
            </w:r>
            <w:r>
              <w:rPr>
                <w:rFonts w:ascii="Arial" w:hAnsi="Arial" w:cs="Arial"/>
                <w:sz w:val="20"/>
                <w:szCs w:val="20"/>
                <w:lang w:val="fr"/>
              </w:rPr>
              <w:t xml:space="preserve"> ayant soumis un dossier national qui n</w:t>
            </w:r>
            <w:r w:rsidR="00244CEA">
              <w:rPr>
                <w:rFonts w:ascii="Arial" w:hAnsi="Arial" w:cs="Arial"/>
                <w:sz w:val="20"/>
                <w:szCs w:val="20"/>
                <w:lang w:val="fr"/>
              </w:rPr>
              <w:t>’</w:t>
            </w:r>
            <w:r>
              <w:rPr>
                <w:rFonts w:ascii="Arial" w:hAnsi="Arial" w:cs="Arial"/>
                <w:sz w:val="20"/>
                <w:szCs w:val="20"/>
                <w:lang w:val="fr"/>
              </w:rPr>
              <w:t>a pas pu être traité en 2016 ;</w:t>
            </w:r>
          </w:p>
          <w:p w14:paraId="25DE31B8" w14:textId="183B078C" w:rsidR="00E3533D" w:rsidRPr="00884042" w:rsidRDefault="008D48FA" w:rsidP="002A69EB">
            <w:pPr>
              <w:rPr>
                <w:rFonts w:ascii="Arial" w:hAnsi="Arial" w:cs="Arial"/>
                <w:sz w:val="20"/>
                <w:szCs w:val="20"/>
                <w:lang w:val="fr-FR"/>
              </w:rPr>
            </w:pPr>
            <w:r>
              <w:rPr>
                <w:rFonts w:ascii="Arial" w:hAnsi="Arial" w:cs="Arial"/>
                <w:sz w:val="20"/>
                <w:szCs w:val="20"/>
                <w:lang w:val="fr"/>
              </w:rPr>
              <w:t>11 États</w:t>
            </w:r>
            <w:r>
              <w:rPr>
                <w:rStyle w:val="Appelnotedebasdep"/>
                <w:rFonts w:ascii="Arial" w:hAnsi="Arial" w:cs="Arial"/>
                <w:sz w:val="20"/>
                <w:szCs w:val="20"/>
                <w:lang w:val="fr"/>
              </w:rPr>
              <w:footnoteReference w:id="9"/>
            </w:r>
            <w:r>
              <w:rPr>
                <w:rFonts w:ascii="Arial" w:hAnsi="Arial" w:cs="Arial"/>
                <w:sz w:val="20"/>
                <w:szCs w:val="20"/>
                <w:lang w:val="fr"/>
              </w:rPr>
              <w:t xml:space="preserve"> qui n</w:t>
            </w:r>
            <w:r w:rsidR="00244CEA">
              <w:rPr>
                <w:rFonts w:ascii="Arial" w:hAnsi="Arial" w:cs="Arial"/>
                <w:sz w:val="20"/>
                <w:szCs w:val="20"/>
                <w:lang w:val="fr"/>
              </w:rPr>
              <w:t>’</w:t>
            </w:r>
            <w:r>
              <w:rPr>
                <w:rFonts w:ascii="Arial" w:hAnsi="Arial" w:cs="Arial"/>
                <w:sz w:val="20"/>
                <w:szCs w:val="20"/>
                <w:lang w:val="fr"/>
              </w:rPr>
              <w:t xml:space="preserve">ont pas soumis de </w:t>
            </w:r>
            <w:r w:rsidR="004128AA">
              <w:rPr>
                <w:rFonts w:ascii="Arial" w:hAnsi="Arial" w:cs="Arial"/>
                <w:sz w:val="20"/>
                <w:szCs w:val="20"/>
                <w:lang w:val="fr"/>
              </w:rPr>
              <w:t xml:space="preserve">dossier </w:t>
            </w:r>
            <w:r>
              <w:rPr>
                <w:rFonts w:ascii="Arial" w:hAnsi="Arial" w:cs="Arial"/>
                <w:sz w:val="20"/>
                <w:szCs w:val="20"/>
                <w:lang w:val="fr"/>
              </w:rPr>
              <w:t>national pour le cycle de 2016</w:t>
            </w:r>
          </w:p>
        </w:tc>
        <w:tc>
          <w:tcPr>
            <w:tcW w:w="1276" w:type="dxa"/>
          </w:tcPr>
          <w:p w14:paraId="58262A06" w14:textId="77777777" w:rsidR="00E3533D" w:rsidRPr="00DF06A3" w:rsidRDefault="008D48FA" w:rsidP="002A69EB">
            <w:pPr>
              <w:rPr>
                <w:rFonts w:ascii="Arial" w:hAnsi="Arial" w:cs="Arial"/>
                <w:sz w:val="20"/>
                <w:szCs w:val="20"/>
              </w:rPr>
            </w:pPr>
            <w:r>
              <w:rPr>
                <w:rFonts w:ascii="Arial" w:hAnsi="Arial" w:cs="Arial"/>
                <w:sz w:val="20"/>
                <w:szCs w:val="20"/>
                <w:lang w:val="fr"/>
              </w:rPr>
              <w:t>5 (aucun élément)</w:t>
            </w:r>
          </w:p>
          <w:p w14:paraId="4B26FB46" w14:textId="77777777" w:rsidR="00E3533D" w:rsidRPr="00DF06A3" w:rsidRDefault="008D48FA" w:rsidP="002A69EB">
            <w:pPr>
              <w:rPr>
                <w:rFonts w:ascii="Arial" w:hAnsi="Arial" w:cs="Arial"/>
                <w:sz w:val="20"/>
                <w:szCs w:val="20"/>
              </w:rPr>
            </w:pPr>
            <w:r>
              <w:rPr>
                <w:rFonts w:ascii="Arial" w:hAnsi="Arial" w:cs="Arial"/>
                <w:sz w:val="20"/>
                <w:szCs w:val="20"/>
                <w:lang w:val="fr"/>
              </w:rPr>
              <w:t>3 (LSU)</w:t>
            </w:r>
          </w:p>
        </w:tc>
        <w:tc>
          <w:tcPr>
            <w:tcW w:w="992" w:type="dxa"/>
          </w:tcPr>
          <w:p w14:paraId="31829721" w14:textId="77777777" w:rsidR="00E3533D" w:rsidRPr="00DF06A3" w:rsidRDefault="008D48FA" w:rsidP="002A69EB">
            <w:pPr>
              <w:rPr>
                <w:rFonts w:ascii="Arial" w:hAnsi="Arial" w:cs="Arial"/>
                <w:sz w:val="20"/>
                <w:szCs w:val="20"/>
              </w:rPr>
            </w:pPr>
            <w:r>
              <w:rPr>
                <w:rFonts w:ascii="Arial" w:hAnsi="Arial" w:cs="Arial"/>
                <w:sz w:val="20"/>
                <w:szCs w:val="20"/>
                <w:lang w:val="fr"/>
              </w:rPr>
              <w:t>3</w:t>
            </w:r>
          </w:p>
        </w:tc>
        <w:tc>
          <w:tcPr>
            <w:tcW w:w="1276" w:type="dxa"/>
          </w:tcPr>
          <w:p w14:paraId="5F369B50" w14:textId="77777777" w:rsidR="0063527F" w:rsidRDefault="008D48FA" w:rsidP="002A69EB">
            <w:pPr>
              <w:rPr>
                <w:rFonts w:ascii="Arial" w:hAnsi="Arial" w:cs="Arial"/>
                <w:sz w:val="20"/>
                <w:szCs w:val="20"/>
                <w:lang w:val="fr"/>
              </w:rPr>
            </w:pPr>
            <w:r>
              <w:rPr>
                <w:rFonts w:ascii="Arial" w:hAnsi="Arial" w:cs="Arial"/>
                <w:sz w:val="20"/>
                <w:szCs w:val="20"/>
                <w:lang w:val="fr"/>
              </w:rPr>
              <w:t xml:space="preserve">17 </w:t>
            </w:r>
          </w:p>
          <w:p w14:paraId="79EC99A3" w14:textId="1972ABD4" w:rsidR="00E3533D" w:rsidRPr="00DF06A3" w:rsidRDefault="008D48FA" w:rsidP="002A69EB">
            <w:pPr>
              <w:rPr>
                <w:rFonts w:ascii="Arial" w:hAnsi="Arial" w:cs="Arial"/>
                <w:sz w:val="20"/>
                <w:szCs w:val="20"/>
              </w:rPr>
            </w:pPr>
            <w:r>
              <w:rPr>
                <w:rFonts w:ascii="Arial" w:hAnsi="Arial" w:cs="Arial"/>
                <w:sz w:val="20"/>
                <w:szCs w:val="20"/>
                <w:lang w:val="fr"/>
              </w:rPr>
              <w:t>(</w:t>
            </w:r>
            <w:proofErr w:type="gramStart"/>
            <w:r>
              <w:rPr>
                <w:rFonts w:ascii="Arial" w:hAnsi="Arial" w:cs="Arial"/>
                <w:sz w:val="20"/>
                <w:szCs w:val="20"/>
                <w:lang w:val="fr"/>
              </w:rPr>
              <w:t>jusqu</w:t>
            </w:r>
            <w:r w:rsidR="00244CEA">
              <w:rPr>
                <w:rFonts w:ascii="Arial" w:hAnsi="Arial" w:cs="Arial"/>
                <w:sz w:val="20"/>
                <w:szCs w:val="20"/>
                <w:lang w:val="fr"/>
              </w:rPr>
              <w:t>’</w:t>
            </w:r>
            <w:r>
              <w:rPr>
                <w:rFonts w:ascii="Arial" w:hAnsi="Arial" w:cs="Arial"/>
                <w:sz w:val="20"/>
                <w:szCs w:val="20"/>
                <w:lang w:val="fr"/>
              </w:rPr>
              <w:t>à</w:t>
            </w:r>
            <w:proofErr w:type="gramEnd"/>
            <w:r>
              <w:rPr>
                <w:rFonts w:ascii="Arial" w:hAnsi="Arial" w:cs="Arial"/>
                <w:sz w:val="20"/>
                <w:szCs w:val="20"/>
                <w:lang w:val="fr"/>
              </w:rPr>
              <w:t xml:space="preserve"> 10 éléments)</w:t>
            </w:r>
          </w:p>
        </w:tc>
        <w:tc>
          <w:tcPr>
            <w:tcW w:w="992" w:type="dxa"/>
          </w:tcPr>
          <w:p w14:paraId="04CEFB74" w14:textId="77777777" w:rsidR="00E3533D" w:rsidRPr="00DF06A3" w:rsidRDefault="008D48FA" w:rsidP="002A69EB">
            <w:pPr>
              <w:rPr>
                <w:rFonts w:ascii="Arial" w:hAnsi="Arial" w:cs="Arial"/>
                <w:sz w:val="20"/>
                <w:szCs w:val="20"/>
              </w:rPr>
            </w:pPr>
            <w:r>
              <w:rPr>
                <w:rFonts w:ascii="Arial" w:hAnsi="Arial" w:cs="Arial"/>
                <w:sz w:val="20"/>
                <w:szCs w:val="20"/>
                <w:lang w:val="fr"/>
              </w:rPr>
              <w:t>50</w:t>
            </w:r>
          </w:p>
        </w:tc>
        <w:tc>
          <w:tcPr>
            <w:tcW w:w="1418" w:type="dxa"/>
          </w:tcPr>
          <w:p w14:paraId="139140B9" w14:textId="77777777" w:rsidR="00E3533D" w:rsidRPr="00DF06A3" w:rsidRDefault="008D48FA" w:rsidP="002A69EB">
            <w:pPr>
              <w:rPr>
                <w:rFonts w:ascii="Arial" w:hAnsi="Arial" w:cs="Arial"/>
                <w:sz w:val="20"/>
                <w:szCs w:val="20"/>
              </w:rPr>
            </w:pPr>
            <w:r>
              <w:rPr>
                <w:rFonts w:ascii="Arial" w:hAnsi="Arial" w:cs="Arial"/>
                <w:sz w:val="20"/>
                <w:szCs w:val="20"/>
                <w:lang w:val="fr"/>
              </w:rPr>
              <w:t>5 États</w:t>
            </w:r>
            <w:r>
              <w:rPr>
                <w:rStyle w:val="Appelnotedebasdep"/>
                <w:rFonts w:ascii="Arial" w:hAnsi="Arial" w:cs="Arial"/>
                <w:sz w:val="20"/>
                <w:szCs w:val="20"/>
                <w:lang w:val="fr"/>
              </w:rPr>
              <w:footnoteReference w:id="10"/>
            </w:r>
          </w:p>
        </w:tc>
        <w:tc>
          <w:tcPr>
            <w:tcW w:w="1169" w:type="dxa"/>
          </w:tcPr>
          <w:p w14:paraId="466CB9CC" w14:textId="77777777" w:rsidR="00E3533D" w:rsidRPr="00DF06A3" w:rsidRDefault="008D48FA" w:rsidP="002A69EB">
            <w:pPr>
              <w:rPr>
                <w:rFonts w:ascii="Arial" w:hAnsi="Arial" w:cs="Arial"/>
                <w:sz w:val="20"/>
                <w:szCs w:val="20"/>
              </w:rPr>
            </w:pPr>
            <w:r>
              <w:rPr>
                <w:rFonts w:ascii="Arial" w:hAnsi="Arial" w:cs="Arial"/>
                <w:sz w:val="20"/>
                <w:szCs w:val="20"/>
                <w:lang w:val="fr"/>
              </w:rPr>
              <w:t>0</w:t>
            </w:r>
          </w:p>
        </w:tc>
      </w:tr>
      <w:tr w:rsidR="00B6785F" w14:paraId="47BF6CAF" w14:textId="77777777" w:rsidTr="00884042">
        <w:tc>
          <w:tcPr>
            <w:tcW w:w="851" w:type="dxa"/>
            <w:shd w:val="clear" w:color="auto" w:fill="D9D9D9" w:themeFill="background1" w:themeFillShade="D9"/>
          </w:tcPr>
          <w:p w14:paraId="669D2680" w14:textId="35F5ECAD" w:rsidR="00E3533D" w:rsidRPr="00DF06A3" w:rsidRDefault="008D48FA">
            <w:pPr>
              <w:ind w:left="-113"/>
              <w:jc w:val="center"/>
              <w:rPr>
                <w:rFonts w:ascii="Arial" w:hAnsi="Arial" w:cs="Arial"/>
                <w:bCs/>
              </w:rPr>
            </w:pPr>
            <w:r>
              <w:rPr>
                <w:rFonts w:ascii="Arial" w:hAnsi="Arial" w:cs="Arial"/>
                <w:b/>
                <w:bCs/>
                <w:lang w:val="fr"/>
              </w:rPr>
              <w:t>2018</w:t>
            </w:r>
          </w:p>
        </w:tc>
        <w:tc>
          <w:tcPr>
            <w:tcW w:w="2126" w:type="dxa"/>
          </w:tcPr>
          <w:p w14:paraId="35DAEC25" w14:textId="43E921EE" w:rsidR="00E3533D" w:rsidRPr="00884042" w:rsidRDefault="008D48FA" w:rsidP="002A69EB">
            <w:pPr>
              <w:rPr>
                <w:rFonts w:ascii="Arial" w:hAnsi="Arial" w:cs="Arial"/>
                <w:sz w:val="20"/>
                <w:szCs w:val="20"/>
                <w:lang w:val="fr-FR"/>
              </w:rPr>
            </w:pPr>
            <w:r>
              <w:rPr>
                <w:rFonts w:ascii="Arial" w:hAnsi="Arial" w:cs="Arial"/>
                <w:sz w:val="20"/>
                <w:szCs w:val="20"/>
                <w:lang w:val="fr"/>
              </w:rPr>
              <w:t>5 États ayant déposé un dossier national qui n</w:t>
            </w:r>
            <w:r w:rsidR="00244CEA">
              <w:rPr>
                <w:rFonts w:ascii="Arial" w:hAnsi="Arial" w:cs="Arial"/>
                <w:sz w:val="20"/>
                <w:szCs w:val="20"/>
                <w:lang w:val="fr"/>
              </w:rPr>
              <w:t>’</w:t>
            </w:r>
            <w:r>
              <w:rPr>
                <w:rFonts w:ascii="Arial" w:hAnsi="Arial" w:cs="Arial"/>
                <w:sz w:val="20"/>
                <w:szCs w:val="20"/>
                <w:lang w:val="fr"/>
              </w:rPr>
              <w:t>a pas pu être traité en 2017 ;</w:t>
            </w:r>
          </w:p>
          <w:p w14:paraId="2AA22208" w14:textId="2B9D316F" w:rsidR="00E3533D" w:rsidRPr="00884042" w:rsidRDefault="008D48FA" w:rsidP="002A69EB">
            <w:pPr>
              <w:rPr>
                <w:rFonts w:ascii="Arial" w:hAnsi="Arial" w:cs="Arial"/>
                <w:sz w:val="20"/>
                <w:szCs w:val="20"/>
                <w:lang w:val="fr-FR"/>
              </w:rPr>
            </w:pPr>
            <w:r>
              <w:rPr>
                <w:rFonts w:ascii="Arial" w:hAnsi="Arial" w:cs="Arial"/>
                <w:sz w:val="20"/>
                <w:szCs w:val="20"/>
                <w:lang w:val="fr"/>
              </w:rPr>
              <w:t>20 États</w:t>
            </w:r>
            <w:r>
              <w:rPr>
                <w:rStyle w:val="Appelnotedebasdep"/>
                <w:rFonts w:ascii="Arial" w:hAnsi="Arial" w:cs="Arial"/>
                <w:sz w:val="20"/>
                <w:szCs w:val="20"/>
                <w:lang w:val="fr"/>
              </w:rPr>
              <w:footnoteReference w:id="11"/>
            </w:r>
            <w:r>
              <w:rPr>
                <w:rFonts w:ascii="Arial" w:hAnsi="Arial" w:cs="Arial"/>
                <w:sz w:val="20"/>
                <w:szCs w:val="20"/>
                <w:lang w:val="fr"/>
              </w:rPr>
              <w:t xml:space="preserve"> qui n</w:t>
            </w:r>
            <w:r w:rsidR="00244CEA">
              <w:rPr>
                <w:rFonts w:ascii="Arial" w:hAnsi="Arial" w:cs="Arial"/>
                <w:sz w:val="20"/>
                <w:szCs w:val="20"/>
                <w:lang w:val="fr"/>
              </w:rPr>
              <w:t>’</w:t>
            </w:r>
            <w:r>
              <w:rPr>
                <w:rFonts w:ascii="Arial" w:hAnsi="Arial" w:cs="Arial"/>
                <w:sz w:val="20"/>
                <w:szCs w:val="20"/>
                <w:lang w:val="fr"/>
              </w:rPr>
              <w:t xml:space="preserve">ont pas soumis de </w:t>
            </w:r>
            <w:r w:rsidR="004128AA">
              <w:rPr>
                <w:rFonts w:ascii="Arial" w:hAnsi="Arial" w:cs="Arial"/>
                <w:sz w:val="20"/>
                <w:szCs w:val="20"/>
                <w:lang w:val="fr"/>
              </w:rPr>
              <w:t xml:space="preserve">dossier </w:t>
            </w:r>
            <w:r>
              <w:rPr>
                <w:rFonts w:ascii="Arial" w:hAnsi="Arial" w:cs="Arial"/>
                <w:sz w:val="20"/>
                <w:szCs w:val="20"/>
                <w:lang w:val="fr"/>
              </w:rPr>
              <w:t>national pour le cycle de 2017</w:t>
            </w:r>
          </w:p>
        </w:tc>
        <w:tc>
          <w:tcPr>
            <w:tcW w:w="1276" w:type="dxa"/>
          </w:tcPr>
          <w:p w14:paraId="29005789" w14:textId="77777777" w:rsidR="00E3533D" w:rsidRPr="00DF06A3" w:rsidRDefault="008D48FA" w:rsidP="002A69EB">
            <w:pPr>
              <w:rPr>
                <w:rFonts w:ascii="Arial" w:hAnsi="Arial" w:cs="Arial"/>
                <w:sz w:val="20"/>
                <w:szCs w:val="20"/>
              </w:rPr>
            </w:pPr>
            <w:r>
              <w:rPr>
                <w:rFonts w:ascii="Arial" w:hAnsi="Arial" w:cs="Arial"/>
                <w:sz w:val="20"/>
                <w:szCs w:val="20"/>
                <w:lang w:val="fr"/>
              </w:rPr>
              <w:t>3 (aucun élément)</w:t>
            </w:r>
          </w:p>
          <w:p w14:paraId="0D2AF951" w14:textId="77777777" w:rsidR="00E3533D" w:rsidRPr="00DF06A3" w:rsidRDefault="008D48FA" w:rsidP="002A69EB">
            <w:pPr>
              <w:rPr>
                <w:rFonts w:ascii="Arial" w:hAnsi="Arial" w:cs="Arial"/>
                <w:sz w:val="20"/>
                <w:szCs w:val="20"/>
              </w:rPr>
            </w:pPr>
            <w:r>
              <w:rPr>
                <w:rFonts w:ascii="Arial" w:hAnsi="Arial" w:cs="Arial"/>
                <w:sz w:val="20"/>
                <w:szCs w:val="20"/>
                <w:lang w:val="fr"/>
              </w:rPr>
              <w:t>4 (LSU)</w:t>
            </w:r>
          </w:p>
        </w:tc>
        <w:tc>
          <w:tcPr>
            <w:tcW w:w="992" w:type="dxa"/>
          </w:tcPr>
          <w:p w14:paraId="44AB4409" w14:textId="77777777" w:rsidR="00E3533D" w:rsidRPr="00DF06A3" w:rsidRDefault="008D48FA" w:rsidP="002A69EB">
            <w:pPr>
              <w:rPr>
                <w:rFonts w:ascii="Arial" w:hAnsi="Arial" w:cs="Arial"/>
                <w:sz w:val="20"/>
                <w:szCs w:val="20"/>
              </w:rPr>
            </w:pPr>
            <w:r>
              <w:rPr>
                <w:rFonts w:ascii="Arial" w:hAnsi="Arial" w:cs="Arial"/>
                <w:sz w:val="20"/>
                <w:szCs w:val="20"/>
                <w:lang w:val="fr"/>
              </w:rPr>
              <w:t>6</w:t>
            </w:r>
          </w:p>
        </w:tc>
        <w:tc>
          <w:tcPr>
            <w:tcW w:w="1276" w:type="dxa"/>
          </w:tcPr>
          <w:p w14:paraId="5A929D3A" w14:textId="77777777" w:rsidR="0063527F" w:rsidRDefault="008D48FA" w:rsidP="002A69EB">
            <w:pPr>
              <w:rPr>
                <w:rFonts w:ascii="Arial" w:hAnsi="Arial" w:cs="Arial"/>
                <w:sz w:val="20"/>
                <w:szCs w:val="20"/>
                <w:lang w:val="fr"/>
              </w:rPr>
            </w:pPr>
            <w:r>
              <w:rPr>
                <w:rFonts w:ascii="Arial" w:hAnsi="Arial" w:cs="Arial"/>
                <w:sz w:val="20"/>
                <w:szCs w:val="20"/>
                <w:lang w:val="fr"/>
              </w:rPr>
              <w:t xml:space="preserve">12 </w:t>
            </w:r>
          </w:p>
          <w:p w14:paraId="795DDC2A" w14:textId="4CF127D9" w:rsidR="00E3533D" w:rsidRPr="00DF06A3" w:rsidRDefault="008D48FA" w:rsidP="002A69EB">
            <w:pPr>
              <w:rPr>
                <w:rFonts w:ascii="Arial" w:hAnsi="Arial" w:cs="Arial"/>
                <w:sz w:val="20"/>
                <w:szCs w:val="20"/>
              </w:rPr>
            </w:pPr>
            <w:r>
              <w:rPr>
                <w:rFonts w:ascii="Arial" w:hAnsi="Arial" w:cs="Arial"/>
                <w:sz w:val="20"/>
                <w:szCs w:val="20"/>
                <w:lang w:val="fr"/>
              </w:rPr>
              <w:t>(</w:t>
            </w:r>
            <w:proofErr w:type="gramStart"/>
            <w:r>
              <w:rPr>
                <w:rFonts w:ascii="Arial" w:hAnsi="Arial" w:cs="Arial"/>
                <w:sz w:val="20"/>
                <w:szCs w:val="20"/>
                <w:lang w:val="fr"/>
              </w:rPr>
              <w:t>jusqu</w:t>
            </w:r>
            <w:r w:rsidR="00244CEA">
              <w:rPr>
                <w:rFonts w:ascii="Arial" w:hAnsi="Arial" w:cs="Arial"/>
                <w:sz w:val="20"/>
                <w:szCs w:val="20"/>
                <w:lang w:val="fr"/>
              </w:rPr>
              <w:t>’</w:t>
            </w:r>
            <w:r>
              <w:rPr>
                <w:rFonts w:ascii="Arial" w:hAnsi="Arial" w:cs="Arial"/>
                <w:sz w:val="20"/>
                <w:szCs w:val="20"/>
                <w:lang w:val="fr"/>
              </w:rPr>
              <w:t>à</w:t>
            </w:r>
            <w:proofErr w:type="gramEnd"/>
            <w:r>
              <w:rPr>
                <w:rFonts w:ascii="Arial" w:hAnsi="Arial" w:cs="Arial"/>
                <w:sz w:val="20"/>
                <w:szCs w:val="20"/>
                <w:lang w:val="fr"/>
              </w:rPr>
              <w:t xml:space="preserve"> 3 éléments)</w:t>
            </w:r>
          </w:p>
        </w:tc>
        <w:tc>
          <w:tcPr>
            <w:tcW w:w="992" w:type="dxa"/>
          </w:tcPr>
          <w:p w14:paraId="20D441BA" w14:textId="77777777" w:rsidR="00E3533D" w:rsidRPr="00DF06A3" w:rsidRDefault="008D48FA" w:rsidP="002A69EB">
            <w:pPr>
              <w:rPr>
                <w:rFonts w:ascii="Arial" w:hAnsi="Arial" w:cs="Arial"/>
                <w:sz w:val="20"/>
                <w:szCs w:val="20"/>
              </w:rPr>
            </w:pPr>
            <w:r>
              <w:rPr>
                <w:rFonts w:ascii="Arial" w:hAnsi="Arial" w:cs="Arial"/>
                <w:sz w:val="20"/>
                <w:szCs w:val="20"/>
                <w:lang w:val="fr"/>
              </w:rPr>
              <w:t>50</w:t>
            </w:r>
          </w:p>
        </w:tc>
        <w:tc>
          <w:tcPr>
            <w:tcW w:w="1418" w:type="dxa"/>
          </w:tcPr>
          <w:p w14:paraId="09EA49D3" w14:textId="77777777" w:rsidR="00E3533D" w:rsidRPr="00DF06A3" w:rsidRDefault="008D48FA" w:rsidP="002A69EB">
            <w:pPr>
              <w:rPr>
                <w:rFonts w:ascii="Arial" w:hAnsi="Arial" w:cs="Arial"/>
                <w:sz w:val="20"/>
                <w:szCs w:val="20"/>
              </w:rPr>
            </w:pPr>
            <w:r>
              <w:rPr>
                <w:rFonts w:ascii="Arial" w:hAnsi="Arial" w:cs="Arial"/>
                <w:sz w:val="20"/>
                <w:szCs w:val="20"/>
                <w:lang w:val="fr"/>
              </w:rPr>
              <w:t>14 États</w:t>
            </w:r>
            <w:r>
              <w:rPr>
                <w:rStyle w:val="Appelnotedebasdep"/>
                <w:rFonts w:ascii="Arial" w:hAnsi="Arial" w:cs="Arial"/>
                <w:sz w:val="20"/>
                <w:szCs w:val="20"/>
                <w:lang w:val="fr"/>
              </w:rPr>
              <w:footnoteReference w:id="12"/>
            </w:r>
          </w:p>
        </w:tc>
        <w:tc>
          <w:tcPr>
            <w:tcW w:w="1169" w:type="dxa"/>
          </w:tcPr>
          <w:p w14:paraId="7C1EE18A" w14:textId="77777777" w:rsidR="00E3533D" w:rsidRPr="00DF06A3" w:rsidRDefault="008D48FA" w:rsidP="002A69EB">
            <w:pPr>
              <w:rPr>
                <w:rFonts w:ascii="Arial" w:hAnsi="Arial" w:cs="Arial"/>
                <w:sz w:val="20"/>
                <w:szCs w:val="20"/>
              </w:rPr>
            </w:pPr>
            <w:r>
              <w:rPr>
                <w:rFonts w:ascii="Arial" w:hAnsi="Arial" w:cs="Arial"/>
                <w:sz w:val="20"/>
                <w:szCs w:val="20"/>
                <w:lang w:val="fr"/>
              </w:rPr>
              <w:t>0</w:t>
            </w:r>
          </w:p>
        </w:tc>
      </w:tr>
      <w:tr w:rsidR="00B6785F" w14:paraId="52EB70B7" w14:textId="77777777" w:rsidTr="00884042">
        <w:tc>
          <w:tcPr>
            <w:tcW w:w="851" w:type="dxa"/>
            <w:shd w:val="clear" w:color="auto" w:fill="D9D9D9" w:themeFill="background1" w:themeFillShade="D9"/>
          </w:tcPr>
          <w:p w14:paraId="017EA34E" w14:textId="39557E3C" w:rsidR="00E3533D" w:rsidRPr="00DF06A3" w:rsidRDefault="008D48FA">
            <w:pPr>
              <w:ind w:left="-113"/>
              <w:jc w:val="center"/>
              <w:rPr>
                <w:rFonts w:ascii="Arial" w:hAnsi="Arial" w:cs="Arial"/>
                <w:bCs/>
              </w:rPr>
            </w:pPr>
            <w:r>
              <w:rPr>
                <w:rFonts w:ascii="Arial" w:hAnsi="Arial" w:cs="Arial"/>
                <w:b/>
                <w:bCs/>
                <w:lang w:val="fr"/>
              </w:rPr>
              <w:lastRenderedPageBreak/>
              <w:t>2019</w:t>
            </w:r>
          </w:p>
        </w:tc>
        <w:tc>
          <w:tcPr>
            <w:tcW w:w="2126" w:type="dxa"/>
          </w:tcPr>
          <w:p w14:paraId="724B91D1" w14:textId="74025442" w:rsidR="00E3533D" w:rsidRPr="00884042" w:rsidRDefault="008D48FA" w:rsidP="002A69EB">
            <w:pPr>
              <w:rPr>
                <w:rFonts w:ascii="Arial" w:hAnsi="Arial" w:cs="Arial"/>
                <w:sz w:val="20"/>
                <w:szCs w:val="20"/>
                <w:lang w:val="fr-FR"/>
              </w:rPr>
            </w:pPr>
            <w:r>
              <w:rPr>
                <w:rFonts w:ascii="Arial" w:hAnsi="Arial" w:cs="Arial"/>
                <w:sz w:val="20"/>
                <w:szCs w:val="20"/>
                <w:lang w:val="fr"/>
              </w:rPr>
              <w:t>14 États ayant déposé un dossier national qui n</w:t>
            </w:r>
            <w:r w:rsidR="00244CEA">
              <w:rPr>
                <w:rFonts w:ascii="Arial" w:hAnsi="Arial" w:cs="Arial"/>
                <w:sz w:val="20"/>
                <w:szCs w:val="20"/>
                <w:lang w:val="fr"/>
              </w:rPr>
              <w:t>’</w:t>
            </w:r>
            <w:r>
              <w:rPr>
                <w:rFonts w:ascii="Arial" w:hAnsi="Arial" w:cs="Arial"/>
                <w:sz w:val="20"/>
                <w:szCs w:val="20"/>
                <w:lang w:val="fr"/>
              </w:rPr>
              <w:t>a pas pu être traité en 2018 ;</w:t>
            </w:r>
          </w:p>
          <w:p w14:paraId="5825FEC1" w14:textId="50E3CC2A" w:rsidR="00E3533D" w:rsidRPr="00884042" w:rsidRDefault="008D48FA" w:rsidP="002A69EB">
            <w:pPr>
              <w:rPr>
                <w:rFonts w:ascii="Arial" w:hAnsi="Arial" w:cs="Arial"/>
                <w:sz w:val="20"/>
                <w:szCs w:val="20"/>
                <w:lang w:val="fr-FR"/>
              </w:rPr>
            </w:pPr>
            <w:r>
              <w:rPr>
                <w:rFonts w:ascii="Arial" w:hAnsi="Arial" w:cs="Arial"/>
                <w:sz w:val="20"/>
                <w:szCs w:val="20"/>
                <w:lang w:val="fr"/>
              </w:rPr>
              <w:t>24 États</w:t>
            </w:r>
            <w:r>
              <w:rPr>
                <w:rStyle w:val="Appelnotedebasdep"/>
                <w:rFonts w:ascii="Arial" w:hAnsi="Arial" w:cs="Arial"/>
                <w:sz w:val="20"/>
                <w:szCs w:val="20"/>
                <w:lang w:val="fr"/>
              </w:rPr>
              <w:footnoteReference w:id="13"/>
            </w:r>
            <w:r>
              <w:rPr>
                <w:rFonts w:ascii="Arial" w:hAnsi="Arial" w:cs="Arial"/>
                <w:sz w:val="20"/>
                <w:szCs w:val="20"/>
                <w:lang w:val="fr"/>
              </w:rPr>
              <w:t xml:space="preserve"> qui n</w:t>
            </w:r>
            <w:r w:rsidR="00244CEA">
              <w:rPr>
                <w:rFonts w:ascii="Arial" w:hAnsi="Arial" w:cs="Arial"/>
                <w:sz w:val="20"/>
                <w:szCs w:val="20"/>
                <w:lang w:val="fr"/>
              </w:rPr>
              <w:t>’</w:t>
            </w:r>
            <w:r>
              <w:rPr>
                <w:rFonts w:ascii="Arial" w:hAnsi="Arial" w:cs="Arial"/>
                <w:sz w:val="20"/>
                <w:szCs w:val="20"/>
                <w:lang w:val="fr"/>
              </w:rPr>
              <w:t xml:space="preserve">ont pas soumis de </w:t>
            </w:r>
            <w:r w:rsidR="004128AA">
              <w:rPr>
                <w:rFonts w:ascii="Arial" w:hAnsi="Arial" w:cs="Arial"/>
                <w:sz w:val="20"/>
                <w:szCs w:val="20"/>
                <w:lang w:val="fr"/>
              </w:rPr>
              <w:t>dossier</w:t>
            </w:r>
            <w:r>
              <w:rPr>
                <w:rFonts w:ascii="Arial" w:hAnsi="Arial" w:cs="Arial"/>
                <w:sz w:val="20"/>
                <w:szCs w:val="20"/>
                <w:lang w:val="fr"/>
              </w:rPr>
              <w:t xml:space="preserve"> national pour le cycle de 2018</w:t>
            </w:r>
          </w:p>
        </w:tc>
        <w:tc>
          <w:tcPr>
            <w:tcW w:w="1276" w:type="dxa"/>
          </w:tcPr>
          <w:p w14:paraId="44AB12D9" w14:textId="77777777" w:rsidR="00E3533D" w:rsidRPr="00DF06A3" w:rsidRDefault="008D48FA" w:rsidP="002A69EB">
            <w:pPr>
              <w:rPr>
                <w:rFonts w:ascii="Arial" w:hAnsi="Arial" w:cs="Arial"/>
                <w:sz w:val="20"/>
                <w:szCs w:val="20"/>
              </w:rPr>
            </w:pPr>
            <w:r>
              <w:rPr>
                <w:rFonts w:ascii="Arial" w:hAnsi="Arial" w:cs="Arial"/>
                <w:sz w:val="20"/>
                <w:szCs w:val="20"/>
                <w:lang w:val="fr"/>
              </w:rPr>
              <w:t>2 (aucun élément)</w:t>
            </w:r>
          </w:p>
          <w:p w14:paraId="71FED569" w14:textId="77777777" w:rsidR="00E3533D" w:rsidRPr="00DF06A3" w:rsidRDefault="008D48FA" w:rsidP="002A69EB">
            <w:pPr>
              <w:rPr>
                <w:rFonts w:ascii="Arial" w:hAnsi="Arial" w:cs="Arial"/>
                <w:sz w:val="20"/>
                <w:szCs w:val="20"/>
              </w:rPr>
            </w:pPr>
            <w:r>
              <w:rPr>
                <w:rFonts w:ascii="Arial" w:hAnsi="Arial" w:cs="Arial"/>
                <w:sz w:val="20"/>
                <w:szCs w:val="20"/>
                <w:lang w:val="fr"/>
              </w:rPr>
              <w:t>3 (LSU)</w:t>
            </w:r>
          </w:p>
        </w:tc>
        <w:tc>
          <w:tcPr>
            <w:tcW w:w="992" w:type="dxa"/>
          </w:tcPr>
          <w:p w14:paraId="584E2164" w14:textId="77777777" w:rsidR="00E3533D" w:rsidRPr="00DF06A3" w:rsidRDefault="008D48FA" w:rsidP="002A69EB">
            <w:pPr>
              <w:rPr>
                <w:rFonts w:ascii="Arial" w:hAnsi="Arial" w:cs="Arial"/>
                <w:sz w:val="20"/>
                <w:szCs w:val="20"/>
              </w:rPr>
            </w:pPr>
            <w:r>
              <w:rPr>
                <w:rFonts w:ascii="Arial" w:hAnsi="Arial" w:cs="Arial"/>
                <w:sz w:val="20"/>
                <w:szCs w:val="20"/>
                <w:lang w:val="fr"/>
              </w:rPr>
              <w:t>5</w:t>
            </w:r>
          </w:p>
        </w:tc>
        <w:tc>
          <w:tcPr>
            <w:tcW w:w="1276" w:type="dxa"/>
          </w:tcPr>
          <w:p w14:paraId="51D24D15" w14:textId="77777777" w:rsidR="0063527F" w:rsidRDefault="008D48FA" w:rsidP="002A69EB">
            <w:pPr>
              <w:rPr>
                <w:rFonts w:ascii="Arial" w:hAnsi="Arial" w:cs="Arial"/>
                <w:sz w:val="20"/>
                <w:szCs w:val="20"/>
                <w:lang w:val="fr"/>
              </w:rPr>
            </w:pPr>
            <w:r>
              <w:rPr>
                <w:rFonts w:ascii="Arial" w:hAnsi="Arial" w:cs="Arial"/>
                <w:sz w:val="20"/>
                <w:szCs w:val="20"/>
                <w:lang w:val="fr"/>
              </w:rPr>
              <w:t xml:space="preserve">5 </w:t>
            </w:r>
          </w:p>
          <w:p w14:paraId="4863EA18" w14:textId="4C57728C" w:rsidR="00E3533D" w:rsidRPr="00DF06A3" w:rsidRDefault="008D48FA" w:rsidP="002A69EB">
            <w:pPr>
              <w:rPr>
                <w:rFonts w:ascii="Arial" w:hAnsi="Arial" w:cs="Arial"/>
                <w:sz w:val="20"/>
                <w:szCs w:val="20"/>
              </w:rPr>
            </w:pPr>
            <w:r>
              <w:rPr>
                <w:rFonts w:ascii="Arial" w:hAnsi="Arial" w:cs="Arial"/>
                <w:sz w:val="20"/>
                <w:szCs w:val="20"/>
                <w:lang w:val="fr"/>
              </w:rPr>
              <w:t>(</w:t>
            </w:r>
            <w:proofErr w:type="gramStart"/>
            <w:r>
              <w:rPr>
                <w:rFonts w:ascii="Arial" w:hAnsi="Arial" w:cs="Arial"/>
                <w:sz w:val="20"/>
                <w:szCs w:val="20"/>
                <w:lang w:val="fr"/>
              </w:rPr>
              <w:t>jusqu</w:t>
            </w:r>
            <w:r w:rsidR="00244CEA">
              <w:rPr>
                <w:rFonts w:ascii="Arial" w:hAnsi="Arial" w:cs="Arial"/>
                <w:sz w:val="20"/>
                <w:szCs w:val="20"/>
                <w:lang w:val="fr"/>
              </w:rPr>
              <w:t>’</w:t>
            </w:r>
            <w:r>
              <w:rPr>
                <w:rFonts w:ascii="Arial" w:hAnsi="Arial" w:cs="Arial"/>
                <w:sz w:val="20"/>
                <w:szCs w:val="20"/>
                <w:lang w:val="fr"/>
              </w:rPr>
              <w:t>à</w:t>
            </w:r>
            <w:proofErr w:type="gramEnd"/>
            <w:r>
              <w:rPr>
                <w:rFonts w:ascii="Arial" w:hAnsi="Arial" w:cs="Arial"/>
                <w:sz w:val="20"/>
                <w:szCs w:val="20"/>
                <w:lang w:val="fr"/>
              </w:rPr>
              <w:t xml:space="preserve"> 1 élément)</w:t>
            </w:r>
          </w:p>
        </w:tc>
        <w:tc>
          <w:tcPr>
            <w:tcW w:w="992" w:type="dxa"/>
          </w:tcPr>
          <w:p w14:paraId="3C1882B8" w14:textId="77777777" w:rsidR="00E3533D" w:rsidRPr="00DF06A3" w:rsidRDefault="008D48FA" w:rsidP="002A69EB">
            <w:pPr>
              <w:rPr>
                <w:rFonts w:ascii="Arial" w:hAnsi="Arial" w:cs="Arial"/>
                <w:sz w:val="20"/>
                <w:szCs w:val="20"/>
              </w:rPr>
            </w:pPr>
            <w:r>
              <w:rPr>
                <w:rFonts w:ascii="Arial" w:hAnsi="Arial" w:cs="Arial"/>
                <w:sz w:val="20"/>
                <w:szCs w:val="20"/>
                <w:lang w:val="fr"/>
              </w:rPr>
              <w:t>53</w:t>
            </w:r>
          </w:p>
        </w:tc>
        <w:tc>
          <w:tcPr>
            <w:tcW w:w="1418" w:type="dxa"/>
          </w:tcPr>
          <w:p w14:paraId="135BAB2E" w14:textId="77777777" w:rsidR="00E3533D" w:rsidRPr="00DF06A3" w:rsidRDefault="008D48FA" w:rsidP="002A69EB">
            <w:pPr>
              <w:rPr>
                <w:rFonts w:ascii="Arial" w:hAnsi="Arial" w:cs="Arial"/>
                <w:sz w:val="20"/>
                <w:szCs w:val="20"/>
              </w:rPr>
            </w:pPr>
            <w:r>
              <w:rPr>
                <w:rFonts w:ascii="Arial" w:hAnsi="Arial" w:cs="Arial"/>
                <w:sz w:val="20"/>
                <w:szCs w:val="20"/>
                <w:lang w:val="fr"/>
              </w:rPr>
              <w:t>20 États</w:t>
            </w:r>
            <w:r>
              <w:rPr>
                <w:rStyle w:val="Appelnotedebasdep"/>
                <w:rFonts w:ascii="Arial" w:hAnsi="Arial" w:cs="Arial"/>
                <w:sz w:val="20"/>
                <w:szCs w:val="20"/>
                <w:lang w:val="fr"/>
              </w:rPr>
              <w:footnoteReference w:id="14"/>
            </w:r>
          </w:p>
        </w:tc>
        <w:tc>
          <w:tcPr>
            <w:tcW w:w="1169" w:type="dxa"/>
          </w:tcPr>
          <w:p w14:paraId="3EC2D17D" w14:textId="77777777" w:rsidR="00E3533D" w:rsidRPr="00DF06A3" w:rsidRDefault="008D48FA" w:rsidP="002A69EB">
            <w:pPr>
              <w:rPr>
                <w:rFonts w:ascii="Arial" w:hAnsi="Arial" w:cs="Arial"/>
                <w:sz w:val="20"/>
                <w:szCs w:val="20"/>
              </w:rPr>
            </w:pPr>
            <w:r>
              <w:rPr>
                <w:rFonts w:ascii="Arial" w:hAnsi="Arial" w:cs="Arial"/>
                <w:sz w:val="20"/>
                <w:szCs w:val="20"/>
                <w:lang w:val="fr"/>
              </w:rPr>
              <w:t>0</w:t>
            </w:r>
          </w:p>
        </w:tc>
      </w:tr>
      <w:tr w:rsidR="00B6785F" w14:paraId="2D52FE1D" w14:textId="77777777" w:rsidTr="00884042">
        <w:tc>
          <w:tcPr>
            <w:tcW w:w="851" w:type="dxa"/>
            <w:shd w:val="clear" w:color="auto" w:fill="D9D9D9" w:themeFill="background1" w:themeFillShade="D9"/>
          </w:tcPr>
          <w:p w14:paraId="714A46B5" w14:textId="51052BD7" w:rsidR="00E3533D" w:rsidRPr="00DF06A3" w:rsidRDefault="008D48FA">
            <w:pPr>
              <w:ind w:left="-113"/>
              <w:jc w:val="center"/>
              <w:rPr>
                <w:rFonts w:ascii="Arial" w:hAnsi="Arial" w:cs="Arial"/>
                <w:bCs/>
              </w:rPr>
            </w:pPr>
            <w:r>
              <w:rPr>
                <w:rFonts w:ascii="Arial" w:hAnsi="Arial" w:cs="Arial"/>
                <w:b/>
                <w:bCs/>
                <w:lang w:val="fr"/>
              </w:rPr>
              <w:t>2020</w:t>
            </w:r>
          </w:p>
        </w:tc>
        <w:tc>
          <w:tcPr>
            <w:tcW w:w="2126" w:type="dxa"/>
          </w:tcPr>
          <w:p w14:paraId="49877767" w14:textId="302D68E6" w:rsidR="00E3533D" w:rsidRPr="00884042" w:rsidRDefault="008D48FA" w:rsidP="00F95258">
            <w:pPr>
              <w:rPr>
                <w:rFonts w:ascii="Arial" w:hAnsi="Arial" w:cs="Arial"/>
                <w:sz w:val="20"/>
                <w:szCs w:val="20"/>
                <w:lang w:val="fr-FR"/>
              </w:rPr>
            </w:pPr>
            <w:r>
              <w:rPr>
                <w:rFonts w:ascii="Arial" w:hAnsi="Arial" w:cs="Arial"/>
                <w:sz w:val="20"/>
                <w:szCs w:val="20"/>
                <w:lang w:val="fr"/>
              </w:rPr>
              <w:t>20 États</w:t>
            </w:r>
            <w:r w:rsidR="00715F9E">
              <w:rPr>
                <w:rStyle w:val="Appelnotedebasdep"/>
                <w:rFonts w:ascii="Arial" w:hAnsi="Arial" w:cs="Arial"/>
                <w:sz w:val="20"/>
                <w:szCs w:val="20"/>
                <w:lang w:val="fr"/>
              </w:rPr>
              <w:footnoteReference w:id="15"/>
            </w:r>
            <w:r>
              <w:rPr>
                <w:rFonts w:ascii="Arial" w:hAnsi="Arial" w:cs="Arial"/>
                <w:sz w:val="20"/>
                <w:szCs w:val="20"/>
                <w:lang w:val="fr"/>
              </w:rPr>
              <w:t xml:space="preserve"> ayant déposé un dossier national qui n</w:t>
            </w:r>
            <w:r w:rsidR="00244CEA">
              <w:rPr>
                <w:rFonts w:ascii="Arial" w:hAnsi="Arial" w:cs="Arial"/>
                <w:sz w:val="20"/>
                <w:szCs w:val="20"/>
                <w:lang w:val="fr"/>
              </w:rPr>
              <w:t>’</w:t>
            </w:r>
            <w:r>
              <w:rPr>
                <w:rFonts w:ascii="Arial" w:hAnsi="Arial" w:cs="Arial"/>
                <w:sz w:val="20"/>
                <w:szCs w:val="20"/>
                <w:lang w:val="fr"/>
              </w:rPr>
              <w:t>a pas pu être traité en 2019 ;</w:t>
            </w:r>
          </w:p>
          <w:p w14:paraId="6CFC88C0" w14:textId="591E0157" w:rsidR="00E3533D" w:rsidRPr="00884042" w:rsidRDefault="008D48FA" w:rsidP="00F95258">
            <w:pPr>
              <w:rPr>
                <w:rFonts w:ascii="Arial" w:hAnsi="Arial" w:cs="Arial"/>
                <w:sz w:val="20"/>
                <w:szCs w:val="20"/>
                <w:lang w:val="fr-FR"/>
              </w:rPr>
            </w:pPr>
            <w:r>
              <w:rPr>
                <w:rFonts w:ascii="Arial" w:hAnsi="Arial" w:cs="Arial"/>
                <w:sz w:val="20"/>
                <w:szCs w:val="20"/>
                <w:lang w:val="fr"/>
              </w:rPr>
              <w:t>15 États</w:t>
            </w:r>
            <w:r w:rsidR="00E65FDD">
              <w:rPr>
                <w:rStyle w:val="Appelnotedebasdep"/>
                <w:rFonts w:ascii="Arial" w:hAnsi="Arial" w:cs="Arial"/>
                <w:sz w:val="20"/>
                <w:szCs w:val="20"/>
                <w:lang w:val="fr"/>
              </w:rPr>
              <w:footnoteReference w:id="16"/>
            </w:r>
            <w:r>
              <w:rPr>
                <w:rFonts w:ascii="Arial" w:hAnsi="Arial" w:cs="Arial"/>
                <w:sz w:val="20"/>
                <w:szCs w:val="20"/>
                <w:lang w:val="fr"/>
              </w:rPr>
              <w:t xml:space="preserve"> qui n</w:t>
            </w:r>
            <w:r w:rsidR="00244CEA">
              <w:rPr>
                <w:rFonts w:ascii="Arial" w:hAnsi="Arial" w:cs="Arial"/>
                <w:sz w:val="20"/>
                <w:szCs w:val="20"/>
                <w:lang w:val="fr"/>
              </w:rPr>
              <w:t>’</w:t>
            </w:r>
            <w:r>
              <w:rPr>
                <w:rFonts w:ascii="Arial" w:hAnsi="Arial" w:cs="Arial"/>
                <w:sz w:val="20"/>
                <w:szCs w:val="20"/>
                <w:lang w:val="fr"/>
              </w:rPr>
              <w:t>ont pas soumis de dossier national pour le cycle de 2019</w:t>
            </w:r>
          </w:p>
        </w:tc>
        <w:tc>
          <w:tcPr>
            <w:tcW w:w="1276" w:type="dxa"/>
          </w:tcPr>
          <w:p w14:paraId="2F1721E4" w14:textId="77777777" w:rsidR="00E3533D" w:rsidRPr="00DF06A3" w:rsidRDefault="008D48FA" w:rsidP="002A69EB">
            <w:pPr>
              <w:rPr>
                <w:rFonts w:ascii="Arial" w:hAnsi="Arial" w:cs="Arial"/>
                <w:sz w:val="20"/>
                <w:szCs w:val="20"/>
              </w:rPr>
            </w:pPr>
            <w:r>
              <w:rPr>
                <w:rFonts w:ascii="Arial" w:hAnsi="Arial" w:cs="Arial"/>
                <w:sz w:val="20"/>
                <w:szCs w:val="20"/>
                <w:lang w:val="fr"/>
              </w:rPr>
              <w:t>2 (LSU)</w:t>
            </w:r>
          </w:p>
        </w:tc>
        <w:tc>
          <w:tcPr>
            <w:tcW w:w="992" w:type="dxa"/>
          </w:tcPr>
          <w:p w14:paraId="257BF049" w14:textId="77777777" w:rsidR="00E3533D" w:rsidRPr="00DF06A3" w:rsidRDefault="008D48FA" w:rsidP="002A69EB">
            <w:pPr>
              <w:rPr>
                <w:rFonts w:ascii="Arial" w:hAnsi="Arial" w:cs="Arial"/>
                <w:sz w:val="20"/>
                <w:szCs w:val="20"/>
              </w:rPr>
            </w:pPr>
            <w:r>
              <w:rPr>
                <w:rFonts w:ascii="Arial" w:hAnsi="Arial" w:cs="Arial"/>
                <w:sz w:val="20"/>
                <w:szCs w:val="20"/>
                <w:lang w:val="fr"/>
              </w:rPr>
              <w:t>16</w:t>
            </w:r>
          </w:p>
        </w:tc>
        <w:tc>
          <w:tcPr>
            <w:tcW w:w="1276" w:type="dxa"/>
          </w:tcPr>
          <w:p w14:paraId="1EBDECCD" w14:textId="77777777" w:rsidR="00E3533D" w:rsidRPr="00DF06A3" w:rsidRDefault="008D48FA" w:rsidP="002A69EB">
            <w:pPr>
              <w:rPr>
                <w:rFonts w:ascii="Arial" w:hAnsi="Arial" w:cs="Arial"/>
                <w:sz w:val="20"/>
                <w:szCs w:val="20"/>
              </w:rPr>
            </w:pPr>
            <w:r>
              <w:rPr>
                <w:rFonts w:ascii="Arial" w:hAnsi="Arial" w:cs="Arial"/>
                <w:sz w:val="20"/>
                <w:szCs w:val="20"/>
                <w:lang w:val="fr"/>
              </w:rPr>
              <w:t>0</w:t>
            </w:r>
          </w:p>
        </w:tc>
        <w:tc>
          <w:tcPr>
            <w:tcW w:w="992" w:type="dxa"/>
          </w:tcPr>
          <w:p w14:paraId="77322480" w14:textId="77777777" w:rsidR="00E3533D" w:rsidRPr="00DF06A3" w:rsidRDefault="008D48FA" w:rsidP="002A69EB">
            <w:pPr>
              <w:rPr>
                <w:rFonts w:ascii="Arial" w:hAnsi="Arial" w:cs="Arial"/>
                <w:sz w:val="20"/>
                <w:szCs w:val="20"/>
              </w:rPr>
            </w:pPr>
            <w:r w:rsidRPr="00884042">
              <w:rPr>
                <w:rFonts w:ascii="Arial" w:hAnsi="Arial" w:cs="Arial"/>
                <w:sz w:val="20"/>
                <w:szCs w:val="20"/>
                <w:lang w:val="fr"/>
              </w:rPr>
              <w:t>53</w:t>
            </w:r>
          </w:p>
        </w:tc>
        <w:tc>
          <w:tcPr>
            <w:tcW w:w="1418" w:type="dxa"/>
          </w:tcPr>
          <w:p w14:paraId="59AF2CE6" w14:textId="77777777" w:rsidR="00E3533D" w:rsidRPr="00DF06A3" w:rsidRDefault="008D48FA" w:rsidP="002A69EB">
            <w:pPr>
              <w:rPr>
                <w:rFonts w:ascii="Arial" w:hAnsi="Arial" w:cs="Arial"/>
                <w:sz w:val="20"/>
                <w:szCs w:val="20"/>
              </w:rPr>
            </w:pPr>
            <w:r>
              <w:rPr>
                <w:rFonts w:ascii="Arial" w:hAnsi="Arial" w:cs="Arial"/>
                <w:sz w:val="20"/>
                <w:szCs w:val="20"/>
                <w:lang w:val="fr"/>
              </w:rPr>
              <w:t>27</w:t>
            </w:r>
          </w:p>
          <w:p w14:paraId="305A4AB3" w14:textId="314DB168" w:rsidR="00E3533D" w:rsidRPr="00DF06A3" w:rsidRDefault="008D48FA" w:rsidP="002A69EB">
            <w:pPr>
              <w:rPr>
                <w:rFonts w:ascii="Arial" w:hAnsi="Arial" w:cs="Arial"/>
                <w:sz w:val="20"/>
                <w:szCs w:val="20"/>
              </w:rPr>
            </w:pPr>
            <w:r>
              <w:rPr>
                <w:rFonts w:ascii="Arial" w:hAnsi="Arial" w:cs="Arial"/>
                <w:sz w:val="20"/>
                <w:szCs w:val="20"/>
                <w:lang w:val="fr"/>
              </w:rPr>
              <w:t>États</w:t>
            </w:r>
            <w:r w:rsidR="00E65FDD">
              <w:rPr>
                <w:rStyle w:val="Appelnotedebasdep"/>
                <w:rFonts w:ascii="Arial" w:hAnsi="Arial" w:cs="Arial"/>
                <w:sz w:val="20"/>
                <w:szCs w:val="20"/>
                <w:lang w:val="fr"/>
              </w:rPr>
              <w:footnoteReference w:id="17"/>
            </w:r>
          </w:p>
        </w:tc>
        <w:tc>
          <w:tcPr>
            <w:tcW w:w="1169" w:type="dxa"/>
          </w:tcPr>
          <w:p w14:paraId="12F07206" w14:textId="77777777" w:rsidR="00E3533D" w:rsidRPr="00DF06A3" w:rsidRDefault="008D48FA" w:rsidP="002A69EB">
            <w:pPr>
              <w:rPr>
                <w:rFonts w:ascii="Arial" w:hAnsi="Arial" w:cs="Arial"/>
                <w:sz w:val="20"/>
                <w:szCs w:val="20"/>
              </w:rPr>
            </w:pPr>
            <w:r>
              <w:rPr>
                <w:rFonts w:ascii="Arial" w:hAnsi="Arial" w:cs="Arial"/>
                <w:sz w:val="20"/>
                <w:szCs w:val="20"/>
                <w:lang w:val="fr"/>
              </w:rPr>
              <w:t>0</w:t>
            </w:r>
          </w:p>
        </w:tc>
      </w:tr>
      <w:tr w:rsidR="00B6785F" w14:paraId="2FBE6251" w14:textId="77777777" w:rsidTr="00884042">
        <w:tc>
          <w:tcPr>
            <w:tcW w:w="851" w:type="dxa"/>
            <w:shd w:val="clear" w:color="auto" w:fill="D9D9D9" w:themeFill="background1" w:themeFillShade="D9"/>
          </w:tcPr>
          <w:p w14:paraId="57B2D7DF" w14:textId="2D098F6B" w:rsidR="00E3533D" w:rsidRPr="00DF06A3" w:rsidRDefault="008D48FA">
            <w:pPr>
              <w:ind w:left="-113"/>
              <w:jc w:val="center"/>
              <w:rPr>
                <w:rFonts w:ascii="Arial" w:hAnsi="Arial" w:cs="Arial"/>
                <w:bCs/>
              </w:rPr>
            </w:pPr>
            <w:r>
              <w:rPr>
                <w:rFonts w:ascii="Arial" w:hAnsi="Arial" w:cs="Arial"/>
                <w:b/>
                <w:bCs/>
                <w:lang w:val="fr"/>
              </w:rPr>
              <w:t>2021</w:t>
            </w:r>
          </w:p>
        </w:tc>
        <w:tc>
          <w:tcPr>
            <w:tcW w:w="2126" w:type="dxa"/>
          </w:tcPr>
          <w:p w14:paraId="03105EE1" w14:textId="6F2652E0" w:rsidR="00E3533D" w:rsidRPr="00884042" w:rsidRDefault="008D48FA" w:rsidP="008A6551">
            <w:pPr>
              <w:rPr>
                <w:rFonts w:ascii="Arial" w:hAnsi="Arial" w:cs="Arial"/>
                <w:sz w:val="20"/>
                <w:szCs w:val="20"/>
                <w:lang w:val="fr-FR"/>
              </w:rPr>
            </w:pPr>
            <w:r>
              <w:rPr>
                <w:rFonts w:ascii="Arial" w:hAnsi="Arial" w:cs="Arial"/>
                <w:sz w:val="20"/>
                <w:szCs w:val="20"/>
                <w:lang w:val="fr"/>
              </w:rPr>
              <w:t>27 États</w:t>
            </w:r>
            <w:r w:rsidR="00E65FDD">
              <w:rPr>
                <w:rStyle w:val="Appelnotedebasdep"/>
                <w:rFonts w:ascii="Arial" w:hAnsi="Arial" w:cs="Arial"/>
                <w:sz w:val="20"/>
                <w:szCs w:val="20"/>
                <w:lang w:val="fr"/>
              </w:rPr>
              <w:footnoteReference w:id="18"/>
            </w:r>
            <w:r>
              <w:rPr>
                <w:rFonts w:ascii="Arial" w:hAnsi="Arial" w:cs="Arial"/>
                <w:sz w:val="20"/>
                <w:szCs w:val="20"/>
                <w:lang w:val="fr"/>
              </w:rPr>
              <w:t xml:space="preserve"> ayant soumis un dossier national qui n</w:t>
            </w:r>
            <w:r w:rsidR="00244CEA">
              <w:rPr>
                <w:rFonts w:ascii="Arial" w:hAnsi="Arial" w:cs="Arial"/>
                <w:sz w:val="20"/>
                <w:szCs w:val="20"/>
                <w:lang w:val="fr"/>
              </w:rPr>
              <w:t>’</w:t>
            </w:r>
            <w:r>
              <w:rPr>
                <w:rFonts w:ascii="Arial" w:hAnsi="Arial" w:cs="Arial"/>
                <w:sz w:val="20"/>
                <w:szCs w:val="20"/>
                <w:lang w:val="fr"/>
              </w:rPr>
              <w:t>a pas pu être traité en 2020 ;</w:t>
            </w:r>
          </w:p>
          <w:p w14:paraId="2614A18D" w14:textId="2C464746" w:rsidR="00E3533D" w:rsidRPr="00884042" w:rsidRDefault="008D48FA" w:rsidP="00F95258">
            <w:pPr>
              <w:rPr>
                <w:rFonts w:ascii="Arial" w:hAnsi="Arial" w:cs="Arial"/>
                <w:sz w:val="20"/>
                <w:szCs w:val="20"/>
                <w:lang w:val="fr-FR"/>
              </w:rPr>
            </w:pPr>
            <w:r>
              <w:rPr>
                <w:rFonts w:ascii="Arial" w:hAnsi="Arial" w:cs="Arial"/>
                <w:sz w:val="20"/>
                <w:szCs w:val="20"/>
                <w:lang w:val="fr"/>
              </w:rPr>
              <w:t>26 États</w:t>
            </w:r>
            <w:r w:rsidR="00E65FDD">
              <w:rPr>
                <w:rStyle w:val="Appelnotedebasdep"/>
                <w:rFonts w:ascii="Arial" w:hAnsi="Arial" w:cs="Arial"/>
                <w:sz w:val="20"/>
                <w:szCs w:val="20"/>
                <w:lang w:val="fr"/>
              </w:rPr>
              <w:footnoteReference w:id="19"/>
            </w:r>
            <w:r>
              <w:rPr>
                <w:rFonts w:ascii="Arial" w:hAnsi="Arial" w:cs="Arial"/>
                <w:sz w:val="20"/>
                <w:szCs w:val="20"/>
                <w:lang w:val="fr"/>
              </w:rPr>
              <w:t xml:space="preserve"> qui n</w:t>
            </w:r>
            <w:r w:rsidR="00244CEA">
              <w:rPr>
                <w:rFonts w:ascii="Arial" w:hAnsi="Arial" w:cs="Arial"/>
                <w:sz w:val="20"/>
                <w:szCs w:val="20"/>
                <w:lang w:val="fr"/>
              </w:rPr>
              <w:t>’</w:t>
            </w:r>
            <w:r>
              <w:rPr>
                <w:rFonts w:ascii="Arial" w:hAnsi="Arial" w:cs="Arial"/>
                <w:sz w:val="20"/>
                <w:szCs w:val="20"/>
                <w:lang w:val="fr"/>
              </w:rPr>
              <w:t>ont pas soumis de dossier national pour le cycle de 2020</w:t>
            </w:r>
          </w:p>
        </w:tc>
        <w:tc>
          <w:tcPr>
            <w:tcW w:w="1276" w:type="dxa"/>
          </w:tcPr>
          <w:p w14:paraId="00866077" w14:textId="069A2DFE" w:rsidR="00B25357" w:rsidRPr="00884042" w:rsidRDefault="008D48FA" w:rsidP="002A69EB">
            <w:pPr>
              <w:rPr>
                <w:rFonts w:ascii="Arial" w:hAnsi="Arial" w:cs="Arial"/>
                <w:sz w:val="20"/>
                <w:szCs w:val="20"/>
                <w:highlight w:val="green"/>
                <w:lang w:val="fr-FR"/>
              </w:rPr>
            </w:pPr>
            <w:r>
              <w:rPr>
                <w:rFonts w:ascii="Arial" w:hAnsi="Arial" w:cs="Arial"/>
                <w:sz w:val="20"/>
                <w:szCs w:val="20"/>
                <w:lang w:val="fr"/>
              </w:rPr>
              <w:t>2 (</w:t>
            </w:r>
            <w:r w:rsidR="00E65FDD">
              <w:rPr>
                <w:rFonts w:ascii="Arial" w:hAnsi="Arial" w:cs="Arial"/>
                <w:sz w:val="20"/>
                <w:szCs w:val="20"/>
                <w:lang w:val="fr"/>
              </w:rPr>
              <w:t xml:space="preserve">dossiers nationaux, </w:t>
            </w:r>
            <w:r>
              <w:rPr>
                <w:rFonts w:ascii="Arial" w:hAnsi="Arial" w:cs="Arial"/>
                <w:sz w:val="20"/>
                <w:szCs w:val="20"/>
                <w:lang w:val="fr"/>
              </w:rPr>
              <w:t>aucun élément)</w:t>
            </w:r>
            <w:r>
              <w:rPr>
                <w:rFonts w:ascii="Arial" w:hAnsi="Arial" w:cs="Arial"/>
                <w:sz w:val="20"/>
                <w:szCs w:val="20"/>
                <w:highlight w:val="green"/>
                <w:lang w:val="fr"/>
              </w:rPr>
              <w:t xml:space="preserve"> </w:t>
            </w:r>
          </w:p>
          <w:p w14:paraId="3E2F6F3A" w14:textId="77777777" w:rsidR="00E3533D" w:rsidRPr="00884042" w:rsidRDefault="008D48FA" w:rsidP="002A69EB">
            <w:pPr>
              <w:rPr>
                <w:rFonts w:ascii="Arial" w:hAnsi="Arial" w:cs="Arial"/>
                <w:sz w:val="20"/>
                <w:szCs w:val="20"/>
                <w:lang w:val="fr-FR"/>
              </w:rPr>
            </w:pPr>
            <w:r w:rsidRPr="00884042">
              <w:rPr>
                <w:rFonts w:ascii="Arial" w:hAnsi="Arial" w:cs="Arial"/>
                <w:sz w:val="20"/>
                <w:szCs w:val="20"/>
                <w:lang w:val="fr"/>
              </w:rPr>
              <w:t>5 (dossiers multinationaux incluant un État sans aucun élément)</w:t>
            </w:r>
          </w:p>
        </w:tc>
        <w:tc>
          <w:tcPr>
            <w:tcW w:w="992" w:type="dxa"/>
          </w:tcPr>
          <w:p w14:paraId="3CCACE2D" w14:textId="77777777" w:rsidR="00E3533D" w:rsidRPr="00DF06A3" w:rsidRDefault="008D48FA" w:rsidP="002A69EB">
            <w:pPr>
              <w:rPr>
                <w:rFonts w:ascii="Arial" w:hAnsi="Arial" w:cs="Arial"/>
                <w:sz w:val="20"/>
                <w:szCs w:val="20"/>
              </w:rPr>
            </w:pPr>
            <w:r>
              <w:rPr>
                <w:rFonts w:ascii="Arial" w:hAnsi="Arial" w:cs="Arial"/>
                <w:sz w:val="20"/>
                <w:szCs w:val="20"/>
                <w:lang w:val="fr"/>
              </w:rPr>
              <w:t>0</w:t>
            </w:r>
          </w:p>
        </w:tc>
        <w:tc>
          <w:tcPr>
            <w:tcW w:w="1276" w:type="dxa"/>
          </w:tcPr>
          <w:p w14:paraId="4B546BF0" w14:textId="77777777" w:rsidR="00E3533D" w:rsidRPr="00DF06A3" w:rsidRDefault="008D48FA" w:rsidP="002A69EB">
            <w:pPr>
              <w:rPr>
                <w:rFonts w:ascii="Arial" w:hAnsi="Arial" w:cs="Arial"/>
                <w:sz w:val="20"/>
                <w:szCs w:val="20"/>
              </w:rPr>
            </w:pPr>
            <w:r>
              <w:rPr>
                <w:rFonts w:ascii="Arial" w:hAnsi="Arial" w:cs="Arial"/>
                <w:sz w:val="20"/>
                <w:szCs w:val="20"/>
                <w:lang w:val="fr"/>
              </w:rPr>
              <w:t>0</w:t>
            </w:r>
          </w:p>
        </w:tc>
        <w:tc>
          <w:tcPr>
            <w:tcW w:w="992" w:type="dxa"/>
          </w:tcPr>
          <w:p w14:paraId="00BDBCFE" w14:textId="77777777" w:rsidR="00E3533D" w:rsidRPr="00DF06A3" w:rsidRDefault="008D48FA" w:rsidP="002A69EB">
            <w:pPr>
              <w:rPr>
                <w:rFonts w:ascii="Arial" w:hAnsi="Arial" w:cs="Arial"/>
                <w:sz w:val="20"/>
                <w:szCs w:val="20"/>
              </w:rPr>
            </w:pPr>
            <w:r w:rsidRPr="00884042">
              <w:rPr>
                <w:rFonts w:ascii="Arial" w:hAnsi="Arial" w:cs="Arial"/>
                <w:sz w:val="20"/>
                <w:szCs w:val="20"/>
                <w:lang w:val="fr"/>
              </w:rPr>
              <w:t>60</w:t>
            </w:r>
          </w:p>
        </w:tc>
        <w:tc>
          <w:tcPr>
            <w:tcW w:w="1418" w:type="dxa"/>
          </w:tcPr>
          <w:p w14:paraId="0A0817D8" w14:textId="337A32EE" w:rsidR="00E3533D" w:rsidRPr="00DF06A3" w:rsidRDefault="008D48FA" w:rsidP="002A69EB">
            <w:pPr>
              <w:rPr>
                <w:rFonts w:ascii="Arial" w:hAnsi="Arial" w:cs="Arial"/>
                <w:sz w:val="20"/>
                <w:szCs w:val="20"/>
              </w:rPr>
            </w:pPr>
            <w:r>
              <w:rPr>
                <w:rFonts w:ascii="Arial" w:hAnsi="Arial" w:cs="Arial"/>
                <w:sz w:val="20"/>
                <w:szCs w:val="20"/>
                <w:lang w:val="fr"/>
              </w:rPr>
              <w:t>21 États</w:t>
            </w:r>
            <w:r w:rsidR="00E65FDD">
              <w:rPr>
                <w:rStyle w:val="Appelnotedebasdep"/>
                <w:rFonts w:ascii="Arial" w:hAnsi="Arial" w:cs="Arial"/>
                <w:sz w:val="20"/>
                <w:szCs w:val="20"/>
                <w:lang w:val="fr"/>
              </w:rPr>
              <w:footnoteReference w:id="20"/>
            </w:r>
          </w:p>
        </w:tc>
        <w:tc>
          <w:tcPr>
            <w:tcW w:w="1169" w:type="dxa"/>
          </w:tcPr>
          <w:p w14:paraId="73877C74" w14:textId="427D0003" w:rsidR="00E3533D" w:rsidRPr="00DF06A3" w:rsidRDefault="00E65FDD" w:rsidP="002A69EB">
            <w:pPr>
              <w:rPr>
                <w:rFonts w:ascii="Arial" w:hAnsi="Arial" w:cs="Arial"/>
                <w:sz w:val="20"/>
                <w:szCs w:val="20"/>
              </w:rPr>
            </w:pPr>
            <w:r>
              <w:rPr>
                <w:rFonts w:ascii="Arial" w:hAnsi="Arial" w:cs="Arial"/>
                <w:sz w:val="20"/>
                <w:szCs w:val="20"/>
              </w:rPr>
              <w:t>11</w:t>
            </w:r>
          </w:p>
        </w:tc>
      </w:tr>
      <w:tr w:rsidR="00B6785F" w14:paraId="5A0BDBF1" w14:textId="77777777" w:rsidTr="00561AE0">
        <w:trPr>
          <w:trHeight w:val="2257"/>
        </w:trPr>
        <w:tc>
          <w:tcPr>
            <w:tcW w:w="851" w:type="dxa"/>
            <w:shd w:val="clear" w:color="auto" w:fill="D9D9D9" w:themeFill="background1" w:themeFillShade="D9"/>
          </w:tcPr>
          <w:p w14:paraId="35CE9C83" w14:textId="77777777" w:rsidR="00E3533D" w:rsidRPr="00DF06A3" w:rsidRDefault="008D48FA" w:rsidP="002A69EB">
            <w:pPr>
              <w:ind w:left="-113"/>
              <w:jc w:val="center"/>
              <w:rPr>
                <w:rFonts w:ascii="Arial" w:hAnsi="Arial" w:cs="Arial"/>
                <w:b/>
              </w:rPr>
            </w:pPr>
            <w:r>
              <w:rPr>
                <w:rFonts w:ascii="Arial" w:hAnsi="Arial" w:cs="Arial"/>
                <w:b/>
                <w:bCs/>
                <w:lang w:val="fr"/>
              </w:rPr>
              <w:lastRenderedPageBreak/>
              <w:t>2022</w:t>
            </w:r>
          </w:p>
          <w:p w14:paraId="52571452" w14:textId="62CFB530" w:rsidR="00E3533D" w:rsidRPr="00DF06A3" w:rsidRDefault="00E3533D" w:rsidP="002A69EB">
            <w:pPr>
              <w:ind w:left="-113"/>
              <w:jc w:val="center"/>
              <w:rPr>
                <w:rFonts w:ascii="Arial" w:hAnsi="Arial" w:cs="Arial"/>
                <w:bCs/>
              </w:rPr>
            </w:pPr>
          </w:p>
        </w:tc>
        <w:tc>
          <w:tcPr>
            <w:tcW w:w="2126" w:type="dxa"/>
          </w:tcPr>
          <w:p w14:paraId="71B3799C" w14:textId="50764A9B" w:rsidR="00E3533D" w:rsidRPr="00884042" w:rsidRDefault="008D48FA" w:rsidP="00F67FF9">
            <w:pPr>
              <w:rPr>
                <w:rFonts w:ascii="Arial" w:hAnsi="Arial" w:cs="Arial"/>
                <w:sz w:val="20"/>
                <w:szCs w:val="20"/>
                <w:lang w:val="fr-FR"/>
              </w:rPr>
            </w:pPr>
            <w:r>
              <w:rPr>
                <w:rFonts w:ascii="Arial" w:hAnsi="Arial" w:cs="Arial"/>
                <w:sz w:val="20"/>
                <w:szCs w:val="20"/>
                <w:lang w:val="fr"/>
              </w:rPr>
              <w:t>20 États</w:t>
            </w:r>
            <w:r w:rsidR="00E65FDD">
              <w:rPr>
                <w:rStyle w:val="Appelnotedebasdep"/>
                <w:rFonts w:ascii="Arial" w:hAnsi="Arial" w:cs="Arial"/>
                <w:sz w:val="20"/>
                <w:szCs w:val="20"/>
                <w:lang w:val="fr"/>
              </w:rPr>
              <w:footnoteReference w:id="21"/>
            </w:r>
            <w:r>
              <w:rPr>
                <w:rFonts w:ascii="Arial" w:hAnsi="Arial" w:cs="Arial"/>
                <w:sz w:val="20"/>
                <w:szCs w:val="20"/>
                <w:lang w:val="fr"/>
              </w:rPr>
              <w:t xml:space="preserve"> ayant déposé un dossier national qui </w:t>
            </w:r>
            <w:r w:rsidR="0063527F">
              <w:rPr>
                <w:rFonts w:ascii="Arial" w:hAnsi="Arial" w:cs="Arial"/>
                <w:sz w:val="20"/>
                <w:szCs w:val="20"/>
                <w:lang w:val="fr"/>
              </w:rPr>
              <w:t>n’a pas pu</w:t>
            </w:r>
            <w:r>
              <w:rPr>
                <w:rFonts w:ascii="Arial" w:hAnsi="Arial" w:cs="Arial"/>
                <w:sz w:val="20"/>
                <w:szCs w:val="20"/>
                <w:lang w:val="fr"/>
              </w:rPr>
              <w:t xml:space="preserve"> être traité en 2021 ;</w:t>
            </w:r>
          </w:p>
          <w:p w14:paraId="44E7FA26" w14:textId="05909FB6" w:rsidR="00B25357" w:rsidRPr="00884042" w:rsidRDefault="008D48FA">
            <w:pPr>
              <w:rPr>
                <w:rFonts w:ascii="Arial" w:hAnsi="Arial" w:cs="Arial"/>
                <w:sz w:val="20"/>
                <w:szCs w:val="20"/>
                <w:lang w:val="fr-FR"/>
              </w:rPr>
            </w:pPr>
            <w:r>
              <w:rPr>
                <w:rFonts w:ascii="Arial" w:hAnsi="Arial" w:cs="Arial"/>
                <w:sz w:val="20"/>
                <w:szCs w:val="20"/>
                <w:lang w:val="fr"/>
              </w:rPr>
              <w:t>18 États</w:t>
            </w:r>
            <w:r w:rsidR="00E65FDD">
              <w:rPr>
                <w:rStyle w:val="Appelnotedebasdep"/>
                <w:rFonts w:ascii="Arial" w:hAnsi="Arial" w:cs="Arial"/>
                <w:sz w:val="20"/>
                <w:szCs w:val="20"/>
                <w:lang w:val="fr"/>
              </w:rPr>
              <w:footnoteReference w:id="22"/>
            </w:r>
            <w:r>
              <w:rPr>
                <w:rFonts w:ascii="Arial" w:hAnsi="Arial" w:cs="Arial"/>
                <w:sz w:val="20"/>
                <w:szCs w:val="20"/>
                <w:lang w:val="fr"/>
              </w:rPr>
              <w:t xml:space="preserve"> qui n</w:t>
            </w:r>
            <w:r w:rsidR="00244CEA">
              <w:rPr>
                <w:rFonts w:ascii="Arial" w:hAnsi="Arial" w:cs="Arial"/>
                <w:sz w:val="20"/>
                <w:szCs w:val="20"/>
                <w:lang w:val="fr"/>
              </w:rPr>
              <w:t>’</w:t>
            </w:r>
            <w:r>
              <w:rPr>
                <w:rFonts w:ascii="Arial" w:hAnsi="Arial" w:cs="Arial"/>
                <w:sz w:val="20"/>
                <w:szCs w:val="20"/>
                <w:lang w:val="fr"/>
              </w:rPr>
              <w:t>ont pas soumis de dossier national pour le cycle de 2021</w:t>
            </w:r>
          </w:p>
        </w:tc>
        <w:tc>
          <w:tcPr>
            <w:tcW w:w="1276" w:type="dxa"/>
          </w:tcPr>
          <w:p w14:paraId="2DD88EDA" w14:textId="77777777" w:rsidR="00E3533D" w:rsidRDefault="0010178F" w:rsidP="002A69EB">
            <w:pPr>
              <w:rPr>
                <w:rFonts w:ascii="Arial" w:hAnsi="Arial" w:cs="Arial"/>
                <w:sz w:val="20"/>
                <w:szCs w:val="20"/>
                <w:lang w:val="fr"/>
              </w:rPr>
            </w:pPr>
            <w:r>
              <w:rPr>
                <w:rFonts w:ascii="Arial" w:hAnsi="Arial" w:cs="Arial"/>
                <w:sz w:val="20"/>
                <w:szCs w:val="20"/>
                <w:lang w:val="fr"/>
              </w:rPr>
              <w:t>2 (LSU)</w:t>
            </w:r>
          </w:p>
          <w:p w14:paraId="12746C7C" w14:textId="3446991D" w:rsidR="0010178F" w:rsidRPr="00884042" w:rsidRDefault="0010178F" w:rsidP="002A69EB">
            <w:pPr>
              <w:rPr>
                <w:rFonts w:ascii="Arial" w:hAnsi="Arial" w:cs="Arial"/>
                <w:sz w:val="20"/>
                <w:szCs w:val="20"/>
                <w:lang w:val="fr-FR"/>
              </w:rPr>
            </w:pPr>
            <w:r w:rsidRPr="00066D6B">
              <w:rPr>
                <w:rFonts w:ascii="Arial" w:hAnsi="Arial" w:cs="Arial"/>
                <w:sz w:val="20"/>
                <w:szCs w:val="20"/>
                <w:lang w:val="fr"/>
              </w:rPr>
              <w:t>5 (dossiers multinationaux incluant</w:t>
            </w:r>
            <w:r>
              <w:rPr>
                <w:rFonts w:ascii="Arial" w:hAnsi="Arial" w:cs="Arial"/>
                <w:sz w:val="20"/>
                <w:szCs w:val="20"/>
                <w:lang w:val="fr"/>
              </w:rPr>
              <w:t xml:space="preserve"> </w:t>
            </w:r>
            <w:r w:rsidRPr="00066D6B">
              <w:rPr>
                <w:rFonts w:ascii="Arial" w:hAnsi="Arial" w:cs="Arial"/>
                <w:sz w:val="20"/>
                <w:szCs w:val="20"/>
                <w:lang w:val="fr"/>
              </w:rPr>
              <w:t>un État sans aucun élément)</w:t>
            </w:r>
          </w:p>
        </w:tc>
        <w:tc>
          <w:tcPr>
            <w:tcW w:w="992" w:type="dxa"/>
          </w:tcPr>
          <w:p w14:paraId="17727B02" w14:textId="77777777" w:rsidR="00E3533D" w:rsidRPr="00DF06A3" w:rsidRDefault="008D48FA" w:rsidP="002A69EB">
            <w:pPr>
              <w:rPr>
                <w:rFonts w:ascii="Arial" w:hAnsi="Arial" w:cs="Arial"/>
                <w:sz w:val="20"/>
                <w:szCs w:val="20"/>
              </w:rPr>
            </w:pPr>
            <w:r>
              <w:rPr>
                <w:rFonts w:ascii="Arial" w:hAnsi="Arial" w:cs="Arial"/>
                <w:sz w:val="20"/>
                <w:szCs w:val="20"/>
                <w:lang w:val="fr"/>
              </w:rPr>
              <w:t>14</w:t>
            </w:r>
          </w:p>
        </w:tc>
        <w:tc>
          <w:tcPr>
            <w:tcW w:w="1276" w:type="dxa"/>
          </w:tcPr>
          <w:p w14:paraId="1DE5CAC7" w14:textId="77777777" w:rsidR="00E3533D" w:rsidRPr="00DF06A3" w:rsidRDefault="008D48FA" w:rsidP="002A69EB">
            <w:pPr>
              <w:rPr>
                <w:rFonts w:ascii="Arial" w:hAnsi="Arial" w:cs="Arial"/>
                <w:sz w:val="20"/>
                <w:szCs w:val="20"/>
              </w:rPr>
            </w:pPr>
            <w:r>
              <w:rPr>
                <w:rFonts w:ascii="Arial" w:hAnsi="Arial" w:cs="Arial"/>
                <w:sz w:val="20"/>
                <w:szCs w:val="20"/>
                <w:lang w:val="fr"/>
              </w:rPr>
              <w:t>0</w:t>
            </w:r>
          </w:p>
        </w:tc>
        <w:tc>
          <w:tcPr>
            <w:tcW w:w="992" w:type="dxa"/>
          </w:tcPr>
          <w:p w14:paraId="13A0FFF9" w14:textId="77777777" w:rsidR="00E3533D" w:rsidRPr="00DF06A3" w:rsidRDefault="008D48FA" w:rsidP="002A69EB">
            <w:pPr>
              <w:rPr>
                <w:rFonts w:ascii="Arial" w:hAnsi="Arial" w:cs="Arial"/>
                <w:sz w:val="20"/>
                <w:szCs w:val="20"/>
              </w:rPr>
            </w:pPr>
            <w:r w:rsidRPr="00884042">
              <w:rPr>
                <w:rFonts w:ascii="Arial" w:hAnsi="Arial" w:cs="Arial"/>
                <w:sz w:val="20"/>
                <w:szCs w:val="20"/>
                <w:lang w:val="fr"/>
              </w:rPr>
              <w:t>59</w:t>
            </w:r>
          </w:p>
        </w:tc>
        <w:tc>
          <w:tcPr>
            <w:tcW w:w="1418" w:type="dxa"/>
          </w:tcPr>
          <w:p w14:paraId="2288B878" w14:textId="4D110038" w:rsidR="00E3533D" w:rsidRPr="00DF06A3" w:rsidRDefault="008D48FA" w:rsidP="002A69EB">
            <w:pPr>
              <w:rPr>
                <w:rFonts w:ascii="Arial" w:hAnsi="Arial" w:cs="Arial"/>
                <w:sz w:val="20"/>
                <w:szCs w:val="20"/>
              </w:rPr>
            </w:pPr>
            <w:r>
              <w:rPr>
                <w:rFonts w:ascii="Arial" w:hAnsi="Arial" w:cs="Arial"/>
                <w:sz w:val="20"/>
                <w:szCs w:val="20"/>
                <w:lang w:val="fr"/>
              </w:rPr>
              <w:t>22 États</w:t>
            </w:r>
            <w:r w:rsidR="0010178F">
              <w:rPr>
                <w:rStyle w:val="Appelnotedebasdep"/>
                <w:rFonts w:ascii="Arial" w:hAnsi="Arial" w:cs="Arial"/>
                <w:sz w:val="20"/>
                <w:szCs w:val="20"/>
                <w:lang w:val="fr"/>
              </w:rPr>
              <w:footnoteReference w:id="23"/>
            </w:r>
          </w:p>
        </w:tc>
        <w:tc>
          <w:tcPr>
            <w:tcW w:w="1169" w:type="dxa"/>
          </w:tcPr>
          <w:p w14:paraId="7219923B" w14:textId="214E58C5" w:rsidR="00E3533D" w:rsidRPr="00DF06A3" w:rsidRDefault="008D48FA" w:rsidP="002A69EB">
            <w:pPr>
              <w:rPr>
                <w:rFonts w:ascii="Arial" w:hAnsi="Arial" w:cs="Arial"/>
                <w:sz w:val="20"/>
                <w:szCs w:val="20"/>
              </w:rPr>
            </w:pPr>
            <w:r>
              <w:rPr>
                <w:rFonts w:ascii="Arial" w:hAnsi="Arial" w:cs="Arial"/>
                <w:sz w:val="20"/>
                <w:szCs w:val="20"/>
                <w:lang w:val="fr"/>
              </w:rPr>
              <w:t>4</w:t>
            </w:r>
            <w:r w:rsidR="0010178F">
              <w:rPr>
                <w:rStyle w:val="Appelnotedebasdep"/>
                <w:rFonts w:ascii="Arial" w:hAnsi="Arial" w:cs="Arial"/>
                <w:sz w:val="20"/>
                <w:szCs w:val="20"/>
                <w:lang w:val="fr"/>
              </w:rPr>
              <w:footnoteReference w:id="24"/>
            </w:r>
          </w:p>
        </w:tc>
      </w:tr>
      <w:bookmarkEnd w:id="1"/>
    </w:tbl>
    <w:p w14:paraId="140185CB" w14:textId="77777777" w:rsidR="00563DDD" w:rsidRPr="00DF06A3" w:rsidRDefault="00563DDD" w:rsidP="00365B94">
      <w:pPr>
        <w:pStyle w:val="1GAPara"/>
        <w:ind w:left="567" w:hanging="567"/>
      </w:pPr>
    </w:p>
    <w:p w14:paraId="19767D0A" w14:textId="77777777" w:rsidR="001B3587" w:rsidRPr="00A74EF8" w:rsidRDefault="001B3587" w:rsidP="00A955DA">
      <w:pPr>
        <w:pStyle w:val="1GAPara"/>
        <w:sectPr w:rsidR="001B3587" w:rsidRPr="00A74EF8" w:rsidSect="00B5152C">
          <w:footnotePr>
            <w:numRestart w:val="eachSect"/>
          </w:footnotePr>
          <w:pgSz w:w="11906" w:h="16838" w:code="9"/>
          <w:pgMar w:top="1134" w:right="1134" w:bottom="1418" w:left="1134" w:header="397" w:footer="284" w:gutter="0"/>
          <w:cols w:space="708"/>
          <w:docGrid w:linePitch="360"/>
        </w:sectPr>
      </w:pPr>
    </w:p>
    <w:p w14:paraId="26895913" w14:textId="1803D27C" w:rsidR="002C5413" w:rsidRPr="00561AE0" w:rsidRDefault="008D48FA" w:rsidP="00561AE0">
      <w:pPr>
        <w:pStyle w:val="Titre1"/>
        <w:spacing w:after="240"/>
        <w:rPr>
          <w:rFonts w:ascii="Arial" w:eastAsia="Times New Roman" w:hAnsi="Arial" w:cs="Arial"/>
          <w:b/>
          <w:bCs/>
          <w:snapToGrid w:val="0"/>
          <w:color w:val="auto"/>
          <w:sz w:val="22"/>
          <w:szCs w:val="22"/>
          <w:lang w:val="fr"/>
        </w:rPr>
      </w:pPr>
      <w:bookmarkStart w:id="2" w:name="_Annexe_II_:"/>
      <w:bookmarkEnd w:id="2"/>
      <w:r w:rsidRPr="00410575">
        <w:rPr>
          <w:rFonts w:ascii="Arial" w:eastAsia="Times New Roman" w:hAnsi="Arial" w:cs="Arial"/>
          <w:b/>
          <w:bCs/>
          <w:snapToGrid w:val="0"/>
          <w:color w:val="auto"/>
          <w:sz w:val="22"/>
          <w:szCs w:val="22"/>
          <w:lang w:val="fr"/>
        </w:rPr>
        <w:lastRenderedPageBreak/>
        <w:t xml:space="preserve">Annexe II : </w:t>
      </w:r>
      <w:r w:rsidR="008E2A75" w:rsidRPr="00410575">
        <w:rPr>
          <w:rFonts w:ascii="Arial" w:eastAsia="Times New Roman" w:hAnsi="Arial" w:cs="Arial"/>
          <w:b/>
          <w:bCs/>
          <w:snapToGrid w:val="0"/>
          <w:color w:val="auto"/>
          <w:sz w:val="22"/>
          <w:szCs w:val="22"/>
          <w:lang w:val="fr"/>
        </w:rPr>
        <w:t xml:space="preserve">Dossiers en </w:t>
      </w:r>
      <w:r w:rsidR="00BD4C28" w:rsidRPr="00410575">
        <w:rPr>
          <w:rFonts w:ascii="Arial" w:eastAsia="Times New Roman" w:hAnsi="Arial" w:cs="Arial"/>
          <w:b/>
          <w:bCs/>
          <w:snapToGrid w:val="0"/>
          <w:color w:val="auto"/>
          <w:sz w:val="22"/>
          <w:szCs w:val="22"/>
          <w:lang w:val="fr"/>
        </w:rPr>
        <w:t xml:space="preserve">attente </w:t>
      </w:r>
      <w:r w:rsidR="008E2A75" w:rsidRPr="00ED4470">
        <w:rPr>
          <w:rFonts w:ascii="Arial" w:eastAsia="Times New Roman" w:hAnsi="Arial" w:cs="Arial"/>
          <w:b/>
          <w:bCs/>
          <w:snapToGrid w:val="0"/>
          <w:color w:val="auto"/>
          <w:sz w:val="22"/>
          <w:szCs w:val="22"/>
          <w:lang w:val="fr"/>
        </w:rPr>
        <w:t>par groupe électoral</w:t>
      </w:r>
      <w:r w:rsidR="005D2844" w:rsidRPr="00410575">
        <w:rPr>
          <w:rFonts w:ascii="Arial" w:eastAsia="Times New Roman" w:hAnsi="Arial" w:cs="Arial"/>
          <w:b/>
          <w:bCs/>
          <w:snapToGrid w:val="0"/>
          <w:color w:val="auto"/>
          <w:sz w:val="22"/>
          <w:szCs w:val="22"/>
          <w:lang w:val="fr"/>
        </w:rPr>
        <w:t xml:space="preserve"> (au 31 mars 2022)</w:t>
      </w:r>
    </w:p>
    <w:tbl>
      <w:tblPr>
        <w:tblStyle w:val="Grilledutableau"/>
        <w:tblW w:w="5037" w:type="pct"/>
        <w:tblInd w:w="-95"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1413"/>
        <w:gridCol w:w="2160"/>
        <w:gridCol w:w="2163"/>
        <w:gridCol w:w="2163"/>
        <w:gridCol w:w="2163"/>
        <w:gridCol w:w="2163"/>
        <w:gridCol w:w="2157"/>
      </w:tblGrid>
      <w:tr w:rsidR="003E01D6" w:rsidRPr="003E01D6" w14:paraId="143534B6" w14:textId="77777777" w:rsidTr="00EF2D6F">
        <w:tc>
          <w:tcPr>
            <w:tcW w:w="491" w:type="pct"/>
            <w:shd w:val="clear" w:color="auto" w:fill="B8CCE4"/>
            <w:vAlign w:val="center"/>
          </w:tcPr>
          <w:p w14:paraId="08115E49" w14:textId="77777777" w:rsidR="003E01D6" w:rsidRPr="003E01D6" w:rsidRDefault="003E01D6" w:rsidP="003E01D6">
            <w:pPr>
              <w:spacing w:after="0"/>
              <w:rPr>
                <w:rFonts w:ascii="Arial" w:hAnsi="Arial" w:cs="Arial"/>
                <w:b/>
                <w:bCs/>
                <w:snapToGrid w:val="0"/>
                <w:sz w:val="18"/>
                <w:szCs w:val="18"/>
                <w:lang w:val="fr-FR" w:eastAsia="en-US"/>
              </w:rPr>
            </w:pPr>
            <w:r w:rsidRPr="003E01D6">
              <w:rPr>
                <w:rFonts w:ascii="Arial" w:hAnsi="Arial" w:cs="Arial"/>
                <w:b/>
                <w:bCs/>
                <w:snapToGrid w:val="0"/>
                <w:sz w:val="18"/>
                <w:szCs w:val="18"/>
                <w:lang w:val="fr-FR" w:eastAsia="en-US"/>
              </w:rPr>
              <w:t>Nombre de dossiers</w:t>
            </w:r>
          </w:p>
        </w:tc>
        <w:tc>
          <w:tcPr>
            <w:tcW w:w="751" w:type="pct"/>
            <w:shd w:val="clear" w:color="auto" w:fill="B8CCE4"/>
            <w:vAlign w:val="center"/>
          </w:tcPr>
          <w:p w14:paraId="1D5ADD2E" w14:textId="77777777" w:rsidR="003E01D6" w:rsidRPr="003E01D6" w:rsidRDefault="003E01D6" w:rsidP="003E01D6">
            <w:pPr>
              <w:spacing w:after="0"/>
              <w:jc w:val="center"/>
              <w:rPr>
                <w:rFonts w:ascii="Arial" w:hAnsi="Arial" w:cs="Arial"/>
                <w:b/>
                <w:bCs/>
                <w:snapToGrid w:val="0"/>
                <w:sz w:val="18"/>
                <w:szCs w:val="18"/>
                <w:lang w:val="fr-FR" w:eastAsia="en-US"/>
              </w:rPr>
            </w:pPr>
            <w:r w:rsidRPr="003E01D6">
              <w:rPr>
                <w:rFonts w:ascii="Arial" w:hAnsi="Arial" w:cs="Arial"/>
                <w:b/>
                <w:bCs/>
                <w:snapToGrid w:val="0"/>
                <w:sz w:val="18"/>
                <w:szCs w:val="18"/>
                <w:lang w:val="fr-FR" w:eastAsia="en-US"/>
              </w:rPr>
              <w:t>Groupe I</w:t>
            </w:r>
          </w:p>
          <w:p w14:paraId="41E3EC34" w14:textId="77777777" w:rsidR="003E01D6" w:rsidRPr="003E01D6" w:rsidRDefault="003E01D6" w:rsidP="003E01D6">
            <w:pPr>
              <w:spacing w:after="0"/>
              <w:jc w:val="center"/>
              <w:rPr>
                <w:rFonts w:ascii="Arial" w:hAnsi="Arial" w:cs="Arial"/>
                <w:b/>
                <w:bCs/>
                <w:snapToGrid w:val="0"/>
                <w:sz w:val="18"/>
                <w:szCs w:val="18"/>
                <w:lang w:val="fr-FR" w:eastAsia="en-US"/>
              </w:rPr>
            </w:pPr>
            <w:r w:rsidRPr="003E01D6">
              <w:rPr>
                <w:rFonts w:ascii="Arial" w:hAnsi="Arial" w:cs="Arial"/>
                <w:b/>
                <w:bCs/>
                <w:snapToGrid w:val="0"/>
                <w:sz w:val="18"/>
                <w:szCs w:val="18"/>
                <w:lang w:val="fr-FR" w:eastAsia="en-US"/>
              </w:rPr>
              <w:t>(22 États)</w:t>
            </w:r>
          </w:p>
        </w:tc>
        <w:tc>
          <w:tcPr>
            <w:tcW w:w="752" w:type="pct"/>
            <w:shd w:val="clear" w:color="auto" w:fill="B8CCE4"/>
            <w:vAlign w:val="center"/>
          </w:tcPr>
          <w:p w14:paraId="5FE94D19" w14:textId="77777777" w:rsidR="003E01D6" w:rsidRPr="003E01D6" w:rsidRDefault="003E01D6" w:rsidP="003E01D6">
            <w:pPr>
              <w:spacing w:after="0"/>
              <w:jc w:val="center"/>
              <w:rPr>
                <w:rFonts w:ascii="Arial" w:hAnsi="Arial" w:cs="Arial"/>
                <w:b/>
                <w:bCs/>
                <w:snapToGrid w:val="0"/>
                <w:sz w:val="18"/>
                <w:szCs w:val="18"/>
                <w:lang w:val="fr-FR" w:eastAsia="en-US"/>
              </w:rPr>
            </w:pPr>
            <w:r w:rsidRPr="003E01D6">
              <w:rPr>
                <w:rFonts w:ascii="Arial" w:hAnsi="Arial" w:cs="Arial"/>
                <w:b/>
                <w:bCs/>
                <w:snapToGrid w:val="0"/>
                <w:sz w:val="18"/>
                <w:szCs w:val="18"/>
                <w:lang w:val="fr-FR" w:eastAsia="en-US"/>
              </w:rPr>
              <w:t>Groupe II</w:t>
            </w:r>
          </w:p>
          <w:p w14:paraId="143F997E" w14:textId="77777777" w:rsidR="003E01D6" w:rsidRPr="003E01D6" w:rsidRDefault="003E01D6" w:rsidP="003E01D6">
            <w:pPr>
              <w:spacing w:after="0"/>
              <w:jc w:val="center"/>
              <w:rPr>
                <w:rFonts w:ascii="Arial" w:hAnsi="Arial" w:cs="Arial"/>
                <w:b/>
                <w:bCs/>
                <w:snapToGrid w:val="0"/>
                <w:sz w:val="18"/>
                <w:szCs w:val="18"/>
                <w:lang w:val="fr-FR" w:eastAsia="en-US"/>
              </w:rPr>
            </w:pPr>
            <w:r w:rsidRPr="003E01D6">
              <w:rPr>
                <w:rFonts w:ascii="Arial" w:hAnsi="Arial" w:cs="Arial"/>
                <w:b/>
                <w:bCs/>
                <w:snapToGrid w:val="0"/>
                <w:sz w:val="18"/>
                <w:szCs w:val="18"/>
                <w:lang w:val="fr-FR" w:eastAsia="en-US"/>
              </w:rPr>
              <w:t>(24 États)</w:t>
            </w:r>
          </w:p>
        </w:tc>
        <w:tc>
          <w:tcPr>
            <w:tcW w:w="752" w:type="pct"/>
            <w:shd w:val="clear" w:color="auto" w:fill="B8CCE4"/>
            <w:vAlign w:val="center"/>
          </w:tcPr>
          <w:p w14:paraId="66F02F58" w14:textId="77777777" w:rsidR="003E01D6" w:rsidRPr="003E01D6" w:rsidRDefault="003E01D6" w:rsidP="003E01D6">
            <w:pPr>
              <w:keepLines/>
              <w:spacing w:after="0"/>
              <w:jc w:val="center"/>
              <w:rPr>
                <w:rFonts w:ascii="Arial" w:hAnsi="Arial" w:cs="Arial"/>
                <w:b/>
                <w:bCs/>
                <w:snapToGrid w:val="0"/>
                <w:sz w:val="18"/>
                <w:szCs w:val="18"/>
                <w:lang w:val="fr-FR" w:eastAsia="en-US"/>
              </w:rPr>
            </w:pPr>
            <w:r w:rsidRPr="003E01D6">
              <w:rPr>
                <w:rFonts w:ascii="Arial" w:hAnsi="Arial" w:cs="Arial"/>
                <w:b/>
                <w:bCs/>
                <w:snapToGrid w:val="0"/>
                <w:sz w:val="18"/>
                <w:szCs w:val="18"/>
                <w:lang w:val="fr-FR" w:eastAsia="en-US"/>
              </w:rPr>
              <w:t>Groupe III</w:t>
            </w:r>
          </w:p>
          <w:p w14:paraId="27552221" w14:textId="77777777" w:rsidR="003E01D6" w:rsidRPr="003E01D6" w:rsidRDefault="003E01D6" w:rsidP="003E01D6">
            <w:pPr>
              <w:keepLines/>
              <w:spacing w:after="0"/>
              <w:jc w:val="center"/>
              <w:rPr>
                <w:rFonts w:ascii="Arial" w:hAnsi="Arial" w:cs="Arial"/>
                <w:b/>
                <w:bCs/>
                <w:snapToGrid w:val="0"/>
                <w:sz w:val="18"/>
                <w:szCs w:val="18"/>
                <w:lang w:val="fr-FR" w:eastAsia="en-US"/>
              </w:rPr>
            </w:pPr>
            <w:r w:rsidRPr="003E01D6">
              <w:rPr>
                <w:rFonts w:ascii="Arial" w:hAnsi="Arial" w:cs="Arial"/>
                <w:b/>
                <w:bCs/>
                <w:snapToGrid w:val="0"/>
                <w:sz w:val="18"/>
                <w:szCs w:val="18"/>
                <w:lang w:val="fr-FR" w:eastAsia="en-US"/>
              </w:rPr>
              <w:t>(32 États)</w:t>
            </w:r>
          </w:p>
        </w:tc>
        <w:tc>
          <w:tcPr>
            <w:tcW w:w="752" w:type="pct"/>
            <w:shd w:val="clear" w:color="auto" w:fill="B8CCE4"/>
            <w:vAlign w:val="center"/>
          </w:tcPr>
          <w:p w14:paraId="080B19B1" w14:textId="77777777" w:rsidR="003E01D6" w:rsidRPr="003E01D6" w:rsidRDefault="003E01D6" w:rsidP="003E01D6">
            <w:pPr>
              <w:keepLines/>
              <w:adjustRightInd w:val="0"/>
              <w:spacing w:after="0"/>
              <w:jc w:val="center"/>
              <w:rPr>
                <w:rFonts w:ascii="Arial" w:hAnsi="Arial" w:cs="Arial"/>
                <w:b/>
                <w:bCs/>
                <w:snapToGrid w:val="0"/>
                <w:sz w:val="18"/>
                <w:szCs w:val="18"/>
                <w:lang w:val="fr-FR" w:eastAsia="en-US"/>
              </w:rPr>
            </w:pPr>
            <w:r w:rsidRPr="003E01D6">
              <w:rPr>
                <w:rFonts w:ascii="Arial" w:hAnsi="Arial" w:cs="Arial"/>
                <w:b/>
                <w:bCs/>
                <w:snapToGrid w:val="0"/>
                <w:sz w:val="18"/>
                <w:szCs w:val="18"/>
                <w:lang w:val="fr-FR" w:eastAsia="en-US"/>
              </w:rPr>
              <w:t>Groupe IV</w:t>
            </w:r>
          </w:p>
          <w:p w14:paraId="2CE55CA4" w14:textId="77777777" w:rsidR="003E01D6" w:rsidRPr="003E01D6" w:rsidRDefault="003E01D6" w:rsidP="003E01D6">
            <w:pPr>
              <w:keepLines/>
              <w:adjustRightInd w:val="0"/>
              <w:spacing w:after="0"/>
              <w:jc w:val="center"/>
              <w:rPr>
                <w:rFonts w:ascii="Arial" w:hAnsi="Arial" w:cs="Arial"/>
                <w:b/>
                <w:bCs/>
                <w:snapToGrid w:val="0"/>
                <w:sz w:val="18"/>
                <w:szCs w:val="18"/>
                <w:lang w:val="fr-FR" w:eastAsia="en-US"/>
              </w:rPr>
            </w:pPr>
            <w:r w:rsidRPr="003E01D6">
              <w:rPr>
                <w:rFonts w:ascii="Arial" w:hAnsi="Arial" w:cs="Arial"/>
                <w:b/>
                <w:bCs/>
                <w:snapToGrid w:val="0"/>
                <w:sz w:val="18"/>
                <w:szCs w:val="18"/>
                <w:lang w:val="fr-FR" w:eastAsia="en-US"/>
              </w:rPr>
              <w:t>(40 États)</w:t>
            </w:r>
          </w:p>
        </w:tc>
        <w:tc>
          <w:tcPr>
            <w:tcW w:w="752" w:type="pct"/>
            <w:shd w:val="clear" w:color="auto" w:fill="B8CCE4"/>
            <w:vAlign w:val="center"/>
          </w:tcPr>
          <w:p w14:paraId="761FC209" w14:textId="77777777" w:rsidR="003E01D6" w:rsidRPr="003E01D6" w:rsidRDefault="003E01D6" w:rsidP="003E01D6">
            <w:pPr>
              <w:spacing w:after="0"/>
              <w:jc w:val="center"/>
              <w:rPr>
                <w:rFonts w:ascii="Arial" w:hAnsi="Arial" w:cs="Arial"/>
                <w:b/>
                <w:bCs/>
                <w:snapToGrid w:val="0"/>
                <w:sz w:val="18"/>
                <w:szCs w:val="18"/>
                <w:lang w:val="fr-FR" w:eastAsia="en-US"/>
              </w:rPr>
            </w:pPr>
            <w:r w:rsidRPr="003E01D6">
              <w:rPr>
                <w:rFonts w:ascii="Arial" w:hAnsi="Arial" w:cs="Arial"/>
                <w:b/>
                <w:bCs/>
                <w:snapToGrid w:val="0"/>
                <w:sz w:val="18"/>
                <w:szCs w:val="18"/>
                <w:lang w:val="fr-FR" w:eastAsia="en-US"/>
              </w:rPr>
              <w:t>Groupe V(a)</w:t>
            </w:r>
          </w:p>
          <w:p w14:paraId="3B63D7E5" w14:textId="77777777" w:rsidR="003E01D6" w:rsidRPr="003E01D6" w:rsidRDefault="003E01D6" w:rsidP="003E01D6">
            <w:pPr>
              <w:spacing w:after="0"/>
              <w:jc w:val="center"/>
              <w:rPr>
                <w:rFonts w:ascii="Arial" w:hAnsi="Arial" w:cs="Arial"/>
                <w:b/>
                <w:bCs/>
                <w:snapToGrid w:val="0"/>
                <w:sz w:val="18"/>
                <w:szCs w:val="18"/>
                <w:lang w:val="fr-FR" w:eastAsia="en-US"/>
              </w:rPr>
            </w:pPr>
            <w:r w:rsidRPr="003E01D6">
              <w:rPr>
                <w:rFonts w:ascii="Arial" w:hAnsi="Arial" w:cs="Arial"/>
                <w:b/>
                <w:bCs/>
                <w:snapToGrid w:val="0"/>
                <w:sz w:val="18"/>
                <w:szCs w:val="18"/>
                <w:lang w:val="fr-FR" w:eastAsia="en-US"/>
              </w:rPr>
              <w:t>(44 États)</w:t>
            </w:r>
          </w:p>
        </w:tc>
        <w:tc>
          <w:tcPr>
            <w:tcW w:w="752" w:type="pct"/>
            <w:shd w:val="clear" w:color="auto" w:fill="B8CCE4"/>
            <w:vAlign w:val="center"/>
          </w:tcPr>
          <w:p w14:paraId="005E3327" w14:textId="77777777" w:rsidR="003E01D6" w:rsidRPr="003E01D6" w:rsidRDefault="003E01D6" w:rsidP="003E01D6">
            <w:pPr>
              <w:spacing w:after="0"/>
              <w:jc w:val="center"/>
              <w:rPr>
                <w:rFonts w:ascii="Arial" w:hAnsi="Arial" w:cs="Arial"/>
                <w:b/>
                <w:bCs/>
                <w:snapToGrid w:val="0"/>
                <w:sz w:val="18"/>
                <w:szCs w:val="18"/>
                <w:lang w:val="fr-FR" w:eastAsia="en-US"/>
              </w:rPr>
            </w:pPr>
            <w:r w:rsidRPr="003E01D6">
              <w:rPr>
                <w:rFonts w:ascii="Arial" w:hAnsi="Arial" w:cs="Arial"/>
                <w:b/>
                <w:bCs/>
                <w:snapToGrid w:val="0"/>
                <w:sz w:val="18"/>
                <w:szCs w:val="18"/>
                <w:lang w:val="fr-FR" w:eastAsia="en-US"/>
              </w:rPr>
              <w:t>Groupe V(b)</w:t>
            </w:r>
          </w:p>
          <w:p w14:paraId="38DD132B" w14:textId="77777777" w:rsidR="003E01D6" w:rsidRPr="003E01D6" w:rsidRDefault="003E01D6" w:rsidP="003E01D6">
            <w:pPr>
              <w:spacing w:after="0"/>
              <w:jc w:val="center"/>
              <w:rPr>
                <w:rFonts w:ascii="Arial" w:hAnsi="Arial" w:cs="Arial"/>
                <w:b/>
                <w:bCs/>
                <w:snapToGrid w:val="0"/>
                <w:sz w:val="18"/>
                <w:szCs w:val="18"/>
                <w:lang w:val="fr-FR" w:eastAsia="en-US"/>
              </w:rPr>
            </w:pPr>
            <w:r w:rsidRPr="003E01D6">
              <w:rPr>
                <w:rFonts w:ascii="Arial" w:hAnsi="Arial" w:cs="Arial"/>
                <w:b/>
                <w:bCs/>
                <w:snapToGrid w:val="0"/>
                <w:sz w:val="18"/>
                <w:szCs w:val="18"/>
                <w:lang w:val="fr-FR" w:eastAsia="en-US"/>
              </w:rPr>
              <w:t>(18 États)</w:t>
            </w:r>
          </w:p>
        </w:tc>
      </w:tr>
      <w:tr w:rsidR="003E01D6" w:rsidRPr="00E17DFF" w14:paraId="69D2F913" w14:textId="77777777" w:rsidTr="003E01D6">
        <w:tc>
          <w:tcPr>
            <w:tcW w:w="491" w:type="pct"/>
            <w:shd w:val="clear" w:color="auto" w:fill="D9D9D9"/>
          </w:tcPr>
          <w:p w14:paraId="5833F50B" w14:textId="77777777" w:rsidR="003E01D6" w:rsidRPr="003E01D6" w:rsidRDefault="003E01D6" w:rsidP="003E01D6">
            <w:pPr>
              <w:spacing w:after="0"/>
              <w:rPr>
                <w:rFonts w:ascii="Arial" w:hAnsi="Arial" w:cs="Arial"/>
                <w:b/>
                <w:bCs/>
                <w:snapToGrid w:val="0"/>
                <w:sz w:val="18"/>
                <w:szCs w:val="18"/>
                <w:lang w:val="fr-FR" w:eastAsia="en-US"/>
              </w:rPr>
            </w:pPr>
            <w:r w:rsidRPr="003E01D6">
              <w:rPr>
                <w:rFonts w:ascii="Arial" w:hAnsi="Arial" w:cs="Arial"/>
                <w:b/>
                <w:bCs/>
                <w:snapToGrid w:val="0"/>
                <w:sz w:val="18"/>
                <w:szCs w:val="18"/>
                <w:lang w:val="fr-FR" w:eastAsia="en-US"/>
              </w:rPr>
              <w:t>Aucun dossier</w:t>
            </w:r>
          </w:p>
        </w:tc>
        <w:tc>
          <w:tcPr>
            <w:tcW w:w="751" w:type="pct"/>
          </w:tcPr>
          <w:p w14:paraId="5C4C9969" w14:textId="7EF4E750" w:rsidR="003E01D6" w:rsidRPr="003E01D6" w:rsidRDefault="003E01D6" w:rsidP="003E01D6">
            <w:pPr>
              <w:spacing w:after="0"/>
              <w:rPr>
                <w:rFonts w:ascii="Arial" w:hAnsi="Arial" w:cs="Arial"/>
                <w:snapToGrid w:val="0"/>
                <w:sz w:val="18"/>
                <w:szCs w:val="18"/>
                <w:lang w:val="fr-FR" w:eastAsia="en-US"/>
              </w:rPr>
            </w:pPr>
            <w:r w:rsidRPr="003E01D6">
              <w:rPr>
                <w:rFonts w:ascii="Arial" w:hAnsi="Arial" w:cs="Arial"/>
                <w:snapToGrid w:val="0"/>
                <w:sz w:val="18"/>
                <w:szCs w:val="18"/>
                <w:lang w:val="fr-FR" w:eastAsia="en-US"/>
              </w:rPr>
              <w:t>Andorre, Autriche, Chypre, Danemark, Finlande, Allemagne, Grèce, Islande, Irlande, Luxembourg, Monaco, Norvège, Portugal, Espagne, Suède, Suisse (16 États</w:t>
            </w:r>
            <w:r w:rsidR="007F5EB2">
              <w:rPr>
                <w:rFonts w:ascii="Arial" w:hAnsi="Arial" w:cs="Arial"/>
                <w:snapToGrid w:val="0"/>
                <w:sz w:val="18"/>
                <w:szCs w:val="18"/>
                <w:lang w:val="fr-FR" w:eastAsia="en-US"/>
              </w:rPr>
              <w:t> </w:t>
            </w:r>
            <w:r w:rsidRPr="003E01D6">
              <w:rPr>
                <w:rFonts w:ascii="Arial" w:hAnsi="Arial" w:cs="Arial"/>
                <w:snapToGrid w:val="0"/>
                <w:sz w:val="18"/>
                <w:szCs w:val="18"/>
                <w:lang w:val="fr-FR" w:eastAsia="en-US"/>
              </w:rPr>
              <w:t>; 72,73 %)</w:t>
            </w:r>
          </w:p>
        </w:tc>
        <w:tc>
          <w:tcPr>
            <w:tcW w:w="752" w:type="pct"/>
          </w:tcPr>
          <w:p w14:paraId="01A63900" w14:textId="145AD157" w:rsidR="003E01D6" w:rsidRPr="003E01D6" w:rsidRDefault="003E01D6" w:rsidP="003E01D6">
            <w:pPr>
              <w:spacing w:after="0"/>
              <w:rPr>
                <w:rFonts w:ascii="Arial" w:hAnsi="Arial" w:cs="Arial"/>
                <w:snapToGrid w:val="0"/>
                <w:sz w:val="18"/>
                <w:szCs w:val="18"/>
                <w:lang w:val="fr-FR" w:eastAsia="en-US"/>
              </w:rPr>
            </w:pPr>
            <w:r w:rsidRPr="003E01D6">
              <w:rPr>
                <w:rFonts w:ascii="Arial" w:hAnsi="Arial" w:cs="Arial"/>
                <w:sz w:val="18"/>
                <w:szCs w:val="18"/>
                <w:lang w:val="fr-FR" w:eastAsia="en-US"/>
              </w:rPr>
              <w:t>Bélarus, Bulgarie, Croatie, Tchéquie, Estonie, Lettonie, Lituanie, Monténégro, Macédoine du Nord, Pologne, République de Moldova, Roumanie, Serbie, Slovaquie, Slovénie (15 États</w:t>
            </w:r>
            <w:r w:rsidR="007F5EB2">
              <w:rPr>
                <w:rFonts w:ascii="Arial" w:hAnsi="Arial" w:cs="Arial"/>
                <w:sz w:val="18"/>
                <w:szCs w:val="18"/>
                <w:lang w:val="fr-FR" w:eastAsia="en-US"/>
              </w:rPr>
              <w:t> </w:t>
            </w:r>
            <w:r w:rsidRPr="003E01D6">
              <w:rPr>
                <w:rFonts w:ascii="Arial" w:hAnsi="Arial" w:cs="Arial"/>
                <w:snapToGrid w:val="0"/>
                <w:sz w:val="18"/>
                <w:szCs w:val="18"/>
                <w:lang w:val="fr-FR" w:eastAsia="en-US"/>
              </w:rPr>
              <w:t>; 62,5</w:t>
            </w:r>
            <w:r w:rsidR="00ED4470">
              <w:rPr>
                <w:rFonts w:ascii="Arial" w:hAnsi="Arial" w:cs="Arial"/>
                <w:snapToGrid w:val="0"/>
                <w:sz w:val="18"/>
                <w:szCs w:val="18"/>
                <w:lang w:val="fr-FR" w:eastAsia="en-US"/>
              </w:rPr>
              <w:t>0</w:t>
            </w:r>
            <w:r w:rsidRPr="003E01D6">
              <w:rPr>
                <w:rFonts w:ascii="Arial" w:hAnsi="Arial" w:cs="Arial"/>
                <w:snapToGrid w:val="0"/>
                <w:sz w:val="18"/>
                <w:szCs w:val="18"/>
                <w:lang w:val="fr-FR" w:eastAsia="en-US"/>
              </w:rPr>
              <w:t> %</w:t>
            </w:r>
            <w:r w:rsidRPr="003E01D6">
              <w:rPr>
                <w:rFonts w:ascii="Arial" w:hAnsi="Arial" w:cs="Arial"/>
                <w:sz w:val="18"/>
                <w:szCs w:val="18"/>
                <w:lang w:val="fr-FR" w:eastAsia="en-US"/>
              </w:rPr>
              <w:t>)</w:t>
            </w:r>
          </w:p>
        </w:tc>
        <w:tc>
          <w:tcPr>
            <w:tcW w:w="752" w:type="pct"/>
          </w:tcPr>
          <w:p w14:paraId="60E55F08" w14:textId="7B1DB205" w:rsidR="003E01D6" w:rsidRPr="003E01D6" w:rsidRDefault="003E01D6" w:rsidP="003E01D6">
            <w:pPr>
              <w:spacing w:after="0"/>
              <w:rPr>
                <w:rFonts w:ascii="Arial" w:hAnsi="Arial" w:cs="Arial"/>
                <w:sz w:val="18"/>
                <w:szCs w:val="18"/>
                <w:lang w:val="fr-FR" w:eastAsia="en-US"/>
              </w:rPr>
            </w:pPr>
            <w:r w:rsidRPr="003E01D6">
              <w:rPr>
                <w:rFonts w:ascii="Arial" w:hAnsi="Arial" w:cs="Arial"/>
                <w:sz w:val="18"/>
                <w:szCs w:val="18"/>
                <w:lang w:val="fr-FR" w:eastAsia="en-US"/>
              </w:rPr>
              <w:t>Antigua-et-Barbuda, Argentine, Bahamas, Barbade, Belize, Bolivie (État plurinational de), Brésil, Chili, Costa Rica, Cuba, Dominique, République dominicaine, Équateur, El Salvador, Guatemala, Haïti, Honduras, Jamaïque, Mexique, Nicaragua, Paraguay, Pérou, Saint-Kitts-et-Nevis, Sainte-Lucie, Saint-Vincent-et-les Grenadines, Suriname, Trinité-et-Tobago, Uruguay (28 États</w:t>
            </w:r>
            <w:r w:rsidR="007F5EB2">
              <w:rPr>
                <w:rFonts w:ascii="Arial" w:hAnsi="Arial" w:cs="Arial"/>
                <w:sz w:val="18"/>
                <w:szCs w:val="18"/>
                <w:lang w:val="fr-FR" w:eastAsia="en-US"/>
              </w:rPr>
              <w:t> </w:t>
            </w:r>
            <w:r w:rsidRPr="003E01D6">
              <w:rPr>
                <w:rFonts w:ascii="Arial" w:hAnsi="Arial" w:cs="Arial"/>
                <w:snapToGrid w:val="0"/>
                <w:sz w:val="18"/>
                <w:szCs w:val="18"/>
                <w:lang w:val="fr-FR" w:eastAsia="en-US"/>
              </w:rPr>
              <w:t xml:space="preserve">; </w:t>
            </w:r>
            <w:r w:rsidRPr="003E01D6">
              <w:rPr>
                <w:rFonts w:ascii="Arial" w:hAnsi="Arial" w:cs="Arial"/>
                <w:sz w:val="18"/>
                <w:szCs w:val="18"/>
                <w:lang w:val="fr-FR" w:eastAsia="en-US"/>
              </w:rPr>
              <w:t>87,5</w:t>
            </w:r>
            <w:r w:rsidR="00ED4470">
              <w:rPr>
                <w:rFonts w:ascii="Arial" w:hAnsi="Arial" w:cs="Arial"/>
                <w:sz w:val="18"/>
                <w:szCs w:val="18"/>
                <w:lang w:val="fr-FR" w:eastAsia="en-US"/>
              </w:rPr>
              <w:t>0</w:t>
            </w:r>
            <w:r w:rsidRPr="003E01D6">
              <w:rPr>
                <w:rFonts w:ascii="Arial" w:hAnsi="Arial" w:cs="Arial"/>
                <w:sz w:val="18"/>
                <w:szCs w:val="18"/>
                <w:lang w:val="fr-FR" w:eastAsia="en-US"/>
              </w:rPr>
              <w:t> %)</w:t>
            </w:r>
          </w:p>
        </w:tc>
        <w:tc>
          <w:tcPr>
            <w:tcW w:w="752" w:type="pct"/>
          </w:tcPr>
          <w:p w14:paraId="5A7BB249" w14:textId="3D436B98" w:rsidR="003E01D6" w:rsidRPr="003E01D6" w:rsidRDefault="003E01D6" w:rsidP="003E01D6">
            <w:pPr>
              <w:spacing w:after="0"/>
              <w:rPr>
                <w:rFonts w:ascii="Arial" w:hAnsi="Arial" w:cs="Arial"/>
                <w:sz w:val="18"/>
                <w:szCs w:val="18"/>
                <w:lang w:val="fr-FR" w:eastAsia="en-US"/>
              </w:rPr>
            </w:pPr>
            <w:r w:rsidRPr="003E01D6">
              <w:rPr>
                <w:rFonts w:ascii="Arial" w:hAnsi="Arial" w:cs="Arial"/>
                <w:sz w:val="18"/>
                <w:szCs w:val="18"/>
                <w:lang w:val="fr-FR" w:eastAsia="en-US"/>
              </w:rPr>
              <w:t>Bangladesh, Bhoutan, Brunéi Darussalam, Chine, Îles Cook, République populaire démocratique de Corée, Fidji, Indonésie, Kiribati, Kirghizistan, République démocratique populaire</w:t>
            </w:r>
            <w:r w:rsidR="005D2844">
              <w:rPr>
                <w:rFonts w:ascii="Arial" w:hAnsi="Arial" w:cs="Arial"/>
                <w:sz w:val="18"/>
                <w:szCs w:val="18"/>
                <w:lang w:val="fr-FR" w:eastAsia="en-US"/>
              </w:rPr>
              <w:t xml:space="preserve"> lao</w:t>
            </w:r>
            <w:r w:rsidRPr="003E01D6">
              <w:rPr>
                <w:rFonts w:ascii="Arial" w:hAnsi="Arial" w:cs="Arial"/>
                <w:sz w:val="18"/>
                <w:szCs w:val="18"/>
                <w:lang w:val="fr-FR" w:eastAsia="en-US"/>
              </w:rPr>
              <w:t xml:space="preserve">, </w:t>
            </w:r>
            <w:r w:rsidR="005D2844">
              <w:rPr>
                <w:rFonts w:ascii="Arial" w:hAnsi="Arial" w:cs="Arial"/>
                <w:sz w:val="18"/>
                <w:szCs w:val="18"/>
                <w:lang w:val="fr-FR" w:eastAsia="en-US"/>
              </w:rPr>
              <w:t>Î</w:t>
            </w:r>
            <w:r w:rsidRPr="003E01D6">
              <w:rPr>
                <w:rFonts w:ascii="Arial" w:hAnsi="Arial" w:cs="Arial"/>
                <w:sz w:val="18"/>
                <w:szCs w:val="18"/>
                <w:lang w:val="fr-FR" w:eastAsia="en-US"/>
              </w:rPr>
              <w:t>les Marshall, Micronésie (États fédérés de), Mongolie, Myanmar, Nauru, Népal, Pakistan, Palaos, Papouasie-Nouvelle-Guinée, Samoa, Singapour, Îles Salomon, Sri Lanka, Timor-Leste</w:t>
            </w:r>
            <w:r w:rsidR="005D2844">
              <w:rPr>
                <w:rFonts w:ascii="Arial" w:hAnsi="Arial" w:cs="Arial"/>
                <w:sz w:val="18"/>
                <w:szCs w:val="18"/>
                <w:lang w:val="fr-FR" w:eastAsia="en-US"/>
              </w:rPr>
              <w:t>,</w:t>
            </w:r>
            <w:r w:rsidRPr="003E01D6">
              <w:rPr>
                <w:rFonts w:ascii="Arial" w:hAnsi="Arial" w:cs="Arial"/>
                <w:sz w:val="18"/>
                <w:szCs w:val="18"/>
                <w:lang w:val="fr-FR" w:eastAsia="en-US"/>
              </w:rPr>
              <w:t xml:space="preserve"> Tonga, Turkménistan, Tuvalu, Vanuatu (29 États</w:t>
            </w:r>
            <w:r w:rsidR="007F5EB2">
              <w:rPr>
                <w:rFonts w:ascii="Arial" w:hAnsi="Arial" w:cs="Arial"/>
                <w:sz w:val="18"/>
                <w:szCs w:val="18"/>
                <w:lang w:val="fr-FR" w:eastAsia="en-US"/>
              </w:rPr>
              <w:t> </w:t>
            </w:r>
            <w:r w:rsidRPr="003E01D6">
              <w:rPr>
                <w:rFonts w:ascii="Arial" w:hAnsi="Arial" w:cs="Arial"/>
                <w:sz w:val="18"/>
                <w:szCs w:val="18"/>
                <w:lang w:val="fr-FR" w:eastAsia="en-US"/>
              </w:rPr>
              <w:t>;</w:t>
            </w:r>
            <w:r w:rsidRPr="003E01D6">
              <w:rPr>
                <w:rFonts w:ascii="Arial" w:hAnsi="Arial" w:cs="Arial"/>
                <w:snapToGrid w:val="0"/>
                <w:sz w:val="18"/>
                <w:szCs w:val="18"/>
                <w:lang w:val="fr-FR" w:eastAsia="en-US"/>
              </w:rPr>
              <w:t xml:space="preserve"> </w:t>
            </w:r>
            <w:r w:rsidRPr="003E01D6">
              <w:rPr>
                <w:rFonts w:ascii="Arial" w:hAnsi="Arial" w:cs="Arial"/>
                <w:sz w:val="18"/>
                <w:szCs w:val="18"/>
                <w:lang w:val="fr-FR" w:eastAsia="en-US"/>
              </w:rPr>
              <w:t>72,5</w:t>
            </w:r>
            <w:r w:rsidR="00ED4470">
              <w:rPr>
                <w:rFonts w:ascii="Arial" w:hAnsi="Arial" w:cs="Arial"/>
                <w:sz w:val="18"/>
                <w:szCs w:val="18"/>
                <w:lang w:val="fr-FR" w:eastAsia="en-US"/>
              </w:rPr>
              <w:t>0</w:t>
            </w:r>
            <w:r w:rsidRPr="003E01D6">
              <w:rPr>
                <w:rFonts w:ascii="Arial" w:hAnsi="Arial" w:cs="Arial"/>
                <w:snapToGrid w:val="0"/>
                <w:sz w:val="18"/>
                <w:szCs w:val="18"/>
                <w:lang w:val="fr-FR" w:eastAsia="en-US"/>
              </w:rPr>
              <w:t> %)</w:t>
            </w:r>
          </w:p>
        </w:tc>
        <w:tc>
          <w:tcPr>
            <w:tcW w:w="752" w:type="pct"/>
          </w:tcPr>
          <w:p w14:paraId="567393E7" w14:textId="5E8370C5" w:rsidR="003E01D6" w:rsidRPr="003E01D6" w:rsidRDefault="003E01D6" w:rsidP="003E01D6">
            <w:pPr>
              <w:spacing w:after="0"/>
              <w:rPr>
                <w:rFonts w:ascii="Arial" w:hAnsi="Arial" w:cs="Arial"/>
                <w:sz w:val="18"/>
                <w:szCs w:val="18"/>
                <w:lang w:val="fr-FR" w:eastAsia="en-US"/>
              </w:rPr>
            </w:pPr>
            <w:r w:rsidRPr="003E01D6">
              <w:rPr>
                <w:rFonts w:ascii="Arial" w:hAnsi="Arial" w:cs="Arial"/>
                <w:sz w:val="18"/>
                <w:szCs w:val="18"/>
                <w:lang w:val="fr-FR" w:eastAsia="en-US"/>
              </w:rPr>
              <w:t>Angola, Bénin, Botswana, Burkina Faso, Burundi, Cabo Verde, Cameroun, République centrafricaine, Tchad, Comores, Congo, Côte d</w:t>
            </w:r>
            <w:r w:rsidR="00244CEA">
              <w:rPr>
                <w:rFonts w:ascii="Arial" w:hAnsi="Arial" w:cs="Arial"/>
                <w:sz w:val="18"/>
                <w:szCs w:val="18"/>
                <w:lang w:val="fr-FR" w:eastAsia="en-US"/>
              </w:rPr>
              <w:t>’</w:t>
            </w:r>
            <w:r w:rsidRPr="003E01D6">
              <w:rPr>
                <w:rFonts w:ascii="Arial" w:hAnsi="Arial" w:cs="Arial"/>
                <w:sz w:val="18"/>
                <w:szCs w:val="18"/>
                <w:lang w:val="fr-FR" w:eastAsia="en-US"/>
              </w:rPr>
              <w:t>Ivoire, République démocratique du Congo, Djibouti, Guinée équatoriale, Érythrée, Eswatini, Éthiopie, Gabon, Gambie, Ghana, Guinée, Guinée-Bissau, Kenya, Lesotho, Malawi, Maurice, Mozambique, Namibie, Niger, Rwanda, Sao Tomé-et-Principe, Sénégal, Seychelles, Somalie, Soudan du Sud, Togo, Ouganda, République-Unie de Tanzanie, Zimbabwe (40 États</w:t>
            </w:r>
            <w:r w:rsidR="007F5EB2">
              <w:rPr>
                <w:rFonts w:ascii="Arial" w:hAnsi="Arial" w:cs="Arial"/>
                <w:sz w:val="18"/>
                <w:szCs w:val="18"/>
                <w:lang w:val="fr-FR" w:eastAsia="en-US"/>
              </w:rPr>
              <w:t> </w:t>
            </w:r>
            <w:r w:rsidRPr="003E01D6">
              <w:rPr>
                <w:rFonts w:ascii="Arial" w:hAnsi="Arial" w:cs="Arial"/>
                <w:sz w:val="18"/>
                <w:szCs w:val="18"/>
                <w:lang w:val="fr-FR" w:eastAsia="en-US"/>
              </w:rPr>
              <w:t>; 90,91</w:t>
            </w:r>
            <w:r w:rsidRPr="003E01D6">
              <w:rPr>
                <w:rFonts w:ascii="Arial" w:hAnsi="Arial" w:cs="Arial"/>
                <w:snapToGrid w:val="0"/>
                <w:sz w:val="18"/>
                <w:szCs w:val="18"/>
                <w:lang w:val="fr-FR" w:eastAsia="en-US"/>
              </w:rPr>
              <w:t> %</w:t>
            </w:r>
            <w:r w:rsidRPr="003E01D6">
              <w:rPr>
                <w:rFonts w:ascii="Arial" w:hAnsi="Arial" w:cs="Arial"/>
                <w:sz w:val="18"/>
                <w:szCs w:val="18"/>
                <w:lang w:val="fr-FR" w:eastAsia="en-US"/>
              </w:rPr>
              <w:t>)</w:t>
            </w:r>
          </w:p>
        </w:tc>
        <w:tc>
          <w:tcPr>
            <w:tcW w:w="752" w:type="pct"/>
          </w:tcPr>
          <w:p w14:paraId="2AFDE8A6" w14:textId="738A2B80" w:rsidR="003E01D6" w:rsidRPr="003E01D6" w:rsidRDefault="003E01D6" w:rsidP="003E01D6">
            <w:pPr>
              <w:spacing w:after="0"/>
              <w:rPr>
                <w:rFonts w:ascii="Arial" w:hAnsi="Arial" w:cs="Arial"/>
                <w:sz w:val="18"/>
                <w:szCs w:val="18"/>
                <w:lang w:val="fr-FR" w:eastAsia="en-US"/>
              </w:rPr>
            </w:pPr>
            <w:r w:rsidRPr="003E01D6">
              <w:rPr>
                <w:rFonts w:ascii="Arial" w:hAnsi="Arial" w:cs="Arial"/>
                <w:sz w:val="18"/>
                <w:szCs w:val="18"/>
                <w:lang w:val="fr-FR" w:eastAsia="en-US"/>
              </w:rPr>
              <w:t>Bahreïn, Iraq, Jordanie, Koweït, Liban, Palestine, Qatar, République arabe syrienne, Yémen</w:t>
            </w:r>
            <w:r w:rsidRPr="003E01D6">
              <w:rPr>
                <w:rFonts w:ascii="Arial" w:hAnsi="Arial" w:cs="Arial"/>
                <w:snapToGrid w:val="0"/>
                <w:sz w:val="18"/>
                <w:szCs w:val="18"/>
                <w:lang w:val="fr-FR" w:eastAsia="en-US"/>
              </w:rPr>
              <w:t xml:space="preserve"> (9 États</w:t>
            </w:r>
            <w:r w:rsidR="007F5EB2">
              <w:rPr>
                <w:rFonts w:ascii="Arial" w:hAnsi="Arial" w:cs="Arial"/>
                <w:snapToGrid w:val="0"/>
                <w:sz w:val="18"/>
                <w:szCs w:val="18"/>
                <w:lang w:val="fr-FR" w:eastAsia="en-US"/>
              </w:rPr>
              <w:t> </w:t>
            </w:r>
            <w:r w:rsidRPr="003E01D6">
              <w:rPr>
                <w:rFonts w:ascii="Arial" w:hAnsi="Arial" w:cs="Arial"/>
                <w:snapToGrid w:val="0"/>
                <w:sz w:val="18"/>
                <w:szCs w:val="18"/>
                <w:lang w:val="fr-FR" w:eastAsia="en-US"/>
              </w:rPr>
              <w:t>; 50</w:t>
            </w:r>
            <w:r w:rsidR="00ED4470">
              <w:rPr>
                <w:rFonts w:ascii="Arial" w:hAnsi="Arial" w:cs="Arial"/>
                <w:snapToGrid w:val="0"/>
                <w:sz w:val="18"/>
                <w:szCs w:val="18"/>
                <w:lang w:val="fr-FR" w:eastAsia="en-US"/>
              </w:rPr>
              <w:t>,00</w:t>
            </w:r>
            <w:r w:rsidRPr="003E01D6">
              <w:rPr>
                <w:rFonts w:ascii="Arial" w:hAnsi="Arial" w:cs="Arial"/>
                <w:snapToGrid w:val="0"/>
                <w:sz w:val="18"/>
                <w:szCs w:val="18"/>
                <w:lang w:val="fr-FR" w:eastAsia="en-US"/>
              </w:rPr>
              <w:t> %)</w:t>
            </w:r>
          </w:p>
        </w:tc>
      </w:tr>
      <w:tr w:rsidR="003E01D6" w:rsidRPr="00E17DFF" w14:paraId="3B82B828" w14:textId="77777777" w:rsidTr="003E01D6">
        <w:tc>
          <w:tcPr>
            <w:tcW w:w="491" w:type="pct"/>
            <w:shd w:val="clear" w:color="auto" w:fill="D9D9D9"/>
          </w:tcPr>
          <w:p w14:paraId="5DAA46C3" w14:textId="354EE191" w:rsidR="003E01D6" w:rsidRPr="003E01D6" w:rsidRDefault="003E01D6" w:rsidP="003E01D6">
            <w:pPr>
              <w:spacing w:after="0"/>
              <w:rPr>
                <w:rFonts w:ascii="Arial" w:hAnsi="Arial" w:cs="Arial"/>
                <w:b/>
                <w:bCs/>
                <w:snapToGrid w:val="0"/>
                <w:sz w:val="18"/>
                <w:szCs w:val="18"/>
                <w:lang w:val="fr-FR" w:eastAsia="en-US"/>
              </w:rPr>
            </w:pPr>
            <w:r w:rsidRPr="003E01D6">
              <w:rPr>
                <w:rFonts w:ascii="Arial" w:hAnsi="Arial" w:cs="Arial"/>
                <w:b/>
                <w:bCs/>
                <w:snapToGrid w:val="0"/>
                <w:sz w:val="18"/>
                <w:szCs w:val="18"/>
                <w:lang w:val="fr-FR" w:eastAsia="en-US"/>
              </w:rPr>
              <w:t xml:space="preserve">1 </w:t>
            </w:r>
            <w:r w:rsidR="00410575">
              <w:rPr>
                <w:rFonts w:ascii="Arial" w:hAnsi="Arial" w:cs="Arial"/>
                <w:b/>
                <w:bCs/>
                <w:snapToGrid w:val="0"/>
                <w:sz w:val="18"/>
                <w:szCs w:val="18"/>
                <w:lang w:val="fr-FR" w:eastAsia="en-US"/>
              </w:rPr>
              <w:t>dossier</w:t>
            </w:r>
          </w:p>
        </w:tc>
        <w:tc>
          <w:tcPr>
            <w:tcW w:w="751" w:type="pct"/>
          </w:tcPr>
          <w:p w14:paraId="68698027" w14:textId="16B3C9F5" w:rsidR="003E01D6" w:rsidRPr="003E01D6" w:rsidRDefault="003E01D6" w:rsidP="003E01D6">
            <w:pPr>
              <w:spacing w:after="0"/>
              <w:rPr>
                <w:rFonts w:ascii="Arial" w:hAnsi="Arial" w:cs="Arial"/>
                <w:snapToGrid w:val="0"/>
                <w:sz w:val="18"/>
                <w:szCs w:val="18"/>
                <w:lang w:val="fr-FR" w:eastAsia="en-US"/>
              </w:rPr>
            </w:pPr>
            <w:r w:rsidRPr="003E01D6">
              <w:rPr>
                <w:rFonts w:ascii="Arial" w:hAnsi="Arial" w:cs="Arial"/>
                <w:snapToGrid w:val="0"/>
                <w:sz w:val="18"/>
                <w:szCs w:val="18"/>
                <w:lang w:val="fr-FR" w:eastAsia="en-US"/>
              </w:rPr>
              <w:t>Belgique, France, Malte, Pays-Bas (4 États</w:t>
            </w:r>
            <w:r w:rsidR="00EC6B25">
              <w:rPr>
                <w:rFonts w:ascii="Arial" w:hAnsi="Arial" w:cs="Arial"/>
                <w:snapToGrid w:val="0"/>
                <w:sz w:val="18"/>
                <w:szCs w:val="18"/>
                <w:lang w:val="fr-FR" w:eastAsia="en-US"/>
              </w:rPr>
              <w:t> ;</w:t>
            </w:r>
            <w:r w:rsidR="007F5EB2">
              <w:rPr>
                <w:rFonts w:ascii="Arial" w:hAnsi="Arial" w:cs="Arial"/>
                <w:snapToGrid w:val="0"/>
                <w:sz w:val="18"/>
                <w:szCs w:val="18"/>
                <w:lang w:val="fr-FR" w:eastAsia="en-US"/>
              </w:rPr>
              <w:t xml:space="preserve"> </w:t>
            </w:r>
            <w:r w:rsidRPr="003E01D6">
              <w:rPr>
                <w:rFonts w:ascii="Arial" w:hAnsi="Arial" w:cs="Arial"/>
                <w:snapToGrid w:val="0"/>
                <w:sz w:val="18"/>
                <w:szCs w:val="18"/>
                <w:lang w:val="fr-FR" w:eastAsia="en-US"/>
              </w:rPr>
              <w:t>18,18 %)</w:t>
            </w:r>
          </w:p>
        </w:tc>
        <w:tc>
          <w:tcPr>
            <w:tcW w:w="752" w:type="pct"/>
          </w:tcPr>
          <w:p w14:paraId="326645CA" w14:textId="0A578A9B" w:rsidR="003E01D6" w:rsidRPr="003E01D6" w:rsidRDefault="003E01D6" w:rsidP="003E01D6">
            <w:pPr>
              <w:spacing w:after="0"/>
              <w:rPr>
                <w:rFonts w:ascii="Arial" w:hAnsi="Arial" w:cs="Arial"/>
                <w:sz w:val="18"/>
                <w:szCs w:val="18"/>
                <w:lang w:val="fr-FR" w:eastAsia="en-US"/>
              </w:rPr>
            </w:pPr>
            <w:r w:rsidRPr="003E01D6">
              <w:rPr>
                <w:rFonts w:ascii="Arial" w:hAnsi="Arial" w:cs="Arial"/>
                <w:sz w:val="18"/>
                <w:szCs w:val="18"/>
                <w:lang w:val="fr-FR" w:eastAsia="en-US"/>
              </w:rPr>
              <w:t>Albanie, Arménie, Bosnie-Herzégovine, Géorgie, Hongrie, Ukraine (6 États</w:t>
            </w:r>
            <w:r w:rsidR="007F5EB2">
              <w:rPr>
                <w:rFonts w:ascii="Arial" w:hAnsi="Arial" w:cs="Arial"/>
                <w:sz w:val="18"/>
                <w:szCs w:val="18"/>
                <w:lang w:val="fr-FR" w:eastAsia="en-US"/>
              </w:rPr>
              <w:t> </w:t>
            </w:r>
            <w:r w:rsidRPr="003E01D6">
              <w:rPr>
                <w:rFonts w:ascii="Arial" w:hAnsi="Arial" w:cs="Arial"/>
                <w:snapToGrid w:val="0"/>
                <w:sz w:val="18"/>
                <w:szCs w:val="18"/>
                <w:lang w:val="fr-FR" w:eastAsia="en-US"/>
              </w:rPr>
              <w:t>; 2</w:t>
            </w:r>
            <w:r w:rsidR="00ED4470">
              <w:rPr>
                <w:rFonts w:ascii="Arial" w:hAnsi="Arial" w:cs="Arial"/>
                <w:snapToGrid w:val="0"/>
                <w:sz w:val="18"/>
                <w:szCs w:val="18"/>
                <w:lang w:val="fr-FR" w:eastAsia="en-US"/>
              </w:rPr>
              <w:t>5</w:t>
            </w:r>
            <w:r w:rsidRPr="003E01D6">
              <w:rPr>
                <w:rFonts w:ascii="Arial" w:hAnsi="Arial" w:cs="Arial"/>
                <w:snapToGrid w:val="0"/>
                <w:sz w:val="18"/>
                <w:szCs w:val="18"/>
                <w:lang w:val="fr-FR" w:eastAsia="en-US"/>
              </w:rPr>
              <w:t>,</w:t>
            </w:r>
            <w:r w:rsidR="00ED4470">
              <w:rPr>
                <w:rFonts w:ascii="Arial" w:hAnsi="Arial" w:cs="Arial"/>
                <w:snapToGrid w:val="0"/>
                <w:sz w:val="18"/>
                <w:szCs w:val="18"/>
                <w:lang w:val="fr-FR" w:eastAsia="en-US"/>
              </w:rPr>
              <w:t>00</w:t>
            </w:r>
            <w:r w:rsidRPr="003E01D6">
              <w:rPr>
                <w:rFonts w:ascii="Arial" w:hAnsi="Arial" w:cs="Arial"/>
                <w:snapToGrid w:val="0"/>
                <w:sz w:val="18"/>
                <w:szCs w:val="18"/>
                <w:lang w:val="fr-FR" w:eastAsia="en-US"/>
              </w:rPr>
              <w:t> %</w:t>
            </w:r>
            <w:r w:rsidRPr="003E01D6">
              <w:rPr>
                <w:rFonts w:ascii="Arial" w:hAnsi="Arial" w:cs="Arial"/>
                <w:sz w:val="18"/>
                <w:szCs w:val="18"/>
                <w:lang w:val="fr-FR" w:eastAsia="en-US"/>
              </w:rPr>
              <w:t>)</w:t>
            </w:r>
          </w:p>
        </w:tc>
        <w:tc>
          <w:tcPr>
            <w:tcW w:w="752" w:type="pct"/>
          </w:tcPr>
          <w:p w14:paraId="18902642" w14:textId="08220C27" w:rsidR="003E01D6" w:rsidRPr="003E01D6" w:rsidRDefault="003E01D6" w:rsidP="003E01D6">
            <w:pPr>
              <w:spacing w:after="0"/>
              <w:rPr>
                <w:rFonts w:ascii="Arial" w:hAnsi="Arial" w:cs="Arial"/>
                <w:sz w:val="18"/>
                <w:szCs w:val="18"/>
                <w:lang w:val="fr-FR" w:eastAsia="en-US"/>
              </w:rPr>
            </w:pPr>
            <w:r w:rsidRPr="003E01D6">
              <w:rPr>
                <w:rFonts w:ascii="Arial" w:hAnsi="Arial" w:cs="Arial"/>
                <w:sz w:val="18"/>
                <w:szCs w:val="18"/>
                <w:lang w:val="fr-FR" w:eastAsia="en-US"/>
              </w:rPr>
              <w:t>Colombie, Grenade, Panama, Venezuela (République bolivarienne de) (4 États</w:t>
            </w:r>
            <w:r w:rsidR="00EC6B25">
              <w:rPr>
                <w:rFonts w:ascii="Arial" w:hAnsi="Arial" w:cs="Arial"/>
                <w:sz w:val="18"/>
                <w:szCs w:val="18"/>
                <w:lang w:val="fr-FR" w:eastAsia="en-US"/>
              </w:rPr>
              <w:t> ;</w:t>
            </w:r>
            <w:r w:rsidR="00EC6B25" w:rsidRPr="003E01D6">
              <w:rPr>
                <w:rFonts w:ascii="Arial" w:hAnsi="Arial" w:cs="Arial"/>
                <w:sz w:val="18"/>
                <w:szCs w:val="18"/>
                <w:lang w:val="fr-FR" w:eastAsia="en-US"/>
              </w:rPr>
              <w:t xml:space="preserve"> </w:t>
            </w:r>
            <w:r w:rsidRPr="003E01D6">
              <w:rPr>
                <w:rFonts w:ascii="Arial" w:hAnsi="Arial" w:cs="Arial"/>
                <w:sz w:val="18"/>
                <w:szCs w:val="18"/>
                <w:lang w:val="fr-FR" w:eastAsia="en-US"/>
              </w:rPr>
              <w:t>12,5</w:t>
            </w:r>
            <w:r w:rsidR="00ED4470">
              <w:rPr>
                <w:rFonts w:ascii="Arial" w:hAnsi="Arial" w:cs="Arial"/>
                <w:sz w:val="18"/>
                <w:szCs w:val="18"/>
                <w:lang w:val="fr-FR" w:eastAsia="en-US"/>
              </w:rPr>
              <w:t>0</w:t>
            </w:r>
            <w:r w:rsidRPr="003E01D6">
              <w:rPr>
                <w:rFonts w:ascii="Arial" w:hAnsi="Arial" w:cs="Arial"/>
                <w:snapToGrid w:val="0"/>
                <w:sz w:val="18"/>
                <w:szCs w:val="18"/>
                <w:lang w:val="fr-FR" w:eastAsia="en-US"/>
              </w:rPr>
              <w:t> %</w:t>
            </w:r>
            <w:r w:rsidRPr="003E01D6">
              <w:rPr>
                <w:rFonts w:ascii="Arial" w:hAnsi="Arial" w:cs="Arial"/>
                <w:sz w:val="18"/>
                <w:szCs w:val="18"/>
                <w:lang w:val="fr-FR" w:eastAsia="en-US"/>
              </w:rPr>
              <w:t>)</w:t>
            </w:r>
          </w:p>
        </w:tc>
        <w:tc>
          <w:tcPr>
            <w:tcW w:w="752" w:type="pct"/>
          </w:tcPr>
          <w:p w14:paraId="6D187D94" w14:textId="1D38ED6A" w:rsidR="003E01D6" w:rsidRPr="003E01D6" w:rsidRDefault="003E01D6" w:rsidP="003E01D6">
            <w:pPr>
              <w:spacing w:after="0"/>
              <w:rPr>
                <w:rFonts w:ascii="Arial" w:hAnsi="Arial" w:cs="Arial"/>
                <w:sz w:val="18"/>
                <w:szCs w:val="18"/>
                <w:lang w:val="fr-FR" w:eastAsia="en-US"/>
              </w:rPr>
            </w:pPr>
            <w:r w:rsidRPr="003E01D6">
              <w:rPr>
                <w:rFonts w:ascii="Arial" w:hAnsi="Arial" w:cs="Arial"/>
                <w:sz w:val="18"/>
                <w:szCs w:val="18"/>
                <w:lang w:val="fr-FR" w:eastAsia="en-US"/>
              </w:rPr>
              <w:t>Cambodge, Philippines, Viet Nam (3 États</w:t>
            </w:r>
            <w:r w:rsidR="00EC6B25">
              <w:rPr>
                <w:rFonts w:ascii="Arial" w:hAnsi="Arial" w:cs="Arial"/>
                <w:sz w:val="18"/>
                <w:szCs w:val="18"/>
                <w:lang w:val="fr-FR" w:eastAsia="en-US"/>
              </w:rPr>
              <w:t> ;</w:t>
            </w:r>
            <w:r w:rsidR="00EC6B25" w:rsidRPr="003E01D6">
              <w:rPr>
                <w:rFonts w:ascii="Arial" w:hAnsi="Arial" w:cs="Arial"/>
                <w:sz w:val="18"/>
                <w:szCs w:val="18"/>
                <w:lang w:val="fr-FR" w:eastAsia="en-US"/>
              </w:rPr>
              <w:t xml:space="preserve"> </w:t>
            </w:r>
            <w:r w:rsidRPr="003E01D6">
              <w:rPr>
                <w:rFonts w:ascii="Arial" w:hAnsi="Arial" w:cs="Arial"/>
                <w:sz w:val="18"/>
                <w:szCs w:val="18"/>
                <w:lang w:val="fr-FR" w:eastAsia="en-US"/>
              </w:rPr>
              <w:t>7,5</w:t>
            </w:r>
            <w:r w:rsidR="00ED4470">
              <w:rPr>
                <w:rFonts w:ascii="Arial" w:hAnsi="Arial" w:cs="Arial"/>
                <w:sz w:val="18"/>
                <w:szCs w:val="18"/>
                <w:lang w:val="fr-FR" w:eastAsia="en-US"/>
              </w:rPr>
              <w:t>0</w:t>
            </w:r>
            <w:r w:rsidRPr="003E01D6">
              <w:rPr>
                <w:rFonts w:ascii="Arial" w:hAnsi="Arial" w:cs="Arial"/>
                <w:sz w:val="18"/>
                <w:szCs w:val="18"/>
                <w:lang w:val="fr-FR" w:eastAsia="en-US"/>
              </w:rPr>
              <w:t>%),</w:t>
            </w:r>
          </w:p>
        </w:tc>
        <w:tc>
          <w:tcPr>
            <w:tcW w:w="752" w:type="pct"/>
          </w:tcPr>
          <w:p w14:paraId="5F967B2B" w14:textId="5B6D248A" w:rsidR="003E01D6" w:rsidRPr="003E01D6" w:rsidRDefault="003E01D6" w:rsidP="003E01D6">
            <w:pPr>
              <w:spacing w:after="0"/>
              <w:rPr>
                <w:rFonts w:ascii="Arial" w:eastAsia="SimSun" w:hAnsi="Arial" w:cs="Arial"/>
                <w:sz w:val="18"/>
                <w:szCs w:val="18"/>
                <w:lang w:val="fr-FR" w:eastAsia="en-US"/>
              </w:rPr>
            </w:pPr>
            <w:r w:rsidRPr="003E01D6">
              <w:rPr>
                <w:rFonts w:ascii="Arial" w:eastAsia="SimSun" w:hAnsi="Arial" w:cs="Arial"/>
                <w:sz w:val="18"/>
                <w:szCs w:val="18"/>
                <w:lang w:val="fr-FR" w:eastAsia="en-US"/>
              </w:rPr>
              <w:t>Madagascar, Mali, Zambie (</w:t>
            </w:r>
            <w:r w:rsidRPr="003E01D6">
              <w:rPr>
                <w:rFonts w:ascii="Arial" w:eastAsia="SimSun" w:hAnsi="Arial" w:cs="Arial"/>
                <w:sz w:val="18"/>
                <w:szCs w:val="18"/>
                <w:lang w:val="fr-FR"/>
              </w:rPr>
              <w:t>3 États</w:t>
            </w:r>
            <w:r w:rsidR="007F5EB2">
              <w:rPr>
                <w:rFonts w:ascii="Arial" w:eastAsia="SimSun" w:hAnsi="Arial" w:cs="Arial"/>
                <w:sz w:val="18"/>
                <w:szCs w:val="18"/>
                <w:lang w:val="fr-FR"/>
              </w:rPr>
              <w:t> </w:t>
            </w:r>
            <w:r w:rsidRPr="003E01D6">
              <w:rPr>
                <w:rFonts w:ascii="Arial" w:eastAsia="SimSun" w:hAnsi="Arial" w:cs="Arial"/>
                <w:sz w:val="18"/>
                <w:szCs w:val="18"/>
                <w:lang w:val="fr-FR"/>
              </w:rPr>
              <w:t>; 6,82%</w:t>
            </w:r>
            <w:r w:rsidRPr="003E01D6">
              <w:rPr>
                <w:rFonts w:ascii="Arial" w:eastAsia="SimSun" w:hAnsi="Arial" w:cs="Arial"/>
                <w:sz w:val="18"/>
                <w:szCs w:val="18"/>
                <w:lang w:val="fr-FR" w:eastAsia="en-US"/>
              </w:rPr>
              <w:t>)</w:t>
            </w:r>
          </w:p>
        </w:tc>
        <w:tc>
          <w:tcPr>
            <w:tcW w:w="752" w:type="pct"/>
          </w:tcPr>
          <w:p w14:paraId="2B0009BF" w14:textId="051F9FDF" w:rsidR="003E01D6" w:rsidRPr="003E01D6" w:rsidRDefault="003E01D6" w:rsidP="003E01D6">
            <w:pPr>
              <w:spacing w:after="0"/>
              <w:rPr>
                <w:rFonts w:ascii="Arial" w:eastAsia="SimSun" w:hAnsi="Arial" w:cs="Arial"/>
                <w:sz w:val="18"/>
                <w:szCs w:val="18"/>
                <w:lang w:val="fr-FR" w:eastAsia="en-US"/>
              </w:rPr>
            </w:pPr>
            <w:r w:rsidRPr="003E01D6">
              <w:rPr>
                <w:rFonts w:ascii="Arial" w:eastAsia="SimSun" w:hAnsi="Arial" w:cs="Arial"/>
                <w:sz w:val="18"/>
                <w:szCs w:val="18"/>
                <w:lang w:val="fr-FR" w:eastAsia="en-US"/>
              </w:rPr>
              <w:t>Mauritanie, Oman, Soudan, Tunisie</w:t>
            </w:r>
            <w:r w:rsidRPr="003E01D6">
              <w:rPr>
                <w:rFonts w:ascii="Arial" w:eastAsia="SimSun" w:hAnsi="Arial" w:cs="Arial"/>
                <w:sz w:val="18"/>
                <w:szCs w:val="18"/>
                <w:lang w:val="fr-FR"/>
              </w:rPr>
              <w:t xml:space="preserve"> (4 États</w:t>
            </w:r>
            <w:r w:rsidR="007F5EB2">
              <w:rPr>
                <w:rFonts w:ascii="Arial" w:eastAsia="SimSun" w:hAnsi="Arial" w:cs="Arial"/>
                <w:sz w:val="18"/>
                <w:szCs w:val="18"/>
                <w:lang w:val="fr-FR"/>
              </w:rPr>
              <w:t> </w:t>
            </w:r>
            <w:r w:rsidRPr="003E01D6">
              <w:rPr>
                <w:rFonts w:ascii="Arial" w:eastAsia="SimSun" w:hAnsi="Arial" w:cs="Arial"/>
                <w:sz w:val="18"/>
                <w:szCs w:val="18"/>
                <w:lang w:val="fr-FR"/>
              </w:rPr>
              <w:t>; 22,22 %)</w:t>
            </w:r>
          </w:p>
        </w:tc>
      </w:tr>
      <w:tr w:rsidR="003E01D6" w:rsidRPr="00E17DFF" w14:paraId="1E8AA147" w14:textId="77777777" w:rsidTr="003E01D6">
        <w:tc>
          <w:tcPr>
            <w:tcW w:w="491" w:type="pct"/>
            <w:shd w:val="clear" w:color="auto" w:fill="D9D9D9"/>
          </w:tcPr>
          <w:p w14:paraId="20DFB338" w14:textId="77777777" w:rsidR="003E01D6" w:rsidRPr="003E01D6" w:rsidRDefault="003E01D6" w:rsidP="003E01D6">
            <w:pPr>
              <w:spacing w:after="0"/>
              <w:rPr>
                <w:rFonts w:ascii="Arial" w:hAnsi="Arial" w:cs="Arial"/>
                <w:b/>
                <w:bCs/>
                <w:snapToGrid w:val="0"/>
                <w:sz w:val="18"/>
                <w:szCs w:val="18"/>
                <w:lang w:val="fr-FR" w:eastAsia="en-US"/>
              </w:rPr>
            </w:pPr>
            <w:r w:rsidRPr="003E01D6">
              <w:rPr>
                <w:rFonts w:ascii="Arial" w:hAnsi="Arial" w:cs="Arial"/>
                <w:b/>
                <w:bCs/>
                <w:snapToGrid w:val="0"/>
                <w:sz w:val="18"/>
                <w:szCs w:val="18"/>
                <w:lang w:val="fr-FR" w:eastAsia="en-US"/>
              </w:rPr>
              <w:t>2 dossiers</w:t>
            </w:r>
          </w:p>
        </w:tc>
        <w:tc>
          <w:tcPr>
            <w:tcW w:w="751" w:type="pct"/>
          </w:tcPr>
          <w:p w14:paraId="40EB3945" w14:textId="77777777" w:rsidR="003E01D6" w:rsidRPr="003E01D6" w:rsidRDefault="003E01D6" w:rsidP="003E01D6">
            <w:pPr>
              <w:spacing w:after="0"/>
              <w:rPr>
                <w:rFonts w:ascii="Arial" w:hAnsi="Arial" w:cs="Arial"/>
                <w:sz w:val="18"/>
                <w:szCs w:val="18"/>
                <w:lang w:val="fr-FR" w:eastAsia="en-US"/>
              </w:rPr>
            </w:pPr>
          </w:p>
        </w:tc>
        <w:tc>
          <w:tcPr>
            <w:tcW w:w="752" w:type="pct"/>
          </w:tcPr>
          <w:p w14:paraId="1B00E250" w14:textId="2BF8CCA8" w:rsidR="003E01D6" w:rsidRPr="003E01D6" w:rsidRDefault="003E01D6" w:rsidP="003E01D6">
            <w:pPr>
              <w:spacing w:after="0"/>
              <w:rPr>
                <w:rFonts w:ascii="Arial" w:hAnsi="Arial" w:cs="Arial"/>
                <w:sz w:val="18"/>
                <w:szCs w:val="18"/>
                <w:lang w:val="fr-FR" w:eastAsia="en-US"/>
              </w:rPr>
            </w:pPr>
            <w:r w:rsidRPr="003E01D6">
              <w:rPr>
                <w:rFonts w:ascii="Arial" w:hAnsi="Arial" w:cs="Arial"/>
                <w:sz w:val="18"/>
                <w:szCs w:val="18"/>
                <w:lang w:val="fr-FR" w:eastAsia="en-US"/>
              </w:rPr>
              <w:t>Ouzbékistan (1 État</w:t>
            </w:r>
            <w:r w:rsidR="00EC6B25">
              <w:rPr>
                <w:rFonts w:ascii="Arial" w:hAnsi="Arial" w:cs="Arial"/>
                <w:sz w:val="18"/>
                <w:szCs w:val="18"/>
                <w:lang w:val="fr-FR" w:eastAsia="en-US"/>
              </w:rPr>
              <w:t> ;</w:t>
            </w:r>
            <w:r w:rsidR="00EC6B25" w:rsidRPr="003E01D6">
              <w:rPr>
                <w:rFonts w:ascii="Arial" w:hAnsi="Arial" w:cs="Arial"/>
                <w:sz w:val="18"/>
                <w:szCs w:val="18"/>
                <w:lang w:val="fr-FR" w:eastAsia="en-US"/>
              </w:rPr>
              <w:t xml:space="preserve"> </w:t>
            </w:r>
            <w:r w:rsidRPr="003E01D6">
              <w:rPr>
                <w:rFonts w:ascii="Arial" w:hAnsi="Arial" w:cs="Arial"/>
                <w:sz w:val="18"/>
                <w:szCs w:val="18"/>
                <w:lang w:val="fr-FR" w:eastAsia="en-US"/>
              </w:rPr>
              <w:t>4,17 %)</w:t>
            </w:r>
          </w:p>
        </w:tc>
        <w:tc>
          <w:tcPr>
            <w:tcW w:w="752" w:type="pct"/>
          </w:tcPr>
          <w:p w14:paraId="0BF6CD2A" w14:textId="77777777" w:rsidR="003E01D6" w:rsidRPr="003E01D6" w:rsidRDefault="003E01D6" w:rsidP="003E01D6">
            <w:pPr>
              <w:spacing w:after="0"/>
              <w:rPr>
                <w:rFonts w:ascii="Arial" w:hAnsi="Arial" w:cs="Arial"/>
                <w:sz w:val="18"/>
                <w:szCs w:val="18"/>
                <w:lang w:val="fr-FR" w:eastAsia="en-US"/>
              </w:rPr>
            </w:pPr>
          </w:p>
        </w:tc>
        <w:tc>
          <w:tcPr>
            <w:tcW w:w="752" w:type="pct"/>
          </w:tcPr>
          <w:p w14:paraId="16297D48" w14:textId="2203CDD7" w:rsidR="003E01D6" w:rsidRPr="003E01D6" w:rsidRDefault="003E01D6" w:rsidP="003E01D6">
            <w:pPr>
              <w:spacing w:after="0"/>
              <w:rPr>
                <w:rFonts w:ascii="Arial" w:hAnsi="Arial" w:cs="Arial"/>
                <w:sz w:val="18"/>
                <w:szCs w:val="18"/>
                <w:lang w:val="fr-FR" w:eastAsia="en-US"/>
              </w:rPr>
            </w:pPr>
            <w:r w:rsidRPr="003E01D6">
              <w:rPr>
                <w:rFonts w:ascii="Arial" w:hAnsi="Arial" w:cs="Arial"/>
                <w:sz w:val="18"/>
                <w:szCs w:val="18"/>
                <w:lang w:val="fr-FR" w:eastAsia="en-US"/>
              </w:rPr>
              <w:t>Afghanistan, Malaisie, Thaïlande (3 États</w:t>
            </w:r>
            <w:r w:rsidR="007F5EB2">
              <w:rPr>
                <w:rFonts w:ascii="Arial" w:hAnsi="Arial" w:cs="Arial"/>
                <w:sz w:val="18"/>
                <w:szCs w:val="18"/>
                <w:lang w:val="fr-FR" w:eastAsia="en-US"/>
              </w:rPr>
              <w:t> ;</w:t>
            </w:r>
            <w:r w:rsidRPr="003E01D6">
              <w:rPr>
                <w:rFonts w:ascii="Arial" w:hAnsi="Arial" w:cs="Arial"/>
                <w:sz w:val="18"/>
                <w:szCs w:val="18"/>
                <w:lang w:val="fr-FR" w:eastAsia="en-US"/>
              </w:rPr>
              <w:t xml:space="preserve"> 7,5</w:t>
            </w:r>
            <w:r w:rsidR="00ED4470">
              <w:rPr>
                <w:rFonts w:ascii="Arial" w:hAnsi="Arial" w:cs="Arial"/>
                <w:sz w:val="18"/>
                <w:szCs w:val="18"/>
                <w:lang w:val="fr-FR" w:eastAsia="en-US"/>
              </w:rPr>
              <w:t>0</w:t>
            </w:r>
            <w:r w:rsidRPr="003E01D6">
              <w:rPr>
                <w:rFonts w:ascii="Arial" w:hAnsi="Arial" w:cs="Arial"/>
                <w:sz w:val="18"/>
                <w:szCs w:val="18"/>
                <w:lang w:val="fr-FR" w:eastAsia="en-US"/>
              </w:rPr>
              <w:t> %)</w:t>
            </w:r>
          </w:p>
        </w:tc>
        <w:tc>
          <w:tcPr>
            <w:tcW w:w="752" w:type="pct"/>
          </w:tcPr>
          <w:p w14:paraId="50B7EF66" w14:textId="4F379B98" w:rsidR="003E01D6" w:rsidRPr="003E01D6" w:rsidRDefault="003E01D6" w:rsidP="003E01D6">
            <w:pPr>
              <w:spacing w:after="0"/>
              <w:rPr>
                <w:rFonts w:ascii="Arial" w:hAnsi="Arial" w:cs="Arial"/>
                <w:sz w:val="18"/>
                <w:szCs w:val="18"/>
                <w:lang w:val="fr-FR" w:eastAsia="en-US"/>
              </w:rPr>
            </w:pPr>
            <w:r w:rsidRPr="003E01D6">
              <w:rPr>
                <w:rFonts w:ascii="Arial" w:hAnsi="Arial" w:cs="Arial"/>
                <w:sz w:val="18"/>
                <w:szCs w:val="18"/>
                <w:lang w:val="fr-FR" w:eastAsia="en-US"/>
              </w:rPr>
              <w:t>Nigéria (1 État</w:t>
            </w:r>
            <w:r w:rsidR="007F5EB2">
              <w:rPr>
                <w:rFonts w:ascii="Arial" w:hAnsi="Arial" w:cs="Arial"/>
                <w:sz w:val="18"/>
                <w:szCs w:val="18"/>
                <w:lang w:val="fr-FR" w:eastAsia="en-US"/>
              </w:rPr>
              <w:t> ;</w:t>
            </w:r>
            <w:r w:rsidRPr="003E01D6">
              <w:rPr>
                <w:rFonts w:ascii="Arial" w:hAnsi="Arial" w:cs="Arial"/>
                <w:sz w:val="18"/>
                <w:szCs w:val="18"/>
                <w:lang w:val="fr-FR" w:eastAsia="en-US"/>
              </w:rPr>
              <w:t xml:space="preserve"> 2,2</w:t>
            </w:r>
            <w:r w:rsidR="00ED4470">
              <w:rPr>
                <w:rFonts w:ascii="Arial" w:hAnsi="Arial" w:cs="Arial"/>
                <w:sz w:val="18"/>
                <w:szCs w:val="18"/>
                <w:lang w:val="fr-FR" w:eastAsia="en-US"/>
              </w:rPr>
              <w:t>7</w:t>
            </w:r>
            <w:r w:rsidRPr="003E01D6">
              <w:rPr>
                <w:rFonts w:ascii="Arial" w:hAnsi="Arial" w:cs="Arial"/>
                <w:sz w:val="18"/>
                <w:szCs w:val="18"/>
                <w:lang w:val="fr-FR" w:eastAsia="en-US"/>
              </w:rPr>
              <w:t> %)</w:t>
            </w:r>
          </w:p>
        </w:tc>
        <w:tc>
          <w:tcPr>
            <w:tcW w:w="752" w:type="pct"/>
          </w:tcPr>
          <w:p w14:paraId="3B67F765" w14:textId="2944EA68" w:rsidR="003E01D6" w:rsidRPr="003E01D6" w:rsidRDefault="003E01D6" w:rsidP="003E01D6">
            <w:pPr>
              <w:spacing w:after="0"/>
              <w:rPr>
                <w:rFonts w:ascii="Arial" w:eastAsia="SimSun" w:hAnsi="Arial" w:cs="Arial"/>
                <w:sz w:val="18"/>
                <w:szCs w:val="18"/>
                <w:lang w:val="fr-FR" w:eastAsia="en-US"/>
              </w:rPr>
            </w:pPr>
            <w:r w:rsidRPr="003E01D6">
              <w:rPr>
                <w:rFonts w:ascii="Arial" w:eastAsia="SimSun" w:hAnsi="Arial" w:cs="Arial"/>
                <w:sz w:val="18"/>
                <w:szCs w:val="18"/>
                <w:lang w:val="fr-FR" w:eastAsia="en-US"/>
              </w:rPr>
              <w:t xml:space="preserve">Algérie, Égypte, Maroc, Émirats arabes unis </w:t>
            </w:r>
            <w:r w:rsidRPr="003E01D6">
              <w:rPr>
                <w:rFonts w:ascii="Arial" w:eastAsia="SimSun" w:hAnsi="Arial" w:cs="Arial"/>
                <w:sz w:val="18"/>
                <w:szCs w:val="18"/>
                <w:lang w:val="fr-FR"/>
              </w:rPr>
              <w:t>(4 États</w:t>
            </w:r>
            <w:r w:rsidR="007F5EB2">
              <w:rPr>
                <w:rFonts w:ascii="Arial" w:eastAsia="SimSun" w:hAnsi="Arial" w:cs="Arial"/>
                <w:sz w:val="18"/>
                <w:szCs w:val="18"/>
                <w:lang w:val="fr-FR"/>
              </w:rPr>
              <w:t> </w:t>
            </w:r>
            <w:r w:rsidRPr="003E01D6">
              <w:rPr>
                <w:rFonts w:ascii="Arial" w:eastAsia="SimSun" w:hAnsi="Arial" w:cs="Arial"/>
                <w:sz w:val="18"/>
                <w:szCs w:val="18"/>
                <w:lang w:val="fr-FR"/>
              </w:rPr>
              <w:t>; 22,22 %)</w:t>
            </w:r>
          </w:p>
        </w:tc>
      </w:tr>
      <w:tr w:rsidR="003E01D6" w:rsidRPr="003E01D6" w14:paraId="30A45700" w14:textId="77777777" w:rsidTr="003E01D6">
        <w:tc>
          <w:tcPr>
            <w:tcW w:w="491" w:type="pct"/>
            <w:shd w:val="clear" w:color="auto" w:fill="D9D9D9"/>
          </w:tcPr>
          <w:p w14:paraId="4759F47D" w14:textId="77777777" w:rsidR="003E01D6" w:rsidRPr="003E01D6" w:rsidRDefault="003E01D6" w:rsidP="003E01D6">
            <w:pPr>
              <w:spacing w:after="0"/>
              <w:rPr>
                <w:rFonts w:ascii="Arial" w:hAnsi="Arial" w:cs="Arial"/>
                <w:b/>
                <w:bCs/>
                <w:snapToGrid w:val="0"/>
                <w:sz w:val="18"/>
                <w:szCs w:val="18"/>
                <w:lang w:val="fr-FR" w:eastAsia="en-US"/>
              </w:rPr>
            </w:pPr>
            <w:r w:rsidRPr="003E01D6">
              <w:rPr>
                <w:rFonts w:ascii="Arial" w:hAnsi="Arial" w:cs="Arial"/>
                <w:b/>
                <w:bCs/>
                <w:snapToGrid w:val="0"/>
                <w:sz w:val="18"/>
                <w:szCs w:val="18"/>
                <w:lang w:val="fr-FR" w:eastAsia="en-US"/>
              </w:rPr>
              <w:t>3 dossiers</w:t>
            </w:r>
          </w:p>
        </w:tc>
        <w:tc>
          <w:tcPr>
            <w:tcW w:w="751" w:type="pct"/>
          </w:tcPr>
          <w:p w14:paraId="61053520" w14:textId="77777777" w:rsidR="003E01D6" w:rsidRPr="003E01D6" w:rsidRDefault="003E01D6" w:rsidP="003E01D6">
            <w:pPr>
              <w:spacing w:after="0"/>
              <w:rPr>
                <w:rFonts w:ascii="Arial" w:hAnsi="Arial" w:cs="Arial"/>
                <w:sz w:val="18"/>
                <w:szCs w:val="18"/>
                <w:lang w:val="fr-FR" w:eastAsia="en-US"/>
              </w:rPr>
            </w:pPr>
          </w:p>
        </w:tc>
        <w:tc>
          <w:tcPr>
            <w:tcW w:w="752" w:type="pct"/>
          </w:tcPr>
          <w:p w14:paraId="1FD40509" w14:textId="0435C971" w:rsidR="003E01D6" w:rsidRPr="003E01D6" w:rsidRDefault="003E01D6" w:rsidP="003E01D6">
            <w:pPr>
              <w:spacing w:after="0"/>
              <w:rPr>
                <w:rFonts w:ascii="Arial" w:hAnsi="Arial" w:cs="Arial"/>
                <w:sz w:val="18"/>
                <w:szCs w:val="18"/>
                <w:lang w:val="fr-FR" w:eastAsia="en-US"/>
              </w:rPr>
            </w:pPr>
            <w:r w:rsidRPr="003E01D6">
              <w:rPr>
                <w:rFonts w:ascii="Arial" w:hAnsi="Arial" w:cs="Arial"/>
                <w:sz w:val="18"/>
                <w:szCs w:val="18"/>
                <w:lang w:val="fr-FR" w:eastAsia="en-US"/>
              </w:rPr>
              <w:t>Tadjikistan (1 État</w:t>
            </w:r>
            <w:r w:rsidR="00EC6B25">
              <w:rPr>
                <w:rFonts w:ascii="Arial" w:hAnsi="Arial" w:cs="Arial"/>
                <w:sz w:val="18"/>
                <w:szCs w:val="18"/>
                <w:lang w:val="fr-FR" w:eastAsia="en-US"/>
              </w:rPr>
              <w:t> ;</w:t>
            </w:r>
            <w:r w:rsidR="00EC6B25" w:rsidRPr="003E01D6">
              <w:rPr>
                <w:rFonts w:ascii="Arial" w:hAnsi="Arial" w:cs="Arial"/>
                <w:sz w:val="18"/>
                <w:szCs w:val="18"/>
                <w:lang w:val="fr-FR" w:eastAsia="en-US"/>
              </w:rPr>
              <w:t xml:space="preserve"> </w:t>
            </w:r>
            <w:r w:rsidRPr="003E01D6">
              <w:rPr>
                <w:rFonts w:ascii="Arial" w:hAnsi="Arial" w:cs="Arial"/>
                <w:sz w:val="18"/>
                <w:szCs w:val="18"/>
                <w:lang w:val="fr-FR" w:eastAsia="en-US"/>
              </w:rPr>
              <w:t>4,17 %)</w:t>
            </w:r>
          </w:p>
        </w:tc>
        <w:tc>
          <w:tcPr>
            <w:tcW w:w="752" w:type="pct"/>
          </w:tcPr>
          <w:p w14:paraId="23D20024" w14:textId="77777777" w:rsidR="003E01D6" w:rsidRPr="003E01D6" w:rsidRDefault="003E01D6" w:rsidP="003E01D6">
            <w:pPr>
              <w:spacing w:after="0"/>
              <w:rPr>
                <w:rFonts w:ascii="Arial" w:hAnsi="Arial" w:cs="Arial"/>
                <w:sz w:val="18"/>
                <w:szCs w:val="18"/>
                <w:lang w:val="fr-FR" w:eastAsia="en-US"/>
              </w:rPr>
            </w:pPr>
          </w:p>
        </w:tc>
        <w:tc>
          <w:tcPr>
            <w:tcW w:w="752" w:type="pct"/>
          </w:tcPr>
          <w:p w14:paraId="4A5C1EB3" w14:textId="77777777" w:rsidR="003E01D6" w:rsidRPr="003E01D6" w:rsidRDefault="003E01D6" w:rsidP="003E01D6">
            <w:pPr>
              <w:spacing w:after="0"/>
              <w:rPr>
                <w:rFonts w:ascii="Arial" w:eastAsia="SimSun" w:hAnsi="Arial" w:cs="Arial"/>
                <w:sz w:val="18"/>
                <w:szCs w:val="18"/>
                <w:lang w:val="fr-FR" w:eastAsia="en-US"/>
              </w:rPr>
            </w:pPr>
          </w:p>
        </w:tc>
        <w:tc>
          <w:tcPr>
            <w:tcW w:w="752" w:type="pct"/>
          </w:tcPr>
          <w:p w14:paraId="4B1286A7" w14:textId="77777777" w:rsidR="003E01D6" w:rsidRPr="003E01D6" w:rsidRDefault="003E01D6" w:rsidP="003E01D6">
            <w:pPr>
              <w:spacing w:after="0"/>
              <w:rPr>
                <w:rFonts w:ascii="Arial" w:hAnsi="Arial" w:cs="Arial"/>
                <w:sz w:val="18"/>
                <w:szCs w:val="18"/>
                <w:lang w:val="fr-FR" w:eastAsia="en-US"/>
              </w:rPr>
            </w:pPr>
          </w:p>
        </w:tc>
        <w:tc>
          <w:tcPr>
            <w:tcW w:w="752" w:type="pct"/>
          </w:tcPr>
          <w:p w14:paraId="20C49567" w14:textId="530FCB8C" w:rsidR="003E01D6" w:rsidRPr="003E01D6" w:rsidRDefault="003E01D6" w:rsidP="003E01D6">
            <w:pPr>
              <w:spacing w:after="0"/>
              <w:rPr>
                <w:rFonts w:ascii="Arial" w:eastAsia="SimSun" w:hAnsi="Arial" w:cs="Arial"/>
                <w:sz w:val="18"/>
                <w:szCs w:val="18"/>
                <w:lang w:val="fr-FR" w:eastAsia="en-US"/>
              </w:rPr>
            </w:pPr>
            <w:r w:rsidRPr="003E01D6">
              <w:rPr>
                <w:rFonts w:ascii="Arial" w:eastAsia="SimSun" w:hAnsi="Arial" w:cs="Arial"/>
                <w:sz w:val="18"/>
                <w:szCs w:val="18"/>
                <w:lang w:val="fr-FR" w:eastAsia="en-US"/>
              </w:rPr>
              <w:t>Arabie saoudite</w:t>
            </w:r>
            <w:r w:rsidR="00ED4470">
              <w:rPr>
                <w:rFonts w:ascii="Arial" w:eastAsia="SimSun" w:hAnsi="Arial" w:cs="Arial"/>
                <w:sz w:val="18"/>
                <w:szCs w:val="18"/>
                <w:lang w:val="fr-FR" w:eastAsia="en-US"/>
              </w:rPr>
              <w:t xml:space="preserve"> </w:t>
            </w:r>
            <w:r w:rsidRPr="003E01D6">
              <w:rPr>
                <w:rFonts w:ascii="Arial" w:eastAsia="SimSun" w:hAnsi="Arial" w:cs="Arial"/>
                <w:sz w:val="18"/>
                <w:szCs w:val="18"/>
                <w:lang w:val="fr-FR" w:eastAsia="en-US"/>
              </w:rPr>
              <w:t>(1 État</w:t>
            </w:r>
            <w:r w:rsidR="00EC6B25">
              <w:rPr>
                <w:rFonts w:ascii="Arial" w:eastAsia="SimSun" w:hAnsi="Arial" w:cs="Arial"/>
                <w:sz w:val="18"/>
                <w:szCs w:val="18"/>
                <w:lang w:val="fr-FR" w:eastAsia="en-US"/>
              </w:rPr>
              <w:t> ;</w:t>
            </w:r>
            <w:r w:rsidR="00EC6B25" w:rsidRPr="003E01D6">
              <w:rPr>
                <w:rFonts w:ascii="Arial" w:eastAsia="SimSun" w:hAnsi="Arial" w:cs="Arial"/>
                <w:sz w:val="18"/>
                <w:szCs w:val="18"/>
                <w:lang w:val="fr-FR" w:eastAsia="en-US"/>
              </w:rPr>
              <w:t xml:space="preserve"> </w:t>
            </w:r>
            <w:r w:rsidRPr="003E01D6">
              <w:rPr>
                <w:rFonts w:ascii="Arial" w:eastAsia="SimSun" w:hAnsi="Arial" w:cs="Arial"/>
                <w:sz w:val="18"/>
                <w:szCs w:val="18"/>
                <w:lang w:val="fr-FR" w:eastAsia="en-US"/>
              </w:rPr>
              <w:t>5,56 %)</w:t>
            </w:r>
          </w:p>
        </w:tc>
      </w:tr>
      <w:tr w:rsidR="003E01D6" w:rsidRPr="003E01D6" w14:paraId="2711DFA7" w14:textId="77777777" w:rsidTr="003E01D6">
        <w:tc>
          <w:tcPr>
            <w:tcW w:w="491" w:type="pct"/>
            <w:shd w:val="clear" w:color="auto" w:fill="D9D9D9"/>
          </w:tcPr>
          <w:p w14:paraId="2BAA78E3" w14:textId="77777777" w:rsidR="003E01D6" w:rsidRPr="003E01D6" w:rsidRDefault="003E01D6" w:rsidP="003E01D6">
            <w:pPr>
              <w:spacing w:after="0"/>
              <w:rPr>
                <w:rFonts w:ascii="Arial" w:hAnsi="Arial" w:cs="Arial"/>
                <w:b/>
                <w:bCs/>
                <w:snapToGrid w:val="0"/>
                <w:sz w:val="18"/>
                <w:szCs w:val="18"/>
                <w:lang w:val="fr-FR" w:eastAsia="en-US"/>
              </w:rPr>
            </w:pPr>
            <w:r w:rsidRPr="003E01D6">
              <w:rPr>
                <w:rFonts w:ascii="Arial" w:hAnsi="Arial" w:cs="Arial"/>
                <w:b/>
                <w:bCs/>
                <w:snapToGrid w:val="0"/>
                <w:sz w:val="18"/>
                <w:szCs w:val="18"/>
                <w:lang w:val="fr-FR" w:eastAsia="en-US"/>
              </w:rPr>
              <w:t>4 dossiers</w:t>
            </w:r>
          </w:p>
        </w:tc>
        <w:tc>
          <w:tcPr>
            <w:tcW w:w="751" w:type="pct"/>
          </w:tcPr>
          <w:p w14:paraId="45EC66CB" w14:textId="77777777" w:rsidR="003E01D6" w:rsidRPr="003E01D6" w:rsidRDefault="003E01D6" w:rsidP="003E01D6">
            <w:pPr>
              <w:spacing w:after="0"/>
              <w:rPr>
                <w:rFonts w:ascii="Arial" w:hAnsi="Arial" w:cs="Arial"/>
                <w:sz w:val="18"/>
                <w:szCs w:val="18"/>
                <w:lang w:val="fr-FR" w:eastAsia="en-US"/>
              </w:rPr>
            </w:pPr>
          </w:p>
        </w:tc>
        <w:tc>
          <w:tcPr>
            <w:tcW w:w="752" w:type="pct"/>
          </w:tcPr>
          <w:p w14:paraId="19305AC8" w14:textId="20009F94" w:rsidR="003E01D6" w:rsidRPr="003E01D6" w:rsidRDefault="003E01D6" w:rsidP="003E01D6">
            <w:pPr>
              <w:spacing w:after="0"/>
              <w:rPr>
                <w:rFonts w:ascii="Arial" w:hAnsi="Arial" w:cs="Arial"/>
                <w:sz w:val="18"/>
                <w:szCs w:val="18"/>
                <w:lang w:val="fr-FR" w:eastAsia="en-US"/>
              </w:rPr>
            </w:pPr>
            <w:r w:rsidRPr="003E01D6">
              <w:rPr>
                <w:rFonts w:ascii="Arial" w:hAnsi="Arial" w:cs="Arial"/>
                <w:sz w:val="18"/>
                <w:szCs w:val="18"/>
                <w:lang w:val="fr-FR" w:eastAsia="en-US"/>
              </w:rPr>
              <w:t>Azerbaïdjan (1 État</w:t>
            </w:r>
            <w:r w:rsidR="00EC6B25">
              <w:rPr>
                <w:rFonts w:ascii="Arial" w:hAnsi="Arial" w:cs="Arial"/>
                <w:sz w:val="18"/>
                <w:szCs w:val="18"/>
                <w:lang w:val="fr-FR" w:eastAsia="en-US"/>
              </w:rPr>
              <w:t> ;</w:t>
            </w:r>
            <w:r w:rsidR="00EC6B25" w:rsidRPr="003E01D6">
              <w:rPr>
                <w:rFonts w:ascii="Arial" w:hAnsi="Arial" w:cs="Arial"/>
                <w:sz w:val="18"/>
                <w:szCs w:val="18"/>
                <w:lang w:val="fr-FR" w:eastAsia="en-US"/>
              </w:rPr>
              <w:t xml:space="preserve"> </w:t>
            </w:r>
            <w:r w:rsidRPr="003E01D6">
              <w:rPr>
                <w:rFonts w:ascii="Arial" w:hAnsi="Arial" w:cs="Arial"/>
                <w:sz w:val="18"/>
                <w:szCs w:val="18"/>
                <w:lang w:val="fr-FR" w:eastAsia="en-US"/>
              </w:rPr>
              <w:t>4,17 %)</w:t>
            </w:r>
          </w:p>
        </w:tc>
        <w:tc>
          <w:tcPr>
            <w:tcW w:w="752" w:type="pct"/>
          </w:tcPr>
          <w:p w14:paraId="6F1766BF" w14:textId="77777777" w:rsidR="003E01D6" w:rsidRPr="003E01D6" w:rsidRDefault="003E01D6" w:rsidP="003E01D6">
            <w:pPr>
              <w:spacing w:after="0"/>
              <w:rPr>
                <w:rFonts w:ascii="Arial" w:hAnsi="Arial" w:cs="Arial"/>
                <w:sz w:val="18"/>
                <w:szCs w:val="18"/>
                <w:lang w:val="fr-FR" w:eastAsia="en-US"/>
              </w:rPr>
            </w:pPr>
          </w:p>
        </w:tc>
        <w:tc>
          <w:tcPr>
            <w:tcW w:w="752" w:type="pct"/>
          </w:tcPr>
          <w:p w14:paraId="6FCDA126" w14:textId="06FC6E2D" w:rsidR="003E01D6" w:rsidRPr="003E01D6" w:rsidRDefault="003E01D6" w:rsidP="003E01D6">
            <w:pPr>
              <w:spacing w:after="0"/>
              <w:rPr>
                <w:rFonts w:ascii="Arial" w:eastAsia="SimSun" w:hAnsi="Arial" w:cs="Arial"/>
                <w:sz w:val="18"/>
                <w:szCs w:val="18"/>
                <w:lang w:val="fr-FR"/>
              </w:rPr>
            </w:pPr>
            <w:r w:rsidRPr="003E01D6">
              <w:rPr>
                <w:rFonts w:ascii="Arial" w:eastAsia="SimSun" w:hAnsi="Arial" w:cs="Arial"/>
                <w:sz w:val="18"/>
                <w:szCs w:val="18"/>
                <w:lang w:val="fr-FR"/>
              </w:rPr>
              <w:t>Japon, Kazakhstan (2 États</w:t>
            </w:r>
            <w:r w:rsidR="007F5EB2">
              <w:rPr>
                <w:rFonts w:ascii="Arial" w:eastAsia="SimSun" w:hAnsi="Arial" w:cs="Arial"/>
                <w:sz w:val="18"/>
                <w:szCs w:val="18"/>
                <w:lang w:val="fr-FR"/>
              </w:rPr>
              <w:t> </w:t>
            </w:r>
            <w:r w:rsidRPr="003E01D6">
              <w:rPr>
                <w:rFonts w:ascii="Arial" w:eastAsia="SimSun" w:hAnsi="Arial" w:cs="Arial"/>
                <w:sz w:val="18"/>
                <w:szCs w:val="18"/>
                <w:lang w:val="fr-FR"/>
              </w:rPr>
              <w:t>; 5</w:t>
            </w:r>
            <w:r w:rsidR="00ED4470">
              <w:rPr>
                <w:rFonts w:ascii="Arial" w:eastAsia="SimSun" w:hAnsi="Arial" w:cs="Arial"/>
                <w:sz w:val="18"/>
                <w:szCs w:val="18"/>
                <w:lang w:val="fr-FR"/>
              </w:rPr>
              <w:t>,00</w:t>
            </w:r>
            <w:r w:rsidRPr="003E01D6">
              <w:rPr>
                <w:rFonts w:ascii="Arial" w:eastAsia="SimSun" w:hAnsi="Arial" w:cs="Arial"/>
                <w:sz w:val="18"/>
                <w:szCs w:val="18"/>
                <w:lang w:val="fr-FR"/>
              </w:rPr>
              <w:t> %)</w:t>
            </w:r>
          </w:p>
        </w:tc>
        <w:tc>
          <w:tcPr>
            <w:tcW w:w="752" w:type="pct"/>
          </w:tcPr>
          <w:p w14:paraId="3EAC2112" w14:textId="77777777" w:rsidR="003E01D6" w:rsidRPr="003E01D6" w:rsidRDefault="003E01D6" w:rsidP="003E01D6">
            <w:pPr>
              <w:spacing w:after="0"/>
              <w:rPr>
                <w:rFonts w:ascii="Arial" w:hAnsi="Arial" w:cs="Arial"/>
                <w:sz w:val="18"/>
                <w:szCs w:val="18"/>
                <w:lang w:val="fr-FR" w:eastAsia="en-US"/>
              </w:rPr>
            </w:pPr>
          </w:p>
        </w:tc>
        <w:tc>
          <w:tcPr>
            <w:tcW w:w="752" w:type="pct"/>
          </w:tcPr>
          <w:p w14:paraId="6C7D8987" w14:textId="77777777" w:rsidR="003E01D6" w:rsidRPr="003E01D6" w:rsidRDefault="003E01D6" w:rsidP="003E01D6">
            <w:pPr>
              <w:spacing w:after="0"/>
              <w:rPr>
                <w:rFonts w:ascii="Arial" w:eastAsia="SimSun" w:hAnsi="Arial" w:cs="Arial"/>
                <w:sz w:val="18"/>
                <w:szCs w:val="18"/>
                <w:lang w:val="fr-FR" w:eastAsia="en-US"/>
              </w:rPr>
            </w:pPr>
          </w:p>
        </w:tc>
      </w:tr>
      <w:tr w:rsidR="003E01D6" w:rsidRPr="003E01D6" w14:paraId="126B1FCE" w14:textId="77777777" w:rsidTr="003E01D6">
        <w:tc>
          <w:tcPr>
            <w:tcW w:w="491" w:type="pct"/>
            <w:shd w:val="clear" w:color="auto" w:fill="D9D9D9"/>
          </w:tcPr>
          <w:p w14:paraId="73BDDAD0" w14:textId="77777777" w:rsidR="003E01D6" w:rsidRPr="003E01D6" w:rsidRDefault="003E01D6" w:rsidP="003E01D6">
            <w:pPr>
              <w:spacing w:after="0"/>
              <w:rPr>
                <w:rFonts w:ascii="Arial" w:hAnsi="Arial" w:cs="Arial"/>
                <w:b/>
                <w:bCs/>
                <w:snapToGrid w:val="0"/>
                <w:sz w:val="18"/>
                <w:szCs w:val="18"/>
                <w:lang w:val="fr-FR" w:eastAsia="en-US"/>
              </w:rPr>
            </w:pPr>
            <w:r w:rsidRPr="003E01D6">
              <w:rPr>
                <w:rFonts w:ascii="Arial" w:hAnsi="Arial" w:cs="Arial"/>
                <w:b/>
                <w:bCs/>
                <w:snapToGrid w:val="0"/>
                <w:sz w:val="18"/>
                <w:szCs w:val="18"/>
                <w:lang w:val="fr-FR" w:eastAsia="en-US"/>
              </w:rPr>
              <w:t>6 dossiers</w:t>
            </w:r>
          </w:p>
        </w:tc>
        <w:tc>
          <w:tcPr>
            <w:tcW w:w="751" w:type="pct"/>
          </w:tcPr>
          <w:p w14:paraId="558052E6" w14:textId="52F6A72A" w:rsidR="003E01D6" w:rsidRPr="003E01D6" w:rsidRDefault="003E01D6" w:rsidP="003E01D6">
            <w:pPr>
              <w:spacing w:after="0"/>
              <w:rPr>
                <w:rFonts w:ascii="Arial" w:hAnsi="Arial" w:cs="Arial"/>
                <w:snapToGrid w:val="0"/>
                <w:sz w:val="18"/>
                <w:szCs w:val="18"/>
                <w:lang w:val="fr-FR" w:eastAsia="en-US"/>
              </w:rPr>
            </w:pPr>
            <w:r w:rsidRPr="003E01D6">
              <w:rPr>
                <w:rFonts w:ascii="Arial" w:hAnsi="Arial" w:cs="Arial"/>
                <w:snapToGrid w:val="0"/>
                <w:sz w:val="18"/>
                <w:szCs w:val="18"/>
                <w:lang w:val="fr-FR" w:eastAsia="en-US"/>
              </w:rPr>
              <w:t>Italie, Turquie (2 États</w:t>
            </w:r>
            <w:r w:rsidR="00EC6B25">
              <w:rPr>
                <w:rFonts w:ascii="Arial" w:hAnsi="Arial" w:cs="Arial"/>
                <w:snapToGrid w:val="0"/>
                <w:sz w:val="18"/>
                <w:szCs w:val="18"/>
                <w:lang w:val="fr-FR" w:eastAsia="en-US"/>
              </w:rPr>
              <w:t> ;</w:t>
            </w:r>
            <w:r w:rsidR="00EC6B25" w:rsidRPr="003E01D6">
              <w:rPr>
                <w:rFonts w:ascii="Arial" w:hAnsi="Arial" w:cs="Arial"/>
                <w:snapToGrid w:val="0"/>
                <w:sz w:val="18"/>
                <w:szCs w:val="18"/>
                <w:lang w:val="fr-FR" w:eastAsia="en-US"/>
              </w:rPr>
              <w:t xml:space="preserve"> </w:t>
            </w:r>
            <w:r w:rsidRPr="003E01D6">
              <w:rPr>
                <w:rFonts w:ascii="Arial" w:hAnsi="Arial" w:cs="Arial"/>
                <w:snapToGrid w:val="0"/>
                <w:sz w:val="18"/>
                <w:szCs w:val="18"/>
                <w:lang w:val="fr-FR" w:eastAsia="en-US"/>
              </w:rPr>
              <w:t>9,09 %)</w:t>
            </w:r>
          </w:p>
        </w:tc>
        <w:tc>
          <w:tcPr>
            <w:tcW w:w="752" w:type="pct"/>
          </w:tcPr>
          <w:p w14:paraId="36F92CC7" w14:textId="77777777" w:rsidR="003E01D6" w:rsidRPr="003E01D6" w:rsidRDefault="003E01D6" w:rsidP="003E01D6">
            <w:pPr>
              <w:spacing w:after="0"/>
              <w:rPr>
                <w:rFonts w:ascii="Arial" w:hAnsi="Arial" w:cs="Arial"/>
                <w:sz w:val="18"/>
                <w:szCs w:val="18"/>
                <w:lang w:val="fr-FR" w:eastAsia="en-US"/>
              </w:rPr>
            </w:pPr>
          </w:p>
        </w:tc>
        <w:tc>
          <w:tcPr>
            <w:tcW w:w="752" w:type="pct"/>
          </w:tcPr>
          <w:p w14:paraId="1037A55D" w14:textId="77777777" w:rsidR="003E01D6" w:rsidRPr="003E01D6" w:rsidRDefault="003E01D6" w:rsidP="003E01D6">
            <w:pPr>
              <w:spacing w:after="0"/>
              <w:rPr>
                <w:rFonts w:ascii="Arial" w:hAnsi="Arial" w:cs="Arial"/>
                <w:sz w:val="18"/>
                <w:szCs w:val="18"/>
                <w:lang w:val="fr-FR" w:eastAsia="en-US"/>
              </w:rPr>
            </w:pPr>
          </w:p>
        </w:tc>
        <w:tc>
          <w:tcPr>
            <w:tcW w:w="752" w:type="pct"/>
          </w:tcPr>
          <w:p w14:paraId="41CF96CF" w14:textId="77777777" w:rsidR="003E01D6" w:rsidRPr="003E01D6" w:rsidRDefault="003E01D6" w:rsidP="003E01D6">
            <w:pPr>
              <w:spacing w:after="0"/>
              <w:rPr>
                <w:rFonts w:ascii="Arial" w:hAnsi="Arial" w:cs="Arial"/>
                <w:sz w:val="18"/>
                <w:szCs w:val="18"/>
                <w:lang w:val="fr-FR" w:eastAsia="en-US"/>
              </w:rPr>
            </w:pPr>
          </w:p>
        </w:tc>
        <w:tc>
          <w:tcPr>
            <w:tcW w:w="752" w:type="pct"/>
          </w:tcPr>
          <w:p w14:paraId="53D95B9D" w14:textId="77777777" w:rsidR="003E01D6" w:rsidRPr="003E01D6" w:rsidRDefault="003E01D6" w:rsidP="003E01D6">
            <w:pPr>
              <w:spacing w:after="0"/>
              <w:rPr>
                <w:rFonts w:ascii="Arial" w:eastAsia="SimSun" w:hAnsi="Arial" w:cs="Arial"/>
                <w:sz w:val="18"/>
                <w:szCs w:val="18"/>
                <w:lang w:val="fr-FR" w:eastAsia="en-US"/>
              </w:rPr>
            </w:pPr>
          </w:p>
        </w:tc>
        <w:tc>
          <w:tcPr>
            <w:tcW w:w="752" w:type="pct"/>
          </w:tcPr>
          <w:p w14:paraId="549C7CC3" w14:textId="77777777" w:rsidR="003E01D6" w:rsidRPr="003E01D6" w:rsidRDefault="003E01D6" w:rsidP="003E01D6">
            <w:pPr>
              <w:spacing w:after="0"/>
              <w:rPr>
                <w:rFonts w:ascii="Arial" w:eastAsia="SimSun" w:hAnsi="Arial" w:cs="Arial"/>
                <w:sz w:val="18"/>
                <w:szCs w:val="18"/>
                <w:lang w:val="fr-FR" w:eastAsia="en-US"/>
              </w:rPr>
            </w:pPr>
          </w:p>
        </w:tc>
      </w:tr>
      <w:tr w:rsidR="003E01D6" w:rsidRPr="00E17DFF" w14:paraId="0F3B56D3" w14:textId="77777777" w:rsidTr="003E01D6">
        <w:tc>
          <w:tcPr>
            <w:tcW w:w="491" w:type="pct"/>
            <w:shd w:val="clear" w:color="auto" w:fill="D9D9D9"/>
          </w:tcPr>
          <w:p w14:paraId="32AFE8F2" w14:textId="77777777" w:rsidR="003E01D6" w:rsidRPr="003E01D6" w:rsidRDefault="003E01D6" w:rsidP="003E01D6">
            <w:pPr>
              <w:spacing w:after="0"/>
              <w:rPr>
                <w:rFonts w:ascii="Arial" w:hAnsi="Arial" w:cs="Arial"/>
                <w:b/>
                <w:bCs/>
                <w:snapToGrid w:val="0"/>
                <w:sz w:val="18"/>
                <w:szCs w:val="18"/>
                <w:lang w:val="fr-FR" w:eastAsia="en-US"/>
              </w:rPr>
            </w:pPr>
            <w:r w:rsidRPr="003E01D6">
              <w:rPr>
                <w:rFonts w:ascii="Arial" w:hAnsi="Arial" w:cs="Arial"/>
                <w:b/>
                <w:bCs/>
                <w:snapToGrid w:val="0"/>
                <w:sz w:val="18"/>
                <w:szCs w:val="18"/>
                <w:lang w:val="fr-FR" w:eastAsia="en-US"/>
              </w:rPr>
              <w:lastRenderedPageBreak/>
              <w:t>12 dossiers</w:t>
            </w:r>
          </w:p>
        </w:tc>
        <w:tc>
          <w:tcPr>
            <w:tcW w:w="751" w:type="pct"/>
          </w:tcPr>
          <w:p w14:paraId="21884DDA" w14:textId="77777777" w:rsidR="003E01D6" w:rsidRPr="003E01D6" w:rsidRDefault="003E01D6" w:rsidP="003E01D6">
            <w:pPr>
              <w:spacing w:after="0"/>
              <w:rPr>
                <w:rFonts w:ascii="Arial" w:hAnsi="Arial" w:cs="Arial"/>
                <w:snapToGrid w:val="0"/>
                <w:sz w:val="18"/>
                <w:szCs w:val="18"/>
                <w:lang w:val="fr-FR" w:eastAsia="en-US"/>
              </w:rPr>
            </w:pPr>
          </w:p>
        </w:tc>
        <w:tc>
          <w:tcPr>
            <w:tcW w:w="752" w:type="pct"/>
          </w:tcPr>
          <w:p w14:paraId="051F780B" w14:textId="77777777" w:rsidR="003E01D6" w:rsidRPr="003E01D6" w:rsidRDefault="003E01D6" w:rsidP="003E01D6">
            <w:pPr>
              <w:spacing w:after="0"/>
              <w:rPr>
                <w:rFonts w:ascii="Arial" w:hAnsi="Arial" w:cs="Arial"/>
                <w:sz w:val="18"/>
                <w:szCs w:val="18"/>
                <w:lang w:val="fr-FR" w:eastAsia="en-US"/>
              </w:rPr>
            </w:pPr>
          </w:p>
        </w:tc>
        <w:tc>
          <w:tcPr>
            <w:tcW w:w="752" w:type="pct"/>
          </w:tcPr>
          <w:p w14:paraId="234CFB4A" w14:textId="77777777" w:rsidR="003E01D6" w:rsidRPr="003E01D6" w:rsidRDefault="003E01D6" w:rsidP="003E01D6">
            <w:pPr>
              <w:spacing w:after="0"/>
              <w:rPr>
                <w:rFonts w:ascii="Arial" w:hAnsi="Arial" w:cs="Arial"/>
                <w:sz w:val="18"/>
                <w:szCs w:val="18"/>
                <w:lang w:val="fr-FR" w:eastAsia="en-US"/>
              </w:rPr>
            </w:pPr>
          </w:p>
        </w:tc>
        <w:tc>
          <w:tcPr>
            <w:tcW w:w="752" w:type="pct"/>
          </w:tcPr>
          <w:p w14:paraId="5B510FB0" w14:textId="1D1B6940" w:rsidR="003E01D6" w:rsidRPr="003E01D6" w:rsidRDefault="003E01D6" w:rsidP="003E01D6">
            <w:pPr>
              <w:spacing w:after="0"/>
              <w:rPr>
                <w:rFonts w:ascii="Arial" w:eastAsia="SimSun" w:hAnsi="Arial" w:cs="Arial"/>
                <w:sz w:val="18"/>
                <w:szCs w:val="18"/>
                <w:lang w:val="fr-FR"/>
              </w:rPr>
            </w:pPr>
            <w:r w:rsidRPr="003E01D6">
              <w:rPr>
                <w:rFonts w:ascii="Arial" w:eastAsia="SimSun" w:hAnsi="Arial" w:cs="Arial"/>
                <w:sz w:val="18"/>
                <w:szCs w:val="18"/>
                <w:lang w:val="fr-FR"/>
              </w:rPr>
              <w:t>Iran (République islamique d</w:t>
            </w:r>
            <w:r w:rsidR="00244CEA">
              <w:rPr>
                <w:rFonts w:ascii="Arial" w:eastAsia="SimSun" w:hAnsi="Arial" w:cs="Arial"/>
                <w:sz w:val="18"/>
                <w:szCs w:val="18"/>
                <w:lang w:val="fr-FR"/>
              </w:rPr>
              <w:t>’</w:t>
            </w:r>
            <w:r w:rsidRPr="003E01D6">
              <w:rPr>
                <w:rFonts w:ascii="Arial" w:eastAsia="SimSun" w:hAnsi="Arial" w:cs="Arial"/>
                <w:sz w:val="18"/>
                <w:szCs w:val="18"/>
                <w:lang w:val="fr-FR"/>
              </w:rPr>
              <w:t>) (1 État</w:t>
            </w:r>
            <w:r w:rsidR="007F5EB2">
              <w:rPr>
                <w:rFonts w:ascii="Arial" w:eastAsia="SimSun" w:hAnsi="Arial" w:cs="Arial"/>
                <w:sz w:val="18"/>
                <w:szCs w:val="18"/>
                <w:lang w:val="fr-FR"/>
              </w:rPr>
              <w:t> </w:t>
            </w:r>
            <w:r w:rsidRPr="003E01D6">
              <w:rPr>
                <w:rFonts w:ascii="Arial" w:eastAsia="SimSun" w:hAnsi="Arial" w:cs="Arial"/>
                <w:sz w:val="18"/>
                <w:szCs w:val="18"/>
                <w:lang w:val="fr-FR"/>
              </w:rPr>
              <w:t>; 2,5</w:t>
            </w:r>
            <w:r w:rsidR="00ED4470">
              <w:rPr>
                <w:rFonts w:ascii="Arial" w:eastAsia="SimSun" w:hAnsi="Arial" w:cs="Arial"/>
                <w:sz w:val="18"/>
                <w:szCs w:val="18"/>
                <w:lang w:val="fr-FR"/>
              </w:rPr>
              <w:t>0</w:t>
            </w:r>
            <w:r w:rsidRPr="003E01D6">
              <w:rPr>
                <w:rFonts w:ascii="Arial" w:eastAsia="SimSun" w:hAnsi="Arial" w:cs="Arial"/>
                <w:sz w:val="18"/>
                <w:szCs w:val="18"/>
                <w:lang w:val="fr-FR"/>
              </w:rPr>
              <w:t> %)</w:t>
            </w:r>
          </w:p>
        </w:tc>
        <w:tc>
          <w:tcPr>
            <w:tcW w:w="752" w:type="pct"/>
          </w:tcPr>
          <w:p w14:paraId="4FD3A98E" w14:textId="77777777" w:rsidR="003E01D6" w:rsidRPr="003E01D6" w:rsidRDefault="003E01D6" w:rsidP="003E01D6">
            <w:pPr>
              <w:spacing w:after="0"/>
              <w:rPr>
                <w:rFonts w:ascii="Arial" w:eastAsia="SimSun" w:hAnsi="Arial" w:cs="Arial"/>
                <w:sz w:val="18"/>
                <w:szCs w:val="18"/>
                <w:lang w:val="fr-FR" w:eastAsia="en-US"/>
              </w:rPr>
            </w:pPr>
          </w:p>
        </w:tc>
        <w:tc>
          <w:tcPr>
            <w:tcW w:w="752" w:type="pct"/>
          </w:tcPr>
          <w:p w14:paraId="061C8588" w14:textId="77777777" w:rsidR="003E01D6" w:rsidRPr="003E01D6" w:rsidRDefault="003E01D6" w:rsidP="003E01D6">
            <w:pPr>
              <w:spacing w:after="0"/>
              <w:rPr>
                <w:rFonts w:ascii="Arial" w:eastAsia="SimSun" w:hAnsi="Arial" w:cs="Arial"/>
                <w:sz w:val="18"/>
                <w:szCs w:val="18"/>
                <w:lang w:val="fr-FR" w:eastAsia="en-US"/>
              </w:rPr>
            </w:pPr>
          </w:p>
        </w:tc>
      </w:tr>
      <w:tr w:rsidR="003E01D6" w:rsidRPr="003E01D6" w14:paraId="4F9EF190" w14:textId="77777777" w:rsidTr="003E01D6">
        <w:tc>
          <w:tcPr>
            <w:tcW w:w="491" w:type="pct"/>
            <w:shd w:val="clear" w:color="auto" w:fill="D9D9D9"/>
          </w:tcPr>
          <w:p w14:paraId="727E9AC4" w14:textId="77777777" w:rsidR="003E01D6" w:rsidRPr="003E01D6" w:rsidRDefault="003E01D6" w:rsidP="003E01D6">
            <w:pPr>
              <w:spacing w:after="0"/>
              <w:rPr>
                <w:rFonts w:ascii="Arial" w:hAnsi="Arial" w:cs="Arial"/>
                <w:b/>
                <w:bCs/>
                <w:snapToGrid w:val="0"/>
                <w:sz w:val="18"/>
                <w:szCs w:val="18"/>
                <w:lang w:val="fr-FR" w:eastAsia="en-US"/>
              </w:rPr>
            </w:pPr>
            <w:r w:rsidRPr="003E01D6">
              <w:rPr>
                <w:rFonts w:ascii="Arial" w:hAnsi="Arial" w:cs="Arial"/>
                <w:b/>
                <w:bCs/>
                <w:snapToGrid w:val="0"/>
                <w:sz w:val="18"/>
                <w:szCs w:val="18"/>
                <w:lang w:val="fr-FR" w:eastAsia="en-US"/>
              </w:rPr>
              <w:t>22 dossiers</w:t>
            </w:r>
          </w:p>
        </w:tc>
        <w:tc>
          <w:tcPr>
            <w:tcW w:w="751" w:type="pct"/>
          </w:tcPr>
          <w:p w14:paraId="7E04414B" w14:textId="77777777" w:rsidR="003E01D6" w:rsidRPr="003E01D6" w:rsidRDefault="003E01D6" w:rsidP="003E01D6">
            <w:pPr>
              <w:spacing w:after="0"/>
              <w:rPr>
                <w:rFonts w:ascii="Arial" w:hAnsi="Arial" w:cs="Arial"/>
                <w:snapToGrid w:val="0"/>
                <w:sz w:val="18"/>
                <w:szCs w:val="18"/>
                <w:lang w:val="fr-FR" w:eastAsia="en-US"/>
              </w:rPr>
            </w:pPr>
          </w:p>
        </w:tc>
        <w:tc>
          <w:tcPr>
            <w:tcW w:w="752" w:type="pct"/>
          </w:tcPr>
          <w:p w14:paraId="0449D043" w14:textId="77777777" w:rsidR="003E01D6" w:rsidRPr="003E01D6" w:rsidRDefault="003E01D6" w:rsidP="003E01D6">
            <w:pPr>
              <w:spacing w:after="0"/>
              <w:rPr>
                <w:rFonts w:ascii="Arial" w:hAnsi="Arial" w:cs="Arial"/>
                <w:sz w:val="18"/>
                <w:szCs w:val="18"/>
                <w:lang w:val="fr-FR" w:eastAsia="en-US"/>
              </w:rPr>
            </w:pPr>
          </w:p>
        </w:tc>
        <w:tc>
          <w:tcPr>
            <w:tcW w:w="752" w:type="pct"/>
          </w:tcPr>
          <w:p w14:paraId="1EC7511D" w14:textId="77777777" w:rsidR="003E01D6" w:rsidRPr="003E01D6" w:rsidRDefault="003E01D6" w:rsidP="003E01D6">
            <w:pPr>
              <w:spacing w:after="0"/>
              <w:rPr>
                <w:rFonts w:ascii="Arial" w:hAnsi="Arial" w:cs="Arial"/>
                <w:sz w:val="18"/>
                <w:szCs w:val="18"/>
                <w:lang w:val="fr-FR" w:eastAsia="en-US"/>
              </w:rPr>
            </w:pPr>
          </w:p>
        </w:tc>
        <w:tc>
          <w:tcPr>
            <w:tcW w:w="752" w:type="pct"/>
          </w:tcPr>
          <w:p w14:paraId="5F7F96E8" w14:textId="3FA178DE" w:rsidR="003E01D6" w:rsidRPr="003E01D6" w:rsidRDefault="003E01D6" w:rsidP="003E01D6">
            <w:pPr>
              <w:spacing w:after="0"/>
              <w:rPr>
                <w:rFonts w:ascii="Arial" w:hAnsi="Arial" w:cs="Arial"/>
                <w:sz w:val="18"/>
                <w:szCs w:val="18"/>
                <w:lang w:val="fr-FR" w:eastAsia="en-US"/>
              </w:rPr>
            </w:pPr>
            <w:r w:rsidRPr="003E01D6">
              <w:rPr>
                <w:rFonts w:ascii="Arial" w:hAnsi="Arial" w:cs="Arial"/>
                <w:snapToGrid w:val="0"/>
                <w:sz w:val="18"/>
                <w:szCs w:val="18"/>
                <w:lang w:val="fr-FR" w:eastAsia="en-US"/>
              </w:rPr>
              <w:t>Inde (1 État</w:t>
            </w:r>
            <w:r w:rsidR="007F5EB2">
              <w:rPr>
                <w:rFonts w:ascii="Arial" w:hAnsi="Arial" w:cs="Arial"/>
                <w:snapToGrid w:val="0"/>
                <w:sz w:val="18"/>
                <w:szCs w:val="18"/>
                <w:lang w:val="fr-FR" w:eastAsia="en-US"/>
              </w:rPr>
              <w:t> </w:t>
            </w:r>
            <w:r w:rsidRPr="003E01D6">
              <w:rPr>
                <w:rFonts w:ascii="Arial" w:hAnsi="Arial" w:cs="Arial"/>
                <w:snapToGrid w:val="0"/>
                <w:sz w:val="18"/>
                <w:szCs w:val="18"/>
                <w:lang w:val="fr-FR" w:eastAsia="en-US"/>
              </w:rPr>
              <w:t>; 2,5</w:t>
            </w:r>
            <w:r w:rsidR="00ED4470">
              <w:rPr>
                <w:rFonts w:ascii="Arial" w:hAnsi="Arial" w:cs="Arial"/>
                <w:snapToGrid w:val="0"/>
                <w:sz w:val="18"/>
                <w:szCs w:val="18"/>
                <w:lang w:val="fr-FR" w:eastAsia="en-US"/>
              </w:rPr>
              <w:t>0</w:t>
            </w:r>
            <w:r w:rsidRPr="003E01D6">
              <w:rPr>
                <w:rFonts w:ascii="Arial" w:hAnsi="Arial" w:cs="Arial"/>
                <w:snapToGrid w:val="0"/>
                <w:sz w:val="18"/>
                <w:szCs w:val="18"/>
                <w:lang w:val="fr-FR" w:eastAsia="en-US"/>
              </w:rPr>
              <w:t> %)</w:t>
            </w:r>
          </w:p>
        </w:tc>
        <w:tc>
          <w:tcPr>
            <w:tcW w:w="752" w:type="pct"/>
          </w:tcPr>
          <w:p w14:paraId="3CCD2629" w14:textId="77777777" w:rsidR="003E01D6" w:rsidRPr="003E01D6" w:rsidRDefault="003E01D6" w:rsidP="003E01D6">
            <w:pPr>
              <w:spacing w:after="0"/>
              <w:rPr>
                <w:rFonts w:ascii="Arial" w:eastAsia="SimSun" w:hAnsi="Arial" w:cs="Arial"/>
                <w:sz w:val="18"/>
                <w:szCs w:val="18"/>
                <w:lang w:val="fr-FR" w:eastAsia="en-US"/>
              </w:rPr>
            </w:pPr>
          </w:p>
        </w:tc>
        <w:tc>
          <w:tcPr>
            <w:tcW w:w="752" w:type="pct"/>
          </w:tcPr>
          <w:p w14:paraId="253DD19B" w14:textId="77777777" w:rsidR="003E01D6" w:rsidRPr="003E01D6" w:rsidRDefault="003E01D6" w:rsidP="003E01D6">
            <w:pPr>
              <w:spacing w:after="0"/>
              <w:rPr>
                <w:rFonts w:ascii="Arial" w:eastAsia="SimSun" w:hAnsi="Arial" w:cs="Arial"/>
                <w:sz w:val="18"/>
                <w:szCs w:val="18"/>
                <w:lang w:val="fr-FR" w:eastAsia="en-US"/>
              </w:rPr>
            </w:pPr>
          </w:p>
        </w:tc>
      </w:tr>
      <w:tr w:rsidR="003E01D6" w:rsidRPr="003E01D6" w14:paraId="3B4D8B08" w14:textId="77777777" w:rsidTr="003E01D6">
        <w:tc>
          <w:tcPr>
            <w:tcW w:w="491" w:type="pct"/>
            <w:shd w:val="clear" w:color="auto" w:fill="D9D9D9"/>
          </w:tcPr>
          <w:p w14:paraId="1FA5FB61" w14:textId="77777777" w:rsidR="003E01D6" w:rsidRPr="003E01D6" w:rsidRDefault="003E01D6" w:rsidP="003E01D6">
            <w:pPr>
              <w:spacing w:after="0"/>
              <w:rPr>
                <w:rFonts w:ascii="Arial" w:hAnsi="Arial" w:cs="Arial"/>
                <w:b/>
                <w:bCs/>
                <w:snapToGrid w:val="0"/>
                <w:sz w:val="18"/>
                <w:szCs w:val="18"/>
                <w:lang w:val="fr-FR" w:eastAsia="en-US"/>
              </w:rPr>
            </w:pPr>
            <w:r w:rsidRPr="003E01D6">
              <w:rPr>
                <w:rFonts w:ascii="Arial" w:hAnsi="Arial" w:cs="Arial"/>
                <w:b/>
                <w:bCs/>
                <w:snapToGrid w:val="0"/>
                <w:sz w:val="18"/>
                <w:szCs w:val="18"/>
                <w:lang w:val="fr-FR" w:eastAsia="en-US"/>
              </w:rPr>
              <w:t>23 dossiers</w:t>
            </w:r>
          </w:p>
        </w:tc>
        <w:tc>
          <w:tcPr>
            <w:tcW w:w="751" w:type="pct"/>
          </w:tcPr>
          <w:p w14:paraId="3DA97874" w14:textId="77777777" w:rsidR="003E01D6" w:rsidRPr="003E01D6" w:rsidRDefault="003E01D6" w:rsidP="003E01D6">
            <w:pPr>
              <w:spacing w:after="0"/>
              <w:rPr>
                <w:rFonts w:ascii="Arial" w:hAnsi="Arial" w:cs="Arial"/>
                <w:snapToGrid w:val="0"/>
                <w:sz w:val="18"/>
                <w:szCs w:val="18"/>
                <w:lang w:val="fr-FR" w:eastAsia="en-US"/>
              </w:rPr>
            </w:pPr>
          </w:p>
        </w:tc>
        <w:tc>
          <w:tcPr>
            <w:tcW w:w="752" w:type="pct"/>
          </w:tcPr>
          <w:p w14:paraId="297EC72B" w14:textId="77777777" w:rsidR="003E01D6" w:rsidRPr="003E01D6" w:rsidRDefault="003E01D6" w:rsidP="003E01D6">
            <w:pPr>
              <w:spacing w:after="0"/>
              <w:rPr>
                <w:rFonts w:ascii="Arial" w:hAnsi="Arial" w:cs="Arial"/>
                <w:sz w:val="18"/>
                <w:szCs w:val="18"/>
                <w:lang w:val="fr-FR" w:eastAsia="en-US"/>
              </w:rPr>
            </w:pPr>
          </w:p>
        </w:tc>
        <w:tc>
          <w:tcPr>
            <w:tcW w:w="752" w:type="pct"/>
          </w:tcPr>
          <w:p w14:paraId="7FAB8BF7" w14:textId="77777777" w:rsidR="003E01D6" w:rsidRPr="003E01D6" w:rsidRDefault="003E01D6" w:rsidP="003E01D6">
            <w:pPr>
              <w:spacing w:after="0"/>
              <w:rPr>
                <w:rFonts w:ascii="Arial" w:hAnsi="Arial" w:cs="Arial"/>
                <w:sz w:val="18"/>
                <w:szCs w:val="18"/>
                <w:lang w:val="fr-FR" w:eastAsia="en-US"/>
              </w:rPr>
            </w:pPr>
          </w:p>
        </w:tc>
        <w:tc>
          <w:tcPr>
            <w:tcW w:w="752" w:type="pct"/>
          </w:tcPr>
          <w:p w14:paraId="732590A4" w14:textId="30A6B477" w:rsidR="003E01D6" w:rsidRPr="003E01D6" w:rsidRDefault="003E01D6" w:rsidP="003E01D6">
            <w:pPr>
              <w:spacing w:after="0"/>
              <w:rPr>
                <w:rFonts w:ascii="Arial" w:hAnsi="Arial" w:cs="Arial"/>
                <w:sz w:val="18"/>
                <w:szCs w:val="18"/>
                <w:lang w:val="fr-FR" w:eastAsia="en-US"/>
              </w:rPr>
            </w:pPr>
            <w:r w:rsidRPr="003E01D6">
              <w:rPr>
                <w:rFonts w:ascii="Arial" w:hAnsi="Arial" w:cs="Arial"/>
                <w:sz w:val="18"/>
                <w:szCs w:val="18"/>
                <w:lang w:val="fr-FR" w:eastAsia="en-US"/>
              </w:rPr>
              <w:t>République de Corée</w:t>
            </w:r>
            <w:r w:rsidRPr="003E01D6">
              <w:rPr>
                <w:rFonts w:ascii="Arial" w:hAnsi="Arial" w:cs="Arial"/>
                <w:snapToGrid w:val="0"/>
                <w:sz w:val="18"/>
                <w:szCs w:val="18"/>
                <w:lang w:val="fr-FR" w:eastAsia="en-US"/>
              </w:rPr>
              <w:t xml:space="preserve"> (1 État</w:t>
            </w:r>
            <w:r w:rsidR="007F5EB2">
              <w:rPr>
                <w:rFonts w:ascii="Arial" w:hAnsi="Arial" w:cs="Arial"/>
                <w:snapToGrid w:val="0"/>
                <w:sz w:val="18"/>
                <w:szCs w:val="18"/>
                <w:lang w:val="fr-FR" w:eastAsia="en-US"/>
              </w:rPr>
              <w:t> </w:t>
            </w:r>
            <w:r w:rsidRPr="003E01D6">
              <w:rPr>
                <w:rFonts w:ascii="Arial" w:hAnsi="Arial" w:cs="Arial"/>
                <w:snapToGrid w:val="0"/>
                <w:sz w:val="18"/>
                <w:szCs w:val="18"/>
                <w:lang w:val="fr-FR" w:eastAsia="en-US"/>
              </w:rPr>
              <w:t>; 2,5</w:t>
            </w:r>
            <w:r w:rsidR="00ED4470">
              <w:rPr>
                <w:rFonts w:ascii="Arial" w:hAnsi="Arial" w:cs="Arial"/>
                <w:snapToGrid w:val="0"/>
                <w:sz w:val="18"/>
                <w:szCs w:val="18"/>
                <w:lang w:val="fr-FR" w:eastAsia="en-US"/>
              </w:rPr>
              <w:t>0</w:t>
            </w:r>
            <w:r w:rsidRPr="003E01D6">
              <w:rPr>
                <w:rFonts w:ascii="Arial" w:hAnsi="Arial" w:cs="Arial"/>
                <w:snapToGrid w:val="0"/>
                <w:sz w:val="18"/>
                <w:szCs w:val="18"/>
                <w:lang w:val="fr-FR" w:eastAsia="en-US"/>
              </w:rPr>
              <w:t> %)</w:t>
            </w:r>
          </w:p>
        </w:tc>
        <w:tc>
          <w:tcPr>
            <w:tcW w:w="752" w:type="pct"/>
          </w:tcPr>
          <w:p w14:paraId="032AE4FC" w14:textId="77777777" w:rsidR="003E01D6" w:rsidRPr="003E01D6" w:rsidRDefault="003E01D6" w:rsidP="003E01D6">
            <w:pPr>
              <w:spacing w:after="0"/>
              <w:rPr>
                <w:rFonts w:ascii="Arial" w:eastAsia="SimSun" w:hAnsi="Arial" w:cs="Arial"/>
                <w:sz w:val="18"/>
                <w:szCs w:val="18"/>
                <w:lang w:val="fr-FR" w:eastAsia="en-US"/>
              </w:rPr>
            </w:pPr>
          </w:p>
        </w:tc>
        <w:tc>
          <w:tcPr>
            <w:tcW w:w="752" w:type="pct"/>
          </w:tcPr>
          <w:p w14:paraId="1F9F3F56" w14:textId="77777777" w:rsidR="003E01D6" w:rsidRPr="003E01D6" w:rsidRDefault="003E01D6" w:rsidP="003E01D6">
            <w:pPr>
              <w:spacing w:after="0"/>
              <w:rPr>
                <w:rFonts w:ascii="Arial" w:eastAsia="SimSun" w:hAnsi="Arial" w:cs="Arial"/>
                <w:sz w:val="18"/>
                <w:szCs w:val="18"/>
                <w:lang w:val="fr-FR" w:eastAsia="en-US"/>
              </w:rPr>
            </w:pPr>
          </w:p>
        </w:tc>
      </w:tr>
      <w:tr w:rsidR="003E01D6" w:rsidRPr="003E01D6" w14:paraId="32DD1946" w14:textId="77777777" w:rsidTr="003E01D6">
        <w:tc>
          <w:tcPr>
            <w:tcW w:w="491" w:type="pct"/>
            <w:shd w:val="clear" w:color="auto" w:fill="D9D9D9"/>
          </w:tcPr>
          <w:p w14:paraId="28DB72A5" w14:textId="456A2332" w:rsidR="003E01D6" w:rsidRPr="003E01D6" w:rsidRDefault="003E01D6" w:rsidP="003E01D6">
            <w:pPr>
              <w:keepNext/>
              <w:spacing w:after="0"/>
              <w:jc w:val="both"/>
              <w:rPr>
                <w:rFonts w:ascii="Arial" w:hAnsi="Arial" w:cs="Arial"/>
                <w:b/>
                <w:bCs/>
                <w:snapToGrid w:val="0"/>
                <w:sz w:val="18"/>
                <w:szCs w:val="18"/>
                <w:lang w:val="fr-FR" w:eastAsia="en-US"/>
              </w:rPr>
            </w:pPr>
            <w:r w:rsidRPr="003E01D6">
              <w:rPr>
                <w:rFonts w:ascii="Arial" w:hAnsi="Arial" w:cs="Arial"/>
                <w:b/>
                <w:bCs/>
                <w:snapToGrid w:val="0"/>
                <w:sz w:val="18"/>
                <w:szCs w:val="18"/>
                <w:lang w:val="fr-FR" w:eastAsia="en-US"/>
              </w:rPr>
              <w:t xml:space="preserve">Nombre de dossiers </w:t>
            </w:r>
            <w:r w:rsidR="004128AA">
              <w:rPr>
                <w:rFonts w:ascii="Arial" w:hAnsi="Arial" w:cs="Arial"/>
                <w:b/>
                <w:bCs/>
                <w:snapToGrid w:val="0"/>
                <w:sz w:val="18"/>
                <w:szCs w:val="18"/>
                <w:lang w:val="fr-FR" w:eastAsia="en-US"/>
              </w:rPr>
              <w:t>en attente (« </w:t>
            </w:r>
            <w:proofErr w:type="spellStart"/>
            <w:r w:rsidR="004128AA">
              <w:rPr>
                <w:rFonts w:ascii="Arial" w:hAnsi="Arial" w:cs="Arial"/>
                <w:b/>
                <w:bCs/>
                <w:snapToGrid w:val="0"/>
                <w:sz w:val="18"/>
                <w:szCs w:val="18"/>
                <w:lang w:val="fr-FR" w:eastAsia="en-US"/>
              </w:rPr>
              <w:t>backlog</w:t>
            </w:r>
            <w:proofErr w:type="spellEnd"/>
            <w:r w:rsidR="004128AA">
              <w:rPr>
                <w:rFonts w:ascii="Arial" w:hAnsi="Arial" w:cs="Arial"/>
                <w:b/>
                <w:bCs/>
                <w:snapToGrid w:val="0"/>
                <w:sz w:val="18"/>
                <w:szCs w:val="18"/>
                <w:lang w:val="fr-FR" w:eastAsia="en-US"/>
              </w:rPr>
              <w:t> »)</w:t>
            </w:r>
          </w:p>
          <w:p w14:paraId="05C9FB63" w14:textId="77777777" w:rsidR="003E01D6" w:rsidRPr="003E01D6" w:rsidRDefault="003E01D6" w:rsidP="003E01D6">
            <w:pPr>
              <w:spacing w:after="0"/>
              <w:rPr>
                <w:rFonts w:ascii="Arial" w:hAnsi="Arial" w:cs="Arial"/>
                <w:b/>
                <w:bCs/>
                <w:snapToGrid w:val="0"/>
                <w:sz w:val="18"/>
                <w:szCs w:val="18"/>
                <w:lang w:val="fr-FR" w:eastAsia="en-US"/>
              </w:rPr>
            </w:pPr>
            <w:r w:rsidRPr="003E01D6">
              <w:rPr>
                <w:rFonts w:ascii="Arial" w:hAnsi="Arial" w:cs="Arial"/>
                <w:b/>
                <w:bCs/>
                <w:snapToGrid w:val="0"/>
                <w:sz w:val="18"/>
                <w:szCs w:val="18"/>
                <w:lang w:val="fr-FR" w:eastAsia="en-US"/>
              </w:rPr>
              <w:t>(129 au total)</w:t>
            </w:r>
          </w:p>
        </w:tc>
        <w:tc>
          <w:tcPr>
            <w:tcW w:w="751" w:type="pct"/>
          </w:tcPr>
          <w:p w14:paraId="30BDB778" w14:textId="77777777" w:rsidR="003E01D6" w:rsidRPr="003E01D6" w:rsidRDefault="003E01D6" w:rsidP="003E01D6">
            <w:pPr>
              <w:spacing w:after="0"/>
              <w:jc w:val="center"/>
              <w:rPr>
                <w:rFonts w:ascii="Arial" w:hAnsi="Arial" w:cs="Arial"/>
                <w:snapToGrid w:val="0"/>
                <w:sz w:val="18"/>
                <w:szCs w:val="18"/>
                <w:lang w:val="fr-FR" w:eastAsia="en-US"/>
              </w:rPr>
            </w:pPr>
            <w:r w:rsidRPr="003E01D6">
              <w:rPr>
                <w:rFonts w:ascii="Arial" w:hAnsi="Arial" w:cs="Arial"/>
                <w:snapToGrid w:val="0"/>
                <w:sz w:val="18"/>
                <w:szCs w:val="18"/>
                <w:lang w:val="fr-FR" w:eastAsia="en-US"/>
              </w:rPr>
              <w:t>16 dossiers</w:t>
            </w:r>
          </w:p>
        </w:tc>
        <w:tc>
          <w:tcPr>
            <w:tcW w:w="752" w:type="pct"/>
          </w:tcPr>
          <w:p w14:paraId="79343A67" w14:textId="77777777" w:rsidR="003E01D6" w:rsidRPr="003E01D6" w:rsidRDefault="003E01D6" w:rsidP="003E01D6">
            <w:pPr>
              <w:spacing w:after="0"/>
              <w:jc w:val="center"/>
              <w:rPr>
                <w:rFonts w:ascii="Arial" w:hAnsi="Arial" w:cs="Arial"/>
                <w:sz w:val="18"/>
                <w:szCs w:val="18"/>
                <w:lang w:val="fr-FR" w:eastAsia="en-US"/>
              </w:rPr>
            </w:pPr>
            <w:r w:rsidRPr="003E01D6">
              <w:rPr>
                <w:rFonts w:ascii="Arial" w:hAnsi="Arial" w:cs="Arial"/>
                <w:snapToGrid w:val="0"/>
                <w:sz w:val="18"/>
                <w:szCs w:val="18"/>
                <w:lang w:val="fr-FR" w:eastAsia="en-US"/>
              </w:rPr>
              <w:t>15 dossiers</w:t>
            </w:r>
          </w:p>
        </w:tc>
        <w:tc>
          <w:tcPr>
            <w:tcW w:w="752" w:type="pct"/>
          </w:tcPr>
          <w:p w14:paraId="63B16A04" w14:textId="77777777" w:rsidR="003E01D6" w:rsidRPr="003E01D6" w:rsidRDefault="003E01D6" w:rsidP="003E01D6">
            <w:pPr>
              <w:spacing w:after="0"/>
              <w:jc w:val="center"/>
              <w:rPr>
                <w:rFonts w:ascii="Arial" w:hAnsi="Arial" w:cs="Arial"/>
                <w:sz w:val="18"/>
                <w:szCs w:val="18"/>
                <w:lang w:val="fr-FR" w:eastAsia="en-US"/>
              </w:rPr>
            </w:pPr>
            <w:r w:rsidRPr="003E01D6">
              <w:rPr>
                <w:rFonts w:ascii="Arial" w:hAnsi="Arial" w:cs="Arial"/>
                <w:sz w:val="18"/>
                <w:szCs w:val="18"/>
                <w:lang w:val="fr-FR" w:eastAsia="en-US"/>
              </w:rPr>
              <w:t xml:space="preserve">4 </w:t>
            </w:r>
            <w:r w:rsidRPr="003E01D6">
              <w:rPr>
                <w:rFonts w:ascii="Arial" w:hAnsi="Arial" w:cs="Arial"/>
                <w:snapToGrid w:val="0"/>
                <w:sz w:val="18"/>
                <w:szCs w:val="18"/>
                <w:lang w:val="fr-FR" w:eastAsia="en-US"/>
              </w:rPr>
              <w:t>dossiers</w:t>
            </w:r>
          </w:p>
        </w:tc>
        <w:tc>
          <w:tcPr>
            <w:tcW w:w="752" w:type="pct"/>
          </w:tcPr>
          <w:p w14:paraId="283D0B2C" w14:textId="77777777" w:rsidR="003E01D6" w:rsidRPr="003E01D6" w:rsidRDefault="003E01D6" w:rsidP="003E01D6">
            <w:pPr>
              <w:spacing w:after="0"/>
              <w:jc w:val="center"/>
              <w:rPr>
                <w:rFonts w:ascii="Arial" w:hAnsi="Arial" w:cs="Arial"/>
                <w:sz w:val="18"/>
                <w:szCs w:val="18"/>
                <w:lang w:val="fr-FR" w:eastAsia="en-US"/>
              </w:rPr>
            </w:pPr>
            <w:r w:rsidRPr="003E01D6">
              <w:rPr>
                <w:rFonts w:ascii="Arial" w:hAnsi="Arial" w:cs="Arial"/>
                <w:snapToGrid w:val="0"/>
                <w:sz w:val="18"/>
                <w:szCs w:val="18"/>
                <w:lang w:val="fr-FR" w:eastAsia="en-US"/>
              </w:rPr>
              <w:t>74 dossiers</w:t>
            </w:r>
          </w:p>
        </w:tc>
        <w:tc>
          <w:tcPr>
            <w:tcW w:w="752" w:type="pct"/>
          </w:tcPr>
          <w:p w14:paraId="48E26A28" w14:textId="77777777" w:rsidR="003E01D6" w:rsidRPr="003E01D6" w:rsidRDefault="003E01D6" w:rsidP="003E01D6">
            <w:pPr>
              <w:spacing w:after="0"/>
              <w:jc w:val="center"/>
              <w:rPr>
                <w:rFonts w:ascii="Arial" w:eastAsia="SimSun" w:hAnsi="Arial" w:cs="Arial"/>
                <w:sz w:val="18"/>
                <w:szCs w:val="18"/>
                <w:lang w:val="fr-FR" w:eastAsia="en-US"/>
              </w:rPr>
            </w:pPr>
            <w:r w:rsidRPr="003E01D6">
              <w:rPr>
                <w:rFonts w:ascii="Arial" w:eastAsia="SimSun" w:hAnsi="Arial" w:cs="Arial"/>
                <w:sz w:val="18"/>
                <w:szCs w:val="18"/>
                <w:lang w:val="fr-FR"/>
              </w:rPr>
              <w:t>5 dossiers</w:t>
            </w:r>
          </w:p>
        </w:tc>
        <w:tc>
          <w:tcPr>
            <w:tcW w:w="752" w:type="pct"/>
          </w:tcPr>
          <w:p w14:paraId="310F4BD6" w14:textId="77777777" w:rsidR="003E01D6" w:rsidRPr="003E01D6" w:rsidRDefault="003E01D6" w:rsidP="003E01D6">
            <w:pPr>
              <w:spacing w:after="0"/>
              <w:jc w:val="center"/>
              <w:rPr>
                <w:rFonts w:ascii="Arial" w:eastAsia="SimSun" w:hAnsi="Arial" w:cs="Arial"/>
                <w:sz w:val="18"/>
                <w:szCs w:val="18"/>
                <w:lang w:val="fr-FR" w:eastAsia="en-US"/>
              </w:rPr>
            </w:pPr>
            <w:r w:rsidRPr="003E01D6">
              <w:rPr>
                <w:rFonts w:ascii="Arial" w:eastAsia="SimSun" w:hAnsi="Arial" w:cs="Arial"/>
                <w:sz w:val="18"/>
                <w:szCs w:val="18"/>
                <w:lang w:val="fr-FR"/>
              </w:rPr>
              <w:t>15 dossiers</w:t>
            </w:r>
          </w:p>
        </w:tc>
      </w:tr>
      <w:tr w:rsidR="003E01D6" w:rsidRPr="003E01D6" w14:paraId="6409E8D5" w14:textId="77777777" w:rsidTr="003E01D6">
        <w:tc>
          <w:tcPr>
            <w:tcW w:w="491" w:type="pct"/>
            <w:shd w:val="clear" w:color="auto" w:fill="D9D9D9"/>
          </w:tcPr>
          <w:p w14:paraId="671F65AC" w14:textId="77777777" w:rsidR="003E01D6" w:rsidRPr="003E01D6" w:rsidRDefault="003E01D6" w:rsidP="003E01D6">
            <w:pPr>
              <w:spacing w:after="0"/>
              <w:rPr>
                <w:rFonts w:ascii="Arial" w:hAnsi="Arial" w:cs="Arial"/>
                <w:b/>
                <w:bCs/>
                <w:snapToGrid w:val="0"/>
                <w:sz w:val="18"/>
                <w:szCs w:val="18"/>
                <w:lang w:val="fr-FR" w:eastAsia="en-US"/>
              </w:rPr>
            </w:pPr>
            <w:r w:rsidRPr="003E01D6">
              <w:rPr>
                <w:rFonts w:ascii="Arial" w:hAnsi="Arial" w:cs="Arial"/>
                <w:b/>
                <w:bCs/>
                <w:snapToGrid w:val="0"/>
                <w:sz w:val="18"/>
                <w:szCs w:val="18"/>
                <w:lang w:val="fr-FR" w:eastAsia="en-US"/>
              </w:rPr>
              <w:t xml:space="preserve">Pourcentage </w:t>
            </w:r>
          </w:p>
        </w:tc>
        <w:tc>
          <w:tcPr>
            <w:tcW w:w="751" w:type="pct"/>
          </w:tcPr>
          <w:p w14:paraId="3A8C701F" w14:textId="5B77CB26" w:rsidR="003E01D6" w:rsidRPr="003E01D6" w:rsidRDefault="003E01D6" w:rsidP="003E01D6">
            <w:pPr>
              <w:spacing w:after="0"/>
              <w:jc w:val="center"/>
              <w:rPr>
                <w:rFonts w:ascii="Arial" w:eastAsia="SimSun" w:hAnsi="Arial" w:cs="Arial"/>
                <w:sz w:val="18"/>
                <w:szCs w:val="18"/>
                <w:lang w:val="fr-FR"/>
              </w:rPr>
            </w:pPr>
            <w:r w:rsidRPr="003E01D6">
              <w:rPr>
                <w:rFonts w:ascii="Arial" w:eastAsia="SimSun" w:hAnsi="Arial" w:cs="Arial"/>
                <w:sz w:val="18"/>
                <w:szCs w:val="18"/>
                <w:lang w:val="fr-FR"/>
              </w:rPr>
              <w:t>12,4 %</w:t>
            </w:r>
          </w:p>
        </w:tc>
        <w:tc>
          <w:tcPr>
            <w:tcW w:w="752" w:type="pct"/>
          </w:tcPr>
          <w:p w14:paraId="38B619AC" w14:textId="1DB9694B" w:rsidR="003E01D6" w:rsidRPr="003E01D6" w:rsidRDefault="003E01D6" w:rsidP="003E01D6">
            <w:pPr>
              <w:spacing w:after="0"/>
              <w:jc w:val="center"/>
              <w:rPr>
                <w:rFonts w:ascii="Arial" w:eastAsia="SimSun" w:hAnsi="Arial" w:cs="Arial"/>
                <w:sz w:val="18"/>
                <w:szCs w:val="18"/>
                <w:lang w:val="fr-FR"/>
              </w:rPr>
            </w:pPr>
            <w:r w:rsidRPr="003E01D6">
              <w:rPr>
                <w:rFonts w:ascii="Arial" w:eastAsia="SimSun" w:hAnsi="Arial" w:cs="Arial"/>
                <w:sz w:val="18"/>
                <w:szCs w:val="18"/>
                <w:lang w:val="fr-FR"/>
              </w:rPr>
              <w:t>11,6 %</w:t>
            </w:r>
          </w:p>
        </w:tc>
        <w:tc>
          <w:tcPr>
            <w:tcW w:w="752" w:type="pct"/>
          </w:tcPr>
          <w:p w14:paraId="3D03AF1B" w14:textId="6D0918B7" w:rsidR="003E01D6" w:rsidRPr="003E01D6" w:rsidRDefault="003E01D6" w:rsidP="003E01D6">
            <w:pPr>
              <w:spacing w:after="0"/>
              <w:jc w:val="center"/>
              <w:rPr>
                <w:rFonts w:ascii="Arial" w:eastAsia="SimSun" w:hAnsi="Arial" w:cs="Arial"/>
                <w:sz w:val="18"/>
                <w:szCs w:val="18"/>
                <w:lang w:val="fr-FR"/>
              </w:rPr>
            </w:pPr>
            <w:r w:rsidRPr="003E01D6">
              <w:rPr>
                <w:rFonts w:ascii="Arial" w:eastAsia="SimSun" w:hAnsi="Arial" w:cs="Arial"/>
                <w:sz w:val="18"/>
                <w:szCs w:val="18"/>
                <w:lang w:val="fr-FR"/>
              </w:rPr>
              <w:t>3,1 %</w:t>
            </w:r>
          </w:p>
        </w:tc>
        <w:tc>
          <w:tcPr>
            <w:tcW w:w="752" w:type="pct"/>
          </w:tcPr>
          <w:p w14:paraId="51616D8F" w14:textId="110626B6" w:rsidR="003E01D6" w:rsidRPr="003E01D6" w:rsidRDefault="003E01D6" w:rsidP="003E01D6">
            <w:pPr>
              <w:spacing w:after="0"/>
              <w:jc w:val="center"/>
              <w:rPr>
                <w:rFonts w:ascii="Arial" w:eastAsia="SimSun" w:hAnsi="Arial" w:cs="Arial"/>
                <w:sz w:val="18"/>
                <w:szCs w:val="18"/>
                <w:lang w:val="fr-FR"/>
              </w:rPr>
            </w:pPr>
            <w:r w:rsidRPr="003E01D6">
              <w:rPr>
                <w:rFonts w:ascii="Arial" w:eastAsia="SimSun" w:hAnsi="Arial" w:cs="Arial"/>
                <w:sz w:val="18"/>
                <w:szCs w:val="18"/>
                <w:lang w:val="fr-FR"/>
              </w:rPr>
              <w:t>57,</w:t>
            </w:r>
            <w:r w:rsidR="00410575">
              <w:rPr>
                <w:rFonts w:ascii="Arial" w:eastAsia="SimSun" w:hAnsi="Arial" w:cs="Arial"/>
                <w:sz w:val="18"/>
                <w:szCs w:val="18"/>
                <w:lang w:val="fr-FR"/>
              </w:rPr>
              <w:t>4</w:t>
            </w:r>
            <w:r w:rsidRPr="003E01D6">
              <w:rPr>
                <w:rFonts w:ascii="Arial" w:eastAsia="SimSun" w:hAnsi="Arial" w:cs="Arial"/>
                <w:sz w:val="18"/>
                <w:szCs w:val="18"/>
                <w:lang w:val="fr-FR"/>
              </w:rPr>
              <w:t> %</w:t>
            </w:r>
          </w:p>
        </w:tc>
        <w:tc>
          <w:tcPr>
            <w:tcW w:w="752" w:type="pct"/>
          </w:tcPr>
          <w:p w14:paraId="21B4DD1E" w14:textId="3407BBE8" w:rsidR="003E01D6" w:rsidRPr="003E01D6" w:rsidRDefault="003E01D6" w:rsidP="003E01D6">
            <w:pPr>
              <w:spacing w:after="0"/>
              <w:jc w:val="center"/>
              <w:rPr>
                <w:rFonts w:ascii="Arial" w:eastAsia="SimSun" w:hAnsi="Arial" w:cs="Arial"/>
                <w:sz w:val="18"/>
                <w:szCs w:val="18"/>
                <w:lang w:val="fr-FR"/>
              </w:rPr>
            </w:pPr>
            <w:r w:rsidRPr="003E01D6">
              <w:rPr>
                <w:rFonts w:ascii="Arial" w:eastAsia="SimSun" w:hAnsi="Arial" w:cs="Arial"/>
                <w:sz w:val="18"/>
                <w:szCs w:val="18"/>
                <w:lang w:val="fr-FR"/>
              </w:rPr>
              <w:t>3,</w:t>
            </w:r>
            <w:r w:rsidR="00410575">
              <w:rPr>
                <w:rFonts w:ascii="Arial" w:eastAsia="SimSun" w:hAnsi="Arial" w:cs="Arial"/>
                <w:sz w:val="18"/>
                <w:szCs w:val="18"/>
                <w:lang w:val="fr-FR"/>
              </w:rPr>
              <w:t>9</w:t>
            </w:r>
            <w:r w:rsidRPr="003E01D6">
              <w:rPr>
                <w:rFonts w:ascii="Arial" w:eastAsia="SimSun" w:hAnsi="Arial" w:cs="Arial"/>
                <w:sz w:val="18"/>
                <w:szCs w:val="18"/>
                <w:lang w:val="fr-FR"/>
              </w:rPr>
              <w:t> %</w:t>
            </w:r>
          </w:p>
        </w:tc>
        <w:tc>
          <w:tcPr>
            <w:tcW w:w="752" w:type="pct"/>
          </w:tcPr>
          <w:p w14:paraId="32939D65" w14:textId="27C07811" w:rsidR="003E01D6" w:rsidRPr="003E01D6" w:rsidRDefault="003E01D6" w:rsidP="003E01D6">
            <w:pPr>
              <w:spacing w:after="0"/>
              <w:jc w:val="center"/>
              <w:rPr>
                <w:rFonts w:ascii="Arial" w:eastAsia="SimSun" w:hAnsi="Arial" w:cs="Arial"/>
                <w:sz w:val="18"/>
                <w:szCs w:val="18"/>
                <w:lang w:val="fr-FR"/>
              </w:rPr>
            </w:pPr>
            <w:r w:rsidRPr="003E01D6">
              <w:rPr>
                <w:rFonts w:ascii="Arial" w:eastAsia="SimSun" w:hAnsi="Arial" w:cs="Arial"/>
                <w:sz w:val="18"/>
                <w:szCs w:val="18"/>
                <w:lang w:val="fr-FR"/>
              </w:rPr>
              <w:t>11,6 %</w:t>
            </w:r>
          </w:p>
        </w:tc>
      </w:tr>
    </w:tbl>
    <w:p w14:paraId="1D39B5B3" w14:textId="77777777" w:rsidR="003E01D6" w:rsidRDefault="003E01D6" w:rsidP="007B44CC">
      <w:pPr>
        <w:pStyle w:val="1GAPara"/>
        <w:ind w:left="567" w:hanging="567"/>
        <w:rPr>
          <w:sz w:val="18"/>
          <w:szCs w:val="18"/>
          <w:lang w:val="fr"/>
        </w:rPr>
      </w:pPr>
    </w:p>
    <w:p w14:paraId="7170BBAA" w14:textId="77777777" w:rsidR="002C5413" w:rsidRPr="00884042" w:rsidRDefault="002C5413" w:rsidP="007B44CC">
      <w:pPr>
        <w:pStyle w:val="1GAPara"/>
        <w:ind w:left="567" w:hanging="567"/>
        <w:rPr>
          <w:sz w:val="18"/>
          <w:szCs w:val="18"/>
          <w:lang w:val="fr-FR"/>
        </w:rPr>
      </w:pPr>
    </w:p>
    <w:p w14:paraId="4CD570C7" w14:textId="77777777" w:rsidR="00635EA9" w:rsidRPr="00884042" w:rsidRDefault="00635EA9" w:rsidP="00365B94">
      <w:pPr>
        <w:pStyle w:val="1GAPara"/>
        <w:ind w:left="567" w:hanging="567"/>
        <w:rPr>
          <w:lang w:val="fr-FR"/>
        </w:rPr>
        <w:sectPr w:rsidR="00635EA9" w:rsidRPr="00884042" w:rsidSect="00563DDD">
          <w:headerReference w:type="first" r:id="rId21"/>
          <w:pgSz w:w="16838" w:h="11906" w:orient="landscape" w:code="9"/>
          <w:pgMar w:top="1134" w:right="1418" w:bottom="1134" w:left="1134" w:header="397" w:footer="284" w:gutter="0"/>
          <w:cols w:space="708"/>
          <w:titlePg/>
          <w:docGrid w:linePitch="360"/>
        </w:sectPr>
      </w:pPr>
    </w:p>
    <w:p w14:paraId="452BC3DC" w14:textId="3BF46FF3" w:rsidR="00563DDD" w:rsidRPr="00561AE0" w:rsidRDefault="008D48FA" w:rsidP="005D2844">
      <w:pPr>
        <w:pStyle w:val="Titre1"/>
        <w:spacing w:after="240"/>
        <w:rPr>
          <w:rFonts w:ascii="Arial" w:eastAsia="Times New Roman" w:hAnsi="Arial" w:cs="Arial"/>
          <w:b/>
          <w:bCs/>
          <w:snapToGrid w:val="0"/>
          <w:color w:val="auto"/>
          <w:sz w:val="22"/>
          <w:szCs w:val="22"/>
          <w:lang w:val="fr"/>
        </w:rPr>
      </w:pPr>
      <w:bookmarkStart w:id="3" w:name="_Annexe_III_:"/>
      <w:bookmarkEnd w:id="3"/>
      <w:r w:rsidRPr="00561AE0">
        <w:rPr>
          <w:rFonts w:ascii="Arial" w:eastAsia="Times New Roman" w:hAnsi="Arial" w:cs="Arial"/>
          <w:b/>
          <w:bCs/>
          <w:snapToGrid w:val="0"/>
          <w:color w:val="auto"/>
          <w:sz w:val="22"/>
          <w:szCs w:val="22"/>
          <w:lang w:val="fr"/>
        </w:rPr>
        <w:lastRenderedPageBreak/>
        <w:t xml:space="preserve">Annexe III : Processus de </w:t>
      </w:r>
      <w:r w:rsidR="00165447">
        <w:rPr>
          <w:rFonts w:ascii="Arial" w:eastAsia="Times New Roman" w:hAnsi="Arial" w:cs="Arial"/>
          <w:b/>
          <w:bCs/>
          <w:snapToGrid w:val="0"/>
          <w:color w:val="auto"/>
          <w:sz w:val="22"/>
          <w:szCs w:val="22"/>
          <w:lang w:val="fr"/>
        </w:rPr>
        <w:t xml:space="preserve">candidature </w:t>
      </w:r>
      <w:r w:rsidRPr="00561AE0">
        <w:rPr>
          <w:rFonts w:ascii="Arial" w:eastAsia="Times New Roman" w:hAnsi="Arial" w:cs="Arial"/>
          <w:b/>
          <w:bCs/>
          <w:snapToGrid w:val="0"/>
          <w:color w:val="auto"/>
          <w:sz w:val="22"/>
          <w:szCs w:val="22"/>
          <w:lang w:val="fr"/>
        </w:rPr>
        <w:t>aux mécanismes d</w:t>
      </w:r>
      <w:r w:rsidR="00244CEA">
        <w:rPr>
          <w:rFonts w:ascii="Arial" w:eastAsia="Times New Roman" w:hAnsi="Arial" w:cs="Arial"/>
          <w:b/>
          <w:bCs/>
          <w:snapToGrid w:val="0"/>
          <w:color w:val="auto"/>
          <w:sz w:val="22"/>
          <w:szCs w:val="22"/>
          <w:lang w:val="fr"/>
        </w:rPr>
        <w:t>’</w:t>
      </w:r>
      <w:r w:rsidRPr="00561AE0">
        <w:rPr>
          <w:rFonts w:ascii="Arial" w:eastAsia="Times New Roman" w:hAnsi="Arial" w:cs="Arial"/>
          <w:b/>
          <w:bCs/>
          <w:snapToGrid w:val="0"/>
          <w:color w:val="auto"/>
          <w:sz w:val="22"/>
          <w:szCs w:val="22"/>
          <w:lang w:val="fr"/>
        </w:rPr>
        <w:t>inscription sur les listes de la Convention de 2003</w:t>
      </w:r>
    </w:p>
    <w:p w14:paraId="3B05BB45" w14:textId="1DCAF447" w:rsidR="00563DDD" w:rsidRDefault="005D2844" w:rsidP="007F5EB2">
      <w:pPr>
        <w:pStyle w:val="1GAPara"/>
      </w:pPr>
      <w:r w:rsidRPr="007F5EB2">
        <w:rPr>
          <w:noProof/>
          <w:lang w:val="fr-FR"/>
        </w:rPr>
        <w:t xml:space="preserve"> </w:t>
      </w:r>
      <w:r>
        <w:rPr>
          <w:noProof/>
        </w:rPr>
        <w:drawing>
          <wp:inline distT="0" distB="0" distL="0" distR="0" wp14:anchorId="762E05F2" wp14:editId="01ED3173">
            <wp:extent cx="7938000" cy="45432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7938000" cy="4543200"/>
                    </a:xfrm>
                    <a:prstGeom prst="rect">
                      <a:avLst/>
                    </a:prstGeom>
                  </pic:spPr>
                </pic:pic>
              </a:graphicData>
            </a:graphic>
          </wp:inline>
        </w:drawing>
      </w:r>
    </w:p>
    <w:p w14:paraId="65EE1291" w14:textId="00C8A3E0" w:rsidR="00FC206B" w:rsidRPr="00884042" w:rsidRDefault="008D48FA" w:rsidP="00561AE0">
      <w:pPr>
        <w:pStyle w:val="1GAPara"/>
        <w:rPr>
          <w:lang w:val="fr-FR"/>
        </w:rPr>
      </w:pPr>
      <w:r>
        <w:rPr>
          <w:lang w:val="fr"/>
        </w:rPr>
        <w:t>Cette visualisation est tirée de l</w:t>
      </w:r>
      <w:r w:rsidR="00244CEA">
        <w:rPr>
          <w:lang w:val="fr"/>
        </w:rPr>
        <w:t>’</w:t>
      </w:r>
      <w:r>
        <w:rPr>
          <w:lang w:val="fr"/>
        </w:rPr>
        <w:t>Évaluation de l</w:t>
      </w:r>
      <w:r w:rsidR="00244CEA">
        <w:rPr>
          <w:lang w:val="fr"/>
        </w:rPr>
        <w:t>’</w:t>
      </w:r>
      <w:r>
        <w:rPr>
          <w:lang w:val="fr"/>
        </w:rPr>
        <w:t>action de l</w:t>
      </w:r>
      <w:r w:rsidR="00244CEA">
        <w:rPr>
          <w:lang w:val="fr"/>
        </w:rPr>
        <w:t>’</w:t>
      </w:r>
      <w:r>
        <w:rPr>
          <w:lang w:val="fr"/>
        </w:rPr>
        <w:t xml:space="preserve">UNESCO dans le cadre de la Convention de 2003 pour la sauvegarde du patrimoine culturel immatériel (rapport final) ; document </w:t>
      </w:r>
      <w:hyperlink r:id="rId23" w:history="1">
        <w:r>
          <w:rPr>
            <w:rStyle w:val="Lienhypertexte"/>
            <w:lang w:val="fr"/>
          </w:rPr>
          <w:t xml:space="preserve">LHE/21/16.COM/INF.10 </w:t>
        </w:r>
        <w:proofErr w:type="spellStart"/>
        <w:r>
          <w:rPr>
            <w:rStyle w:val="Lienhypertexte"/>
            <w:lang w:val="fr"/>
          </w:rPr>
          <w:t>Rev</w:t>
        </w:r>
        <w:proofErr w:type="spellEnd"/>
        <w:r>
          <w:rPr>
            <w:rStyle w:val="Lienhypertexte"/>
            <w:lang w:val="fr"/>
          </w:rPr>
          <w:t>.</w:t>
        </w:r>
      </w:hyperlink>
    </w:p>
    <w:sectPr w:rsidR="00FC206B" w:rsidRPr="00884042" w:rsidSect="00E91EDF">
      <w:pgSz w:w="16838" w:h="11906" w:orient="landscape" w:code="9"/>
      <w:pgMar w:top="1134" w:right="1134" w:bottom="1134" w:left="1418"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51327" w14:textId="77777777" w:rsidR="008A4D1D" w:rsidRDefault="008D48FA">
      <w:pPr>
        <w:spacing w:after="0"/>
      </w:pPr>
      <w:r>
        <w:separator/>
      </w:r>
    </w:p>
  </w:endnote>
  <w:endnote w:type="continuationSeparator" w:id="0">
    <w:p w14:paraId="57AF5929" w14:textId="77777777" w:rsidR="008A4D1D" w:rsidRDefault="008D48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9C354" w14:textId="77777777" w:rsidR="00B05FAD" w:rsidRDefault="008D48FA" w:rsidP="007B44CC">
      <w:r>
        <w:separator/>
      </w:r>
    </w:p>
  </w:footnote>
  <w:footnote w:type="continuationSeparator" w:id="0">
    <w:p w14:paraId="240BFE7F" w14:textId="77777777" w:rsidR="00B05FAD" w:rsidRDefault="008D48FA" w:rsidP="007B44CC">
      <w:r>
        <w:continuationSeparator/>
      </w:r>
    </w:p>
  </w:footnote>
  <w:footnote w:type="continuationNotice" w:id="1">
    <w:p w14:paraId="57911C5C" w14:textId="77777777" w:rsidR="00B05FAD" w:rsidRDefault="00B05FAD">
      <w:pPr>
        <w:spacing w:after="0"/>
      </w:pPr>
    </w:p>
  </w:footnote>
  <w:footnote w:id="2">
    <w:p w14:paraId="1385DDCE" w14:textId="5B5B198A" w:rsidR="007D2B08" w:rsidRPr="00561AE0" w:rsidRDefault="008E4345" w:rsidP="00561AE0">
      <w:pPr>
        <w:pStyle w:val="Notedebasdepage"/>
        <w:tabs>
          <w:tab w:val="left" w:pos="540"/>
        </w:tabs>
        <w:ind w:left="567" w:hanging="567"/>
        <w:jc w:val="both"/>
        <w:rPr>
          <w:rFonts w:asciiTheme="minorBidi" w:hAnsiTheme="minorBidi" w:cstheme="minorBidi"/>
          <w:sz w:val="18"/>
          <w:szCs w:val="18"/>
        </w:rPr>
      </w:pPr>
      <w:r w:rsidRPr="00561AE0">
        <w:rPr>
          <w:rStyle w:val="Appelnotedebasdep"/>
          <w:rFonts w:asciiTheme="minorBidi" w:hAnsiTheme="minorBidi" w:cstheme="minorBidi"/>
          <w:sz w:val="18"/>
          <w:szCs w:val="18"/>
          <w:vertAlign w:val="baseline"/>
          <w:lang w:val="fr"/>
        </w:rPr>
        <w:footnoteRef/>
      </w:r>
      <w:r w:rsidR="00BB2536">
        <w:rPr>
          <w:rFonts w:asciiTheme="minorBidi" w:hAnsiTheme="minorBidi" w:cstheme="minorBidi"/>
          <w:sz w:val="18"/>
          <w:szCs w:val="18"/>
          <w:lang w:val="fr"/>
        </w:rPr>
        <w:t>.</w:t>
      </w:r>
      <w:r w:rsidR="007D2B08" w:rsidRPr="00561AE0">
        <w:rPr>
          <w:rFonts w:asciiTheme="minorBidi" w:hAnsiTheme="minorBidi" w:cstheme="minorBidi"/>
          <w:sz w:val="18"/>
          <w:szCs w:val="18"/>
          <w:lang w:val="fr"/>
        </w:rPr>
        <w:tab/>
      </w:r>
      <w:hyperlink r:id="rId1" w:history="1">
        <w:r w:rsidR="004172CE" w:rsidRPr="00561AE0">
          <w:rPr>
            <w:rStyle w:val="Lienhypertexte"/>
            <w:rFonts w:asciiTheme="minorBidi" w:hAnsiTheme="minorBidi" w:cstheme="minorBidi"/>
            <w:sz w:val="18"/>
            <w:szCs w:val="18"/>
            <w:lang w:val="fr"/>
          </w:rPr>
          <w:t>https://ich.unesco.org/fr/evenements/runion-dexperts-sur-la-convention-de-2003-00129</w:t>
        </w:r>
      </w:hyperlink>
    </w:p>
  </w:footnote>
  <w:footnote w:id="3">
    <w:p w14:paraId="119AEA9A" w14:textId="50EFA1D7" w:rsidR="007D2B08" w:rsidRPr="00561AE0" w:rsidRDefault="007D2B08" w:rsidP="00561AE0">
      <w:pPr>
        <w:pStyle w:val="Notedebasdepage"/>
        <w:tabs>
          <w:tab w:val="left" w:pos="540"/>
        </w:tabs>
        <w:ind w:left="567" w:hanging="567"/>
        <w:jc w:val="both"/>
        <w:rPr>
          <w:rFonts w:asciiTheme="minorBidi" w:hAnsiTheme="minorBidi" w:cstheme="minorBidi"/>
          <w:sz w:val="18"/>
          <w:szCs w:val="18"/>
        </w:rPr>
      </w:pPr>
      <w:r w:rsidRPr="00561AE0">
        <w:rPr>
          <w:rStyle w:val="Appelnotedebasdep"/>
          <w:rFonts w:asciiTheme="minorBidi" w:hAnsiTheme="minorBidi" w:cstheme="minorBidi"/>
          <w:sz w:val="18"/>
          <w:szCs w:val="18"/>
          <w:vertAlign w:val="baseline"/>
          <w:lang w:val="fr"/>
        </w:rPr>
        <w:footnoteRef/>
      </w:r>
      <w:r w:rsidR="00BB2536">
        <w:rPr>
          <w:rFonts w:asciiTheme="minorBidi" w:hAnsiTheme="minorBidi" w:cstheme="minorBidi"/>
          <w:sz w:val="18"/>
          <w:szCs w:val="18"/>
          <w:lang w:val="fr"/>
        </w:rPr>
        <w:t>.</w:t>
      </w:r>
      <w:r w:rsidRPr="00561AE0">
        <w:rPr>
          <w:rFonts w:asciiTheme="minorBidi" w:hAnsiTheme="minorBidi" w:cstheme="minorBidi"/>
          <w:sz w:val="18"/>
          <w:szCs w:val="18"/>
          <w:lang w:val="fr"/>
        </w:rPr>
        <w:tab/>
      </w:r>
      <w:hyperlink r:id="rId2" w:history="1">
        <w:r w:rsidR="004172CE" w:rsidRPr="00561AE0">
          <w:rPr>
            <w:rStyle w:val="Lienhypertexte"/>
            <w:rFonts w:asciiTheme="minorBidi" w:hAnsiTheme="minorBidi" w:cstheme="minorBidi"/>
            <w:sz w:val="18"/>
            <w:szCs w:val="18"/>
            <w:lang w:val="fr"/>
          </w:rPr>
          <w:t>https://ich.unesco.org/fr/evenements/runion-du-groupe-de-travail-du-comit-5com-3wg-00131</w:t>
        </w:r>
      </w:hyperlink>
      <w:r w:rsidRPr="00561AE0">
        <w:rPr>
          <w:rFonts w:asciiTheme="minorBidi" w:hAnsiTheme="minorBidi" w:cstheme="minorBidi"/>
          <w:sz w:val="18"/>
          <w:szCs w:val="18"/>
          <w:lang w:val="fr"/>
        </w:rPr>
        <w:t xml:space="preserve">; </w:t>
      </w:r>
      <w:hyperlink r:id="rId3" w:history="1">
        <w:r w:rsidR="004172CE" w:rsidRPr="00561AE0">
          <w:rPr>
            <w:rStyle w:val="Lienhypertexte"/>
            <w:rFonts w:asciiTheme="minorBidi" w:hAnsiTheme="minorBidi" w:cstheme="minorBidi"/>
            <w:sz w:val="18"/>
            <w:szCs w:val="18"/>
            <w:lang w:val="fr"/>
          </w:rPr>
          <w:t>https://ich.unesco.org/fr/evenements/runion-du-groupe-de-travail-restreint-du-comit-sur-les-amendements-aux-directives-oprationnelles-5com-31wg-00133</w:t>
        </w:r>
      </w:hyperlink>
      <w:r w:rsidRPr="00561AE0">
        <w:rPr>
          <w:rFonts w:asciiTheme="minorBidi" w:hAnsiTheme="minorBidi" w:cstheme="minorBidi"/>
          <w:sz w:val="18"/>
          <w:szCs w:val="18"/>
          <w:lang w:val="fr"/>
        </w:rPr>
        <w:t xml:space="preserve">; </w:t>
      </w:r>
      <w:r w:rsidRPr="00561AE0">
        <w:rPr>
          <w:rFonts w:asciiTheme="minorBidi" w:hAnsiTheme="minorBidi" w:cstheme="minorBidi"/>
          <w:sz w:val="18"/>
          <w:szCs w:val="18"/>
          <w:lang w:val="fr"/>
        </w:rPr>
        <w:tab/>
      </w:r>
      <w:hyperlink r:id="rId4" w:history="1">
        <w:r w:rsidR="004172CE" w:rsidRPr="00561AE0">
          <w:rPr>
            <w:rStyle w:val="Lienhypertexte"/>
            <w:rFonts w:asciiTheme="minorBidi" w:hAnsiTheme="minorBidi" w:cstheme="minorBidi"/>
            <w:sz w:val="18"/>
            <w:szCs w:val="18"/>
            <w:lang w:val="fr"/>
          </w:rPr>
          <w:t>https://ich.unesco.org/fr/evenements/runion-du-groupe-de-travail-du-comit-5com-4wg-00134</w:t>
        </w:r>
      </w:hyperlink>
    </w:p>
  </w:footnote>
  <w:footnote w:id="4">
    <w:p w14:paraId="7F26C359" w14:textId="2310B3BB" w:rsidR="007D2B08" w:rsidRPr="00561AE0" w:rsidRDefault="007D2B08" w:rsidP="00561AE0">
      <w:pPr>
        <w:pStyle w:val="Notedebasdepage"/>
        <w:tabs>
          <w:tab w:val="left" w:pos="540"/>
        </w:tabs>
        <w:ind w:left="567" w:hanging="567"/>
        <w:jc w:val="both"/>
        <w:rPr>
          <w:rFonts w:asciiTheme="minorBidi" w:hAnsiTheme="minorBidi" w:cstheme="minorBidi"/>
          <w:sz w:val="18"/>
          <w:szCs w:val="18"/>
        </w:rPr>
      </w:pPr>
      <w:r w:rsidRPr="00561AE0">
        <w:rPr>
          <w:rStyle w:val="Appelnotedebasdep"/>
          <w:rFonts w:asciiTheme="minorBidi" w:hAnsiTheme="minorBidi" w:cstheme="minorBidi"/>
          <w:sz w:val="18"/>
          <w:szCs w:val="18"/>
          <w:vertAlign w:val="baseline"/>
          <w:lang w:val="fr"/>
        </w:rPr>
        <w:footnoteRef/>
      </w:r>
      <w:r w:rsidR="00BB2536">
        <w:rPr>
          <w:rFonts w:asciiTheme="minorBidi" w:hAnsiTheme="minorBidi" w:cstheme="minorBidi"/>
          <w:sz w:val="18"/>
          <w:szCs w:val="18"/>
          <w:lang w:val="fr"/>
        </w:rPr>
        <w:t>.</w:t>
      </w:r>
      <w:r w:rsidRPr="00561AE0">
        <w:rPr>
          <w:rFonts w:asciiTheme="minorBidi" w:hAnsiTheme="minorBidi" w:cstheme="minorBidi"/>
          <w:sz w:val="18"/>
          <w:szCs w:val="18"/>
          <w:lang w:val="fr"/>
        </w:rPr>
        <w:tab/>
      </w:r>
      <w:hyperlink r:id="rId5" w:history="1">
        <w:r w:rsidR="007B783A" w:rsidRPr="007B783A">
          <w:rPr>
            <w:rStyle w:val="Lienhypertexte"/>
            <w:rFonts w:asciiTheme="minorBidi" w:hAnsiTheme="minorBidi" w:cstheme="minorBidi"/>
            <w:sz w:val="18"/>
            <w:szCs w:val="18"/>
            <w:lang w:val="fr"/>
          </w:rPr>
          <w:t>https://ich.unesco.org/fr/evenements?categ=2015-2011&amp;country=&amp;keyword=&amp;domain=&amp;safe_meas=&amp;text=</w:t>
        </w:r>
      </w:hyperlink>
    </w:p>
  </w:footnote>
  <w:footnote w:id="5">
    <w:p w14:paraId="0D213063" w14:textId="1FD740CE" w:rsidR="007D2B08" w:rsidRPr="00561AE0" w:rsidRDefault="007D2B08" w:rsidP="00561AE0">
      <w:pPr>
        <w:pStyle w:val="Notedebasdepage"/>
        <w:tabs>
          <w:tab w:val="left" w:pos="540"/>
        </w:tabs>
        <w:ind w:left="567" w:hanging="567"/>
        <w:jc w:val="both"/>
        <w:rPr>
          <w:rFonts w:asciiTheme="minorBidi" w:hAnsiTheme="minorBidi" w:cstheme="minorBidi"/>
          <w:sz w:val="18"/>
          <w:szCs w:val="18"/>
          <w:lang w:val="pt-PT"/>
        </w:rPr>
      </w:pPr>
      <w:r w:rsidRPr="00561AE0">
        <w:rPr>
          <w:rStyle w:val="Appelnotedebasdep"/>
          <w:rFonts w:asciiTheme="minorBidi" w:hAnsiTheme="minorBidi" w:cstheme="minorBidi"/>
          <w:sz w:val="18"/>
          <w:szCs w:val="18"/>
          <w:vertAlign w:val="baseline"/>
          <w:lang w:val="fr"/>
        </w:rPr>
        <w:footnoteRef/>
      </w:r>
      <w:r w:rsidR="00BB2536">
        <w:rPr>
          <w:rFonts w:asciiTheme="minorBidi" w:hAnsiTheme="minorBidi" w:cstheme="minorBidi"/>
          <w:sz w:val="18"/>
          <w:szCs w:val="18"/>
          <w:lang w:val="pt-PT"/>
        </w:rPr>
        <w:t>.</w:t>
      </w:r>
      <w:r w:rsidRPr="00561AE0">
        <w:rPr>
          <w:rFonts w:asciiTheme="minorBidi" w:hAnsiTheme="minorBidi" w:cstheme="minorBidi"/>
          <w:sz w:val="18"/>
          <w:szCs w:val="18"/>
          <w:lang w:val="pt-PT"/>
        </w:rPr>
        <w:tab/>
      </w:r>
      <w:r w:rsidR="00A16033" w:rsidRPr="00561AE0">
        <w:rPr>
          <w:rFonts w:asciiTheme="minorBidi" w:hAnsiTheme="minorBidi" w:cstheme="minorBidi"/>
          <w:sz w:val="18"/>
          <w:szCs w:val="18"/>
          <w:lang w:val="pt-PT"/>
        </w:rPr>
        <w:t>D</w:t>
      </w:r>
      <w:r w:rsidRPr="00561AE0">
        <w:rPr>
          <w:rFonts w:asciiTheme="minorBidi" w:hAnsiTheme="minorBidi" w:cstheme="minorBidi"/>
          <w:sz w:val="18"/>
          <w:szCs w:val="18"/>
          <w:lang w:val="pt-PT"/>
        </w:rPr>
        <w:t>écision</w:t>
      </w:r>
      <w:r w:rsidR="00D62F79" w:rsidRPr="00561AE0">
        <w:rPr>
          <w:rFonts w:asciiTheme="minorBidi" w:hAnsiTheme="minorBidi" w:cstheme="minorBidi"/>
          <w:sz w:val="18"/>
          <w:szCs w:val="18"/>
          <w:lang w:val="pt-PT"/>
        </w:rPr>
        <w:t>s</w:t>
      </w:r>
      <w:r w:rsidRPr="00561AE0">
        <w:rPr>
          <w:rFonts w:asciiTheme="minorBidi" w:hAnsiTheme="minorBidi" w:cstheme="minorBidi"/>
          <w:sz w:val="18"/>
          <w:szCs w:val="18"/>
          <w:lang w:val="pt-PT"/>
        </w:rPr>
        <w:t xml:space="preserve"> </w:t>
      </w:r>
      <w:hyperlink r:id="rId6" w:history="1">
        <w:r w:rsidRPr="00561AE0">
          <w:rPr>
            <w:rStyle w:val="Lienhypertexte"/>
            <w:rFonts w:asciiTheme="minorBidi" w:hAnsiTheme="minorBidi" w:cstheme="minorBidi"/>
            <w:sz w:val="18"/>
            <w:szCs w:val="18"/>
            <w:lang w:val="pt-PT"/>
          </w:rPr>
          <w:t>8.COM 10</w:t>
        </w:r>
      </w:hyperlink>
      <w:r w:rsidRPr="00561AE0">
        <w:rPr>
          <w:rFonts w:asciiTheme="minorBidi" w:hAnsiTheme="minorBidi" w:cstheme="minorBidi"/>
          <w:color w:val="000000"/>
          <w:sz w:val="18"/>
          <w:szCs w:val="18"/>
          <w:lang w:val="pt-PT"/>
        </w:rPr>
        <w:t xml:space="preserve">, </w:t>
      </w:r>
      <w:hyperlink r:id="rId7" w:history="1">
        <w:r w:rsidRPr="00561AE0">
          <w:rPr>
            <w:rStyle w:val="Lienhypertexte"/>
            <w:rFonts w:asciiTheme="minorBidi" w:hAnsiTheme="minorBidi" w:cstheme="minorBidi"/>
            <w:sz w:val="18"/>
            <w:szCs w:val="18"/>
            <w:lang w:val="pt-PT"/>
          </w:rPr>
          <w:t>9.COM 12</w:t>
        </w:r>
      </w:hyperlink>
      <w:r w:rsidRPr="00561AE0">
        <w:rPr>
          <w:rFonts w:asciiTheme="minorBidi" w:hAnsiTheme="minorBidi" w:cstheme="minorBidi"/>
          <w:color w:val="000000"/>
          <w:sz w:val="18"/>
          <w:szCs w:val="18"/>
          <w:lang w:val="pt-PT"/>
        </w:rPr>
        <w:t xml:space="preserve">, </w:t>
      </w:r>
      <w:hyperlink r:id="rId8" w:history="1">
        <w:r w:rsidRPr="00561AE0">
          <w:rPr>
            <w:rStyle w:val="Lienhypertexte"/>
            <w:rFonts w:asciiTheme="minorBidi" w:hAnsiTheme="minorBidi" w:cstheme="minorBidi"/>
            <w:sz w:val="18"/>
            <w:szCs w:val="18"/>
            <w:lang w:val="pt-PT"/>
          </w:rPr>
          <w:t>10.COM 13</w:t>
        </w:r>
      </w:hyperlink>
      <w:r w:rsidRPr="00561AE0">
        <w:rPr>
          <w:rFonts w:asciiTheme="minorBidi" w:hAnsiTheme="minorBidi" w:cstheme="minorBidi"/>
          <w:color w:val="000000"/>
          <w:sz w:val="18"/>
          <w:szCs w:val="18"/>
          <w:lang w:val="pt-PT"/>
        </w:rPr>
        <w:t xml:space="preserve">, </w:t>
      </w:r>
      <w:hyperlink r:id="rId9" w:history="1">
        <w:r w:rsidRPr="00561AE0">
          <w:rPr>
            <w:rStyle w:val="Lienhypertexte"/>
            <w:rFonts w:asciiTheme="minorBidi" w:hAnsiTheme="minorBidi" w:cstheme="minorBidi"/>
            <w:sz w:val="18"/>
            <w:szCs w:val="18"/>
            <w:lang w:val="pt-PT"/>
          </w:rPr>
          <w:t>11.COM 12</w:t>
        </w:r>
      </w:hyperlink>
      <w:r w:rsidRPr="00561AE0">
        <w:rPr>
          <w:rFonts w:asciiTheme="minorBidi" w:hAnsiTheme="minorBidi" w:cstheme="minorBidi"/>
          <w:color w:val="000000"/>
          <w:sz w:val="18"/>
          <w:szCs w:val="18"/>
          <w:lang w:val="pt-PT"/>
        </w:rPr>
        <w:t xml:space="preserve">, </w:t>
      </w:r>
      <w:hyperlink r:id="rId10" w:history="1">
        <w:r w:rsidRPr="00561AE0">
          <w:rPr>
            <w:rStyle w:val="Lienhypertexte"/>
            <w:rFonts w:asciiTheme="minorBidi" w:hAnsiTheme="minorBidi" w:cstheme="minorBidi"/>
            <w:sz w:val="18"/>
            <w:szCs w:val="18"/>
            <w:lang w:val="pt-PT"/>
          </w:rPr>
          <w:t>13.COM 15</w:t>
        </w:r>
      </w:hyperlink>
      <w:r w:rsidRPr="00561AE0">
        <w:rPr>
          <w:rFonts w:asciiTheme="minorBidi" w:hAnsiTheme="minorBidi" w:cstheme="minorBidi"/>
          <w:sz w:val="18"/>
          <w:szCs w:val="18"/>
          <w:lang w:val="pt-PT"/>
        </w:rPr>
        <w:t xml:space="preserve"> et </w:t>
      </w:r>
      <w:hyperlink r:id="rId11" w:history="1">
        <w:r w:rsidRPr="00561AE0">
          <w:rPr>
            <w:rStyle w:val="Lienhypertexte"/>
            <w:rFonts w:asciiTheme="minorBidi" w:hAnsiTheme="minorBidi" w:cstheme="minorBidi"/>
            <w:sz w:val="18"/>
            <w:szCs w:val="18"/>
            <w:lang w:val="pt-PT"/>
          </w:rPr>
          <w:t>15.COM.9</w:t>
        </w:r>
      </w:hyperlink>
    </w:p>
  </w:footnote>
  <w:footnote w:id="6">
    <w:p w14:paraId="014545A9" w14:textId="50A1C89C" w:rsidR="00E3533D" w:rsidRPr="00561AE0" w:rsidRDefault="008D48FA" w:rsidP="00561AE0">
      <w:pPr>
        <w:pStyle w:val="Notedebasdepage"/>
        <w:ind w:left="567" w:hanging="567"/>
        <w:jc w:val="both"/>
        <w:rPr>
          <w:rFonts w:asciiTheme="minorBidi" w:hAnsiTheme="minorBidi" w:cstheme="minorBidi"/>
          <w:sz w:val="18"/>
          <w:szCs w:val="18"/>
        </w:rPr>
      </w:pPr>
      <w:r w:rsidRPr="00561AE0">
        <w:rPr>
          <w:rStyle w:val="Appelnotedebasdep"/>
          <w:rFonts w:asciiTheme="minorBidi" w:hAnsiTheme="minorBidi" w:cstheme="minorBidi"/>
          <w:sz w:val="18"/>
          <w:szCs w:val="18"/>
          <w:vertAlign w:val="baseline"/>
          <w:lang w:val="fr"/>
        </w:rPr>
        <w:footnoteRef/>
      </w:r>
      <w:r w:rsidRPr="00561AE0">
        <w:rPr>
          <w:rFonts w:asciiTheme="minorBidi" w:hAnsiTheme="minorBidi" w:cstheme="minorBidi"/>
          <w:sz w:val="18"/>
          <w:szCs w:val="18"/>
          <w:lang w:val="fr"/>
        </w:rPr>
        <w:t xml:space="preserve">. </w:t>
      </w:r>
      <w:r w:rsidRPr="00561AE0">
        <w:rPr>
          <w:rFonts w:asciiTheme="minorBidi" w:hAnsiTheme="minorBidi" w:cstheme="minorBidi"/>
          <w:sz w:val="18"/>
          <w:szCs w:val="18"/>
          <w:lang w:val="fr"/>
        </w:rPr>
        <w:tab/>
      </w:r>
      <w:r w:rsidRPr="00561AE0">
        <w:rPr>
          <w:rFonts w:asciiTheme="minorBidi" w:hAnsiTheme="minorBidi" w:cstheme="minorBidi"/>
          <w:color w:val="000000"/>
          <w:sz w:val="18"/>
          <w:szCs w:val="18"/>
          <w:lang w:val="fr"/>
        </w:rPr>
        <w:t>Belgique, Chine, Croatie, France, Inde, Japon, Mexique, République de Corée, Espagne, Turquie, Viet</w:t>
      </w:r>
      <w:r w:rsidR="00715F9E" w:rsidRPr="00561AE0">
        <w:rPr>
          <w:rFonts w:asciiTheme="minorBidi" w:hAnsiTheme="minorBidi" w:cstheme="minorBidi"/>
          <w:color w:val="000000"/>
          <w:sz w:val="18"/>
          <w:szCs w:val="18"/>
          <w:lang w:val="fr"/>
        </w:rPr>
        <w:t xml:space="preserve"> N</w:t>
      </w:r>
      <w:r w:rsidRPr="00561AE0">
        <w:rPr>
          <w:rFonts w:asciiTheme="minorBidi" w:hAnsiTheme="minorBidi" w:cstheme="minorBidi"/>
          <w:color w:val="000000"/>
          <w:sz w:val="18"/>
          <w:szCs w:val="18"/>
          <w:lang w:val="fr"/>
        </w:rPr>
        <w:t>am</w:t>
      </w:r>
      <w:r w:rsidR="006125CD">
        <w:rPr>
          <w:rFonts w:asciiTheme="minorBidi" w:hAnsiTheme="minorBidi" w:cstheme="minorBidi"/>
          <w:color w:val="000000"/>
          <w:sz w:val="18"/>
          <w:szCs w:val="18"/>
          <w:lang w:val="fr"/>
        </w:rPr>
        <w:t>.</w:t>
      </w:r>
    </w:p>
  </w:footnote>
  <w:footnote w:id="7">
    <w:p w14:paraId="598E2368" w14:textId="270983D8" w:rsidR="00E3533D" w:rsidRPr="00561AE0" w:rsidRDefault="008D48FA" w:rsidP="00561AE0">
      <w:pPr>
        <w:pStyle w:val="Notedebasdepage"/>
        <w:ind w:left="567" w:hanging="567"/>
        <w:jc w:val="both"/>
        <w:rPr>
          <w:rFonts w:asciiTheme="minorBidi" w:hAnsiTheme="minorBidi" w:cstheme="minorBidi"/>
          <w:sz w:val="18"/>
          <w:szCs w:val="18"/>
        </w:rPr>
      </w:pPr>
      <w:r w:rsidRPr="00561AE0">
        <w:rPr>
          <w:rStyle w:val="Appelnotedebasdep"/>
          <w:rFonts w:asciiTheme="minorBidi" w:hAnsiTheme="minorBidi" w:cstheme="minorBidi"/>
          <w:sz w:val="18"/>
          <w:szCs w:val="18"/>
          <w:vertAlign w:val="baseline"/>
          <w:lang w:val="fr"/>
        </w:rPr>
        <w:footnoteRef/>
      </w:r>
      <w:r w:rsidRPr="00561AE0">
        <w:rPr>
          <w:rFonts w:asciiTheme="minorBidi" w:hAnsiTheme="minorBidi" w:cstheme="minorBidi"/>
          <w:sz w:val="18"/>
          <w:szCs w:val="18"/>
          <w:lang w:val="fr"/>
        </w:rPr>
        <w:t xml:space="preserve">. </w:t>
      </w:r>
      <w:r w:rsidRPr="00561AE0">
        <w:rPr>
          <w:rFonts w:asciiTheme="minorBidi" w:hAnsiTheme="minorBidi" w:cstheme="minorBidi"/>
          <w:sz w:val="18"/>
          <w:szCs w:val="18"/>
          <w:lang w:val="fr"/>
        </w:rPr>
        <w:tab/>
      </w:r>
      <w:r w:rsidRPr="00561AE0">
        <w:rPr>
          <w:rFonts w:asciiTheme="minorBidi" w:hAnsiTheme="minorBidi" w:cstheme="minorBidi"/>
          <w:color w:val="000000"/>
          <w:sz w:val="18"/>
          <w:szCs w:val="18"/>
          <w:lang w:val="fr"/>
        </w:rPr>
        <w:t>Algérie, Arménie, Azerbaïdjan, Bolivie</w:t>
      </w:r>
      <w:r w:rsidR="0063527F">
        <w:rPr>
          <w:rFonts w:asciiTheme="minorBidi" w:hAnsiTheme="minorBidi" w:cstheme="minorBidi"/>
          <w:color w:val="000000"/>
          <w:sz w:val="18"/>
          <w:szCs w:val="18"/>
          <w:lang w:val="fr"/>
        </w:rPr>
        <w:t xml:space="preserve"> (État plurinational de)</w:t>
      </w:r>
      <w:r w:rsidRPr="00561AE0">
        <w:rPr>
          <w:rFonts w:asciiTheme="minorBidi" w:hAnsiTheme="minorBidi" w:cstheme="minorBidi"/>
          <w:color w:val="000000"/>
          <w:sz w:val="18"/>
          <w:szCs w:val="18"/>
          <w:lang w:val="fr"/>
        </w:rPr>
        <w:t>, Brésil, Colombie, Indonésie, Iran</w:t>
      </w:r>
      <w:r w:rsidR="0063527F">
        <w:rPr>
          <w:rFonts w:asciiTheme="minorBidi" w:hAnsiTheme="minorBidi" w:cstheme="minorBidi"/>
          <w:color w:val="000000"/>
          <w:sz w:val="18"/>
          <w:szCs w:val="18"/>
          <w:lang w:val="fr"/>
        </w:rPr>
        <w:t xml:space="preserve"> (République islamique d’)</w:t>
      </w:r>
      <w:r w:rsidRPr="00561AE0">
        <w:rPr>
          <w:rFonts w:asciiTheme="minorBidi" w:hAnsiTheme="minorBidi" w:cstheme="minorBidi"/>
          <w:color w:val="000000"/>
          <w:sz w:val="18"/>
          <w:szCs w:val="18"/>
          <w:lang w:val="fr"/>
        </w:rPr>
        <w:t xml:space="preserve">, Italie, Mongolie, Maroc et Pérou. Tous ces pays ont eu un </w:t>
      </w:r>
      <w:r w:rsidR="0063527F">
        <w:rPr>
          <w:rFonts w:asciiTheme="minorBidi" w:hAnsiTheme="minorBidi" w:cstheme="minorBidi"/>
          <w:color w:val="000000"/>
          <w:sz w:val="18"/>
          <w:szCs w:val="18"/>
          <w:lang w:val="fr"/>
        </w:rPr>
        <w:t>dossier</w:t>
      </w:r>
      <w:r w:rsidR="0063527F" w:rsidRPr="00561AE0">
        <w:rPr>
          <w:rFonts w:asciiTheme="minorBidi" w:hAnsiTheme="minorBidi" w:cstheme="minorBidi"/>
          <w:color w:val="000000"/>
          <w:sz w:val="18"/>
          <w:szCs w:val="18"/>
          <w:lang w:val="fr"/>
        </w:rPr>
        <w:t xml:space="preserve"> </w:t>
      </w:r>
      <w:r w:rsidRPr="00561AE0">
        <w:rPr>
          <w:rFonts w:asciiTheme="minorBidi" w:hAnsiTheme="minorBidi" w:cstheme="minorBidi"/>
          <w:color w:val="000000"/>
          <w:sz w:val="18"/>
          <w:szCs w:val="18"/>
          <w:lang w:val="fr"/>
        </w:rPr>
        <w:t>national traité en 2015, à l'exception de la Bolivie, du Brésil et du Maroc. En avril 2015, le Secrétariat a considéré que les États</w:t>
      </w:r>
      <w:r w:rsidR="00A4430F" w:rsidRPr="00561AE0">
        <w:rPr>
          <w:rFonts w:asciiTheme="minorBidi" w:hAnsiTheme="minorBidi" w:cstheme="minorBidi"/>
          <w:color w:val="000000"/>
          <w:sz w:val="18"/>
          <w:szCs w:val="18"/>
          <w:lang w:val="fr"/>
        </w:rPr>
        <w:t xml:space="preserve"> parties</w:t>
      </w:r>
      <w:r w:rsidRPr="00561AE0">
        <w:rPr>
          <w:rFonts w:asciiTheme="minorBidi" w:hAnsiTheme="minorBidi" w:cstheme="minorBidi"/>
          <w:color w:val="000000"/>
          <w:sz w:val="18"/>
          <w:szCs w:val="18"/>
          <w:lang w:val="fr"/>
        </w:rPr>
        <w:t xml:space="preserve"> devaient avoir soumis un dossier national pour le cycle de 2015 pour être un État prioritaire pour le cycle de 2016. La Bolivie, le Brésil et le Maroc n'ayant pas soumis de dossier pour le cycle de 2015, les dossiers qu</w:t>
      </w:r>
      <w:r w:rsidR="0063527F">
        <w:rPr>
          <w:rFonts w:asciiTheme="minorBidi" w:hAnsiTheme="minorBidi" w:cstheme="minorBidi"/>
          <w:color w:val="000000"/>
          <w:sz w:val="18"/>
          <w:szCs w:val="18"/>
          <w:lang w:val="fr"/>
        </w:rPr>
        <w:t>’</w:t>
      </w:r>
      <w:r w:rsidRPr="00561AE0">
        <w:rPr>
          <w:rFonts w:asciiTheme="minorBidi" w:hAnsiTheme="minorBidi" w:cstheme="minorBidi"/>
          <w:color w:val="000000"/>
          <w:sz w:val="18"/>
          <w:szCs w:val="18"/>
          <w:lang w:val="fr"/>
        </w:rPr>
        <w:t>ils ont soumis pour le cycle de 2016 n</w:t>
      </w:r>
      <w:r w:rsidR="0063527F">
        <w:rPr>
          <w:rFonts w:asciiTheme="minorBidi" w:hAnsiTheme="minorBidi" w:cstheme="minorBidi"/>
          <w:color w:val="000000"/>
          <w:sz w:val="18"/>
          <w:szCs w:val="18"/>
          <w:lang w:val="fr"/>
        </w:rPr>
        <w:t>’</w:t>
      </w:r>
      <w:r w:rsidRPr="00561AE0">
        <w:rPr>
          <w:rFonts w:asciiTheme="minorBidi" w:hAnsiTheme="minorBidi" w:cstheme="minorBidi"/>
          <w:color w:val="000000"/>
          <w:sz w:val="18"/>
          <w:szCs w:val="18"/>
          <w:lang w:val="fr"/>
        </w:rPr>
        <w:t>ont pas été considérés dans la catégorie prioritaire (0). Chacun de ces États</w:t>
      </w:r>
      <w:r w:rsidR="00A4430F" w:rsidRPr="00561AE0">
        <w:rPr>
          <w:rFonts w:asciiTheme="minorBidi" w:hAnsiTheme="minorBidi" w:cstheme="minorBidi"/>
          <w:color w:val="000000"/>
          <w:sz w:val="18"/>
          <w:szCs w:val="18"/>
          <w:lang w:val="fr"/>
        </w:rPr>
        <w:t xml:space="preserve"> parties</w:t>
      </w:r>
      <w:r w:rsidRPr="00561AE0">
        <w:rPr>
          <w:rFonts w:asciiTheme="minorBidi" w:hAnsiTheme="minorBidi" w:cstheme="minorBidi"/>
          <w:color w:val="000000"/>
          <w:sz w:val="18"/>
          <w:szCs w:val="18"/>
          <w:lang w:val="fr"/>
        </w:rPr>
        <w:t xml:space="preserve"> avait plus de trois éléments inscrits et se situait donc en bas de la catégorie prioritaire (iii), et leurs dossiers n'ont pas été traités. En avril 2016, le Secrétariat a modifié cette approche et a considéré que, désormais, il ne serait pas nécessaire d'avoir déjà soumis des dossiers pour être un État prioritaire dans la catégorie (0) ; ceci afin de dissuader les États </w:t>
      </w:r>
      <w:r w:rsidR="00A4430F" w:rsidRPr="00561AE0">
        <w:rPr>
          <w:rFonts w:asciiTheme="minorBidi" w:hAnsiTheme="minorBidi" w:cstheme="minorBidi"/>
          <w:color w:val="000000"/>
          <w:sz w:val="18"/>
          <w:szCs w:val="18"/>
          <w:lang w:val="fr"/>
        </w:rPr>
        <w:t xml:space="preserve">parties </w:t>
      </w:r>
      <w:r w:rsidRPr="00561AE0">
        <w:rPr>
          <w:rFonts w:asciiTheme="minorBidi" w:hAnsiTheme="minorBidi" w:cstheme="minorBidi"/>
          <w:color w:val="000000"/>
          <w:sz w:val="18"/>
          <w:szCs w:val="18"/>
          <w:lang w:val="fr"/>
        </w:rPr>
        <w:t>de soumettre un dossier à chaque cycle.</w:t>
      </w:r>
    </w:p>
  </w:footnote>
  <w:footnote w:id="8">
    <w:p w14:paraId="3CF143C5" w14:textId="77777777" w:rsidR="00E3533D" w:rsidRPr="00561AE0" w:rsidRDefault="008D48FA" w:rsidP="00561AE0">
      <w:pPr>
        <w:pStyle w:val="Notedebasdepage"/>
        <w:ind w:left="567" w:hanging="567"/>
        <w:jc w:val="both"/>
        <w:rPr>
          <w:rFonts w:asciiTheme="minorBidi" w:hAnsiTheme="minorBidi" w:cstheme="minorBidi"/>
          <w:sz w:val="18"/>
          <w:szCs w:val="18"/>
        </w:rPr>
      </w:pPr>
      <w:r w:rsidRPr="00561AE0">
        <w:rPr>
          <w:rStyle w:val="Appelnotedebasdep"/>
          <w:rFonts w:asciiTheme="minorBidi" w:hAnsiTheme="minorBidi" w:cstheme="minorBidi"/>
          <w:sz w:val="18"/>
          <w:szCs w:val="18"/>
          <w:vertAlign w:val="baseline"/>
          <w:lang w:val="fr"/>
        </w:rPr>
        <w:footnoteRef/>
      </w:r>
      <w:r w:rsidRPr="00561AE0">
        <w:rPr>
          <w:rFonts w:asciiTheme="minorBidi" w:hAnsiTheme="minorBidi" w:cstheme="minorBidi"/>
          <w:sz w:val="18"/>
          <w:szCs w:val="18"/>
          <w:lang w:val="fr"/>
        </w:rPr>
        <w:t xml:space="preserve">. </w:t>
      </w:r>
      <w:r w:rsidRPr="00561AE0">
        <w:rPr>
          <w:rFonts w:asciiTheme="minorBidi" w:hAnsiTheme="minorBidi" w:cstheme="minorBidi"/>
          <w:sz w:val="18"/>
          <w:szCs w:val="18"/>
          <w:lang w:val="fr"/>
        </w:rPr>
        <w:tab/>
        <w:t>Bien que le Brésil soit un pays prioritaire pour le cycle de 2017 (aucun dossier traité en 2016), il a décidé de retirer son dossier.</w:t>
      </w:r>
    </w:p>
  </w:footnote>
  <w:footnote w:id="9">
    <w:p w14:paraId="0EC1AC98" w14:textId="6999F89D" w:rsidR="00E3533D" w:rsidRPr="00561AE0" w:rsidRDefault="008D48FA" w:rsidP="00561AE0">
      <w:pPr>
        <w:pStyle w:val="Notedebasdepage"/>
        <w:ind w:left="567" w:hanging="567"/>
        <w:jc w:val="both"/>
        <w:rPr>
          <w:rFonts w:asciiTheme="minorBidi" w:hAnsiTheme="minorBidi" w:cstheme="minorBidi"/>
          <w:sz w:val="18"/>
          <w:szCs w:val="18"/>
        </w:rPr>
      </w:pPr>
      <w:r w:rsidRPr="00561AE0">
        <w:rPr>
          <w:rStyle w:val="Appelnotedebasdep"/>
          <w:rFonts w:asciiTheme="minorBidi" w:hAnsiTheme="minorBidi" w:cstheme="minorBidi"/>
          <w:sz w:val="18"/>
          <w:szCs w:val="18"/>
          <w:vertAlign w:val="baseline"/>
          <w:lang w:val="fr"/>
        </w:rPr>
        <w:footnoteRef/>
      </w:r>
      <w:r w:rsidRPr="00561AE0">
        <w:rPr>
          <w:rFonts w:asciiTheme="minorBidi" w:hAnsiTheme="minorBidi" w:cstheme="minorBidi"/>
          <w:sz w:val="18"/>
          <w:szCs w:val="18"/>
          <w:lang w:val="fr"/>
        </w:rPr>
        <w:t xml:space="preserve">. </w:t>
      </w:r>
      <w:r w:rsidRPr="00561AE0">
        <w:rPr>
          <w:rFonts w:asciiTheme="minorBidi" w:hAnsiTheme="minorBidi" w:cstheme="minorBidi"/>
          <w:sz w:val="18"/>
          <w:szCs w:val="18"/>
          <w:lang w:val="fr"/>
        </w:rPr>
        <w:tab/>
      </w:r>
      <w:r w:rsidRPr="00561AE0">
        <w:rPr>
          <w:rFonts w:asciiTheme="minorBidi" w:hAnsiTheme="minorBidi" w:cstheme="minorBidi"/>
          <w:color w:val="000000"/>
          <w:sz w:val="18"/>
          <w:szCs w:val="18"/>
          <w:lang w:val="fr"/>
        </w:rPr>
        <w:t>Bosnie-Herzégovine, Côte d'Ivoire, Irlande, Kirghizistan, Malawi, Pays-Bas, Panama, Serbie, Turkménistan, Émirats arabes unis, Zambie</w:t>
      </w:r>
      <w:r w:rsidR="006125CD">
        <w:rPr>
          <w:rFonts w:asciiTheme="minorBidi" w:hAnsiTheme="minorBidi" w:cstheme="minorBidi"/>
          <w:color w:val="000000"/>
          <w:sz w:val="18"/>
          <w:szCs w:val="18"/>
          <w:lang w:val="fr"/>
        </w:rPr>
        <w:t>.</w:t>
      </w:r>
    </w:p>
  </w:footnote>
  <w:footnote w:id="10">
    <w:p w14:paraId="3706F665" w14:textId="3313BB2E" w:rsidR="00E3533D" w:rsidRPr="00561AE0" w:rsidRDefault="008D48FA" w:rsidP="00561AE0">
      <w:pPr>
        <w:pStyle w:val="Notedebasdepage"/>
        <w:ind w:left="567" w:hanging="567"/>
        <w:jc w:val="both"/>
        <w:rPr>
          <w:rFonts w:asciiTheme="minorBidi" w:hAnsiTheme="minorBidi" w:cstheme="minorBidi"/>
          <w:sz w:val="18"/>
          <w:szCs w:val="18"/>
        </w:rPr>
      </w:pPr>
      <w:r w:rsidRPr="00561AE0">
        <w:rPr>
          <w:rStyle w:val="Appelnotedebasdep"/>
          <w:rFonts w:asciiTheme="minorBidi" w:hAnsiTheme="minorBidi" w:cstheme="minorBidi"/>
          <w:sz w:val="18"/>
          <w:szCs w:val="18"/>
          <w:vertAlign w:val="baseline"/>
          <w:lang w:val="fr"/>
        </w:rPr>
        <w:footnoteRef/>
      </w:r>
      <w:r w:rsidRPr="00561AE0">
        <w:rPr>
          <w:rFonts w:asciiTheme="minorBidi" w:hAnsiTheme="minorBidi" w:cstheme="minorBidi"/>
          <w:sz w:val="18"/>
          <w:szCs w:val="18"/>
          <w:lang w:val="fr"/>
        </w:rPr>
        <w:t xml:space="preserve">. </w:t>
      </w:r>
      <w:r w:rsidRPr="00561AE0">
        <w:rPr>
          <w:rFonts w:asciiTheme="minorBidi" w:hAnsiTheme="minorBidi" w:cstheme="minorBidi"/>
          <w:sz w:val="18"/>
          <w:szCs w:val="18"/>
          <w:lang w:val="fr"/>
        </w:rPr>
        <w:tab/>
      </w:r>
      <w:r w:rsidRPr="00561AE0">
        <w:rPr>
          <w:rFonts w:asciiTheme="minorBidi" w:hAnsiTheme="minorBidi" w:cstheme="minorBidi"/>
          <w:color w:val="000000"/>
          <w:sz w:val="18"/>
          <w:szCs w:val="18"/>
          <w:lang w:val="fr"/>
        </w:rPr>
        <w:t xml:space="preserve">Chine, France, Japon, République de Corée, </w:t>
      </w:r>
      <w:r w:rsidR="006125CD">
        <w:rPr>
          <w:rFonts w:asciiTheme="minorBidi" w:hAnsiTheme="minorBidi" w:cstheme="minorBidi"/>
          <w:color w:val="000000"/>
          <w:sz w:val="18"/>
          <w:szCs w:val="18"/>
          <w:lang w:val="fr"/>
        </w:rPr>
        <w:t>Espagne.</w:t>
      </w:r>
    </w:p>
  </w:footnote>
  <w:footnote w:id="11">
    <w:p w14:paraId="21275CDB" w14:textId="1700B220" w:rsidR="00E3533D" w:rsidRPr="00561AE0" w:rsidRDefault="008D48FA" w:rsidP="00561AE0">
      <w:pPr>
        <w:pStyle w:val="Notedebasdepage"/>
        <w:ind w:left="567" w:hanging="567"/>
        <w:jc w:val="both"/>
        <w:rPr>
          <w:rFonts w:asciiTheme="minorBidi" w:hAnsiTheme="minorBidi" w:cstheme="minorBidi"/>
          <w:sz w:val="18"/>
          <w:szCs w:val="18"/>
        </w:rPr>
      </w:pPr>
      <w:r w:rsidRPr="00561AE0">
        <w:rPr>
          <w:rStyle w:val="Appelnotedebasdep"/>
          <w:rFonts w:asciiTheme="minorBidi" w:hAnsiTheme="minorBidi" w:cstheme="minorBidi"/>
          <w:sz w:val="18"/>
          <w:szCs w:val="18"/>
          <w:vertAlign w:val="baseline"/>
          <w:lang w:val="fr"/>
        </w:rPr>
        <w:footnoteRef/>
      </w:r>
      <w:r w:rsidR="00F9426D">
        <w:rPr>
          <w:rFonts w:asciiTheme="minorBidi" w:hAnsiTheme="minorBidi" w:cstheme="minorBidi"/>
          <w:sz w:val="18"/>
          <w:szCs w:val="18"/>
          <w:lang w:val="fr"/>
        </w:rPr>
        <w:t>.</w:t>
      </w:r>
      <w:r w:rsidRPr="00561AE0">
        <w:rPr>
          <w:rFonts w:asciiTheme="minorBidi" w:hAnsiTheme="minorBidi" w:cstheme="minorBidi"/>
          <w:sz w:val="18"/>
          <w:szCs w:val="18"/>
          <w:lang w:val="fr"/>
        </w:rPr>
        <w:t xml:space="preserve"> </w:t>
      </w:r>
      <w:r w:rsidRPr="00561AE0">
        <w:rPr>
          <w:rFonts w:asciiTheme="minorBidi" w:hAnsiTheme="minorBidi" w:cstheme="minorBidi"/>
          <w:sz w:val="18"/>
          <w:szCs w:val="18"/>
          <w:lang w:val="fr"/>
        </w:rPr>
        <w:tab/>
      </w:r>
      <w:r w:rsidRPr="00561AE0">
        <w:rPr>
          <w:rFonts w:asciiTheme="minorBidi" w:hAnsiTheme="minorBidi" w:cstheme="minorBidi"/>
          <w:color w:val="000000"/>
          <w:sz w:val="18"/>
          <w:szCs w:val="18"/>
          <w:lang w:val="fr"/>
        </w:rPr>
        <w:t xml:space="preserve">Albanie, Bahamas, Belarus, Cambodge, Croatie, </w:t>
      </w:r>
      <w:r w:rsidR="003D020A" w:rsidRPr="00561AE0">
        <w:rPr>
          <w:rFonts w:asciiTheme="minorBidi" w:hAnsiTheme="minorBidi" w:cstheme="minorBidi"/>
          <w:color w:val="000000"/>
          <w:sz w:val="18"/>
          <w:szCs w:val="18"/>
          <w:lang w:val="fr"/>
        </w:rPr>
        <w:t>T</w:t>
      </w:r>
      <w:r w:rsidR="00E65FDD" w:rsidRPr="00561AE0">
        <w:rPr>
          <w:rFonts w:asciiTheme="minorBidi" w:hAnsiTheme="minorBidi" w:cstheme="minorBidi"/>
          <w:color w:val="000000"/>
          <w:sz w:val="18"/>
          <w:szCs w:val="18"/>
          <w:lang w:val="fr"/>
        </w:rPr>
        <w:t>ch</w:t>
      </w:r>
      <w:r w:rsidR="0063527F">
        <w:rPr>
          <w:rFonts w:asciiTheme="minorBidi" w:hAnsiTheme="minorBidi" w:cstheme="minorBidi"/>
          <w:color w:val="000000"/>
          <w:sz w:val="18"/>
          <w:szCs w:val="18"/>
          <w:lang w:val="fr"/>
        </w:rPr>
        <w:t>é</w:t>
      </w:r>
      <w:r w:rsidR="00E65FDD" w:rsidRPr="00561AE0">
        <w:rPr>
          <w:rFonts w:asciiTheme="minorBidi" w:hAnsiTheme="minorBidi" w:cstheme="minorBidi"/>
          <w:color w:val="000000"/>
          <w:sz w:val="18"/>
          <w:szCs w:val="18"/>
          <w:lang w:val="fr"/>
        </w:rPr>
        <w:t>qu</w:t>
      </w:r>
      <w:r w:rsidR="0063527F">
        <w:rPr>
          <w:rFonts w:asciiTheme="minorBidi" w:hAnsiTheme="minorBidi" w:cstheme="minorBidi"/>
          <w:color w:val="000000"/>
          <w:sz w:val="18"/>
          <w:szCs w:val="18"/>
          <w:lang w:val="fr"/>
        </w:rPr>
        <w:t>i</w:t>
      </w:r>
      <w:r w:rsidR="00E65FDD" w:rsidRPr="00561AE0">
        <w:rPr>
          <w:rFonts w:asciiTheme="minorBidi" w:hAnsiTheme="minorBidi" w:cstheme="minorBidi"/>
          <w:color w:val="000000"/>
          <w:sz w:val="18"/>
          <w:szCs w:val="18"/>
          <w:lang w:val="fr"/>
        </w:rPr>
        <w:t xml:space="preserve">e, République populaire démocratique de Corée, </w:t>
      </w:r>
      <w:r w:rsidRPr="00561AE0">
        <w:rPr>
          <w:rFonts w:asciiTheme="minorBidi" w:hAnsiTheme="minorBidi" w:cstheme="minorBidi"/>
          <w:color w:val="000000"/>
          <w:sz w:val="18"/>
          <w:szCs w:val="18"/>
          <w:lang w:val="fr"/>
        </w:rPr>
        <w:t>Géorgie, Jamaïque, Jordanie, Malaisie, Mexique, Oman, Pakistan, Pologne, Sri Lanka, Suède, République arabe syrienne, Thaïlande</w:t>
      </w:r>
      <w:r w:rsidR="00E65FDD" w:rsidRPr="00561AE0">
        <w:rPr>
          <w:rFonts w:asciiTheme="minorBidi" w:hAnsiTheme="minorBidi" w:cstheme="minorBidi"/>
          <w:color w:val="000000"/>
          <w:sz w:val="18"/>
          <w:szCs w:val="18"/>
          <w:lang w:val="fr"/>
        </w:rPr>
        <w:t>,</w:t>
      </w:r>
      <w:r w:rsidRPr="00561AE0">
        <w:rPr>
          <w:rFonts w:asciiTheme="minorBidi" w:hAnsiTheme="minorBidi" w:cstheme="minorBidi"/>
          <w:color w:val="000000"/>
          <w:sz w:val="18"/>
          <w:szCs w:val="18"/>
          <w:lang w:val="fr"/>
        </w:rPr>
        <w:t xml:space="preserve"> Tunisie</w:t>
      </w:r>
      <w:r w:rsidR="006125CD">
        <w:rPr>
          <w:rFonts w:asciiTheme="minorBidi" w:hAnsiTheme="minorBidi" w:cstheme="minorBidi"/>
          <w:color w:val="000000"/>
          <w:sz w:val="18"/>
          <w:szCs w:val="18"/>
          <w:lang w:val="fr"/>
        </w:rPr>
        <w:t>.</w:t>
      </w:r>
    </w:p>
  </w:footnote>
  <w:footnote w:id="12">
    <w:p w14:paraId="7E220111" w14:textId="490ED58D" w:rsidR="00E3533D" w:rsidRPr="00561AE0" w:rsidRDefault="008D48FA" w:rsidP="00561AE0">
      <w:pPr>
        <w:pStyle w:val="Notedebasdepage"/>
        <w:ind w:left="567" w:hanging="567"/>
        <w:jc w:val="both"/>
        <w:rPr>
          <w:rFonts w:asciiTheme="minorBidi" w:hAnsiTheme="minorBidi" w:cstheme="minorBidi"/>
          <w:sz w:val="18"/>
          <w:szCs w:val="18"/>
        </w:rPr>
      </w:pPr>
      <w:r w:rsidRPr="00561AE0">
        <w:rPr>
          <w:rStyle w:val="Appelnotedebasdep"/>
          <w:rFonts w:asciiTheme="minorBidi" w:hAnsiTheme="minorBidi" w:cstheme="minorBidi"/>
          <w:sz w:val="18"/>
          <w:szCs w:val="18"/>
          <w:vertAlign w:val="baseline"/>
          <w:lang w:val="fr"/>
        </w:rPr>
        <w:footnoteRef/>
      </w:r>
      <w:r w:rsidR="00F9426D">
        <w:rPr>
          <w:rFonts w:asciiTheme="minorBidi" w:hAnsiTheme="minorBidi" w:cstheme="minorBidi"/>
          <w:sz w:val="18"/>
          <w:szCs w:val="18"/>
          <w:lang w:val="fr"/>
        </w:rPr>
        <w:t>.</w:t>
      </w:r>
      <w:r w:rsidRPr="00561AE0">
        <w:rPr>
          <w:rFonts w:asciiTheme="minorBidi" w:hAnsiTheme="minorBidi" w:cstheme="minorBidi"/>
          <w:sz w:val="18"/>
          <w:szCs w:val="18"/>
          <w:lang w:val="fr"/>
        </w:rPr>
        <w:t xml:space="preserve"> </w:t>
      </w:r>
      <w:r w:rsidRPr="00561AE0">
        <w:rPr>
          <w:rFonts w:asciiTheme="minorBidi" w:hAnsiTheme="minorBidi" w:cstheme="minorBidi"/>
          <w:sz w:val="18"/>
          <w:szCs w:val="18"/>
          <w:lang w:val="fr"/>
        </w:rPr>
        <w:tab/>
      </w:r>
      <w:r w:rsidRPr="00561AE0">
        <w:rPr>
          <w:rFonts w:asciiTheme="minorBidi" w:hAnsiTheme="minorBidi" w:cstheme="minorBidi"/>
          <w:color w:val="000000"/>
          <w:sz w:val="18"/>
          <w:szCs w:val="18"/>
          <w:lang w:val="fr"/>
        </w:rPr>
        <w:t>Arménie, Belgique, Bolivie</w:t>
      </w:r>
      <w:r w:rsidR="0063527F">
        <w:rPr>
          <w:rFonts w:asciiTheme="minorBidi" w:hAnsiTheme="minorBidi" w:cstheme="minorBidi"/>
          <w:color w:val="000000"/>
          <w:sz w:val="18"/>
          <w:szCs w:val="18"/>
          <w:lang w:val="fr"/>
        </w:rPr>
        <w:t xml:space="preserve"> (État plurinational de)</w:t>
      </w:r>
      <w:r w:rsidRPr="00561AE0">
        <w:rPr>
          <w:rFonts w:asciiTheme="minorBidi" w:hAnsiTheme="minorBidi" w:cstheme="minorBidi"/>
          <w:color w:val="000000"/>
          <w:sz w:val="18"/>
          <w:szCs w:val="18"/>
          <w:lang w:val="fr"/>
        </w:rPr>
        <w:t>, Bulgarie, Inde, Indonésie, Iran</w:t>
      </w:r>
      <w:r w:rsidR="0063527F">
        <w:rPr>
          <w:rFonts w:asciiTheme="minorBidi" w:hAnsiTheme="minorBidi" w:cstheme="minorBidi"/>
          <w:color w:val="000000"/>
          <w:sz w:val="18"/>
          <w:szCs w:val="18"/>
          <w:lang w:val="fr"/>
        </w:rPr>
        <w:t xml:space="preserve"> (République islamique d’)</w:t>
      </w:r>
      <w:r w:rsidRPr="00561AE0">
        <w:rPr>
          <w:rFonts w:asciiTheme="minorBidi" w:hAnsiTheme="minorBidi" w:cstheme="minorBidi"/>
          <w:color w:val="000000"/>
          <w:sz w:val="18"/>
          <w:szCs w:val="18"/>
          <w:lang w:val="fr"/>
        </w:rPr>
        <w:t xml:space="preserve">, Italie, Mongolie, Maroc, Pérou, Turquie, </w:t>
      </w:r>
      <w:r w:rsidR="00E65FDD" w:rsidRPr="00561AE0">
        <w:rPr>
          <w:rFonts w:asciiTheme="minorBidi" w:hAnsiTheme="minorBidi" w:cstheme="minorBidi"/>
          <w:color w:val="000000"/>
          <w:sz w:val="18"/>
          <w:szCs w:val="18"/>
          <w:lang w:val="fr"/>
        </w:rPr>
        <w:t xml:space="preserve">Ouzbékistan, </w:t>
      </w:r>
      <w:r w:rsidRPr="00561AE0">
        <w:rPr>
          <w:rFonts w:asciiTheme="minorBidi" w:hAnsiTheme="minorBidi" w:cstheme="minorBidi"/>
          <w:color w:val="000000"/>
          <w:sz w:val="18"/>
          <w:szCs w:val="18"/>
          <w:lang w:val="fr"/>
        </w:rPr>
        <w:t>Viet</w:t>
      </w:r>
      <w:r w:rsidR="00715F9E" w:rsidRPr="00561AE0">
        <w:rPr>
          <w:rFonts w:asciiTheme="minorBidi" w:hAnsiTheme="minorBidi" w:cstheme="minorBidi"/>
          <w:color w:val="000000"/>
          <w:sz w:val="18"/>
          <w:szCs w:val="18"/>
          <w:lang w:val="fr"/>
        </w:rPr>
        <w:t xml:space="preserve"> N</w:t>
      </w:r>
      <w:r w:rsidRPr="00561AE0">
        <w:rPr>
          <w:rFonts w:asciiTheme="minorBidi" w:hAnsiTheme="minorBidi" w:cstheme="minorBidi"/>
          <w:color w:val="000000"/>
          <w:sz w:val="18"/>
          <w:szCs w:val="18"/>
          <w:lang w:val="fr"/>
        </w:rPr>
        <w:t>am</w:t>
      </w:r>
      <w:r w:rsidR="006125CD">
        <w:rPr>
          <w:rFonts w:asciiTheme="minorBidi" w:hAnsiTheme="minorBidi" w:cstheme="minorBidi"/>
          <w:color w:val="000000"/>
          <w:sz w:val="18"/>
          <w:szCs w:val="18"/>
          <w:lang w:val="fr"/>
        </w:rPr>
        <w:t>.</w:t>
      </w:r>
    </w:p>
  </w:footnote>
  <w:footnote w:id="13">
    <w:p w14:paraId="798FDC43" w14:textId="10BE2402" w:rsidR="00E3533D" w:rsidRPr="00561AE0" w:rsidRDefault="008D48FA" w:rsidP="00561AE0">
      <w:pPr>
        <w:pStyle w:val="Notedebasdepage"/>
        <w:ind w:left="567" w:hanging="567"/>
        <w:jc w:val="both"/>
        <w:rPr>
          <w:rFonts w:asciiTheme="minorBidi" w:hAnsiTheme="minorBidi" w:cstheme="minorBidi"/>
          <w:sz w:val="18"/>
          <w:szCs w:val="18"/>
        </w:rPr>
      </w:pPr>
      <w:r w:rsidRPr="00561AE0">
        <w:rPr>
          <w:rStyle w:val="Appelnotedebasdep"/>
          <w:rFonts w:asciiTheme="minorBidi" w:hAnsiTheme="minorBidi" w:cstheme="minorBidi"/>
          <w:sz w:val="18"/>
          <w:szCs w:val="18"/>
          <w:vertAlign w:val="baseline"/>
          <w:lang w:val="fr"/>
        </w:rPr>
        <w:footnoteRef/>
      </w:r>
      <w:r w:rsidR="00F9426D">
        <w:rPr>
          <w:rFonts w:asciiTheme="minorBidi" w:hAnsiTheme="minorBidi" w:cstheme="minorBidi"/>
          <w:sz w:val="18"/>
          <w:szCs w:val="18"/>
          <w:lang w:val="fr"/>
        </w:rPr>
        <w:t>.</w:t>
      </w:r>
      <w:r w:rsidRPr="00561AE0">
        <w:rPr>
          <w:rFonts w:asciiTheme="minorBidi" w:hAnsiTheme="minorBidi" w:cstheme="minorBidi"/>
          <w:sz w:val="18"/>
          <w:szCs w:val="18"/>
          <w:lang w:val="fr"/>
        </w:rPr>
        <w:t xml:space="preserve"> </w:t>
      </w:r>
      <w:r w:rsidRPr="00561AE0">
        <w:rPr>
          <w:rFonts w:asciiTheme="minorBidi" w:hAnsiTheme="minorBidi" w:cstheme="minorBidi"/>
          <w:sz w:val="18"/>
          <w:szCs w:val="18"/>
          <w:lang w:val="fr"/>
        </w:rPr>
        <w:tab/>
      </w:r>
      <w:r w:rsidRPr="00561AE0">
        <w:rPr>
          <w:rFonts w:asciiTheme="minorBidi" w:hAnsiTheme="minorBidi" w:cstheme="minorBidi"/>
          <w:color w:val="000000"/>
          <w:sz w:val="18"/>
          <w:szCs w:val="18"/>
          <w:lang w:val="fr"/>
        </w:rPr>
        <w:t>Botswana, Brésil, Burkina Faso, Cabo Verde, Colombie, Congo, République dominicaine, Éthiopie, Allemagne, Ira</w:t>
      </w:r>
      <w:r w:rsidR="0063527F">
        <w:rPr>
          <w:rFonts w:asciiTheme="minorBidi" w:hAnsiTheme="minorBidi" w:cstheme="minorBidi"/>
          <w:color w:val="000000"/>
          <w:sz w:val="18"/>
          <w:szCs w:val="18"/>
          <w:lang w:val="fr"/>
        </w:rPr>
        <w:t>q</w:t>
      </w:r>
      <w:r w:rsidRPr="00561AE0">
        <w:rPr>
          <w:rFonts w:asciiTheme="minorBidi" w:hAnsiTheme="minorBidi" w:cstheme="minorBidi"/>
          <w:color w:val="000000"/>
          <w:sz w:val="18"/>
          <w:szCs w:val="18"/>
          <w:lang w:val="fr"/>
        </w:rPr>
        <w:t xml:space="preserve">, Kirghizstan, Maurice, Monténégro, Nigeria, Norvège, Philippines, Portugal, Samoa, Seychelles, Slovaquie, Suisse, Turkménistan, Ukraine, </w:t>
      </w:r>
      <w:r w:rsidR="00E65FDD" w:rsidRPr="00561AE0">
        <w:rPr>
          <w:rFonts w:asciiTheme="minorBidi" w:hAnsiTheme="minorBidi" w:cstheme="minorBidi"/>
          <w:color w:val="000000"/>
          <w:sz w:val="18"/>
          <w:szCs w:val="18"/>
          <w:lang w:val="fr"/>
        </w:rPr>
        <w:t>Venezuela (République bolivarienne du)</w:t>
      </w:r>
      <w:r w:rsidR="0063527F">
        <w:rPr>
          <w:rFonts w:asciiTheme="minorBidi" w:hAnsiTheme="minorBidi" w:cstheme="minorBidi"/>
          <w:color w:val="000000"/>
          <w:sz w:val="18"/>
          <w:szCs w:val="18"/>
          <w:lang w:val="fr"/>
        </w:rPr>
        <w:t>.</w:t>
      </w:r>
    </w:p>
  </w:footnote>
  <w:footnote w:id="14">
    <w:p w14:paraId="1F01F68B" w14:textId="412CE3B9" w:rsidR="00E3533D" w:rsidRPr="00561AE0" w:rsidRDefault="008D48FA" w:rsidP="00561AE0">
      <w:pPr>
        <w:pStyle w:val="Notedebasdepage"/>
        <w:ind w:left="567" w:hanging="567"/>
        <w:jc w:val="both"/>
        <w:rPr>
          <w:rFonts w:asciiTheme="minorBidi" w:hAnsiTheme="minorBidi" w:cstheme="minorBidi"/>
          <w:sz w:val="18"/>
          <w:szCs w:val="18"/>
        </w:rPr>
      </w:pPr>
      <w:r w:rsidRPr="00561AE0">
        <w:rPr>
          <w:rStyle w:val="Appelnotedebasdep"/>
          <w:rFonts w:asciiTheme="minorBidi" w:hAnsiTheme="minorBidi" w:cstheme="minorBidi"/>
          <w:sz w:val="18"/>
          <w:szCs w:val="18"/>
          <w:vertAlign w:val="baseline"/>
          <w:lang w:val="fr"/>
        </w:rPr>
        <w:footnoteRef/>
      </w:r>
      <w:r w:rsidR="00F9426D">
        <w:rPr>
          <w:rFonts w:asciiTheme="minorBidi" w:hAnsiTheme="minorBidi" w:cstheme="minorBidi"/>
          <w:sz w:val="18"/>
          <w:szCs w:val="18"/>
          <w:lang w:val="fr"/>
        </w:rPr>
        <w:t>.</w:t>
      </w:r>
      <w:r w:rsidRPr="00561AE0">
        <w:rPr>
          <w:rFonts w:asciiTheme="minorBidi" w:hAnsiTheme="minorBidi" w:cstheme="minorBidi"/>
          <w:sz w:val="18"/>
          <w:szCs w:val="18"/>
          <w:lang w:val="fr"/>
        </w:rPr>
        <w:tab/>
      </w:r>
      <w:r w:rsidRPr="00561AE0">
        <w:rPr>
          <w:rFonts w:asciiTheme="minorBidi" w:hAnsiTheme="minorBidi" w:cstheme="minorBidi"/>
          <w:color w:val="000000"/>
          <w:sz w:val="18"/>
          <w:szCs w:val="18"/>
          <w:lang w:val="fr"/>
        </w:rPr>
        <w:t xml:space="preserve">Algérie, Azerbaïdjan, Bosnie-Herzégovine, Cambodge, Chine, Cuba, Croatie, </w:t>
      </w:r>
      <w:r w:rsidR="003D020A" w:rsidRPr="00561AE0">
        <w:rPr>
          <w:rFonts w:asciiTheme="minorBidi" w:hAnsiTheme="minorBidi" w:cstheme="minorBidi"/>
          <w:color w:val="000000"/>
          <w:sz w:val="18"/>
          <w:szCs w:val="18"/>
          <w:lang w:val="fr"/>
        </w:rPr>
        <w:t>T</w:t>
      </w:r>
      <w:r w:rsidR="00693ADD" w:rsidRPr="00561AE0">
        <w:rPr>
          <w:rFonts w:asciiTheme="minorBidi" w:hAnsiTheme="minorBidi" w:cstheme="minorBidi"/>
          <w:color w:val="000000"/>
          <w:sz w:val="18"/>
          <w:szCs w:val="18"/>
          <w:lang w:val="fr"/>
        </w:rPr>
        <w:t>ch</w:t>
      </w:r>
      <w:r w:rsidR="0063527F">
        <w:rPr>
          <w:rFonts w:asciiTheme="minorBidi" w:hAnsiTheme="minorBidi" w:cstheme="minorBidi"/>
          <w:color w:val="000000"/>
          <w:sz w:val="18"/>
          <w:szCs w:val="18"/>
          <w:lang w:val="fr"/>
        </w:rPr>
        <w:t>é</w:t>
      </w:r>
      <w:r w:rsidR="00693ADD" w:rsidRPr="00561AE0">
        <w:rPr>
          <w:rFonts w:asciiTheme="minorBidi" w:hAnsiTheme="minorBidi" w:cstheme="minorBidi"/>
          <w:color w:val="000000"/>
          <w:sz w:val="18"/>
          <w:szCs w:val="18"/>
          <w:lang w:val="fr"/>
        </w:rPr>
        <w:t>qu</w:t>
      </w:r>
      <w:r w:rsidR="0063527F">
        <w:rPr>
          <w:rFonts w:asciiTheme="minorBidi" w:hAnsiTheme="minorBidi" w:cstheme="minorBidi"/>
          <w:color w:val="000000"/>
          <w:sz w:val="18"/>
          <w:szCs w:val="18"/>
          <w:lang w:val="fr"/>
        </w:rPr>
        <w:t>i</w:t>
      </w:r>
      <w:r w:rsidR="00693ADD" w:rsidRPr="00561AE0">
        <w:rPr>
          <w:rFonts w:asciiTheme="minorBidi" w:hAnsiTheme="minorBidi" w:cstheme="minorBidi"/>
          <w:color w:val="000000"/>
          <w:sz w:val="18"/>
          <w:szCs w:val="18"/>
          <w:lang w:val="fr"/>
        </w:rPr>
        <w:t xml:space="preserve">e, République populaire démocratique de Corée, </w:t>
      </w:r>
      <w:r w:rsidRPr="00561AE0">
        <w:rPr>
          <w:rFonts w:asciiTheme="minorBidi" w:hAnsiTheme="minorBidi" w:cstheme="minorBidi"/>
          <w:color w:val="000000"/>
          <w:sz w:val="18"/>
          <w:szCs w:val="18"/>
          <w:lang w:val="fr"/>
        </w:rPr>
        <w:t xml:space="preserve">France, Japon, Kazakhstan, Malawi, Mexique, Oman, République de Corée, </w:t>
      </w:r>
      <w:r w:rsidR="00693ADD" w:rsidRPr="00561AE0">
        <w:rPr>
          <w:rFonts w:asciiTheme="minorBidi" w:hAnsiTheme="minorBidi" w:cstheme="minorBidi"/>
          <w:color w:val="000000"/>
          <w:sz w:val="18"/>
          <w:szCs w:val="18"/>
          <w:lang w:val="fr"/>
        </w:rPr>
        <w:t xml:space="preserve">Arabie </w:t>
      </w:r>
      <w:r w:rsidR="0063527F">
        <w:rPr>
          <w:rFonts w:asciiTheme="minorBidi" w:hAnsiTheme="minorBidi" w:cstheme="minorBidi"/>
          <w:color w:val="000000"/>
          <w:sz w:val="18"/>
          <w:szCs w:val="18"/>
          <w:lang w:val="fr"/>
        </w:rPr>
        <w:t>s</w:t>
      </w:r>
      <w:r w:rsidR="00693ADD" w:rsidRPr="00561AE0">
        <w:rPr>
          <w:rFonts w:asciiTheme="minorBidi" w:hAnsiTheme="minorBidi" w:cstheme="minorBidi"/>
          <w:color w:val="000000"/>
          <w:sz w:val="18"/>
          <w:szCs w:val="18"/>
          <w:lang w:val="fr"/>
        </w:rPr>
        <w:t xml:space="preserve">aoudite, </w:t>
      </w:r>
      <w:r w:rsidRPr="00561AE0">
        <w:rPr>
          <w:rFonts w:asciiTheme="minorBidi" w:hAnsiTheme="minorBidi" w:cstheme="minorBidi"/>
          <w:color w:val="000000"/>
          <w:sz w:val="18"/>
          <w:szCs w:val="18"/>
          <w:lang w:val="fr"/>
        </w:rPr>
        <w:t xml:space="preserve">Serbie, </w:t>
      </w:r>
      <w:r w:rsidR="00693ADD" w:rsidRPr="00561AE0">
        <w:rPr>
          <w:rFonts w:asciiTheme="minorBidi" w:hAnsiTheme="minorBidi" w:cstheme="minorBidi"/>
          <w:color w:val="000000"/>
          <w:sz w:val="18"/>
          <w:szCs w:val="18"/>
          <w:lang w:val="fr"/>
        </w:rPr>
        <w:t xml:space="preserve">Espagne, </w:t>
      </w:r>
      <w:r w:rsidRPr="00561AE0">
        <w:rPr>
          <w:rFonts w:asciiTheme="minorBidi" w:hAnsiTheme="minorBidi" w:cstheme="minorBidi"/>
          <w:color w:val="000000"/>
          <w:sz w:val="18"/>
          <w:szCs w:val="18"/>
          <w:lang w:val="fr"/>
        </w:rPr>
        <w:t>Émirats arabes unis</w:t>
      </w:r>
      <w:r w:rsidR="0063527F">
        <w:rPr>
          <w:rFonts w:asciiTheme="minorBidi" w:hAnsiTheme="minorBidi" w:cstheme="minorBidi"/>
          <w:color w:val="000000"/>
          <w:sz w:val="18"/>
          <w:szCs w:val="18"/>
          <w:lang w:val="fr"/>
        </w:rPr>
        <w:t>.</w:t>
      </w:r>
    </w:p>
  </w:footnote>
  <w:footnote w:id="15">
    <w:p w14:paraId="50129F6C" w14:textId="72290B51" w:rsidR="00715F9E" w:rsidRPr="00561AE0" w:rsidRDefault="00715F9E" w:rsidP="00561AE0">
      <w:pPr>
        <w:pStyle w:val="Notedebasdepage"/>
        <w:ind w:left="567" w:hanging="567"/>
        <w:jc w:val="both"/>
        <w:rPr>
          <w:rFonts w:asciiTheme="minorBidi" w:hAnsiTheme="minorBidi" w:cstheme="minorBidi"/>
          <w:sz w:val="18"/>
          <w:szCs w:val="18"/>
        </w:rPr>
      </w:pPr>
      <w:r w:rsidRPr="00561AE0">
        <w:rPr>
          <w:rStyle w:val="Appelnotedebasdep"/>
          <w:rFonts w:asciiTheme="minorBidi" w:hAnsiTheme="minorBidi" w:cstheme="minorBidi"/>
          <w:sz w:val="18"/>
          <w:szCs w:val="18"/>
          <w:vertAlign w:val="baseline"/>
        </w:rPr>
        <w:footnoteRef/>
      </w:r>
      <w:r w:rsidR="00F9426D">
        <w:rPr>
          <w:rFonts w:asciiTheme="minorBidi" w:hAnsiTheme="minorBidi" w:cstheme="minorBidi"/>
          <w:sz w:val="18"/>
          <w:szCs w:val="18"/>
          <w:lang w:val="fr"/>
        </w:rPr>
        <w:t>.</w:t>
      </w:r>
      <w:r w:rsidRPr="00561AE0">
        <w:rPr>
          <w:rFonts w:asciiTheme="minorBidi" w:hAnsiTheme="minorBidi" w:cstheme="minorBidi"/>
          <w:sz w:val="18"/>
          <w:szCs w:val="18"/>
          <w:lang w:val="fr"/>
        </w:rPr>
        <w:tab/>
      </w:r>
      <w:r w:rsidR="00693ADD" w:rsidRPr="00561AE0">
        <w:rPr>
          <w:rFonts w:asciiTheme="minorBidi" w:hAnsiTheme="minorBidi" w:cstheme="minorBidi"/>
          <w:color w:val="000000"/>
          <w:sz w:val="18"/>
          <w:szCs w:val="18"/>
          <w:lang w:val="fr"/>
        </w:rPr>
        <w:t xml:space="preserve">Algérie, Azerbaïdjan, Bosnie-Herzégovine, Cambodge, Chine, Cuba, Croatie, République tchèque, République populaire démocratique de Corée, France, Japon, Kazakhstan, Malawi, Mexique, Oman, République de Corée, Arabie </w:t>
      </w:r>
      <w:r w:rsidR="0063527F">
        <w:rPr>
          <w:rFonts w:asciiTheme="minorBidi" w:hAnsiTheme="minorBidi" w:cstheme="minorBidi"/>
          <w:color w:val="000000"/>
          <w:sz w:val="18"/>
          <w:szCs w:val="18"/>
          <w:lang w:val="fr"/>
        </w:rPr>
        <w:t>s</w:t>
      </w:r>
      <w:r w:rsidR="00693ADD" w:rsidRPr="00561AE0">
        <w:rPr>
          <w:rFonts w:asciiTheme="minorBidi" w:hAnsiTheme="minorBidi" w:cstheme="minorBidi"/>
          <w:color w:val="000000"/>
          <w:sz w:val="18"/>
          <w:szCs w:val="18"/>
          <w:lang w:val="fr"/>
        </w:rPr>
        <w:t>aoudite, Serbie, Espagne, Émirats arabes unis</w:t>
      </w:r>
      <w:r w:rsidR="0063527F">
        <w:rPr>
          <w:rFonts w:asciiTheme="minorBidi" w:hAnsiTheme="minorBidi" w:cstheme="minorBidi"/>
          <w:color w:val="000000"/>
          <w:sz w:val="18"/>
          <w:szCs w:val="18"/>
          <w:lang w:val="fr"/>
        </w:rPr>
        <w:t>.</w:t>
      </w:r>
    </w:p>
  </w:footnote>
  <w:footnote w:id="16">
    <w:p w14:paraId="769E8A09" w14:textId="3C2F65B9" w:rsidR="00E65FDD" w:rsidRPr="00561AE0" w:rsidRDefault="00E65FDD" w:rsidP="00561AE0">
      <w:pPr>
        <w:pStyle w:val="Notedebasdepage"/>
        <w:ind w:left="567" w:hanging="567"/>
        <w:jc w:val="both"/>
        <w:rPr>
          <w:rFonts w:asciiTheme="minorBidi" w:hAnsiTheme="minorBidi" w:cstheme="minorBidi"/>
          <w:sz w:val="18"/>
          <w:szCs w:val="18"/>
        </w:rPr>
      </w:pPr>
      <w:r w:rsidRPr="00561AE0">
        <w:rPr>
          <w:rStyle w:val="Appelnotedebasdep"/>
          <w:rFonts w:asciiTheme="minorBidi" w:hAnsiTheme="minorBidi" w:cstheme="minorBidi"/>
          <w:sz w:val="18"/>
          <w:szCs w:val="18"/>
          <w:vertAlign w:val="baseline"/>
        </w:rPr>
        <w:footnoteRef/>
      </w:r>
      <w:r w:rsidR="00F9426D">
        <w:rPr>
          <w:rFonts w:asciiTheme="minorBidi" w:hAnsiTheme="minorBidi" w:cstheme="minorBidi"/>
          <w:sz w:val="18"/>
          <w:szCs w:val="18"/>
          <w:lang w:val="fr"/>
        </w:rPr>
        <w:t>.</w:t>
      </w:r>
      <w:r w:rsidR="00693ADD" w:rsidRPr="00561AE0">
        <w:rPr>
          <w:rFonts w:asciiTheme="minorBidi" w:hAnsiTheme="minorBidi" w:cstheme="minorBidi"/>
          <w:sz w:val="18"/>
          <w:szCs w:val="18"/>
          <w:lang w:val="fr"/>
        </w:rPr>
        <w:tab/>
      </w:r>
      <w:r w:rsidR="00693ADD" w:rsidRPr="00561AE0">
        <w:rPr>
          <w:rFonts w:asciiTheme="minorBidi" w:hAnsiTheme="minorBidi" w:cstheme="minorBidi"/>
          <w:color w:val="000000"/>
          <w:sz w:val="18"/>
          <w:szCs w:val="18"/>
          <w:lang w:val="fr"/>
        </w:rPr>
        <w:t>Albanie, Argentine, Bangladesh, République centrafricaine, Finlande, Géorgie, Grèce, Hongrie, Malte, Namibie, Paraguay, Roumanie, Singapour, Tunisie, Zambie.</w:t>
      </w:r>
    </w:p>
  </w:footnote>
  <w:footnote w:id="17">
    <w:p w14:paraId="0C9BC29E" w14:textId="2BA41DD6" w:rsidR="00E65FDD" w:rsidRPr="00561AE0" w:rsidRDefault="00E65FDD" w:rsidP="00561AE0">
      <w:pPr>
        <w:pStyle w:val="Notedebasdepage"/>
        <w:ind w:left="567" w:hanging="567"/>
        <w:jc w:val="both"/>
        <w:rPr>
          <w:rFonts w:asciiTheme="minorBidi" w:hAnsiTheme="minorBidi" w:cstheme="minorBidi"/>
          <w:sz w:val="18"/>
          <w:szCs w:val="18"/>
        </w:rPr>
      </w:pPr>
      <w:r w:rsidRPr="00561AE0">
        <w:rPr>
          <w:rStyle w:val="Appelnotedebasdep"/>
          <w:rFonts w:asciiTheme="minorBidi" w:hAnsiTheme="minorBidi" w:cstheme="minorBidi"/>
          <w:sz w:val="18"/>
          <w:szCs w:val="18"/>
          <w:vertAlign w:val="baseline"/>
        </w:rPr>
        <w:footnoteRef/>
      </w:r>
      <w:r w:rsidR="00F9426D">
        <w:rPr>
          <w:rFonts w:asciiTheme="minorBidi" w:hAnsiTheme="minorBidi" w:cstheme="minorBidi"/>
          <w:sz w:val="18"/>
          <w:szCs w:val="18"/>
          <w:lang w:val="fr"/>
        </w:rPr>
        <w:t>.</w:t>
      </w:r>
      <w:r w:rsidR="00693ADD" w:rsidRPr="00561AE0">
        <w:rPr>
          <w:rFonts w:asciiTheme="minorBidi" w:hAnsiTheme="minorBidi" w:cstheme="minorBidi"/>
          <w:sz w:val="18"/>
          <w:szCs w:val="18"/>
          <w:lang w:val="fr"/>
        </w:rPr>
        <w:tab/>
      </w:r>
      <w:r w:rsidR="00693ADD" w:rsidRPr="00561AE0">
        <w:rPr>
          <w:rFonts w:asciiTheme="minorBidi" w:hAnsiTheme="minorBidi" w:cstheme="minorBidi"/>
          <w:color w:val="000000"/>
          <w:sz w:val="18"/>
          <w:szCs w:val="18"/>
          <w:lang w:val="fr"/>
        </w:rPr>
        <w:t>Arménie, Belgique, Bolivie (État plurinational de), Bulgarie, Éthiopie, Inde, Indonésie, Iran (République islamique d</w:t>
      </w:r>
      <w:r w:rsidR="0063527F">
        <w:rPr>
          <w:rFonts w:asciiTheme="minorBidi" w:hAnsiTheme="minorBidi" w:cstheme="minorBidi"/>
          <w:color w:val="000000"/>
          <w:sz w:val="18"/>
          <w:szCs w:val="18"/>
          <w:lang w:val="fr"/>
        </w:rPr>
        <w:t>’</w:t>
      </w:r>
      <w:r w:rsidR="00693ADD" w:rsidRPr="00561AE0">
        <w:rPr>
          <w:rFonts w:asciiTheme="minorBidi" w:hAnsiTheme="minorBidi" w:cstheme="minorBidi"/>
          <w:color w:val="000000"/>
          <w:sz w:val="18"/>
          <w:szCs w:val="18"/>
          <w:lang w:val="fr"/>
        </w:rPr>
        <w:t>), Italie, Kenya, République démocratique populaire lao, Malaisie, Mongolie, Maroc, Nigéria, Panama, Pérou, Philippines, Portugal, République arabe syrienne, Tadjikistan, Thaïlande, Turquie, Turkménistan, Ukraine, Ouzbékistan, Viet Nam.</w:t>
      </w:r>
    </w:p>
  </w:footnote>
  <w:footnote w:id="18">
    <w:p w14:paraId="780B100F" w14:textId="17823C40" w:rsidR="00E65FDD" w:rsidRPr="00561AE0" w:rsidRDefault="00E65FDD" w:rsidP="00561AE0">
      <w:pPr>
        <w:pStyle w:val="Notedebasdepage"/>
        <w:ind w:left="567" w:hanging="567"/>
        <w:jc w:val="both"/>
        <w:rPr>
          <w:rFonts w:asciiTheme="minorBidi" w:hAnsiTheme="minorBidi" w:cstheme="minorBidi"/>
          <w:sz w:val="18"/>
          <w:szCs w:val="18"/>
        </w:rPr>
      </w:pPr>
      <w:r w:rsidRPr="00561AE0">
        <w:rPr>
          <w:rStyle w:val="Appelnotedebasdep"/>
          <w:rFonts w:asciiTheme="minorBidi" w:hAnsiTheme="minorBidi" w:cstheme="minorBidi"/>
          <w:sz w:val="18"/>
          <w:szCs w:val="18"/>
          <w:vertAlign w:val="baseline"/>
        </w:rPr>
        <w:footnoteRef/>
      </w:r>
      <w:r w:rsidR="00F9426D">
        <w:rPr>
          <w:rFonts w:asciiTheme="minorBidi" w:hAnsiTheme="minorBidi" w:cstheme="minorBidi"/>
          <w:sz w:val="18"/>
          <w:szCs w:val="18"/>
          <w:lang w:val="fr"/>
        </w:rPr>
        <w:t>.</w:t>
      </w:r>
      <w:r w:rsidR="00693ADD" w:rsidRPr="00561AE0">
        <w:rPr>
          <w:rFonts w:asciiTheme="minorBidi" w:hAnsiTheme="minorBidi" w:cstheme="minorBidi"/>
          <w:sz w:val="18"/>
          <w:szCs w:val="18"/>
          <w:lang w:val="fr"/>
        </w:rPr>
        <w:tab/>
      </w:r>
      <w:r w:rsidR="00693ADD" w:rsidRPr="00561AE0">
        <w:rPr>
          <w:rFonts w:asciiTheme="minorBidi" w:hAnsiTheme="minorBidi" w:cstheme="minorBidi"/>
          <w:color w:val="000000"/>
          <w:sz w:val="18"/>
          <w:szCs w:val="18"/>
          <w:lang w:val="fr"/>
        </w:rPr>
        <w:t>Arménie, Belgique, Bolivie (État plurinational de), Bulgarie, Éthiopie, Inde, Indonésie, Iran (République islamique d'), Italie, Kenya, République démocratique populaire lao, Malaisie, Mongolie, Maroc, Nigéria, Panama, Pérou, Philippines, Portugal, République arabe syrienne, Tadjikistan, Thaïlande, Turquie, Turkménistan, Ukraine, Ouzbékistan, Viet Nam.</w:t>
      </w:r>
    </w:p>
  </w:footnote>
  <w:footnote w:id="19">
    <w:p w14:paraId="4D5E855E" w14:textId="52195483" w:rsidR="00E65FDD" w:rsidRPr="00561AE0" w:rsidRDefault="00E65FDD" w:rsidP="00561AE0">
      <w:pPr>
        <w:pStyle w:val="Notedebasdepage"/>
        <w:ind w:left="567" w:hanging="567"/>
        <w:jc w:val="both"/>
        <w:rPr>
          <w:rFonts w:asciiTheme="minorBidi" w:hAnsiTheme="minorBidi" w:cstheme="minorBidi"/>
          <w:sz w:val="18"/>
          <w:szCs w:val="18"/>
        </w:rPr>
      </w:pPr>
      <w:r w:rsidRPr="00561AE0">
        <w:rPr>
          <w:rStyle w:val="Appelnotedebasdep"/>
          <w:rFonts w:asciiTheme="minorBidi" w:hAnsiTheme="minorBidi" w:cstheme="minorBidi"/>
          <w:sz w:val="18"/>
          <w:szCs w:val="18"/>
          <w:vertAlign w:val="baseline"/>
        </w:rPr>
        <w:footnoteRef/>
      </w:r>
      <w:r w:rsidR="00830A0D">
        <w:rPr>
          <w:rFonts w:asciiTheme="minorBidi" w:hAnsiTheme="minorBidi" w:cstheme="minorBidi"/>
          <w:sz w:val="18"/>
          <w:szCs w:val="18"/>
          <w:lang w:val="fr"/>
        </w:rPr>
        <w:t>.</w:t>
      </w:r>
      <w:r w:rsidR="00693ADD" w:rsidRPr="00561AE0">
        <w:rPr>
          <w:rFonts w:asciiTheme="minorBidi" w:hAnsiTheme="minorBidi" w:cstheme="minorBidi"/>
          <w:sz w:val="18"/>
          <w:szCs w:val="18"/>
          <w:lang w:val="fr"/>
        </w:rPr>
        <w:tab/>
      </w:r>
      <w:r w:rsidR="00693ADD" w:rsidRPr="00561AE0">
        <w:rPr>
          <w:rFonts w:asciiTheme="minorBidi" w:hAnsiTheme="minorBidi" w:cstheme="minorBidi"/>
          <w:color w:val="000000"/>
          <w:sz w:val="18"/>
          <w:szCs w:val="18"/>
          <w:lang w:val="fr"/>
        </w:rPr>
        <w:t>Bahamas, Bahreïn, Cameroun, Danemark, Djibouti, Équateur, Estonie, Ira</w:t>
      </w:r>
      <w:r w:rsidR="0063527F">
        <w:rPr>
          <w:rFonts w:asciiTheme="minorBidi" w:hAnsiTheme="minorBidi" w:cstheme="minorBidi"/>
          <w:color w:val="000000"/>
          <w:sz w:val="18"/>
          <w:szCs w:val="18"/>
          <w:lang w:val="fr"/>
        </w:rPr>
        <w:t>q</w:t>
      </w:r>
      <w:r w:rsidR="00693ADD" w:rsidRPr="00561AE0">
        <w:rPr>
          <w:rFonts w:asciiTheme="minorBidi" w:hAnsiTheme="minorBidi" w:cstheme="minorBidi"/>
          <w:color w:val="000000"/>
          <w:sz w:val="18"/>
          <w:szCs w:val="18"/>
          <w:lang w:val="fr"/>
        </w:rPr>
        <w:t>, Jamaïque, Kirghizistan, Madagascar, Mali, Mauritanie, Micronésie (États fédérés de), Monténégro, Myanmar, Pays-Bas, Palestine, Pologne, Sénégal, Seychelles, Sri Lanka, Soudan, Timor-Leste, Venezuela (République bolivarienne du), Yémen.</w:t>
      </w:r>
    </w:p>
  </w:footnote>
  <w:footnote w:id="20">
    <w:p w14:paraId="72009307" w14:textId="0FCB19BF" w:rsidR="00E65FDD" w:rsidRPr="00561AE0" w:rsidRDefault="00E65FDD" w:rsidP="00561AE0">
      <w:pPr>
        <w:pStyle w:val="Notedebasdepage"/>
        <w:ind w:left="567" w:hanging="567"/>
        <w:jc w:val="both"/>
        <w:rPr>
          <w:rFonts w:asciiTheme="minorBidi" w:hAnsiTheme="minorBidi" w:cstheme="minorBidi"/>
          <w:sz w:val="18"/>
          <w:szCs w:val="18"/>
        </w:rPr>
      </w:pPr>
      <w:r w:rsidRPr="00561AE0">
        <w:rPr>
          <w:rStyle w:val="Appelnotedebasdep"/>
          <w:rFonts w:asciiTheme="minorBidi" w:hAnsiTheme="minorBidi" w:cstheme="minorBidi"/>
          <w:sz w:val="18"/>
          <w:szCs w:val="18"/>
          <w:vertAlign w:val="baseline"/>
        </w:rPr>
        <w:footnoteRef/>
      </w:r>
      <w:r w:rsidR="00830A0D">
        <w:rPr>
          <w:rFonts w:asciiTheme="minorBidi" w:hAnsiTheme="minorBidi" w:cstheme="minorBidi"/>
          <w:sz w:val="18"/>
          <w:szCs w:val="18"/>
          <w:lang w:val="fr"/>
        </w:rPr>
        <w:t>.</w:t>
      </w:r>
      <w:r w:rsidR="0010178F" w:rsidRPr="00561AE0">
        <w:rPr>
          <w:rFonts w:asciiTheme="minorBidi" w:hAnsiTheme="minorBidi" w:cstheme="minorBidi"/>
          <w:sz w:val="18"/>
          <w:szCs w:val="18"/>
          <w:lang w:val="fr"/>
        </w:rPr>
        <w:tab/>
      </w:r>
      <w:r w:rsidR="0010178F" w:rsidRPr="00561AE0">
        <w:rPr>
          <w:rFonts w:asciiTheme="minorBidi" w:hAnsiTheme="minorBidi" w:cstheme="minorBidi"/>
          <w:color w:val="000000"/>
          <w:sz w:val="18"/>
          <w:szCs w:val="18"/>
          <w:lang w:val="fr"/>
        </w:rPr>
        <w:t>Algérie, Azerbaïdjan, Bangladesh, Bosnie-Herzégovine, Cambodge, Chine, Cuba, Tchéquie, République populaire démocratique de Corée, Égypte, France, Géorgie, Grèce, Hongrie, Japon, Kazakhstan, République de Corée, Arabie saoudite, Tunisie, Émirats arabes unis, Zambie.</w:t>
      </w:r>
    </w:p>
  </w:footnote>
  <w:footnote w:id="21">
    <w:p w14:paraId="1DBB41EE" w14:textId="18D58BA5" w:rsidR="00E65FDD" w:rsidRPr="00561AE0" w:rsidRDefault="00E65FDD" w:rsidP="00561AE0">
      <w:pPr>
        <w:pStyle w:val="Notedebasdepage"/>
        <w:ind w:left="567" w:hanging="567"/>
        <w:jc w:val="both"/>
        <w:rPr>
          <w:rFonts w:asciiTheme="minorBidi" w:hAnsiTheme="minorBidi" w:cstheme="minorBidi"/>
          <w:sz w:val="18"/>
          <w:szCs w:val="18"/>
        </w:rPr>
      </w:pPr>
      <w:r w:rsidRPr="00561AE0">
        <w:rPr>
          <w:rStyle w:val="Appelnotedebasdep"/>
          <w:rFonts w:asciiTheme="minorBidi" w:hAnsiTheme="minorBidi" w:cstheme="minorBidi"/>
          <w:sz w:val="18"/>
          <w:szCs w:val="18"/>
          <w:vertAlign w:val="baseline"/>
        </w:rPr>
        <w:footnoteRef/>
      </w:r>
      <w:r w:rsidR="00830A0D">
        <w:rPr>
          <w:rFonts w:asciiTheme="minorBidi" w:hAnsiTheme="minorBidi" w:cstheme="minorBidi"/>
          <w:sz w:val="18"/>
          <w:szCs w:val="18"/>
          <w:lang w:val="fr"/>
        </w:rPr>
        <w:t>.</w:t>
      </w:r>
      <w:r w:rsidR="003D020A" w:rsidRPr="00561AE0">
        <w:rPr>
          <w:rFonts w:asciiTheme="minorBidi" w:hAnsiTheme="minorBidi" w:cstheme="minorBidi"/>
          <w:sz w:val="18"/>
          <w:szCs w:val="18"/>
          <w:lang w:val="fr"/>
        </w:rPr>
        <w:tab/>
      </w:r>
      <w:r w:rsidR="003D020A" w:rsidRPr="00561AE0">
        <w:rPr>
          <w:rFonts w:asciiTheme="minorBidi" w:hAnsiTheme="minorBidi" w:cstheme="minorBidi"/>
          <w:color w:val="000000"/>
          <w:sz w:val="18"/>
          <w:szCs w:val="18"/>
          <w:lang w:val="fr"/>
        </w:rPr>
        <w:t>Algérie, Azerbaïdjan, Bosnie-Herzégovine, Cambodge, Chine, Cuba, Tchéquie, République populaire démocratique de Corée, Égypte, France, Géorgie, Grèce, Hongrie, Japon, Kazakhstan, République de Corée, Arabie saoudite, Tunisie, Émirats arabes unis, Zambie.</w:t>
      </w:r>
    </w:p>
  </w:footnote>
  <w:footnote w:id="22">
    <w:p w14:paraId="29B04386" w14:textId="535AE692" w:rsidR="00E65FDD" w:rsidRPr="00561AE0" w:rsidRDefault="00E65FDD" w:rsidP="00561AE0">
      <w:pPr>
        <w:pStyle w:val="Notedebasdepage"/>
        <w:ind w:left="567" w:hanging="567"/>
        <w:jc w:val="both"/>
        <w:rPr>
          <w:rFonts w:asciiTheme="minorBidi" w:hAnsiTheme="minorBidi" w:cstheme="minorBidi"/>
          <w:sz w:val="18"/>
          <w:szCs w:val="18"/>
        </w:rPr>
      </w:pPr>
      <w:r w:rsidRPr="00561AE0">
        <w:rPr>
          <w:rStyle w:val="Appelnotedebasdep"/>
          <w:rFonts w:asciiTheme="minorBidi" w:hAnsiTheme="minorBidi" w:cstheme="minorBidi"/>
          <w:sz w:val="18"/>
          <w:szCs w:val="18"/>
          <w:vertAlign w:val="baseline"/>
        </w:rPr>
        <w:footnoteRef/>
      </w:r>
      <w:r w:rsidR="00830A0D">
        <w:rPr>
          <w:rFonts w:asciiTheme="minorBidi" w:hAnsiTheme="minorBidi" w:cstheme="minorBidi"/>
          <w:sz w:val="18"/>
          <w:szCs w:val="18"/>
          <w:lang w:val="fr"/>
        </w:rPr>
        <w:t>.</w:t>
      </w:r>
      <w:r w:rsidR="003D020A" w:rsidRPr="00561AE0">
        <w:rPr>
          <w:rFonts w:asciiTheme="minorBidi" w:hAnsiTheme="minorBidi" w:cstheme="minorBidi"/>
          <w:sz w:val="18"/>
          <w:szCs w:val="18"/>
          <w:lang w:val="fr"/>
        </w:rPr>
        <w:tab/>
      </w:r>
      <w:r w:rsidR="003D020A" w:rsidRPr="00561AE0">
        <w:rPr>
          <w:rFonts w:asciiTheme="minorBidi" w:hAnsiTheme="minorBidi" w:cstheme="minorBidi"/>
          <w:color w:val="000000"/>
          <w:sz w:val="18"/>
          <w:szCs w:val="18"/>
          <w:lang w:val="fr"/>
        </w:rPr>
        <w:t>Afghanistan, Albanie, Bélarus, Chili, Colombie, Croatie, Allemagne, Grenade, Guatemala, Haïti, Jordanie, Koweït, Malawi, Mozambique, Oman, Serbie, Slovénie, Espagne.</w:t>
      </w:r>
    </w:p>
  </w:footnote>
  <w:footnote w:id="23">
    <w:p w14:paraId="20425530" w14:textId="30CC0127" w:rsidR="0010178F" w:rsidRPr="00561AE0" w:rsidRDefault="0010178F" w:rsidP="00561AE0">
      <w:pPr>
        <w:pStyle w:val="Notedebasdepage"/>
        <w:ind w:left="567" w:hanging="567"/>
        <w:jc w:val="both"/>
        <w:rPr>
          <w:rFonts w:asciiTheme="minorBidi" w:hAnsiTheme="minorBidi" w:cstheme="minorBidi"/>
          <w:sz w:val="18"/>
          <w:szCs w:val="18"/>
        </w:rPr>
      </w:pPr>
      <w:r w:rsidRPr="00561AE0">
        <w:rPr>
          <w:rStyle w:val="Appelnotedebasdep"/>
          <w:rFonts w:asciiTheme="minorBidi" w:hAnsiTheme="minorBidi" w:cstheme="minorBidi"/>
          <w:sz w:val="18"/>
          <w:szCs w:val="18"/>
          <w:vertAlign w:val="baseline"/>
        </w:rPr>
        <w:footnoteRef/>
      </w:r>
      <w:r w:rsidR="00830A0D">
        <w:rPr>
          <w:rFonts w:asciiTheme="minorBidi" w:hAnsiTheme="minorBidi" w:cstheme="minorBidi"/>
          <w:sz w:val="18"/>
          <w:szCs w:val="18"/>
          <w:lang w:val="fr"/>
        </w:rPr>
        <w:t>.</w:t>
      </w:r>
      <w:r w:rsidR="003D020A" w:rsidRPr="00561AE0">
        <w:rPr>
          <w:rFonts w:asciiTheme="minorBidi" w:hAnsiTheme="minorBidi" w:cstheme="minorBidi"/>
          <w:sz w:val="18"/>
          <w:szCs w:val="18"/>
          <w:lang w:val="fr"/>
        </w:rPr>
        <w:tab/>
      </w:r>
      <w:r w:rsidR="003D020A" w:rsidRPr="00561AE0">
        <w:rPr>
          <w:rFonts w:asciiTheme="minorBidi" w:hAnsiTheme="minorBidi" w:cstheme="minorBidi"/>
          <w:color w:val="000000"/>
          <w:sz w:val="18"/>
          <w:szCs w:val="18"/>
          <w:lang w:val="fr"/>
        </w:rPr>
        <w:t>Arménie, Belgique, Éthiopie, Iran (République islamique d</w:t>
      </w:r>
      <w:r w:rsidR="0063527F">
        <w:rPr>
          <w:rFonts w:asciiTheme="minorBidi" w:hAnsiTheme="minorBidi" w:cstheme="minorBidi"/>
          <w:color w:val="000000"/>
          <w:sz w:val="18"/>
          <w:szCs w:val="18"/>
          <w:lang w:val="fr"/>
        </w:rPr>
        <w:t>’</w:t>
      </w:r>
      <w:r w:rsidR="003D020A" w:rsidRPr="00561AE0">
        <w:rPr>
          <w:rFonts w:asciiTheme="minorBidi" w:hAnsiTheme="minorBidi" w:cstheme="minorBidi"/>
          <w:color w:val="000000"/>
          <w:sz w:val="18"/>
          <w:szCs w:val="18"/>
          <w:lang w:val="fr"/>
        </w:rPr>
        <w:t xml:space="preserve">), Inde, Italie, Madagascar, Malaisie, Mali, Malte, Mauritanie, Maroc, Pays-Bas, Nigéria, Panama, Philippines, Soudan, Tadjikistan, Thaïlande, Ukraine, Ouzbékistan, Venezuela (République bolivarienne </w:t>
      </w:r>
      <w:r w:rsidR="00830A0D">
        <w:rPr>
          <w:rFonts w:asciiTheme="minorBidi" w:hAnsiTheme="minorBidi" w:cstheme="minorBidi"/>
          <w:color w:val="000000"/>
          <w:sz w:val="18"/>
          <w:szCs w:val="18"/>
          <w:lang w:val="fr"/>
        </w:rPr>
        <w:t>du</w:t>
      </w:r>
      <w:r w:rsidR="003D020A" w:rsidRPr="00561AE0">
        <w:rPr>
          <w:rFonts w:asciiTheme="minorBidi" w:hAnsiTheme="minorBidi" w:cstheme="minorBidi"/>
          <w:color w:val="000000"/>
          <w:sz w:val="18"/>
          <w:szCs w:val="18"/>
          <w:lang w:val="fr"/>
        </w:rPr>
        <w:t>).</w:t>
      </w:r>
    </w:p>
  </w:footnote>
  <w:footnote w:id="24">
    <w:p w14:paraId="55B04259" w14:textId="54B17818" w:rsidR="0010178F" w:rsidRPr="00561AE0" w:rsidRDefault="0010178F" w:rsidP="00561AE0">
      <w:pPr>
        <w:pStyle w:val="Notedebasdepage"/>
        <w:ind w:left="567" w:hanging="567"/>
        <w:jc w:val="both"/>
        <w:rPr>
          <w:rFonts w:asciiTheme="minorBidi" w:hAnsiTheme="minorBidi" w:cstheme="minorBidi"/>
          <w:sz w:val="18"/>
          <w:szCs w:val="18"/>
          <w:lang w:val="fr"/>
        </w:rPr>
      </w:pPr>
      <w:r w:rsidRPr="00561AE0">
        <w:rPr>
          <w:rStyle w:val="Appelnotedebasdep"/>
          <w:rFonts w:asciiTheme="minorBidi" w:hAnsiTheme="minorBidi" w:cstheme="minorBidi"/>
          <w:sz w:val="18"/>
          <w:szCs w:val="18"/>
          <w:vertAlign w:val="baseline"/>
        </w:rPr>
        <w:footnoteRef/>
      </w:r>
      <w:r w:rsidR="00830A0D">
        <w:rPr>
          <w:rFonts w:asciiTheme="minorBidi" w:hAnsiTheme="minorBidi" w:cstheme="minorBidi"/>
          <w:sz w:val="18"/>
          <w:szCs w:val="18"/>
          <w:lang w:val="fr"/>
        </w:rPr>
        <w:t>.</w:t>
      </w:r>
      <w:r w:rsidR="003D020A" w:rsidRPr="00561AE0">
        <w:rPr>
          <w:rFonts w:asciiTheme="minorBidi" w:hAnsiTheme="minorBidi" w:cstheme="minorBidi"/>
          <w:sz w:val="18"/>
          <w:szCs w:val="18"/>
          <w:lang w:val="fr"/>
        </w:rPr>
        <w:tab/>
      </w:r>
      <w:r w:rsidR="003D020A" w:rsidRPr="00561AE0">
        <w:rPr>
          <w:rFonts w:asciiTheme="minorBidi" w:hAnsiTheme="minorBidi" w:cstheme="minorBidi"/>
          <w:color w:val="000000"/>
          <w:sz w:val="18"/>
          <w:szCs w:val="18"/>
          <w:lang w:val="fr"/>
        </w:rPr>
        <w:t xml:space="preserve">Trois groupes différents d'États soumissionnaires </w:t>
      </w:r>
      <w:r w:rsidR="0063527F">
        <w:rPr>
          <w:rFonts w:asciiTheme="minorBidi" w:hAnsiTheme="minorBidi" w:cstheme="minorBidi"/>
          <w:color w:val="000000"/>
          <w:sz w:val="18"/>
          <w:szCs w:val="18"/>
          <w:lang w:val="fr"/>
        </w:rPr>
        <w:t>–</w:t>
      </w:r>
      <w:r w:rsidR="003D020A" w:rsidRPr="00561AE0">
        <w:rPr>
          <w:rFonts w:asciiTheme="minorBidi" w:hAnsiTheme="minorBidi" w:cstheme="minorBidi"/>
          <w:color w:val="000000"/>
          <w:sz w:val="18"/>
          <w:szCs w:val="18"/>
          <w:lang w:val="fr"/>
        </w:rPr>
        <w:t xml:space="preserve"> l</w:t>
      </w:r>
      <w:r w:rsidR="0063527F">
        <w:rPr>
          <w:rFonts w:asciiTheme="minorBidi" w:hAnsiTheme="minorBidi" w:cstheme="minorBidi"/>
          <w:color w:val="000000"/>
          <w:sz w:val="18"/>
          <w:szCs w:val="18"/>
          <w:lang w:val="fr"/>
        </w:rPr>
        <w:t>’</w:t>
      </w:r>
      <w:r w:rsidR="003D020A" w:rsidRPr="00561AE0">
        <w:rPr>
          <w:rFonts w:asciiTheme="minorBidi" w:hAnsiTheme="minorBidi" w:cstheme="minorBidi"/>
          <w:color w:val="000000"/>
          <w:sz w:val="18"/>
          <w:szCs w:val="18"/>
          <w:lang w:val="fr"/>
        </w:rPr>
        <w:t>Azerbaïdjan et la Turquie (trois dossiers), la République islamique d</w:t>
      </w:r>
      <w:r w:rsidR="005D2844">
        <w:rPr>
          <w:rFonts w:asciiTheme="minorBidi" w:hAnsiTheme="minorBidi" w:cstheme="minorBidi"/>
          <w:color w:val="000000"/>
          <w:sz w:val="18"/>
          <w:szCs w:val="18"/>
          <w:lang w:val="fr"/>
        </w:rPr>
        <w:t>’</w:t>
      </w:r>
      <w:r w:rsidR="003D020A" w:rsidRPr="00561AE0">
        <w:rPr>
          <w:rFonts w:asciiTheme="minorBidi" w:hAnsiTheme="minorBidi" w:cstheme="minorBidi"/>
          <w:color w:val="000000"/>
          <w:sz w:val="18"/>
          <w:szCs w:val="18"/>
          <w:lang w:val="fr"/>
        </w:rPr>
        <w:t>Iran et le Tadjikistan (deux dossiers), les Émirats arabes unis, Oman et l</w:t>
      </w:r>
      <w:r w:rsidR="0063527F">
        <w:rPr>
          <w:rFonts w:asciiTheme="minorBidi" w:hAnsiTheme="minorBidi" w:cstheme="minorBidi"/>
          <w:color w:val="000000"/>
          <w:sz w:val="18"/>
          <w:szCs w:val="18"/>
          <w:lang w:val="fr"/>
        </w:rPr>
        <w:t>’</w:t>
      </w:r>
      <w:r w:rsidR="003D020A" w:rsidRPr="00561AE0">
        <w:rPr>
          <w:rFonts w:asciiTheme="minorBidi" w:hAnsiTheme="minorBidi" w:cstheme="minorBidi"/>
          <w:color w:val="000000"/>
          <w:sz w:val="18"/>
          <w:szCs w:val="18"/>
          <w:lang w:val="fr"/>
        </w:rPr>
        <w:t xml:space="preserve">Arabie saoudite (deux dossiers) </w:t>
      </w:r>
      <w:r w:rsidR="0063527F">
        <w:rPr>
          <w:rFonts w:asciiTheme="minorBidi" w:hAnsiTheme="minorBidi" w:cstheme="minorBidi"/>
          <w:color w:val="000000"/>
          <w:sz w:val="18"/>
          <w:szCs w:val="18"/>
          <w:lang w:val="fr"/>
        </w:rPr>
        <w:t>–</w:t>
      </w:r>
      <w:r w:rsidR="003D020A" w:rsidRPr="00561AE0">
        <w:rPr>
          <w:rFonts w:asciiTheme="minorBidi" w:hAnsiTheme="minorBidi" w:cstheme="minorBidi"/>
          <w:color w:val="000000"/>
          <w:sz w:val="18"/>
          <w:szCs w:val="18"/>
          <w:lang w:val="fr"/>
        </w:rPr>
        <w:t xml:space="preserve"> ont</w:t>
      </w:r>
      <w:r w:rsidR="0063527F">
        <w:rPr>
          <w:rFonts w:asciiTheme="minorBidi" w:hAnsiTheme="minorBidi" w:cstheme="minorBidi"/>
          <w:color w:val="000000"/>
          <w:sz w:val="18"/>
          <w:szCs w:val="18"/>
          <w:lang w:val="fr"/>
        </w:rPr>
        <w:t xml:space="preserve"> </w:t>
      </w:r>
      <w:r w:rsidR="003D020A" w:rsidRPr="00561AE0">
        <w:rPr>
          <w:rFonts w:asciiTheme="minorBidi" w:hAnsiTheme="minorBidi" w:cstheme="minorBidi"/>
          <w:color w:val="000000"/>
          <w:sz w:val="18"/>
          <w:szCs w:val="18"/>
          <w:lang w:val="fr"/>
        </w:rPr>
        <w:t xml:space="preserve">soumis plusieurs dossiers multinationaux pour le cycle 2022. Compte tenu du plafond </w:t>
      </w:r>
      <w:r w:rsidR="006125CD" w:rsidRPr="00561AE0">
        <w:rPr>
          <w:rFonts w:asciiTheme="minorBidi" w:hAnsiTheme="minorBidi" w:cstheme="minorBidi"/>
          <w:color w:val="000000"/>
          <w:sz w:val="18"/>
          <w:szCs w:val="18"/>
          <w:lang w:val="fr"/>
        </w:rPr>
        <w:t>d</w:t>
      </w:r>
      <w:r w:rsidR="006125CD">
        <w:rPr>
          <w:rFonts w:asciiTheme="minorBidi" w:hAnsiTheme="minorBidi" w:cstheme="minorBidi"/>
          <w:color w:val="000000"/>
          <w:sz w:val="18"/>
          <w:szCs w:val="18"/>
          <w:lang w:val="fr"/>
        </w:rPr>
        <w:t>’</w:t>
      </w:r>
      <w:r w:rsidR="006125CD" w:rsidRPr="00561AE0">
        <w:rPr>
          <w:rFonts w:asciiTheme="minorBidi" w:hAnsiTheme="minorBidi" w:cstheme="minorBidi"/>
          <w:color w:val="000000"/>
          <w:sz w:val="18"/>
          <w:szCs w:val="18"/>
          <w:lang w:val="fr"/>
        </w:rPr>
        <w:t xml:space="preserve">au </w:t>
      </w:r>
      <w:r w:rsidR="003D020A" w:rsidRPr="00561AE0">
        <w:rPr>
          <w:rFonts w:asciiTheme="minorBidi" w:hAnsiTheme="minorBidi" w:cstheme="minorBidi"/>
          <w:color w:val="000000"/>
          <w:sz w:val="18"/>
          <w:szCs w:val="18"/>
          <w:lang w:val="fr"/>
        </w:rPr>
        <w:t xml:space="preserve">moins 55 dossiers par cycle (décision </w:t>
      </w:r>
      <w:hyperlink r:id="rId12" w:history="1">
        <w:r w:rsidR="003D020A" w:rsidRPr="00561AE0">
          <w:rPr>
            <w:rStyle w:val="Lienhypertexte"/>
            <w:rFonts w:asciiTheme="minorBidi" w:hAnsiTheme="minorBidi" w:cstheme="minorBidi"/>
            <w:sz w:val="18"/>
            <w:szCs w:val="18"/>
            <w:lang w:val="fr"/>
          </w:rPr>
          <w:t>15.COM 9</w:t>
        </w:r>
      </w:hyperlink>
      <w:r w:rsidR="003D020A" w:rsidRPr="00561AE0">
        <w:rPr>
          <w:rFonts w:asciiTheme="minorBidi" w:hAnsiTheme="minorBidi" w:cstheme="minorBidi"/>
          <w:color w:val="000000"/>
          <w:sz w:val="18"/>
          <w:szCs w:val="18"/>
          <w:lang w:val="fr"/>
        </w:rPr>
        <w:t>)</w:t>
      </w:r>
      <w:r w:rsidR="006125CD">
        <w:rPr>
          <w:rFonts w:asciiTheme="minorBidi" w:hAnsiTheme="minorBidi" w:cstheme="minorBidi"/>
          <w:color w:val="000000"/>
          <w:sz w:val="18"/>
          <w:szCs w:val="18"/>
          <w:lang w:val="fr"/>
        </w:rPr>
        <w:t xml:space="preserve"> et dans un effort pour maintenir le nombre de dossiers traités en dessous de 60</w:t>
      </w:r>
      <w:r w:rsidR="003D020A" w:rsidRPr="00561AE0">
        <w:rPr>
          <w:rFonts w:asciiTheme="minorBidi" w:hAnsiTheme="minorBidi" w:cstheme="minorBidi"/>
          <w:color w:val="000000"/>
          <w:sz w:val="18"/>
          <w:szCs w:val="18"/>
          <w:lang w:val="fr"/>
        </w:rPr>
        <w:t>, chaque groupe d</w:t>
      </w:r>
      <w:r w:rsidR="0063527F">
        <w:rPr>
          <w:rFonts w:asciiTheme="minorBidi" w:hAnsiTheme="minorBidi" w:cstheme="minorBidi"/>
          <w:color w:val="000000"/>
          <w:sz w:val="18"/>
          <w:szCs w:val="18"/>
          <w:lang w:val="fr"/>
        </w:rPr>
        <w:t>’</w:t>
      </w:r>
      <w:r w:rsidR="003D020A" w:rsidRPr="00561AE0">
        <w:rPr>
          <w:rFonts w:asciiTheme="minorBidi" w:hAnsiTheme="minorBidi" w:cstheme="minorBidi"/>
          <w:color w:val="000000"/>
          <w:sz w:val="18"/>
          <w:szCs w:val="18"/>
          <w:lang w:val="fr"/>
        </w:rPr>
        <w:t xml:space="preserve">États soumissionnaires a été invité à identifier un dossier multinational à inclure dans le cycle 2022. </w:t>
      </w:r>
      <w:r w:rsidR="006125CD">
        <w:rPr>
          <w:rFonts w:asciiTheme="minorBidi" w:hAnsiTheme="minorBidi" w:cstheme="minorBidi"/>
          <w:color w:val="000000"/>
          <w:sz w:val="18"/>
          <w:szCs w:val="18"/>
          <w:lang w:val="fr"/>
        </w:rPr>
        <w:t>Cet exercice signifia que q</w:t>
      </w:r>
      <w:r w:rsidR="003D020A" w:rsidRPr="00561AE0">
        <w:rPr>
          <w:rFonts w:asciiTheme="minorBidi" w:hAnsiTheme="minorBidi" w:cstheme="minorBidi"/>
          <w:color w:val="000000"/>
          <w:sz w:val="18"/>
          <w:szCs w:val="18"/>
          <w:lang w:val="fr"/>
        </w:rPr>
        <w:t>uatre dossiers multinationaux n</w:t>
      </w:r>
      <w:r w:rsidR="0063527F">
        <w:rPr>
          <w:rFonts w:asciiTheme="minorBidi" w:hAnsiTheme="minorBidi" w:cstheme="minorBidi"/>
          <w:color w:val="000000"/>
          <w:sz w:val="18"/>
          <w:szCs w:val="18"/>
          <w:lang w:val="fr"/>
        </w:rPr>
        <w:t>’</w:t>
      </w:r>
      <w:r w:rsidR="003D020A" w:rsidRPr="00561AE0">
        <w:rPr>
          <w:rFonts w:asciiTheme="minorBidi" w:hAnsiTheme="minorBidi" w:cstheme="minorBidi"/>
          <w:color w:val="000000"/>
          <w:sz w:val="18"/>
          <w:szCs w:val="18"/>
          <w:lang w:val="fr"/>
        </w:rPr>
        <w:t xml:space="preserve">ont pas pu être traités et ont été ajoutés </w:t>
      </w:r>
      <w:r w:rsidR="004128AA" w:rsidRPr="00561AE0">
        <w:rPr>
          <w:rFonts w:asciiTheme="minorBidi" w:hAnsiTheme="minorBidi" w:cstheme="minorBidi"/>
          <w:color w:val="000000"/>
          <w:sz w:val="18"/>
          <w:szCs w:val="18"/>
          <w:lang w:val="fr"/>
        </w:rPr>
        <w:t>aux dossiers en attente (« </w:t>
      </w:r>
      <w:proofErr w:type="spellStart"/>
      <w:r w:rsidR="004128AA" w:rsidRPr="00561AE0">
        <w:rPr>
          <w:rFonts w:asciiTheme="minorBidi" w:hAnsiTheme="minorBidi" w:cstheme="minorBidi"/>
          <w:color w:val="000000"/>
          <w:sz w:val="18"/>
          <w:szCs w:val="18"/>
          <w:lang w:val="fr"/>
        </w:rPr>
        <w:t>backlog</w:t>
      </w:r>
      <w:proofErr w:type="spellEnd"/>
      <w:r w:rsidR="004128AA" w:rsidRPr="00561AE0">
        <w:rPr>
          <w:rFonts w:asciiTheme="minorBidi" w:hAnsiTheme="minorBidi" w:cstheme="minorBidi"/>
          <w:color w:val="000000"/>
          <w:sz w:val="18"/>
          <w:szCs w:val="18"/>
          <w:lang w:val="fr"/>
        </w:rPr>
        <w:t> »)</w:t>
      </w:r>
      <w:r w:rsidR="003D020A" w:rsidRPr="00561AE0">
        <w:rPr>
          <w:rFonts w:asciiTheme="minorBidi" w:hAnsiTheme="minorBidi" w:cstheme="minorBidi"/>
          <w:color w:val="000000"/>
          <w:sz w:val="18"/>
          <w:szCs w:val="18"/>
          <w:lang w:val="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04D6E" w14:textId="5818BE58" w:rsidR="00B6167A" w:rsidRPr="002B7155" w:rsidRDefault="008D48FA" w:rsidP="007E4E37">
    <w:pPr>
      <w:pStyle w:val="En-tte"/>
      <w:rPr>
        <w:rFonts w:ascii="Arial" w:hAnsi="Arial" w:cs="Arial"/>
      </w:rPr>
    </w:pPr>
    <w:r>
      <w:rPr>
        <w:rFonts w:ascii="Arial" w:hAnsi="Arial" w:cs="Arial"/>
        <w:sz w:val="20"/>
        <w:szCs w:val="20"/>
        <w:lang w:val="fr"/>
      </w:rPr>
      <w:t>LHE/22/17.COM</w:t>
    </w:r>
    <w:r w:rsidR="00BB2536">
      <w:rPr>
        <w:rFonts w:ascii="Arial" w:hAnsi="Arial" w:cs="Arial"/>
        <w:sz w:val="20"/>
        <w:szCs w:val="20"/>
        <w:lang w:val="fr"/>
      </w:rPr>
      <w:t xml:space="preserve"> WG</w:t>
    </w:r>
    <w:r>
      <w:rPr>
        <w:rFonts w:ascii="Arial" w:hAnsi="Arial" w:cs="Arial"/>
        <w:sz w:val="20"/>
        <w:szCs w:val="20"/>
        <w:lang w:val="fr"/>
      </w:rPr>
      <w:t xml:space="preserve">/10 – page </w:t>
    </w:r>
    <w:r>
      <w:rPr>
        <w:rStyle w:val="Numrodepage"/>
        <w:rFonts w:ascii="Arial" w:hAnsi="Arial" w:cs="Arial"/>
        <w:sz w:val="20"/>
        <w:szCs w:val="20"/>
        <w:lang w:val="fr"/>
      </w:rPr>
      <w:fldChar w:fldCharType="begin"/>
    </w:r>
    <w:r>
      <w:rPr>
        <w:rStyle w:val="Numrodepage"/>
        <w:rFonts w:ascii="Arial" w:hAnsi="Arial" w:cs="Arial"/>
        <w:sz w:val="20"/>
        <w:szCs w:val="20"/>
        <w:lang w:val="fr"/>
      </w:rPr>
      <w:instrText xml:space="preserve"> PAGE </w:instrText>
    </w:r>
    <w:r>
      <w:rPr>
        <w:rStyle w:val="Numrodepage"/>
        <w:rFonts w:ascii="Arial" w:hAnsi="Arial" w:cs="Arial"/>
        <w:sz w:val="20"/>
        <w:szCs w:val="20"/>
        <w:lang w:val="fr"/>
      </w:rPr>
      <w:fldChar w:fldCharType="separate"/>
    </w:r>
    <w:r>
      <w:rPr>
        <w:rStyle w:val="Numrodepage"/>
        <w:rFonts w:ascii="Arial" w:hAnsi="Arial" w:cs="Arial"/>
        <w:noProof/>
        <w:sz w:val="20"/>
        <w:szCs w:val="20"/>
        <w:lang w:val="fr"/>
      </w:rPr>
      <w:t>2</w:t>
    </w:r>
    <w:r>
      <w:rPr>
        <w:rStyle w:val="Numrodepage"/>
        <w:rFonts w:ascii="Arial" w:hAnsi="Arial" w:cs="Arial"/>
        <w:sz w:val="20"/>
        <w:szCs w:val="20"/>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AC341" w14:textId="2C437855" w:rsidR="00B6167A" w:rsidRPr="007E4E37" w:rsidRDefault="008D48FA" w:rsidP="007250E3">
    <w:pPr>
      <w:pStyle w:val="En-tte"/>
      <w:ind w:left="2544" w:firstLine="3693"/>
      <w:jc w:val="right"/>
      <w:rPr>
        <w:rFonts w:ascii="Arial" w:hAnsi="Arial" w:cs="Arial"/>
      </w:rPr>
    </w:pPr>
    <w:r>
      <w:rPr>
        <w:rFonts w:ascii="Arial" w:hAnsi="Arial" w:cs="Arial"/>
        <w:sz w:val="20"/>
        <w:szCs w:val="20"/>
        <w:lang w:val="fr"/>
      </w:rPr>
      <w:t>LHE/2</w:t>
    </w:r>
    <w:r w:rsidR="00A4430F">
      <w:rPr>
        <w:rFonts w:ascii="Arial" w:hAnsi="Arial" w:cs="Arial"/>
        <w:sz w:val="20"/>
        <w:szCs w:val="20"/>
        <w:lang w:val="fr"/>
      </w:rPr>
      <w:t>2</w:t>
    </w:r>
    <w:r>
      <w:rPr>
        <w:rFonts w:ascii="Arial" w:hAnsi="Arial" w:cs="Arial"/>
        <w:sz w:val="20"/>
        <w:szCs w:val="20"/>
        <w:lang w:val="fr"/>
      </w:rPr>
      <w:t xml:space="preserve">/17.COM WG/10 – page </w:t>
    </w:r>
    <w:r>
      <w:rPr>
        <w:rStyle w:val="Numrodepage"/>
        <w:rFonts w:ascii="Arial" w:hAnsi="Arial" w:cs="Arial"/>
        <w:sz w:val="20"/>
        <w:szCs w:val="20"/>
        <w:lang w:val="fr"/>
      </w:rPr>
      <w:fldChar w:fldCharType="begin"/>
    </w:r>
    <w:r>
      <w:rPr>
        <w:rStyle w:val="Numrodepage"/>
        <w:rFonts w:ascii="Arial" w:hAnsi="Arial" w:cs="Arial"/>
        <w:sz w:val="20"/>
        <w:szCs w:val="20"/>
        <w:lang w:val="fr"/>
      </w:rPr>
      <w:instrText xml:space="preserve"> PAGE </w:instrText>
    </w:r>
    <w:r>
      <w:rPr>
        <w:rStyle w:val="Numrodepage"/>
        <w:rFonts w:ascii="Arial" w:hAnsi="Arial" w:cs="Arial"/>
        <w:sz w:val="20"/>
        <w:szCs w:val="20"/>
        <w:lang w:val="fr"/>
      </w:rPr>
      <w:fldChar w:fldCharType="separate"/>
    </w:r>
    <w:r>
      <w:rPr>
        <w:rStyle w:val="Numrodepage"/>
        <w:rFonts w:ascii="Arial" w:hAnsi="Arial" w:cs="Arial"/>
        <w:noProof/>
        <w:sz w:val="20"/>
        <w:szCs w:val="20"/>
        <w:lang w:val="fr"/>
      </w:rPr>
      <w:t>3</w:t>
    </w:r>
    <w:r>
      <w:rPr>
        <w:rStyle w:val="Numrodepage"/>
        <w:rFonts w:ascii="Arial" w:hAnsi="Arial" w:cs="Arial"/>
        <w:sz w:val="20"/>
        <w:szCs w:val="20"/>
        <w:lang w:val="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84E9" w14:textId="4507FC06" w:rsidR="005F6415" w:rsidRDefault="00757846" w:rsidP="00757846">
    <w:pPr>
      <w:pStyle w:val="En-tte"/>
      <w:spacing w:after="120"/>
    </w:pPr>
    <w:r>
      <w:rPr>
        <w:rFonts w:ascii="Arial" w:hAnsi="Arial" w:cs="Arial"/>
        <w:b/>
        <w:noProof/>
        <w:sz w:val="44"/>
        <w:szCs w:val="44"/>
        <w:lang w:val="pt-PT"/>
      </w:rPr>
      <w:drawing>
        <wp:anchor distT="0" distB="0" distL="114300" distR="114300" simplePos="0" relativeHeight="251659264" behindDoc="1" locked="0" layoutInCell="1" allowOverlap="1" wp14:anchorId="5E5C4DBE" wp14:editId="165D32C9">
          <wp:simplePos x="0" y="0"/>
          <wp:positionH relativeFrom="column">
            <wp:posOffset>3175</wp:posOffset>
          </wp:positionH>
          <wp:positionV relativeFrom="paragraph">
            <wp:posOffset>6985</wp:posOffset>
          </wp:positionV>
          <wp:extent cx="1657350" cy="139192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38E1EB" w14:textId="77777777" w:rsidR="005F6415" w:rsidRPr="00561AE0" w:rsidRDefault="008D48FA" w:rsidP="005F6415">
    <w:pPr>
      <w:pStyle w:val="En-tte"/>
      <w:spacing w:after="520"/>
      <w:jc w:val="right"/>
      <w:rPr>
        <w:rFonts w:ascii="Arial" w:eastAsiaTheme="minorEastAsia" w:hAnsi="Arial" w:cs="Arial"/>
        <w:b/>
        <w:sz w:val="44"/>
        <w:szCs w:val="44"/>
        <w:lang w:val="pt-PT"/>
      </w:rPr>
    </w:pPr>
    <w:r w:rsidRPr="00561AE0">
      <w:rPr>
        <w:rFonts w:ascii="Arial" w:hAnsi="Arial" w:cs="Arial"/>
        <w:b/>
        <w:bCs/>
        <w:sz w:val="44"/>
        <w:szCs w:val="44"/>
        <w:lang w:val="pt-PT"/>
      </w:rPr>
      <w:t>17 COM WG</w:t>
    </w:r>
  </w:p>
  <w:p w14:paraId="563FD733" w14:textId="77777777" w:rsidR="005F6415" w:rsidRPr="00561AE0" w:rsidRDefault="008D48FA" w:rsidP="00757846">
    <w:pPr>
      <w:spacing w:after="0"/>
      <w:jc w:val="right"/>
      <w:rPr>
        <w:rFonts w:ascii="Arial" w:eastAsiaTheme="minorEastAsia" w:hAnsi="Arial" w:cs="Arial"/>
        <w:b/>
        <w:szCs w:val="22"/>
        <w:lang w:val="pt-PT"/>
      </w:rPr>
    </w:pPr>
    <w:r w:rsidRPr="00561AE0">
      <w:rPr>
        <w:rFonts w:ascii="Arial" w:hAnsi="Arial" w:cs="Arial"/>
        <w:b/>
        <w:bCs/>
        <w:szCs w:val="22"/>
        <w:lang w:val="pt-PT"/>
      </w:rPr>
      <w:t>LHE/22/17.COM WG/10</w:t>
    </w:r>
  </w:p>
  <w:p w14:paraId="6A2FAFC5" w14:textId="4521218B" w:rsidR="005F6415" w:rsidRPr="00561AE0" w:rsidRDefault="008D48FA" w:rsidP="005F6415">
    <w:pPr>
      <w:spacing w:after="0"/>
      <w:jc w:val="right"/>
      <w:rPr>
        <w:rFonts w:ascii="Arial" w:eastAsiaTheme="minorEastAsia" w:hAnsi="Arial" w:cs="Arial"/>
        <w:b/>
        <w:szCs w:val="22"/>
        <w:lang w:val="fr-FR"/>
      </w:rPr>
    </w:pPr>
    <w:r w:rsidRPr="00830A0D">
      <w:rPr>
        <w:rFonts w:ascii="Arial" w:hAnsi="Arial" w:cs="Arial"/>
        <w:b/>
        <w:bCs/>
        <w:szCs w:val="22"/>
        <w:lang w:val="fr"/>
      </w:rPr>
      <w:t xml:space="preserve">Paris, le </w:t>
    </w:r>
    <w:r w:rsidR="002B0997" w:rsidRPr="00561AE0">
      <w:rPr>
        <w:rFonts w:ascii="Arial" w:hAnsi="Arial" w:cs="Arial"/>
        <w:b/>
        <w:bCs/>
        <w:szCs w:val="22"/>
        <w:lang w:val="fr"/>
      </w:rPr>
      <w:t>1</w:t>
    </w:r>
    <w:r w:rsidR="002B0997">
      <w:rPr>
        <w:rFonts w:ascii="Arial" w:hAnsi="Arial" w:cs="Arial"/>
        <w:b/>
        <w:bCs/>
        <w:szCs w:val="22"/>
        <w:lang w:val="fr"/>
      </w:rPr>
      <w:t>4</w:t>
    </w:r>
    <w:r w:rsidR="002B0997" w:rsidRPr="00830A0D">
      <w:rPr>
        <w:rFonts w:ascii="Arial" w:hAnsi="Arial" w:cs="Arial"/>
        <w:b/>
        <w:bCs/>
        <w:szCs w:val="22"/>
        <w:lang w:val="fr"/>
      </w:rPr>
      <w:t> </w:t>
    </w:r>
    <w:r w:rsidRPr="00830A0D">
      <w:rPr>
        <w:rFonts w:ascii="Arial" w:hAnsi="Arial" w:cs="Arial"/>
        <w:b/>
        <w:bCs/>
        <w:szCs w:val="22"/>
        <w:lang w:val="fr"/>
      </w:rPr>
      <w:t>avril 2022</w:t>
    </w:r>
  </w:p>
  <w:p w14:paraId="4276F627" w14:textId="1FA5797B" w:rsidR="00B6167A" w:rsidRPr="00561AE0" w:rsidRDefault="008D48FA" w:rsidP="0055063A">
    <w:pPr>
      <w:jc w:val="right"/>
      <w:rPr>
        <w:rFonts w:ascii="Arial" w:hAnsi="Arial" w:cs="Arial"/>
        <w:b/>
        <w:szCs w:val="22"/>
        <w:lang w:val="fr-FR"/>
      </w:rPr>
    </w:pPr>
    <w:r>
      <w:rPr>
        <w:rFonts w:ascii="Arial" w:hAnsi="Arial" w:cs="Arial"/>
        <w:b/>
        <w:bCs/>
        <w:szCs w:val="22"/>
        <w:lang w:val="fr"/>
      </w:rPr>
      <w:t xml:space="preserve">Original : </w:t>
    </w:r>
    <w:r w:rsidR="00BB2536">
      <w:rPr>
        <w:rFonts w:ascii="Arial" w:hAnsi="Arial" w:cs="Arial"/>
        <w:b/>
        <w:bCs/>
        <w:szCs w:val="22"/>
        <w:lang w:val="fr"/>
      </w:rPr>
      <w:t>a</w:t>
    </w:r>
    <w:r>
      <w:rPr>
        <w:rFonts w:ascii="Arial" w:hAnsi="Arial" w:cs="Arial"/>
        <w:b/>
        <w:bCs/>
        <w:szCs w:val="22"/>
        <w:lang w:val="fr"/>
      </w:rPr>
      <w:t>nglais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5710" w14:textId="2A321596" w:rsidR="00804DA8" w:rsidRPr="007E4E37" w:rsidRDefault="008D48FA" w:rsidP="00804DA8">
    <w:pPr>
      <w:pStyle w:val="En-tte"/>
      <w:ind w:left="2544" w:firstLine="3693"/>
      <w:jc w:val="right"/>
      <w:rPr>
        <w:rFonts w:ascii="Arial" w:hAnsi="Arial" w:cs="Arial"/>
      </w:rPr>
    </w:pPr>
    <w:r>
      <w:rPr>
        <w:rFonts w:ascii="Arial" w:hAnsi="Arial" w:cs="Arial"/>
        <w:sz w:val="20"/>
        <w:szCs w:val="20"/>
        <w:lang w:val="fr"/>
      </w:rPr>
      <w:t>LHE/2</w:t>
    </w:r>
    <w:r w:rsidR="00F9426D">
      <w:rPr>
        <w:rFonts w:ascii="Arial" w:hAnsi="Arial" w:cs="Arial"/>
        <w:sz w:val="20"/>
        <w:szCs w:val="20"/>
        <w:lang w:val="fr"/>
      </w:rPr>
      <w:t>2</w:t>
    </w:r>
    <w:r>
      <w:rPr>
        <w:rFonts w:ascii="Arial" w:hAnsi="Arial" w:cs="Arial"/>
        <w:sz w:val="20"/>
        <w:szCs w:val="20"/>
        <w:lang w:val="fr"/>
      </w:rPr>
      <w:t xml:space="preserve">/17.COM WG/10 – page </w:t>
    </w:r>
    <w:r>
      <w:rPr>
        <w:rStyle w:val="Numrodepage"/>
        <w:rFonts w:ascii="Arial" w:hAnsi="Arial" w:cs="Arial"/>
        <w:sz w:val="20"/>
        <w:szCs w:val="20"/>
        <w:lang w:val="fr"/>
      </w:rPr>
      <w:fldChar w:fldCharType="begin"/>
    </w:r>
    <w:r>
      <w:rPr>
        <w:rStyle w:val="Numrodepage"/>
        <w:rFonts w:ascii="Arial" w:hAnsi="Arial" w:cs="Arial"/>
        <w:sz w:val="20"/>
        <w:szCs w:val="20"/>
        <w:lang w:val="fr"/>
      </w:rPr>
      <w:instrText xml:space="preserve"> PAGE </w:instrText>
    </w:r>
    <w:r>
      <w:rPr>
        <w:rStyle w:val="Numrodepage"/>
        <w:rFonts w:ascii="Arial" w:hAnsi="Arial" w:cs="Arial"/>
        <w:sz w:val="20"/>
        <w:szCs w:val="20"/>
        <w:lang w:val="fr"/>
      </w:rPr>
      <w:fldChar w:fldCharType="separate"/>
    </w:r>
    <w:r>
      <w:rPr>
        <w:rStyle w:val="Numrodepage"/>
        <w:rFonts w:ascii="Arial" w:hAnsi="Arial" w:cs="Arial"/>
        <w:sz w:val="20"/>
        <w:szCs w:val="20"/>
        <w:lang w:val="fr"/>
      </w:rPr>
      <w:t>11</w:t>
    </w:r>
    <w:r>
      <w:rPr>
        <w:rStyle w:val="Numrodepage"/>
        <w:rFonts w:ascii="Arial" w:hAnsi="Arial" w:cs="Arial"/>
        <w:sz w:val="20"/>
        <w:szCs w:val="20"/>
        <w:lang w:val="fr"/>
      </w:rPr>
      <w:fldChar w:fldCharType="end"/>
    </w:r>
  </w:p>
  <w:p w14:paraId="6080E1C5" w14:textId="77777777" w:rsidR="00804DA8" w:rsidRPr="005F6415" w:rsidRDefault="00804DA8" w:rsidP="0055063A">
    <w:pPr>
      <w:jc w:val="right"/>
      <w:rPr>
        <w:rFonts w:ascii="Arial" w:hAnsi="Arial" w:cs="Arial"/>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7DAD"/>
    <w:multiLevelType w:val="hybridMultilevel"/>
    <w:tmpl w:val="6AF266F8"/>
    <w:lvl w:ilvl="0" w:tplc="4168A190">
      <w:start w:val="1"/>
      <w:numFmt w:val="bullet"/>
      <w:lvlText w:val=""/>
      <w:lvlJc w:val="left"/>
      <w:pPr>
        <w:ind w:left="1287" w:hanging="360"/>
      </w:pPr>
      <w:rPr>
        <w:rFonts w:ascii="Symbol" w:hAnsi="Symbol" w:hint="default"/>
      </w:rPr>
    </w:lvl>
    <w:lvl w:ilvl="1" w:tplc="92F4331E">
      <w:start w:val="1"/>
      <w:numFmt w:val="bullet"/>
      <w:lvlText w:val="o"/>
      <w:lvlJc w:val="left"/>
      <w:pPr>
        <w:ind w:left="2007" w:hanging="360"/>
      </w:pPr>
      <w:rPr>
        <w:rFonts w:ascii="Courier New" w:hAnsi="Courier New" w:cs="Courier New" w:hint="default"/>
      </w:rPr>
    </w:lvl>
    <w:lvl w:ilvl="2" w:tplc="7F36A01E" w:tentative="1">
      <w:start w:val="1"/>
      <w:numFmt w:val="bullet"/>
      <w:lvlText w:val=""/>
      <w:lvlJc w:val="left"/>
      <w:pPr>
        <w:ind w:left="2727" w:hanging="360"/>
      </w:pPr>
      <w:rPr>
        <w:rFonts w:ascii="Wingdings" w:hAnsi="Wingdings" w:hint="default"/>
      </w:rPr>
    </w:lvl>
    <w:lvl w:ilvl="3" w:tplc="097668CE" w:tentative="1">
      <w:start w:val="1"/>
      <w:numFmt w:val="bullet"/>
      <w:lvlText w:val=""/>
      <w:lvlJc w:val="left"/>
      <w:pPr>
        <w:ind w:left="3447" w:hanging="360"/>
      </w:pPr>
      <w:rPr>
        <w:rFonts w:ascii="Symbol" w:hAnsi="Symbol" w:hint="default"/>
      </w:rPr>
    </w:lvl>
    <w:lvl w:ilvl="4" w:tplc="17AEE65C" w:tentative="1">
      <w:start w:val="1"/>
      <w:numFmt w:val="bullet"/>
      <w:lvlText w:val="o"/>
      <w:lvlJc w:val="left"/>
      <w:pPr>
        <w:ind w:left="4167" w:hanging="360"/>
      </w:pPr>
      <w:rPr>
        <w:rFonts w:ascii="Courier New" w:hAnsi="Courier New" w:cs="Courier New" w:hint="default"/>
      </w:rPr>
    </w:lvl>
    <w:lvl w:ilvl="5" w:tplc="13422A82" w:tentative="1">
      <w:start w:val="1"/>
      <w:numFmt w:val="bullet"/>
      <w:lvlText w:val=""/>
      <w:lvlJc w:val="left"/>
      <w:pPr>
        <w:ind w:left="4887" w:hanging="360"/>
      </w:pPr>
      <w:rPr>
        <w:rFonts w:ascii="Wingdings" w:hAnsi="Wingdings" w:hint="default"/>
      </w:rPr>
    </w:lvl>
    <w:lvl w:ilvl="6" w:tplc="041AA534" w:tentative="1">
      <w:start w:val="1"/>
      <w:numFmt w:val="bullet"/>
      <w:lvlText w:val=""/>
      <w:lvlJc w:val="left"/>
      <w:pPr>
        <w:ind w:left="5607" w:hanging="360"/>
      </w:pPr>
      <w:rPr>
        <w:rFonts w:ascii="Symbol" w:hAnsi="Symbol" w:hint="default"/>
      </w:rPr>
    </w:lvl>
    <w:lvl w:ilvl="7" w:tplc="41ACEED6" w:tentative="1">
      <w:start w:val="1"/>
      <w:numFmt w:val="bullet"/>
      <w:lvlText w:val="o"/>
      <w:lvlJc w:val="left"/>
      <w:pPr>
        <w:ind w:left="6327" w:hanging="360"/>
      </w:pPr>
      <w:rPr>
        <w:rFonts w:ascii="Courier New" w:hAnsi="Courier New" w:cs="Courier New" w:hint="default"/>
      </w:rPr>
    </w:lvl>
    <w:lvl w:ilvl="8" w:tplc="42D8C31E" w:tentative="1">
      <w:start w:val="1"/>
      <w:numFmt w:val="bullet"/>
      <w:lvlText w:val=""/>
      <w:lvlJc w:val="left"/>
      <w:pPr>
        <w:ind w:left="7047" w:hanging="360"/>
      </w:pPr>
      <w:rPr>
        <w:rFonts w:ascii="Wingdings" w:hAnsi="Wingdings" w:hint="default"/>
      </w:rPr>
    </w:lvl>
  </w:abstractNum>
  <w:abstractNum w:abstractNumId="1" w15:restartNumberingAfterBreak="0">
    <w:nsid w:val="0AC96B9B"/>
    <w:multiLevelType w:val="hybridMultilevel"/>
    <w:tmpl w:val="AAE24B18"/>
    <w:lvl w:ilvl="0" w:tplc="85300CDC">
      <w:start w:val="1"/>
      <w:numFmt w:val="lowerLetter"/>
      <w:lvlText w:val="%1)"/>
      <w:lvlJc w:val="left"/>
      <w:pPr>
        <w:ind w:left="720" w:hanging="360"/>
      </w:pPr>
    </w:lvl>
    <w:lvl w:ilvl="1" w:tplc="C9648F42">
      <w:start w:val="1"/>
      <w:numFmt w:val="bullet"/>
      <w:lvlText w:val=""/>
      <w:lvlJc w:val="left"/>
      <w:pPr>
        <w:ind w:left="1440" w:hanging="360"/>
      </w:pPr>
      <w:rPr>
        <w:rFonts w:ascii="Symbol" w:hAnsi="Symbol" w:hint="default"/>
      </w:rPr>
    </w:lvl>
    <w:lvl w:ilvl="2" w:tplc="4D728998">
      <w:start w:val="1"/>
      <w:numFmt w:val="lowerRoman"/>
      <w:lvlText w:val="%3."/>
      <w:lvlJc w:val="right"/>
      <w:pPr>
        <w:ind w:left="2160" w:hanging="180"/>
      </w:pPr>
    </w:lvl>
    <w:lvl w:ilvl="3" w:tplc="1570CF28">
      <w:start w:val="1"/>
      <w:numFmt w:val="decimal"/>
      <w:lvlText w:val="%4."/>
      <w:lvlJc w:val="left"/>
      <w:pPr>
        <w:ind w:left="2880" w:hanging="360"/>
      </w:pPr>
    </w:lvl>
    <w:lvl w:ilvl="4" w:tplc="AF363A52">
      <w:start w:val="1"/>
      <w:numFmt w:val="lowerLetter"/>
      <w:lvlText w:val="%5."/>
      <w:lvlJc w:val="left"/>
      <w:pPr>
        <w:ind w:left="3600" w:hanging="360"/>
      </w:pPr>
    </w:lvl>
    <w:lvl w:ilvl="5" w:tplc="E0C2F714">
      <w:start w:val="1"/>
      <w:numFmt w:val="lowerRoman"/>
      <w:lvlText w:val="%6."/>
      <w:lvlJc w:val="right"/>
      <w:pPr>
        <w:ind w:left="4320" w:hanging="180"/>
      </w:pPr>
    </w:lvl>
    <w:lvl w:ilvl="6" w:tplc="70CCDBC4">
      <w:start w:val="1"/>
      <w:numFmt w:val="decimal"/>
      <w:lvlText w:val="%7."/>
      <w:lvlJc w:val="left"/>
      <w:pPr>
        <w:ind w:left="5040" w:hanging="360"/>
      </w:pPr>
    </w:lvl>
    <w:lvl w:ilvl="7" w:tplc="832A6E52">
      <w:start w:val="1"/>
      <w:numFmt w:val="lowerLetter"/>
      <w:lvlText w:val="%8."/>
      <w:lvlJc w:val="left"/>
      <w:pPr>
        <w:ind w:left="5760" w:hanging="360"/>
      </w:pPr>
    </w:lvl>
    <w:lvl w:ilvl="8" w:tplc="D7465848">
      <w:start w:val="1"/>
      <w:numFmt w:val="lowerRoman"/>
      <w:lvlText w:val="%9."/>
      <w:lvlJc w:val="right"/>
      <w:pPr>
        <w:ind w:left="6480" w:hanging="180"/>
      </w:pPr>
    </w:lvl>
  </w:abstractNum>
  <w:abstractNum w:abstractNumId="2" w15:restartNumberingAfterBreak="0">
    <w:nsid w:val="100B1C9C"/>
    <w:multiLevelType w:val="hybridMultilevel"/>
    <w:tmpl w:val="F60E309C"/>
    <w:lvl w:ilvl="0" w:tplc="C5642774">
      <w:start w:val="1"/>
      <w:numFmt w:val="bullet"/>
      <w:pStyle w:val="TIRETbul1cm"/>
      <w:lvlText w:val=""/>
      <w:lvlJc w:val="left"/>
      <w:pPr>
        <w:tabs>
          <w:tab w:val="num" w:pos="360"/>
        </w:tabs>
        <w:ind w:left="284" w:hanging="284"/>
      </w:pPr>
      <w:rPr>
        <w:rFonts w:ascii="Symbol" w:hAnsi="Symbol" w:hint="default"/>
      </w:rPr>
    </w:lvl>
    <w:lvl w:ilvl="1" w:tplc="00F04E6C">
      <w:start w:val="1"/>
      <w:numFmt w:val="decimal"/>
      <w:lvlText w:val="%2."/>
      <w:lvlJc w:val="left"/>
      <w:pPr>
        <w:tabs>
          <w:tab w:val="num" w:pos="1157"/>
        </w:tabs>
        <w:ind w:left="1157" w:hanging="360"/>
      </w:pPr>
      <w:rPr>
        <w:rFonts w:hint="default"/>
      </w:rPr>
    </w:lvl>
    <w:lvl w:ilvl="2" w:tplc="02DE7C4A" w:tentative="1">
      <w:start w:val="1"/>
      <w:numFmt w:val="bullet"/>
      <w:lvlText w:val=""/>
      <w:lvlJc w:val="left"/>
      <w:pPr>
        <w:tabs>
          <w:tab w:val="num" w:pos="1877"/>
        </w:tabs>
        <w:ind w:left="1877" w:hanging="360"/>
      </w:pPr>
      <w:rPr>
        <w:rFonts w:ascii="Wingdings" w:hAnsi="Wingdings" w:hint="default"/>
      </w:rPr>
    </w:lvl>
    <w:lvl w:ilvl="3" w:tplc="99108AA6" w:tentative="1">
      <w:start w:val="1"/>
      <w:numFmt w:val="bullet"/>
      <w:lvlText w:val=""/>
      <w:lvlJc w:val="left"/>
      <w:pPr>
        <w:tabs>
          <w:tab w:val="num" w:pos="2597"/>
        </w:tabs>
        <w:ind w:left="2597" w:hanging="360"/>
      </w:pPr>
      <w:rPr>
        <w:rFonts w:ascii="Symbol" w:hAnsi="Symbol" w:hint="default"/>
      </w:rPr>
    </w:lvl>
    <w:lvl w:ilvl="4" w:tplc="78B2BE9C" w:tentative="1">
      <w:start w:val="1"/>
      <w:numFmt w:val="bullet"/>
      <w:lvlText w:val="o"/>
      <w:lvlJc w:val="left"/>
      <w:pPr>
        <w:tabs>
          <w:tab w:val="num" w:pos="3317"/>
        </w:tabs>
        <w:ind w:left="3317" w:hanging="360"/>
      </w:pPr>
      <w:rPr>
        <w:rFonts w:ascii="Courier New" w:hAnsi="Courier New" w:hint="default"/>
      </w:rPr>
    </w:lvl>
    <w:lvl w:ilvl="5" w:tplc="E9308752" w:tentative="1">
      <w:start w:val="1"/>
      <w:numFmt w:val="bullet"/>
      <w:lvlText w:val=""/>
      <w:lvlJc w:val="left"/>
      <w:pPr>
        <w:tabs>
          <w:tab w:val="num" w:pos="4037"/>
        </w:tabs>
        <w:ind w:left="4037" w:hanging="360"/>
      </w:pPr>
      <w:rPr>
        <w:rFonts w:ascii="Wingdings" w:hAnsi="Wingdings" w:hint="default"/>
      </w:rPr>
    </w:lvl>
    <w:lvl w:ilvl="6" w:tplc="C59EEB60" w:tentative="1">
      <w:start w:val="1"/>
      <w:numFmt w:val="bullet"/>
      <w:lvlText w:val=""/>
      <w:lvlJc w:val="left"/>
      <w:pPr>
        <w:tabs>
          <w:tab w:val="num" w:pos="4757"/>
        </w:tabs>
        <w:ind w:left="4757" w:hanging="360"/>
      </w:pPr>
      <w:rPr>
        <w:rFonts w:ascii="Symbol" w:hAnsi="Symbol" w:hint="default"/>
      </w:rPr>
    </w:lvl>
    <w:lvl w:ilvl="7" w:tplc="4ECEBAB4" w:tentative="1">
      <w:start w:val="1"/>
      <w:numFmt w:val="bullet"/>
      <w:lvlText w:val="o"/>
      <w:lvlJc w:val="left"/>
      <w:pPr>
        <w:tabs>
          <w:tab w:val="num" w:pos="5477"/>
        </w:tabs>
        <w:ind w:left="5477" w:hanging="360"/>
      </w:pPr>
      <w:rPr>
        <w:rFonts w:ascii="Courier New" w:hAnsi="Courier New" w:hint="default"/>
      </w:rPr>
    </w:lvl>
    <w:lvl w:ilvl="8" w:tplc="2994779A"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D8E1702"/>
    <w:multiLevelType w:val="hybridMultilevel"/>
    <w:tmpl w:val="B732A0EE"/>
    <w:lvl w:ilvl="0" w:tplc="0D76CB8A">
      <w:start w:val="1"/>
      <w:numFmt w:val="decimal"/>
      <w:lvlText w:val="%1."/>
      <w:lvlJc w:val="left"/>
      <w:pPr>
        <w:ind w:left="720" w:hanging="360"/>
      </w:pPr>
    </w:lvl>
    <w:lvl w:ilvl="1" w:tplc="14E2712E" w:tentative="1">
      <w:start w:val="1"/>
      <w:numFmt w:val="lowerLetter"/>
      <w:lvlText w:val="%2."/>
      <w:lvlJc w:val="left"/>
      <w:pPr>
        <w:ind w:left="1440" w:hanging="360"/>
      </w:pPr>
    </w:lvl>
    <w:lvl w:ilvl="2" w:tplc="578894E0" w:tentative="1">
      <w:start w:val="1"/>
      <w:numFmt w:val="lowerRoman"/>
      <w:lvlText w:val="%3."/>
      <w:lvlJc w:val="right"/>
      <w:pPr>
        <w:ind w:left="2160" w:hanging="180"/>
      </w:pPr>
    </w:lvl>
    <w:lvl w:ilvl="3" w:tplc="F68877BC" w:tentative="1">
      <w:start w:val="1"/>
      <w:numFmt w:val="decimal"/>
      <w:lvlText w:val="%4."/>
      <w:lvlJc w:val="left"/>
      <w:pPr>
        <w:ind w:left="2880" w:hanging="360"/>
      </w:pPr>
    </w:lvl>
    <w:lvl w:ilvl="4" w:tplc="C3540E8E" w:tentative="1">
      <w:start w:val="1"/>
      <w:numFmt w:val="lowerLetter"/>
      <w:lvlText w:val="%5."/>
      <w:lvlJc w:val="left"/>
      <w:pPr>
        <w:ind w:left="3600" w:hanging="360"/>
      </w:pPr>
    </w:lvl>
    <w:lvl w:ilvl="5" w:tplc="A6DCD2E8" w:tentative="1">
      <w:start w:val="1"/>
      <w:numFmt w:val="lowerRoman"/>
      <w:lvlText w:val="%6."/>
      <w:lvlJc w:val="right"/>
      <w:pPr>
        <w:ind w:left="4320" w:hanging="180"/>
      </w:pPr>
    </w:lvl>
    <w:lvl w:ilvl="6" w:tplc="BC800FDE" w:tentative="1">
      <w:start w:val="1"/>
      <w:numFmt w:val="decimal"/>
      <w:lvlText w:val="%7."/>
      <w:lvlJc w:val="left"/>
      <w:pPr>
        <w:ind w:left="5040" w:hanging="360"/>
      </w:pPr>
    </w:lvl>
    <w:lvl w:ilvl="7" w:tplc="1750C8EC" w:tentative="1">
      <w:start w:val="1"/>
      <w:numFmt w:val="lowerLetter"/>
      <w:lvlText w:val="%8."/>
      <w:lvlJc w:val="left"/>
      <w:pPr>
        <w:ind w:left="5760" w:hanging="360"/>
      </w:pPr>
    </w:lvl>
    <w:lvl w:ilvl="8" w:tplc="883C0046" w:tentative="1">
      <w:start w:val="1"/>
      <w:numFmt w:val="lowerRoman"/>
      <w:lvlText w:val="%9."/>
      <w:lvlJc w:val="right"/>
      <w:pPr>
        <w:ind w:left="6480" w:hanging="180"/>
      </w:pPr>
    </w:lvl>
  </w:abstractNum>
  <w:abstractNum w:abstractNumId="4" w15:restartNumberingAfterBreak="0">
    <w:nsid w:val="25305FA1"/>
    <w:multiLevelType w:val="hybridMultilevel"/>
    <w:tmpl w:val="C3344356"/>
    <w:lvl w:ilvl="0" w:tplc="7200031E">
      <w:start w:val="1"/>
      <w:numFmt w:val="lowerLetter"/>
      <w:lvlText w:val="%1)"/>
      <w:lvlJc w:val="left"/>
      <w:pPr>
        <w:ind w:left="1287" w:hanging="360"/>
      </w:pPr>
      <w:rPr>
        <w:rFonts w:hint="default"/>
      </w:rPr>
    </w:lvl>
    <w:lvl w:ilvl="1" w:tplc="18027562" w:tentative="1">
      <w:start w:val="1"/>
      <w:numFmt w:val="bullet"/>
      <w:lvlText w:val="o"/>
      <w:lvlJc w:val="left"/>
      <w:pPr>
        <w:ind w:left="2007" w:hanging="360"/>
      </w:pPr>
      <w:rPr>
        <w:rFonts w:ascii="Courier New" w:hAnsi="Courier New" w:cs="Courier New" w:hint="default"/>
      </w:rPr>
    </w:lvl>
    <w:lvl w:ilvl="2" w:tplc="CD48BD8E" w:tentative="1">
      <w:start w:val="1"/>
      <w:numFmt w:val="bullet"/>
      <w:lvlText w:val=""/>
      <w:lvlJc w:val="left"/>
      <w:pPr>
        <w:ind w:left="2727" w:hanging="360"/>
      </w:pPr>
      <w:rPr>
        <w:rFonts w:ascii="Wingdings" w:hAnsi="Wingdings" w:hint="default"/>
      </w:rPr>
    </w:lvl>
    <w:lvl w:ilvl="3" w:tplc="78D058BC" w:tentative="1">
      <w:start w:val="1"/>
      <w:numFmt w:val="bullet"/>
      <w:lvlText w:val=""/>
      <w:lvlJc w:val="left"/>
      <w:pPr>
        <w:ind w:left="3447" w:hanging="360"/>
      </w:pPr>
      <w:rPr>
        <w:rFonts w:ascii="Symbol" w:hAnsi="Symbol" w:hint="default"/>
      </w:rPr>
    </w:lvl>
    <w:lvl w:ilvl="4" w:tplc="ABD21B94" w:tentative="1">
      <w:start w:val="1"/>
      <w:numFmt w:val="bullet"/>
      <w:lvlText w:val="o"/>
      <w:lvlJc w:val="left"/>
      <w:pPr>
        <w:ind w:left="4167" w:hanging="360"/>
      </w:pPr>
      <w:rPr>
        <w:rFonts w:ascii="Courier New" w:hAnsi="Courier New" w:cs="Courier New" w:hint="default"/>
      </w:rPr>
    </w:lvl>
    <w:lvl w:ilvl="5" w:tplc="5B96EA9A" w:tentative="1">
      <w:start w:val="1"/>
      <w:numFmt w:val="bullet"/>
      <w:lvlText w:val=""/>
      <w:lvlJc w:val="left"/>
      <w:pPr>
        <w:ind w:left="4887" w:hanging="360"/>
      </w:pPr>
      <w:rPr>
        <w:rFonts w:ascii="Wingdings" w:hAnsi="Wingdings" w:hint="default"/>
      </w:rPr>
    </w:lvl>
    <w:lvl w:ilvl="6" w:tplc="BFB61B30" w:tentative="1">
      <w:start w:val="1"/>
      <w:numFmt w:val="bullet"/>
      <w:lvlText w:val=""/>
      <w:lvlJc w:val="left"/>
      <w:pPr>
        <w:ind w:left="5607" w:hanging="360"/>
      </w:pPr>
      <w:rPr>
        <w:rFonts w:ascii="Symbol" w:hAnsi="Symbol" w:hint="default"/>
      </w:rPr>
    </w:lvl>
    <w:lvl w:ilvl="7" w:tplc="557C066A" w:tentative="1">
      <w:start w:val="1"/>
      <w:numFmt w:val="bullet"/>
      <w:lvlText w:val="o"/>
      <w:lvlJc w:val="left"/>
      <w:pPr>
        <w:ind w:left="6327" w:hanging="360"/>
      </w:pPr>
      <w:rPr>
        <w:rFonts w:ascii="Courier New" w:hAnsi="Courier New" w:cs="Courier New" w:hint="default"/>
      </w:rPr>
    </w:lvl>
    <w:lvl w:ilvl="8" w:tplc="7004E1DC" w:tentative="1">
      <w:start w:val="1"/>
      <w:numFmt w:val="bullet"/>
      <w:lvlText w:val=""/>
      <w:lvlJc w:val="left"/>
      <w:pPr>
        <w:ind w:left="7047" w:hanging="360"/>
      </w:pPr>
      <w:rPr>
        <w:rFonts w:ascii="Wingdings" w:hAnsi="Wingdings" w:hint="default"/>
      </w:rPr>
    </w:lvl>
  </w:abstractNum>
  <w:abstractNum w:abstractNumId="5" w15:restartNumberingAfterBreak="0">
    <w:nsid w:val="27C0235C"/>
    <w:multiLevelType w:val="hybridMultilevel"/>
    <w:tmpl w:val="5A107B90"/>
    <w:lvl w:ilvl="0" w:tplc="3A1A59EA">
      <w:start w:val="1"/>
      <w:numFmt w:val="bullet"/>
      <w:lvlText w:val=""/>
      <w:lvlJc w:val="left"/>
      <w:pPr>
        <w:ind w:left="1287" w:hanging="360"/>
      </w:pPr>
      <w:rPr>
        <w:rFonts w:ascii="Symbol" w:hAnsi="Symbol" w:hint="default"/>
      </w:rPr>
    </w:lvl>
    <w:lvl w:ilvl="1" w:tplc="FEF6C002">
      <w:start w:val="1"/>
      <w:numFmt w:val="bullet"/>
      <w:lvlText w:val="o"/>
      <w:lvlJc w:val="left"/>
      <w:pPr>
        <w:ind w:left="2007" w:hanging="360"/>
      </w:pPr>
      <w:rPr>
        <w:rFonts w:ascii="Courier New" w:hAnsi="Courier New" w:cs="Courier New" w:hint="default"/>
      </w:rPr>
    </w:lvl>
    <w:lvl w:ilvl="2" w:tplc="A596077E" w:tentative="1">
      <w:start w:val="1"/>
      <w:numFmt w:val="bullet"/>
      <w:lvlText w:val=""/>
      <w:lvlJc w:val="left"/>
      <w:pPr>
        <w:ind w:left="2727" w:hanging="360"/>
      </w:pPr>
      <w:rPr>
        <w:rFonts w:ascii="Wingdings" w:hAnsi="Wingdings" w:hint="default"/>
      </w:rPr>
    </w:lvl>
    <w:lvl w:ilvl="3" w:tplc="CA48E43E" w:tentative="1">
      <w:start w:val="1"/>
      <w:numFmt w:val="bullet"/>
      <w:lvlText w:val=""/>
      <w:lvlJc w:val="left"/>
      <w:pPr>
        <w:ind w:left="3447" w:hanging="360"/>
      </w:pPr>
      <w:rPr>
        <w:rFonts w:ascii="Symbol" w:hAnsi="Symbol" w:hint="default"/>
      </w:rPr>
    </w:lvl>
    <w:lvl w:ilvl="4" w:tplc="A2BE0570" w:tentative="1">
      <w:start w:val="1"/>
      <w:numFmt w:val="bullet"/>
      <w:lvlText w:val="o"/>
      <w:lvlJc w:val="left"/>
      <w:pPr>
        <w:ind w:left="4167" w:hanging="360"/>
      </w:pPr>
      <w:rPr>
        <w:rFonts w:ascii="Courier New" w:hAnsi="Courier New" w:cs="Courier New" w:hint="default"/>
      </w:rPr>
    </w:lvl>
    <w:lvl w:ilvl="5" w:tplc="FD02BD00" w:tentative="1">
      <w:start w:val="1"/>
      <w:numFmt w:val="bullet"/>
      <w:lvlText w:val=""/>
      <w:lvlJc w:val="left"/>
      <w:pPr>
        <w:ind w:left="4887" w:hanging="360"/>
      </w:pPr>
      <w:rPr>
        <w:rFonts w:ascii="Wingdings" w:hAnsi="Wingdings" w:hint="default"/>
      </w:rPr>
    </w:lvl>
    <w:lvl w:ilvl="6" w:tplc="2062A3D6" w:tentative="1">
      <w:start w:val="1"/>
      <w:numFmt w:val="bullet"/>
      <w:lvlText w:val=""/>
      <w:lvlJc w:val="left"/>
      <w:pPr>
        <w:ind w:left="5607" w:hanging="360"/>
      </w:pPr>
      <w:rPr>
        <w:rFonts w:ascii="Symbol" w:hAnsi="Symbol" w:hint="default"/>
      </w:rPr>
    </w:lvl>
    <w:lvl w:ilvl="7" w:tplc="CCF2D4AE" w:tentative="1">
      <w:start w:val="1"/>
      <w:numFmt w:val="bullet"/>
      <w:lvlText w:val="o"/>
      <w:lvlJc w:val="left"/>
      <w:pPr>
        <w:ind w:left="6327" w:hanging="360"/>
      </w:pPr>
      <w:rPr>
        <w:rFonts w:ascii="Courier New" w:hAnsi="Courier New" w:cs="Courier New" w:hint="default"/>
      </w:rPr>
    </w:lvl>
    <w:lvl w:ilvl="8" w:tplc="CE08A92A" w:tentative="1">
      <w:start w:val="1"/>
      <w:numFmt w:val="bullet"/>
      <w:lvlText w:val=""/>
      <w:lvlJc w:val="left"/>
      <w:pPr>
        <w:ind w:left="7047" w:hanging="360"/>
      </w:pPr>
      <w:rPr>
        <w:rFonts w:ascii="Wingdings" w:hAnsi="Wingdings" w:hint="default"/>
      </w:rPr>
    </w:lvl>
  </w:abstractNum>
  <w:abstractNum w:abstractNumId="6" w15:restartNumberingAfterBreak="0">
    <w:nsid w:val="2B2A21DA"/>
    <w:multiLevelType w:val="hybridMultilevel"/>
    <w:tmpl w:val="C3344356"/>
    <w:lvl w:ilvl="0" w:tplc="7200031E">
      <w:start w:val="1"/>
      <w:numFmt w:val="lowerLetter"/>
      <w:lvlText w:val="%1)"/>
      <w:lvlJc w:val="left"/>
      <w:pPr>
        <w:ind w:left="1287" w:hanging="360"/>
      </w:pPr>
      <w:rPr>
        <w:rFonts w:hint="default"/>
      </w:rPr>
    </w:lvl>
    <w:lvl w:ilvl="1" w:tplc="18027562" w:tentative="1">
      <w:start w:val="1"/>
      <w:numFmt w:val="bullet"/>
      <w:lvlText w:val="o"/>
      <w:lvlJc w:val="left"/>
      <w:pPr>
        <w:ind w:left="2007" w:hanging="360"/>
      </w:pPr>
      <w:rPr>
        <w:rFonts w:ascii="Courier New" w:hAnsi="Courier New" w:cs="Courier New" w:hint="default"/>
      </w:rPr>
    </w:lvl>
    <w:lvl w:ilvl="2" w:tplc="CD48BD8E" w:tentative="1">
      <w:start w:val="1"/>
      <w:numFmt w:val="bullet"/>
      <w:lvlText w:val=""/>
      <w:lvlJc w:val="left"/>
      <w:pPr>
        <w:ind w:left="2727" w:hanging="360"/>
      </w:pPr>
      <w:rPr>
        <w:rFonts w:ascii="Wingdings" w:hAnsi="Wingdings" w:hint="default"/>
      </w:rPr>
    </w:lvl>
    <w:lvl w:ilvl="3" w:tplc="78D058BC" w:tentative="1">
      <w:start w:val="1"/>
      <w:numFmt w:val="bullet"/>
      <w:lvlText w:val=""/>
      <w:lvlJc w:val="left"/>
      <w:pPr>
        <w:ind w:left="3447" w:hanging="360"/>
      </w:pPr>
      <w:rPr>
        <w:rFonts w:ascii="Symbol" w:hAnsi="Symbol" w:hint="default"/>
      </w:rPr>
    </w:lvl>
    <w:lvl w:ilvl="4" w:tplc="ABD21B94" w:tentative="1">
      <w:start w:val="1"/>
      <w:numFmt w:val="bullet"/>
      <w:lvlText w:val="o"/>
      <w:lvlJc w:val="left"/>
      <w:pPr>
        <w:ind w:left="4167" w:hanging="360"/>
      </w:pPr>
      <w:rPr>
        <w:rFonts w:ascii="Courier New" w:hAnsi="Courier New" w:cs="Courier New" w:hint="default"/>
      </w:rPr>
    </w:lvl>
    <w:lvl w:ilvl="5" w:tplc="5B96EA9A" w:tentative="1">
      <w:start w:val="1"/>
      <w:numFmt w:val="bullet"/>
      <w:lvlText w:val=""/>
      <w:lvlJc w:val="left"/>
      <w:pPr>
        <w:ind w:left="4887" w:hanging="360"/>
      </w:pPr>
      <w:rPr>
        <w:rFonts w:ascii="Wingdings" w:hAnsi="Wingdings" w:hint="default"/>
      </w:rPr>
    </w:lvl>
    <w:lvl w:ilvl="6" w:tplc="BFB61B30" w:tentative="1">
      <w:start w:val="1"/>
      <w:numFmt w:val="bullet"/>
      <w:lvlText w:val=""/>
      <w:lvlJc w:val="left"/>
      <w:pPr>
        <w:ind w:left="5607" w:hanging="360"/>
      </w:pPr>
      <w:rPr>
        <w:rFonts w:ascii="Symbol" w:hAnsi="Symbol" w:hint="default"/>
      </w:rPr>
    </w:lvl>
    <w:lvl w:ilvl="7" w:tplc="557C066A" w:tentative="1">
      <w:start w:val="1"/>
      <w:numFmt w:val="bullet"/>
      <w:lvlText w:val="o"/>
      <w:lvlJc w:val="left"/>
      <w:pPr>
        <w:ind w:left="6327" w:hanging="360"/>
      </w:pPr>
      <w:rPr>
        <w:rFonts w:ascii="Courier New" w:hAnsi="Courier New" w:cs="Courier New" w:hint="default"/>
      </w:rPr>
    </w:lvl>
    <w:lvl w:ilvl="8" w:tplc="7004E1DC" w:tentative="1">
      <w:start w:val="1"/>
      <w:numFmt w:val="bullet"/>
      <w:lvlText w:val=""/>
      <w:lvlJc w:val="left"/>
      <w:pPr>
        <w:ind w:left="7047" w:hanging="360"/>
      </w:pPr>
      <w:rPr>
        <w:rFonts w:ascii="Wingdings" w:hAnsi="Wingdings" w:hint="default"/>
      </w:rPr>
    </w:lvl>
  </w:abstractNum>
  <w:abstractNum w:abstractNumId="7" w15:restartNumberingAfterBreak="0">
    <w:nsid w:val="2EED6D56"/>
    <w:multiLevelType w:val="hybridMultilevel"/>
    <w:tmpl w:val="732008A2"/>
    <w:lvl w:ilvl="0" w:tplc="040C0005">
      <w:start w:val="1"/>
      <w:numFmt w:val="bullet"/>
      <w:lvlText w:val=""/>
      <w:lvlJc w:val="left"/>
      <w:pPr>
        <w:ind w:left="1065" w:hanging="360"/>
      </w:pPr>
      <w:rPr>
        <w:rFonts w:ascii="Wingdings" w:hAnsi="Wingdings" w:hint="default"/>
      </w:rPr>
    </w:lvl>
    <w:lvl w:ilvl="1" w:tplc="81E0F15A" w:tentative="1">
      <w:start w:val="1"/>
      <w:numFmt w:val="bullet"/>
      <w:lvlText w:val="o"/>
      <w:lvlJc w:val="left"/>
      <w:pPr>
        <w:ind w:left="1785" w:hanging="360"/>
      </w:pPr>
      <w:rPr>
        <w:rFonts w:ascii="Courier New" w:hAnsi="Courier New" w:cs="Courier New" w:hint="default"/>
      </w:rPr>
    </w:lvl>
    <w:lvl w:ilvl="2" w:tplc="9F02BCE4" w:tentative="1">
      <w:start w:val="1"/>
      <w:numFmt w:val="bullet"/>
      <w:lvlText w:val=""/>
      <w:lvlJc w:val="left"/>
      <w:pPr>
        <w:ind w:left="2505" w:hanging="360"/>
      </w:pPr>
      <w:rPr>
        <w:rFonts w:ascii="Wingdings" w:hAnsi="Wingdings" w:hint="default"/>
      </w:rPr>
    </w:lvl>
    <w:lvl w:ilvl="3" w:tplc="0B46F194" w:tentative="1">
      <w:start w:val="1"/>
      <w:numFmt w:val="bullet"/>
      <w:lvlText w:val=""/>
      <w:lvlJc w:val="left"/>
      <w:pPr>
        <w:ind w:left="3225" w:hanging="360"/>
      </w:pPr>
      <w:rPr>
        <w:rFonts w:ascii="Symbol" w:hAnsi="Symbol" w:hint="default"/>
      </w:rPr>
    </w:lvl>
    <w:lvl w:ilvl="4" w:tplc="4CEECA02" w:tentative="1">
      <w:start w:val="1"/>
      <w:numFmt w:val="bullet"/>
      <w:lvlText w:val="o"/>
      <w:lvlJc w:val="left"/>
      <w:pPr>
        <w:ind w:left="3945" w:hanging="360"/>
      </w:pPr>
      <w:rPr>
        <w:rFonts w:ascii="Courier New" w:hAnsi="Courier New" w:cs="Courier New" w:hint="default"/>
      </w:rPr>
    </w:lvl>
    <w:lvl w:ilvl="5" w:tplc="60DC5D20" w:tentative="1">
      <w:start w:val="1"/>
      <w:numFmt w:val="bullet"/>
      <w:lvlText w:val=""/>
      <w:lvlJc w:val="left"/>
      <w:pPr>
        <w:ind w:left="4665" w:hanging="360"/>
      </w:pPr>
      <w:rPr>
        <w:rFonts w:ascii="Wingdings" w:hAnsi="Wingdings" w:hint="default"/>
      </w:rPr>
    </w:lvl>
    <w:lvl w:ilvl="6" w:tplc="F56E3572" w:tentative="1">
      <w:start w:val="1"/>
      <w:numFmt w:val="bullet"/>
      <w:lvlText w:val=""/>
      <w:lvlJc w:val="left"/>
      <w:pPr>
        <w:ind w:left="5385" w:hanging="360"/>
      </w:pPr>
      <w:rPr>
        <w:rFonts w:ascii="Symbol" w:hAnsi="Symbol" w:hint="default"/>
      </w:rPr>
    </w:lvl>
    <w:lvl w:ilvl="7" w:tplc="C726B21E" w:tentative="1">
      <w:start w:val="1"/>
      <w:numFmt w:val="bullet"/>
      <w:lvlText w:val="o"/>
      <w:lvlJc w:val="left"/>
      <w:pPr>
        <w:ind w:left="6105" w:hanging="360"/>
      </w:pPr>
      <w:rPr>
        <w:rFonts w:ascii="Courier New" w:hAnsi="Courier New" w:cs="Courier New" w:hint="default"/>
      </w:rPr>
    </w:lvl>
    <w:lvl w:ilvl="8" w:tplc="B7B4EC84" w:tentative="1">
      <w:start w:val="1"/>
      <w:numFmt w:val="bullet"/>
      <w:lvlText w:val=""/>
      <w:lvlJc w:val="left"/>
      <w:pPr>
        <w:ind w:left="6825" w:hanging="360"/>
      </w:pPr>
      <w:rPr>
        <w:rFonts w:ascii="Wingdings" w:hAnsi="Wingdings" w:hint="default"/>
      </w:rPr>
    </w:lvl>
  </w:abstractNum>
  <w:abstractNum w:abstractNumId="8" w15:restartNumberingAfterBreak="0">
    <w:nsid w:val="33450B0B"/>
    <w:multiLevelType w:val="hybridMultilevel"/>
    <w:tmpl w:val="D4E4A88C"/>
    <w:lvl w:ilvl="0" w:tplc="26866868">
      <w:start w:val="1"/>
      <w:numFmt w:val="lowerLetter"/>
      <w:lvlText w:val="%1)"/>
      <w:lvlJc w:val="left"/>
      <w:pPr>
        <w:ind w:left="1287" w:hanging="360"/>
      </w:pPr>
      <w:rPr>
        <w:rFonts w:hint="default"/>
      </w:rPr>
    </w:lvl>
    <w:lvl w:ilvl="1" w:tplc="D9D8EB94">
      <w:numFmt w:val="bullet"/>
      <w:lvlText w:val="-"/>
      <w:lvlJc w:val="left"/>
      <w:pPr>
        <w:ind w:left="2007" w:hanging="360"/>
      </w:pPr>
      <w:rPr>
        <w:rFonts w:ascii="Arial" w:eastAsia="Times New Roman" w:hAnsi="Arial" w:cs="Arial" w:hint="default"/>
      </w:rPr>
    </w:lvl>
    <w:lvl w:ilvl="2" w:tplc="11844284" w:tentative="1">
      <w:start w:val="1"/>
      <w:numFmt w:val="bullet"/>
      <w:lvlText w:val=""/>
      <w:lvlJc w:val="left"/>
      <w:pPr>
        <w:ind w:left="2727" w:hanging="360"/>
      </w:pPr>
      <w:rPr>
        <w:rFonts w:ascii="Wingdings" w:hAnsi="Wingdings" w:hint="default"/>
      </w:rPr>
    </w:lvl>
    <w:lvl w:ilvl="3" w:tplc="30DCE4AC" w:tentative="1">
      <w:start w:val="1"/>
      <w:numFmt w:val="bullet"/>
      <w:lvlText w:val=""/>
      <w:lvlJc w:val="left"/>
      <w:pPr>
        <w:ind w:left="3447" w:hanging="360"/>
      </w:pPr>
      <w:rPr>
        <w:rFonts w:ascii="Symbol" w:hAnsi="Symbol" w:hint="default"/>
      </w:rPr>
    </w:lvl>
    <w:lvl w:ilvl="4" w:tplc="51F81BF4" w:tentative="1">
      <w:start w:val="1"/>
      <w:numFmt w:val="bullet"/>
      <w:lvlText w:val="o"/>
      <w:lvlJc w:val="left"/>
      <w:pPr>
        <w:ind w:left="4167" w:hanging="360"/>
      </w:pPr>
      <w:rPr>
        <w:rFonts w:ascii="Courier New" w:hAnsi="Courier New" w:cs="Courier New" w:hint="default"/>
      </w:rPr>
    </w:lvl>
    <w:lvl w:ilvl="5" w:tplc="CFE8A3F2" w:tentative="1">
      <w:start w:val="1"/>
      <w:numFmt w:val="bullet"/>
      <w:lvlText w:val=""/>
      <w:lvlJc w:val="left"/>
      <w:pPr>
        <w:ind w:left="4887" w:hanging="360"/>
      </w:pPr>
      <w:rPr>
        <w:rFonts w:ascii="Wingdings" w:hAnsi="Wingdings" w:hint="default"/>
      </w:rPr>
    </w:lvl>
    <w:lvl w:ilvl="6" w:tplc="26D07CFE" w:tentative="1">
      <w:start w:val="1"/>
      <w:numFmt w:val="bullet"/>
      <w:lvlText w:val=""/>
      <w:lvlJc w:val="left"/>
      <w:pPr>
        <w:ind w:left="5607" w:hanging="360"/>
      </w:pPr>
      <w:rPr>
        <w:rFonts w:ascii="Symbol" w:hAnsi="Symbol" w:hint="default"/>
      </w:rPr>
    </w:lvl>
    <w:lvl w:ilvl="7" w:tplc="8760F222" w:tentative="1">
      <w:start w:val="1"/>
      <w:numFmt w:val="bullet"/>
      <w:lvlText w:val="o"/>
      <w:lvlJc w:val="left"/>
      <w:pPr>
        <w:ind w:left="6327" w:hanging="360"/>
      </w:pPr>
      <w:rPr>
        <w:rFonts w:ascii="Courier New" w:hAnsi="Courier New" w:cs="Courier New" w:hint="default"/>
      </w:rPr>
    </w:lvl>
    <w:lvl w:ilvl="8" w:tplc="C4A43F0C" w:tentative="1">
      <w:start w:val="1"/>
      <w:numFmt w:val="bullet"/>
      <w:lvlText w:val=""/>
      <w:lvlJc w:val="left"/>
      <w:pPr>
        <w:ind w:left="7047" w:hanging="360"/>
      </w:pPr>
      <w:rPr>
        <w:rFonts w:ascii="Wingdings" w:hAnsi="Wingdings" w:hint="default"/>
      </w:rPr>
    </w:lvl>
  </w:abstractNum>
  <w:abstractNum w:abstractNumId="9" w15:restartNumberingAfterBreak="0">
    <w:nsid w:val="35F07BFE"/>
    <w:multiLevelType w:val="hybridMultilevel"/>
    <w:tmpl w:val="6CC67502"/>
    <w:lvl w:ilvl="0" w:tplc="82BCF70E">
      <w:start w:val="1"/>
      <w:numFmt w:val="decimal"/>
      <w:lvlText w:val="%1."/>
      <w:lvlJc w:val="left"/>
      <w:pPr>
        <w:ind w:left="720" w:hanging="360"/>
      </w:pPr>
    </w:lvl>
    <w:lvl w:ilvl="1" w:tplc="94843912">
      <w:start w:val="1"/>
      <w:numFmt w:val="lowerLetter"/>
      <w:lvlText w:val="%2."/>
      <w:lvlJc w:val="left"/>
      <w:pPr>
        <w:ind w:left="1440" w:hanging="360"/>
      </w:pPr>
    </w:lvl>
    <w:lvl w:ilvl="2" w:tplc="CABE9A1A">
      <w:start w:val="1"/>
      <w:numFmt w:val="lowerRoman"/>
      <w:lvlText w:val="%3."/>
      <w:lvlJc w:val="right"/>
      <w:pPr>
        <w:ind w:left="2160" w:hanging="180"/>
      </w:pPr>
    </w:lvl>
    <w:lvl w:ilvl="3" w:tplc="59267938">
      <w:start w:val="1"/>
      <w:numFmt w:val="decimal"/>
      <w:lvlText w:val="%4."/>
      <w:lvlJc w:val="left"/>
      <w:pPr>
        <w:ind w:left="2880" w:hanging="360"/>
      </w:pPr>
    </w:lvl>
    <w:lvl w:ilvl="4" w:tplc="E988A818" w:tentative="1">
      <w:start w:val="1"/>
      <w:numFmt w:val="lowerLetter"/>
      <w:lvlText w:val="%5."/>
      <w:lvlJc w:val="left"/>
      <w:pPr>
        <w:ind w:left="3600" w:hanging="360"/>
      </w:pPr>
    </w:lvl>
    <w:lvl w:ilvl="5" w:tplc="193A30F0" w:tentative="1">
      <w:start w:val="1"/>
      <w:numFmt w:val="lowerRoman"/>
      <w:lvlText w:val="%6."/>
      <w:lvlJc w:val="right"/>
      <w:pPr>
        <w:ind w:left="4320" w:hanging="180"/>
      </w:pPr>
    </w:lvl>
    <w:lvl w:ilvl="6" w:tplc="ADD43380" w:tentative="1">
      <w:start w:val="1"/>
      <w:numFmt w:val="decimal"/>
      <w:lvlText w:val="%7."/>
      <w:lvlJc w:val="left"/>
      <w:pPr>
        <w:ind w:left="5040" w:hanging="360"/>
      </w:pPr>
    </w:lvl>
    <w:lvl w:ilvl="7" w:tplc="3B0206E8" w:tentative="1">
      <w:start w:val="1"/>
      <w:numFmt w:val="lowerLetter"/>
      <w:lvlText w:val="%8."/>
      <w:lvlJc w:val="left"/>
      <w:pPr>
        <w:ind w:left="5760" w:hanging="360"/>
      </w:pPr>
    </w:lvl>
    <w:lvl w:ilvl="8" w:tplc="44F03672" w:tentative="1">
      <w:start w:val="1"/>
      <w:numFmt w:val="lowerRoman"/>
      <w:lvlText w:val="%9."/>
      <w:lvlJc w:val="right"/>
      <w:pPr>
        <w:ind w:left="6480" w:hanging="180"/>
      </w:pPr>
    </w:lvl>
  </w:abstractNum>
  <w:abstractNum w:abstractNumId="10" w15:restartNumberingAfterBreak="0">
    <w:nsid w:val="42FB5076"/>
    <w:multiLevelType w:val="hybridMultilevel"/>
    <w:tmpl w:val="5F743C9A"/>
    <w:lvl w:ilvl="0" w:tplc="C9648F42">
      <w:start w:val="1"/>
      <w:numFmt w:val="bullet"/>
      <w:lvlText w:val=""/>
      <w:lvlJc w:val="left"/>
      <w:pPr>
        <w:ind w:left="1065" w:hanging="360"/>
      </w:pPr>
      <w:rPr>
        <w:rFonts w:ascii="Symbol" w:hAnsi="Symbol" w:hint="default"/>
      </w:rPr>
    </w:lvl>
    <w:lvl w:ilvl="1" w:tplc="81E0F15A" w:tentative="1">
      <w:start w:val="1"/>
      <w:numFmt w:val="bullet"/>
      <w:lvlText w:val="o"/>
      <w:lvlJc w:val="left"/>
      <w:pPr>
        <w:ind w:left="1785" w:hanging="360"/>
      </w:pPr>
      <w:rPr>
        <w:rFonts w:ascii="Courier New" w:hAnsi="Courier New" w:cs="Courier New" w:hint="default"/>
      </w:rPr>
    </w:lvl>
    <w:lvl w:ilvl="2" w:tplc="9F02BCE4" w:tentative="1">
      <w:start w:val="1"/>
      <w:numFmt w:val="bullet"/>
      <w:lvlText w:val=""/>
      <w:lvlJc w:val="left"/>
      <w:pPr>
        <w:ind w:left="2505" w:hanging="360"/>
      </w:pPr>
      <w:rPr>
        <w:rFonts w:ascii="Wingdings" w:hAnsi="Wingdings" w:hint="default"/>
      </w:rPr>
    </w:lvl>
    <w:lvl w:ilvl="3" w:tplc="0B46F194" w:tentative="1">
      <w:start w:val="1"/>
      <w:numFmt w:val="bullet"/>
      <w:lvlText w:val=""/>
      <w:lvlJc w:val="left"/>
      <w:pPr>
        <w:ind w:left="3225" w:hanging="360"/>
      </w:pPr>
      <w:rPr>
        <w:rFonts w:ascii="Symbol" w:hAnsi="Symbol" w:hint="default"/>
      </w:rPr>
    </w:lvl>
    <w:lvl w:ilvl="4" w:tplc="4CEECA02" w:tentative="1">
      <w:start w:val="1"/>
      <w:numFmt w:val="bullet"/>
      <w:lvlText w:val="o"/>
      <w:lvlJc w:val="left"/>
      <w:pPr>
        <w:ind w:left="3945" w:hanging="360"/>
      </w:pPr>
      <w:rPr>
        <w:rFonts w:ascii="Courier New" w:hAnsi="Courier New" w:cs="Courier New" w:hint="default"/>
      </w:rPr>
    </w:lvl>
    <w:lvl w:ilvl="5" w:tplc="60DC5D20" w:tentative="1">
      <w:start w:val="1"/>
      <w:numFmt w:val="bullet"/>
      <w:lvlText w:val=""/>
      <w:lvlJc w:val="left"/>
      <w:pPr>
        <w:ind w:left="4665" w:hanging="360"/>
      </w:pPr>
      <w:rPr>
        <w:rFonts w:ascii="Wingdings" w:hAnsi="Wingdings" w:hint="default"/>
      </w:rPr>
    </w:lvl>
    <w:lvl w:ilvl="6" w:tplc="F56E3572" w:tentative="1">
      <w:start w:val="1"/>
      <w:numFmt w:val="bullet"/>
      <w:lvlText w:val=""/>
      <w:lvlJc w:val="left"/>
      <w:pPr>
        <w:ind w:left="5385" w:hanging="360"/>
      </w:pPr>
      <w:rPr>
        <w:rFonts w:ascii="Symbol" w:hAnsi="Symbol" w:hint="default"/>
      </w:rPr>
    </w:lvl>
    <w:lvl w:ilvl="7" w:tplc="C726B21E" w:tentative="1">
      <w:start w:val="1"/>
      <w:numFmt w:val="bullet"/>
      <w:lvlText w:val="o"/>
      <w:lvlJc w:val="left"/>
      <w:pPr>
        <w:ind w:left="6105" w:hanging="360"/>
      </w:pPr>
      <w:rPr>
        <w:rFonts w:ascii="Courier New" w:hAnsi="Courier New" w:cs="Courier New" w:hint="default"/>
      </w:rPr>
    </w:lvl>
    <w:lvl w:ilvl="8" w:tplc="B7B4EC84" w:tentative="1">
      <w:start w:val="1"/>
      <w:numFmt w:val="bullet"/>
      <w:lvlText w:val=""/>
      <w:lvlJc w:val="left"/>
      <w:pPr>
        <w:ind w:left="6825" w:hanging="360"/>
      </w:pPr>
      <w:rPr>
        <w:rFonts w:ascii="Wingdings" w:hAnsi="Wingdings" w:hint="default"/>
      </w:rPr>
    </w:lvl>
  </w:abstractNum>
  <w:abstractNum w:abstractNumId="11" w15:restartNumberingAfterBreak="0">
    <w:nsid w:val="534F456E"/>
    <w:multiLevelType w:val="hybridMultilevel"/>
    <w:tmpl w:val="C3344356"/>
    <w:lvl w:ilvl="0" w:tplc="1B2821C4">
      <w:start w:val="1"/>
      <w:numFmt w:val="lowerLetter"/>
      <w:lvlText w:val="%1)"/>
      <w:lvlJc w:val="left"/>
      <w:pPr>
        <w:ind w:left="1287" w:hanging="360"/>
      </w:pPr>
      <w:rPr>
        <w:rFonts w:hint="default"/>
      </w:rPr>
    </w:lvl>
    <w:lvl w:ilvl="1" w:tplc="9E06C070" w:tentative="1">
      <w:start w:val="1"/>
      <w:numFmt w:val="bullet"/>
      <w:lvlText w:val="o"/>
      <w:lvlJc w:val="left"/>
      <w:pPr>
        <w:ind w:left="2007" w:hanging="360"/>
      </w:pPr>
      <w:rPr>
        <w:rFonts w:ascii="Courier New" w:hAnsi="Courier New" w:cs="Courier New" w:hint="default"/>
      </w:rPr>
    </w:lvl>
    <w:lvl w:ilvl="2" w:tplc="0954280A" w:tentative="1">
      <w:start w:val="1"/>
      <w:numFmt w:val="bullet"/>
      <w:lvlText w:val=""/>
      <w:lvlJc w:val="left"/>
      <w:pPr>
        <w:ind w:left="2727" w:hanging="360"/>
      </w:pPr>
      <w:rPr>
        <w:rFonts w:ascii="Wingdings" w:hAnsi="Wingdings" w:hint="default"/>
      </w:rPr>
    </w:lvl>
    <w:lvl w:ilvl="3" w:tplc="81CA868A" w:tentative="1">
      <w:start w:val="1"/>
      <w:numFmt w:val="bullet"/>
      <w:lvlText w:val=""/>
      <w:lvlJc w:val="left"/>
      <w:pPr>
        <w:ind w:left="3447" w:hanging="360"/>
      </w:pPr>
      <w:rPr>
        <w:rFonts w:ascii="Symbol" w:hAnsi="Symbol" w:hint="default"/>
      </w:rPr>
    </w:lvl>
    <w:lvl w:ilvl="4" w:tplc="C6846472" w:tentative="1">
      <w:start w:val="1"/>
      <w:numFmt w:val="bullet"/>
      <w:lvlText w:val="o"/>
      <w:lvlJc w:val="left"/>
      <w:pPr>
        <w:ind w:left="4167" w:hanging="360"/>
      </w:pPr>
      <w:rPr>
        <w:rFonts w:ascii="Courier New" w:hAnsi="Courier New" w:cs="Courier New" w:hint="default"/>
      </w:rPr>
    </w:lvl>
    <w:lvl w:ilvl="5" w:tplc="C93CBC30" w:tentative="1">
      <w:start w:val="1"/>
      <w:numFmt w:val="bullet"/>
      <w:lvlText w:val=""/>
      <w:lvlJc w:val="left"/>
      <w:pPr>
        <w:ind w:left="4887" w:hanging="360"/>
      </w:pPr>
      <w:rPr>
        <w:rFonts w:ascii="Wingdings" w:hAnsi="Wingdings" w:hint="default"/>
      </w:rPr>
    </w:lvl>
    <w:lvl w:ilvl="6" w:tplc="2DDA7E30" w:tentative="1">
      <w:start w:val="1"/>
      <w:numFmt w:val="bullet"/>
      <w:lvlText w:val=""/>
      <w:lvlJc w:val="left"/>
      <w:pPr>
        <w:ind w:left="5607" w:hanging="360"/>
      </w:pPr>
      <w:rPr>
        <w:rFonts w:ascii="Symbol" w:hAnsi="Symbol" w:hint="default"/>
      </w:rPr>
    </w:lvl>
    <w:lvl w:ilvl="7" w:tplc="99283662" w:tentative="1">
      <w:start w:val="1"/>
      <w:numFmt w:val="bullet"/>
      <w:lvlText w:val="o"/>
      <w:lvlJc w:val="left"/>
      <w:pPr>
        <w:ind w:left="6327" w:hanging="360"/>
      </w:pPr>
      <w:rPr>
        <w:rFonts w:ascii="Courier New" w:hAnsi="Courier New" w:cs="Courier New" w:hint="default"/>
      </w:rPr>
    </w:lvl>
    <w:lvl w:ilvl="8" w:tplc="C3727E80" w:tentative="1">
      <w:start w:val="1"/>
      <w:numFmt w:val="bullet"/>
      <w:lvlText w:val=""/>
      <w:lvlJc w:val="left"/>
      <w:pPr>
        <w:ind w:left="7047" w:hanging="360"/>
      </w:pPr>
      <w:rPr>
        <w:rFonts w:ascii="Wingdings" w:hAnsi="Wingdings" w:hint="default"/>
      </w:rPr>
    </w:lvl>
  </w:abstractNum>
  <w:abstractNum w:abstractNumId="12" w15:restartNumberingAfterBreak="0">
    <w:nsid w:val="628F47C5"/>
    <w:multiLevelType w:val="hybridMultilevel"/>
    <w:tmpl w:val="3C3C16AC"/>
    <w:lvl w:ilvl="0" w:tplc="D9147D00">
      <w:start w:val="1"/>
      <w:numFmt w:val="bullet"/>
      <w:lvlText w:val=""/>
      <w:lvlJc w:val="left"/>
      <w:pPr>
        <w:ind w:left="1287" w:hanging="360"/>
      </w:pPr>
      <w:rPr>
        <w:rFonts w:ascii="Symbol" w:hAnsi="Symbol" w:hint="default"/>
      </w:rPr>
    </w:lvl>
    <w:lvl w:ilvl="1" w:tplc="0D6C5624">
      <w:start w:val="1"/>
      <w:numFmt w:val="bullet"/>
      <w:lvlText w:val=""/>
      <w:lvlJc w:val="left"/>
      <w:pPr>
        <w:ind w:left="2007" w:hanging="360"/>
      </w:pPr>
      <w:rPr>
        <w:rFonts w:ascii="Symbol" w:hAnsi="Symbol" w:hint="default"/>
      </w:rPr>
    </w:lvl>
    <w:lvl w:ilvl="2" w:tplc="057E0BE4" w:tentative="1">
      <w:start w:val="1"/>
      <w:numFmt w:val="bullet"/>
      <w:lvlText w:val=""/>
      <w:lvlJc w:val="left"/>
      <w:pPr>
        <w:ind w:left="2727" w:hanging="360"/>
      </w:pPr>
      <w:rPr>
        <w:rFonts w:ascii="Wingdings" w:hAnsi="Wingdings" w:hint="default"/>
      </w:rPr>
    </w:lvl>
    <w:lvl w:ilvl="3" w:tplc="97E8141A" w:tentative="1">
      <w:start w:val="1"/>
      <w:numFmt w:val="bullet"/>
      <w:lvlText w:val=""/>
      <w:lvlJc w:val="left"/>
      <w:pPr>
        <w:ind w:left="3447" w:hanging="360"/>
      </w:pPr>
      <w:rPr>
        <w:rFonts w:ascii="Symbol" w:hAnsi="Symbol" w:hint="default"/>
      </w:rPr>
    </w:lvl>
    <w:lvl w:ilvl="4" w:tplc="AEF8DD40" w:tentative="1">
      <w:start w:val="1"/>
      <w:numFmt w:val="bullet"/>
      <w:lvlText w:val="o"/>
      <w:lvlJc w:val="left"/>
      <w:pPr>
        <w:ind w:left="4167" w:hanging="360"/>
      </w:pPr>
      <w:rPr>
        <w:rFonts w:ascii="Courier New" w:hAnsi="Courier New" w:cs="Courier New" w:hint="default"/>
      </w:rPr>
    </w:lvl>
    <w:lvl w:ilvl="5" w:tplc="835CF520" w:tentative="1">
      <w:start w:val="1"/>
      <w:numFmt w:val="bullet"/>
      <w:lvlText w:val=""/>
      <w:lvlJc w:val="left"/>
      <w:pPr>
        <w:ind w:left="4887" w:hanging="360"/>
      </w:pPr>
      <w:rPr>
        <w:rFonts w:ascii="Wingdings" w:hAnsi="Wingdings" w:hint="default"/>
      </w:rPr>
    </w:lvl>
    <w:lvl w:ilvl="6" w:tplc="6646FE9A" w:tentative="1">
      <w:start w:val="1"/>
      <w:numFmt w:val="bullet"/>
      <w:lvlText w:val=""/>
      <w:lvlJc w:val="left"/>
      <w:pPr>
        <w:ind w:left="5607" w:hanging="360"/>
      </w:pPr>
      <w:rPr>
        <w:rFonts w:ascii="Symbol" w:hAnsi="Symbol" w:hint="default"/>
      </w:rPr>
    </w:lvl>
    <w:lvl w:ilvl="7" w:tplc="14F09906" w:tentative="1">
      <w:start w:val="1"/>
      <w:numFmt w:val="bullet"/>
      <w:lvlText w:val="o"/>
      <w:lvlJc w:val="left"/>
      <w:pPr>
        <w:ind w:left="6327" w:hanging="360"/>
      </w:pPr>
      <w:rPr>
        <w:rFonts w:ascii="Courier New" w:hAnsi="Courier New" w:cs="Courier New" w:hint="default"/>
      </w:rPr>
    </w:lvl>
    <w:lvl w:ilvl="8" w:tplc="0A98D45E" w:tentative="1">
      <w:start w:val="1"/>
      <w:numFmt w:val="bullet"/>
      <w:lvlText w:val=""/>
      <w:lvlJc w:val="left"/>
      <w:pPr>
        <w:ind w:left="7047" w:hanging="360"/>
      </w:pPr>
      <w:rPr>
        <w:rFonts w:ascii="Wingdings" w:hAnsi="Wingdings" w:hint="default"/>
      </w:rPr>
    </w:lvl>
  </w:abstractNum>
  <w:abstractNum w:abstractNumId="13" w15:restartNumberingAfterBreak="0">
    <w:nsid w:val="77C629FF"/>
    <w:multiLevelType w:val="hybridMultilevel"/>
    <w:tmpl w:val="B732A0EE"/>
    <w:lvl w:ilvl="0" w:tplc="5BEA7F6E">
      <w:start w:val="1"/>
      <w:numFmt w:val="decimal"/>
      <w:lvlText w:val="%1."/>
      <w:lvlJc w:val="left"/>
      <w:pPr>
        <w:ind w:left="720" w:hanging="360"/>
      </w:pPr>
    </w:lvl>
    <w:lvl w:ilvl="1" w:tplc="1FEACE5C" w:tentative="1">
      <w:start w:val="1"/>
      <w:numFmt w:val="lowerLetter"/>
      <w:lvlText w:val="%2."/>
      <w:lvlJc w:val="left"/>
      <w:pPr>
        <w:ind w:left="1440" w:hanging="360"/>
      </w:pPr>
    </w:lvl>
    <w:lvl w:ilvl="2" w:tplc="5746937E" w:tentative="1">
      <w:start w:val="1"/>
      <w:numFmt w:val="lowerRoman"/>
      <w:lvlText w:val="%3."/>
      <w:lvlJc w:val="right"/>
      <w:pPr>
        <w:ind w:left="2160" w:hanging="180"/>
      </w:pPr>
    </w:lvl>
    <w:lvl w:ilvl="3" w:tplc="C090D900" w:tentative="1">
      <w:start w:val="1"/>
      <w:numFmt w:val="decimal"/>
      <w:lvlText w:val="%4."/>
      <w:lvlJc w:val="left"/>
      <w:pPr>
        <w:ind w:left="2880" w:hanging="360"/>
      </w:pPr>
    </w:lvl>
    <w:lvl w:ilvl="4" w:tplc="821CFA66" w:tentative="1">
      <w:start w:val="1"/>
      <w:numFmt w:val="lowerLetter"/>
      <w:lvlText w:val="%5."/>
      <w:lvlJc w:val="left"/>
      <w:pPr>
        <w:ind w:left="3600" w:hanging="360"/>
      </w:pPr>
    </w:lvl>
    <w:lvl w:ilvl="5" w:tplc="AADC3298" w:tentative="1">
      <w:start w:val="1"/>
      <w:numFmt w:val="lowerRoman"/>
      <w:lvlText w:val="%6."/>
      <w:lvlJc w:val="right"/>
      <w:pPr>
        <w:ind w:left="4320" w:hanging="180"/>
      </w:pPr>
    </w:lvl>
    <w:lvl w:ilvl="6" w:tplc="43242E16" w:tentative="1">
      <w:start w:val="1"/>
      <w:numFmt w:val="decimal"/>
      <w:lvlText w:val="%7."/>
      <w:lvlJc w:val="left"/>
      <w:pPr>
        <w:ind w:left="5040" w:hanging="360"/>
      </w:pPr>
    </w:lvl>
    <w:lvl w:ilvl="7" w:tplc="67B89C3A" w:tentative="1">
      <w:start w:val="1"/>
      <w:numFmt w:val="lowerLetter"/>
      <w:lvlText w:val="%8."/>
      <w:lvlJc w:val="left"/>
      <w:pPr>
        <w:ind w:left="5760" w:hanging="360"/>
      </w:pPr>
    </w:lvl>
    <w:lvl w:ilvl="8" w:tplc="DDEC6A6E" w:tentative="1">
      <w:start w:val="1"/>
      <w:numFmt w:val="lowerRoman"/>
      <w:lvlText w:val="%9."/>
      <w:lvlJc w:val="right"/>
      <w:pPr>
        <w:ind w:left="6480" w:hanging="180"/>
      </w:pPr>
    </w:lvl>
  </w:abstractNum>
  <w:abstractNum w:abstractNumId="14" w15:restartNumberingAfterBreak="0">
    <w:nsid w:val="7B512E90"/>
    <w:multiLevelType w:val="hybridMultilevel"/>
    <w:tmpl w:val="1B1C726A"/>
    <w:lvl w:ilvl="0" w:tplc="040C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2"/>
  </w:num>
  <w:num w:numId="2">
    <w:abstractNumId w:val="9"/>
  </w:num>
  <w:num w:numId="3">
    <w:abstractNumId w:val="13"/>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0"/>
  </w:num>
  <w:num w:numId="8">
    <w:abstractNumId w:val="10"/>
  </w:num>
  <w:num w:numId="9">
    <w:abstractNumId w:val="8"/>
  </w:num>
  <w:num w:numId="10">
    <w:abstractNumId w:val="11"/>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1"/>
  </w:num>
  <w:num w:numId="32">
    <w:abstractNumId w:val="5"/>
  </w:num>
  <w:num w:numId="33">
    <w:abstractNumId w:val="12"/>
  </w:num>
  <w:num w:numId="34">
    <w:abstractNumId w:val="9"/>
  </w:num>
  <w:num w:numId="35">
    <w:abstractNumId w:val="9"/>
  </w:num>
  <w:num w:numId="36">
    <w:abstractNumId w:val="9"/>
  </w:num>
  <w:num w:numId="37">
    <w:abstractNumId w:val="4"/>
  </w:num>
  <w:num w:numId="38">
    <w:abstractNumId w:val="14"/>
  </w:num>
  <w:num w:numId="39">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38913">
      <o:colormenu v:ext="edit" fillcolor="none [3212]"/>
    </o:shapedefaults>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1CB"/>
    <w:rsid w:val="000016A4"/>
    <w:rsid w:val="000019DB"/>
    <w:rsid w:val="000047CC"/>
    <w:rsid w:val="000120FD"/>
    <w:rsid w:val="00013F5D"/>
    <w:rsid w:val="000164AB"/>
    <w:rsid w:val="00017C7D"/>
    <w:rsid w:val="00021831"/>
    <w:rsid w:val="00027589"/>
    <w:rsid w:val="00027EDB"/>
    <w:rsid w:val="00034868"/>
    <w:rsid w:val="000363B8"/>
    <w:rsid w:val="00037120"/>
    <w:rsid w:val="00041839"/>
    <w:rsid w:val="00047E58"/>
    <w:rsid w:val="00053651"/>
    <w:rsid w:val="00056868"/>
    <w:rsid w:val="00060C7A"/>
    <w:rsid w:val="00065551"/>
    <w:rsid w:val="00071A30"/>
    <w:rsid w:val="00073D20"/>
    <w:rsid w:val="00074E49"/>
    <w:rsid w:val="000755E1"/>
    <w:rsid w:val="000820FA"/>
    <w:rsid w:val="00084713"/>
    <w:rsid w:val="00085541"/>
    <w:rsid w:val="00086E7A"/>
    <w:rsid w:val="00093063"/>
    <w:rsid w:val="00096312"/>
    <w:rsid w:val="000A0E59"/>
    <w:rsid w:val="000A34CE"/>
    <w:rsid w:val="000A3C87"/>
    <w:rsid w:val="000A48A8"/>
    <w:rsid w:val="000A6C16"/>
    <w:rsid w:val="000A7EFC"/>
    <w:rsid w:val="000B1DD4"/>
    <w:rsid w:val="000B631B"/>
    <w:rsid w:val="000B76F9"/>
    <w:rsid w:val="000C1F0A"/>
    <w:rsid w:val="000C2E81"/>
    <w:rsid w:val="000C4AB0"/>
    <w:rsid w:val="000C6058"/>
    <w:rsid w:val="000C65E4"/>
    <w:rsid w:val="000D3410"/>
    <w:rsid w:val="000D42D9"/>
    <w:rsid w:val="000D6F46"/>
    <w:rsid w:val="000E13B9"/>
    <w:rsid w:val="000E24C9"/>
    <w:rsid w:val="000E43DB"/>
    <w:rsid w:val="000E49E0"/>
    <w:rsid w:val="000E507B"/>
    <w:rsid w:val="000E7077"/>
    <w:rsid w:val="000F01F2"/>
    <w:rsid w:val="0010178F"/>
    <w:rsid w:val="001019A0"/>
    <w:rsid w:val="001020BB"/>
    <w:rsid w:val="0010240A"/>
    <w:rsid w:val="00106B72"/>
    <w:rsid w:val="00106B83"/>
    <w:rsid w:val="00114ADB"/>
    <w:rsid w:val="0011750D"/>
    <w:rsid w:val="001202CD"/>
    <w:rsid w:val="00121798"/>
    <w:rsid w:val="001219FB"/>
    <w:rsid w:val="00125C8F"/>
    <w:rsid w:val="00132E93"/>
    <w:rsid w:val="00134A17"/>
    <w:rsid w:val="00134D86"/>
    <w:rsid w:val="001379DA"/>
    <w:rsid w:val="0014072A"/>
    <w:rsid w:val="00140D6D"/>
    <w:rsid w:val="001412DE"/>
    <w:rsid w:val="001433D3"/>
    <w:rsid w:val="00143E8F"/>
    <w:rsid w:val="00144A4D"/>
    <w:rsid w:val="00151351"/>
    <w:rsid w:val="001653CD"/>
    <w:rsid w:val="00165447"/>
    <w:rsid w:val="00165B4C"/>
    <w:rsid w:val="001709F0"/>
    <w:rsid w:val="00174B39"/>
    <w:rsid w:val="00177F08"/>
    <w:rsid w:val="00183D11"/>
    <w:rsid w:val="001850F2"/>
    <w:rsid w:val="0018541D"/>
    <w:rsid w:val="00187F9D"/>
    <w:rsid w:val="00190394"/>
    <w:rsid w:val="00194609"/>
    <w:rsid w:val="001A11B8"/>
    <w:rsid w:val="001A1884"/>
    <w:rsid w:val="001A26F1"/>
    <w:rsid w:val="001A27E8"/>
    <w:rsid w:val="001A431C"/>
    <w:rsid w:val="001A70EF"/>
    <w:rsid w:val="001A76B5"/>
    <w:rsid w:val="001B14A0"/>
    <w:rsid w:val="001B2F76"/>
    <w:rsid w:val="001B3587"/>
    <w:rsid w:val="001B3AB8"/>
    <w:rsid w:val="001B4D5B"/>
    <w:rsid w:val="001B72F3"/>
    <w:rsid w:val="001B7308"/>
    <w:rsid w:val="001B7DCC"/>
    <w:rsid w:val="001C067F"/>
    <w:rsid w:val="001C1380"/>
    <w:rsid w:val="001C204F"/>
    <w:rsid w:val="001C6A51"/>
    <w:rsid w:val="001D00B5"/>
    <w:rsid w:val="001D0464"/>
    <w:rsid w:val="001D11C1"/>
    <w:rsid w:val="001D3B29"/>
    <w:rsid w:val="001D59C8"/>
    <w:rsid w:val="001D7564"/>
    <w:rsid w:val="001E390D"/>
    <w:rsid w:val="001E43B0"/>
    <w:rsid w:val="001E4EEB"/>
    <w:rsid w:val="001E516E"/>
    <w:rsid w:val="001E6026"/>
    <w:rsid w:val="001E6BCD"/>
    <w:rsid w:val="001F2A2E"/>
    <w:rsid w:val="001F3696"/>
    <w:rsid w:val="001F37CA"/>
    <w:rsid w:val="001F4E3D"/>
    <w:rsid w:val="00201258"/>
    <w:rsid w:val="002014DA"/>
    <w:rsid w:val="00203838"/>
    <w:rsid w:val="00203C30"/>
    <w:rsid w:val="00203E37"/>
    <w:rsid w:val="00204B37"/>
    <w:rsid w:val="00205538"/>
    <w:rsid w:val="002062DD"/>
    <w:rsid w:val="002064F8"/>
    <w:rsid w:val="002119C5"/>
    <w:rsid w:val="0021575B"/>
    <w:rsid w:val="00215856"/>
    <w:rsid w:val="00215A00"/>
    <w:rsid w:val="00216060"/>
    <w:rsid w:val="00223BD5"/>
    <w:rsid w:val="0022663D"/>
    <w:rsid w:val="0023248D"/>
    <w:rsid w:val="00237E43"/>
    <w:rsid w:val="0024008D"/>
    <w:rsid w:val="00244CEA"/>
    <w:rsid w:val="00244E94"/>
    <w:rsid w:val="00251081"/>
    <w:rsid w:val="00251C9B"/>
    <w:rsid w:val="0025264E"/>
    <w:rsid w:val="00253348"/>
    <w:rsid w:val="002545D9"/>
    <w:rsid w:val="00265679"/>
    <w:rsid w:val="00267AED"/>
    <w:rsid w:val="002703AE"/>
    <w:rsid w:val="0027198B"/>
    <w:rsid w:val="00273797"/>
    <w:rsid w:val="00273FCC"/>
    <w:rsid w:val="00277F70"/>
    <w:rsid w:val="00280489"/>
    <w:rsid w:val="002827E7"/>
    <w:rsid w:val="00283B1E"/>
    <w:rsid w:val="00285910"/>
    <w:rsid w:val="00286C0C"/>
    <w:rsid w:val="002908FD"/>
    <w:rsid w:val="00290D5F"/>
    <w:rsid w:val="00292683"/>
    <w:rsid w:val="00292DE8"/>
    <w:rsid w:val="002938F2"/>
    <w:rsid w:val="00294639"/>
    <w:rsid w:val="00295074"/>
    <w:rsid w:val="00295704"/>
    <w:rsid w:val="0029674F"/>
    <w:rsid w:val="00297EC3"/>
    <w:rsid w:val="002A09C5"/>
    <w:rsid w:val="002A16B2"/>
    <w:rsid w:val="002A69EB"/>
    <w:rsid w:val="002B0997"/>
    <w:rsid w:val="002B1C5B"/>
    <w:rsid w:val="002B30FF"/>
    <w:rsid w:val="002B4730"/>
    <w:rsid w:val="002B5AD0"/>
    <w:rsid w:val="002B7155"/>
    <w:rsid w:val="002B7D91"/>
    <w:rsid w:val="002C1713"/>
    <w:rsid w:val="002C5280"/>
    <w:rsid w:val="002C5413"/>
    <w:rsid w:val="002D1F8A"/>
    <w:rsid w:val="002D396D"/>
    <w:rsid w:val="002E11DC"/>
    <w:rsid w:val="002E2721"/>
    <w:rsid w:val="002E30B6"/>
    <w:rsid w:val="002E666D"/>
    <w:rsid w:val="002F7F01"/>
    <w:rsid w:val="0030362D"/>
    <w:rsid w:val="00304F3C"/>
    <w:rsid w:val="00305C32"/>
    <w:rsid w:val="003063CD"/>
    <w:rsid w:val="00306E0D"/>
    <w:rsid w:val="00306EF6"/>
    <w:rsid w:val="00307043"/>
    <w:rsid w:val="00311786"/>
    <w:rsid w:val="003147AF"/>
    <w:rsid w:val="00316433"/>
    <w:rsid w:val="00321133"/>
    <w:rsid w:val="00323734"/>
    <w:rsid w:val="003262E5"/>
    <w:rsid w:val="0032757F"/>
    <w:rsid w:val="00330005"/>
    <w:rsid w:val="0033218D"/>
    <w:rsid w:val="0033263E"/>
    <w:rsid w:val="00333153"/>
    <w:rsid w:val="00334A65"/>
    <w:rsid w:val="00337D9F"/>
    <w:rsid w:val="00340270"/>
    <w:rsid w:val="0034096E"/>
    <w:rsid w:val="00341185"/>
    <w:rsid w:val="0034394D"/>
    <w:rsid w:val="0034784B"/>
    <w:rsid w:val="00353A69"/>
    <w:rsid w:val="0035565E"/>
    <w:rsid w:val="0035648A"/>
    <w:rsid w:val="003604BE"/>
    <w:rsid w:val="00361291"/>
    <w:rsid w:val="003626B1"/>
    <w:rsid w:val="00363995"/>
    <w:rsid w:val="003655E0"/>
    <w:rsid w:val="00365B94"/>
    <w:rsid w:val="00365D2D"/>
    <w:rsid w:val="00367B88"/>
    <w:rsid w:val="00370EF2"/>
    <w:rsid w:val="0037642A"/>
    <w:rsid w:val="00381168"/>
    <w:rsid w:val="00381827"/>
    <w:rsid w:val="003828B7"/>
    <w:rsid w:val="00383131"/>
    <w:rsid w:val="00390077"/>
    <w:rsid w:val="0039446E"/>
    <w:rsid w:val="003972D5"/>
    <w:rsid w:val="003A4F7D"/>
    <w:rsid w:val="003B0739"/>
    <w:rsid w:val="003B0989"/>
    <w:rsid w:val="003B45FF"/>
    <w:rsid w:val="003B4E02"/>
    <w:rsid w:val="003B5599"/>
    <w:rsid w:val="003B669E"/>
    <w:rsid w:val="003C25E5"/>
    <w:rsid w:val="003C299C"/>
    <w:rsid w:val="003C3CEC"/>
    <w:rsid w:val="003C7065"/>
    <w:rsid w:val="003D020A"/>
    <w:rsid w:val="003D16F6"/>
    <w:rsid w:val="003D325F"/>
    <w:rsid w:val="003D4DB8"/>
    <w:rsid w:val="003E01D6"/>
    <w:rsid w:val="003E2204"/>
    <w:rsid w:val="003E5503"/>
    <w:rsid w:val="003F23F7"/>
    <w:rsid w:val="003F5061"/>
    <w:rsid w:val="003F67FB"/>
    <w:rsid w:val="00401F1C"/>
    <w:rsid w:val="00404BB0"/>
    <w:rsid w:val="00406BB5"/>
    <w:rsid w:val="00410575"/>
    <w:rsid w:val="004108B6"/>
    <w:rsid w:val="004128AA"/>
    <w:rsid w:val="004172CE"/>
    <w:rsid w:val="0042014E"/>
    <w:rsid w:val="0042789D"/>
    <w:rsid w:val="00434773"/>
    <w:rsid w:val="004357D2"/>
    <w:rsid w:val="00435AD8"/>
    <w:rsid w:val="004379A8"/>
    <w:rsid w:val="004419EA"/>
    <w:rsid w:val="004468CE"/>
    <w:rsid w:val="004471AD"/>
    <w:rsid w:val="00447273"/>
    <w:rsid w:val="00447C66"/>
    <w:rsid w:val="004514E3"/>
    <w:rsid w:val="0045222D"/>
    <w:rsid w:val="0045736D"/>
    <w:rsid w:val="0046220B"/>
    <w:rsid w:val="004649E6"/>
    <w:rsid w:val="004658A9"/>
    <w:rsid w:val="00471B34"/>
    <w:rsid w:val="00475223"/>
    <w:rsid w:val="004773E1"/>
    <w:rsid w:val="00477EE6"/>
    <w:rsid w:val="004840D3"/>
    <w:rsid w:val="00491988"/>
    <w:rsid w:val="00492180"/>
    <w:rsid w:val="00494A7A"/>
    <w:rsid w:val="004964DC"/>
    <w:rsid w:val="00496CBB"/>
    <w:rsid w:val="004A04D4"/>
    <w:rsid w:val="004A0A80"/>
    <w:rsid w:val="004A1F89"/>
    <w:rsid w:val="004A29E9"/>
    <w:rsid w:val="004A344C"/>
    <w:rsid w:val="004B6CF3"/>
    <w:rsid w:val="004C06E4"/>
    <w:rsid w:val="004C10DA"/>
    <w:rsid w:val="004C1E0C"/>
    <w:rsid w:val="004C2D1C"/>
    <w:rsid w:val="004C51DE"/>
    <w:rsid w:val="004D0BC5"/>
    <w:rsid w:val="004D2CCB"/>
    <w:rsid w:val="004D3FAB"/>
    <w:rsid w:val="004E01B5"/>
    <w:rsid w:val="004E056C"/>
    <w:rsid w:val="004E2817"/>
    <w:rsid w:val="004E4EC7"/>
    <w:rsid w:val="004F0754"/>
    <w:rsid w:val="004F09A3"/>
    <w:rsid w:val="004F1FE3"/>
    <w:rsid w:val="004F21F7"/>
    <w:rsid w:val="004F402E"/>
    <w:rsid w:val="004F7CAD"/>
    <w:rsid w:val="005016FB"/>
    <w:rsid w:val="00501AEB"/>
    <w:rsid w:val="00502D6B"/>
    <w:rsid w:val="005069D7"/>
    <w:rsid w:val="00507ED3"/>
    <w:rsid w:val="00511701"/>
    <w:rsid w:val="00511D17"/>
    <w:rsid w:val="00511F98"/>
    <w:rsid w:val="00513099"/>
    <w:rsid w:val="0051699F"/>
    <w:rsid w:val="005175E9"/>
    <w:rsid w:val="0053057A"/>
    <w:rsid w:val="005369E0"/>
    <w:rsid w:val="00540C17"/>
    <w:rsid w:val="005414A1"/>
    <w:rsid w:val="0055063A"/>
    <w:rsid w:val="0055412A"/>
    <w:rsid w:val="00556D44"/>
    <w:rsid w:val="005574A0"/>
    <w:rsid w:val="005613F0"/>
    <w:rsid w:val="005616F1"/>
    <w:rsid w:val="00561AE0"/>
    <w:rsid w:val="00562312"/>
    <w:rsid w:val="00563DDD"/>
    <w:rsid w:val="00565CBA"/>
    <w:rsid w:val="00572103"/>
    <w:rsid w:val="005729DC"/>
    <w:rsid w:val="005739A2"/>
    <w:rsid w:val="005908B4"/>
    <w:rsid w:val="00590918"/>
    <w:rsid w:val="00595B97"/>
    <w:rsid w:val="005A1645"/>
    <w:rsid w:val="005A193A"/>
    <w:rsid w:val="005A53B0"/>
    <w:rsid w:val="005A56DF"/>
    <w:rsid w:val="005A6868"/>
    <w:rsid w:val="005B2515"/>
    <w:rsid w:val="005B3E12"/>
    <w:rsid w:val="005C041C"/>
    <w:rsid w:val="005C0660"/>
    <w:rsid w:val="005C2009"/>
    <w:rsid w:val="005C36CD"/>
    <w:rsid w:val="005C44B9"/>
    <w:rsid w:val="005C51CC"/>
    <w:rsid w:val="005C6C1B"/>
    <w:rsid w:val="005D019C"/>
    <w:rsid w:val="005D0AEB"/>
    <w:rsid w:val="005D1AB0"/>
    <w:rsid w:val="005D2844"/>
    <w:rsid w:val="005E34F9"/>
    <w:rsid w:val="005F6415"/>
    <w:rsid w:val="005F7DAB"/>
    <w:rsid w:val="006008BE"/>
    <w:rsid w:val="00601DD6"/>
    <w:rsid w:val="00603F71"/>
    <w:rsid w:val="006125CD"/>
    <w:rsid w:val="00615808"/>
    <w:rsid w:val="00620DF8"/>
    <w:rsid w:val="00621588"/>
    <w:rsid w:val="00621CD1"/>
    <w:rsid w:val="00624523"/>
    <w:rsid w:val="00630DA3"/>
    <w:rsid w:val="0063175F"/>
    <w:rsid w:val="006327ED"/>
    <w:rsid w:val="00633199"/>
    <w:rsid w:val="006340B1"/>
    <w:rsid w:val="00634BF8"/>
    <w:rsid w:val="00635222"/>
    <w:rsid w:val="0063527F"/>
    <w:rsid w:val="00635EA9"/>
    <w:rsid w:val="00636760"/>
    <w:rsid w:val="006432D6"/>
    <w:rsid w:val="006436D7"/>
    <w:rsid w:val="006515C9"/>
    <w:rsid w:val="00652318"/>
    <w:rsid w:val="006530D3"/>
    <w:rsid w:val="006557D3"/>
    <w:rsid w:val="00660523"/>
    <w:rsid w:val="00662B0F"/>
    <w:rsid w:val="00664ADF"/>
    <w:rsid w:val="0067005F"/>
    <w:rsid w:val="00672C5A"/>
    <w:rsid w:val="00686DB8"/>
    <w:rsid w:val="00687C6E"/>
    <w:rsid w:val="006929F9"/>
    <w:rsid w:val="00693ADD"/>
    <w:rsid w:val="00693F84"/>
    <w:rsid w:val="006A0D86"/>
    <w:rsid w:val="006A4ADE"/>
    <w:rsid w:val="006A4D78"/>
    <w:rsid w:val="006A5843"/>
    <w:rsid w:val="006B0F10"/>
    <w:rsid w:val="006B28B4"/>
    <w:rsid w:val="006B349F"/>
    <w:rsid w:val="006C0911"/>
    <w:rsid w:val="006D46FB"/>
    <w:rsid w:val="006E1DA6"/>
    <w:rsid w:val="006E3647"/>
    <w:rsid w:val="006F3B39"/>
    <w:rsid w:val="00700FE4"/>
    <w:rsid w:val="00705E7D"/>
    <w:rsid w:val="007133F8"/>
    <w:rsid w:val="00714A80"/>
    <w:rsid w:val="00715F9E"/>
    <w:rsid w:val="00716D62"/>
    <w:rsid w:val="0072480D"/>
    <w:rsid w:val="007250E3"/>
    <w:rsid w:val="00733C1E"/>
    <w:rsid w:val="0074490E"/>
    <w:rsid w:val="00744E31"/>
    <w:rsid w:val="00746204"/>
    <w:rsid w:val="00747715"/>
    <w:rsid w:val="007500AD"/>
    <w:rsid w:val="00750138"/>
    <w:rsid w:val="00751DDC"/>
    <w:rsid w:val="007527C6"/>
    <w:rsid w:val="00753615"/>
    <w:rsid w:val="00753D58"/>
    <w:rsid w:val="00753DA3"/>
    <w:rsid w:val="00753FEA"/>
    <w:rsid w:val="0075414B"/>
    <w:rsid w:val="007554F0"/>
    <w:rsid w:val="00757846"/>
    <w:rsid w:val="00761940"/>
    <w:rsid w:val="00764F50"/>
    <w:rsid w:val="00770A92"/>
    <w:rsid w:val="00772CE1"/>
    <w:rsid w:val="00774782"/>
    <w:rsid w:val="00776225"/>
    <w:rsid w:val="0077635E"/>
    <w:rsid w:val="00781638"/>
    <w:rsid w:val="00786B8F"/>
    <w:rsid w:val="00787D60"/>
    <w:rsid w:val="007908D8"/>
    <w:rsid w:val="00790C65"/>
    <w:rsid w:val="00794C80"/>
    <w:rsid w:val="0079717B"/>
    <w:rsid w:val="007A1845"/>
    <w:rsid w:val="007A4F86"/>
    <w:rsid w:val="007A5074"/>
    <w:rsid w:val="007A7557"/>
    <w:rsid w:val="007A7D45"/>
    <w:rsid w:val="007B018C"/>
    <w:rsid w:val="007B210A"/>
    <w:rsid w:val="007B43F7"/>
    <w:rsid w:val="007B44CC"/>
    <w:rsid w:val="007B76FE"/>
    <w:rsid w:val="007B783A"/>
    <w:rsid w:val="007C1B00"/>
    <w:rsid w:val="007C23D4"/>
    <w:rsid w:val="007C6183"/>
    <w:rsid w:val="007C72B0"/>
    <w:rsid w:val="007D2B08"/>
    <w:rsid w:val="007D31CE"/>
    <w:rsid w:val="007D3C4C"/>
    <w:rsid w:val="007D5BB7"/>
    <w:rsid w:val="007D6437"/>
    <w:rsid w:val="007E0621"/>
    <w:rsid w:val="007E4E37"/>
    <w:rsid w:val="007E70C3"/>
    <w:rsid w:val="007E7CBE"/>
    <w:rsid w:val="007F4B07"/>
    <w:rsid w:val="007F5EB2"/>
    <w:rsid w:val="007F7F90"/>
    <w:rsid w:val="00803D53"/>
    <w:rsid w:val="00804DA8"/>
    <w:rsid w:val="008072D8"/>
    <w:rsid w:val="00807F18"/>
    <w:rsid w:val="00810B94"/>
    <w:rsid w:val="008122F4"/>
    <w:rsid w:val="00812564"/>
    <w:rsid w:val="008127BE"/>
    <w:rsid w:val="008158FC"/>
    <w:rsid w:val="00815CF8"/>
    <w:rsid w:val="0082312E"/>
    <w:rsid w:val="0082722E"/>
    <w:rsid w:val="00830A0D"/>
    <w:rsid w:val="00830C67"/>
    <w:rsid w:val="00832B4D"/>
    <w:rsid w:val="008336B0"/>
    <w:rsid w:val="00834333"/>
    <w:rsid w:val="0083488D"/>
    <w:rsid w:val="0083532D"/>
    <w:rsid w:val="0083648C"/>
    <w:rsid w:val="00837293"/>
    <w:rsid w:val="0083737D"/>
    <w:rsid w:val="00840388"/>
    <w:rsid w:val="00841CDA"/>
    <w:rsid w:val="00842C4E"/>
    <w:rsid w:val="00843A5C"/>
    <w:rsid w:val="00843B71"/>
    <w:rsid w:val="008466C3"/>
    <w:rsid w:val="0084707B"/>
    <w:rsid w:val="0085008F"/>
    <w:rsid w:val="00851458"/>
    <w:rsid w:val="00860EE1"/>
    <w:rsid w:val="008617C9"/>
    <w:rsid w:val="00861A47"/>
    <w:rsid w:val="00861B3F"/>
    <w:rsid w:val="0086385A"/>
    <w:rsid w:val="0086523F"/>
    <w:rsid w:val="00865459"/>
    <w:rsid w:val="00866059"/>
    <w:rsid w:val="00866657"/>
    <w:rsid w:val="00867A55"/>
    <w:rsid w:val="00867CEB"/>
    <w:rsid w:val="008707FF"/>
    <w:rsid w:val="00870C95"/>
    <w:rsid w:val="00871014"/>
    <w:rsid w:val="008724E5"/>
    <w:rsid w:val="008743CC"/>
    <w:rsid w:val="00880CD3"/>
    <w:rsid w:val="00883691"/>
    <w:rsid w:val="008837E1"/>
    <w:rsid w:val="00884042"/>
    <w:rsid w:val="00891A2D"/>
    <w:rsid w:val="0089383F"/>
    <w:rsid w:val="00895D24"/>
    <w:rsid w:val="0089725B"/>
    <w:rsid w:val="008A3DEA"/>
    <w:rsid w:val="008A430B"/>
    <w:rsid w:val="008A4D1D"/>
    <w:rsid w:val="008A5FB2"/>
    <w:rsid w:val="008A6551"/>
    <w:rsid w:val="008A6CCE"/>
    <w:rsid w:val="008B06AB"/>
    <w:rsid w:val="008B7346"/>
    <w:rsid w:val="008C0321"/>
    <w:rsid w:val="008C06D5"/>
    <w:rsid w:val="008C06DF"/>
    <w:rsid w:val="008C0F27"/>
    <w:rsid w:val="008C3E6E"/>
    <w:rsid w:val="008C5ECC"/>
    <w:rsid w:val="008C60E2"/>
    <w:rsid w:val="008D2939"/>
    <w:rsid w:val="008D3BF7"/>
    <w:rsid w:val="008D48FA"/>
    <w:rsid w:val="008D7EB0"/>
    <w:rsid w:val="008E28E5"/>
    <w:rsid w:val="008E2A75"/>
    <w:rsid w:val="008E4345"/>
    <w:rsid w:val="008E7245"/>
    <w:rsid w:val="008E7E40"/>
    <w:rsid w:val="008F16C6"/>
    <w:rsid w:val="008F2504"/>
    <w:rsid w:val="008F34A1"/>
    <w:rsid w:val="008F4399"/>
    <w:rsid w:val="008F62F6"/>
    <w:rsid w:val="008F6AA6"/>
    <w:rsid w:val="008F7303"/>
    <w:rsid w:val="00900AAB"/>
    <w:rsid w:val="00901EEB"/>
    <w:rsid w:val="009037E5"/>
    <w:rsid w:val="009121CE"/>
    <w:rsid w:val="009127D8"/>
    <w:rsid w:val="009160EB"/>
    <w:rsid w:val="009214E3"/>
    <w:rsid w:val="00921F65"/>
    <w:rsid w:val="009225D9"/>
    <w:rsid w:val="009234A2"/>
    <w:rsid w:val="009235FA"/>
    <w:rsid w:val="00925332"/>
    <w:rsid w:val="009264BE"/>
    <w:rsid w:val="00927FE5"/>
    <w:rsid w:val="009358F1"/>
    <w:rsid w:val="009443E0"/>
    <w:rsid w:val="009459E2"/>
    <w:rsid w:val="009526F1"/>
    <w:rsid w:val="00961C85"/>
    <w:rsid w:val="00964AF6"/>
    <w:rsid w:val="009710B5"/>
    <w:rsid w:val="00971B94"/>
    <w:rsid w:val="0097349C"/>
    <w:rsid w:val="00973BB5"/>
    <w:rsid w:val="00975903"/>
    <w:rsid w:val="00981106"/>
    <w:rsid w:val="009847D0"/>
    <w:rsid w:val="00985D15"/>
    <w:rsid w:val="00990183"/>
    <w:rsid w:val="00990259"/>
    <w:rsid w:val="00991932"/>
    <w:rsid w:val="00992DB6"/>
    <w:rsid w:val="0099564A"/>
    <w:rsid w:val="009A57B5"/>
    <w:rsid w:val="009B4F53"/>
    <w:rsid w:val="009B70CA"/>
    <w:rsid w:val="009B73B0"/>
    <w:rsid w:val="009D17C1"/>
    <w:rsid w:val="009D221B"/>
    <w:rsid w:val="009D4547"/>
    <w:rsid w:val="009D5E38"/>
    <w:rsid w:val="009E111D"/>
    <w:rsid w:val="009E1B3E"/>
    <w:rsid w:val="009E7965"/>
    <w:rsid w:val="009F34A4"/>
    <w:rsid w:val="009F3988"/>
    <w:rsid w:val="00A00D55"/>
    <w:rsid w:val="00A13D3F"/>
    <w:rsid w:val="00A141F4"/>
    <w:rsid w:val="00A150C7"/>
    <w:rsid w:val="00A16033"/>
    <w:rsid w:val="00A161C5"/>
    <w:rsid w:val="00A2330B"/>
    <w:rsid w:val="00A40446"/>
    <w:rsid w:val="00A4430F"/>
    <w:rsid w:val="00A44C01"/>
    <w:rsid w:val="00A44CD4"/>
    <w:rsid w:val="00A519A2"/>
    <w:rsid w:val="00A51CF4"/>
    <w:rsid w:val="00A52B94"/>
    <w:rsid w:val="00A5334F"/>
    <w:rsid w:val="00A54E19"/>
    <w:rsid w:val="00A5567F"/>
    <w:rsid w:val="00A5601D"/>
    <w:rsid w:val="00A67A3B"/>
    <w:rsid w:val="00A70883"/>
    <w:rsid w:val="00A715CE"/>
    <w:rsid w:val="00A73040"/>
    <w:rsid w:val="00A731B0"/>
    <w:rsid w:val="00A74EF8"/>
    <w:rsid w:val="00A77AEB"/>
    <w:rsid w:val="00A83DED"/>
    <w:rsid w:val="00A85656"/>
    <w:rsid w:val="00A86042"/>
    <w:rsid w:val="00A86585"/>
    <w:rsid w:val="00A908EE"/>
    <w:rsid w:val="00A94860"/>
    <w:rsid w:val="00A955DA"/>
    <w:rsid w:val="00A96316"/>
    <w:rsid w:val="00A96363"/>
    <w:rsid w:val="00AA444A"/>
    <w:rsid w:val="00AA44C2"/>
    <w:rsid w:val="00AA4B99"/>
    <w:rsid w:val="00AA661D"/>
    <w:rsid w:val="00AA6E27"/>
    <w:rsid w:val="00AA7289"/>
    <w:rsid w:val="00AA7BC3"/>
    <w:rsid w:val="00AB1305"/>
    <w:rsid w:val="00AB1528"/>
    <w:rsid w:val="00AB297A"/>
    <w:rsid w:val="00AB3BB4"/>
    <w:rsid w:val="00AC0C6E"/>
    <w:rsid w:val="00AC0D85"/>
    <w:rsid w:val="00AC307D"/>
    <w:rsid w:val="00AC56AB"/>
    <w:rsid w:val="00AD0B1C"/>
    <w:rsid w:val="00AD2FD9"/>
    <w:rsid w:val="00AD3E07"/>
    <w:rsid w:val="00AD703D"/>
    <w:rsid w:val="00AE0919"/>
    <w:rsid w:val="00AE1AA6"/>
    <w:rsid w:val="00AE1B18"/>
    <w:rsid w:val="00AE31B9"/>
    <w:rsid w:val="00AE5232"/>
    <w:rsid w:val="00AF1C32"/>
    <w:rsid w:val="00AF5857"/>
    <w:rsid w:val="00AF6F11"/>
    <w:rsid w:val="00B01F99"/>
    <w:rsid w:val="00B0442F"/>
    <w:rsid w:val="00B05FAD"/>
    <w:rsid w:val="00B10E01"/>
    <w:rsid w:val="00B10ECE"/>
    <w:rsid w:val="00B11AE3"/>
    <w:rsid w:val="00B1398C"/>
    <w:rsid w:val="00B14A39"/>
    <w:rsid w:val="00B234E7"/>
    <w:rsid w:val="00B25357"/>
    <w:rsid w:val="00B25C8D"/>
    <w:rsid w:val="00B30246"/>
    <w:rsid w:val="00B307BD"/>
    <w:rsid w:val="00B3212A"/>
    <w:rsid w:val="00B348EC"/>
    <w:rsid w:val="00B41614"/>
    <w:rsid w:val="00B43C94"/>
    <w:rsid w:val="00B452F7"/>
    <w:rsid w:val="00B46C04"/>
    <w:rsid w:val="00B5152C"/>
    <w:rsid w:val="00B52922"/>
    <w:rsid w:val="00B56891"/>
    <w:rsid w:val="00B6167A"/>
    <w:rsid w:val="00B6785F"/>
    <w:rsid w:val="00B714AB"/>
    <w:rsid w:val="00B739D2"/>
    <w:rsid w:val="00B806EF"/>
    <w:rsid w:val="00B8793E"/>
    <w:rsid w:val="00B973B5"/>
    <w:rsid w:val="00BA0352"/>
    <w:rsid w:val="00BA06B8"/>
    <w:rsid w:val="00BA1F8B"/>
    <w:rsid w:val="00BA23D2"/>
    <w:rsid w:val="00BA243A"/>
    <w:rsid w:val="00BA57A5"/>
    <w:rsid w:val="00BA65DD"/>
    <w:rsid w:val="00BB2536"/>
    <w:rsid w:val="00BB2EFB"/>
    <w:rsid w:val="00BB3E67"/>
    <w:rsid w:val="00BB3FBB"/>
    <w:rsid w:val="00BC00AF"/>
    <w:rsid w:val="00BD0E35"/>
    <w:rsid w:val="00BD4416"/>
    <w:rsid w:val="00BD4C28"/>
    <w:rsid w:val="00BD5947"/>
    <w:rsid w:val="00BD59BD"/>
    <w:rsid w:val="00BD73D1"/>
    <w:rsid w:val="00BD790F"/>
    <w:rsid w:val="00BF082F"/>
    <w:rsid w:val="00BF40F2"/>
    <w:rsid w:val="00C10FB8"/>
    <w:rsid w:val="00C1289D"/>
    <w:rsid w:val="00C14E4A"/>
    <w:rsid w:val="00C231CB"/>
    <w:rsid w:val="00C240A3"/>
    <w:rsid w:val="00C24E7B"/>
    <w:rsid w:val="00C26EE2"/>
    <w:rsid w:val="00C3451D"/>
    <w:rsid w:val="00C3532A"/>
    <w:rsid w:val="00C36BEB"/>
    <w:rsid w:val="00C465F7"/>
    <w:rsid w:val="00C50C40"/>
    <w:rsid w:val="00C53355"/>
    <w:rsid w:val="00C630D8"/>
    <w:rsid w:val="00C63551"/>
    <w:rsid w:val="00C6478B"/>
    <w:rsid w:val="00C6631C"/>
    <w:rsid w:val="00C716F3"/>
    <w:rsid w:val="00C71A77"/>
    <w:rsid w:val="00C73BC4"/>
    <w:rsid w:val="00C75AFF"/>
    <w:rsid w:val="00C77DD8"/>
    <w:rsid w:val="00C81439"/>
    <w:rsid w:val="00C84157"/>
    <w:rsid w:val="00C85CEB"/>
    <w:rsid w:val="00C87036"/>
    <w:rsid w:val="00C93A0A"/>
    <w:rsid w:val="00C94C85"/>
    <w:rsid w:val="00CA078D"/>
    <w:rsid w:val="00CA6FEF"/>
    <w:rsid w:val="00CB0DCC"/>
    <w:rsid w:val="00CB0F37"/>
    <w:rsid w:val="00CB500D"/>
    <w:rsid w:val="00CB644A"/>
    <w:rsid w:val="00CB68B7"/>
    <w:rsid w:val="00CC2BC6"/>
    <w:rsid w:val="00CC6253"/>
    <w:rsid w:val="00CC6DAF"/>
    <w:rsid w:val="00CD703D"/>
    <w:rsid w:val="00CD7990"/>
    <w:rsid w:val="00CE214C"/>
    <w:rsid w:val="00CE2586"/>
    <w:rsid w:val="00CE3D53"/>
    <w:rsid w:val="00CE7428"/>
    <w:rsid w:val="00CF3D3B"/>
    <w:rsid w:val="00CF4D87"/>
    <w:rsid w:val="00CF754A"/>
    <w:rsid w:val="00CF7C7E"/>
    <w:rsid w:val="00CF7DA9"/>
    <w:rsid w:val="00D0184F"/>
    <w:rsid w:val="00D01A30"/>
    <w:rsid w:val="00D043F4"/>
    <w:rsid w:val="00D04482"/>
    <w:rsid w:val="00D063D3"/>
    <w:rsid w:val="00D14DCD"/>
    <w:rsid w:val="00D156D1"/>
    <w:rsid w:val="00D1609B"/>
    <w:rsid w:val="00D27DE0"/>
    <w:rsid w:val="00D3189C"/>
    <w:rsid w:val="00D321BF"/>
    <w:rsid w:val="00D3387D"/>
    <w:rsid w:val="00D34A6D"/>
    <w:rsid w:val="00D35DB1"/>
    <w:rsid w:val="00D36B7C"/>
    <w:rsid w:val="00D36EF9"/>
    <w:rsid w:val="00D36FD7"/>
    <w:rsid w:val="00D37F86"/>
    <w:rsid w:val="00D404B7"/>
    <w:rsid w:val="00D46C86"/>
    <w:rsid w:val="00D4737F"/>
    <w:rsid w:val="00D554EC"/>
    <w:rsid w:val="00D571CE"/>
    <w:rsid w:val="00D578EB"/>
    <w:rsid w:val="00D57D6C"/>
    <w:rsid w:val="00D61666"/>
    <w:rsid w:val="00D62F79"/>
    <w:rsid w:val="00D63398"/>
    <w:rsid w:val="00D65586"/>
    <w:rsid w:val="00D67C00"/>
    <w:rsid w:val="00D70FCF"/>
    <w:rsid w:val="00D72239"/>
    <w:rsid w:val="00D809E5"/>
    <w:rsid w:val="00D81948"/>
    <w:rsid w:val="00D86BF5"/>
    <w:rsid w:val="00D910EC"/>
    <w:rsid w:val="00D93A36"/>
    <w:rsid w:val="00D93C0F"/>
    <w:rsid w:val="00D9501F"/>
    <w:rsid w:val="00D969DF"/>
    <w:rsid w:val="00DA76E9"/>
    <w:rsid w:val="00DA7F27"/>
    <w:rsid w:val="00DB47DE"/>
    <w:rsid w:val="00DB50D5"/>
    <w:rsid w:val="00DB59E2"/>
    <w:rsid w:val="00DC0424"/>
    <w:rsid w:val="00DC26B4"/>
    <w:rsid w:val="00DC5348"/>
    <w:rsid w:val="00DC7230"/>
    <w:rsid w:val="00DE1DF1"/>
    <w:rsid w:val="00DF05B6"/>
    <w:rsid w:val="00DF06A3"/>
    <w:rsid w:val="00DF3DA3"/>
    <w:rsid w:val="00DF581A"/>
    <w:rsid w:val="00DF6C88"/>
    <w:rsid w:val="00E00EB9"/>
    <w:rsid w:val="00E04139"/>
    <w:rsid w:val="00E0679C"/>
    <w:rsid w:val="00E06A00"/>
    <w:rsid w:val="00E109C6"/>
    <w:rsid w:val="00E12D11"/>
    <w:rsid w:val="00E15D2C"/>
    <w:rsid w:val="00E17DFF"/>
    <w:rsid w:val="00E22B99"/>
    <w:rsid w:val="00E237C6"/>
    <w:rsid w:val="00E258D9"/>
    <w:rsid w:val="00E3533D"/>
    <w:rsid w:val="00E37B70"/>
    <w:rsid w:val="00E422F2"/>
    <w:rsid w:val="00E439CA"/>
    <w:rsid w:val="00E4487F"/>
    <w:rsid w:val="00E44C98"/>
    <w:rsid w:val="00E46393"/>
    <w:rsid w:val="00E47C00"/>
    <w:rsid w:val="00E50017"/>
    <w:rsid w:val="00E502B8"/>
    <w:rsid w:val="00E5219B"/>
    <w:rsid w:val="00E52504"/>
    <w:rsid w:val="00E5367C"/>
    <w:rsid w:val="00E54C26"/>
    <w:rsid w:val="00E56B35"/>
    <w:rsid w:val="00E61F43"/>
    <w:rsid w:val="00E64EDF"/>
    <w:rsid w:val="00E65AFB"/>
    <w:rsid w:val="00E65FDD"/>
    <w:rsid w:val="00E71491"/>
    <w:rsid w:val="00E7419E"/>
    <w:rsid w:val="00E75AD5"/>
    <w:rsid w:val="00E807DE"/>
    <w:rsid w:val="00E824FB"/>
    <w:rsid w:val="00E83153"/>
    <w:rsid w:val="00E85DB9"/>
    <w:rsid w:val="00E86BC5"/>
    <w:rsid w:val="00E91EDF"/>
    <w:rsid w:val="00E92B90"/>
    <w:rsid w:val="00E937F7"/>
    <w:rsid w:val="00E95C59"/>
    <w:rsid w:val="00EA0C37"/>
    <w:rsid w:val="00EA176B"/>
    <w:rsid w:val="00EA198F"/>
    <w:rsid w:val="00EA1C6F"/>
    <w:rsid w:val="00EA48C0"/>
    <w:rsid w:val="00EB54BC"/>
    <w:rsid w:val="00EB5832"/>
    <w:rsid w:val="00EB5EE6"/>
    <w:rsid w:val="00EB6263"/>
    <w:rsid w:val="00EC57AF"/>
    <w:rsid w:val="00EC6B25"/>
    <w:rsid w:val="00ED0424"/>
    <w:rsid w:val="00ED0846"/>
    <w:rsid w:val="00ED1D90"/>
    <w:rsid w:val="00ED236E"/>
    <w:rsid w:val="00ED4470"/>
    <w:rsid w:val="00ED69A1"/>
    <w:rsid w:val="00ED6A6C"/>
    <w:rsid w:val="00ED73CC"/>
    <w:rsid w:val="00EE43BF"/>
    <w:rsid w:val="00EE4C94"/>
    <w:rsid w:val="00EE65C5"/>
    <w:rsid w:val="00EE76D8"/>
    <w:rsid w:val="00EF0BCB"/>
    <w:rsid w:val="00EF0E74"/>
    <w:rsid w:val="00EF0E85"/>
    <w:rsid w:val="00EF2D6F"/>
    <w:rsid w:val="00EF37FC"/>
    <w:rsid w:val="00EF3800"/>
    <w:rsid w:val="00EF4387"/>
    <w:rsid w:val="00EF563B"/>
    <w:rsid w:val="00F00E8A"/>
    <w:rsid w:val="00F01C3E"/>
    <w:rsid w:val="00F05D28"/>
    <w:rsid w:val="00F063AD"/>
    <w:rsid w:val="00F10CD4"/>
    <w:rsid w:val="00F2060F"/>
    <w:rsid w:val="00F22F6E"/>
    <w:rsid w:val="00F2788C"/>
    <w:rsid w:val="00F32759"/>
    <w:rsid w:val="00F33650"/>
    <w:rsid w:val="00F340E9"/>
    <w:rsid w:val="00F40D1D"/>
    <w:rsid w:val="00F42EC3"/>
    <w:rsid w:val="00F43F9F"/>
    <w:rsid w:val="00F45AE2"/>
    <w:rsid w:val="00F473CB"/>
    <w:rsid w:val="00F47C64"/>
    <w:rsid w:val="00F50245"/>
    <w:rsid w:val="00F53804"/>
    <w:rsid w:val="00F55243"/>
    <w:rsid w:val="00F55C4B"/>
    <w:rsid w:val="00F57F55"/>
    <w:rsid w:val="00F618BE"/>
    <w:rsid w:val="00F62896"/>
    <w:rsid w:val="00F63DDA"/>
    <w:rsid w:val="00F67FF9"/>
    <w:rsid w:val="00F70858"/>
    <w:rsid w:val="00F70E87"/>
    <w:rsid w:val="00F70E8E"/>
    <w:rsid w:val="00F7397F"/>
    <w:rsid w:val="00F75949"/>
    <w:rsid w:val="00F75CF4"/>
    <w:rsid w:val="00F769EE"/>
    <w:rsid w:val="00F77221"/>
    <w:rsid w:val="00F77D9B"/>
    <w:rsid w:val="00F80DA8"/>
    <w:rsid w:val="00F80DDE"/>
    <w:rsid w:val="00F81FEE"/>
    <w:rsid w:val="00F87886"/>
    <w:rsid w:val="00F9086E"/>
    <w:rsid w:val="00F93F25"/>
    <w:rsid w:val="00F941F0"/>
    <w:rsid w:val="00F9426D"/>
    <w:rsid w:val="00F94D5D"/>
    <w:rsid w:val="00F95258"/>
    <w:rsid w:val="00F97A97"/>
    <w:rsid w:val="00FA17D8"/>
    <w:rsid w:val="00FA3ED4"/>
    <w:rsid w:val="00FA5FB6"/>
    <w:rsid w:val="00FA69A9"/>
    <w:rsid w:val="00FB0566"/>
    <w:rsid w:val="00FB1B89"/>
    <w:rsid w:val="00FB7362"/>
    <w:rsid w:val="00FC206B"/>
    <w:rsid w:val="00FC3FF4"/>
    <w:rsid w:val="00FC5F1B"/>
    <w:rsid w:val="00FC7FB7"/>
    <w:rsid w:val="00FD46E1"/>
    <w:rsid w:val="00FD6DB9"/>
    <w:rsid w:val="00FE173A"/>
    <w:rsid w:val="00FE23DD"/>
    <w:rsid w:val="00FE5338"/>
    <w:rsid w:val="00FF0B98"/>
    <w:rsid w:val="00FF2B1D"/>
    <w:rsid w:val="00FF3742"/>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8913">
      <o:colormenu v:ext="edit" fillcolor="none [3212]"/>
    </o:shapedefaults>
    <o:shapelayout v:ext="edit">
      <o:idmap v:ext="edit" data="1"/>
    </o:shapelayout>
  </w:shapeDefaults>
  <w:decimalSymbol w:val=","/>
  <w:listSeparator w:val=";"/>
  <w14:docId w14:val="20AB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E22B99"/>
    <w:pPr>
      <w:spacing w:after="120"/>
    </w:pPr>
    <w:rPr>
      <w:rFonts w:ascii="Times New Roman" w:eastAsia="Times New Roman" w:hAnsi="Times New Roman"/>
      <w:sz w:val="22"/>
      <w:szCs w:val="24"/>
      <w:lang w:val="en-GB"/>
    </w:rPr>
  </w:style>
  <w:style w:type="paragraph" w:styleId="Titre1">
    <w:name w:val="heading 1"/>
    <w:basedOn w:val="Normal"/>
    <w:next w:val="Normal"/>
    <w:link w:val="Titre1Car"/>
    <w:qFormat/>
    <w:rsid w:val="00AE31B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qFormat/>
    <w:rsid w:val="00564DDB"/>
    <w:pPr>
      <w:keepNext/>
      <w:spacing w:before="240" w:after="60"/>
      <w:outlineLvl w:val="1"/>
    </w:pPr>
    <w:rPr>
      <w:rFonts w:ascii="Cambria" w:hAnsi="Cambria"/>
      <w:b/>
      <w:bCs/>
      <w:i/>
      <w:iCs/>
      <w:sz w:val="28"/>
      <w:szCs w:val="28"/>
    </w:rPr>
  </w:style>
  <w:style w:type="paragraph" w:styleId="Titre4">
    <w:name w:val="heading 4"/>
    <w:aliases w:val="GA Heading"/>
    <w:basedOn w:val="Normal"/>
    <w:next w:val="Normal"/>
    <w:link w:val="Titre4C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spacing w:after="0"/>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spacing w:after="0"/>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pPr>
      <w:spacing w:after="0"/>
    </w:pPr>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Grilledutableau">
    <w:name w:val="Table Grid"/>
    <w:basedOn w:val="TableauNormal"/>
    <w:uiPriority w:val="3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
    <w:link w:val="Titre4"/>
    <w:rsid w:val="00F66657"/>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styleId="Marquedecommentaire">
    <w:name w:val="annotation reference"/>
    <w:rsid w:val="00B11AE3"/>
    <w:rPr>
      <w:sz w:val="16"/>
      <w:szCs w:val="16"/>
    </w:rPr>
  </w:style>
  <w:style w:type="paragraph" w:styleId="Commentaire">
    <w:name w:val="annotation text"/>
    <w:basedOn w:val="Normal"/>
    <w:link w:val="CommentaireCar"/>
    <w:rsid w:val="00B11AE3"/>
    <w:rPr>
      <w:sz w:val="20"/>
      <w:szCs w:val="20"/>
    </w:rPr>
  </w:style>
  <w:style w:type="character" w:customStyle="1" w:styleId="CommentaireCar">
    <w:name w:val="Commentaire Car"/>
    <w:link w:val="Commentaire"/>
    <w:rsid w:val="00B11AE3"/>
    <w:rPr>
      <w:rFonts w:ascii="Times New Roman" w:eastAsia="Times New Roman" w:hAnsi="Times New Roman"/>
      <w:lang w:val="en-GB"/>
    </w:rPr>
  </w:style>
  <w:style w:type="paragraph" w:styleId="Objetducommentaire">
    <w:name w:val="annotation subject"/>
    <w:basedOn w:val="Commentaire"/>
    <w:next w:val="Commentaire"/>
    <w:link w:val="ObjetducommentaireCar"/>
    <w:rsid w:val="00B11AE3"/>
    <w:rPr>
      <w:b/>
      <w:bCs/>
    </w:rPr>
  </w:style>
  <w:style w:type="character" w:customStyle="1" w:styleId="ObjetducommentaireCar">
    <w:name w:val="Objet du commentaire Car"/>
    <w:link w:val="Objetducommentaire"/>
    <w:rsid w:val="00B11AE3"/>
    <w:rPr>
      <w:rFonts w:ascii="Times New Roman" w:eastAsia="Times New Roman" w:hAnsi="Times New Roman"/>
      <w:b/>
      <w:bCs/>
      <w:lang w:val="en-GB"/>
    </w:rPr>
  </w:style>
  <w:style w:type="paragraph" w:customStyle="1" w:styleId="1GAPara">
    <w:name w:val="1. GA Para"/>
    <w:qFormat/>
    <w:rsid w:val="00E22B99"/>
    <w:pPr>
      <w:spacing w:after="120"/>
    </w:pPr>
    <w:rPr>
      <w:rFonts w:ascii="Arial" w:eastAsia="Times New Roman" w:hAnsi="Arial" w:cs="Arial"/>
      <w:snapToGrid w:val="0"/>
      <w:sz w:val="22"/>
      <w:szCs w:val="22"/>
      <w:lang w:val="en-GB" w:eastAsia="en-US"/>
    </w:rPr>
  </w:style>
  <w:style w:type="paragraph" w:customStyle="1" w:styleId="Sansinterligne2">
    <w:name w:val="Sans interligne2"/>
    <w:uiPriority w:val="1"/>
    <w:rsid w:val="00CB500D"/>
    <w:rPr>
      <w:rFonts w:ascii="Times New Roman" w:eastAsia="Times New Roman" w:hAnsi="Times New Roman"/>
      <w:sz w:val="24"/>
      <w:szCs w:val="24"/>
    </w:rPr>
  </w:style>
  <w:style w:type="table" w:customStyle="1" w:styleId="TableGrid1">
    <w:name w:val="Table Grid1"/>
    <w:basedOn w:val="TableauNormal"/>
    <w:next w:val="Grilledutableau"/>
    <w:uiPriority w:val="59"/>
    <w:rsid w:val="00A00D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ra">
    <w:name w:val="COM Para"/>
    <w:qFormat/>
    <w:rsid w:val="005908B4"/>
    <w:pPr>
      <w:spacing w:after="120"/>
      <w:ind w:left="567" w:hanging="567"/>
    </w:pPr>
    <w:rPr>
      <w:rFonts w:ascii="Arial" w:eastAsia="Times New Roman" w:hAnsi="Arial" w:cs="Arial"/>
      <w:snapToGrid w:val="0"/>
      <w:sz w:val="22"/>
      <w:szCs w:val="22"/>
      <w:lang w:val="en-GB" w:eastAsia="en-US"/>
    </w:rPr>
  </w:style>
  <w:style w:type="character" w:styleId="Lienhypertexte">
    <w:name w:val="Hyperlink"/>
    <w:aliases w:val=" Car Car3 Char, Car Car3 Char Char Char Char"/>
    <w:link w:val="CarCar3"/>
    <w:uiPriority w:val="99"/>
    <w:unhideWhenUsed/>
    <w:rsid w:val="005908B4"/>
    <w:rPr>
      <w:color w:val="0000FF"/>
      <w:u w:val="single"/>
    </w:rPr>
  </w:style>
  <w:style w:type="paragraph" w:styleId="Notedebasdepage">
    <w:name w:val="footnote text"/>
    <w:basedOn w:val="Normal"/>
    <w:link w:val="NotedebasdepageCar"/>
    <w:uiPriority w:val="99"/>
    <w:semiHidden/>
    <w:unhideWhenUsed/>
    <w:rsid w:val="005908B4"/>
    <w:pPr>
      <w:spacing w:after="0"/>
    </w:pPr>
    <w:rPr>
      <w:sz w:val="20"/>
      <w:szCs w:val="20"/>
      <w:lang w:val="fr-FR"/>
    </w:rPr>
  </w:style>
  <w:style w:type="character" w:customStyle="1" w:styleId="NotedebasdepageCar">
    <w:name w:val="Note de bas de page Car"/>
    <w:basedOn w:val="Policepardfaut"/>
    <w:link w:val="Notedebasdepage"/>
    <w:uiPriority w:val="99"/>
    <w:semiHidden/>
    <w:rsid w:val="005908B4"/>
    <w:rPr>
      <w:rFonts w:ascii="Times New Roman" w:eastAsia="Times New Roman" w:hAnsi="Times New Roman"/>
    </w:rPr>
  </w:style>
  <w:style w:type="character" w:styleId="Appelnotedebasdep">
    <w:name w:val="footnote reference"/>
    <w:basedOn w:val="Policepardfaut"/>
    <w:uiPriority w:val="99"/>
    <w:semiHidden/>
    <w:unhideWhenUsed/>
    <w:rsid w:val="005908B4"/>
    <w:rPr>
      <w:vertAlign w:val="superscript"/>
    </w:rPr>
  </w:style>
  <w:style w:type="paragraph" w:customStyle="1" w:styleId="GAPara">
    <w:name w:val="GA Para"/>
    <w:qFormat/>
    <w:rsid w:val="005908B4"/>
    <w:pPr>
      <w:spacing w:after="120"/>
      <w:ind w:left="1287" w:hanging="360"/>
    </w:pPr>
    <w:rPr>
      <w:rFonts w:ascii="Arial" w:eastAsia="Times New Roman" w:hAnsi="Arial" w:cs="Arial"/>
      <w:snapToGrid w:val="0"/>
      <w:sz w:val="22"/>
      <w:szCs w:val="22"/>
      <w:lang w:val="en-GB" w:eastAsia="en-US"/>
    </w:rPr>
  </w:style>
  <w:style w:type="paragraph" w:styleId="Paragraphedeliste">
    <w:name w:val="List Paragraph"/>
    <w:aliases w:val="CRITERES"/>
    <w:basedOn w:val="Normal"/>
    <w:uiPriority w:val="34"/>
    <w:qFormat/>
    <w:rsid w:val="005908B4"/>
    <w:pPr>
      <w:ind w:left="720"/>
      <w:contextualSpacing/>
    </w:pPr>
  </w:style>
  <w:style w:type="paragraph" w:styleId="Date">
    <w:name w:val="Date"/>
    <w:basedOn w:val="Normal"/>
    <w:next w:val="Normal"/>
    <w:link w:val="DateCar"/>
    <w:rsid w:val="007D6437"/>
  </w:style>
  <w:style w:type="character" w:customStyle="1" w:styleId="DateCar">
    <w:name w:val="Date Car"/>
    <w:basedOn w:val="Policepardfaut"/>
    <w:link w:val="Date"/>
    <w:rsid w:val="007D6437"/>
    <w:rPr>
      <w:rFonts w:ascii="Times New Roman" w:eastAsia="Times New Roman" w:hAnsi="Times New Roman"/>
      <w:sz w:val="22"/>
      <w:szCs w:val="24"/>
      <w:lang w:val="en-GB"/>
    </w:rPr>
  </w:style>
  <w:style w:type="paragraph" w:customStyle="1" w:styleId="xmsolistparagraph">
    <w:name w:val="x_msolistparagraph"/>
    <w:basedOn w:val="Normal"/>
    <w:uiPriority w:val="99"/>
    <w:rsid w:val="00672C5A"/>
    <w:pPr>
      <w:spacing w:after="0"/>
    </w:pPr>
    <w:rPr>
      <w:rFonts w:eastAsiaTheme="minorHAnsi"/>
      <w:sz w:val="24"/>
      <w:lang w:val="en-US" w:eastAsia="en-US"/>
    </w:rPr>
  </w:style>
  <w:style w:type="character" w:customStyle="1" w:styleId="Mentionnonrsolue1">
    <w:name w:val="Mention non résolue1"/>
    <w:basedOn w:val="Policepardfaut"/>
    <w:uiPriority w:val="99"/>
    <w:semiHidden/>
    <w:unhideWhenUsed/>
    <w:rsid w:val="00FA17D8"/>
    <w:rPr>
      <w:color w:val="605E5C"/>
      <w:shd w:val="clear" w:color="auto" w:fill="E1DFDD"/>
    </w:rPr>
  </w:style>
  <w:style w:type="paragraph" w:customStyle="1" w:styleId="CarCar3">
    <w:name w:val="Car Car3"/>
    <w:aliases w:val=" Car Car3 Char Char"/>
    <w:basedOn w:val="Normal"/>
    <w:link w:val="Lienhypertexte"/>
    <w:rsid w:val="00A908EE"/>
    <w:pPr>
      <w:tabs>
        <w:tab w:val="left" w:pos="510"/>
        <w:tab w:val="right" w:pos="9639"/>
      </w:tabs>
      <w:autoSpaceDE w:val="0"/>
      <w:autoSpaceDN w:val="0"/>
      <w:adjustRightInd w:val="0"/>
      <w:spacing w:after="80" w:line="220" w:lineRule="exact"/>
      <w:ind w:left="1020" w:hanging="510"/>
      <w:jc w:val="both"/>
    </w:pPr>
    <w:rPr>
      <w:rFonts w:ascii="Calibri" w:eastAsia="SimSun" w:hAnsi="Calibri"/>
      <w:color w:val="0000FF"/>
      <w:sz w:val="20"/>
      <w:szCs w:val="20"/>
      <w:u w:val="single"/>
      <w:lang w:val="fr-FR"/>
    </w:rPr>
  </w:style>
  <w:style w:type="paragraph" w:styleId="NormalWeb">
    <w:name w:val="Normal (Web)"/>
    <w:basedOn w:val="Normal"/>
    <w:uiPriority w:val="99"/>
    <w:semiHidden/>
    <w:unhideWhenUsed/>
    <w:rsid w:val="00975903"/>
    <w:pPr>
      <w:spacing w:before="100" w:beforeAutospacing="1" w:after="100" w:afterAutospacing="1"/>
    </w:pPr>
    <w:rPr>
      <w:sz w:val="24"/>
      <w:lang w:val="fr-FR" w:eastAsia="zh-CN"/>
    </w:rPr>
  </w:style>
  <w:style w:type="character" w:customStyle="1" w:styleId="Titre1Car">
    <w:name w:val="Titre 1 Car"/>
    <w:basedOn w:val="Policepardfaut"/>
    <w:link w:val="Titre1"/>
    <w:rsid w:val="00AE31B9"/>
    <w:rPr>
      <w:rFonts w:asciiTheme="majorHAnsi" w:eastAsiaTheme="majorEastAsia" w:hAnsiTheme="majorHAnsi" w:cstheme="majorBidi"/>
      <w:color w:val="365F91" w:themeColor="accent1" w:themeShade="BF"/>
      <w:sz w:val="32"/>
      <w:szCs w:val="32"/>
      <w:lang w:val="en-GB"/>
    </w:rPr>
  </w:style>
  <w:style w:type="paragraph" w:styleId="Rvision">
    <w:name w:val="Revision"/>
    <w:hidden/>
    <w:semiHidden/>
    <w:rsid w:val="00DF06A3"/>
    <w:rPr>
      <w:rFonts w:ascii="Times New Roman" w:eastAsia="Times New Roman" w:hAnsi="Times New Roman"/>
      <w:sz w:val="22"/>
      <w:szCs w:val="24"/>
      <w:lang w:val="en-GB"/>
    </w:rPr>
  </w:style>
  <w:style w:type="character" w:styleId="Lienhypertextesuivivisit">
    <w:name w:val="FollowedHyperlink"/>
    <w:basedOn w:val="Policepardfaut"/>
    <w:semiHidden/>
    <w:unhideWhenUsed/>
    <w:rsid w:val="000C1F0A"/>
    <w:rPr>
      <w:color w:val="800080" w:themeColor="followedHyperlink"/>
      <w:u w:val="single"/>
    </w:rPr>
  </w:style>
  <w:style w:type="character" w:styleId="Mentionnonrsolue">
    <w:name w:val="Unresolved Mention"/>
    <w:basedOn w:val="Policepardfaut"/>
    <w:rsid w:val="00FB7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16.COM/14" TargetMode="External"/><Relationship Id="rId13" Type="http://schemas.openxmlformats.org/officeDocument/2006/relationships/hyperlink" Target="https://ich.unesco.org/fr/D%C3%A9cisions/5.COM/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ich.unesco.org/fr/Decisions/16.COM/8" TargetMode="External"/><Relationship Id="rId17" Type="http://schemas.openxmlformats.org/officeDocument/2006/relationships/hyperlink" Target="https://ich.unesco.org/fr/Decisions/16.COM/1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ch.unesco.org/doc/src/LHE-21-16.COM-10_Rev.-FR.docx"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Decisions/10.COM/1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ch.unesco.org/fr/R%C3%A9solutions/5.GA/5.1" TargetMode="External"/><Relationship Id="rId23" Type="http://schemas.openxmlformats.org/officeDocument/2006/relationships/hyperlink" Target="https://ich.unesco.org/doc/src/LHE-21-16.COM-INF.10_Rev.-FR.pdf" TargetMode="External"/><Relationship Id="rId10" Type="http://schemas.openxmlformats.org/officeDocument/2006/relationships/hyperlink" Target="https://ich.unesco.org/doc/src/ITH-18-13.COM-15-FR.doc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ch.unesco.org/doc/src/LHE-20-15.COM-9-FR.docx" TargetMode="External"/><Relationship Id="rId14" Type="http://schemas.openxmlformats.org/officeDocument/2006/relationships/hyperlink" Target="https://ich.unesco.org/fr/R%C3%A9solutions/4.GA/5" TargetMode="External"/><Relationship Id="rId22"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ich.unesco.org/fr/Decisions/10.COM/13" TargetMode="External"/><Relationship Id="rId3" Type="http://schemas.openxmlformats.org/officeDocument/2006/relationships/hyperlink" Target="https://ich.unesco.org/fr/evenements/runion-du-groupe-de-travail-restreint-du-comit-sur-les-amendements-aux-directives-oprationnelles-5com-31wg-00133" TargetMode="External"/><Relationship Id="rId7" Type="http://schemas.openxmlformats.org/officeDocument/2006/relationships/hyperlink" Target="https://ich.unesco.org/fr/Decisions/9.COM/12" TargetMode="External"/><Relationship Id="rId12" Type="http://schemas.openxmlformats.org/officeDocument/2006/relationships/hyperlink" Target="https://ich.unesco.org/fr/decisions/15.COM/9?dec=decisions&amp;ref_decision=15.COM" TargetMode="External"/><Relationship Id="rId2" Type="http://schemas.openxmlformats.org/officeDocument/2006/relationships/hyperlink" Target="https://ich.unesco.org/fr/evenements/runion-du-groupe-de-travail-du-comit-5com-3wg-00131" TargetMode="External"/><Relationship Id="rId1" Type="http://schemas.openxmlformats.org/officeDocument/2006/relationships/hyperlink" Target="https://ich.unesco.org/fr/evenements/runion-dexperts-sur-la-convention-de-2003-00129" TargetMode="External"/><Relationship Id="rId6" Type="http://schemas.openxmlformats.org/officeDocument/2006/relationships/hyperlink" Target="https://ich.unesco.org/fr/Decisions/8.COM/10" TargetMode="External"/><Relationship Id="rId11" Type="http://schemas.openxmlformats.org/officeDocument/2006/relationships/hyperlink" Target="https://ich.unesco.org/fr/Decisions/15.COM/9" TargetMode="External"/><Relationship Id="rId5" Type="http://schemas.openxmlformats.org/officeDocument/2006/relationships/hyperlink" Target="https://ich.unesco.org/fr/evenements?categ=2015-2011&amp;country=&amp;keyword=&amp;domain=&amp;safe_meas=&amp;text=" TargetMode="External"/><Relationship Id="rId10" Type="http://schemas.openxmlformats.org/officeDocument/2006/relationships/hyperlink" Target="https://ich.unesco.org/fr/Decisions/13.COM/15" TargetMode="External"/><Relationship Id="rId4" Type="http://schemas.openxmlformats.org/officeDocument/2006/relationships/hyperlink" Target="https://ich.unesco.org/fr/evenements/runion-du-groupe-de-travail-du-comit-5com-4wg-00134" TargetMode="External"/><Relationship Id="rId9" Type="http://schemas.openxmlformats.org/officeDocument/2006/relationships/hyperlink" Target="https://ich.unesco.org/fr/Decisions/11.COM/1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24AB9-B113-4AA1-A5C3-19BF1C624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6646</Words>
  <Characters>36553</Characters>
  <Application>Microsoft Office Word</Application>
  <DocSecurity>0</DocSecurity>
  <Lines>304</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2022-04-14T09:32:00Z</dcterms:created>
  <dcterms:modified xsi:type="dcterms:W3CDTF">2022-04-22T09:39:00Z</dcterms:modified>
</cp:coreProperties>
</file>