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13513921" w:rsidR="00EC6F8D" w:rsidRPr="00293C60" w:rsidRDefault="00EC6F8D" w:rsidP="007834AA">
      <w:pPr>
        <w:spacing w:before="96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3F72B1D3" w14:textId="77777777" w:rsidR="00EC6F8D" w:rsidRPr="00293C60" w:rsidRDefault="00EC6F8D" w:rsidP="007834AA">
      <w:pPr>
        <w:spacing w:before="96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75AF235F" w14:textId="77777777" w:rsidR="004E1760" w:rsidRPr="00232D65" w:rsidRDefault="004E1760" w:rsidP="004E1760">
      <w:pPr>
        <w:spacing w:before="840"/>
        <w:jc w:val="center"/>
        <w:rPr>
          <w:rFonts w:ascii="Arial" w:hAnsi="Arial" w:cs="Arial"/>
          <w:b/>
          <w:sz w:val="22"/>
          <w:szCs w:val="22"/>
          <w:lang w:val="en-US"/>
        </w:rPr>
      </w:pPr>
      <w:r w:rsidRPr="00232D65">
        <w:rPr>
          <w:rFonts w:ascii="Arial" w:hAnsi="Arial" w:cs="Arial"/>
          <w:b/>
          <w:sz w:val="22"/>
          <w:szCs w:val="22"/>
          <w:lang w:val="en-US"/>
        </w:rPr>
        <w:t>Meeting of the Bureau</w:t>
      </w:r>
    </w:p>
    <w:p w14:paraId="1FD89575" w14:textId="060F94EB" w:rsidR="00B2172B" w:rsidRPr="00B2172B" w:rsidRDefault="004E1760" w:rsidP="004E1760">
      <w:pPr>
        <w:spacing w:before="840"/>
        <w:jc w:val="center"/>
        <w:rPr>
          <w:rFonts w:ascii="Arial" w:hAnsi="Arial" w:cs="Arial"/>
          <w:b/>
          <w:sz w:val="22"/>
          <w:szCs w:val="22"/>
          <w:lang w:val="en-GB"/>
        </w:rPr>
      </w:pPr>
      <w:r w:rsidRPr="00A7352A">
        <w:rPr>
          <w:rFonts w:ascii="Arial" w:hAnsi="Arial" w:cs="Arial"/>
          <w:b/>
          <w:sz w:val="22"/>
          <w:szCs w:val="22"/>
          <w:lang w:val="en-GB"/>
        </w:rPr>
        <w:t>Online</w:t>
      </w:r>
    </w:p>
    <w:p w14:paraId="15705A60" w14:textId="4FD0A756" w:rsidR="004E1760" w:rsidRPr="00A54AF9" w:rsidRDefault="00DD4B8A" w:rsidP="004E1760">
      <w:pPr>
        <w:jc w:val="center"/>
        <w:rPr>
          <w:rFonts w:ascii="Arial" w:hAnsi="Arial" w:cs="Arial"/>
          <w:b/>
          <w:sz w:val="22"/>
          <w:szCs w:val="22"/>
          <w:lang w:val="en-GB"/>
        </w:rPr>
      </w:pPr>
      <w:r w:rsidRPr="00E92CC1">
        <w:rPr>
          <w:rFonts w:ascii="Arial" w:hAnsi="Arial" w:cs="Arial"/>
          <w:b/>
          <w:sz w:val="22"/>
          <w:szCs w:val="22"/>
          <w:lang w:val="en-GB"/>
        </w:rPr>
        <w:t>2</w:t>
      </w:r>
      <w:r w:rsidR="00E92CC1" w:rsidRPr="00E92CC1">
        <w:rPr>
          <w:rFonts w:ascii="Arial" w:hAnsi="Arial" w:cs="Arial"/>
          <w:b/>
          <w:sz w:val="22"/>
          <w:szCs w:val="22"/>
          <w:lang w:val="en-GB"/>
        </w:rPr>
        <w:t>3</w:t>
      </w:r>
      <w:r w:rsidR="003314E0" w:rsidRPr="00E92CC1">
        <w:rPr>
          <w:rFonts w:ascii="Arial" w:hAnsi="Arial" w:cs="Arial"/>
          <w:b/>
          <w:sz w:val="22"/>
          <w:szCs w:val="22"/>
          <w:lang w:val="en-GB"/>
        </w:rPr>
        <w:t xml:space="preserve"> June</w:t>
      </w:r>
      <w:r w:rsidR="004E1760" w:rsidRPr="00A54AF9">
        <w:rPr>
          <w:rFonts w:ascii="Arial" w:hAnsi="Arial" w:cs="Arial"/>
          <w:b/>
          <w:sz w:val="22"/>
          <w:szCs w:val="22"/>
          <w:lang w:val="en-GB"/>
        </w:rPr>
        <w:t xml:space="preserve"> 2022</w:t>
      </w:r>
    </w:p>
    <w:p w14:paraId="1247CCBC" w14:textId="6D6D29F2" w:rsidR="004E1760" w:rsidRPr="00A54AF9" w:rsidRDefault="003760B3" w:rsidP="004E1760">
      <w:pPr>
        <w:jc w:val="center"/>
        <w:rPr>
          <w:rFonts w:ascii="Arial" w:hAnsi="Arial" w:cs="Arial"/>
          <w:b/>
          <w:sz w:val="22"/>
          <w:szCs w:val="22"/>
          <w:lang w:val="en-GB"/>
        </w:rPr>
      </w:pPr>
      <w:r>
        <w:rPr>
          <w:rFonts w:ascii="Arial" w:hAnsi="Arial" w:cs="Arial"/>
          <w:b/>
          <w:sz w:val="22"/>
          <w:szCs w:val="22"/>
          <w:lang w:val="en-GB"/>
        </w:rPr>
        <w:t xml:space="preserve">9:30 </w:t>
      </w:r>
      <w:r w:rsidR="00DD4B8A">
        <w:rPr>
          <w:rFonts w:ascii="Arial" w:hAnsi="Arial" w:cs="Arial"/>
          <w:b/>
          <w:sz w:val="22"/>
          <w:szCs w:val="22"/>
          <w:lang w:val="en-GB"/>
        </w:rPr>
        <w:t>a.m. – 1</w:t>
      </w:r>
      <w:r>
        <w:rPr>
          <w:rFonts w:ascii="Arial" w:hAnsi="Arial" w:cs="Arial"/>
          <w:b/>
          <w:sz w:val="22"/>
          <w:szCs w:val="22"/>
          <w:lang w:val="en-GB"/>
        </w:rPr>
        <w:t>2:30</w:t>
      </w:r>
      <w:r w:rsidR="00DD4B8A">
        <w:rPr>
          <w:rFonts w:ascii="Arial" w:hAnsi="Arial" w:cs="Arial"/>
          <w:b/>
          <w:sz w:val="22"/>
          <w:szCs w:val="22"/>
          <w:lang w:val="en-GB"/>
        </w:rPr>
        <w:t xml:space="preserve"> p.m.</w:t>
      </w:r>
      <w:r w:rsidR="004E1760" w:rsidRPr="00A54AF9">
        <w:rPr>
          <w:rFonts w:ascii="Arial" w:hAnsi="Arial" w:cs="Arial"/>
          <w:b/>
          <w:sz w:val="22"/>
          <w:szCs w:val="22"/>
          <w:lang w:val="en-GB"/>
        </w:rPr>
        <w:t xml:space="preserve"> (</w:t>
      </w:r>
      <w:r w:rsidR="004E1760">
        <w:rPr>
          <w:rFonts w:ascii="Arial" w:hAnsi="Arial" w:cs="Arial"/>
          <w:b/>
          <w:sz w:val="22"/>
          <w:szCs w:val="22"/>
          <w:lang w:val="en-GB"/>
        </w:rPr>
        <w:t>Paris time</w:t>
      </w:r>
      <w:r w:rsidR="004E1760" w:rsidRPr="00A54AF9">
        <w:rPr>
          <w:rFonts w:ascii="Arial" w:hAnsi="Arial" w:cs="Arial"/>
          <w:b/>
          <w:sz w:val="22"/>
          <w:szCs w:val="22"/>
          <w:lang w:val="en-GB"/>
        </w:rPr>
        <w:t>)</w:t>
      </w:r>
    </w:p>
    <w:p w14:paraId="0365203A" w14:textId="3033ECC3"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DD4B8A">
        <w:rPr>
          <w:rFonts w:ascii="Arial" w:hAnsi="Arial" w:cs="Arial"/>
          <w:b/>
          <w:sz w:val="22"/>
          <w:szCs w:val="22"/>
          <w:u w:val="single"/>
          <w:lang w:val="en-GB"/>
        </w:rPr>
        <w:t>5</w:t>
      </w:r>
      <w:r w:rsidR="00651A5B">
        <w:rPr>
          <w:rFonts w:ascii="Arial" w:hAnsi="Arial" w:cs="Arial"/>
          <w:b/>
          <w:sz w:val="22"/>
          <w:szCs w:val="22"/>
          <w:u w:val="single"/>
          <w:lang w:val="en-GB"/>
        </w:rPr>
        <w:t xml:space="preserve"> </w:t>
      </w:r>
      <w:r w:rsidRPr="00293C60">
        <w:rPr>
          <w:rFonts w:ascii="Arial" w:hAnsi="Arial" w:cs="Arial"/>
          <w:b/>
          <w:sz w:val="22"/>
          <w:szCs w:val="22"/>
          <w:u w:val="single"/>
          <w:lang w:val="en-GB"/>
        </w:rPr>
        <w:t xml:space="preserve">of the </w:t>
      </w:r>
      <w:r w:rsidR="00A7352A">
        <w:rPr>
          <w:rFonts w:ascii="Arial" w:hAnsi="Arial" w:cs="Arial"/>
          <w:b/>
          <w:sz w:val="22"/>
          <w:szCs w:val="22"/>
          <w:u w:val="single"/>
          <w:lang w:val="en-GB"/>
        </w:rPr>
        <w:t>p</w:t>
      </w:r>
      <w:r w:rsidRPr="00293C60">
        <w:rPr>
          <w:rFonts w:ascii="Arial" w:hAnsi="Arial" w:cs="Arial"/>
          <w:b/>
          <w:sz w:val="22"/>
          <w:szCs w:val="22"/>
          <w:u w:val="single"/>
          <w:lang w:val="en-GB"/>
        </w:rPr>
        <w:t xml:space="preserve">rovisional </w:t>
      </w:r>
      <w:r w:rsidR="00A7352A">
        <w:rPr>
          <w:rFonts w:ascii="Arial" w:hAnsi="Arial" w:cs="Arial"/>
          <w:b/>
          <w:sz w:val="22"/>
          <w:szCs w:val="22"/>
          <w:u w:val="single"/>
          <w:lang w:val="en-GB"/>
        </w:rPr>
        <w:t>a</w:t>
      </w:r>
      <w:r w:rsidRPr="00293C60">
        <w:rPr>
          <w:rFonts w:ascii="Arial" w:hAnsi="Arial" w:cs="Arial"/>
          <w:b/>
          <w:sz w:val="22"/>
          <w:szCs w:val="22"/>
          <w:u w:val="single"/>
          <w:lang w:val="en-GB"/>
        </w:rPr>
        <w:t>genda</w:t>
      </w:r>
      <w:r w:rsidRPr="00293C60">
        <w:rPr>
          <w:rFonts w:ascii="Arial" w:hAnsi="Arial" w:cs="Arial"/>
          <w:b/>
          <w:sz w:val="22"/>
          <w:szCs w:val="22"/>
          <w:lang w:val="en-GB"/>
        </w:rPr>
        <w:t>:</w:t>
      </w:r>
    </w:p>
    <w:p w14:paraId="59920478" w14:textId="09118350" w:rsidR="004A2875" w:rsidRDefault="00DD4B8A" w:rsidP="000D25A6">
      <w:pPr>
        <w:pStyle w:val="Sansinterligne2"/>
        <w:jc w:val="center"/>
        <w:rPr>
          <w:rFonts w:ascii="Arial" w:hAnsi="Arial" w:cs="Arial"/>
          <w:b/>
          <w:sz w:val="22"/>
          <w:szCs w:val="22"/>
          <w:lang w:val="en-GB"/>
        </w:rPr>
      </w:pPr>
      <w:bookmarkStart w:id="0" w:name="_Hlk104890762"/>
      <w:r>
        <w:rPr>
          <w:rFonts w:ascii="Arial" w:hAnsi="Arial" w:cs="Arial"/>
          <w:b/>
          <w:sz w:val="22"/>
          <w:szCs w:val="22"/>
          <w:lang w:val="en-GB"/>
        </w:rPr>
        <w:t>R</w:t>
      </w:r>
      <w:r w:rsidR="00C956CB" w:rsidRPr="004E5568">
        <w:rPr>
          <w:rFonts w:ascii="Arial" w:hAnsi="Arial" w:cs="Arial"/>
          <w:b/>
          <w:sz w:val="22"/>
          <w:szCs w:val="22"/>
          <w:lang w:val="en-GB"/>
        </w:rPr>
        <w:t>equest</w:t>
      </w:r>
      <w:r w:rsidR="00B90945" w:rsidRPr="004E5568">
        <w:rPr>
          <w:rFonts w:ascii="Arial" w:hAnsi="Arial" w:cs="Arial"/>
          <w:b/>
          <w:sz w:val="22"/>
          <w:szCs w:val="22"/>
          <w:lang w:val="en-GB"/>
        </w:rPr>
        <w:t xml:space="preserve"> by Ukraine to examine the nomination </w:t>
      </w:r>
      <w:r w:rsidR="003C5A35">
        <w:rPr>
          <w:rFonts w:ascii="Arial" w:hAnsi="Arial" w:cs="Arial"/>
          <w:b/>
          <w:sz w:val="22"/>
          <w:szCs w:val="22"/>
          <w:lang w:val="en-GB"/>
        </w:rPr>
        <w:br/>
      </w:r>
      <w:r w:rsidR="00B90945" w:rsidRPr="004E5568">
        <w:rPr>
          <w:rFonts w:ascii="Arial" w:hAnsi="Arial" w:cs="Arial"/>
          <w:b/>
          <w:sz w:val="22"/>
          <w:szCs w:val="22"/>
          <w:lang w:val="en-GB"/>
        </w:rPr>
        <w:t>‘Culture of Ukrainian borscht cooking’</w:t>
      </w:r>
      <w:r w:rsidR="00B90945">
        <w:rPr>
          <w:rFonts w:ascii="Arial" w:hAnsi="Arial" w:cs="Arial"/>
          <w:b/>
          <w:sz w:val="22"/>
          <w:szCs w:val="22"/>
          <w:lang w:val="en-GB"/>
        </w:rPr>
        <w:t xml:space="preserve"> </w:t>
      </w:r>
      <w:bookmarkStart w:id="1" w:name="_Hlk105159385"/>
      <w:r w:rsidR="00B90945">
        <w:rPr>
          <w:rFonts w:ascii="Arial" w:hAnsi="Arial" w:cs="Arial"/>
          <w:b/>
          <w:sz w:val="22"/>
          <w:szCs w:val="22"/>
          <w:lang w:val="en-GB"/>
        </w:rPr>
        <w:t>as a case of extreme urgency</w:t>
      </w:r>
      <w:bookmarkEnd w:id="1"/>
    </w:p>
    <w:p w14:paraId="18E31492" w14:textId="3FE53273" w:rsidR="000D25A6" w:rsidRDefault="000D25A6" w:rsidP="000D25A6">
      <w:pPr>
        <w:pStyle w:val="Sansinterligne2"/>
        <w:jc w:val="center"/>
        <w:rPr>
          <w:rFonts w:ascii="Arial" w:hAnsi="Arial" w:cs="Arial"/>
          <w:b/>
          <w:sz w:val="22"/>
          <w:szCs w:val="22"/>
          <w:lang w:val="en-GB"/>
        </w:rPr>
      </w:pPr>
    </w:p>
    <w:p w14:paraId="56CD44A3" w14:textId="77777777" w:rsidR="008A1A9A" w:rsidRDefault="008A1A9A" w:rsidP="000D25A6">
      <w:pPr>
        <w:pStyle w:val="Sansinterligne2"/>
        <w:jc w:val="center"/>
        <w:rPr>
          <w:rFonts w:ascii="Arial" w:hAnsi="Arial" w:cs="Arial"/>
          <w:b/>
          <w:sz w:val="22"/>
          <w:szCs w:val="22"/>
          <w:lang w:val="en-GB"/>
        </w:rPr>
      </w:pP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B90945" w14:paraId="75AC6221" w14:textId="77777777" w:rsidTr="00EC6F8D">
        <w:trPr>
          <w:jc w:val="center"/>
        </w:trPr>
        <w:tc>
          <w:tcPr>
            <w:tcW w:w="5670" w:type="dxa"/>
            <w:vAlign w:val="center"/>
          </w:tcPr>
          <w:bookmarkEnd w:id="0"/>
          <w:p w14:paraId="51C260A9"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4EEE1163" w14:textId="23BF3B18" w:rsidR="00AC1546" w:rsidRDefault="00266E44" w:rsidP="00B90945">
            <w:pPr>
              <w:pStyle w:val="Sansinterligne2"/>
              <w:spacing w:before="200" w:after="200"/>
              <w:jc w:val="both"/>
              <w:rPr>
                <w:rFonts w:ascii="Arial" w:hAnsi="Arial" w:cs="Arial"/>
                <w:bCs/>
                <w:sz w:val="22"/>
                <w:szCs w:val="22"/>
                <w:lang w:val="en-GB"/>
              </w:rPr>
            </w:pPr>
            <w:r>
              <w:rPr>
                <w:rFonts w:ascii="Arial" w:hAnsi="Arial" w:cs="Arial"/>
                <w:bCs/>
                <w:sz w:val="22"/>
                <w:szCs w:val="22"/>
                <w:lang w:val="en-GB"/>
              </w:rPr>
              <w:t>Following</w:t>
            </w:r>
            <w:r w:rsidR="00AC1546">
              <w:rPr>
                <w:rFonts w:ascii="Arial" w:hAnsi="Arial" w:cs="Arial"/>
                <w:bCs/>
                <w:sz w:val="22"/>
                <w:szCs w:val="22"/>
                <w:lang w:val="en-GB"/>
              </w:rPr>
              <w:t xml:space="preserve"> </w:t>
            </w:r>
            <w:hyperlink r:id="rId8" w:history="1">
              <w:r w:rsidR="00AC1546" w:rsidRPr="00CE2571">
                <w:rPr>
                  <w:rFonts w:ascii="Arial" w:hAnsi="Arial" w:cs="Arial"/>
                  <w:bCs/>
                  <w:sz w:val="22"/>
                  <w:szCs w:val="22"/>
                  <w:lang w:val="en-GB"/>
                </w:rPr>
                <w:t xml:space="preserve">decision 17.COM </w:t>
              </w:r>
              <w:r w:rsidR="00F710F0" w:rsidRPr="00CE2571">
                <w:rPr>
                  <w:rFonts w:ascii="Arial" w:hAnsi="Arial" w:cs="Arial"/>
                  <w:bCs/>
                  <w:sz w:val="22"/>
                  <w:szCs w:val="22"/>
                  <w:lang w:val="en-GB"/>
                </w:rPr>
                <w:t>3</w:t>
              </w:r>
              <w:r w:rsidR="00F710F0">
                <w:rPr>
                  <w:rFonts w:ascii="Arial" w:hAnsi="Arial" w:cs="Arial"/>
                  <w:bCs/>
                  <w:sz w:val="22"/>
                  <w:szCs w:val="22"/>
                  <w:lang w:val="en-GB"/>
                </w:rPr>
                <w:t>.</w:t>
              </w:r>
              <w:r w:rsidR="00AC1546" w:rsidRPr="00CE2571">
                <w:rPr>
                  <w:rFonts w:ascii="Arial" w:hAnsi="Arial" w:cs="Arial"/>
                  <w:bCs/>
                  <w:sz w:val="22"/>
                  <w:szCs w:val="22"/>
                  <w:lang w:val="en-GB"/>
                </w:rPr>
                <w:t>BUR 3</w:t>
              </w:r>
            </w:hyperlink>
            <w:r w:rsidR="00AC1546">
              <w:rPr>
                <w:rFonts w:ascii="Arial" w:hAnsi="Arial" w:cs="Arial"/>
                <w:bCs/>
                <w:sz w:val="22"/>
                <w:szCs w:val="22"/>
                <w:lang w:val="en-GB"/>
              </w:rPr>
              <w:t xml:space="preserve">, this document takes stock of the progress made to process the request by Ukraine to examine the nomination ‘Culture of Ukrainian borscht cooking’ for inscription on the Urgent Safeguarding List as a case of extreme urgency, reviews the recommendation of the Evaluation Body </w:t>
            </w:r>
            <w:r>
              <w:rPr>
                <w:rFonts w:ascii="Arial" w:hAnsi="Arial" w:cs="Arial"/>
                <w:bCs/>
                <w:sz w:val="22"/>
                <w:szCs w:val="22"/>
                <w:lang w:val="en-GB"/>
              </w:rPr>
              <w:t xml:space="preserve">for this nomination </w:t>
            </w:r>
            <w:r w:rsidR="00AC1546">
              <w:rPr>
                <w:rFonts w:ascii="Arial" w:hAnsi="Arial" w:cs="Arial"/>
                <w:bCs/>
                <w:sz w:val="22"/>
                <w:szCs w:val="22"/>
                <w:lang w:val="en-GB"/>
              </w:rPr>
              <w:t xml:space="preserve">and discusses the next steps to bring the nomination to the Committee for its examination. </w:t>
            </w:r>
          </w:p>
          <w:p w14:paraId="290310E8" w14:textId="2B493533" w:rsidR="00EC6F8D" w:rsidRPr="00293C60" w:rsidRDefault="00EC6F8D" w:rsidP="00CA56BB">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F710F0">
              <w:rPr>
                <w:rFonts w:ascii="Arial" w:hAnsi="Arial" w:cs="Arial"/>
                <w:bCs/>
                <w:sz w:val="22"/>
                <w:szCs w:val="22"/>
                <w:lang w:val="en-GB"/>
              </w:rPr>
              <w:t>11</w:t>
            </w:r>
          </w:p>
        </w:tc>
      </w:tr>
    </w:tbl>
    <w:p w14:paraId="713D819F" w14:textId="77777777" w:rsidR="004A2875" w:rsidRPr="009B4638" w:rsidRDefault="00655736" w:rsidP="004A2875">
      <w:pPr>
        <w:pStyle w:val="Paragraphedeliste"/>
        <w:keepLines/>
        <w:numPr>
          <w:ilvl w:val="0"/>
          <w:numId w:val="13"/>
        </w:numPr>
        <w:spacing w:after="240"/>
        <w:ind w:left="567" w:hanging="567"/>
        <w:contextualSpacing w:val="0"/>
        <w:rPr>
          <w:rFonts w:ascii="Arial" w:hAnsi="Arial" w:cs="Arial"/>
          <w:b/>
          <w:snapToGrid w:val="0"/>
          <w:sz w:val="22"/>
          <w:szCs w:val="22"/>
          <w:lang w:val="en-GB" w:eastAsia="en-US"/>
        </w:rPr>
      </w:pPr>
      <w:r w:rsidRPr="00D7105A">
        <w:rPr>
          <w:lang w:val="en-US"/>
        </w:rPr>
        <w:br w:type="page"/>
      </w:r>
    </w:p>
    <w:p w14:paraId="1A5ED161" w14:textId="4395E3E5" w:rsidR="00DD4B8A" w:rsidRPr="00DD4B8A" w:rsidRDefault="00DD4B8A" w:rsidP="00DD4B8A">
      <w:pPr>
        <w:pStyle w:val="COMParaDecision"/>
        <w:numPr>
          <w:ilvl w:val="0"/>
          <w:numId w:val="0"/>
        </w:numPr>
        <w:ind w:left="567"/>
        <w:rPr>
          <w:b/>
          <w:bCs/>
          <w:u w:val="none"/>
        </w:rPr>
      </w:pPr>
      <w:r>
        <w:rPr>
          <w:b/>
          <w:bCs/>
          <w:u w:val="none"/>
        </w:rPr>
        <w:lastRenderedPageBreak/>
        <w:t>Background</w:t>
      </w:r>
    </w:p>
    <w:p w14:paraId="1CA7F415" w14:textId="0F8EAE51" w:rsidR="001D421C" w:rsidRDefault="00DD4B8A" w:rsidP="00255AF4">
      <w:pPr>
        <w:pStyle w:val="COMParaDecision"/>
        <w:ind w:left="567" w:hanging="567"/>
        <w:rPr>
          <w:u w:val="none"/>
        </w:rPr>
      </w:pPr>
      <w:r>
        <w:rPr>
          <w:bCs/>
          <w:u w:val="none"/>
        </w:rPr>
        <w:t>T</w:t>
      </w:r>
      <w:r w:rsidRPr="00DD4B8A">
        <w:rPr>
          <w:bCs/>
          <w:u w:val="none"/>
        </w:rPr>
        <w:t xml:space="preserve">his document </w:t>
      </w:r>
      <w:r w:rsidR="00117BEC">
        <w:rPr>
          <w:bCs/>
          <w:u w:val="none"/>
        </w:rPr>
        <w:t>concerns</w:t>
      </w:r>
      <w:r w:rsidRPr="00DD4B8A">
        <w:rPr>
          <w:bCs/>
          <w:u w:val="none"/>
        </w:rPr>
        <w:t xml:space="preserve"> the request by Ukraine</w:t>
      </w:r>
      <w:r>
        <w:rPr>
          <w:u w:val="none"/>
        </w:rPr>
        <w:t xml:space="preserve"> on </w:t>
      </w:r>
      <w:r w:rsidR="00293B22">
        <w:rPr>
          <w:u w:val="none"/>
        </w:rPr>
        <w:t xml:space="preserve">21 </w:t>
      </w:r>
      <w:r w:rsidR="002A3BCE">
        <w:rPr>
          <w:u w:val="none"/>
        </w:rPr>
        <w:t xml:space="preserve">April 2022 to inscribe as soon as possible </w:t>
      </w:r>
      <w:r w:rsidR="002A3BCE" w:rsidRPr="002A3BCE">
        <w:rPr>
          <w:u w:val="none"/>
        </w:rPr>
        <w:t>the nomination ‘</w:t>
      </w:r>
      <w:r w:rsidR="002A3BCE" w:rsidRPr="002A3BCE">
        <w:rPr>
          <w:bCs/>
          <w:u w:val="none"/>
        </w:rPr>
        <w:t>Culture of Ukrainian borscht cooking</w:t>
      </w:r>
      <w:r w:rsidR="002A3BCE" w:rsidRPr="002A3BCE">
        <w:rPr>
          <w:u w:val="none"/>
        </w:rPr>
        <w:t>’ on the List of Intangible Cultural Heritage in Need of Urgent Safeguarding (hereafter, ‘the Urgent Safeguarding List’)</w:t>
      </w:r>
      <w:r w:rsidR="002A3BCE">
        <w:rPr>
          <w:u w:val="none"/>
        </w:rPr>
        <w:t>, in reference to Article 17.3 of the 2003 Convention. In accordance with paragraphs 1 and 32 of the Operational Directives, the Bureau of the seventeenth session of the Intergovernmental Committee for the Safeguarding of the Intangible Cultural Heritage met online on 6 May 2022 to consider the request and establish a procedure, on a case-by-case basis, to treat the request with particular focus on inscription criteria U.2(b) and U.6 (</w:t>
      </w:r>
      <w:r w:rsidR="00BA206A">
        <w:rPr>
          <w:u w:val="none"/>
        </w:rPr>
        <w:t>d</w:t>
      </w:r>
      <w:r w:rsidR="002A3BCE">
        <w:rPr>
          <w:u w:val="none"/>
        </w:rPr>
        <w:t xml:space="preserve">ocument </w:t>
      </w:r>
      <w:hyperlink r:id="rId9" w:history="1">
        <w:r w:rsidR="002A3BCE" w:rsidRPr="00BA206A">
          <w:rPr>
            <w:rStyle w:val="Lienhypertexte"/>
          </w:rPr>
          <w:t>LHE/22/17.COM 3.BUR/3</w:t>
        </w:r>
      </w:hyperlink>
      <w:r w:rsidR="00993144">
        <w:rPr>
          <w:rStyle w:val="Lienhypertexte"/>
          <w:u w:val="none"/>
        </w:rPr>
        <w:t xml:space="preserve"> </w:t>
      </w:r>
      <w:r w:rsidR="00993144" w:rsidRPr="00604DE2">
        <w:rPr>
          <w:u w:val="none"/>
        </w:rPr>
        <w:t>and</w:t>
      </w:r>
      <w:r w:rsidR="00993144">
        <w:rPr>
          <w:rStyle w:val="Lienhypertexte"/>
          <w:u w:val="none"/>
        </w:rPr>
        <w:t xml:space="preserve"> </w:t>
      </w:r>
      <w:hyperlink r:id="rId10" w:history="1">
        <w:r w:rsidR="00993144" w:rsidRPr="00BA206A">
          <w:rPr>
            <w:rStyle w:val="Lienhypertexte"/>
          </w:rPr>
          <w:t>Decision 17.COM 3.BUR 3</w:t>
        </w:r>
      </w:hyperlink>
      <w:r w:rsidR="002A3BCE">
        <w:rPr>
          <w:u w:val="none"/>
        </w:rPr>
        <w:t>).</w:t>
      </w:r>
    </w:p>
    <w:p w14:paraId="355A619F" w14:textId="1EDFE121" w:rsidR="002B0233" w:rsidRDefault="00E234DB" w:rsidP="00255AF4">
      <w:pPr>
        <w:pStyle w:val="COMParaDecision"/>
        <w:ind w:left="567" w:hanging="567"/>
        <w:rPr>
          <w:u w:val="none"/>
        </w:rPr>
      </w:pPr>
      <w:r>
        <w:rPr>
          <w:u w:val="none"/>
        </w:rPr>
        <w:t>T</w:t>
      </w:r>
      <w:r w:rsidR="002B0233">
        <w:rPr>
          <w:u w:val="none"/>
        </w:rPr>
        <w:t xml:space="preserve">he Bureau invited Ukraine to submit any additional information to what had been provided, particularly as regards inscription criteria U.2(b) and U.6, and requested the Secretariat to include this information in the nomination form </w:t>
      </w:r>
      <w:r w:rsidR="006A3811">
        <w:rPr>
          <w:u w:val="none"/>
        </w:rPr>
        <w:t>and to give this nomination</w:t>
      </w:r>
      <w:r w:rsidR="002B0233">
        <w:rPr>
          <w:u w:val="none"/>
        </w:rPr>
        <w:t xml:space="preserve"> to the 2022 Evaluation Body for their evaluation during its June meeting</w:t>
      </w:r>
      <w:r w:rsidR="00235ADF">
        <w:rPr>
          <w:u w:val="none"/>
        </w:rPr>
        <w:t xml:space="preserve"> (</w:t>
      </w:r>
      <w:hyperlink r:id="rId11" w:history="1">
        <w:r w:rsidR="00235ADF" w:rsidRPr="00BA206A">
          <w:rPr>
            <w:rStyle w:val="Lienhypertexte"/>
          </w:rPr>
          <w:t>Decision 17.COM 3.BUR 3</w:t>
        </w:r>
      </w:hyperlink>
      <w:r w:rsidR="00993144">
        <w:rPr>
          <w:rStyle w:val="Lienhypertexte"/>
        </w:rPr>
        <w:t xml:space="preserve"> paragraphs 4 and 5</w:t>
      </w:r>
      <w:r w:rsidR="00235ADF">
        <w:rPr>
          <w:u w:val="none"/>
        </w:rPr>
        <w:t>)</w:t>
      </w:r>
      <w:r w:rsidR="002B0233">
        <w:rPr>
          <w:u w:val="none"/>
        </w:rPr>
        <w:t>.</w:t>
      </w:r>
      <w:r w:rsidR="00235ADF">
        <w:rPr>
          <w:u w:val="none"/>
        </w:rPr>
        <w:t xml:space="preserve"> </w:t>
      </w:r>
      <w:r w:rsidR="00421859">
        <w:rPr>
          <w:u w:val="none"/>
        </w:rPr>
        <w:t>Taking this recent progress into account</w:t>
      </w:r>
      <w:r w:rsidR="00235ADF">
        <w:rPr>
          <w:u w:val="none"/>
        </w:rPr>
        <w:t xml:space="preserve">, this document presents the recommendation of the Evaluation Body to the Bureau </w:t>
      </w:r>
      <w:r w:rsidR="00983CEF">
        <w:rPr>
          <w:u w:val="none"/>
        </w:rPr>
        <w:t>and</w:t>
      </w:r>
      <w:r w:rsidR="00235ADF">
        <w:rPr>
          <w:u w:val="none"/>
        </w:rPr>
        <w:t xml:space="preserve"> discuss</w:t>
      </w:r>
      <w:r w:rsidR="00983CEF">
        <w:rPr>
          <w:u w:val="none"/>
        </w:rPr>
        <w:t>es possible</w:t>
      </w:r>
      <w:r w:rsidR="00235ADF">
        <w:rPr>
          <w:u w:val="none"/>
        </w:rPr>
        <w:t xml:space="preserve"> </w:t>
      </w:r>
      <w:r w:rsidR="005914CE">
        <w:rPr>
          <w:u w:val="none"/>
        </w:rPr>
        <w:t>next steps</w:t>
      </w:r>
      <w:r w:rsidR="00235ADF">
        <w:rPr>
          <w:u w:val="none"/>
        </w:rPr>
        <w:t xml:space="preserve"> to bring</w:t>
      </w:r>
      <w:r w:rsidR="007B558F">
        <w:rPr>
          <w:u w:val="none"/>
        </w:rPr>
        <w:t>, as soon as possible,</w:t>
      </w:r>
      <w:r w:rsidR="00235ADF">
        <w:rPr>
          <w:u w:val="none"/>
        </w:rPr>
        <w:t xml:space="preserve"> the nomination to the Committee for its examination.</w:t>
      </w:r>
    </w:p>
    <w:p w14:paraId="661B0BB4" w14:textId="7850710E" w:rsidR="00DD4B8A" w:rsidRPr="00DD4B8A" w:rsidRDefault="00DD4B8A" w:rsidP="00DD4B8A">
      <w:pPr>
        <w:pStyle w:val="COMParaDecision"/>
        <w:numPr>
          <w:ilvl w:val="0"/>
          <w:numId w:val="0"/>
        </w:numPr>
        <w:ind w:left="567"/>
        <w:rPr>
          <w:b/>
          <w:bCs/>
          <w:u w:val="none"/>
        </w:rPr>
      </w:pPr>
      <w:bookmarkStart w:id="2" w:name="_Hlk105160497"/>
      <w:r w:rsidRPr="00DD4B8A">
        <w:rPr>
          <w:b/>
          <w:bCs/>
          <w:u w:val="none"/>
        </w:rPr>
        <w:t>Update on progress</w:t>
      </w:r>
    </w:p>
    <w:p w14:paraId="1417C4B7" w14:textId="121152DE" w:rsidR="00DD4B8A" w:rsidRPr="00DD4B8A" w:rsidRDefault="001D421C" w:rsidP="00E234DB">
      <w:pPr>
        <w:pStyle w:val="COMParaDecision"/>
        <w:numPr>
          <w:ilvl w:val="0"/>
          <w:numId w:val="0"/>
        </w:numPr>
        <w:spacing w:before="240"/>
        <w:ind w:left="567"/>
      </w:pPr>
      <w:r>
        <w:t>Constitution</w:t>
      </w:r>
      <w:r w:rsidR="00DD4B8A" w:rsidRPr="00DD4B8A">
        <w:t xml:space="preserve"> of nomination dossier</w:t>
      </w:r>
    </w:p>
    <w:p w14:paraId="5A2455ED" w14:textId="5233A02B" w:rsidR="000939AA" w:rsidRDefault="000939AA" w:rsidP="00255AF4">
      <w:pPr>
        <w:pStyle w:val="COMParaDecision"/>
        <w:ind w:left="567" w:hanging="567"/>
        <w:rPr>
          <w:u w:val="none"/>
        </w:rPr>
      </w:pPr>
      <w:bookmarkStart w:id="3" w:name="_Hlk105160566"/>
      <w:bookmarkEnd w:id="2"/>
      <w:r w:rsidRPr="000939AA">
        <w:rPr>
          <w:u w:val="none"/>
        </w:rPr>
        <w:t xml:space="preserve">The nomination </w:t>
      </w:r>
      <w:r>
        <w:rPr>
          <w:u w:val="none"/>
        </w:rPr>
        <w:t>dossier</w:t>
      </w:r>
      <w:r w:rsidRPr="000939AA">
        <w:rPr>
          <w:u w:val="none"/>
        </w:rPr>
        <w:t xml:space="preserve"> (</w:t>
      </w:r>
      <w:hyperlink r:id="rId12" w:history="1">
        <w:r w:rsidRPr="000939AA">
          <w:rPr>
            <w:u w:val="none"/>
          </w:rPr>
          <w:t xml:space="preserve">no. </w:t>
        </w:r>
        <w:r w:rsidRPr="007E5518">
          <w:rPr>
            <w:rStyle w:val="Lienhypertexte"/>
          </w:rPr>
          <w:t>01852</w:t>
        </w:r>
      </w:hyperlink>
      <w:r w:rsidRPr="000939AA">
        <w:rPr>
          <w:u w:val="none"/>
        </w:rPr>
        <w:t xml:space="preserve">) was </w:t>
      </w:r>
      <w:r>
        <w:rPr>
          <w:u w:val="none"/>
        </w:rPr>
        <w:t>originally</w:t>
      </w:r>
      <w:r w:rsidRPr="000939AA">
        <w:rPr>
          <w:u w:val="none"/>
        </w:rPr>
        <w:t xml:space="preserve"> submitted </w:t>
      </w:r>
      <w:r w:rsidR="007E5518">
        <w:rPr>
          <w:u w:val="none"/>
        </w:rPr>
        <w:t>by Ukraine</w:t>
      </w:r>
      <w:r w:rsidR="00E125D5">
        <w:rPr>
          <w:u w:val="none"/>
        </w:rPr>
        <w:t>, using Form ICH-02,</w:t>
      </w:r>
      <w:r w:rsidR="007E5518">
        <w:rPr>
          <w:u w:val="none"/>
        </w:rPr>
        <w:t xml:space="preserve"> </w:t>
      </w:r>
      <w:r w:rsidRPr="000939AA">
        <w:rPr>
          <w:u w:val="none"/>
        </w:rPr>
        <w:t>in March 2021 for possible inscription on the Representative List of the Intangible Cultural Heritage of Humanity (hereafter ‘the Representative List’)</w:t>
      </w:r>
      <w:r>
        <w:rPr>
          <w:u w:val="none"/>
        </w:rPr>
        <w:t xml:space="preserve">. </w:t>
      </w:r>
      <w:r w:rsidR="00D72992">
        <w:rPr>
          <w:u w:val="none"/>
        </w:rPr>
        <w:t xml:space="preserve">As discussed during the </w:t>
      </w:r>
      <w:r w:rsidR="003760B3">
        <w:rPr>
          <w:u w:val="none"/>
        </w:rPr>
        <w:t xml:space="preserve">third meeting of the </w:t>
      </w:r>
      <w:r w:rsidR="00D72992">
        <w:rPr>
          <w:u w:val="none"/>
        </w:rPr>
        <w:t xml:space="preserve">Bureau </w:t>
      </w:r>
      <w:r w:rsidR="003760B3">
        <w:rPr>
          <w:u w:val="none"/>
        </w:rPr>
        <w:t>in May</w:t>
      </w:r>
      <w:r>
        <w:rPr>
          <w:u w:val="none"/>
        </w:rPr>
        <w:t>, as</w:t>
      </w:r>
      <w:r w:rsidRPr="000939AA">
        <w:rPr>
          <w:u w:val="none"/>
        </w:rPr>
        <w:t xml:space="preserve"> the nomination was initially prepared against the inscription criteria for the Representative List (criteria R.1 – R.5), </w:t>
      </w:r>
      <w:r>
        <w:rPr>
          <w:u w:val="none"/>
        </w:rPr>
        <w:t xml:space="preserve">there was </w:t>
      </w:r>
      <w:r w:rsidR="00D72992">
        <w:rPr>
          <w:u w:val="none"/>
        </w:rPr>
        <w:t>a</w:t>
      </w:r>
      <w:r>
        <w:rPr>
          <w:u w:val="none"/>
        </w:rPr>
        <w:t xml:space="preserve"> need to adjust the file to </w:t>
      </w:r>
      <w:r w:rsidRPr="000939AA">
        <w:rPr>
          <w:u w:val="none"/>
        </w:rPr>
        <w:t>demonstrate that the nominated element qualifie</w:t>
      </w:r>
      <w:r>
        <w:rPr>
          <w:u w:val="none"/>
        </w:rPr>
        <w:t>d</w:t>
      </w:r>
      <w:r w:rsidRPr="000939AA">
        <w:rPr>
          <w:u w:val="none"/>
        </w:rPr>
        <w:t xml:space="preserve"> as a case of extreme urgency in fulfilment of the inscription criteria for the Urgent Safeguarding List</w:t>
      </w:r>
      <w:r>
        <w:rPr>
          <w:u w:val="none"/>
        </w:rPr>
        <w:t>.</w:t>
      </w:r>
    </w:p>
    <w:bookmarkEnd w:id="3"/>
    <w:p w14:paraId="579CF605" w14:textId="7AF92AE3" w:rsidR="00A629F2" w:rsidRPr="006273A7" w:rsidRDefault="00993144" w:rsidP="00255AF4">
      <w:pPr>
        <w:pStyle w:val="COMParaDecision"/>
        <w:ind w:left="567" w:hanging="567"/>
      </w:pPr>
      <w:r>
        <w:rPr>
          <w:u w:val="none"/>
        </w:rPr>
        <w:t>T</w:t>
      </w:r>
      <w:r w:rsidR="000939AA">
        <w:rPr>
          <w:u w:val="none"/>
        </w:rPr>
        <w:t xml:space="preserve">he Secretariat </w:t>
      </w:r>
      <w:r w:rsidR="0014733D">
        <w:rPr>
          <w:u w:val="none"/>
        </w:rPr>
        <w:t>notified Ukraine in a letter</w:t>
      </w:r>
      <w:r w:rsidR="000939AA">
        <w:rPr>
          <w:u w:val="none"/>
        </w:rPr>
        <w:t xml:space="preserve"> on 10 May 2022 of </w:t>
      </w:r>
      <w:r w:rsidR="0083372E">
        <w:rPr>
          <w:u w:val="none"/>
        </w:rPr>
        <w:t xml:space="preserve">the </w:t>
      </w:r>
      <w:r w:rsidR="002F624A">
        <w:rPr>
          <w:u w:val="none"/>
        </w:rPr>
        <w:t xml:space="preserve">Bureau’s decision </w:t>
      </w:r>
      <w:r w:rsidR="0083372E">
        <w:rPr>
          <w:u w:val="none"/>
        </w:rPr>
        <w:t>on how to</w:t>
      </w:r>
      <w:r w:rsidR="002F624A">
        <w:rPr>
          <w:u w:val="none"/>
        </w:rPr>
        <w:t xml:space="preserve"> process the file on an accelerated basis </w:t>
      </w:r>
      <w:r w:rsidR="000939AA">
        <w:rPr>
          <w:u w:val="none"/>
        </w:rPr>
        <w:t>and</w:t>
      </w:r>
      <w:r w:rsidR="003C2A5E">
        <w:rPr>
          <w:u w:val="none"/>
        </w:rPr>
        <w:t xml:space="preserve"> accordingly</w:t>
      </w:r>
      <w:r w:rsidR="000939AA">
        <w:rPr>
          <w:u w:val="none"/>
        </w:rPr>
        <w:t xml:space="preserve"> invite</w:t>
      </w:r>
      <w:r w:rsidR="003C2A5E">
        <w:rPr>
          <w:u w:val="none"/>
        </w:rPr>
        <w:t>d</w:t>
      </w:r>
      <w:r w:rsidR="000939AA">
        <w:rPr>
          <w:u w:val="none"/>
        </w:rPr>
        <w:t xml:space="preserve"> them to submit any additional information</w:t>
      </w:r>
      <w:r w:rsidR="002C5659">
        <w:rPr>
          <w:u w:val="none"/>
        </w:rPr>
        <w:t xml:space="preserve"> </w:t>
      </w:r>
      <w:r w:rsidR="000939AA" w:rsidRPr="003E5C2D">
        <w:rPr>
          <w:u w:val="none"/>
        </w:rPr>
        <w:t>to what ha</w:t>
      </w:r>
      <w:r w:rsidR="000939AA">
        <w:rPr>
          <w:u w:val="none"/>
        </w:rPr>
        <w:t>d</w:t>
      </w:r>
      <w:r w:rsidR="000939AA" w:rsidRPr="003E5C2D">
        <w:rPr>
          <w:u w:val="none"/>
        </w:rPr>
        <w:t xml:space="preserve"> </w:t>
      </w:r>
      <w:r w:rsidR="000939AA">
        <w:rPr>
          <w:u w:val="none"/>
        </w:rPr>
        <w:t xml:space="preserve">already </w:t>
      </w:r>
      <w:r w:rsidR="000939AA" w:rsidRPr="003E5C2D">
        <w:rPr>
          <w:u w:val="none"/>
        </w:rPr>
        <w:t xml:space="preserve">been provided, particularly </w:t>
      </w:r>
      <w:r w:rsidR="002C5659">
        <w:rPr>
          <w:u w:val="none"/>
        </w:rPr>
        <w:t>regarding</w:t>
      </w:r>
      <w:r w:rsidR="000939AA" w:rsidRPr="003E5C2D">
        <w:rPr>
          <w:u w:val="none"/>
        </w:rPr>
        <w:t xml:space="preserve"> inscription criteria U.2(b) and U.</w:t>
      </w:r>
      <w:r w:rsidR="000939AA">
        <w:rPr>
          <w:u w:val="none"/>
        </w:rPr>
        <w:t xml:space="preserve">6. </w:t>
      </w:r>
      <w:r w:rsidR="00A629F2">
        <w:rPr>
          <w:u w:val="none"/>
        </w:rPr>
        <w:t xml:space="preserve">The Secretariat received the additional information on the nomination from Ukraine </w:t>
      </w:r>
      <w:r w:rsidR="00E125D5">
        <w:rPr>
          <w:u w:val="none"/>
        </w:rPr>
        <w:t xml:space="preserve">(an additional letter </w:t>
      </w:r>
      <w:r w:rsidR="002B3863">
        <w:rPr>
          <w:u w:val="none"/>
        </w:rPr>
        <w:t xml:space="preserve">on </w:t>
      </w:r>
      <w:r w:rsidR="00BD2E25">
        <w:rPr>
          <w:u w:val="none"/>
        </w:rPr>
        <w:t>14</w:t>
      </w:r>
      <w:r w:rsidR="002B3863">
        <w:rPr>
          <w:u w:val="none"/>
        </w:rPr>
        <w:t xml:space="preserve"> June 2022</w:t>
      </w:r>
      <w:r w:rsidR="00441CCB">
        <w:rPr>
          <w:u w:val="none"/>
        </w:rPr>
        <w:t xml:space="preserve"> </w:t>
      </w:r>
      <w:r w:rsidR="00E125D5">
        <w:rPr>
          <w:u w:val="none"/>
        </w:rPr>
        <w:t xml:space="preserve">and the Form ICH-01 with photos on 15 June 2022) </w:t>
      </w:r>
      <w:r w:rsidR="00301372">
        <w:rPr>
          <w:u w:val="none"/>
        </w:rPr>
        <w:t xml:space="preserve">and </w:t>
      </w:r>
      <w:r w:rsidR="00A629F2">
        <w:rPr>
          <w:u w:val="none"/>
        </w:rPr>
        <w:t xml:space="preserve">included this information to constitute a composite nomination dossier, </w:t>
      </w:r>
      <w:r w:rsidR="00DD4176">
        <w:rPr>
          <w:u w:val="none"/>
        </w:rPr>
        <w:t>comprising</w:t>
      </w:r>
      <w:r w:rsidR="00A629F2">
        <w:rPr>
          <w:u w:val="none"/>
        </w:rPr>
        <w:t xml:space="preserve"> information from both the original request submitted </w:t>
      </w:r>
      <w:r w:rsidR="00DD4176">
        <w:rPr>
          <w:u w:val="none"/>
        </w:rPr>
        <w:t>by Ukraine for possible inscription on the Representative List in</w:t>
      </w:r>
      <w:r w:rsidR="00A629F2">
        <w:rPr>
          <w:u w:val="none"/>
        </w:rPr>
        <w:t xml:space="preserve"> March 2021 and the additional information </w:t>
      </w:r>
      <w:r w:rsidR="00DD4176">
        <w:rPr>
          <w:u w:val="none"/>
        </w:rPr>
        <w:t xml:space="preserve">subsequently </w:t>
      </w:r>
      <w:r w:rsidR="00A629F2">
        <w:rPr>
          <w:u w:val="none"/>
        </w:rPr>
        <w:t xml:space="preserve">provided by Ukraine </w:t>
      </w:r>
      <w:r w:rsidR="00DD4176">
        <w:rPr>
          <w:u w:val="none"/>
        </w:rPr>
        <w:t xml:space="preserve">following the Secretariat’s request </w:t>
      </w:r>
      <w:r w:rsidR="00A629F2">
        <w:rPr>
          <w:u w:val="none"/>
        </w:rPr>
        <w:t xml:space="preserve">on </w:t>
      </w:r>
      <w:r w:rsidR="001306AD">
        <w:rPr>
          <w:u w:val="none"/>
        </w:rPr>
        <w:t>14</w:t>
      </w:r>
      <w:r w:rsidR="00A629F2">
        <w:rPr>
          <w:u w:val="none"/>
        </w:rPr>
        <w:t xml:space="preserve"> </w:t>
      </w:r>
      <w:r w:rsidR="001652B5">
        <w:rPr>
          <w:u w:val="none"/>
        </w:rPr>
        <w:t xml:space="preserve">and 15 </w:t>
      </w:r>
      <w:r w:rsidR="00A629F2">
        <w:rPr>
          <w:u w:val="none"/>
        </w:rPr>
        <w:t xml:space="preserve">June 2022. The dossier was made available on the following webpage: </w:t>
      </w:r>
      <w:hyperlink r:id="rId13" w:history="1">
        <w:r w:rsidR="00F710F0" w:rsidRPr="002E78B5">
          <w:rPr>
            <w:rStyle w:val="Lienhypertexte"/>
          </w:rPr>
          <w:t>https://ich.unesco.org/en/ukraine-request-17com-4bur-01262</w:t>
        </w:r>
      </w:hyperlink>
      <w:r w:rsidR="003760B3">
        <w:rPr>
          <w:rStyle w:val="Lienhypertexte"/>
          <w:u w:val="none"/>
        </w:rPr>
        <w:t>.</w:t>
      </w:r>
    </w:p>
    <w:p w14:paraId="63DDDAE4" w14:textId="7FE7A96A" w:rsidR="00DD4B8A" w:rsidRPr="00DD4B8A" w:rsidRDefault="00DD4B8A" w:rsidP="00E234DB">
      <w:pPr>
        <w:pStyle w:val="COMParaDecision"/>
        <w:numPr>
          <w:ilvl w:val="0"/>
          <w:numId w:val="0"/>
        </w:numPr>
        <w:spacing w:before="240"/>
        <w:ind w:left="567"/>
      </w:pPr>
      <w:bookmarkStart w:id="4" w:name="_Hlk105161012"/>
      <w:r w:rsidRPr="00DD4B8A">
        <w:t>Assessment by the 2022 Evaluation Body</w:t>
      </w:r>
    </w:p>
    <w:p w14:paraId="2AFBFC58" w14:textId="53FE6FB1" w:rsidR="00B57DEE" w:rsidRDefault="00B57DEE" w:rsidP="00255AF4">
      <w:pPr>
        <w:pStyle w:val="COMParaDecision"/>
        <w:ind w:left="567" w:hanging="567"/>
        <w:rPr>
          <w:u w:val="none"/>
        </w:rPr>
      </w:pPr>
      <w:r>
        <w:rPr>
          <w:u w:val="none"/>
        </w:rPr>
        <w:t xml:space="preserve">Following </w:t>
      </w:r>
      <w:hyperlink r:id="rId14" w:history="1">
        <w:r w:rsidR="005911DA" w:rsidRPr="005911DA">
          <w:rPr>
            <w:u w:val="none"/>
          </w:rPr>
          <w:t>the</w:t>
        </w:r>
      </w:hyperlink>
      <w:r w:rsidR="005911DA">
        <w:rPr>
          <w:u w:val="none"/>
        </w:rPr>
        <w:t xml:space="preserve"> decision by the Bureau meeting in May</w:t>
      </w:r>
      <w:r>
        <w:rPr>
          <w:u w:val="none"/>
        </w:rPr>
        <w:t xml:space="preserve">, the Evaluation Body </w:t>
      </w:r>
      <w:r w:rsidR="00A05CB5">
        <w:rPr>
          <w:u w:val="none"/>
        </w:rPr>
        <w:t xml:space="preserve">was </w:t>
      </w:r>
      <w:r>
        <w:rPr>
          <w:u w:val="none"/>
        </w:rPr>
        <w:t>formally requested</w:t>
      </w:r>
      <w:r w:rsidR="00947FAA">
        <w:rPr>
          <w:u w:val="none"/>
        </w:rPr>
        <w:t xml:space="preserve"> on 13 May 2022</w:t>
      </w:r>
      <w:r>
        <w:rPr>
          <w:u w:val="none"/>
        </w:rPr>
        <w:t xml:space="preserve"> to examine the nomination ‘Culture of Ukrainian borscht cooking’ as a case of extreme urgency</w:t>
      </w:r>
      <w:r w:rsidR="00345B60" w:rsidRPr="00345B60">
        <w:rPr>
          <w:u w:val="none"/>
        </w:rPr>
        <w:t xml:space="preserve"> </w:t>
      </w:r>
      <w:r w:rsidR="00345B60">
        <w:rPr>
          <w:u w:val="none"/>
        </w:rPr>
        <w:t>for the Urgent Safeguarding List</w:t>
      </w:r>
      <w:r w:rsidR="005911DA">
        <w:rPr>
          <w:u w:val="none"/>
        </w:rPr>
        <w:t xml:space="preserve"> </w:t>
      </w:r>
      <w:r w:rsidR="00A05CB5">
        <w:rPr>
          <w:u w:val="none"/>
        </w:rPr>
        <w:t xml:space="preserve">in reference to </w:t>
      </w:r>
      <w:r w:rsidR="00E405A8">
        <w:rPr>
          <w:u w:val="none"/>
        </w:rPr>
        <w:t>A</w:t>
      </w:r>
      <w:r w:rsidR="00A05CB5">
        <w:rPr>
          <w:u w:val="none"/>
        </w:rPr>
        <w:t>rticle 17.3 of the Convention</w:t>
      </w:r>
      <w:r>
        <w:rPr>
          <w:u w:val="none"/>
        </w:rPr>
        <w:t xml:space="preserve">. </w:t>
      </w:r>
      <w:r w:rsidR="00F81661">
        <w:rPr>
          <w:u w:val="none"/>
        </w:rPr>
        <w:t xml:space="preserve">The Secretariat made the nomination </w:t>
      </w:r>
      <w:r w:rsidR="00F3224A">
        <w:rPr>
          <w:u w:val="none"/>
        </w:rPr>
        <w:t xml:space="preserve">dossier </w:t>
      </w:r>
      <w:r w:rsidR="00A05CB5">
        <w:rPr>
          <w:u w:val="none"/>
        </w:rPr>
        <w:t xml:space="preserve">available </w:t>
      </w:r>
      <w:r w:rsidR="00F81661">
        <w:rPr>
          <w:u w:val="none"/>
        </w:rPr>
        <w:t>online</w:t>
      </w:r>
      <w:r w:rsidR="002976EB">
        <w:rPr>
          <w:u w:val="none"/>
        </w:rPr>
        <w:t xml:space="preserve"> to the Evaluation Body in English and French through its dedicated monitoring interface on </w:t>
      </w:r>
      <w:r w:rsidR="001652B5" w:rsidRPr="009C2F47">
        <w:rPr>
          <w:u w:val="none"/>
        </w:rPr>
        <w:t xml:space="preserve">16 </w:t>
      </w:r>
      <w:r w:rsidR="00725FB3" w:rsidRPr="009C2F47">
        <w:rPr>
          <w:u w:val="none"/>
        </w:rPr>
        <w:t xml:space="preserve">June </w:t>
      </w:r>
      <w:r w:rsidR="00702FEC" w:rsidRPr="009C2F47">
        <w:rPr>
          <w:u w:val="none"/>
        </w:rPr>
        <w:t>20</w:t>
      </w:r>
      <w:r w:rsidR="00725FB3" w:rsidRPr="009C2F47">
        <w:rPr>
          <w:u w:val="none"/>
        </w:rPr>
        <w:t>22</w:t>
      </w:r>
      <w:r w:rsidR="00F81661">
        <w:rPr>
          <w:u w:val="none"/>
        </w:rPr>
        <w:t>. The nomination dossier</w:t>
      </w:r>
      <w:r w:rsidR="00F3224A">
        <w:rPr>
          <w:u w:val="none"/>
        </w:rPr>
        <w:t xml:space="preserve"> was</w:t>
      </w:r>
      <w:r w:rsidR="009C2F47">
        <w:rPr>
          <w:u w:val="none"/>
        </w:rPr>
        <w:t xml:space="preserve"> presented in a ‘booklet’ format</w:t>
      </w:r>
      <w:r w:rsidR="00F3224A">
        <w:rPr>
          <w:u w:val="none"/>
        </w:rPr>
        <w:t>,</w:t>
      </w:r>
      <w:r w:rsidR="009C2F47">
        <w:rPr>
          <w:u w:val="none"/>
        </w:rPr>
        <w:t xml:space="preserve"> comprising </w:t>
      </w:r>
      <w:r w:rsidR="00F81661">
        <w:rPr>
          <w:u w:val="none"/>
        </w:rPr>
        <w:t>relevant documentations received and exchanges with the submitting State</w:t>
      </w:r>
      <w:r w:rsidR="009C2F47">
        <w:rPr>
          <w:u w:val="none"/>
        </w:rPr>
        <w:t xml:space="preserve"> in chronological order.</w:t>
      </w:r>
    </w:p>
    <w:p w14:paraId="22E3C10E" w14:textId="4CF3FC4E" w:rsidR="00786E0A" w:rsidRDefault="00D64566" w:rsidP="00255AF4">
      <w:pPr>
        <w:pStyle w:val="COMParaDecision"/>
        <w:ind w:left="567" w:hanging="567"/>
        <w:rPr>
          <w:u w:val="none"/>
        </w:rPr>
      </w:pPr>
      <w:r>
        <w:rPr>
          <w:u w:val="none"/>
        </w:rPr>
        <w:t xml:space="preserve">The request was included in the agenda of the second meeting of the </w:t>
      </w:r>
      <w:r w:rsidR="00786E0A">
        <w:rPr>
          <w:u w:val="none"/>
        </w:rPr>
        <w:t xml:space="preserve">2022 </w:t>
      </w:r>
      <w:r>
        <w:rPr>
          <w:u w:val="none"/>
        </w:rPr>
        <w:t xml:space="preserve">Evaluation Body taking place </w:t>
      </w:r>
      <w:r w:rsidRPr="00D64566">
        <w:rPr>
          <w:i/>
          <w:iCs/>
          <w:u w:val="none"/>
        </w:rPr>
        <w:t>in presentia</w:t>
      </w:r>
      <w:r>
        <w:rPr>
          <w:u w:val="none"/>
        </w:rPr>
        <w:t xml:space="preserve"> in Paris </w:t>
      </w:r>
      <w:r w:rsidR="00786E0A">
        <w:rPr>
          <w:u w:val="none"/>
        </w:rPr>
        <w:t xml:space="preserve">at UNESCO Headquarters </w:t>
      </w:r>
      <w:r>
        <w:rPr>
          <w:u w:val="none"/>
        </w:rPr>
        <w:t xml:space="preserve">from 20 to 25 June 2022. </w:t>
      </w:r>
      <w:r w:rsidR="00786E0A">
        <w:rPr>
          <w:u w:val="none"/>
        </w:rPr>
        <w:t>The second meeting of the Evaluation Body has a particularly heavy workload</w:t>
      </w:r>
      <w:r w:rsidR="00801DC0">
        <w:rPr>
          <w:u w:val="none"/>
        </w:rPr>
        <w:t xml:space="preserve"> </w:t>
      </w:r>
      <w:r w:rsidR="00786E0A">
        <w:rPr>
          <w:u w:val="none"/>
        </w:rPr>
        <w:t>where the Body must reach a consensus in its recommendation</w:t>
      </w:r>
      <w:r w:rsidR="00BC0F45">
        <w:rPr>
          <w:u w:val="none"/>
        </w:rPr>
        <w:t>s</w:t>
      </w:r>
      <w:r w:rsidR="00786E0A">
        <w:rPr>
          <w:u w:val="none"/>
        </w:rPr>
        <w:t xml:space="preserve"> for all </w:t>
      </w:r>
      <w:r w:rsidR="00786E0A" w:rsidRPr="00166BB5">
        <w:rPr>
          <w:u w:val="none"/>
        </w:rPr>
        <w:t>fifty-six</w:t>
      </w:r>
      <w:r w:rsidR="00786E0A">
        <w:rPr>
          <w:u w:val="none"/>
        </w:rPr>
        <w:t xml:space="preserve"> files under examination </w:t>
      </w:r>
      <w:r w:rsidR="003969F2">
        <w:rPr>
          <w:u w:val="none"/>
        </w:rPr>
        <w:t xml:space="preserve">in the 2022 cycle </w:t>
      </w:r>
      <w:r w:rsidR="00786E0A">
        <w:rPr>
          <w:u w:val="none"/>
        </w:rPr>
        <w:t>and their criteria, as well as cross-cutting issues.</w:t>
      </w:r>
      <w:r w:rsidR="003969F2">
        <w:rPr>
          <w:u w:val="none"/>
        </w:rPr>
        <w:t xml:space="preserve"> In view of the exceptional nature of this </w:t>
      </w:r>
      <w:r w:rsidR="003969F2">
        <w:rPr>
          <w:u w:val="none"/>
        </w:rPr>
        <w:lastRenderedPageBreak/>
        <w:t>case, t</w:t>
      </w:r>
      <w:r w:rsidR="00786E0A">
        <w:rPr>
          <w:u w:val="none"/>
        </w:rPr>
        <w:t>he Secretariat and the Evaluation Body made</w:t>
      </w:r>
      <w:r w:rsidR="005B2F6B">
        <w:rPr>
          <w:u w:val="none"/>
        </w:rPr>
        <w:t xml:space="preserve"> </w:t>
      </w:r>
      <w:r w:rsidR="003969F2">
        <w:rPr>
          <w:u w:val="none"/>
        </w:rPr>
        <w:t>concerted</w:t>
      </w:r>
      <w:r w:rsidR="005B2F6B">
        <w:rPr>
          <w:u w:val="none"/>
        </w:rPr>
        <w:t xml:space="preserve"> efforts to integrate the examination of the request into the already dense </w:t>
      </w:r>
      <w:r w:rsidR="004B391E">
        <w:rPr>
          <w:u w:val="none"/>
        </w:rPr>
        <w:t xml:space="preserve">six-day </w:t>
      </w:r>
      <w:r w:rsidR="005B2F6B">
        <w:rPr>
          <w:u w:val="none"/>
        </w:rPr>
        <w:t>agenda.</w:t>
      </w:r>
    </w:p>
    <w:p w14:paraId="41A3A62D" w14:textId="41EDF60A" w:rsidR="00725FB3" w:rsidRPr="005B2F6B" w:rsidRDefault="00D64566" w:rsidP="00255AF4">
      <w:pPr>
        <w:pStyle w:val="COMParaDecision"/>
        <w:ind w:left="567" w:hanging="567"/>
        <w:rPr>
          <w:u w:val="none"/>
        </w:rPr>
      </w:pPr>
      <w:r w:rsidRPr="005B2F6B">
        <w:rPr>
          <w:u w:val="none"/>
        </w:rPr>
        <w:t xml:space="preserve">The </w:t>
      </w:r>
      <w:r w:rsidR="005B2F6B">
        <w:rPr>
          <w:u w:val="none"/>
        </w:rPr>
        <w:t>file</w:t>
      </w:r>
      <w:r w:rsidRPr="005B2F6B">
        <w:rPr>
          <w:u w:val="none"/>
        </w:rPr>
        <w:t xml:space="preserve"> was presented </w:t>
      </w:r>
      <w:r w:rsidR="005B2F6B">
        <w:rPr>
          <w:u w:val="none"/>
        </w:rPr>
        <w:t xml:space="preserve">during the meeting on its first day </w:t>
      </w:r>
      <w:r w:rsidR="00954FEE">
        <w:rPr>
          <w:u w:val="none"/>
        </w:rPr>
        <w:t xml:space="preserve">on </w:t>
      </w:r>
      <w:r w:rsidRPr="005B2F6B">
        <w:rPr>
          <w:u w:val="none"/>
        </w:rPr>
        <w:t xml:space="preserve">20 June 2022 </w:t>
      </w:r>
      <w:r w:rsidR="00786E0A" w:rsidRPr="005B2F6B">
        <w:rPr>
          <w:u w:val="none"/>
        </w:rPr>
        <w:t>and</w:t>
      </w:r>
      <w:r w:rsidR="00DE7B53">
        <w:rPr>
          <w:u w:val="none"/>
        </w:rPr>
        <w:t>,</w:t>
      </w:r>
      <w:r w:rsidR="00786E0A" w:rsidRPr="005B2F6B">
        <w:rPr>
          <w:u w:val="none"/>
        </w:rPr>
        <w:t xml:space="preserve"> </w:t>
      </w:r>
      <w:r w:rsidR="00DE7B53">
        <w:rPr>
          <w:u w:val="none"/>
        </w:rPr>
        <w:t>f</w:t>
      </w:r>
      <w:r w:rsidR="00DE7B53" w:rsidRPr="005B2F6B">
        <w:rPr>
          <w:u w:val="none"/>
        </w:rPr>
        <w:t>ollowing the same working method used for evaluating the files of the 2022 cycle</w:t>
      </w:r>
      <w:r w:rsidR="00DE7B53">
        <w:rPr>
          <w:u w:val="none"/>
        </w:rPr>
        <w:t>,</w:t>
      </w:r>
      <w:r w:rsidR="00DE7B53" w:rsidRPr="005B2F6B">
        <w:rPr>
          <w:u w:val="none"/>
        </w:rPr>
        <w:t xml:space="preserve"> </w:t>
      </w:r>
      <w:r w:rsidR="00786E0A" w:rsidRPr="005B2F6B">
        <w:rPr>
          <w:u w:val="none"/>
        </w:rPr>
        <w:t xml:space="preserve">the members discussed their evaluations, based on their </w:t>
      </w:r>
      <w:r w:rsidR="005D75F2">
        <w:rPr>
          <w:u w:val="none"/>
        </w:rPr>
        <w:t xml:space="preserve">individual </w:t>
      </w:r>
      <w:r w:rsidR="00786E0A" w:rsidRPr="005B2F6B">
        <w:rPr>
          <w:u w:val="none"/>
        </w:rPr>
        <w:t xml:space="preserve">written evaluations </w:t>
      </w:r>
      <w:r w:rsidR="00345068">
        <w:rPr>
          <w:u w:val="none"/>
        </w:rPr>
        <w:t>that they had entered in</w:t>
      </w:r>
      <w:r w:rsidR="00786E0A" w:rsidRPr="005B2F6B">
        <w:rPr>
          <w:u w:val="none"/>
        </w:rPr>
        <w:t xml:space="preserve"> the monitoring interface. </w:t>
      </w:r>
      <w:r w:rsidR="00954FEE">
        <w:rPr>
          <w:u w:val="none"/>
        </w:rPr>
        <w:t xml:space="preserve">During </w:t>
      </w:r>
      <w:r w:rsidR="00F710F0">
        <w:rPr>
          <w:u w:val="none"/>
        </w:rPr>
        <w:t xml:space="preserve">its </w:t>
      </w:r>
      <w:r w:rsidR="00954FEE">
        <w:rPr>
          <w:u w:val="none"/>
        </w:rPr>
        <w:t>deliberation</w:t>
      </w:r>
      <w:r w:rsidR="00345068">
        <w:rPr>
          <w:u w:val="none"/>
        </w:rPr>
        <w:t>s</w:t>
      </w:r>
      <w:r w:rsidR="00954FEE">
        <w:rPr>
          <w:u w:val="none"/>
        </w:rPr>
        <w:t>, t</w:t>
      </w:r>
      <w:r w:rsidR="00786E0A" w:rsidRPr="005B2F6B">
        <w:rPr>
          <w:u w:val="none"/>
        </w:rPr>
        <w:t>he Evaluation Body assessed the nomination against each of the required criteria for inscription to the Urgent Safeguarding List, with specific consideration of inscription criteria U.2(b) and U.6</w:t>
      </w:r>
      <w:r w:rsidR="00FB196A">
        <w:rPr>
          <w:u w:val="none"/>
        </w:rPr>
        <w:t>,</w:t>
      </w:r>
      <w:r w:rsidR="00786E0A" w:rsidRPr="005B2F6B">
        <w:rPr>
          <w:u w:val="none"/>
        </w:rPr>
        <w:t xml:space="preserve"> </w:t>
      </w:r>
      <w:r w:rsidR="00FB196A">
        <w:rPr>
          <w:u w:val="none"/>
        </w:rPr>
        <w:t>to arrive</w:t>
      </w:r>
      <w:r w:rsidR="00786E0A" w:rsidRPr="005B2F6B">
        <w:rPr>
          <w:u w:val="none"/>
        </w:rPr>
        <w:t xml:space="preserve"> at a </w:t>
      </w:r>
      <w:r w:rsidR="005D75F2">
        <w:rPr>
          <w:u w:val="none"/>
        </w:rPr>
        <w:t>consensus</w:t>
      </w:r>
      <w:r w:rsidR="00786E0A" w:rsidRPr="005B2F6B">
        <w:rPr>
          <w:u w:val="none"/>
        </w:rPr>
        <w:t>.</w:t>
      </w:r>
    </w:p>
    <w:p w14:paraId="36F4114C" w14:textId="0BDC6E7B" w:rsidR="005B2F6B" w:rsidRDefault="00527612" w:rsidP="00255AF4">
      <w:pPr>
        <w:pStyle w:val="COMParaDecision"/>
        <w:ind w:left="567" w:hanging="567"/>
        <w:rPr>
          <w:u w:val="none"/>
        </w:rPr>
      </w:pPr>
      <w:r>
        <w:rPr>
          <w:u w:val="none"/>
        </w:rPr>
        <w:t xml:space="preserve">In light </w:t>
      </w:r>
      <w:r w:rsidR="00786E0A">
        <w:rPr>
          <w:u w:val="none"/>
        </w:rPr>
        <w:t>of the extremely urgent nature of the request,</w:t>
      </w:r>
      <w:r w:rsidR="005B2F6B">
        <w:rPr>
          <w:u w:val="none"/>
        </w:rPr>
        <w:t xml:space="preserve"> the draft decision was prepa</w:t>
      </w:r>
      <w:r w:rsidR="00FA1AFC">
        <w:rPr>
          <w:u w:val="none"/>
        </w:rPr>
        <w:t xml:space="preserve">red </w:t>
      </w:r>
      <w:r w:rsidR="003A3725">
        <w:rPr>
          <w:u w:val="none"/>
        </w:rPr>
        <w:t xml:space="preserve">in English </w:t>
      </w:r>
      <w:r w:rsidR="005B2F6B">
        <w:rPr>
          <w:u w:val="none"/>
        </w:rPr>
        <w:t>overnight</w:t>
      </w:r>
      <w:r w:rsidR="00DD7239">
        <w:rPr>
          <w:u w:val="none"/>
        </w:rPr>
        <w:t xml:space="preserve"> on 20 June 2022</w:t>
      </w:r>
      <w:r w:rsidR="005B2F6B">
        <w:rPr>
          <w:u w:val="none"/>
        </w:rPr>
        <w:t xml:space="preserve"> by the Rapporteur and</w:t>
      </w:r>
      <w:r w:rsidR="001B64B6">
        <w:rPr>
          <w:u w:val="none"/>
        </w:rPr>
        <w:t xml:space="preserve"> </w:t>
      </w:r>
      <w:r w:rsidR="005D75F2">
        <w:rPr>
          <w:u w:val="none"/>
        </w:rPr>
        <w:t>translated by the Secretariat into French</w:t>
      </w:r>
      <w:r w:rsidR="0039535A">
        <w:rPr>
          <w:u w:val="none"/>
        </w:rPr>
        <w:t xml:space="preserve"> that same evening</w:t>
      </w:r>
      <w:r w:rsidR="005D75F2">
        <w:rPr>
          <w:u w:val="none"/>
        </w:rPr>
        <w:t xml:space="preserve">. The draft was </w:t>
      </w:r>
      <w:r w:rsidR="0039535A">
        <w:rPr>
          <w:u w:val="none"/>
        </w:rPr>
        <w:t xml:space="preserve">then </w:t>
      </w:r>
      <w:r w:rsidR="001B64B6">
        <w:rPr>
          <w:u w:val="none"/>
        </w:rPr>
        <w:t>shared with the Evaluation Body in English and French the following morning</w:t>
      </w:r>
      <w:r w:rsidR="005D75F2">
        <w:rPr>
          <w:u w:val="none"/>
        </w:rPr>
        <w:t xml:space="preserve"> and reviewed during the second day of the Evaluation Body meeting </w:t>
      </w:r>
      <w:r w:rsidR="001B64B6">
        <w:rPr>
          <w:u w:val="none"/>
        </w:rPr>
        <w:t>on 21 June 2022</w:t>
      </w:r>
      <w:r w:rsidR="00D23895">
        <w:rPr>
          <w:u w:val="none"/>
        </w:rPr>
        <w:t xml:space="preserve">. The draft decision was finalized by the Evaluation Body during the meeting and subsequently </w:t>
      </w:r>
      <w:r w:rsidR="00D23895" w:rsidRPr="003B5301">
        <w:rPr>
          <w:u w:val="none"/>
        </w:rPr>
        <w:t>validated by the Chairperson</w:t>
      </w:r>
      <w:r w:rsidR="0094778C" w:rsidRPr="003B5301">
        <w:rPr>
          <w:u w:val="none"/>
        </w:rPr>
        <w:t xml:space="preserve"> that same day</w:t>
      </w:r>
      <w:r w:rsidR="00D23895" w:rsidRPr="003B5301">
        <w:rPr>
          <w:u w:val="none"/>
        </w:rPr>
        <w:t>.</w:t>
      </w:r>
      <w:r w:rsidR="005D75F2">
        <w:rPr>
          <w:u w:val="none"/>
        </w:rPr>
        <w:t xml:space="preserve"> Through these exceptional efforts, and under extremely tight deadlines, the Evaluation Body was able to complete a full evaluation of the file</w:t>
      </w:r>
      <w:r w:rsidR="003E4B44">
        <w:rPr>
          <w:u w:val="none"/>
        </w:rPr>
        <w:t xml:space="preserve"> on an accelerated basis</w:t>
      </w:r>
      <w:r w:rsidR="005D75F2">
        <w:rPr>
          <w:u w:val="none"/>
        </w:rPr>
        <w:t xml:space="preserve">. </w:t>
      </w:r>
    </w:p>
    <w:bookmarkEnd w:id="4"/>
    <w:p w14:paraId="49456997" w14:textId="74A41C53" w:rsidR="00DD4B8A" w:rsidRPr="00DD4B8A" w:rsidRDefault="00DD4B8A" w:rsidP="00DD4B8A">
      <w:pPr>
        <w:pStyle w:val="COMParaDecision"/>
        <w:numPr>
          <w:ilvl w:val="0"/>
          <w:numId w:val="0"/>
        </w:numPr>
        <w:ind w:left="567"/>
      </w:pPr>
      <w:r>
        <w:t>Recommendation by the Evaluation Body</w:t>
      </w:r>
    </w:p>
    <w:p w14:paraId="35BCDF8B" w14:textId="0B844D0F" w:rsidR="00AD44E7" w:rsidRDefault="00DD4B8A" w:rsidP="00255AF4">
      <w:pPr>
        <w:pStyle w:val="COMParaDecision"/>
        <w:ind w:left="567" w:hanging="567"/>
        <w:rPr>
          <w:u w:val="none"/>
        </w:rPr>
      </w:pPr>
      <w:r w:rsidRPr="00AD44E7">
        <w:rPr>
          <w:u w:val="none"/>
        </w:rPr>
        <w:t xml:space="preserve">The recommendation of the Evaluation Body is provided in </w:t>
      </w:r>
      <w:r w:rsidRPr="00166BB5">
        <w:rPr>
          <w:u w:val="none"/>
        </w:rPr>
        <w:t>Annex</w:t>
      </w:r>
      <w:r w:rsidRPr="00AD44E7">
        <w:rPr>
          <w:u w:val="none"/>
        </w:rPr>
        <w:t xml:space="preserve">. </w:t>
      </w:r>
      <w:r w:rsidR="00AC76C1" w:rsidRPr="00AD44E7">
        <w:rPr>
          <w:u w:val="none"/>
        </w:rPr>
        <w:t xml:space="preserve">According to the recommendation, the </w:t>
      </w:r>
      <w:r w:rsidR="00540BCA" w:rsidRPr="00AD44E7">
        <w:rPr>
          <w:u w:val="none"/>
        </w:rPr>
        <w:t>nomination</w:t>
      </w:r>
      <w:r w:rsidR="00AC76C1" w:rsidRPr="00AD44E7">
        <w:rPr>
          <w:u w:val="none"/>
        </w:rPr>
        <w:t xml:space="preserve"> can </w:t>
      </w:r>
      <w:r w:rsidR="000506AA" w:rsidRPr="00AD44E7">
        <w:rPr>
          <w:u w:val="none"/>
        </w:rPr>
        <w:t xml:space="preserve">indeed </w:t>
      </w:r>
      <w:r w:rsidR="00AC76C1" w:rsidRPr="00AD44E7">
        <w:rPr>
          <w:u w:val="none"/>
        </w:rPr>
        <w:t xml:space="preserve">be considered to </w:t>
      </w:r>
      <w:r w:rsidR="00915C94" w:rsidRPr="00AD44E7">
        <w:rPr>
          <w:u w:val="none"/>
        </w:rPr>
        <w:t>constitute</w:t>
      </w:r>
      <w:r w:rsidR="00AC76C1" w:rsidRPr="00AD44E7">
        <w:rPr>
          <w:u w:val="none"/>
        </w:rPr>
        <w:t xml:space="preserve"> a case of extreme urgency, in accordance with Article 17.3 of the Convention</w:t>
      </w:r>
      <w:r w:rsidR="00AD44E7" w:rsidRPr="00AD44E7">
        <w:rPr>
          <w:u w:val="none"/>
        </w:rPr>
        <w:t xml:space="preserve"> and with reference to criterion U.2(b), which </w:t>
      </w:r>
      <w:r w:rsidR="00AD44E7">
        <w:rPr>
          <w:u w:val="none"/>
        </w:rPr>
        <w:t>demonstrates</w:t>
      </w:r>
      <w:r w:rsidR="00AD44E7" w:rsidRPr="00AD44E7">
        <w:rPr>
          <w:u w:val="none"/>
        </w:rPr>
        <w:t xml:space="preserve"> the various factors related to the ongoing armed conflict </w:t>
      </w:r>
      <w:r w:rsidR="00AD44E7">
        <w:rPr>
          <w:u w:val="none"/>
        </w:rPr>
        <w:t xml:space="preserve">that </w:t>
      </w:r>
      <w:r w:rsidR="00AD44E7" w:rsidRPr="00AD44E7">
        <w:rPr>
          <w:u w:val="none"/>
        </w:rPr>
        <w:t xml:space="preserve">threaten </w:t>
      </w:r>
      <w:r w:rsidR="00AD44E7">
        <w:rPr>
          <w:u w:val="none"/>
        </w:rPr>
        <w:t>the viability of the element and its transmission.</w:t>
      </w:r>
    </w:p>
    <w:p w14:paraId="468E4512" w14:textId="7F059C17" w:rsidR="00DD4B8A" w:rsidRPr="00DD4B8A" w:rsidRDefault="00DD4B8A" w:rsidP="00DD4B8A">
      <w:pPr>
        <w:pStyle w:val="COMParaDecision"/>
        <w:numPr>
          <w:ilvl w:val="0"/>
          <w:numId w:val="0"/>
        </w:numPr>
        <w:ind w:left="567"/>
        <w:rPr>
          <w:b/>
          <w:bCs/>
          <w:u w:val="none"/>
        </w:rPr>
      </w:pPr>
      <w:r w:rsidRPr="00DD4B8A">
        <w:rPr>
          <w:b/>
          <w:bCs/>
          <w:u w:val="none"/>
        </w:rPr>
        <w:t>Ways forward</w:t>
      </w:r>
    </w:p>
    <w:p w14:paraId="10C89B62" w14:textId="65CF6CDC" w:rsidR="00B00EB0" w:rsidRPr="00970150" w:rsidRDefault="00905F04" w:rsidP="00255AF4">
      <w:pPr>
        <w:pStyle w:val="COMParaDecision"/>
        <w:ind w:left="567" w:hanging="567"/>
        <w:rPr>
          <w:u w:val="none"/>
        </w:rPr>
      </w:pPr>
      <w:r>
        <w:rPr>
          <w:u w:val="none"/>
        </w:rPr>
        <w:t>Taking into account the Evaluation Body’s recommendation,</w:t>
      </w:r>
      <w:r w:rsidR="00D517D9">
        <w:rPr>
          <w:u w:val="none"/>
        </w:rPr>
        <w:t xml:space="preserve"> and </w:t>
      </w:r>
      <w:r w:rsidR="00237AF3">
        <w:rPr>
          <w:u w:val="none"/>
        </w:rPr>
        <w:t>in line with paragraph 32 of the Operational Directives</w:t>
      </w:r>
      <w:r w:rsidR="00444603">
        <w:rPr>
          <w:u w:val="none"/>
        </w:rPr>
        <w:t xml:space="preserve">, </w:t>
      </w:r>
      <w:r w:rsidR="00684251" w:rsidRPr="00970150">
        <w:rPr>
          <w:u w:val="none"/>
        </w:rPr>
        <w:t xml:space="preserve">the Bureau may wish to consider the following </w:t>
      </w:r>
      <w:r w:rsidR="00004AA8">
        <w:rPr>
          <w:u w:val="none"/>
        </w:rPr>
        <w:t xml:space="preserve">two </w:t>
      </w:r>
      <w:r w:rsidR="00684251" w:rsidRPr="00970150">
        <w:rPr>
          <w:u w:val="none"/>
        </w:rPr>
        <w:t xml:space="preserve">options </w:t>
      </w:r>
      <w:r w:rsidRPr="00970150">
        <w:rPr>
          <w:u w:val="none"/>
        </w:rPr>
        <w:t xml:space="preserve">to </w:t>
      </w:r>
      <w:r w:rsidR="00B06CA4">
        <w:rPr>
          <w:u w:val="none"/>
        </w:rPr>
        <w:t>bring</w:t>
      </w:r>
      <w:r w:rsidRPr="00970150">
        <w:rPr>
          <w:u w:val="none"/>
        </w:rPr>
        <w:t xml:space="preserve"> the nomination </w:t>
      </w:r>
      <w:r w:rsidR="000D1214">
        <w:rPr>
          <w:u w:val="none"/>
        </w:rPr>
        <w:t>to</w:t>
      </w:r>
      <w:r w:rsidR="00612059">
        <w:rPr>
          <w:u w:val="none"/>
        </w:rPr>
        <w:t xml:space="preserve"> the Committee</w:t>
      </w:r>
      <w:r w:rsidR="000D1214">
        <w:rPr>
          <w:u w:val="none"/>
        </w:rPr>
        <w:t xml:space="preserve"> for</w:t>
      </w:r>
      <w:r w:rsidR="00612059">
        <w:rPr>
          <w:u w:val="none"/>
        </w:rPr>
        <w:t xml:space="preserve"> </w:t>
      </w:r>
      <w:r w:rsidR="000D1214">
        <w:rPr>
          <w:u w:val="none"/>
        </w:rPr>
        <w:t xml:space="preserve">its </w:t>
      </w:r>
      <w:r w:rsidR="000D1214" w:rsidRPr="00970150">
        <w:rPr>
          <w:u w:val="none"/>
        </w:rPr>
        <w:t xml:space="preserve">examination </w:t>
      </w:r>
      <w:r w:rsidR="00974CB4">
        <w:rPr>
          <w:u w:val="none"/>
        </w:rPr>
        <w:t>as a case of extreme urgency</w:t>
      </w:r>
      <w:r w:rsidR="00684251" w:rsidRPr="00970150">
        <w:rPr>
          <w:u w:val="none"/>
        </w:rPr>
        <w:t>:</w:t>
      </w:r>
    </w:p>
    <w:p w14:paraId="05580A7D" w14:textId="7DA1B418" w:rsidR="00954E4A" w:rsidRDefault="00D26B86" w:rsidP="00D8520D">
      <w:pPr>
        <w:pStyle w:val="COMParaDecision"/>
        <w:numPr>
          <w:ilvl w:val="0"/>
          <w:numId w:val="34"/>
        </w:numPr>
        <w:ind w:left="990"/>
        <w:rPr>
          <w:rFonts w:asciiTheme="minorBidi" w:hAnsiTheme="minorBidi" w:cstheme="minorBidi"/>
          <w:u w:val="none"/>
        </w:rPr>
      </w:pPr>
      <w:r w:rsidRPr="00B00EB0">
        <w:rPr>
          <w:b/>
          <w:bCs/>
          <w:u w:val="none"/>
        </w:rPr>
        <w:t>Option</w:t>
      </w:r>
      <w:r w:rsidR="005D03E3">
        <w:rPr>
          <w:b/>
          <w:bCs/>
          <w:u w:val="none"/>
        </w:rPr>
        <w:t xml:space="preserve"> </w:t>
      </w:r>
      <w:r w:rsidR="00004AA8">
        <w:rPr>
          <w:rFonts w:asciiTheme="minorBidi" w:hAnsiTheme="minorBidi" w:cstheme="minorBidi"/>
          <w:b/>
          <w:bCs/>
          <w:u w:val="none"/>
        </w:rPr>
        <w:t>A</w:t>
      </w:r>
      <w:r w:rsidRPr="00B00EB0">
        <w:rPr>
          <w:rFonts w:asciiTheme="minorBidi" w:hAnsiTheme="minorBidi" w:cstheme="minorBidi"/>
          <w:b/>
          <w:bCs/>
          <w:u w:val="none"/>
        </w:rPr>
        <w:t>:</w:t>
      </w:r>
      <w:r w:rsidR="00B00EB0" w:rsidRPr="00B00EB0">
        <w:rPr>
          <w:rFonts w:asciiTheme="minorBidi" w:hAnsiTheme="minorBidi" w:cstheme="minorBidi"/>
          <w:u w:val="none"/>
        </w:rPr>
        <w:t xml:space="preserve"> </w:t>
      </w:r>
      <w:r w:rsidR="00B00EB0">
        <w:rPr>
          <w:rFonts w:asciiTheme="minorBidi" w:hAnsiTheme="minorBidi" w:cstheme="minorBidi"/>
          <w:u w:val="none"/>
        </w:rPr>
        <w:t xml:space="preserve">The Bureau may </w:t>
      </w:r>
      <w:r w:rsidR="00583A7F">
        <w:rPr>
          <w:rFonts w:asciiTheme="minorBidi" w:hAnsiTheme="minorBidi" w:cstheme="minorBidi"/>
          <w:u w:val="none"/>
        </w:rPr>
        <w:t xml:space="preserve">propose </w:t>
      </w:r>
      <w:r w:rsidR="00584A05">
        <w:rPr>
          <w:rFonts w:asciiTheme="minorBidi" w:hAnsiTheme="minorBidi" w:cstheme="minorBidi"/>
          <w:u w:val="none"/>
        </w:rPr>
        <w:t xml:space="preserve">that the Committee </w:t>
      </w:r>
      <w:r w:rsidR="00583A7F">
        <w:rPr>
          <w:rFonts w:asciiTheme="minorBidi" w:hAnsiTheme="minorBidi" w:cstheme="minorBidi"/>
          <w:u w:val="none"/>
        </w:rPr>
        <w:t>examine the</w:t>
      </w:r>
      <w:r w:rsidR="00584A05">
        <w:rPr>
          <w:rFonts w:asciiTheme="minorBidi" w:hAnsiTheme="minorBidi" w:cstheme="minorBidi"/>
          <w:u w:val="none"/>
        </w:rPr>
        <w:t xml:space="preserve"> request</w:t>
      </w:r>
      <w:r w:rsidR="00583A7F">
        <w:rPr>
          <w:rFonts w:asciiTheme="minorBidi" w:hAnsiTheme="minorBidi" w:cstheme="minorBidi"/>
          <w:u w:val="none"/>
        </w:rPr>
        <w:t xml:space="preserve"> at </w:t>
      </w:r>
      <w:r w:rsidR="00584A05">
        <w:rPr>
          <w:rFonts w:asciiTheme="minorBidi" w:hAnsiTheme="minorBidi" w:cstheme="minorBidi"/>
          <w:u w:val="none"/>
        </w:rPr>
        <w:t>its</w:t>
      </w:r>
      <w:r w:rsidR="00583A7F">
        <w:rPr>
          <w:rFonts w:asciiTheme="minorBidi" w:hAnsiTheme="minorBidi" w:cstheme="minorBidi"/>
          <w:u w:val="none"/>
        </w:rPr>
        <w:t xml:space="preserve"> fifth extraordinary session of the Committee</w:t>
      </w:r>
      <w:r w:rsidR="009D1ECE">
        <w:rPr>
          <w:rFonts w:asciiTheme="minorBidi" w:hAnsiTheme="minorBidi" w:cstheme="minorBidi"/>
          <w:u w:val="none"/>
        </w:rPr>
        <w:t>,</w:t>
      </w:r>
      <w:r w:rsidR="00583A7F">
        <w:rPr>
          <w:rFonts w:asciiTheme="minorBidi" w:hAnsiTheme="minorBidi" w:cstheme="minorBidi"/>
          <w:u w:val="none"/>
        </w:rPr>
        <w:t xml:space="preserve"> </w:t>
      </w:r>
      <w:r w:rsidR="009D1ECE">
        <w:rPr>
          <w:rFonts w:asciiTheme="minorBidi" w:hAnsiTheme="minorBidi" w:cstheme="minorBidi"/>
          <w:u w:val="none"/>
        </w:rPr>
        <w:t xml:space="preserve">which is scheduled to take place </w:t>
      </w:r>
      <w:r w:rsidR="00583A7F">
        <w:rPr>
          <w:rFonts w:asciiTheme="minorBidi" w:hAnsiTheme="minorBidi" w:cstheme="minorBidi"/>
          <w:u w:val="none"/>
        </w:rPr>
        <w:t>on 1 July 2022.</w:t>
      </w:r>
      <w:r w:rsidR="009D1ECE">
        <w:rPr>
          <w:rFonts w:asciiTheme="minorBidi" w:hAnsiTheme="minorBidi" w:cstheme="minorBidi"/>
          <w:u w:val="none"/>
        </w:rPr>
        <w:t xml:space="preserve"> </w:t>
      </w:r>
      <w:r w:rsidR="008F6ACD">
        <w:rPr>
          <w:rFonts w:asciiTheme="minorBidi" w:hAnsiTheme="minorBidi" w:cstheme="minorBidi"/>
          <w:u w:val="none"/>
        </w:rPr>
        <w:t xml:space="preserve">This option would </w:t>
      </w:r>
      <w:r w:rsidR="002001EF">
        <w:rPr>
          <w:rFonts w:asciiTheme="minorBidi" w:hAnsiTheme="minorBidi" w:cstheme="minorBidi"/>
          <w:u w:val="none"/>
        </w:rPr>
        <w:t>take advantage of</w:t>
      </w:r>
      <w:r w:rsidR="008F6ACD">
        <w:rPr>
          <w:rFonts w:asciiTheme="minorBidi" w:hAnsiTheme="minorBidi" w:cstheme="minorBidi"/>
          <w:u w:val="none"/>
        </w:rPr>
        <w:t xml:space="preserve"> the </w:t>
      </w:r>
      <w:r w:rsidR="005E7174">
        <w:rPr>
          <w:rFonts w:asciiTheme="minorBidi" w:hAnsiTheme="minorBidi" w:cstheme="minorBidi"/>
          <w:u w:val="none"/>
        </w:rPr>
        <w:t>extraordinary session</w:t>
      </w:r>
      <w:r w:rsidR="008F6ACD">
        <w:rPr>
          <w:rFonts w:asciiTheme="minorBidi" w:hAnsiTheme="minorBidi" w:cstheme="minorBidi"/>
          <w:u w:val="none"/>
        </w:rPr>
        <w:t xml:space="preserve"> of the Committee</w:t>
      </w:r>
      <w:r w:rsidR="005E7174">
        <w:rPr>
          <w:rFonts w:asciiTheme="minorBidi" w:hAnsiTheme="minorBidi" w:cstheme="minorBidi"/>
          <w:u w:val="none"/>
        </w:rPr>
        <w:t xml:space="preserve"> </w:t>
      </w:r>
      <w:r w:rsidR="00D67A9B">
        <w:rPr>
          <w:rFonts w:asciiTheme="minorBidi" w:hAnsiTheme="minorBidi" w:cstheme="minorBidi"/>
          <w:u w:val="none"/>
        </w:rPr>
        <w:t xml:space="preserve">being organized </w:t>
      </w:r>
      <w:r w:rsidR="002001EF">
        <w:rPr>
          <w:rFonts w:asciiTheme="minorBidi" w:hAnsiTheme="minorBidi" w:cstheme="minorBidi"/>
          <w:u w:val="none"/>
        </w:rPr>
        <w:t xml:space="preserve">in relation to the global reflection on the listing mechanisms of the Convention. </w:t>
      </w:r>
      <w:r w:rsidR="00D67A9B">
        <w:rPr>
          <w:rFonts w:asciiTheme="minorBidi" w:hAnsiTheme="minorBidi" w:cstheme="minorBidi"/>
          <w:u w:val="none"/>
        </w:rPr>
        <w:t>In this way, i</w:t>
      </w:r>
      <w:r w:rsidR="008F6ACD">
        <w:rPr>
          <w:rFonts w:asciiTheme="minorBidi" w:hAnsiTheme="minorBidi" w:cstheme="minorBidi"/>
          <w:u w:val="none"/>
        </w:rPr>
        <w:t>t</w:t>
      </w:r>
      <w:r w:rsidR="005E7174">
        <w:rPr>
          <w:rFonts w:asciiTheme="minorBidi" w:hAnsiTheme="minorBidi" w:cstheme="minorBidi"/>
          <w:u w:val="none"/>
        </w:rPr>
        <w:t xml:space="preserve"> would ensur</w:t>
      </w:r>
      <w:r w:rsidR="00954E4A">
        <w:rPr>
          <w:rFonts w:asciiTheme="minorBidi" w:hAnsiTheme="minorBidi" w:cstheme="minorBidi"/>
          <w:u w:val="none"/>
        </w:rPr>
        <w:t xml:space="preserve">e </w:t>
      </w:r>
      <w:r w:rsidR="00443085">
        <w:rPr>
          <w:rFonts w:asciiTheme="minorBidi" w:hAnsiTheme="minorBidi" w:cstheme="minorBidi"/>
          <w:u w:val="none"/>
        </w:rPr>
        <w:t xml:space="preserve">an expeditious </w:t>
      </w:r>
      <w:r w:rsidR="00954E4A">
        <w:rPr>
          <w:rFonts w:asciiTheme="minorBidi" w:hAnsiTheme="minorBidi" w:cstheme="minorBidi"/>
          <w:u w:val="none"/>
        </w:rPr>
        <w:t xml:space="preserve">treatment of the nomination by the Committee, within </w:t>
      </w:r>
      <w:r w:rsidR="00D517D9">
        <w:rPr>
          <w:rFonts w:asciiTheme="minorBidi" w:hAnsiTheme="minorBidi" w:cstheme="minorBidi"/>
          <w:u w:val="none"/>
        </w:rPr>
        <w:t>ten</w:t>
      </w:r>
      <w:r w:rsidR="00954E4A">
        <w:rPr>
          <w:rFonts w:asciiTheme="minorBidi" w:hAnsiTheme="minorBidi" w:cstheme="minorBidi"/>
          <w:u w:val="none"/>
        </w:rPr>
        <w:t xml:space="preserve"> weeks of its submission by the State Party</w:t>
      </w:r>
      <w:r w:rsidR="000C1263">
        <w:rPr>
          <w:rFonts w:asciiTheme="minorBidi" w:hAnsiTheme="minorBidi" w:cstheme="minorBidi"/>
          <w:u w:val="none"/>
        </w:rPr>
        <w:t xml:space="preserve">, </w:t>
      </w:r>
      <w:r w:rsidR="008F6ACD">
        <w:rPr>
          <w:rFonts w:asciiTheme="minorBidi" w:hAnsiTheme="minorBidi" w:cstheme="minorBidi"/>
          <w:u w:val="none"/>
        </w:rPr>
        <w:t xml:space="preserve">demonstrating </w:t>
      </w:r>
      <w:r w:rsidR="00443085">
        <w:rPr>
          <w:rFonts w:asciiTheme="minorBidi" w:hAnsiTheme="minorBidi" w:cstheme="minorBidi"/>
          <w:u w:val="none"/>
        </w:rPr>
        <w:t xml:space="preserve">an </w:t>
      </w:r>
      <w:r w:rsidR="008F6ACD">
        <w:rPr>
          <w:rFonts w:asciiTheme="minorBidi" w:hAnsiTheme="minorBidi" w:cstheme="minorBidi"/>
          <w:u w:val="none"/>
        </w:rPr>
        <w:t xml:space="preserve">effective </w:t>
      </w:r>
      <w:r w:rsidR="005D2C55">
        <w:rPr>
          <w:rFonts w:asciiTheme="minorBidi" w:hAnsiTheme="minorBidi" w:cstheme="minorBidi"/>
          <w:u w:val="none"/>
        </w:rPr>
        <w:t xml:space="preserve">first </w:t>
      </w:r>
      <w:r w:rsidR="008F6ACD">
        <w:rPr>
          <w:rFonts w:asciiTheme="minorBidi" w:hAnsiTheme="minorBidi" w:cstheme="minorBidi"/>
          <w:u w:val="none"/>
        </w:rPr>
        <w:t xml:space="preserve">use of </w:t>
      </w:r>
      <w:r w:rsidR="005E7174">
        <w:rPr>
          <w:rFonts w:asciiTheme="minorBidi" w:hAnsiTheme="minorBidi" w:cstheme="minorBidi"/>
          <w:u w:val="none"/>
        </w:rPr>
        <w:t>Article 17.3 of the Convention</w:t>
      </w:r>
      <w:r w:rsidR="005D2C55">
        <w:rPr>
          <w:rFonts w:asciiTheme="minorBidi" w:hAnsiTheme="minorBidi" w:cstheme="minorBidi"/>
          <w:u w:val="none"/>
        </w:rPr>
        <w:t xml:space="preserve"> to treat a nomination </w:t>
      </w:r>
      <w:r w:rsidR="00313B22">
        <w:rPr>
          <w:rFonts w:asciiTheme="minorBidi" w:hAnsiTheme="minorBidi" w:cstheme="minorBidi"/>
          <w:u w:val="none"/>
        </w:rPr>
        <w:t>on an accelerated schedule</w:t>
      </w:r>
      <w:r w:rsidR="005E7174">
        <w:rPr>
          <w:rFonts w:asciiTheme="minorBidi" w:hAnsiTheme="minorBidi" w:cstheme="minorBidi"/>
          <w:u w:val="none"/>
        </w:rPr>
        <w:t>.</w:t>
      </w:r>
      <w:r w:rsidR="00757DB4">
        <w:rPr>
          <w:rFonts w:asciiTheme="minorBidi" w:hAnsiTheme="minorBidi" w:cstheme="minorBidi"/>
          <w:u w:val="none"/>
        </w:rPr>
        <w:t xml:space="preserve"> This option would require</w:t>
      </w:r>
      <w:r w:rsidR="00B76302">
        <w:rPr>
          <w:rFonts w:asciiTheme="minorBidi" w:hAnsiTheme="minorBidi" w:cstheme="minorBidi"/>
          <w:u w:val="none"/>
        </w:rPr>
        <w:t xml:space="preserve"> </w:t>
      </w:r>
      <w:r w:rsidR="005E7174">
        <w:rPr>
          <w:rFonts w:asciiTheme="minorBidi" w:hAnsiTheme="minorBidi" w:cstheme="minorBidi"/>
          <w:u w:val="none"/>
        </w:rPr>
        <w:t>an electronic exchange with Committee members</w:t>
      </w:r>
      <w:r w:rsidR="00E03373">
        <w:rPr>
          <w:rFonts w:asciiTheme="minorBidi" w:hAnsiTheme="minorBidi" w:cstheme="minorBidi"/>
          <w:u w:val="none"/>
        </w:rPr>
        <w:t xml:space="preserve"> (24 to 28 June 2022)</w:t>
      </w:r>
      <w:r w:rsidR="00757DB4">
        <w:rPr>
          <w:rFonts w:asciiTheme="minorBidi" w:hAnsiTheme="minorBidi" w:cstheme="minorBidi"/>
          <w:u w:val="none"/>
        </w:rPr>
        <w:t xml:space="preserve"> to </w:t>
      </w:r>
      <w:r w:rsidR="006E4647">
        <w:rPr>
          <w:rFonts w:asciiTheme="minorBidi" w:hAnsiTheme="minorBidi" w:cstheme="minorBidi"/>
          <w:u w:val="none"/>
        </w:rPr>
        <w:t xml:space="preserve">include this item in the extraordinary session of the Committee </w:t>
      </w:r>
      <w:r w:rsidR="00443085">
        <w:rPr>
          <w:rFonts w:asciiTheme="minorBidi" w:hAnsiTheme="minorBidi" w:cstheme="minorBidi"/>
          <w:u w:val="none"/>
        </w:rPr>
        <w:t xml:space="preserve">mentioned above </w:t>
      </w:r>
      <w:r w:rsidR="006E4647">
        <w:rPr>
          <w:rFonts w:asciiTheme="minorBidi" w:hAnsiTheme="minorBidi" w:cstheme="minorBidi"/>
          <w:u w:val="none"/>
        </w:rPr>
        <w:t xml:space="preserve">to be held on 1 July </w:t>
      </w:r>
      <w:r w:rsidR="0021123B">
        <w:rPr>
          <w:rFonts w:asciiTheme="minorBidi" w:hAnsiTheme="minorBidi" w:cstheme="minorBidi"/>
          <w:u w:val="none"/>
        </w:rPr>
        <w:t>and an agreement of at least two-thirds of the Committee members</w:t>
      </w:r>
      <w:r w:rsidR="004F14D4">
        <w:rPr>
          <w:rFonts w:asciiTheme="minorBidi" w:hAnsiTheme="minorBidi" w:cstheme="minorBidi"/>
          <w:u w:val="none"/>
        </w:rPr>
        <w:t xml:space="preserve"> </w:t>
      </w:r>
      <w:r w:rsidR="00443085">
        <w:rPr>
          <w:rFonts w:asciiTheme="minorBidi" w:hAnsiTheme="minorBidi" w:cstheme="minorBidi"/>
          <w:u w:val="none"/>
        </w:rPr>
        <w:t xml:space="preserve">to do so, </w:t>
      </w:r>
      <w:r w:rsidR="004F14D4">
        <w:rPr>
          <w:rFonts w:asciiTheme="minorBidi" w:hAnsiTheme="minorBidi" w:cstheme="minorBidi"/>
          <w:u w:val="none"/>
        </w:rPr>
        <w:t>pursuant to Rule 2.2 and Rule 11 of the Rules of Procedure of the Committee</w:t>
      </w:r>
      <w:r w:rsidR="005E7174">
        <w:rPr>
          <w:rFonts w:asciiTheme="minorBidi" w:hAnsiTheme="minorBidi" w:cstheme="minorBidi"/>
          <w:u w:val="none"/>
        </w:rPr>
        <w:t>.</w:t>
      </w:r>
    </w:p>
    <w:p w14:paraId="00F83030" w14:textId="474A7B42" w:rsidR="00B30A50" w:rsidRPr="001F5EDF" w:rsidRDefault="00B00EB0" w:rsidP="001F5EDF">
      <w:pPr>
        <w:pStyle w:val="COMParaDecision"/>
        <w:numPr>
          <w:ilvl w:val="0"/>
          <w:numId w:val="34"/>
        </w:numPr>
        <w:ind w:left="990"/>
        <w:rPr>
          <w:u w:val="none"/>
        </w:rPr>
      </w:pPr>
      <w:r w:rsidRPr="001F5EDF">
        <w:rPr>
          <w:b/>
          <w:bCs/>
          <w:u w:val="none"/>
        </w:rPr>
        <w:t xml:space="preserve">Option </w:t>
      </w:r>
      <w:r w:rsidR="00004AA8" w:rsidRPr="001F5EDF">
        <w:rPr>
          <w:b/>
          <w:bCs/>
          <w:u w:val="none"/>
        </w:rPr>
        <w:t>B</w:t>
      </w:r>
      <w:r w:rsidRPr="001F5EDF">
        <w:rPr>
          <w:b/>
          <w:bCs/>
          <w:u w:val="none"/>
        </w:rPr>
        <w:t xml:space="preserve">: </w:t>
      </w:r>
      <w:r w:rsidRPr="001F5EDF">
        <w:rPr>
          <w:rFonts w:asciiTheme="minorBidi" w:hAnsiTheme="minorBidi" w:cstheme="minorBidi"/>
          <w:u w:val="none"/>
        </w:rPr>
        <w:t xml:space="preserve">The Bureau may </w:t>
      </w:r>
      <w:r w:rsidR="00A47583">
        <w:rPr>
          <w:rFonts w:asciiTheme="minorBidi" w:hAnsiTheme="minorBidi" w:cstheme="minorBidi"/>
          <w:u w:val="none"/>
        </w:rPr>
        <w:t xml:space="preserve">propose that the Committee examine the request at </w:t>
      </w:r>
      <w:r w:rsidRPr="001F5EDF">
        <w:rPr>
          <w:rFonts w:asciiTheme="minorBidi" w:hAnsiTheme="minorBidi" w:cstheme="minorBidi"/>
          <w:u w:val="none"/>
        </w:rPr>
        <w:t>the seventeenth session of the Committee (28 November to 3 December 2022)</w:t>
      </w:r>
      <w:r w:rsidR="00A40B27" w:rsidRPr="001F5EDF">
        <w:rPr>
          <w:rFonts w:asciiTheme="minorBidi" w:hAnsiTheme="minorBidi" w:cstheme="minorBidi"/>
          <w:u w:val="none"/>
        </w:rPr>
        <w:t xml:space="preserve">. In this scenario, the nomination would be examined by the Committee thirty-one weeks after the request by the submitting State to </w:t>
      </w:r>
      <w:r w:rsidR="00FD552C" w:rsidRPr="001F5EDF">
        <w:rPr>
          <w:rFonts w:asciiTheme="minorBidi" w:hAnsiTheme="minorBidi" w:cstheme="minorBidi"/>
          <w:u w:val="none"/>
        </w:rPr>
        <w:t>examine the nomination as a case of extreme urgency</w:t>
      </w:r>
      <w:r w:rsidR="00A40B27" w:rsidRPr="001F5EDF">
        <w:rPr>
          <w:rFonts w:asciiTheme="minorBidi" w:hAnsiTheme="minorBidi" w:cstheme="minorBidi"/>
          <w:u w:val="none"/>
        </w:rPr>
        <w:t xml:space="preserve">. </w:t>
      </w:r>
      <w:r w:rsidR="00850946" w:rsidRPr="001F5EDF">
        <w:rPr>
          <w:rFonts w:asciiTheme="minorBidi" w:hAnsiTheme="minorBidi" w:cstheme="minorBidi"/>
          <w:u w:val="none"/>
        </w:rPr>
        <w:t xml:space="preserve">This </w:t>
      </w:r>
      <w:r w:rsidR="00A70139" w:rsidRPr="001F5EDF">
        <w:rPr>
          <w:rFonts w:asciiTheme="minorBidi" w:hAnsiTheme="minorBidi" w:cstheme="minorBidi"/>
          <w:u w:val="none"/>
        </w:rPr>
        <w:t xml:space="preserve">option would </w:t>
      </w:r>
      <w:r w:rsidR="00850946" w:rsidRPr="001F5EDF">
        <w:rPr>
          <w:rFonts w:asciiTheme="minorBidi" w:hAnsiTheme="minorBidi" w:cstheme="minorBidi"/>
          <w:u w:val="none"/>
        </w:rPr>
        <w:t xml:space="preserve">also represent the treatment of the file on an accelerated basis, compared to the </w:t>
      </w:r>
      <w:r w:rsidR="00850946" w:rsidRPr="003B5301">
        <w:rPr>
          <w:rFonts w:asciiTheme="minorBidi" w:hAnsiTheme="minorBidi" w:cstheme="minorBidi"/>
          <w:u w:val="none"/>
        </w:rPr>
        <w:t xml:space="preserve">usual </w:t>
      </w:r>
      <w:r w:rsidR="00850946" w:rsidRPr="00166BB5">
        <w:rPr>
          <w:rFonts w:asciiTheme="minorBidi" w:hAnsiTheme="minorBidi" w:cstheme="minorBidi"/>
          <w:u w:val="none"/>
        </w:rPr>
        <w:t>twenty-</w:t>
      </w:r>
      <w:r w:rsidR="00850946" w:rsidRPr="001F5EDF">
        <w:rPr>
          <w:rFonts w:asciiTheme="minorBidi" w:hAnsiTheme="minorBidi" w:cstheme="minorBidi"/>
          <w:u w:val="none"/>
        </w:rPr>
        <w:t xml:space="preserve">month </w:t>
      </w:r>
      <w:r w:rsidR="00821532" w:rsidRPr="001F5EDF">
        <w:rPr>
          <w:rFonts w:asciiTheme="minorBidi" w:hAnsiTheme="minorBidi" w:cstheme="minorBidi"/>
          <w:u w:val="none"/>
        </w:rPr>
        <w:t>schedule</w:t>
      </w:r>
      <w:r w:rsidR="00850946" w:rsidRPr="001F5EDF">
        <w:rPr>
          <w:rFonts w:asciiTheme="minorBidi" w:hAnsiTheme="minorBidi" w:cstheme="minorBidi"/>
          <w:u w:val="none"/>
        </w:rPr>
        <w:t xml:space="preserve"> required to process a nomination</w:t>
      </w:r>
      <w:r w:rsidR="00AE643A" w:rsidRPr="001F5EDF">
        <w:rPr>
          <w:rFonts w:asciiTheme="minorBidi" w:hAnsiTheme="minorBidi" w:cstheme="minorBidi"/>
          <w:u w:val="none"/>
        </w:rPr>
        <w:t xml:space="preserve"> to the Lists of the Convention</w:t>
      </w:r>
      <w:r w:rsidR="00850946" w:rsidRPr="001F5EDF">
        <w:rPr>
          <w:rFonts w:asciiTheme="minorBidi" w:hAnsiTheme="minorBidi" w:cstheme="minorBidi"/>
          <w:u w:val="none"/>
        </w:rPr>
        <w:t xml:space="preserve"> under ordinary circumstances.</w:t>
      </w:r>
    </w:p>
    <w:p w14:paraId="50D3EAFF" w14:textId="248798A8" w:rsidR="00D95C4C" w:rsidRPr="00B30A50" w:rsidRDefault="000B1C8F" w:rsidP="00255AF4">
      <w:pPr>
        <w:pStyle w:val="COMParaDecision"/>
        <w:ind w:left="567" w:hanging="567"/>
        <w:rPr>
          <w:u w:val="none"/>
        </w:rPr>
      </w:pPr>
      <w:r w:rsidRPr="00B30A50">
        <w:rPr>
          <w:u w:val="none"/>
        </w:rPr>
        <w:t xml:space="preserve">The </w:t>
      </w:r>
      <w:r w:rsidR="00AF70EC" w:rsidRPr="00B30A50">
        <w:rPr>
          <w:u w:val="none"/>
        </w:rPr>
        <w:t>Bureau</w:t>
      </w:r>
      <w:r w:rsidRPr="00B30A50">
        <w:rPr>
          <w:u w:val="none"/>
        </w:rPr>
        <w:t xml:space="preserve"> may wish to adopt the following decision</w:t>
      </w:r>
      <w:r w:rsidR="00D95C4C" w:rsidRPr="00B30A50">
        <w:rPr>
          <w:u w:val="none"/>
        </w:rPr>
        <w:t>:</w:t>
      </w:r>
    </w:p>
    <w:p w14:paraId="6CEB1E9D" w14:textId="44E01E3C" w:rsidR="00D95C4C" w:rsidRPr="00FD624F" w:rsidRDefault="004A34A0" w:rsidP="001D14FE">
      <w:pPr>
        <w:pStyle w:val="COMTitleDecision"/>
        <w:rPr>
          <w:rFonts w:eastAsia="SimSun"/>
        </w:rPr>
      </w:pPr>
      <w:r>
        <w:t xml:space="preserve">DRAFT </w:t>
      </w:r>
      <w:r w:rsidR="00CB0542">
        <w:t>DECISION 1</w:t>
      </w:r>
      <w:r w:rsidR="0026221A">
        <w:t>7</w:t>
      </w:r>
      <w:r w:rsidR="00EC6F8D">
        <w:t>.</w:t>
      </w:r>
      <w:r w:rsidR="004E1760">
        <w:t>COM</w:t>
      </w:r>
      <w:r w:rsidR="004E1760">
        <w:rPr>
          <w:lang w:val="en-US"/>
        </w:rPr>
        <w:t> </w:t>
      </w:r>
      <w:r w:rsidR="00852B51">
        <w:rPr>
          <w:lang w:val="en-US"/>
        </w:rPr>
        <w:t>4</w:t>
      </w:r>
      <w:r w:rsidR="004E1760" w:rsidRPr="0080497A">
        <w:t>.</w:t>
      </w:r>
      <w:r w:rsidR="004E1760" w:rsidRPr="000363E7">
        <w:t>BUR </w:t>
      </w:r>
      <w:r w:rsidR="00EA3725">
        <w:t>5</w:t>
      </w:r>
    </w:p>
    <w:p w14:paraId="13024F0B" w14:textId="155EA44E" w:rsidR="00D95C4C" w:rsidRPr="00285BB4" w:rsidRDefault="00285BB4" w:rsidP="00285BB4">
      <w:pPr>
        <w:pStyle w:val="COMPreambulaDecisions"/>
        <w:rPr>
          <w:rFonts w:eastAsia="SimSun"/>
        </w:rPr>
      </w:pPr>
      <w:r w:rsidRPr="00285BB4">
        <w:t xml:space="preserve">The </w:t>
      </w:r>
      <w:r w:rsidR="00AF70EC">
        <w:t>Bureau</w:t>
      </w:r>
      <w:r w:rsidRPr="00285BB4">
        <w:t>,</w:t>
      </w:r>
    </w:p>
    <w:p w14:paraId="5A9F22F3" w14:textId="3F870790" w:rsidR="0057439C" w:rsidRPr="00345CB4" w:rsidRDefault="00D95C4C" w:rsidP="00255AF4">
      <w:pPr>
        <w:pStyle w:val="COMParaDecision"/>
        <w:numPr>
          <w:ilvl w:val="0"/>
          <w:numId w:val="23"/>
        </w:numPr>
        <w:ind w:left="1134" w:hanging="567"/>
      </w:pPr>
      <w:r w:rsidRPr="00345CB4">
        <w:t>Having examined</w:t>
      </w:r>
      <w:r w:rsidRPr="008D4699">
        <w:rPr>
          <w:u w:val="none"/>
        </w:rPr>
        <w:t xml:space="preserve"> doc</w:t>
      </w:r>
      <w:r w:rsidR="00CB0542" w:rsidRPr="008D4699">
        <w:rPr>
          <w:u w:val="none"/>
        </w:rPr>
        <w:t xml:space="preserve">ument </w:t>
      </w:r>
      <w:r w:rsidR="00C5776D" w:rsidRPr="008D4699">
        <w:rPr>
          <w:u w:val="none"/>
        </w:rPr>
        <w:t>LHE</w:t>
      </w:r>
      <w:r w:rsidR="00CB0542" w:rsidRPr="008D4699">
        <w:rPr>
          <w:u w:val="none"/>
        </w:rPr>
        <w:t>/</w:t>
      </w:r>
      <w:r w:rsidR="00D7105A" w:rsidRPr="008D4699">
        <w:rPr>
          <w:u w:val="none"/>
        </w:rPr>
        <w:t>2</w:t>
      </w:r>
      <w:r w:rsidR="0026221A" w:rsidRPr="008D4699">
        <w:rPr>
          <w:u w:val="none"/>
        </w:rPr>
        <w:t>2</w:t>
      </w:r>
      <w:r w:rsidR="00337CEB" w:rsidRPr="008D4699">
        <w:rPr>
          <w:u w:val="none"/>
        </w:rPr>
        <w:t>/1</w:t>
      </w:r>
      <w:r w:rsidR="0026221A" w:rsidRPr="008D4699">
        <w:rPr>
          <w:u w:val="none"/>
        </w:rPr>
        <w:t>7</w:t>
      </w:r>
      <w:r w:rsidR="00EC6F8D" w:rsidRPr="008D4699">
        <w:rPr>
          <w:u w:val="none"/>
        </w:rPr>
        <w:t>.</w:t>
      </w:r>
      <w:r w:rsidR="004E1760" w:rsidRPr="008D4699">
        <w:rPr>
          <w:u w:val="none"/>
        </w:rPr>
        <w:t>COM</w:t>
      </w:r>
      <w:r w:rsidR="004E1760" w:rsidRPr="008D4699">
        <w:rPr>
          <w:u w:val="none"/>
          <w:lang w:val="en-US"/>
        </w:rPr>
        <w:t> </w:t>
      </w:r>
      <w:r w:rsidR="00852B51" w:rsidRPr="008D4699">
        <w:rPr>
          <w:u w:val="none"/>
          <w:lang w:val="en-US"/>
        </w:rPr>
        <w:t>4</w:t>
      </w:r>
      <w:r w:rsidR="004E1760" w:rsidRPr="008D4699">
        <w:rPr>
          <w:u w:val="none"/>
        </w:rPr>
        <w:t>.BUR/</w:t>
      </w:r>
      <w:r w:rsidR="00EA3725">
        <w:rPr>
          <w:u w:val="none"/>
        </w:rPr>
        <w:t>5</w:t>
      </w:r>
      <w:r w:rsidR="008D4699" w:rsidRPr="008D4699">
        <w:rPr>
          <w:u w:val="none"/>
        </w:rPr>
        <w:t xml:space="preserve"> </w:t>
      </w:r>
      <w:r w:rsidR="006E75EB" w:rsidRPr="008D4699">
        <w:rPr>
          <w:u w:val="none"/>
        </w:rPr>
        <w:t xml:space="preserve">and </w:t>
      </w:r>
      <w:r w:rsidR="006E75EB" w:rsidRPr="003B5301">
        <w:rPr>
          <w:u w:val="none"/>
        </w:rPr>
        <w:t xml:space="preserve">its </w:t>
      </w:r>
      <w:r w:rsidR="005F2AD7">
        <w:rPr>
          <w:u w:val="none"/>
        </w:rPr>
        <w:t>A</w:t>
      </w:r>
      <w:r w:rsidR="006E75EB" w:rsidRPr="00166BB5">
        <w:rPr>
          <w:u w:val="none"/>
        </w:rPr>
        <w:t>nnex</w:t>
      </w:r>
      <w:r w:rsidR="006E75EB" w:rsidRPr="003B5301">
        <w:rPr>
          <w:u w:val="none"/>
        </w:rPr>
        <w:t>,</w:t>
      </w:r>
    </w:p>
    <w:p w14:paraId="110AF83C" w14:textId="0D5EE442" w:rsidR="00752B10" w:rsidRPr="007150E7" w:rsidRDefault="00752B10" w:rsidP="00255AF4">
      <w:pPr>
        <w:pStyle w:val="COMParaDecision"/>
        <w:numPr>
          <w:ilvl w:val="0"/>
          <w:numId w:val="23"/>
        </w:numPr>
        <w:ind w:left="1134" w:hanging="567"/>
      </w:pPr>
      <w:r>
        <w:lastRenderedPageBreak/>
        <w:t>Takes note</w:t>
      </w:r>
      <w:r>
        <w:rPr>
          <w:u w:val="none"/>
        </w:rPr>
        <w:t xml:space="preserve"> of the </w:t>
      </w:r>
      <w:r w:rsidRPr="00752B10">
        <w:rPr>
          <w:u w:val="none"/>
        </w:rPr>
        <w:t>additional</w:t>
      </w:r>
      <w:r>
        <w:rPr>
          <w:u w:val="none"/>
        </w:rPr>
        <w:t xml:space="preserve"> information provided by Ukraine, particularly as regards inscription criteria U.2(b) and U.6, in relation to its request to examine the nomination </w:t>
      </w:r>
      <w:r w:rsidRPr="007150E7">
        <w:rPr>
          <w:u w:val="none"/>
        </w:rPr>
        <w:t>‘Culture of Ukrainian borscht cooking’</w:t>
      </w:r>
      <w:r w:rsidRPr="00752B10">
        <w:rPr>
          <w:u w:val="none"/>
        </w:rPr>
        <w:t xml:space="preserve"> </w:t>
      </w:r>
      <w:r w:rsidRPr="007150E7">
        <w:rPr>
          <w:u w:val="none"/>
        </w:rPr>
        <w:t xml:space="preserve">for inscription on the </w:t>
      </w:r>
      <w:r w:rsidR="00FB5189">
        <w:rPr>
          <w:u w:val="none"/>
        </w:rPr>
        <w:t xml:space="preserve">List of Intangible Cultural Heritage in Need of Urgent Safeguarding </w:t>
      </w:r>
      <w:r w:rsidRPr="007150E7">
        <w:rPr>
          <w:u w:val="none"/>
        </w:rPr>
        <w:t xml:space="preserve">as a case of extreme urgency in </w:t>
      </w:r>
      <w:r w:rsidR="00C21773">
        <w:rPr>
          <w:u w:val="none"/>
        </w:rPr>
        <w:t>line with</w:t>
      </w:r>
      <w:r w:rsidRPr="007150E7">
        <w:rPr>
          <w:u w:val="none"/>
        </w:rPr>
        <w:t xml:space="preserve"> Article 17.3 of the Convention;</w:t>
      </w:r>
    </w:p>
    <w:p w14:paraId="379B02ED" w14:textId="6CB1C5EF" w:rsidR="00752B10" w:rsidRDefault="00752B10" w:rsidP="00255AF4">
      <w:pPr>
        <w:pStyle w:val="COMParaDecision"/>
        <w:numPr>
          <w:ilvl w:val="0"/>
          <w:numId w:val="23"/>
        </w:numPr>
        <w:ind w:left="1134" w:hanging="567"/>
      </w:pPr>
      <w:r>
        <w:t>Thanks</w:t>
      </w:r>
      <w:r w:rsidRPr="00752B10">
        <w:rPr>
          <w:u w:val="none"/>
        </w:rPr>
        <w:t xml:space="preserve"> the Evaluation Body </w:t>
      </w:r>
      <w:r w:rsidR="00D70182">
        <w:rPr>
          <w:u w:val="none"/>
        </w:rPr>
        <w:t xml:space="preserve">and the Secretariat </w:t>
      </w:r>
      <w:r w:rsidRPr="00752B10">
        <w:rPr>
          <w:u w:val="none"/>
        </w:rPr>
        <w:t xml:space="preserve">for </w:t>
      </w:r>
      <w:r w:rsidR="00133268">
        <w:rPr>
          <w:u w:val="none"/>
        </w:rPr>
        <w:t xml:space="preserve">its efforts to </w:t>
      </w:r>
      <w:r>
        <w:rPr>
          <w:u w:val="none"/>
        </w:rPr>
        <w:t>respond</w:t>
      </w:r>
      <w:r w:rsidRPr="00752B10">
        <w:rPr>
          <w:u w:val="none"/>
        </w:rPr>
        <w:t xml:space="preserve"> to the Bureau’s request in a</w:t>
      </w:r>
      <w:r w:rsidR="008B0141">
        <w:rPr>
          <w:u w:val="none"/>
        </w:rPr>
        <w:t xml:space="preserve"> timely and</w:t>
      </w:r>
      <w:r w:rsidRPr="00752B10">
        <w:rPr>
          <w:u w:val="none"/>
        </w:rPr>
        <w:t xml:space="preserve"> efficient manner</w:t>
      </w:r>
      <w:r w:rsidR="00D31EB0">
        <w:rPr>
          <w:u w:val="none"/>
        </w:rPr>
        <w:t xml:space="preserve"> and for its </w:t>
      </w:r>
      <w:r w:rsidRPr="00752B10">
        <w:rPr>
          <w:u w:val="none"/>
        </w:rPr>
        <w:t>evaluat</w:t>
      </w:r>
      <w:r w:rsidR="00D31EB0">
        <w:rPr>
          <w:u w:val="none"/>
        </w:rPr>
        <w:t>ion</w:t>
      </w:r>
      <w:r w:rsidR="00532558">
        <w:rPr>
          <w:u w:val="none"/>
        </w:rPr>
        <w:t xml:space="preserve"> of</w:t>
      </w:r>
      <w:r w:rsidRPr="00752B10">
        <w:rPr>
          <w:u w:val="none"/>
        </w:rPr>
        <w:t xml:space="preserve"> the nomination during its June meeting</w:t>
      </w:r>
      <w:r w:rsidR="00C36D39">
        <w:rPr>
          <w:u w:val="none"/>
        </w:rPr>
        <w:t xml:space="preserve">, as per the process established by the Bureau, in reference to </w:t>
      </w:r>
      <w:r w:rsidR="00C36D39" w:rsidRPr="008B0141">
        <w:rPr>
          <w:u w:val="none"/>
        </w:rPr>
        <w:t>paragraphs 1 and 32 of the Operational Directives</w:t>
      </w:r>
      <w:r w:rsidR="00AA41A4">
        <w:rPr>
          <w:u w:val="none"/>
        </w:rPr>
        <w:t>;</w:t>
      </w:r>
    </w:p>
    <w:p w14:paraId="64794625" w14:textId="17D66C01" w:rsidR="005E7174" w:rsidRPr="005E7174" w:rsidRDefault="00AA41A4" w:rsidP="00255AF4">
      <w:pPr>
        <w:pStyle w:val="COMParaDecision"/>
        <w:numPr>
          <w:ilvl w:val="0"/>
          <w:numId w:val="23"/>
        </w:numPr>
        <w:ind w:left="1134" w:hanging="567"/>
      </w:pPr>
      <w:r>
        <w:t>Further t</w:t>
      </w:r>
      <w:r w:rsidR="005E7174">
        <w:t>akes note</w:t>
      </w:r>
      <w:r w:rsidR="005E7174">
        <w:rPr>
          <w:u w:val="none"/>
        </w:rPr>
        <w:t xml:space="preserve"> of the recommendation of the Evaluation Body, as included in </w:t>
      </w:r>
      <w:r w:rsidR="0062482B">
        <w:rPr>
          <w:u w:val="none"/>
        </w:rPr>
        <w:t>annex</w:t>
      </w:r>
      <w:r w:rsidR="005E7174">
        <w:rPr>
          <w:u w:val="none"/>
        </w:rPr>
        <w:t>, to inscribe ‘Culture of Ukrainian borscht cooking’ on the Urgent Safeguarding</w:t>
      </w:r>
      <w:r w:rsidR="00FB5189">
        <w:rPr>
          <w:u w:val="none"/>
        </w:rPr>
        <w:t xml:space="preserve"> List</w:t>
      </w:r>
      <w:r w:rsidR="005E7174">
        <w:rPr>
          <w:u w:val="none"/>
        </w:rPr>
        <w:t xml:space="preserve"> as a case of extreme urgency</w:t>
      </w:r>
      <w:r w:rsidR="00516E1C">
        <w:rPr>
          <w:u w:val="none"/>
        </w:rPr>
        <w:t>;</w:t>
      </w:r>
    </w:p>
    <w:p w14:paraId="7D1D254F" w14:textId="6B3B2DBB" w:rsidR="00E7403B" w:rsidRPr="00181B2F" w:rsidRDefault="005E7174" w:rsidP="00255AF4">
      <w:pPr>
        <w:pStyle w:val="COMParaDecision"/>
        <w:numPr>
          <w:ilvl w:val="0"/>
          <w:numId w:val="23"/>
        </w:numPr>
        <w:ind w:left="1134" w:hanging="567"/>
      </w:pPr>
      <w:r>
        <w:t>Considers</w:t>
      </w:r>
      <w:r w:rsidRPr="008B0141">
        <w:rPr>
          <w:u w:val="none"/>
        </w:rPr>
        <w:t xml:space="preserve"> that the </w:t>
      </w:r>
      <w:r w:rsidR="008B0141" w:rsidRPr="008B0141">
        <w:rPr>
          <w:u w:val="none"/>
        </w:rPr>
        <w:t>nomination indeed constitutes a case of extreme urgency in line with Article 17.3 of the Convention</w:t>
      </w:r>
      <w:r w:rsidR="00516E1C">
        <w:rPr>
          <w:u w:val="none"/>
        </w:rPr>
        <w:t xml:space="preserve"> and </w:t>
      </w:r>
      <w:r w:rsidR="00516E1C" w:rsidRPr="00166BB5">
        <w:t>underscores</w:t>
      </w:r>
      <w:r w:rsidR="00516E1C">
        <w:rPr>
          <w:u w:val="none"/>
        </w:rPr>
        <w:t xml:space="preserve"> the importance of bringing this request to the </w:t>
      </w:r>
      <w:r w:rsidR="008B0141" w:rsidRPr="008B0141">
        <w:rPr>
          <w:u w:val="none"/>
        </w:rPr>
        <w:t xml:space="preserve">Committee </w:t>
      </w:r>
      <w:r w:rsidR="008B0141">
        <w:rPr>
          <w:u w:val="none"/>
        </w:rPr>
        <w:t>as quickly as possible after its submission;</w:t>
      </w:r>
    </w:p>
    <w:p w14:paraId="702C68BF" w14:textId="744D6F8E" w:rsidR="008B0141" w:rsidRDefault="00CB6C01" w:rsidP="00255AF4">
      <w:pPr>
        <w:pStyle w:val="COMParaDecision"/>
        <w:numPr>
          <w:ilvl w:val="0"/>
          <w:numId w:val="0"/>
        </w:numPr>
        <w:ind w:left="1287" w:hanging="153"/>
        <w:rPr>
          <w:b/>
          <w:bCs/>
          <w:u w:val="none"/>
        </w:rPr>
      </w:pPr>
      <w:r w:rsidRPr="00CB6C01">
        <w:rPr>
          <w:b/>
          <w:bCs/>
          <w:u w:val="none"/>
        </w:rPr>
        <w:t>Option A</w:t>
      </w:r>
    </w:p>
    <w:p w14:paraId="06D8BA5C" w14:textId="0AD9676C" w:rsidR="00BD759D" w:rsidRDefault="00CB6C01" w:rsidP="00255AF4">
      <w:pPr>
        <w:pStyle w:val="COMParaDecision"/>
        <w:numPr>
          <w:ilvl w:val="0"/>
          <w:numId w:val="23"/>
        </w:numPr>
        <w:ind w:left="1134" w:hanging="567"/>
        <w:rPr>
          <w:b/>
          <w:bCs/>
          <w:u w:val="none"/>
        </w:rPr>
      </w:pPr>
      <w:r w:rsidRPr="000E1133">
        <w:t>Requests</w:t>
      </w:r>
      <w:r w:rsidRPr="000E1133">
        <w:rPr>
          <w:u w:val="none"/>
          <w:lang w:val="en-US"/>
        </w:rPr>
        <w:t xml:space="preserve"> the Secretariat to</w:t>
      </w:r>
      <w:r w:rsidR="00C05686" w:rsidRPr="000E1133">
        <w:rPr>
          <w:u w:val="none"/>
          <w:lang w:val="en-US"/>
        </w:rPr>
        <w:t xml:space="preserve"> initiate an electronic exchange </w:t>
      </w:r>
      <w:r w:rsidR="00BD759D" w:rsidRPr="000E1133">
        <w:rPr>
          <w:u w:val="none"/>
          <w:lang w:val="en-US"/>
        </w:rPr>
        <w:t>to seek the agreement of at least two-t</w:t>
      </w:r>
      <w:r w:rsidR="00BD759D" w:rsidRPr="00255AF4">
        <w:rPr>
          <w:u w:val="none"/>
          <w:lang w:val="en-US"/>
        </w:rPr>
        <w:t xml:space="preserve">hirds of the </w:t>
      </w:r>
      <w:r w:rsidRPr="00255AF4">
        <w:rPr>
          <w:u w:val="none"/>
          <w:lang w:val="en-US"/>
        </w:rPr>
        <w:t xml:space="preserve">Committee members to </w:t>
      </w:r>
      <w:r w:rsidR="00C37A09" w:rsidRPr="00255AF4">
        <w:rPr>
          <w:u w:val="none"/>
          <w:lang w:val="en-US"/>
        </w:rPr>
        <w:t xml:space="preserve">include </w:t>
      </w:r>
      <w:r w:rsidR="00271AFF" w:rsidRPr="00255AF4">
        <w:rPr>
          <w:u w:val="none"/>
          <w:lang w:val="en-US"/>
        </w:rPr>
        <w:t>the item</w:t>
      </w:r>
      <w:r w:rsidR="00D80EAC" w:rsidRPr="00255AF4">
        <w:rPr>
          <w:u w:val="none"/>
          <w:lang w:val="en-US"/>
        </w:rPr>
        <w:t xml:space="preserve"> </w:t>
      </w:r>
      <w:r w:rsidR="006D0365" w:rsidRPr="00255AF4">
        <w:rPr>
          <w:u w:val="none"/>
          <w:lang w:val="en-US"/>
        </w:rPr>
        <w:t>on</w:t>
      </w:r>
      <w:r w:rsidR="00D80EAC" w:rsidRPr="00255AF4">
        <w:rPr>
          <w:u w:val="none"/>
          <w:lang w:val="en-US"/>
        </w:rPr>
        <w:t xml:space="preserve"> the</w:t>
      </w:r>
      <w:r w:rsidR="00271AFF" w:rsidRPr="00255AF4">
        <w:rPr>
          <w:u w:val="none"/>
          <w:lang w:val="en-US"/>
        </w:rPr>
        <w:t xml:space="preserve"> </w:t>
      </w:r>
      <w:r w:rsidRPr="00255AF4">
        <w:rPr>
          <w:bCs/>
          <w:u w:val="none"/>
        </w:rPr>
        <w:t xml:space="preserve">request by Ukraine </w:t>
      </w:r>
      <w:r w:rsidR="00C37A09" w:rsidRPr="00255AF4">
        <w:rPr>
          <w:bCs/>
          <w:u w:val="none"/>
        </w:rPr>
        <w:t>in</w:t>
      </w:r>
      <w:r w:rsidR="00FC751C" w:rsidRPr="00255AF4">
        <w:rPr>
          <w:u w:val="none"/>
        </w:rPr>
        <w:t xml:space="preserve"> the fifth extraordinary session of the Committee </w:t>
      </w:r>
      <w:r w:rsidR="00553B2D" w:rsidRPr="00255AF4">
        <w:rPr>
          <w:u w:val="none"/>
        </w:rPr>
        <w:t>(</w:t>
      </w:r>
      <w:r w:rsidR="00220D56" w:rsidRPr="00255AF4">
        <w:rPr>
          <w:u w:val="none"/>
        </w:rPr>
        <w:t xml:space="preserve">Online, </w:t>
      </w:r>
      <w:r w:rsidR="00FC751C" w:rsidRPr="00255AF4">
        <w:rPr>
          <w:u w:val="none"/>
        </w:rPr>
        <w:t>1 July 2022</w:t>
      </w:r>
      <w:r w:rsidR="00553B2D" w:rsidRPr="00255AF4">
        <w:rPr>
          <w:u w:val="none"/>
        </w:rPr>
        <w:t>)</w:t>
      </w:r>
      <w:r w:rsidR="00181B2F" w:rsidRPr="00255AF4">
        <w:rPr>
          <w:u w:val="none"/>
        </w:rPr>
        <w:t>.</w:t>
      </w:r>
    </w:p>
    <w:p w14:paraId="22E3DC49" w14:textId="16CB0DAF" w:rsidR="00CB6C01" w:rsidRPr="00BD759D" w:rsidRDefault="00FC751C" w:rsidP="00255AF4">
      <w:pPr>
        <w:pStyle w:val="COMParaDecision"/>
        <w:numPr>
          <w:ilvl w:val="0"/>
          <w:numId w:val="0"/>
        </w:numPr>
        <w:ind w:left="1287" w:hanging="153"/>
        <w:rPr>
          <w:b/>
          <w:bCs/>
          <w:u w:val="none"/>
        </w:rPr>
      </w:pPr>
      <w:r w:rsidRPr="00BD759D">
        <w:rPr>
          <w:b/>
          <w:bCs/>
          <w:u w:val="none"/>
        </w:rPr>
        <w:t xml:space="preserve">Option </w:t>
      </w:r>
      <w:r w:rsidR="001D421C" w:rsidRPr="00BD759D">
        <w:rPr>
          <w:b/>
          <w:bCs/>
          <w:u w:val="none"/>
        </w:rPr>
        <w:t>B</w:t>
      </w:r>
    </w:p>
    <w:p w14:paraId="44B69743" w14:textId="3423BCDA" w:rsidR="009B32D6" w:rsidRDefault="003D3010" w:rsidP="00255AF4">
      <w:pPr>
        <w:pStyle w:val="COMParaDecision"/>
        <w:numPr>
          <w:ilvl w:val="0"/>
          <w:numId w:val="0"/>
        </w:numPr>
        <w:ind w:left="1134"/>
        <w:rPr>
          <w:u w:val="none"/>
        </w:rPr>
      </w:pPr>
      <w:r w:rsidRPr="005F2AD7">
        <w:t>Requests</w:t>
      </w:r>
      <w:r>
        <w:rPr>
          <w:u w:val="none"/>
        </w:rPr>
        <w:t xml:space="preserve"> the </w:t>
      </w:r>
      <w:r w:rsidR="000C4740">
        <w:rPr>
          <w:u w:val="none"/>
        </w:rPr>
        <w:t xml:space="preserve">Secretariat to </w:t>
      </w:r>
      <w:r w:rsidR="00C83BD2">
        <w:rPr>
          <w:u w:val="none"/>
        </w:rPr>
        <w:t xml:space="preserve">inscribe an agenda item </w:t>
      </w:r>
      <w:r w:rsidR="00C83BD2">
        <w:rPr>
          <w:u w:val="none"/>
          <w:lang w:val="en-US"/>
        </w:rPr>
        <w:t xml:space="preserve">on the </w:t>
      </w:r>
      <w:r w:rsidR="00C83BD2">
        <w:rPr>
          <w:bCs/>
          <w:u w:val="none"/>
        </w:rPr>
        <w:t>r</w:t>
      </w:r>
      <w:r w:rsidR="00C83BD2" w:rsidRPr="00CB6C01">
        <w:rPr>
          <w:bCs/>
          <w:u w:val="none"/>
        </w:rPr>
        <w:t xml:space="preserve">equest by Ukraine </w:t>
      </w:r>
      <w:r w:rsidR="00C83BD2">
        <w:rPr>
          <w:u w:val="none"/>
        </w:rPr>
        <w:t>for the examination by</w:t>
      </w:r>
      <w:r w:rsidR="000C4740">
        <w:rPr>
          <w:u w:val="none"/>
          <w:lang w:val="en-US"/>
        </w:rPr>
        <w:t xml:space="preserve"> the</w:t>
      </w:r>
      <w:r>
        <w:rPr>
          <w:u w:val="none"/>
        </w:rPr>
        <w:t xml:space="preserve"> seventeenth session of the Committee </w:t>
      </w:r>
      <w:r w:rsidRPr="00B00EB0">
        <w:rPr>
          <w:rFonts w:asciiTheme="minorBidi" w:hAnsiTheme="minorBidi" w:cstheme="minorBidi"/>
          <w:u w:val="none"/>
        </w:rPr>
        <w:t>(28 November to 3 December 2022)</w:t>
      </w:r>
      <w:r w:rsidR="00181B2F">
        <w:rPr>
          <w:u w:val="none"/>
        </w:rPr>
        <w:t>.</w:t>
      </w:r>
      <w:r w:rsidR="009B32D6">
        <w:rPr>
          <w:u w:val="none"/>
        </w:rPr>
        <w:br w:type="page"/>
      </w:r>
    </w:p>
    <w:p w14:paraId="5666F533" w14:textId="22E73879" w:rsidR="0071352B" w:rsidRDefault="0071352B" w:rsidP="00166BB5">
      <w:pPr>
        <w:pStyle w:val="COMParaDecision"/>
        <w:numPr>
          <w:ilvl w:val="0"/>
          <w:numId w:val="0"/>
        </w:numPr>
        <w:ind w:left="1287"/>
        <w:jc w:val="center"/>
        <w:rPr>
          <w:b/>
          <w:bCs/>
          <w:caps/>
        </w:rPr>
      </w:pPr>
      <w:r>
        <w:rPr>
          <w:b/>
          <w:bCs/>
          <w:caps/>
        </w:rPr>
        <w:lastRenderedPageBreak/>
        <w:t>Annex</w:t>
      </w:r>
    </w:p>
    <w:p w14:paraId="46D99492" w14:textId="77777777" w:rsidR="0071352B" w:rsidRDefault="0071352B" w:rsidP="0071352B">
      <w:pPr>
        <w:pStyle w:val="Sansinterligne1"/>
        <w:spacing w:before="360" w:after="360"/>
        <w:jc w:val="center"/>
        <w:rPr>
          <w:rFonts w:asciiTheme="minorBidi" w:eastAsiaTheme="minorEastAsia" w:hAnsiTheme="minorBidi" w:cstheme="minorBidi"/>
          <w:b/>
          <w:sz w:val="22"/>
          <w:szCs w:val="22"/>
          <w:lang w:val="en-GB" w:eastAsia="ko-KR"/>
        </w:rPr>
      </w:pPr>
      <w:r>
        <w:rPr>
          <w:rFonts w:asciiTheme="minorBidi" w:eastAsiaTheme="minorEastAsia" w:hAnsiTheme="minorBidi" w:cstheme="minorBidi"/>
          <w:b/>
          <w:sz w:val="22"/>
          <w:szCs w:val="22"/>
          <w:lang w:val="en-GB" w:eastAsia="ko-KR"/>
        </w:rPr>
        <w:t>Recommendation of the 2022 Evaluation Body</w:t>
      </w:r>
    </w:p>
    <w:p w14:paraId="24258639" w14:textId="77777777" w:rsidR="0071352B" w:rsidRDefault="0071352B" w:rsidP="0071352B">
      <w:pPr>
        <w:pStyle w:val="ABSTRACTS"/>
        <w:numPr>
          <w:ilvl w:val="0"/>
          <w:numId w:val="41"/>
        </w:numPr>
        <w:snapToGrid w:val="0"/>
        <w:ind w:left="540" w:hanging="540"/>
        <w:rPr>
          <w:b/>
          <w:bCs/>
          <w:lang w:val="en-GB"/>
        </w:rPr>
      </w:pPr>
      <w:r>
        <w:rPr>
          <w:lang w:val="en-GB"/>
        </w:rPr>
        <w:t xml:space="preserve"> </w:t>
      </w:r>
      <w:r>
        <w:rPr>
          <w:b/>
          <w:bCs/>
          <w:lang w:val="en-GB"/>
        </w:rPr>
        <w:t>Recommendation</w:t>
      </w:r>
    </w:p>
    <w:p w14:paraId="4E9B02BC" w14:textId="77777777" w:rsidR="0071352B" w:rsidRDefault="0071352B" w:rsidP="0071352B">
      <w:pPr>
        <w:pStyle w:val="Style1"/>
        <w:numPr>
          <w:ilvl w:val="1"/>
          <w:numId w:val="41"/>
        </w:numPr>
        <w:rPr>
          <w:lang w:val="en-GB"/>
        </w:rPr>
      </w:pPr>
      <w:r>
        <w:rPr>
          <w:lang w:val="en-GB"/>
        </w:rPr>
        <w:t>The Evaluation Body recommends that the Committee inscribe the following element on the List of Intangible Cultural Heritage in Need of Urgent Safeguarding as a case of extreme urgency:</w:t>
      </w:r>
    </w:p>
    <w:tbl>
      <w:tblPr>
        <w:tblW w:w="4650" w:type="pct"/>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801"/>
        <w:gridCol w:w="1852"/>
        <w:gridCol w:w="4309"/>
        <w:gridCol w:w="992"/>
      </w:tblGrid>
      <w:tr w:rsidR="0071352B" w14:paraId="7F69CB5A" w14:textId="77777777" w:rsidTr="0071352B">
        <w:trPr>
          <w:cantSplit/>
          <w:trHeight w:val="586"/>
        </w:trPr>
        <w:tc>
          <w:tcPr>
            <w:tcW w:w="1006" w:type="pct"/>
            <w:tcBorders>
              <w:top w:val="single" w:sz="4" w:space="0" w:color="auto"/>
              <w:left w:val="single" w:sz="4" w:space="0" w:color="auto"/>
              <w:bottom w:val="nil"/>
              <w:right w:val="nil"/>
            </w:tcBorders>
            <w:shd w:val="clear" w:color="auto" w:fill="BFBFBF" w:themeFill="background1" w:themeFillShade="BF"/>
            <w:vAlign w:val="center"/>
            <w:hideMark/>
          </w:tcPr>
          <w:p w14:paraId="2BC4D1D2" w14:textId="77777777" w:rsidR="0071352B" w:rsidRDefault="0071352B">
            <w:pPr>
              <w:keepNext/>
              <w:spacing w:before="120" w:after="120"/>
              <w:jc w:val="center"/>
              <w:rPr>
                <w:rFonts w:ascii="Arial" w:hAnsi="Arial" w:cs="Arial"/>
                <w:color w:val="0000FF"/>
                <w:sz w:val="22"/>
                <w:szCs w:val="22"/>
                <w:u w:val="single"/>
                <w:lang w:val="en-GB"/>
              </w:rPr>
            </w:pPr>
            <w:r>
              <w:rPr>
                <w:rFonts w:ascii="Arial" w:hAnsi="Arial" w:cs="Arial"/>
                <w:b/>
                <w:sz w:val="22"/>
                <w:szCs w:val="22"/>
                <w:lang w:val="en-GB"/>
              </w:rPr>
              <w:t>Draft Decision</w:t>
            </w:r>
          </w:p>
        </w:tc>
        <w:tc>
          <w:tcPr>
            <w:tcW w:w="1034" w:type="pct"/>
            <w:tcBorders>
              <w:top w:val="single" w:sz="4" w:space="0" w:color="auto"/>
              <w:left w:val="nil"/>
              <w:bottom w:val="nil"/>
              <w:right w:val="nil"/>
            </w:tcBorders>
            <w:shd w:val="clear" w:color="auto" w:fill="BFBFBF" w:themeFill="background1" w:themeFillShade="BF"/>
            <w:vAlign w:val="center"/>
            <w:hideMark/>
          </w:tcPr>
          <w:p w14:paraId="38B231DE" w14:textId="77777777" w:rsidR="0071352B" w:rsidRDefault="0071352B">
            <w:pPr>
              <w:keepNext/>
              <w:spacing w:before="120" w:after="120"/>
              <w:jc w:val="center"/>
              <w:rPr>
                <w:rFonts w:ascii="Arial" w:hAnsi="Arial" w:cs="Arial"/>
                <w:sz w:val="22"/>
                <w:szCs w:val="22"/>
                <w:lang w:val="en-GB"/>
              </w:rPr>
            </w:pPr>
            <w:r>
              <w:rPr>
                <w:rFonts w:ascii="Arial" w:hAnsi="Arial" w:cs="Arial"/>
                <w:b/>
                <w:sz w:val="22"/>
                <w:szCs w:val="22"/>
                <w:lang w:val="en-GB"/>
              </w:rPr>
              <w:t>Submitting State</w:t>
            </w:r>
          </w:p>
        </w:tc>
        <w:tc>
          <w:tcPr>
            <w:tcW w:w="2406" w:type="pct"/>
            <w:tcBorders>
              <w:top w:val="single" w:sz="4" w:space="0" w:color="auto"/>
              <w:left w:val="nil"/>
              <w:bottom w:val="nil"/>
              <w:right w:val="nil"/>
            </w:tcBorders>
            <w:shd w:val="clear" w:color="auto" w:fill="BFBFBF" w:themeFill="background1" w:themeFillShade="BF"/>
            <w:vAlign w:val="center"/>
            <w:hideMark/>
          </w:tcPr>
          <w:p w14:paraId="272FDD8D" w14:textId="77777777" w:rsidR="0071352B" w:rsidRDefault="0071352B">
            <w:pPr>
              <w:keepNext/>
              <w:spacing w:before="120" w:after="120"/>
              <w:jc w:val="center"/>
              <w:rPr>
                <w:rFonts w:ascii="Arial" w:hAnsi="Arial" w:cs="Arial"/>
                <w:color w:val="000000"/>
                <w:sz w:val="22"/>
                <w:szCs w:val="22"/>
                <w:lang w:val="en-GB"/>
              </w:rPr>
            </w:pPr>
            <w:r>
              <w:rPr>
                <w:rFonts w:ascii="Arial" w:hAnsi="Arial" w:cs="Arial"/>
                <w:b/>
                <w:sz w:val="22"/>
                <w:szCs w:val="22"/>
                <w:lang w:val="en-GB"/>
              </w:rPr>
              <w:t>Nomination</w:t>
            </w:r>
          </w:p>
        </w:tc>
        <w:tc>
          <w:tcPr>
            <w:tcW w:w="554" w:type="pct"/>
            <w:tcBorders>
              <w:top w:val="single" w:sz="4" w:space="0" w:color="auto"/>
              <w:left w:val="nil"/>
              <w:bottom w:val="nil"/>
              <w:right w:val="single" w:sz="4" w:space="0" w:color="auto"/>
            </w:tcBorders>
            <w:shd w:val="clear" w:color="auto" w:fill="BFBFBF" w:themeFill="background1" w:themeFillShade="BF"/>
            <w:vAlign w:val="center"/>
            <w:hideMark/>
          </w:tcPr>
          <w:p w14:paraId="72534422" w14:textId="77777777" w:rsidR="0071352B" w:rsidRDefault="0071352B">
            <w:pPr>
              <w:keepNext/>
              <w:spacing w:before="120" w:after="120"/>
              <w:jc w:val="center"/>
              <w:rPr>
                <w:rFonts w:ascii="Arial" w:hAnsi="Arial" w:cs="Arial"/>
                <w:color w:val="000000"/>
                <w:sz w:val="22"/>
                <w:szCs w:val="22"/>
                <w:lang w:val="en-GB"/>
              </w:rPr>
            </w:pPr>
            <w:r>
              <w:rPr>
                <w:rFonts w:ascii="Arial" w:hAnsi="Arial" w:cs="Arial"/>
                <w:b/>
                <w:bCs/>
                <w:color w:val="000000"/>
                <w:sz w:val="22"/>
                <w:szCs w:val="22"/>
                <w:lang w:val="en-GB" w:eastAsia="en-GB"/>
              </w:rPr>
              <w:t>File No.</w:t>
            </w:r>
          </w:p>
        </w:tc>
      </w:tr>
      <w:tr w:rsidR="0071352B" w14:paraId="1E99555A" w14:textId="77777777" w:rsidTr="0071352B">
        <w:trPr>
          <w:cantSplit/>
          <w:trHeight w:val="586"/>
        </w:trPr>
        <w:tc>
          <w:tcPr>
            <w:tcW w:w="1006" w:type="pct"/>
            <w:tcBorders>
              <w:top w:val="nil"/>
              <w:left w:val="single" w:sz="4" w:space="0" w:color="auto"/>
              <w:bottom w:val="single" w:sz="4" w:space="0" w:color="auto"/>
              <w:right w:val="nil"/>
            </w:tcBorders>
            <w:hideMark/>
          </w:tcPr>
          <w:p w14:paraId="18AB3768" w14:textId="77777777" w:rsidR="0071352B" w:rsidRDefault="0071352B">
            <w:pPr>
              <w:keepNext/>
              <w:spacing w:before="120" w:after="120"/>
              <w:rPr>
                <w:rFonts w:ascii="Arial" w:hAnsi="Arial" w:cs="Arial"/>
                <w:sz w:val="22"/>
                <w:szCs w:val="22"/>
                <w:lang w:val="en-GB"/>
              </w:rPr>
            </w:pPr>
            <w:r>
              <w:rPr>
                <w:rFonts w:ascii="Arial" w:hAnsi="Arial" w:cs="Arial"/>
                <w:sz w:val="22"/>
                <w:szCs w:val="22"/>
                <w:lang w:val="en-GB"/>
              </w:rPr>
              <w:t>XXX</w:t>
            </w:r>
          </w:p>
        </w:tc>
        <w:tc>
          <w:tcPr>
            <w:tcW w:w="1034" w:type="pct"/>
            <w:tcBorders>
              <w:top w:val="nil"/>
              <w:left w:val="nil"/>
              <w:bottom w:val="single" w:sz="4" w:space="0" w:color="auto"/>
              <w:right w:val="nil"/>
            </w:tcBorders>
            <w:hideMark/>
          </w:tcPr>
          <w:p w14:paraId="7B79400F" w14:textId="77777777" w:rsidR="0071352B" w:rsidRDefault="0071352B">
            <w:pPr>
              <w:keepNext/>
              <w:spacing w:before="120" w:after="120"/>
              <w:jc w:val="center"/>
              <w:rPr>
                <w:rFonts w:ascii="Arial" w:hAnsi="Arial" w:cs="Arial"/>
                <w:sz w:val="22"/>
                <w:szCs w:val="22"/>
                <w:lang w:val="en-GB"/>
              </w:rPr>
            </w:pPr>
            <w:r>
              <w:rPr>
                <w:rFonts w:ascii="Arial" w:hAnsi="Arial" w:cs="Arial"/>
                <w:sz w:val="22"/>
                <w:szCs w:val="22"/>
                <w:lang w:val="en-GB"/>
              </w:rPr>
              <w:t>Ukraine</w:t>
            </w:r>
          </w:p>
        </w:tc>
        <w:tc>
          <w:tcPr>
            <w:tcW w:w="2406" w:type="pct"/>
            <w:tcBorders>
              <w:top w:val="nil"/>
              <w:left w:val="nil"/>
              <w:bottom w:val="single" w:sz="4" w:space="0" w:color="auto"/>
              <w:right w:val="nil"/>
            </w:tcBorders>
            <w:hideMark/>
          </w:tcPr>
          <w:p w14:paraId="759B70E3" w14:textId="77777777" w:rsidR="0071352B" w:rsidRDefault="0071352B">
            <w:pPr>
              <w:keepNext/>
              <w:spacing w:before="120" w:after="120"/>
              <w:jc w:val="center"/>
              <w:rPr>
                <w:rFonts w:ascii="Arial" w:hAnsi="Arial" w:cs="Arial"/>
                <w:color w:val="000000"/>
                <w:sz w:val="22"/>
                <w:szCs w:val="22"/>
                <w:lang w:val="en-GB"/>
              </w:rPr>
            </w:pPr>
            <w:r>
              <w:rPr>
                <w:rFonts w:ascii="Arial" w:hAnsi="Arial" w:cs="Arial"/>
                <w:color w:val="000000"/>
                <w:sz w:val="22"/>
                <w:szCs w:val="22"/>
                <w:lang w:val="en-GB"/>
              </w:rPr>
              <w:t>Culture of Ukrainian Borscht Cooking</w:t>
            </w:r>
          </w:p>
        </w:tc>
        <w:tc>
          <w:tcPr>
            <w:tcW w:w="554" w:type="pct"/>
            <w:tcBorders>
              <w:top w:val="nil"/>
              <w:left w:val="nil"/>
              <w:bottom w:val="single" w:sz="4" w:space="0" w:color="auto"/>
              <w:right w:val="single" w:sz="4" w:space="0" w:color="auto"/>
            </w:tcBorders>
            <w:hideMark/>
          </w:tcPr>
          <w:p w14:paraId="6746B4F7" w14:textId="77777777" w:rsidR="0071352B" w:rsidRDefault="0071352B">
            <w:pPr>
              <w:keepNext/>
              <w:spacing w:before="120" w:after="120"/>
              <w:jc w:val="center"/>
              <w:rPr>
                <w:rFonts w:ascii="Arial" w:hAnsi="Arial" w:cs="Arial"/>
                <w:color w:val="000000"/>
                <w:sz w:val="22"/>
                <w:szCs w:val="22"/>
                <w:lang w:val="en-GB"/>
              </w:rPr>
            </w:pPr>
            <w:r>
              <w:rPr>
                <w:rFonts w:ascii="Arial" w:hAnsi="Arial" w:cs="Arial"/>
                <w:color w:val="000000"/>
                <w:sz w:val="22"/>
                <w:szCs w:val="22"/>
                <w:lang w:val="en-GB"/>
              </w:rPr>
              <w:t>01852</w:t>
            </w:r>
          </w:p>
        </w:tc>
      </w:tr>
    </w:tbl>
    <w:p w14:paraId="7B6C2D91" w14:textId="77777777" w:rsidR="0071352B" w:rsidRDefault="0071352B" w:rsidP="0071352B">
      <w:pPr>
        <w:pStyle w:val="ABSTRACTS"/>
        <w:keepNext/>
        <w:numPr>
          <w:ilvl w:val="0"/>
          <w:numId w:val="41"/>
        </w:numPr>
        <w:snapToGrid w:val="0"/>
        <w:spacing w:before="240"/>
        <w:ind w:left="567" w:hanging="567"/>
        <w:rPr>
          <w:b/>
          <w:bCs/>
          <w:lang w:val="en-GB"/>
        </w:rPr>
      </w:pPr>
      <w:r>
        <w:rPr>
          <w:b/>
          <w:bCs/>
          <w:lang w:val="en-GB"/>
        </w:rPr>
        <w:t xml:space="preserve">Draft Decision </w:t>
      </w:r>
    </w:p>
    <w:p w14:paraId="001D05A5" w14:textId="77777777" w:rsidR="0071352B" w:rsidRDefault="0071352B" w:rsidP="0071352B">
      <w:pPr>
        <w:pStyle w:val="Style1"/>
        <w:numPr>
          <w:ilvl w:val="1"/>
          <w:numId w:val="42"/>
        </w:numPr>
        <w:rPr>
          <w:lang w:val="en-GB"/>
        </w:rPr>
      </w:pPr>
      <w:r>
        <w:rPr>
          <w:lang w:val="en-GB"/>
        </w:rPr>
        <w:t xml:space="preserve">The Committee may wish to adopt the following decision: </w:t>
      </w:r>
    </w:p>
    <w:p w14:paraId="746E490E" w14:textId="77777777" w:rsidR="0071352B" w:rsidRDefault="0071352B" w:rsidP="0071352B">
      <w:pPr>
        <w:pStyle w:val="Sansinterligne"/>
        <w:keepNext/>
        <w:tabs>
          <w:tab w:val="left" w:pos="567"/>
          <w:tab w:val="left" w:pos="1134"/>
          <w:tab w:val="left" w:pos="1701"/>
          <w:tab w:val="left" w:pos="2268"/>
        </w:tabs>
        <w:spacing w:before="120" w:after="120"/>
        <w:ind w:left="567"/>
        <w:jc w:val="both"/>
        <w:rPr>
          <w:rFonts w:asciiTheme="minorBidi" w:hAnsiTheme="minorBidi" w:cstheme="minorBidi"/>
          <w:sz w:val="22"/>
          <w:szCs w:val="22"/>
          <w:lang w:val="en-GB"/>
        </w:rPr>
      </w:pPr>
      <w:r>
        <w:rPr>
          <w:rFonts w:asciiTheme="minorBidi" w:hAnsiTheme="minorBidi" w:cstheme="minorBidi"/>
          <w:b/>
          <w:bCs/>
          <w:sz w:val="22"/>
          <w:szCs w:val="22"/>
          <w:lang w:val="en-GB"/>
        </w:rPr>
        <w:t>DRAFT DECISION XXX</w:t>
      </w:r>
    </w:p>
    <w:p w14:paraId="45F58E2E" w14:textId="77777777" w:rsidR="0071352B" w:rsidRDefault="0071352B" w:rsidP="0071352B">
      <w:pPr>
        <w:pStyle w:val="Sansinterligne"/>
        <w:keepNext/>
        <w:tabs>
          <w:tab w:val="left" w:pos="567"/>
          <w:tab w:val="left" w:pos="1134"/>
          <w:tab w:val="left" w:pos="1701"/>
          <w:tab w:val="left" w:pos="2268"/>
        </w:tabs>
        <w:spacing w:before="120" w:after="120"/>
        <w:ind w:left="567"/>
        <w:jc w:val="both"/>
        <w:rPr>
          <w:rFonts w:ascii="Arial" w:hAnsi="Arial" w:cs="Arial"/>
          <w:sz w:val="22"/>
          <w:szCs w:val="22"/>
          <w:lang w:val="en-GB"/>
        </w:rPr>
      </w:pPr>
      <w:r>
        <w:rPr>
          <w:rFonts w:ascii="Arial" w:hAnsi="Arial" w:cs="Arial"/>
          <w:sz w:val="22"/>
          <w:szCs w:val="22"/>
          <w:lang w:val="en-GB"/>
        </w:rPr>
        <w:t>The Committee</w:t>
      </w:r>
    </w:p>
    <w:p w14:paraId="785C58BE" w14:textId="77777777" w:rsidR="0071352B" w:rsidRDefault="0071352B" w:rsidP="0071352B">
      <w:pPr>
        <w:pStyle w:val="Style1"/>
        <w:numPr>
          <w:ilvl w:val="6"/>
          <w:numId w:val="42"/>
        </w:numPr>
        <w:tabs>
          <w:tab w:val="clear" w:pos="1701"/>
          <w:tab w:val="left" w:pos="1985"/>
        </w:tabs>
        <w:ind w:left="1134" w:hanging="567"/>
        <w:rPr>
          <w:lang w:val="en-GB"/>
        </w:rPr>
      </w:pPr>
      <w:r>
        <w:rPr>
          <w:u w:val="single"/>
          <w:lang w:val="en-GB"/>
        </w:rPr>
        <w:t>Takes note</w:t>
      </w:r>
      <w:r>
        <w:rPr>
          <w:lang w:val="en-GB"/>
        </w:rPr>
        <w:t xml:space="preserve"> of the request that Ukraine made on 21 April 2022 to process the nomination </w:t>
      </w:r>
      <w:r>
        <w:rPr>
          <w:b/>
          <w:bCs/>
          <w:lang w:val="en-GB"/>
        </w:rPr>
        <w:t>Culture of Ukrainian Borscht Cooking</w:t>
      </w:r>
      <w:r>
        <w:rPr>
          <w:lang w:val="en-GB"/>
        </w:rPr>
        <w:t xml:space="preserve"> (No. 01852) for inscription on the List of Intangible Cultural Heritage in Need of Urgent Safeguarding, as a case of extreme urgency, as foreseen under Article 17.3 of the Convention and paragraphs 1 and 32 of the Operational Directives:</w:t>
      </w:r>
    </w:p>
    <w:p w14:paraId="09C56FA8" w14:textId="77777777" w:rsidR="0071352B" w:rsidRDefault="0071352B" w:rsidP="0071352B">
      <w:pPr>
        <w:pStyle w:val="Style1"/>
        <w:tabs>
          <w:tab w:val="clear" w:pos="1701"/>
          <w:tab w:val="left" w:pos="1985"/>
        </w:tabs>
        <w:ind w:left="1134"/>
        <w:rPr>
          <w:lang w:val="en-GB"/>
        </w:rPr>
      </w:pPr>
      <w:r>
        <w:rPr>
          <w:lang w:val="en-GB"/>
        </w:rPr>
        <w:t xml:space="preserve">Ukrainian borscht is a traditional dish that is cooked with broth combined with beetroot, sugar beet or fermented beet juice. There are many versions, and the practice entails the recipe, cooking method and occasion, according to which a certain variety is prepared. Borscht is cooked in a large pan or pot and typically served with bread or garlic buns. It is prepared primarily by women, although many men also prepare it as an everyday dish. The practice dates back centuries and is passed on within families, with children participating in the preparation. An expression of hospitality, Ukrainian borscht unites people of all ages, genders and backgrounds at the table. It is also used in ritual practices, such as in the region of </w:t>
      </w:r>
      <w:proofErr w:type="spellStart"/>
      <w:r>
        <w:rPr>
          <w:lang w:val="en-GB"/>
        </w:rPr>
        <w:t>Podillia</w:t>
      </w:r>
      <w:proofErr w:type="spellEnd"/>
      <w:r>
        <w:rPr>
          <w:lang w:val="en-GB"/>
        </w:rPr>
        <w:t xml:space="preserve">, where the third day of the wedding has maintained its ritual name </w:t>
      </w:r>
      <w:r>
        <w:rPr>
          <w:i/>
          <w:iCs/>
          <w:lang w:val="en-GB"/>
        </w:rPr>
        <w:t>do</w:t>
      </w:r>
      <w:r>
        <w:rPr>
          <w:lang w:val="en-GB"/>
        </w:rPr>
        <w:t xml:space="preserve"> </w:t>
      </w:r>
      <w:proofErr w:type="spellStart"/>
      <w:r>
        <w:rPr>
          <w:i/>
          <w:iCs/>
          <w:lang w:val="en-GB"/>
        </w:rPr>
        <w:t>nevistky</w:t>
      </w:r>
      <w:proofErr w:type="spellEnd"/>
      <w:r>
        <w:rPr>
          <w:i/>
          <w:iCs/>
          <w:lang w:val="en-GB"/>
        </w:rPr>
        <w:t xml:space="preserve"> – </w:t>
      </w:r>
      <w:proofErr w:type="spellStart"/>
      <w:r>
        <w:rPr>
          <w:i/>
          <w:iCs/>
          <w:lang w:val="en-GB"/>
        </w:rPr>
        <w:t>na</w:t>
      </w:r>
      <w:proofErr w:type="spellEnd"/>
      <w:r>
        <w:rPr>
          <w:i/>
          <w:iCs/>
          <w:lang w:val="en-GB"/>
        </w:rPr>
        <w:t xml:space="preserve"> borshch</w:t>
      </w:r>
      <w:r>
        <w:rPr>
          <w:lang w:val="en-GB"/>
        </w:rPr>
        <w:t xml:space="preserve">, meaning ‘visit daughter-in-law to eat borscht’. It is lauded in tales, folk songs and proverbs and viewed as a lifestyle and identity marker. </w:t>
      </w:r>
      <w:r>
        <w:rPr>
          <w:rFonts w:eastAsia="Arial"/>
          <w:color w:val="000000"/>
          <w:lang w:val="en-GB"/>
        </w:rPr>
        <w:t xml:space="preserve">The viability of the element, however, is threatened by various factors since the beginning of the armed conflict in February 2022, including the displacement of bearers from their communities of origin and from the cultural contexts necessary for the cooking and consumption of borscht in Ukraine. Moreover, destruction to the surrounding </w:t>
      </w:r>
      <w:r>
        <w:rPr>
          <w:rFonts w:eastAsia="Arial"/>
          <w:lang w:val="en-GB"/>
        </w:rPr>
        <w:t>environment and traditional agriculture has prevented communities from accessing local products, such as vegetables, needed to prepare the dish. Despite these difficulties, communities across Ukraine have united around the element.</w:t>
      </w:r>
    </w:p>
    <w:p w14:paraId="7659329B" w14:textId="77777777" w:rsidR="0071352B" w:rsidRDefault="0071352B" w:rsidP="0071352B">
      <w:pPr>
        <w:pStyle w:val="Style1"/>
        <w:numPr>
          <w:ilvl w:val="6"/>
          <w:numId w:val="42"/>
        </w:numPr>
        <w:tabs>
          <w:tab w:val="clear" w:pos="1701"/>
          <w:tab w:val="left" w:pos="1985"/>
        </w:tabs>
        <w:ind w:left="1134" w:hanging="567"/>
        <w:rPr>
          <w:lang w:val="en-GB"/>
        </w:rPr>
      </w:pPr>
      <w:r>
        <w:rPr>
          <w:u w:val="single"/>
          <w:lang w:val="en-GB"/>
        </w:rPr>
        <w:t>Further takes note</w:t>
      </w:r>
      <w:r>
        <w:rPr>
          <w:lang w:val="en-GB"/>
        </w:rPr>
        <w:t xml:space="preserve"> of the procedure that the third meeting of the Bureau of the Committee established on 6 May 2022 to treat the request (Decision 17.COM 3.BUR 3);</w:t>
      </w:r>
    </w:p>
    <w:p w14:paraId="56F75573" w14:textId="77777777" w:rsidR="0071352B" w:rsidRDefault="0071352B" w:rsidP="0071352B">
      <w:pPr>
        <w:pStyle w:val="Style1"/>
        <w:numPr>
          <w:ilvl w:val="6"/>
          <w:numId w:val="42"/>
        </w:numPr>
        <w:tabs>
          <w:tab w:val="clear" w:pos="1701"/>
          <w:tab w:val="left" w:pos="1985"/>
        </w:tabs>
        <w:ind w:left="1134" w:hanging="567"/>
        <w:rPr>
          <w:u w:val="single"/>
          <w:lang w:val="en-GB"/>
        </w:rPr>
      </w:pPr>
      <w:r>
        <w:rPr>
          <w:u w:val="single"/>
          <w:lang w:val="en-GB"/>
        </w:rPr>
        <w:t>Considers</w:t>
      </w:r>
      <w:r>
        <w:rPr>
          <w:lang w:val="en-GB"/>
        </w:rPr>
        <w:t xml:space="preserve"> that, from the information included in the file, the nomination satisfies the following criteria for inscription on the List of Intangible Cultural Heritage in Need of Urgent Safeguarding:</w:t>
      </w:r>
    </w:p>
    <w:p w14:paraId="69960167" w14:textId="77777777" w:rsidR="0071352B" w:rsidRDefault="0071352B" w:rsidP="0071352B">
      <w:pPr>
        <w:tabs>
          <w:tab w:val="left" w:pos="1134"/>
          <w:tab w:val="left" w:pos="1985"/>
          <w:tab w:val="left" w:pos="2268"/>
        </w:tabs>
        <w:spacing w:before="120" w:after="120"/>
        <w:ind w:left="1985" w:hanging="851"/>
        <w:jc w:val="both"/>
        <w:rPr>
          <w:rFonts w:ascii="Arial" w:hAnsi="Arial" w:cs="Arial"/>
          <w:sz w:val="22"/>
          <w:szCs w:val="22"/>
          <w:lang w:val="en-SG"/>
        </w:rPr>
      </w:pPr>
      <w:r>
        <w:rPr>
          <w:rFonts w:ascii="Arial" w:hAnsi="Arial" w:cs="Arial"/>
          <w:sz w:val="22"/>
          <w:szCs w:val="22"/>
          <w:lang w:val="en-GB"/>
        </w:rPr>
        <w:t>U.1:</w:t>
      </w:r>
      <w:r>
        <w:rPr>
          <w:rFonts w:ascii="Arial" w:hAnsi="Arial" w:cs="Arial"/>
          <w:sz w:val="22"/>
          <w:szCs w:val="22"/>
          <w:lang w:val="en-GB"/>
        </w:rPr>
        <w:tab/>
        <w:t xml:space="preserve">The borscht in Ukraine is a traditional dish with a long history and diverse variations. The culture of borscht cooking and consumption is widespread in all regions of Ukraine. Women and men participate equally in the practice of the element. The knowledge and skills of the element are transmitted within </w:t>
      </w:r>
      <w:r>
        <w:rPr>
          <w:rFonts w:ascii="Arial" w:hAnsi="Arial" w:cs="Arial"/>
          <w:sz w:val="22"/>
          <w:szCs w:val="22"/>
          <w:lang w:val="en-GB"/>
        </w:rPr>
        <w:lastRenderedPageBreak/>
        <w:t>families, from elder members of the family to younger ones by way of cooking together. The element is also transmitted in catering establishments and educational institutions, and during borscht festivals and events held in different regions of Ukraine and abroad. Borscht performs a function of social integration and cohesion amongst all people in Ukraine. Borscht in Ukraine is an indispensable part of social events, holidays and ritual practices. The element fosters mutual respect and trust among groups of people and individuals. The element is in line with human rights instruments, the principle of mutual respect amongst communities and sustainable development.</w:t>
      </w:r>
    </w:p>
    <w:p w14:paraId="3AC0CA73" w14:textId="77777777" w:rsidR="0071352B" w:rsidRDefault="0071352B" w:rsidP="0071352B">
      <w:pPr>
        <w:tabs>
          <w:tab w:val="left" w:pos="1134"/>
          <w:tab w:val="left" w:pos="1985"/>
          <w:tab w:val="left" w:pos="2268"/>
        </w:tabs>
        <w:spacing w:before="120" w:after="120"/>
        <w:ind w:left="1985" w:hanging="851"/>
        <w:jc w:val="both"/>
        <w:rPr>
          <w:rFonts w:ascii="Arial" w:hAnsi="Arial" w:cs="Arial"/>
          <w:sz w:val="22"/>
          <w:szCs w:val="22"/>
          <w:lang w:val="en-GB"/>
        </w:rPr>
      </w:pPr>
      <w:r>
        <w:rPr>
          <w:rFonts w:ascii="Arial" w:hAnsi="Arial" w:cs="Arial"/>
          <w:sz w:val="22"/>
          <w:szCs w:val="22"/>
          <w:lang w:val="en-GB"/>
        </w:rPr>
        <w:t xml:space="preserve">U.2(b): </w:t>
      </w:r>
      <w:r>
        <w:rPr>
          <w:rFonts w:ascii="Arial" w:hAnsi="Arial" w:cs="Arial"/>
          <w:sz w:val="22"/>
          <w:szCs w:val="22"/>
          <w:lang w:val="en-GB"/>
        </w:rPr>
        <w:tab/>
        <w:t>The nomination file explains that the armed conflict has threatened the viability of the element. The displacement of people and bearers threatens the element, as people are unable not only to cook or grow local vegetables for borscht, but also to come together to practice the element, which undermines the social and cultural well-being of communities. As such, the transmission of the element is also threatened. The armed conflict destroys the environment (fauna and flora), which in turn, seriously threatens the diverse nature of the element. The armed conflict leads to the loss of the everyday contexts associated with practicing</w:t>
      </w:r>
      <w:r>
        <w:rPr>
          <w:rFonts w:ascii="Arial" w:hAnsi="Arial" w:cs="Arial"/>
          <w:sz w:val="22"/>
          <w:szCs w:val="22"/>
          <w:lang w:val="en-US"/>
        </w:rPr>
        <w:t xml:space="preserve"> </w:t>
      </w:r>
      <w:r>
        <w:rPr>
          <w:rFonts w:ascii="Arial" w:hAnsi="Arial" w:cs="Arial"/>
          <w:sz w:val="22"/>
          <w:szCs w:val="22"/>
          <w:lang w:val="en-GB"/>
        </w:rPr>
        <w:t>the element, and has significantly affected the holding of cultural events, in particular festivals dedicated to traditional food, including borscht. All of these factors justify the need for urgent safeguarding of the element as a case of extreme urgency.</w:t>
      </w:r>
    </w:p>
    <w:p w14:paraId="11236530" w14:textId="35C28644" w:rsidR="0071352B" w:rsidRDefault="0071352B" w:rsidP="0071352B">
      <w:pPr>
        <w:tabs>
          <w:tab w:val="left" w:pos="1134"/>
          <w:tab w:val="left" w:pos="1985"/>
          <w:tab w:val="left" w:pos="2268"/>
        </w:tabs>
        <w:spacing w:before="120" w:after="120"/>
        <w:ind w:left="1985" w:hanging="851"/>
        <w:jc w:val="both"/>
        <w:rPr>
          <w:rFonts w:ascii="Arial" w:hAnsi="Arial" w:cs="Arial"/>
          <w:sz w:val="22"/>
          <w:szCs w:val="22"/>
          <w:lang w:val="en-GB"/>
        </w:rPr>
      </w:pPr>
      <w:r>
        <w:rPr>
          <w:rFonts w:ascii="Arial" w:hAnsi="Arial" w:cs="Arial"/>
          <w:sz w:val="22"/>
          <w:szCs w:val="22"/>
          <w:lang w:val="en-GB"/>
        </w:rPr>
        <w:t>U.3:</w:t>
      </w:r>
      <w:r>
        <w:rPr>
          <w:rFonts w:ascii="Arial" w:hAnsi="Arial" w:cs="Arial"/>
          <w:sz w:val="22"/>
          <w:szCs w:val="22"/>
          <w:lang w:val="en-GB"/>
        </w:rPr>
        <w:tab/>
        <w:t xml:space="preserve">The nomination file provides information on past safeguarding measures involving local, regional festivals and cultural events related to the element. The proposed safeguarding plan includes a list of key activities to address the situation of urgent safeguarding. These include efforts to monitor the situation concerning the bearers, raising awareness of the element among the general public, promotion of the element through specialized literature and festivals, etc. The </w:t>
      </w:r>
      <w:r w:rsidRPr="00166BB5">
        <w:rPr>
          <w:rFonts w:ascii="Arial" w:hAnsi="Arial" w:cs="Arial"/>
          <w:sz w:val="22"/>
          <w:szCs w:val="22"/>
          <w:lang w:val="en-GB"/>
        </w:rPr>
        <w:t>safeguarding measures</w:t>
      </w:r>
      <w:r>
        <w:rPr>
          <w:rFonts w:ascii="Arial" w:hAnsi="Arial" w:cs="Arial"/>
          <w:sz w:val="22"/>
          <w:szCs w:val="22"/>
          <w:lang w:val="en-GB"/>
        </w:rPr>
        <w:t xml:space="preserve"> will be implemented in close cooperation with national, public, state and municipal institutions, as well as practitioners from all regions of Ukraine. The timetable of the activities and detailed budget breakdown were provided in the file. Nevertheless, the ability to implement the safeguarding plan is likely to be subject to the evolving nature of the armed conflict.</w:t>
      </w:r>
    </w:p>
    <w:p w14:paraId="15ED99E3" w14:textId="77777777" w:rsidR="0071352B" w:rsidRDefault="0071352B" w:rsidP="0071352B">
      <w:pPr>
        <w:tabs>
          <w:tab w:val="left" w:pos="1134"/>
          <w:tab w:val="left" w:pos="1985"/>
          <w:tab w:val="left" w:pos="2268"/>
        </w:tabs>
        <w:spacing w:before="120" w:after="120"/>
        <w:ind w:left="1985" w:hanging="851"/>
        <w:jc w:val="both"/>
        <w:rPr>
          <w:rFonts w:ascii="Arial" w:hAnsi="Arial" w:cs="Arial"/>
          <w:sz w:val="22"/>
          <w:szCs w:val="22"/>
          <w:lang w:val="en-GB"/>
        </w:rPr>
      </w:pPr>
      <w:r>
        <w:rPr>
          <w:rFonts w:ascii="Arial" w:hAnsi="Arial" w:cs="Arial"/>
          <w:sz w:val="22"/>
          <w:szCs w:val="22"/>
          <w:lang w:val="en-GB"/>
        </w:rPr>
        <w:t>U.4:</w:t>
      </w:r>
      <w:r>
        <w:rPr>
          <w:rFonts w:ascii="Arial" w:hAnsi="Arial" w:cs="Arial"/>
          <w:sz w:val="22"/>
          <w:szCs w:val="22"/>
          <w:lang w:val="en-GB"/>
        </w:rPr>
        <w:tab/>
        <w:t>The nomination file as originally compiled for the Representative List demonstrated a broad involvement of bearers and stakeholders and provided evidence of free, prior and informed consent for the nomination of the element. The element is practiced in the form of public access and there are no secret aspects or restrictions on the basis of age, race or gender. The working group, involving bearers of the element, cooperated in making the film, compiling promotional materials and writing the nomination dossier. The text of the dossier was open for discussion and agreed with the bearers of the element, including the safeguarding measures. Following the outbreak of the armed conflict, communities, experts and the Ministry of Culture and Information Policy of Ukraine worked together to develop a security plan which the inscription is expected to support.</w:t>
      </w:r>
    </w:p>
    <w:p w14:paraId="57355CD3" w14:textId="77777777" w:rsidR="0071352B" w:rsidRDefault="0071352B" w:rsidP="0071352B">
      <w:pPr>
        <w:tabs>
          <w:tab w:val="left" w:pos="1134"/>
          <w:tab w:val="left" w:pos="1985"/>
          <w:tab w:val="left" w:pos="2268"/>
        </w:tabs>
        <w:spacing w:before="120" w:after="120"/>
        <w:ind w:left="1985" w:hanging="851"/>
        <w:jc w:val="both"/>
        <w:rPr>
          <w:rFonts w:ascii="Arial" w:hAnsi="Arial" w:cs="Arial"/>
          <w:sz w:val="22"/>
          <w:szCs w:val="22"/>
          <w:lang w:val="en-GB"/>
        </w:rPr>
      </w:pPr>
      <w:r>
        <w:rPr>
          <w:rFonts w:ascii="Arial" w:hAnsi="Arial" w:cs="Arial"/>
          <w:sz w:val="22"/>
          <w:szCs w:val="22"/>
          <w:lang w:val="en-GB"/>
        </w:rPr>
        <w:t>U.5:</w:t>
      </w:r>
      <w:r>
        <w:rPr>
          <w:rFonts w:ascii="Arial" w:hAnsi="Arial" w:cs="Arial"/>
          <w:sz w:val="22"/>
          <w:szCs w:val="22"/>
          <w:lang w:val="en-GB"/>
        </w:rPr>
        <w:tab/>
        <w:t>The element was listed on the National List of Elements of Intangible Cultural Heritage of Ukraine on 13 October 2020. The inventory is maintained by the Ministry of Culture and Information Policy of Ukraine. The element was identified for inclusion on the inventory at the initiative of the NGO “Institute of Culture of Ukraine” and with the support of bearers from across Ukraine. The inventory is updated twice a year. The monitoring of the viability of the elements on the inventory is conducted by specialized cultural agencies, the NGOs concerned and the Ukrainian Centre for Cultural Research (UCCR).</w:t>
      </w:r>
    </w:p>
    <w:p w14:paraId="3536EFCE" w14:textId="77777777" w:rsidR="0071352B" w:rsidRDefault="0071352B" w:rsidP="0071352B">
      <w:pPr>
        <w:tabs>
          <w:tab w:val="left" w:pos="1134"/>
          <w:tab w:val="left" w:pos="1985"/>
          <w:tab w:val="left" w:pos="2268"/>
        </w:tabs>
        <w:spacing w:before="120" w:after="120"/>
        <w:ind w:left="1985" w:hanging="851"/>
        <w:jc w:val="both"/>
        <w:rPr>
          <w:rFonts w:ascii="Arial" w:hAnsi="Arial" w:cs="Arial"/>
          <w:sz w:val="22"/>
          <w:szCs w:val="22"/>
          <w:lang w:val="en-GB"/>
        </w:rPr>
      </w:pPr>
      <w:r>
        <w:rPr>
          <w:rFonts w:ascii="Arial" w:hAnsi="Arial" w:cs="Arial"/>
          <w:sz w:val="22"/>
          <w:szCs w:val="22"/>
          <w:lang w:val="en-GB"/>
        </w:rPr>
        <w:lastRenderedPageBreak/>
        <w:t>U.6:</w:t>
      </w:r>
      <w:r>
        <w:rPr>
          <w:rFonts w:ascii="Arial" w:hAnsi="Arial" w:cs="Arial"/>
          <w:sz w:val="22"/>
          <w:szCs w:val="22"/>
          <w:lang w:val="en-GB"/>
        </w:rPr>
        <w:tab/>
        <w:t>The State Party made the request to inscribe the element, as a case of extreme urgency on the Urgent Safeguarding List and in reference to Article 17.3, in a letter to the Secretariat on 21 April 2022. Following the request by the Bureau of the Committee (</w:t>
      </w:r>
      <w:hyperlink r:id="rId15" w:history="1">
        <w:r>
          <w:rPr>
            <w:rStyle w:val="Lienhypertexte"/>
            <w:rFonts w:cs="Arial"/>
            <w:szCs w:val="22"/>
            <w:lang w:val="en-GB"/>
          </w:rPr>
          <w:t>Decision 17.COM 3.BUR 3</w:t>
        </w:r>
      </w:hyperlink>
      <w:r>
        <w:rPr>
          <w:rFonts w:ascii="Arial" w:hAnsi="Arial" w:cs="Arial"/>
          <w:sz w:val="22"/>
          <w:szCs w:val="22"/>
          <w:lang w:val="en-GB"/>
        </w:rPr>
        <w:t>), additional information was subsequently provided by the State Party on 14 and 15 June 2022, particularly with regards to criteria U.2(b) and U.6 using Form ICH-01.</w:t>
      </w:r>
    </w:p>
    <w:p w14:paraId="179A93EB" w14:textId="77777777" w:rsidR="0071352B" w:rsidRDefault="0071352B" w:rsidP="0071352B">
      <w:pPr>
        <w:pStyle w:val="Style1"/>
        <w:numPr>
          <w:ilvl w:val="6"/>
          <w:numId w:val="42"/>
        </w:numPr>
        <w:tabs>
          <w:tab w:val="clear" w:pos="1701"/>
          <w:tab w:val="left" w:pos="1985"/>
        </w:tabs>
        <w:ind w:left="1134" w:hanging="567"/>
        <w:rPr>
          <w:u w:val="single"/>
          <w:lang w:val="en-GB"/>
        </w:rPr>
      </w:pPr>
      <w:r>
        <w:rPr>
          <w:u w:val="single"/>
          <w:lang w:val="en-GB"/>
        </w:rPr>
        <w:t>Decides to inscribe</w:t>
      </w:r>
      <w:r>
        <w:rPr>
          <w:lang w:val="en-GB"/>
        </w:rPr>
        <w:t xml:space="preserve"> </w:t>
      </w:r>
      <w:r>
        <w:rPr>
          <w:b/>
          <w:bCs/>
          <w:lang w:val="en-GB"/>
        </w:rPr>
        <w:t>Culture of Ukrainian Borscht Cooking</w:t>
      </w:r>
      <w:r>
        <w:rPr>
          <w:lang w:val="en-GB"/>
        </w:rPr>
        <w:t xml:space="preserve"> on the List of Intangible Cultural Heritage in Need of Urgent Safeguarding, as a case of extreme urgency as stipulated in Article 17.3 of the Convention;</w:t>
      </w:r>
    </w:p>
    <w:p w14:paraId="20296F4C" w14:textId="77777777" w:rsidR="0071352B" w:rsidRDefault="0071352B" w:rsidP="0071352B">
      <w:pPr>
        <w:pStyle w:val="Style1"/>
        <w:numPr>
          <w:ilvl w:val="6"/>
          <w:numId w:val="42"/>
        </w:numPr>
        <w:tabs>
          <w:tab w:val="clear" w:pos="1701"/>
          <w:tab w:val="left" w:pos="1985"/>
        </w:tabs>
        <w:ind w:left="1134" w:hanging="567"/>
        <w:rPr>
          <w:u w:val="single"/>
          <w:lang w:val="en-GB"/>
        </w:rPr>
      </w:pPr>
      <w:r>
        <w:rPr>
          <w:u w:val="single"/>
          <w:lang w:val="en-GB"/>
        </w:rPr>
        <w:t>Further considers</w:t>
      </w:r>
      <w:r>
        <w:rPr>
          <w:lang w:val="en-GB"/>
        </w:rPr>
        <w:t xml:space="preserve"> that the implementation of the proposed safeguarding plan will need to be reviewed in view of the evolving context of the threats concerning the element and </w:t>
      </w:r>
      <w:r>
        <w:rPr>
          <w:u w:val="single"/>
          <w:lang w:val="en-GB"/>
        </w:rPr>
        <w:t>invites</w:t>
      </w:r>
      <w:r>
        <w:rPr>
          <w:lang w:val="en-GB"/>
        </w:rPr>
        <w:t xml:space="preserve"> the submitting State to revise the safeguarding plan accordingly</w:t>
      </w:r>
      <w:r>
        <w:rPr>
          <w:lang w:val="en-US"/>
        </w:rPr>
        <w:t>;</w:t>
      </w:r>
    </w:p>
    <w:p w14:paraId="709F70AD" w14:textId="77777777" w:rsidR="0071352B" w:rsidRDefault="0071352B" w:rsidP="0071352B">
      <w:pPr>
        <w:pStyle w:val="Style1"/>
        <w:numPr>
          <w:ilvl w:val="6"/>
          <w:numId w:val="42"/>
        </w:numPr>
        <w:tabs>
          <w:tab w:val="clear" w:pos="1701"/>
          <w:tab w:val="left" w:pos="1985"/>
        </w:tabs>
        <w:ind w:left="1134" w:hanging="567"/>
        <w:rPr>
          <w:u w:val="single"/>
          <w:lang w:val="en-GB"/>
        </w:rPr>
      </w:pPr>
      <w:r>
        <w:rPr>
          <w:u w:val="single"/>
          <w:lang w:val="en-GB"/>
        </w:rPr>
        <w:t>Further invites</w:t>
      </w:r>
      <w:r>
        <w:rPr>
          <w:lang w:val="en-GB"/>
        </w:rPr>
        <w:t xml:space="preserve"> the submitting State to report on the viability of the element and the safeguarding situation of the element, including any adjustments to the safeguarding plan, for examination by the eighteenth session of the Committee in 2023.</w:t>
      </w:r>
    </w:p>
    <w:p w14:paraId="2FB29449" w14:textId="77777777" w:rsidR="0071352B" w:rsidRDefault="0071352B" w:rsidP="0071352B">
      <w:pPr>
        <w:pStyle w:val="COMParaDecision"/>
        <w:numPr>
          <w:ilvl w:val="0"/>
          <w:numId w:val="0"/>
        </w:numPr>
        <w:ind w:left="1287" w:hanging="747"/>
      </w:pPr>
    </w:p>
    <w:p w14:paraId="36E3C4AD" w14:textId="70EF7CAC" w:rsidR="00CB6C01" w:rsidRPr="00166BB5" w:rsidRDefault="00CB6C01" w:rsidP="00166BB5">
      <w:pPr>
        <w:pStyle w:val="Sansinterligne"/>
        <w:keepNext/>
        <w:tabs>
          <w:tab w:val="left" w:pos="567"/>
          <w:tab w:val="left" w:pos="1134"/>
          <w:tab w:val="left" w:pos="1701"/>
          <w:tab w:val="left" w:pos="2268"/>
        </w:tabs>
        <w:spacing w:before="120" w:after="120"/>
        <w:ind w:left="567"/>
        <w:jc w:val="center"/>
        <w:rPr>
          <w:lang w:val="en-US"/>
        </w:rPr>
      </w:pPr>
    </w:p>
    <w:sectPr w:rsidR="00CB6C01" w:rsidRPr="00166BB5" w:rsidSect="00655736">
      <w:headerReference w:type="even" r:id="rId16"/>
      <w:headerReference w:type="default" r:id="rId17"/>
      <w:headerReference w:type="first" r:id="rId1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3B146" w14:textId="77777777" w:rsidR="00587216" w:rsidRDefault="00587216" w:rsidP="00655736">
      <w:r>
        <w:separator/>
      </w:r>
    </w:p>
  </w:endnote>
  <w:endnote w:type="continuationSeparator" w:id="0">
    <w:p w14:paraId="2FB8B688" w14:textId="77777777" w:rsidR="00587216" w:rsidRDefault="0058721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B3156" w14:textId="77777777" w:rsidR="00587216" w:rsidRDefault="00587216" w:rsidP="00655736">
      <w:r>
        <w:separator/>
      </w:r>
    </w:p>
  </w:footnote>
  <w:footnote w:type="continuationSeparator" w:id="0">
    <w:p w14:paraId="394368F8" w14:textId="77777777" w:rsidR="00587216" w:rsidRDefault="00587216"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40FDAD32" w:rsidR="00D95C4C" w:rsidRPr="004E1760" w:rsidRDefault="00C5776D" w:rsidP="00C5776D">
    <w:pPr>
      <w:pStyle w:val="En-tte"/>
      <w:rPr>
        <w:rFonts w:ascii="Arial" w:hAnsi="Arial" w:cs="Arial"/>
      </w:rPr>
    </w:pPr>
    <w:r w:rsidRPr="004E1760">
      <w:rPr>
        <w:rFonts w:ascii="Arial" w:hAnsi="Arial" w:cs="Arial"/>
        <w:sz w:val="20"/>
        <w:szCs w:val="20"/>
      </w:rPr>
      <w:t>L</w:t>
    </w:r>
    <w:r w:rsidR="00CB0542" w:rsidRPr="004E1760">
      <w:rPr>
        <w:rFonts w:ascii="Arial" w:hAnsi="Arial" w:cs="Arial"/>
        <w:sz w:val="20"/>
        <w:szCs w:val="20"/>
      </w:rPr>
      <w:t>H</w:t>
    </w:r>
    <w:r w:rsidRPr="004E1760">
      <w:rPr>
        <w:rFonts w:ascii="Arial" w:hAnsi="Arial" w:cs="Arial"/>
        <w:sz w:val="20"/>
        <w:szCs w:val="20"/>
      </w:rPr>
      <w:t>E</w:t>
    </w:r>
    <w:r w:rsidR="00CB0542" w:rsidRPr="004E1760">
      <w:rPr>
        <w:rFonts w:ascii="Arial" w:hAnsi="Arial" w:cs="Arial"/>
        <w:sz w:val="20"/>
        <w:szCs w:val="20"/>
      </w:rPr>
      <w:t>/</w:t>
    </w:r>
    <w:r w:rsidR="00D7105A" w:rsidRPr="004E1760">
      <w:rPr>
        <w:rFonts w:ascii="Arial" w:hAnsi="Arial" w:cs="Arial"/>
        <w:sz w:val="20"/>
        <w:szCs w:val="20"/>
      </w:rPr>
      <w:t>2</w:t>
    </w:r>
    <w:r w:rsidR="0026221A" w:rsidRPr="004E1760">
      <w:rPr>
        <w:rFonts w:ascii="Arial" w:hAnsi="Arial" w:cs="Arial"/>
        <w:sz w:val="20"/>
        <w:szCs w:val="20"/>
      </w:rPr>
      <w:t>2</w:t>
    </w:r>
    <w:r w:rsidR="00CB0542" w:rsidRPr="004E1760">
      <w:rPr>
        <w:rFonts w:ascii="Arial" w:hAnsi="Arial" w:cs="Arial"/>
        <w:sz w:val="20"/>
        <w:szCs w:val="20"/>
      </w:rPr>
      <w:t>/1</w:t>
    </w:r>
    <w:r w:rsidR="0026221A" w:rsidRPr="004E1760">
      <w:rPr>
        <w:rFonts w:ascii="Arial" w:hAnsi="Arial" w:cs="Arial"/>
        <w:sz w:val="20"/>
        <w:szCs w:val="20"/>
      </w:rPr>
      <w:t>7</w:t>
    </w:r>
    <w:r w:rsidR="00EC6F8D" w:rsidRPr="004E1760">
      <w:rPr>
        <w:rFonts w:ascii="Arial" w:hAnsi="Arial" w:cs="Arial"/>
        <w:sz w:val="20"/>
        <w:szCs w:val="20"/>
      </w:rPr>
      <w:t>.</w:t>
    </w:r>
    <w:r w:rsidR="004E1760">
      <w:rPr>
        <w:rFonts w:ascii="Arial" w:hAnsi="Arial" w:cs="Arial"/>
        <w:sz w:val="20"/>
        <w:szCs w:val="20"/>
      </w:rPr>
      <w:t>COM </w:t>
    </w:r>
    <w:r w:rsidR="00852B51">
      <w:rPr>
        <w:rFonts w:ascii="Arial" w:hAnsi="Arial" w:cs="Arial"/>
        <w:sz w:val="20"/>
        <w:szCs w:val="20"/>
      </w:rPr>
      <w:t>4</w:t>
    </w:r>
    <w:r w:rsidR="004E1760" w:rsidRPr="0036787A">
      <w:rPr>
        <w:rFonts w:ascii="Arial" w:hAnsi="Arial" w:cs="Arial"/>
        <w:sz w:val="20"/>
        <w:szCs w:val="20"/>
      </w:rPr>
      <w:t>.BUR</w:t>
    </w:r>
    <w:r w:rsidR="004E1760" w:rsidRPr="000363E7">
      <w:rPr>
        <w:rFonts w:ascii="Arial" w:hAnsi="Arial" w:cs="Arial"/>
        <w:sz w:val="20"/>
        <w:szCs w:val="20"/>
      </w:rPr>
      <w:t>/</w:t>
    </w:r>
    <w:r w:rsidR="00DD4B8A">
      <w:rPr>
        <w:rFonts w:ascii="Arial" w:hAnsi="Arial" w:cs="Arial"/>
        <w:sz w:val="20"/>
        <w:szCs w:val="20"/>
      </w:rPr>
      <w:t>5</w:t>
    </w:r>
    <w:r w:rsidR="004E1760" w:rsidRPr="0036787A">
      <w:rPr>
        <w:rFonts w:ascii="Arial" w:hAnsi="Arial" w:cs="Arial"/>
        <w:sz w:val="20"/>
        <w:szCs w:val="20"/>
      </w:rPr>
      <w:t xml:space="preserve"> </w:t>
    </w:r>
    <w:r w:rsidR="00D95C4C" w:rsidRPr="004E1760">
      <w:rPr>
        <w:rFonts w:ascii="Arial" w:hAnsi="Arial" w:cs="Arial"/>
        <w:sz w:val="20"/>
        <w:szCs w:val="20"/>
      </w:rPr>
      <w:t xml:space="preserve">– page </w:t>
    </w:r>
    <w:r w:rsidR="00D95C4C" w:rsidRPr="00C23A97">
      <w:rPr>
        <w:rStyle w:val="Numrodepage"/>
        <w:rFonts w:ascii="Arial" w:hAnsi="Arial" w:cs="Arial"/>
        <w:sz w:val="20"/>
        <w:szCs w:val="20"/>
        <w:lang w:val="en-GB"/>
      </w:rPr>
      <w:fldChar w:fldCharType="begin"/>
    </w:r>
    <w:r w:rsidR="00D95C4C" w:rsidRPr="004E1760">
      <w:rPr>
        <w:rStyle w:val="Numrodepage"/>
        <w:rFonts w:ascii="Arial" w:hAnsi="Arial" w:cs="Arial"/>
        <w:sz w:val="20"/>
        <w:szCs w:val="20"/>
      </w:rPr>
      <w:instrText xml:space="preserve"> PAGE </w:instrText>
    </w:r>
    <w:r w:rsidR="00D95C4C" w:rsidRPr="00C23A97">
      <w:rPr>
        <w:rStyle w:val="Numrodepage"/>
        <w:rFonts w:ascii="Arial" w:hAnsi="Arial" w:cs="Arial"/>
        <w:sz w:val="20"/>
        <w:szCs w:val="20"/>
        <w:lang w:val="en-GB"/>
      </w:rPr>
      <w:fldChar w:fldCharType="separate"/>
    </w:r>
    <w:r w:rsidR="006E75EB" w:rsidRPr="004E1760">
      <w:rPr>
        <w:rStyle w:val="Numrodepage"/>
        <w:rFonts w:ascii="Arial" w:hAnsi="Arial" w:cs="Arial"/>
        <w:noProof/>
        <w:sz w:val="20"/>
        <w:szCs w:val="20"/>
      </w:rPr>
      <w:t>2</w:t>
    </w:r>
    <w:r w:rsidR="00D95C4C"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57D45724" w:rsidR="00D95C4C" w:rsidRPr="0063300C" w:rsidRDefault="00E7403B" w:rsidP="00C5776D">
    <w:pPr>
      <w:pStyle w:val="En-tte"/>
      <w:jc w:val="right"/>
      <w:rPr>
        <w:rFonts w:ascii="Arial" w:hAnsi="Arial" w:cs="Arial"/>
        <w:lang w:val="en-GB"/>
      </w:rPr>
    </w:pPr>
    <w:r w:rsidRPr="004E1760">
      <w:rPr>
        <w:rFonts w:ascii="Arial" w:hAnsi="Arial" w:cs="Arial"/>
        <w:sz w:val="20"/>
        <w:szCs w:val="20"/>
      </w:rPr>
      <w:t>LHE/22/17.</w:t>
    </w:r>
    <w:r>
      <w:rPr>
        <w:rFonts w:ascii="Arial" w:hAnsi="Arial" w:cs="Arial"/>
        <w:sz w:val="20"/>
        <w:szCs w:val="20"/>
      </w:rPr>
      <w:t>COM 4</w:t>
    </w:r>
    <w:r w:rsidRPr="0036787A">
      <w:rPr>
        <w:rFonts w:ascii="Arial" w:hAnsi="Arial" w:cs="Arial"/>
        <w:sz w:val="20"/>
        <w:szCs w:val="20"/>
      </w:rPr>
      <w:t>.BUR</w:t>
    </w:r>
    <w:r w:rsidRPr="000363E7">
      <w:rPr>
        <w:rFonts w:ascii="Arial" w:hAnsi="Arial" w:cs="Arial"/>
        <w:sz w:val="20"/>
        <w:szCs w:val="20"/>
      </w:rPr>
      <w:t>/</w:t>
    </w:r>
    <w:r w:rsidR="00DD4B8A">
      <w:rPr>
        <w:rFonts w:ascii="Arial" w:hAnsi="Arial" w:cs="Arial"/>
        <w:sz w:val="20"/>
        <w:szCs w:val="20"/>
      </w:rPr>
      <w:t>5</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Numrodepage"/>
        <w:rFonts w:ascii="Arial" w:hAnsi="Arial" w:cs="Arial"/>
        <w:sz w:val="20"/>
        <w:szCs w:val="20"/>
        <w:lang w:val="en-GB"/>
      </w:rPr>
      <w:fldChar w:fldCharType="begin"/>
    </w:r>
    <w:r w:rsidR="004A34A0" w:rsidRPr="0063300C">
      <w:rPr>
        <w:rStyle w:val="Numrodepage"/>
        <w:rFonts w:ascii="Arial" w:hAnsi="Arial" w:cs="Arial"/>
        <w:sz w:val="20"/>
        <w:szCs w:val="20"/>
        <w:lang w:val="en-GB"/>
      </w:rPr>
      <w:instrText xml:space="preserve"> PAGE </w:instrText>
    </w:r>
    <w:r w:rsidR="004A34A0" w:rsidRPr="0063300C">
      <w:rPr>
        <w:rStyle w:val="Numrodepage"/>
        <w:rFonts w:ascii="Arial" w:hAnsi="Arial" w:cs="Arial"/>
        <w:sz w:val="20"/>
        <w:szCs w:val="20"/>
        <w:lang w:val="en-GB"/>
      </w:rPr>
      <w:fldChar w:fldCharType="separate"/>
    </w:r>
    <w:r w:rsidR="00190205">
      <w:rPr>
        <w:rStyle w:val="Numrodepage"/>
        <w:rFonts w:ascii="Arial" w:hAnsi="Arial" w:cs="Arial"/>
        <w:noProof/>
        <w:sz w:val="20"/>
        <w:szCs w:val="20"/>
        <w:lang w:val="en-GB"/>
      </w:rPr>
      <w:t>3</w:t>
    </w:r>
    <w:r w:rsidR="004A34A0"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En-tte"/>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106371CC" w:rsidR="004E1760" w:rsidRPr="00D7105A" w:rsidRDefault="004E1760" w:rsidP="004E1760">
    <w:pPr>
      <w:pStyle w:val="En-tte"/>
      <w:spacing w:after="520"/>
      <w:jc w:val="right"/>
      <w:rPr>
        <w:rFonts w:ascii="Arial" w:hAnsi="Arial" w:cs="Arial"/>
        <w:b/>
        <w:sz w:val="44"/>
        <w:szCs w:val="44"/>
        <w:lang w:val="pt-PT"/>
      </w:rPr>
    </w:pPr>
    <w:r w:rsidRPr="00D7105A">
      <w:rPr>
        <w:rFonts w:ascii="Arial" w:hAnsi="Arial" w:cs="Arial"/>
        <w:b/>
        <w:sz w:val="44"/>
        <w:szCs w:val="44"/>
        <w:lang w:val="pt-PT"/>
      </w:rPr>
      <w:t>1</w:t>
    </w:r>
    <w:r>
      <w:rPr>
        <w:rFonts w:ascii="Arial" w:hAnsi="Arial" w:cs="Arial"/>
        <w:b/>
        <w:sz w:val="44"/>
        <w:szCs w:val="44"/>
        <w:lang w:val="pt-PT"/>
      </w:rPr>
      <w:t>7</w:t>
    </w:r>
    <w:r w:rsidR="003314E0">
      <w:rPr>
        <w:rFonts w:ascii="Arial" w:hAnsi="Arial" w:cs="Arial"/>
        <w:b/>
        <w:sz w:val="44"/>
        <w:szCs w:val="44"/>
        <w:lang w:val="pt-PT"/>
      </w:rPr>
      <w:t> </w:t>
    </w:r>
    <w:r w:rsidRPr="00232D65">
      <w:rPr>
        <w:rFonts w:ascii="Arial" w:hAnsi="Arial" w:cs="Arial"/>
        <w:b/>
        <w:sz w:val="44"/>
        <w:szCs w:val="44"/>
        <w:lang w:val="pt-PT"/>
      </w:rPr>
      <w:t>COM</w:t>
    </w:r>
    <w:r w:rsidR="003314E0">
      <w:rPr>
        <w:rFonts w:ascii="Arial" w:hAnsi="Arial" w:cs="Arial"/>
        <w:b/>
        <w:sz w:val="44"/>
        <w:szCs w:val="44"/>
        <w:lang w:val="pt-PT"/>
      </w:rPr>
      <w:t> </w:t>
    </w:r>
    <w:r w:rsidR="00852B51">
      <w:rPr>
        <w:rFonts w:ascii="Arial" w:hAnsi="Arial" w:cs="Arial"/>
        <w:b/>
        <w:sz w:val="44"/>
        <w:szCs w:val="44"/>
        <w:lang w:val="pt-PT"/>
      </w:rPr>
      <w:t>4</w:t>
    </w:r>
    <w:r w:rsidR="003314E0">
      <w:rPr>
        <w:rFonts w:ascii="Arial" w:hAnsi="Arial" w:cs="Arial"/>
        <w:b/>
        <w:sz w:val="44"/>
        <w:szCs w:val="44"/>
        <w:lang w:val="pt-PT"/>
      </w:rPr>
      <w:t> </w:t>
    </w:r>
    <w:r w:rsidRPr="00232D65">
      <w:rPr>
        <w:rFonts w:ascii="Arial" w:hAnsi="Arial" w:cs="Arial"/>
        <w:b/>
        <w:sz w:val="44"/>
        <w:szCs w:val="44"/>
        <w:lang w:val="pt-PT"/>
      </w:rPr>
      <w:t>BUR</w:t>
    </w:r>
  </w:p>
  <w:p w14:paraId="6D1B3489" w14:textId="0E4CD842" w:rsidR="004E1760" w:rsidRPr="00D7105A" w:rsidRDefault="004E1760" w:rsidP="004E1760">
    <w:pPr>
      <w:jc w:val="right"/>
      <w:rPr>
        <w:rFonts w:ascii="Arial" w:hAnsi="Arial" w:cs="Arial"/>
        <w:b/>
        <w:sz w:val="22"/>
        <w:szCs w:val="22"/>
        <w:lang w:val="pt-PT"/>
      </w:rPr>
    </w:pPr>
    <w:r w:rsidRPr="00D7105A">
      <w:rPr>
        <w:rFonts w:ascii="Arial" w:hAnsi="Arial" w:cs="Arial"/>
        <w:b/>
        <w:sz w:val="22"/>
        <w:szCs w:val="22"/>
        <w:lang w:val="pt-PT"/>
      </w:rPr>
      <w:t>LHE/</w:t>
    </w:r>
    <w:r>
      <w:rPr>
        <w:rFonts w:ascii="Arial" w:hAnsi="Arial" w:cs="Arial"/>
        <w:b/>
        <w:sz w:val="22"/>
        <w:szCs w:val="22"/>
        <w:lang w:val="pt-PT"/>
      </w:rPr>
      <w:t>22</w:t>
    </w:r>
    <w:r w:rsidRPr="00D7105A">
      <w:rPr>
        <w:rFonts w:ascii="Arial" w:hAnsi="Arial" w:cs="Arial"/>
        <w:b/>
        <w:sz w:val="22"/>
        <w:szCs w:val="22"/>
        <w:lang w:val="pt-PT"/>
      </w:rPr>
      <w:t>/</w:t>
    </w:r>
    <w:bookmarkStart w:id="5" w:name="_Hlk94624970"/>
    <w:r w:rsidRPr="00D7105A">
      <w:rPr>
        <w:rFonts w:ascii="Arial" w:hAnsi="Arial" w:cs="Arial"/>
        <w:b/>
        <w:sz w:val="22"/>
        <w:szCs w:val="22"/>
        <w:lang w:val="pt-PT"/>
      </w:rPr>
      <w:t>1</w:t>
    </w:r>
    <w:r>
      <w:rPr>
        <w:rFonts w:ascii="Arial" w:hAnsi="Arial" w:cs="Arial"/>
        <w:b/>
        <w:sz w:val="22"/>
        <w:szCs w:val="22"/>
        <w:lang w:val="pt-PT"/>
      </w:rPr>
      <w:t>7</w:t>
    </w:r>
    <w:r w:rsidRPr="00D7105A">
      <w:rPr>
        <w:rFonts w:ascii="Arial" w:hAnsi="Arial" w:cs="Arial"/>
        <w:b/>
        <w:sz w:val="22"/>
        <w:szCs w:val="22"/>
        <w:lang w:val="pt-PT"/>
      </w:rPr>
      <w:t>.</w:t>
    </w:r>
    <w:r w:rsidRPr="00F72876">
      <w:rPr>
        <w:rFonts w:ascii="Arial" w:hAnsi="Arial" w:cs="Arial"/>
        <w:b/>
        <w:sz w:val="22"/>
        <w:szCs w:val="22"/>
        <w:lang w:val="pt-PT"/>
      </w:rPr>
      <w:t>COM </w:t>
    </w:r>
    <w:r w:rsidR="00852B51">
      <w:rPr>
        <w:rFonts w:ascii="Arial" w:hAnsi="Arial" w:cs="Arial"/>
        <w:b/>
        <w:sz w:val="22"/>
        <w:szCs w:val="22"/>
        <w:lang w:val="pt-PT"/>
      </w:rPr>
      <w:t>4</w:t>
    </w:r>
    <w:r w:rsidRPr="00F72876">
      <w:rPr>
        <w:rFonts w:ascii="Arial" w:hAnsi="Arial" w:cs="Arial"/>
        <w:b/>
        <w:sz w:val="22"/>
        <w:szCs w:val="22"/>
        <w:lang w:val="pt-PT"/>
      </w:rPr>
      <w:t>.BUR</w:t>
    </w:r>
    <w:r w:rsidRPr="00D7105A">
      <w:rPr>
        <w:rFonts w:ascii="Arial" w:hAnsi="Arial" w:cs="Arial"/>
        <w:b/>
        <w:sz w:val="22"/>
        <w:szCs w:val="22"/>
        <w:lang w:val="pt-PT"/>
      </w:rPr>
      <w:t>/</w:t>
    </w:r>
    <w:r w:rsidR="00E92CC1">
      <w:rPr>
        <w:rFonts w:ascii="Arial" w:hAnsi="Arial" w:cs="Arial"/>
        <w:b/>
        <w:sz w:val="22"/>
        <w:szCs w:val="22"/>
        <w:lang w:val="pt-PT"/>
      </w:rPr>
      <w:t>5</w:t>
    </w:r>
  </w:p>
  <w:bookmarkEnd w:id="5"/>
  <w:p w14:paraId="1B4446C3" w14:textId="6DD4815B" w:rsidR="00D95C4C" w:rsidRPr="00D7105A" w:rsidRDefault="00D95C4C" w:rsidP="00655736">
    <w:pPr>
      <w:jc w:val="right"/>
      <w:rPr>
        <w:rFonts w:ascii="Arial" w:eastAsiaTheme="minorEastAsia" w:hAnsi="Arial" w:cs="Arial"/>
        <w:b/>
        <w:sz w:val="22"/>
        <w:szCs w:val="22"/>
        <w:lang w:val="pt-PT" w:eastAsia="ko-KR"/>
      </w:rPr>
    </w:pPr>
    <w:r w:rsidRPr="00D7105A">
      <w:rPr>
        <w:rFonts w:ascii="Arial" w:hAnsi="Arial" w:cs="Arial"/>
        <w:b/>
        <w:sz w:val="22"/>
        <w:szCs w:val="22"/>
        <w:lang w:val="pt-PT"/>
      </w:rPr>
      <w:t>Pari</w:t>
    </w:r>
    <w:r w:rsidRPr="003314E0">
      <w:rPr>
        <w:rFonts w:ascii="Arial" w:hAnsi="Arial" w:cs="Arial"/>
        <w:b/>
        <w:sz w:val="22"/>
        <w:szCs w:val="22"/>
        <w:lang w:val="pt-PT"/>
      </w:rPr>
      <w:t>s,</w:t>
    </w:r>
    <w:r w:rsidR="003314E0" w:rsidRPr="003314E0">
      <w:rPr>
        <w:rFonts w:ascii="Arial" w:hAnsi="Arial" w:cs="Arial"/>
        <w:b/>
        <w:sz w:val="22"/>
        <w:szCs w:val="22"/>
        <w:lang w:val="pt-PT"/>
      </w:rPr>
      <w:t xml:space="preserve"> </w:t>
    </w:r>
    <w:r w:rsidR="003760B3">
      <w:rPr>
        <w:rFonts w:ascii="Arial" w:hAnsi="Arial" w:cs="Arial"/>
        <w:b/>
        <w:sz w:val="22"/>
        <w:szCs w:val="22"/>
        <w:lang w:val="pt-PT"/>
      </w:rPr>
      <w:t xml:space="preserve">21 </w:t>
    </w:r>
    <w:r w:rsidR="00DD4B8A">
      <w:rPr>
        <w:rFonts w:ascii="Arial" w:hAnsi="Arial" w:cs="Arial"/>
        <w:b/>
        <w:sz w:val="22"/>
        <w:szCs w:val="22"/>
        <w:lang w:val="pt-PT"/>
      </w:rPr>
      <w:t>June</w:t>
    </w:r>
    <w:r w:rsidR="003314E0">
      <w:rPr>
        <w:rFonts w:ascii="Arial" w:hAnsi="Arial" w:cs="Arial"/>
        <w:b/>
        <w:sz w:val="22"/>
        <w:szCs w:val="22"/>
        <w:lang w:val="pt-PT"/>
      </w:rPr>
      <w:t xml:space="preserve"> </w:t>
    </w:r>
    <w:r w:rsidR="00337CEB" w:rsidRPr="00D7105A">
      <w:rPr>
        <w:rFonts w:ascii="Arial" w:hAnsi="Arial" w:cs="Arial"/>
        <w:b/>
        <w:sz w:val="22"/>
        <w:szCs w:val="22"/>
        <w:lang w:val="pt-PT"/>
      </w:rPr>
      <w:t>20</w:t>
    </w:r>
    <w:r w:rsidR="00D7105A">
      <w:rPr>
        <w:rFonts w:ascii="Arial" w:hAnsi="Arial" w:cs="Arial"/>
        <w:b/>
        <w:sz w:val="22"/>
        <w:szCs w:val="22"/>
        <w:lang w:val="pt-PT"/>
      </w:rPr>
      <w:t>2</w:t>
    </w:r>
    <w:r w:rsidR="0026221A">
      <w:rPr>
        <w:rFonts w:ascii="Arial" w:hAnsi="Arial" w:cs="Arial"/>
        <w:b/>
        <w:sz w:val="22"/>
        <w:szCs w:val="22"/>
        <w:lang w:val="pt-PT"/>
      </w:rPr>
      <w:t>2</w:t>
    </w:r>
  </w:p>
  <w:p w14:paraId="255B57FF" w14:textId="3B814BD3" w:rsidR="00D95C4C" w:rsidRPr="00151E44" w:rsidRDefault="00D95C4C" w:rsidP="00962034">
    <w:pPr>
      <w:spacing w:after="120"/>
      <w:jc w:val="right"/>
      <w:rPr>
        <w:rFonts w:ascii="Arial" w:hAnsi="Arial" w:cs="Arial"/>
        <w:b/>
        <w:sz w:val="22"/>
        <w:szCs w:val="22"/>
        <w:lang w:val="en-US"/>
      </w:rPr>
    </w:pPr>
    <w:r w:rsidRPr="00151E44">
      <w:rPr>
        <w:rFonts w:ascii="Arial" w:hAnsi="Arial" w:cs="Arial"/>
        <w:b/>
        <w:sz w:val="22"/>
        <w:szCs w:val="22"/>
        <w:lang w:val="en-US"/>
      </w:rPr>
      <w:t>Original</w:t>
    </w:r>
    <w:r w:rsidRPr="00E92CC1">
      <w:rPr>
        <w:rFonts w:ascii="Arial" w:hAnsi="Arial" w:cs="Arial"/>
        <w:b/>
        <w:sz w:val="22"/>
        <w:szCs w:val="22"/>
        <w:lang w:val="pt-PT"/>
      </w:rPr>
      <w:t xml:space="preserve">: </w:t>
    </w:r>
    <w:r w:rsidR="00151E44" w:rsidRPr="00E92CC1">
      <w:rPr>
        <w:rFonts w:ascii="Arial" w:hAnsi="Arial" w:cs="Arial"/>
        <w:b/>
        <w:sz w:val="22"/>
        <w:szCs w:val="22"/>
        <w:lang w:val="pt-PT"/>
      </w:rPr>
      <w:t>English</w:t>
    </w:r>
  </w:p>
  <w:p w14:paraId="3C4B8B1B" w14:textId="77777777" w:rsidR="00D95C4C" w:rsidRPr="00151E44" w:rsidRDefault="00D95C4C">
    <w:pPr>
      <w:pStyle w:val="En-tte"/>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DC931D0"/>
    <w:multiLevelType w:val="multilevel"/>
    <w:tmpl w:val="D66A2C00"/>
    <w:lvl w:ilvl="0">
      <w:start w:val="2"/>
      <w:numFmt w:val="upperLetter"/>
      <w:lvlText w:val="%1."/>
      <w:lvlJc w:val="left"/>
      <w:pPr>
        <w:ind w:left="0" w:firstLine="0"/>
      </w:pPr>
      <w:rPr>
        <w:rFonts w:hint="default"/>
        <w:color w:val="auto"/>
        <w:sz w:val="22"/>
      </w:rPr>
    </w:lvl>
    <w:lvl w:ilvl="1">
      <w:start w:val="2"/>
      <w:numFmt w:val="decimal"/>
      <w:lvlText w:val="%2."/>
      <w:lvlJc w:val="left"/>
      <w:pPr>
        <w:ind w:left="576" w:hanging="576"/>
      </w:pPr>
      <w:rPr>
        <w:rFonts w:hint="default"/>
        <w:b w:val="0"/>
        <w:bCs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9DA447A4"/>
    <w:lvl w:ilvl="0" w:tplc="CF92B678">
      <w:start w:val="1"/>
      <w:numFmt w:val="decimal"/>
      <w:pStyle w:val="COMParaDecision"/>
      <w:lvlText w:val="%1."/>
      <w:lvlJc w:val="left"/>
      <w:pPr>
        <w:ind w:left="1287" w:hanging="360"/>
      </w:pPr>
      <w:rPr>
        <w:b w:val="0"/>
        <w:bCs w:val="0"/>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4E7117AC"/>
    <w:multiLevelType w:val="multilevel"/>
    <w:tmpl w:val="0BA4F8B8"/>
    <w:lvl w:ilvl="0">
      <w:start w:val="1"/>
      <w:numFmt w:val="upperLetter"/>
      <w:lvlText w:val="%1."/>
      <w:lvlJc w:val="left"/>
      <w:pPr>
        <w:ind w:left="0" w:firstLine="0"/>
      </w:pPr>
      <w:rPr>
        <w:rFonts w:hint="default"/>
        <w:color w:val="auto"/>
        <w:sz w:val="22"/>
      </w:rPr>
    </w:lvl>
    <w:lvl w:ilvl="1">
      <w:start w:val="1"/>
      <w:numFmt w:val="decimal"/>
      <w:lvlText w:val="%2."/>
      <w:lvlJc w:val="left"/>
      <w:pPr>
        <w:ind w:left="576" w:hanging="576"/>
      </w:pPr>
      <w:rPr>
        <w:rFonts w:hint="default"/>
        <w:b w:val="0"/>
        <w:bCs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588D670A"/>
    <w:multiLevelType w:val="hybridMultilevel"/>
    <w:tmpl w:val="4CA25A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994573A"/>
    <w:multiLevelType w:val="hybridMultilevel"/>
    <w:tmpl w:val="F7786B38"/>
    <w:lvl w:ilvl="0" w:tplc="AD4A8BD0">
      <w:start w:val="1"/>
      <w:numFmt w:val="bullet"/>
      <w:pStyle w:val="Bullet1"/>
      <w:lvlText w:val=""/>
      <w:lvlJc w:val="left"/>
      <w:pPr>
        <w:ind w:left="720" w:hanging="360"/>
      </w:pPr>
      <w:rPr>
        <w:rFonts w:ascii="Symbol" w:hAnsi="Symbol" w:hint="default"/>
        <w:color w:val="auto"/>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61595BFF"/>
    <w:multiLevelType w:val="hybridMultilevel"/>
    <w:tmpl w:val="F9B2C3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3"/>
  </w:num>
  <w:num w:numId="2">
    <w:abstractNumId w:val="5"/>
  </w:num>
  <w:num w:numId="3">
    <w:abstractNumId w:val="1"/>
  </w:num>
  <w:num w:numId="4">
    <w:abstractNumId w:val="16"/>
  </w:num>
  <w:num w:numId="5">
    <w:abstractNumId w:val="15"/>
  </w:num>
  <w:num w:numId="6">
    <w:abstractNumId w:val="0"/>
  </w:num>
  <w:num w:numId="7">
    <w:abstractNumId w:val="2"/>
  </w:num>
  <w:num w:numId="8">
    <w:abstractNumId w:val="9"/>
  </w:num>
  <w:num w:numId="9">
    <w:abstractNumId w:val="4"/>
  </w:num>
  <w:num w:numId="10">
    <w:abstractNumId w:val="6"/>
  </w:num>
  <w:num w:numId="11">
    <w:abstractNumId w:val="8"/>
  </w:num>
  <w:num w:numId="12">
    <w:abstractNumId w:val="7"/>
  </w:num>
  <w:num w:numId="13">
    <w:abstractNumId w:val="17"/>
  </w:num>
  <w:num w:numId="14">
    <w:abstractNumId w:val="6"/>
    <w:lvlOverride w:ilvl="0">
      <w:startOverride w:val="1"/>
    </w:lvlOverride>
  </w:num>
  <w:num w:numId="15">
    <w:abstractNumId w:val="12"/>
  </w:num>
  <w:num w:numId="16">
    <w:abstractNumId w:val="6"/>
    <w:lvlOverride w:ilvl="0">
      <w:startOverride w:val="1"/>
    </w:lvlOverride>
  </w:num>
  <w:num w:numId="17">
    <w:abstractNumId w:val="6"/>
    <w:lvlOverride w:ilvl="0">
      <w:startOverride w:val="1"/>
    </w:lvlOverride>
  </w:num>
  <w:num w:numId="18">
    <w:abstractNumId w:val="11"/>
  </w:num>
  <w:num w:numId="19">
    <w:abstractNumId w:val="6"/>
  </w:num>
  <w:num w:numId="20">
    <w:abstractNumId w:val="6"/>
  </w:num>
  <w:num w:numId="21">
    <w:abstractNumId w:val="6"/>
  </w:num>
  <w:num w:numId="22">
    <w:abstractNumId w:val="6"/>
  </w:num>
  <w:num w:numId="23">
    <w:abstractNumId w:val="6"/>
    <w:lvlOverride w:ilvl="0">
      <w:startOverride w:val="1"/>
    </w:lvlOverride>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14"/>
  </w:num>
  <w:num w:numId="35">
    <w:abstractNumId w:val="6"/>
  </w:num>
  <w:num w:numId="36">
    <w:abstractNumId w:val="6"/>
  </w:num>
  <w:num w:numId="37">
    <w:abstractNumId w:val="6"/>
  </w:num>
  <w:num w:numId="38">
    <w:abstractNumId w:val="3"/>
  </w:num>
  <w:num w:numId="39">
    <w:abstractNumId w:val="10"/>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6"/>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0C90"/>
    <w:rsid w:val="000048ED"/>
    <w:rsid w:val="00004AA8"/>
    <w:rsid w:val="000115CE"/>
    <w:rsid w:val="00014915"/>
    <w:rsid w:val="000313CA"/>
    <w:rsid w:val="00035EC2"/>
    <w:rsid w:val="00041A66"/>
    <w:rsid w:val="00042D88"/>
    <w:rsid w:val="000506AA"/>
    <w:rsid w:val="0005176E"/>
    <w:rsid w:val="00067403"/>
    <w:rsid w:val="000765F7"/>
    <w:rsid w:val="00077AB7"/>
    <w:rsid w:val="00081430"/>
    <w:rsid w:val="00081CD8"/>
    <w:rsid w:val="000939AA"/>
    <w:rsid w:val="000A0E47"/>
    <w:rsid w:val="000A7F0E"/>
    <w:rsid w:val="000B1C8F"/>
    <w:rsid w:val="000C0D61"/>
    <w:rsid w:val="000C1263"/>
    <w:rsid w:val="000C4740"/>
    <w:rsid w:val="000C7636"/>
    <w:rsid w:val="000D1214"/>
    <w:rsid w:val="000D25A6"/>
    <w:rsid w:val="000E1133"/>
    <w:rsid w:val="000F3A3F"/>
    <w:rsid w:val="00102557"/>
    <w:rsid w:val="00117836"/>
    <w:rsid w:val="00117BEC"/>
    <w:rsid w:val="001306AD"/>
    <w:rsid w:val="00133268"/>
    <w:rsid w:val="0014360B"/>
    <w:rsid w:val="00145EB9"/>
    <w:rsid w:val="0014733D"/>
    <w:rsid w:val="00151E44"/>
    <w:rsid w:val="00164D56"/>
    <w:rsid w:val="001652B5"/>
    <w:rsid w:val="00166BB5"/>
    <w:rsid w:val="00167B10"/>
    <w:rsid w:val="0017402F"/>
    <w:rsid w:val="00174F98"/>
    <w:rsid w:val="00181B2F"/>
    <w:rsid w:val="00190205"/>
    <w:rsid w:val="00196C1B"/>
    <w:rsid w:val="001B064D"/>
    <w:rsid w:val="001B0F73"/>
    <w:rsid w:val="001B64B6"/>
    <w:rsid w:val="001C2DB7"/>
    <w:rsid w:val="001C3768"/>
    <w:rsid w:val="001C5BBE"/>
    <w:rsid w:val="001D14FE"/>
    <w:rsid w:val="001D421C"/>
    <w:rsid w:val="001D5C04"/>
    <w:rsid w:val="001D6B29"/>
    <w:rsid w:val="001F26CF"/>
    <w:rsid w:val="001F5EDF"/>
    <w:rsid w:val="002001EF"/>
    <w:rsid w:val="0020210C"/>
    <w:rsid w:val="0021123B"/>
    <w:rsid w:val="00211BE2"/>
    <w:rsid w:val="0022034F"/>
    <w:rsid w:val="00220D56"/>
    <w:rsid w:val="00222A2D"/>
    <w:rsid w:val="00223029"/>
    <w:rsid w:val="00234745"/>
    <w:rsid w:val="002351A6"/>
    <w:rsid w:val="00235ADF"/>
    <w:rsid w:val="00237AF3"/>
    <w:rsid w:val="002407AF"/>
    <w:rsid w:val="00245AA8"/>
    <w:rsid w:val="00255AF4"/>
    <w:rsid w:val="0026221A"/>
    <w:rsid w:val="00266E44"/>
    <w:rsid w:val="00271AFF"/>
    <w:rsid w:val="00274012"/>
    <w:rsid w:val="0027466B"/>
    <w:rsid w:val="002838A5"/>
    <w:rsid w:val="00285BB4"/>
    <w:rsid w:val="00293B22"/>
    <w:rsid w:val="002976EB"/>
    <w:rsid w:val="002A3BCE"/>
    <w:rsid w:val="002A45E2"/>
    <w:rsid w:val="002B0233"/>
    <w:rsid w:val="002B3863"/>
    <w:rsid w:val="002C0873"/>
    <w:rsid w:val="002C09E3"/>
    <w:rsid w:val="002C4322"/>
    <w:rsid w:val="002C5659"/>
    <w:rsid w:val="002D1244"/>
    <w:rsid w:val="002F624A"/>
    <w:rsid w:val="00301372"/>
    <w:rsid w:val="00305AE8"/>
    <w:rsid w:val="00313B22"/>
    <w:rsid w:val="00324F68"/>
    <w:rsid w:val="003314E0"/>
    <w:rsid w:val="00337CEB"/>
    <w:rsid w:val="00344B58"/>
    <w:rsid w:val="00345068"/>
    <w:rsid w:val="0034539A"/>
    <w:rsid w:val="00345B60"/>
    <w:rsid w:val="00345CB4"/>
    <w:rsid w:val="003575FA"/>
    <w:rsid w:val="00375D42"/>
    <w:rsid w:val="003760B3"/>
    <w:rsid w:val="0039535A"/>
    <w:rsid w:val="003969F2"/>
    <w:rsid w:val="003A3725"/>
    <w:rsid w:val="003B5301"/>
    <w:rsid w:val="003C2A5E"/>
    <w:rsid w:val="003C5A35"/>
    <w:rsid w:val="003D0651"/>
    <w:rsid w:val="003D069C"/>
    <w:rsid w:val="003D3010"/>
    <w:rsid w:val="003D3A6C"/>
    <w:rsid w:val="003D7646"/>
    <w:rsid w:val="003E07F9"/>
    <w:rsid w:val="003E4B44"/>
    <w:rsid w:val="003E5C2D"/>
    <w:rsid w:val="003F113A"/>
    <w:rsid w:val="003F3943"/>
    <w:rsid w:val="003F3E63"/>
    <w:rsid w:val="003F7E94"/>
    <w:rsid w:val="00407480"/>
    <w:rsid w:val="00414643"/>
    <w:rsid w:val="004153B3"/>
    <w:rsid w:val="00421859"/>
    <w:rsid w:val="00441CCB"/>
    <w:rsid w:val="004421E5"/>
    <w:rsid w:val="00443085"/>
    <w:rsid w:val="00444603"/>
    <w:rsid w:val="00452284"/>
    <w:rsid w:val="00457C8E"/>
    <w:rsid w:val="00474F6A"/>
    <w:rsid w:val="0048067B"/>
    <w:rsid w:val="004806D2"/>
    <w:rsid w:val="004856CA"/>
    <w:rsid w:val="00487E67"/>
    <w:rsid w:val="0049197C"/>
    <w:rsid w:val="0049705E"/>
    <w:rsid w:val="004A2875"/>
    <w:rsid w:val="004A34A0"/>
    <w:rsid w:val="004B391E"/>
    <w:rsid w:val="004C7C82"/>
    <w:rsid w:val="004E1760"/>
    <w:rsid w:val="004E29F8"/>
    <w:rsid w:val="004F14D4"/>
    <w:rsid w:val="004F4C6D"/>
    <w:rsid w:val="005008A8"/>
    <w:rsid w:val="00516E1C"/>
    <w:rsid w:val="00517FD8"/>
    <w:rsid w:val="00526B7B"/>
    <w:rsid w:val="00527612"/>
    <w:rsid w:val="005308CE"/>
    <w:rsid w:val="00532558"/>
    <w:rsid w:val="00532EF6"/>
    <w:rsid w:val="0053318C"/>
    <w:rsid w:val="005341FD"/>
    <w:rsid w:val="00540BCA"/>
    <w:rsid w:val="00545BF2"/>
    <w:rsid w:val="00553B2D"/>
    <w:rsid w:val="005627FF"/>
    <w:rsid w:val="005651D4"/>
    <w:rsid w:val="00565737"/>
    <w:rsid w:val="0057439C"/>
    <w:rsid w:val="00583A7F"/>
    <w:rsid w:val="00584059"/>
    <w:rsid w:val="00584A05"/>
    <w:rsid w:val="00587216"/>
    <w:rsid w:val="005911DA"/>
    <w:rsid w:val="005914CE"/>
    <w:rsid w:val="005A59AA"/>
    <w:rsid w:val="005B0127"/>
    <w:rsid w:val="005B2F6B"/>
    <w:rsid w:val="005B7A35"/>
    <w:rsid w:val="005C4B73"/>
    <w:rsid w:val="005C6DAD"/>
    <w:rsid w:val="005D03E3"/>
    <w:rsid w:val="005D1D27"/>
    <w:rsid w:val="005D2C55"/>
    <w:rsid w:val="005D5A06"/>
    <w:rsid w:val="005D75F2"/>
    <w:rsid w:val="005E1D2B"/>
    <w:rsid w:val="005E7074"/>
    <w:rsid w:val="005E7174"/>
    <w:rsid w:val="005F2AD7"/>
    <w:rsid w:val="005F2BAF"/>
    <w:rsid w:val="00600D93"/>
    <w:rsid w:val="00604DE2"/>
    <w:rsid w:val="00612059"/>
    <w:rsid w:val="0062482B"/>
    <w:rsid w:val="00625DB5"/>
    <w:rsid w:val="00626BEA"/>
    <w:rsid w:val="006273A7"/>
    <w:rsid w:val="0063300C"/>
    <w:rsid w:val="00651A5B"/>
    <w:rsid w:val="00655404"/>
    <w:rsid w:val="00655736"/>
    <w:rsid w:val="00663B8D"/>
    <w:rsid w:val="00684251"/>
    <w:rsid w:val="00686ED0"/>
    <w:rsid w:val="00696C8D"/>
    <w:rsid w:val="006A2AC2"/>
    <w:rsid w:val="006A3617"/>
    <w:rsid w:val="006A3811"/>
    <w:rsid w:val="006B1B09"/>
    <w:rsid w:val="006B4452"/>
    <w:rsid w:val="006C1E34"/>
    <w:rsid w:val="006D0365"/>
    <w:rsid w:val="006E2599"/>
    <w:rsid w:val="006E3655"/>
    <w:rsid w:val="006E4647"/>
    <w:rsid w:val="006E46E4"/>
    <w:rsid w:val="006E75EB"/>
    <w:rsid w:val="006F55F3"/>
    <w:rsid w:val="006F6CDC"/>
    <w:rsid w:val="00702FEC"/>
    <w:rsid w:val="0071352B"/>
    <w:rsid w:val="00716C8A"/>
    <w:rsid w:val="00717DA5"/>
    <w:rsid w:val="00725FB3"/>
    <w:rsid w:val="00744484"/>
    <w:rsid w:val="00747566"/>
    <w:rsid w:val="00752B10"/>
    <w:rsid w:val="007557FD"/>
    <w:rsid w:val="00757DB4"/>
    <w:rsid w:val="00765653"/>
    <w:rsid w:val="00773188"/>
    <w:rsid w:val="007834AA"/>
    <w:rsid w:val="00783782"/>
    <w:rsid w:val="00784B8C"/>
    <w:rsid w:val="00786624"/>
    <w:rsid w:val="00786E0A"/>
    <w:rsid w:val="007879E1"/>
    <w:rsid w:val="007A47EB"/>
    <w:rsid w:val="007B2919"/>
    <w:rsid w:val="007B558F"/>
    <w:rsid w:val="007E5518"/>
    <w:rsid w:val="00801DC0"/>
    <w:rsid w:val="00806C1B"/>
    <w:rsid w:val="00821532"/>
    <w:rsid w:val="00823A11"/>
    <w:rsid w:val="0083372E"/>
    <w:rsid w:val="00844D9E"/>
    <w:rsid w:val="00850946"/>
    <w:rsid w:val="0085248D"/>
    <w:rsid w:val="00852B51"/>
    <w:rsid w:val="0085405E"/>
    <w:rsid w:val="0085414A"/>
    <w:rsid w:val="00857BAD"/>
    <w:rsid w:val="00857EB9"/>
    <w:rsid w:val="0086269D"/>
    <w:rsid w:val="0086543A"/>
    <w:rsid w:val="008724E5"/>
    <w:rsid w:val="008847A1"/>
    <w:rsid w:val="00884A9D"/>
    <w:rsid w:val="0088512B"/>
    <w:rsid w:val="008A1A9A"/>
    <w:rsid w:val="008A2B2D"/>
    <w:rsid w:val="008A4E1E"/>
    <w:rsid w:val="008B0141"/>
    <w:rsid w:val="008B47E8"/>
    <w:rsid w:val="008C296C"/>
    <w:rsid w:val="008D4305"/>
    <w:rsid w:val="008D4699"/>
    <w:rsid w:val="008E0A08"/>
    <w:rsid w:val="008E1A85"/>
    <w:rsid w:val="008F6ACD"/>
    <w:rsid w:val="00905F04"/>
    <w:rsid w:val="00915C94"/>
    <w:rsid w:val="009163A7"/>
    <w:rsid w:val="00932B4E"/>
    <w:rsid w:val="00945E92"/>
    <w:rsid w:val="00946D0B"/>
    <w:rsid w:val="0094778C"/>
    <w:rsid w:val="00947FAA"/>
    <w:rsid w:val="00954E4A"/>
    <w:rsid w:val="00954FEE"/>
    <w:rsid w:val="00955877"/>
    <w:rsid w:val="00962034"/>
    <w:rsid w:val="00970150"/>
    <w:rsid w:val="00974CB4"/>
    <w:rsid w:val="00983CEF"/>
    <w:rsid w:val="00993144"/>
    <w:rsid w:val="009973A6"/>
    <w:rsid w:val="009A18CD"/>
    <w:rsid w:val="009B32D6"/>
    <w:rsid w:val="009C2F47"/>
    <w:rsid w:val="009D1ECE"/>
    <w:rsid w:val="009D5428"/>
    <w:rsid w:val="009E2F2C"/>
    <w:rsid w:val="009E3619"/>
    <w:rsid w:val="009F6AD2"/>
    <w:rsid w:val="00A05CB5"/>
    <w:rsid w:val="00A121BF"/>
    <w:rsid w:val="00A12558"/>
    <w:rsid w:val="00A13903"/>
    <w:rsid w:val="00A2710D"/>
    <w:rsid w:val="00A32B89"/>
    <w:rsid w:val="00A34ED5"/>
    <w:rsid w:val="00A3581F"/>
    <w:rsid w:val="00A40B27"/>
    <w:rsid w:val="00A45DBF"/>
    <w:rsid w:val="00A47583"/>
    <w:rsid w:val="00A56275"/>
    <w:rsid w:val="00A60127"/>
    <w:rsid w:val="00A629F2"/>
    <w:rsid w:val="00A70139"/>
    <w:rsid w:val="00A725CF"/>
    <w:rsid w:val="00A7352A"/>
    <w:rsid w:val="00A755A2"/>
    <w:rsid w:val="00A87130"/>
    <w:rsid w:val="00AA1F2B"/>
    <w:rsid w:val="00AA27B8"/>
    <w:rsid w:val="00AA41A4"/>
    <w:rsid w:val="00AA6660"/>
    <w:rsid w:val="00AB2C36"/>
    <w:rsid w:val="00AB6DDE"/>
    <w:rsid w:val="00AB70B6"/>
    <w:rsid w:val="00AC1546"/>
    <w:rsid w:val="00AC76C1"/>
    <w:rsid w:val="00AD1A86"/>
    <w:rsid w:val="00AD44E7"/>
    <w:rsid w:val="00AD536A"/>
    <w:rsid w:val="00AE103E"/>
    <w:rsid w:val="00AE4623"/>
    <w:rsid w:val="00AE643A"/>
    <w:rsid w:val="00AF0A07"/>
    <w:rsid w:val="00AF4408"/>
    <w:rsid w:val="00AF4AEC"/>
    <w:rsid w:val="00AF625E"/>
    <w:rsid w:val="00AF70EC"/>
    <w:rsid w:val="00B00EB0"/>
    <w:rsid w:val="00B06CA4"/>
    <w:rsid w:val="00B1208C"/>
    <w:rsid w:val="00B139BE"/>
    <w:rsid w:val="00B2172B"/>
    <w:rsid w:val="00B30A50"/>
    <w:rsid w:val="00B32740"/>
    <w:rsid w:val="00B460B7"/>
    <w:rsid w:val="00B57DEE"/>
    <w:rsid w:val="00B72FDF"/>
    <w:rsid w:val="00B731FB"/>
    <w:rsid w:val="00B76302"/>
    <w:rsid w:val="00B77D71"/>
    <w:rsid w:val="00B90945"/>
    <w:rsid w:val="00B917D2"/>
    <w:rsid w:val="00B94B47"/>
    <w:rsid w:val="00BA206A"/>
    <w:rsid w:val="00BA241A"/>
    <w:rsid w:val="00BB04AF"/>
    <w:rsid w:val="00BC0F45"/>
    <w:rsid w:val="00BD2E25"/>
    <w:rsid w:val="00BD52C9"/>
    <w:rsid w:val="00BD759D"/>
    <w:rsid w:val="00BE6354"/>
    <w:rsid w:val="00C0428E"/>
    <w:rsid w:val="00C05686"/>
    <w:rsid w:val="00C138D1"/>
    <w:rsid w:val="00C2097C"/>
    <w:rsid w:val="00C21773"/>
    <w:rsid w:val="00C23A97"/>
    <w:rsid w:val="00C36D39"/>
    <w:rsid w:val="00C37A09"/>
    <w:rsid w:val="00C42FDD"/>
    <w:rsid w:val="00C52EBE"/>
    <w:rsid w:val="00C5776D"/>
    <w:rsid w:val="00C64855"/>
    <w:rsid w:val="00C70EA7"/>
    <w:rsid w:val="00C7433F"/>
    <w:rsid w:val="00C74977"/>
    <w:rsid w:val="00C7516E"/>
    <w:rsid w:val="00C75374"/>
    <w:rsid w:val="00C75770"/>
    <w:rsid w:val="00C83BD2"/>
    <w:rsid w:val="00C94FCC"/>
    <w:rsid w:val="00C956CB"/>
    <w:rsid w:val="00CA56BB"/>
    <w:rsid w:val="00CB0542"/>
    <w:rsid w:val="00CB6C01"/>
    <w:rsid w:val="00CC33FE"/>
    <w:rsid w:val="00CE2571"/>
    <w:rsid w:val="00CE7F33"/>
    <w:rsid w:val="00CF402A"/>
    <w:rsid w:val="00D00B2B"/>
    <w:rsid w:val="00D23895"/>
    <w:rsid w:val="00D24877"/>
    <w:rsid w:val="00D26B86"/>
    <w:rsid w:val="00D31EB0"/>
    <w:rsid w:val="00D3203C"/>
    <w:rsid w:val="00D34101"/>
    <w:rsid w:val="00D3529F"/>
    <w:rsid w:val="00D47CFC"/>
    <w:rsid w:val="00D50C08"/>
    <w:rsid w:val="00D517D9"/>
    <w:rsid w:val="00D62CB1"/>
    <w:rsid w:val="00D64566"/>
    <w:rsid w:val="00D67A9B"/>
    <w:rsid w:val="00D70182"/>
    <w:rsid w:val="00D70610"/>
    <w:rsid w:val="00D7105A"/>
    <w:rsid w:val="00D72992"/>
    <w:rsid w:val="00D76971"/>
    <w:rsid w:val="00D80EAC"/>
    <w:rsid w:val="00D8250F"/>
    <w:rsid w:val="00D8520D"/>
    <w:rsid w:val="00D855F6"/>
    <w:rsid w:val="00D86BB3"/>
    <w:rsid w:val="00D90787"/>
    <w:rsid w:val="00D95C4C"/>
    <w:rsid w:val="00DA0D60"/>
    <w:rsid w:val="00DA36ED"/>
    <w:rsid w:val="00DB48FE"/>
    <w:rsid w:val="00DD4176"/>
    <w:rsid w:val="00DD4B8A"/>
    <w:rsid w:val="00DD693D"/>
    <w:rsid w:val="00DD7239"/>
    <w:rsid w:val="00DE34F1"/>
    <w:rsid w:val="00DE6160"/>
    <w:rsid w:val="00DE7B53"/>
    <w:rsid w:val="00DF4942"/>
    <w:rsid w:val="00E03373"/>
    <w:rsid w:val="00E125D5"/>
    <w:rsid w:val="00E1464E"/>
    <w:rsid w:val="00E16EFD"/>
    <w:rsid w:val="00E2125F"/>
    <w:rsid w:val="00E234DB"/>
    <w:rsid w:val="00E244E1"/>
    <w:rsid w:val="00E36D13"/>
    <w:rsid w:val="00E405A8"/>
    <w:rsid w:val="00E4150C"/>
    <w:rsid w:val="00E627B1"/>
    <w:rsid w:val="00E70169"/>
    <w:rsid w:val="00E7403B"/>
    <w:rsid w:val="00E92CC1"/>
    <w:rsid w:val="00E9376C"/>
    <w:rsid w:val="00E95AE2"/>
    <w:rsid w:val="00EA335E"/>
    <w:rsid w:val="00EA3725"/>
    <w:rsid w:val="00EA528C"/>
    <w:rsid w:val="00EA580C"/>
    <w:rsid w:val="00EC6F8D"/>
    <w:rsid w:val="00ED2E73"/>
    <w:rsid w:val="00ED39B2"/>
    <w:rsid w:val="00EE2A60"/>
    <w:rsid w:val="00EE49F4"/>
    <w:rsid w:val="00EF34E2"/>
    <w:rsid w:val="00EF3549"/>
    <w:rsid w:val="00F24521"/>
    <w:rsid w:val="00F30DC6"/>
    <w:rsid w:val="00F3224A"/>
    <w:rsid w:val="00F32C23"/>
    <w:rsid w:val="00F456A0"/>
    <w:rsid w:val="00F53DE9"/>
    <w:rsid w:val="00F576CB"/>
    <w:rsid w:val="00F6382B"/>
    <w:rsid w:val="00F7035D"/>
    <w:rsid w:val="00F710F0"/>
    <w:rsid w:val="00F71A02"/>
    <w:rsid w:val="00F7710B"/>
    <w:rsid w:val="00F81661"/>
    <w:rsid w:val="00FA0D63"/>
    <w:rsid w:val="00FA1AFC"/>
    <w:rsid w:val="00FB196A"/>
    <w:rsid w:val="00FB5189"/>
    <w:rsid w:val="00FB6E3C"/>
    <w:rsid w:val="00FC751C"/>
    <w:rsid w:val="00FD1226"/>
    <w:rsid w:val="00FD552C"/>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A2875"/>
    <w:pPr>
      <w:ind w:left="720"/>
      <w:contextualSpacing/>
    </w:pPr>
  </w:style>
  <w:style w:type="character" w:styleId="Lienhypertexte">
    <w:name w:val="Hyperlink"/>
    <w:basedOn w:val="Policepardfaut"/>
    <w:uiPriority w:val="99"/>
    <w:unhideWhenUsed/>
    <w:rsid w:val="00B90945"/>
    <w:rPr>
      <w:color w:val="0000FF" w:themeColor="hyperlink"/>
      <w:u w:val="single"/>
    </w:rPr>
  </w:style>
  <w:style w:type="character" w:customStyle="1" w:styleId="MargeChar">
    <w:name w:val="Marge Char"/>
    <w:link w:val="Marge"/>
    <w:rsid w:val="00B90945"/>
    <w:rPr>
      <w:rFonts w:ascii="Arial" w:eastAsia="Times New Roman" w:hAnsi="Arial"/>
      <w:snapToGrid w:val="0"/>
      <w:sz w:val="22"/>
      <w:szCs w:val="24"/>
      <w:lang w:eastAsia="en-US"/>
    </w:rPr>
  </w:style>
  <w:style w:type="paragraph" w:customStyle="1" w:styleId="Bullet1">
    <w:name w:val="Bullet_1"/>
    <w:basedOn w:val="Marge"/>
    <w:link w:val="Bullet1Char"/>
    <w:qFormat/>
    <w:rsid w:val="00C42FDD"/>
    <w:pPr>
      <w:numPr>
        <w:numId w:val="15"/>
      </w:numPr>
      <w:tabs>
        <w:tab w:val="clear" w:pos="567"/>
      </w:tabs>
      <w:spacing w:before="240" w:line="360" w:lineRule="auto"/>
    </w:pPr>
    <w:rPr>
      <w:rFonts w:eastAsia="SimSun" w:cs="Arial"/>
      <w:sz w:val="28"/>
      <w:szCs w:val="28"/>
      <w:lang w:val="en-GB" w:eastAsia="zh-CN"/>
    </w:rPr>
  </w:style>
  <w:style w:type="paragraph" w:customStyle="1" w:styleId="Bullet2">
    <w:name w:val="Bullet_2"/>
    <w:basedOn w:val="Marge"/>
    <w:qFormat/>
    <w:rsid w:val="00C42FDD"/>
    <w:pPr>
      <w:numPr>
        <w:ilvl w:val="1"/>
        <w:numId w:val="15"/>
      </w:numPr>
      <w:tabs>
        <w:tab w:val="clear" w:pos="567"/>
      </w:tabs>
      <w:spacing w:before="240" w:line="360" w:lineRule="auto"/>
      <w:ind w:left="1134" w:hanging="567"/>
    </w:pPr>
    <w:rPr>
      <w:rFonts w:eastAsia="SimSun" w:cs="Arial"/>
      <w:sz w:val="28"/>
      <w:szCs w:val="28"/>
      <w:lang w:val="en-GB" w:eastAsia="zh-CN"/>
    </w:rPr>
  </w:style>
  <w:style w:type="character" w:customStyle="1" w:styleId="Bullet1Char">
    <w:name w:val="Bullet_1 Char"/>
    <w:link w:val="Bullet1"/>
    <w:rsid w:val="00C42FDD"/>
    <w:rPr>
      <w:rFonts w:ascii="Arial" w:hAnsi="Arial" w:cs="Arial"/>
      <w:snapToGrid w:val="0"/>
      <w:sz w:val="28"/>
      <w:szCs w:val="28"/>
      <w:lang w:val="en-GB" w:eastAsia="zh-CN"/>
    </w:rPr>
  </w:style>
  <w:style w:type="paragraph" w:customStyle="1" w:styleId="Default">
    <w:name w:val="Default"/>
    <w:rsid w:val="003E5C2D"/>
    <w:pPr>
      <w:autoSpaceDE w:val="0"/>
      <w:autoSpaceDN w:val="0"/>
      <w:adjustRightInd w:val="0"/>
    </w:pPr>
    <w:rPr>
      <w:rFonts w:ascii="Arial" w:hAnsi="Arial" w:cs="Arial"/>
      <w:color w:val="000000"/>
      <w:sz w:val="24"/>
      <w:szCs w:val="24"/>
      <w:lang w:val="en-US"/>
    </w:rPr>
  </w:style>
  <w:style w:type="character" w:styleId="Marquedecommentaire">
    <w:name w:val="annotation reference"/>
    <w:basedOn w:val="Policepardfaut"/>
    <w:uiPriority w:val="99"/>
    <w:semiHidden/>
    <w:unhideWhenUsed/>
    <w:rsid w:val="00DD4B8A"/>
    <w:rPr>
      <w:sz w:val="16"/>
      <w:szCs w:val="16"/>
    </w:rPr>
  </w:style>
  <w:style w:type="paragraph" w:styleId="Commentaire">
    <w:name w:val="annotation text"/>
    <w:basedOn w:val="Normal"/>
    <w:link w:val="CommentaireCar"/>
    <w:uiPriority w:val="99"/>
    <w:semiHidden/>
    <w:unhideWhenUsed/>
    <w:rsid w:val="00DD4B8A"/>
    <w:rPr>
      <w:sz w:val="20"/>
      <w:szCs w:val="20"/>
    </w:rPr>
  </w:style>
  <w:style w:type="character" w:customStyle="1" w:styleId="CommentaireCar">
    <w:name w:val="Commentaire Car"/>
    <w:basedOn w:val="Policepardfaut"/>
    <w:link w:val="Commentaire"/>
    <w:uiPriority w:val="99"/>
    <w:semiHidden/>
    <w:rsid w:val="00DD4B8A"/>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DD4B8A"/>
    <w:rPr>
      <w:b/>
      <w:bCs/>
    </w:rPr>
  </w:style>
  <w:style w:type="character" w:customStyle="1" w:styleId="ObjetducommentaireCar">
    <w:name w:val="Objet du commentaire Car"/>
    <w:basedOn w:val="CommentaireCar"/>
    <w:link w:val="Objetducommentaire"/>
    <w:uiPriority w:val="99"/>
    <w:semiHidden/>
    <w:rsid w:val="00DD4B8A"/>
    <w:rPr>
      <w:rFonts w:ascii="Times New Roman" w:eastAsia="Times New Roman" w:hAnsi="Times New Roman"/>
      <w:b/>
      <w:bCs/>
    </w:rPr>
  </w:style>
  <w:style w:type="character" w:styleId="Lienhypertextesuivivisit">
    <w:name w:val="FollowedHyperlink"/>
    <w:basedOn w:val="Policepardfaut"/>
    <w:uiPriority w:val="99"/>
    <w:semiHidden/>
    <w:unhideWhenUsed/>
    <w:rsid w:val="00441CCB"/>
    <w:rPr>
      <w:color w:val="800080" w:themeColor="followedHyperlink"/>
      <w:u w:val="single"/>
    </w:rPr>
  </w:style>
  <w:style w:type="character" w:styleId="Mentionnonrsolue">
    <w:name w:val="Unresolved Mention"/>
    <w:basedOn w:val="Policepardfaut"/>
    <w:uiPriority w:val="99"/>
    <w:semiHidden/>
    <w:unhideWhenUsed/>
    <w:rsid w:val="00BA206A"/>
    <w:rPr>
      <w:color w:val="605E5C"/>
      <w:shd w:val="clear" w:color="auto" w:fill="E1DFDD"/>
    </w:rPr>
  </w:style>
  <w:style w:type="paragraph" w:styleId="Sansinterligne">
    <w:name w:val="No Spacing"/>
    <w:uiPriority w:val="1"/>
    <w:qFormat/>
    <w:rsid w:val="00655404"/>
    <w:rPr>
      <w:rFonts w:ascii="Times New Roman" w:eastAsia="Times New Roman" w:hAnsi="Times New Roman"/>
      <w:sz w:val="24"/>
      <w:szCs w:val="24"/>
    </w:rPr>
  </w:style>
  <w:style w:type="paragraph" w:customStyle="1" w:styleId="Style1">
    <w:name w:val="Style1"/>
    <w:basedOn w:val="Normal"/>
    <w:link w:val="Style1Char"/>
    <w:qFormat/>
    <w:rsid w:val="00655404"/>
    <w:pPr>
      <w:tabs>
        <w:tab w:val="left" w:pos="1134"/>
        <w:tab w:val="left" w:pos="1701"/>
        <w:tab w:val="left" w:pos="2268"/>
      </w:tabs>
      <w:spacing w:before="120" w:after="120"/>
      <w:jc w:val="both"/>
    </w:pPr>
    <w:rPr>
      <w:rFonts w:ascii="Arial" w:hAnsi="Arial" w:cs="Arial"/>
      <w:sz w:val="22"/>
      <w:szCs w:val="22"/>
    </w:rPr>
  </w:style>
  <w:style w:type="character" w:customStyle="1" w:styleId="Style1Char">
    <w:name w:val="Style1 Char"/>
    <w:basedOn w:val="Policepardfaut"/>
    <w:link w:val="Style1"/>
    <w:rsid w:val="00655404"/>
    <w:rPr>
      <w:rFonts w:ascii="Arial" w:eastAsia="Times New Roman" w:hAnsi="Arial" w:cs="Arial"/>
      <w:sz w:val="22"/>
      <w:szCs w:val="22"/>
    </w:rPr>
  </w:style>
  <w:style w:type="paragraph" w:customStyle="1" w:styleId="ABSTRACTS">
    <w:name w:val="ABSTRACTS"/>
    <w:qFormat/>
    <w:rsid w:val="008847A1"/>
    <w:pPr>
      <w:spacing w:after="120"/>
      <w:ind w:left="1143"/>
      <w:jc w:val="both"/>
    </w:pPr>
    <w:rPr>
      <w:rFonts w:ascii="Arial" w:eastAsia="Times New Roman"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18579">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17274197">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37388310">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2-17.COM_3.BUR-Decisions-EN.docx" TargetMode="External"/><Relationship Id="rId13" Type="http://schemas.openxmlformats.org/officeDocument/2006/relationships/hyperlink" Target="https://ich.unesco.org/en/ukraine-request-17com-4bur-01262"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en/ukraine-request-17com-3bur-0125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2-17.COM_3.BUR-Decisions-EN.docx" TargetMode="External"/><Relationship Id="rId5" Type="http://schemas.openxmlformats.org/officeDocument/2006/relationships/webSettings" Target="webSettings.xml"/><Relationship Id="rId15" Type="http://schemas.openxmlformats.org/officeDocument/2006/relationships/hyperlink" Target="https://ich.unesco.org/doc/src/LHE-22-17.COM_3.BUR-Decisions-EN.docx" TargetMode="External"/><Relationship Id="rId10" Type="http://schemas.openxmlformats.org/officeDocument/2006/relationships/hyperlink" Target="https://ich.unesco.org/doc/src/LHE-22-17.COM_3.BUR-Decisions-EN.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doc/src/LHE-22-17.COM_3.BUR-3-EN.docx" TargetMode="External"/><Relationship Id="rId14" Type="http://schemas.openxmlformats.org/officeDocument/2006/relationships/hyperlink" Target="https://ich.unesco.org/doc/src/LHE-22-17.COM_3.BUR-Decisions-EN.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143</TotalTime>
  <Pages>7</Pages>
  <Words>2944</Words>
  <Characters>16192</Characters>
  <Application>Microsoft Office Word</Application>
  <DocSecurity>0</DocSecurity>
  <Lines>134</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78</cp:revision>
  <cp:lastPrinted>2022-06-09T15:19:00Z</cp:lastPrinted>
  <dcterms:created xsi:type="dcterms:W3CDTF">2022-06-21T16:33:00Z</dcterms:created>
  <dcterms:modified xsi:type="dcterms:W3CDTF">2022-06-21T23:07:00Z</dcterms:modified>
</cp:coreProperties>
</file>