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3492" w:type="pct"/>
        <w:tblBorders>
          <w:left w:val="single" w:sz="12" w:space="0" w:color="4F81BD" w:themeColor="accent1"/>
        </w:tblBorders>
        <w:tblCellMar>
          <w:left w:w="144" w:type="dxa"/>
          <w:right w:w="115" w:type="dxa"/>
        </w:tblCellMar>
        <w:tblLook w:val="04A0" w:firstRow="1" w:lastRow="0" w:firstColumn="1" w:lastColumn="0" w:noHBand="0" w:noVBand="1"/>
      </w:tblPr>
      <w:tblGrid>
        <w:gridCol w:w="6721"/>
      </w:tblGrid>
      <w:tr w:rsidR="00F10319" w:rsidRPr="0037245B" w14:paraId="341E0886" w14:textId="77777777" w:rsidTr="00110952">
        <w:trPr>
          <w:trHeight w:val="317"/>
        </w:trPr>
        <w:sdt>
          <w:sdtPr>
            <w:rPr>
              <w:rFonts w:ascii="Arial" w:hAnsi="Arial" w:cs="Arial"/>
              <w:color w:val="365F91" w:themeColor="accent1" w:themeShade="BF"/>
              <w:sz w:val="24"/>
              <w:szCs w:val="24"/>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720" w:type="dxa"/>
                <w:tcMar>
                  <w:top w:w="216" w:type="dxa"/>
                  <w:left w:w="115" w:type="dxa"/>
                  <w:bottom w:w="216" w:type="dxa"/>
                  <w:right w:w="115" w:type="dxa"/>
                </w:tcMar>
              </w:tcPr>
              <w:p w14:paraId="0F5467C7" w14:textId="6D0AB7C8" w:rsidR="00F10319" w:rsidRPr="00E375ED" w:rsidRDefault="00BD13C9" w:rsidP="007B4429">
                <w:pPr>
                  <w:pStyle w:val="NoSpacing"/>
                  <w:rPr>
                    <w:rFonts w:ascii="Arial" w:hAnsi="Arial" w:cs="Arial"/>
                    <w:color w:val="365F91" w:themeColor="accent1" w:themeShade="BF"/>
                    <w:sz w:val="24"/>
                  </w:rPr>
                </w:pPr>
                <w:r w:rsidRPr="00E375ED">
                  <w:rPr>
                    <w:rFonts w:ascii="Arial" w:hAnsi="Arial" w:cs="Arial"/>
                    <w:color w:val="365F91" w:themeColor="accent1" w:themeShade="BF"/>
                    <w:sz w:val="24"/>
                    <w:szCs w:val="24"/>
                  </w:rPr>
                  <w:t xml:space="preserve">POINT </w:t>
                </w:r>
                <w:r>
                  <w:rPr>
                    <w:rFonts w:ascii="Arial" w:hAnsi="Arial" w:cs="Arial"/>
                    <w:color w:val="365F91" w:themeColor="accent1" w:themeShade="BF"/>
                    <w:sz w:val="24"/>
                    <w:szCs w:val="24"/>
                  </w:rPr>
                  <w:t>7</w:t>
                </w:r>
                <w:r w:rsidRPr="00E375ED">
                  <w:rPr>
                    <w:rFonts w:ascii="Arial" w:hAnsi="Arial" w:cs="Arial"/>
                    <w:color w:val="365F91" w:themeColor="accent1" w:themeShade="BF"/>
                    <w:sz w:val="24"/>
                    <w:szCs w:val="24"/>
                  </w:rPr>
                  <w:t>.D DE L</w:t>
                </w:r>
                <w:r>
                  <w:rPr>
                    <w:rFonts w:ascii="Arial" w:hAnsi="Arial" w:cs="Arial"/>
                    <w:color w:val="365F91" w:themeColor="accent1" w:themeShade="BF"/>
                    <w:sz w:val="24"/>
                    <w:szCs w:val="24"/>
                  </w:rPr>
                  <w:t>’</w:t>
                </w:r>
                <w:r w:rsidRPr="00E375ED">
                  <w:rPr>
                    <w:rFonts w:ascii="Arial" w:hAnsi="Arial" w:cs="Arial"/>
                    <w:color w:val="365F91" w:themeColor="accent1" w:themeShade="BF"/>
                    <w:sz w:val="24"/>
                    <w:szCs w:val="24"/>
                  </w:rPr>
                  <w:t>ORDRE DU JOUR PROVISOIRE</w:t>
                </w:r>
              </w:p>
            </w:tc>
          </w:sdtContent>
        </w:sdt>
      </w:tr>
      <w:tr w:rsidR="00F10319" w:rsidRPr="0037245B" w14:paraId="654427E3" w14:textId="77777777" w:rsidTr="00110952">
        <w:trPr>
          <w:trHeight w:val="913"/>
        </w:trPr>
        <w:tc>
          <w:tcPr>
            <w:tcW w:w="6720" w:type="dxa"/>
          </w:tcPr>
          <w:sdt>
            <w:sdtPr>
              <w:rPr>
                <w:rFonts w:ascii="Arial" w:eastAsiaTheme="majorEastAsia" w:hAnsi="Arial" w:cs="Arial"/>
                <w:b/>
                <w:bCs/>
                <w:color w:val="4472C4"/>
                <w:sz w:val="40"/>
                <w:szCs w:val="40"/>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151525F5" w:rsidR="00F10319" w:rsidRPr="00E375ED" w:rsidRDefault="00F10319" w:rsidP="007B4429">
                <w:pPr>
                  <w:pStyle w:val="NoSpacing"/>
                  <w:spacing w:line="216" w:lineRule="auto"/>
                  <w:rPr>
                    <w:rFonts w:ascii="Arial" w:eastAsiaTheme="majorEastAsia" w:hAnsi="Arial" w:cs="Arial"/>
                    <w:b/>
                    <w:bCs/>
                    <w:color w:val="4F81BD" w:themeColor="accent1"/>
                    <w:sz w:val="40"/>
                    <w:szCs w:val="40"/>
                  </w:rPr>
                </w:pPr>
                <w:r w:rsidRPr="00E375ED">
                  <w:rPr>
                    <w:rFonts w:ascii="Arial" w:eastAsiaTheme="majorEastAsia" w:hAnsi="Arial" w:cs="Arial"/>
                    <w:b/>
                    <w:bCs/>
                    <w:color w:val="4472C4"/>
                    <w:sz w:val="40"/>
                    <w:szCs w:val="40"/>
                  </w:rPr>
                  <w:t>Exam</w:t>
                </w:r>
                <w:r w:rsidR="008010EE" w:rsidRPr="00E375ED">
                  <w:rPr>
                    <w:rFonts w:ascii="Arial" w:eastAsiaTheme="majorEastAsia" w:hAnsi="Arial" w:cs="Arial"/>
                    <w:b/>
                    <w:bCs/>
                    <w:color w:val="4472C4"/>
                    <w:sz w:val="40"/>
                    <w:szCs w:val="40"/>
                  </w:rPr>
                  <w:t>en des demandes d</w:t>
                </w:r>
                <w:r w:rsidR="0070396D">
                  <w:rPr>
                    <w:rFonts w:ascii="Arial" w:eastAsiaTheme="majorEastAsia" w:hAnsi="Arial" w:cs="Arial"/>
                    <w:b/>
                    <w:bCs/>
                    <w:color w:val="4472C4"/>
                    <w:sz w:val="40"/>
                    <w:szCs w:val="40"/>
                  </w:rPr>
                  <w:t>’</w:t>
                </w:r>
                <w:r w:rsidR="008010EE" w:rsidRPr="00E375ED">
                  <w:rPr>
                    <w:rFonts w:ascii="Arial" w:eastAsiaTheme="majorEastAsia" w:hAnsi="Arial" w:cs="Arial"/>
                    <w:b/>
                    <w:bCs/>
                    <w:color w:val="4472C4"/>
                    <w:sz w:val="40"/>
                    <w:szCs w:val="40"/>
                  </w:rPr>
                  <w:t>assistance internationale</w:t>
                </w:r>
              </w:p>
            </w:sdtContent>
          </w:sdt>
        </w:tc>
      </w:tr>
      <w:tr w:rsidR="00F10319" w:rsidRPr="0037245B" w14:paraId="60F5923E" w14:textId="77777777" w:rsidTr="00110952">
        <w:trPr>
          <w:trHeight w:val="1349"/>
        </w:trPr>
        <w:sdt>
          <w:sdtPr>
            <w:rPr>
              <w:rFonts w:ascii="Arial" w:hAnsi="Arial" w:cs="Arial"/>
              <w:color w:val="365F91" w:themeColor="accent1" w:themeShade="BF"/>
              <w:sz w:val="24"/>
              <w:szCs w:val="24"/>
            </w:rPr>
            <w:alias w:val="Sous-titre"/>
            <w:id w:val="1996529465"/>
            <w:placeholder>
              <w:docPart w:val="E75D4E981FC047B89A2A45945770EBD7"/>
            </w:placeholder>
            <w:dataBinding w:prefixMappings="xmlns:ns0='http://schemas.openxmlformats.org/package/2006/metadata/core-properties' xmlns:ns1='http://purl.org/dc/elements/1.1/'" w:xpath="/ns0:coreProperties[1]/ns1:subject[1]" w:storeItemID="{6C3C8BC8-F283-45AE-878A-BAB7291924A1}"/>
            <w:text/>
          </w:sdtPr>
          <w:sdtEndPr/>
          <w:sdtContent>
            <w:tc>
              <w:tcPr>
                <w:tcW w:w="6720" w:type="dxa"/>
                <w:tcMar>
                  <w:top w:w="216" w:type="dxa"/>
                  <w:left w:w="115" w:type="dxa"/>
                  <w:bottom w:w="216" w:type="dxa"/>
                  <w:right w:w="115" w:type="dxa"/>
                </w:tcMar>
              </w:tcPr>
              <w:p w14:paraId="02BB27E1" w14:textId="38A71E19" w:rsidR="00F10319" w:rsidRPr="00E375ED" w:rsidRDefault="00282882" w:rsidP="007B4429">
                <w:pPr>
                  <w:pStyle w:val="NoSpacing"/>
                  <w:rPr>
                    <w:rFonts w:ascii="Arial" w:hAnsi="Arial" w:cs="Arial"/>
                    <w:color w:val="365F91" w:themeColor="accent1" w:themeShade="BF"/>
                    <w:sz w:val="24"/>
                  </w:rPr>
                </w:pPr>
                <w:r>
                  <w:rPr>
                    <w:rFonts w:ascii="Arial" w:hAnsi="Arial" w:cs="Arial"/>
                    <w:color w:val="365F91" w:themeColor="accent1" w:themeShade="BF"/>
                    <w:sz w:val="24"/>
                    <w:szCs w:val="24"/>
                  </w:rPr>
                  <w:t>Dix-septième session, Comité intergouvernemental de sauvegarde du patrimoine culturel immatériel (Rabat, Royaume du Maroc – du 28 novembre au 3 décembre 2022)</w:t>
                </w:r>
              </w:p>
            </w:tc>
          </w:sdtContent>
        </w:sdt>
      </w:tr>
    </w:tbl>
    <w:tbl>
      <w:tblPr>
        <w:tblpPr w:leftFromText="180" w:rightFromText="180" w:vertAnchor="page" w:horzAnchor="margin" w:tblpXSpec="center" w:tblpY="11011"/>
        <w:tblW w:w="3694" w:type="pct"/>
        <w:tblLook w:val="04A0" w:firstRow="1" w:lastRow="0" w:firstColumn="1" w:lastColumn="0" w:noHBand="0" w:noVBand="1"/>
      </w:tblPr>
      <w:tblGrid>
        <w:gridCol w:w="7087"/>
      </w:tblGrid>
      <w:tr w:rsidR="008D2314" w:rsidRPr="0037245B" w14:paraId="49E6F31A" w14:textId="77777777" w:rsidTr="008D2314">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218DE9A6" w14:textId="77777777" w:rsidR="008D2314" w:rsidRPr="00825C0C" w:rsidRDefault="008D2314" w:rsidP="00825C0C">
            <w:pPr>
              <w:spacing w:after="120"/>
              <w:rPr>
                <w:rFonts w:eastAsia="SimSun" w:cs="Arial"/>
                <w:b/>
                <w:bCs/>
                <w:color w:val="4F81BD" w:themeColor="accent1"/>
                <w:sz w:val="22"/>
                <w:szCs w:val="22"/>
                <w:lang w:val="fr-FR"/>
              </w:rPr>
            </w:pPr>
            <w:r w:rsidRPr="00825C0C">
              <w:rPr>
                <w:rFonts w:eastAsia="SimSun" w:cs="Arial"/>
                <w:b/>
                <w:bCs/>
                <w:color w:val="4F81BD" w:themeColor="accent1"/>
                <w:sz w:val="22"/>
                <w:szCs w:val="22"/>
                <w:lang w:val="fr-FR"/>
              </w:rPr>
              <w:t>Résumé</w:t>
            </w:r>
          </w:p>
          <w:p w14:paraId="027E2687" w14:textId="202B76B9" w:rsidR="008D2314" w:rsidRPr="0037245B" w:rsidRDefault="008D2314" w:rsidP="0037245B">
            <w:pPr>
              <w:pStyle w:val="NoSpacing"/>
              <w:spacing w:after="120"/>
              <w:jc w:val="both"/>
              <w:rPr>
                <w:rFonts w:cs="Arial"/>
                <w:color w:val="4F81BD" w:themeColor="accent1"/>
              </w:rPr>
            </w:pPr>
            <w:r w:rsidRPr="0037245B">
              <w:rPr>
                <w:rFonts w:ascii="Arial" w:hAnsi="Arial" w:cs="Arial"/>
                <w:color w:val="4F81BD" w:themeColor="accent1"/>
              </w:rPr>
              <w:t>Le présent document comprend la recommandation de l</w:t>
            </w:r>
            <w:r w:rsidR="0070396D" w:rsidRPr="0037245B">
              <w:rPr>
                <w:rFonts w:ascii="Arial" w:hAnsi="Arial" w:cs="Arial"/>
                <w:color w:val="4F81BD" w:themeColor="accent1"/>
              </w:rPr>
              <w:t>’</w:t>
            </w:r>
            <w:r w:rsidRPr="0037245B">
              <w:rPr>
                <w:rFonts w:ascii="Arial" w:hAnsi="Arial" w:cs="Arial"/>
                <w:color w:val="4F81BD" w:themeColor="accent1"/>
              </w:rPr>
              <w:t>Organe d</w:t>
            </w:r>
            <w:r w:rsidR="0070396D" w:rsidRPr="0037245B">
              <w:rPr>
                <w:rFonts w:ascii="Arial" w:hAnsi="Arial" w:cs="Arial"/>
                <w:color w:val="4F81BD" w:themeColor="accent1"/>
              </w:rPr>
              <w:t>’</w:t>
            </w:r>
            <w:r w:rsidRPr="0037245B">
              <w:rPr>
                <w:rFonts w:ascii="Arial" w:hAnsi="Arial" w:cs="Arial"/>
                <w:color w:val="4F81BD" w:themeColor="accent1"/>
              </w:rPr>
              <w:t>évaluation concernant une demande d</w:t>
            </w:r>
            <w:r w:rsidR="0070396D" w:rsidRPr="0037245B">
              <w:rPr>
                <w:rFonts w:ascii="Arial" w:hAnsi="Arial" w:cs="Arial"/>
                <w:color w:val="4F81BD" w:themeColor="accent1"/>
              </w:rPr>
              <w:t>’</w:t>
            </w:r>
            <w:r w:rsidRPr="0037245B">
              <w:rPr>
                <w:rFonts w:ascii="Arial" w:hAnsi="Arial" w:cs="Arial"/>
                <w:color w:val="4F81BD" w:themeColor="accent1"/>
              </w:rPr>
              <w:t>assistance internationale (partie A) et un projet de décision pour considération par le Comité (partie B). Un aperçu des dossiers de 202</w:t>
            </w:r>
            <w:r w:rsidR="00D538CC" w:rsidRPr="0037245B">
              <w:rPr>
                <w:rFonts w:ascii="Arial" w:hAnsi="Arial" w:cs="Arial"/>
                <w:color w:val="4F81BD" w:themeColor="accent1"/>
              </w:rPr>
              <w:t>2</w:t>
            </w:r>
            <w:r w:rsidRPr="0037245B">
              <w:rPr>
                <w:rFonts w:ascii="Arial" w:hAnsi="Arial" w:cs="Arial"/>
                <w:color w:val="4F81BD" w:themeColor="accent1"/>
              </w:rPr>
              <w:t xml:space="preserve"> et les méthodes de travail de l</w:t>
            </w:r>
            <w:r w:rsidR="0070396D" w:rsidRPr="0037245B">
              <w:rPr>
                <w:rFonts w:ascii="Arial" w:hAnsi="Arial" w:cs="Arial"/>
                <w:color w:val="4F81BD" w:themeColor="accent1"/>
              </w:rPr>
              <w:t>’</w:t>
            </w:r>
            <w:r w:rsidRPr="0037245B">
              <w:rPr>
                <w:rFonts w:ascii="Arial" w:hAnsi="Arial" w:cs="Arial"/>
                <w:color w:val="4F81BD" w:themeColor="accent1"/>
              </w:rPr>
              <w:t>Organe d</w:t>
            </w:r>
            <w:r w:rsidR="0070396D" w:rsidRPr="0037245B">
              <w:rPr>
                <w:rFonts w:ascii="Arial" w:hAnsi="Arial" w:cs="Arial"/>
                <w:color w:val="4F81BD" w:themeColor="accent1"/>
              </w:rPr>
              <w:t>’</w:t>
            </w:r>
            <w:r w:rsidRPr="0037245B">
              <w:rPr>
                <w:rFonts w:ascii="Arial" w:hAnsi="Arial" w:cs="Arial"/>
                <w:color w:val="4F81BD" w:themeColor="accent1"/>
              </w:rPr>
              <w:t xml:space="preserve">évaluation sont présentés dans le document </w:t>
            </w:r>
            <w:hyperlink r:id="rId8" w:history="1">
              <w:r w:rsidR="00906D12" w:rsidRPr="0037245B">
                <w:rPr>
                  <w:rStyle w:val="Hyperlink"/>
                  <w:rFonts w:ascii="Arial" w:hAnsi="Arial" w:cs="Arial"/>
                </w:rPr>
                <w:t>LHE/22/17.COM/7</w:t>
              </w:r>
            </w:hyperlink>
            <w:r w:rsidRPr="0037245B">
              <w:rPr>
                <w:rFonts w:ascii="Arial" w:hAnsi="Arial" w:cs="Arial"/>
                <w:color w:val="4F81BD" w:themeColor="accent1"/>
              </w:rPr>
              <w:t>.</w:t>
            </w:r>
          </w:p>
          <w:p w14:paraId="3C98B866" w14:textId="4CF234C1" w:rsidR="008D2314" w:rsidRPr="00E375ED" w:rsidRDefault="008D2314" w:rsidP="008D2314">
            <w:pPr>
              <w:pStyle w:val="NoSpacing"/>
              <w:rPr>
                <w:rFonts w:ascii="Arial" w:hAnsi="Arial" w:cs="Arial"/>
                <w:color w:val="4F81BD" w:themeColor="accent1"/>
                <w:sz w:val="28"/>
                <w:szCs w:val="28"/>
              </w:rPr>
            </w:pPr>
            <w:r w:rsidRPr="00825C0C">
              <w:rPr>
                <w:rFonts w:ascii="Arial" w:hAnsi="Arial" w:cs="Arial"/>
                <w:b/>
                <w:bCs/>
                <w:color w:val="4F81BD" w:themeColor="accent1"/>
              </w:rPr>
              <w:t xml:space="preserve">Décision requise </w:t>
            </w:r>
            <w:r w:rsidRPr="00825C0C">
              <w:rPr>
                <w:rFonts w:ascii="Arial" w:hAnsi="Arial" w:cs="Arial"/>
                <w:color w:val="4F81BD" w:themeColor="accent1"/>
              </w:rPr>
              <w:t xml:space="preserve">: paragraphe </w:t>
            </w:r>
            <w:r w:rsidRPr="00E375ED">
              <w:rPr>
                <w:rFonts w:ascii="Arial" w:hAnsi="Arial" w:cs="Arial"/>
                <w:color w:val="4F81BD" w:themeColor="accent1"/>
              </w:rPr>
              <w:t>2</w:t>
            </w:r>
          </w:p>
        </w:tc>
      </w:tr>
    </w:tbl>
    <w:p w14:paraId="56EEBA70" w14:textId="77777777" w:rsidR="008D2314" w:rsidRPr="00E375ED" w:rsidRDefault="00F10319">
      <w:pPr>
        <w:rPr>
          <w:rFonts w:eastAsia="SimSun" w:cs="Arial"/>
          <w:b/>
          <w:sz w:val="22"/>
          <w:szCs w:val="22"/>
          <w:lang w:val="fr-FR" w:eastAsia="zh-CN" w:bidi="en-US"/>
        </w:rPr>
      </w:pPr>
      <w:r w:rsidRPr="00E375ED">
        <w:rPr>
          <w:rFonts w:cs="Arial"/>
          <w:b/>
          <w:lang w:val="fr-FR"/>
        </w:rPr>
        <w:br w:type="page"/>
      </w:r>
    </w:p>
    <w:p w14:paraId="645780AA" w14:textId="71D89D27" w:rsidR="00F10319" w:rsidRPr="00E375ED" w:rsidRDefault="00F10319" w:rsidP="00825C0C">
      <w:pPr>
        <w:pStyle w:val="NoSpacing1"/>
        <w:keepNext/>
        <w:numPr>
          <w:ilvl w:val="0"/>
          <w:numId w:val="40"/>
        </w:numPr>
        <w:tabs>
          <w:tab w:val="left" w:pos="567"/>
        </w:tabs>
        <w:spacing w:after="240"/>
        <w:ind w:left="567" w:hanging="567"/>
        <w:jc w:val="both"/>
        <w:rPr>
          <w:rFonts w:ascii="Arial" w:hAnsi="Arial" w:cs="Arial"/>
          <w:b/>
        </w:rPr>
      </w:pPr>
      <w:bookmarkStart w:id="0" w:name="Recommandation"/>
      <w:r w:rsidRPr="00E375ED">
        <w:rPr>
          <w:rFonts w:ascii="Arial" w:hAnsi="Arial" w:cs="Arial"/>
          <w:b/>
        </w:rPr>
        <w:lastRenderedPageBreak/>
        <w:t>Recomm</w:t>
      </w:r>
      <w:r w:rsidR="008010EE" w:rsidRPr="00E375ED">
        <w:rPr>
          <w:rFonts w:ascii="Arial" w:hAnsi="Arial" w:cs="Arial"/>
          <w:b/>
        </w:rPr>
        <w:t>a</w:t>
      </w:r>
      <w:r w:rsidRPr="00E375ED">
        <w:rPr>
          <w:rFonts w:ascii="Arial" w:hAnsi="Arial" w:cs="Arial"/>
          <w:b/>
        </w:rPr>
        <w:t>ndation</w:t>
      </w:r>
    </w:p>
    <w:p w14:paraId="0B7E1BA8" w14:textId="0EF9EF35" w:rsidR="008010EE" w:rsidRPr="00E375ED" w:rsidRDefault="008010EE" w:rsidP="008010EE">
      <w:pPr>
        <w:pStyle w:val="ListParagraph"/>
        <w:numPr>
          <w:ilvl w:val="0"/>
          <w:numId w:val="41"/>
        </w:numPr>
        <w:spacing w:before="240" w:after="240"/>
        <w:ind w:left="567" w:hanging="567"/>
        <w:jc w:val="both"/>
        <w:rPr>
          <w:rFonts w:ascii="Arial" w:hAnsi="Arial" w:cs="Arial"/>
          <w:snapToGrid w:val="0"/>
          <w:sz w:val="22"/>
          <w:szCs w:val="22"/>
          <w:lang w:val="fr-FR"/>
        </w:rPr>
      </w:pPr>
      <w:bookmarkStart w:id="1" w:name="Recommend_to_refer"/>
      <w:bookmarkStart w:id="2" w:name="Decision_9d1"/>
      <w:bookmarkStart w:id="3" w:name="_DRAFT_DECISION_16.COM"/>
      <w:bookmarkEnd w:id="1"/>
      <w:bookmarkEnd w:id="2"/>
      <w:bookmarkEnd w:id="3"/>
      <w:bookmarkEnd w:id="0"/>
      <w:r w:rsidRPr="00E375ED">
        <w:rPr>
          <w:rFonts w:ascii="Arial" w:hAnsi="Arial" w:cs="Arial"/>
          <w:snapToGrid w:val="0"/>
          <w:sz w:val="22"/>
          <w:szCs w:val="22"/>
          <w:lang w:val="fr-FR"/>
        </w:rPr>
        <w:t>L</w:t>
      </w:r>
      <w:r w:rsidR="0070396D">
        <w:rPr>
          <w:rFonts w:ascii="Arial" w:hAnsi="Arial" w:cs="Arial"/>
          <w:snapToGrid w:val="0"/>
          <w:sz w:val="22"/>
          <w:szCs w:val="22"/>
          <w:lang w:val="fr-FR"/>
        </w:rPr>
        <w:t>’</w:t>
      </w:r>
      <w:r w:rsidRPr="00E375ED">
        <w:rPr>
          <w:rFonts w:ascii="Arial" w:hAnsi="Arial" w:cs="Arial"/>
          <w:snapToGrid w:val="0"/>
          <w:sz w:val="22"/>
          <w:szCs w:val="22"/>
          <w:lang w:val="fr-FR"/>
        </w:rPr>
        <w:t>Organe d</w:t>
      </w:r>
      <w:r w:rsidR="0070396D">
        <w:rPr>
          <w:rFonts w:ascii="Arial" w:hAnsi="Arial" w:cs="Arial"/>
          <w:snapToGrid w:val="0"/>
          <w:sz w:val="22"/>
          <w:szCs w:val="22"/>
          <w:lang w:val="fr-FR"/>
        </w:rPr>
        <w:t>’</w:t>
      </w:r>
      <w:r w:rsidRPr="00E375ED">
        <w:rPr>
          <w:rFonts w:ascii="Arial" w:hAnsi="Arial" w:cs="Arial"/>
          <w:snapToGrid w:val="0"/>
          <w:sz w:val="22"/>
          <w:szCs w:val="22"/>
          <w:lang w:val="fr-FR"/>
        </w:rPr>
        <w:t>évaluation recommande au Comité d</w:t>
      </w:r>
      <w:r w:rsidR="0070396D">
        <w:rPr>
          <w:rFonts w:ascii="Arial" w:hAnsi="Arial" w:cs="Arial"/>
          <w:snapToGrid w:val="0"/>
          <w:sz w:val="22"/>
          <w:szCs w:val="22"/>
          <w:lang w:val="fr-FR"/>
        </w:rPr>
        <w:t>’</w:t>
      </w:r>
      <w:r w:rsidR="0089484D" w:rsidRPr="00E375ED">
        <w:rPr>
          <w:rFonts w:ascii="Arial" w:hAnsi="Arial" w:cs="Arial"/>
          <w:snapToGrid w:val="0"/>
          <w:sz w:val="22"/>
          <w:szCs w:val="22"/>
          <w:lang w:val="fr-FR"/>
        </w:rPr>
        <w:t xml:space="preserve">approuver </w:t>
      </w:r>
      <w:r w:rsidRPr="00E375ED">
        <w:rPr>
          <w:rFonts w:ascii="Arial" w:hAnsi="Arial" w:cs="Arial"/>
          <w:snapToGrid w:val="0"/>
          <w:sz w:val="22"/>
          <w:szCs w:val="22"/>
          <w:lang w:val="fr-FR"/>
        </w:rPr>
        <w:t>la demande</w:t>
      </w:r>
      <w:r w:rsidR="00DA5D79" w:rsidRPr="00E375ED">
        <w:rPr>
          <w:rFonts w:ascii="Arial" w:hAnsi="Arial" w:cs="Arial"/>
          <w:snapToGrid w:val="0"/>
          <w:sz w:val="22"/>
          <w:szCs w:val="22"/>
          <w:lang w:val="fr-FR"/>
        </w:rPr>
        <w:t xml:space="preserve"> d</w:t>
      </w:r>
      <w:r w:rsidR="0070396D">
        <w:rPr>
          <w:rFonts w:ascii="Arial" w:hAnsi="Arial" w:cs="Arial"/>
          <w:snapToGrid w:val="0"/>
          <w:sz w:val="22"/>
          <w:szCs w:val="22"/>
          <w:lang w:val="fr-FR"/>
        </w:rPr>
        <w:t>’</w:t>
      </w:r>
      <w:r w:rsidR="00DA5D79" w:rsidRPr="00E375ED">
        <w:rPr>
          <w:rFonts w:ascii="Arial" w:hAnsi="Arial" w:cs="Arial"/>
          <w:snapToGrid w:val="0"/>
          <w:sz w:val="22"/>
          <w:szCs w:val="22"/>
          <w:lang w:val="fr-FR"/>
        </w:rPr>
        <w:t>assistance internationale</w:t>
      </w:r>
      <w:r w:rsidRPr="00E375ED">
        <w:rPr>
          <w:rFonts w:ascii="Arial" w:hAnsi="Arial" w:cs="Arial"/>
          <w:snapToGrid w:val="0"/>
          <w:sz w:val="22"/>
          <w:szCs w:val="22"/>
          <w:lang w:val="fr-FR"/>
        </w:rPr>
        <w:t xml:space="preserve"> suivante</w:t>
      </w:r>
      <w:r w:rsidR="0089484D" w:rsidRPr="00E375ED">
        <w:rPr>
          <w:rFonts w:ascii="Arial" w:hAnsi="Arial" w:cs="Arial"/>
          <w:snapToGrid w:val="0"/>
          <w:sz w:val="22"/>
          <w:szCs w:val="22"/>
          <w:lang w:val="fr-FR"/>
        </w:rPr>
        <w:t> :</w:t>
      </w:r>
    </w:p>
    <w:tbl>
      <w:tblPr>
        <w:tblW w:w="9067"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8"/>
        <w:gridCol w:w="3112"/>
        <w:gridCol w:w="1703"/>
        <w:gridCol w:w="1132"/>
      </w:tblGrid>
      <w:tr w:rsidR="0070396D" w:rsidRPr="00E375ED" w14:paraId="09C1184D" w14:textId="77777777" w:rsidTr="00FB7C92">
        <w:trPr>
          <w:cantSplit/>
          <w:tblHeader/>
        </w:trPr>
        <w:tc>
          <w:tcPr>
            <w:tcW w:w="939" w:type="pct"/>
            <w:shd w:val="clear" w:color="auto" w:fill="BFBFBF"/>
            <w:vAlign w:val="center"/>
          </w:tcPr>
          <w:p w14:paraId="7FF7B6EC" w14:textId="77777777" w:rsidR="0070396D" w:rsidRPr="00E375ED" w:rsidRDefault="0070396D" w:rsidP="00044118">
            <w:pPr>
              <w:spacing w:before="120" w:after="120"/>
              <w:jc w:val="center"/>
              <w:rPr>
                <w:rFonts w:cs="Arial"/>
                <w:b/>
                <w:bCs/>
                <w:sz w:val="22"/>
                <w:szCs w:val="22"/>
                <w:lang w:val="fr-FR" w:eastAsia="en-GB"/>
              </w:rPr>
            </w:pPr>
            <w:r w:rsidRPr="00E375ED">
              <w:rPr>
                <w:rFonts w:cs="Arial"/>
                <w:b/>
                <w:bCs/>
                <w:sz w:val="22"/>
                <w:szCs w:val="22"/>
                <w:lang w:val="fr-FR" w:eastAsia="en-GB"/>
              </w:rPr>
              <w:t>Projet de décision</w:t>
            </w:r>
          </w:p>
        </w:tc>
        <w:tc>
          <w:tcPr>
            <w:tcW w:w="782" w:type="pct"/>
            <w:shd w:val="clear" w:color="auto" w:fill="BFBFBF"/>
            <w:vAlign w:val="center"/>
          </w:tcPr>
          <w:p w14:paraId="5D317318" w14:textId="77777777" w:rsidR="0070396D" w:rsidRPr="00E375ED" w:rsidRDefault="0070396D" w:rsidP="00044118">
            <w:pPr>
              <w:spacing w:before="120" w:after="120"/>
              <w:jc w:val="center"/>
              <w:rPr>
                <w:rFonts w:cs="Arial"/>
                <w:sz w:val="22"/>
                <w:szCs w:val="22"/>
                <w:lang w:val="fr-FR"/>
              </w:rPr>
            </w:pPr>
            <w:r w:rsidRPr="00E375ED">
              <w:rPr>
                <w:rFonts w:cs="Arial"/>
                <w:b/>
                <w:bCs/>
                <w:sz w:val="22"/>
                <w:szCs w:val="22"/>
                <w:lang w:val="fr-FR" w:eastAsia="en-GB"/>
              </w:rPr>
              <w:t>État demandeur</w:t>
            </w:r>
          </w:p>
        </w:tc>
        <w:tc>
          <w:tcPr>
            <w:tcW w:w="1716" w:type="pct"/>
            <w:shd w:val="clear" w:color="auto" w:fill="BFBFBF"/>
            <w:vAlign w:val="center"/>
          </w:tcPr>
          <w:p w14:paraId="4D194732" w14:textId="77777777" w:rsidR="0070396D" w:rsidRPr="00E375ED" w:rsidRDefault="0070396D" w:rsidP="00044118">
            <w:pPr>
              <w:spacing w:before="120" w:after="120"/>
              <w:jc w:val="center"/>
              <w:rPr>
                <w:rFonts w:cs="Arial"/>
                <w:sz w:val="22"/>
                <w:szCs w:val="22"/>
                <w:lang w:val="fr-FR"/>
              </w:rPr>
            </w:pPr>
            <w:r w:rsidRPr="00E375ED">
              <w:rPr>
                <w:rFonts w:cs="Arial"/>
                <w:b/>
                <w:bCs/>
                <w:sz w:val="22"/>
                <w:szCs w:val="22"/>
                <w:lang w:val="fr-FR" w:eastAsia="en-GB"/>
              </w:rPr>
              <w:t>Titre</w:t>
            </w:r>
          </w:p>
        </w:tc>
        <w:tc>
          <w:tcPr>
            <w:tcW w:w="939" w:type="pct"/>
            <w:shd w:val="clear" w:color="auto" w:fill="BFBFBF"/>
            <w:vAlign w:val="center"/>
          </w:tcPr>
          <w:p w14:paraId="5DCD1D15" w14:textId="77777777" w:rsidR="0070396D" w:rsidRPr="00E375ED" w:rsidRDefault="0070396D" w:rsidP="00044118">
            <w:pPr>
              <w:spacing w:before="120" w:after="120"/>
              <w:jc w:val="center"/>
              <w:rPr>
                <w:rFonts w:cs="Arial"/>
                <w:b/>
                <w:bCs/>
                <w:sz w:val="22"/>
                <w:szCs w:val="22"/>
                <w:lang w:val="fr-FR" w:eastAsia="en-GB"/>
              </w:rPr>
            </w:pPr>
            <w:r w:rsidRPr="00E375ED">
              <w:rPr>
                <w:rFonts w:cs="Arial"/>
                <w:b/>
                <w:bCs/>
                <w:sz w:val="22"/>
                <w:szCs w:val="22"/>
                <w:lang w:val="fr-FR" w:eastAsia="en-GB"/>
              </w:rPr>
              <w:t>Montant demandé</w:t>
            </w:r>
          </w:p>
        </w:tc>
        <w:tc>
          <w:tcPr>
            <w:tcW w:w="624" w:type="pct"/>
            <w:shd w:val="clear" w:color="auto" w:fill="BFBFBF"/>
            <w:vAlign w:val="center"/>
          </w:tcPr>
          <w:p w14:paraId="20E19941" w14:textId="4BB780A4" w:rsidR="0070396D" w:rsidRPr="00E375ED" w:rsidRDefault="0070396D" w:rsidP="00044118">
            <w:pPr>
              <w:spacing w:before="120" w:after="120"/>
              <w:jc w:val="center"/>
              <w:rPr>
                <w:rFonts w:cs="Arial"/>
                <w:sz w:val="22"/>
                <w:szCs w:val="22"/>
                <w:lang w:val="fr-FR"/>
              </w:rPr>
            </w:pPr>
            <w:r w:rsidRPr="00E375ED">
              <w:rPr>
                <w:rFonts w:cs="Arial"/>
                <w:b/>
                <w:bCs/>
                <w:sz w:val="22"/>
                <w:szCs w:val="22"/>
                <w:lang w:val="fr-FR" w:eastAsia="en-GB"/>
              </w:rPr>
              <w:t>Dossier n°</w:t>
            </w:r>
          </w:p>
        </w:tc>
      </w:tr>
      <w:tr w:rsidR="0070396D" w:rsidRPr="00E375ED" w14:paraId="4744B607" w14:textId="77777777" w:rsidTr="00FB7C92">
        <w:trPr>
          <w:cantSplit/>
          <w:tblHeader/>
        </w:trPr>
        <w:tc>
          <w:tcPr>
            <w:tcW w:w="939" w:type="pct"/>
          </w:tcPr>
          <w:p w14:paraId="4FCDF29A" w14:textId="2A19FE30" w:rsidR="0070396D" w:rsidRPr="00E375ED" w:rsidRDefault="0037245B" w:rsidP="00044118">
            <w:pPr>
              <w:spacing w:before="120" w:after="120"/>
              <w:jc w:val="center"/>
              <w:rPr>
                <w:rFonts w:cs="Arial"/>
                <w:color w:val="0000FF"/>
                <w:sz w:val="22"/>
                <w:szCs w:val="22"/>
                <w:u w:val="single"/>
                <w:lang w:val="fr-FR"/>
              </w:rPr>
            </w:pPr>
            <w:hyperlink w:anchor="_PROJET_DE_DÉCISION" w:history="1">
              <w:r w:rsidR="0070396D">
                <w:rPr>
                  <w:rStyle w:val="Hyperlink"/>
                  <w:rFonts w:cs="Arial"/>
                  <w:sz w:val="22"/>
                  <w:szCs w:val="22"/>
                  <w:lang w:val="fr-FR"/>
                </w:rPr>
                <w:t>17.COM 7.d</w:t>
              </w:r>
            </w:hyperlink>
          </w:p>
        </w:tc>
        <w:tc>
          <w:tcPr>
            <w:tcW w:w="782" w:type="pct"/>
          </w:tcPr>
          <w:p w14:paraId="2AE0D35D" w14:textId="0AB83189" w:rsidR="0070396D" w:rsidRPr="00E375ED" w:rsidRDefault="0070396D" w:rsidP="00044118">
            <w:pPr>
              <w:spacing w:before="120" w:after="120"/>
              <w:jc w:val="center"/>
              <w:rPr>
                <w:rFonts w:cs="Arial"/>
                <w:sz w:val="22"/>
                <w:szCs w:val="22"/>
                <w:lang w:val="fr-FR"/>
              </w:rPr>
            </w:pPr>
            <w:r>
              <w:rPr>
                <w:rFonts w:cs="Arial"/>
                <w:sz w:val="22"/>
                <w:szCs w:val="22"/>
                <w:lang w:val="fr-FR"/>
              </w:rPr>
              <w:t>Malawi</w:t>
            </w:r>
          </w:p>
        </w:tc>
        <w:tc>
          <w:tcPr>
            <w:tcW w:w="1716" w:type="pct"/>
          </w:tcPr>
          <w:p w14:paraId="0E197353" w14:textId="7DF7FFC4" w:rsidR="0070396D" w:rsidRPr="00E375ED" w:rsidRDefault="0070396D" w:rsidP="00044118">
            <w:pPr>
              <w:spacing w:before="120" w:after="120"/>
              <w:rPr>
                <w:rFonts w:cs="Arial"/>
                <w:sz w:val="22"/>
                <w:szCs w:val="22"/>
                <w:lang w:val="fr-FR"/>
              </w:rPr>
            </w:pPr>
            <w:r w:rsidRPr="00D538CC">
              <w:rPr>
                <w:rFonts w:cs="Arial"/>
                <w:sz w:val="22"/>
                <w:szCs w:val="22"/>
                <w:lang w:val="fr-FR"/>
              </w:rPr>
              <w:t xml:space="preserve">La sauvegarde de la ludodiversité </w:t>
            </w:r>
            <w:r w:rsidR="00614F13">
              <w:rPr>
                <w:rFonts w:cs="Arial"/>
                <w:sz w:val="22"/>
                <w:szCs w:val="22"/>
                <w:lang w:val="fr-FR"/>
              </w:rPr>
              <w:t>au</w:t>
            </w:r>
            <w:r w:rsidRPr="00D538CC">
              <w:rPr>
                <w:rFonts w:cs="Arial"/>
                <w:sz w:val="22"/>
                <w:szCs w:val="22"/>
                <w:lang w:val="fr-FR"/>
              </w:rPr>
              <w:t xml:space="preserve"> Malawi par l</w:t>
            </w:r>
            <w:r>
              <w:rPr>
                <w:rFonts w:cs="Arial"/>
                <w:sz w:val="22"/>
                <w:szCs w:val="22"/>
                <w:lang w:val="fr-FR"/>
              </w:rPr>
              <w:t>’</w:t>
            </w:r>
            <w:r w:rsidRPr="00D538CC">
              <w:rPr>
                <w:rFonts w:cs="Arial"/>
                <w:sz w:val="22"/>
                <w:szCs w:val="22"/>
                <w:lang w:val="fr-FR"/>
              </w:rPr>
              <w:t>éducation formelle et non formelle</w:t>
            </w:r>
          </w:p>
        </w:tc>
        <w:tc>
          <w:tcPr>
            <w:tcW w:w="939" w:type="pct"/>
          </w:tcPr>
          <w:p w14:paraId="0169F725" w14:textId="1645EBF8" w:rsidR="0070396D" w:rsidRPr="00E375ED" w:rsidRDefault="0070396D" w:rsidP="00044118">
            <w:pPr>
              <w:spacing w:before="120" w:after="120"/>
              <w:jc w:val="center"/>
              <w:rPr>
                <w:rFonts w:cs="Arial"/>
                <w:sz w:val="22"/>
                <w:szCs w:val="22"/>
                <w:lang w:val="fr-FR"/>
              </w:rPr>
            </w:pPr>
            <w:r>
              <w:rPr>
                <w:rFonts w:cs="Arial"/>
                <w:sz w:val="22"/>
                <w:szCs w:val="22"/>
                <w:lang w:val="fr-FR"/>
              </w:rPr>
              <w:t>305 144</w:t>
            </w:r>
            <w:r w:rsidRPr="00E375ED">
              <w:rPr>
                <w:rFonts w:cs="Arial"/>
                <w:sz w:val="22"/>
                <w:szCs w:val="22"/>
                <w:lang w:val="fr-FR"/>
              </w:rPr>
              <w:t xml:space="preserve"> dollars des </w:t>
            </w:r>
            <w:r>
              <w:rPr>
                <w:rFonts w:cs="Arial"/>
                <w:sz w:val="22"/>
                <w:szCs w:val="22"/>
                <w:lang w:val="fr-FR"/>
              </w:rPr>
              <w:t>É</w:t>
            </w:r>
            <w:r w:rsidRPr="00E375ED">
              <w:rPr>
                <w:rFonts w:cs="Arial"/>
                <w:sz w:val="22"/>
                <w:szCs w:val="22"/>
                <w:lang w:val="fr-FR"/>
              </w:rPr>
              <w:t>tats-Unis</w:t>
            </w:r>
          </w:p>
        </w:tc>
        <w:tc>
          <w:tcPr>
            <w:tcW w:w="624" w:type="pct"/>
          </w:tcPr>
          <w:p w14:paraId="593AFE90" w14:textId="6D0A70EE" w:rsidR="0070396D" w:rsidRPr="00E375ED" w:rsidRDefault="0037245B" w:rsidP="00044118">
            <w:pPr>
              <w:spacing w:before="120" w:after="120"/>
              <w:jc w:val="center"/>
              <w:rPr>
                <w:rFonts w:cs="Arial"/>
                <w:bCs/>
                <w:sz w:val="22"/>
                <w:szCs w:val="22"/>
                <w:lang w:val="fr-FR" w:eastAsia="en-GB"/>
              </w:rPr>
            </w:pPr>
            <w:hyperlink r:id="rId9" w:history="1">
              <w:r w:rsidR="0070396D" w:rsidRPr="00C671AB">
                <w:rPr>
                  <w:rStyle w:val="Hyperlink"/>
                  <w:rFonts w:cs="Arial"/>
                  <w:sz w:val="22"/>
                  <w:szCs w:val="22"/>
                  <w:lang w:val="fr-FR"/>
                </w:rPr>
                <w:t>01897</w:t>
              </w:r>
            </w:hyperlink>
          </w:p>
        </w:tc>
      </w:tr>
    </w:tbl>
    <w:p w14:paraId="3207F612" w14:textId="77777777" w:rsidR="008010EE" w:rsidRPr="00E375ED" w:rsidRDefault="008010EE" w:rsidP="00DF0BBF">
      <w:pPr>
        <w:pStyle w:val="NoSpacing1"/>
        <w:keepNext/>
        <w:numPr>
          <w:ilvl w:val="0"/>
          <w:numId w:val="40"/>
        </w:numPr>
        <w:tabs>
          <w:tab w:val="left" w:pos="567"/>
        </w:tabs>
        <w:spacing w:before="240" w:after="120"/>
        <w:ind w:left="567" w:hanging="567"/>
        <w:jc w:val="both"/>
        <w:rPr>
          <w:rFonts w:ascii="Arial" w:hAnsi="Arial" w:cs="Arial"/>
          <w:b/>
        </w:rPr>
      </w:pPr>
      <w:r w:rsidRPr="00E375ED">
        <w:rPr>
          <w:rFonts w:ascii="Arial" w:hAnsi="Arial" w:cs="Arial"/>
          <w:b/>
        </w:rPr>
        <w:t>Projet de décision</w:t>
      </w:r>
    </w:p>
    <w:p w14:paraId="176661B7" w14:textId="12EDE680" w:rsidR="008010EE" w:rsidRPr="00E375ED" w:rsidRDefault="008010EE" w:rsidP="008010EE">
      <w:pPr>
        <w:pStyle w:val="ListParagraph"/>
        <w:numPr>
          <w:ilvl w:val="0"/>
          <w:numId w:val="41"/>
        </w:numPr>
        <w:spacing w:before="240" w:after="240"/>
        <w:ind w:left="567" w:hanging="567"/>
        <w:jc w:val="both"/>
        <w:rPr>
          <w:rFonts w:ascii="Arial" w:hAnsi="Arial" w:cs="Arial"/>
          <w:snapToGrid w:val="0"/>
          <w:sz w:val="22"/>
          <w:szCs w:val="22"/>
          <w:lang w:val="fr-FR"/>
        </w:rPr>
      </w:pPr>
      <w:bookmarkStart w:id="4" w:name="_DRAFT_DECISION_10.COM"/>
      <w:bookmarkEnd w:id="4"/>
      <w:r w:rsidRPr="00E375ED">
        <w:rPr>
          <w:rFonts w:ascii="Arial" w:hAnsi="Arial" w:cs="Arial"/>
          <w:snapToGrid w:val="0"/>
          <w:sz w:val="22"/>
          <w:szCs w:val="22"/>
          <w:lang w:val="fr-FR"/>
        </w:rPr>
        <w:t xml:space="preserve">Le Comité souhaitera peut-être adopter la décision suivante : </w:t>
      </w:r>
    </w:p>
    <w:p w14:paraId="7E658286" w14:textId="2AD90F03" w:rsidR="008010EE" w:rsidRPr="00E375ED" w:rsidRDefault="008010EE" w:rsidP="00DF0BBF">
      <w:pPr>
        <w:pStyle w:val="Heading2"/>
        <w:numPr>
          <w:ilvl w:val="0"/>
          <w:numId w:val="33"/>
        </w:numPr>
        <w:spacing w:before="240" w:after="120"/>
        <w:ind w:left="567"/>
        <w:rPr>
          <w:b/>
          <w:bCs/>
          <w:sz w:val="22"/>
          <w:szCs w:val="22"/>
          <w:lang w:val="fr-FR"/>
        </w:rPr>
      </w:pPr>
      <w:bookmarkStart w:id="5" w:name="_PROJET_DE_DÉCISION"/>
      <w:bookmarkEnd w:id="5"/>
      <w:r w:rsidRPr="00E375ED">
        <w:rPr>
          <w:b/>
          <w:bCs/>
          <w:sz w:val="22"/>
          <w:szCs w:val="22"/>
          <w:lang w:val="fr-FR"/>
        </w:rPr>
        <w:t>PROJET DE DÉCISION 1</w:t>
      </w:r>
      <w:r w:rsidR="00D538CC">
        <w:rPr>
          <w:b/>
          <w:bCs/>
          <w:sz w:val="22"/>
          <w:szCs w:val="22"/>
          <w:lang w:val="fr-FR"/>
        </w:rPr>
        <w:t>7</w:t>
      </w:r>
      <w:r w:rsidRPr="00E375ED">
        <w:rPr>
          <w:b/>
          <w:bCs/>
          <w:sz w:val="22"/>
          <w:szCs w:val="22"/>
          <w:lang w:val="fr-FR"/>
        </w:rPr>
        <w:t xml:space="preserve">.COM </w:t>
      </w:r>
      <w:r w:rsidR="00906D12">
        <w:rPr>
          <w:b/>
          <w:bCs/>
          <w:sz w:val="22"/>
          <w:szCs w:val="22"/>
          <w:lang w:val="fr-FR"/>
        </w:rPr>
        <w:t>7</w:t>
      </w:r>
      <w:r w:rsidRPr="00E375ED">
        <w:rPr>
          <w:b/>
          <w:bCs/>
          <w:sz w:val="22"/>
          <w:szCs w:val="22"/>
          <w:lang w:val="fr-FR"/>
        </w:rPr>
        <w:t>.d</w:t>
      </w:r>
      <w:r w:rsidR="009B79A0" w:rsidRPr="00E375ED">
        <w:rPr>
          <w:lang w:val="fr-FR"/>
        </w:rPr>
        <w:tab/>
      </w:r>
      <w:r w:rsidR="009B79A0" w:rsidRPr="00825C0C">
        <w:rPr>
          <w:noProof/>
          <w:sz w:val="22"/>
          <w:szCs w:val="22"/>
          <w:lang w:val="fr-FR" w:eastAsia="ja-JP"/>
        </w:rPr>
        <w:drawing>
          <wp:inline distT="0" distB="0" distL="0" distR="0" wp14:anchorId="2EF16D4F" wp14:editId="69E057AD">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74D49CA" w14:textId="6B2B1F7B" w:rsidR="008010EE" w:rsidRPr="00E375ED" w:rsidRDefault="008010EE" w:rsidP="00F645FD">
      <w:pPr>
        <w:pStyle w:val="NoSpacing"/>
        <w:keepNext/>
        <w:tabs>
          <w:tab w:val="left" w:pos="567"/>
          <w:tab w:val="left" w:pos="1134"/>
          <w:tab w:val="left" w:pos="1701"/>
          <w:tab w:val="left" w:pos="2268"/>
        </w:tabs>
        <w:spacing w:before="120" w:after="120"/>
        <w:ind w:firstLine="567"/>
        <w:jc w:val="both"/>
        <w:rPr>
          <w:rFonts w:ascii="Arial" w:hAnsi="Arial"/>
        </w:rPr>
      </w:pPr>
      <w:r w:rsidRPr="00E375ED">
        <w:rPr>
          <w:rFonts w:ascii="Arial" w:hAnsi="Arial"/>
        </w:rPr>
        <w:t>Le Comité</w:t>
      </w:r>
      <w:r w:rsidR="0037245B">
        <w:rPr>
          <w:rFonts w:ascii="Arial" w:hAnsi="Arial"/>
        </w:rPr>
        <w:t>,</w:t>
      </w:r>
    </w:p>
    <w:p w14:paraId="3AB58D47" w14:textId="44F01CED" w:rsidR="00D538CC" w:rsidRPr="00D538CC" w:rsidRDefault="00D538CC" w:rsidP="00D538CC">
      <w:pPr>
        <w:pStyle w:val="Style1"/>
        <w:numPr>
          <w:ilvl w:val="1"/>
          <w:numId w:val="33"/>
        </w:numPr>
        <w:ind w:left="1143"/>
        <w:rPr>
          <w:lang w:val="fr-FR"/>
        </w:rPr>
      </w:pPr>
      <w:r w:rsidRPr="00D538CC">
        <w:rPr>
          <w:u w:val="single"/>
          <w:lang w:val="fr-FR"/>
        </w:rPr>
        <w:t>Rappelant</w:t>
      </w:r>
      <w:r w:rsidRPr="00D538CC">
        <w:rPr>
          <w:lang w:val="fr-FR"/>
        </w:rPr>
        <w:t xml:space="preserve"> l</w:t>
      </w:r>
      <w:r w:rsidR="0070396D">
        <w:rPr>
          <w:lang w:val="fr-FR"/>
        </w:rPr>
        <w:t>’</w:t>
      </w:r>
      <w:r w:rsidRPr="00D538CC">
        <w:rPr>
          <w:lang w:val="fr-FR"/>
        </w:rPr>
        <w:t xml:space="preserve">article 23 de la Convention ainsi que le chapitre I.4 des Directives opérationnelles </w:t>
      </w:r>
      <w:r w:rsidR="00BD13C9">
        <w:rPr>
          <w:lang w:val="fr-FR"/>
        </w:rPr>
        <w:t>relatives</w:t>
      </w:r>
      <w:r w:rsidRPr="00D538CC">
        <w:rPr>
          <w:lang w:val="fr-FR"/>
        </w:rPr>
        <w:t xml:space="preserve"> </w:t>
      </w:r>
      <w:r w:rsidR="00BD13C9">
        <w:rPr>
          <w:lang w:val="fr-FR"/>
        </w:rPr>
        <w:t>à</w:t>
      </w:r>
      <w:r w:rsidRPr="00D538CC">
        <w:rPr>
          <w:lang w:val="fr-FR"/>
        </w:rPr>
        <w:t xml:space="preserve"> </w:t>
      </w:r>
      <w:r w:rsidR="00BD13C9">
        <w:rPr>
          <w:lang w:val="fr-FR"/>
        </w:rPr>
        <w:t>l</w:t>
      </w:r>
      <w:r w:rsidR="0070396D">
        <w:rPr>
          <w:lang w:val="fr-FR"/>
        </w:rPr>
        <w:t>’</w:t>
      </w:r>
      <w:r w:rsidRPr="00D538CC">
        <w:rPr>
          <w:lang w:val="fr-FR"/>
        </w:rPr>
        <w:t xml:space="preserve">admissibilité et </w:t>
      </w:r>
      <w:r w:rsidR="00DB031E">
        <w:rPr>
          <w:lang w:val="fr-FR"/>
        </w:rPr>
        <w:t>aux critères</w:t>
      </w:r>
      <w:r w:rsidRPr="00D538CC">
        <w:rPr>
          <w:lang w:val="fr-FR"/>
        </w:rPr>
        <w:t xml:space="preserve"> des demandes d</w:t>
      </w:r>
      <w:r w:rsidR="0070396D">
        <w:rPr>
          <w:lang w:val="fr-FR"/>
        </w:rPr>
        <w:t>’</w:t>
      </w:r>
      <w:r w:rsidRPr="00D538CC">
        <w:rPr>
          <w:lang w:val="fr-FR"/>
        </w:rPr>
        <w:t>assistance internationale,</w:t>
      </w:r>
    </w:p>
    <w:p w14:paraId="61F9A3AC" w14:textId="1B1637EB" w:rsidR="00D538CC" w:rsidRPr="00D538CC" w:rsidRDefault="00D538CC" w:rsidP="00D538CC">
      <w:pPr>
        <w:pStyle w:val="Style1"/>
        <w:numPr>
          <w:ilvl w:val="1"/>
          <w:numId w:val="33"/>
        </w:numPr>
        <w:ind w:left="1143"/>
        <w:rPr>
          <w:lang w:val="fr-FR"/>
        </w:rPr>
      </w:pPr>
      <w:r w:rsidRPr="00D538CC">
        <w:rPr>
          <w:u w:val="single"/>
          <w:lang w:val="fr-FR"/>
        </w:rPr>
        <w:t>Ayant examiné</w:t>
      </w:r>
      <w:r w:rsidRPr="00D538CC">
        <w:rPr>
          <w:lang w:val="fr-FR"/>
        </w:rPr>
        <w:t xml:space="preserve"> le document </w:t>
      </w:r>
      <w:hyperlink r:id="rId12" w:history="1">
        <w:r w:rsidRPr="002925F6">
          <w:rPr>
            <w:lang w:val="fr-FR"/>
          </w:rPr>
          <w:t>LHE/22/17.COM/</w:t>
        </w:r>
        <w:r w:rsidR="00906D12" w:rsidRPr="002925F6">
          <w:rPr>
            <w:lang w:val="fr-FR"/>
          </w:rPr>
          <w:t>7</w:t>
        </w:r>
        <w:r w:rsidRPr="002925F6">
          <w:rPr>
            <w:lang w:val="fr-FR"/>
          </w:rPr>
          <w:t xml:space="preserve">.d </w:t>
        </w:r>
      </w:hyperlink>
      <w:r w:rsidRPr="00D538CC">
        <w:rPr>
          <w:lang w:val="fr-FR"/>
        </w:rPr>
        <w:t>ainsi que la demande d</w:t>
      </w:r>
      <w:r w:rsidR="0070396D">
        <w:rPr>
          <w:lang w:val="fr-FR"/>
        </w:rPr>
        <w:t>’</w:t>
      </w:r>
      <w:r w:rsidRPr="00D538CC">
        <w:rPr>
          <w:lang w:val="fr-FR"/>
        </w:rPr>
        <w:t>assistance internationale n° 01897 soumise par le Malawi,</w:t>
      </w:r>
    </w:p>
    <w:p w14:paraId="4108F73E" w14:textId="44E412A6" w:rsidR="00D538CC" w:rsidRPr="00D538CC" w:rsidRDefault="00D538CC" w:rsidP="00D538CC">
      <w:pPr>
        <w:pStyle w:val="Style1"/>
        <w:numPr>
          <w:ilvl w:val="1"/>
          <w:numId w:val="33"/>
        </w:numPr>
        <w:ind w:left="1143"/>
        <w:rPr>
          <w:lang w:val="fr-FR"/>
        </w:rPr>
      </w:pPr>
      <w:r w:rsidRPr="00D538CC">
        <w:rPr>
          <w:u w:val="single"/>
          <w:lang w:val="fr-FR"/>
        </w:rPr>
        <w:t>Prend note</w:t>
      </w:r>
      <w:r w:rsidRPr="00D538CC">
        <w:rPr>
          <w:lang w:val="fr-FR"/>
        </w:rPr>
        <w:t xml:space="preserve"> que le Malawi a demandé une assistance internationale pour le projet intitulé </w:t>
      </w:r>
      <w:r w:rsidRPr="00D538CC">
        <w:rPr>
          <w:b/>
          <w:lang w:val="fr-FR"/>
        </w:rPr>
        <w:t xml:space="preserve">La sauvegarde de la ludodiversité </w:t>
      </w:r>
      <w:r w:rsidR="00614F13">
        <w:rPr>
          <w:b/>
          <w:lang w:val="fr-FR"/>
        </w:rPr>
        <w:t>a</w:t>
      </w:r>
      <w:r w:rsidRPr="00D538CC">
        <w:rPr>
          <w:b/>
          <w:lang w:val="fr-FR"/>
        </w:rPr>
        <w:t>u Malawi par l</w:t>
      </w:r>
      <w:r w:rsidR="0070396D">
        <w:rPr>
          <w:b/>
          <w:lang w:val="fr-FR"/>
        </w:rPr>
        <w:t>’</w:t>
      </w:r>
      <w:r w:rsidRPr="00D538CC">
        <w:rPr>
          <w:b/>
          <w:lang w:val="fr-FR"/>
        </w:rPr>
        <w:t>éducation formelle et non formelle</w:t>
      </w:r>
      <w:r w:rsidRPr="00D538CC">
        <w:rPr>
          <w:lang w:val="fr-FR"/>
        </w:rPr>
        <w:t> </w:t>
      </w:r>
      <w:r w:rsidR="00282882">
        <w:rPr>
          <w:lang w:val="fr-FR"/>
        </w:rPr>
        <w:t>:</w:t>
      </w:r>
    </w:p>
    <w:p w14:paraId="1001E5BC" w14:textId="557A532E"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7B6A87">
        <w:rPr>
          <w:sz w:val="22"/>
          <w:lang w:val="fr-FR"/>
        </w:rPr>
        <w:t>L</w:t>
      </w:r>
      <w:r w:rsidR="0070396D">
        <w:rPr>
          <w:sz w:val="22"/>
          <w:lang w:val="fr-FR"/>
        </w:rPr>
        <w:t>’</w:t>
      </w:r>
      <w:r w:rsidRPr="007B6A87">
        <w:rPr>
          <w:sz w:val="22"/>
          <w:lang w:val="fr-FR"/>
        </w:rPr>
        <w:t>objectif de ce projet d</w:t>
      </w:r>
      <w:r w:rsidR="0070396D">
        <w:rPr>
          <w:sz w:val="22"/>
          <w:lang w:val="fr-FR"/>
        </w:rPr>
        <w:t>’</w:t>
      </w:r>
      <w:r w:rsidRPr="007B6A87">
        <w:rPr>
          <w:sz w:val="22"/>
          <w:lang w:val="fr-FR"/>
        </w:rPr>
        <w:t>une durée de trois ans</w:t>
      </w:r>
      <w:r w:rsidR="00282882">
        <w:rPr>
          <w:sz w:val="22"/>
          <w:lang w:val="fr-FR"/>
        </w:rPr>
        <w:t>, qui sera mis en œuvre par la Commission nationale du Malawi pour l</w:t>
      </w:r>
      <w:r w:rsidR="0070396D">
        <w:rPr>
          <w:sz w:val="22"/>
          <w:lang w:val="fr-FR"/>
        </w:rPr>
        <w:t>’</w:t>
      </w:r>
      <w:r w:rsidR="00282882">
        <w:rPr>
          <w:sz w:val="22"/>
          <w:lang w:val="fr-FR"/>
        </w:rPr>
        <w:t>UNESCO,</w:t>
      </w:r>
      <w:r w:rsidRPr="007B6A87">
        <w:rPr>
          <w:sz w:val="22"/>
          <w:lang w:val="fr-FR"/>
        </w:rPr>
        <w:t xml:space="preserve"> est de contribuer à la sauvegarde de la ludodiversité du Malawi </w:t>
      </w:r>
      <w:r w:rsidR="00E805F9">
        <w:rPr>
          <w:sz w:val="22"/>
          <w:lang w:val="fr-FR"/>
        </w:rPr>
        <w:t>par</w:t>
      </w:r>
      <w:r w:rsidRPr="007B6A87">
        <w:rPr>
          <w:sz w:val="22"/>
          <w:lang w:val="fr-FR"/>
        </w:rPr>
        <w:t xml:space="preserve"> l</w:t>
      </w:r>
      <w:r w:rsidR="0070396D">
        <w:rPr>
          <w:sz w:val="22"/>
          <w:lang w:val="fr-FR"/>
        </w:rPr>
        <w:t>’</w:t>
      </w:r>
      <w:r w:rsidRPr="007B6A87">
        <w:rPr>
          <w:sz w:val="22"/>
          <w:lang w:val="fr-FR"/>
        </w:rPr>
        <w:t>apprentissage</w:t>
      </w:r>
      <w:r w:rsidR="00282882">
        <w:rPr>
          <w:sz w:val="22"/>
          <w:lang w:val="fr-FR"/>
        </w:rPr>
        <w:t xml:space="preserve"> informel</w:t>
      </w:r>
      <w:r w:rsidRPr="007B6A87">
        <w:rPr>
          <w:sz w:val="22"/>
          <w:lang w:val="fr-FR"/>
        </w:rPr>
        <w:t xml:space="preserve"> et la transmission de neuf jeux traditionnels </w:t>
      </w:r>
      <w:r w:rsidR="00282882">
        <w:rPr>
          <w:sz w:val="22"/>
          <w:lang w:val="fr-FR"/>
        </w:rPr>
        <w:t>au sein des communautés pratiquantes</w:t>
      </w:r>
      <w:r w:rsidRPr="007B6A87">
        <w:rPr>
          <w:sz w:val="22"/>
          <w:lang w:val="fr-FR"/>
        </w:rPr>
        <w:t xml:space="preserve">. Les neuf jeux ont été identifiés par </w:t>
      </w:r>
      <w:r w:rsidR="00282882">
        <w:rPr>
          <w:sz w:val="22"/>
          <w:lang w:val="fr-FR"/>
        </w:rPr>
        <w:t>d</w:t>
      </w:r>
      <w:r w:rsidR="00282882" w:rsidRPr="007B6A87">
        <w:rPr>
          <w:sz w:val="22"/>
          <w:lang w:val="fr-FR"/>
        </w:rPr>
        <w:t xml:space="preserve">es </w:t>
      </w:r>
      <w:r w:rsidR="00282882">
        <w:rPr>
          <w:sz w:val="22"/>
          <w:lang w:val="fr-FR"/>
        </w:rPr>
        <w:t>praticiens</w:t>
      </w:r>
      <w:r w:rsidR="00282882" w:rsidRPr="007B6A87">
        <w:rPr>
          <w:sz w:val="22"/>
          <w:lang w:val="fr-FR"/>
        </w:rPr>
        <w:t xml:space="preserve"> </w:t>
      </w:r>
      <w:r w:rsidRPr="007B6A87">
        <w:rPr>
          <w:sz w:val="22"/>
          <w:lang w:val="fr-FR"/>
        </w:rPr>
        <w:t>dans trois régions du Malawi</w:t>
      </w:r>
      <w:r w:rsidR="00282882">
        <w:rPr>
          <w:sz w:val="22"/>
          <w:lang w:val="fr-FR"/>
        </w:rPr>
        <w:t xml:space="preserve"> et inclus dans un inventaire de la ludodiversité du Malawi en 2013</w:t>
      </w:r>
      <w:r w:rsidR="00FF4F5D">
        <w:rPr>
          <w:sz w:val="22"/>
          <w:lang w:val="fr-FR"/>
        </w:rPr>
        <w:t xml:space="preserve">, </w:t>
      </w:r>
      <w:r w:rsidR="00FF4F5D" w:rsidRPr="007B6A87">
        <w:rPr>
          <w:sz w:val="22"/>
          <w:lang w:val="fr-FR"/>
        </w:rPr>
        <w:t>le nombre de praticiens</w:t>
      </w:r>
      <w:r w:rsidR="00FF4F5D">
        <w:rPr>
          <w:sz w:val="22"/>
          <w:lang w:val="fr-FR"/>
        </w:rPr>
        <w:t>,</w:t>
      </w:r>
      <w:r w:rsidRPr="007B6A87">
        <w:rPr>
          <w:sz w:val="22"/>
          <w:lang w:val="fr-FR"/>
        </w:rPr>
        <w:t xml:space="preserve"> </w:t>
      </w:r>
      <w:r w:rsidR="00FF4F5D">
        <w:rPr>
          <w:sz w:val="22"/>
          <w:lang w:val="fr-FR"/>
        </w:rPr>
        <w:t>c</w:t>
      </w:r>
      <w:r w:rsidRPr="007B6A87">
        <w:rPr>
          <w:sz w:val="22"/>
          <w:lang w:val="fr-FR"/>
        </w:rPr>
        <w:t xml:space="preserve">ependant, diminue un peu plus chaque année. Le projet vise à produire des </w:t>
      </w:r>
      <w:r w:rsidR="00282882">
        <w:rPr>
          <w:sz w:val="22"/>
          <w:lang w:val="fr-FR"/>
        </w:rPr>
        <w:t>matériaux</w:t>
      </w:r>
      <w:r w:rsidR="00282882" w:rsidRPr="007B6A87">
        <w:rPr>
          <w:sz w:val="22"/>
          <w:lang w:val="fr-FR"/>
        </w:rPr>
        <w:t xml:space="preserve"> </w:t>
      </w:r>
      <w:r w:rsidRPr="007B6A87">
        <w:rPr>
          <w:sz w:val="22"/>
          <w:lang w:val="fr-FR"/>
        </w:rPr>
        <w:t>de référence sous la forme d</w:t>
      </w:r>
      <w:r w:rsidR="0070396D">
        <w:rPr>
          <w:sz w:val="22"/>
          <w:lang w:val="fr-FR"/>
        </w:rPr>
        <w:t>’</w:t>
      </w:r>
      <w:r w:rsidRPr="007B6A87">
        <w:rPr>
          <w:sz w:val="22"/>
          <w:lang w:val="fr-FR"/>
        </w:rPr>
        <w:t xml:space="preserve">un guide et de documentaires audiovisuels décrivant chaque jeu traditionnel, ses règles et ses fonctions sociales. </w:t>
      </w:r>
      <w:r w:rsidR="00282882">
        <w:rPr>
          <w:sz w:val="22"/>
          <w:lang w:val="fr-FR"/>
        </w:rPr>
        <w:t>Ces matériaux</w:t>
      </w:r>
      <w:r w:rsidRPr="007B6A87">
        <w:rPr>
          <w:sz w:val="22"/>
          <w:lang w:val="fr-FR"/>
        </w:rPr>
        <w:t xml:space="preserve"> s</w:t>
      </w:r>
      <w:r w:rsidR="0070396D">
        <w:rPr>
          <w:sz w:val="22"/>
          <w:lang w:val="fr-FR"/>
        </w:rPr>
        <w:t>’</w:t>
      </w:r>
      <w:r w:rsidRPr="007B6A87">
        <w:rPr>
          <w:sz w:val="22"/>
          <w:lang w:val="fr-FR"/>
        </w:rPr>
        <w:t>appuieront sur des consultations menées auprès des communautés pratiquant les jeux et d</w:t>
      </w:r>
      <w:r w:rsidR="0070396D">
        <w:rPr>
          <w:sz w:val="22"/>
          <w:lang w:val="fr-FR"/>
        </w:rPr>
        <w:t>’</w:t>
      </w:r>
      <w:r w:rsidRPr="007B6A87">
        <w:rPr>
          <w:sz w:val="22"/>
          <w:lang w:val="fr-FR"/>
        </w:rPr>
        <w:t xml:space="preserve">experts du développement des sports afin de parvenir à un consensus sur les règles applicables à chaque jeu. </w:t>
      </w:r>
      <w:r w:rsidR="00282882">
        <w:rPr>
          <w:sz w:val="22"/>
          <w:lang w:val="fr-FR"/>
        </w:rPr>
        <w:t>En outre, u</w:t>
      </w:r>
      <w:r w:rsidRPr="007B6A87">
        <w:rPr>
          <w:sz w:val="22"/>
          <w:lang w:val="fr-FR"/>
        </w:rPr>
        <w:t xml:space="preserve">n projet </w:t>
      </w:r>
      <w:r w:rsidR="00FF4F5D">
        <w:rPr>
          <w:sz w:val="22"/>
          <w:lang w:val="fr-FR"/>
        </w:rPr>
        <w:t>curriculaire</w:t>
      </w:r>
      <w:r w:rsidRPr="007B6A87">
        <w:rPr>
          <w:sz w:val="22"/>
          <w:lang w:val="fr-FR"/>
        </w:rPr>
        <w:t xml:space="preserve"> sera </w:t>
      </w:r>
      <w:r w:rsidR="004E510A">
        <w:rPr>
          <w:sz w:val="22"/>
          <w:lang w:val="fr-FR"/>
        </w:rPr>
        <w:t>élaboré</w:t>
      </w:r>
      <w:r w:rsidR="004E510A" w:rsidRPr="007B6A87">
        <w:rPr>
          <w:sz w:val="22"/>
          <w:lang w:val="fr-FR"/>
        </w:rPr>
        <w:t xml:space="preserve"> </w:t>
      </w:r>
      <w:r w:rsidR="004E510A">
        <w:rPr>
          <w:sz w:val="22"/>
          <w:lang w:val="fr-FR"/>
        </w:rPr>
        <w:t>afin d</w:t>
      </w:r>
      <w:r w:rsidR="0070396D">
        <w:rPr>
          <w:sz w:val="22"/>
          <w:lang w:val="fr-FR"/>
        </w:rPr>
        <w:t>’</w:t>
      </w:r>
      <w:r w:rsidR="00FF4F5D">
        <w:rPr>
          <w:sz w:val="22"/>
          <w:lang w:val="fr-FR"/>
        </w:rPr>
        <w:t>enrichir</w:t>
      </w:r>
      <w:r w:rsidRPr="007B6A87">
        <w:rPr>
          <w:sz w:val="22"/>
          <w:lang w:val="fr-FR"/>
        </w:rPr>
        <w:t xml:space="preserve"> </w:t>
      </w:r>
      <w:r w:rsidR="00FF4F5D" w:rsidRPr="007B6A87">
        <w:rPr>
          <w:sz w:val="22"/>
          <w:lang w:val="fr-FR"/>
        </w:rPr>
        <w:t>la formation d</w:t>
      </w:r>
      <w:r w:rsidR="00FF4F5D">
        <w:rPr>
          <w:sz w:val="22"/>
          <w:lang w:val="fr-FR"/>
        </w:rPr>
        <w:t xml:space="preserve">es </w:t>
      </w:r>
      <w:r w:rsidR="00FF4F5D" w:rsidRPr="007B6A87">
        <w:rPr>
          <w:sz w:val="22"/>
          <w:lang w:val="fr-FR"/>
        </w:rPr>
        <w:t xml:space="preserve">enseignants </w:t>
      </w:r>
      <w:r w:rsidR="00FF4F5D">
        <w:rPr>
          <w:sz w:val="22"/>
          <w:lang w:val="fr-FR"/>
        </w:rPr>
        <w:t>aux</w:t>
      </w:r>
      <w:r w:rsidRPr="007B6A87">
        <w:rPr>
          <w:sz w:val="22"/>
          <w:lang w:val="fr-FR"/>
        </w:rPr>
        <w:t xml:space="preserve"> cursus </w:t>
      </w:r>
      <w:r w:rsidR="004E510A">
        <w:rPr>
          <w:sz w:val="22"/>
          <w:lang w:val="fr-FR"/>
        </w:rPr>
        <w:t>des arts expressifs</w:t>
      </w:r>
      <w:r w:rsidR="004E510A" w:rsidRPr="007B6A87">
        <w:rPr>
          <w:sz w:val="22"/>
          <w:lang w:val="fr-FR"/>
        </w:rPr>
        <w:t xml:space="preserve"> </w:t>
      </w:r>
      <w:r w:rsidRPr="007B6A87">
        <w:rPr>
          <w:sz w:val="22"/>
          <w:lang w:val="fr-FR"/>
        </w:rPr>
        <w:t>et d</w:t>
      </w:r>
      <w:r w:rsidR="0070396D">
        <w:rPr>
          <w:sz w:val="22"/>
          <w:lang w:val="fr-FR"/>
        </w:rPr>
        <w:t>’</w:t>
      </w:r>
      <w:r w:rsidRPr="007B6A87">
        <w:rPr>
          <w:sz w:val="22"/>
          <w:lang w:val="fr-FR"/>
        </w:rPr>
        <w:t>éducation physique</w:t>
      </w:r>
      <w:r w:rsidR="00FF4F5D">
        <w:rPr>
          <w:sz w:val="22"/>
          <w:lang w:val="fr-FR"/>
        </w:rPr>
        <w:t>. L</w:t>
      </w:r>
      <w:r w:rsidRPr="007B6A87">
        <w:rPr>
          <w:sz w:val="22"/>
          <w:lang w:val="fr-FR"/>
        </w:rPr>
        <w:t xml:space="preserve">e projet </w:t>
      </w:r>
      <w:r w:rsidR="004E510A">
        <w:rPr>
          <w:sz w:val="22"/>
          <w:lang w:val="fr-FR"/>
        </w:rPr>
        <w:t>facilitera les</w:t>
      </w:r>
      <w:r w:rsidRPr="007B6A87">
        <w:rPr>
          <w:sz w:val="22"/>
          <w:lang w:val="fr-FR"/>
        </w:rPr>
        <w:t xml:space="preserve"> apprentissage</w:t>
      </w:r>
      <w:r w:rsidR="004E510A">
        <w:rPr>
          <w:sz w:val="22"/>
          <w:lang w:val="fr-FR"/>
        </w:rPr>
        <w:t>s</w:t>
      </w:r>
      <w:r w:rsidRPr="007B6A87">
        <w:rPr>
          <w:sz w:val="22"/>
          <w:lang w:val="fr-FR"/>
        </w:rPr>
        <w:t xml:space="preserve"> pour permettre à 270 enseignants et jeunes </w:t>
      </w:r>
      <w:r w:rsidR="004E510A">
        <w:rPr>
          <w:sz w:val="22"/>
          <w:lang w:val="fr-FR"/>
        </w:rPr>
        <w:t>d</w:t>
      </w:r>
      <w:r w:rsidR="0070396D">
        <w:rPr>
          <w:sz w:val="22"/>
          <w:lang w:val="fr-FR"/>
        </w:rPr>
        <w:t>’</w:t>
      </w:r>
      <w:r w:rsidR="004E510A">
        <w:rPr>
          <w:sz w:val="22"/>
          <w:lang w:val="fr-FR"/>
        </w:rPr>
        <w:t>acquérir des compétences en matière de</w:t>
      </w:r>
      <w:r w:rsidR="004E510A" w:rsidRPr="007B6A87">
        <w:rPr>
          <w:sz w:val="22"/>
          <w:lang w:val="fr-FR"/>
        </w:rPr>
        <w:t xml:space="preserve"> </w:t>
      </w:r>
      <w:r w:rsidRPr="007B6A87">
        <w:rPr>
          <w:sz w:val="22"/>
          <w:lang w:val="fr-FR"/>
        </w:rPr>
        <w:t xml:space="preserve">jeux </w:t>
      </w:r>
      <w:r w:rsidR="004E510A">
        <w:rPr>
          <w:sz w:val="22"/>
          <w:lang w:val="fr-FR"/>
        </w:rPr>
        <w:t xml:space="preserve">traditionnels </w:t>
      </w:r>
      <w:r w:rsidRPr="007B6A87">
        <w:rPr>
          <w:sz w:val="22"/>
          <w:lang w:val="fr-FR"/>
        </w:rPr>
        <w:t xml:space="preserve">et de former leurs propres équipes, en ayant à disposition des outils et des espaces de jeux adaptés aux jeux traditionnels. </w:t>
      </w:r>
      <w:r w:rsidR="004E510A">
        <w:rPr>
          <w:sz w:val="22"/>
          <w:lang w:val="fr-FR"/>
        </w:rPr>
        <w:t>D</w:t>
      </w:r>
      <w:r w:rsidR="0070396D">
        <w:rPr>
          <w:sz w:val="22"/>
          <w:lang w:val="fr-FR"/>
        </w:rPr>
        <w:t>’</w:t>
      </w:r>
      <w:r w:rsidR="004E510A">
        <w:rPr>
          <w:sz w:val="22"/>
          <w:lang w:val="fr-FR"/>
        </w:rPr>
        <w:t xml:space="preserve">autres activités </w:t>
      </w:r>
      <w:r w:rsidR="00B424F9">
        <w:rPr>
          <w:sz w:val="22"/>
          <w:lang w:val="fr-FR"/>
        </w:rPr>
        <w:t xml:space="preserve">dont </w:t>
      </w:r>
      <w:r w:rsidRPr="007B6A87">
        <w:rPr>
          <w:sz w:val="22"/>
          <w:lang w:val="fr-FR"/>
        </w:rPr>
        <w:t xml:space="preserve">la création de sept </w:t>
      </w:r>
      <w:r w:rsidR="004E510A">
        <w:rPr>
          <w:sz w:val="22"/>
          <w:lang w:val="fr-FR"/>
        </w:rPr>
        <w:t>organisations</w:t>
      </w:r>
      <w:r w:rsidR="004E510A" w:rsidRPr="007B6A87">
        <w:rPr>
          <w:sz w:val="22"/>
          <w:lang w:val="fr-FR"/>
        </w:rPr>
        <w:t xml:space="preserve"> </w:t>
      </w:r>
      <w:r w:rsidRPr="007B6A87">
        <w:rPr>
          <w:sz w:val="22"/>
          <w:lang w:val="fr-FR"/>
        </w:rPr>
        <w:t xml:space="preserve">nationales dédiées aux jeux traditionnels et </w:t>
      </w:r>
      <w:r w:rsidR="004E510A">
        <w:rPr>
          <w:sz w:val="22"/>
          <w:lang w:val="fr-FR"/>
        </w:rPr>
        <w:t>la</w:t>
      </w:r>
      <w:r w:rsidRPr="007B6A87">
        <w:rPr>
          <w:sz w:val="22"/>
          <w:lang w:val="fr-FR"/>
        </w:rPr>
        <w:t xml:space="preserve"> sensibilisation au projet et aux jeux traditionnels </w:t>
      </w:r>
      <w:r w:rsidR="004E510A">
        <w:rPr>
          <w:sz w:val="22"/>
          <w:lang w:val="fr-FR"/>
        </w:rPr>
        <w:t>par le biais d</w:t>
      </w:r>
      <w:r w:rsidR="0070396D">
        <w:rPr>
          <w:sz w:val="22"/>
          <w:lang w:val="fr-FR"/>
        </w:rPr>
        <w:t>’</w:t>
      </w:r>
      <w:r w:rsidR="004E510A">
        <w:rPr>
          <w:sz w:val="22"/>
          <w:lang w:val="fr-FR"/>
        </w:rPr>
        <w:t>activités médiatique</w:t>
      </w:r>
      <w:r w:rsidR="005B52E3">
        <w:rPr>
          <w:sz w:val="22"/>
          <w:lang w:val="fr-FR"/>
        </w:rPr>
        <w:t>s</w:t>
      </w:r>
      <w:r w:rsidR="004E510A">
        <w:rPr>
          <w:sz w:val="22"/>
          <w:lang w:val="fr-FR"/>
        </w:rPr>
        <w:t xml:space="preserve"> et </w:t>
      </w:r>
      <w:r w:rsidRPr="007B6A87">
        <w:rPr>
          <w:sz w:val="22"/>
          <w:lang w:val="fr-FR"/>
        </w:rPr>
        <w:t>de festivals dans les trois régions du pays</w:t>
      </w:r>
      <w:r w:rsidR="00B424F9">
        <w:rPr>
          <w:sz w:val="22"/>
          <w:lang w:val="fr-FR"/>
        </w:rPr>
        <w:t xml:space="preserve"> sont prévues</w:t>
      </w:r>
      <w:r w:rsidRPr="007B6A87">
        <w:rPr>
          <w:sz w:val="22"/>
          <w:lang w:val="fr-FR"/>
        </w:rPr>
        <w:t>.</w:t>
      </w:r>
    </w:p>
    <w:p w14:paraId="33D71977" w14:textId="7B3444C2" w:rsidR="00D538CC" w:rsidRPr="00D538CC" w:rsidRDefault="00D538CC" w:rsidP="00D538CC">
      <w:pPr>
        <w:pStyle w:val="Style1"/>
        <w:numPr>
          <w:ilvl w:val="1"/>
          <w:numId w:val="33"/>
        </w:numPr>
        <w:ind w:left="1143"/>
        <w:rPr>
          <w:lang w:val="fr-FR"/>
        </w:rPr>
      </w:pPr>
      <w:r w:rsidRPr="00D538CC">
        <w:rPr>
          <w:u w:val="single"/>
          <w:lang w:val="fr-FR"/>
        </w:rPr>
        <w:t>Prend note en outre</w:t>
      </w:r>
      <w:r w:rsidRPr="00D538CC">
        <w:rPr>
          <w:lang w:val="fr-FR"/>
        </w:rPr>
        <w:t xml:space="preserve"> que cette assistance vise à soutenir un projet mis en œuvre à l</w:t>
      </w:r>
      <w:r w:rsidR="0070396D">
        <w:rPr>
          <w:lang w:val="fr-FR"/>
        </w:rPr>
        <w:t>’</w:t>
      </w:r>
      <w:r w:rsidRPr="00D538CC">
        <w:rPr>
          <w:lang w:val="fr-FR"/>
        </w:rPr>
        <w:t>échelle nationale, conformément à l</w:t>
      </w:r>
      <w:r w:rsidR="0070396D">
        <w:rPr>
          <w:lang w:val="fr-FR"/>
        </w:rPr>
        <w:t>’</w:t>
      </w:r>
      <w:r w:rsidRPr="00D538CC">
        <w:rPr>
          <w:lang w:val="fr-FR"/>
        </w:rPr>
        <w:t xml:space="preserve">article 20 (c) de la Convention, et prend la forme de </w:t>
      </w:r>
      <w:r w:rsidRPr="00FB7C92">
        <w:rPr>
          <w:b/>
          <w:bCs/>
          <w:lang w:val="fr-FR"/>
        </w:rPr>
        <w:t>l</w:t>
      </w:r>
      <w:r w:rsidR="0070396D" w:rsidRPr="00FB7C92">
        <w:rPr>
          <w:b/>
          <w:bCs/>
          <w:lang w:val="fr-FR"/>
        </w:rPr>
        <w:t>’</w:t>
      </w:r>
      <w:r w:rsidRPr="00FB7C92">
        <w:rPr>
          <w:b/>
          <w:bCs/>
          <w:lang w:val="fr-FR"/>
        </w:rPr>
        <w:t>octroi d</w:t>
      </w:r>
      <w:r w:rsidR="0070396D" w:rsidRPr="00FB7C92">
        <w:rPr>
          <w:b/>
          <w:bCs/>
          <w:lang w:val="fr-FR"/>
        </w:rPr>
        <w:t>’</w:t>
      </w:r>
      <w:r w:rsidRPr="00FB7C92">
        <w:rPr>
          <w:b/>
          <w:bCs/>
          <w:lang w:val="fr-FR"/>
        </w:rPr>
        <w:t>un don</w:t>
      </w:r>
      <w:r w:rsidRPr="00D538CC">
        <w:rPr>
          <w:lang w:val="fr-FR"/>
        </w:rPr>
        <w:t>, conformément à l</w:t>
      </w:r>
      <w:r w:rsidR="0070396D">
        <w:rPr>
          <w:lang w:val="fr-FR"/>
        </w:rPr>
        <w:t>’</w:t>
      </w:r>
      <w:r w:rsidRPr="00D538CC">
        <w:rPr>
          <w:lang w:val="fr-FR"/>
        </w:rPr>
        <w:t>article 21 (g) de la Convention ;</w:t>
      </w:r>
    </w:p>
    <w:p w14:paraId="5DF8BE99" w14:textId="7AAA9DF1" w:rsidR="00D538CC" w:rsidRPr="00D538CC" w:rsidRDefault="00D538CC" w:rsidP="00D538CC">
      <w:pPr>
        <w:pStyle w:val="Style1"/>
        <w:numPr>
          <w:ilvl w:val="1"/>
          <w:numId w:val="33"/>
        </w:numPr>
        <w:ind w:left="1143"/>
        <w:rPr>
          <w:lang w:val="fr-FR"/>
        </w:rPr>
      </w:pPr>
      <w:r w:rsidRPr="00D538CC">
        <w:rPr>
          <w:u w:val="single"/>
          <w:lang w:val="fr-FR"/>
        </w:rPr>
        <w:t xml:space="preserve">Prend </w:t>
      </w:r>
      <w:r w:rsidR="0070396D">
        <w:rPr>
          <w:u w:val="single"/>
          <w:lang w:val="fr-FR"/>
        </w:rPr>
        <w:t xml:space="preserve">également </w:t>
      </w:r>
      <w:r w:rsidRPr="00D538CC">
        <w:rPr>
          <w:u w:val="single"/>
          <w:lang w:val="fr-FR"/>
        </w:rPr>
        <w:t>note</w:t>
      </w:r>
      <w:r w:rsidRPr="00D538CC">
        <w:rPr>
          <w:lang w:val="fr-FR"/>
        </w:rPr>
        <w:t xml:space="preserve"> que le Malawi a demandé une assistance d</w:t>
      </w:r>
      <w:r w:rsidR="0070396D">
        <w:rPr>
          <w:lang w:val="fr-FR"/>
        </w:rPr>
        <w:t>’</w:t>
      </w:r>
      <w:r w:rsidRPr="00D538CC">
        <w:rPr>
          <w:lang w:val="fr-FR"/>
        </w:rPr>
        <w:t>un montant de 305 144 dollars des États-Unis au Fonds du patrimoine culturel immatériel pour la mise en œuvre de ce projet ;</w:t>
      </w:r>
    </w:p>
    <w:p w14:paraId="2AB4E1A7" w14:textId="0ACE5AD9" w:rsidR="00D538CC" w:rsidRPr="00D538CC" w:rsidRDefault="0070396D" w:rsidP="00D538CC">
      <w:pPr>
        <w:pStyle w:val="Style1"/>
        <w:keepNext/>
        <w:numPr>
          <w:ilvl w:val="1"/>
          <w:numId w:val="33"/>
        </w:numPr>
        <w:ind w:left="1143"/>
        <w:rPr>
          <w:lang w:val="fr-FR"/>
        </w:rPr>
      </w:pPr>
      <w:r>
        <w:rPr>
          <w:u w:val="single"/>
          <w:lang w:val="fr-FR"/>
        </w:rPr>
        <w:lastRenderedPageBreak/>
        <w:t>Considère</w:t>
      </w:r>
      <w:r w:rsidRPr="00D538CC">
        <w:rPr>
          <w:lang w:val="fr-FR"/>
        </w:rPr>
        <w:t xml:space="preserve"> </w:t>
      </w:r>
      <w:r w:rsidR="00D538CC" w:rsidRPr="00D538CC">
        <w:rPr>
          <w:lang w:val="fr-FR"/>
        </w:rPr>
        <w:t>que, d</w:t>
      </w:r>
      <w:r>
        <w:rPr>
          <w:lang w:val="fr-FR"/>
        </w:rPr>
        <w:t>’</w:t>
      </w:r>
      <w:r w:rsidR="00D538CC" w:rsidRPr="00D538CC">
        <w:rPr>
          <w:lang w:val="fr-FR"/>
        </w:rPr>
        <w:t>après les informations contenues dans le dossier, la demande satisfait aux critères d</w:t>
      </w:r>
      <w:r>
        <w:rPr>
          <w:lang w:val="fr-FR"/>
        </w:rPr>
        <w:t>’</w:t>
      </w:r>
      <w:r w:rsidR="00D538CC" w:rsidRPr="00D538CC">
        <w:rPr>
          <w:lang w:val="fr-FR"/>
        </w:rPr>
        <w:t>octroi de l</w:t>
      </w:r>
      <w:r>
        <w:rPr>
          <w:lang w:val="fr-FR"/>
        </w:rPr>
        <w:t>’</w:t>
      </w:r>
      <w:r w:rsidR="00D538CC" w:rsidRPr="00D538CC">
        <w:rPr>
          <w:lang w:val="fr-FR"/>
        </w:rPr>
        <w:t>assistance internationale énoncés aux paragraphes 10 et 12 des Directives opérationnelles comme suit :</w:t>
      </w:r>
    </w:p>
    <w:p w14:paraId="784196FC" w14:textId="4A928584"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Critère A.1 :</w:t>
      </w:r>
      <w:r w:rsidRPr="00D538CC">
        <w:rPr>
          <w:sz w:val="22"/>
          <w:lang w:val="fr-FR"/>
        </w:rPr>
        <w:t xml:space="preserve"> Le dossier explique le rôle des communautés dans la préparation de la demande de financement soumise par l</w:t>
      </w:r>
      <w:r w:rsidR="0070396D">
        <w:rPr>
          <w:sz w:val="22"/>
          <w:lang w:val="fr-FR"/>
        </w:rPr>
        <w:t>’</w:t>
      </w:r>
      <w:r w:rsidRPr="00D538CC">
        <w:rPr>
          <w:sz w:val="22"/>
          <w:lang w:val="fr-FR"/>
        </w:rPr>
        <w:t xml:space="preserve">intermédiaire de deux organisations locales (la Fondation </w:t>
      </w:r>
      <w:proofErr w:type="spellStart"/>
      <w:r w:rsidRPr="00D538CC">
        <w:rPr>
          <w:sz w:val="22"/>
          <w:lang w:val="fr-FR"/>
        </w:rPr>
        <w:t>Nsikwa</w:t>
      </w:r>
      <w:proofErr w:type="spellEnd"/>
      <w:r w:rsidRPr="00D538CC">
        <w:rPr>
          <w:sz w:val="22"/>
          <w:lang w:val="fr-FR"/>
        </w:rPr>
        <w:t xml:space="preserve"> et l</w:t>
      </w:r>
      <w:r w:rsidR="0070396D">
        <w:rPr>
          <w:sz w:val="22"/>
          <w:lang w:val="fr-FR"/>
        </w:rPr>
        <w:t>’</w:t>
      </w:r>
      <w:r w:rsidRPr="00D538CC">
        <w:rPr>
          <w:sz w:val="22"/>
          <w:lang w:val="fr-FR"/>
        </w:rPr>
        <w:t xml:space="preserve">Association </w:t>
      </w:r>
      <w:proofErr w:type="spellStart"/>
      <w:r w:rsidRPr="00D538CC">
        <w:rPr>
          <w:sz w:val="22"/>
          <w:lang w:val="fr-FR"/>
        </w:rPr>
        <w:t>Mbalika</w:t>
      </w:r>
      <w:proofErr w:type="spellEnd"/>
      <w:r w:rsidRPr="00D538CC">
        <w:rPr>
          <w:sz w:val="22"/>
          <w:lang w:val="fr-FR"/>
        </w:rPr>
        <w:t>)</w:t>
      </w:r>
      <w:r w:rsidR="00E805F9">
        <w:rPr>
          <w:sz w:val="22"/>
          <w:lang w:val="fr-FR"/>
        </w:rPr>
        <w:t>,</w:t>
      </w:r>
      <w:r w:rsidRPr="00D538CC">
        <w:rPr>
          <w:sz w:val="22"/>
          <w:lang w:val="fr-FR"/>
        </w:rPr>
        <w:t xml:space="preserve"> dont </w:t>
      </w:r>
      <w:r w:rsidR="00372816">
        <w:rPr>
          <w:sz w:val="22"/>
          <w:lang w:val="fr-FR"/>
        </w:rPr>
        <w:t>les objectifs sont</w:t>
      </w:r>
      <w:r w:rsidRPr="00D538CC">
        <w:rPr>
          <w:sz w:val="22"/>
          <w:lang w:val="fr-FR"/>
        </w:rPr>
        <w:t xml:space="preserve"> de </w:t>
      </w:r>
      <w:r w:rsidR="00101E28">
        <w:rPr>
          <w:sz w:val="22"/>
          <w:lang w:val="fr-FR"/>
        </w:rPr>
        <w:t>populariser</w:t>
      </w:r>
      <w:r w:rsidR="00B424F9" w:rsidRPr="00D538CC">
        <w:rPr>
          <w:sz w:val="22"/>
          <w:lang w:val="fr-FR"/>
        </w:rPr>
        <w:t xml:space="preserve"> </w:t>
      </w:r>
      <w:r w:rsidRPr="00D538CC">
        <w:rPr>
          <w:sz w:val="22"/>
          <w:lang w:val="fr-FR"/>
        </w:rPr>
        <w:t>les jeux. Ces organisations non gouvernementales ont contribué à la préparation de la demande et ont mobilisé leurs réseaux pour atteindre des zones où certains jeux traditionnels étaient encore pratiqués. Le plan de sauvegarde issu de l</w:t>
      </w:r>
      <w:r w:rsidR="0070396D">
        <w:rPr>
          <w:sz w:val="22"/>
          <w:lang w:val="fr-FR"/>
        </w:rPr>
        <w:t>’</w:t>
      </w:r>
      <w:r w:rsidRPr="00D538CC">
        <w:rPr>
          <w:sz w:val="22"/>
          <w:lang w:val="fr-FR"/>
        </w:rPr>
        <w:t>exercice d</w:t>
      </w:r>
      <w:r w:rsidR="0070396D">
        <w:rPr>
          <w:sz w:val="22"/>
          <w:lang w:val="fr-FR"/>
        </w:rPr>
        <w:t>’</w:t>
      </w:r>
      <w:r w:rsidRPr="00D538CC">
        <w:rPr>
          <w:sz w:val="22"/>
          <w:lang w:val="fr-FR"/>
        </w:rPr>
        <w:t>inventaire reflète les aspirations des communautés, qui incluent des autorités</w:t>
      </w:r>
      <w:r w:rsidR="00372816">
        <w:rPr>
          <w:sz w:val="22"/>
          <w:lang w:val="fr-FR"/>
        </w:rPr>
        <w:t xml:space="preserve"> traditionnelles</w:t>
      </w:r>
      <w:r w:rsidRPr="00D538CC">
        <w:rPr>
          <w:sz w:val="22"/>
          <w:lang w:val="fr-FR"/>
        </w:rPr>
        <w:t xml:space="preserve">, des jeunes, des enseignants, des techniciens audiovisuels, des chercheurs et des praticiens des jeux traditionnels </w:t>
      </w:r>
      <w:r w:rsidR="00372816">
        <w:rPr>
          <w:sz w:val="22"/>
          <w:lang w:val="fr-FR"/>
        </w:rPr>
        <w:t>de tous âges et de tous genres</w:t>
      </w:r>
      <w:r w:rsidRPr="00D538CC">
        <w:rPr>
          <w:sz w:val="22"/>
          <w:lang w:val="fr-FR"/>
        </w:rPr>
        <w:t xml:space="preserve">. Le dossier </w:t>
      </w:r>
      <w:r w:rsidR="00372816">
        <w:rPr>
          <w:sz w:val="22"/>
          <w:lang w:val="fr-FR"/>
        </w:rPr>
        <w:t>fournit</w:t>
      </w:r>
      <w:r w:rsidR="00372816" w:rsidRPr="00D538CC">
        <w:rPr>
          <w:sz w:val="22"/>
          <w:lang w:val="fr-FR"/>
        </w:rPr>
        <w:t xml:space="preserve"> </w:t>
      </w:r>
      <w:r w:rsidRPr="00D538CC">
        <w:rPr>
          <w:sz w:val="22"/>
          <w:lang w:val="fr-FR"/>
        </w:rPr>
        <w:t>également des informations sur la manière dont les communautés participeront à la mise en œuvre des activités proposées.</w:t>
      </w:r>
    </w:p>
    <w:p w14:paraId="074A4127" w14:textId="5AE6BDB2"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Critère A.2 :</w:t>
      </w:r>
      <w:r w:rsidRPr="00D538CC">
        <w:rPr>
          <w:sz w:val="22"/>
          <w:lang w:val="fr-FR"/>
        </w:rPr>
        <w:t xml:space="preserve"> L</w:t>
      </w:r>
      <w:r w:rsidR="0070396D">
        <w:rPr>
          <w:sz w:val="22"/>
          <w:lang w:val="fr-FR"/>
        </w:rPr>
        <w:t>’</w:t>
      </w:r>
      <w:r w:rsidRPr="00D538CC">
        <w:rPr>
          <w:sz w:val="22"/>
          <w:lang w:val="fr-FR"/>
        </w:rPr>
        <w:t>État partie a suffisamment détaillé les dépenses liées aux activités mentionnées dans la demande. Le budget demandé semble élevé pour certains postes (par exemple l</w:t>
      </w:r>
      <w:r w:rsidR="0070396D">
        <w:rPr>
          <w:sz w:val="22"/>
          <w:lang w:val="fr-FR"/>
        </w:rPr>
        <w:t>’</w:t>
      </w:r>
      <w:r w:rsidRPr="00D538CC">
        <w:rPr>
          <w:sz w:val="22"/>
          <w:lang w:val="fr-FR"/>
        </w:rPr>
        <w:t>organisation de réunions consultatives</w:t>
      </w:r>
      <w:r w:rsidR="00FE3F61">
        <w:rPr>
          <w:sz w:val="22"/>
          <w:lang w:val="fr-FR"/>
        </w:rPr>
        <w:t>,</w:t>
      </w:r>
      <w:r w:rsidRPr="00D538CC">
        <w:rPr>
          <w:sz w:val="22"/>
          <w:lang w:val="fr-FR"/>
        </w:rPr>
        <w:t xml:space="preserve"> </w:t>
      </w:r>
      <w:r w:rsidR="00FE3F61">
        <w:rPr>
          <w:sz w:val="22"/>
          <w:lang w:val="fr-FR"/>
        </w:rPr>
        <w:t>les</w:t>
      </w:r>
      <w:r w:rsidRPr="00D538CC">
        <w:rPr>
          <w:sz w:val="22"/>
          <w:lang w:val="fr-FR"/>
        </w:rPr>
        <w:t xml:space="preserve"> festivals ou les </w:t>
      </w:r>
      <w:r w:rsidR="00FE3F61">
        <w:rPr>
          <w:sz w:val="22"/>
          <w:lang w:val="fr-FR"/>
        </w:rPr>
        <w:t xml:space="preserve">frais de </w:t>
      </w:r>
      <w:r w:rsidRPr="00D538CC">
        <w:rPr>
          <w:sz w:val="22"/>
          <w:lang w:val="fr-FR"/>
        </w:rPr>
        <w:t xml:space="preserve">déplacements des responsables) </w:t>
      </w:r>
      <w:r w:rsidR="00FE3F61">
        <w:rPr>
          <w:sz w:val="22"/>
          <w:lang w:val="fr-FR"/>
        </w:rPr>
        <w:t>ou</w:t>
      </w:r>
      <w:r w:rsidR="00FE3F61" w:rsidRPr="00D538CC">
        <w:rPr>
          <w:sz w:val="22"/>
          <w:lang w:val="fr-FR"/>
        </w:rPr>
        <w:t xml:space="preserve"> </w:t>
      </w:r>
      <w:r w:rsidRPr="00D538CC">
        <w:rPr>
          <w:sz w:val="22"/>
          <w:lang w:val="fr-FR"/>
        </w:rPr>
        <w:t>faible pour d</w:t>
      </w:r>
      <w:r w:rsidR="0070396D">
        <w:rPr>
          <w:sz w:val="22"/>
          <w:lang w:val="fr-FR"/>
        </w:rPr>
        <w:t>’</w:t>
      </w:r>
      <w:r w:rsidRPr="00D538CC">
        <w:rPr>
          <w:sz w:val="22"/>
          <w:lang w:val="fr-FR"/>
        </w:rPr>
        <w:t xml:space="preserve">autres (notamment les activités </w:t>
      </w:r>
      <w:r w:rsidR="00FE3F61">
        <w:rPr>
          <w:sz w:val="22"/>
          <w:lang w:val="fr-FR"/>
        </w:rPr>
        <w:t>destinées à bénéficier directement</w:t>
      </w:r>
      <w:r w:rsidRPr="00D538CC">
        <w:rPr>
          <w:sz w:val="22"/>
          <w:lang w:val="fr-FR"/>
        </w:rPr>
        <w:t xml:space="preserve"> aux communautés). </w:t>
      </w:r>
      <w:r w:rsidR="00FE3F61" w:rsidRPr="00D538CC">
        <w:rPr>
          <w:sz w:val="22"/>
          <w:lang w:val="fr-FR"/>
        </w:rPr>
        <w:t>L</w:t>
      </w:r>
      <w:r w:rsidR="00FE3F61">
        <w:rPr>
          <w:sz w:val="22"/>
          <w:lang w:val="fr-FR"/>
        </w:rPr>
        <w:t>es détails</w:t>
      </w:r>
      <w:r w:rsidR="00FE3F61" w:rsidRPr="00D538CC">
        <w:rPr>
          <w:sz w:val="22"/>
          <w:lang w:val="fr-FR"/>
        </w:rPr>
        <w:t xml:space="preserve"> </w:t>
      </w:r>
      <w:r w:rsidRPr="00D538CC">
        <w:rPr>
          <w:sz w:val="22"/>
          <w:lang w:val="fr-FR"/>
        </w:rPr>
        <w:t>du budget doi</w:t>
      </w:r>
      <w:r w:rsidR="00FE3F61">
        <w:rPr>
          <w:sz w:val="22"/>
          <w:lang w:val="fr-FR"/>
        </w:rPr>
        <w:t>vent</w:t>
      </w:r>
      <w:r w:rsidRPr="00D538CC">
        <w:rPr>
          <w:sz w:val="22"/>
          <w:lang w:val="fr-FR"/>
        </w:rPr>
        <w:t xml:space="preserve"> être réexaminé</w:t>
      </w:r>
      <w:r w:rsidR="00FE3F61">
        <w:rPr>
          <w:sz w:val="22"/>
          <w:lang w:val="fr-FR"/>
        </w:rPr>
        <w:t>s</w:t>
      </w:r>
      <w:r w:rsidRPr="00D538CC">
        <w:rPr>
          <w:sz w:val="22"/>
          <w:lang w:val="fr-FR"/>
        </w:rPr>
        <w:t xml:space="preserve"> et pourrai</w:t>
      </w:r>
      <w:r w:rsidR="00FE3F61">
        <w:rPr>
          <w:sz w:val="22"/>
          <w:lang w:val="fr-FR"/>
        </w:rPr>
        <w:t>en</w:t>
      </w:r>
      <w:r w:rsidRPr="00D538CC">
        <w:rPr>
          <w:sz w:val="22"/>
          <w:lang w:val="fr-FR"/>
        </w:rPr>
        <w:t>t être ajusté</w:t>
      </w:r>
      <w:r w:rsidR="00FE3F61">
        <w:rPr>
          <w:sz w:val="22"/>
          <w:lang w:val="fr-FR"/>
        </w:rPr>
        <w:t>s</w:t>
      </w:r>
      <w:r w:rsidRPr="00D538CC">
        <w:rPr>
          <w:sz w:val="22"/>
          <w:lang w:val="fr-FR"/>
        </w:rPr>
        <w:t xml:space="preserve"> au regard des objectifs du projet, avant et pendant sa mise en œuvre.</w:t>
      </w:r>
    </w:p>
    <w:p w14:paraId="46B23588" w14:textId="758960AF"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Critère A.3 :</w:t>
      </w:r>
      <w:r w:rsidRPr="00D538CC">
        <w:rPr>
          <w:sz w:val="22"/>
          <w:lang w:val="fr-FR"/>
        </w:rPr>
        <w:t xml:space="preserve"> L</w:t>
      </w:r>
      <w:r w:rsidR="0070396D">
        <w:rPr>
          <w:sz w:val="22"/>
          <w:lang w:val="fr-FR"/>
        </w:rPr>
        <w:t>’</w:t>
      </w:r>
      <w:r w:rsidRPr="00D538CC">
        <w:rPr>
          <w:sz w:val="22"/>
          <w:lang w:val="fr-FR"/>
        </w:rPr>
        <w:t xml:space="preserve">objectif du projet proposé est de sauvegarder les neuf jeux traditionnels </w:t>
      </w:r>
      <w:r w:rsidR="00FE3F61">
        <w:rPr>
          <w:sz w:val="22"/>
          <w:lang w:val="fr-FR"/>
        </w:rPr>
        <w:t>par la mise en œuvre d</w:t>
      </w:r>
      <w:r w:rsidR="0070396D">
        <w:rPr>
          <w:sz w:val="22"/>
          <w:lang w:val="fr-FR"/>
        </w:rPr>
        <w:t>’</w:t>
      </w:r>
      <w:r w:rsidRPr="00D538CC">
        <w:rPr>
          <w:sz w:val="22"/>
          <w:lang w:val="fr-FR"/>
        </w:rPr>
        <w:t xml:space="preserve">activités </w:t>
      </w:r>
      <w:r w:rsidR="00FE3F61">
        <w:rPr>
          <w:sz w:val="22"/>
          <w:lang w:val="fr-FR"/>
        </w:rPr>
        <w:t>telles que la réalisation</w:t>
      </w:r>
      <w:r w:rsidRPr="00D538CC">
        <w:rPr>
          <w:sz w:val="22"/>
          <w:lang w:val="fr-FR"/>
        </w:rPr>
        <w:t xml:space="preserve"> </w:t>
      </w:r>
      <w:r w:rsidR="00FE3F61">
        <w:rPr>
          <w:sz w:val="22"/>
          <w:lang w:val="fr-FR"/>
        </w:rPr>
        <w:t>d</w:t>
      </w:r>
      <w:r w:rsidR="0070396D">
        <w:rPr>
          <w:sz w:val="22"/>
          <w:lang w:val="fr-FR"/>
        </w:rPr>
        <w:t>’</w:t>
      </w:r>
      <w:r w:rsidRPr="00D538CC">
        <w:rPr>
          <w:sz w:val="22"/>
          <w:lang w:val="fr-FR"/>
        </w:rPr>
        <w:t xml:space="preserve">études, </w:t>
      </w:r>
      <w:r w:rsidR="00FE3F61">
        <w:rPr>
          <w:sz w:val="22"/>
          <w:lang w:val="fr-FR"/>
        </w:rPr>
        <w:t>la documentation</w:t>
      </w:r>
      <w:r w:rsidRPr="00D538CC">
        <w:rPr>
          <w:sz w:val="22"/>
          <w:lang w:val="fr-FR"/>
        </w:rPr>
        <w:t>, l</w:t>
      </w:r>
      <w:r w:rsidR="0070396D">
        <w:rPr>
          <w:sz w:val="22"/>
          <w:lang w:val="fr-FR"/>
        </w:rPr>
        <w:t>’</w:t>
      </w:r>
      <w:r w:rsidRPr="00D538CC">
        <w:rPr>
          <w:sz w:val="22"/>
          <w:lang w:val="fr-FR"/>
        </w:rPr>
        <w:t>amélioration des programmes d</w:t>
      </w:r>
      <w:r w:rsidR="0070396D">
        <w:rPr>
          <w:sz w:val="22"/>
          <w:lang w:val="fr-FR"/>
        </w:rPr>
        <w:t>’</w:t>
      </w:r>
      <w:r w:rsidRPr="00D538CC">
        <w:rPr>
          <w:sz w:val="22"/>
          <w:lang w:val="fr-FR"/>
        </w:rPr>
        <w:t>enseignement, l</w:t>
      </w:r>
      <w:r w:rsidR="0070396D">
        <w:rPr>
          <w:sz w:val="22"/>
          <w:lang w:val="fr-FR"/>
        </w:rPr>
        <w:t>’</w:t>
      </w:r>
      <w:r w:rsidRPr="00D538CC">
        <w:rPr>
          <w:sz w:val="22"/>
          <w:lang w:val="fr-FR"/>
        </w:rPr>
        <w:t>apprentissage, la création de groupes et des activités de sensibilisation. Les trois principaux objectifs définis dans le dossier</w:t>
      </w:r>
      <w:r w:rsidR="00685EE8">
        <w:rPr>
          <w:sz w:val="22"/>
          <w:lang w:val="fr-FR"/>
        </w:rPr>
        <w:t xml:space="preserve"> sont</w:t>
      </w:r>
      <w:r w:rsidRPr="00D538CC">
        <w:rPr>
          <w:sz w:val="22"/>
          <w:lang w:val="fr-FR"/>
        </w:rPr>
        <w:t> : (a) </w:t>
      </w:r>
      <w:r w:rsidR="00FE3F61">
        <w:rPr>
          <w:sz w:val="22"/>
          <w:lang w:val="fr-FR"/>
        </w:rPr>
        <w:t>assurer</w:t>
      </w:r>
      <w:r w:rsidR="00FE3F61" w:rsidRPr="00D538CC">
        <w:rPr>
          <w:sz w:val="22"/>
          <w:lang w:val="fr-FR"/>
        </w:rPr>
        <w:t xml:space="preserve"> </w:t>
      </w:r>
      <w:r w:rsidR="00FE3F61">
        <w:rPr>
          <w:sz w:val="22"/>
          <w:lang w:val="fr-FR"/>
        </w:rPr>
        <w:t>l</w:t>
      </w:r>
      <w:r w:rsidR="0070396D">
        <w:rPr>
          <w:sz w:val="22"/>
          <w:lang w:val="fr-FR"/>
        </w:rPr>
        <w:t>’</w:t>
      </w:r>
      <w:r w:rsidR="00FE3F61" w:rsidRPr="00D538CC">
        <w:rPr>
          <w:sz w:val="22"/>
          <w:lang w:val="fr-FR"/>
        </w:rPr>
        <w:t>accessi</w:t>
      </w:r>
      <w:r w:rsidR="00FE3F61">
        <w:rPr>
          <w:sz w:val="22"/>
          <w:lang w:val="fr-FR"/>
        </w:rPr>
        <w:t>bilité</w:t>
      </w:r>
      <w:r w:rsidR="00FE3F61" w:rsidRPr="00D538CC">
        <w:rPr>
          <w:sz w:val="22"/>
          <w:lang w:val="fr-FR"/>
        </w:rPr>
        <w:t xml:space="preserve"> </w:t>
      </w:r>
      <w:r w:rsidR="00FE3F61">
        <w:rPr>
          <w:sz w:val="22"/>
          <w:lang w:val="fr-FR"/>
        </w:rPr>
        <w:t>à</w:t>
      </w:r>
      <w:r w:rsidR="00FE3F61" w:rsidRPr="00D538CC">
        <w:rPr>
          <w:sz w:val="22"/>
          <w:lang w:val="fr-FR"/>
        </w:rPr>
        <w:t xml:space="preserve"> </w:t>
      </w:r>
      <w:r w:rsidR="00FE3F61">
        <w:rPr>
          <w:sz w:val="22"/>
          <w:lang w:val="fr-FR"/>
        </w:rPr>
        <w:t>l</w:t>
      </w:r>
      <w:r w:rsidR="0070396D">
        <w:rPr>
          <w:sz w:val="22"/>
          <w:lang w:val="fr-FR"/>
        </w:rPr>
        <w:t>’</w:t>
      </w:r>
      <w:r w:rsidRPr="00D538CC">
        <w:rPr>
          <w:sz w:val="22"/>
          <w:lang w:val="fr-FR"/>
        </w:rPr>
        <w:t xml:space="preserve">informations et </w:t>
      </w:r>
      <w:r w:rsidR="00FE3F61">
        <w:rPr>
          <w:sz w:val="22"/>
          <w:lang w:val="fr-FR"/>
        </w:rPr>
        <w:t>aux</w:t>
      </w:r>
      <w:r w:rsidR="00FE3F61" w:rsidRPr="00D538CC">
        <w:rPr>
          <w:sz w:val="22"/>
          <w:lang w:val="fr-FR"/>
        </w:rPr>
        <w:t xml:space="preserve"> </w:t>
      </w:r>
      <w:r w:rsidRPr="00D538CC">
        <w:rPr>
          <w:sz w:val="22"/>
          <w:lang w:val="fr-FR"/>
        </w:rPr>
        <w:t xml:space="preserve">connaissances ; (b) promouvoir la transmission formelle et </w:t>
      </w:r>
      <w:r w:rsidR="00FE3F61">
        <w:rPr>
          <w:sz w:val="22"/>
          <w:lang w:val="fr-FR"/>
        </w:rPr>
        <w:t>non formelle</w:t>
      </w:r>
      <w:r w:rsidR="00FE3F61" w:rsidRPr="00D538CC">
        <w:rPr>
          <w:sz w:val="22"/>
          <w:lang w:val="fr-FR"/>
        </w:rPr>
        <w:t> </w:t>
      </w:r>
      <w:r w:rsidRPr="00D538CC">
        <w:rPr>
          <w:sz w:val="22"/>
          <w:lang w:val="fr-FR"/>
        </w:rPr>
        <w:t>; et (c) </w:t>
      </w:r>
      <w:r w:rsidR="00FE3F61">
        <w:rPr>
          <w:sz w:val="22"/>
          <w:lang w:val="fr-FR"/>
        </w:rPr>
        <w:t>sensibiliser</w:t>
      </w:r>
      <w:r w:rsidRPr="00D538CC">
        <w:rPr>
          <w:sz w:val="22"/>
          <w:lang w:val="fr-FR"/>
        </w:rPr>
        <w:t xml:space="preserve"> </w:t>
      </w:r>
      <w:r w:rsidR="00FE3F61">
        <w:rPr>
          <w:sz w:val="22"/>
          <w:lang w:val="fr-FR"/>
        </w:rPr>
        <w:t>aux</w:t>
      </w:r>
      <w:r w:rsidR="00FE3F61" w:rsidRPr="00D538CC">
        <w:rPr>
          <w:sz w:val="22"/>
          <w:lang w:val="fr-FR"/>
        </w:rPr>
        <w:t xml:space="preserve"> </w:t>
      </w:r>
      <w:r w:rsidRPr="00D538CC">
        <w:rPr>
          <w:sz w:val="22"/>
          <w:lang w:val="fr-FR"/>
        </w:rPr>
        <w:t xml:space="preserve">neuf jeux et </w:t>
      </w:r>
      <w:r w:rsidR="00FE3F61">
        <w:rPr>
          <w:sz w:val="22"/>
          <w:lang w:val="fr-FR"/>
        </w:rPr>
        <w:t>aux</w:t>
      </w:r>
      <w:r w:rsidR="00FE3F61" w:rsidRPr="00D538CC">
        <w:rPr>
          <w:sz w:val="22"/>
          <w:lang w:val="fr-FR"/>
        </w:rPr>
        <w:t xml:space="preserve"> </w:t>
      </w:r>
      <w:r w:rsidRPr="00D538CC">
        <w:rPr>
          <w:sz w:val="22"/>
          <w:lang w:val="fr-FR"/>
        </w:rPr>
        <w:t>résultats escomptés du projet. Les activités prévues pour atteindre chaque objectif sont clairement décrites dans le dossier. Toutefois, compte tenu du calendrier du projet, il pourrait être difficile de mettre en œuvre les activités proposées. L</w:t>
      </w:r>
      <w:r w:rsidR="0070396D">
        <w:rPr>
          <w:sz w:val="22"/>
          <w:lang w:val="fr-FR"/>
        </w:rPr>
        <w:t>’</w:t>
      </w:r>
      <w:r w:rsidRPr="00D538CC">
        <w:rPr>
          <w:sz w:val="22"/>
          <w:lang w:val="fr-FR"/>
        </w:rPr>
        <w:t xml:space="preserve">État partie pourrait </w:t>
      </w:r>
      <w:r w:rsidR="00FE3F61">
        <w:rPr>
          <w:sz w:val="22"/>
          <w:lang w:val="fr-FR"/>
        </w:rPr>
        <w:t>envisager de</w:t>
      </w:r>
      <w:r w:rsidR="00FE3F61" w:rsidRPr="00D538CC">
        <w:rPr>
          <w:sz w:val="22"/>
          <w:lang w:val="fr-FR"/>
        </w:rPr>
        <w:t xml:space="preserve"> </w:t>
      </w:r>
      <w:r w:rsidRPr="00D538CC">
        <w:rPr>
          <w:sz w:val="22"/>
          <w:lang w:val="fr-FR"/>
        </w:rPr>
        <w:t>revoir le calendrier avant et pendant la mise en œuvre du projet.</w:t>
      </w:r>
    </w:p>
    <w:p w14:paraId="3DBC7D5F" w14:textId="5C181165"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Critère A.4 :</w:t>
      </w:r>
      <w:r w:rsidRPr="00D538CC">
        <w:rPr>
          <w:sz w:val="22"/>
          <w:lang w:val="fr-FR"/>
        </w:rPr>
        <w:t xml:space="preserve"> Le programme comprend plusieurs activités de sensibilisation et de renforcement des capacités, dont la formation des enseignants et des </w:t>
      </w:r>
      <w:r w:rsidR="00622564">
        <w:rPr>
          <w:sz w:val="22"/>
          <w:lang w:val="fr-FR"/>
        </w:rPr>
        <w:t>étudiants</w:t>
      </w:r>
      <w:r w:rsidRPr="00D538CC">
        <w:rPr>
          <w:sz w:val="22"/>
          <w:lang w:val="fr-FR"/>
        </w:rPr>
        <w:t xml:space="preserve">. Les résultats et les bénéfices du projet devraient </w:t>
      </w:r>
      <w:r w:rsidR="00622564">
        <w:rPr>
          <w:sz w:val="22"/>
          <w:lang w:val="fr-FR"/>
        </w:rPr>
        <w:t>per</w:t>
      </w:r>
      <w:r w:rsidRPr="00D538CC">
        <w:rPr>
          <w:sz w:val="22"/>
          <w:lang w:val="fr-FR"/>
        </w:rPr>
        <w:t xml:space="preserve">durer au-delà de la fin du projet. Par exemple, les communautés auront accès à la documentation produite dans le cadre du projet </w:t>
      </w:r>
      <w:r w:rsidR="00685EE8">
        <w:rPr>
          <w:sz w:val="22"/>
          <w:lang w:val="fr-FR"/>
        </w:rPr>
        <w:t>auprès de</w:t>
      </w:r>
      <w:r w:rsidRPr="00D538CC">
        <w:rPr>
          <w:sz w:val="22"/>
          <w:lang w:val="fr-FR"/>
        </w:rPr>
        <w:t xml:space="preserve"> leurs chefs, </w:t>
      </w:r>
      <w:r w:rsidR="00685EE8">
        <w:rPr>
          <w:sz w:val="22"/>
          <w:lang w:val="fr-FR"/>
        </w:rPr>
        <w:t xml:space="preserve">dans </w:t>
      </w:r>
      <w:r w:rsidRPr="00D538CC">
        <w:rPr>
          <w:sz w:val="22"/>
          <w:lang w:val="fr-FR"/>
        </w:rPr>
        <w:t xml:space="preserve">les bibliothèques des communautés et </w:t>
      </w:r>
      <w:r w:rsidR="00685EE8">
        <w:rPr>
          <w:sz w:val="22"/>
          <w:lang w:val="fr-FR"/>
        </w:rPr>
        <w:t xml:space="preserve">dans </w:t>
      </w:r>
      <w:r w:rsidRPr="00D538CC">
        <w:rPr>
          <w:sz w:val="22"/>
          <w:lang w:val="fr-FR"/>
        </w:rPr>
        <w:t xml:space="preserve">les écoles. Les chercheurs universitaires </w:t>
      </w:r>
      <w:r w:rsidR="00E805F9">
        <w:rPr>
          <w:sz w:val="22"/>
          <w:lang w:val="fr-FR"/>
        </w:rPr>
        <w:t>acquerront</w:t>
      </w:r>
      <w:r w:rsidR="00E805F9" w:rsidRPr="00D538CC">
        <w:rPr>
          <w:sz w:val="22"/>
          <w:lang w:val="fr-FR"/>
        </w:rPr>
        <w:t xml:space="preserve"> </w:t>
      </w:r>
      <w:r w:rsidRPr="00D538CC">
        <w:rPr>
          <w:sz w:val="22"/>
          <w:lang w:val="fr-FR"/>
        </w:rPr>
        <w:t xml:space="preserve">des connaissances sur </w:t>
      </w:r>
      <w:r w:rsidR="00E805F9">
        <w:rPr>
          <w:sz w:val="22"/>
          <w:lang w:val="fr-FR"/>
        </w:rPr>
        <w:t>l</w:t>
      </w:r>
      <w:r w:rsidRPr="00D538CC">
        <w:rPr>
          <w:sz w:val="22"/>
          <w:lang w:val="fr-FR"/>
        </w:rPr>
        <w:t xml:space="preserve">es méthodologies de documentation des éléments culturels, </w:t>
      </w:r>
      <w:r w:rsidR="00E805F9">
        <w:rPr>
          <w:sz w:val="22"/>
          <w:lang w:val="fr-FR"/>
        </w:rPr>
        <w:t>qui</w:t>
      </w:r>
      <w:r w:rsidRPr="00D538CC">
        <w:rPr>
          <w:sz w:val="22"/>
          <w:lang w:val="fr-FR"/>
        </w:rPr>
        <w:t xml:space="preserve"> pourront </w:t>
      </w:r>
      <w:r w:rsidR="00E805F9">
        <w:rPr>
          <w:sz w:val="22"/>
          <w:lang w:val="fr-FR"/>
        </w:rPr>
        <w:t>être reproduites</w:t>
      </w:r>
      <w:r w:rsidR="00E805F9" w:rsidRPr="00D538CC">
        <w:rPr>
          <w:sz w:val="22"/>
          <w:lang w:val="fr-FR"/>
        </w:rPr>
        <w:t xml:space="preserve"> </w:t>
      </w:r>
      <w:r w:rsidRPr="00D538CC">
        <w:rPr>
          <w:sz w:val="22"/>
          <w:lang w:val="fr-FR"/>
        </w:rPr>
        <w:t>lors de futures recherches ou enseign</w:t>
      </w:r>
      <w:r w:rsidR="00AB40C2">
        <w:rPr>
          <w:sz w:val="22"/>
          <w:lang w:val="fr-FR"/>
        </w:rPr>
        <w:t>ées</w:t>
      </w:r>
      <w:r w:rsidRPr="00D538CC">
        <w:rPr>
          <w:sz w:val="22"/>
          <w:lang w:val="fr-FR"/>
        </w:rPr>
        <w:t xml:space="preserve"> aux étudiants </w:t>
      </w:r>
      <w:r w:rsidR="00AB40C2">
        <w:rPr>
          <w:sz w:val="22"/>
          <w:lang w:val="fr-FR"/>
        </w:rPr>
        <w:t>universitaires</w:t>
      </w:r>
      <w:r w:rsidRPr="00D538CC">
        <w:rPr>
          <w:sz w:val="22"/>
          <w:lang w:val="fr-FR"/>
        </w:rPr>
        <w:t xml:space="preserve">. Cela incitera aussi </w:t>
      </w:r>
      <w:r w:rsidR="00AB40C2">
        <w:rPr>
          <w:sz w:val="22"/>
          <w:lang w:val="fr-FR"/>
        </w:rPr>
        <w:t>les</w:t>
      </w:r>
      <w:r w:rsidR="00AB40C2" w:rsidRPr="00D538CC">
        <w:rPr>
          <w:sz w:val="22"/>
          <w:lang w:val="fr-FR"/>
        </w:rPr>
        <w:t xml:space="preserve"> </w:t>
      </w:r>
      <w:r w:rsidRPr="00D538CC">
        <w:rPr>
          <w:sz w:val="22"/>
          <w:lang w:val="fr-FR"/>
        </w:rPr>
        <w:t xml:space="preserve">institutions à </w:t>
      </w:r>
      <w:r w:rsidR="00AB40C2">
        <w:rPr>
          <w:sz w:val="22"/>
          <w:lang w:val="fr-FR"/>
        </w:rPr>
        <w:t>mener</w:t>
      </w:r>
      <w:r w:rsidR="00AB40C2" w:rsidRPr="00D538CC">
        <w:rPr>
          <w:sz w:val="22"/>
          <w:lang w:val="fr-FR"/>
        </w:rPr>
        <w:t xml:space="preserve"> </w:t>
      </w:r>
      <w:r w:rsidR="00EA6BDE">
        <w:rPr>
          <w:sz w:val="22"/>
          <w:lang w:val="fr-FR"/>
        </w:rPr>
        <w:t xml:space="preserve">davantage </w:t>
      </w:r>
      <w:r w:rsidRPr="00D538CC">
        <w:rPr>
          <w:sz w:val="22"/>
          <w:lang w:val="fr-FR"/>
        </w:rPr>
        <w:t>de recherches dans d</w:t>
      </w:r>
      <w:r w:rsidR="0070396D">
        <w:rPr>
          <w:sz w:val="22"/>
          <w:lang w:val="fr-FR"/>
        </w:rPr>
        <w:t>’</w:t>
      </w:r>
      <w:r w:rsidRPr="00D538CC">
        <w:rPr>
          <w:sz w:val="22"/>
          <w:lang w:val="fr-FR"/>
        </w:rPr>
        <w:t>autres domaines du patrimoine culturel immatériel existant dans le pays.</w:t>
      </w:r>
    </w:p>
    <w:p w14:paraId="03226C9F" w14:textId="6DD08E7B"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Critère A.5 :</w:t>
      </w:r>
      <w:r w:rsidRPr="00D538CC">
        <w:rPr>
          <w:sz w:val="22"/>
          <w:lang w:val="fr-FR"/>
        </w:rPr>
        <w:t xml:space="preserve"> L</w:t>
      </w:r>
      <w:r w:rsidR="0070396D">
        <w:rPr>
          <w:sz w:val="22"/>
          <w:lang w:val="fr-FR"/>
        </w:rPr>
        <w:t>’</w:t>
      </w:r>
      <w:r w:rsidRPr="00D538CC">
        <w:rPr>
          <w:sz w:val="22"/>
          <w:lang w:val="fr-FR"/>
        </w:rPr>
        <w:t xml:space="preserve">État partie contribuera à hauteur de 12 % au budget total du projet pour lequel une assistance internationale est sollicitée auprès du Fonds du patrimoine culturel immatériel. </w:t>
      </w:r>
      <w:r w:rsidR="00EC6752">
        <w:rPr>
          <w:sz w:val="22"/>
          <w:lang w:val="fr-FR"/>
        </w:rPr>
        <w:t>La</w:t>
      </w:r>
      <w:r w:rsidR="00EC6752" w:rsidRPr="00D538CC">
        <w:rPr>
          <w:sz w:val="22"/>
          <w:lang w:val="fr-FR"/>
        </w:rPr>
        <w:t xml:space="preserve"> </w:t>
      </w:r>
      <w:r w:rsidRPr="00D538CC">
        <w:rPr>
          <w:sz w:val="22"/>
          <w:lang w:val="fr-FR"/>
        </w:rPr>
        <w:t>contribution de l</w:t>
      </w:r>
      <w:r w:rsidR="0070396D">
        <w:rPr>
          <w:sz w:val="22"/>
          <w:lang w:val="fr-FR"/>
        </w:rPr>
        <w:t>’</w:t>
      </w:r>
      <w:r w:rsidRPr="00D538CC">
        <w:rPr>
          <w:sz w:val="22"/>
          <w:lang w:val="fr-FR"/>
        </w:rPr>
        <w:t xml:space="preserve">État partie </w:t>
      </w:r>
      <w:r w:rsidR="00EC6752">
        <w:rPr>
          <w:sz w:val="22"/>
          <w:lang w:val="fr-FR"/>
        </w:rPr>
        <w:t>devrait couvrir</w:t>
      </w:r>
      <w:r w:rsidR="00EC6752" w:rsidRPr="00D538CC">
        <w:rPr>
          <w:sz w:val="22"/>
          <w:lang w:val="fr-FR"/>
        </w:rPr>
        <w:t xml:space="preserve"> </w:t>
      </w:r>
      <w:r w:rsidR="00EC6752">
        <w:rPr>
          <w:sz w:val="22"/>
          <w:lang w:val="fr-FR"/>
        </w:rPr>
        <w:t>les</w:t>
      </w:r>
      <w:r w:rsidRPr="00D538CC">
        <w:rPr>
          <w:sz w:val="22"/>
          <w:lang w:val="fr-FR"/>
        </w:rPr>
        <w:t xml:space="preserve"> frais de déplacement </w:t>
      </w:r>
      <w:r w:rsidR="00EC6752">
        <w:rPr>
          <w:sz w:val="22"/>
          <w:lang w:val="fr-FR"/>
        </w:rPr>
        <w:t>ainsi que les services</w:t>
      </w:r>
      <w:r w:rsidR="00EC6752" w:rsidRPr="00D538CC">
        <w:rPr>
          <w:sz w:val="22"/>
          <w:lang w:val="fr-FR"/>
        </w:rPr>
        <w:t xml:space="preserve"> </w:t>
      </w:r>
      <w:r w:rsidRPr="00D538CC">
        <w:rPr>
          <w:sz w:val="22"/>
          <w:lang w:val="fr-FR"/>
        </w:rPr>
        <w:t>de personnel</w:t>
      </w:r>
      <w:r w:rsidR="00EC6752">
        <w:rPr>
          <w:sz w:val="22"/>
          <w:lang w:val="fr-FR"/>
        </w:rPr>
        <w:t xml:space="preserve">/de </w:t>
      </w:r>
      <w:r w:rsidRPr="00D538CC">
        <w:rPr>
          <w:sz w:val="22"/>
          <w:lang w:val="fr-FR"/>
        </w:rPr>
        <w:t>conseil</w:t>
      </w:r>
      <w:r w:rsidR="00B51121">
        <w:rPr>
          <w:sz w:val="22"/>
          <w:lang w:val="fr-FR"/>
        </w:rPr>
        <w:t>.</w:t>
      </w:r>
    </w:p>
    <w:p w14:paraId="5AADD1B3" w14:textId="017062B4"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Critère A.6 :</w:t>
      </w:r>
      <w:r w:rsidRPr="00D538CC">
        <w:rPr>
          <w:sz w:val="22"/>
          <w:lang w:val="fr-FR"/>
        </w:rPr>
        <w:t xml:space="preserve"> Le projet contribuera au renforcement des capacités des communautés de diverses manières, notamment en les impliquant dans l</w:t>
      </w:r>
      <w:r w:rsidR="0070396D">
        <w:rPr>
          <w:sz w:val="22"/>
          <w:lang w:val="fr-FR"/>
        </w:rPr>
        <w:t>’</w:t>
      </w:r>
      <w:r w:rsidRPr="00D538CC">
        <w:rPr>
          <w:sz w:val="22"/>
          <w:lang w:val="fr-FR"/>
        </w:rPr>
        <w:t>étude approfondie sur le terrain des neuf jeux, dans l</w:t>
      </w:r>
      <w:r w:rsidR="0070396D">
        <w:rPr>
          <w:sz w:val="22"/>
          <w:lang w:val="fr-FR"/>
        </w:rPr>
        <w:t>’</w:t>
      </w:r>
      <w:r w:rsidRPr="00D538CC">
        <w:rPr>
          <w:sz w:val="22"/>
          <w:lang w:val="fr-FR"/>
        </w:rPr>
        <w:t>élaboration et la distribution du manuel</w:t>
      </w:r>
      <w:r w:rsidR="000242A6">
        <w:rPr>
          <w:sz w:val="22"/>
          <w:lang w:val="fr-FR"/>
        </w:rPr>
        <w:t xml:space="preserve"> </w:t>
      </w:r>
      <w:r w:rsidR="000242A6" w:rsidRPr="00D538CC">
        <w:rPr>
          <w:sz w:val="22"/>
          <w:lang w:val="fr-FR"/>
        </w:rPr>
        <w:t>sur les jeux traditionnels</w:t>
      </w:r>
      <w:r w:rsidRPr="00D538CC">
        <w:rPr>
          <w:sz w:val="22"/>
          <w:lang w:val="fr-FR"/>
        </w:rPr>
        <w:t>, dans l</w:t>
      </w:r>
      <w:r w:rsidR="0070396D">
        <w:rPr>
          <w:sz w:val="22"/>
          <w:lang w:val="fr-FR"/>
        </w:rPr>
        <w:t>’</w:t>
      </w:r>
      <w:r w:rsidRPr="00D538CC">
        <w:rPr>
          <w:sz w:val="22"/>
          <w:lang w:val="fr-FR"/>
        </w:rPr>
        <w:t xml:space="preserve">organisation de formations informelles et dans la </w:t>
      </w:r>
      <w:r w:rsidR="00EA6BDE">
        <w:rPr>
          <w:sz w:val="22"/>
          <w:lang w:val="fr-FR"/>
        </w:rPr>
        <w:t>constitution</w:t>
      </w:r>
      <w:r w:rsidR="00EA6BDE" w:rsidRPr="00D538CC">
        <w:rPr>
          <w:sz w:val="22"/>
          <w:lang w:val="fr-FR"/>
        </w:rPr>
        <w:t xml:space="preserve"> </w:t>
      </w:r>
      <w:r w:rsidRPr="00D538CC">
        <w:rPr>
          <w:sz w:val="22"/>
          <w:lang w:val="fr-FR"/>
        </w:rPr>
        <w:t>d</w:t>
      </w:r>
      <w:r w:rsidR="0070396D">
        <w:rPr>
          <w:sz w:val="22"/>
          <w:lang w:val="fr-FR"/>
        </w:rPr>
        <w:t>’</w:t>
      </w:r>
      <w:r w:rsidRPr="00D538CC">
        <w:rPr>
          <w:sz w:val="22"/>
          <w:lang w:val="fr-FR"/>
        </w:rPr>
        <w:t>équipes. En outre, les activités renforceront les capacités des chercheurs, des techniciens de l</w:t>
      </w:r>
      <w:r w:rsidR="0070396D">
        <w:rPr>
          <w:sz w:val="22"/>
          <w:lang w:val="fr-FR"/>
        </w:rPr>
        <w:t>’</w:t>
      </w:r>
      <w:r w:rsidRPr="00D538CC">
        <w:rPr>
          <w:sz w:val="22"/>
          <w:lang w:val="fr-FR"/>
        </w:rPr>
        <w:t>audiovisuel, des médias et des responsables gouvernementaux en matière de documentation du PCI, ainsi que les capacités des communautés pour la gestion et la mise en œuvre de projets de sauvegarde du PCI.</w:t>
      </w:r>
    </w:p>
    <w:p w14:paraId="595293E0" w14:textId="7218F57D"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lastRenderedPageBreak/>
        <w:t>Critère A.7 :</w:t>
      </w:r>
      <w:r w:rsidRPr="00D538CC">
        <w:rPr>
          <w:sz w:val="22"/>
          <w:lang w:val="fr-FR"/>
        </w:rPr>
        <w:t xml:space="preserve"> Le Malawi a bénéficié de l</w:t>
      </w:r>
      <w:r w:rsidR="0070396D">
        <w:rPr>
          <w:sz w:val="22"/>
          <w:lang w:val="fr-FR"/>
        </w:rPr>
        <w:t>’</w:t>
      </w:r>
      <w:r w:rsidRPr="00D538CC">
        <w:rPr>
          <w:sz w:val="22"/>
          <w:lang w:val="fr-FR"/>
        </w:rPr>
        <w:t>assistance internationale du Fonds du patrimoine culturel immatériel pour trois projets : (a) Élaboration d</w:t>
      </w:r>
      <w:r w:rsidR="0070396D">
        <w:rPr>
          <w:sz w:val="22"/>
          <w:lang w:val="fr-FR"/>
        </w:rPr>
        <w:t>’</w:t>
      </w:r>
      <w:r w:rsidRPr="00D538CC">
        <w:rPr>
          <w:sz w:val="22"/>
          <w:lang w:val="fr-FR"/>
        </w:rPr>
        <w:t xml:space="preserve">un inventaire du patrimoine immatériel du Malawi (dossier n° 01060, 24 947 dollars des États-Unis, septembre 2012-mars 2013) ; (b) La sauvegarde des proverbes et contes populaires des </w:t>
      </w:r>
      <w:proofErr w:type="spellStart"/>
      <w:r w:rsidRPr="00D538CC">
        <w:rPr>
          <w:sz w:val="22"/>
          <w:lang w:val="fr-FR"/>
        </w:rPr>
        <w:t>Nkhonde</w:t>
      </w:r>
      <w:proofErr w:type="spellEnd"/>
      <w:r w:rsidRPr="00D538CC">
        <w:rPr>
          <w:sz w:val="22"/>
          <w:lang w:val="fr-FR"/>
        </w:rPr>
        <w:t xml:space="preserve">, </w:t>
      </w:r>
      <w:proofErr w:type="spellStart"/>
      <w:r w:rsidRPr="00D538CC">
        <w:rPr>
          <w:sz w:val="22"/>
          <w:lang w:val="fr-FR"/>
        </w:rPr>
        <w:t>Tumbuka</w:t>
      </w:r>
      <w:proofErr w:type="spellEnd"/>
      <w:r w:rsidRPr="00D538CC">
        <w:rPr>
          <w:sz w:val="22"/>
          <w:lang w:val="fr-FR"/>
        </w:rPr>
        <w:t xml:space="preserve"> et </w:t>
      </w:r>
      <w:proofErr w:type="spellStart"/>
      <w:r w:rsidRPr="00D538CC">
        <w:rPr>
          <w:sz w:val="22"/>
          <w:lang w:val="fr-FR"/>
        </w:rPr>
        <w:t>Chewa</w:t>
      </w:r>
      <w:proofErr w:type="spellEnd"/>
      <w:r w:rsidRPr="00D538CC">
        <w:rPr>
          <w:sz w:val="22"/>
          <w:lang w:val="fr-FR"/>
        </w:rPr>
        <w:t xml:space="preserve"> (dossier n° 00609, 90 533 dollars des États-Unis, juin 2016-juin 2017) ; et (c) Sauvegarder le PCI au Malawi par la transmission et l</w:t>
      </w:r>
      <w:r w:rsidR="0070396D">
        <w:rPr>
          <w:sz w:val="22"/>
          <w:lang w:val="fr-FR"/>
        </w:rPr>
        <w:t>’</w:t>
      </w:r>
      <w:r w:rsidRPr="00D538CC">
        <w:rPr>
          <w:sz w:val="22"/>
          <w:lang w:val="fr-FR"/>
        </w:rPr>
        <w:t>apprentissage non formel (dossier n° 01530, 91 860 dollars des États-Unis, juillet 2019-</w:t>
      </w:r>
      <w:r w:rsidR="00DF0BBF">
        <w:rPr>
          <w:sz w:val="22"/>
          <w:lang w:val="fr-FR"/>
        </w:rPr>
        <w:t> </w:t>
      </w:r>
      <w:r w:rsidRPr="00D538CC">
        <w:rPr>
          <w:sz w:val="22"/>
          <w:lang w:val="fr-FR"/>
        </w:rPr>
        <w:t>février 2022). Ces projets ont été menés avec succès et conformément aux réglementations de l</w:t>
      </w:r>
      <w:r w:rsidR="0070396D">
        <w:rPr>
          <w:sz w:val="22"/>
          <w:lang w:val="fr-FR"/>
        </w:rPr>
        <w:t>’</w:t>
      </w:r>
      <w:r w:rsidRPr="00D538CC">
        <w:rPr>
          <w:sz w:val="22"/>
          <w:lang w:val="fr-FR"/>
        </w:rPr>
        <w:t>UNESCO.</w:t>
      </w:r>
    </w:p>
    <w:p w14:paraId="4FFFCCAB" w14:textId="2938BD1E"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 xml:space="preserve">Paragraphe 10(a) : </w:t>
      </w:r>
      <w:r w:rsidRPr="00D538CC">
        <w:rPr>
          <w:sz w:val="22"/>
          <w:lang w:val="fr-FR"/>
        </w:rPr>
        <w:t xml:space="preserve">Le projet proposé est de portée nationale et </w:t>
      </w:r>
      <w:r w:rsidR="00EA6BDE">
        <w:rPr>
          <w:sz w:val="22"/>
          <w:lang w:val="fr-FR"/>
        </w:rPr>
        <w:t>implique</w:t>
      </w:r>
      <w:r w:rsidRPr="00D538CC">
        <w:rPr>
          <w:sz w:val="22"/>
          <w:lang w:val="fr-FR"/>
        </w:rPr>
        <w:t xml:space="preserve"> la participation des communautés des trois régions du Malawi, la Commission nationale du Malawi pour l</w:t>
      </w:r>
      <w:r w:rsidR="0070396D">
        <w:rPr>
          <w:sz w:val="22"/>
          <w:lang w:val="fr-FR"/>
        </w:rPr>
        <w:t>’</w:t>
      </w:r>
      <w:r w:rsidRPr="00D538CC">
        <w:rPr>
          <w:sz w:val="22"/>
          <w:lang w:val="fr-FR"/>
        </w:rPr>
        <w:t xml:space="preserve">UNESCO devant jouer un rôle essentiel. Il prévoit également la collaboration avec diverses institutions nationales dans le domaine de la culture, chacune </w:t>
      </w:r>
      <w:proofErr w:type="gramStart"/>
      <w:r w:rsidRPr="00D538CC">
        <w:rPr>
          <w:sz w:val="22"/>
          <w:lang w:val="fr-FR"/>
        </w:rPr>
        <w:t>ayant</w:t>
      </w:r>
      <w:proofErr w:type="gramEnd"/>
      <w:r w:rsidRPr="00D538CC">
        <w:rPr>
          <w:sz w:val="22"/>
          <w:lang w:val="fr-FR"/>
        </w:rPr>
        <w:t xml:space="preserve"> des responsabilités clairement définies. Par ailleurs, d</w:t>
      </w:r>
      <w:r w:rsidR="0070396D">
        <w:rPr>
          <w:sz w:val="22"/>
          <w:lang w:val="fr-FR"/>
        </w:rPr>
        <w:t>’</w:t>
      </w:r>
      <w:r w:rsidRPr="00D538CC">
        <w:rPr>
          <w:sz w:val="22"/>
          <w:lang w:val="fr-FR"/>
        </w:rPr>
        <w:t>importants éléments du projet seront réalisés sous l</w:t>
      </w:r>
      <w:r w:rsidR="0070396D">
        <w:rPr>
          <w:sz w:val="22"/>
          <w:lang w:val="fr-FR"/>
        </w:rPr>
        <w:t>’</w:t>
      </w:r>
      <w:r w:rsidRPr="00D538CC">
        <w:rPr>
          <w:sz w:val="22"/>
          <w:lang w:val="fr-FR"/>
        </w:rPr>
        <w:t xml:space="preserve">égide des autorités nationales </w:t>
      </w:r>
      <w:r w:rsidR="00EA6BDE">
        <w:rPr>
          <w:sz w:val="22"/>
          <w:lang w:val="fr-FR"/>
        </w:rPr>
        <w:t>en charge</w:t>
      </w:r>
      <w:r w:rsidR="00EA6BDE" w:rsidRPr="00D538CC">
        <w:rPr>
          <w:sz w:val="22"/>
          <w:lang w:val="fr-FR"/>
        </w:rPr>
        <w:t xml:space="preserve"> </w:t>
      </w:r>
      <w:r w:rsidRPr="00D538CC">
        <w:rPr>
          <w:sz w:val="22"/>
          <w:lang w:val="fr-FR"/>
        </w:rPr>
        <w:t>du sport et de l</w:t>
      </w:r>
      <w:r w:rsidR="0070396D">
        <w:rPr>
          <w:sz w:val="22"/>
          <w:lang w:val="fr-FR"/>
        </w:rPr>
        <w:t>’</w:t>
      </w:r>
      <w:r w:rsidRPr="00D538CC">
        <w:rPr>
          <w:sz w:val="22"/>
          <w:lang w:val="fr-FR"/>
        </w:rPr>
        <w:t>éducation.</w:t>
      </w:r>
    </w:p>
    <w:p w14:paraId="235BA339" w14:textId="6EDD1C00" w:rsidR="00D538CC" w:rsidRPr="00D538CC" w:rsidRDefault="00D538CC" w:rsidP="00D538CC">
      <w:pPr>
        <w:tabs>
          <w:tab w:val="left" w:pos="1134"/>
          <w:tab w:val="left" w:pos="1701"/>
          <w:tab w:val="left" w:pos="2268"/>
        </w:tabs>
        <w:spacing w:before="120" w:after="120"/>
        <w:ind w:left="1134"/>
        <w:jc w:val="both"/>
        <w:rPr>
          <w:rFonts w:cs="Arial"/>
          <w:sz w:val="22"/>
          <w:szCs w:val="22"/>
          <w:lang w:val="fr-FR"/>
        </w:rPr>
      </w:pPr>
      <w:r w:rsidRPr="00D538CC">
        <w:rPr>
          <w:b/>
          <w:sz w:val="22"/>
          <w:lang w:val="fr-FR"/>
        </w:rPr>
        <w:t xml:space="preserve">Paragraphe 10(b) : </w:t>
      </w:r>
      <w:r w:rsidRPr="00D538CC">
        <w:rPr>
          <w:sz w:val="22"/>
          <w:lang w:val="fr-FR"/>
        </w:rPr>
        <w:t xml:space="preserve">Le projet aura des effets multiplicateurs, dans la mesure où les universités et les communautés concernées seront encouragées à exploiter les résultats du projet pour mobiliser davantage de fonds afin de </w:t>
      </w:r>
      <w:r w:rsidR="00EA6BDE">
        <w:rPr>
          <w:sz w:val="22"/>
          <w:lang w:val="fr-FR"/>
        </w:rPr>
        <w:t>poursuivre</w:t>
      </w:r>
      <w:r w:rsidR="00EA6BDE" w:rsidRPr="00D538CC">
        <w:rPr>
          <w:sz w:val="22"/>
          <w:lang w:val="fr-FR"/>
        </w:rPr>
        <w:t xml:space="preserve"> </w:t>
      </w:r>
      <w:r w:rsidRPr="00D538CC">
        <w:rPr>
          <w:sz w:val="22"/>
          <w:lang w:val="fr-FR"/>
        </w:rPr>
        <w:t xml:space="preserve">la pratique des jeux traditionnels et de mettre </w:t>
      </w:r>
      <w:r w:rsidR="00EA6BDE">
        <w:rPr>
          <w:sz w:val="22"/>
          <w:lang w:val="fr-FR"/>
        </w:rPr>
        <w:t xml:space="preserve">en œuvre </w:t>
      </w:r>
      <w:r w:rsidRPr="00D538CC">
        <w:rPr>
          <w:sz w:val="22"/>
          <w:lang w:val="fr-FR"/>
        </w:rPr>
        <w:t xml:space="preserve">des mesures de sauvegarde </w:t>
      </w:r>
      <w:r w:rsidR="00EA6BDE">
        <w:rPr>
          <w:sz w:val="22"/>
          <w:lang w:val="fr-FR"/>
        </w:rPr>
        <w:t>pour</w:t>
      </w:r>
      <w:r w:rsidR="00EA6BDE" w:rsidRPr="00D538CC">
        <w:rPr>
          <w:sz w:val="22"/>
          <w:lang w:val="fr-FR"/>
        </w:rPr>
        <w:t xml:space="preserve"> </w:t>
      </w:r>
      <w:r w:rsidRPr="00D538CC">
        <w:rPr>
          <w:sz w:val="22"/>
          <w:lang w:val="fr-FR"/>
        </w:rPr>
        <w:t>d</w:t>
      </w:r>
      <w:r w:rsidR="0070396D">
        <w:rPr>
          <w:sz w:val="22"/>
          <w:lang w:val="fr-FR"/>
        </w:rPr>
        <w:t>’</w:t>
      </w:r>
      <w:r w:rsidRPr="00D538CC">
        <w:rPr>
          <w:sz w:val="22"/>
          <w:lang w:val="fr-FR"/>
        </w:rPr>
        <w:t>autres jeux et éléments. La mise en place d</w:t>
      </w:r>
      <w:r w:rsidR="0070396D">
        <w:rPr>
          <w:sz w:val="22"/>
          <w:lang w:val="fr-FR"/>
        </w:rPr>
        <w:t>’</w:t>
      </w:r>
      <w:r w:rsidRPr="00D538CC">
        <w:rPr>
          <w:sz w:val="22"/>
          <w:lang w:val="fr-FR"/>
        </w:rPr>
        <w:t>un programme d</w:t>
      </w:r>
      <w:r w:rsidR="0070396D">
        <w:rPr>
          <w:sz w:val="22"/>
          <w:lang w:val="fr-FR"/>
        </w:rPr>
        <w:t>’</w:t>
      </w:r>
      <w:r w:rsidRPr="00D538CC">
        <w:rPr>
          <w:sz w:val="22"/>
          <w:lang w:val="fr-FR"/>
        </w:rPr>
        <w:t>enseignement portant sur les jeux traditionnels et la formation des enseignants auront des effets durables sur la transmission des jeux traditionnels après la fin du projet. En outre, les stations de radio et les chaînes de télévision utiliseront les résultats du projet pour développer davantage de programmes sur les jeux traditionnels.</w:t>
      </w:r>
    </w:p>
    <w:p w14:paraId="0D919927" w14:textId="7771749A" w:rsidR="00D538CC" w:rsidRPr="00D538CC" w:rsidRDefault="00D538CC" w:rsidP="00D538CC">
      <w:pPr>
        <w:pStyle w:val="Style1"/>
        <w:numPr>
          <w:ilvl w:val="1"/>
          <w:numId w:val="33"/>
        </w:numPr>
        <w:ind w:left="1143"/>
        <w:rPr>
          <w:lang w:val="fr-FR"/>
        </w:rPr>
      </w:pPr>
      <w:r w:rsidRPr="00D538CC">
        <w:rPr>
          <w:u w:val="single"/>
          <w:lang w:val="fr-FR"/>
        </w:rPr>
        <w:t>Décide d</w:t>
      </w:r>
      <w:r w:rsidR="0070396D">
        <w:rPr>
          <w:u w:val="single"/>
          <w:lang w:val="fr-FR"/>
        </w:rPr>
        <w:t>’</w:t>
      </w:r>
      <w:r w:rsidRPr="00D538CC">
        <w:rPr>
          <w:u w:val="single"/>
          <w:lang w:val="fr-FR"/>
        </w:rPr>
        <w:t>approuver</w:t>
      </w:r>
      <w:r w:rsidRPr="00D538CC">
        <w:rPr>
          <w:lang w:val="fr-FR"/>
        </w:rPr>
        <w:t xml:space="preserve"> la demande d</w:t>
      </w:r>
      <w:r w:rsidR="0070396D">
        <w:rPr>
          <w:lang w:val="fr-FR"/>
        </w:rPr>
        <w:t>’</w:t>
      </w:r>
      <w:r w:rsidRPr="00D538CC">
        <w:rPr>
          <w:lang w:val="fr-FR"/>
        </w:rPr>
        <w:t xml:space="preserve">assistance internationale du Malawi concernant le projet intitulé </w:t>
      </w:r>
      <w:r w:rsidRPr="00D538CC">
        <w:rPr>
          <w:b/>
          <w:bCs/>
          <w:lang w:val="fr-FR"/>
        </w:rPr>
        <w:t xml:space="preserve">La sauvegarde de la ludodiversité </w:t>
      </w:r>
      <w:r w:rsidR="00614F13">
        <w:rPr>
          <w:b/>
          <w:bCs/>
          <w:lang w:val="fr-FR"/>
        </w:rPr>
        <w:t>a</w:t>
      </w:r>
      <w:r w:rsidRPr="00D538CC">
        <w:rPr>
          <w:b/>
          <w:bCs/>
          <w:lang w:val="fr-FR"/>
        </w:rPr>
        <w:t>u Malawi par l</w:t>
      </w:r>
      <w:r w:rsidR="0070396D">
        <w:rPr>
          <w:b/>
          <w:bCs/>
          <w:lang w:val="fr-FR"/>
        </w:rPr>
        <w:t>’</w:t>
      </w:r>
      <w:r w:rsidRPr="00D538CC">
        <w:rPr>
          <w:b/>
          <w:bCs/>
          <w:lang w:val="fr-FR"/>
        </w:rPr>
        <w:t>éducation formelle et non formelle</w:t>
      </w:r>
      <w:r w:rsidRPr="00D538CC">
        <w:rPr>
          <w:lang w:val="fr-FR"/>
        </w:rPr>
        <w:t xml:space="preserve"> et </w:t>
      </w:r>
      <w:r w:rsidRPr="00D538CC">
        <w:rPr>
          <w:u w:val="single"/>
          <w:lang w:val="fr-FR"/>
        </w:rPr>
        <w:t>accorde</w:t>
      </w:r>
      <w:r w:rsidRPr="00D538CC">
        <w:rPr>
          <w:lang w:val="fr-FR"/>
        </w:rPr>
        <w:t xml:space="preserve"> le montant de 305 144 dollars des États-Unis à l</w:t>
      </w:r>
      <w:r w:rsidR="0070396D">
        <w:rPr>
          <w:lang w:val="fr-FR"/>
        </w:rPr>
        <w:t>’</w:t>
      </w:r>
      <w:r w:rsidRPr="00D538CC">
        <w:rPr>
          <w:lang w:val="fr-FR"/>
        </w:rPr>
        <w:t>État partie à cette fin ;</w:t>
      </w:r>
    </w:p>
    <w:p w14:paraId="25AD1FAC" w14:textId="2FC245B5" w:rsidR="00D538CC" w:rsidRPr="00D538CC" w:rsidRDefault="00D538CC" w:rsidP="00D538CC">
      <w:pPr>
        <w:pStyle w:val="Style1"/>
        <w:numPr>
          <w:ilvl w:val="1"/>
          <w:numId w:val="33"/>
        </w:numPr>
        <w:ind w:left="1143"/>
        <w:rPr>
          <w:lang w:val="fr-FR"/>
        </w:rPr>
      </w:pPr>
      <w:r w:rsidRPr="00D538CC">
        <w:rPr>
          <w:u w:val="single"/>
          <w:lang w:val="fr-FR"/>
        </w:rPr>
        <w:t>Demande</w:t>
      </w:r>
      <w:r w:rsidRPr="00D538CC">
        <w:rPr>
          <w:lang w:val="fr-FR"/>
        </w:rPr>
        <w:t xml:space="preserve"> au Secrétariat de se mettre d</w:t>
      </w:r>
      <w:r w:rsidR="0070396D">
        <w:rPr>
          <w:lang w:val="fr-FR"/>
        </w:rPr>
        <w:t>’</w:t>
      </w:r>
      <w:r w:rsidRPr="00D538CC">
        <w:rPr>
          <w:lang w:val="fr-FR"/>
        </w:rPr>
        <w:t>accord avec l</w:t>
      </w:r>
      <w:r w:rsidR="0070396D">
        <w:rPr>
          <w:lang w:val="fr-FR"/>
        </w:rPr>
        <w:t>’</w:t>
      </w:r>
      <w:r w:rsidRPr="00D538CC">
        <w:rPr>
          <w:lang w:val="fr-FR"/>
        </w:rPr>
        <w:t>État partie demandeur sur les détails techniques de l</w:t>
      </w:r>
      <w:r w:rsidR="0070396D">
        <w:rPr>
          <w:lang w:val="fr-FR"/>
        </w:rPr>
        <w:t>’</w:t>
      </w:r>
      <w:r w:rsidRPr="00D538CC">
        <w:rPr>
          <w:lang w:val="fr-FR"/>
        </w:rPr>
        <w:t>assistance, avant et pendant la mise en œuvre du projet, en veillant en particulier à ce que le budget, le calendrier et le plan de travail des activités qui seront financées par le Fonds du patrimoine culturel immatériel soient suffisamment détaillés et précis pour justifier les dépenses ;</w:t>
      </w:r>
    </w:p>
    <w:p w14:paraId="7DA4CD4B" w14:textId="090C59B1" w:rsidR="00D538CC" w:rsidRPr="00D538CC" w:rsidRDefault="00D538CC" w:rsidP="00D538CC">
      <w:pPr>
        <w:pStyle w:val="Style1"/>
        <w:numPr>
          <w:ilvl w:val="1"/>
          <w:numId w:val="33"/>
        </w:numPr>
        <w:ind w:left="1143"/>
        <w:rPr>
          <w:lang w:val="fr-FR"/>
        </w:rPr>
      </w:pPr>
      <w:r w:rsidRPr="00D538CC">
        <w:rPr>
          <w:u w:val="single"/>
          <w:lang w:val="fr-FR"/>
        </w:rPr>
        <w:t>Invite</w:t>
      </w:r>
      <w:r w:rsidRPr="00D538CC">
        <w:rPr>
          <w:lang w:val="fr-FR"/>
        </w:rPr>
        <w:t xml:space="preserve"> l</w:t>
      </w:r>
      <w:r w:rsidR="0070396D">
        <w:rPr>
          <w:lang w:val="fr-FR"/>
        </w:rPr>
        <w:t>’</w:t>
      </w:r>
      <w:r w:rsidRPr="00D538CC">
        <w:rPr>
          <w:lang w:val="fr-FR"/>
        </w:rPr>
        <w:t>État partie à utiliser le formulaire ICH-04-Rapport pour rendre compte de l</w:t>
      </w:r>
      <w:r w:rsidR="0070396D">
        <w:rPr>
          <w:lang w:val="fr-FR"/>
        </w:rPr>
        <w:t>’</w:t>
      </w:r>
      <w:r w:rsidRPr="00D538CC">
        <w:rPr>
          <w:lang w:val="fr-FR"/>
        </w:rPr>
        <w:t>utilisation de l</w:t>
      </w:r>
      <w:r w:rsidR="0070396D">
        <w:rPr>
          <w:lang w:val="fr-FR"/>
        </w:rPr>
        <w:t>’</w:t>
      </w:r>
      <w:r w:rsidRPr="00D538CC">
        <w:rPr>
          <w:lang w:val="fr-FR"/>
        </w:rPr>
        <w:t>assistance accordée</w:t>
      </w:r>
      <w:r w:rsidR="00EA6BDE">
        <w:rPr>
          <w:lang w:val="fr-FR"/>
        </w:rPr>
        <w:t> ;</w:t>
      </w:r>
    </w:p>
    <w:p w14:paraId="478F30B1" w14:textId="042AC66E" w:rsidR="008010EE" w:rsidRPr="00D538CC" w:rsidRDefault="00D538CC" w:rsidP="00D538CC">
      <w:pPr>
        <w:pStyle w:val="Style1"/>
        <w:numPr>
          <w:ilvl w:val="1"/>
          <w:numId w:val="33"/>
        </w:numPr>
        <w:ind w:left="1143"/>
        <w:rPr>
          <w:rFonts w:eastAsia="SimSun"/>
          <w:color w:val="000000"/>
          <w:lang w:val="fr-FR"/>
        </w:rPr>
      </w:pPr>
      <w:r w:rsidRPr="00D538CC">
        <w:rPr>
          <w:u w:val="single"/>
          <w:lang w:val="fr-FR"/>
        </w:rPr>
        <w:t>Félicite</w:t>
      </w:r>
      <w:r w:rsidRPr="00D538CC">
        <w:rPr>
          <w:lang w:val="fr-FR"/>
        </w:rPr>
        <w:t xml:space="preserve"> l</w:t>
      </w:r>
      <w:r w:rsidR="0070396D">
        <w:rPr>
          <w:lang w:val="fr-FR"/>
        </w:rPr>
        <w:t>’</w:t>
      </w:r>
      <w:r w:rsidRPr="00D538CC">
        <w:rPr>
          <w:lang w:val="fr-FR"/>
        </w:rPr>
        <w:t xml:space="preserve">État partie </w:t>
      </w:r>
      <w:r w:rsidRPr="00D538CC">
        <w:rPr>
          <w:color w:val="000000"/>
          <w:lang w:val="fr-FR"/>
        </w:rPr>
        <w:t>pour la soumission d</w:t>
      </w:r>
      <w:r w:rsidR="0070396D">
        <w:rPr>
          <w:color w:val="000000"/>
          <w:lang w:val="fr-FR"/>
        </w:rPr>
        <w:t>’</w:t>
      </w:r>
      <w:r w:rsidRPr="00D538CC">
        <w:rPr>
          <w:color w:val="000000"/>
          <w:lang w:val="fr-FR"/>
        </w:rPr>
        <w:t>un</w:t>
      </w:r>
      <w:r w:rsidR="00EA6BDE">
        <w:rPr>
          <w:color w:val="000000"/>
          <w:lang w:val="fr-FR"/>
        </w:rPr>
        <w:t>e</w:t>
      </w:r>
      <w:r w:rsidRPr="00D538CC">
        <w:rPr>
          <w:color w:val="000000"/>
          <w:lang w:val="fr-FR"/>
        </w:rPr>
        <w:t xml:space="preserve"> </w:t>
      </w:r>
      <w:r w:rsidR="00EA6BDE">
        <w:rPr>
          <w:color w:val="000000"/>
          <w:lang w:val="fr-FR"/>
        </w:rPr>
        <w:t>demande</w:t>
      </w:r>
      <w:r w:rsidR="00EA6BDE" w:rsidRPr="00D538CC">
        <w:rPr>
          <w:color w:val="000000"/>
          <w:lang w:val="fr-FR"/>
        </w:rPr>
        <w:t xml:space="preserve"> </w:t>
      </w:r>
      <w:r w:rsidRPr="00D538CC">
        <w:rPr>
          <w:color w:val="000000"/>
          <w:lang w:val="fr-FR"/>
        </w:rPr>
        <w:t>amélioré</w:t>
      </w:r>
      <w:r w:rsidR="00EA6BDE">
        <w:rPr>
          <w:color w:val="000000"/>
          <w:lang w:val="fr-FR"/>
        </w:rPr>
        <w:t>e</w:t>
      </w:r>
      <w:r w:rsidRPr="00D538CC">
        <w:rPr>
          <w:color w:val="000000"/>
          <w:lang w:val="fr-FR"/>
        </w:rPr>
        <w:t xml:space="preserve"> </w:t>
      </w:r>
      <w:r w:rsidR="0070396D" w:rsidRPr="00D538CC">
        <w:rPr>
          <w:color w:val="000000"/>
          <w:lang w:val="fr-FR"/>
        </w:rPr>
        <w:t>à la suite de</w:t>
      </w:r>
      <w:r w:rsidRPr="00D538CC">
        <w:rPr>
          <w:color w:val="000000"/>
          <w:lang w:val="fr-FR"/>
        </w:rPr>
        <w:t xml:space="preserve"> la décision du Comité de renvoyer la candidature en 2020.</w:t>
      </w:r>
    </w:p>
    <w:sectPr w:rsidR="008010EE" w:rsidRPr="00D538CC" w:rsidSect="007E3FB0">
      <w:headerReference w:type="even" r:id="rId13"/>
      <w:headerReference w:type="default" r:id="rId14"/>
      <w:footerReference w:type="default" r:id="rId15"/>
      <w:headerReference w:type="first" r:id="rId16"/>
      <w:type w:val="continuous"/>
      <w:pgSz w:w="11906" w:h="16838"/>
      <w:pgMar w:top="1418" w:right="1134" w:bottom="1134" w:left="1134" w:header="709" w:footer="40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6663" w14:textId="77777777" w:rsidR="0017744E" w:rsidRDefault="0017744E" w:rsidP="004963DE">
      <w:r>
        <w:separator/>
      </w:r>
    </w:p>
  </w:endnote>
  <w:endnote w:type="continuationSeparator" w:id="0">
    <w:p w14:paraId="75248228" w14:textId="77777777" w:rsidR="0017744E" w:rsidRDefault="0017744E"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D850" w14:textId="3935E0EF" w:rsidR="007B4429" w:rsidRPr="00845432" w:rsidRDefault="007B4429" w:rsidP="00845432">
    <w:pPr>
      <w:pStyle w:val="Footer"/>
      <w:tabs>
        <w:tab w:val="clear" w:pos="4513"/>
        <w:tab w:val="clear" w:pos="9026"/>
        <w:tab w:val="right" w:pos="9639"/>
      </w:tabs>
      <w:rPr>
        <w:sz w:val="22"/>
        <w:szCs w:val="22"/>
      </w:rPr>
    </w:pP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4CB9" w14:textId="77777777" w:rsidR="0017744E" w:rsidRDefault="0017744E" w:rsidP="004963DE">
      <w:r>
        <w:separator/>
      </w:r>
    </w:p>
  </w:footnote>
  <w:footnote w:type="continuationSeparator" w:id="0">
    <w:p w14:paraId="087FC5BA" w14:textId="77777777" w:rsidR="0017744E" w:rsidRDefault="0017744E"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A207" w14:textId="0E496E35" w:rsidR="007B4429" w:rsidRPr="00093D5A" w:rsidRDefault="005619D1" w:rsidP="00D519E8">
    <w:pPr>
      <w:pStyle w:val="Header"/>
      <w:rPr>
        <w:rFonts w:cs="Arial"/>
      </w:rPr>
    </w:pPr>
    <w:r w:rsidRPr="009621EB">
      <w:rPr>
        <w:rFonts w:cs="Arial"/>
        <w:sz w:val="20"/>
        <w:szCs w:val="20"/>
      </w:rPr>
      <w:t>LHE/2</w:t>
    </w:r>
    <w:r w:rsidR="00D538CC">
      <w:rPr>
        <w:rFonts w:cs="Arial"/>
        <w:sz w:val="20"/>
        <w:szCs w:val="20"/>
      </w:rPr>
      <w:t>2</w:t>
    </w:r>
    <w:r w:rsidRPr="009621EB">
      <w:rPr>
        <w:rFonts w:cs="Arial"/>
        <w:sz w:val="20"/>
        <w:szCs w:val="20"/>
      </w:rPr>
      <w:t>/1</w:t>
    </w:r>
    <w:r w:rsidR="00D538CC">
      <w:rPr>
        <w:rFonts w:cs="Arial"/>
        <w:sz w:val="20"/>
        <w:szCs w:val="20"/>
      </w:rPr>
      <w:t>7</w:t>
    </w:r>
    <w:r w:rsidRPr="009621EB">
      <w:rPr>
        <w:rFonts w:cs="Arial"/>
        <w:sz w:val="20"/>
        <w:szCs w:val="20"/>
      </w:rPr>
      <w:t>.COM</w:t>
    </w:r>
    <w:r w:rsidR="00C671AB">
      <w:rPr>
        <w:rFonts w:cs="Arial"/>
        <w:sz w:val="20"/>
        <w:szCs w:val="20"/>
      </w:rPr>
      <w:t>/</w:t>
    </w:r>
    <w:proofErr w:type="gramStart"/>
    <w:r w:rsidR="00C671AB">
      <w:rPr>
        <w:rFonts w:cs="Arial"/>
        <w:sz w:val="20"/>
        <w:szCs w:val="20"/>
      </w:rPr>
      <w:t>7.d</w:t>
    </w:r>
    <w:proofErr w:type="gramEnd"/>
    <w:r w:rsidR="007B4429" w:rsidRPr="009271F2">
      <w:rPr>
        <w:rFonts w:cs="Arial"/>
        <w:sz w:val="20"/>
        <w:szCs w:val="20"/>
      </w:rPr>
      <w:t xml:space="preserve"> –</w:t>
    </w:r>
    <w:r w:rsidR="007B4429" w:rsidRPr="0063300C">
      <w:rPr>
        <w:rFonts w:cs="Arial"/>
        <w:sz w:val="20"/>
        <w:szCs w:val="20"/>
      </w:rPr>
      <w:t xml:space="preserve"> page </w:t>
    </w:r>
    <w:r w:rsidR="007B4429" w:rsidRPr="0063300C">
      <w:rPr>
        <w:rStyle w:val="PageNumber"/>
        <w:rFonts w:cs="Arial"/>
        <w:sz w:val="20"/>
        <w:szCs w:val="20"/>
      </w:rPr>
      <w:fldChar w:fldCharType="begin"/>
    </w:r>
    <w:r w:rsidR="007B4429" w:rsidRPr="0063300C">
      <w:rPr>
        <w:rStyle w:val="PageNumber"/>
        <w:rFonts w:cs="Arial"/>
        <w:sz w:val="20"/>
        <w:szCs w:val="20"/>
      </w:rPr>
      <w:instrText xml:space="preserve"> PAGE </w:instrText>
    </w:r>
    <w:r w:rsidR="007B4429" w:rsidRPr="0063300C">
      <w:rPr>
        <w:rStyle w:val="PageNumber"/>
        <w:rFonts w:cs="Arial"/>
        <w:sz w:val="20"/>
        <w:szCs w:val="20"/>
      </w:rPr>
      <w:fldChar w:fldCharType="separate"/>
    </w:r>
    <w:r w:rsidR="007B4429">
      <w:rPr>
        <w:rStyle w:val="PageNumber"/>
        <w:rFonts w:cs="Arial"/>
        <w:noProof/>
        <w:sz w:val="20"/>
        <w:szCs w:val="20"/>
      </w:rPr>
      <w:t>6</w:t>
    </w:r>
    <w:r w:rsidR="007B4429" w:rsidRPr="0063300C">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573B" w14:textId="2EAC728C" w:rsidR="007B4429" w:rsidRPr="00093D5A" w:rsidRDefault="005619D1" w:rsidP="00D519E8">
    <w:pPr>
      <w:pStyle w:val="Header"/>
      <w:jc w:val="right"/>
      <w:rPr>
        <w:rFonts w:cs="Arial"/>
      </w:rPr>
    </w:pPr>
    <w:r w:rsidRPr="00F645FD">
      <w:rPr>
        <w:rFonts w:cs="Arial"/>
        <w:sz w:val="20"/>
        <w:szCs w:val="20"/>
      </w:rPr>
      <w:t>LHE/2</w:t>
    </w:r>
    <w:r w:rsidR="00D538CC">
      <w:rPr>
        <w:rFonts w:cs="Arial"/>
        <w:sz w:val="20"/>
        <w:szCs w:val="20"/>
      </w:rPr>
      <w:t>2</w:t>
    </w:r>
    <w:r w:rsidRPr="00F645FD">
      <w:rPr>
        <w:rFonts w:cs="Arial"/>
        <w:sz w:val="20"/>
        <w:szCs w:val="20"/>
      </w:rPr>
      <w:t>/1</w:t>
    </w:r>
    <w:r w:rsidR="00D538CC">
      <w:rPr>
        <w:rFonts w:cs="Arial"/>
        <w:sz w:val="20"/>
        <w:szCs w:val="20"/>
      </w:rPr>
      <w:t>7</w:t>
    </w:r>
    <w:r w:rsidRPr="00F645FD">
      <w:rPr>
        <w:rFonts w:cs="Arial"/>
        <w:sz w:val="20"/>
        <w:szCs w:val="20"/>
      </w:rPr>
      <w:t>.COM</w:t>
    </w:r>
    <w:r w:rsidR="00C671AB">
      <w:rPr>
        <w:rFonts w:cs="Arial"/>
        <w:sz w:val="20"/>
        <w:szCs w:val="20"/>
      </w:rPr>
      <w:t>/</w:t>
    </w:r>
    <w:proofErr w:type="gramStart"/>
    <w:r w:rsidR="00C671AB">
      <w:rPr>
        <w:rFonts w:cs="Arial"/>
        <w:sz w:val="20"/>
        <w:szCs w:val="20"/>
      </w:rPr>
      <w:t>7.d</w:t>
    </w:r>
    <w:proofErr w:type="gramEnd"/>
    <w:r w:rsidR="007B4429" w:rsidRPr="009271F2">
      <w:rPr>
        <w:rFonts w:cs="Arial"/>
        <w:sz w:val="20"/>
        <w:szCs w:val="20"/>
      </w:rPr>
      <w:t xml:space="preserve"> – page </w:t>
    </w:r>
    <w:r w:rsidR="007B4429" w:rsidRPr="009271F2">
      <w:rPr>
        <w:rStyle w:val="PageNumber"/>
        <w:rFonts w:cs="Arial"/>
        <w:sz w:val="20"/>
        <w:szCs w:val="20"/>
      </w:rPr>
      <w:fldChar w:fldCharType="begin"/>
    </w:r>
    <w:r w:rsidR="007B4429" w:rsidRPr="009271F2">
      <w:rPr>
        <w:rStyle w:val="PageNumber"/>
        <w:rFonts w:cs="Arial"/>
        <w:sz w:val="20"/>
        <w:szCs w:val="20"/>
      </w:rPr>
      <w:instrText xml:space="preserve"> PAGE </w:instrText>
    </w:r>
    <w:r w:rsidR="007B4429" w:rsidRPr="009271F2">
      <w:rPr>
        <w:rStyle w:val="PageNumber"/>
        <w:rFonts w:cs="Arial"/>
        <w:sz w:val="20"/>
        <w:szCs w:val="20"/>
      </w:rPr>
      <w:fldChar w:fldCharType="separate"/>
    </w:r>
    <w:r w:rsidR="007B4429" w:rsidRPr="009271F2">
      <w:rPr>
        <w:rStyle w:val="PageNumber"/>
        <w:rFonts w:cs="Arial"/>
        <w:noProof/>
        <w:sz w:val="20"/>
        <w:szCs w:val="20"/>
      </w:rPr>
      <w:t>3</w:t>
    </w:r>
    <w:r w:rsidR="007B4429" w:rsidRPr="009271F2">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812" w14:textId="77777777" w:rsidR="00F645FD" w:rsidRPr="008B64DF" w:rsidRDefault="00F645FD" w:rsidP="00F645FD">
    <w:pPr>
      <w:pStyle w:val="Header"/>
      <w:rPr>
        <w:sz w:val="22"/>
        <w:szCs w:val="22"/>
      </w:rPr>
    </w:pPr>
    <w:r>
      <w:rPr>
        <w:rFonts w:cs="Arial"/>
        <w:b/>
        <w:noProof/>
        <w:sz w:val="44"/>
        <w:szCs w:val="44"/>
        <w:lang w:val="pt-PT"/>
      </w:rPr>
      <w:drawing>
        <wp:anchor distT="0" distB="0" distL="114300" distR="114300" simplePos="0" relativeHeight="251659264" behindDoc="1" locked="0" layoutInCell="1" allowOverlap="1" wp14:anchorId="41165C81" wp14:editId="11E79623">
          <wp:simplePos x="0" y="0"/>
          <wp:positionH relativeFrom="column">
            <wp:posOffset>1270</wp:posOffset>
          </wp:positionH>
          <wp:positionV relativeFrom="paragraph">
            <wp:posOffset>160020</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7F36" w14:textId="65C26D66" w:rsidR="00F645FD" w:rsidRPr="00FC4A15" w:rsidRDefault="00F645FD" w:rsidP="00F645FD">
    <w:pPr>
      <w:pStyle w:val="Header"/>
      <w:spacing w:after="520"/>
      <w:jc w:val="right"/>
      <w:rPr>
        <w:rFonts w:cs="Arial"/>
        <w:b/>
        <w:color w:val="0070C0"/>
        <w:sz w:val="44"/>
        <w:szCs w:val="44"/>
        <w:lang w:val="pt-PT"/>
      </w:rPr>
    </w:pPr>
    <w:r w:rsidRPr="00FC4A15">
      <w:rPr>
        <w:rFonts w:cs="Arial"/>
        <w:b/>
        <w:color w:val="0070C0"/>
        <w:sz w:val="44"/>
        <w:szCs w:val="44"/>
        <w:lang w:val="pt-PT"/>
      </w:rPr>
      <w:t>1</w:t>
    </w:r>
    <w:r w:rsidR="00D538CC">
      <w:rPr>
        <w:rFonts w:cs="Arial"/>
        <w:b/>
        <w:color w:val="0070C0"/>
        <w:sz w:val="44"/>
        <w:szCs w:val="44"/>
        <w:lang w:val="pt-PT"/>
      </w:rPr>
      <w:t>7</w:t>
    </w:r>
    <w:r w:rsidRPr="00FC4A15">
      <w:rPr>
        <w:rFonts w:cs="Arial"/>
        <w:b/>
        <w:color w:val="0070C0"/>
        <w:sz w:val="44"/>
        <w:szCs w:val="44"/>
        <w:lang w:val="pt-PT"/>
      </w:rPr>
      <w:t xml:space="preserve"> COM</w:t>
    </w:r>
  </w:p>
  <w:p w14:paraId="5945F7D5" w14:textId="40708233" w:rsidR="00F645FD" w:rsidRDefault="00F645FD" w:rsidP="00F645FD">
    <w:pPr>
      <w:jc w:val="right"/>
      <w:rPr>
        <w:rFonts w:cs="Arial"/>
        <w:b/>
        <w:color w:val="0070C0"/>
        <w:sz w:val="22"/>
        <w:szCs w:val="22"/>
        <w:lang w:val="pt-PT"/>
      </w:rPr>
    </w:pPr>
    <w:r w:rsidRPr="00FC4A15">
      <w:rPr>
        <w:rFonts w:cs="Arial"/>
        <w:b/>
        <w:color w:val="0070C0"/>
        <w:sz w:val="22"/>
        <w:szCs w:val="22"/>
        <w:lang w:val="pt-PT"/>
      </w:rPr>
      <w:t>LHE/2</w:t>
    </w:r>
    <w:r w:rsidR="00D538CC">
      <w:rPr>
        <w:rFonts w:cs="Arial"/>
        <w:b/>
        <w:color w:val="0070C0"/>
        <w:sz w:val="22"/>
        <w:szCs w:val="22"/>
        <w:lang w:val="pt-PT"/>
      </w:rPr>
      <w:t>2</w:t>
    </w:r>
    <w:r w:rsidRPr="00FC4A15">
      <w:rPr>
        <w:rFonts w:cs="Arial"/>
        <w:b/>
        <w:color w:val="0070C0"/>
        <w:sz w:val="22"/>
        <w:szCs w:val="22"/>
        <w:lang w:val="pt-PT"/>
      </w:rPr>
      <w:t>/1</w:t>
    </w:r>
    <w:r w:rsidR="00D538CC">
      <w:rPr>
        <w:rFonts w:cs="Arial"/>
        <w:b/>
        <w:color w:val="0070C0"/>
        <w:sz w:val="22"/>
        <w:szCs w:val="22"/>
        <w:lang w:val="pt-PT"/>
      </w:rPr>
      <w:t>7</w:t>
    </w:r>
    <w:r w:rsidRPr="00FC4A15">
      <w:rPr>
        <w:rFonts w:cs="Arial"/>
        <w:b/>
        <w:color w:val="0070C0"/>
        <w:sz w:val="22"/>
        <w:szCs w:val="22"/>
        <w:lang w:val="pt-PT"/>
      </w:rPr>
      <w:t>.COM</w:t>
    </w:r>
    <w:r w:rsidR="00C671AB">
      <w:rPr>
        <w:rFonts w:cs="Arial"/>
        <w:b/>
        <w:color w:val="0070C0"/>
        <w:sz w:val="22"/>
        <w:szCs w:val="22"/>
        <w:lang w:val="pt-PT"/>
      </w:rPr>
      <w:t>/7.d</w:t>
    </w:r>
  </w:p>
  <w:p w14:paraId="6C418F93" w14:textId="433EA32C" w:rsidR="00F645FD" w:rsidRPr="00825C0C" w:rsidRDefault="00F645FD" w:rsidP="00F645FD">
    <w:pPr>
      <w:jc w:val="right"/>
      <w:rPr>
        <w:rFonts w:eastAsiaTheme="minorEastAsia" w:cs="Arial"/>
        <w:b/>
        <w:color w:val="0070C0"/>
        <w:sz w:val="22"/>
        <w:szCs w:val="22"/>
        <w:lang w:val="pt-PT" w:eastAsia="ko-KR"/>
      </w:rPr>
    </w:pPr>
    <w:r w:rsidRPr="00825C0C">
      <w:rPr>
        <w:rFonts w:cs="Arial"/>
        <w:b/>
        <w:color w:val="0070C0"/>
        <w:sz w:val="22"/>
        <w:szCs w:val="22"/>
        <w:lang w:val="pt-PT"/>
      </w:rPr>
      <w:t xml:space="preserve">Paris, le </w:t>
    </w:r>
    <w:r w:rsidR="00C671AB">
      <w:rPr>
        <w:rFonts w:cs="Arial"/>
        <w:b/>
        <w:color w:val="0070C0"/>
        <w:sz w:val="22"/>
        <w:szCs w:val="22"/>
        <w:lang w:val="pt-PT"/>
      </w:rPr>
      <w:t>31</w:t>
    </w:r>
    <w:r w:rsidR="008E5769">
      <w:rPr>
        <w:rFonts w:cs="Arial"/>
        <w:b/>
        <w:color w:val="0070C0"/>
        <w:sz w:val="22"/>
        <w:szCs w:val="22"/>
        <w:lang w:val="pt-PT"/>
      </w:rPr>
      <w:t xml:space="preserve"> octobre</w:t>
    </w:r>
    <w:r w:rsidRPr="00825C0C">
      <w:rPr>
        <w:rFonts w:cs="Arial"/>
        <w:b/>
        <w:color w:val="0070C0"/>
        <w:sz w:val="22"/>
        <w:szCs w:val="22"/>
        <w:lang w:val="pt-PT"/>
      </w:rPr>
      <w:t xml:space="preserve"> 202</w:t>
    </w:r>
    <w:r w:rsidR="00D538CC">
      <w:rPr>
        <w:rFonts w:cs="Arial"/>
        <w:b/>
        <w:color w:val="0070C0"/>
        <w:sz w:val="22"/>
        <w:szCs w:val="22"/>
        <w:lang w:val="pt-PT"/>
      </w:rPr>
      <w:t>2</w:t>
    </w:r>
  </w:p>
  <w:p w14:paraId="27BCF26E" w14:textId="7520AB03" w:rsidR="008010EE" w:rsidRPr="00F645FD" w:rsidRDefault="00F645FD" w:rsidP="00F645FD">
    <w:pPr>
      <w:tabs>
        <w:tab w:val="left" w:pos="285"/>
        <w:tab w:val="right" w:pos="6840"/>
      </w:tabs>
      <w:spacing w:after="480"/>
      <w:jc w:val="right"/>
      <w:rPr>
        <w:rFonts w:cs="Arial"/>
        <w:b/>
        <w:color w:val="0070C0"/>
        <w:sz w:val="22"/>
        <w:szCs w:val="22"/>
        <w:lang w:val="fr-FR"/>
      </w:rPr>
    </w:pPr>
    <w:r w:rsidRPr="00F645FD">
      <w:rPr>
        <w:rFonts w:cs="Arial"/>
        <w:b/>
        <w:color w:val="0070C0"/>
        <w:sz w:val="22"/>
        <w:szCs w:val="22"/>
        <w:lang w:val="fr-FR"/>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E483F"/>
    <w:multiLevelType w:val="multilevel"/>
    <w:tmpl w:val="E70EBFFC"/>
    <w:numStyleLink w:val="Headingsubdecision"/>
  </w:abstractNum>
  <w:abstractNum w:abstractNumId="5"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786D18"/>
    <w:multiLevelType w:val="multilevel"/>
    <w:tmpl w:val="E70EBFFC"/>
    <w:numStyleLink w:val="Headingsubdecision"/>
  </w:abstractNum>
  <w:abstractNum w:abstractNumId="11"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117AC"/>
    <w:multiLevelType w:val="multilevel"/>
    <w:tmpl w:val="E70EBFFC"/>
    <w:numStyleLink w:val="Headingsubdecision"/>
  </w:abstractNum>
  <w:abstractNum w:abstractNumId="14" w15:restartNumberingAfterBreak="0">
    <w:nsid w:val="50522735"/>
    <w:multiLevelType w:val="multilevel"/>
    <w:tmpl w:val="E70EBFFC"/>
    <w:numStyleLink w:val="Headingsubdecision"/>
  </w:abstractNum>
  <w:abstractNum w:abstractNumId="15"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F71502"/>
    <w:multiLevelType w:val="multilevel"/>
    <w:tmpl w:val="E70EBFFC"/>
    <w:numStyleLink w:val="Headingsubdecision"/>
  </w:abstractNum>
  <w:abstractNum w:abstractNumId="20"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5"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3979"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28"/>
  </w:num>
  <w:num w:numId="4">
    <w:abstractNumId w:val="5"/>
  </w:num>
  <w:num w:numId="5">
    <w:abstractNumId w:val="2"/>
  </w:num>
  <w:num w:numId="6">
    <w:abstractNumId w:val="7"/>
  </w:num>
  <w:num w:numId="7">
    <w:abstractNumId w:val="24"/>
  </w:num>
  <w:num w:numId="8">
    <w:abstractNumId w:val="0"/>
  </w:num>
  <w:num w:numId="9">
    <w:abstractNumId w:val="16"/>
  </w:num>
  <w:num w:numId="10">
    <w:abstractNumId w:val="11"/>
  </w:num>
  <w:num w:numId="11">
    <w:abstractNumId w:val="17"/>
  </w:num>
  <w:num w:numId="12">
    <w:abstractNumId w:val="9"/>
  </w:num>
  <w:num w:numId="13">
    <w:abstractNumId w:val="18"/>
  </w:num>
  <w:num w:numId="14">
    <w:abstractNumId w:val="21"/>
  </w:num>
  <w:num w:numId="15">
    <w:abstractNumId w:val="20"/>
  </w:num>
  <w:num w:numId="16">
    <w:abstractNumId w:val="15"/>
  </w:num>
  <w:num w:numId="17">
    <w:abstractNumId w:val="25"/>
  </w:num>
  <w:num w:numId="18">
    <w:abstractNumId w:val="8"/>
  </w:num>
  <w:num w:numId="19">
    <w:abstractNumId w:val="12"/>
  </w:num>
  <w:num w:numId="20">
    <w:abstractNumId w:val="3"/>
  </w:num>
  <w:num w:numId="21">
    <w:abstractNumId w:val="29"/>
  </w:num>
  <w:num w:numId="22">
    <w:abstractNumId w:val="6"/>
  </w:num>
  <w:num w:numId="23">
    <w:abstractNumId w:val="26"/>
  </w:num>
  <w:num w:numId="24">
    <w:abstractNumId w:val="19"/>
  </w:num>
  <w:num w:numId="25">
    <w:abstractNumId w:val="10"/>
  </w:num>
  <w:num w:numId="26">
    <w:abstractNumId w:val="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num>
  <w:num w:numId="42">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7"/>
    </w:lvlOverride>
  </w:num>
  <w:num w:numId="45">
    <w:abstractNumId w:val="13"/>
    <w:lvlOverride w:ilvl="0">
      <w:startOverride w:val="1"/>
    </w:lvlOverride>
    <w:lvlOverride w:ilvl="1">
      <w:startOverride w:val="8"/>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21510"/>
    <w:rsid w:val="00022069"/>
    <w:rsid w:val="00022AE2"/>
    <w:rsid w:val="000242A6"/>
    <w:rsid w:val="000257B5"/>
    <w:rsid w:val="00034DB4"/>
    <w:rsid w:val="00035E2B"/>
    <w:rsid w:val="00036D4C"/>
    <w:rsid w:val="000408C3"/>
    <w:rsid w:val="00042D0B"/>
    <w:rsid w:val="00047975"/>
    <w:rsid w:val="0005012F"/>
    <w:rsid w:val="0005140B"/>
    <w:rsid w:val="000540B0"/>
    <w:rsid w:val="00062E0E"/>
    <w:rsid w:val="00075C4A"/>
    <w:rsid w:val="00077110"/>
    <w:rsid w:val="0008302D"/>
    <w:rsid w:val="00084A1C"/>
    <w:rsid w:val="00086B0C"/>
    <w:rsid w:val="00090B01"/>
    <w:rsid w:val="00090BFA"/>
    <w:rsid w:val="00091C1C"/>
    <w:rsid w:val="00091E2E"/>
    <w:rsid w:val="00092807"/>
    <w:rsid w:val="00093891"/>
    <w:rsid w:val="00093D5A"/>
    <w:rsid w:val="000968B2"/>
    <w:rsid w:val="000977C1"/>
    <w:rsid w:val="000A18EC"/>
    <w:rsid w:val="000A6D2D"/>
    <w:rsid w:val="000B0FDA"/>
    <w:rsid w:val="000B2B42"/>
    <w:rsid w:val="000B4B06"/>
    <w:rsid w:val="000C12F9"/>
    <w:rsid w:val="000C1816"/>
    <w:rsid w:val="000D1665"/>
    <w:rsid w:val="000E396A"/>
    <w:rsid w:val="000E43A1"/>
    <w:rsid w:val="000E7684"/>
    <w:rsid w:val="000F2639"/>
    <w:rsid w:val="000F2DA1"/>
    <w:rsid w:val="001011D5"/>
    <w:rsid w:val="00101E28"/>
    <w:rsid w:val="001037DE"/>
    <w:rsid w:val="001057B9"/>
    <w:rsid w:val="0010727B"/>
    <w:rsid w:val="00110652"/>
    <w:rsid w:val="00110952"/>
    <w:rsid w:val="00111BD2"/>
    <w:rsid w:val="00111C08"/>
    <w:rsid w:val="00112BDD"/>
    <w:rsid w:val="00116253"/>
    <w:rsid w:val="0012058A"/>
    <w:rsid w:val="00123386"/>
    <w:rsid w:val="001348D6"/>
    <w:rsid w:val="00134BD0"/>
    <w:rsid w:val="00135214"/>
    <w:rsid w:val="001356EF"/>
    <w:rsid w:val="00135E6A"/>
    <w:rsid w:val="00136E20"/>
    <w:rsid w:val="001445CD"/>
    <w:rsid w:val="0014538B"/>
    <w:rsid w:val="001460FE"/>
    <w:rsid w:val="00150892"/>
    <w:rsid w:val="00151EF2"/>
    <w:rsid w:val="00163E7F"/>
    <w:rsid w:val="001643B0"/>
    <w:rsid w:val="00164762"/>
    <w:rsid w:val="00167664"/>
    <w:rsid w:val="00170700"/>
    <w:rsid w:val="00174C28"/>
    <w:rsid w:val="001771C3"/>
    <w:rsid w:val="0017744E"/>
    <w:rsid w:val="001818FC"/>
    <w:rsid w:val="001902C8"/>
    <w:rsid w:val="00191DD1"/>
    <w:rsid w:val="00195CB3"/>
    <w:rsid w:val="001961DF"/>
    <w:rsid w:val="001977CC"/>
    <w:rsid w:val="001A646B"/>
    <w:rsid w:val="001A6512"/>
    <w:rsid w:val="001A6898"/>
    <w:rsid w:val="001A6D0F"/>
    <w:rsid w:val="001B01C5"/>
    <w:rsid w:val="001B0974"/>
    <w:rsid w:val="001B0B47"/>
    <w:rsid w:val="001B1690"/>
    <w:rsid w:val="001B4D6C"/>
    <w:rsid w:val="001B5342"/>
    <w:rsid w:val="001B5430"/>
    <w:rsid w:val="001B6B5C"/>
    <w:rsid w:val="001C2779"/>
    <w:rsid w:val="001C2E16"/>
    <w:rsid w:val="001D3F6B"/>
    <w:rsid w:val="001D5647"/>
    <w:rsid w:val="001D5834"/>
    <w:rsid w:val="001D5A13"/>
    <w:rsid w:val="001E44BF"/>
    <w:rsid w:val="001E4887"/>
    <w:rsid w:val="001E4BB5"/>
    <w:rsid w:val="001E54D7"/>
    <w:rsid w:val="001F23C7"/>
    <w:rsid w:val="001F28C5"/>
    <w:rsid w:val="001F3A8E"/>
    <w:rsid w:val="001F3C6E"/>
    <w:rsid w:val="001F3F82"/>
    <w:rsid w:val="001F6740"/>
    <w:rsid w:val="001F78A0"/>
    <w:rsid w:val="00203881"/>
    <w:rsid w:val="002060D6"/>
    <w:rsid w:val="002069B1"/>
    <w:rsid w:val="00215B93"/>
    <w:rsid w:val="00225521"/>
    <w:rsid w:val="002305EE"/>
    <w:rsid w:val="002352B0"/>
    <w:rsid w:val="0023552F"/>
    <w:rsid w:val="00242101"/>
    <w:rsid w:val="002438B0"/>
    <w:rsid w:val="00247ECF"/>
    <w:rsid w:val="002507AB"/>
    <w:rsid w:val="00252CE8"/>
    <w:rsid w:val="00255D05"/>
    <w:rsid w:val="002608A5"/>
    <w:rsid w:val="002724A5"/>
    <w:rsid w:val="00282882"/>
    <w:rsid w:val="00283E24"/>
    <w:rsid w:val="00286398"/>
    <w:rsid w:val="002925F6"/>
    <w:rsid w:val="00297D76"/>
    <w:rsid w:val="002A25BF"/>
    <w:rsid w:val="002A482B"/>
    <w:rsid w:val="002B0495"/>
    <w:rsid w:val="002B3ED7"/>
    <w:rsid w:val="002C14AB"/>
    <w:rsid w:val="002C2DC9"/>
    <w:rsid w:val="002C735A"/>
    <w:rsid w:val="002D00CB"/>
    <w:rsid w:val="002D1A1F"/>
    <w:rsid w:val="002D268F"/>
    <w:rsid w:val="002D33F1"/>
    <w:rsid w:val="002D343E"/>
    <w:rsid w:val="002D402C"/>
    <w:rsid w:val="002D4BE0"/>
    <w:rsid w:val="002D6E2B"/>
    <w:rsid w:val="002D7AD9"/>
    <w:rsid w:val="002E1132"/>
    <w:rsid w:val="002E1D15"/>
    <w:rsid w:val="002E364A"/>
    <w:rsid w:val="002F0E8E"/>
    <w:rsid w:val="003017ED"/>
    <w:rsid w:val="00304ED8"/>
    <w:rsid w:val="0030744C"/>
    <w:rsid w:val="00310CD4"/>
    <w:rsid w:val="00315B69"/>
    <w:rsid w:val="003167E6"/>
    <w:rsid w:val="00316C80"/>
    <w:rsid w:val="00317C99"/>
    <w:rsid w:val="0032241B"/>
    <w:rsid w:val="00326DB1"/>
    <w:rsid w:val="003315A4"/>
    <w:rsid w:val="00336C8B"/>
    <w:rsid w:val="003373B7"/>
    <w:rsid w:val="00342287"/>
    <w:rsid w:val="00343164"/>
    <w:rsid w:val="00343545"/>
    <w:rsid w:val="00345D5D"/>
    <w:rsid w:val="00346E79"/>
    <w:rsid w:val="00347E25"/>
    <w:rsid w:val="003506FD"/>
    <w:rsid w:val="00353459"/>
    <w:rsid w:val="0035420E"/>
    <w:rsid w:val="00354BE9"/>
    <w:rsid w:val="00354CA1"/>
    <w:rsid w:val="00367638"/>
    <w:rsid w:val="0037245B"/>
    <w:rsid w:val="00372816"/>
    <w:rsid w:val="003729E7"/>
    <w:rsid w:val="0037642E"/>
    <w:rsid w:val="00377524"/>
    <w:rsid w:val="003857C9"/>
    <w:rsid w:val="003874B5"/>
    <w:rsid w:val="003936A2"/>
    <w:rsid w:val="00397DEC"/>
    <w:rsid w:val="003A4CE7"/>
    <w:rsid w:val="003B2FE0"/>
    <w:rsid w:val="003B534D"/>
    <w:rsid w:val="003C7328"/>
    <w:rsid w:val="003D1A9F"/>
    <w:rsid w:val="003D62FC"/>
    <w:rsid w:val="003D6881"/>
    <w:rsid w:val="003D7E53"/>
    <w:rsid w:val="003E2684"/>
    <w:rsid w:val="003E2C4F"/>
    <w:rsid w:val="003E5AA3"/>
    <w:rsid w:val="003F23B5"/>
    <w:rsid w:val="003F3A64"/>
    <w:rsid w:val="003F4D4B"/>
    <w:rsid w:val="003F61A7"/>
    <w:rsid w:val="003F6BE4"/>
    <w:rsid w:val="003F7D47"/>
    <w:rsid w:val="0040173D"/>
    <w:rsid w:val="0040539B"/>
    <w:rsid w:val="00406035"/>
    <w:rsid w:val="00416D6E"/>
    <w:rsid w:val="004171A9"/>
    <w:rsid w:val="0042006F"/>
    <w:rsid w:val="00420146"/>
    <w:rsid w:val="0042282D"/>
    <w:rsid w:val="00423EB3"/>
    <w:rsid w:val="00427011"/>
    <w:rsid w:val="00427F26"/>
    <w:rsid w:val="00434794"/>
    <w:rsid w:val="004424D7"/>
    <w:rsid w:val="00442F9A"/>
    <w:rsid w:val="00446180"/>
    <w:rsid w:val="004508A5"/>
    <w:rsid w:val="004509FC"/>
    <w:rsid w:val="00452EFE"/>
    <w:rsid w:val="004554E8"/>
    <w:rsid w:val="00460553"/>
    <w:rsid w:val="004627CF"/>
    <w:rsid w:val="00465734"/>
    <w:rsid w:val="0047196E"/>
    <w:rsid w:val="0047247F"/>
    <w:rsid w:val="00473697"/>
    <w:rsid w:val="004758EE"/>
    <w:rsid w:val="0048407B"/>
    <w:rsid w:val="004859A3"/>
    <w:rsid w:val="00486875"/>
    <w:rsid w:val="00492A57"/>
    <w:rsid w:val="004963DE"/>
    <w:rsid w:val="004979FB"/>
    <w:rsid w:val="00497C1B"/>
    <w:rsid w:val="004A04A5"/>
    <w:rsid w:val="004B0BD6"/>
    <w:rsid w:val="004B1DD9"/>
    <w:rsid w:val="004B2E23"/>
    <w:rsid w:val="004B4884"/>
    <w:rsid w:val="004C1FD7"/>
    <w:rsid w:val="004C3649"/>
    <w:rsid w:val="004C3D21"/>
    <w:rsid w:val="004C4307"/>
    <w:rsid w:val="004C6AAD"/>
    <w:rsid w:val="004D0325"/>
    <w:rsid w:val="004D2198"/>
    <w:rsid w:val="004D3573"/>
    <w:rsid w:val="004E18B6"/>
    <w:rsid w:val="004E439D"/>
    <w:rsid w:val="004E510A"/>
    <w:rsid w:val="004F142E"/>
    <w:rsid w:val="004F4632"/>
    <w:rsid w:val="0050371D"/>
    <w:rsid w:val="00506F05"/>
    <w:rsid w:val="00507DA1"/>
    <w:rsid w:val="005118A2"/>
    <w:rsid w:val="005137D1"/>
    <w:rsid w:val="00514B07"/>
    <w:rsid w:val="00517175"/>
    <w:rsid w:val="00520878"/>
    <w:rsid w:val="00521D81"/>
    <w:rsid w:val="00522BB0"/>
    <w:rsid w:val="00525A13"/>
    <w:rsid w:val="005302D5"/>
    <w:rsid w:val="00531768"/>
    <w:rsid w:val="00535110"/>
    <w:rsid w:val="0053703B"/>
    <w:rsid w:val="00542F45"/>
    <w:rsid w:val="005508D1"/>
    <w:rsid w:val="0055114C"/>
    <w:rsid w:val="0055212C"/>
    <w:rsid w:val="00552FFF"/>
    <w:rsid w:val="00553374"/>
    <w:rsid w:val="005564AC"/>
    <w:rsid w:val="0055763B"/>
    <w:rsid w:val="005619D1"/>
    <w:rsid w:val="0056321C"/>
    <w:rsid w:val="005635FF"/>
    <w:rsid w:val="00564F37"/>
    <w:rsid w:val="00570735"/>
    <w:rsid w:val="00575575"/>
    <w:rsid w:val="00575905"/>
    <w:rsid w:val="00591027"/>
    <w:rsid w:val="00591BDB"/>
    <w:rsid w:val="00591EB7"/>
    <w:rsid w:val="005924E0"/>
    <w:rsid w:val="00592B45"/>
    <w:rsid w:val="0059357A"/>
    <w:rsid w:val="00594FBD"/>
    <w:rsid w:val="005A68DA"/>
    <w:rsid w:val="005B0D53"/>
    <w:rsid w:val="005B11B9"/>
    <w:rsid w:val="005B3223"/>
    <w:rsid w:val="005B52E3"/>
    <w:rsid w:val="005B66E9"/>
    <w:rsid w:val="005B68D7"/>
    <w:rsid w:val="005B7708"/>
    <w:rsid w:val="005C235B"/>
    <w:rsid w:val="005C2B7E"/>
    <w:rsid w:val="005C41AC"/>
    <w:rsid w:val="005C5282"/>
    <w:rsid w:val="005D48F3"/>
    <w:rsid w:val="005D5D3C"/>
    <w:rsid w:val="005E1705"/>
    <w:rsid w:val="005E2EC6"/>
    <w:rsid w:val="005E36FD"/>
    <w:rsid w:val="005E591D"/>
    <w:rsid w:val="005E7715"/>
    <w:rsid w:val="005F7B51"/>
    <w:rsid w:val="00600AFC"/>
    <w:rsid w:val="006022E4"/>
    <w:rsid w:val="00604C03"/>
    <w:rsid w:val="0060718D"/>
    <w:rsid w:val="00613C60"/>
    <w:rsid w:val="00614F13"/>
    <w:rsid w:val="00614F3E"/>
    <w:rsid w:val="00621A14"/>
    <w:rsid w:val="00622564"/>
    <w:rsid w:val="00626509"/>
    <w:rsid w:val="0062651C"/>
    <w:rsid w:val="0063149D"/>
    <w:rsid w:val="00637894"/>
    <w:rsid w:val="00646F92"/>
    <w:rsid w:val="006578F0"/>
    <w:rsid w:val="006638D8"/>
    <w:rsid w:val="006660FD"/>
    <w:rsid w:val="0066695D"/>
    <w:rsid w:val="00666BDC"/>
    <w:rsid w:val="0067020C"/>
    <w:rsid w:val="0067248F"/>
    <w:rsid w:val="00673C39"/>
    <w:rsid w:val="00675B0B"/>
    <w:rsid w:val="00677925"/>
    <w:rsid w:val="00677954"/>
    <w:rsid w:val="00677D03"/>
    <w:rsid w:val="00680EFC"/>
    <w:rsid w:val="00680F64"/>
    <w:rsid w:val="00685EE8"/>
    <w:rsid w:val="0068694A"/>
    <w:rsid w:val="006876C2"/>
    <w:rsid w:val="00687871"/>
    <w:rsid w:val="006906EB"/>
    <w:rsid w:val="00694B89"/>
    <w:rsid w:val="006A3359"/>
    <w:rsid w:val="006A5628"/>
    <w:rsid w:val="006B1199"/>
    <w:rsid w:val="006B6D8F"/>
    <w:rsid w:val="006C34F1"/>
    <w:rsid w:val="006C4F14"/>
    <w:rsid w:val="006C5294"/>
    <w:rsid w:val="006D13AE"/>
    <w:rsid w:val="006D35DD"/>
    <w:rsid w:val="006D5D4C"/>
    <w:rsid w:val="006D6087"/>
    <w:rsid w:val="006D792F"/>
    <w:rsid w:val="006E163B"/>
    <w:rsid w:val="006F10A5"/>
    <w:rsid w:val="006F201B"/>
    <w:rsid w:val="006F48C6"/>
    <w:rsid w:val="00702EEF"/>
    <w:rsid w:val="0070396D"/>
    <w:rsid w:val="007063E3"/>
    <w:rsid w:val="00706E57"/>
    <w:rsid w:val="00707336"/>
    <w:rsid w:val="00710221"/>
    <w:rsid w:val="00710D8E"/>
    <w:rsid w:val="00712223"/>
    <w:rsid w:val="0072192C"/>
    <w:rsid w:val="00730E82"/>
    <w:rsid w:val="00743B35"/>
    <w:rsid w:val="00746ACF"/>
    <w:rsid w:val="007511D9"/>
    <w:rsid w:val="0075327F"/>
    <w:rsid w:val="007542B7"/>
    <w:rsid w:val="00754CE4"/>
    <w:rsid w:val="00763C17"/>
    <w:rsid w:val="00765E36"/>
    <w:rsid w:val="00770B0C"/>
    <w:rsid w:val="00772853"/>
    <w:rsid w:val="00773EE9"/>
    <w:rsid w:val="007743CE"/>
    <w:rsid w:val="00774825"/>
    <w:rsid w:val="007800BA"/>
    <w:rsid w:val="0078310C"/>
    <w:rsid w:val="00785E80"/>
    <w:rsid w:val="0078635B"/>
    <w:rsid w:val="007916DF"/>
    <w:rsid w:val="0079485C"/>
    <w:rsid w:val="00796FEE"/>
    <w:rsid w:val="007A1136"/>
    <w:rsid w:val="007A1739"/>
    <w:rsid w:val="007A22F6"/>
    <w:rsid w:val="007A5067"/>
    <w:rsid w:val="007A7C3A"/>
    <w:rsid w:val="007B12B4"/>
    <w:rsid w:val="007B20B9"/>
    <w:rsid w:val="007B4429"/>
    <w:rsid w:val="007B614E"/>
    <w:rsid w:val="007B6A87"/>
    <w:rsid w:val="007C0466"/>
    <w:rsid w:val="007C17E8"/>
    <w:rsid w:val="007C27B8"/>
    <w:rsid w:val="007C4712"/>
    <w:rsid w:val="007D10B4"/>
    <w:rsid w:val="007E31E3"/>
    <w:rsid w:val="007E3FB0"/>
    <w:rsid w:val="007E6D51"/>
    <w:rsid w:val="007F0990"/>
    <w:rsid w:val="007F11F9"/>
    <w:rsid w:val="007F74D6"/>
    <w:rsid w:val="008010EE"/>
    <w:rsid w:val="0080292A"/>
    <w:rsid w:val="0080382A"/>
    <w:rsid w:val="008060F3"/>
    <w:rsid w:val="0080789F"/>
    <w:rsid w:val="00810B57"/>
    <w:rsid w:val="00811497"/>
    <w:rsid w:val="00814EB5"/>
    <w:rsid w:val="0081599E"/>
    <w:rsid w:val="00825C0C"/>
    <w:rsid w:val="00833AAA"/>
    <w:rsid w:val="00837E5F"/>
    <w:rsid w:val="00845432"/>
    <w:rsid w:val="00845498"/>
    <w:rsid w:val="008506B2"/>
    <w:rsid w:val="0085549F"/>
    <w:rsid w:val="00862498"/>
    <w:rsid w:val="00874210"/>
    <w:rsid w:val="008805F9"/>
    <w:rsid w:val="0088407F"/>
    <w:rsid w:val="00886479"/>
    <w:rsid w:val="00890BF4"/>
    <w:rsid w:val="0089484D"/>
    <w:rsid w:val="008A574B"/>
    <w:rsid w:val="008A5877"/>
    <w:rsid w:val="008A7169"/>
    <w:rsid w:val="008B4C51"/>
    <w:rsid w:val="008B4F50"/>
    <w:rsid w:val="008C389F"/>
    <w:rsid w:val="008D06B7"/>
    <w:rsid w:val="008D0769"/>
    <w:rsid w:val="008D1B7A"/>
    <w:rsid w:val="008D2314"/>
    <w:rsid w:val="008D5ED1"/>
    <w:rsid w:val="008E1F0E"/>
    <w:rsid w:val="008E3042"/>
    <w:rsid w:val="008E5769"/>
    <w:rsid w:val="008F5FC3"/>
    <w:rsid w:val="00903851"/>
    <w:rsid w:val="00904717"/>
    <w:rsid w:val="00904D8F"/>
    <w:rsid w:val="00906D12"/>
    <w:rsid w:val="00911732"/>
    <w:rsid w:val="00915040"/>
    <w:rsid w:val="00915930"/>
    <w:rsid w:val="00916131"/>
    <w:rsid w:val="009171E5"/>
    <w:rsid w:val="0092107B"/>
    <w:rsid w:val="00923742"/>
    <w:rsid w:val="009271F2"/>
    <w:rsid w:val="00932893"/>
    <w:rsid w:val="00933A6C"/>
    <w:rsid w:val="00940069"/>
    <w:rsid w:val="009424E1"/>
    <w:rsid w:val="00945AC3"/>
    <w:rsid w:val="0094645E"/>
    <w:rsid w:val="009510D3"/>
    <w:rsid w:val="00951845"/>
    <w:rsid w:val="00960C7F"/>
    <w:rsid w:val="009621EB"/>
    <w:rsid w:val="00974BDC"/>
    <w:rsid w:val="009761A3"/>
    <w:rsid w:val="00977279"/>
    <w:rsid w:val="00985F05"/>
    <w:rsid w:val="00995EDB"/>
    <w:rsid w:val="00997BA4"/>
    <w:rsid w:val="009A10BA"/>
    <w:rsid w:val="009A4765"/>
    <w:rsid w:val="009A52F7"/>
    <w:rsid w:val="009B6BAC"/>
    <w:rsid w:val="009B79A0"/>
    <w:rsid w:val="009C3588"/>
    <w:rsid w:val="009C592F"/>
    <w:rsid w:val="009C6CAD"/>
    <w:rsid w:val="009C720F"/>
    <w:rsid w:val="009C76F7"/>
    <w:rsid w:val="009D156F"/>
    <w:rsid w:val="009D19BD"/>
    <w:rsid w:val="009D6A73"/>
    <w:rsid w:val="009E1D96"/>
    <w:rsid w:val="009E3A6D"/>
    <w:rsid w:val="009E3BAB"/>
    <w:rsid w:val="009E5A9D"/>
    <w:rsid w:val="009E6D11"/>
    <w:rsid w:val="009F15E5"/>
    <w:rsid w:val="009F1CC6"/>
    <w:rsid w:val="009F27C3"/>
    <w:rsid w:val="009F617C"/>
    <w:rsid w:val="00A0054F"/>
    <w:rsid w:val="00A02D86"/>
    <w:rsid w:val="00A040DF"/>
    <w:rsid w:val="00A10E4A"/>
    <w:rsid w:val="00A11B1D"/>
    <w:rsid w:val="00A12C9E"/>
    <w:rsid w:val="00A1614A"/>
    <w:rsid w:val="00A309D4"/>
    <w:rsid w:val="00A329AA"/>
    <w:rsid w:val="00A37BCF"/>
    <w:rsid w:val="00A412CB"/>
    <w:rsid w:val="00A41FC9"/>
    <w:rsid w:val="00A42939"/>
    <w:rsid w:val="00A45AAF"/>
    <w:rsid w:val="00A5120A"/>
    <w:rsid w:val="00A5672D"/>
    <w:rsid w:val="00A578CA"/>
    <w:rsid w:val="00A64D66"/>
    <w:rsid w:val="00A66D19"/>
    <w:rsid w:val="00A75CF0"/>
    <w:rsid w:val="00A75F0A"/>
    <w:rsid w:val="00A8144C"/>
    <w:rsid w:val="00A81CF4"/>
    <w:rsid w:val="00A87941"/>
    <w:rsid w:val="00A914BA"/>
    <w:rsid w:val="00A97DB5"/>
    <w:rsid w:val="00AA27FA"/>
    <w:rsid w:val="00AA5504"/>
    <w:rsid w:val="00AA668A"/>
    <w:rsid w:val="00AB1234"/>
    <w:rsid w:val="00AB2601"/>
    <w:rsid w:val="00AB32E9"/>
    <w:rsid w:val="00AB40C2"/>
    <w:rsid w:val="00AB5DF0"/>
    <w:rsid w:val="00AC37FD"/>
    <w:rsid w:val="00AC6123"/>
    <w:rsid w:val="00AD1315"/>
    <w:rsid w:val="00AD15E3"/>
    <w:rsid w:val="00AD3A3F"/>
    <w:rsid w:val="00AD55D0"/>
    <w:rsid w:val="00AD5E3A"/>
    <w:rsid w:val="00AD7B8F"/>
    <w:rsid w:val="00AE07B9"/>
    <w:rsid w:val="00AE0C3C"/>
    <w:rsid w:val="00AE354E"/>
    <w:rsid w:val="00AE7E4B"/>
    <w:rsid w:val="00AF0432"/>
    <w:rsid w:val="00AF6DAC"/>
    <w:rsid w:val="00B06E5E"/>
    <w:rsid w:val="00B0712B"/>
    <w:rsid w:val="00B10117"/>
    <w:rsid w:val="00B11665"/>
    <w:rsid w:val="00B1285F"/>
    <w:rsid w:val="00B13203"/>
    <w:rsid w:val="00B16E59"/>
    <w:rsid w:val="00B26711"/>
    <w:rsid w:val="00B26DA6"/>
    <w:rsid w:val="00B27F0E"/>
    <w:rsid w:val="00B424F9"/>
    <w:rsid w:val="00B43896"/>
    <w:rsid w:val="00B51121"/>
    <w:rsid w:val="00B529BE"/>
    <w:rsid w:val="00B553EA"/>
    <w:rsid w:val="00B57022"/>
    <w:rsid w:val="00B611FB"/>
    <w:rsid w:val="00B62BBC"/>
    <w:rsid w:val="00B71762"/>
    <w:rsid w:val="00B72BD0"/>
    <w:rsid w:val="00B735C0"/>
    <w:rsid w:val="00B77DA9"/>
    <w:rsid w:val="00B844EB"/>
    <w:rsid w:val="00B90524"/>
    <w:rsid w:val="00B9699B"/>
    <w:rsid w:val="00BA3304"/>
    <w:rsid w:val="00BA54CE"/>
    <w:rsid w:val="00BA7C8E"/>
    <w:rsid w:val="00BB0D36"/>
    <w:rsid w:val="00BB2A70"/>
    <w:rsid w:val="00BB4794"/>
    <w:rsid w:val="00BB59E3"/>
    <w:rsid w:val="00BB6AF4"/>
    <w:rsid w:val="00BC21D3"/>
    <w:rsid w:val="00BD13A6"/>
    <w:rsid w:val="00BD13C9"/>
    <w:rsid w:val="00BD3186"/>
    <w:rsid w:val="00BD63C2"/>
    <w:rsid w:val="00BE2517"/>
    <w:rsid w:val="00BE7AC4"/>
    <w:rsid w:val="00BF5484"/>
    <w:rsid w:val="00BF5669"/>
    <w:rsid w:val="00BF5B68"/>
    <w:rsid w:val="00BF7382"/>
    <w:rsid w:val="00C01FBE"/>
    <w:rsid w:val="00C049B8"/>
    <w:rsid w:val="00C10FC3"/>
    <w:rsid w:val="00C124F1"/>
    <w:rsid w:val="00C21C04"/>
    <w:rsid w:val="00C2597F"/>
    <w:rsid w:val="00C304D6"/>
    <w:rsid w:val="00C34AF0"/>
    <w:rsid w:val="00C35C24"/>
    <w:rsid w:val="00C36879"/>
    <w:rsid w:val="00C37979"/>
    <w:rsid w:val="00C42E46"/>
    <w:rsid w:val="00C433B6"/>
    <w:rsid w:val="00C50EF9"/>
    <w:rsid w:val="00C521D0"/>
    <w:rsid w:val="00C53E8E"/>
    <w:rsid w:val="00C6310A"/>
    <w:rsid w:val="00C65BAD"/>
    <w:rsid w:val="00C671AB"/>
    <w:rsid w:val="00C729C7"/>
    <w:rsid w:val="00C740ED"/>
    <w:rsid w:val="00C74670"/>
    <w:rsid w:val="00C74743"/>
    <w:rsid w:val="00C77B6E"/>
    <w:rsid w:val="00C81822"/>
    <w:rsid w:val="00C90F1A"/>
    <w:rsid w:val="00C955DF"/>
    <w:rsid w:val="00CA3D2B"/>
    <w:rsid w:val="00CC58A2"/>
    <w:rsid w:val="00CD0958"/>
    <w:rsid w:val="00CD14A6"/>
    <w:rsid w:val="00CD2545"/>
    <w:rsid w:val="00CD654A"/>
    <w:rsid w:val="00CE2985"/>
    <w:rsid w:val="00CE7281"/>
    <w:rsid w:val="00CE77CF"/>
    <w:rsid w:val="00CF004C"/>
    <w:rsid w:val="00CF02C4"/>
    <w:rsid w:val="00CF4B1C"/>
    <w:rsid w:val="00D14150"/>
    <w:rsid w:val="00D16EF2"/>
    <w:rsid w:val="00D174D2"/>
    <w:rsid w:val="00D17761"/>
    <w:rsid w:val="00D17890"/>
    <w:rsid w:val="00D23097"/>
    <w:rsid w:val="00D239C3"/>
    <w:rsid w:val="00D37A0E"/>
    <w:rsid w:val="00D41D38"/>
    <w:rsid w:val="00D422F7"/>
    <w:rsid w:val="00D519E8"/>
    <w:rsid w:val="00D538CC"/>
    <w:rsid w:val="00D6330D"/>
    <w:rsid w:val="00D719D4"/>
    <w:rsid w:val="00D7369D"/>
    <w:rsid w:val="00D73BF4"/>
    <w:rsid w:val="00D77F3B"/>
    <w:rsid w:val="00D85E51"/>
    <w:rsid w:val="00D87D16"/>
    <w:rsid w:val="00D91081"/>
    <w:rsid w:val="00DA134D"/>
    <w:rsid w:val="00DA35C3"/>
    <w:rsid w:val="00DA5D79"/>
    <w:rsid w:val="00DB031E"/>
    <w:rsid w:val="00DB29FC"/>
    <w:rsid w:val="00DB305B"/>
    <w:rsid w:val="00DB4B93"/>
    <w:rsid w:val="00DD4094"/>
    <w:rsid w:val="00DE108A"/>
    <w:rsid w:val="00DE35B6"/>
    <w:rsid w:val="00DE67D6"/>
    <w:rsid w:val="00DF0BBF"/>
    <w:rsid w:val="00DF357C"/>
    <w:rsid w:val="00DF5C5D"/>
    <w:rsid w:val="00DF6531"/>
    <w:rsid w:val="00DF7561"/>
    <w:rsid w:val="00DF7B2F"/>
    <w:rsid w:val="00E10A58"/>
    <w:rsid w:val="00E2068B"/>
    <w:rsid w:val="00E20C3A"/>
    <w:rsid w:val="00E247C7"/>
    <w:rsid w:val="00E26752"/>
    <w:rsid w:val="00E33988"/>
    <w:rsid w:val="00E375ED"/>
    <w:rsid w:val="00E3787A"/>
    <w:rsid w:val="00E43134"/>
    <w:rsid w:val="00E438AA"/>
    <w:rsid w:val="00E43DB7"/>
    <w:rsid w:val="00E452E0"/>
    <w:rsid w:val="00E45881"/>
    <w:rsid w:val="00E52173"/>
    <w:rsid w:val="00E61536"/>
    <w:rsid w:val="00E65915"/>
    <w:rsid w:val="00E72EBF"/>
    <w:rsid w:val="00E744D6"/>
    <w:rsid w:val="00E76D0D"/>
    <w:rsid w:val="00E77922"/>
    <w:rsid w:val="00E805F9"/>
    <w:rsid w:val="00E80831"/>
    <w:rsid w:val="00E82DC9"/>
    <w:rsid w:val="00E834A2"/>
    <w:rsid w:val="00E852B4"/>
    <w:rsid w:val="00E8698F"/>
    <w:rsid w:val="00E92373"/>
    <w:rsid w:val="00E96747"/>
    <w:rsid w:val="00E97D3D"/>
    <w:rsid w:val="00EA08E2"/>
    <w:rsid w:val="00EA443B"/>
    <w:rsid w:val="00EA4DAF"/>
    <w:rsid w:val="00EA6970"/>
    <w:rsid w:val="00EA6BDE"/>
    <w:rsid w:val="00EB0E75"/>
    <w:rsid w:val="00EB62B9"/>
    <w:rsid w:val="00EB7155"/>
    <w:rsid w:val="00EB7DE4"/>
    <w:rsid w:val="00EC4AFB"/>
    <w:rsid w:val="00EC6752"/>
    <w:rsid w:val="00ED43DB"/>
    <w:rsid w:val="00ED486C"/>
    <w:rsid w:val="00ED57E8"/>
    <w:rsid w:val="00ED6F59"/>
    <w:rsid w:val="00ED7401"/>
    <w:rsid w:val="00EE0251"/>
    <w:rsid w:val="00EE6BE9"/>
    <w:rsid w:val="00EE7237"/>
    <w:rsid w:val="00EE7D51"/>
    <w:rsid w:val="00EF33F7"/>
    <w:rsid w:val="00EF44D2"/>
    <w:rsid w:val="00EF5560"/>
    <w:rsid w:val="00F000EF"/>
    <w:rsid w:val="00F00207"/>
    <w:rsid w:val="00F030A5"/>
    <w:rsid w:val="00F10319"/>
    <w:rsid w:val="00F1040F"/>
    <w:rsid w:val="00F13A4D"/>
    <w:rsid w:val="00F13EC6"/>
    <w:rsid w:val="00F14430"/>
    <w:rsid w:val="00F1453E"/>
    <w:rsid w:val="00F1620B"/>
    <w:rsid w:val="00F30DD6"/>
    <w:rsid w:val="00F331B4"/>
    <w:rsid w:val="00F363BB"/>
    <w:rsid w:val="00F4001E"/>
    <w:rsid w:val="00F432DE"/>
    <w:rsid w:val="00F44162"/>
    <w:rsid w:val="00F53E6F"/>
    <w:rsid w:val="00F54D70"/>
    <w:rsid w:val="00F60A77"/>
    <w:rsid w:val="00F6276E"/>
    <w:rsid w:val="00F63295"/>
    <w:rsid w:val="00F645FD"/>
    <w:rsid w:val="00F66453"/>
    <w:rsid w:val="00F703A6"/>
    <w:rsid w:val="00F71506"/>
    <w:rsid w:val="00F73E0F"/>
    <w:rsid w:val="00F76481"/>
    <w:rsid w:val="00F76B76"/>
    <w:rsid w:val="00F7778A"/>
    <w:rsid w:val="00F84519"/>
    <w:rsid w:val="00F84898"/>
    <w:rsid w:val="00F8770E"/>
    <w:rsid w:val="00F9024B"/>
    <w:rsid w:val="00F911D2"/>
    <w:rsid w:val="00F96E1D"/>
    <w:rsid w:val="00FB004B"/>
    <w:rsid w:val="00FB2612"/>
    <w:rsid w:val="00FB3246"/>
    <w:rsid w:val="00FB4B92"/>
    <w:rsid w:val="00FB5943"/>
    <w:rsid w:val="00FB6250"/>
    <w:rsid w:val="00FB761A"/>
    <w:rsid w:val="00FB7C92"/>
    <w:rsid w:val="00FC57F5"/>
    <w:rsid w:val="00FC5D1E"/>
    <w:rsid w:val="00FD6DF3"/>
    <w:rsid w:val="00FD76E2"/>
    <w:rsid w:val="00FE011D"/>
    <w:rsid w:val="00FE3F61"/>
    <w:rsid w:val="00FE67F2"/>
    <w:rsid w:val="00FF4F5D"/>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23"/>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FollowedHyperlink">
    <w:name w:val="FollowedHyperlink"/>
    <w:basedOn w:val="DefaultParagraphFont"/>
    <w:uiPriority w:val="99"/>
    <w:semiHidden/>
    <w:unhideWhenUsed/>
    <w:rsid w:val="00DE108A"/>
    <w:rPr>
      <w:color w:val="800080" w:themeColor="followedHyperlink"/>
      <w:u w:val="single"/>
    </w:rPr>
  </w:style>
  <w:style w:type="character" w:customStyle="1" w:styleId="UnresolvedMention2">
    <w:name w:val="Unresolved Mention2"/>
    <w:basedOn w:val="DefaultParagraphFont"/>
    <w:uiPriority w:val="99"/>
    <w:semiHidden/>
    <w:unhideWhenUsed/>
    <w:rsid w:val="00DE108A"/>
    <w:rPr>
      <w:color w:val="605E5C"/>
      <w:shd w:val="clear" w:color="auto" w:fill="E1DFDD"/>
    </w:rPr>
  </w:style>
  <w:style w:type="character" w:styleId="PageNumber">
    <w:name w:val="page number"/>
    <w:basedOn w:val="DefaultParagraphFont"/>
    <w:semiHidden/>
    <w:rsid w:val="00110952"/>
  </w:style>
  <w:style w:type="character" w:styleId="UnresolvedMention">
    <w:name w:val="Unresolved Mention"/>
    <w:basedOn w:val="DefaultParagraphFont"/>
    <w:uiPriority w:val="99"/>
    <w:semiHidden/>
    <w:unhideWhenUsed/>
    <w:rsid w:val="00F14430"/>
    <w:rPr>
      <w:color w:val="605E5C"/>
      <w:shd w:val="clear" w:color="auto" w:fill="E1DFDD"/>
    </w:rPr>
  </w:style>
  <w:style w:type="paragraph" w:styleId="Revision">
    <w:name w:val="Revision"/>
    <w:hidden/>
    <w:uiPriority w:val="99"/>
    <w:semiHidden/>
    <w:rsid w:val="00347E25"/>
    <w:rPr>
      <w:rFonts w:ascii="Arial" w:eastAsia="Times New Roman"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2-17.COM-7-FR.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21-16.COM-8.d-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Recommandatio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7d-assistance-internationale-0128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DF6BD5"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DF6BD5"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E75D4E981FC047B89A2A45945770EBD7"/>
        <w:category>
          <w:name w:val="General"/>
          <w:gallery w:val="placeholder"/>
        </w:category>
        <w:types>
          <w:type w:val="bbPlcHdr"/>
        </w:types>
        <w:behaviors>
          <w:behavior w:val="content"/>
        </w:behaviors>
        <w:guid w:val="{3CB35D65-DCE1-4665-AF86-4749F816E0C9}"/>
      </w:docPartPr>
      <w:docPartBody>
        <w:p w:rsidR="00DF6BD5" w:rsidRDefault="00044A53" w:rsidP="00044A53">
          <w:pPr>
            <w:pStyle w:val="E75D4E981FC047B89A2A45945770EBD7"/>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951"/>
    <w:rsid w:val="00044A53"/>
    <w:rsid w:val="00201405"/>
    <w:rsid w:val="003B34CC"/>
    <w:rsid w:val="007E0A01"/>
    <w:rsid w:val="0091347F"/>
    <w:rsid w:val="009340BB"/>
    <w:rsid w:val="00951329"/>
    <w:rsid w:val="00A72BC9"/>
    <w:rsid w:val="00D42862"/>
    <w:rsid w:val="00DF2E42"/>
    <w:rsid w:val="00DF6B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D112-818F-43D3-B024-AE0994B3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1685</Words>
  <Characters>9271</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Examen des demandes d’assistance internationale</vt:lpstr>
      <vt:lpstr>Examen des demandes d’assistance internationale</vt:lpstr>
      <vt:lpstr>Examination of requests for International Assistance</vt:lpstr>
    </vt:vector>
  </TitlesOfParts>
  <Company>POINT 7.D DE L’ORDRE DU JOUR PROVISOIRE</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demandes d’assistance internationale</dc:title>
  <dc:subject>Dix-septième session, Comité intergouvernemental de sauvegarde du patrimoine culturel immatériel (Rabat, Royaume du Maroc – du 28 novembre au 3 décembre 2022)</dc:subject>
  <dc:creator>CLT/CEH/ITH - H. Sicard</dc:creator>
  <cp:lastModifiedBy>Nakata Glenat, Keiichi Julien</cp:lastModifiedBy>
  <cp:revision>12</cp:revision>
  <cp:lastPrinted>2009-05-07T17:43:00Z</cp:lastPrinted>
  <dcterms:created xsi:type="dcterms:W3CDTF">2022-10-10T14:03:00Z</dcterms:created>
  <dcterms:modified xsi:type="dcterms:W3CDTF">2022-10-31T15:08:00Z</dcterms:modified>
</cp:coreProperties>
</file>