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DF87" w14:textId="77777777" w:rsidR="00C42C75" w:rsidRPr="00293C60" w:rsidRDefault="00C42C75" w:rsidP="00C42C75">
      <w:pPr>
        <w:spacing w:before="1440"/>
        <w:jc w:val="center"/>
        <w:rPr>
          <w:rFonts w:ascii="Arial" w:hAnsi="Arial" w:cs="Arial"/>
          <w:b/>
          <w:sz w:val="22"/>
          <w:szCs w:val="22"/>
          <w:lang w:val="en-GB"/>
        </w:rPr>
      </w:pPr>
      <w:bookmarkStart w:id="0" w:name="_Hlk118136068"/>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bookmarkEnd w:id="0"/>
    <w:p w14:paraId="15402885" w14:textId="77777777" w:rsidR="00C42C75" w:rsidRPr="00293C60" w:rsidRDefault="00C42C75" w:rsidP="00C42C75">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595F2E10" w14:textId="77777777" w:rsidR="00C42C75" w:rsidRPr="00293C60" w:rsidRDefault="00C42C75" w:rsidP="00C42C75">
      <w:pPr>
        <w:spacing w:before="840"/>
        <w:jc w:val="center"/>
        <w:rPr>
          <w:rFonts w:ascii="Arial" w:hAnsi="Arial" w:cs="Arial"/>
          <w:b/>
          <w:sz w:val="22"/>
          <w:szCs w:val="22"/>
          <w:lang w:val="en-GB"/>
        </w:rPr>
      </w:pPr>
      <w:r>
        <w:rPr>
          <w:rFonts w:ascii="Arial" w:eastAsiaTheme="minorEastAsia" w:hAnsi="Arial" w:cs="Arial"/>
          <w:b/>
          <w:sz w:val="22"/>
          <w:szCs w:val="22"/>
          <w:lang w:val="en-GB" w:eastAsia="ko-KR"/>
        </w:rPr>
        <w:t>Seventeenth</w:t>
      </w:r>
      <w:r w:rsidRPr="00B2172B">
        <w:rPr>
          <w:rFonts w:ascii="Arial" w:eastAsiaTheme="minorEastAsia" w:hAnsi="Arial" w:cs="Arial"/>
          <w:b/>
          <w:sz w:val="22"/>
          <w:szCs w:val="22"/>
          <w:lang w:val="en-GB" w:eastAsia="ko-KR"/>
        </w:rPr>
        <w:t xml:space="preserve"> </w:t>
      </w:r>
      <w:r w:rsidRPr="00293C60">
        <w:rPr>
          <w:rFonts w:ascii="Arial" w:hAnsi="Arial" w:cs="Arial"/>
          <w:b/>
          <w:sz w:val="22"/>
          <w:szCs w:val="22"/>
          <w:lang w:val="en-GB"/>
        </w:rPr>
        <w:t>session</w:t>
      </w:r>
    </w:p>
    <w:p w14:paraId="3376FB0C" w14:textId="77777777" w:rsidR="00C42C75" w:rsidRPr="00B2172B" w:rsidRDefault="00C42C75" w:rsidP="00C42C75">
      <w:pPr>
        <w:jc w:val="center"/>
        <w:rPr>
          <w:rFonts w:ascii="Arial" w:hAnsi="Arial" w:cs="Arial"/>
          <w:b/>
          <w:sz w:val="22"/>
          <w:szCs w:val="22"/>
          <w:lang w:val="en-GB"/>
        </w:rPr>
      </w:pPr>
      <w:r>
        <w:rPr>
          <w:rFonts w:ascii="Arial" w:hAnsi="Arial" w:cs="Arial"/>
          <w:b/>
          <w:sz w:val="22"/>
          <w:szCs w:val="22"/>
          <w:lang w:val="en-GB"/>
        </w:rPr>
        <w:t xml:space="preserve">Rabat, </w:t>
      </w:r>
      <w:r w:rsidRPr="00A91430">
        <w:rPr>
          <w:rFonts w:ascii="Arial" w:hAnsi="Arial" w:cs="Arial"/>
          <w:b/>
          <w:sz w:val="22"/>
          <w:szCs w:val="22"/>
          <w:lang w:val="en-GB"/>
        </w:rPr>
        <w:t>Kingdom of</w:t>
      </w:r>
      <w:r>
        <w:rPr>
          <w:rFonts w:ascii="Arial" w:hAnsi="Arial" w:cs="Arial"/>
          <w:b/>
          <w:sz w:val="22"/>
          <w:szCs w:val="22"/>
          <w:lang w:val="en-GB"/>
        </w:rPr>
        <w:t xml:space="preserve"> Morocco</w:t>
      </w:r>
    </w:p>
    <w:p w14:paraId="7689D006" w14:textId="77777777" w:rsidR="00C42C75" w:rsidRPr="00B2172B" w:rsidRDefault="00C42C75" w:rsidP="00C42C75">
      <w:pPr>
        <w:jc w:val="center"/>
        <w:rPr>
          <w:rFonts w:ascii="Arial" w:hAnsi="Arial" w:cs="Arial"/>
          <w:b/>
          <w:sz w:val="22"/>
          <w:szCs w:val="22"/>
          <w:lang w:val="en-GB"/>
        </w:rPr>
      </w:pPr>
      <w:r>
        <w:rPr>
          <w:rFonts w:ascii="Arial" w:hAnsi="Arial" w:cs="Arial"/>
          <w:b/>
          <w:sz w:val="22"/>
          <w:szCs w:val="22"/>
          <w:lang w:val="en-GB"/>
        </w:rPr>
        <w:t>28 November to 3</w:t>
      </w:r>
      <w:r w:rsidRPr="00B2172B">
        <w:rPr>
          <w:rFonts w:ascii="Arial" w:hAnsi="Arial" w:cs="Arial"/>
          <w:b/>
          <w:sz w:val="22"/>
          <w:szCs w:val="22"/>
          <w:lang w:val="en-GB"/>
        </w:rPr>
        <w:t xml:space="preserve"> December 202</w:t>
      </w:r>
      <w:r>
        <w:rPr>
          <w:rFonts w:ascii="Arial" w:hAnsi="Arial" w:cs="Arial"/>
          <w:b/>
          <w:sz w:val="22"/>
          <w:szCs w:val="22"/>
          <w:lang w:val="en-GB"/>
        </w:rPr>
        <w:t>2</w:t>
      </w:r>
    </w:p>
    <w:p w14:paraId="1FFE8020" w14:textId="6CA00C21" w:rsidR="00C42C75" w:rsidRPr="00293C60" w:rsidRDefault="00C42C75" w:rsidP="00C42C75">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66159F">
        <w:rPr>
          <w:rFonts w:ascii="Arial" w:hAnsi="Arial" w:cs="Arial"/>
          <w:b/>
          <w:sz w:val="22"/>
          <w:szCs w:val="22"/>
          <w:u w:val="single"/>
          <w:lang w:val="en-GB"/>
        </w:rPr>
        <w:t xml:space="preserve">6.c </w:t>
      </w:r>
      <w:r w:rsidRPr="00293C60">
        <w:rPr>
          <w:rFonts w:ascii="Arial" w:hAnsi="Arial" w:cs="Arial"/>
          <w:b/>
          <w:sz w:val="22"/>
          <w:szCs w:val="22"/>
          <w:u w:val="single"/>
          <w:lang w:val="en-GB"/>
        </w:rPr>
        <w:t xml:space="preserve">of the </w:t>
      </w:r>
      <w:r>
        <w:rPr>
          <w:rFonts w:ascii="Arial" w:hAnsi="Arial" w:cs="Arial"/>
          <w:b/>
          <w:sz w:val="22"/>
          <w:szCs w:val="22"/>
          <w:u w:val="single"/>
          <w:lang w:val="en-GB"/>
        </w:rPr>
        <w:t>p</w:t>
      </w:r>
      <w:r w:rsidRPr="00293C60">
        <w:rPr>
          <w:rFonts w:ascii="Arial" w:hAnsi="Arial" w:cs="Arial"/>
          <w:b/>
          <w:sz w:val="22"/>
          <w:szCs w:val="22"/>
          <w:u w:val="single"/>
          <w:lang w:val="en-GB"/>
        </w:rPr>
        <w:t xml:space="preserve">rovisional </w:t>
      </w:r>
      <w:r>
        <w:rPr>
          <w:rFonts w:ascii="Arial" w:hAnsi="Arial" w:cs="Arial"/>
          <w:b/>
          <w:sz w:val="22"/>
          <w:szCs w:val="22"/>
          <w:u w:val="single"/>
          <w:lang w:val="en-GB"/>
        </w:rPr>
        <w:t>a</w:t>
      </w:r>
      <w:r w:rsidRPr="00293C60">
        <w:rPr>
          <w:rFonts w:ascii="Arial" w:hAnsi="Arial" w:cs="Arial"/>
          <w:b/>
          <w:sz w:val="22"/>
          <w:szCs w:val="22"/>
          <w:u w:val="single"/>
          <w:lang w:val="en-GB"/>
        </w:rPr>
        <w:t>genda</w:t>
      </w:r>
      <w:r w:rsidRPr="00293C60">
        <w:rPr>
          <w:rFonts w:ascii="Arial" w:hAnsi="Arial" w:cs="Arial"/>
          <w:b/>
          <w:sz w:val="22"/>
          <w:szCs w:val="22"/>
          <w:lang w:val="en-GB"/>
        </w:rPr>
        <w:t>:</w:t>
      </w:r>
    </w:p>
    <w:p w14:paraId="1E184CC7" w14:textId="08AB1FBE" w:rsidR="008205D1" w:rsidRPr="0066159F" w:rsidRDefault="00C924A5" w:rsidP="00396894">
      <w:pPr>
        <w:spacing w:after="1080"/>
        <w:jc w:val="center"/>
        <w:rPr>
          <w:rFonts w:ascii="Arial" w:hAnsi="Arial" w:cs="Arial"/>
          <w:b/>
          <w:sz w:val="22"/>
          <w:szCs w:val="22"/>
          <w:lang w:val="en-GB"/>
        </w:rPr>
      </w:pPr>
      <w:r w:rsidRPr="00C924A5">
        <w:rPr>
          <w:rFonts w:ascii="Arial" w:hAnsi="Arial" w:cs="Arial"/>
          <w:b/>
          <w:sz w:val="22"/>
          <w:szCs w:val="22"/>
          <w:lang w:val="en-GB"/>
        </w:rPr>
        <w:t>Update on the first cycle of periodic reporting</w:t>
      </w:r>
      <w:r w:rsidRPr="00396894">
        <w:rPr>
          <w:rFonts w:ascii="Arial" w:hAnsi="Arial"/>
          <w:b/>
          <w:sz w:val="22"/>
          <w:lang w:val="en-US"/>
        </w:rPr>
        <w:br/>
      </w:r>
      <w:r w:rsidRPr="00C924A5">
        <w:rPr>
          <w:rFonts w:ascii="Arial" w:hAnsi="Arial" w:cs="Arial"/>
          <w:b/>
          <w:sz w:val="22"/>
          <w:szCs w:val="22"/>
          <w:lang w:val="en-GB"/>
        </w:rPr>
        <w:t>on the implementation of the Convention and on the current status of elements inscribed</w:t>
      </w:r>
      <w:r w:rsidRPr="00396894">
        <w:rPr>
          <w:rFonts w:ascii="Arial" w:hAnsi="Arial"/>
          <w:b/>
          <w:sz w:val="22"/>
          <w:lang w:val="en-US"/>
        </w:rPr>
        <w:br/>
      </w:r>
      <w:r w:rsidRPr="00C924A5">
        <w:rPr>
          <w:rFonts w:ascii="Arial" w:hAnsi="Arial" w:cs="Arial"/>
          <w:b/>
          <w:sz w:val="22"/>
          <w:szCs w:val="22"/>
          <w:lang w:val="en-GB"/>
        </w:rPr>
        <w:t>on the Representative List of the Intangible Cultural Heritage of Humanity</w:t>
      </w:r>
      <w:r w:rsidRPr="00396894">
        <w:rPr>
          <w:rFonts w:ascii="Arial" w:hAnsi="Arial"/>
          <w:b/>
          <w:sz w:val="22"/>
          <w:lang w:val="en-US"/>
        </w:rPr>
        <w:br/>
      </w:r>
      <w:r w:rsidRPr="00C924A5">
        <w:rPr>
          <w:rFonts w:ascii="Arial" w:hAnsi="Arial" w:cs="Arial"/>
          <w:b/>
          <w:sz w:val="22"/>
          <w:szCs w:val="22"/>
          <w:lang w:val="en-GB"/>
        </w:rPr>
        <w:t>by States Parties in Latin America and the Caribbean (2021 Cycle), in the Arab States</w:t>
      </w:r>
      <w:r w:rsidRPr="00396894">
        <w:rPr>
          <w:rFonts w:ascii="Arial" w:hAnsi="Arial"/>
          <w:b/>
          <w:sz w:val="22"/>
          <w:lang w:val="en-US"/>
        </w:rPr>
        <w:br/>
      </w:r>
      <w:r w:rsidRPr="00C924A5">
        <w:rPr>
          <w:rFonts w:ascii="Arial" w:hAnsi="Arial" w:cs="Arial"/>
          <w:b/>
          <w:sz w:val="22"/>
          <w:szCs w:val="22"/>
          <w:lang w:val="en-GB"/>
        </w:rPr>
        <w:t>(2023 Cycle) and in Africa (2024 Cycle)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42C75" w:rsidRPr="00A91430" w14:paraId="2EEE1C61" w14:textId="77777777" w:rsidTr="00EB760A">
        <w:trPr>
          <w:jc w:val="center"/>
        </w:trPr>
        <w:tc>
          <w:tcPr>
            <w:tcW w:w="5670" w:type="dxa"/>
            <w:vAlign w:val="center"/>
          </w:tcPr>
          <w:p w14:paraId="0EE87F7B" w14:textId="6951F8B8" w:rsidR="00C42C75" w:rsidRDefault="00C42C75" w:rsidP="00EB760A">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82C49E8" w14:textId="02F66461" w:rsidR="0066159F" w:rsidRDefault="0066159F" w:rsidP="0066159F">
            <w:pPr>
              <w:pStyle w:val="Sansinterligne2"/>
              <w:spacing w:before="200" w:after="200"/>
              <w:jc w:val="both"/>
              <w:rPr>
                <w:rFonts w:ascii="Arial" w:hAnsi="Arial" w:cs="Arial"/>
                <w:sz w:val="22"/>
                <w:szCs w:val="22"/>
                <w:lang w:val="en-GB"/>
              </w:rPr>
            </w:pPr>
            <w:r w:rsidRPr="00143D6A">
              <w:rPr>
                <w:rFonts w:ascii="Arial" w:hAnsi="Arial" w:cs="Arial"/>
                <w:sz w:val="22"/>
                <w:szCs w:val="22"/>
                <w:lang w:val="en-GB"/>
              </w:rPr>
              <w:t xml:space="preserve">This document presents </w:t>
            </w:r>
            <w:r>
              <w:rPr>
                <w:rFonts w:ascii="Arial" w:hAnsi="Arial" w:cs="Arial"/>
                <w:sz w:val="22"/>
                <w:szCs w:val="22"/>
                <w:lang w:val="en-GB"/>
              </w:rPr>
              <w:t>an update on the first cycle of periodic reporting on the implementation of the Convention and on the current status of elements inscribed on the Representative List of the Intangible Cultural Heritage of Humanity in Latin America and the Caribbean, in the Arab States and in Africa.</w:t>
            </w:r>
          </w:p>
          <w:p w14:paraId="086F3FC5" w14:textId="2DF0FA2C" w:rsidR="00C42C75" w:rsidRPr="00293C60" w:rsidRDefault="00C42C75" w:rsidP="00EB760A">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6B0E89">
              <w:rPr>
                <w:rFonts w:ascii="Arial" w:hAnsi="Arial" w:cs="Arial"/>
                <w:bCs/>
                <w:sz w:val="22"/>
                <w:szCs w:val="22"/>
                <w:lang w:val="en-GB"/>
              </w:rPr>
              <w:t>19</w:t>
            </w:r>
          </w:p>
        </w:tc>
      </w:tr>
    </w:tbl>
    <w:p w14:paraId="7C40D50A" w14:textId="0D944CD1" w:rsidR="0066159F" w:rsidRPr="00143D6A" w:rsidRDefault="0066159F" w:rsidP="0066159F">
      <w:pPr>
        <w:rPr>
          <w:rFonts w:asciiTheme="minorBidi" w:hAnsiTheme="minorBidi" w:cstheme="minorBidi"/>
          <w:bCs/>
          <w:lang w:val="en-GB"/>
        </w:rPr>
      </w:pPr>
      <w:r>
        <w:rPr>
          <w:rFonts w:asciiTheme="minorBidi" w:hAnsiTheme="minorBidi" w:cstheme="minorBidi"/>
          <w:bCs/>
          <w:lang w:val="en-GB"/>
        </w:rPr>
        <w:br w:type="page"/>
      </w:r>
    </w:p>
    <w:p w14:paraId="3EE96865" w14:textId="1B08282F" w:rsidR="0066159F" w:rsidRPr="0066159F" w:rsidRDefault="0066159F" w:rsidP="0066159F">
      <w:pPr>
        <w:pStyle w:val="Sansinterligne2"/>
        <w:spacing w:after="120"/>
        <w:jc w:val="both"/>
        <w:rPr>
          <w:rFonts w:asciiTheme="minorBidi" w:hAnsiTheme="minorBidi" w:cstheme="minorBidi"/>
          <w:b/>
          <w:bCs/>
          <w:sz w:val="22"/>
          <w:szCs w:val="22"/>
          <w:lang w:val="en-GB"/>
        </w:rPr>
      </w:pPr>
      <w:r w:rsidRPr="0066159F">
        <w:rPr>
          <w:rFonts w:asciiTheme="minorBidi" w:hAnsiTheme="minorBidi" w:cstheme="minorBidi"/>
          <w:b/>
          <w:bCs/>
          <w:sz w:val="22"/>
          <w:szCs w:val="22"/>
          <w:lang w:val="en-GB"/>
        </w:rPr>
        <w:lastRenderedPageBreak/>
        <w:t>Introduction</w:t>
      </w:r>
    </w:p>
    <w:p w14:paraId="4608C4F0" w14:textId="1CD6CF3A" w:rsidR="00D56642" w:rsidRPr="00D56642" w:rsidRDefault="007934F3" w:rsidP="00396894">
      <w:pPr>
        <w:pStyle w:val="Sansinterligne2"/>
        <w:numPr>
          <w:ilvl w:val="0"/>
          <w:numId w:val="23"/>
        </w:numPr>
        <w:spacing w:after="120"/>
        <w:ind w:left="567" w:hanging="567"/>
        <w:jc w:val="both"/>
        <w:rPr>
          <w:rFonts w:asciiTheme="minorBidi" w:hAnsiTheme="minorBidi" w:cstheme="minorBidi"/>
          <w:sz w:val="22"/>
          <w:szCs w:val="22"/>
          <w:lang w:val="en-GB"/>
        </w:rPr>
      </w:pPr>
      <w:r>
        <w:rPr>
          <w:rFonts w:asciiTheme="minorBidi" w:hAnsiTheme="minorBidi" w:cstheme="minorBidi"/>
          <w:sz w:val="22"/>
          <w:szCs w:val="22"/>
          <w:lang w:val="en-GB"/>
        </w:rPr>
        <w:t xml:space="preserve">The periodic reporting mechanism under Article 29 of the </w:t>
      </w:r>
      <w:r w:rsidR="008205D1">
        <w:rPr>
          <w:rFonts w:asciiTheme="minorBidi" w:hAnsiTheme="minorBidi" w:cstheme="minorBidi"/>
          <w:sz w:val="22"/>
          <w:szCs w:val="22"/>
          <w:lang w:val="en-GB"/>
        </w:rPr>
        <w:t xml:space="preserve">2003 </w:t>
      </w:r>
      <w:r>
        <w:rPr>
          <w:rFonts w:asciiTheme="minorBidi" w:hAnsiTheme="minorBidi" w:cstheme="minorBidi"/>
          <w:sz w:val="22"/>
          <w:szCs w:val="22"/>
          <w:lang w:val="en-GB"/>
        </w:rPr>
        <w:t xml:space="preserve">Convention </w:t>
      </w:r>
      <w:r w:rsidR="00F136E6">
        <w:rPr>
          <w:rFonts w:asciiTheme="minorBidi" w:hAnsiTheme="minorBidi" w:cstheme="minorBidi"/>
          <w:sz w:val="22"/>
          <w:szCs w:val="22"/>
          <w:lang w:val="en-GB"/>
        </w:rPr>
        <w:t>has been</w:t>
      </w:r>
      <w:r>
        <w:rPr>
          <w:rFonts w:asciiTheme="minorBidi" w:hAnsiTheme="minorBidi" w:cstheme="minorBidi"/>
          <w:sz w:val="22"/>
          <w:szCs w:val="22"/>
          <w:lang w:val="en-GB"/>
        </w:rPr>
        <w:t xml:space="preserve"> reformed with </w:t>
      </w:r>
      <w:r w:rsidRPr="00EB60B1">
        <w:rPr>
          <w:rFonts w:asciiTheme="minorBidi" w:hAnsiTheme="minorBidi" w:cstheme="minorBidi"/>
          <w:sz w:val="22"/>
          <w:szCs w:val="22"/>
          <w:lang w:val="en-GB"/>
        </w:rPr>
        <w:t>the aim of enhancing its quality, usefulness and timeliness, as well as to address the low submission rate</w:t>
      </w:r>
      <w:r w:rsidR="0054304E">
        <w:rPr>
          <w:rFonts w:asciiTheme="minorBidi" w:hAnsiTheme="minorBidi" w:cstheme="minorBidi"/>
          <w:sz w:val="22"/>
          <w:szCs w:val="22"/>
          <w:lang w:val="en-GB"/>
        </w:rPr>
        <w:t>, following the decision of the twelfth session of the Committee in 2017 (</w:t>
      </w:r>
      <w:r w:rsidR="00D5021D">
        <w:rPr>
          <w:rFonts w:asciiTheme="minorBidi" w:hAnsiTheme="minorBidi" w:cstheme="minorBidi"/>
          <w:sz w:val="22"/>
          <w:szCs w:val="22"/>
          <w:lang w:val="en-GB"/>
        </w:rPr>
        <w:t>Decision </w:t>
      </w:r>
      <w:hyperlink r:id="rId8" w:history="1">
        <w:r w:rsidR="0054304E" w:rsidRPr="0005199B">
          <w:rPr>
            <w:rStyle w:val="Lienhypertexte"/>
            <w:rFonts w:asciiTheme="minorBidi" w:hAnsiTheme="minorBidi" w:cstheme="minorBidi"/>
            <w:sz w:val="22"/>
            <w:szCs w:val="22"/>
            <w:lang w:val="en-GB"/>
          </w:rPr>
          <w:t>12.COM</w:t>
        </w:r>
        <w:r w:rsidR="00396894">
          <w:rPr>
            <w:rStyle w:val="Lienhypertexte"/>
            <w:rFonts w:asciiTheme="minorBidi" w:hAnsiTheme="minorBidi" w:cstheme="minorBidi"/>
            <w:sz w:val="22"/>
            <w:szCs w:val="22"/>
            <w:lang w:val="en-GB"/>
          </w:rPr>
          <w:t> </w:t>
        </w:r>
        <w:r w:rsidR="0054304E" w:rsidRPr="0005199B">
          <w:rPr>
            <w:rStyle w:val="Lienhypertexte"/>
            <w:rFonts w:asciiTheme="minorBidi" w:hAnsiTheme="minorBidi" w:cstheme="minorBidi"/>
            <w:sz w:val="22"/>
            <w:szCs w:val="22"/>
            <w:lang w:val="en-GB"/>
          </w:rPr>
          <w:t>10</w:t>
        </w:r>
      </w:hyperlink>
      <w:r w:rsidR="0054304E">
        <w:rPr>
          <w:rFonts w:asciiTheme="minorBidi" w:hAnsiTheme="minorBidi" w:cstheme="minorBidi"/>
          <w:sz w:val="22"/>
          <w:szCs w:val="22"/>
          <w:lang w:val="en-GB"/>
        </w:rPr>
        <w:t>)</w:t>
      </w:r>
      <w:r w:rsidRPr="00EB60B1">
        <w:rPr>
          <w:rFonts w:asciiTheme="minorBidi" w:hAnsiTheme="minorBidi" w:cstheme="minorBidi"/>
          <w:sz w:val="22"/>
          <w:szCs w:val="22"/>
          <w:lang w:val="en-GB"/>
        </w:rPr>
        <w:t>.</w:t>
      </w:r>
      <w:r>
        <w:rPr>
          <w:rFonts w:asciiTheme="minorBidi" w:hAnsiTheme="minorBidi" w:cstheme="minorBidi"/>
          <w:sz w:val="22"/>
          <w:szCs w:val="22"/>
          <w:lang w:val="en-GB"/>
        </w:rPr>
        <w:t xml:space="preserve"> The mechanism has been aligned </w:t>
      </w:r>
      <w:r w:rsidR="008205D1">
        <w:rPr>
          <w:rFonts w:asciiTheme="minorBidi" w:hAnsiTheme="minorBidi" w:cstheme="minorBidi"/>
          <w:sz w:val="22"/>
          <w:szCs w:val="22"/>
          <w:lang w:val="en-GB"/>
        </w:rPr>
        <w:t>with</w:t>
      </w:r>
      <w:r>
        <w:rPr>
          <w:rFonts w:asciiTheme="minorBidi" w:hAnsiTheme="minorBidi" w:cstheme="minorBidi"/>
          <w:sz w:val="22"/>
          <w:szCs w:val="22"/>
          <w:lang w:val="en-GB"/>
        </w:rPr>
        <w:t xml:space="preserve"> the overall results framework of the Convention </w:t>
      </w:r>
      <w:r w:rsidRPr="00722500">
        <w:rPr>
          <w:rFonts w:asciiTheme="minorBidi" w:hAnsiTheme="minorBidi" w:cstheme="minorBidi"/>
          <w:sz w:val="22"/>
          <w:szCs w:val="22"/>
          <w:lang w:val="en-GB"/>
        </w:rPr>
        <w:t xml:space="preserve">in order to ensure the process was clearly </w:t>
      </w:r>
      <w:r w:rsidR="008205D1" w:rsidRPr="00722500">
        <w:rPr>
          <w:rFonts w:asciiTheme="minorBidi" w:hAnsiTheme="minorBidi" w:cstheme="minorBidi"/>
          <w:sz w:val="22"/>
          <w:szCs w:val="22"/>
          <w:lang w:val="en-GB"/>
        </w:rPr>
        <w:t xml:space="preserve">in line </w:t>
      </w:r>
      <w:r w:rsidRPr="00AB4250">
        <w:rPr>
          <w:rFonts w:asciiTheme="minorBidi" w:hAnsiTheme="minorBidi" w:cstheme="minorBidi"/>
          <w:sz w:val="22"/>
          <w:szCs w:val="22"/>
          <w:lang w:val="en-GB"/>
        </w:rPr>
        <w:t xml:space="preserve">with the overarching goals of </w:t>
      </w:r>
      <w:r w:rsidRPr="00722500">
        <w:rPr>
          <w:rFonts w:asciiTheme="minorBidi" w:hAnsiTheme="minorBidi" w:cstheme="minorBidi"/>
          <w:sz w:val="22"/>
          <w:szCs w:val="22"/>
          <w:lang w:val="en-GB"/>
        </w:rPr>
        <w:t xml:space="preserve">implementing the Convention and to allow for more effective monitoring </w:t>
      </w:r>
      <w:r w:rsidR="008205D1" w:rsidRPr="00722500">
        <w:rPr>
          <w:rFonts w:asciiTheme="minorBidi" w:hAnsiTheme="minorBidi" w:cstheme="minorBidi"/>
          <w:sz w:val="22"/>
          <w:szCs w:val="22"/>
          <w:lang w:val="en-GB"/>
        </w:rPr>
        <w:t>to achieve</w:t>
      </w:r>
      <w:r w:rsidRPr="00722500">
        <w:rPr>
          <w:rFonts w:asciiTheme="minorBidi" w:hAnsiTheme="minorBidi" w:cstheme="minorBidi"/>
          <w:sz w:val="22"/>
          <w:szCs w:val="22"/>
          <w:lang w:val="en-GB"/>
        </w:rPr>
        <w:t xml:space="preserve"> these goals</w:t>
      </w:r>
      <w:r w:rsidR="00D56642" w:rsidRPr="00722500">
        <w:rPr>
          <w:rFonts w:asciiTheme="minorBidi" w:hAnsiTheme="minorBidi" w:cstheme="minorBidi"/>
          <w:sz w:val="22"/>
          <w:szCs w:val="22"/>
          <w:lang w:val="en-GB"/>
        </w:rPr>
        <w:t xml:space="preserve"> </w:t>
      </w:r>
      <w:r w:rsidR="00627E34" w:rsidRPr="00722500">
        <w:rPr>
          <w:rFonts w:asciiTheme="minorBidi" w:hAnsiTheme="minorBidi" w:cstheme="minorBidi"/>
          <w:sz w:val="22"/>
          <w:szCs w:val="22"/>
          <w:lang w:val="en-GB"/>
        </w:rPr>
        <w:t xml:space="preserve">(Resolution </w:t>
      </w:r>
      <w:hyperlink r:id="rId9" w:history="1">
        <w:r w:rsidR="00627E34" w:rsidRPr="00396894">
          <w:rPr>
            <w:rStyle w:val="Lienhypertexte"/>
            <w:rFonts w:asciiTheme="minorBidi" w:hAnsiTheme="minorBidi" w:cstheme="minorBidi"/>
            <w:lang w:val="en-US"/>
          </w:rPr>
          <w:t>7.GA 9</w:t>
        </w:r>
      </w:hyperlink>
      <w:r w:rsidR="00627E34" w:rsidRPr="00722500">
        <w:rPr>
          <w:rFonts w:asciiTheme="minorBidi" w:hAnsiTheme="minorBidi" w:cstheme="minorBidi"/>
          <w:sz w:val="22"/>
          <w:szCs w:val="22"/>
          <w:lang w:val="en-GB"/>
        </w:rPr>
        <w:t xml:space="preserve"> a</w:t>
      </w:r>
      <w:r w:rsidR="00D56642" w:rsidRPr="00722500">
        <w:rPr>
          <w:rFonts w:asciiTheme="minorBidi" w:hAnsiTheme="minorBidi" w:cstheme="minorBidi"/>
          <w:sz w:val="22"/>
          <w:szCs w:val="22"/>
          <w:lang w:val="en-GB"/>
        </w:rPr>
        <w:t xml:space="preserve">nd Decision </w:t>
      </w:r>
      <w:hyperlink r:id="rId10" w:history="1">
        <w:r w:rsidR="00D56642" w:rsidRPr="00722500">
          <w:rPr>
            <w:rStyle w:val="Lienhypertexte"/>
            <w:rFonts w:asciiTheme="minorBidi" w:hAnsiTheme="minorBidi" w:cstheme="minorBidi"/>
            <w:sz w:val="22"/>
            <w:szCs w:val="22"/>
            <w:lang w:val="en-GB"/>
          </w:rPr>
          <w:t>14.COM 8</w:t>
        </w:r>
      </w:hyperlink>
      <w:r w:rsidR="00D56642" w:rsidRPr="00722500">
        <w:rPr>
          <w:rFonts w:asciiTheme="minorBidi" w:hAnsiTheme="minorBidi" w:cstheme="minorBidi"/>
          <w:sz w:val="22"/>
          <w:szCs w:val="22"/>
          <w:lang w:val="en-GB"/>
        </w:rPr>
        <w:t>).</w:t>
      </w:r>
      <w:r w:rsidR="00FF56F7" w:rsidRPr="00722500">
        <w:rPr>
          <w:rFonts w:asciiTheme="minorBidi" w:hAnsiTheme="minorBidi" w:cstheme="minorBidi"/>
          <w:sz w:val="22"/>
          <w:szCs w:val="22"/>
          <w:lang w:val="en-GB"/>
        </w:rPr>
        <w:t xml:space="preserve"> </w:t>
      </w:r>
      <w:r w:rsidR="008205D1" w:rsidRPr="00722500">
        <w:rPr>
          <w:rFonts w:asciiTheme="minorBidi" w:hAnsiTheme="minorBidi" w:cstheme="minorBidi"/>
          <w:sz w:val="22"/>
          <w:szCs w:val="22"/>
          <w:lang w:val="en-GB"/>
        </w:rPr>
        <w:t>These reforms concerned</w:t>
      </w:r>
      <w:r w:rsidR="00FF56F7" w:rsidRPr="00722500">
        <w:rPr>
          <w:rFonts w:asciiTheme="minorBidi" w:hAnsiTheme="minorBidi" w:cstheme="minorBidi"/>
          <w:sz w:val="22"/>
          <w:szCs w:val="22"/>
          <w:lang w:val="en-GB"/>
        </w:rPr>
        <w:t xml:space="preserve"> </w:t>
      </w:r>
      <w:r w:rsidR="008205D1" w:rsidRPr="00722500">
        <w:rPr>
          <w:rFonts w:asciiTheme="minorBidi" w:hAnsiTheme="minorBidi" w:cstheme="minorBidi"/>
          <w:sz w:val="22"/>
          <w:szCs w:val="22"/>
          <w:lang w:val="en-GB"/>
        </w:rPr>
        <w:t xml:space="preserve">the </w:t>
      </w:r>
      <w:r w:rsidR="00FF56F7" w:rsidRPr="00722500">
        <w:rPr>
          <w:rFonts w:asciiTheme="minorBidi" w:hAnsiTheme="minorBidi" w:cstheme="minorBidi"/>
          <w:sz w:val="22"/>
          <w:szCs w:val="22"/>
          <w:lang w:val="en-GB"/>
        </w:rPr>
        <w:t xml:space="preserve">reporting </w:t>
      </w:r>
      <w:r w:rsidR="008205D1" w:rsidRPr="00722500">
        <w:rPr>
          <w:rFonts w:asciiTheme="minorBidi" w:hAnsiTheme="minorBidi" w:cstheme="minorBidi"/>
          <w:sz w:val="22"/>
          <w:szCs w:val="22"/>
          <w:lang w:val="en-GB"/>
        </w:rPr>
        <w:t xml:space="preserve">process </w:t>
      </w:r>
      <w:r w:rsidR="00FF56F7" w:rsidRPr="00722500">
        <w:rPr>
          <w:rFonts w:asciiTheme="minorBidi" w:hAnsiTheme="minorBidi" w:cstheme="minorBidi"/>
          <w:sz w:val="22"/>
          <w:szCs w:val="22"/>
          <w:lang w:val="en-GB"/>
        </w:rPr>
        <w:t>on the implement</w:t>
      </w:r>
      <w:r w:rsidR="00FF56F7" w:rsidRPr="00FF56F7">
        <w:rPr>
          <w:rFonts w:asciiTheme="minorBidi" w:hAnsiTheme="minorBidi" w:cstheme="minorBidi"/>
          <w:sz w:val="22"/>
          <w:szCs w:val="22"/>
          <w:lang w:val="en-GB"/>
        </w:rPr>
        <w:t>ation of the Convention and on the current status of elements inscribed on the Representative List of the Intangible Cultural Heritage of Humanity</w:t>
      </w:r>
      <w:r w:rsidR="00FF56F7">
        <w:rPr>
          <w:rFonts w:asciiTheme="minorBidi" w:hAnsiTheme="minorBidi" w:cstheme="minorBidi"/>
          <w:sz w:val="22"/>
          <w:szCs w:val="22"/>
          <w:lang w:val="en-GB"/>
        </w:rPr>
        <w:t xml:space="preserve"> (reporting on elements inscribed on the Urgent Safeguarding List </w:t>
      </w:r>
      <w:r w:rsidR="000C3415">
        <w:rPr>
          <w:rFonts w:asciiTheme="minorBidi" w:hAnsiTheme="minorBidi" w:cstheme="minorBidi"/>
          <w:sz w:val="22"/>
          <w:szCs w:val="22"/>
          <w:lang w:val="en-GB"/>
        </w:rPr>
        <w:t>was</w:t>
      </w:r>
      <w:r w:rsidR="00FF56F7">
        <w:rPr>
          <w:rFonts w:asciiTheme="minorBidi" w:hAnsiTheme="minorBidi" w:cstheme="minorBidi"/>
          <w:sz w:val="22"/>
          <w:szCs w:val="22"/>
          <w:lang w:val="en-GB"/>
        </w:rPr>
        <w:t xml:space="preserve"> </w:t>
      </w:r>
      <w:r w:rsidR="00C50D3F">
        <w:rPr>
          <w:rFonts w:asciiTheme="minorBidi" w:hAnsiTheme="minorBidi" w:cstheme="minorBidi"/>
          <w:sz w:val="22"/>
          <w:szCs w:val="22"/>
          <w:lang w:val="en-GB"/>
        </w:rPr>
        <w:t>not</w:t>
      </w:r>
      <w:r w:rsidR="00FF56F7">
        <w:rPr>
          <w:rFonts w:asciiTheme="minorBidi" w:hAnsiTheme="minorBidi" w:cstheme="minorBidi"/>
          <w:sz w:val="22"/>
          <w:szCs w:val="22"/>
          <w:lang w:val="en-GB"/>
        </w:rPr>
        <w:t xml:space="preserve"> concerned by the reform</w:t>
      </w:r>
      <w:r w:rsidR="000C3415">
        <w:rPr>
          <w:rFonts w:asciiTheme="minorBidi" w:hAnsiTheme="minorBidi" w:cstheme="minorBidi"/>
          <w:sz w:val="22"/>
          <w:szCs w:val="22"/>
          <w:lang w:val="en-GB"/>
        </w:rPr>
        <w:t>)</w:t>
      </w:r>
      <w:r w:rsidR="00FF56F7">
        <w:rPr>
          <w:rFonts w:asciiTheme="minorBidi" w:hAnsiTheme="minorBidi" w:cstheme="minorBidi"/>
          <w:sz w:val="22"/>
          <w:szCs w:val="22"/>
          <w:lang w:val="en-GB"/>
        </w:rPr>
        <w:t>.</w:t>
      </w:r>
    </w:p>
    <w:p w14:paraId="11F4D3A2" w14:textId="400B6C72" w:rsidR="00236DB0" w:rsidRDefault="00D56642" w:rsidP="00396894">
      <w:pPr>
        <w:pStyle w:val="Sansinterligne2"/>
        <w:numPr>
          <w:ilvl w:val="0"/>
          <w:numId w:val="23"/>
        </w:numPr>
        <w:spacing w:after="120"/>
        <w:ind w:left="567" w:hanging="567"/>
        <w:jc w:val="both"/>
        <w:rPr>
          <w:rFonts w:asciiTheme="minorBidi" w:hAnsiTheme="minorBidi" w:cstheme="minorBidi"/>
          <w:sz w:val="22"/>
          <w:szCs w:val="22"/>
          <w:lang w:val="en-GB"/>
        </w:rPr>
      </w:pPr>
      <w:r w:rsidRPr="008205D1">
        <w:rPr>
          <w:rFonts w:asciiTheme="minorBidi" w:hAnsiTheme="minorBidi" w:cstheme="minorBidi"/>
          <w:lang w:val="en-GB"/>
        </w:rPr>
        <w:t>T</w:t>
      </w:r>
      <w:r w:rsidRPr="00236DB0">
        <w:rPr>
          <w:rFonts w:asciiTheme="minorBidi" w:hAnsiTheme="minorBidi" w:cstheme="minorBidi"/>
          <w:sz w:val="22"/>
          <w:szCs w:val="22"/>
          <w:lang w:val="en-GB"/>
        </w:rPr>
        <w:t xml:space="preserve">he periodicity of </w:t>
      </w:r>
      <w:r w:rsidR="008205D1">
        <w:rPr>
          <w:rFonts w:asciiTheme="minorBidi" w:hAnsiTheme="minorBidi" w:cstheme="minorBidi"/>
          <w:sz w:val="22"/>
          <w:szCs w:val="22"/>
          <w:lang w:val="en-GB"/>
        </w:rPr>
        <w:t xml:space="preserve">the </w:t>
      </w:r>
      <w:r w:rsidR="00236DB0" w:rsidRPr="00236DB0">
        <w:rPr>
          <w:rFonts w:asciiTheme="minorBidi" w:hAnsiTheme="minorBidi" w:cstheme="minorBidi"/>
          <w:sz w:val="22"/>
          <w:szCs w:val="22"/>
          <w:lang w:val="en-GB"/>
        </w:rPr>
        <w:t>reporting</w:t>
      </w:r>
      <w:r w:rsidRPr="00236DB0">
        <w:rPr>
          <w:rFonts w:asciiTheme="minorBidi" w:hAnsiTheme="minorBidi" w:cstheme="minorBidi"/>
          <w:sz w:val="22"/>
          <w:szCs w:val="22"/>
          <w:lang w:val="en-GB"/>
        </w:rPr>
        <w:t xml:space="preserve"> </w:t>
      </w:r>
      <w:r w:rsidR="008205D1">
        <w:rPr>
          <w:rFonts w:asciiTheme="minorBidi" w:hAnsiTheme="minorBidi" w:cstheme="minorBidi"/>
          <w:sz w:val="22"/>
          <w:szCs w:val="22"/>
          <w:lang w:val="en-GB"/>
        </w:rPr>
        <w:t xml:space="preserve">process </w:t>
      </w:r>
      <w:r w:rsidR="00236DB0" w:rsidRPr="00236DB0">
        <w:rPr>
          <w:rFonts w:asciiTheme="minorBidi" w:hAnsiTheme="minorBidi" w:cstheme="minorBidi"/>
          <w:sz w:val="22"/>
          <w:szCs w:val="22"/>
          <w:lang w:val="en-GB"/>
        </w:rPr>
        <w:t xml:space="preserve">was </w:t>
      </w:r>
      <w:r w:rsidR="00236DB0">
        <w:rPr>
          <w:rFonts w:asciiTheme="minorBidi" w:hAnsiTheme="minorBidi" w:cstheme="minorBidi"/>
          <w:sz w:val="22"/>
          <w:szCs w:val="22"/>
          <w:lang w:val="en-GB"/>
        </w:rPr>
        <w:t xml:space="preserve">also </w:t>
      </w:r>
      <w:r w:rsidR="00236DB0" w:rsidRPr="00722500">
        <w:rPr>
          <w:rFonts w:asciiTheme="minorBidi" w:hAnsiTheme="minorBidi" w:cstheme="minorBidi"/>
          <w:sz w:val="22"/>
          <w:szCs w:val="22"/>
          <w:lang w:val="en-GB"/>
        </w:rPr>
        <w:t xml:space="preserve">amended </w:t>
      </w:r>
      <w:r w:rsidR="008205D1" w:rsidRPr="00AB4250">
        <w:rPr>
          <w:rFonts w:asciiTheme="minorBidi" w:hAnsiTheme="minorBidi" w:cstheme="minorBidi"/>
          <w:sz w:val="22"/>
          <w:szCs w:val="22"/>
          <w:lang w:val="en-GB"/>
        </w:rPr>
        <w:t>s</w:t>
      </w:r>
      <w:r w:rsidR="008205D1" w:rsidRPr="00722500">
        <w:rPr>
          <w:rFonts w:asciiTheme="minorBidi" w:hAnsiTheme="minorBidi" w:cstheme="minorBidi"/>
          <w:sz w:val="22"/>
          <w:szCs w:val="22"/>
          <w:lang w:val="en-GB"/>
        </w:rPr>
        <w:t xml:space="preserve">uch </w:t>
      </w:r>
      <w:r w:rsidR="00236DB0" w:rsidRPr="00722500">
        <w:rPr>
          <w:rFonts w:asciiTheme="minorBidi" w:hAnsiTheme="minorBidi" w:cstheme="minorBidi"/>
          <w:sz w:val="22"/>
          <w:szCs w:val="22"/>
          <w:lang w:val="en-GB"/>
        </w:rPr>
        <w:t>that</w:t>
      </w:r>
      <w:r w:rsidRPr="00722500">
        <w:rPr>
          <w:rFonts w:asciiTheme="minorBidi" w:hAnsiTheme="minorBidi" w:cstheme="minorBidi"/>
          <w:sz w:val="22"/>
          <w:szCs w:val="22"/>
          <w:lang w:val="en-GB"/>
        </w:rPr>
        <w:t xml:space="preserve"> States Parties would submit their reports every six years on the basis of a system of regional rotation</w:t>
      </w:r>
      <w:r w:rsidR="00236DB0" w:rsidRPr="00722500">
        <w:rPr>
          <w:rFonts w:asciiTheme="minorBidi" w:hAnsiTheme="minorBidi" w:cstheme="minorBidi"/>
          <w:sz w:val="22"/>
          <w:szCs w:val="22"/>
          <w:lang w:val="en-GB"/>
        </w:rPr>
        <w:t xml:space="preserve"> (</w:t>
      </w:r>
      <w:r w:rsidR="00D5021D" w:rsidRPr="00396894">
        <w:rPr>
          <w:rFonts w:asciiTheme="minorBidi" w:hAnsiTheme="minorBidi" w:cstheme="minorBidi"/>
          <w:lang w:val="en-US"/>
        </w:rPr>
        <w:t>Decision</w:t>
      </w:r>
      <w:r w:rsidR="00903C78" w:rsidRPr="00396894">
        <w:rPr>
          <w:rFonts w:asciiTheme="minorBidi" w:hAnsiTheme="minorBidi" w:cstheme="minorBidi"/>
          <w:sz w:val="22"/>
          <w:szCs w:val="22"/>
          <w:lang w:val="en-GB"/>
        </w:rPr>
        <w:t> </w:t>
      </w:r>
      <w:hyperlink r:id="rId11" w:history="1">
        <w:r w:rsidR="00D5021D" w:rsidRPr="00396894">
          <w:rPr>
            <w:rStyle w:val="Lienhypertexte"/>
            <w:rFonts w:asciiTheme="minorBidi" w:hAnsiTheme="minorBidi" w:cstheme="minorBidi"/>
            <w:sz w:val="22"/>
            <w:szCs w:val="22"/>
            <w:lang w:val="en-GB"/>
          </w:rPr>
          <w:t>13.COM 8</w:t>
        </w:r>
      </w:hyperlink>
      <w:r w:rsidR="00236DB0" w:rsidRPr="00396894">
        <w:rPr>
          <w:rFonts w:asciiTheme="minorBidi" w:hAnsiTheme="minorBidi" w:cstheme="minorBidi"/>
          <w:sz w:val="22"/>
          <w:szCs w:val="22"/>
          <w:lang w:val="en-GB"/>
        </w:rPr>
        <w:t>)</w:t>
      </w:r>
      <w:r w:rsidRPr="00396894">
        <w:rPr>
          <w:rFonts w:asciiTheme="minorBidi" w:hAnsiTheme="minorBidi" w:cstheme="minorBidi"/>
          <w:sz w:val="22"/>
          <w:szCs w:val="22"/>
          <w:lang w:val="en-GB"/>
        </w:rPr>
        <w:t xml:space="preserve">. </w:t>
      </w:r>
      <w:r w:rsidR="000C3415" w:rsidRPr="00396894">
        <w:rPr>
          <w:rFonts w:asciiTheme="minorBidi" w:hAnsiTheme="minorBidi" w:cstheme="minorBidi"/>
          <w:sz w:val="22"/>
          <w:szCs w:val="22"/>
          <w:lang w:val="en-GB"/>
        </w:rPr>
        <w:t>T</w:t>
      </w:r>
      <w:r w:rsidR="00236DB0" w:rsidRPr="00396894">
        <w:rPr>
          <w:rFonts w:asciiTheme="minorBidi" w:hAnsiTheme="minorBidi" w:cstheme="minorBidi"/>
          <w:sz w:val="22"/>
          <w:szCs w:val="22"/>
          <w:lang w:val="en-GB"/>
        </w:rPr>
        <w:t>he</w:t>
      </w:r>
      <w:r w:rsidR="00236DB0" w:rsidRPr="00722500">
        <w:rPr>
          <w:rFonts w:asciiTheme="minorBidi" w:hAnsiTheme="minorBidi" w:cstheme="minorBidi"/>
          <w:sz w:val="22"/>
          <w:szCs w:val="22"/>
          <w:lang w:val="en-GB"/>
        </w:rPr>
        <w:t xml:space="preserve"> calendar for the first</w:t>
      </w:r>
      <w:r w:rsidR="00236DB0" w:rsidRPr="00EB60B1">
        <w:rPr>
          <w:rFonts w:asciiTheme="minorBidi" w:hAnsiTheme="minorBidi" w:cstheme="minorBidi"/>
          <w:sz w:val="22"/>
          <w:szCs w:val="22"/>
          <w:lang w:val="en-GB"/>
        </w:rPr>
        <w:t xml:space="preserve"> cycle of reporting</w:t>
      </w:r>
      <w:r w:rsidR="00236DB0">
        <w:rPr>
          <w:rFonts w:asciiTheme="minorBidi" w:hAnsiTheme="minorBidi" w:cstheme="minorBidi"/>
          <w:sz w:val="22"/>
          <w:szCs w:val="22"/>
          <w:lang w:val="en-GB"/>
        </w:rPr>
        <w:t xml:space="preserve"> was defined as follows:</w:t>
      </w:r>
    </w:p>
    <w:p w14:paraId="6C9A4866" w14:textId="03153266" w:rsidR="006E7394" w:rsidRDefault="00236DB0" w:rsidP="00396894">
      <w:pPr>
        <w:pStyle w:val="Sansinterligne2"/>
        <w:numPr>
          <w:ilvl w:val="0"/>
          <w:numId w:val="32"/>
        </w:numPr>
        <w:spacing w:after="120"/>
        <w:ind w:left="1134" w:hanging="567"/>
        <w:jc w:val="both"/>
        <w:rPr>
          <w:rFonts w:asciiTheme="minorBidi" w:hAnsiTheme="minorBidi" w:cstheme="minorBidi"/>
          <w:sz w:val="22"/>
          <w:szCs w:val="22"/>
          <w:lang w:val="en-GB"/>
        </w:rPr>
      </w:pPr>
      <w:r w:rsidRPr="006E7394">
        <w:rPr>
          <w:rFonts w:asciiTheme="minorBidi" w:hAnsiTheme="minorBidi" w:cstheme="minorBidi"/>
          <w:b/>
          <w:bCs/>
          <w:sz w:val="22"/>
          <w:szCs w:val="22"/>
          <w:lang w:val="en-GB"/>
        </w:rPr>
        <w:t>Latin America and the Caribbean</w:t>
      </w:r>
      <w:r w:rsidR="006E7394">
        <w:rPr>
          <w:rFonts w:asciiTheme="minorBidi" w:hAnsiTheme="minorBidi" w:cstheme="minorBidi"/>
          <w:sz w:val="22"/>
          <w:szCs w:val="22"/>
          <w:lang w:val="en-GB"/>
        </w:rPr>
        <w:t xml:space="preserve"> (2021 cycle)</w:t>
      </w:r>
      <w:r>
        <w:rPr>
          <w:rFonts w:asciiTheme="minorBidi" w:hAnsiTheme="minorBidi" w:cstheme="minorBidi"/>
          <w:sz w:val="22"/>
          <w:szCs w:val="22"/>
          <w:lang w:val="en-GB"/>
        </w:rPr>
        <w:t>:</w:t>
      </w:r>
      <w:r w:rsidRPr="00EB60B1">
        <w:rPr>
          <w:rFonts w:asciiTheme="minorBidi" w:hAnsiTheme="minorBidi" w:cstheme="minorBidi"/>
          <w:sz w:val="22"/>
          <w:szCs w:val="22"/>
          <w:lang w:val="en-GB"/>
        </w:rPr>
        <w:t xml:space="preserve"> periodic reports </w:t>
      </w:r>
      <w:r w:rsidR="008205D1">
        <w:rPr>
          <w:rFonts w:asciiTheme="minorBidi" w:hAnsiTheme="minorBidi" w:cstheme="minorBidi"/>
          <w:sz w:val="22"/>
          <w:szCs w:val="22"/>
          <w:lang w:val="en-GB"/>
        </w:rPr>
        <w:t xml:space="preserve">submitted </w:t>
      </w:r>
      <w:r w:rsidRPr="00EB60B1">
        <w:rPr>
          <w:rFonts w:asciiTheme="minorBidi" w:hAnsiTheme="minorBidi" w:cstheme="minorBidi"/>
          <w:sz w:val="22"/>
          <w:szCs w:val="22"/>
          <w:lang w:val="en-GB"/>
        </w:rPr>
        <w:t xml:space="preserve">by </w:t>
      </w:r>
      <w:r w:rsidR="00795CF0" w:rsidRPr="00EB60B1">
        <w:rPr>
          <w:rFonts w:asciiTheme="minorBidi" w:hAnsiTheme="minorBidi" w:cstheme="minorBidi"/>
          <w:sz w:val="22"/>
          <w:szCs w:val="22"/>
          <w:lang w:val="en-GB"/>
        </w:rPr>
        <w:t>15</w:t>
      </w:r>
      <w:r w:rsidR="00795CF0">
        <w:rPr>
          <w:rFonts w:asciiTheme="minorBidi" w:hAnsiTheme="minorBidi" w:cstheme="minorBidi"/>
          <w:sz w:val="22"/>
          <w:szCs w:val="22"/>
          <w:lang w:val="en-GB"/>
        </w:rPr>
        <w:t> </w:t>
      </w:r>
      <w:r w:rsidRPr="00EB60B1">
        <w:rPr>
          <w:rFonts w:asciiTheme="minorBidi" w:hAnsiTheme="minorBidi" w:cstheme="minorBidi"/>
          <w:sz w:val="22"/>
          <w:szCs w:val="22"/>
          <w:lang w:val="en-GB"/>
        </w:rPr>
        <w:t>December 2020 for examination by the Committee at its sixteenth session in 2021.</w:t>
      </w:r>
    </w:p>
    <w:p w14:paraId="6E6E79BF" w14:textId="6F91FE12" w:rsidR="006E7394" w:rsidRDefault="00236DB0" w:rsidP="00396894">
      <w:pPr>
        <w:pStyle w:val="Sansinterligne2"/>
        <w:numPr>
          <w:ilvl w:val="0"/>
          <w:numId w:val="32"/>
        </w:numPr>
        <w:spacing w:after="120"/>
        <w:ind w:left="1134" w:hanging="567"/>
        <w:jc w:val="both"/>
        <w:rPr>
          <w:rFonts w:asciiTheme="minorBidi" w:hAnsiTheme="minorBidi" w:cstheme="minorBidi"/>
          <w:sz w:val="22"/>
          <w:szCs w:val="22"/>
          <w:lang w:val="en-GB"/>
        </w:rPr>
      </w:pPr>
      <w:r w:rsidRPr="0063324B">
        <w:rPr>
          <w:rFonts w:asciiTheme="minorBidi" w:hAnsiTheme="minorBidi" w:cstheme="minorBidi"/>
          <w:b/>
          <w:bCs/>
          <w:sz w:val="22"/>
          <w:szCs w:val="22"/>
          <w:lang w:val="en-GB"/>
        </w:rPr>
        <w:t>Europe</w:t>
      </w:r>
      <w:r w:rsidRPr="006E7394">
        <w:rPr>
          <w:rFonts w:asciiTheme="minorBidi" w:hAnsiTheme="minorBidi" w:cstheme="minorBidi"/>
          <w:sz w:val="22"/>
          <w:szCs w:val="22"/>
          <w:lang w:val="en-GB"/>
        </w:rPr>
        <w:t xml:space="preserve"> (202</w:t>
      </w:r>
      <w:r w:rsidR="006E7394">
        <w:rPr>
          <w:rFonts w:asciiTheme="minorBidi" w:hAnsiTheme="minorBidi" w:cstheme="minorBidi"/>
          <w:sz w:val="22"/>
          <w:szCs w:val="22"/>
          <w:lang w:val="en-GB"/>
        </w:rPr>
        <w:t>2 cycle</w:t>
      </w:r>
      <w:r w:rsidRPr="006E7394">
        <w:rPr>
          <w:rFonts w:asciiTheme="minorBidi" w:hAnsiTheme="minorBidi" w:cstheme="minorBidi"/>
          <w:sz w:val="22"/>
          <w:szCs w:val="22"/>
          <w:lang w:val="en-GB"/>
        </w:rPr>
        <w:t>)</w:t>
      </w:r>
      <w:r w:rsidR="006E7394">
        <w:rPr>
          <w:rFonts w:asciiTheme="minorBidi" w:hAnsiTheme="minorBidi" w:cstheme="minorBidi"/>
          <w:sz w:val="22"/>
          <w:szCs w:val="22"/>
          <w:lang w:val="en-GB"/>
        </w:rPr>
        <w:t>:</w:t>
      </w:r>
      <w:r w:rsidR="0063324B" w:rsidRPr="0063324B">
        <w:rPr>
          <w:rFonts w:asciiTheme="minorBidi" w:hAnsiTheme="minorBidi" w:cstheme="minorBidi"/>
          <w:sz w:val="22"/>
          <w:szCs w:val="22"/>
          <w:lang w:val="en-GB"/>
        </w:rPr>
        <w:t xml:space="preserve"> periodic reports </w:t>
      </w:r>
      <w:r w:rsidR="008205D1">
        <w:rPr>
          <w:rFonts w:asciiTheme="minorBidi" w:hAnsiTheme="minorBidi" w:cstheme="minorBidi"/>
          <w:sz w:val="22"/>
          <w:szCs w:val="22"/>
          <w:lang w:val="en-GB"/>
        </w:rPr>
        <w:t xml:space="preserve">submitted </w:t>
      </w:r>
      <w:r w:rsidR="0063324B" w:rsidRPr="0063324B">
        <w:rPr>
          <w:rFonts w:asciiTheme="minorBidi" w:hAnsiTheme="minorBidi" w:cstheme="minorBidi"/>
          <w:sz w:val="22"/>
          <w:szCs w:val="22"/>
          <w:lang w:val="en-GB"/>
        </w:rPr>
        <w:t>by 15 December 202</w:t>
      </w:r>
      <w:r w:rsidR="0063324B">
        <w:rPr>
          <w:rFonts w:asciiTheme="minorBidi" w:hAnsiTheme="minorBidi" w:cstheme="minorBidi"/>
          <w:sz w:val="22"/>
          <w:szCs w:val="22"/>
          <w:lang w:val="en-GB"/>
        </w:rPr>
        <w:t>1</w:t>
      </w:r>
      <w:r w:rsidR="0063324B" w:rsidRPr="0063324B">
        <w:rPr>
          <w:rFonts w:asciiTheme="minorBidi" w:hAnsiTheme="minorBidi" w:cstheme="minorBidi"/>
          <w:sz w:val="22"/>
          <w:szCs w:val="22"/>
          <w:lang w:val="en-GB"/>
        </w:rPr>
        <w:t xml:space="preserve"> for examination by the Committee at its </w:t>
      </w:r>
      <w:r w:rsidR="0063324B">
        <w:rPr>
          <w:rFonts w:asciiTheme="minorBidi" w:hAnsiTheme="minorBidi" w:cstheme="minorBidi"/>
          <w:sz w:val="22"/>
          <w:szCs w:val="22"/>
          <w:lang w:val="en-GB"/>
        </w:rPr>
        <w:t>seventeenth</w:t>
      </w:r>
      <w:r w:rsidR="0063324B" w:rsidRPr="0063324B">
        <w:rPr>
          <w:rFonts w:asciiTheme="minorBidi" w:hAnsiTheme="minorBidi" w:cstheme="minorBidi"/>
          <w:sz w:val="22"/>
          <w:szCs w:val="22"/>
          <w:lang w:val="en-GB"/>
        </w:rPr>
        <w:t xml:space="preserve"> session in 202</w:t>
      </w:r>
      <w:r w:rsidR="0063324B">
        <w:rPr>
          <w:rFonts w:asciiTheme="minorBidi" w:hAnsiTheme="minorBidi" w:cstheme="minorBidi"/>
          <w:sz w:val="22"/>
          <w:szCs w:val="22"/>
          <w:lang w:val="en-GB"/>
        </w:rPr>
        <w:t>2</w:t>
      </w:r>
      <w:r w:rsidR="0063324B" w:rsidRPr="0063324B">
        <w:rPr>
          <w:rFonts w:asciiTheme="minorBidi" w:hAnsiTheme="minorBidi" w:cstheme="minorBidi"/>
          <w:sz w:val="22"/>
          <w:szCs w:val="22"/>
          <w:lang w:val="en-GB"/>
        </w:rPr>
        <w:t>.</w:t>
      </w:r>
    </w:p>
    <w:p w14:paraId="04C0AF29" w14:textId="4ECCE389" w:rsidR="0063324B" w:rsidRPr="0063324B" w:rsidRDefault="00236DB0" w:rsidP="00396894">
      <w:pPr>
        <w:pStyle w:val="Sansinterligne2"/>
        <w:numPr>
          <w:ilvl w:val="0"/>
          <w:numId w:val="32"/>
        </w:numPr>
        <w:spacing w:after="120"/>
        <w:ind w:left="1134" w:hanging="567"/>
        <w:jc w:val="both"/>
        <w:rPr>
          <w:rFonts w:asciiTheme="minorBidi" w:hAnsiTheme="minorBidi" w:cstheme="minorBidi"/>
          <w:sz w:val="22"/>
          <w:szCs w:val="22"/>
          <w:lang w:val="en-GB"/>
        </w:rPr>
      </w:pPr>
      <w:r w:rsidRPr="0063324B">
        <w:rPr>
          <w:rFonts w:asciiTheme="minorBidi" w:hAnsiTheme="minorBidi" w:cstheme="minorBidi"/>
          <w:b/>
          <w:bCs/>
          <w:sz w:val="22"/>
          <w:szCs w:val="22"/>
          <w:lang w:val="en-GB"/>
        </w:rPr>
        <w:t>Arab States</w:t>
      </w:r>
      <w:r w:rsidRPr="006E7394">
        <w:rPr>
          <w:rFonts w:asciiTheme="minorBidi" w:hAnsiTheme="minorBidi" w:cstheme="minorBidi"/>
          <w:sz w:val="22"/>
          <w:szCs w:val="22"/>
          <w:lang w:val="en-GB"/>
        </w:rPr>
        <w:t xml:space="preserve"> (202</w:t>
      </w:r>
      <w:r w:rsidR="0063324B">
        <w:rPr>
          <w:rFonts w:asciiTheme="minorBidi" w:hAnsiTheme="minorBidi" w:cstheme="minorBidi"/>
          <w:sz w:val="22"/>
          <w:szCs w:val="22"/>
          <w:lang w:val="en-GB"/>
        </w:rPr>
        <w:t>3</w:t>
      </w:r>
      <w:r w:rsidR="006E7394">
        <w:rPr>
          <w:rFonts w:asciiTheme="minorBidi" w:hAnsiTheme="minorBidi" w:cstheme="minorBidi"/>
          <w:sz w:val="22"/>
          <w:szCs w:val="22"/>
          <w:lang w:val="en-GB"/>
        </w:rPr>
        <w:t xml:space="preserve"> cycle</w:t>
      </w:r>
      <w:r w:rsidRPr="006E7394">
        <w:rPr>
          <w:rFonts w:asciiTheme="minorBidi" w:hAnsiTheme="minorBidi" w:cstheme="minorBidi"/>
          <w:sz w:val="22"/>
          <w:szCs w:val="22"/>
          <w:lang w:val="en-GB"/>
        </w:rPr>
        <w:t>)</w:t>
      </w:r>
      <w:r w:rsidR="0063324B">
        <w:rPr>
          <w:rFonts w:asciiTheme="minorBidi" w:hAnsiTheme="minorBidi" w:cstheme="minorBidi"/>
          <w:sz w:val="22"/>
          <w:szCs w:val="22"/>
          <w:lang w:val="en-GB"/>
        </w:rPr>
        <w:t xml:space="preserve">: </w:t>
      </w:r>
      <w:r w:rsidR="0063324B" w:rsidRPr="0063324B">
        <w:rPr>
          <w:rFonts w:asciiTheme="minorBidi" w:hAnsiTheme="minorBidi" w:cstheme="minorBidi"/>
          <w:sz w:val="22"/>
          <w:szCs w:val="22"/>
          <w:lang w:val="en-GB"/>
        </w:rPr>
        <w:t xml:space="preserve">periodic reports </w:t>
      </w:r>
      <w:r w:rsidR="008205D1">
        <w:rPr>
          <w:rFonts w:asciiTheme="minorBidi" w:hAnsiTheme="minorBidi" w:cstheme="minorBidi"/>
          <w:sz w:val="22"/>
          <w:szCs w:val="22"/>
          <w:lang w:val="en-GB"/>
        </w:rPr>
        <w:t xml:space="preserve">submitted </w:t>
      </w:r>
      <w:r w:rsidR="0063324B" w:rsidRPr="0063324B">
        <w:rPr>
          <w:rFonts w:asciiTheme="minorBidi" w:hAnsiTheme="minorBidi" w:cstheme="minorBidi"/>
          <w:sz w:val="22"/>
          <w:szCs w:val="22"/>
          <w:lang w:val="en-GB"/>
        </w:rPr>
        <w:t>by 15 December 202</w:t>
      </w:r>
      <w:r w:rsidR="0063324B">
        <w:rPr>
          <w:rFonts w:asciiTheme="minorBidi" w:hAnsiTheme="minorBidi" w:cstheme="minorBidi"/>
          <w:sz w:val="22"/>
          <w:szCs w:val="22"/>
          <w:lang w:val="en-GB"/>
        </w:rPr>
        <w:t>2</w:t>
      </w:r>
      <w:r w:rsidR="0063324B" w:rsidRPr="0063324B">
        <w:rPr>
          <w:rFonts w:asciiTheme="minorBidi" w:hAnsiTheme="minorBidi" w:cstheme="minorBidi"/>
          <w:sz w:val="22"/>
          <w:szCs w:val="22"/>
          <w:lang w:val="en-GB"/>
        </w:rPr>
        <w:t xml:space="preserve"> for examination by the Committee at its </w:t>
      </w:r>
      <w:r w:rsidR="0063324B">
        <w:rPr>
          <w:rFonts w:asciiTheme="minorBidi" w:hAnsiTheme="minorBidi" w:cstheme="minorBidi"/>
          <w:sz w:val="22"/>
          <w:szCs w:val="22"/>
          <w:lang w:val="en-GB"/>
        </w:rPr>
        <w:t>eighteenth</w:t>
      </w:r>
      <w:r w:rsidR="0063324B" w:rsidRPr="0063324B">
        <w:rPr>
          <w:rFonts w:asciiTheme="minorBidi" w:hAnsiTheme="minorBidi" w:cstheme="minorBidi"/>
          <w:sz w:val="22"/>
          <w:szCs w:val="22"/>
          <w:lang w:val="en-GB"/>
        </w:rPr>
        <w:t xml:space="preserve"> session in 202</w:t>
      </w:r>
      <w:r w:rsidR="0063324B">
        <w:rPr>
          <w:rFonts w:asciiTheme="minorBidi" w:hAnsiTheme="minorBidi" w:cstheme="minorBidi"/>
          <w:sz w:val="22"/>
          <w:szCs w:val="22"/>
          <w:lang w:val="en-GB"/>
        </w:rPr>
        <w:t>3</w:t>
      </w:r>
      <w:r w:rsidR="0063324B" w:rsidRPr="0063324B">
        <w:rPr>
          <w:rFonts w:asciiTheme="minorBidi" w:hAnsiTheme="minorBidi" w:cstheme="minorBidi"/>
          <w:sz w:val="22"/>
          <w:szCs w:val="22"/>
          <w:lang w:val="en-GB"/>
        </w:rPr>
        <w:t>.</w:t>
      </w:r>
    </w:p>
    <w:p w14:paraId="47F5765E" w14:textId="2541E74C" w:rsidR="0063324B" w:rsidRPr="0063324B" w:rsidRDefault="00236DB0" w:rsidP="00396894">
      <w:pPr>
        <w:pStyle w:val="Sansinterligne2"/>
        <w:numPr>
          <w:ilvl w:val="0"/>
          <w:numId w:val="32"/>
        </w:numPr>
        <w:spacing w:after="120"/>
        <w:ind w:left="1134" w:hanging="567"/>
        <w:jc w:val="both"/>
        <w:rPr>
          <w:rFonts w:asciiTheme="minorBidi" w:hAnsiTheme="minorBidi" w:cstheme="minorBidi"/>
          <w:sz w:val="22"/>
          <w:szCs w:val="22"/>
          <w:lang w:val="en-GB"/>
        </w:rPr>
      </w:pPr>
      <w:r w:rsidRPr="0063324B">
        <w:rPr>
          <w:rFonts w:asciiTheme="minorBidi" w:hAnsiTheme="minorBidi" w:cstheme="minorBidi"/>
          <w:b/>
          <w:bCs/>
          <w:sz w:val="22"/>
          <w:szCs w:val="22"/>
          <w:lang w:val="en-GB"/>
        </w:rPr>
        <w:t>Africa</w:t>
      </w:r>
      <w:r w:rsidRPr="006E7394">
        <w:rPr>
          <w:rFonts w:asciiTheme="minorBidi" w:hAnsiTheme="minorBidi" w:cstheme="minorBidi"/>
          <w:sz w:val="22"/>
          <w:szCs w:val="22"/>
          <w:lang w:val="en-GB"/>
        </w:rPr>
        <w:t xml:space="preserve"> (202</w:t>
      </w:r>
      <w:r w:rsidR="0063324B">
        <w:rPr>
          <w:rFonts w:asciiTheme="minorBidi" w:hAnsiTheme="minorBidi" w:cstheme="minorBidi"/>
          <w:sz w:val="22"/>
          <w:szCs w:val="22"/>
          <w:lang w:val="en-GB"/>
        </w:rPr>
        <w:t>4</w:t>
      </w:r>
      <w:r w:rsidR="006E7394">
        <w:rPr>
          <w:rFonts w:asciiTheme="minorBidi" w:hAnsiTheme="minorBidi" w:cstheme="minorBidi"/>
          <w:sz w:val="22"/>
          <w:szCs w:val="22"/>
          <w:lang w:val="en-GB"/>
        </w:rPr>
        <w:t xml:space="preserve"> cycle</w:t>
      </w:r>
      <w:r w:rsidRPr="006E7394">
        <w:rPr>
          <w:rFonts w:asciiTheme="minorBidi" w:hAnsiTheme="minorBidi" w:cstheme="minorBidi"/>
          <w:sz w:val="22"/>
          <w:szCs w:val="22"/>
          <w:lang w:val="en-GB"/>
        </w:rPr>
        <w:t>)</w:t>
      </w:r>
      <w:r w:rsidR="0063324B">
        <w:rPr>
          <w:rFonts w:asciiTheme="minorBidi" w:hAnsiTheme="minorBidi" w:cstheme="minorBidi"/>
          <w:sz w:val="22"/>
          <w:szCs w:val="22"/>
          <w:lang w:val="en-GB"/>
        </w:rPr>
        <w:t xml:space="preserve">: </w:t>
      </w:r>
      <w:r w:rsidR="0063324B" w:rsidRPr="0063324B">
        <w:rPr>
          <w:rFonts w:asciiTheme="minorBidi" w:hAnsiTheme="minorBidi" w:cstheme="minorBidi"/>
          <w:sz w:val="22"/>
          <w:szCs w:val="22"/>
          <w:lang w:val="en-GB"/>
        </w:rPr>
        <w:t xml:space="preserve">periodic reports </w:t>
      </w:r>
      <w:r w:rsidR="008205D1">
        <w:rPr>
          <w:rFonts w:asciiTheme="minorBidi" w:hAnsiTheme="minorBidi" w:cstheme="minorBidi"/>
          <w:sz w:val="22"/>
          <w:szCs w:val="22"/>
          <w:lang w:val="en-GB"/>
        </w:rPr>
        <w:t xml:space="preserve">submitted </w:t>
      </w:r>
      <w:r w:rsidR="0063324B" w:rsidRPr="0063324B">
        <w:rPr>
          <w:rFonts w:asciiTheme="minorBidi" w:hAnsiTheme="minorBidi" w:cstheme="minorBidi"/>
          <w:sz w:val="22"/>
          <w:szCs w:val="22"/>
          <w:lang w:val="en-GB"/>
        </w:rPr>
        <w:t>by 15 December 202</w:t>
      </w:r>
      <w:r w:rsidR="0063324B">
        <w:rPr>
          <w:rFonts w:asciiTheme="minorBidi" w:hAnsiTheme="minorBidi" w:cstheme="minorBidi"/>
          <w:sz w:val="22"/>
          <w:szCs w:val="22"/>
          <w:lang w:val="en-GB"/>
        </w:rPr>
        <w:t>3</w:t>
      </w:r>
      <w:r w:rsidR="0063324B" w:rsidRPr="0063324B">
        <w:rPr>
          <w:rFonts w:asciiTheme="minorBidi" w:hAnsiTheme="minorBidi" w:cstheme="minorBidi"/>
          <w:sz w:val="22"/>
          <w:szCs w:val="22"/>
          <w:lang w:val="en-GB"/>
        </w:rPr>
        <w:t xml:space="preserve"> for examination by the Committee at its </w:t>
      </w:r>
      <w:r w:rsidR="0063324B">
        <w:rPr>
          <w:rFonts w:asciiTheme="minorBidi" w:hAnsiTheme="minorBidi" w:cstheme="minorBidi"/>
          <w:sz w:val="22"/>
          <w:szCs w:val="22"/>
          <w:lang w:val="en-GB"/>
        </w:rPr>
        <w:t>nineteenth</w:t>
      </w:r>
      <w:r w:rsidR="0063324B" w:rsidRPr="0063324B">
        <w:rPr>
          <w:rFonts w:asciiTheme="minorBidi" w:hAnsiTheme="minorBidi" w:cstheme="minorBidi"/>
          <w:sz w:val="22"/>
          <w:szCs w:val="22"/>
          <w:lang w:val="en-GB"/>
        </w:rPr>
        <w:t xml:space="preserve"> session in 202</w:t>
      </w:r>
      <w:r w:rsidR="0063324B">
        <w:rPr>
          <w:rFonts w:asciiTheme="minorBidi" w:hAnsiTheme="minorBidi" w:cstheme="minorBidi"/>
          <w:sz w:val="22"/>
          <w:szCs w:val="22"/>
          <w:lang w:val="en-GB"/>
        </w:rPr>
        <w:t>4</w:t>
      </w:r>
      <w:r w:rsidR="0063324B" w:rsidRPr="0063324B">
        <w:rPr>
          <w:rFonts w:asciiTheme="minorBidi" w:hAnsiTheme="minorBidi" w:cstheme="minorBidi"/>
          <w:sz w:val="22"/>
          <w:szCs w:val="22"/>
          <w:lang w:val="en-GB"/>
        </w:rPr>
        <w:t>.</w:t>
      </w:r>
    </w:p>
    <w:p w14:paraId="1D1DF412" w14:textId="6C5310FE" w:rsidR="0063324B" w:rsidRPr="0063324B" w:rsidRDefault="00236DB0" w:rsidP="00396894">
      <w:pPr>
        <w:pStyle w:val="Sansinterligne2"/>
        <w:numPr>
          <w:ilvl w:val="0"/>
          <w:numId w:val="32"/>
        </w:numPr>
        <w:spacing w:after="120"/>
        <w:ind w:left="1134" w:hanging="567"/>
        <w:jc w:val="both"/>
        <w:rPr>
          <w:rFonts w:asciiTheme="minorBidi" w:hAnsiTheme="minorBidi" w:cstheme="minorBidi"/>
          <w:sz w:val="22"/>
          <w:szCs w:val="22"/>
          <w:lang w:val="en-GB"/>
        </w:rPr>
      </w:pPr>
      <w:r w:rsidRPr="0063324B">
        <w:rPr>
          <w:rFonts w:asciiTheme="minorBidi" w:hAnsiTheme="minorBidi" w:cstheme="minorBidi"/>
          <w:b/>
          <w:bCs/>
          <w:sz w:val="22"/>
          <w:szCs w:val="22"/>
          <w:lang w:val="en-GB"/>
        </w:rPr>
        <w:t>Asia and the Pacific</w:t>
      </w:r>
      <w:r w:rsidRPr="006E7394">
        <w:rPr>
          <w:rFonts w:asciiTheme="minorBidi" w:hAnsiTheme="minorBidi" w:cstheme="minorBidi"/>
          <w:sz w:val="22"/>
          <w:szCs w:val="22"/>
          <w:lang w:val="en-GB"/>
        </w:rPr>
        <w:t xml:space="preserve"> (202</w:t>
      </w:r>
      <w:r w:rsidR="0063324B">
        <w:rPr>
          <w:rFonts w:asciiTheme="minorBidi" w:hAnsiTheme="minorBidi" w:cstheme="minorBidi"/>
          <w:sz w:val="22"/>
          <w:szCs w:val="22"/>
          <w:lang w:val="en-GB"/>
        </w:rPr>
        <w:t>5</w:t>
      </w:r>
      <w:r w:rsidR="006E7394">
        <w:rPr>
          <w:rFonts w:asciiTheme="minorBidi" w:hAnsiTheme="minorBidi" w:cstheme="minorBidi"/>
          <w:sz w:val="22"/>
          <w:szCs w:val="22"/>
          <w:lang w:val="en-GB"/>
        </w:rPr>
        <w:t xml:space="preserve"> cycle</w:t>
      </w:r>
      <w:r w:rsidRPr="006E7394">
        <w:rPr>
          <w:rFonts w:asciiTheme="minorBidi" w:hAnsiTheme="minorBidi" w:cstheme="minorBidi"/>
          <w:sz w:val="22"/>
          <w:szCs w:val="22"/>
          <w:lang w:val="en-GB"/>
        </w:rPr>
        <w:t>)</w:t>
      </w:r>
      <w:r w:rsidR="0063324B">
        <w:rPr>
          <w:rFonts w:asciiTheme="minorBidi" w:hAnsiTheme="minorBidi" w:cstheme="minorBidi"/>
          <w:sz w:val="22"/>
          <w:szCs w:val="22"/>
          <w:lang w:val="en-GB"/>
        </w:rPr>
        <w:t xml:space="preserve">: </w:t>
      </w:r>
      <w:r w:rsidR="0063324B" w:rsidRPr="0063324B">
        <w:rPr>
          <w:rFonts w:asciiTheme="minorBidi" w:hAnsiTheme="minorBidi" w:cstheme="minorBidi"/>
          <w:sz w:val="22"/>
          <w:szCs w:val="22"/>
          <w:lang w:val="en-GB"/>
        </w:rPr>
        <w:t xml:space="preserve">periodic reports </w:t>
      </w:r>
      <w:r w:rsidR="008205D1">
        <w:rPr>
          <w:rFonts w:asciiTheme="minorBidi" w:hAnsiTheme="minorBidi" w:cstheme="minorBidi"/>
          <w:sz w:val="22"/>
          <w:szCs w:val="22"/>
          <w:lang w:val="en-GB"/>
        </w:rPr>
        <w:t xml:space="preserve">submitted </w:t>
      </w:r>
      <w:r w:rsidR="0063324B" w:rsidRPr="0063324B">
        <w:rPr>
          <w:rFonts w:asciiTheme="minorBidi" w:hAnsiTheme="minorBidi" w:cstheme="minorBidi"/>
          <w:sz w:val="22"/>
          <w:szCs w:val="22"/>
          <w:lang w:val="en-GB"/>
        </w:rPr>
        <w:t>by 15 December 202</w:t>
      </w:r>
      <w:r w:rsidR="003B01DA">
        <w:rPr>
          <w:rFonts w:asciiTheme="minorBidi" w:hAnsiTheme="minorBidi" w:cstheme="minorBidi"/>
          <w:sz w:val="22"/>
          <w:szCs w:val="22"/>
          <w:lang w:val="en-GB"/>
        </w:rPr>
        <w:t>4</w:t>
      </w:r>
      <w:r w:rsidR="0063324B" w:rsidRPr="0063324B">
        <w:rPr>
          <w:rFonts w:asciiTheme="minorBidi" w:hAnsiTheme="minorBidi" w:cstheme="minorBidi"/>
          <w:sz w:val="22"/>
          <w:szCs w:val="22"/>
          <w:lang w:val="en-GB"/>
        </w:rPr>
        <w:t xml:space="preserve"> for examination by the Committee at its </w:t>
      </w:r>
      <w:r w:rsidR="0063324B">
        <w:rPr>
          <w:rFonts w:asciiTheme="minorBidi" w:hAnsiTheme="minorBidi" w:cstheme="minorBidi"/>
          <w:sz w:val="22"/>
          <w:szCs w:val="22"/>
          <w:lang w:val="en-GB"/>
        </w:rPr>
        <w:t>twentieth</w:t>
      </w:r>
      <w:r w:rsidR="0063324B" w:rsidRPr="0063324B">
        <w:rPr>
          <w:rFonts w:asciiTheme="minorBidi" w:hAnsiTheme="minorBidi" w:cstheme="minorBidi"/>
          <w:sz w:val="22"/>
          <w:szCs w:val="22"/>
          <w:lang w:val="en-GB"/>
        </w:rPr>
        <w:t xml:space="preserve"> session in 202</w:t>
      </w:r>
      <w:r w:rsidR="0063324B">
        <w:rPr>
          <w:rFonts w:asciiTheme="minorBidi" w:hAnsiTheme="minorBidi" w:cstheme="minorBidi"/>
          <w:sz w:val="22"/>
          <w:szCs w:val="22"/>
          <w:lang w:val="en-GB"/>
        </w:rPr>
        <w:t>5</w:t>
      </w:r>
      <w:r w:rsidR="0063324B" w:rsidRPr="0063324B">
        <w:rPr>
          <w:rFonts w:asciiTheme="minorBidi" w:hAnsiTheme="minorBidi" w:cstheme="minorBidi"/>
          <w:sz w:val="22"/>
          <w:szCs w:val="22"/>
          <w:lang w:val="en-GB"/>
        </w:rPr>
        <w:t>.</w:t>
      </w:r>
    </w:p>
    <w:p w14:paraId="274ACCA3" w14:textId="3072E872" w:rsidR="007934F3" w:rsidRPr="006E7394" w:rsidRDefault="00236DB0" w:rsidP="00396894">
      <w:pPr>
        <w:pStyle w:val="Sansinterligne2"/>
        <w:numPr>
          <w:ilvl w:val="0"/>
          <w:numId w:val="32"/>
        </w:numPr>
        <w:spacing w:after="120"/>
        <w:ind w:left="1134" w:hanging="567"/>
        <w:jc w:val="both"/>
        <w:rPr>
          <w:rFonts w:asciiTheme="minorBidi" w:hAnsiTheme="minorBidi" w:cstheme="minorBidi"/>
          <w:sz w:val="22"/>
          <w:szCs w:val="22"/>
          <w:lang w:val="en-GB"/>
        </w:rPr>
      </w:pPr>
      <w:r w:rsidRPr="006E7394">
        <w:rPr>
          <w:rFonts w:asciiTheme="minorBidi" w:hAnsiTheme="minorBidi" w:cstheme="minorBidi"/>
          <w:sz w:val="22"/>
          <w:szCs w:val="22"/>
          <w:lang w:val="en-GB"/>
        </w:rPr>
        <w:t>The first cycle will end with a reflection year in 202</w:t>
      </w:r>
      <w:r w:rsidR="0063324B">
        <w:rPr>
          <w:rFonts w:asciiTheme="minorBidi" w:hAnsiTheme="minorBidi" w:cstheme="minorBidi"/>
          <w:sz w:val="22"/>
          <w:szCs w:val="22"/>
          <w:lang w:val="en-GB"/>
        </w:rPr>
        <w:t>6</w:t>
      </w:r>
      <w:r w:rsidRPr="006E7394">
        <w:rPr>
          <w:rFonts w:asciiTheme="minorBidi" w:hAnsiTheme="minorBidi" w:cstheme="minorBidi"/>
          <w:sz w:val="22"/>
          <w:szCs w:val="22"/>
          <w:lang w:val="en-GB"/>
        </w:rPr>
        <w:t>.</w:t>
      </w:r>
    </w:p>
    <w:p w14:paraId="45357602" w14:textId="65E72BE2" w:rsidR="00302232" w:rsidRPr="00302232" w:rsidRDefault="009E56E5" w:rsidP="00396894">
      <w:pPr>
        <w:pStyle w:val="Sansinterligne2"/>
        <w:numPr>
          <w:ilvl w:val="0"/>
          <w:numId w:val="23"/>
        </w:numPr>
        <w:spacing w:after="120"/>
        <w:ind w:left="567" w:hanging="567"/>
        <w:jc w:val="both"/>
        <w:rPr>
          <w:rFonts w:asciiTheme="minorBidi" w:hAnsiTheme="minorBidi" w:cstheme="minorBidi"/>
          <w:b/>
          <w:bCs/>
          <w:snapToGrid w:val="0"/>
          <w:sz w:val="22"/>
          <w:szCs w:val="22"/>
          <w:lang w:val="en-GB" w:eastAsia="en-US"/>
        </w:rPr>
      </w:pPr>
      <w:r>
        <w:rPr>
          <w:rFonts w:asciiTheme="minorBidi" w:hAnsiTheme="minorBidi" w:cstheme="minorBidi"/>
          <w:snapToGrid w:val="0"/>
          <w:sz w:val="22"/>
          <w:szCs w:val="22"/>
          <w:lang w:val="en-GB" w:eastAsia="en-US"/>
        </w:rPr>
        <w:t>For each region</w:t>
      </w:r>
      <w:r w:rsidR="00C13B25" w:rsidRPr="00143D6A">
        <w:rPr>
          <w:rFonts w:asciiTheme="minorBidi" w:hAnsiTheme="minorBidi" w:cstheme="minorBidi"/>
          <w:snapToGrid w:val="0"/>
          <w:sz w:val="22"/>
          <w:szCs w:val="22"/>
          <w:lang w:val="en-GB" w:eastAsia="en-US"/>
        </w:rPr>
        <w:t>,</w:t>
      </w:r>
      <w:r w:rsidR="00B12E89" w:rsidRPr="00143D6A">
        <w:rPr>
          <w:rFonts w:asciiTheme="minorBidi" w:hAnsiTheme="minorBidi" w:cstheme="minorBidi"/>
          <w:snapToGrid w:val="0"/>
          <w:sz w:val="22"/>
          <w:szCs w:val="22"/>
          <w:lang w:val="en-GB" w:eastAsia="en-US"/>
        </w:rPr>
        <w:t xml:space="preserve"> </w:t>
      </w:r>
      <w:r w:rsidR="00D207DE">
        <w:rPr>
          <w:rFonts w:asciiTheme="minorBidi" w:hAnsiTheme="minorBidi" w:cstheme="minorBidi"/>
          <w:snapToGrid w:val="0"/>
          <w:sz w:val="22"/>
          <w:szCs w:val="22"/>
          <w:lang w:val="en-GB" w:eastAsia="en-US"/>
        </w:rPr>
        <w:t>the periodic reporting exercise</w:t>
      </w:r>
      <w:r w:rsidR="00452B10" w:rsidRPr="00143D6A">
        <w:rPr>
          <w:rFonts w:asciiTheme="minorBidi" w:hAnsiTheme="minorBidi" w:cstheme="minorBidi"/>
          <w:snapToGrid w:val="0"/>
          <w:sz w:val="22"/>
          <w:szCs w:val="22"/>
          <w:lang w:val="en-GB" w:eastAsia="en-US"/>
        </w:rPr>
        <w:t xml:space="preserve"> </w:t>
      </w:r>
      <w:r>
        <w:rPr>
          <w:rFonts w:asciiTheme="minorBidi" w:hAnsiTheme="minorBidi" w:cstheme="minorBidi"/>
          <w:snapToGrid w:val="0"/>
          <w:sz w:val="22"/>
          <w:szCs w:val="22"/>
          <w:lang w:val="en-GB" w:eastAsia="en-US"/>
        </w:rPr>
        <w:t>go</w:t>
      </w:r>
      <w:r w:rsidR="00D207DE">
        <w:rPr>
          <w:rFonts w:asciiTheme="minorBidi" w:hAnsiTheme="minorBidi" w:cstheme="minorBidi"/>
          <w:snapToGrid w:val="0"/>
          <w:sz w:val="22"/>
          <w:szCs w:val="22"/>
          <w:lang w:val="en-GB" w:eastAsia="en-US"/>
        </w:rPr>
        <w:t>es</w:t>
      </w:r>
      <w:r>
        <w:rPr>
          <w:rFonts w:asciiTheme="minorBidi" w:hAnsiTheme="minorBidi" w:cstheme="minorBidi"/>
          <w:snapToGrid w:val="0"/>
          <w:sz w:val="22"/>
          <w:szCs w:val="22"/>
          <w:lang w:val="en-GB" w:eastAsia="en-US"/>
        </w:rPr>
        <w:t xml:space="preserve"> through a four-phase process</w:t>
      </w:r>
      <w:r w:rsidR="00302232">
        <w:rPr>
          <w:rFonts w:asciiTheme="minorBidi" w:hAnsiTheme="minorBidi" w:cstheme="minorBidi"/>
          <w:snapToGrid w:val="0"/>
          <w:sz w:val="22"/>
          <w:szCs w:val="22"/>
          <w:lang w:val="en-GB" w:eastAsia="en-US"/>
        </w:rPr>
        <w:t xml:space="preserve"> </w:t>
      </w:r>
      <w:r>
        <w:rPr>
          <w:rFonts w:asciiTheme="minorBidi" w:hAnsiTheme="minorBidi" w:cstheme="minorBidi"/>
          <w:snapToGrid w:val="0"/>
          <w:sz w:val="22"/>
          <w:szCs w:val="22"/>
          <w:lang w:val="en-GB" w:eastAsia="en-US"/>
        </w:rPr>
        <w:t>over</w:t>
      </w:r>
      <w:r w:rsidR="00302232">
        <w:rPr>
          <w:rFonts w:asciiTheme="minorBidi" w:hAnsiTheme="minorBidi" w:cstheme="minorBidi"/>
          <w:snapToGrid w:val="0"/>
          <w:sz w:val="22"/>
          <w:szCs w:val="22"/>
          <w:lang w:val="en-GB" w:eastAsia="en-US"/>
        </w:rPr>
        <w:t xml:space="preserve"> a period of</w:t>
      </w:r>
      <w:r>
        <w:rPr>
          <w:rFonts w:asciiTheme="minorBidi" w:hAnsiTheme="minorBidi" w:cstheme="minorBidi"/>
          <w:snapToGrid w:val="0"/>
          <w:sz w:val="22"/>
          <w:szCs w:val="22"/>
          <w:lang w:val="en-GB" w:eastAsia="en-US"/>
        </w:rPr>
        <w:t xml:space="preserve"> four years</w:t>
      </w:r>
      <w:r w:rsidR="00302232">
        <w:rPr>
          <w:rFonts w:asciiTheme="minorBidi" w:hAnsiTheme="minorBidi" w:cstheme="minorBidi"/>
          <w:snapToGrid w:val="0"/>
          <w:sz w:val="22"/>
          <w:szCs w:val="22"/>
          <w:lang w:val="en-GB" w:eastAsia="en-US"/>
        </w:rPr>
        <w:t>:</w:t>
      </w:r>
      <w:r>
        <w:rPr>
          <w:rFonts w:asciiTheme="minorBidi" w:hAnsiTheme="minorBidi" w:cstheme="minorBidi"/>
          <w:snapToGrid w:val="0"/>
          <w:sz w:val="22"/>
          <w:szCs w:val="22"/>
          <w:lang w:val="en-GB" w:eastAsia="en-US"/>
        </w:rPr>
        <w:t xml:space="preserve"> </w:t>
      </w:r>
      <w:r w:rsidR="00302232" w:rsidRPr="00B701ED">
        <w:rPr>
          <w:rFonts w:asciiTheme="minorBidi" w:hAnsiTheme="minorBidi" w:cstheme="minorBidi"/>
          <w:snapToGrid w:val="0"/>
          <w:sz w:val="22"/>
          <w:szCs w:val="22"/>
          <w:u w:val="single"/>
          <w:lang w:val="en-GB" w:eastAsia="en-US"/>
        </w:rPr>
        <w:t>Phase</w:t>
      </w:r>
      <w:r w:rsidRPr="00B701ED">
        <w:rPr>
          <w:rFonts w:asciiTheme="minorBidi" w:hAnsiTheme="minorBidi" w:cstheme="minorBidi"/>
          <w:snapToGrid w:val="0"/>
          <w:sz w:val="22"/>
          <w:szCs w:val="22"/>
          <w:u w:val="single"/>
          <w:lang w:val="en-GB" w:eastAsia="en-US"/>
        </w:rPr>
        <w:t xml:space="preserve"> 1</w:t>
      </w:r>
      <w:r w:rsidR="00D207DE" w:rsidRPr="00405541">
        <w:rPr>
          <w:rFonts w:asciiTheme="minorBidi" w:hAnsiTheme="minorBidi" w:cstheme="minorBidi"/>
          <w:snapToGrid w:val="0"/>
          <w:sz w:val="22"/>
          <w:szCs w:val="22"/>
          <w:lang w:val="en-GB" w:eastAsia="en-US"/>
        </w:rPr>
        <w:t xml:space="preserve"> (</w:t>
      </w:r>
      <w:r w:rsidR="00CB35C4" w:rsidRPr="00405541">
        <w:rPr>
          <w:rFonts w:asciiTheme="minorBidi" w:hAnsiTheme="minorBidi" w:cstheme="minorBidi"/>
          <w:snapToGrid w:val="0"/>
          <w:sz w:val="22"/>
          <w:szCs w:val="22"/>
          <w:lang w:val="en-GB" w:eastAsia="en-US"/>
        </w:rPr>
        <w:t xml:space="preserve">first </w:t>
      </w:r>
      <w:r w:rsidR="00D207DE" w:rsidRPr="00405541">
        <w:rPr>
          <w:rFonts w:asciiTheme="minorBidi" w:hAnsiTheme="minorBidi" w:cstheme="minorBidi"/>
          <w:snapToGrid w:val="0"/>
          <w:sz w:val="22"/>
          <w:szCs w:val="22"/>
          <w:lang w:val="en-GB" w:eastAsia="en-US"/>
        </w:rPr>
        <w:t>year)</w:t>
      </w:r>
      <w:r w:rsidRPr="00405541">
        <w:rPr>
          <w:rFonts w:asciiTheme="minorBidi" w:hAnsiTheme="minorBidi" w:cstheme="minorBidi"/>
          <w:snapToGrid w:val="0"/>
          <w:sz w:val="22"/>
          <w:szCs w:val="22"/>
          <w:lang w:val="en-GB" w:eastAsia="en-US"/>
        </w:rPr>
        <w:t xml:space="preserve"> </w:t>
      </w:r>
      <w:r>
        <w:rPr>
          <w:rFonts w:asciiTheme="minorBidi" w:hAnsiTheme="minorBidi" w:cstheme="minorBidi"/>
          <w:snapToGrid w:val="0"/>
          <w:sz w:val="22"/>
          <w:szCs w:val="22"/>
          <w:lang w:val="en-GB" w:eastAsia="en-US"/>
        </w:rPr>
        <w:t xml:space="preserve">is the initiation of the </w:t>
      </w:r>
      <w:r w:rsidR="00302232">
        <w:rPr>
          <w:rFonts w:asciiTheme="minorBidi" w:hAnsiTheme="minorBidi" w:cstheme="minorBidi"/>
          <w:snapToGrid w:val="0"/>
          <w:sz w:val="22"/>
          <w:szCs w:val="22"/>
          <w:lang w:val="en-GB" w:eastAsia="en-US"/>
        </w:rPr>
        <w:t>exercise</w:t>
      </w:r>
      <w:r>
        <w:rPr>
          <w:rFonts w:asciiTheme="minorBidi" w:hAnsiTheme="minorBidi" w:cstheme="minorBidi"/>
          <w:snapToGrid w:val="0"/>
          <w:sz w:val="22"/>
          <w:szCs w:val="22"/>
          <w:lang w:val="en-GB" w:eastAsia="en-US"/>
        </w:rPr>
        <w:t xml:space="preserve">, involving </w:t>
      </w:r>
      <w:r w:rsidR="00302232">
        <w:rPr>
          <w:rFonts w:asciiTheme="minorBidi" w:hAnsiTheme="minorBidi" w:cstheme="minorBidi"/>
          <w:snapToGrid w:val="0"/>
          <w:sz w:val="22"/>
          <w:szCs w:val="22"/>
          <w:lang w:val="en-GB" w:eastAsia="en-US"/>
        </w:rPr>
        <w:t xml:space="preserve">the designation </w:t>
      </w:r>
      <w:r w:rsidR="00D207DE">
        <w:rPr>
          <w:rFonts w:asciiTheme="minorBidi" w:hAnsiTheme="minorBidi" w:cstheme="minorBidi"/>
          <w:snapToGrid w:val="0"/>
          <w:sz w:val="22"/>
          <w:szCs w:val="22"/>
          <w:lang w:val="en-GB" w:eastAsia="en-US"/>
        </w:rPr>
        <w:t xml:space="preserve">by States Parties </w:t>
      </w:r>
      <w:r w:rsidR="00302232">
        <w:rPr>
          <w:rFonts w:asciiTheme="minorBidi" w:hAnsiTheme="minorBidi" w:cstheme="minorBidi"/>
          <w:snapToGrid w:val="0"/>
          <w:sz w:val="22"/>
          <w:szCs w:val="22"/>
          <w:lang w:val="en-GB" w:eastAsia="en-US"/>
        </w:rPr>
        <w:t>of country focal points for the periodic reporting exercise</w:t>
      </w:r>
      <w:r w:rsidR="00D207DE">
        <w:rPr>
          <w:rFonts w:asciiTheme="minorBidi" w:hAnsiTheme="minorBidi" w:cstheme="minorBidi"/>
          <w:snapToGrid w:val="0"/>
          <w:sz w:val="22"/>
          <w:szCs w:val="22"/>
          <w:lang w:val="en-GB" w:eastAsia="en-US"/>
        </w:rPr>
        <w:t xml:space="preserve"> </w:t>
      </w:r>
      <w:r w:rsidR="00302232">
        <w:rPr>
          <w:rFonts w:asciiTheme="minorBidi" w:hAnsiTheme="minorBidi" w:cstheme="minorBidi"/>
          <w:snapToGrid w:val="0"/>
          <w:sz w:val="22"/>
          <w:szCs w:val="22"/>
          <w:lang w:val="en-GB" w:eastAsia="en-US"/>
        </w:rPr>
        <w:t xml:space="preserve">and </w:t>
      </w:r>
      <w:r w:rsidR="008205D1">
        <w:rPr>
          <w:rFonts w:asciiTheme="minorBidi" w:hAnsiTheme="minorBidi" w:cstheme="minorBidi"/>
          <w:snapToGrid w:val="0"/>
          <w:sz w:val="22"/>
          <w:szCs w:val="22"/>
          <w:lang w:val="en-GB" w:eastAsia="en-US"/>
        </w:rPr>
        <w:t xml:space="preserve">the </w:t>
      </w:r>
      <w:r w:rsidR="00302232">
        <w:rPr>
          <w:rFonts w:asciiTheme="minorBidi" w:hAnsiTheme="minorBidi" w:cstheme="minorBidi"/>
          <w:snapToGrid w:val="0"/>
          <w:sz w:val="22"/>
          <w:szCs w:val="22"/>
          <w:lang w:val="en-GB" w:eastAsia="en-US"/>
        </w:rPr>
        <w:t>training of facilitators</w:t>
      </w:r>
      <w:r w:rsidR="00D207DE">
        <w:rPr>
          <w:rFonts w:asciiTheme="minorBidi" w:hAnsiTheme="minorBidi" w:cstheme="minorBidi"/>
          <w:snapToGrid w:val="0"/>
          <w:sz w:val="22"/>
          <w:szCs w:val="22"/>
          <w:lang w:val="en-GB" w:eastAsia="en-US"/>
        </w:rPr>
        <w:t xml:space="preserve"> to accompany the country focal points</w:t>
      </w:r>
      <w:r w:rsidR="00302232">
        <w:rPr>
          <w:rFonts w:asciiTheme="minorBidi" w:hAnsiTheme="minorBidi" w:cstheme="minorBidi"/>
          <w:snapToGrid w:val="0"/>
          <w:sz w:val="22"/>
          <w:szCs w:val="22"/>
          <w:lang w:val="en-GB" w:eastAsia="en-US"/>
        </w:rPr>
        <w:t xml:space="preserve">; </w:t>
      </w:r>
      <w:r w:rsidR="00302232" w:rsidRPr="00B701ED">
        <w:rPr>
          <w:rFonts w:asciiTheme="minorBidi" w:hAnsiTheme="minorBidi" w:cstheme="minorBidi"/>
          <w:snapToGrid w:val="0"/>
          <w:sz w:val="22"/>
          <w:szCs w:val="22"/>
          <w:u w:val="single"/>
          <w:lang w:val="en-GB" w:eastAsia="en-US"/>
        </w:rPr>
        <w:t>Phase 2</w:t>
      </w:r>
      <w:r w:rsidR="00302232">
        <w:rPr>
          <w:rFonts w:asciiTheme="minorBidi" w:hAnsiTheme="minorBidi" w:cstheme="minorBidi"/>
          <w:snapToGrid w:val="0"/>
          <w:sz w:val="22"/>
          <w:szCs w:val="22"/>
          <w:lang w:val="en-GB" w:eastAsia="en-US"/>
        </w:rPr>
        <w:t xml:space="preserve"> </w:t>
      </w:r>
      <w:r w:rsidR="00D207DE">
        <w:rPr>
          <w:rFonts w:asciiTheme="minorBidi" w:hAnsiTheme="minorBidi" w:cstheme="minorBidi"/>
          <w:snapToGrid w:val="0"/>
          <w:sz w:val="22"/>
          <w:szCs w:val="22"/>
          <w:lang w:val="en-GB" w:eastAsia="en-US"/>
        </w:rPr>
        <w:t>(</w:t>
      </w:r>
      <w:r w:rsidR="00CB35C4" w:rsidRPr="00F07948">
        <w:rPr>
          <w:rFonts w:asciiTheme="minorBidi" w:hAnsiTheme="minorBidi" w:cstheme="minorBidi"/>
          <w:snapToGrid w:val="0"/>
          <w:sz w:val="22"/>
          <w:szCs w:val="22"/>
          <w:lang w:val="en-GB" w:eastAsia="en-US"/>
        </w:rPr>
        <w:t>second</w:t>
      </w:r>
      <w:r w:rsidR="00D207DE" w:rsidRPr="00CB35C4">
        <w:rPr>
          <w:rFonts w:asciiTheme="minorBidi" w:hAnsiTheme="minorBidi" w:cstheme="minorBidi"/>
          <w:snapToGrid w:val="0"/>
          <w:sz w:val="22"/>
          <w:szCs w:val="22"/>
          <w:lang w:val="en-GB" w:eastAsia="en-US"/>
        </w:rPr>
        <w:t xml:space="preserve"> </w:t>
      </w:r>
      <w:r w:rsidR="00D207DE">
        <w:rPr>
          <w:rFonts w:asciiTheme="minorBidi" w:hAnsiTheme="minorBidi" w:cstheme="minorBidi"/>
          <w:snapToGrid w:val="0"/>
          <w:sz w:val="22"/>
          <w:szCs w:val="22"/>
          <w:lang w:val="en-GB" w:eastAsia="en-US"/>
        </w:rPr>
        <w:t>year)</w:t>
      </w:r>
      <w:r w:rsidR="003A3F5B">
        <w:rPr>
          <w:rFonts w:asciiTheme="minorBidi" w:hAnsiTheme="minorBidi" w:cstheme="minorBidi"/>
          <w:snapToGrid w:val="0"/>
          <w:sz w:val="22"/>
          <w:szCs w:val="22"/>
          <w:lang w:val="en-GB" w:eastAsia="en-US"/>
        </w:rPr>
        <w:t xml:space="preserve"> </w:t>
      </w:r>
      <w:r w:rsidR="00302232">
        <w:rPr>
          <w:rFonts w:asciiTheme="minorBidi" w:hAnsiTheme="minorBidi" w:cstheme="minorBidi"/>
          <w:snapToGrid w:val="0"/>
          <w:sz w:val="22"/>
          <w:szCs w:val="22"/>
          <w:lang w:val="en-GB" w:eastAsia="en-US"/>
        </w:rPr>
        <w:t>i</w:t>
      </w:r>
      <w:r w:rsidR="008205D1">
        <w:rPr>
          <w:rFonts w:asciiTheme="minorBidi" w:hAnsiTheme="minorBidi" w:cstheme="minorBidi"/>
          <w:snapToGrid w:val="0"/>
          <w:sz w:val="22"/>
          <w:szCs w:val="22"/>
          <w:lang w:val="en-GB" w:eastAsia="en-US"/>
        </w:rPr>
        <w:t>nvolves</w:t>
      </w:r>
      <w:r w:rsidR="00302232">
        <w:rPr>
          <w:rFonts w:asciiTheme="minorBidi" w:hAnsiTheme="minorBidi" w:cstheme="minorBidi"/>
          <w:snapToGrid w:val="0"/>
          <w:sz w:val="22"/>
          <w:szCs w:val="22"/>
          <w:lang w:val="en-GB" w:eastAsia="en-US"/>
        </w:rPr>
        <w:t xml:space="preserve"> the training of country focal points at the regional and/or sub</w:t>
      </w:r>
      <w:r w:rsidR="00134243">
        <w:rPr>
          <w:rFonts w:asciiTheme="minorBidi" w:hAnsiTheme="minorBidi" w:cstheme="minorBidi"/>
          <w:snapToGrid w:val="0"/>
          <w:sz w:val="22"/>
          <w:szCs w:val="22"/>
          <w:lang w:val="en-GB" w:eastAsia="en-US"/>
        </w:rPr>
        <w:t>-</w:t>
      </w:r>
      <w:r w:rsidR="00302232">
        <w:rPr>
          <w:rFonts w:asciiTheme="minorBidi" w:hAnsiTheme="minorBidi" w:cstheme="minorBidi"/>
          <w:snapToGrid w:val="0"/>
          <w:sz w:val="22"/>
          <w:szCs w:val="22"/>
          <w:lang w:val="en-GB" w:eastAsia="en-US"/>
        </w:rPr>
        <w:t xml:space="preserve">regional level as well as the preparation and </w:t>
      </w:r>
      <w:r w:rsidR="000C3415">
        <w:rPr>
          <w:rFonts w:asciiTheme="minorBidi" w:hAnsiTheme="minorBidi" w:cstheme="minorBidi"/>
          <w:snapToGrid w:val="0"/>
          <w:sz w:val="22"/>
          <w:szCs w:val="22"/>
          <w:lang w:val="en-GB" w:eastAsia="en-US"/>
        </w:rPr>
        <w:t xml:space="preserve">online </w:t>
      </w:r>
      <w:r w:rsidR="00302232">
        <w:rPr>
          <w:rFonts w:asciiTheme="minorBidi" w:hAnsiTheme="minorBidi" w:cstheme="minorBidi"/>
          <w:snapToGrid w:val="0"/>
          <w:sz w:val="22"/>
          <w:szCs w:val="22"/>
          <w:lang w:val="en-GB" w:eastAsia="en-US"/>
        </w:rPr>
        <w:t xml:space="preserve">submission of reports; </w:t>
      </w:r>
      <w:r w:rsidR="00302232" w:rsidRPr="00B701ED">
        <w:rPr>
          <w:rFonts w:asciiTheme="minorBidi" w:hAnsiTheme="minorBidi" w:cstheme="minorBidi"/>
          <w:snapToGrid w:val="0"/>
          <w:sz w:val="22"/>
          <w:szCs w:val="22"/>
          <w:u w:val="single"/>
          <w:lang w:val="en-GB" w:eastAsia="en-US"/>
        </w:rPr>
        <w:t>Phase 3</w:t>
      </w:r>
      <w:r w:rsidR="00302232">
        <w:rPr>
          <w:rFonts w:asciiTheme="minorBidi" w:hAnsiTheme="minorBidi" w:cstheme="minorBidi"/>
          <w:snapToGrid w:val="0"/>
          <w:sz w:val="22"/>
          <w:szCs w:val="22"/>
          <w:lang w:val="en-GB" w:eastAsia="en-US"/>
        </w:rPr>
        <w:t xml:space="preserve"> </w:t>
      </w:r>
      <w:r w:rsidR="00D207DE">
        <w:rPr>
          <w:rFonts w:asciiTheme="minorBidi" w:hAnsiTheme="minorBidi" w:cstheme="minorBidi"/>
          <w:snapToGrid w:val="0"/>
          <w:sz w:val="22"/>
          <w:szCs w:val="22"/>
          <w:lang w:val="en-GB" w:eastAsia="en-US"/>
        </w:rPr>
        <w:t>(</w:t>
      </w:r>
      <w:r w:rsidR="00CB35C4">
        <w:rPr>
          <w:rFonts w:asciiTheme="minorBidi" w:hAnsiTheme="minorBidi" w:cstheme="minorBidi"/>
          <w:snapToGrid w:val="0"/>
          <w:sz w:val="22"/>
          <w:szCs w:val="22"/>
          <w:lang w:val="en-GB" w:eastAsia="en-US"/>
        </w:rPr>
        <w:t xml:space="preserve">third </w:t>
      </w:r>
      <w:r w:rsidR="00D207DE">
        <w:rPr>
          <w:rFonts w:asciiTheme="minorBidi" w:hAnsiTheme="minorBidi" w:cstheme="minorBidi"/>
          <w:snapToGrid w:val="0"/>
          <w:sz w:val="22"/>
          <w:szCs w:val="22"/>
          <w:lang w:val="en-GB" w:eastAsia="en-US"/>
        </w:rPr>
        <w:t xml:space="preserve">year) </w:t>
      </w:r>
      <w:r w:rsidR="008205D1">
        <w:rPr>
          <w:rFonts w:asciiTheme="minorBidi" w:hAnsiTheme="minorBidi" w:cstheme="minorBidi"/>
          <w:snapToGrid w:val="0"/>
          <w:sz w:val="22"/>
          <w:szCs w:val="22"/>
          <w:lang w:val="en-GB" w:eastAsia="en-US"/>
        </w:rPr>
        <w:t xml:space="preserve">involves </w:t>
      </w:r>
      <w:r w:rsidR="00302232">
        <w:rPr>
          <w:rFonts w:asciiTheme="minorBidi" w:hAnsiTheme="minorBidi" w:cstheme="minorBidi"/>
          <w:snapToGrid w:val="0"/>
          <w:sz w:val="22"/>
          <w:szCs w:val="22"/>
          <w:lang w:val="en-GB" w:eastAsia="en-US"/>
        </w:rPr>
        <w:t xml:space="preserve">the </w:t>
      </w:r>
      <w:r w:rsidR="000C3415">
        <w:rPr>
          <w:rFonts w:asciiTheme="minorBidi" w:hAnsiTheme="minorBidi" w:cstheme="minorBidi"/>
          <w:snapToGrid w:val="0"/>
          <w:sz w:val="22"/>
          <w:szCs w:val="22"/>
          <w:lang w:val="en-GB" w:eastAsia="en-US"/>
        </w:rPr>
        <w:t xml:space="preserve">preliminary </w:t>
      </w:r>
      <w:r w:rsidR="00302232">
        <w:rPr>
          <w:rFonts w:asciiTheme="minorBidi" w:hAnsiTheme="minorBidi" w:cstheme="minorBidi"/>
          <w:snapToGrid w:val="0"/>
          <w:sz w:val="22"/>
          <w:szCs w:val="22"/>
          <w:lang w:val="en-GB" w:eastAsia="en-US"/>
        </w:rPr>
        <w:t>analysis</w:t>
      </w:r>
      <w:r w:rsidR="008205D1">
        <w:rPr>
          <w:rFonts w:asciiTheme="minorBidi" w:hAnsiTheme="minorBidi" w:cstheme="minorBidi"/>
          <w:snapToGrid w:val="0"/>
          <w:sz w:val="22"/>
          <w:szCs w:val="22"/>
          <w:lang w:val="en-GB" w:eastAsia="en-US"/>
        </w:rPr>
        <w:t>,</w:t>
      </w:r>
      <w:r w:rsidR="00302232">
        <w:rPr>
          <w:rFonts w:asciiTheme="minorBidi" w:hAnsiTheme="minorBidi" w:cstheme="minorBidi"/>
          <w:snapToGrid w:val="0"/>
          <w:sz w:val="22"/>
          <w:szCs w:val="22"/>
          <w:lang w:val="en-GB" w:eastAsia="en-US"/>
        </w:rPr>
        <w:t xml:space="preserve"> by a team established by the Secretariat</w:t>
      </w:r>
      <w:r w:rsidR="008205D1">
        <w:rPr>
          <w:rFonts w:asciiTheme="minorBidi" w:hAnsiTheme="minorBidi" w:cstheme="minorBidi"/>
          <w:snapToGrid w:val="0"/>
          <w:sz w:val="22"/>
          <w:szCs w:val="22"/>
          <w:lang w:val="en-GB" w:eastAsia="en-US"/>
        </w:rPr>
        <w:t>,</w:t>
      </w:r>
      <w:r w:rsidR="00302232">
        <w:rPr>
          <w:rFonts w:asciiTheme="minorBidi" w:hAnsiTheme="minorBidi" w:cstheme="minorBidi"/>
          <w:snapToGrid w:val="0"/>
          <w:sz w:val="22"/>
          <w:szCs w:val="22"/>
          <w:lang w:val="en-GB" w:eastAsia="en-US"/>
        </w:rPr>
        <w:t xml:space="preserve"> o</w:t>
      </w:r>
      <w:r w:rsidR="008205D1">
        <w:rPr>
          <w:rFonts w:asciiTheme="minorBidi" w:hAnsiTheme="minorBidi" w:cstheme="minorBidi"/>
          <w:snapToGrid w:val="0"/>
          <w:sz w:val="22"/>
          <w:szCs w:val="22"/>
          <w:lang w:val="en-GB" w:eastAsia="en-US"/>
        </w:rPr>
        <w:t>f</w:t>
      </w:r>
      <w:r w:rsidR="00302232">
        <w:rPr>
          <w:rFonts w:asciiTheme="minorBidi" w:hAnsiTheme="minorBidi" w:cstheme="minorBidi"/>
          <w:snapToGrid w:val="0"/>
          <w:sz w:val="22"/>
          <w:szCs w:val="22"/>
          <w:lang w:val="en-GB" w:eastAsia="en-US"/>
        </w:rPr>
        <w:t xml:space="preserve"> the reports </w:t>
      </w:r>
      <w:r w:rsidR="008205D1">
        <w:rPr>
          <w:rFonts w:asciiTheme="minorBidi" w:hAnsiTheme="minorBidi" w:cstheme="minorBidi"/>
          <w:snapToGrid w:val="0"/>
          <w:sz w:val="22"/>
          <w:szCs w:val="22"/>
          <w:lang w:val="en-GB" w:eastAsia="en-US"/>
        </w:rPr>
        <w:t xml:space="preserve">submitted, </w:t>
      </w:r>
      <w:r w:rsidR="00134243">
        <w:rPr>
          <w:rFonts w:asciiTheme="minorBidi" w:hAnsiTheme="minorBidi" w:cstheme="minorBidi"/>
          <w:snapToGrid w:val="0"/>
          <w:sz w:val="22"/>
          <w:szCs w:val="22"/>
          <w:lang w:val="en-GB" w:eastAsia="en-US"/>
        </w:rPr>
        <w:t xml:space="preserve">presented as an ‘analytical overview’ for examination </w:t>
      </w:r>
      <w:r w:rsidR="008205D1">
        <w:rPr>
          <w:rFonts w:asciiTheme="minorBidi" w:hAnsiTheme="minorBidi" w:cstheme="minorBidi"/>
          <w:snapToGrid w:val="0"/>
          <w:sz w:val="22"/>
          <w:szCs w:val="22"/>
          <w:lang w:val="en-GB" w:eastAsia="en-US"/>
        </w:rPr>
        <w:t xml:space="preserve">by </w:t>
      </w:r>
      <w:r w:rsidR="00134243">
        <w:rPr>
          <w:rFonts w:asciiTheme="minorBidi" w:hAnsiTheme="minorBidi" w:cstheme="minorBidi"/>
          <w:snapToGrid w:val="0"/>
          <w:sz w:val="22"/>
          <w:szCs w:val="22"/>
          <w:lang w:val="en-GB" w:eastAsia="en-US"/>
        </w:rPr>
        <w:t xml:space="preserve">the Committee in the year following the </w:t>
      </w:r>
      <w:r w:rsidR="00134243" w:rsidRPr="00D207DE">
        <w:rPr>
          <w:rFonts w:asciiTheme="minorBidi" w:hAnsiTheme="minorBidi" w:cstheme="minorBidi"/>
          <w:snapToGrid w:val="0"/>
          <w:sz w:val="22"/>
          <w:szCs w:val="22"/>
          <w:lang w:val="en-GB" w:eastAsia="en-US"/>
        </w:rPr>
        <w:t>submission</w:t>
      </w:r>
      <w:r w:rsidR="00134243">
        <w:rPr>
          <w:rFonts w:asciiTheme="minorBidi" w:hAnsiTheme="minorBidi" w:cstheme="minorBidi"/>
          <w:snapToGrid w:val="0"/>
          <w:sz w:val="22"/>
          <w:szCs w:val="22"/>
          <w:lang w:val="en-GB" w:eastAsia="en-US"/>
        </w:rPr>
        <w:t xml:space="preserve">; </w:t>
      </w:r>
      <w:r w:rsidR="008205D1">
        <w:rPr>
          <w:rFonts w:asciiTheme="minorBidi" w:hAnsiTheme="minorBidi" w:cstheme="minorBidi"/>
          <w:snapToGrid w:val="0"/>
          <w:sz w:val="22"/>
          <w:szCs w:val="22"/>
          <w:lang w:val="en-GB" w:eastAsia="en-US"/>
        </w:rPr>
        <w:t xml:space="preserve">and </w:t>
      </w:r>
      <w:r w:rsidR="00134243" w:rsidRPr="00B701ED">
        <w:rPr>
          <w:rFonts w:asciiTheme="minorBidi" w:hAnsiTheme="minorBidi" w:cstheme="minorBidi"/>
          <w:snapToGrid w:val="0"/>
          <w:sz w:val="22"/>
          <w:szCs w:val="22"/>
          <w:u w:val="single"/>
          <w:lang w:val="en-GB" w:eastAsia="en-US"/>
        </w:rPr>
        <w:t>Phase 4</w:t>
      </w:r>
      <w:r w:rsidR="00134243">
        <w:rPr>
          <w:rFonts w:asciiTheme="minorBidi" w:hAnsiTheme="minorBidi" w:cstheme="minorBidi"/>
          <w:snapToGrid w:val="0"/>
          <w:sz w:val="22"/>
          <w:szCs w:val="22"/>
          <w:lang w:val="en-GB" w:eastAsia="en-US"/>
        </w:rPr>
        <w:t xml:space="preserve"> </w:t>
      </w:r>
      <w:r w:rsidR="00F07948">
        <w:rPr>
          <w:rFonts w:asciiTheme="minorBidi" w:hAnsiTheme="minorBidi" w:cstheme="minorBidi"/>
          <w:snapToGrid w:val="0"/>
          <w:sz w:val="22"/>
          <w:szCs w:val="22"/>
          <w:lang w:val="en-GB" w:eastAsia="en-US"/>
        </w:rPr>
        <w:t xml:space="preserve">(fourth year) </w:t>
      </w:r>
      <w:r w:rsidR="00134243">
        <w:rPr>
          <w:rFonts w:asciiTheme="minorBidi" w:hAnsiTheme="minorBidi" w:cstheme="minorBidi"/>
          <w:snapToGrid w:val="0"/>
          <w:sz w:val="22"/>
          <w:szCs w:val="22"/>
          <w:lang w:val="en-GB" w:eastAsia="en-US"/>
        </w:rPr>
        <w:t>i</w:t>
      </w:r>
      <w:r w:rsidR="008205D1">
        <w:rPr>
          <w:rFonts w:asciiTheme="minorBidi" w:hAnsiTheme="minorBidi" w:cstheme="minorBidi"/>
          <w:snapToGrid w:val="0"/>
          <w:sz w:val="22"/>
          <w:szCs w:val="22"/>
          <w:lang w:val="en-GB" w:eastAsia="en-US"/>
        </w:rPr>
        <w:t>nvolves</w:t>
      </w:r>
      <w:r w:rsidR="00134243">
        <w:rPr>
          <w:rFonts w:asciiTheme="minorBidi" w:hAnsiTheme="minorBidi" w:cstheme="minorBidi"/>
          <w:snapToGrid w:val="0"/>
          <w:sz w:val="22"/>
          <w:szCs w:val="22"/>
          <w:lang w:val="en-GB" w:eastAsia="en-US"/>
        </w:rPr>
        <w:t xml:space="preserve"> a </w:t>
      </w:r>
      <w:r w:rsidR="00134243" w:rsidRPr="00143D6A">
        <w:rPr>
          <w:rFonts w:asciiTheme="minorBidi" w:hAnsiTheme="minorBidi" w:cstheme="minorBidi"/>
          <w:snapToGrid w:val="0"/>
          <w:sz w:val="22"/>
          <w:szCs w:val="22"/>
          <w:lang w:val="en-GB" w:eastAsia="en-US"/>
        </w:rPr>
        <w:t>comprehensive analysis of data extracted from the reports</w:t>
      </w:r>
      <w:r w:rsidR="008205D1">
        <w:rPr>
          <w:rFonts w:asciiTheme="minorBidi" w:hAnsiTheme="minorBidi" w:cstheme="minorBidi"/>
          <w:snapToGrid w:val="0"/>
          <w:sz w:val="22"/>
          <w:szCs w:val="22"/>
          <w:lang w:val="en-GB" w:eastAsia="en-US"/>
        </w:rPr>
        <w:t xml:space="preserve"> submitted</w:t>
      </w:r>
      <w:r w:rsidR="000C3415">
        <w:rPr>
          <w:rFonts w:asciiTheme="minorBidi" w:hAnsiTheme="minorBidi" w:cstheme="minorBidi"/>
          <w:snapToGrid w:val="0"/>
          <w:sz w:val="22"/>
          <w:szCs w:val="22"/>
          <w:lang w:val="en-GB" w:eastAsia="en-US"/>
        </w:rPr>
        <w:t>,</w:t>
      </w:r>
      <w:r w:rsidR="00134243">
        <w:rPr>
          <w:rFonts w:asciiTheme="minorBidi" w:hAnsiTheme="minorBidi" w:cstheme="minorBidi"/>
          <w:snapToGrid w:val="0"/>
          <w:sz w:val="22"/>
          <w:szCs w:val="22"/>
          <w:lang w:val="en-GB" w:eastAsia="en-US"/>
        </w:rPr>
        <w:t xml:space="preserve"> presented in the form of an ‘</w:t>
      </w:r>
      <w:r w:rsidR="008117BF">
        <w:rPr>
          <w:rFonts w:asciiTheme="minorBidi" w:hAnsiTheme="minorBidi" w:cstheme="minorBidi"/>
          <w:snapToGrid w:val="0"/>
          <w:sz w:val="22"/>
          <w:szCs w:val="22"/>
          <w:lang w:val="en-GB" w:eastAsia="en-US"/>
        </w:rPr>
        <w:t>analytical</w:t>
      </w:r>
      <w:r w:rsidR="00733B11">
        <w:rPr>
          <w:rFonts w:asciiTheme="minorBidi" w:hAnsiTheme="minorBidi" w:cstheme="minorBidi"/>
          <w:snapToGrid w:val="0"/>
          <w:sz w:val="22"/>
          <w:szCs w:val="22"/>
          <w:lang w:val="en-GB" w:eastAsia="en-US"/>
        </w:rPr>
        <w:t xml:space="preserve"> report’</w:t>
      </w:r>
      <w:r w:rsidR="008117BF">
        <w:rPr>
          <w:rFonts w:asciiTheme="minorBidi" w:hAnsiTheme="minorBidi" w:cstheme="minorBidi"/>
          <w:snapToGrid w:val="0"/>
          <w:sz w:val="22"/>
          <w:szCs w:val="22"/>
          <w:lang w:val="en-GB" w:eastAsia="en-US"/>
        </w:rPr>
        <w:t xml:space="preserve"> </w:t>
      </w:r>
      <w:r w:rsidR="00AA6792">
        <w:rPr>
          <w:rFonts w:asciiTheme="minorBidi" w:hAnsiTheme="minorBidi" w:cstheme="minorBidi"/>
          <w:snapToGrid w:val="0"/>
          <w:sz w:val="22"/>
          <w:szCs w:val="22"/>
          <w:lang w:val="en-GB" w:eastAsia="en-US"/>
        </w:rPr>
        <w:t>-</w:t>
      </w:r>
      <w:r w:rsidR="008117BF">
        <w:rPr>
          <w:rFonts w:asciiTheme="minorBidi" w:hAnsiTheme="minorBidi" w:cstheme="minorBidi"/>
          <w:snapToGrid w:val="0"/>
          <w:sz w:val="22"/>
          <w:szCs w:val="22"/>
          <w:lang w:val="en-GB" w:eastAsia="en-US"/>
        </w:rPr>
        <w:t xml:space="preserve"> two years after the submission of the </w:t>
      </w:r>
      <w:r w:rsidR="00733B11">
        <w:rPr>
          <w:rFonts w:asciiTheme="minorBidi" w:hAnsiTheme="minorBidi" w:cstheme="minorBidi"/>
          <w:snapToGrid w:val="0"/>
          <w:sz w:val="22"/>
          <w:szCs w:val="22"/>
          <w:lang w:val="en-GB" w:eastAsia="en-US"/>
        </w:rPr>
        <w:t xml:space="preserve">country </w:t>
      </w:r>
      <w:r w:rsidR="008117BF">
        <w:rPr>
          <w:rFonts w:asciiTheme="minorBidi" w:hAnsiTheme="minorBidi" w:cstheme="minorBidi"/>
          <w:snapToGrid w:val="0"/>
          <w:sz w:val="22"/>
          <w:szCs w:val="22"/>
          <w:lang w:val="en-GB" w:eastAsia="en-US"/>
        </w:rPr>
        <w:t>reports.</w:t>
      </w:r>
      <w:r w:rsidR="00D207DE">
        <w:rPr>
          <w:rFonts w:asciiTheme="minorBidi" w:hAnsiTheme="minorBidi" w:cstheme="minorBidi"/>
          <w:snapToGrid w:val="0"/>
          <w:sz w:val="22"/>
          <w:szCs w:val="22"/>
          <w:lang w:val="en-GB" w:eastAsia="en-US"/>
        </w:rPr>
        <w:t xml:space="preserve"> </w:t>
      </w:r>
      <w:r w:rsidR="001C533C">
        <w:rPr>
          <w:rFonts w:asciiTheme="minorBidi" w:hAnsiTheme="minorBidi" w:cstheme="minorBidi"/>
          <w:snapToGrid w:val="0"/>
          <w:sz w:val="22"/>
          <w:szCs w:val="22"/>
          <w:lang w:val="en-GB" w:eastAsia="en-US"/>
        </w:rPr>
        <w:t xml:space="preserve">In other words, the </w:t>
      </w:r>
      <w:r w:rsidR="000C3415">
        <w:rPr>
          <w:rFonts w:asciiTheme="minorBidi" w:hAnsiTheme="minorBidi" w:cstheme="minorBidi"/>
          <w:snapToGrid w:val="0"/>
          <w:sz w:val="22"/>
          <w:szCs w:val="22"/>
          <w:lang w:val="en-GB" w:eastAsia="en-US"/>
        </w:rPr>
        <w:t>exercise</w:t>
      </w:r>
      <w:r w:rsidR="001C533C">
        <w:rPr>
          <w:rFonts w:asciiTheme="minorBidi" w:hAnsiTheme="minorBidi" w:cstheme="minorBidi"/>
          <w:snapToGrid w:val="0"/>
          <w:sz w:val="22"/>
          <w:szCs w:val="22"/>
          <w:lang w:val="en-GB" w:eastAsia="en-US"/>
        </w:rPr>
        <w:t xml:space="preserve"> consists of overlapping </w:t>
      </w:r>
      <w:r w:rsidR="001C533C" w:rsidRPr="00143D6A">
        <w:rPr>
          <w:rFonts w:asciiTheme="minorBidi" w:hAnsiTheme="minorBidi" w:cstheme="minorBidi"/>
          <w:snapToGrid w:val="0"/>
          <w:sz w:val="22"/>
          <w:szCs w:val="22"/>
          <w:lang w:val="en-GB" w:eastAsia="en-US"/>
        </w:rPr>
        <w:t>cycle</w:t>
      </w:r>
      <w:r w:rsidR="001C533C">
        <w:rPr>
          <w:rFonts w:asciiTheme="minorBidi" w:hAnsiTheme="minorBidi" w:cstheme="minorBidi"/>
          <w:snapToGrid w:val="0"/>
          <w:sz w:val="22"/>
          <w:szCs w:val="22"/>
          <w:lang w:val="en-GB" w:eastAsia="en-US"/>
        </w:rPr>
        <w:t>s</w:t>
      </w:r>
      <w:r w:rsidR="001C533C" w:rsidRPr="00143D6A">
        <w:rPr>
          <w:rFonts w:asciiTheme="minorBidi" w:hAnsiTheme="minorBidi" w:cstheme="minorBidi"/>
          <w:snapToGrid w:val="0"/>
          <w:sz w:val="22"/>
          <w:szCs w:val="22"/>
          <w:lang w:val="en-GB" w:eastAsia="en-US"/>
        </w:rPr>
        <w:t xml:space="preserve">, which </w:t>
      </w:r>
      <w:r w:rsidR="001C533C">
        <w:rPr>
          <w:rFonts w:asciiTheme="minorBidi" w:hAnsiTheme="minorBidi" w:cstheme="minorBidi"/>
          <w:snapToGrid w:val="0"/>
          <w:sz w:val="22"/>
          <w:szCs w:val="22"/>
          <w:lang w:val="en-GB" w:eastAsia="en-US"/>
        </w:rPr>
        <w:t>are</w:t>
      </w:r>
      <w:r w:rsidR="001C533C" w:rsidRPr="00143D6A">
        <w:rPr>
          <w:rFonts w:asciiTheme="minorBidi" w:hAnsiTheme="minorBidi" w:cstheme="minorBidi"/>
          <w:snapToGrid w:val="0"/>
          <w:sz w:val="22"/>
          <w:szCs w:val="22"/>
          <w:lang w:val="en-GB" w:eastAsia="en-US"/>
        </w:rPr>
        <w:t xml:space="preserve"> at different </w:t>
      </w:r>
      <w:r w:rsidR="001C533C">
        <w:rPr>
          <w:rFonts w:asciiTheme="minorBidi" w:hAnsiTheme="minorBidi" w:cstheme="minorBidi"/>
          <w:snapToGrid w:val="0"/>
          <w:sz w:val="22"/>
          <w:szCs w:val="22"/>
          <w:lang w:val="en-GB" w:eastAsia="en-US"/>
        </w:rPr>
        <w:t>phase</w:t>
      </w:r>
      <w:r w:rsidR="008205D1">
        <w:rPr>
          <w:rFonts w:asciiTheme="minorBidi" w:hAnsiTheme="minorBidi" w:cstheme="minorBidi"/>
          <w:snapToGrid w:val="0"/>
          <w:sz w:val="22"/>
          <w:szCs w:val="22"/>
          <w:lang w:val="en-GB" w:eastAsia="en-US"/>
        </w:rPr>
        <w:t>s</w:t>
      </w:r>
      <w:r w:rsidR="001C533C" w:rsidRPr="00143D6A">
        <w:rPr>
          <w:rFonts w:asciiTheme="minorBidi" w:hAnsiTheme="minorBidi" w:cstheme="minorBidi"/>
          <w:snapToGrid w:val="0"/>
          <w:sz w:val="22"/>
          <w:szCs w:val="22"/>
          <w:lang w:val="en-GB" w:eastAsia="en-US"/>
        </w:rPr>
        <w:t xml:space="preserve"> in </w:t>
      </w:r>
      <w:r w:rsidR="00D207DE">
        <w:rPr>
          <w:rFonts w:asciiTheme="minorBidi" w:hAnsiTheme="minorBidi" w:cstheme="minorBidi"/>
          <w:snapToGrid w:val="0"/>
          <w:sz w:val="22"/>
          <w:szCs w:val="22"/>
          <w:lang w:val="en-GB" w:eastAsia="en-US"/>
        </w:rPr>
        <w:t>respective</w:t>
      </w:r>
      <w:r w:rsidR="001C533C" w:rsidRPr="00143D6A">
        <w:rPr>
          <w:rFonts w:asciiTheme="minorBidi" w:hAnsiTheme="minorBidi" w:cstheme="minorBidi"/>
          <w:snapToGrid w:val="0"/>
          <w:sz w:val="22"/>
          <w:szCs w:val="22"/>
          <w:lang w:val="en-GB" w:eastAsia="en-US"/>
        </w:rPr>
        <w:t xml:space="preserve"> regions, as shown below:</w:t>
      </w:r>
    </w:p>
    <w:p w14:paraId="7D06127E" w14:textId="65C2ED72" w:rsidR="00EF2291" w:rsidRDefault="00D4703F" w:rsidP="00D335A5">
      <w:pPr>
        <w:pStyle w:val="Sansinterligne2"/>
        <w:ind w:left="357"/>
        <w:jc w:val="center"/>
        <w:rPr>
          <w:rFonts w:asciiTheme="minorBidi" w:hAnsiTheme="minorBidi" w:cstheme="minorBidi"/>
          <w:b/>
          <w:bCs/>
          <w:snapToGrid w:val="0"/>
          <w:sz w:val="22"/>
          <w:szCs w:val="22"/>
          <w:lang w:val="en-GB" w:eastAsia="en-US"/>
        </w:rPr>
      </w:pPr>
      <w:r w:rsidRPr="000720C4">
        <w:rPr>
          <w:noProof/>
          <w:lang w:val="en-GB"/>
        </w:rPr>
        <w:lastRenderedPageBreak/>
        <w:drawing>
          <wp:inline distT="0" distB="0" distL="0" distR="0" wp14:anchorId="31430C5F" wp14:editId="37AF235B">
            <wp:extent cx="5174398" cy="281107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4398" cy="2811077"/>
                    </a:xfrm>
                    <a:prstGeom prst="rect">
                      <a:avLst/>
                    </a:prstGeom>
                    <a:noFill/>
                    <a:ln>
                      <a:noFill/>
                    </a:ln>
                  </pic:spPr>
                </pic:pic>
              </a:graphicData>
            </a:graphic>
          </wp:inline>
        </w:drawing>
      </w:r>
    </w:p>
    <w:p w14:paraId="116F4F1B" w14:textId="0A84F179" w:rsidR="00236C96" w:rsidRPr="00143D6A" w:rsidRDefault="00236C96" w:rsidP="00396894">
      <w:pPr>
        <w:pStyle w:val="Sansinterligne2"/>
        <w:numPr>
          <w:ilvl w:val="0"/>
          <w:numId w:val="23"/>
        </w:numPr>
        <w:spacing w:before="240" w:after="120"/>
        <w:ind w:left="567" w:hanging="567"/>
        <w:jc w:val="both"/>
        <w:rPr>
          <w:rFonts w:ascii="Arial" w:hAnsi="Arial" w:cs="Arial"/>
          <w:sz w:val="22"/>
          <w:szCs w:val="22"/>
          <w:lang w:val="en-GB"/>
        </w:rPr>
      </w:pPr>
      <w:r>
        <w:rPr>
          <w:rFonts w:ascii="Arial" w:hAnsi="Arial" w:cs="Arial"/>
          <w:sz w:val="22"/>
          <w:szCs w:val="22"/>
          <w:lang w:val="en-GB"/>
        </w:rPr>
        <w:t xml:space="preserve">The purpose of this document is to provide an update </w:t>
      </w:r>
      <w:r w:rsidR="008205D1">
        <w:rPr>
          <w:rFonts w:ascii="Arial" w:hAnsi="Arial" w:cs="Arial"/>
          <w:sz w:val="22"/>
          <w:szCs w:val="22"/>
          <w:lang w:val="en-GB"/>
        </w:rPr>
        <w:t>regarding</w:t>
      </w:r>
      <w:r>
        <w:rPr>
          <w:rFonts w:ascii="Arial" w:hAnsi="Arial" w:cs="Arial"/>
          <w:sz w:val="22"/>
          <w:szCs w:val="22"/>
          <w:lang w:val="en-GB"/>
        </w:rPr>
        <w:t xml:space="preserve"> the implementation of the cycle</w:t>
      </w:r>
      <w:r w:rsidR="00D207DE">
        <w:rPr>
          <w:rFonts w:ascii="Arial" w:hAnsi="Arial" w:cs="Arial"/>
          <w:sz w:val="22"/>
          <w:szCs w:val="22"/>
          <w:lang w:val="en-GB"/>
        </w:rPr>
        <w:t>s</w:t>
      </w:r>
      <w:r>
        <w:rPr>
          <w:rFonts w:ascii="Arial" w:hAnsi="Arial" w:cs="Arial"/>
          <w:sz w:val="22"/>
          <w:szCs w:val="22"/>
          <w:lang w:val="en-GB"/>
        </w:rPr>
        <w:t xml:space="preserve"> of the reformed periodic reporting </w:t>
      </w:r>
      <w:r w:rsidR="008205D1">
        <w:rPr>
          <w:rFonts w:ascii="Arial" w:hAnsi="Arial" w:cs="Arial"/>
          <w:sz w:val="22"/>
          <w:szCs w:val="22"/>
          <w:lang w:val="en-GB"/>
        </w:rPr>
        <w:t xml:space="preserve">system </w:t>
      </w:r>
      <w:r>
        <w:rPr>
          <w:rFonts w:ascii="Arial" w:hAnsi="Arial" w:cs="Arial"/>
          <w:sz w:val="22"/>
          <w:szCs w:val="22"/>
          <w:lang w:val="en-GB"/>
        </w:rPr>
        <w:t>in Latin America and the Caribbean, in the Arab States and in Africa.</w:t>
      </w:r>
      <w:r w:rsidR="00CA0BA0" w:rsidRPr="00CA0BA0">
        <w:rPr>
          <w:rFonts w:asciiTheme="minorBidi" w:hAnsiTheme="minorBidi" w:cstheme="minorBidi"/>
          <w:sz w:val="22"/>
          <w:szCs w:val="22"/>
          <w:lang w:val="en-GB"/>
        </w:rPr>
        <w:t xml:space="preserve"> </w:t>
      </w:r>
      <w:r w:rsidR="00CA0BA0">
        <w:rPr>
          <w:rFonts w:asciiTheme="minorBidi" w:hAnsiTheme="minorBidi" w:cstheme="minorBidi"/>
          <w:sz w:val="22"/>
          <w:szCs w:val="22"/>
          <w:lang w:val="en-GB"/>
        </w:rPr>
        <w:t>T</w:t>
      </w:r>
      <w:r w:rsidR="00CA0BA0" w:rsidRPr="00143D6A">
        <w:rPr>
          <w:rFonts w:asciiTheme="minorBidi" w:hAnsiTheme="minorBidi" w:cstheme="minorBidi"/>
          <w:sz w:val="22"/>
          <w:szCs w:val="22"/>
          <w:lang w:val="en-GB"/>
        </w:rPr>
        <w:t xml:space="preserve">he assessment of the periodic reporting exercise undertaken by </w:t>
      </w:r>
      <w:r w:rsidR="00CA0BA0" w:rsidRPr="00396894">
        <w:rPr>
          <w:rFonts w:asciiTheme="minorBidi" w:hAnsiTheme="minorBidi" w:cstheme="minorBidi"/>
          <w:sz w:val="22"/>
          <w:szCs w:val="22"/>
          <w:lang w:val="en-GB"/>
        </w:rPr>
        <w:t>Europe is covered under Item 6.b of the Provisional Agenda of the present session (</w:t>
      </w:r>
      <w:r w:rsidR="00D30758" w:rsidRPr="00396894">
        <w:rPr>
          <w:rFonts w:asciiTheme="minorBidi" w:hAnsiTheme="minorBidi" w:cstheme="minorBidi"/>
          <w:sz w:val="22"/>
          <w:szCs w:val="22"/>
          <w:lang w:val="en-GB"/>
        </w:rPr>
        <w:t>d</w:t>
      </w:r>
      <w:r w:rsidR="008607EE" w:rsidRPr="00396894">
        <w:rPr>
          <w:rFonts w:asciiTheme="minorBidi" w:hAnsiTheme="minorBidi" w:cstheme="minorBidi"/>
          <w:sz w:val="22"/>
          <w:szCs w:val="22"/>
          <w:lang w:val="en-GB"/>
        </w:rPr>
        <w:t>ocument </w:t>
      </w:r>
      <w:hyperlink r:id="rId13" w:history="1">
        <w:r w:rsidR="00CA0BA0" w:rsidRPr="00396894">
          <w:rPr>
            <w:rStyle w:val="Lienhypertexte"/>
            <w:rFonts w:asciiTheme="minorBidi" w:hAnsiTheme="minorBidi" w:cstheme="minorBidi"/>
            <w:sz w:val="22"/>
            <w:szCs w:val="22"/>
            <w:lang w:val="en-GB"/>
          </w:rPr>
          <w:t>LHE/22/17.COM/6.b</w:t>
        </w:r>
      </w:hyperlink>
      <w:r w:rsidR="00CA0BA0" w:rsidRPr="00396894">
        <w:rPr>
          <w:rFonts w:asciiTheme="minorBidi" w:hAnsiTheme="minorBidi" w:cstheme="minorBidi"/>
          <w:sz w:val="22"/>
          <w:szCs w:val="22"/>
          <w:lang w:val="en-GB"/>
        </w:rPr>
        <w:t>)</w:t>
      </w:r>
      <w:r w:rsidR="00D207DE" w:rsidRPr="00396894">
        <w:rPr>
          <w:rFonts w:asciiTheme="minorBidi" w:hAnsiTheme="minorBidi" w:cstheme="minorBidi"/>
          <w:sz w:val="22"/>
          <w:szCs w:val="22"/>
          <w:lang w:val="en-GB"/>
        </w:rPr>
        <w:t>, as</w:t>
      </w:r>
      <w:r w:rsidR="00D207DE" w:rsidRPr="00987AC6">
        <w:rPr>
          <w:rFonts w:asciiTheme="minorBidi" w:hAnsiTheme="minorBidi" w:cstheme="minorBidi"/>
          <w:sz w:val="22"/>
          <w:szCs w:val="22"/>
          <w:lang w:val="en-GB"/>
        </w:rPr>
        <w:t xml:space="preserve"> this session of the </w:t>
      </w:r>
      <w:r w:rsidR="007B46E5">
        <w:rPr>
          <w:rFonts w:asciiTheme="minorBidi" w:hAnsiTheme="minorBidi" w:cstheme="minorBidi"/>
          <w:sz w:val="22"/>
          <w:szCs w:val="22"/>
          <w:lang w:val="en-GB"/>
        </w:rPr>
        <w:t>C</w:t>
      </w:r>
      <w:r w:rsidR="00D207DE" w:rsidRPr="00987AC6">
        <w:rPr>
          <w:rFonts w:asciiTheme="minorBidi" w:hAnsiTheme="minorBidi" w:cstheme="minorBidi"/>
          <w:sz w:val="22"/>
          <w:szCs w:val="22"/>
          <w:lang w:val="en-GB"/>
        </w:rPr>
        <w:t>ommittee is to examine the reports of the Europe region</w:t>
      </w:r>
      <w:r w:rsidR="00F94294" w:rsidRPr="00987AC6">
        <w:rPr>
          <w:rFonts w:asciiTheme="minorBidi" w:hAnsiTheme="minorBidi" w:cstheme="minorBidi"/>
          <w:sz w:val="22"/>
          <w:szCs w:val="22"/>
          <w:lang w:val="en-GB"/>
        </w:rPr>
        <w:t xml:space="preserve"> and the ‘analytical overview’ thereof</w:t>
      </w:r>
      <w:r w:rsidR="00D207DE" w:rsidRPr="00987AC6">
        <w:rPr>
          <w:rFonts w:asciiTheme="minorBidi" w:hAnsiTheme="minorBidi" w:cstheme="minorBidi"/>
          <w:sz w:val="22"/>
          <w:szCs w:val="22"/>
          <w:lang w:val="en-GB"/>
        </w:rPr>
        <w:t>.</w:t>
      </w:r>
    </w:p>
    <w:p w14:paraId="52492E7D" w14:textId="590C8F3E" w:rsidR="002C2C5C" w:rsidRPr="00143D6A" w:rsidRDefault="008B088A" w:rsidP="005A4064">
      <w:pPr>
        <w:pStyle w:val="Sansinterligne2"/>
        <w:spacing w:before="240" w:after="120"/>
        <w:jc w:val="both"/>
        <w:rPr>
          <w:rFonts w:asciiTheme="minorBidi" w:hAnsiTheme="minorBidi" w:cstheme="minorBidi"/>
          <w:b/>
          <w:bCs/>
          <w:snapToGrid w:val="0"/>
          <w:sz w:val="22"/>
          <w:szCs w:val="22"/>
          <w:lang w:val="en-GB" w:eastAsia="en-US"/>
        </w:rPr>
      </w:pPr>
      <w:r w:rsidRPr="00143D6A">
        <w:rPr>
          <w:rFonts w:asciiTheme="minorBidi" w:hAnsiTheme="minorBidi" w:cstheme="minorBidi"/>
          <w:b/>
          <w:bCs/>
          <w:snapToGrid w:val="0"/>
          <w:sz w:val="22"/>
          <w:szCs w:val="22"/>
          <w:lang w:val="en-GB" w:eastAsia="en-US"/>
        </w:rPr>
        <w:t xml:space="preserve">2021 Cycle – </w:t>
      </w:r>
      <w:r w:rsidR="004D50AE" w:rsidRPr="00143D6A">
        <w:rPr>
          <w:rFonts w:asciiTheme="minorBidi" w:hAnsiTheme="minorBidi" w:cstheme="minorBidi"/>
          <w:b/>
          <w:bCs/>
          <w:snapToGrid w:val="0"/>
          <w:sz w:val="22"/>
          <w:szCs w:val="22"/>
          <w:lang w:val="en-GB" w:eastAsia="en-US"/>
        </w:rPr>
        <w:t xml:space="preserve">Final analysis of the </w:t>
      </w:r>
      <w:r w:rsidR="002C2C5C" w:rsidRPr="00143D6A">
        <w:rPr>
          <w:rFonts w:asciiTheme="minorBidi" w:hAnsiTheme="minorBidi" w:cstheme="minorBidi"/>
          <w:b/>
          <w:bCs/>
          <w:snapToGrid w:val="0"/>
          <w:sz w:val="22"/>
          <w:szCs w:val="22"/>
          <w:lang w:val="en-GB" w:eastAsia="en-US"/>
        </w:rPr>
        <w:t xml:space="preserve">periodic </w:t>
      </w:r>
      <w:r w:rsidR="004D50AE" w:rsidRPr="00143D6A">
        <w:rPr>
          <w:rFonts w:asciiTheme="minorBidi" w:hAnsiTheme="minorBidi" w:cstheme="minorBidi"/>
          <w:b/>
          <w:bCs/>
          <w:snapToGrid w:val="0"/>
          <w:sz w:val="22"/>
          <w:szCs w:val="22"/>
          <w:lang w:val="en-GB" w:eastAsia="en-US"/>
        </w:rPr>
        <w:t xml:space="preserve">reports </w:t>
      </w:r>
      <w:r w:rsidR="00B20E10">
        <w:rPr>
          <w:rFonts w:asciiTheme="minorBidi" w:hAnsiTheme="minorBidi" w:cstheme="minorBidi"/>
          <w:b/>
          <w:bCs/>
          <w:snapToGrid w:val="0"/>
          <w:sz w:val="22"/>
          <w:szCs w:val="22"/>
          <w:lang w:val="en-GB" w:eastAsia="en-US"/>
        </w:rPr>
        <w:t>from</w:t>
      </w:r>
      <w:r w:rsidR="00956B26" w:rsidRPr="00143D6A">
        <w:rPr>
          <w:rFonts w:asciiTheme="minorBidi" w:hAnsiTheme="minorBidi" w:cstheme="minorBidi"/>
          <w:b/>
          <w:bCs/>
          <w:snapToGrid w:val="0"/>
          <w:sz w:val="22"/>
          <w:szCs w:val="22"/>
          <w:lang w:val="en-GB" w:eastAsia="en-US"/>
        </w:rPr>
        <w:t xml:space="preserve"> </w:t>
      </w:r>
      <w:r w:rsidR="008F6602" w:rsidRPr="00143D6A">
        <w:rPr>
          <w:rFonts w:asciiTheme="minorBidi" w:hAnsiTheme="minorBidi" w:cstheme="minorBidi"/>
          <w:b/>
          <w:bCs/>
          <w:snapToGrid w:val="0"/>
          <w:sz w:val="22"/>
          <w:szCs w:val="22"/>
          <w:lang w:val="en-GB" w:eastAsia="en-US"/>
        </w:rPr>
        <w:t>Latin America and the Caribbean</w:t>
      </w:r>
    </w:p>
    <w:p w14:paraId="6C1086BF" w14:textId="0875BDE1" w:rsidR="006931FA" w:rsidRDefault="00FA2856" w:rsidP="00396894">
      <w:pPr>
        <w:pStyle w:val="Sansinterligne2"/>
        <w:numPr>
          <w:ilvl w:val="0"/>
          <w:numId w:val="23"/>
        </w:numPr>
        <w:spacing w:before="120" w:after="120"/>
        <w:ind w:left="567" w:hanging="567"/>
        <w:jc w:val="both"/>
        <w:rPr>
          <w:rFonts w:asciiTheme="minorBidi" w:hAnsiTheme="minorBidi" w:cstheme="minorBidi"/>
          <w:snapToGrid w:val="0"/>
          <w:sz w:val="22"/>
          <w:szCs w:val="22"/>
          <w:lang w:val="en-GB" w:eastAsia="en-US"/>
        </w:rPr>
      </w:pPr>
      <w:r>
        <w:rPr>
          <w:rFonts w:asciiTheme="minorBidi" w:hAnsiTheme="minorBidi" w:cstheme="minorBidi"/>
          <w:snapToGrid w:val="0"/>
          <w:sz w:val="22"/>
          <w:szCs w:val="22"/>
          <w:lang w:val="en-GB" w:eastAsia="en-US"/>
        </w:rPr>
        <w:t>T</w:t>
      </w:r>
      <w:r w:rsidR="005F0E8E">
        <w:rPr>
          <w:rFonts w:asciiTheme="minorBidi" w:hAnsiTheme="minorBidi" w:cstheme="minorBidi"/>
          <w:snapToGrid w:val="0"/>
          <w:sz w:val="22"/>
          <w:szCs w:val="22"/>
          <w:lang w:val="en-GB" w:eastAsia="en-US"/>
        </w:rPr>
        <w:t xml:space="preserve">he Latin America and the Caribbean region responded </w:t>
      </w:r>
      <w:r>
        <w:rPr>
          <w:rFonts w:asciiTheme="minorBidi" w:hAnsiTheme="minorBidi" w:cstheme="minorBidi"/>
          <w:snapToGrid w:val="0"/>
          <w:sz w:val="22"/>
          <w:szCs w:val="22"/>
          <w:lang w:val="en-GB" w:eastAsia="en-US"/>
        </w:rPr>
        <w:t>to the reformed periodic reporting exercise</w:t>
      </w:r>
      <w:r w:rsidR="00F81117">
        <w:rPr>
          <w:rFonts w:asciiTheme="minorBidi" w:hAnsiTheme="minorBidi" w:cstheme="minorBidi"/>
          <w:snapToGrid w:val="0"/>
          <w:sz w:val="22"/>
          <w:szCs w:val="22"/>
          <w:lang w:val="en-GB" w:eastAsia="en-US"/>
        </w:rPr>
        <w:t xml:space="preserve"> with enthusiasm</w:t>
      </w:r>
      <w:r>
        <w:rPr>
          <w:rFonts w:asciiTheme="minorBidi" w:hAnsiTheme="minorBidi" w:cstheme="minorBidi"/>
          <w:snapToGrid w:val="0"/>
          <w:sz w:val="22"/>
          <w:szCs w:val="22"/>
          <w:lang w:val="en-GB" w:eastAsia="en-US"/>
        </w:rPr>
        <w:t xml:space="preserve">, </w:t>
      </w:r>
      <w:r w:rsidR="005F0E8E">
        <w:rPr>
          <w:rFonts w:asciiTheme="minorBidi" w:hAnsiTheme="minorBidi" w:cstheme="minorBidi"/>
          <w:snapToGrid w:val="0"/>
          <w:sz w:val="22"/>
          <w:szCs w:val="22"/>
          <w:lang w:val="en-GB" w:eastAsia="en-US"/>
        </w:rPr>
        <w:t>as twenty-eight (</w:t>
      </w:r>
      <w:r w:rsidR="00A128F0" w:rsidRPr="00A128F0">
        <w:rPr>
          <w:rFonts w:asciiTheme="minorBidi" w:hAnsiTheme="minorBidi" w:cstheme="minorBidi"/>
          <w:snapToGrid w:val="0"/>
          <w:sz w:val="22"/>
          <w:szCs w:val="22"/>
          <w:lang w:val="en-GB" w:eastAsia="en-US"/>
        </w:rPr>
        <w:t xml:space="preserve">87.5 per cent </w:t>
      </w:r>
      <w:r w:rsidR="005F0E8E">
        <w:rPr>
          <w:rFonts w:asciiTheme="minorBidi" w:hAnsiTheme="minorBidi" w:cstheme="minorBidi"/>
          <w:snapToGrid w:val="0"/>
          <w:sz w:val="22"/>
          <w:szCs w:val="22"/>
          <w:lang w:val="en-GB" w:eastAsia="en-US"/>
        </w:rPr>
        <w:t>out of a total of thirty</w:t>
      </w:r>
      <w:r w:rsidR="00A128F0">
        <w:rPr>
          <w:rFonts w:asciiTheme="minorBidi" w:hAnsiTheme="minorBidi" w:cstheme="minorBidi"/>
          <w:snapToGrid w:val="0"/>
          <w:sz w:val="22"/>
          <w:szCs w:val="22"/>
          <w:lang w:val="en-GB" w:eastAsia="en-US"/>
        </w:rPr>
        <w:t>-two reports</w:t>
      </w:r>
      <w:r w:rsidR="005F0E8E">
        <w:rPr>
          <w:rFonts w:asciiTheme="minorBidi" w:hAnsiTheme="minorBidi" w:cstheme="minorBidi"/>
          <w:snapToGrid w:val="0"/>
          <w:sz w:val="22"/>
          <w:szCs w:val="22"/>
          <w:lang w:val="en-GB" w:eastAsia="en-US"/>
        </w:rPr>
        <w:t xml:space="preserve"> expected) States Parties</w:t>
      </w:r>
      <w:r>
        <w:rPr>
          <w:rFonts w:asciiTheme="minorBidi" w:hAnsiTheme="minorBidi" w:cstheme="minorBidi"/>
          <w:snapToGrid w:val="0"/>
          <w:sz w:val="22"/>
          <w:szCs w:val="22"/>
          <w:lang w:val="en-GB" w:eastAsia="en-US"/>
        </w:rPr>
        <w:t xml:space="preserve"> submitted their reports</w:t>
      </w:r>
      <w:r w:rsidR="005F0E8E">
        <w:rPr>
          <w:rFonts w:asciiTheme="minorBidi" w:hAnsiTheme="minorBidi" w:cstheme="minorBidi"/>
          <w:snapToGrid w:val="0"/>
          <w:sz w:val="22"/>
          <w:szCs w:val="22"/>
          <w:lang w:val="en-GB" w:eastAsia="en-US"/>
        </w:rPr>
        <w:t xml:space="preserve">. </w:t>
      </w:r>
      <w:r w:rsidR="00B82DFE" w:rsidRPr="005F0E8E">
        <w:rPr>
          <w:rFonts w:asciiTheme="minorBidi" w:hAnsiTheme="minorBidi" w:cstheme="minorBidi"/>
          <w:snapToGrid w:val="0"/>
          <w:sz w:val="22"/>
          <w:szCs w:val="22"/>
          <w:lang w:val="en-GB" w:eastAsia="en-US"/>
        </w:rPr>
        <w:t>Th</w:t>
      </w:r>
      <w:r w:rsidR="00097AB0" w:rsidRPr="005F0E8E">
        <w:rPr>
          <w:rFonts w:asciiTheme="minorBidi" w:hAnsiTheme="minorBidi" w:cstheme="minorBidi"/>
          <w:snapToGrid w:val="0"/>
          <w:sz w:val="22"/>
          <w:szCs w:val="22"/>
          <w:lang w:val="en-GB" w:eastAsia="en-US"/>
        </w:rPr>
        <w:t>is</w:t>
      </w:r>
      <w:r w:rsidR="00733B11">
        <w:rPr>
          <w:rFonts w:asciiTheme="minorBidi" w:hAnsiTheme="minorBidi" w:cstheme="minorBidi"/>
          <w:snapToGrid w:val="0"/>
          <w:sz w:val="22"/>
          <w:szCs w:val="22"/>
          <w:lang w:val="en-GB" w:eastAsia="en-US"/>
        </w:rPr>
        <w:t xml:space="preserve"> </w:t>
      </w:r>
      <w:r w:rsidR="00B82DFE" w:rsidRPr="005F0E8E">
        <w:rPr>
          <w:rFonts w:asciiTheme="minorBidi" w:hAnsiTheme="minorBidi" w:cstheme="minorBidi"/>
          <w:snapToGrid w:val="0"/>
          <w:sz w:val="22"/>
          <w:szCs w:val="22"/>
          <w:lang w:val="en-GB" w:eastAsia="en-US"/>
        </w:rPr>
        <w:t>high submission rate</w:t>
      </w:r>
      <w:r w:rsidR="00855ED2">
        <w:rPr>
          <w:rFonts w:asciiTheme="minorBidi" w:hAnsiTheme="minorBidi" w:cstheme="minorBidi"/>
          <w:snapToGrid w:val="0"/>
          <w:sz w:val="22"/>
          <w:szCs w:val="22"/>
          <w:lang w:val="en-GB" w:eastAsia="en-US"/>
        </w:rPr>
        <w:t xml:space="preserve"> </w:t>
      </w:r>
      <w:r w:rsidR="00F259CB" w:rsidRPr="005F0E8E">
        <w:rPr>
          <w:rFonts w:asciiTheme="minorBidi" w:hAnsiTheme="minorBidi" w:cstheme="minorBidi"/>
          <w:snapToGrid w:val="0"/>
          <w:sz w:val="22"/>
          <w:szCs w:val="22"/>
          <w:lang w:val="en-GB" w:eastAsia="en-US"/>
        </w:rPr>
        <w:t xml:space="preserve">– despite </w:t>
      </w:r>
      <w:r w:rsidR="007B0C85" w:rsidRPr="005F0E8E">
        <w:rPr>
          <w:rFonts w:asciiTheme="minorBidi" w:hAnsiTheme="minorBidi" w:cstheme="minorBidi"/>
          <w:snapToGrid w:val="0"/>
          <w:sz w:val="22"/>
          <w:szCs w:val="22"/>
          <w:lang w:val="en-GB" w:eastAsia="en-US"/>
        </w:rPr>
        <w:t xml:space="preserve">the </w:t>
      </w:r>
      <w:r w:rsidR="00F259CB" w:rsidRPr="005F0E8E">
        <w:rPr>
          <w:rFonts w:asciiTheme="minorBidi" w:hAnsiTheme="minorBidi" w:cstheme="minorBidi"/>
          <w:snapToGrid w:val="0"/>
          <w:sz w:val="22"/>
          <w:szCs w:val="22"/>
          <w:lang w:val="en-GB" w:eastAsia="en-US"/>
        </w:rPr>
        <w:t>COVID-19 pandemic</w:t>
      </w:r>
      <w:r w:rsidR="00F81117">
        <w:rPr>
          <w:rFonts w:asciiTheme="minorBidi" w:hAnsiTheme="minorBidi" w:cstheme="minorBidi"/>
          <w:snapToGrid w:val="0"/>
          <w:sz w:val="22"/>
          <w:szCs w:val="22"/>
          <w:lang w:val="en-GB" w:eastAsia="en-US"/>
        </w:rPr>
        <w:t>,</w:t>
      </w:r>
      <w:r w:rsidR="007B0C85" w:rsidRPr="005F0E8E">
        <w:rPr>
          <w:rFonts w:asciiTheme="minorBidi" w:hAnsiTheme="minorBidi" w:cstheme="minorBidi"/>
          <w:snapToGrid w:val="0"/>
          <w:sz w:val="22"/>
          <w:szCs w:val="22"/>
          <w:lang w:val="en-GB" w:eastAsia="en-US"/>
        </w:rPr>
        <w:t xml:space="preserve"> </w:t>
      </w:r>
      <w:r w:rsidR="00855ED2">
        <w:rPr>
          <w:rFonts w:asciiTheme="minorBidi" w:hAnsiTheme="minorBidi" w:cstheme="minorBidi"/>
          <w:snapToGrid w:val="0"/>
          <w:sz w:val="22"/>
          <w:szCs w:val="22"/>
          <w:lang w:val="en-GB" w:eastAsia="en-US"/>
        </w:rPr>
        <w:t>which impacted the region heavily</w:t>
      </w:r>
      <w:r w:rsidR="00F259CB" w:rsidRPr="005F0E8E">
        <w:rPr>
          <w:rFonts w:asciiTheme="minorBidi" w:hAnsiTheme="minorBidi" w:cstheme="minorBidi"/>
          <w:snapToGrid w:val="0"/>
          <w:sz w:val="22"/>
          <w:szCs w:val="22"/>
          <w:lang w:val="en-GB" w:eastAsia="en-US"/>
        </w:rPr>
        <w:t xml:space="preserve"> –</w:t>
      </w:r>
      <w:r w:rsidR="00B82DFE" w:rsidRPr="005F0E8E">
        <w:rPr>
          <w:rFonts w:asciiTheme="minorBidi" w:hAnsiTheme="minorBidi" w:cstheme="minorBidi"/>
          <w:snapToGrid w:val="0"/>
          <w:sz w:val="22"/>
          <w:szCs w:val="22"/>
          <w:lang w:val="en-GB" w:eastAsia="en-US"/>
        </w:rPr>
        <w:t xml:space="preserve"> is a </w:t>
      </w:r>
      <w:r w:rsidR="00533B95">
        <w:rPr>
          <w:rFonts w:asciiTheme="minorBidi" w:hAnsiTheme="minorBidi" w:cstheme="minorBidi"/>
          <w:snapToGrid w:val="0"/>
          <w:sz w:val="22"/>
          <w:szCs w:val="22"/>
          <w:lang w:val="en-GB" w:eastAsia="en-US"/>
        </w:rPr>
        <w:t xml:space="preserve">positive </w:t>
      </w:r>
      <w:r w:rsidR="00B82DFE" w:rsidRPr="005F0E8E">
        <w:rPr>
          <w:rFonts w:asciiTheme="minorBidi" w:hAnsiTheme="minorBidi" w:cstheme="minorBidi"/>
          <w:snapToGrid w:val="0"/>
          <w:sz w:val="22"/>
          <w:szCs w:val="22"/>
          <w:lang w:val="en-GB" w:eastAsia="en-US"/>
        </w:rPr>
        <w:t xml:space="preserve">result of the </w:t>
      </w:r>
      <w:r w:rsidR="009B106A" w:rsidRPr="005F0E8E">
        <w:rPr>
          <w:rFonts w:asciiTheme="minorBidi" w:hAnsiTheme="minorBidi" w:cstheme="minorBidi"/>
          <w:snapToGrid w:val="0"/>
          <w:sz w:val="22"/>
          <w:szCs w:val="22"/>
          <w:lang w:val="en-GB" w:eastAsia="en-US"/>
        </w:rPr>
        <w:t>reform</w:t>
      </w:r>
      <w:r w:rsidR="00B82DFE" w:rsidRPr="005F0E8E">
        <w:rPr>
          <w:rFonts w:asciiTheme="minorBidi" w:hAnsiTheme="minorBidi" w:cstheme="minorBidi"/>
          <w:snapToGrid w:val="0"/>
          <w:sz w:val="22"/>
          <w:szCs w:val="22"/>
          <w:lang w:val="en-GB" w:eastAsia="en-US"/>
        </w:rPr>
        <w:t xml:space="preserve">, </w:t>
      </w:r>
      <w:r w:rsidR="00533B95">
        <w:rPr>
          <w:rFonts w:asciiTheme="minorBidi" w:hAnsiTheme="minorBidi" w:cstheme="minorBidi"/>
          <w:snapToGrid w:val="0"/>
          <w:sz w:val="22"/>
          <w:szCs w:val="22"/>
          <w:lang w:val="en-GB" w:eastAsia="en-US"/>
        </w:rPr>
        <w:t>demonstrating the commitment of reporting States Parti</w:t>
      </w:r>
      <w:r w:rsidR="00F81117">
        <w:rPr>
          <w:rFonts w:asciiTheme="minorBidi" w:hAnsiTheme="minorBidi" w:cstheme="minorBidi"/>
          <w:snapToGrid w:val="0"/>
          <w:sz w:val="22"/>
          <w:szCs w:val="22"/>
          <w:lang w:val="en-GB" w:eastAsia="en-US"/>
        </w:rPr>
        <w:t>e</w:t>
      </w:r>
      <w:r w:rsidR="00533B95">
        <w:rPr>
          <w:rFonts w:asciiTheme="minorBidi" w:hAnsiTheme="minorBidi" w:cstheme="minorBidi"/>
          <w:snapToGrid w:val="0"/>
          <w:sz w:val="22"/>
          <w:szCs w:val="22"/>
          <w:lang w:val="en-GB" w:eastAsia="en-US"/>
        </w:rPr>
        <w:t xml:space="preserve">s </w:t>
      </w:r>
      <w:r w:rsidR="0015209C" w:rsidRPr="00FC50DC">
        <w:rPr>
          <w:rFonts w:asciiTheme="minorBidi" w:hAnsiTheme="minorBidi" w:cstheme="minorBidi"/>
          <w:snapToGrid w:val="0"/>
          <w:sz w:val="22"/>
          <w:szCs w:val="22"/>
          <w:lang w:val="en-GB" w:eastAsia="en-US"/>
        </w:rPr>
        <w:t>who</w:t>
      </w:r>
      <w:r w:rsidR="00533B95">
        <w:rPr>
          <w:rFonts w:asciiTheme="minorBidi" w:hAnsiTheme="minorBidi" w:cstheme="minorBidi"/>
          <w:snapToGrid w:val="0"/>
          <w:sz w:val="22"/>
          <w:szCs w:val="22"/>
          <w:lang w:val="en-GB" w:eastAsia="en-US"/>
        </w:rPr>
        <w:t xml:space="preserve"> benefitted from </w:t>
      </w:r>
      <w:r w:rsidR="00B82DFE" w:rsidRPr="005F0E8E">
        <w:rPr>
          <w:rFonts w:asciiTheme="minorBidi" w:hAnsiTheme="minorBidi" w:cstheme="minorBidi"/>
          <w:snapToGrid w:val="0"/>
          <w:sz w:val="22"/>
          <w:szCs w:val="22"/>
          <w:lang w:val="en-GB" w:eastAsia="en-US"/>
        </w:rPr>
        <w:t>the capacity</w:t>
      </w:r>
      <w:r w:rsidR="00F81117">
        <w:rPr>
          <w:rFonts w:asciiTheme="minorBidi" w:hAnsiTheme="minorBidi" w:cstheme="minorBidi"/>
          <w:snapToGrid w:val="0"/>
          <w:sz w:val="22"/>
          <w:szCs w:val="22"/>
          <w:lang w:val="en-GB" w:eastAsia="en-US"/>
        </w:rPr>
        <w:t>-</w:t>
      </w:r>
      <w:r w:rsidR="00B82DFE" w:rsidRPr="005F0E8E">
        <w:rPr>
          <w:rFonts w:asciiTheme="minorBidi" w:hAnsiTheme="minorBidi" w:cstheme="minorBidi"/>
          <w:snapToGrid w:val="0"/>
          <w:sz w:val="22"/>
          <w:szCs w:val="22"/>
          <w:lang w:val="en-GB" w:eastAsia="en-US"/>
        </w:rPr>
        <w:t>building approach</w:t>
      </w:r>
      <w:r>
        <w:rPr>
          <w:rFonts w:asciiTheme="minorBidi" w:hAnsiTheme="minorBidi" w:cstheme="minorBidi"/>
          <w:snapToGrid w:val="0"/>
          <w:sz w:val="22"/>
          <w:szCs w:val="22"/>
          <w:lang w:val="en-GB" w:eastAsia="en-US"/>
        </w:rPr>
        <w:t xml:space="preserve"> </w:t>
      </w:r>
      <w:r w:rsidR="00B82DFE" w:rsidRPr="005F0E8E">
        <w:rPr>
          <w:rFonts w:asciiTheme="minorBidi" w:hAnsiTheme="minorBidi" w:cstheme="minorBidi"/>
          <w:snapToGrid w:val="0"/>
          <w:sz w:val="22"/>
          <w:szCs w:val="22"/>
          <w:lang w:val="en-GB" w:eastAsia="en-US"/>
        </w:rPr>
        <w:t>developed by the Secretariat.</w:t>
      </w:r>
      <w:r w:rsidR="00FC50DC">
        <w:rPr>
          <w:rFonts w:asciiTheme="minorBidi" w:hAnsiTheme="minorBidi" w:cstheme="minorBidi"/>
          <w:snapToGrid w:val="0"/>
          <w:sz w:val="22"/>
          <w:szCs w:val="22"/>
          <w:lang w:val="en-GB" w:eastAsia="en-US"/>
        </w:rPr>
        <w:t xml:space="preserve"> The active role played by the Regional Centre for the Safeguarding of Intangible Cultural Heritage in Latin America (CRESPIAL) was also a determining factor for this positive experience.</w:t>
      </w:r>
    </w:p>
    <w:p w14:paraId="7AF299C6" w14:textId="7D94BCA4" w:rsidR="0099369D" w:rsidRPr="002A7FB5" w:rsidRDefault="0048149B" w:rsidP="00396894">
      <w:pPr>
        <w:pStyle w:val="Sansinterligne2"/>
        <w:numPr>
          <w:ilvl w:val="0"/>
          <w:numId w:val="23"/>
        </w:numPr>
        <w:spacing w:before="120" w:after="120"/>
        <w:ind w:left="567" w:hanging="567"/>
        <w:jc w:val="both"/>
        <w:rPr>
          <w:rFonts w:asciiTheme="minorBidi" w:hAnsiTheme="minorBidi" w:cstheme="minorBidi"/>
          <w:snapToGrid w:val="0"/>
          <w:sz w:val="22"/>
          <w:szCs w:val="22"/>
          <w:lang w:val="en-GB" w:eastAsia="en-US"/>
        </w:rPr>
      </w:pPr>
      <w:r w:rsidRPr="005A26DE">
        <w:rPr>
          <w:rFonts w:asciiTheme="minorBidi" w:hAnsiTheme="minorBidi" w:cstheme="minorBidi"/>
          <w:snapToGrid w:val="0"/>
          <w:sz w:val="22"/>
          <w:szCs w:val="22"/>
          <w:lang w:val="en-GB" w:eastAsia="en-US"/>
        </w:rPr>
        <w:t>A</w:t>
      </w:r>
      <w:r w:rsidR="004F28A5" w:rsidRPr="008947AF">
        <w:rPr>
          <w:rFonts w:asciiTheme="minorBidi" w:hAnsiTheme="minorBidi" w:cstheme="minorBidi"/>
          <w:snapToGrid w:val="0"/>
          <w:sz w:val="22"/>
          <w:szCs w:val="22"/>
          <w:lang w:val="en-GB" w:eastAsia="en-US"/>
        </w:rPr>
        <w:t xml:space="preserve">n ‘analytical overview’ of these reports </w:t>
      </w:r>
      <w:r w:rsidR="00F81117" w:rsidRPr="00A446AC">
        <w:rPr>
          <w:rFonts w:asciiTheme="minorBidi" w:hAnsiTheme="minorBidi" w:cstheme="minorBidi"/>
          <w:snapToGrid w:val="0"/>
          <w:sz w:val="22"/>
          <w:szCs w:val="22"/>
          <w:lang w:val="en-GB" w:eastAsia="en-US"/>
        </w:rPr>
        <w:t xml:space="preserve">was </w:t>
      </w:r>
      <w:r w:rsidR="004F28A5" w:rsidRPr="00A446AC">
        <w:rPr>
          <w:rFonts w:asciiTheme="minorBidi" w:hAnsiTheme="minorBidi" w:cstheme="minorBidi"/>
          <w:snapToGrid w:val="0"/>
          <w:sz w:val="22"/>
          <w:szCs w:val="22"/>
          <w:lang w:val="en-GB" w:eastAsia="en-US"/>
        </w:rPr>
        <w:t>exami</w:t>
      </w:r>
      <w:r w:rsidR="00FC50DC" w:rsidRPr="00B93247">
        <w:rPr>
          <w:rFonts w:asciiTheme="minorBidi" w:hAnsiTheme="minorBidi" w:cstheme="minorBidi"/>
          <w:snapToGrid w:val="0"/>
          <w:sz w:val="22"/>
          <w:szCs w:val="22"/>
          <w:lang w:val="en-GB" w:eastAsia="en-US"/>
        </w:rPr>
        <w:t>ned</w:t>
      </w:r>
      <w:r w:rsidR="004F28A5" w:rsidRPr="002A7FB5">
        <w:rPr>
          <w:rFonts w:asciiTheme="minorBidi" w:hAnsiTheme="minorBidi" w:cstheme="minorBidi"/>
          <w:snapToGrid w:val="0"/>
          <w:sz w:val="22"/>
          <w:szCs w:val="22"/>
          <w:lang w:val="en-GB" w:eastAsia="en-US"/>
        </w:rPr>
        <w:t xml:space="preserve"> by the sixteenth session of the Committee (Decision </w:t>
      </w:r>
      <w:hyperlink r:id="rId14" w:history="1">
        <w:r w:rsidR="004F28A5" w:rsidRPr="005A26DE">
          <w:rPr>
            <w:rStyle w:val="Lienhypertexte"/>
            <w:rFonts w:asciiTheme="minorBidi" w:hAnsiTheme="minorBidi" w:cstheme="minorBidi"/>
            <w:snapToGrid w:val="0"/>
            <w:sz w:val="22"/>
            <w:szCs w:val="22"/>
            <w:lang w:val="en-GB" w:eastAsia="en-US"/>
          </w:rPr>
          <w:t>16.COM</w:t>
        </w:r>
        <w:r w:rsidR="00396894">
          <w:rPr>
            <w:rStyle w:val="Lienhypertexte"/>
            <w:rFonts w:asciiTheme="minorBidi" w:hAnsiTheme="minorBidi" w:cstheme="minorBidi"/>
            <w:snapToGrid w:val="0"/>
            <w:sz w:val="22"/>
            <w:szCs w:val="22"/>
            <w:lang w:val="en-GB" w:eastAsia="en-US"/>
          </w:rPr>
          <w:t> </w:t>
        </w:r>
        <w:r w:rsidR="004F28A5" w:rsidRPr="005A26DE">
          <w:rPr>
            <w:rStyle w:val="Lienhypertexte"/>
            <w:rFonts w:asciiTheme="minorBidi" w:hAnsiTheme="minorBidi" w:cstheme="minorBidi"/>
            <w:snapToGrid w:val="0"/>
            <w:sz w:val="22"/>
            <w:szCs w:val="22"/>
            <w:lang w:val="en-GB" w:eastAsia="en-US"/>
          </w:rPr>
          <w:t>7.b</w:t>
        </w:r>
      </w:hyperlink>
      <w:r w:rsidR="004F28A5" w:rsidRPr="005A26DE">
        <w:rPr>
          <w:rFonts w:asciiTheme="minorBidi" w:hAnsiTheme="minorBidi" w:cstheme="minorBidi"/>
          <w:snapToGrid w:val="0"/>
          <w:sz w:val="22"/>
          <w:szCs w:val="22"/>
          <w:lang w:val="en-GB" w:eastAsia="en-US"/>
        </w:rPr>
        <w:t xml:space="preserve"> and Annex I of document </w:t>
      </w:r>
      <w:hyperlink r:id="rId15" w:history="1">
        <w:r w:rsidR="004F28A5" w:rsidRPr="005A26DE">
          <w:rPr>
            <w:rStyle w:val="Lienhypertexte"/>
            <w:rFonts w:asciiTheme="minorBidi" w:hAnsiTheme="minorBidi" w:cstheme="minorBidi"/>
            <w:snapToGrid w:val="0"/>
            <w:sz w:val="22"/>
            <w:szCs w:val="22"/>
            <w:lang w:val="en-GB" w:eastAsia="en-US"/>
          </w:rPr>
          <w:t>LHE/21/16.COM</w:t>
        </w:r>
        <w:r w:rsidR="00396894">
          <w:rPr>
            <w:rStyle w:val="Lienhypertexte"/>
            <w:rFonts w:asciiTheme="minorBidi" w:hAnsiTheme="minorBidi" w:cstheme="minorBidi"/>
            <w:snapToGrid w:val="0"/>
            <w:sz w:val="22"/>
            <w:szCs w:val="22"/>
            <w:lang w:val="en-GB" w:eastAsia="en-US"/>
          </w:rPr>
          <w:t> </w:t>
        </w:r>
        <w:r w:rsidR="004F28A5" w:rsidRPr="005A26DE">
          <w:rPr>
            <w:rStyle w:val="Lienhypertexte"/>
            <w:rFonts w:asciiTheme="minorBidi" w:hAnsiTheme="minorBidi" w:cstheme="minorBidi"/>
            <w:snapToGrid w:val="0"/>
            <w:sz w:val="22"/>
            <w:szCs w:val="22"/>
            <w:lang w:val="en-GB" w:eastAsia="en-US"/>
          </w:rPr>
          <w:t>7.b</w:t>
        </w:r>
      </w:hyperlink>
      <w:r w:rsidR="004F28A5" w:rsidRPr="005A26DE">
        <w:rPr>
          <w:rFonts w:asciiTheme="minorBidi" w:hAnsiTheme="minorBidi" w:cstheme="minorBidi"/>
          <w:snapToGrid w:val="0"/>
          <w:sz w:val="22"/>
          <w:szCs w:val="22"/>
          <w:lang w:val="en-GB" w:eastAsia="en-US"/>
        </w:rPr>
        <w:t>). The Committee welcomed the</w:t>
      </w:r>
      <w:r w:rsidR="004F28A5" w:rsidRPr="00A446AC">
        <w:rPr>
          <w:rFonts w:asciiTheme="minorBidi" w:hAnsiTheme="minorBidi" w:cstheme="minorBidi"/>
          <w:snapToGrid w:val="0"/>
          <w:sz w:val="22"/>
          <w:szCs w:val="22"/>
          <w:lang w:val="en-GB" w:eastAsia="en-US"/>
        </w:rPr>
        <w:t xml:space="preserve"> key findings from the overview and noted the common trends, challenges, opportunities a</w:t>
      </w:r>
      <w:r w:rsidR="00157BDE">
        <w:rPr>
          <w:rFonts w:asciiTheme="minorBidi" w:hAnsiTheme="minorBidi" w:cstheme="minorBidi"/>
          <w:snapToGrid w:val="0"/>
          <w:sz w:val="22"/>
          <w:szCs w:val="22"/>
          <w:lang w:val="en-GB" w:eastAsia="en-US"/>
        </w:rPr>
        <w:t>n</w:t>
      </w:r>
      <w:r w:rsidR="004F28A5" w:rsidRPr="00A446AC">
        <w:rPr>
          <w:rFonts w:asciiTheme="minorBidi" w:hAnsiTheme="minorBidi" w:cstheme="minorBidi"/>
          <w:snapToGrid w:val="0"/>
          <w:sz w:val="22"/>
          <w:szCs w:val="22"/>
          <w:lang w:val="en-GB" w:eastAsia="en-US"/>
        </w:rPr>
        <w:t>d priority areas related to intangible cultural heritage reported by the countries</w:t>
      </w:r>
      <w:r w:rsidR="00F81117" w:rsidRPr="00B93247">
        <w:rPr>
          <w:rFonts w:asciiTheme="minorBidi" w:hAnsiTheme="minorBidi" w:cstheme="minorBidi"/>
          <w:snapToGrid w:val="0"/>
          <w:sz w:val="22"/>
          <w:szCs w:val="22"/>
          <w:lang w:val="en-GB" w:eastAsia="en-US"/>
        </w:rPr>
        <w:t xml:space="preserve"> with interest</w:t>
      </w:r>
      <w:r w:rsidR="004F28A5" w:rsidRPr="002A7FB5">
        <w:rPr>
          <w:rFonts w:asciiTheme="minorBidi" w:hAnsiTheme="minorBidi" w:cstheme="minorBidi"/>
          <w:snapToGrid w:val="0"/>
          <w:sz w:val="22"/>
          <w:szCs w:val="22"/>
          <w:lang w:val="en-GB" w:eastAsia="en-US"/>
        </w:rPr>
        <w:t xml:space="preserve">, as well as the different safeguarding approaches and methodologies adopted by </w:t>
      </w:r>
      <w:r w:rsidR="00F81117" w:rsidRPr="002A7FB5">
        <w:rPr>
          <w:rFonts w:asciiTheme="minorBidi" w:hAnsiTheme="minorBidi" w:cstheme="minorBidi"/>
          <w:snapToGrid w:val="0"/>
          <w:sz w:val="22"/>
          <w:szCs w:val="22"/>
          <w:lang w:val="en-GB" w:eastAsia="en-US"/>
        </w:rPr>
        <w:t xml:space="preserve">the </w:t>
      </w:r>
      <w:r w:rsidR="004F28A5" w:rsidRPr="002A7FB5">
        <w:rPr>
          <w:rFonts w:asciiTheme="minorBidi" w:hAnsiTheme="minorBidi" w:cstheme="minorBidi"/>
          <w:snapToGrid w:val="0"/>
          <w:sz w:val="22"/>
          <w:szCs w:val="22"/>
          <w:lang w:val="en-GB" w:eastAsia="en-US"/>
        </w:rPr>
        <w:t>reporting States Parties.</w:t>
      </w:r>
      <w:r w:rsidR="002A7FB5">
        <w:rPr>
          <w:rFonts w:asciiTheme="minorBidi" w:hAnsiTheme="minorBidi" w:cstheme="minorBidi"/>
          <w:snapToGrid w:val="0"/>
          <w:sz w:val="22"/>
          <w:szCs w:val="22"/>
          <w:lang w:val="en-GB" w:eastAsia="en-US"/>
        </w:rPr>
        <w:t xml:space="preserve"> </w:t>
      </w:r>
      <w:r w:rsidR="00FB27FC" w:rsidRPr="005A26DE">
        <w:rPr>
          <w:rFonts w:asciiTheme="minorBidi" w:hAnsiTheme="minorBidi" w:cstheme="minorBidi"/>
          <w:snapToGrid w:val="0"/>
          <w:sz w:val="22"/>
          <w:szCs w:val="22"/>
          <w:lang w:val="en-GB" w:eastAsia="en-US"/>
        </w:rPr>
        <w:t xml:space="preserve">The </w:t>
      </w:r>
      <w:r w:rsidR="00C15579" w:rsidRPr="008947AF">
        <w:rPr>
          <w:rFonts w:asciiTheme="minorBidi" w:hAnsiTheme="minorBidi" w:cstheme="minorBidi"/>
          <w:snapToGrid w:val="0"/>
          <w:sz w:val="22"/>
          <w:szCs w:val="22"/>
          <w:lang w:val="en-GB" w:eastAsia="en-US"/>
        </w:rPr>
        <w:t xml:space="preserve">research </w:t>
      </w:r>
      <w:r w:rsidR="00FB27FC" w:rsidRPr="00A446AC">
        <w:rPr>
          <w:rFonts w:asciiTheme="minorBidi" w:hAnsiTheme="minorBidi" w:cstheme="minorBidi"/>
          <w:snapToGrid w:val="0"/>
          <w:sz w:val="22"/>
          <w:szCs w:val="22"/>
          <w:lang w:val="en-GB" w:eastAsia="en-US"/>
        </w:rPr>
        <w:t>team set up by the Secretariat</w:t>
      </w:r>
      <w:r w:rsidR="00FB27FC">
        <w:rPr>
          <w:rStyle w:val="Appelnotedebasdep"/>
          <w:rFonts w:asciiTheme="minorBidi" w:hAnsiTheme="minorBidi" w:cstheme="minorBidi"/>
          <w:snapToGrid w:val="0"/>
          <w:sz w:val="22"/>
          <w:szCs w:val="22"/>
          <w:lang w:val="en-GB" w:eastAsia="en-US"/>
        </w:rPr>
        <w:footnoteReference w:id="1"/>
      </w:r>
      <w:r w:rsidR="00FB27FC" w:rsidRPr="005A26DE">
        <w:rPr>
          <w:rFonts w:asciiTheme="minorBidi" w:hAnsiTheme="minorBidi" w:cstheme="minorBidi"/>
          <w:snapToGrid w:val="0"/>
          <w:sz w:val="22"/>
          <w:szCs w:val="22"/>
          <w:lang w:val="en-GB" w:eastAsia="en-US"/>
        </w:rPr>
        <w:t xml:space="preserve"> which prepared the </w:t>
      </w:r>
      <w:r w:rsidR="003C784D" w:rsidRPr="008947AF">
        <w:rPr>
          <w:rFonts w:asciiTheme="minorBidi" w:hAnsiTheme="minorBidi" w:cstheme="minorBidi"/>
          <w:snapToGrid w:val="0"/>
          <w:sz w:val="22"/>
          <w:szCs w:val="22"/>
          <w:lang w:val="en-GB" w:eastAsia="en-US"/>
        </w:rPr>
        <w:t>‘</w:t>
      </w:r>
      <w:r w:rsidR="00FB27FC" w:rsidRPr="00A446AC">
        <w:rPr>
          <w:rFonts w:asciiTheme="minorBidi" w:hAnsiTheme="minorBidi" w:cstheme="minorBidi"/>
          <w:snapToGrid w:val="0"/>
          <w:sz w:val="22"/>
          <w:szCs w:val="22"/>
          <w:lang w:val="en-GB" w:eastAsia="en-US"/>
        </w:rPr>
        <w:t>analytical</w:t>
      </w:r>
      <w:r w:rsidR="00D207DE" w:rsidRPr="002A7FB5">
        <w:rPr>
          <w:rFonts w:asciiTheme="minorBidi" w:hAnsiTheme="minorBidi" w:cstheme="minorBidi"/>
          <w:snapToGrid w:val="0"/>
          <w:sz w:val="22"/>
          <w:szCs w:val="22"/>
          <w:lang w:val="en-GB" w:eastAsia="en-US"/>
        </w:rPr>
        <w:t xml:space="preserve"> overview</w:t>
      </w:r>
      <w:r w:rsidR="00157BDE">
        <w:rPr>
          <w:rFonts w:asciiTheme="minorBidi" w:hAnsiTheme="minorBidi" w:cstheme="minorBidi"/>
          <w:snapToGrid w:val="0"/>
          <w:sz w:val="22"/>
          <w:szCs w:val="22"/>
          <w:lang w:val="en-GB" w:eastAsia="en-US"/>
        </w:rPr>
        <w:t>’</w:t>
      </w:r>
      <w:r w:rsidR="00FB27FC" w:rsidRPr="002A7FB5">
        <w:rPr>
          <w:rFonts w:asciiTheme="minorBidi" w:hAnsiTheme="minorBidi" w:cstheme="minorBidi"/>
          <w:snapToGrid w:val="0"/>
          <w:sz w:val="22"/>
          <w:szCs w:val="22"/>
          <w:lang w:val="en-GB" w:eastAsia="en-US"/>
        </w:rPr>
        <w:t xml:space="preserve"> continued its work</w:t>
      </w:r>
      <w:r w:rsidRPr="002A7FB5">
        <w:rPr>
          <w:rFonts w:asciiTheme="minorBidi" w:hAnsiTheme="minorBidi" w:cstheme="minorBidi"/>
          <w:snapToGrid w:val="0"/>
          <w:sz w:val="22"/>
          <w:szCs w:val="22"/>
          <w:lang w:val="en-GB" w:eastAsia="en-US"/>
        </w:rPr>
        <w:t xml:space="preserve"> after the sixteenth session of the Committee in 2022 to </w:t>
      </w:r>
      <w:r w:rsidR="0015209C" w:rsidRPr="002A7FB5">
        <w:rPr>
          <w:rFonts w:asciiTheme="minorBidi" w:hAnsiTheme="minorBidi" w:cstheme="minorBidi"/>
          <w:snapToGrid w:val="0"/>
          <w:sz w:val="22"/>
          <w:szCs w:val="22"/>
          <w:lang w:val="en-GB" w:eastAsia="en-US"/>
        </w:rPr>
        <w:t>draft</w:t>
      </w:r>
      <w:r w:rsidRPr="002A7FB5">
        <w:rPr>
          <w:rFonts w:asciiTheme="minorBidi" w:hAnsiTheme="minorBidi" w:cstheme="minorBidi"/>
          <w:snapToGrid w:val="0"/>
          <w:sz w:val="22"/>
          <w:szCs w:val="22"/>
          <w:lang w:val="en-GB" w:eastAsia="en-US"/>
        </w:rPr>
        <w:t xml:space="preserve"> </w:t>
      </w:r>
      <w:r w:rsidR="007E4C75" w:rsidRPr="002A7FB5">
        <w:rPr>
          <w:rFonts w:asciiTheme="minorBidi" w:hAnsiTheme="minorBidi" w:cstheme="minorBidi"/>
          <w:snapToGrid w:val="0"/>
          <w:sz w:val="22"/>
          <w:szCs w:val="22"/>
          <w:lang w:val="en-GB" w:eastAsia="en-US"/>
        </w:rPr>
        <w:t>the</w:t>
      </w:r>
      <w:r w:rsidRPr="002A7FB5">
        <w:rPr>
          <w:rFonts w:asciiTheme="minorBidi" w:hAnsiTheme="minorBidi" w:cstheme="minorBidi"/>
          <w:snapToGrid w:val="0"/>
          <w:sz w:val="22"/>
          <w:szCs w:val="22"/>
          <w:lang w:val="en-GB" w:eastAsia="en-US"/>
        </w:rPr>
        <w:t xml:space="preserve"> </w:t>
      </w:r>
      <w:r w:rsidR="0015209C" w:rsidRPr="002A7FB5">
        <w:rPr>
          <w:rFonts w:asciiTheme="minorBidi" w:hAnsiTheme="minorBidi" w:cstheme="minorBidi"/>
          <w:snapToGrid w:val="0"/>
          <w:sz w:val="22"/>
          <w:szCs w:val="22"/>
          <w:lang w:val="en-GB" w:eastAsia="en-US"/>
        </w:rPr>
        <w:t>‘</w:t>
      </w:r>
      <w:r w:rsidRPr="002A7FB5">
        <w:rPr>
          <w:rFonts w:asciiTheme="minorBidi" w:hAnsiTheme="minorBidi" w:cstheme="minorBidi"/>
          <w:snapToGrid w:val="0"/>
          <w:sz w:val="22"/>
          <w:szCs w:val="22"/>
          <w:lang w:val="en-GB" w:eastAsia="en-US"/>
        </w:rPr>
        <w:t>a</w:t>
      </w:r>
      <w:r w:rsidR="000A43F6" w:rsidRPr="002A7FB5">
        <w:rPr>
          <w:rFonts w:asciiTheme="minorBidi" w:hAnsiTheme="minorBidi" w:cstheme="minorBidi"/>
          <w:snapToGrid w:val="0"/>
          <w:sz w:val="22"/>
          <w:szCs w:val="22"/>
          <w:lang w:val="en-GB" w:eastAsia="en-US"/>
        </w:rPr>
        <w:t>nalytical report</w:t>
      </w:r>
      <w:r w:rsidR="007E4C75" w:rsidRPr="002A7FB5">
        <w:rPr>
          <w:rFonts w:asciiTheme="minorBidi" w:hAnsiTheme="minorBidi" w:cstheme="minorBidi"/>
          <w:snapToGrid w:val="0"/>
          <w:sz w:val="22"/>
          <w:szCs w:val="22"/>
          <w:lang w:val="en-GB" w:eastAsia="en-US"/>
        </w:rPr>
        <w:t xml:space="preserve"> o</w:t>
      </w:r>
      <w:r w:rsidR="000A43F6" w:rsidRPr="002A7FB5">
        <w:rPr>
          <w:rFonts w:asciiTheme="minorBidi" w:hAnsiTheme="minorBidi" w:cstheme="minorBidi"/>
          <w:snapToGrid w:val="0"/>
          <w:sz w:val="22"/>
          <w:szCs w:val="22"/>
          <w:lang w:val="en-GB" w:eastAsia="en-US"/>
        </w:rPr>
        <w:t xml:space="preserve">n </w:t>
      </w:r>
      <w:r w:rsidR="007E4C75" w:rsidRPr="002A7FB5">
        <w:rPr>
          <w:rFonts w:asciiTheme="minorBidi" w:hAnsiTheme="minorBidi" w:cstheme="minorBidi"/>
          <w:snapToGrid w:val="0"/>
          <w:sz w:val="22"/>
          <w:szCs w:val="22"/>
          <w:lang w:val="en-GB" w:eastAsia="en-US"/>
        </w:rPr>
        <w:t>the first cycle of periodic report</w:t>
      </w:r>
      <w:r w:rsidR="007555D6" w:rsidRPr="002A7FB5">
        <w:rPr>
          <w:rFonts w:asciiTheme="minorBidi" w:hAnsiTheme="minorBidi" w:cstheme="minorBidi"/>
          <w:snapToGrid w:val="0"/>
          <w:sz w:val="22"/>
          <w:szCs w:val="22"/>
          <w:lang w:val="en-GB" w:eastAsia="en-US"/>
        </w:rPr>
        <w:t>ing</w:t>
      </w:r>
      <w:r w:rsidR="007E4C75" w:rsidRPr="002A7FB5">
        <w:rPr>
          <w:rFonts w:asciiTheme="minorBidi" w:hAnsiTheme="minorBidi" w:cstheme="minorBidi"/>
          <w:snapToGrid w:val="0"/>
          <w:sz w:val="22"/>
          <w:szCs w:val="22"/>
          <w:lang w:val="en-GB" w:eastAsia="en-US"/>
        </w:rPr>
        <w:t xml:space="preserve"> under the 2003 Convention by States Parties in Latin America and the Caribbean</w:t>
      </w:r>
      <w:r w:rsidRPr="002A7FB5">
        <w:rPr>
          <w:rFonts w:asciiTheme="minorBidi" w:hAnsiTheme="minorBidi" w:cstheme="minorBidi"/>
          <w:snapToGrid w:val="0"/>
          <w:sz w:val="22"/>
          <w:szCs w:val="22"/>
          <w:lang w:val="en-GB" w:eastAsia="en-US"/>
        </w:rPr>
        <w:t>’</w:t>
      </w:r>
      <w:r w:rsidR="007E4C75" w:rsidRPr="002A7FB5">
        <w:rPr>
          <w:rFonts w:asciiTheme="minorBidi" w:hAnsiTheme="minorBidi" w:cstheme="minorBidi"/>
          <w:snapToGrid w:val="0"/>
          <w:sz w:val="22"/>
          <w:szCs w:val="22"/>
          <w:lang w:val="en-GB" w:eastAsia="en-US"/>
        </w:rPr>
        <w:t xml:space="preserve">, presented at </w:t>
      </w:r>
      <w:r w:rsidR="00D9117A" w:rsidRPr="002A7FB5">
        <w:rPr>
          <w:rFonts w:asciiTheme="minorBidi" w:hAnsiTheme="minorBidi" w:cstheme="minorBidi"/>
          <w:snapToGrid w:val="0"/>
          <w:sz w:val="22"/>
          <w:szCs w:val="22"/>
          <w:lang w:val="en-GB" w:eastAsia="en-US"/>
        </w:rPr>
        <w:t>the present</w:t>
      </w:r>
      <w:r w:rsidR="00D120A3" w:rsidRPr="002A7FB5">
        <w:rPr>
          <w:rFonts w:asciiTheme="minorBidi" w:hAnsiTheme="minorBidi" w:cstheme="minorBidi"/>
          <w:snapToGrid w:val="0"/>
          <w:sz w:val="22"/>
          <w:szCs w:val="22"/>
          <w:lang w:val="en-GB" w:eastAsia="en-US"/>
        </w:rPr>
        <w:t xml:space="preserve"> </w:t>
      </w:r>
      <w:r w:rsidR="007E4C75" w:rsidRPr="002A7FB5">
        <w:rPr>
          <w:rFonts w:asciiTheme="minorBidi" w:hAnsiTheme="minorBidi" w:cstheme="minorBidi"/>
          <w:snapToGrid w:val="0"/>
          <w:sz w:val="22"/>
          <w:szCs w:val="22"/>
          <w:lang w:val="en-GB" w:eastAsia="en-US"/>
        </w:rPr>
        <w:t>session of the Committee (</w:t>
      </w:r>
      <w:r w:rsidR="00D30758">
        <w:rPr>
          <w:rFonts w:asciiTheme="minorBidi" w:hAnsiTheme="minorBidi" w:cstheme="minorBidi"/>
          <w:snapToGrid w:val="0"/>
          <w:sz w:val="22"/>
          <w:szCs w:val="22"/>
          <w:lang w:val="en-GB" w:eastAsia="en-US"/>
        </w:rPr>
        <w:t>d</w:t>
      </w:r>
      <w:r w:rsidR="00157BDE">
        <w:rPr>
          <w:rFonts w:asciiTheme="minorBidi" w:hAnsiTheme="minorBidi" w:cstheme="minorBidi"/>
          <w:snapToGrid w:val="0"/>
          <w:sz w:val="22"/>
          <w:szCs w:val="22"/>
          <w:lang w:val="en-GB" w:eastAsia="en-US"/>
        </w:rPr>
        <w:t>ocument </w:t>
      </w:r>
      <w:hyperlink r:id="rId16" w:history="1">
        <w:r w:rsidR="00003813" w:rsidRPr="00544EA6">
          <w:rPr>
            <w:rStyle w:val="Lienhypertexte"/>
            <w:rFonts w:asciiTheme="minorBidi" w:hAnsiTheme="minorBidi" w:cstheme="minorBidi"/>
            <w:sz w:val="22"/>
            <w:szCs w:val="22"/>
            <w:lang w:val="en-US"/>
          </w:rPr>
          <w:t>LHE/22/17</w:t>
        </w:r>
        <w:r w:rsidR="00361E13" w:rsidRPr="00544EA6">
          <w:rPr>
            <w:rStyle w:val="Lienhypertexte"/>
            <w:rFonts w:asciiTheme="minorBidi" w:hAnsiTheme="minorBidi" w:cstheme="minorBidi"/>
            <w:sz w:val="22"/>
            <w:szCs w:val="22"/>
            <w:lang w:val="en-US"/>
          </w:rPr>
          <w:t>.</w:t>
        </w:r>
        <w:r w:rsidR="00003813" w:rsidRPr="00544EA6">
          <w:rPr>
            <w:rStyle w:val="Lienhypertexte"/>
            <w:rFonts w:asciiTheme="minorBidi" w:hAnsiTheme="minorBidi" w:cstheme="minorBidi"/>
            <w:sz w:val="22"/>
            <w:szCs w:val="22"/>
            <w:lang w:val="en-US"/>
          </w:rPr>
          <w:t>COM/INF.6.c</w:t>
        </w:r>
      </w:hyperlink>
      <w:r w:rsidR="00003813" w:rsidRPr="005A26DE">
        <w:rPr>
          <w:rFonts w:asciiTheme="minorBidi" w:hAnsiTheme="minorBidi" w:cstheme="minorBidi"/>
          <w:snapToGrid w:val="0"/>
          <w:sz w:val="22"/>
          <w:szCs w:val="22"/>
          <w:lang w:val="en-GB" w:eastAsia="en-US"/>
        </w:rPr>
        <w:t>)</w:t>
      </w:r>
      <w:r w:rsidR="00AF4DEC" w:rsidRPr="008947AF">
        <w:rPr>
          <w:rFonts w:asciiTheme="minorBidi" w:hAnsiTheme="minorBidi" w:cstheme="minorBidi"/>
          <w:snapToGrid w:val="0"/>
          <w:sz w:val="22"/>
          <w:szCs w:val="22"/>
          <w:lang w:val="en-GB" w:eastAsia="en-US"/>
        </w:rPr>
        <w:t>.</w:t>
      </w:r>
      <w:r w:rsidR="00041BE0" w:rsidRPr="00A446AC">
        <w:rPr>
          <w:rFonts w:asciiTheme="minorBidi" w:hAnsiTheme="minorBidi" w:cstheme="minorBidi"/>
          <w:snapToGrid w:val="0"/>
          <w:sz w:val="22"/>
          <w:szCs w:val="22"/>
          <w:lang w:val="en-GB" w:eastAsia="en-US"/>
        </w:rPr>
        <w:t xml:space="preserve"> </w:t>
      </w:r>
      <w:r w:rsidR="00D9117A" w:rsidRPr="00A446AC">
        <w:rPr>
          <w:rFonts w:asciiTheme="minorBidi" w:hAnsiTheme="minorBidi" w:cstheme="minorBidi"/>
          <w:snapToGrid w:val="0"/>
          <w:sz w:val="22"/>
          <w:szCs w:val="22"/>
          <w:lang w:val="en-GB" w:eastAsia="en-US"/>
        </w:rPr>
        <w:t>This</w:t>
      </w:r>
      <w:r w:rsidR="00041BE0" w:rsidRPr="00B93247">
        <w:rPr>
          <w:rFonts w:asciiTheme="minorBidi" w:hAnsiTheme="minorBidi" w:cstheme="minorBidi"/>
          <w:snapToGrid w:val="0"/>
          <w:sz w:val="22"/>
          <w:szCs w:val="22"/>
          <w:lang w:val="en-GB" w:eastAsia="en-US"/>
        </w:rPr>
        <w:t xml:space="preserve"> report follows the </w:t>
      </w:r>
      <w:r w:rsidR="0031145A" w:rsidRPr="002A7FB5">
        <w:rPr>
          <w:rFonts w:asciiTheme="minorBidi" w:hAnsiTheme="minorBidi" w:cstheme="minorBidi"/>
          <w:snapToGrid w:val="0"/>
          <w:sz w:val="22"/>
          <w:szCs w:val="22"/>
          <w:lang w:val="en-GB" w:eastAsia="en-US"/>
        </w:rPr>
        <w:t>main</w:t>
      </w:r>
      <w:r w:rsidR="002A4251" w:rsidRPr="002A7FB5">
        <w:rPr>
          <w:rFonts w:asciiTheme="minorBidi" w:hAnsiTheme="minorBidi" w:cstheme="minorBidi"/>
          <w:snapToGrid w:val="0"/>
          <w:sz w:val="22"/>
          <w:szCs w:val="22"/>
          <w:lang w:val="en-GB" w:eastAsia="en-US"/>
        </w:rPr>
        <w:t xml:space="preserve"> </w:t>
      </w:r>
      <w:r w:rsidR="00041BE0" w:rsidRPr="002A7FB5">
        <w:rPr>
          <w:rFonts w:asciiTheme="minorBidi" w:hAnsiTheme="minorBidi" w:cstheme="minorBidi"/>
          <w:snapToGrid w:val="0"/>
          <w:sz w:val="22"/>
          <w:szCs w:val="22"/>
          <w:lang w:val="en-GB" w:eastAsia="en-US"/>
        </w:rPr>
        <w:t>structure of the analytical overview, as it</w:t>
      </w:r>
      <w:r w:rsidR="002A4251" w:rsidRPr="002A7FB5">
        <w:rPr>
          <w:rFonts w:asciiTheme="minorBidi" w:hAnsiTheme="minorBidi" w:cstheme="minorBidi"/>
          <w:snapToGrid w:val="0"/>
          <w:sz w:val="22"/>
          <w:szCs w:val="22"/>
          <w:lang w:val="en-GB" w:eastAsia="en-US"/>
        </w:rPr>
        <w:t xml:space="preserve"> </w:t>
      </w:r>
      <w:r w:rsidR="00F81117" w:rsidRPr="002A7FB5">
        <w:rPr>
          <w:rFonts w:asciiTheme="minorBidi" w:hAnsiTheme="minorBidi" w:cstheme="minorBidi"/>
          <w:snapToGrid w:val="0"/>
          <w:sz w:val="22"/>
          <w:szCs w:val="22"/>
          <w:lang w:val="en-GB" w:eastAsia="en-US"/>
        </w:rPr>
        <w:t xml:space="preserve">is developed </w:t>
      </w:r>
      <w:r w:rsidR="002A4251" w:rsidRPr="002A7FB5">
        <w:rPr>
          <w:rFonts w:asciiTheme="minorBidi" w:hAnsiTheme="minorBidi" w:cstheme="minorBidi"/>
          <w:snapToGrid w:val="0"/>
          <w:sz w:val="22"/>
          <w:szCs w:val="22"/>
          <w:lang w:val="en-GB" w:eastAsia="en-US"/>
        </w:rPr>
        <w:t xml:space="preserve">around the </w:t>
      </w:r>
      <w:r w:rsidR="00F31482" w:rsidRPr="002A7FB5">
        <w:rPr>
          <w:rFonts w:asciiTheme="minorBidi" w:hAnsiTheme="minorBidi" w:cstheme="minorBidi"/>
          <w:snapToGrid w:val="0"/>
          <w:sz w:val="22"/>
          <w:szCs w:val="22"/>
          <w:lang w:val="en-GB" w:eastAsia="en-US"/>
        </w:rPr>
        <w:t xml:space="preserve">eight </w:t>
      </w:r>
      <w:r w:rsidR="00083FFA" w:rsidRPr="002A7FB5">
        <w:rPr>
          <w:rFonts w:asciiTheme="minorBidi" w:hAnsiTheme="minorBidi" w:cstheme="minorBidi"/>
          <w:snapToGrid w:val="0"/>
          <w:sz w:val="22"/>
          <w:szCs w:val="22"/>
          <w:lang w:val="en-GB" w:eastAsia="en-US"/>
        </w:rPr>
        <w:t>t</w:t>
      </w:r>
      <w:r w:rsidR="002A4251" w:rsidRPr="002A7FB5">
        <w:rPr>
          <w:rFonts w:asciiTheme="minorBidi" w:hAnsiTheme="minorBidi" w:cstheme="minorBidi"/>
          <w:snapToGrid w:val="0"/>
          <w:sz w:val="22"/>
          <w:szCs w:val="22"/>
          <w:lang w:val="en-GB" w:eastAsia="en-US"/>
        </w:rPr>
        <w:t xml:space="preserve">hematic areas </w:t>
      </w:r>
      <w:r w:rsidR="00083FFA" w:rsidRPr="002A7FB5">
        <w:rPr>
          <w:rFonts w:asciiTheme="minorBidi" w:hAnsiTheme="minorBidi" w:cstheme="minorBidi"/>
          <w:snapToGrid w:val="0"/>
          <w:sz w:val="22"/>
          <w:szCs w:val="22"/>
          <w:lang w:val="en-GB" w:eastAsia="en-US"/>
        </w:rPr>
        <w:t xml:space="preserve">of the </w:t>
      </w:r>
      <w:hyperlink r:id="rId17" w:history="1">
        <w:r w:rsidR="00083FFA" w:rsidRPr="005A26DE">
          <w:rPr>
            <w:rStyle w:val="Lienhypertexte"/>
            <w:rFonts w:asciiTheme="minorBidi" w:hAnsiTheme="minorBidi" w:cstheme="minorBidi"/>
            <w:snapToGrid w:val="0"/>
            <w:sz w:val="22"/>
            <w:szCs w:val="22"/>
            <w:lang w:val="en-GB" w:eastAsia="en-US"/>
          </w:rPr>
          <w:t>Overall Results Framework</w:t>
        </w:r>
      </w:hyperlink>
      <w:r w:rsidR="00083FFA" w:rsidRPr="005A26DE">
        <w:rPr>
          <w:rStyle w:val="Lienhypertexte"/>
          <w:rFonts w:asciiTheme="minorBidi" w:hAnsiTheme="minorBidi" w:cstheme="minorBidi"/>
          <w:snapToGrid w:val="0"/>
          <w:sz w:val="22"/>
          <w:szCs w:val="22"/>
          <w:u w:val="none"/>
          <w:lang w:val="en-GB" w:eastAsia="en-US"/>
        </w:rPr>
        <w:t xml:space="preserve"> </w:t>
      </w:r>
      <w:r w:rsidR="00083FFA" w:rsidRPr="00A446AC">
        <w:rPr>
          <w:rStyle w:val="Lienhypertexte"/>
          <w:rFonts w:asciiTheme="minorBidi" w:hAnsiTheme="minorBidi" w:cstheme="minorBidi"/>
          <w:snapToGrid w:val="0"/>
          <w:color w:val="auto"/>
          <w:sz w:val="22"/>
          <w:szCs w:val="22"/>
          <w:u w:val="none"/>
          <w:lang w:val="en-GB" w:eastAsia="en-US"/>
        </w:rPr>
        <w:t>of the 2003 Convention</w:t>
      </w:r>
      <w:r w:rsidR="00D9117A" w:rsidRPr="00B93247">
        <w:rPr>
          <w:rStyle w:val="Lienhypertexte"/>
          <w:rFonts w:asciiTheme="minorBidi" w:hAnsiTheme="minorBidi" w:cstheme="minorBidi"/>
          <w:snapToGrid w:val="0"/>
          <w:color w:val="auto"/>
          <w:sz w:val="22"/>
          <w:szCs w:val="22"/>
          <w:u w:val="none"/>
          <w:lang w:val="en-GB" w:eastAsia="en-US"/>
        </w:rPr>
        <w:t>.</w:t>
      </w:r>
    </w:p>
    <w:p w14:paraId="7A7ADD06" w14:textId="71C78E8E" w:rsidR="00361E13" w:rsidRDefault="006929AC" w:rsidP="00396894">
      <w:pPr>
        <w:pStyle w:val="Sansinterligne2"/>
        <w:numPr>
          <w:ilvl w:val="0"/>
          <w:numId w:val="23"/>
        </w:numPr>
        <w:spacing w:after="120"/>
        <w:ind w:left="567" w:hanging="567"/>
        <w:jc w:val="both"/>
        <w:rPr>
          <w:rFonts w:asciiTheme="minorBidi" w:hAnsiTheme="minorBidi" w:cstheme="minorBidi"/>
          <w:snapToGrid w:val="0"/>
          <w:sz w:val="22"/>
          <w:szCs w:val="22"/>
          <w:lang w:val="en-GB" w:eastAsia="en-US"/>
        </w:rPr>
      </w:pPr>
      <w:r w:rsidRPr="00143D6A">
        <w:rPr>
          <w:rFonts w:asciiTheme="minorBidi" w:hAnsiTheme="minorBidi" w:cstheme="minorBidi"/>
          <w:snapToGrid w:val="0"/>
          <w:sz w:val="22"/>
          <w:szCs w:val="22"/>
          <w:lang w:val="en-GB" w:eastAsia="en-US"/>
        </w:rPr>
        <w:lastRenderedPageBreak/>
        <w:t xml:space="preserve">In addition to detailed information on the extent to which reporting </w:t>
      </w:r>
      <w:r w:rsidR="00361E13">
        <w:rPr>
          <w:rFonts w:asciiTheme="minorBidi" w:hAnsiTheme="minorBidi" w:cstheme="minorBidi"/>
          <w:snapToGrid w:val="0"/>
          <w:sz w:val="22"/>
          <w:szCs w:val="22"/>
          <w:lang w:val="en-GB" w:eastAsia="en-US"/>
        </w:rPr>
        <w:t>States Parties</w:t>
      </w:r>
      <w:r w:rsidRPr="00143D6A">
        <w:rPr>
          <w:rFonts w:asciiTheme="minorBidi" w:hAnsiTheme="minorBidi" w:cstheme="minorBidi"/>
          <w:snapToGrid w:val="0"/>
          <w:sz w:val="22"/>
          <w:szCs w:val="22"/>
          <w:lang w:val="en-GB" w:eastAsia="en-US"/>
        </w:rPr>
        <w:t xml:space="preserve"> have met </w:t>
      </w:r>
      <w:r w:rsidR="00F81117">
        <w:rPr>
          <w:rFonts w:asciiTheme="minorBidi" w:hAnsiTheme="minorBidi" w:cstheme="minorBidi"/>
          <w:snapToGrid w:val="0"/>
          <w:sz w:val="22"/>
          <w:szCs w:val="22"/>
          <w:lang w:val="en-GB" w:eastAsia="en-US"/>
        </w:rPr>
        <w:t xml:space="preserve">the </w:t>
      </w:r>
      <w:r w:rsidRPr="00143D6A">
        <w:rPr>
          <w:rFonts w:asciiTheme="minorBidi" w:hAnsiTheme="minorBidi" w:cstheme="minorBidi"/>
          <w:snapToGrid w:val="0"/>
          <w:sz w:val="22"/>
          <w:szCs w:val="22"/>
          <w:lang w:val="en-GB" w:eastAsia="en-US"/>
        </w:rPr>
        <w:t xml:space="preserve">core indicators </w:t>
      </w:r>
      <w:r w:rsidR="00361E13">
        <w:rPr>
          <w:rFonts w:asciiTheme="minorBidi" w:hAnsiTheme="minorBidi" w:cstheme="minorBidi"/>
          <w:snapToGrid w:val="0"/>
          <w:sz w:val="22"/>
          <w:szCs w:val="22"/>
          <w:lang w:val="en-GB" w:eastAsia="en-US"/>
        </w:rPr>
        <w:t>as well as</w:t>
      </w:r>
      <w:r w:rsidR="009B0670" w:rsidRPr="00143D6A">
        <w:rPr>
          <w:rFonts w:asciiTheme="minorBidi" w:hAnsiTheme="minorBidi" w:cstheme="minorBidi"/>
          <w:snapToGrid w:val="0"/>
          <w:sz w:val="22"/>
          <w:szCs w:val="22"/>
          <w:lang w:val="en-GB" w:eastAsia="en-US"/>
        </w:rPr>
        <w:t xml:space="preserve"> </w:t>
      </w:r>
      <w:r w:rsidR="00367C72" w:rsidRPr="00143D6A">
        <w:rPr>
          <w:rFonts w:asciiTheme="minorBidi" w:hAnsiTheme="minorBidi" w:cstheme="minorBidi"/>
          <w:snapToGrid w:val="0"/>
          <w:sz w:val="22"/>
          <w:szCs w:val="22"/>
          <w:lang w:val="en-GB" w:eastAsia="en-US"/>
        </w:rPr>
        <w:t xml:space="preserve">on </w:t>
      </w:r>
      <w:r w:rsidR="00F81117">
        <w:rPr>
          <w:rFonts w:asciiTheme="minorBidi" w:hAnsiTheme="minorBidi" w:cstheme="minorBidi"/>
          <w:snapToGrid w:val="0"/>
          <w:sz w:val="22"/>
          <w:szCs w:val="22"/>
          <w:lang w:val="en-GB" w:eastAsia="en-US"/>
        </w:rPr>
        <w:t xml:space="preserve">the </w:t>
      </w:r>
      <w:r w:rsidR="007D27E3" w:rsidRPr="00143D6A">
        <w:rPr>
          <w:rFonts w:asciiTheme="minorBidi" w:hAnsiTheme="minorBidi" w:cstheme="minorBidi"/>
          <w:snapToGrid w:val="0"/>
          <w:sz w:val="22"/>
          <w:szCs w:val="22"/>
          <w:lang w:val="en-GB" w:eastAsia="en-US"/>
        </w:rPr>
        <w:t>targets</w:t>
      </w:r>
      <w:r w:rsidR="00367C72" w:rsidRPr="00143D6A">
        <w:rPr>
          <w:rFonts w:asciiTheme="minorBidi" w:hAnsiTheme="minorBidi" w:cstheme="minorBidi"/>
          <w:snapToGrid w:val="0"/>
          <w:sz w:val="22"/>
          <w:szCs w:val="22"/>
          <w:lang w:val="en-GB" w:eastAsia="en-US"/>
        </w:rPr>
        <w:t xml:space="preserve"> set</w:t>
      </w:r>
      <w:r w:rsidR="007D27E3" w:rsidRPr="00143D6A">
        <w:rPr>
          <w:rFonts w:asciiTheme="minorBidi" w:hAnsiTheme="minorBidi" w:cstheme="minorBidi"/>
          <w:snapToGrid w:val="0"/>
          <w:sz w:val="22"/>
          <w:szCs w:val="22"/>
          <w:lang w:val="en-GB" w:eastAsia="en-US"/>
        </w:rPr>
        <w:t xml:space="preserve"> for the next round of reports,</w:t>
      </w:r>
      <w:r w:rsidRPr="00143D6A">
        <w:rPr>
          <w:rFonts w:asciiTheme="minorBidi" w:hAnsiTheme="minorBidi" w:cstheme="minorBidi"/>
          <w:snapToGrid w:val="0"/>
          <w:sz w:val="22"/>
          <w:szCs w:val="22"/>
          <w:lang w:val="en-GB" w:eastAsia="en-US"/>
        </w:rPr>
        <w:t xml:space="preserve"> </w:t>
      </w:r>
      <w:r w:rsidR="007D27E3" w:rsidRPr="00143D6A">
        <w:rPr>
          <w:rFonts w:asciiTheme="minorBidi" w:hAnsiTheme="minorBidi" w:cstheme="minorBidi"/>
          <w:snapToGrid w:val="0"/>
          <w:sz w:val="22"/>
          <w:szCs w:val="22"/>
          <w:lang w:val="en-GB" w:eastAsia="en-US"/>
        </w:rPr>
        <w:t>the analysis</w:t>
      </w:r>
      <w:r w:rsidRPr="00143D6A">
        <w:rPr>
          <w:rFonts w:asciiTheme="minorBidi" w:hAnsiTheme="minorBidi" w:cstheme="minorBidi"/>
          <w:snapToGrid w:val="0"/>
          <w:sz w:val="22"/>
          <w:szCs w:val="22"/>
          <w:lang w:val="en-GB" w:eastAsia="en-US"/>
        </w:rPr>
        <w:t xml:space="preserve"> </w:t>
      </w:r>
      <w:r w:rsidR="00361E13">
        <w:rPr>
          <w:rFonts w:asciiTheme="minorBidi" w:hAnsiTheme="minorBidi" w:cstheme="minorBidi"/>
          <w:snapToGrid w:val="0"/>
          <w:sz w:val="22"/>
          <w:szCs w:val="22"/>
          <w:lang w:val="en-GB" w:eastAsia="en-US"/>
        </w:rPr>
        <w:t>highlight</w:t>
      </w:r>
      <w:r w:rsidR="00C676E3">
        <w:rPr>
          <w:rFonts w:asciiTheme="minorBidi" w:hAnsiTheme="minorBidi" w:cstheme="minorBidi"/>
          <w:snapToGrid w:val="0"/>
          <w:sz w:val="22"/>
          <w:szCs w:val="22"/>
          <w:lang w:val="en-GB" w:eastAsia="en-US"/>
        </w:rPr>
        <w:t>ed</w:t>
      </w:r>
      <w:r w:rsidR="00361E13">
        <w:rPr>
          <w:rFonts w:asciiTheme="minorBidi" w:hAnsiTheme="minorBidi" w:cstheme="minorBidi"/>
          <w:snapToGrid w:val="0"/>
          <w:sz w:val="22"/>
          <w:szCs w:val="22"/>
          <w:lang w:val="en-GB" w:eastAsia="en-US"/>
        </w:rPr>
        <w:t>, amongst other points:</w:t>
      </w:r>
    </w:p>
    <w:p w14:paraId="3EEFF6C0" w14:textId="72C1C948" w:rsidR="00361E13" w:rsidRDefault="00361E13" w:rsidP="00396894">
      <w:pPr>
        <w:pStyle w:val="Sansinterligne2"/>
        <w:numPr>
          <w:ilvl w:val="0"/>
          <w:numId w:val="34"/>
        </w:numPr>
        <w:spacing w:after="120"/>
        <w:ind w:left="1134" w:hanging="567"/>
        <w:jc w:val="both"/>
        <w:rPr>
          <w:rFonts w:asciiTheme="minorBidi" w:hAnsiTheme="minorBidi" w:cstheme="minorBidi"/>
          <w:snapToGrid w:val="0"/>
          <w:sz w:val="22"/>
          <w:szCs w:val="22"/>
          <w:lang w:val="en-GB" w:eastAsia="en-US"/>
        </w:rPr>
      </w:pPr>
      <w:r>
        <w:rPr>
          <w:rFonts w:asciiTheme="minorBidi" w:hAnsiTheme="minorBidi" w:cstheme="minorBidi"/>
          <w:snapToGrid w:val="0"/>
          <w:sz w:val="22"/>
          <w:szCs w:val="22"/>
          <w:lang w:val="en-GB" w:eastAsia="en-US"/>
        </w:rPr>
        <w:t>C</w:t>
      </w:r>
      <w:r w:rsidR="006929AC" w:rsidRPr="00143D6A">
        <w:rPr>
          <w:rFonts w:asciiTheme="minorBidi" w:hAnsiTheme="minorBidi" w:cstheme="minorBidi"/>
          <w:snapToGrid w:val="0"/>
          <w:sz w:val="22"/>
          <w:szCs w:val="22"/>
          <w:lang w:val="en-GB" w:eastAsia="en-US"/>
        </w:rPr>
        <w:t xml:space="preserve">hallenges </w:t>
      </w:r>
      <w:r w:rsidR="00823263" w:rsidRPr="00143D6A">
        <w:rPr>
          <w:rFonts w:asciiTheme="minorBidi" w:hAnsiTheme="minorBidi" w:cstheme="minorBidi"/>
          <w:snapToGrid w:val="0"/>
          <w:sz w:val="22"/>
          <w:szCs w:val="22"/>
          <w:lang w:val="en-GB" w:eastAsia="en-US"/>
        </w:rPr>
        <w:t xml:space="preserve">encountered by States Parties </w:t>
      </w:r>
      <w:r w:rsidR="006929AC" w:rsidRPr="00143D6A">
        <w:rPr>
          <w:rFonts w:asciiTheme="minorBidi" w:hAnsiTheme="minorBidi" w:cstheme="minorBidi"/>
          <w:snapToGrid w:val="0"/>
          <w:sz w:val="22"/>
          <w:szCs w:val="22"/>
          <w:lang w:val="en-GB" w:eastAsia="en-US"/>
        </w:rPr>
        <w:t xml:space="preserve">and potential ways to enhance intangible cultural heritage safeguarding in </w:t>
      </w:r>
      <w:r w:rsidR="00FF5156" w:rsidRPr="00143D6A">
        <w:rPr>
          <w:rFonts w:asciiTheme="minorBidi" w:hAnsiTheme="minorBidi" w:cstheme="minorBidi"/>
          <w:snapToGrid w:val="0"/>
          <w:sz w:val="22"/>
          <w:szCs w:val="22"/>
          <w:lang w:val="en-GB" w:eastAsia="en-US"/>
        </w:rPr>
        <w:t>their different spheres of action.</w:t>
      </w:r>
    </w:p>
    <w:p w14:paraId="2F86E86F" w14:textId="0F53D68E" w:rsidR="00C676E3" w:rsidRDefault="00C676E3" w:rsidP="00396894">
      <w:pPr>
        <w:pStyle w:val="Sansinterligne2"/>
        <w:numPr>
          <w:ilvl w:val="0"/>
          <w:numId w:val="34"/>
        </w:numPr>
        <w:spacing w:after="120"/>
        <w:ind w:left="1134" w:hanging="567"/>
        <w:jc w:val="both"/>
        <w:rPr>
          <w:rFonts w:asciiTheme="minorBidi" w:hAnsiTheme="minorBidi" w:cstheme="minorBidi"/>
          <w:snapToGrid w:val="0"/>
          <w:sz w:val="22"/>
          <w:szCs w:val="22"/>
          <w:lang w:val="en-GB" w:eastAsia="en-US"/>
        </w:rPr>
      </w:pPr>
      <w:r>
        <w:rPr>
          <w:rFonts w:asciiTheme="minorBidi" w:hAnsiTheme="minorBidi" w:cstheme="minorBidi"/>
          <w:snapToGrid w:val="0"/>
          <w:sz w:val="22"/>
          <w:szCs w:val="22"/>
          <w:lang w:val="en-GB" w:eastAsia="en-US"/>
        </w:rPr>
        <w:t>I</w:t>
      </w:r>
      <w:r w:rsidRPr="00143D6A">
        <w:rPr>
          <w:rFonts w:asciiTheme="minorBidi" w:hAnsiTheme="minorBidi" w:cstheme="minorBidi"/>
          <w:snapToGrid w:val="0"/>
          <w:sz w:val="22"/>
          <w:szCs w:val="22"/>
          <w:lang w:val="en-GB" w:eastAsia="en-US"/>
        </w:rPr>
        <w:t xml:space="preserve">nclusive policymaking </w:t>
      </w:r>
      <w:r>
        <w:rPr>
          <w:rFonts w:asciiTheme="minorBidi" w:hAnsiTheme="minorBidi" w:cstheme="minorBidi"/>
          <w:snapToGrid w:val="0"/>
          <w:sz w:val="22"/>
          <w:szCs w:val="22"/>
          <w:lang w:val="en-GB" w:eastAsia="en-US"/>
        </w:rPr>
        <w:t xml:space="preserve">privileged </w:t>
      </w:r>
      <w:r w:rsidRPr="00143D6A">
        <w:rPr>
          <w:rFonts w:asciiTheme="minorBidi" w:hAnsiTheme="minorBidi" w:cstheme="minorBidi"/>
          <w:snapToGrid w:val="0"/>
          <w:sz w:val="22"/>
          <w:szCs w:val="22"/>
          <w:lang w:val="en-GB" w:eastAsia="en-US"/>
        </w:rPr>
        <w:t xml:space="preserve">in the culture sector, often with a specific focus on </w:t>
      </w:r>
      <w:r w:rsidRPr="00252B95">
        <w:rPr>
          <w:rFonts w:asciiTheme="minorBidi" w:hAnsiTheme="minorBidi" w:cstheme="minorBidi"/>
          <w:snapToGrid w:val="0"/>
          <w:sz w:val="22"/>
          <w:szCs w:val="22"/>
          <w:lang w:val="en-GB" w:eastAsia="en-US"/>
        </w:rPr>
        <w:t xml:space="preserve">cultural </w:t>
      </w:r>
      <w:r>
        <w:rPr>
          <w:rFonts w:asciiTheme="minorBidi" w:hAnsiTheme="minorBidi" w:cstheme="minorBidi"/>
          <w:snapToGrid w:val="0"/>
          <w:sz w:val="22"/>
          <w:szCs w:val="22"/>
          <w:lang w:val="en-GB" w:eastAsia="en-US"/>
        </w:rPr>
        <w:t xml:space="preserve">diversity and on </w:t>
      </w:r>
      <w:r w:rsidRPr="00252B95">
        <w:rPr>
          <w:rFonts w:asciiTheme="minorBidi" w:hAnsiTheme="minorBidi" w:cstheme="minorBidi"/>
          <w:snapToGrid w:val="0"/>
          <w:sz w:val="22"/>
          <w:szCs w:val="22"/>
          <w:lang w:val="en-GB" w:eastAsia="en-US"/>
        </w:rPr>
        <w:t>safeguarding language</w:t>
      </w:r>
      <w:r>
        <w:rPr>
          <w:rFonts w:asciiTheme="minorBidi" w:hAnsiTheme="minorBidi" w:cstheme="minorBidi"/>
          <w:snapToGrid w:val="0"/>
          <w:sz w:val="22"/>
          <w:szCs w:val="22"/>
          <w:lang w:val="en-GB" w:eastAsia="en-US"/>
        </w:rPr>
        <w:t>s</w:t>
      </w:r>
      <w:r w:rsidRPr="00252B95">
        <w:rPr>
          <w:rFonts w:asciiTheme="minorBidi" w:hAnsiTheme="minorBidi" w:cstheme="minorBidi"/>
          <w:snapToGrid w:val="0"/>
          <w:sz w:val="22"/>
          <w:szCs w:val="22"/>
          <w:lang w:val="en-GB" w:eastAsia="en-US"/>
        </w:rPr>
        <w:t xml:space="preserve"> as an expression and vehicle of intangible cultural heritage.</w:t>
      </w:r>
    </w:p>
    <w:p w14:paraId="7C420662" w14:textId="60DFBD79" w:rsidR="00361E13" w:rsidRDefault="00361E13" w:rsidP="00396894">
      <w:pPr>
        <w:pStyle w:val="Sansinterligne2"/>
        <w:numPr>
          <w:ilvl w:val="0"/>
          <w:numId w:val="34"/>
        </w:numPr>
        <w:spacing w:after="120"/>
        <w:ind w:left="1134" w:hanging="567"/>
        <w:jc w:val="both"/>
        <w:rPr>
          <w:rFonts w:asciiTheme="minorBidi" w:hAnsiTheme="minorBidi" w:cstheme="minorBidi"/>
          <w:snapToGrid w:val="0"/>
          <w:sz w:val="22"/>
          <w:szCs w:val="22"/>
          <w:lang w:val="en-GB" w:eastAsia="en-US"/>
        </w:rPr>
      </w:pPr>
      <w:r>
        <w:rPr>
          <w:rFonts w:asciiTheme="minorBidi" w:hAnsiTheme="minorBidi" w:cstheme="minorBidi"/>
          <w:snapToGrid w:val="0"/>
          <w:sz w:val="22"/>
          <w:szCs w:val="22"/>
          <w:lang w:val="en-GB" w:eastAsia="en-US"/>
        </w:rPr>
        <w:t>I</w:t>
      </w:r>
      <w:r w:rsidR="003C24F1" w:rsidRPr="00143D6A">
        <w:rPr>
          <w:rFonts w:asciiTheme="minorBidi" w:hAnsiTheme="minorBidi" w:cstheme="minorBidi"/>
          <w:snapToGrid w:val="0"/>
          <w:sz w:val="22"/>
          <w:szCs w:val="22"/>
          <w:lang w:val="en-GB" w:eastAsia="en-US"/>
        </w:rPr>
        <w:t>mpact of</w:t>
      </w:r>
      <w:r w:rsidR="00CC1C7B" w:rsidRPr="00143D6A">
        <w:rPr>
          <w:rFonts w:asciiTheme="minorBidi" w:hAnsiTheme="minorBidi" w:cstheme="minorBidi"/>
          <w:snapToGrid w:val="0"/>
          <w:sz w:val="22"/>
          <w:szCs w:val="22"/>
          <w:lang w:val="en-GB" w:eastAsia="en-US"/>
        </w:rPr>
        <w:t xml:space="preserve"> </w:t>
      </w:r>
      <w:r w:rsidR="003C24F1" w:rsidRPr="00143D6A">
        <w:rPr>
          <w:rFonts w:asciiTheme="minorBidi" w:hAnsiTheme="minorBidi" w:cstheme="minorBidi"/>
          <w:snapToGrid w:val="0"/>
          <w:sz w:val="22"/>
          <w:szCs w:val="22"/>
          <w:lang w:val="en-GB" w:eastAsia="en-US"/>
        </w:rPr>
        <w:t xml:space="preserve">policies and activities </w:t>
      </w:r>
      <w:r w:rsidR="00CC1C7B" w:rsidRPr="00143D6A">
        <w:rPr>
          <w:rFonts w:asciiTheme="minorBidi" w:hAnsiTheme="minorBidi" w:cstheme="minorBidi"/>
          <w:snapToGrid w:val="0"/>
          <w:sz w:val="22"/>
          <w:szCs w:val="22"/>
          <w:lang w:val="en-GB" w:eastAsia="en-US"/>
        </w:rPr>
        <w:t xml:space="preserve">undertaken </w:t>
      </w:r>
      <w:r w:rsidR="00E53BC6" w:rsidRPr="00143D6A">
        <w:rPr>
          <w:rFonts w:asciiTheme="minorBidi" w:hAnsiTheme="minorBidi" w:cstheme="minorBidi"/>
          <w:snapToGrid w:val="0"/>
          <w:sz w:val="22"/>
          <w:szCs w:val="22"/>
          <w:lang w:val="en-GB" w:eastAsia="en-US"/>
        </w:rPr>
        <w:t xml:space="preserve">under the 2003 Convention </w:t>
      </w:r>
      <w:r w:rsidR="00F81117">
        <w:rPr>
          <w:rFonts w:asciiTheme="minorBidi" w:hAnsiTheme="minorBidi" w:cstheme="minorBidi"/>
          <w:snapToGrid w:val="0"/>
          <w:sz w:val="22"/>
          <w:szCs w:val="22"/>
          <w:lang w:val="en-GB" w:eastAsia="en-US"/>
        </w:rPr>
        <w:t>to achieve</w:t>
      </w:r>
      <w:r>
        <w:rPr>
          <w:rFonts w:asciiTheme="minorBidi" w:hAnsiTheme="minorBidi" w:cstheme="minorBidi"/>
          <w:snapToGrid w:val="0"/>
          <w:sz w:val="22"/>
          <w:szCs w:val="22"/>
          <w:lang w:val="en-GB" w:eastAsia="en-US"/>
        </w:rPr>
        <w:t xml:space="preserve"> </w:t>
      </w:r>
      <w:r w:rsidR="00E53BC6" w:rsidRPr="00143D6A">
        <w:rPr>
          <w:rFonts w:asciiTheme="minorBidi" w:hAnsiTheme="minorBidi" w:cstheme="minorBidi"/>
          <w:snapToGrid w:val="0"/>
          <w:sz w:val="22"/>
          <w:szCs w:val="22"/>
          <w:lang w:val="en-GB" w:eastAsia="en-US"/>
        </w:rPr>
        <w:t>the global Sustainable Development Goals (SDGs)</w:t>
      </w:r>
      <w:r>
        <w:rPr>
          <w:rFonts w:asciiTheme="minorBidi" w:hAnsiTheme="minorBidi" w:cstheme="minorBidi"/>
          <w:snapToGrid w:val="0"/>
          <w:sz w:val="22"/>
          <w:szCs w:val="22"/>
          <w:lang w:val="en-GB" w:eastAsia="en-US"/>
        </w:rPr>
        <w:t xml:space="preserve"> and for sustainable development in general beyond the culture sector</w:t>
      </w:r>
      <w:r w:rsidR="000F301E" w:rsidRPr="00143D6A">
        <w:rPr>
          <w:rFonts w:asciiTheme="minorBidi" w:hAnsiTheme="minorBidi" w:cstheme="minorBidi"/>
          <w:snapToGrid w:val="0"/>
          <w:sz w:val="22"/>
          <w:szCs w:val="22"/>
          <w:lang w:val="en-GB" w:eastAsia="en-US"/>
        </w:rPr>
        <w:t>.</w:t>
      </w:r>
    </w:p>
    <w:p w14:paraId="0A394927" w14:textId="3EF8B795" w:rsidR="00361E13" w:rsidRDefault="003708D3" w:rsidP="00396894">
      <w:pPr>
        <w:pStyle w:val="Sansinterligne2"/>
        <w:numPr>
          <w:ilvl w:val="0"/>
          <w:numId w:val="34"/>
        </w:numPr>
        <w:spacing w:after="120"/>
        <w:ind w:left="1134" w:hanging="567"/>
        <w:jc w:val="both"/>
        <w:rPr>
          <w:rFonts w:asciiTheme="minorBidi" w:hAnsiTheme="minorBidi" w:cstheme="minorBidi"/>
          <w:snapToGrid w:val="0"/>
          <w:sz w:val="22"/>
          <w:szCs w:val="22"/>
          <w:lang w:val="en-GB" w:eastAsia="en-US"/>
        </w:rPr>
      </w:pPr>
      <w:r w:rsidRPr="00143D6A">
        <w:rPr>
          <w:rFonts w:asciiTheme="minorBidi" w:hAnsiTheme="minorBidi" w:cstheme="minorBidi"/>
          <w:snapToGrid w:val="0"/>
          <w:sz w:val="22"/>
          <w:szCs w:val="22"/>
          <w:lang w:val="en-GB" w:eastAsia="en-US"/>
        </w:rPr>
        <w:t xml:space="preserve">Common trends </w:t>
      </w:r>
      <w:r w:rsidR="00F81117">
        <w:rPr>
          <w:rFonts w:asciiTheme="minorBidi" w:hAnsiTheme="minorBidi" w:cstheme="minorBidi"/>
          <w:snapToGrid w:val="0"/>
          <w:sz w:val="22"/>
          <w:szCs w:val="22"/>
          <w:lang w:val="en-GB" w:eastAsia="en-US"/>
        </w:rPr>
        <w:t xml:space="preserve">demonstrating </w:t>
      </w:r>
      <w:r w:rsidR="00EF0DB4" w:rsidRPr="00143D6A">
        <w:rPr>
          <w:rFonts w:asciiTheme="minorBidi" w:hAnsiTheme="minorBidi" w:cstheme="minorBidi"/>
          <w:snapToGrid w:val="0"/>
          <w:sz w:val="22"/>
          <w:szCs w:val="22"/>
          <w:lang w:val="en-GB" w:eastAsia="en-US"/>
        </w:rPr>
        <w:t xml:space="preserve">a </w:t>
      </w:r>
      <w:r w:rsidR="00F81117">
        <w:rPr>
          <w:rFonts w:asciiTheme="minorBidi" w:hAnsiTheme="minorBidi" w:cstheme="minorBidi"/>
          <w:snapToGrid w:val="0"/>
          <w:sz w:val="22"/>
          <w:szCs w:val="22"/>
          <w:lang w:val="en-GB" w:eastAsia="en-US"/>
        </w:rPr>
        <w:t>high level of</w:t>
      </w:r>
      <w:r w:rsidR="00F81117" w:rsidRPr="00143D6A">
        <w:rPr>
          <w:rFonts w:asciiTheme="minorBidi" w:hAnsiTheme="minorBidi" w:cstheme="minorBidi"/>
          <w:snapToGrid w:val="0"/>
          <w:sz w:val="22"/>
          <w:szCs w:val="22"/>
          <w:lang w:val="en-GB" w:eastAsia="en-US"/>
        </w:rPr>
        <w:t xml:space="preserve"> </w:t>
      </w:r>
      <w:r w:rsidR="00EF0DB4" w:rsidRPr="00143D6A">
        <w:rPr>
          <w:rFonts w:asciiTheme="minorBidi" w:hAnsiTheme="minorBidi" w:cstheme="minorBidi"/>
          <w:snapToGrid w:val="0"/>
          <w:sz w:val="22"/>
          <w:szCs w:val="22"/>
          <w:lang w:val="en-GB" w:eastAsia="en-US"/>
        </w:rPr>
        <w:t xml:space="preserve">participation </w:t>
      </w:r>
      <w:r w:rsidR="00F81117">
        <w:rPr>
          <w:rFonts w:asciiTheme="minorBidi" w:hAnsiTheme="minorBidi" w:cstheme="minorBidi"/>
          <w:snapToGrid w:val="0"/>
          <w:sz w:val="22"/>
          <w:szCs w:val="22"/>
          <w:lang w:val="en-GB" w:eastAsia="en-US"/>
        </w:rPr>
        <w:t>by</w:t>
      </w:r>
      <w:r w:rsidR="00F81117" w:rsidRPr="00143D6A">
        <w:rPr>
          <w:rFonts w:asciiTheme="minorBidi" w:hAnsiTheme="minorBidi" w:cstheme="minorBidi"/>
          <w:snapToGrid w:val="0"/>
          <w:sz w:val="22"/>
          <w:szCs w:val="22"/>
          <w:lang w:val="en-GB" w:eastAsia="en-US"/>
        </w:rPr>
        <w:t xml:space="preserve"> </w:t>
      </w:r>
      <w:r w:rsidR="00EF0DB4" w:rsidRPr="00143D6A">
        <w:rPr>
          <w:rFonts w:asciiTheme="minorBidi" w:hAnsiTheme="minorBidi" w:cstheme="minorBidi"/>
          <w:snapToGrid w:val="0"/>
          <w:sz w:val="22"/>
          <w:szCs w:val="22"/>
          <w:lang w:val="en-GB" w:eastAsia="en-US"/>
        </w:rPr>
        <w:t>communities</w:t>
      </w:r>
      <w:r w:rsidR="00477B68" w:rsidRPr="00143D6A">
        <w:rPr>
          <w:rFonts w:asciiTheme="minorBidi" w:hAnsiTheme="minorBidi" w:cstheme="minorBidi"/>
          <w:snapToGrid w:val="0"/>
          <w:sz w:val="22"/>
          <w:szCs w:val="22"/>
          <w:lang w:val="en-GB" w:eastAsia="en-US"/>
        </w:rPr>
        <w:t>, groups and individuals in education, research and documentation</w:t>
      </w:r>
      <w:r w:rsidR="003D6BCD" w:rsidRPr="00143D6A">
        <w:rPr>
          <w:rFonts w:asciiTheme="minorBidi" w:hAnsiTheme="minorBidi" w:cstheme="minorBidi"/>
          <w:snapToGrid w:val="0"/>
          <w:sz w:val="22"/>
          <w:szCs w:val="22"/>
          <w:lang w:val="en-GB" w:eastAsia="en-US"/>
        </w:rPr>
        <w:t>,</w:t>
      </w:r>
      <w:r w:rsidR="00477B68" w:rsidRPr="00143D6A">
        <w:rPr>
          <w:rFonts w:asciiTheme="minorBidi" w:hAnsiTheme="minorBidi" w:cstheme="minorBidi"/>
          <w:snapToGrid w:val="0"/>
          <w:sz w:val="22"/>
          <w:szCs w:val="22"/>
          <w:lang w:val="en-GB" w:eastAsia="en-US"/>
        </w:rPr>
        <w:t xml:space="preserve"> a</w:t>
      </w:r>
      <w:r w:rsidR="00361E13">
        <w:rPr>
          <w:rFonts w:asciiTheme="minorBidi" w:hAnsiTheme="minorBidi" w:cstheme="minorBidi"/>
          <w:snapToGrid w:val="0"/>
          <w:sz w:val="22"/>
          <w:szCs w:val="22"/>
          <w:lang w:val="en-GB" w:eastAsia="en-US"/>
        </w:rPr>
        <w:t>s well as in</w:t>
      </w:r>
      <w:r w:rsidR="00477B68" w:rsidRPr="00143D6A">
        <w:rPr>
          <w:rFonts w:asciiTheme="minorBidi" w:hAnsiTheme="minorBidi" w:cstheme="minorBidi"/>
          <w:snapToGrid w:val="0"/>
          <w:sz w:val="22"/>
          <w:szCs w:val="22"/>
          <w:lang w:val="en-GB" w:eastAsia="en-US"/>
        </w:rPr>
        <w:t xml:space="preserve"> awareness-raising activities.</w:t>
      </w:r>
    </w:p>
    <w:p w14:paraId="14578B1E" w14:textId="6E086D2A" w:rsidR="00E644FB" w:rsidRDefault="002F3DB6" w:rsidP="00396894">
      <w:pPr>
        <w:pStyle w:val="Sansinterligne2"/>
        <w:numPr>
          <w:ilvl w:val="0"/>
          <w:numId w:val="34"/>
        </w:numPr>
        <w:spacing w:after="120"/>
        <w:ind w:left="1134" w:hanging="567"/>
        <w:jc w:val="both"/>
        <w:rPr>
          <w:rFonts w:asciiTheme="minorBidi" w:hAnsiTheme="minorBidi" w:cstheme="minorBidi"/>
          <w:snapToGrid w:val="0"/>
          <w:sz w:val="22"/>
          <w:szCs w:val="22"/>
          <w:lang w:val="en-GB" w:eastAsia="en-US"/>
        </w:rPr>
      </w:pPr>
      <w:r>
        <w:rPr>
          <w:rFonts w:asciiTheme="minorBidi" w:hAnsiTheme="minorBidi" w:cstheme="minorBidi"/>
          <w:snapToGrid w:val="0"/>
          <w:sz w:val="22"/>
          <w:szCs w:val="22"/>
          <w:lang w:val="en-GB" w:eastAsia="en-US"/>
        </w:rPr>
        <w:t>Enhanced regional cooperation</w:t>
      </w:r>
      <w:r w:rsidR="003A24D8" w:rsidRPr="00252B95">
        <w:rPr>
          <w:rFonts w:asciiTheme="minorBidi" w:hAnsiTheme="minorBidi" w:cstheme="minorBidi"/>
          <w:snapToGrid w:val="0"/>
          <w:sz w:val="22"/>
          <w:szCs w:val="22"/>
          <w:lang w:val="en-GB" w:eastAsia="en-US"/>
        </w:rPr>
        <w:t>, for instance through the</w:t>
      </w:r>
      <w:r>
        <w:rPr>
          <w:rFonts w:asciiTheme="minorBidi" w:hAnsiTheme="minorBidi" w:cstheme="minorBidi"/>
          <w:snapToGrid w:val="0"/>
          <w:sz w:val="22"/>
          <w:szCs w:val="22"/>
          <w:lang w:val="en-GB" w:eastAsia="en-US"/>
        </w:rPr>
        <w:t xml:space="preserve"> </w:t>
      </w:r>
      <w:r w:rsidR="003A24D8" w:rsidRPr="00252B95">
        <w:rPr>
          <w:rFonts w:asciiTheme="minorBidi" w:hAnsiTheme="minorBidi" w:cstheme="minorBidi"/>
          <w:snapToGrid w:val="0"/>
          <w:sz w:val="22"/>
          <w:szCs w:val="22"/>
          <w:lang w:val="en-GB" w:eastAsia="en-US"/>
        </w:rPr>
        <w:t xml:space="preserve">implementation of </w:t>
      </w:r>
      <w:r w:rsidR="00C51374" w:rsidRPr="00252B95">
        <w:rPr>
          <w:rFonts w:asciiTheme="minorBidi" w:hAnsiTheme="minorBidi" w:cstheme="minorBidi"/>
          <w:snapToGrid w:val="0"/>
          <w:sz w:val="22"/>
          <w:szCs w:val="22"/>
          <w:lang w:val="en-GB" w:eastAsia="en-US"/>
        </w:rPr>
        <w:t>activities</w:t>
      </w:r>
      <w:r w:rsidR="003A24D8" w:rsidRPr="00252B95">
        <w:rPr>
          <w:rFonts w:asciiTheme="minorBidi" w:hAnsiTheme="minorBidi" w:cstheme="minorBidi"/>
          <w:snapToGrid w:val="0"/>
          <w:sz w:val="22"/>
          <w:szCs w:val="22"/>
          <w:lang w:val="en-GB" w:eastAsia="en-US"/>
        </w:rPr>
        <w:t xml:space="preserve"> aim</w:t>
      </w:r>
      <w:r w:rsidR="00C51374" w:rsidRPr="00252B95">
        <w:rPr>
          <w:rFonts w:asciiTheme="minorBidi" w:hAnsiTheme="minorBidi" w:cstheme="minorBidi"/>
          <w:snapToGrid w:val="0"/>
          <w:sz w:val="22"/>
          <w:szCs w:val="22"/>
          <w:lang w:val="en-GB" w:eastAsia="en-US"/>
        </w:rPr>
        <w:t>ing</w:t>
      </w:r>
      <w:r w:rsidR="003A24D8" w:rsidRPr="00252B95">
        <w:rPr>
          <w:rFonts w:asciiTheme="minorBidi" w:hAnsiTheme="minorBidi" w:cstheme="minorBidi"/>
          <w:snapToGrid w:val="0"/>
          <w:sz w:val="22"/>
          <w:szCs w:val="22"/>
          <w:lang w:val="en-GB" w:eastAsia="en-US"/>
        </w:rPr>
        <w:t xml:space="preserve"> at safeguarding</w:t>
      </w:r>
      <w:r w:rsidR="00DC4EF0" w:rsidRPr="00252B95">
        <w:rPr>
          <w:rFonts w:asciiTheme="minorBidi" w:hAnsiTheme="minorBidi" w:cstheme="minorBidi"/>
          <w:snapToGrid w:val="0"/>
          <w:sz w:val="22"/>
          <w:szCs w:val="22"/>
          <w:lang w:val="en-GB" w:eastAsia="en-US"/>
        </w:rPr>
        <w:t xml:space="preserve"> </w:t>
      </w:r>
      <w:r w:rsidR="00C51374" w:rsidRPr="00252B95">
        <w:rPr>
          <w:rFonts w:asciiTheme="minorBidi" w:hAnsiTheme="minorBidi" w:cstheme="minorBidi"/>
          <w:snapToGrid w:val="0"/>
          <w:sz w:val="22"/>
          <w:szCs w:val="22"/>
          <w:lang w:val="en-GB" w:eastAsia="en-US"/>
        </w:rPr>
        <w:t xml:space="preserve">specific elements, particularly those in </w:t>
      </w:r>
      <w:r>
        <w:rPr>
          <w:rFonts w:asciiTheme="minorBidi" w:hAnsiTheme="minorBidi" w:cstheme="minorBidi"/>
          <w:snapToGrid w:val="0"/>
          <w:sz w:val="22"/>
          <w:szCs w:val="22"/>
          <w:lang w:val="en-GB" w:eastAsia="en-US"/>
        </w:rPr>
        <w:t>need of urgent safeguarding</w:t>
      </w:r>
      <w:r w:rsidR="00C51374" w:rsidRPr="00252B95">
        <w:rPr>
          <w:rFonts w:asciiTheme="minorBidi" w:hAnsiTheme="minorBidi" w:cstheme="minorBidi"/>
          <w:snapToGrid w:val="0"/>
          <w:sz w:val="22"/>
          <w:szCs w:val="22"/>
          <w:lang w:val="en-GB" w:eastAsia="en-US"/>
        </w:rPr>
        <w:t>.</w:t>
      </w:r>
    </w:p>
    <w:p w14:paraId="21C6F12B" w14:textId="77D14521" w:rsidR="00C15579" w:rsidRPr="00FA2F7E" w:rsidRDefault="00C15579" w:rsidP="00396894">
      <w:pPr>
        <w:pStyle w:val="Sansinterligne2"/>
        <w:numPr>
          <w:ilvl w:val="0"/>
          <w:numId w:val="23"/>
        </w:numPr>
        <w:spacing w:after="120"/>
        <w:ind w:left="567" w:hanging="567"/>
        <w:jc w:val="both"/>
        <w:rPr>
          <w:rFonts w:asciiTheme="minorBidi" w:hAnsiTheme="minorBidi" w:cstheme="minorBidi"/>
          <w:b/>
          <w:bCs/>
          <w:snapToGrid w:val="0"/>
          <w:sz w:val="22"/>
          <w:szCs w:val="22"/>
          <w:lang w:val="en-GB" w:eastAsia="en-US"/>
        </w:rPr>
      </w:pPr>
      <w:r>
        <w:rPr>
          <w:rFonts w:asciiTheme="minorBidi" w:hAnsiTheme="minorBidi" w:cstheme="minorBidi"/>
          <w:snapToGrid w:val="0"/>
          <w:sz w:val="22"/>
          <w:szCs w:val="22"/>
          <w:lang w:val="en-GB" w:eastAsia="en-US"/>
        </w:rPr>
        <w:t xml:space="preserve">The abovementioned research team provided </w:t>
      </w:r>
      <w:r w:rsidR="00F81117">
        <w:rPr>
          <w:rFonts w:asciiTheme="minorBidi" w:hAnsiTheme="minorBidi" w:cstheme="minorBidi"/>
          <w:snapToGrid w:val="0"/>
          <w:sz w:val="22"/>
          <w:szCs w:val="22"/>
          <w:lang w:val="en-GB" w:eastAsia="en-US"/>
        </w:rPr>
        <w:t xml:space="preserve">the Secretariat with </w:t>
      </w:r>
      <w:r w:rsidRPr="00143D6A">
        <w:rPr>
          <w:rFonts w:asciiTheme="minorBidi" w:hAnsiTheme="minorBidi" w:cstheme="minorBidi"/>
          <w:snapToGrid w:val="0"/>
          <w:sz w:val="22"/>
          <w:szCs w:val="22"/>
          <w:lang w:val="en-GB" w:eastAsia="en-US"/>
        </w:rPr>
        <w:t xml:space="preserve">specific </w:t>
      </w:r>
      <w:r w:rsidR="0015209C">
        <w:rPr>
          <w:rFonts w:asciiTheme="minorBidi" w:hAnsiTheme="minorBidi" w:cstheme="minorBidi"/>
          <w:snapToGrid w:val="0"/>
          <w:sz w:val="22"/>
          <w:szCs w:val="22"/>
          <w:lang w:val="en-GB" w:eastAsia="en-US"/>
        </w:rPr>
        <w:t xml:space="preserve">recommendations </w:t>
      </w:r>
      <w:r w:rsidRPr="00143D6A">
        <w:rPr>
          <w:rFonts w:asciiTheme="minorBidi" w:hAnsiTheme="minorBidi" w:cstheme="minorBidi"/>
          <w:snapToGrid w:val="0"/>
          <w:sz w:val="22"/>
          <w:szCs w:val="22"/>
          <w:lang w:val="en-GB" w:eastAsia="en-US"/>
        </w:rPr>
        <w:t>on the effectiveness of the periodic reporting mechanism as a monitoring and reporting tool for the 2003 Convention, as well as lessons learn</w:t>
      </w:r>
      <w:r>
        <w:rPr>
          <w:rFonts w:asciiTheme="minorBidi" w:hAnsiTheme="minorBidi" w:cstheme="minorBidi"/>
          <w:snapToGrid w:val="0"/>
          <w:sz w:val="22"/>
          <w:szCs w:val="22"/>
          <w:lang w:val="en-GB" w:eastAsia="en-US"/>
        </w:rPr>
        <w:t>t</w:t>
      </w:r>
      <w:r w:rsidRPr="00143D6A">
        <w:rPr>
          <w:rFonts w:asciiTheme="minorBidi" w:hAnsiTheme="minorBidi" w:cstheme="minorBidi"/>
          <w:snapToGrid w:val="0"/>
          <w:sz w:val="22"/>
          <w:szCs w:val="22"/>
          <w:lang w:val="en-GB" w:eastAsia="en-US"/>
        </w:rPr>
        <w:t xml:space="preserve"> from this cycle</w:t>
      </w:r>
      <w:r>
        <w:rPr>
          <w:rFonts w:asciiTheme="minorBidi" w:hAnsiTheme="minorBidi" w:cstheme="minorBidi"/>
          <w:snapToGrid w:val="0"/>
          <w:sz w:val="22"/>
          <w:szCs w:val="22"/>
          <w:lang w:val="en-GB" w:eastAsia="en-US"/>
        </w:rPr>
        <w:t>.</w:t>
      </w:r>
    </w:p>
    <w:p w14:paraId="07759EC5" w14:textId="18A5D191" w:rsidR="00FA2F7E" w:rsidRPr="00EF19C2" w:rsidRDefault="00FA2F7E" w:rsidP="00396894">
      <w:pPr>
        <w:pStyle w:val="Sansinterligne2"/>
        <w:numPr>
          <w:ilvl w:val="0"/>
          <w:numId w:val="23"/>
        </w:numPr>
        <w:spacing w:after="120"/>
        <w:ind w:left="567" w:hanging="567"/>
        <w:jc w:val="both"/>
        <w:rPr>
          <w:rFonts w:asciiTheme="minorBidi" w:hAnsiTheme="minorBidi" w:cstheme="minorBidi"/>
          <w:b/>
          <w:bCs/>
          <w:snapToGrid w:val="0"/>
          <w:sz w:val="22"/>
          <w:szCs w:val="22"/>
          <w:lang w:val="en-GB" w:eastAsia="en-US"/>
        </w:rPr>
      </w:pPr>
      <w:r w:rsidRPr="002005AF">
        <w:rPr>
          <w:rFonts w:asciiTheme="minorBidi" w:hAnsiTheme="minorBidi" w:cstheme="minorBidi"/>
          <w:snapToGrid w:val="0"/>
          <w:sz w:val="22"/>
          <w:szCs w:val="22"/>
          <w:lang w:val="en-GB" w:eastAsia="en-US"/>
        </w:rPr>
        <w:t xml:space="preserve">With reference to Recommendation 2 of the 2021 evaluation by the </w:t>
      </w:r>
      <w:r w:rsidR="002005AF" w:rsidRPr="002005AF">
        <w:rPr>
          <w:rFonts w:asciiTheme="minorBidi" w:hAnsiTheme="minorBidi" w:cstheme="minorBidi"/>
          <w:snapToGrid w:val="0"/>
          <w:sz w:val="22"/>
          <w:szCs w:val="22"/>
          <w:lang w:val="en-GB" w:eastAsia="en-US"/>
        </w:rPr>
        <w:t xml:space="preserve">Division of </w:t>
      </w:r>
      <w:r w:rsidRPr="002005AF">
        <w:rPr>
          <w:rFonts w:asciiTheme="minorBidi" w:hAnsiTheme="minorBidi" w:cstheme="minorBidi"/>
          <w:snapToGrid w:val="0"/>
          <w:sz w:val="22"/>
          <w:szCs w:val="22"/>
          <w:lang w:val="en-GB" w:eastAsia="en-US"/>
        </w:rPr>
        <w:t>Internal Oversight Service</w:t>
      </w:r>
      <w:r w:rsidR="002005AF" w:rsidRPr="002005AF">
        <w:rPr>
          <w:rFonts w:asciiTheme="minorBidi" w:hAnsiTheme="minorBidi" w:cstheme="minorBidi"/>
          <w:snapToGrid w:val="0"/>
          <w:sz w:val="22"/>
          <w:szCs w:val="22"/>
          <w:lang w:val="en-GB" w:eastAsia="en-US"/>
        </w:rPr>
        <w:t>s</w:t>
      </w:r>
      <w:r w:rsidRPr="002005AF">
        <w:rPr>
          <w:rFonts w:asciiTheme="minorBidi" w:hAnsiTheme="minorBidi" w:cstheme="minorBidi"/>
          <w:snapToGrid w:val="0"/>
          <w:sz w:val="22"/>
          <w:szCs w:val="22"/>
          <w:lang w:val="en-GB" w:eastAsia="en-US"/>
        </w:rPr>
        <w:t xml:space="preserve"> </w:t>
      </w:r>
      <w:r w:rsidR="003C784D" w:rsidRPr="002005AF">
        <w:rPr>
          <w:rFonts w:asciiTheme="minorBidi" w:hAnsiTheme="minorBidi" w:cstheme="minorBidi"/>
          <w:snapToGrid w:val="0"/>
          <w:sz w:val="22"/>
          <w:szCs w:val="22"/>
          <w:lang w:val="en-GB" w:eastAsia="en-US"/>
        </w:rPr>
        <w:t>of UNESCO’s action</w:t>
      </w:r>
      <w:r w:rsidR="00F81117">
        <w:rPr>
          <w:rFonts w:asciiTheme="minorBidi" w:hAnsiTheme="minorBidi" w:cstheme="minorBidi"/>
          <w:snapToGrid w:val="0"/>
          <w:sz w:val="22"/>
          <w:szCs w:val="22"/>
          <w:lang w:val="en-GB" w:eastAsia="en-US"/>
        </w:rPr>
        <w:t>s</w:t>
      </w:r>
      <w:r w:rsidR="003C784D" w:rsidRPr="002005AF">
        <w:rPr>
          <w:rFonts w:asciiTheme="minorBidi" w:hAnsiTheme="minorBidi" w:cstheme="minorBidi"/>
          <w:snapToGrid w:val="0"/>
          <w:sz w:val="22"/>
          <w:szCs w:val="22"/>
          <w:lang w:val="en-GB" w:eastAsia="en-US"/>
        </w:rPr>
        <w:t xml:space="preserve"> in the framework of the 2003 Convention</w:t>
      </w:r>
      <w:r w:rsidR="0015209C">
        <w:rPr>
          <w:rStyle w:val="Appelnotedebasdep"/>
          <w:rFonts w:asciiTheme="minorBidi" w:hAnsiTheme="minorBidi" w:cstheme="minorBidi"/>
          <w:snapToGrid w:val="0"/>
          <w:sz w:val="22"/>
          <w:szCs w:val="22"/>
          <w:lang w:val="en-GB" w:eastAsia="en-US"/>
        </w:rPr>
        <w:footnoteReference w:id="2"/>
      </w:r>
      <w:r w:rsidR="00F81117">
        <w:rPr>
          <w:rFonts w:asciiTheme="minorBidi" w:hAnsiTheme="minorBidi" w:cstheme="minorBidi"/>
          <w:snapToGrid w:val="0"/>
          <w:sz w:val="22"/>
          <w:szCs w:val="22"/>
          <w:lang w:val="en-GB" w:eastAsia="en-US"/>
        </w:rPr>
        <w:t>,</w:t>
      </w:r>
      <w:r w:rsidR="003C784D" w:rsidRPr="002005AF">
        <w:rPr>
          <w:rFonts w:asciiTheme="minorBidi" w:hAnsiTheme="minorBidi" w:cstheme="minorBidi"/>
          <w:snapToGrid w:val="0"/>
          <w:sz w:val="22"/>
          <w:szCs w:val="22"/>
          <w:lang w:val="en-GB" w:eastAsia="en-US"/>
        </w:rPr>
        <w:t xml:space="preserve"> it </w:t>
      </w:r>
      <w:r w:rsidR="00F81117">
        <w:rPr>
          <w:rFonts w:asciiTheme="minorBidi" w:hAnsiTheme="minorBidi" w:cstheme="minorBidi"/>
          <w:snapToGrid w:val="0"/>
          <w:sz w:val="22"/>
          <w:szCs w:val="22"/>
          <w:lang w:val="en-GB" w:eastAsia="en-US"/>
        </w:rPr>
        <w:t>is</w:t>
      </w:r>
      <w:r w:rsidR="003C784D" w:rsidRPr="002005AF">
        <w:rPr>
          <w:rFonts w:asciiTheme="minorBidi" w:hAnsiTheme="minorBidi" w:cstheme="minorBidi"/>
          <w:snapToGrid w:val="0"/>
          <w:sz w:val="22"/>
          <w:szCs w:val="22"/>
          <w:lang w:val="en-GB" w:eastAsia="en-US"/>
        </w:rPr>
        <w:t xml:space="preserve"> important to make the results of the data collected </w:t>
      </w:r>
      <w:r w:rsidR="00F81117">
        <w:rPr>
          <w:rFonts w:asciiTheme="minorBidi" w:hAnsiTheme="minorBidi" w:cstheme="minorBidi"/>
          <w:snapToGrid w:val="0"/>
          <w:sz w:val="22"/>
          <w:szCs w:val="22"/>
          <w:lang w:val="en-GB" w:eastAsia="en-US"/>
        </w:rPr>
        <w:t xml:space="preserve">widely available, </w:t>
      </w:r>
      <w:r w:rsidR="003C784D" w:rsidRPr="002005AF">
        <w:rPr>
          <w:rFonts w:asciiTheme="minorBidi" w:hAnsiTheme="minorBidi" w:cstheme="minorBidi"/>
          <w:snapToGrid w:val="0"/>
          <w:sz w:val="22"/>
          <w:szCs w:val="22"/>
          <w:lang w:val="en-GB" w:eastAsia="en-US"/>
        </w:rPr>
        <w:t>in a</w:t>
      </w:r>
      <w:r w:rsidR="00F81117">
        <w:rPr>
          <w:rFonts w:asciiTheme="minorBidi" w:hAnsiTheme="minorBidi" w:cstheme="minorBidi"/>
          <w:snapToGrid w:val="0"/>
          <w:sz w:val="22"/>
          <w:szCs w:val="22"/>
          <w:lang w:val="en-GB" w:eastAsia="en-US"/>
        </w:rPr>
        <w:t>n easily</w:t>
      </w:r>
      <w:r w:rsidR="003C784D" w:rsidRPr="002005AF">
        <w:rPr>
          <w:rFonts w:asciiTheme="minorBidi" w:hAnsiTheme="minorBidi" w:cstheme="minorBidi"/>
          <w:snapToGrid w:val="0"/>
          <w:sz w:val="22"/>
          <w:szCs w:val="22"/>
          <w:lang w:val="en-GB" w:eastAsia="en-US"/>
        </w:rPr>
        <w:t xml:space="preserve"> digestible</w:t>
      </w:r>
      <w:r w:rsidR="00F81117">
        <w:rPr>
          <w:rFonts w:asciiTheme="minorBidi" w:hAnsiTheme="minorBidi" w:cstheme="minorBidi"/>
          <w:snapToGrid w:val="0"/>
          <w:sz w:val="22"/>
          <w:szCs w:val="22"/>
          <w:lang w:val="en-GB" w:eastAsia="en-US"/>
        </w:rPr>
        <w:t>,</w:t>
      </w:r>
      <w:r w:rsidR="003C784D" w:rsidRPr="002005AF">
        <w:rPr>
          <w:rFonts w:asciiTheme="minorBidi" w:hAnsiTheme="minorBidi" w:cstheme="minorBidi"/>
          <w:snapToGrid w:val="0"/>
          <w:sz w:val="22"/>
          <w:szCs w:val="22"/>
          <w:lang w:val="en-GB" w:eastAsia="en-US"/>
        </w:rPr>
        <w:t xml:space="preserve"> visual manner. In the first instance, the Secretariat </w:t>
      </w:r>
      <w:r w:rsidR="008A743D" w:rsidRPr="002005AF">
        <w:rPr>
          <w:rFonts w:asciiTheme="minorBidi" w:hAnsiTheme="minorBidi" w:cstheme="minorBidi"/>
          <w:snapToGrid w:val="0"/>
          <w:sz w:val="22"/>
          <w:szCs w:val="22"/>
          <w:lang w:val="en-GB" w:eastAsia="en-US"/>
        </w:rPr>
        <w:t>intends</w:t>
      </w:r>
      <w:r w:rsidR="003C784D" w:rsidRPr="002005AF">
        <w:rPr>
          <w:rFonts w:asciiTheme="minorBidi" w:hAnsiTheme="minorBidi" w:cstheme="minorBidi"/>
          <w:snapToGrid w:val="0"/>
          <w:sz w:val="22"/>
          <w:szCs w:val="22"/>
          <w:lang w:val="en-GB" w:eastAsia="en-US"/>
        </w:rPr>
        <w:t xml:space="preserve"> to issue the </w:t>
      </w:r>
      <w:r w:rsidR="008A743D" w:rsidRPr="002005AF">
        <w:rPr>
          <w:rFonts w:asciiTheme="minorBidi" w:hAnsiTheme="minorBidi" w:cstheme="minorBidi"/>
          <w:snapToGrid w:val="0"/>
          <w:sz w:val="22"/>
          <w:szCs w:val="22"/>
          <w:lang w:val="en-GB" w:eastAsia="en-US"/>
        </w:rPr>
        <w:t>‘analytical report’ on the reports by States Parties in Latin America and the Caribbean as a UNESCO publication in</w:t>
      </w:r>
      <w:r w:rsidR="008A743D">
        <w:rPr>
          <w:rFonts w:asciiTheme="minorBidi" w:hAnsiTheme="minorBidi" w:cstheme="minorBidi"/>
          <w:snapToGrid w:val="0"/>
          <w:sz w:val="22"/>
          <w:szCs w:val="22"/>
          <w:lang w:val="en-GB" w:eastAsia="en-US"/>
        </w:rPr>
        <w:t xml:space="preserve"> English, French and Spanish. </w:t>
      </w:r>
      <w:r w:rsidR="00D45689">
        <w:rPr>
          <w:rFonts w:asciiTheme="minorBidi" w:hAnsiTheme="minorBidi" w:cstheme="minorBidi"/>
          <w:snapToGrid w:val="0"/>
          <w:sz w:val="22"/>
          <w:szCs w:val="22"/>
          <w:lang w:val="en-GB" w:eastAsia="en-US"/>
        </w:rPr>
        <w:t>T</w:t>
      </w:r>
      <w:r w:rsidR="00F81117">
        <w:rPr>
          <w:rFonts w:asciiTheme="minorBidi" w:hAnsiTheme="minorBidi" w:cstheme="minorBidi"/>
          <w:snapToGrid w:val="0"/>
          <w:sz w:val="22"/>
          <w:szCs w:val="22"/>
          <w:lang w:val="en-GB" w:eastAsia="en-US"/>
        </w:rPr>
        <w:t xml:space="preserve">he </w:t>
      </w:r>
      <w:r w:rsidR="00F844FA">
        <w:rPr>
          <w:rFonts w:asciiTheme="minorBidi" w:hAnsiTheme="minorBidi" w:cstheme="minorBidi"/>
          <w:snapToGrid w:val="0"/>
          <w:sz w:val="22"/>
          <w:szCs w:val="22"/>
          <w:lang w:val="en-GB" w:eastAsia="en-US"/>
        </w:rPr>
        <w:t xml:space="preserve">information submitted </w:t>
      </w:r>
      <w:r w:rsidR="00F81117">
        <w:rPr>
          <w:rFonts w:asciiTheme="minorBidi" w:hAnsiTheme="minorBidi" w:cstheme="minorBidi"/>
          <w:snapToGrid w:val="0"/>
          <w:sz w:val="22"/>
          <w:szCs w:val="22"/>
          <w:lang w:val="en-GB" w:eastAsia="en-US"/>
        </w:rPr>
        <w:t xml:space="preserve">is also planned to </w:t>
      </w:r>
      <w:r w:rsidR="00F844FA">
        <w:rPr>
          <w:rFonts w:asciiTheme="minorBidi" w:hAnsiTheme="minorBidi" w:cstheme="minorBidi"/>
          <w:snapToGrid w:val="0"/>
          <w:sz w:val="22"/>
          <w:szCs w:val="22"/>
          <w:lang w:val="en-GB" w:eastAsia="en-US"/>
        </w:rPr>
        <w:t xml:space="preserve">be made available to each reporting State in the form of a </w:t>
      </w:r>
      <w:r w:rsidR="00C453F3">
        <w:rPr>
          <w:rFonts w:asciiTheme="minorBidi" w:hAnsiTheme="minorBidi" w:cstheme="minorBidi"/>
          <w:snapToGrid w:val="0"/>
          <w:sz w:val="22"/>
          <w:szCs w:val="22"/>
          <w:lang w:val="en-GB" w:eastAsia="en-US"/>
        </w:rPr>
        <w:t>‘</w:t>
      </w:r>
      <w:r w:rsidR="00F844FA">
        <w:rPr>
          <w:rFonts w:asciiTheme="minorBidi" w:hAnsiTheme="minorBidi" w:cstheme="minorBidi"/>
          <w:snapToGrid w:val="0"/>
          <w:sz w:val="22"/>
          <w:szCs w:val="22"/>
          <w:lang w:val="en-GB" w:eastAsia="en-US"/>
        </w:rPr>
        <w:t>country data sheet</w:t>
      </w:r>
      <w:r w:rsidR="00C453F3">
        <w:rPr>
          <w:rFonts w:asciiTheme="minorBidi" w:hAnsiTheme="minorBidi" w:cstheme="minorBidi"/>
          <w:snapToGrid w:val="0"/>
          <w:sz w:val="22"/>
          <w:szCs w:val="22"/>
          <w:lang w:val="en-GB" w:eastAsia="en-US"/>
        </w:rPr>
        <w:t>’</w:t>
      </w:r>
      <w:r w:rsidR="00F844FA">
        <w:rPr>
          <w:rFonts w:asciiTheme="minorBidi" w:hAnsiTheme="minorBidi" w:cstheme="minorBidi"/>
          <w:snapToGrid w:val="0"/>
          <w:sz w:val="22"/>
          <w:szCs w:val="22"/>
          <w:lang w:val="en-GB" w:eastAsia="en-US"/>
        </w:rPr>
        <w:t>, with</w:t>
      </w:r>
      <w:r w:rsidR="00F81117">
        <w:rPr>
          <w:rFonts w:asciiTheme="minorBidi" w:hAnsiTheme="minorBidi" w:cstheme="minorBidi"/>
          <w:snapToGrid w:val="0"/>
          <w:sz w:val="22"/>
          <w:szCs w:val="22"/>
          <w:lang w:val="en-GB" w:eastAsia="en-US"/>
        </w:rPr>
        <w:t xml:space="preserve"> the</w:t>
      </w:r>
      <w:r w:rsidR="00F844FA">
        <w:rPr>
          <w:rFonts w:asciiTheme="minorBidi" w:hAnsiTheme="minorBidi" w:cstheme="minorBidi"/>
          <w:snapToGrid w:val="0"/>
          <w:sz w:val="22"/>
          <w:szCs w:val="22"/>
          <w:lang w:val="en-GB" w:eastAsia="en-US"/>
        </w:rPr>
        <w:t xml:space="preserve"> aim </w:t>
      </w:r>
      <w:r w:rsidR="00F81117">
        <w:rPr>
          <w:rFonts w:asciiTheme="minorBidi" w:hAnsiTheme="minorBidi" w:cstheme="minorBidi"/>
          <w:snapToGrid w:val="0"/>
          <w:sz w:val="22"/>
          <w:szCs w:val="22"/>
          <w:lang w:val="en-GB" w:eastAsia="en-US"/>
        </w:rPr>
        <w:t>of</w:t>
      </w:r>
      <w:r w:rsidR="00F844FA">
        <w:rPr>
          <w:rFonts w:asciiTheme="minorBidi" w:hAnsiTheme="minorBidi" w:cstheme="minorBidi"/>
          <w:snapToGrid w:val="0"/>
          <w:sz w:val="22"/>
          <w:szCs w:val="22"/>
          <w:lang w:val="en-GB" w:eastAsia="en-US"/>
        </w:rPr>
        <w:t xml:space="preserve"> facilitat</w:t>
      </w:r>
      <w:r w:rsidR="00F81117">
        <w:rPr>
          <w:rFonts w:asciiTheme="minorBidi" w:hAnsiTheme="minorBidi" w:cstheme="minorBidi"/>
          <w:snapToGrid w:val="0"/>
          <w:sz w:val="22"/>
          <w:szCs w:val="22"/>
          <w:lang w:val="en-GB" w:eastAsia="en-US"/>
        </w:rPr>
        <w:t>ing</w:t>
      </w:r>
      <w:r w:rsidR="00F844FA">
        <w:rPr>
          <w:rFonts w:asciiTheme="minorBidi" w:hAnsiTheme="minorBidi" w:cstheme="minorBidi"/>
          <w:snapToGrid w:val="0"/>
          <w:sz w:val="22"/>
          <w:szCs w:val="22"/>
          <w:lang w:val="en-GB" w:eastAsia="en-US"/>
        </w:rPr>
        <w:t xml:space="preserve"> safeguarding efforts and follow</w:t>
      </w:r>
      <w:r w:rsidR="00F81117">
        <w:rPr>
          <w:rFonts w:asciiTheme="minorBidi" w:hAnsiTheme="minorBidi" w:cstheme="minorBidi"/>
          <w:snapToGrid w:val="0"/>
          <w:sz w:val="22"/>
          <w:szCs w:val="22"/>
          <w:lang w:val="en-GB" w:eastAsia="en-US"/>
        </w:rPr>
        <w:t>ing</w:t>
      </w:r>
      <w:r w:rsidR="00F844FA">
        <w:rPr>
          <w:rFonts w:asciiTheme="minorBidi" w:hAnsiTheme="minorBidi" w:cstheme="minorBidi"/>
          <w:snapToGrid w:val="0"/>
          <w:sz w:val="22"/>
          <w:szCs w:val="22"/>
          <w:lang w:val="en-GB" w:eastAsia="en-US"/>
        </w:rPr>
        <w:t xml:space="preserve"> up of the periodic reporting exercise at the national level.</w:t>
      </w:r>
    </w:p>
    <w:p w14:paraId="56983DF4" w14:textId="52FA3C7B" w:rsidR="00654886" w:rsidRDefault="00654886" w:rsidP="00654886">
      <w:pPr>
        <w:pStyle w:val="Sansinterligne2"/>
        <w:keepNext/>
        <w:spacing w:before="240" w:after="120"/>
        <w:jc w:val="both"/>
        <w:rPr>
          <w:rFonts w:asciiTheme="minorBidi" w:hAnsiTheme="minorBidi" w:cstheme="minorBidi"/>
          <w:b/>
          <w:bCs/>
          <w:snapToGrid w:val="0"/>
          <w:sz w:val="22"/>
          <w:szCs w:val="22"/>
          <w:lang w:val="en-GB" w:eastAsia="en-US"/>
        </w:rPr>
      </w:pPr>
      <w:r w:rsidRPr="00143D6A">
        <w:rPr>
          <w:rFonts w:asciiTheme="minorBidi" w:hAnsiTheme="minorBidi" w:cstheme="minorBidi"/>
          <w:b/>
          <w:bCs/>
          <w:snapToGrid w:val="0"/>
          <w:sz w:val="22"/>
          <w:szCs w:val="22"/>
          <w:lang w:val="en-GB" w:eastAsia="en-US"/>
        </w:rPr>
        <w:t>202</w:t>
      </w:r>
      <w:r>
        <w:rPr>
          <w:rFonts w:asciiTheme="minorBidi" w:hAnsiTheme="minorBidi" w:cstheme="minorBidi"/>
          <w:b/>
          <w:bCs/>
          <w:snapToGrid w:val="0"/>
          <w:sz w:val="22"/>
          <w:szCs w:val="22"/>
          <w:lang w:val="en-GB" w:eastAsia="en-US"/>
        </w:rPr>
        <w:t>2</w:t>
      </w:r>
      <w:r w:rsidRPr="00143D6A">
        <w:rPr>
          <w:rFonts w:asciiTheme="minorBidi" w:hAnsiTheme="minorBidi" w:cstheme="minorBidi"/>
          <w:b/>
          <w:bCs/>
          <w:snapToGrid w:val="0"/>
          <w:sz w:val="22"/>
          <w:szCs w:val="22"/>
          <w:lang w:val="en-GB" w:eastAsia="en-US"/>
        </w:rPr>
        <w:t xml:space="preserve"> Cycle –</w:t>
      </w:r>
      <w:r w:rsidRPr="00330750">
        <w:rPr>
          <w:rFonts w:asciiTheme="minorBidi" w:hAnsiTheme="minorBidi" w:cstheme="minorBidi"/>
          <w:b/>
          <w:bCs/>
          <w:snapToGrid w:val="0"/>
          <w:sz w:val="22"/>
          <w:szCs w:val="22"/>
          <w:lang w:val="en-GB" w:eastAsia="en-US"/>
        </w:rPr>
        <w:t xml:space="preserve"> </w:t>
      </w:r>
      <w:r>
        <w:rPr>
          <w:rFonts w:asciiTheme="minorBidi" w:hAnsiTheme="minorBidi" w:cstheme="minorBidi"/>
          <w:b/>
          <w:bCs/>
          <w:snapToGrid w:val="0"/>
          <w:sz w:val="22"/>
          <w:szCs w:val="22"/>
          <w:lang w:val="en-GB" w:eastAsia="en-US"/>
        </w:rPr>
        <w:t xml:space="preserve">Post-submission analysis </w:t>
      </w:r>
      <w:r w:rsidRPr="00330750">
        <w:rPr>
          <w:rFonts w:asciiTheme="minorBidi" w:hAnsiTheme="minorBidi" w:cstheme="minorBidi"/>
          <w:b/>
          <w:bCs/>
          <w:snapToGrid w:val="0"/>
          <w:sz w:val="22"/>
          <w:szCs w:val="22"/>
          <w:lang w:val="en-GB" w:eastAsia="en-US"/>
        </w:rPr>
        <w:t>in</w:t>
      </w:r>
      <w:r w:rsidRPr="00143D6A">
        <w:rPr>
          <w:rFonts w:asciiTheme="minorBidi" w:hAnsiTheme="minorBidi" w:cstheme="minorBidi"/>
          <w:b/>
          <w:bCs/>
          <w:snapToGrid w:val="0"/>
          <w:sz w:val="22"/>
          <w:szCs w:val="22"/>
          <w:lang w:val="en-GB" w:eastAsia="en-US"/>
        </w:rPr>
        <w:t xml:space="preserve"> </w:t>
      </w:r>
      <w:r>
        <w:rPr>
          <w:rFonts w:asciiTheme="minorBidi" w:hAnsiTheme="minorBidi" w:cstheme="minorBidi"/>
          <w:b/>
          <w:bCs/>
          <w:snapToGrid w:val="0"/>
          <w:sz w:val="22"/>
          <w:szCs w:val="22"/>
          <w:lang w:val="en-GB" w:eastAsia="en-US"/>
        </w:rPr>
        <w:t>Europe</w:t>
      </w:r>
    </w:p>
    <w:p w14:paraId="65C52138" w14:textId="5081EF07" w:rsidR="00654886" w:rsidRPr="00206548" w:rsidRDefault="00BF2280" w:rsidP="00396894">
      <w:pPr>
        <w:pStyle w:val="Sansinterligne2"/>
        <w:numPr>
          <w:ilvl w:val="0"/>
          <w:numId w:val="23"/>
        </w:numPr>
        <w:spacing w:after="120"/>
        <w:ind w:left="567" w:hanging="567"/>
        <w:jc w:val="both"/>
        <w:rPr>
          <w:rFonts w:asciiTheme="minorBidi" w:hAnsiTheme="minorBidi" w:cstheme="minorBidi"/>
          <w:snapToGrid w:val="0"/>
          <w:sz w:val="22"/>
          <w:szCs w:val="22"/>
          <w:lang w:val="en-GB" w:eastAsia="en-US"/>
        </w:rPr>
      </w:pPr>
      <w:r w:rsidRPr="00BF2280">
        <w:rPr>
          <w:rFonts w:asciiTheme="minorBidi" w:hAnsiTheme="minorBidi" w:cstheme="minorBidi"/>
          <w:snapToGrid w:val="0"/>
          <w:sz w:val="22"/>
          <w:szCs w:val="22"/>
          <w:lang w:val="en-GB" w:eastAsia="en-US"/>
        </w:rPr>
        <w:t xml:space="preserve">As the second region to go through the reformed periodic reporting exercise, </w:t>
      </w:r>
      <w:r>
        <w:rPr>
          <w:rFonts w:asciiTheme="minorBidi" w:hAnsiTheme="minorBidi" w:cstheme="minorBidi"/>
          <w:snapToGrid w:val="0"/>
          <w:sz w:val="22"/>
          <w:szCs w:val="22"/>
          <w:lang w:val="en-GB" w:eastAsia="en-US"/>
        </w:rPr>
        <w:t xml:space="preserve">forty-two States Parties out of forty-four </w:t>
      </w:r>
      <w:r w:rsidRPr="00BF2280">
        <w:rPr>
          <w:rFonts w:asciiTheme="minorBidi" w:hAnsiTheme="minorBidi" w:cstheme="minorBidi"/>
          <w:snapToGrid w:val="0"/>
          <w:sz w:val="22"/>
          <w:szCs w:val="22"/>
          <w:lang w:val="en-GB" w:eastAsia="en-US"/>
        </w:rPr>
        <w:t xml:space="preserve">in </w:t>
      </w:r>
      <w:r>
        <w:rPr>
          <w:rFonts w:asciiTheme="minorBidi" w:hAnsiTheme="minorBidi" w:cstheme="minorBidi"/>
          <w:snapToGrid w:val="0"/>
          <w:sz w:val="22"/>
          <w:szCs w:val="22"/>
          <w:lang w:val="en-GB" w:eastAsia="en-US"/>
        </w:rPr>
        <w:t xml:space="preserve">the </w:t>
      </w:r>
      <w:r w:rsidRPr="00BF2280">
        <w:rPr>
          <w:rFonts w:asciiTheme="minorBidi" w:hAnsiTheme="minorBidi" w:cstheme="minorBidi"/>
          <w:snapToGrid w:val="0"/>
          <w:sz w:val="22"/>
          <w:szCs w:val="22"/>
          <w:lang w:val="en-GB" w:eastAsia="en-US"/>
        </w:rPr>
        <w:t xml:space="preserve">Europe </w:t>
      </w:r>
      <w:r>
        <w:rPr>
          <w:rFonts w:asciiTheme="minorBidi" w:hAnsiTheme="minorBidi" w:cstheme="minorBidi"/>
          <w:snapToGrid w:val="0"/>
          <w:sz w:val="22"/>
          <w:szCs w:val="22"/>
          <w:lang w:val="en-GB" w:eastAsia="en-US"/>
        </w:rPr>
        <w:t xml:space="preserve">region submitted their periodic </w:t>
      </w:r>
      <w:r w:rsidR="00F81117">
        <w:rPr>
          <w:rFonts w:asciiTheme="minorBidi" w:hAnsiTheme="minorBidi" w:cstheme="minorBidi"/>
          <w:snapToGrid w:val="0"/>
          <w:sz w:val="22"/>
          <w:szCs w:val="22"/>
          <w:lang w:val="en-GB" w:eastAsia="en-US"/>
        </w:rPr>
        <w:t xml:space="preserve">reports by </w:t>
      </w:r>
      <w:r>
        <w:rPr>
          <w:rFonts w:asciiTheme="minorBidi" w:hAnsiTheme="minorBidi" w:cstheme="minorBidi"/>
          <w:snapToGrid w:val="0"/>
          <w:sz w:val="22"/>
          <w:szCs w:val="22"/>
          <w:lang w:val="en-GB" w:eastAsia="en-US"/>
        </w:rPr>
        <w:t xml:space="preserve">the </w:t>
      </w:r>
      <w:r w:rsidR="00450E14">
        <w:rPr>
          <w:rFonts w:asciiTheme="minorBidi" w:hAnsiTheme="minorBidi" w:cstheme="minorBidi"/>
          <w:snapToGrid w:val="0"/>
          <w:sz w:val="22"/>
          <w:szCs w:val="22"/>
          <w:lang w:val="en-GB" w:eastAsia="en-US"/>
        </w:rPr>
        <w:t xml:space="preserve">extended </w:t>
      </w:r>
      <w:r>
        <w:rPr>
          <w:rFonts w:asciiTheme="minorBidi" w:hAnsiTheme="minorBidi" w:cstheme="minorBidi"/>
          <w:snapToGrid w:val="0"/>
          <w:sz w:val="22"/>
          <w:szCs w:val="22"/>
          <w:lang w:val="en-GB" w:eastAsia="en-US"/>
        </w:rPr>
        <w:t xml:space="preserve">deadline of 15 </w:t>
      </w:r>
      <w:r w:rsidR="00450E14">
        <w:rPr>
          <w:rFonts w:asciiTheme="minorBidi" w:hAnsiTheme="minorBidi" w:cstheme="minorBidi"/>
          <w:snapToGrid w:val="0"/>
          <w:sz w:val="22"/>
          <w:szCs w:val="22"/>
          <w:lang w:val="en-GB" w:eastAsia="en-US"/>
        </w:rPr>
        <w:t>February</w:t>
      </w:r>
      <w:r>
        <w:rPr>
          <w:rFonts w:asciiTheme="minorBidi" w:hAnsiTheme="minorBidi" w:cstheme="minorBidi"/>
          <w:snapToGrid w:val="0"/>
          <w:sz w:val="22"/>
          <w:szCs w:val="22"/>
          <w:lang w:val="en-GB" w:eastAsia="en-US"/>
        </w:rPr>
        <w:t xml:space="preserve"> 202</w:t>
      </w:r>
      <w:r w:rsidR="00450E14">
        <w:rPr>
          <w:rFonts w:asciiTheme="minorBidi" w:hAnsiTheme="minorBidi" w:cstheme="minorBidi"/>
          <w:snapToGrid w:val="0"/>
          <w:sz w:val="22"/>
          <w:szCs w:val="22"/>
          <w:lang w:val="en-GB" w:eastAsia="en-US"/>
        </w:rPr>
        <w:t>2</w:t>
      </w:r>
      <w:r>
        <w:rPr>
          <w:rFonts w:asciiTheme="minorBidi" w:hAnsiTheme="minorBidi" w:cstheme="minorBidi"/>
          <w:snapToGrid w:val="0"/>
          <w:sz w:val="22"/>
          <w:szCs w:val="22"/>
          <w:lang w:val="en-GB" w:eastAsia="en-US"/>
        </w:rPr>
        <w:t xml:space="preserve">. </w:t>
      </w:r>
      <w:r w:rsidR="00450E14">
        <w:rPr>
          <w:rFonts w:asciiTheme="minorBidi" w:hAnsiTheme="minorBidi" w:cstheme="minorBidi"/>
          <w:snapToGrid w:val="0"/>
          <w:sz w:val="22"/>
          <w:szCs w:val="22"/>
          <w:lang w:val="en-GB" w:eastAsia="en-US"/>
        </w:rPr>
        <w:t>T</w:t>
      </w:r>
      <w:r w:rsidR="00450E14" w:rsidRPr="00450E14">
        <w:rPr>
          <w:rFonts w:asciiTheme="minorBidi" w:hAnsiTheme="minorBidi" w:cstheme="minorBidi"/>
          <w:snapToGrid w:val="0"/>
          <w:sz w:val="22"/>
          <w:szCs w:val="22"/>
          <w:lang w:val="en-GB" w:eastAsia="en-US"/>
        </w:rPr>
        <w:t>he Regional Centre for the Safeguarding of the Intangible Cultural Heritage in South-Eastern Europe</w:t>
      </w:r>
      <w:r w:rsidR="00450E14">
        <w:rPr>
          <w:rFonts w:asciiTheme="minorBidi" w:hAnsiTheme="minorBidi" w:cstheme="minorBidi"/>
          <w:snapToGrid w:val="0"/>
          <w:sz w:val="22"/>
          <w:szCs w:val="22"/>
          <w:lang w:val="en-GB" w:eastAsia="en-US"/>
        </w:rPr>
        <w:t xml:space="preserve"> supported the capacity-building activities. </w:t>
      </w:r>
      <w:r>
        <w:rPr>
          <w:rFonts w:asciiTheme="minorBidi" w:hAnsiTheme="minorBidi" w:cstheme="minorBidi"/>
          <w:snapToGrid w:val="0"/>
          <w:sz w:val="22"/>
          <w:szCs w:val="22"/>
          <w:lang w:val="en-GB" w:eastAsia="en-US"/>
        </w:rPr>
        <w:t xml:space="preserve">An analytical overview of these reports </w:t>
      </w:r>
      <w:r w:rsidR="00FC50DC">
        <w:rPr>
          <w:rFonts w:asciiTheme="minorBidi" w:hAnsiTheme="minorBidi" w:cstheme="minorBidi"/>
          <w:snapToGrid w:val="0"/>
          <w:sz w:val="22"/>
          <w:szCs w:val="22"/>
          <w:lang w:val="en-GB" w:eastAsia="en-US"/>
        </w:rPr>
        <w:t>is</w:t>
      </w:r>
      <w:r>
        <w:rPr>
          <w:rFonts w:asciiTheme="minorBidi" w:hAnsiTheme="minorBidi" w:cstheme="minorBidi"/>
          <w:snapToGrid w:val="0"/>
          <w:sz w:val="22"/>
          <w:szCs w:val="22"/>
          <w:lang w:val="en-GB" w:eastAsia="en-US"/>
        </w:rPr>
        <w:t xml:space="preserve"> provided to the present session of the Committee under Item 6.b of its provisional agenda (</w:t>
      </w:r>
      <w:r w:rsidR="00D30758">
        <w:rPr>
          <w:rFonts w:asciiTheme="minorBidi" w:hAnsiTheme="minorBidi" w:cstheme="minorBidi"/>
          <w:snapToGrid w:val="0"/>
          <w:sz w:val="22"/>
          <w:szCs w:val="22"/>
          <w:lang w:val="en-GB" w:eastAsia="en-US"/>
        </w:rPr>
        <w:t>d</w:t>
      </w:r>
      <w:r w:rsidRPr="00396894">
        <w:rPr>
          <w:rFonts w:asciiTheme="minorBidi" w:hAnsiTheme="minorBidi" w:cstheme="minorBidi"/>
          <w:snapToGrid w:val="0"/>
          <w:sz w:val="22"/>
          <w:szCs w:val="22"/>
          <w:lang w:val="en-GB" w:eastAsia="en-US"/>
        </w:rPr>
        <w:t xml:space="preserve">ocument </w:t>
      </w:r>
      <w:hyperlink r:id="rId18" w:history="1">
        <w:r w:rsidRPr="00396894">
          <w:rPr>
            <w:rStyle w:val="Lienhypertexte"/>
            <w:rFonts w:asciiTheme="minorBidi" w:hAnsiTheme="minorBidi" w:cstheme="minorBidi"/>
            <w:snapToGrid w:val="0"/>
            <w:sz w:val="22"/>
            <w:szCs w:val="22"/>
            <w:lang w:val="en-GB" w:eastAsia="en-US"/>
          </w:rPr>
          <w:t>LHE/22/17.COM 6.b</w:t>
        </w:r>
      </w:hyperlink>
      <w:r w:rsidRPr="00206548">
        <w:rPr>
          <w:rFonts w:asciiTheme="minorBidi" w:hAnsiTheme="minorBidi" w:cstheme="minorBidi"/>
          <w:snapToGrid w:val="0"/>
          <w:sz w:val="22"/>
          <w:szCs w:val="22"/>
          <w:lang w:val="en-GB" w:eastAsia="en-US"/>
        </w:rPr>
        <w:t>).</w:t>
      </w:r>
    </w:p>
    <w:p w14:paraId="6C919CAD" w14:textId="2A8C1F35" w:rsidR="002C626F" w:rsidRDefault="008B088A" w:rsidP="00396894">
      <w:pPr>
        <w:pStyle w:val="Sansinterligne2"/>
        <w:spacing w:before="240" w:after="120"/>
        <w:jc w:val="both"/>
        <w:rPr>
          <w:rFonts w:asciiTheme="minorBidi" w:hAnsiTheme="minorBidi" w:cstheme="minorBidi"/>
          <w:b/>
          <w:bCs/>
          <w:snapToGrid w:val="0"/>
          <w:sz w:val="22"/>
          <w:szCs w:val="22"/>
          <w:lang w:val="en-GB" w:eastAsia="en-US"/>
        </w:rPr>
      </w:pPr>
      <w:r w:rsidRPr="00143D6A">
        <w:rPr>
          <w:rFonts w:asciiTheme="minorBidi" w:hAnsiTheme="minorBidi" w:cstheme="minorBidi"/>
          <w:b/>
          <w:bCs/>
          <w:snapToGrid w:val="0"/>
          <w:sz w:val="22"/>
          <w:szCs w:val="22"/>
          <w:lang w:val="en-GB" w:eastAsia="en-US"/>
        </w:rPr>
        <w:t>2023 Cycle –</w:t>
      </w:r>
      <w:r w:rsidR="006020AD" w:rsidRPr="00330750">
        <w:rPr>
          <w:rFonts w:asciiTheme="minorBidi" w:hAnsiTheme="minorBidi" w:cstheme="minorBidi"/>
          <w:b/>
          <w:bCs/>
          <w:snapToGrid w:val="0"/>
          <w:sz w:val="22"/>
          <w:szCs w:val="22"/>
          <w:lang w:val="en-GB" w:eastAsia="en-US"/>
        </w:rPr>
        <w:t xml:space="preserve"> </w:t>
      </w:r>
      <w:r w:rsidR="00C15201">
        <w:rPr>
          <w:rFonts w:asciiTheme="minorBidi" w:hAnsiTheme="minorBidi" w:cstheme="minorBidi"/>
          <w:b/>
          <w:bCs/>
          <w:snapToGrid w:val="0"/>
          <w:sz w:val="22"/>
          <w:szCs w:val="22"/>
          <w:lang w:val="en-GB" w:eastAsia="en-US"/>
        </w:rPr>
        <w:t>Capacity</w:t>
      </w:r>
      <w:r w:rsidR="00F81117">
        <w:rPr>
          <w:rFonts w:asciiTheme="minorBidi" w:hAnsiTheme="minorBidi" w:cstheme="minorBidi"/>
          <w:b/>
          <w:bCs/>
          <w:snapToGrid w:val="0"/>
          <w:sz w:val="22"/>
          <w:szCs w:val="22"/>
          <w:lang w:val="en-GB" w:eastAsia="en-US"/>
        </w:rPr>
        <w:t>-</w:t>
      </w:r>
      <w:r w:rsidR="00C15201">
        <w:rPr>
          <w:rFonts w:asciiTheme="minorBidi" w:hAnsiTheme="minorBidi" w:cstheme="minorBidi"/>
          <w:b/>
          <w:bCs/>
          <w:snapToGrid w:val="0"/>
          <w:sz w:val="22"/>
          <w:szCs w:val="22"/>
          <w:lang w:val="en-GB" w:eastAsia="en-US"/>
        </w:rPr>
        <w:t xml:space="preserve">building support </w:t>
      </w:r>
      <w:r w:rsidR="006020AD" w:rsidRPr="00330750">
        <w:rPr>
          <w:rFonts w:asciiTheme="minorBidi" w:hAnsiTheme="minorBidi" w:cstheme="minorBidi"/>
          <w:b/>
          <w:bCs/>
          <w:snapToGrid w:val="0"/>
          <w:sz w:val="22"/>
          <w:szCs w:val="22"/>
          <w:lang w:val="en-GB" w:eastAsia="en-US"/>
        </w:rPr>
        <w:t>in</w:t>
      </w:r>
      <w:r w:rsidR="00AE4D5D" w:rsidRPr="00143D6A">
        <w:rPr>
          <w:rFonts w:asciiTheme="minorBidi" w:hAnsiTheme="minorBidi" w:cstheme="minorBidi"/>
          <w:b/>
          <w:bCs/>
          <w:snapToGrid w:val="0"/>
          <w:sz w:val="22"/>
          <w:szCs w:val="22"/>
          <w:lang w:val="en-GB" w:eastAsia="en-US"/>
        </w:rPr>
        <w:t xml:space="preserve"> </w:t>
      </w:r>
      <w:r w:rsidR="00D95CF0">
        <w:rPr>
          <w:rFonts w:asciiTheme="minorBidi" w:hAnsiTheme="minorBidi" w:cstheme="minorBidi"/>
          <w:b/>
          <w:bCs/>
          <w:snapToGrid w:val="0"/>
          <w:sz w:val="22"/>
          <w:szCs w:val="22"/>
          <w:lang w:val="en-GB" w:eastAsia="en-US"/>
        </w:rPr>
        <w:t xml:space="preserve">the </w:t>
      </w:r>
      <w:r w:rsidR="00093ECF" w:rsidRPr="00143D6A">
        <w:rPr>
          <w:rFonts w:asciiTheme="minorBidi" w:hAnsiTheme="minorBidi" w:cstheme="minorBidi"/>
          <w:b/>
          <w:bCs/>
          <w:snapToGrid w:val="0"/>
          <w:sz w:val="22"/>
          <w:szCs w:val="22"/>
          <w:lang w:val="en-GB" w:eastAsia="en-US"/>
        </w:rPr>
        <w:t>Arab States</w:t>
      </w:r>
    </w:p>
    <w:p w14:paraId="1BCB3312" w14:textId="08A4C09A" w:rsidR="008819A8" w:rsidRDefault="00393FCB" w:rsidP="00396894">
      <w:pPr>
        <w:pStyle w:val="Sansinterligne2"/>
        <w:numPr>
          <w:ilvl w:val="0"/>
          <w:numId w:val="23"/>
        </w:numPr>
        <w:spacing w:after="120"/>
        <w:ind w:left="567" w:hanging="567"/>
        <w:jc w:val="both"/>
        <w:rPr>
          <w:rFonts w:asciiTheme="minorBidi" w:hAnsiTheme="minorBidi" w:cstheme="minorBidi"/>
          <w:sz w:val="22"/>
          <w:szCs w:val="22"/>
          <w:lang w:val="en-GB"/>
        </w:rPr>
      </w:pPr>
      <w:r>
        <w:rPr>
          <w:rFonts w:asciiTheme="minorBidi" w:hAnsiTheme="minorBidi" w:cstheme="minorBidi"/>
          <w:snapToGrid w:val="0"/>
          <w:sz w:val="22"/>
          <w:szCs w:val="22"/>
          <w:lang w:val="en-GB" w:eastAsia="en-US"/>
        </w:rPr>
        <w:t xml:space="preserve">Under the 2023 cycle, </w:t>
      </w:r>
      <w:r w:rsidRPr="00717AF3">
        <w:rPr>
          <w:rFonts w:asciiTheme="minorBidi" w:hAnsiTheme="minorBidi" w:cstheme="minorBidi"/>
          <w:snapToGrid w:val="0"/>
          <w:sz w:val="22"/>
          <w:szCs w:val="22"/>
          <w:lang w:val="en-GB" w:eastAsia="en-US"/>
        </w:rPr>
        <w:t>eighteen</w:t>
      </w:r>
      <w:r>
        <w:rPr>
          <w:rFonts w:asciiTheme="minorBidi" w:hAnsiTheme="minorBidi" w:cstheme="minorBidi"/>
          <w:snapToGrid w:val="0"/>
          <w:sz w:val="22"/>
          <w:szCs w:val="22"/>
          <w:lang w:val="en-GB" w:eastAsia="en-US"/>
        </w:rPr>
        <w:t xml:space="preserve"> States Parties in t</w:t>
      </w:r>
      <w:r w:rsidR="0099520B" w:rsidRPr="00143D6A">
        <w:rPr>
          <w:rFonts w:asciiTheme="minorBidi" w:hAnsiTheme="minorBidi" w:cstheme="minorBidi"/>
          <w:snapToGrid w:val="0"/>
          <w:sz w:val="22"/>
          <w:szCs w:val="22"/>
          <w:lang w:val="en-GB" w:eastAsia="en-US"/>
        </w:rPr>
        <w:t xml:space="preserve">he Arab States </w:t>
      </w:r>
      <w:r w:rsidR="00813E6D">
        <w:rPr>
          <w:rFonts w:asciiTheme="minorBidi" w:hAnsiTheme="minorBidi" w:cstheme="minorBidi"/>
          <w:snapToGrid w:val="0"/>
          <w:sz w:val="22"/>
          <w:szCs w:val="22"/>
          <w:lang w:val="en-GB" w:eastAsia="en-US"/>
        </w:rPr>
        <w:t>r</w:t>
      </w:r>
      <w:r w:rsidR="0099520B" w:rsidRPr="00143D6A">
        <w:rPr>
          <w:rFonts w:asciiTheme="minorBidi" w:hAnsiTheme="minorBidi" w:cstheme="minorBidi"/>
          <w:snapToGrid w:val="0"/>
          <w:sz w:val="22"/>
          <w:szCs w:val="22"/>
          <w:lang w:val="en-GB" w:eastAsia="en-US"/>
        </w:rPr>
        <w:t>egion</w:t>
      </w:r>
      <w:r>
        <w:rPr>
          <w:rFonts w:ascii="Arial" w:hAnsi="Arial" w:cs="Arial"/>
          <w:sz w:val="22"/>
          <w:szCs w:val="22"/>
          <w:lang w:val="en-GB"/>
        </w:rPr>
        <w:t xml:space="preserve"> are getting ready to submit their reports </w:t>
      </w:r>
      <w:r w:rsidR="00F81117">
        <w:rPr>
          <w:rFonts w:ascii="Arial" w:hAnsi="Arial" w:cs="Arial"/>
          <w:sz w:val="22"/>
          <w:szCs w:val="22"/>
          <w:lang w:val="en-GB"/>
        </w:rPr>
        <w:t xml:space="preserve">by </w:t>
      </w:r>
      <w:r>
        <w:rPr>
          <w:rFonts w:ascii="Arial" w:hAnsi="Arial" w:cs="Arial"/>
          <w:sz w:val="22"/>
          <w:szCs w:val="22"/>
          <w:lang w:val="en-GB"/>
        </w:rPr>
        <w:t>the deadline of 15 December 2022</w:t>
      </w:r>
      <w:r w:rsidR="0099520B" w:rsidRPr="00143D6A">
        <w:rPr>
          <w:rFonts w:ascii="Arial" w:hAnsi="Arial" w:cs="Arial"/>
          <w:sz w:val="22"/>
          <w:szCs w:val="22"/>
          <w:lang w:val="en-GB"/>
        </w:rPr>
        <w:t xml:space="preserve">. </w:t>
      </w:r>
      <w:r w:rsidR="00F81117">
        <w:rPr>
          <w:rFonts w:ascii="Arial" w:hAnsi="Arial" w:cs="Arial"/>
          <w:sz w:val="22"/>
          <w:szCs w:val="22"/>
          <w:lang w:val="en-GB"/>
        </w:rPr>
        <w:t>To</w:t>
      </w:r>
      <w:r w:rsidR="00F24DF3">
        <w:rPr>
          <w:rFonts w:ascii="Arial" w:hAnsi="Arial" w:cs="Arial"/>
          <w:sz w:val="22"/>
          <w:szCs w:val="22"/>
          <w:lang w:val="en-GB"/>
        </w:rPr>
        <w:t xml:space="preserve"> support the process</w:t>
      </w:r>
      <w:r w:rsidR="00813E6D">
        <w:rPr>
          <w:rFonts w:ascii="Arial" w:hAnsi="Arial" w:cs="Arial"/>
          <w:sz w:val="22"/>
          <w:szCs w:val="22"/>
          <w:lang w:val="en-GB"/>
        </w:rPr>
        <w:t>, the Secretariat</w:t>
      </w:r>
      <w:r w:rsidR="00F81117">
        <w:rPr>
          <w:rFonts w:ascii="Arial" w:hAnsi="Arial" w:cs="Arial"/>
          <w:sz w:val="22"/>
          <w:szCs w:val="22"/>
          <w:lang w:val="en-GB"/>
        </w:rPr>
        <w:t xml:space="preserve"> </w:t>
      </w:r>
      <w:r>
        <w:rPr>
          <w:rFonts w:ascii="Arial" w:hAnsi="Arial" w:cs="Arial"/>
          <w:sz w:val="22"/>
          <w:szCs w:val="22"/>
          <w:lang w:val="en-GB"/>
        </w:rPr>
        <w:t xml:space="preserve">designed </w:t>
      </w:r>
      <w:r w:rsidR="0099520B" w:rsidRPr="00143D6A">
        <w:rPr>
          <w:rFonts w:ascii="Arial" w:hAnsi="Arial" w:cs="Arial"/>
          <w:sz w:val="22"/>
          <w:szCs w:val="22"/>
          <w:lang w:val="en-GB"/>
        </w:rPr>
        <w:t xml:space="preserve">a </w:t>
      </w:r>
      <w:r w:rsidR="00F81117">
        <w:rPr>
          <w:rFonts w:ascii="Arial" w:hAnsi="Arial" w:cs="Arial"/>
          <w:sz w:val="22"/>
          <w:szCs w:val="22"/>
          <w:lang w:val="en-GB"/>
        </w:rPr>
        <w:t>nine</w:t>
      </w:r>
      <w:r w:rsidR="00813E6D">
        <w:rPr>
          <w:rFonts w:ascii="Arial" w:hAnsi="Arial" w:cs="Arial"/>
          <w:sz w:val="22"/>
          <w:szCs w:val="22"/>
          <w:lang w:val="en-GB"/>
        </w:rPr>
        <w:t xml:space="preserve">-month </w:t>
      </w:r>
      <w:r w:rsidR="0099520B" w:rsidRPr="001479C0">
        <w:rPr>
          <w:rFonts w:asciiTheme="minorBidi" w:hAnsiTheme="minorBidi" w:cstheme="minorBidi"/>
          <w:sz w:val="22"/>
          <w:szCs w:val="22"/>
          <w:lang w:val="en-GB"/>
        </w:rPr>
        <w:t>capacity-building</w:t>
      </w:r>
      <w:r w:rsidR="00813E6D">
        <w:rPr>
          <w:rFonts w:asciiTheme="minorBidi" w:hAnsiTheme="minorBidi" w:cstheme="minorBidi"/>
          <w:sz w:val="22"/>
          <w:szCs w:val="22"/>
          <w:lang w:val="en-GB"/>
        </w:rPr>
        <w:t xml:space="preserve"> process</w:t>
      </w:r>
      <w:r w:rsidR="002C626F">
        <w:rPr>
          <w:rFonts w:asciiTheme="minorBidi" w:hAnsiTheme="minorBidi" w:cstheme="minorBidi"/>
          <w:sz w:val="22"/>
          <w:szCs w:val="22"/>
          <w:lang w:val="en-GB"/>
        </w:rPr>
        <w:t xml:space="preserve"> (</w:t>
      </w:r>
      <w:r w:rsidR="00F81117">
        <w:rPr>
          <w:rFonts w:asciiTheme="minorBidi" w:hAnsiTheme="minorBidi" w:cstheme="minorBidi"/>
          <w:sz w:val="22"/>
          <w:szCs w:val="22"/>
          <w:lang w:val="en-GB"/>
        </w:rPr>
        <w:t xml:space="preserve">running </w:t>
      </w:r>
      <w:r w:rsidR="002C626F">
        <w:rPr>
          <w:rFonts w:asciiTheme="minorBidi" w:hAnsiTheme="minorBidi" w:cstheme="minorBidi"/>
          <w:sz w:val="22"/>
          <w:szCs w:val="22"/>
          <w:lang w:val="en-GB"/>
        </w:rPr>
        <w:t xml:space="preserve">from February to October 2022), as </w:t>
      </w:r>
      <w:r w:rsidR="00F81117">
        <w:rPr>
          <w:rFonts w:asciiTheme="minorBidi" w:hAnsiTheme="minorBidi" w:cstheme="minorBidi"/>
          <w:sz w:val="22"/>
          <w:szCs w:val="22"/>
          <w:lang w:val="en-GB"/>
        </w:rPr>
        <w:t>demonstrated</w:t>
      </w:r>
      <w:r w:rsidR="002C626F">
        <w:rPr>
          <w:rFonts w:asciiTheme="minorBidi" w:hAnsiTheme="minorBidi" w:cstheme="minorBidi"/>
          <w:sz w:val="22"/>
          <w:szCs w:val="22"/>
          <w:lang w:val="en-GB"/>
        </w:rPr>
        <w:t xml:space="preserve"> below</w:t>
      </w:r>
      <w:r w:rsidR="005C2249">
        <w:rPr>
          <w:rFonts w:asciiTheme="minorBidi" w:hAnsiTheme="minorBidi" w:cstheme="minorBidi"/>
          <w:sz w:val="22"/>
          <w:szCs w:val="22"/>
          <w:lang w:val="en-GB"/>
        </w:rPr>
        <w:t>:</w:t>
      </w:r>
    </w:p>
    <w:p w14:paraId="2744169B" w14:textId="375498D4" w:rsidR="001614BE" w:rsidRDefault="005C73B3" w:rsidP="001479C0">
      <w:pPr>
        <w:pStyle w:val="Sansinterligne2"/>
        <w:spacing w:before="240" w:after="120"/>
        <w:jc w:val="center"/>
        <w:rPr>
          <w:rFonts w:asciiTheme="minorBidi" w:hAnsiTheme="minorBidi" w:cstheme="minorBidi"/>
          <w:sz w:val="22"/>
          <w:szCs w:val="22"/>
          <w:lang w:val="en-GB"/>
        </w:rPr>
      </w:pPr>
      <w:r>
        <w:rPr>
          <w:noProof/>
        </w:rPr>
        <w:lastRenderedPageBreak/>
        <w:drawing>
          <wp:inline distT="0" distB="0" distL="0" distR="0" wp14:anchorId="3CE25527" wp14:editId="22160F51">
            <wp:extent cx="5056496" cy="2304227"/>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6635" cy="2345303"/>
                    </a:xfrm>
                    <a:prstGeom prst="rect">
                      <a:avLst/>
                    </a:prstGeom>
                    <a:noFill/>
                    <a:ln>
                      <a:noFill/>
                    </a:ln>
                  </pic:spPr>
                </pic:pic>
              </a:graphicData>
            </a:graphic>
          </wp:inline>
        </w:drawing>
      </w:r>
    </w:p>
    <w:p w14:paraId="25B981D1" w14:textId="3FD3FEAE" w:rsidR="000805F1" w:rsidRDefault="0099520B" w:rsidP="00396894">
      <w:pPr>
        <w:pStyle w:val="Sansinterligne2"/>
        <w:numPr>
          <w:ilvl w:val="0"/>
          <w:numId w:val="23"/>
        </w:numPr>
        <w:spacing w:after="120"/>
        <w:ind w:left="567" w:hanging="567"/>
        <w:jc w:val="both"/>
        <w:rPr>
          <w:rFonts w:asciiTheme="minorBidi" w:hAnsiTheme="minorBidi" w:cstheme="minorBidi"/>
          <w:sz w:val="22"/>
          <w:szCs w:val="22"/>
          <w:lang w:val="en-GB"/>
        </w:rPr>
      </w:pPr>
      <w:r w:rsidRPr="001479C0">
        <w:rPr>
          <w:rFonts w:asciiTheme="minorBidi" w:hAnsiTheme="minorBidi" w:cstheme="minorBidi"/>
          <w:sz w:val="22"/>
          <w:szCs w:val="22"/>
          <w:lang w:val="en-GB"/>
        </w:rPr>
        <w:t xml:space="preserve">Following an online introductory session </w:t>
      </w:r>
      <w:r w:rsidR="002F700E">
        <w:rPr>
          <w:rFonts w:asciiTheme="minorBidi" w:hAnsiTheme="minorBidi" w:cstheme="minorBidi"/>
          <w:sz w:val="22"/>
          <w:szCs w:val="22"/>
          <w:lang w:val="en-GB"/>
        </w:rPr>
        <w:t>(</w:t>
      </w:r>
      <w:r w:rsidRPr="001479C0">
        <w:rPr>
          <w:rFonts w:asciiTheme="minorBidi" w:hAnsiTheme="minorBidi" w:cstheme="minorBidi"/>
          <w:sz w:val="22"/>
          <w:szCs w:val="22"/>
          <w:lang w:val="en-GB"/>
        </w:rPr>
        <w:t>15 February 2022</w:t>
      </w:r>
      <w:r w:rsidR="002F700E">
        <w:rPr>
          <w:rFonts w:asciiTheme="minorBidi" w:hAnsiTheme="minorBidi" w:cstheme="minorBidi"/>
          <w:sz w:val="22"/>
          <w:szCs w:val="22"/>
          <w:lang w:val="en-GB"/>
        </w:rPr>
        <w:t>)</w:t>
      </w:r>
      <w:r w:rsidRPr="001479C0">
        <w:rPr>
          <w:rFonts w:asciiTheme="minorBidi" w:hAnsiTheme="minorBidi" w:cstheme="minorBidi"/>
          <w:sz w:val="22"/>
          <w:szCs w:val="22"/>
          <w:lang w:val="en-GB"/>
        </w:rPr>
        <w:t>,</w:t>
      </w:r>
      <w:r w:rsidR="000805F1">
        <w:rPr>
          <w:rFonts w:asciiTheme="minorBidi" w:hAnsiTheme="minorBidi" w:cstheme="minorBidi"/>
          <w:sz w:val="22"/>
          <w:szCs w:val="22"/>
          <w:lang w:val="en-GB"/>
        </w:rPr>
        <w:t xml:space="preserve"> </w:t>
      </w:r>
      <w:r w:rsidR="00D95346">
        <w:rPr>
          <w:rFonts w:asciiTheme="minorBidi" w:hAnsiTheme="minorBidi" w:cstheme="minorBidi"/>
          <w:sz w:val="22"/>
          <w:szCs w:val="22"/>
          <w:lang w:val="en-GB"/>
        </w:rPr>
        <w:t xml:space="preserve">a five-day training </w:t>
      </w:r>
      <w:r w:rsidR="00F81117">
        <w:rPr>
          <w:rFonts w:asciiTheme="minorBidi" w:hAnsiTheme="minorBidi" w:cstheme="minorBidi"/>
          <w:sz w:val="22"/>
          <w:szCs w:val="22"/>
          <w:lang w:val="en-GB"/>
        </w:rPr>
        <w:t xml:space="preserve">session </w:t>
      </w:r>
      <w:r w:rsidR="00D95346" w:rsidRPr="001479C0">
        <w:rPr>
          <w:rFonts w:asciiTheme="minorBidi" w:hAnsiTheme="minorBidi" w:cstheme="minorBidi"/>
          <w:sz w:val="22"/>
          <w:szCs w:val="22"/>
          <w:lang w:val="en-GB"/>
        </w:rPr>
        <w:t xml:space="preserve">brought together </w:t>
      </w:r>
      <w:r w:rsidR="00F81117">
        <w:rPr>
          <w:rFonts w:asciiTheme="minorBidi" w:hAnsiTheme="minorBidi" w:cstheme="minorBidi"/>
          <w:sz w:val="22"/>
          <w:szCs w:val="22"/>
          <w:lang w:val="en-GB"/>
        </w:rPr>
        <w:t>eighteen</w:t>
      </w:r>
      <w:r w:rsidR="00F81117" w:rsidRPr="001479C0">
        <w:rPr>
          <w:rFonts w:asciiTheme="minorBidi" w:hAnsiTheme="minorBidi" w:cstheme="minorBidi"/>
          <w:sz w:val="22"/>
          <w:szCs w:val="22"/>
          <w:lang w:val="en-GB"/>
        </w:rPr>
        <w:t xml:space="preserve"> </w:t>
      </w:r>
      <w:r w:rsidR="00D95346" w:rsidRPr="001479C0">
        <w:rPr>
          <w:rFonts w:asciiTheme="minorBidi" w:hAnsiTheme="minorBidi" w:cstheme="minorBidi"/>
          <w:sz w:val="22"/>
          <w:szCs w:val="22"/>
          <w:lang w:val="en-GB"/>
        </w:rPr>
        <w:t xml:space="preserve">country focal points, </w:t>
      </w:r>
      <w:r w:rsidR="00D95346" w:rsidRPr="00785E7E">
        <w:rPr>
          <w:rFonts w:asciiTheme="minorBidi" w:hAnsiTheme="minorBidi" w:cstheme="minorBidi"/>
          <w:sz w:val="22"/>
          <w:szCs w:val="22"/>
          <w:lang w:val="en-GB"/>
        </w:rPr>
        <w:t xml:space="preserve">representing all </w:t>
      </w:r>
      <w:r w:rsidR="00F81117" w:rsidRPr="00785E7E">
        <w:rPr>
          <w:rFonts w:asciiTheme="minorBidi" w:hAnsiTheme="minorBidi" w:cstheme="minorBidi"/>
          <w:sz w:val="22"/>
          <w:szCs w:val="22"/>
          <w:lang w:val="en-GB"/>
        </w:rPr>
        <w:t xml:space="preserve">the </w:t>
      </w:r>
      <w:r w:rsidR="00D95346" w:rsidRPr="00785E7E">
        <w:rPr>
          <w:rFonts w:asciiTheme="minorBidi" w:hAnsiTheme="minorBidi" w:cstheme="minorBidi"/>
          <w:sz w:val="22"/>
          <w:szCs w:val="22"/>
          <w:lang w:val="en-GB"/>
        </w:rPr>
        <w:t xml:space="preserve">States Parties of Electoral </w:t>
      </w:r>
      <w:r w:rsidR="00903C78" w:rsidRPr="00785E7E">
        <w:rPr>
          <w:rFonts w:asciiTheme="minorBidi" w:hAnsiTheme="minorBidi" w:cstheme="minorBidi"/>
          <w:sz w:val="22"/>
          <w:szCs w:val="22"/>
          <w:lang w:val="en-GB"/>
        </w:rPr>
        <w:t>Group</w:t>
      </w:r>
      <w:r w:rsidR="00903C78">
        <w:rPr>
          <w:rFonts w:asciiTheme="minorBidi" w:hAnsiTheme="minorBidi" w:cstheme="minorBidi"/>
          <w:sz w:val="22"/>
          <w:szCs w:val="22"/>
          <w:lang w:val="en-GB"/>
        </w:rPr>
        <w:t> </w:t>
      </w:r>
      <w:r w:rsidR="00903C78" w:rsidRPr="00785E7E">
        <w:rPr>
          <w:rFonts w:asciiTheme="minorBidi" w:hAnsiTheme="minorBidi" w:cstheme="minorBidi"/>
          <w:sz w:val="22"/>
          <w:szCs w:val="22"/>
          <w:lang w:val="en-GB"/>
        </w:rPr>
        <w:t>V</w:t>
      </w:r>
      <w:r w:rsidR="00903C78">
        <w:rPr>
          <w:rFonts w:asciiTheme="minorBidi" w:hAnsiTheme="minorBidi" w:cstheme="minorBidi"/>
          <w:sz w:val="22"/>
          <w:szCs w:val="22"/>
          <w:lang w:val="en-GB"/>
        </w:rPr>
        <w:t> </w:t>
      </w:r>
      <w:r w:rsidR="00D95346" w:rsidRPr="00785E7E">
        <w:rPr>
          <w:rFonts w:asciiTheme="minorBidi" w:hAnsiTheme="minorBidi" w:cstheme="minorBidi"/>
          <w:sz w:val="22"/>
          <w:szCs w:val="22"/>
          <w:lang w:val="en-GB"/>
        </w:rPr>
        <w:t xml:space="preserve">(b). </w:t>
      </w:r>
      <w:r w:rsidR="009150FF" w:rsidRPr="00785E7E">
        <w:rPr>
          <w:rFonts w:asciiTheme="minorBidi" w:hAnsiTheme="minorBidi" w:cstheme="minorBidi"/>
          <w:sz w:val="22"/>
          <w:szCs w:val="22"/>
          <w:lang w:val="en-GB"/>
        </w:rPr>
        <w:t xml:space="preserve">The training was made possible thanks to the generous support and hospitality of the </w:t>
      </w:r>
      <w:r w:rsidR="009150FF" w:rsidRPr="00785E7E">
        <w:rPr>
          <w:rStyle w:val="normaltextrun"/>
          <w:rFonts w:asciiTheme="minorBidi" w:hAnsiTheme="minorBidi" w:cstheme="minorBidi"/>
          <w:sz w:val="22"/>
          <w:szCs w:val="22"/>
          <w:lang w:val="en-GB"/>
        </w:rPr>
        <w:t>Sharjah Institute for Heritage.</w:t>
      </w:r>
      <w:r w:rsidR="009150FF" w:rsidRPr="00785E7E">
        <w:rPr>
          <w:rFonts w:asciiTheme="minorBidi" w:hAnsiTheme="minorBidi" w:cstheme="minorBidi"/>
          <w:sz w:val="22"/>
          <w:szCs w:val="22"/>
          <w:lang w:val="en-GB"/>
        </w:rPr>
        <w:t xml:space="preserve"> </w:t>
      </w:r>
      <w:r w:rsidR="00D95346" w:rsidRPr="00785E7E">
        <w:rPr>
          <w:rFonts w:asciiTheme="minorBidi" w:hAnsiTheme="minorBidi" w:cstheme="minorBidi"/>
          <w:sz w:val="22"/>
          <w:szCs w:val="22"/>
          <w:lang w:val="en-GB"/>
        </w:rPr>
        <w:t>Given the ongoing COVID</w:t>
      </w:r>
      <w:r w:rsidR="00D95346">
        <w:rPr>
          <w:rFonts w:asciiTheme="minorBidi" w:hAnsiTheme="minorBidi" w:cstheme="minorBidi"/>
          <w:sz w:val="22"/>
          <w:szCs w:val="22"/>
          <w:lang w:val="en-GB"/>
        </w:rPr>
        <w:t xml:space="preserve">-19 pandemic, the meeting was </w:t>
      </w:r>
      <w:r w:rsidR="00F81117">
        <w:rPr>
          <w:rFonts w:asciiTheme="minorBidi" w:hAnsiTheme="minorBidi" w:cstheme="minorBidi"/>
          <w:sz w:val="22"/>
          <w:szCs w:val="22"/>
          <w:lang w:val="en-GB"/>
        </w:rPr>
        <w:t xml:space="preserve">conducted </w:t>
      </w:r>
      <w:r w:rsidR="00D95346">
        <w:rPr>
          <w:rFonts w:asciiTheme="minorBidi" w:hAnsiTheme="minorBidi" w:cstheme="minorBidi"/>
          <w:sz w:val="22"/>
          <w:szCs w:val="22"/>
          <w:lang w:val="en-GB"/>
        </w:rPr>
        <w:t>in a hybrid format (</w:t>
      </w:r>
      <w:r w:rsidR="00D95346" w:rsidRPr="00D95346">
        <w:rPr>
          <w:rFonts w:asciiTheme="minorBidi" w:hAnsiTheme="minorBidi" w:cstheme="minorBidi"/>
          <w:sz w:val="22"/>
          <w:szCs w:val="22"/>
          <w:lang w:val="en-GB"/>
        </w:rPr>
        <w:t>Sharjah, the United Arab Emirates</w:t>
      </w:r>
      <w:r w:rsidR="00D95346">
        <w:rPr>
          <w:rFonts w:asciiTheme="minorBidi" w:hAnsiTheme="minorBidi" w:cstheme="minorBidi"/>
          <w:sz w:val="22"/>
          <w:szCs w:val="22"/>
          <w:lang w:val="en-GB"/>
        </w:rPr>
        <w:t>,</w:t>
      </w:r>
      <w:r w:rsidR="00D95346" w:rsidRPr="00D95346">
        <w:rPr>
          <w:rFonts w:asciiTheme="minorBidi" w:hAnsiTheme="minorBidi" w:cstheme="minorBidi"/>
          <w:sz w:val="22"/>
          <w:szCs w:val="22"/>
          <w:lang w:val="en-GB"/>
        </w:rPr>
        <w:t xml:space="preserve"> </w:t>
      </w:r>
      <w:r w:rsidR="00F81117">
        <w:rPr>
          <w:rFonts w:asciiTheme="minorBidi" w:hAnsiTheme="minorBidi" w:cstheme="minorBidi"/>
          <w:sz w:val="22"/>
          <w:szCs w:val="22"/>
          <w:lang w:val="en-GB"/>
        </w:rPr>
        <w:t xml:space="preserve">from </w:t>
      </w:r>
      <w:r w:rsidR="00D95346" w:rsidRPr="00D95346">
        <w:rPr>
          <w:rFonts w:asciiTheme="minorBidi" w:hAnsiTheme="minorBidi" w:cstheme="minorBidi"/>
          <w:sz w:val="22"/>
          <w:szCs w:val="22"/>
          <w:lang w:val="en-GB"/>
        </w:rPr>
        <w:t xml:space="preserve">21 </w:t>
      </w:r>
      <w:r w:rsidR="00F81117">
        <w:rPr>
          <w:rFonts w:asciiTheme="minorBidi" w:hAnsiTheme="minorBidi" w:cstheme="minorBidi"/>
          <w:snapToGrid w:val="0"/>
          <w:sz w:val="22"/>
          <w:szCs w:val="22"/>
          <w:lang w:val="en-GB" w:eastAsia="en-US"/>
        </w:rPr>
        <w:t>to</w:t>
      </w:r>
      <w:r w:rsidR="00D95346" w:rsidRPr="00D95346">
        <w:rPr>
          <w:rFonts w:asciiTheme="minorBidi" w:hAnsiTheme="minorBidi" w:cstheme="minorBidi"/>
          <w:sz w:val="22"/>
          <w:szCs w:val="22"/>
          <w:lang w:val="en-GB"/>
        </w:rPr>
        <w:t xml:space="preserve"> 25 March 2022</w:t>
      </w:r>
      <w:r w:rsidR="00D95346">
        <w:rPr>
          <w:rFonts w:asciiTheme="minorBidi" w:hAnsiTheme="minorBidi" w:cstheme="minorBidi"/>
          <w:sz w:val="22"/>
          <w:szCs w:val="22"/>
          <w:lang w:val="en-GB"/>
        </w:rPr>
        <w:t>)</w:t>
      </w:r>
      <w:r w:rsidR="009150FF">
        <w:rPr>
          <w:rFonts w:asciiTheme="minorBidi" w:hAnsiTheme="minorBidi" w:cstheme="minorBidi"/>
          <w:sz w:val="22"/>
          <w:szCs w:val="22"/>
          <w:lang w:val="en-GB"/>
        </w:rPr>
        <w:t>.</w:t>
      </w:r>
      <w:r w:rsidR="009150FF" w:rsidRPr="009150FF">
        <w:rPr>
          <w:rFonts w:ascii="Arial" w:hAnsi="Arial"/>
          <w:bCs/>
          <w:sz w:val="22"/>
          <w:szCs w:val="22"/>
          <w:lang w:val="en-GB"/>
        </w:rPr>
        <w:t xml:space="preserve"> </w:t>
      </w:r>
      <w:r w:rsidR="0009726B">
        <w:rPr>
          <w:rFonts w:ascii="Arial" w:hAnsi="Arial"/>
          <w:bCs/>
          <w:sz w:val="22"/>
          <w:szCs w:val="22"/>
          <w:lang w:val="en-GB"/>
        </w:rPr>
        <w:t xml:space="preserve">Supported by </w:t>
      </w:r>
      <w:r w:rsidR="00F24DF3">
        <w:rPr>
          <w:rFonts w:ascii="Arial" w:hAnsi="Arial"/>
          <w:bCs/>
          <w:sz w:val="22"/>
          <w:szCs w:val="22"/>
          <w:lang w:val="en-GB"/>
        </w:rPr>
        <w:t xml:space="preserve">training </w:t>
      </w:r>
      <w:r w:rsidR="0009726B">
        <w:rPr>
          <w:rFonts w:ascii="Arial" w:hAnsi="Arial"/>
          <w:bCs/>
          <w:sz w:val="22"/>
          <w:szCs w:val="22"/>
          <w:lang w:val="en-GB"/>
        </w:rPr>
        <w:t>materials</w:t>
      </w:r>
      <w:r w:rsidR="00F81117">
        <w:rPr>
          <w:rFonts w:ascii="Arial" w:hAnsi="Arial"/>
          <w:bCs/>
          <w:sz w:val="22"/>
          <w:szCs w:val="22"/>
          <w:lang w:val="en-GB"/>
        </w:rPr>
        <w:t xml:space="preserve"> available</w:t>
      </w:r>
      <w:r w:rsidR="0009726B">
        <w:rPr>
          <w:rFonts w:ascii="Arial" w:hAnsi="Arial"/>
          <w:bCs/>
          <w:sz w:val="22"/>
          <w:szCs w:val="22"/>
          <w:lang w:val="en-GB"/>
        </w:rPr>
        <w:t xml:space="preserve"> in Arabic, French and English, t</w:t>
      </w:r>
      <w:r w:rsidR="009150FF" w:rsidRPr="001479C0">
        <w:rPr>
          <w:rFonts w:ascii="Arial" w:hAnsi="Arial"/>
          <w:bCs/>
          <w:sz w:val="22"/>
          <w:szCs w:val="22"/>
          <w:lang w:val="en-GB"/>
        </w:rPr>
        <w:t xml:space="preserve">he training </w:t>
      </w:r>
      <w:r w:rsidR="00F81117">
        <w:rPr>
          <w:rFonts w:ascii="Arial" w:hAnsi="Arial"/>
          <w:bCs/>
          <w:sz w:val="22"/>
          <w:szCs w:val="22"/>
          <w:lang w:val="en-GB"/>
        </w:rPr>
        <w:t xml:space="preserve">session </w:t>
      </w:r>
      <w:r w:rsidR="009150FF" w:rsidRPr="001479C0">
        <w:rPr>
          <w:rFonts w:ascii="Arial" w:hAnsi="Arial"/>
          <w:bCs/>
          <w:sz w:val="22"/>
          <w:szCs w:val="22"/>
          <w:lang w:val="en-GB"/>
        </w:rPr>
        <w:t>combin</w:t>
      </w:r>
      <w:r w:rsidR="009150FF" w:rsidRPr="00597808">
        <w:rPr>
          <w:rFonts w:ascii="Arial" w:hAnsi="Arial"/>
          <w:bCs/>
          <w:sz w:val="22"/>
          <w:szCs w:val="22"/>
          <w:lang w:val="en-GB"/>
        </w:rPr>
        <w:t>ed</w:t>
      </w:r>
      <w:r w:rsidR="009150FF" w:rsidRPr="001479C0">
        <w:rPr>
          <w:rFonts w:ascii="Arial" w:hAnsi="Arial"/>
          <w:bCs/>
          <w:sz w:val="22"/>
          <w:szCs w:val="22"/>
          <w:lang w:val="en-GB"/>
        </w:rPr>
        <w:t xml:space="preserve"> lectures and interactive exchange session</w:t>
      </w:r>
      <w:r w:rsidR="009150FF" w:rsidRPr="00597808">
        <w:rPr>
          <w:rFonts w:ascii="Arial" w:hAnsi="Arial"/>
          <w:bCs/>
          <w:sz w:val="22"/>
          <w:szCs w:val="22"/>
          <w:lang w:val="en-GB"/>
        </w:rPr>
        <w:t>s</w:t>
      </w:r>
      <w:r w:rsidR="009150FF" w:rsidRPr="001479C0">
        <w:rPr>
          <w:rFonts w:ascii="Arial" w:hAnsi="Arial"/>
          <w:bCs/>
          <w:sz w:val="22"/>
          <w:szCs w:val="22"/>
          <w:lang w:val="en-GB"/>
        </w:rPr>
        <w:t xml:space="preserve"> on core knowledge and concepts, </w:t>
      </w:r>
      <w:r w:rsidR="009150FF">
        <w:rPr>
          <w:rFonts w:ascii="Arial" w:hAnsi="Arial"/>
          <w:bCs/>
          <w:sz w:val="22"/>
          <w:szCs w:val="22"/>
          <w:lang w:val="en-GB"/>
        </w:rPr>
        <w:t>complemented by</w:t>
      </w:r>
      <w:r w:rsidR="009150FF" w:rsidRPr="001479C0">
        <w:rPr>
          <w:rFonts w:ascii="Arial" w:hAnsi="Arial"/>
          <w:bCs/>
          <w:sz w:val="22"/>
          <w:szCs w:val="22"/>
          <w:lang w:val="en-GB"/>
        </w:rPr>
        <w:t xml:space="preserve"> hands-on exercises using the online periodic reporting form</w:t>
      </w:r>
      <w:r w:rsidR="009150FF" w:rsidRPr="00597808">
        <w:rPr>
          <w:rFonts w:ascii="Arial" w:hAnsi="Arial"/>
          <w:bCs/>
          <w:sz w:val="22"/>
          <w:szCs w:val="22"/>
          <w:lang w:val="en-GB"/>
        </w:rPr>
        <w:t>.</w:t>
      </w:r>
      <w:r w:rsidR="009150FF" w:rsidRPr="001479C0">
        <w:rPr>
          <w:rFonts w:ascii="Arial" w:hAnsi="Arial"/>
          <w:bCs/>
          <w:sz w:val="22"/>
          <w:szCs w:val="22"/>
          <w:lang w:val="en-GB"/>
        </w:rPr>
        <w:t xml:space="preserve"> </w:t>
      </w:r>
      <w:r w:rsidR="009150FF">
        <w:rPr>
          <w:rFonts w:ascii="Arial" w:hAnsi="Arial"/>
          <w:bCs/>
          <w:sz w:val="22"/>
          <w:szCs w:val="22"/>
          <w:lang w:val="en-GB"/>
        </w:rPr>
        <w:t xml:space="preserve">Furthermore, </w:t>
      </w:r>
      <w:r w:rsidR="00F81117">
        <w:rPr>
          <w:rFonts w:ascii="Arial" w:hAnsi="Arial"/>
          <w:bCs/>
          <w:sz w:val="22"/>
          <w:szCs w:val="22"/>
          <w:lang w:val="en-GB"/>
        </w:rPr>
        <w:t xml:space="preserve">there was </w:t>
      </w:r>
      <w:r w:rsidR="0009726B">
        <w:rPr>
          <w:rFonts w:ascii="Arial" w:hAnsi="Arial"/>
          <w:bCs/>
          <w:sz w:val="22"/>
          <w:szCs w:val="22"/>
          <w:lang w:val="en-GB"/>
        </w:rPr>
        <w:t xml:space="preserve">an </w:t>
      </w:r>
      <w:r w:rsidR="009150FF">
        <w:rPr>
          <w:rFonts w:ascii="Arial" w:hAnsi="Arial"/>
          <w:bCs/>
          <w:sz w:val="22"/>
          <w:szCs w:val="22"/>
          <w:lang w:val="en-GB"/>
        </w:rPr>
        <w:t xml:space="preserve">emphasis on </w:t>
      </w:r>
      <w:r w:rsidR="009150FF" w:rsidRPr="001479C0">
        <w:rPr>
          <w:rFonts w:ascii="Arial" w:hAnsi="Arial"/>
          <w:bCs/>
          <w:sz w:val="22"/>
          <w:szCs w:val="22"/>
          <w:lang w:val="en-GB"/>
        </w:rPr>
        <w:t>peer learning in three sub-regional groups</w:t>
      </w:r>
      <w:r w:rsidR="009150FF" w:rsidRPr="00597808">
        <w:rPr>
          <w:rFonts w:ascii="Arial" w:hAnsi="Arial"/>
          <w:bCs/>
          <w:sz w:val="22"/>
          <w:szCs w:val="22"/>
          <w:lang w:val="en-GB"/>
        </w:rPr>
        <w:t>.</w:t>
      </w:r>
      <w:r w:rsidR="00087FF9">
        <w:rPr>
          <w:rFonts w:ascii="Arial" w:hAnsi="Arial"/>
          <w:bCs/>
          <w:sz w:val="22"/>
          <w:szCs w:val="22"/>
          <w:lang w:val="en-GB"/>
        </w:rPr>
        <w:t xml:space="preserve"> </w:t>
      </w:r>
      <w:r w:rsidR="0009726B">
        <w:rPr>
          <w:rFonts w:ascii="Arial" w:hAnsi="Arial"/>
          <w:bCs/>
          <w:sz w:val="22"/>
          <w:szCs w:val="22"/>
          <w:lang w:val="en-GB"/>
        </w:rPr>
        <w:t xml:space="preserve">The </w:t>
      </w:r>
      <w:r w:rsidR="00F81117">
        <w:rPr>
          <w:rFonts w:ascii="Arial" w:hAnsi="Arial"/>
          <w:bCs/>
          <w:sz w:val="22"/>
          <w:szCs w:val="22"/>
          <w:lang w:val="en-GB"/>
        </w:rPr>
        <w:t xml:space="preserve">participants of the </w:t>
      </w:r>
      <w:r w:rsidR="0009726B">
        <w:rPr>
          <w:rFonts w:ascii="Arial" w:hAnsi="Arial"/>
          <w:bCs/>
          <w:sz w:val="22"/>
          <w:szCs w:val="22"/>
          <w:lang w:val="en-GB"/>
        </w:rPr>
        <w:t xml:space="preserve">training </w:t>
      </w:r>
      <w:r w:rsidR="00F81117">
        <w:rPr>
          <w:rFonts w:ascii="Arial" w:hAnsi="Arial"/>
          <w:bCs/>
          <w:sz w:val="22"/>
          <w:szCs w:val="22"/>
          <w:lang w:val="en-GB"/>
        </w:rPr>
        <w:t xml:space="preserve">session </w:t>
      </w:r>
      <w:r w:rsidR="0009726B">
        <w:rPr>
          <w:rFonts w:ascii="Arial" w:hAnsi="Arial"/>
          <w:bCs/>
          <w:sz w:val="22"/>
          <w:szCs w:val="22"/>
          <w:lang w:val="en-GB"/>
        </w:rPr>
        <w:t xml:space="preserve">included </w:t>
      </w:r>
      <w:r w:rsidR="00087FF9">
        <w:rPr>
          <w:rFonts w:ascii="Arial" w:hAnsi="Arial"/>
          <w:bCs/>
          <w:sz w:val="22"/>
          <w:szCs w:val="22"/>
          <w:lang w:val="en-GB"/>
        </w:rPr>
        <w:t>twenty observer officials from ministries, National Commissions for UNESCO and other regional organizations, together with six culture specialists from UNESCO field offices in the region.</w:t>
      </w:r>
    </w:p>
    <w:p w14:paraId="0B2A5932" w14:textId="34C1DC9D" w:rsidR="009F7954" w:rsidRDefault="00BF73A6" w:rsidP="00396894">
      <w:pPr>
        <w:pStyle w:val="Sansinterligne2"/>
        <w:numPr>
          <w:ilvl w:val="0"/>
          <w:numId w:val="23"/>
        </w:numPr>
        <w:ind w:left="567" w:hanging="567"/>
        <w:jc w:val="both"/>
        <w:rPr>
          <w:rFonts w:ascii="Arial" w:hAnsi="Arial"/>
          <w:bCs/>
          <w:sz w:val="22"/>
          <w:szCs w:val="22"/>
          <w:lang w:val="en-GB"/>
        </w:rPr>
      </w:pPr>
      <w:r w:rsidRPr="006E65B4">
        <w:rPr>
          <w:rFonts w:ascii="Arial" w:hAnsi="Arial"/>
          <w:bCs/>
          <w:sz w:val="22"/>
          <w:szCs w:val="22"/>
          <w:lang w:val="en-GB"/>
        </w:rPr>
        <w:t>After the</w:t>
      </w:r>
      <w:r w:rsidR="002F700E">
        <w:rPr>
          <w:rFonts w:ascii="Arial" w:hAnsi="Arial"/>
          <w:bCs/>
          <w:sz w:val="22"/>
          <w:szCs w:val="22"/>
          <w:lang w:val="en-GB"/>
        </w:rPr>
        <w:t xml:space="preserve"> </w:t>
      </w:r>
      <w:r w:rsidRPr="006E65B4">
        <w:rPr>
          <w:rFonts w:ascii="Arial" w:hAnsi="Arial"/>
          <w:bCs/>
          <w:sz w:val="22"/>
          <w:szCs w:val="22"/>
          <w:lang w:val="en-GB"/>
        </w:rPr>
        <w:t>training</w:t>
      </w:r>
      <w:r w:rsidR="002F700E">
        <w:rPr>
          <w:rFonts w:ascii="Arial" w:hAnsi="Arial"/>
          <w:bCs/>
          <w:sz w:val="22"/>
          <w:szCs w:val="22"/>
          <w:lang w:val="en-GB"/>
        </w:rPr>
        <w:t xml:space="preserve"> at the regional level</w:t>
      </w:r>
      <w:r w:rsidRPr="006E65B4">
        <w:rPr>
          <w:rFonts w:ascii="Arial" w:hAnsi="Arial"/>
          <w:bCs/>
          <w:sz w:val="22"/>
          <w:szCs w:val="22"/>
          <w:lang w:val="en-GB"/>
        </w:rPr>
        <w:t xml:space="preserve">, </w:t>
      </w:r>
      <w:r w:rsidR="001614BE" w:rsidRPr="006E65B4">
        <w:rPr>
          <w:rFonts w:ascii="Arial" w:hAnsi="Arial"/>
          <w:bCs/>
          <w:sz w:val="22"/>
          <w:szCs w:val="22"/>
          <w:lang w:val="en-GB"/>
        </w:rPr>
        <w:t>the sub-</w:t>
      </w:r>
      <w:r w:rsidR="001614BE" w:rsidRPr="00597808">
        <w:rPr>
          <w:rFonts w:ascii="Arial" w:hAnsi="Arial"/>
          <w:bCs/>
          <w:sz w:val="22"/>
          <w:szCs w:val="22"/>
          <w:lang w:val="en-GB"/>
        </w:rPr>
        <w:t xml:space="preserve">regional groups continued their exchanges </w:t>
      </w:r>
      <w:r w:rsidR="00F81117">
        <w:rPr>
          <w:rFonts w:ascii="Arial" w:hAnsi="Arial"/>
          <w:bCs/>
          <w:sz w:val="22"/>
          <w:szCs w:val="22"/>
          <w:lang w:val="en-GB"/>
        </w:rPr>
        <w:t>through</w:t>
      </w:r>
      <w:r w:rsidR="00F81117" w:rsidRPr="00597808">
        <w:rPr>
          <w:rFonts w:ascii="Arial" w:hAnsi="Arial"/>
          <w:bCs/>
          <w:sz w:val="22"/>
          <w:szCs w:val="22"/>
          <w:lang w:val="en-GB"/>
        </w:rPr>
        <w:t xml:space="preserve"> </w:t>
      </w:r>
      <w:r w:rsidR="0099520B" w:rsidRPr="001479C0">
        <w:rPr>
          <w:rFonts w:ascii="Arial" w:hAnsi="Arial"/>
          <w:bCs/>
          <w:sz w:val="22"/>
          <w:szCs w:val="22"/>
          <w:lang w:val="en-GB"/>
        </w:rPr>
        <w:t>monthly follow-up session</w:t>
      </w:r>
      <w:r w:rsidRPr="006E65B4">
        <w:rPr>
          <w:rFonts w:ascii="Arial" w:hAnsi="Arial"/>
          <w:bCs/>
          <w:sz w:val="22"/>
          <w:szCs w:val="22"/>
          <w:lang w:val="en-GB"/>
        </w:rPr>
        <w:t>s</w:t>
      </w:r>
      <w:r w:rsidR="0099520B" w:rsidRPr="001479C0">
        <w:rPr>
          <w:rFonts w:ascii="Arial" w:hAnsi="Arial"/>
          <w:bCs/>
          <w:sz w:val="22"/>
          <w:szCs w:val="22"/>
          <w:lang w:val="en-GB"/>
        </w:rPr>
        <w:t xml:space="preserve"> </w:t>
      </w:r>
      <w:r w:rsidR="001614BE" w:rsidRPr="006E65B4">
        <w:rPr>
          <w:rFonts w:ascii="Arial" w:hAnsi="Arial"/>
          <w:bCs/>
          <w:sz w:val="22"/>
          <w:szCs w:val="22"/>
          <w:lang w:val="en-GB"/>
        </w:rPr>
        <w:t>(</w:t>
      </w:r>
      <w:r w:rsidR="0099520B" w:rsidRPr="001479C0">
        <w:rPr>
          <w:rFonts w:ascii="Arial" w:hAnsi="Arial"/>
          <w:bCs/>
          <w:sz w:val="22"/>
          <w:szCs w:val="22"/>
          <w:lang w:val="en-GB"/>
        </w:rPr>
        <w:t>April to September 2022</w:t>
      </w:r>
      <w:r w:rsidR="001614BE" w:rsidRPr="006E65B4">
        <w:rPr>
          <w:rFonts w:ascii="Arial" w:hAnsi="Arial"/>
          <w:bCs/>
          <w:sz w:val="22"/>
          <w:szCs w:val="22"/>
          <w:lang w:val="en-GB"/>
        </w:rPr>
        <w:t>)</w:t>
      </w:r>
      <w:r w:rsidR="0099520B" w:rsidRPr="001479C0">
        <w:rPr>
          <w:rFonts w:ascii="Arial" w:hAnsi="Arial"/>
          <w:bCs/>
          <w:sz w:val="22"/>
          <w:szCs w:val="22"/>
          <w:lang w:val="en-GB"/>
        </w:rPr>
        <w:t>. The</w:t>
      </w:r>
      <w:r w:rsidR="00360945">
        <w:rPr>
          <w:rFonts w:ascii="Arial" w:hAnsi="Arial"/>
          <w:bCs/>
          <w:sz w:val="22"/>
          <w:szCs w:val="22"/>
          <w:lang w:val="en-GB"/>
        </w:rPr>
        <w:t>se</w:t>
      </w:r>
      <w:r w:rsidR="001614BE" w:rsidRPr="006E65B4">
        <w:rPr>
          <w:rFonts w:ascii="Arial" w:hAnsi="Arial"/>
          <w:bCs/>
          <w:sz w:val="22"/>
          <w:szCs w:val="22"/>
          <w:lang w:val="en-GB"/>
        </w:rPr>
        <w:t xml:space="preserve"> sessions</w:t>
      </w:r>
      <w:r w:rsidR="0099520B" w:rsidRPr="001479C0">
        <w:rPr>
          <w:rFonts w:ascii="Arial" w:hAnsi="Arial"/>
          <w:bCs/>
          <w:sz w:val="22"/>
          <w:szCs w:val="22"/>
          <w:lang w:val="en-GB"/>
        </w:rPr>
        <w:t xml:space="preserve"> allowed focal points to work together closely</w:t>
      </w:r>
      <w:r w:rsidR="00941812">
        <w:rPr>
          <w:rFonts w:ascii="Arial" w:hAnsi="Arial"/>
          <w:bCs/>
          <w:sz w:val="22"/>
          <w:szCs w:val="22"/>
          <w:lang w:val="en-GB"/>
        </w:rPr>
        <w:t>,</w:t>
      </w:r>
      <w:r w:rsidR="00B532E3" w:rsidRPr="006E65B4">
        <w:rPr>
          <w:rFonts w:ascii="Arial" w:hAnsi="Arial"/>
          <w:bCs/>
          <w:sz w:val="22"/>
          <w:szCs w:val="22"/>
          <w:lang w:val="en-GB"/>
        </w:rPr>
        <w:t xml:space="preserve"> </w:t>
      </w:r>
      <w:r w:rsidR="0099520B" w:rsidRPr="001479C0">
        <w:rPr>
          <w:rFonts w:ascii="Arial" w:hAnsi="Arial"/>
          <w:bCs/>
          <w:sz w:val="22"/>
          <w:szCs w:val="22"/>
          <w:lang w:val="en-GB"/>
        </w:rPr>
        <w:t>contribut</w:t>
      </w:r>
      <w:r w:rsidR="00941812">
        <w:rPr>
          <w:rFonts w:ascii="Arial" w:hAnsi="Arial"/>
          <w:bCs/>
          <w:sz w:val="22"/>
          <w:szCs w:val="22"/>
          <w:lang w:val="en-GB"/>
        </w:rPr>
        <w:t>ing</w:t>
      </w:r>
      <w:r w:rsidR="0099520B" w:rsidRPr="001479C0">
        <w:rPr>
          <w:rFonts w:ascii="Arial" w:hAnsi="Arial"/>
          <w:bCs/>
          <w:sz w:val="22"/>
          <w:szCs w:val="22"/>
          <w:lang w:val="en-GB"/>
        </w:rPr>
        <w:t xml:space="preserve"> significantly to strengthening the </w:t>
      </w:r>
      <w:r w:rsidR="00F81117">
        <w:rPr>
          <w:rFonts w:ascii="Arial" w:hAnsi="Arial"/>
          <w:bCs/>
          <w:sz w:val="22"/>
          <w:szCs w:val="22"/>
          <w:lang w:val="en-GB"/>
        </w:rPr>
        <w:t xml:space="preserve">exchange of </w:t>
      </w:r>
      <w:r w:rsidR="0099520B" w:rsidRPr="001479C0">
        <w:rPr>
          <w:rFonts w:ascii="Arial" w:hAnsi="Arial"/>
          <w:bCs/>
          <w:sz w:val="22"/>
          <w:szCs w:val="22"/>
          <w:lang w:val="en-GB"/>
        </w:rPr>
        <w:t xml:space="preserve">knowledge and experience across the region. The Secretariat provided additional support by organizing two online follow-up sessions </w:t>
      </w:r>
      <w:r w:rsidR="00B532E3" w:rsidRPr="006E65B4">
        <w:rPr>
          <w:rFonts w:ascii="Arial" w:hAnsi="Arial"/>
          <w:bCs/>
          <w:sz w:val="22"/>
          <w:szCs w:val="22"/>
          <w:lang w:val="en-GB"/>
        </w:rPr>
        <w:t xml:space="preserve">bringing together </w:t>
      </w:r>
      <w:r w:rsidR="001614BE" w:rsidRPr="00597808">
        <w:rPr>
          <w:rFonts w:ascii="Arial" w:hAnsi="Arial"/>
          <w:bCs/>
          <w:sz w:val="22"/>
          <w:szCs w:val="22"/>
          <w:lang w:val="en-GB"/>
        </w:rPr>
        <w:t xml:space="preserve">all </w:t>
      </w:r>
      <w:r w:rsidR="00B532E3" w:rsidRPr="00F90188">
        <w:rPr>
          <w:rFonts w:ascii="Arial" w:hAnsi="Arial"/>
          <w:bCs/>
          <w:sz w:val="22"/>
          <w:szCs w:val="22"/>
          <w:lang w:val="en-GB"/>
        </w:rPr>
        <w:t xml:space="preserve">the focal points and their teams from </w:t>
      </w:r>
      <w:r w:rsidR="001614BE" w:rsidRPr="00F90188">
        <w:rPr>
          <w:rFonts w:ascii="Arial" w:hAnsi="Arial"/>
          <w:bCs/>
          <w:sz w:val="22"/>
          <w:szCs w:val="22"/>
          <w:lang w:val="en-GB"/>
        </w:rPr>
        <w:t xml:space="preserve">the </w:t>
      </w:r>
      <w:r w:rsidR="00B532E3" w:rsidRPr="00F90188">
        <w:rPr>
          <w:rFonts w:ascii="Arial" w:hAnsi="Arial"/>
          <w:bCs/>
          <w:sz w:val="22"/>
          <w:szCs w:val="22"/>
          <w:lang w:val="en-GB"/>
        </w:rPr>
        <w:t>entire region</w:t>
      </w:r>
      <w:r w:rsidR="00B532E3" w:rsidRPr="006E65B4">
        <w:rPr>
          <w:rFonts w:ascii="Arial" w:hAnsi="Arial"/>
          <w:bCs/>
          <w:sz w:val="22"/>
          <w:szCs w:val="22"/>
          <w:lang w:val="en-GB"/>
        </w:rPr>
        <w:t xml:space="preserve"> to facilitate further exchange</w:t>
      </w:r>
      <w:r w:rsidR="00451E1F">
        <w:rPr>
          <w:rFonts w:ascii="Arial" w:hAnsi="Arial"/>
          <w:bCs/>
          <w:sz w:val="22"/>
          <w:szCs w:val="22"/>
          <w:lang w:val="en-GB"/>
        </w:rPr>
        <w:t>s</w:t>
      </w:r>
      <w:r w:rsidR="00B532E3" w:rsidRPr="006E65B4">
        <w:rPr>
          <w:rFonts w:ascii="Arial" w:hAnsi="Arial"/>
          <w:bCs/>
          <w:sz w:val="22"/>
          <w:szCs w:val="22"/>
          <w:lang w:val="en-GB"/>
        </w:rPr>
        <w:t xml:space="preserve"> and peer-learning (</w:t>
      </w:r>
      <w:r w:rsidR="0099520B" w:rsidRPr="001479C0">
        <w:rPr>
          <w:rFonts w:ascii="Arial" w:hAnsi="Arial"/>
          <w:bCs/>
          <w:sz w:val="22"/>
          <w:szCs w:val="22"/>
          <w:lang w:val="en-GB"/>
        </w:rPr>
        <w:t>June and October 2022</w:t>
      </w:r>
      <w:r w:rsidR="00B532E3" w:rsidRPr="006E65B4">
        <w:rPr>
          <w:rFonts w:ascii="Arial" w:hAnsi="Arial"/>
          <w:bCs/>
          <w:sz w:val="22"/>
          <w:szCs w:val="22"/>
          <w:lang w:val="en-GB"/>
        </w:rPr>
        <w:t>).</w:t>
      </w:r>
      <w:r w:rsidR="00B532E3" w:rsidRPr="00597808">
        <w:rPr>
          <w:rFonts w:ascii="Arial" w:hAnsi="Arial"/>
          <w:bCs/>
          <w:sz w:val="22"/>
          <w:szCs w:val="22"/>
          <w:lang w:val="en-GB"/>
        </w:rPr>
        <w:t xml:space="preserve"> </w:t>
      </w:r>
      <w:r w:rsidR="00DC7A9C" w:rsidRPr="00F90188">
        <w:rPr>
          <w:rFonts w:ascii="Arial" w:hAnsi="Arial"/>
          <w:bCs/>
          <w:sz w:val="22"/>
          <w:szCs w:val="22"/>
          <w:lang w:val="en-GB"/>
        </w:rPr>
        <w:t xml:space="preserve">For the final phase of </w:t>
      </w:r>
      <w:r w:rsidR="00451E1F">
        <w:rPr>
          <w:rFonts w:ascii="Arial" w:hAnsi="Arial"/>
          <w:bCs/>
          <w:sz w:val="22"/>
          <w:szCs w:val="22"/>
          <w:lang w:val="en-GB"/>
        </w:rPr>
        <w:t>the preparation of</w:t>
      </w:r>
      <w:r w:rsidR="00451E1F" w:rsidRPr="00F90188">
        <w:rPr>
          <w:rFonts w:ascii="Arial" w:hAnsi="Arial"/>
          <w:bCs/>
          <w:sz w:val="22"/>
          <w:szCs w:val="22"/>
          <w:lang w:val="en-GB"/>
        </w:rPr>
        <w:t xml:space="preserve"> </w:t>
      </w:r>
      <w:r w:rsidR="00DC7A9C" w:rsidRPr="00F90188">
        <w:rPr>
          <w:rFonts w:ascii="Arial" w:hAnsi="Arial"/>
          <w:bCs/>
          <w:sz w:val="22"/>
          <w:szCs w:val="22"/>
          <w:lang w:val="en-GB"/>
        </w:rPr>
        <w:t xml:space="preserve">the reports, </w:t>
      </w:r>
      <w:r w:rsidRPr="00F90188">
        <w:rPr>
          <w:rFonts w:ascii="Arial" w:hAnsi="Arial"/>
          <w:bCs/>
          <w:sz w:val="22"/>
          <w:szCs w:val="22"/>
          <w:lang w:val="en-GB"/>
        </w:rPr>
        <w:t xml:space="preserve">a </w:t>
      </w:r>
      <w:r w:rsidR="0099520B" w:rsidRPr="001479C0">
        <w:rPr>
          <w:rFonts w:ascii="Arial" w:hAnsi="Arial"/>
          <w:bCs/>
          <w:sz w:val="22"/>
          <w:szCs w:val="22"/>
          <w:lang w:val="en-GB"/>
        </w:rPr>
        <w:t xml:space="preserve">help desk </w:t>
      </w:r>
      <w:r w:rsidR="00451E1F">
        <w:rPr>
          <w:rFonts w:ascii="Arial" w:hAnsi="Arial"/>
          <w:bCs/>
          <w:sz w:val="22"/>
          <w:szCs w:val="22"/>
          <w:lang w:val="en-GB"/>
        </w:rPr>
        <w:t xml:space="preserve">has been </w:t>
      </w:r>
      <w:r w:rsidR="00360945">
        <w:rPr>
          <w:rFonts w:ascii="Arial" w:hAnsi="Arial"/>
          <w:bCs/>
          <w:sz w:val="22"/>
          <w:szCs w:val="22"/>
          <w:lang w:val="en-GB"/>
        </w:rPr>
        <w:t xml:space="preserve">put in place </w:t>
      </w:r>
      <w:r w:rsidRPr="006E65B4">
        <w:rPr>
          <w:rFonts w:ascii="Arial" w:hAnsi="Arial"/>
          <w:bCs/>
          <w:sz w:val="22"/>
          <w:szCs w:val="22"/>
          <w:lang w:val="en-GB"/>
        </w:rPr>
        <w:t xml:space="preserve">to ensure </w:t>
      </w:r>
      <w:r w:rsidR="0099520B" w:rsidRPr="001479C0">
        <w:rPr>
          <w:rFonts w:ascii="Arial" w:hAnsi="Arial"/>
          <w:bCs/>
          <w:sz w:val="22"/>
          <w:szCs w:val="22"/>
          <w:lang w:val="en-GB"/>
        </w:rPr>
        <w:t xml:space="preserve">assistance </w:t>
      </w:r>
      <w:r w:rsidRPr="006E65B4">
        <w:rPr>
          <w:rFonts w:ascii="Arial" w:hAnsi="Arial"/>
          <w:bCs/>
          <w:sz w:val="22"/>
          <w:szCs w:val="22"/>
          <w:lang w:val="en-GB"/>
        </w:rPr>
        <w:t xml:space="preserve">on </w:t>
      </w:r>
      <w:r w:rsidR="0099520B" w:rsidRPr="001479C0">
        <w:rPr>
          <w:rFonts w:ascii="Arial" w:hAnsi="Arial"/>
          <w:bCs/>
          <w:sz w:val="22"/>
          <w:szCs w:val="22"/>
          <w:lang w:val="en-GB"/>
        </w:rPr>
        <w:t xml:space="preserve">technical issues </w:t>
      </w:r>
      <w:r w:rsidR="00451E1F">
        <w:rPr>
          <w:rFonts w:ascii="Arial" w:hAnsi="Arial"/>
          <w:bCs/>
          <w:sz w:val="22"/>
          <w:szCs w:val="22"/>
          <w:lang w:val="en-GB"/>
        </w:rPr>
        <w:t>related to</w:t>
      </w:r>
      <w:r w:rsidR="00451E1F" w:rsidRPr="001479C0">
        <w:rPr>
          <w:rFonts w:ascii="Arial" w:hAnsi="Arial"/>
          <w:bCs/>
          <w:sz w:val="22"/>
          <w:szCs w:val="22"/>
          <w:lang w:val="en-GB"/>
        </w:rPr>
        <w:t xml:space="preserve"> </w:t>
      </w:r>
      <w:r w:rsidR="0099520B" w:rsidRPr="001479C0">
        <w:rPr>
          <w:rFonts w:ascii="Arial" w:hAnsi="Arial"/>
          <w:bCs/>
          <w:sz w:val="22"/>
          <w:szCs w:val="22"/>
          <w:lang w:val="en-GB"/>
        </w:rPr>
        <w:t>filling in the periodic reporting form.</w:t>
      </w:r>
    </w:p>
    <w:p w14:paraId="65E96809" w14:textId="009FE41E" w:rsidR="00E644FB" w:rsidRPr="00143D6A" w:rsidRDefault="008B088A" w:rsidP="00C61952">
      <w:pPr>
        <w:pStyle w:val="Sansinterligne2"/>
        <w:spacing w:before="240" w:after="120"/>
        <w:jc w:val="both"/>
        <w:rPr>
          <w:rFonts w:asciiTheme="minorBidi" w:hAnsiTheme="minorBidi" w:cstheme="minorBidi"/>
          <w:b/>
          <w:bCs/>
          <w:snapToGrid w:val="0"/>
          <w:sz w:val="22"/>
          <w:szCs w:val="22"/>
          <w:lang w:val="en-GB" w:eastAsia="en-US"/>
        </w:rPr>
      </w:pPr>
      <w:r w:rsidRPr="00143D6A">
        <w:rPr>
          <w:rFonts w:asciiTheme="minorBidi" w:hAnsiTheme="minorBidi" w:cstheme="minorBidi"/>
          <w:b/>
          <w:bCs/>
          <w:snapToGrid w:val="0"/>
          <w:sz w:val="22"/>
          <w:szCs w:val="22"/>
          <w:lang w:val="en-GB" w:eastAsia="en-US"/>
        </w:rPr>
        <w:t xml:space="preserve">2024 Cycle – </w:t>
      </w:r>
      <w:r w:rsidR="00F1382E" w:rsidRPr="00143D6A">
        <w:rPr>
          <w:rFonts w:asciiTheme="minorBidi" w:hAnsiTheme="minorBidi" w:cstheme="minorBidi"/>
          <w:b/>
          <w:bCs/>
          <w:snapToGrid w:val="0"/>
          <w:sz w:val="22"/>
          <w:szCs w:val="22"/>
          <w:lang w:val="en-GB" w:eastAsia="en-US"/>
        </w:rPr>
        <w:t>Launch of the periodic reporting exercise in Africa</w:t>
      </w:r>
    </w:p>
    <w:p w14:paraId="3AE2E29C" w14:textId="7DD72AED" w:rsidR="001A5B6D" w:rsidRDefault="004413DE" w:rsidP="00396894">
      <w:pPr>
        <w:pStyle w:val="Sansinterligne2"/>
        <w:numPr>
          <w:ilvl w:val="0"/>
          <w:numId w:val="23"/>
        </w:numPr>
        <w:spacing w:before="240" w:after="120"/>
        <w:ind w:left="567" w:hanging="567"/>
        <w:jc w:val="both"/>
        <w:rPr>
          <w:rFonts w:ascii="Arial" w:hAnsi="Arial"/>
          <w:bCs/>
          <w:sz w:val="22"/>
          <w:szCs w:val="22"/>
          <w:lang w:val="en-GB"/>
        </w:rPr>
      </w:pPr>
      <w:r w:rsidRPr="001479C0">
        <w:rPr>
          <w:rFonts w:ascii="Arial" w:hAnsi="Arial"/>
          <w:bCs/>
          <w:sz w:val="22"/>
          <w:szCs w:val="22"/>
          <w:lang w:val="en-GB"/>
        </w:rPr>
        <w:t>Preparations are underway for the roll</w:t>
      </w:r>
      <w:r w:rsidR="00451E1F">
        <w:rPr>
          <w:rFonts w:ascii="Arial" w:hAnsi="Arial"/>
          <w:bCs/>
          <w:sz w:val="22"/>
          <w:szCs w:val="22"/>
          <w:lang w:val="en-GB"/>
        </w:rPr>
        <w:t>-</w:t>
      </w:r>
      <w:r w:rsidRPr="001479C0">
        <w:rPr>
          <w:rFonts w:ascii="Arial" w:hAnsi="Arial"/>
          <w:bCs/>
          <w:sz w:val="22"/>
          <w:szCs w:val="22"/>
          <w:lang w:val="en-GB"/>
        </w:rPr>
        <w:t xml:space="preserve">out of the periodic reporting exercise </w:t>
      </w:r>
      <w:r w:rsidR="001A5B6D">
        <w:rPr>
          <w:rFonts w:ascii="Arial" w:hAnsi="Arial"/>
          <w:bCs/>
          <w:sz w:val="22"/>
          <w:szCs w:val="22"/>
          <w:lang w:val="en-GB"/>
        </w:rPr>
        <w:t xml:space="preserve">to support States Parties </w:t>
      </w:r>
      <w:r w:rsidRPr="001479C0">
        <w:rPr>
          <w:rFonts w:ascii="Arial" w:hAnsi="Arial"/>
          <w:bCs/>
          <w:sz w:val="22"/>
          <w:szCs w:val="22"/>
          <w:lang w:val="en-GB"/>
        </w:rPr>
        <w:t>in the Africa region</w:t>
      </w:r>
      <w:r w:rsidR="001A5B6D">
        <w:rPr>
          <w:rFonts w:ascii="Arial" w:hAnsi="Arial"/>
          <w:bCs/>
          <w:sz w:val="22"/>
          <w:szCs w:val="22"/>
          <w:lang w:val="en-GB"/>
        </w:rPr>
        <w:t xml:space="preserve"> to submit their reports </w:t>
      </w:r>
      <w:r w:rsidR="00451E1F">
        <w:rPr>
          <w:rFonts w:ascii="Arial" w:hAnsi="Arial"/>
          <w:bCs/>
          <w:sz w:val="22"/>
          <w:szCs w:val="22"/>
          <w:lang w:val="en-GB"/>
        </w:rPr>
        <w:t xml:space="preserve">by </w:t>
      </w:r>
      <w:r w:rsidR="001A5B6D">
        <w:rPr>
          <w:rFonts w:ascii="Arial" w:hAnsi="Arial"/>
          <w:bCs/>
          <w:sz w:val="22"/>
          <w:szCs w:val="22"/>
          <w:lang w:val="en-GB"/>
        </w:rPr>
        <w:t>the deadline of 15 December 2023</w:t>
      </w:r>
      <w:r w:rsidRPr="001479C0">
        <w:rPr>
          <w:rFonts w:ascii="Arial" w:hAnsi="Arial"/>
          <w:bCs/>
          <w:sz w:val="22"/>
          <w:szCs w:val="22"/>
          <w:lang w:val="en-GB"/>
        </w:rPr>
        <w:t xml:space="preserve">. </w:t>
      </w:r>
      <w:r w:rsidR="001A5B6D">
        <w:rPr>
          <w:rFonts w:ascii="Arial" w:hAnsi="Arial"/>
          <w:bCs/>
          <w:sz w:val="22"/>
          <w:szCs w:val="22"/>
          <w:lang w:val="en-GB"/>
        </w:rPr>
        <w:t>T</w:t>
      </w:r>
      <w:r w:rsidRPr="001479C0">
        <w:rPr>
          <w:rFonts w:ascii="Arial" w:hAnsi="Arial"/>
          <w:bCs/>
          <w:sz w:val="22"/>
          <w:szCs w:val="22"/>
          <w:lang w:val="en-GB"/>
        </w:rPr>
        <w:t xml:space="preserve">he capacity-building approach for the Africa region </w:t>
      </w:r>
      <w:r w:rsidR="001A5B6D">
        <w:rPr>
          <w:rFonts w:ascii="Arial" w:hAnsi="Arial"/>
          <w:bCs/>
          <w:sz w:val="22"/>
          <w:szCs w:val="22"/>
          <w:lang w:val="en-GB"/>
        </w:rPr>
        <w:t>comprises</w:t>
      </w:r>
      <w:r w:rsidRPr="001479C0">
        <w:rPr>
          <w:rFonts w:ascii="Arial" w:hAnsi="Arial"/>
          <w:bCs/>
          <w:sz w:val="22"/>
          <w:szCs w:val="22"/>
          <w:lang w:val="en-GB"/>
        </w:rPr>
        <w:t xml:space="preserve"> </w:t>
      </w:r>
      <w:r w:rsidR="00FB65F5">
        <w:rPr>
          <w:rFonts w:ascii="Arial" w:hAnsi="Arial"/>
          <w:bCs/>
          <w:sz w:val="22"/>
          <w:szCs w:val="22"/>
          <w:lang w:val="en-GB"/>
        </w:rPr>
        <w:t xml:space="preserve">a training </w:t>
      </w:r>
      <w:r w:rsidR="00717AF3">
        <w:rPr>
          <w:rFonts w:ascii="Arial" w:hAnsi="Arial"/>
          <w:bCs/>
          <w:sz w:val="22"/>
          <w:szCs w:val="22"/>
          <w:lang w:val="en-GB"/>
        </w:rPr>
        <w:t xml:space="preserve">programme for </w:t>
      </w:r>
      <w:r w:rsidR="00FB65F5">
        <w:rPr>
          <w:rFonts w:ascii="Arial" w:hAnsi="Arial"/>
          <w:bCs/>
          <w:sz w:val="22"/>
          <w:szCs w:val="22"/>
          <w:lang w:val="en-GB"/>
        </w:rPr>
        <w:t>facilitators and the regi</w:t>
      </w:r>
      <w:r w:rsidR="00451E1F">
        <w:rPr>
          <w:rFonts w:ascii="Arial" w:hAnsi="Arial"/>
          <w:bCs/>
          <w:sz w:val="22"/>
          <w:szCs w:val="22"/>
          <w:lang w:val="en-GB"/>
        </w:rPr>
        <w:t>o</w:t>
      </w:r>
      <w:r w:rsidR="00FB65F5">
        <w:rPr>
          <w:rFonts w:ascii="Arial" w:hAnsi="Arial"/>
          <w:bCs/>
          <w:sz w:val="22"/>
          <w:szCs w:val="22"/>
          <w:lang w:val="en-GB"/>
        </w:rPr>
        <w:t>nal training of country focal points for periodic reporting</w:t>
      </w:r>
      <w:r w:rsidR="001A5B6D">
        <w:rPr>
          <w:rFonts w:ascii="Arial" w:hAnsi="Arial"/>
          <w:bCs/>
          <w:sz w:val="22"/>
          <w:szCs w:val="22"/>
          <w:lang w:val="en-GB"/>
        </w:rPr>
        <w:t>:</w:t>
      </w:r>
    </w:p>
    <w:p w14:paraId="5AB61445" w14:textId="0E2B267A" w:rsidR="00A02FAC" w:rsidRDefault="00A02FAC" w:rsidP="00396894">
      <w:pPr>
        <w:pStyle w:val="Sansinterligne2"/>
        <w:numPr>
          <w:ilvl w:val="0"/>
          <w:numId w:val="33"/>
        </w:numPr>
        <w:spacing w:before="120" w:after="120"/>
        <w:ind w:left="1134" w:hanging="567"/>
        <w:jc w:val="both"/>
        <w:rPr>
          <w:rFonts w:ascii="Arial" w:hAnsi="Arial"/>
          <w:bCs/>
          <w:sz w:val="22"/>
          <w:szCs w:val="22"/>
          <w:lang w:val="en-GB"/>
        </w:rPr>
      </w:pPr>
      <w:r>
        <w:rPr>
          <w:rFonts w:ascii="Arial" w:hAnsi="Arial"/>
          <w:bCs/>
          <w:sz w:val="22"/>
          <w:szCs w:val="22"/>
          <w:lang w:val="en-GB"/>
        </w:rPr>
        <w:t xml:space="preserve">As a </w:t>
      </w:r>
      <w:r w:rsidR="004413DE" w:rsidRPr="001479C0">
        <w:rPr>
          <w:rFonts w:ascii="Arial" w:hAnsi="Arial"/>
          <w:bCs/>
          <w:sz w:val="22"/>
          <w:szCs w:val="22"/>
          <w:lang w:val="en-GB"/>
        </w:rPr>
        <w:t>first stage</w:t>
      </w:r>
      <w:r w:rsidR="00EC5379">
        <w:rPr>
          <w:rFonts w:ascii="Arial" w:hAnsi="Arial"/>
          <w:bCs/>
          <w:sz w:val="22"/>
          <w:szCs w:val="22"/>
          <w:lang w:val="en-GB"/>
        </w:rPr>
        <w:t>,</w:t>
      </w:r>
      <w:r w:rsidR="001614BE">
        <w:rPr>
          <w:rFonts w:ascii="Arial" w:hAnsi="Arial"/>
          <w:bCs/>
          <w:sz w:val="22"/>
          <w:szCs w:val="22"/>
          <w:lang w:val="en-GB"/>
        </w:rPr>
        <w:t xml:space="preserve"> </w:t>
      </w:r>
      <w:r w:rsidR="004413DE" w:rsidRPr="001479C0">
        <w:rPr>
          <w:rFonts w:ascii="Arial" w:hAnsi="Arial"/>
          <w:bCs/>
          <w:sz w:val="22"/>
          <w:szCs w:val="22"/>
          <w:lang w:val="en-GB"/>
        </w:rPr>
        <w:t xml:space="preserve">an online training </w:t>
      </w:r>
      <w:r w:rsidR="00451E1F">
        <w:rPr>
          <w:rFonts w:ascii="Arial" w:hAnsi="Arial"/>
          <w:bCs/>
          <w:sz w:val="22"/>
          <w:szCs w:val="22"/>
          <w:lang w:val="en-GB"/>
        </w:rPr>
        <w:t xml:space="preserve">session </w:t>
      </w:r>
      <w:r w:rsidR="00450E14">
        <w:rPr>
          <w:rFonts w:ascii="Arial" w:hAnsi="Arial"/>
          <w:bCs/>
          <w:sz w:val="22"/>
          <w:szCs w:val="22"/>
          <w:lang w:val="en-GB"/>
        </w:rPr>
        <w:t>was</w:t>
      </w:r>
      <w:r w:rsidR="005871AE">
        <w:rPr>
          <w:rFonts w:ascii="Arial" w:hAnsi="Arial"/>
          <w:bCs/>
          <w:sz w:val="22"/>
          <w:szCs w:val="22"/>
          <w:lang w:val="en-GB"/>
        </w:rPr>
        <w:t>/will be</w:t>
      </w:r>
      <w:r w:rsidR="00450E14">
        <w:rPr>
          <w:rFonts w:ascii="Arial" w:hAnsi="Arial"/>
          <w:bCs/>
          <w:sz w:val="22"/>
          <w:szCs w:val="22"/>
          <w:lang w:val="en-GB"/>
        </w:rPr>
        <w:t xml:space="preserve"> </w:t>
      </w:r>
      <w:r w:rsidR="005871AE">
        <w:rPr>
          <w:rFonts w:ascii="Arial" w:hAnsi="Arial"/>
          <w:bCs/>
          <w:sz w:val="22"/>
          <w:szCs w:val="22"/>
          <w:lang w:val="en-GB"/>
        </w:rPr>
        <w:t>provided</w:t>
      </w:r>
      <w:r>
        <w:rPr>
          <w:rFonts w:ascii="Arial" w:hAnsi="Arial"/>
          <w:bCs/>
          <w:sz w:val="22"/>
          <w:szCs w:val="22"/>
          <w:lang w:val="en-GB"/>
        </w:rPr>
        <w:t xml:space="preserve"> </w:t>
      </w:r>
      <w:r w:rsidR="00450E14">
        <w:rPr>
          <w:rFonts w:ascii="Arial" w:hAnsi="Arial"/>
          <w:bCs/>
          <w:sz w:val="22"/>
          <w:szCs w:val="22"/>
          <w:lang w:val="en-GB"/>
        </w:rPr>
        <w:t>(</w:t>
      </w:r>
      <w:r w:rsidR="00973615" w:rsidRPr="001479C0">
        <w:rPr>
          <w:rFonts w:ascii="Arial" w:hAnsi="Arial"/>
          <w:bCs/>
          <w:sz w:val="22"/>
          <w:szCs w:val="22"/>
          <w:lang w:val="en-GB"/>
        </w:rPr>
        <w:t xml:space="preserve">26 October </w:t>
      </w:r>
      <w:r w:rsidR="00A62DA8">
        <w:rPr>
          <w:rFonts w:ascii="Arial" w:hAnsi="Arial"/>
          <w:bCs/>
          <w:sz w:val="22"/>
          <w:szCs w:val="22"/>
          <w:lang w:val="en-GB"/>
        </w:rPr>
        <w:t xml:space="preserve">as well as </w:t>
      </w:r>
      <w:r w:rsidR="00903C78">
        <w:rPr>
          <w:rFonts w:ascii="Arial" w:hAnsi="Arial"/>
          <w:bCs/>
          <w:sz w:val="22"/>
          <w:szCs w:val="22"/>
          <w:lang w:val="en-GB"/>
        </w:rPr>
        <w:t>2 </w:t>
      </w:r>
      <w:r w:rsidR="00973615" w:rsidRPr="001479C0">
        <w:rPr>
          <w:rFonts w:ascii="Arial" w:hAnsi="Arial"/>
          <w:bCs/>
          <w:sz w:val="22"/>
          <w:szCs w:val="22"/>
          <w:lang w:val="en-GB"/>
        </w:rPr>
        <w:t>and 9 November 2022</w:t>
      </w:r>
      <w:r w:rsidR="00450E14">
        <w:rPr>
          <w:rFonts w:ascii="Arial" w:hAnsi="Arial"/>
          <w:bCs/>
          <w:sz w:val="22"/>
          <w:szCs w:val="22"/>
          <w:lang w:val="en-GB"/>
        </w:rPr>
        <w:t>)</w:t>
      </w:r>
      <w:r w:rsidR="004413DE" w:rsidRPr="001479C0">
        <w:rPr>
          <w:rFonts w:ascii="Arial" w:hAnsi="Arial"/>
          <w:bCs/>
          <w:sz w:val="22"/>
          <w:szCs w:val="22"/>
          <w:lang w:val="en-GB"/>
        </w:rPr>
        <w:t xml:space="preserve"> for </w:t>
      </w:r>
      <w:r>
        <w:rPr>
          <w:rFonts w:ascii="Arial" w:hAnsi="Arial"/>
          <w:bCs/>
          <w:sz w:val="22"/>
          <w:szCs w:val="22"/>
          <w:lang w:val="en-GB"/>
        </w:rPr>
        <w:t>twelve</w:t>
      </w:r>
      <w:r w:rsidR="004413DE" w:rsidRPr="001479C0">
        <w:rPr>
          <w:rFonts w:ascii="Arial" w:hAnsi="Arial"/>
          <w:bCs/>
          <w:sz w:val="22"/>
          <w:szCs w:val="22"/>
          <w:lang w:val="en-GB"/>
        </w:rPr>
        <w:t xml:space="preserve"> facilitators</w:t>
      </w:r>
      <w:r w:rsidR="00973615">
        <w:rPr>
          <w:rFonts w:ascii="Arial" w:hAnsi="Arial"/>
          <w:bCs/>
          <w:sz w:val="22"/>
          <w:szCs w:val="22"/>
          <w:lang w:val="en-GB"/>
        </w:rPr>
        <w:t xml:space="preserve"> from the global </w:t>
      </w:r>
      <w:r w:rsidR="001A5B6D">
        <w:rPr>
          <w:rFonts w:ascii="Arial" w:hAnsi="Arial"/>
          <w:bCs/>
          <w:sz w:val="22"/>
          <w:szCs w:val="22"/>
          <w:lang w:val="en-GB"/>
        </w:rPr>
        <w:t xml:space="preserve">capacity-building </w:t>
      </w:r>
      <w:r w:rsidR="00973615">
        <w:rPr>
          <w:rFonts w:ascii="Arial" w:hAnsi="Arial"/>
          <w:bCs/>
          <w:sz w:val="22"/>
          <w:szCs w:val="22"/>
          <w:lang w:val="en-GB"/>
        </w:rPr>
        <w:t xml:space="preserve">network in Africa. The facilitators </w:t>
      </w:r>
      <w:r w:rsidR="00EC5379">
        <w:rPr>
          <w:rFonts w:ascii="Arial" w:hAnsi="Arial"/>
          <w:bCs/>
          <w:sz w:val="22"/>
          <w:szCs w:val="22"/>
          <w:lang w:val="en-GB"/>
        </w:rPr>
        <w:t>will be</w:t>
      </w:r>
      <w:r>
        <w:rPr>
          <w:rFonts w:ascii="Arial" w:hAnsi="Arial"/>
          <w:bCs/>
          <w:sz w:val="22"/>
          <w:szCs w:val="22"/>
          <w:lang w:val="en-GB"/>
        </w:rPr>
        <w:t xml:space="preserve"> introduced </w:t>
      </w:r>
      <w:r w:rsidR="00973615">
        <w:rPr>
          <w:rFonts w:ascii="Arial" w:hAnsi="Arial"/>
          <w:bCs/>
          <w:sz w:val="22"/>
          <w:szCs w:val="22"/>
          <w:lang w:val="en-GB"/>
        </w:rPr>
        <w:t xml:space="preserve">to the reformed periodic reporting mechanism and the </w:t>
      </w:r>
      <w:r>
        <w:rPr>
          <w:rFonts w:ascii="Arial" w:hAnsi="Arial"/>
          <w:bCs/>
          <w:sz w:val="22"/>
          <w:szCs w:val="22"/>
          <w:lang w:val="en-GB"/>
        </w:rPr>
        <w:t>O</w:t>
      </w:r>
      <w:r w:rsidR="00973615" w:rsidRPr="00A02FAC">
        <w:rPr>
          <w:rFonts w:ascii="Arial" w:hAnsi="Arial"/>
          <w:bCs/>
          <w:sz w:val="22"/>
          <w:szCs w:val="22"/>
          <w:lang w:val="en-GB"/>
        </w:rPr>
        <w:t xml:space="preserve">verall </w:t>
      </w:r>
      <w:r w:rsidR="005871AE">
        <w:rPr>
          <w:rFonts w:ascii="Arial" w:hAnsi="Arial"/>
          <w:bCs/>
          <w:sz w:val="22"/>
          <w:szCs w:val="22"/>
          <w:lang w:val="en-GB"/>
        </w:rPr>
        <w:t>r</w:t>
      </w:r>
      <w:r w:rsidR="00973615" w:rsidRPr="00A02FAC">
        <w:rPr>
          <w:rFonts w:ascii="Arial" w:hAnsi="Arial"/>
          <w:bCs/>
          <w:sz w:val="22"/>
          <w:szCs w:val="22"/>
          <w:lang w:val="en-GB"/>
        </w:rPr>
        <w:t xml:space="preserve">esults </w:t>
      </w:r>
      <w:r w:rsidR="005871AE">
        <w:rPr>
          <w:rFonts w:ascii="Arial" w:hAnsi="Arial"/>
          <w:bCs/>
          <w:sz w:val="22"/>
          <w:szCs w:val="22"/>
          <w:lang w:val="en-GB"/>
        </w:rPr>
        <w:t>f</w:t>
      </w:r>
      <w:r w:rsidR="00973615" w:rsidRPr="00A02FAC">
        <w:rPr>
          <w:rFonts w:ascii="Arial" w:hAnsi="Arial"/>
          <w:bCs/>
          <w:sz w:val="22"/>
          <w:szCs w:val="22"/>
          <w:lang w:val="en-GB"/>
        </w:rPr>
        <w:t>ramework</w:t>
      </w:r>
      <w:r w:rsidRPr="00A02FAC">
        <w:rPr>
          <w:rFonts w:ascii="Arial" w:hAnsi="Arial"/>
          <w:bCs/>
          <w:sz w:val="22"/>
          <w:szCs w:val="22"/>
          <w:lang w:val="en-GB"/>
        </w:rPr>
        <w:t xml:space="preserve"> </w:t>
      </w:r>
      <w:r>
        <w:rPr>
          <w:rFonts w:ascii="Arial" w:hAnsi="Arial"/>
          <w:bCs/>
          <w:sz w:val="22"/>
          <w:szCs w:val="22"/>
          <w:lang w:val="en-GB"/>
        </w:rPr>
        <w:t xml:space="preserve">of the Convention </w:t>
      </w:r>
      <w:r w:rsidRPr="00A02FAC">
        <w:rPr>
          <w:rFonts w:ascii="Arial" w:hAnsi="Arial"/>
          <w:bCs/>
          <w:sz w:val="22"/>
          <w:szCs w:val="22"/>
          <w:lang w:val="en-GB"/>
        </w:rPr>
        <w:t>in order to</w:t>
      </w:r>
      <w:r w:rsidR="00973615" w:rsidRPr="00A02FAC">
        <w:rPr>
          <w:rFonts w:ascii="Arial" w:hAnsi="Arial"/>
          <w:bCs/>
          <w:sz w:val="22"/>
          <w:szCs w:val="22"/>
          <w:lang w:val="en-GB"/>
        </w:rPr>
        <w:t xml:space="preserve"> strengthen the</w:t>
      </w:r>
      <w:r w:rsidRPr="00A02FAC">
        <w:rPr>
          <w:rFonts w:ascii="Arial" w:hAnsi="Arial"/>
          <w:bCs/>
          <w:sz w:val="22"/>
          <w:szCs w:val="22"/>
          <w:lang w:val="en-GB"/>
        </w:rPr>
        <w:t>ir</w:t>
      </w:r>
      <w:r w:rsidR="00973615" w:rsidRPr="00A02FAC">
        <w:rPr>
          <w:rFonts w:ascii="Arial" w:hAnsi="Arial"/>
          <w:bCs/>
          <w:sz w:val="22"/>
          <w:szCs w:val="22"/>
          <w:lang w:val="en-GB"/>
        </w:rPr>
        <w:t xml:space="preserve"> knowledge and skills to design and implement results-based participatory reporting</w:t>
      </w:r>
      <w:r w:rsidRPr="00A02FAC">
        <w:rPr>
          <w:rFonts w:ascii="Arial" w:hAnsi="Arial"/>
          <w:bCs/>
          <w:sz w:val="22"/>
          <w:szCs w:val="22"/>
          <w:lang w:val="en-GB"/>
        </w:rPr>
        <w:t xml:space="preserve">; the training </w:t>
      </w:r>
      <w:r w:rsidR="00EC5379">
        <w:rPr>
          <w:rFonts w:ascii="Arial" w:hAnsi="Arial"/>
          <w:bCs/>
          <w:sz w:val="22"/>
          <w:szCs w:val="22"/>
          <w:lang w:val="en-GB"/>
        </w:rPr>
        <w:t xml:space="preserve">will </w:t>
      </w:r>
      <w:r w:rsidRPr="00A02FAC">
        <w:rPr>
          <w:rFonts w:ascii="Arial" w:hAnsi="Arial"/>
          <w:bCs/>
          <w:sz w:val="22"/>
          <w:szCs w:val="22"/>
          <w:lang w:val="en-GB"/>
        </w:rPr>
        <w:t xml:space="preserve">also help the facilitators to </w:t>
      </w:r>
      <w:r w:rsidR="00973615" w:rsidRPr="00A02FAC">
        <w:rPr>
          <w:rFonts w:ascii="Arial" w:hAnsi="Arial"/>
          <w:bCs/>
          <w:sz w:val="22"/>
          <w:szCs w:val="22"/>
          <w:lang w:val="en-GB"/>
        </w:rPr>
        <w:t xml:space="preserve">familiarize </w:t>
      </w:r>
      <w:r w:rsidRPr="00A02FAC">
        <w:rPr>
          <w:rFonts w:ascii="Arial" w:hAnsi="Arial"/>
          <w:bCs/>
          <w:sz w:val="22"/>
          <w:szCs w:val="22"/>
          <w:lang w:val="en-GB"/>
        </w:rPr>
        <w:t xml:space="preserve">themselves </w:t>
      </w:r>
      <w:r w:rsidR="00973615" w:rsidRPr="00A02FAC">
        <w:rPr>
          <w:rFonts w:ascii="Arial" w:hAnsi="Arial"/>
          <w:bCs/>
          <w:sz w:val="22"/>
          <w:szCs w:val="22"/>
          <w:lang w:val="en-GB"/>
        </w:rPr>
        <w:t>with the online reporting tool.</w:t>
      </w:r>
    </w:p>
    <w:p w14:paraId="11A88144" w14:textId="209A0746" w:rsidR="00A02FAC" w:rsidRPr="00A02FAC" w:rsidRDefault="004A748B" w:rsidP="00396894">
      <w:pPr>
        <w:pStyle w:val="Sansinterligne2"/>
        <w:numPr>
          <w:ilvl w:val="0"/>
          <w:numId w:val="33"/>
        </w:numPr>
        <w:spacing w:before="120" w:after="120"/>
        <w:ind w:left="1134" w:hanging="567"/>
        <w:jc w:val="both"/>
        <w:rPr>
          <w:rFonts w:ascii="Arial" w:hAnsi="Arial"/>
          <w:bCs/>
          <w:sz w:val="22"/>
          <w:szCs w:val="22"/>
          <w:lang w:val="en-GB"/>
        </w:rPr>
      </w:pPr>
      <w:r>
        <w:rPr>
          <w:rFonts w:ascii="Arial" w:hAnsi="Arial"/>
          <w:bCs/>
          <w:sz w:val="22"/>
          <w:szCs w:val="22"/>
          <w:lang w:val="en-GB"/>
        </w:rPr>
        <w:t>The second stage of the capacity-building process, planned for early 2023, w</w:t>
      </w:r>
      <w:r w:rsidR="006D4E33">
        <w:rPr>
          <w:rFonts w:ascii="Arial" w:hAnsi="Arial"/>
          <w:bCs/>
          <w:sz w:val="22"/>
          <w:szCs w:val="22"/>
          <w:lang w:val="en-GB"/>
        </w:rPr>
        <w:t>ould</w:t>
      </w:r>
      <w:r>
        <w:rPr>
          <w:rFonts w:ascii="Arial" w:hAnsi="Arial"/>
          <w:bCs/>
          <w:sz w:val="22"/>
          <w:szCs w:val="22"/>
          <w:lang w:val="en-GB"/>
        </w:rPr>
        <w:t xml:space="preserve"> focus on preparing the </w:t>
      </w:r>
      <w:r w:rsidR="00451E1F">
        <w:rPr>
          <w:rFonts w:ascii="Arial" w:hAnsi="Arial"/>
          <w:bCs/>
          <w:sz w:val="22"/>
          <w:szCs w:val="22"/>
          <w:lang w:val="en-GB"/>
        </w:rPr>
        <w:t>forty-four</w:t>
      </w:r>
      <w:r>
        <w:rPr>
          <w:rFonts w:ascii="Arial" w:hAnsi="Arial"/>
          <w:bCs/>
          <w:sz w:val="22"/>
          <w:szCs w:val="22"/>
          <w:lang w:val="en-GB"/>
        </w:rPr>
        <w:t xml:space="preserve"> country focal points from the region </w:t>
      </w:r>
      <w:r w:rsidR="00451E1F">
        <w:rPr>
          <w:rFonts w:ascii="Arial" w:hAnsi="Arial"/>
          <w:bCs/>
          <w:sz w:val="22"/>
          <w:szCs w:val="22"/>
          <w:lang w:val="en-GB"/>
        </w:rPr>
        <w:t xml:space="preserve">to undertake </w:t>
      </w:r>
      <w:r>
        <w:rPr>
          <w:rFonts w:ascii="Arial" w:hAnsi="Arial"/>
          <w:bCs/>
          <w:sz w:val="22"/>
          <w:szCs w:val="22"/>
          <w:lang w:val="en-GB"/>
        </w:rPr>
        <w:t>the periodic reporting process</w:t>
      </w:r>
      <w:r w:rsidR="006D4E33">
        <w:rPr>
          <w:rFonts w:ascii="Arial" w:hAnsi="Arial"/>
          <w:bCs/>
          <w:sz w:val="22"/>
          <w:szCs w:val="22"/>
          <w:lang w:val="en-GB"/>
        </w:rPr>
        <w:t xml:space="preserve">, </w:t>
      </w:r>
      <w:r w:rsidR="00451E1F">
        <w:rPr>
          <w:rFonts w:ascii="Arial" w:hAnsi="Arial"/>
          <w:bCs/>
          <w:sz w:val="22"/>
          <w:szCs w:val="22"/>
          <w:lang w:val="en-GB"/>
        </w:rPr>
        <w:t xml:space="preserve">depending on the </w:t>
      </w:r>
      <w:r w:rsidR="006D4E33">
        <w:rPr>
          <w:rFonts w:ascii="Arial" w:hAnsi="Arial"/>
          <w:bCs/>
          <w:sz w:val="22"/>
          <w:szCs w:val="22"/>
          <w:lang w:val="en-GB"/>
        </w:rPr>
        <w:t>availability of extrabudgetary funds</w:t>
      </w:r>
      <w:r>
        <w:rPr>
          <w:rFonts w:ascii="Arial" w:hAnsi="Arial"/>
          <w:bCs/>
          <w:sz w:val="22"/>
          <w:szCs w:val="22"/>
          <w:lang w:val="en-GB"/>
        </w:rPr>
        <w:t>.</w:t>
      </w:r>
      <w:r w:rsidR="00A02FAC" w:rsidRPr="00A02FAC">
        <w:rPr>
          <w:rFonts w:ascii="Arial" w:hAnsi="Arial"/>
          <w:bCs/>
          <w:sz w:val="22"/>
          <w:szCs w:val="22"/>
          <w:lang w:val="en-GB"/>
        </w:rPr>
        <w:t xml:space="preserve"> It is expected that the group of facilitators</w:t>
      </w:r>
      <w:r w:rsidR="008D6CDF">
        <w:rPr>
          <w:rFonts w:ascii="Arial" w:hAnsi="Arial"/>
          <w:bCs/>
          <w:sz w:val="22"/>
          <w:szCs w:val="22"/>
          <w:lang w:val="en-GB"/>
        </w:rPr>
        <w:t xml:space="preserve"> trained through the abovementioned online training</w:t>
      </w:r>
      <w:r w:rsidR="00A02FAC" w:rsidRPr="00A02FAC">
        <w:rPr>
          <w:rFonts w:ascii="Arial" w:hAnsi="Arial"/>
          <w:bCs/>
          <w:sz w:val="22"/>
          <w:szCs w:val="22"/>
          <w:lang w:val="en-GB"/>
        </w:rPr>
        <w:t xml:space="preserve"> </w:t>
      </w:r>
      <w:r w:rsidR="00451E1F">
        <w:rPr>
          <w:rFonts w:ascii="Arial" w:hAnsi="Arial"/>
          <w:bCs/>
          <w:sz w:val="22"/>
          <w:szCs w:val="22"/>
          <w:lang w:val="en-GB"/>
        </w:rPr>
        <w:t>session would then offer advice</w:t>
      </w:r>
      <w:r w:rsidR="00A02FAC" w:rsidRPr="00A02FAC">
        <w:rPr>
          <w:rFonts w:ascii="Arial" w:hAnsi="Arial"/>
          <w:bCs/>
          <w:sz w:val="22"/>
          <w:szCs w:val="22"/>
          <w:lang w:val="en-GB"/>
        </w:rPr>
        <w:t xml:space="preserve"> on how </w:t>
      </w:r>
      <w:r w:rsidR="005D09A0">
        <w:rPr>
          <w:rFonts w:ascii="Arial" w:hAnsi="Arial"/>
          <w:bCs/>
          <w:sz w:val="22"/>
          <w:szCs w:val="22"/>
          <w:lang w:val="en-GB"/>
        </w:rPr>
        <w:t xml:space="preserve">best </w:t>
      </w:r>
      <w:r w:rsidR="00A02FAC" w:rsidRPr="00A02FAC">
        <w:rPr>
          <w:rFonts w:ascii="Arial" w:hAnsi="Arial"/>
          <w:bCs/>
          <w:sz w:val="22"/>
          <w:szCs w:val="22"/>
          <w:lang w:val="en-GB"/>
        </w:rPr>
        <w:t xml:space="preserve">to contextualize the </w:t>
      </w:r>
      <w:r w:rsidR="00451E1F">
        <w:rPr>
          <w:rFonts w:ascii="Arial" w:hAnsi="Arial"/>
          <w:bCs/>
          <w:sz w:val="22"/>
          <w:szCs w:val="22"/>
          <w:lang w:val="en-GB"/>
        </w:rPr>
        <w:t xml:space="preserve">training for </w:t>
      </w:r>
      <w:r w:rsidR="00A02FAC" w:rsidRPr="00A02FAC">
        <w:rPr>
          <w:rFonts w:ascii="Arial" w:hAnsi="Arial"/>
          <w:bCs/>
          <w:sz w:val="22"/>
          <w:szCs w:val="22"/>
          <w:lang w:val="en-GB"/>
        </w:rPr>
        <w:t xml:space="preserve">country focal points </w:t>
      </w:r>
      <w:r w:rsidR="00451E1F">
        <w:rPr>
          <w:rFonts w:ascii="Arial" w:hAnsi="Arial"/>
          <w:bCs/>
          <w:sz w:val="22"/>
          <w:szCs w:val="22"/>
          <w:lang w:val="en-GB"/>
        </w:rPr>
        <w:t>for</w:t>
      </w:r>
      <w:r w:rsidR="00451E1F" w:rsidRPr="00A02FAC">
        <w:rPr>
          <w:rFonts w:ascii="Arial" w:hAnsi="Arial"/>
          <w:bCs/>
          <w:sz w:val="22"/>
          <w:szCs w:val="22"/>
          <w:lang w:val="en-GB"/>
        </w:rPr>
        <w:t xml:space="preserve"> </w:t>
      </w:r>
      <w:r w:rsidR="00A02FAC" w:rsidRPr="00A02FAC">
        <w:rPr>
          <w:rFonts w:ascii="Arial" w:hAnsi="Arial"/>
          <w:bCs/>
          <w:sz w:val="22"/>
          <w:szCs w:val="22"/>
          <w:lang w:val="en-GB"/>
        </w:rPr>
        <w:t xml:space="preserve">the Africa context. Facilitators who were involved in previous </w:t>
      </w:r>
      <w:r w:rsidR="00451E1F">
        <w:rPr>
          <w:rFonts w:ascii="Arial" w:hAnsi="Arial"/>
          <w:bCs/>
          <w:sz w:val="22"/>
          <w:szCs w:val="22"/>
          <w:lang w:val="en-GB"/>
        </w:rPr>
        <w:t xml:space="preserve">reporting </w:t>
      </w:r>
      <w:r w:rsidR="00A02FAC" w:rsidRPr="00A02FAC">
        <w:rPr>
          <w:rFonts w:ascii="Arial" w:hAnsi="Arial"/>
          <w:bCs/>
          <w:sz w:val="22"/>
          <w:szCs w:val="22"/>
          <w:lang w:val="en-GB"/>
        </w:rPr>
        <w:t xml:space="preserve">cycles will be </w:t>
      </w:r>
      <w:r w:rsidR="00A02FAC" w:rsidRPr="00A02FAC">
        <w:rPr>
          <w:rFonts w:ascii="Arial" w:hAnsi="Arial"/>
          <w:bCs/>
          <w:sz w:val="22"/>
          <w:szCs w:val="22"/>
          <w:lang w:val="en-GB"/>
        </w:rPr>
        <w:lastRenderedPageBreak/>
        <w:t xml:space="preserve">invited to the training </w:t>
      </w:r>
      <w:r w:rsidR="00451E1F">
        <w:rPr>
          <w:rFonts w:ascii="Arial" w:hAnsi="Arial"/>
          <w:bCs/>
          <w:sz w:val="22"/>
          <w:szCs w:val="22"/>
          <w:lang w:val="en-GB"/>
        </w:rPr>
        <w:t xml:space="preserve">session </w:t>
      </w:r>
      <w:r w:rsidR="00A02FAC" w:rsidRPr="00A02FAC">
        <w:rPr>
          <w:rFonts w:ascii="Arial" w:hAnsi="Arial"/>
          <w:bCs/>
          <w:sz w:val="22"/>
          <w:szCs w:val="22"/>
          <w:lang w:val="en-GB"/>
        </w:rPr>
        <w:t>to share their experiences and lessons learnt</w:t>
      </w:r>
      <w:r w:rsidR="00451E1F">
        <w:rPr>
          <w:rFonts w:ascii="Arial" w:hAnsi="Arial"/>
          <w:bCs/>
          <w:sz w:val="22"/>
          <w:szCs w:val="22"/>
          <w:lang w:val="en-GB"/>
        </w:rPr>
        <w:t>,</w:t>
      </w:r>
      <w:r w:rsidR="00A02FAC" w:rsidRPr="00A02FAC">
        <w:rPr>
          <w:rFonts w:ascii="Arial" w:hAnsi="Arial"/>
          <w:bCs/>
          <w:sz w:val="22"/>
          <w:szCs w:val="22"/>
          <w:lang w:val="en-GB"/>
        </w:rPr>
        <w:t xml:space="preserve"> facilitating peer learning and cross-regional exchange</w:t>
      </w:r>
      <w:r w:rsidR="00451E1F">
        <w:rPr>
          <w:rFonts w:ascii="Arial" w:hAnsi="Arial"/>
          <w:bCs/>
          <w:sz w:val="22"/>
          <w:szCs w:val="22"/>
          <w:lang w:val="en-GB"/>
        </w:rPr>
        <w:t>s</w:t>
      </w:r>
      <w:r w:rsidR="00A02FAC" w:rsidRPr="00A02FAC">
        <w:rPr>
          <w:rFonts w:ascii="Arial" w:hAnsi="Arial"/>
          <w:bCs/>
          <w:sz w:val="22"/>
          <w:szCs w:val="22"/>
          <w:lang w:val="en-GB"/>
        </w:rPr>
        <w:t>.</w:t>
      </w:r>
    </w:p>
    <w:p w14:paraId="285F967F" w14:textId="5D668679" w:rsidR="00311F91" w:rsidRPr="00143D6A" w:rsidRDefault="00844832" w:rsidP="00396894">
      <w:pPr>
        <w:pStyle w:val="Sansinterligne2"/>
        <w:numPr>
          <w:ilvl w:val="0"/>
          <w:numId w:val="23"/>
        </w:numPr>
        <w:spacing w:after="120"/>
        <w:ind w:left="567" w:hanging="567"/>
        <w:jc w:val="both"/>
        <w:rPr>
          <w:rFonts w:asciiTheme="minorBidi" w:hAnsiTheme="minorBidi" w:cstheme="minorBidi"/>
          <w:snapToGrid w:val="0"/>
          <w:sz w:val="22"/>
          <w:szCs w:val="22"/>
          <w:lang w:val="en-GB" w:eastAsia="en-US"/>
        </w:rPr>
      </w:pPr>
      <w:r>
        <w:rPr>
          <w:rFonts w:ascii="Arial" w:hAnsi="Arial"/>
          <w:bCs/>
          <w:sz w:val="22"/>
          <w:szCs w:val="22"/>
          <w:lang w:val="en-GB"/>
        </w:rPr>
        <w:t xml:space="preserve">The implementation of the capacity-building process </w:t>
      </w:r>
      <w:r w:rsidR="005D09A0">
        <w:rPr>
          <w:rFonts w:ascii="Arial" w:hAnsi="Arial"/>
          <w:bCs/>
          <w:sz w:val="22"/>
          <w:szCs w:val="22"/>
          <w:lang w:val="en-GB"/>
        </w:rPr>
        <w:t xml:space="preserve">for the Africa region </w:t>
      </w:r>
      <w:r>
        <w:rPr>
          <w:rFonts w:ascii="Arial" w:hAnsi="Arial"/>
          <w:bCs/>
          <w:sz w:val="22"/>
          <w:szCs w:val="22"/>
          <w:lang w:val="en-GB"/>
        </w:rPr>
        <w:t>w</w:t>
      </w:r>
      <w:r w:rsidR="00092874">
        <w:rPr>
          <w:rFonts w:ascii="Arial" w:hAnsi="Arial"/>
          <w:bCs/>
          <w:sz w:val="22"/>
          <w:szCs w:val="22"/>
          <w:lang w:val="en-GB"/>
        </w:rPr>
        <w:t>ould</w:t>
      </w:r>
      <w:r>
        <w:rPr>
          <w:rFonts w:ascii="Arial" w:hAnsi="Arial"/>
          <w:bCs/>
          <w:sz w:val="22"/>
          <w:szCs w:val="22"/>
          <w:lang w:val="en-GB"/>
        </w:rPr>
        <w:t xml:space="preserve"> be ensured by UNESCO and its network of field offices in the region</w:t>
      </w:r>
      <w:r w:rsidR="00092874">
        <w:rPr>
          <w:rFonts w:ascii="Arial" w:hAnsi="Arial"/>
          <w:bCs/>
          <w:sz w:val="22"/>
          <w:szCs w:val="22"/>
          <w:lang w:val="en-GB"/>
        </w:rPr>
        <w:t xml:space="preserve"> </w:t>
      </w:r>
      <w:r w:rsidR="00467A8D">
        <w:rPr>
          <w:rFonts w:ascii="Arial" w:hAnsi="Arial"/>
          <w:bCs/>
          <w:sz w:val="22"/>
          <w:szCs w:val="22"/>
          <w:lang w:val="en-GB"/>
        </w:rPr>
        <w:t>and in collaboration with</w:t>
      </w:r>
      <w:r w:rsidR="00092874">
        <w:rPr>
          <w:rFonts w:ascii="Arial" w:hAnsi="Arial"/>
          <w:bCs/>
          <w:sz w:val="22"/>
          <w:szCs w:val="22"/>
          <w:lang w:val="en-GB"/>
        </w:rPr>
        <w:t xml:space="preserve"> the </w:t>
      </w:r>
      <w:r>
        <w:rPr>
          <w:rFonts w:ascii="Arial" w:hAnsi="Arial" w:cs="Arial"/>
          <w:bCs/>
          <w:sz w:val="22"/>
          <w:szCs w:val="22"/>
          <w:lang w:val="en-US"/>
        </w:rPr>
        <w:t xml:space="preserve">Category 2 </w:t>
      </w:r>
      <w:r w:rsidR="00451E1F">
        <w:rPr>
          <w:rFonts w:ascii="Arial" w:hAnsi="Arial" w:cs="Arial"/>
          <w:bCs/>
          <w:sz w:val="22"/>
          <w:szCs w:val="22"/>
          <w:lang w:val="en-US"/>
        </w:rPr>
        <w:t>C</w:t>
      </w:r>
      <w:r>
        <w:rPr>
          <w:rFonts w:ascii="Arial" w:hAnsi="Arial" w:cs="Arial"/>
          <w:bCs/>
          <w:sz w:val="22"/>
          <w:szCs w:val="22"/>
          <w:lang w:val="en-US"/>
        </w:rPr>
        <w:t>entre the</w:t>
      </w:r>
      <w:r w:rsidRPr="004117F7">
        <w:rPr>
          <w:rFonts w:ascii="Arial" w:hAnsi="Arial" w:cs="Arial"/>
          <w:bCs/>
          <w:sz w:val="22"/>
          <w:szCs w:val="22"/>
          <w:lang w:val="en-US"/>
        </w:rPr>
        <w:t xml:space="preserve"> Regional Centre for the Safeguarding of Intangible Cultural Heritage in Africa (CRESPIAF</w:t>
      </w:r>
      <w:r>
        <w:rPr>
          <w:rFonts w:ascii="Arial" w:hAnsi="Arial" w:cs="Arial"/>
          <w:bCs/>
          <w:sz w:val="22"/>
          <w:szCs w:val="22"/>
          <w:lang w:val="en-US"/>
        </w:rPr>
        <w:t>). The comprehensive capacity-building approach in the region w</w:t>
      </w:r>
      <w:r w:rsidR="00092874">
        <w:rPr>
          <w:rFonts w:ascii="Arial" w:hAnsi="Arial" w:cs="Arial"/>
          <w:bCs/>
          <w:sz w:val="22"/>
          <w:szCs w:val="22"/>
          <w:lang w:val="en-US"/>
        </w:rPr>
        <w:t>ill</w:t>
      </w:r>
      <w:r>
        <w:rPr>
          <w:rFonts w:ascii="Arial" w:hAnsi="Arial" w:cs="Arial"/>
          <w:bCs/>
          <w:sz w:val="22"/>
          <w:szCs w:val="22"/>
          <w:lang w:val="en-US"/>
        </w:rPr>
        <w:t xml:space="preserve"> help ensure that African States are fully supported in the preparation of their periodic reports</w:t>
      </w:r>
      <w:r w:rsidR="00451E1F">
        <w:rPr>
          <w:rFonts w:ascii="Arial" w:hAnsi="Arial" w:cs="Arial"/>
          <w:bCs/>
          <w:sz w:val="22"/>
          <w:szCs w:val="22"/>
          <w:lang w:val="en-US"/>
        </w:rPr>
        <w:t>,</w:t>
      </w:r>
      <w:r>
        <w:rPr>
          <w:rFonts w:ascii="Arial" w:hAnsi="Arial" w:cs="Arial"/>
          <w:bCs/>
          <w:sz w:val="22"/>
          <w:szCs w:val="22"/>
          <w:lang w:val="en-US"/>
        </w:rPr>
        <w:t xml:space="preserve"> in line with UNESCO’s Operational Strategy for Priority Africa 2022-2029.</w:t>
      </w:r>
    </w:p>
    <w:p w14:paraId="504DF684" w14:textId="12525393" w:rsidR="00F96C50" w:rsidRPr="00143D6A" w:rsidRDefault="0059183F" w:rsidP="001479C0">
      <w:pPr>
        <w:pStyle w:val="Sansinterligne2"/>
        <w:spacing w:before="240" w:after="120"/>
        <w:jc w:val="both"/>
        <w:rPr>
          <w:rFonts w:asciiTheme="minorBidi" w:hAnsiTheme="minorBidi" w:cstheme="minorBidi"/>
          <w:b/>
          <w:bCs/>
          <w:snapToGrid w:val="0"/>
          <w:sz w:val="22"/>
          <w:szCs w:val="22"/>
          <w:lang w:val="en-GB" w:eastAsia="en-US"/>
        </w:rPr>
      </w:pPr>
      <w:r>
        <w:rPr>
          <w:rFonts w:asciiTheme="minorBidi" w:hAnsiTheme="minorBidi" w:cstheme="minorBidi"/>
          <w:b/>
          <w:bCs/>
          <w:snapToGrid w:val="0"/>
          <w:sz w:val="22"/>
          <w:szCs w:val="22"/>
          <w:lang w:val="en-GB" w:eastAsia="en-US"/>
        </w:rPr>
        <w:t>Ways forward</w:t>
      </w:r>
    </w:p>
    <w:p w14:paraId="56666ED4" w14:textId="4A0A1E4C" w:rsidR="00B82FEB" w:rsidRDefault="00657BC6" w:rsidP="00396894">
      <w:pPr>
        <w:pStyle w:val="Sansinterligne2"/>
        <w:numPr>
          <w:ilvl w:val="0"/>
          <w:numId w:val="23"/>
        </w:numPr>
        <w:spacing w:after="120"/>
        <w:ind w:left="567" w:hanging="567"/>
        <w:jc w:val="both"/>
        <w:rPr>
          <w:rFonts w:asciiTheme="minorBidi" w:hAnsiTheme="minorBidi" w:cstheme="minorBidi"/>
          <w:snapToGrid w:val="0"/>
          <w:sz w:val="22"/>
          <w:szCs w:val="22"/>
          <w:lang w:val="en-GB" w:eastAsia="en-US"/>
        </w:rPr>
      </w:pPr>
      <w:r>
        <w:rPr>
          <w:rFonts w:asciiTheme="minorBidi" w:hAnsiTheme="minorBidi" w:cstheme="minorBidi"/>
          <w:snapToGrid w:val="0"/>
          <w:sz w:val="22"/>
          <w:szCs w:val="22"/>
          <w:lang w:val="en-GB" w:eastAsia="en-US"/>
        </w:rPr>
        <w:t xml:space="preserve">While it is a challenge to support four regions </w:t>
      </w:r>
      <w:r w:rsidR="00451E1F">
        <w:rPr>
          <w:rFonts w:asciiTheme="minorBidi" w:hAnsiTheme="minorBidi" w:cstheme="minorBidi"/>
          <w:snapToGrid w:val="0"/>
          <w:sz w:val="22"/>
          <w:szCs w:val="22"/>
          <w:lang w:val="en-GB" w:eastAsia="en-US"/>
        </w:rPr>
        <w:t>undertaking</w:t>
      </w:r>
      <w:r>
        <w:rPr>
          <w:rFonts w:asciiTheme="minorBidi" w:hAnsiTheme="minorBidi" w:cstheme="minorBidi"/>
          <w:snapToGrid w:val="0"/>
          <w:sz w:val="22"/>
          <w:szCs w:val="22"/>
          <w:lang w:val="en-GB" w:eastAsia="en-US"/>
        </w:rPr>
        <w:t xml:space="preserve"> the periodic reporting exercise, the situation allows the Secretariat to apply lessons learnt from one region to </w:t>
      </w:r>
      <w:r w:rsidR="00451E1F">
        <w:rPr>
          <w:rFonts w:asciiTheme="minorBidi" w:hAnsiTheme="minorBidi" w:cstheme="minorBidi"/>
          <w:snapToGrid w:val="0"/>
          <w:sz w:val="22"/>
          <w:szCs w:val="22"/>
          <w:lang w:val="en-GB" w:eastAsia="en-US"/>
        </w:rPr>
        <w:t>another</w:t>
      </w:r>
      <w:r>
        <w:rPr>
          <w:rFonts w:asciiTheme="minorBidi" w:hAnsiTheme="minorBidi" w:cstheme="minorBidi"/>
          <w:snapToGrid w:val="0"/>
          <w:sz w:val="22"/>
          <w:szCs w:val="22"/>
          <w:lang w:val="en-GB" w:eastAsia="en-US"/>
        </w:rPr>
        <w:t xml:space="preserve">. </w:t>
      </w:r>
      <w:r w:rsidR="00451E1F">
        <w:rPr>
          <w:rFonts w:asciiTheme="minorBidi" w:hAnsiTheme="minorBidi" w:cstheme="minorBidi"/>
          <w:snapToGrid w:val="0"/>
          <w:sz w:val="22"/>
          <w:szCs w:val="22"/>
          <w:lang w:val="en-GB" w:eastAsia="en-US"/>
        </w:rPr>
        <w:t xml:space="preserve">Numerous experiences </w:t>
      </w:r>
      <w:r>
        <w:rPr>
          <w:rFonts w:asciiTheme="minorBidi" w:hAnsiTheme="minorBidi" w:cstheme="minorBidi"/>
          <w:snapToGrid w:val="0"/>
          <w:sz w:val="22"/>
          <w:szCs w:val="22"/>
          <w:lang w:val="en-GB" w:eastAsia="en-US"/>
        </w:rPr>
        <w:t>and observation</w:t>
      </w:r>
      <w:r w:rsidR="00451E1F">
        <w:rPr>
          <w:rFonts w:asciiTheme="minorBidi" w:hAnsiTheme="minorBidi" w:cstheme="minorBidi"/>
          <w:snapToGrid w:val="0"/>
          <w:sz w:val="22"/>
          <w:szCs w:val="22"/>
          <w:lang w:val="en-GB" w:eastAsia="en-US"/>
        </w:rPr>
        <w:t>s</w:t>
      </w:r>
      <w:r>
        <w:rPr>
          <w:rFonts w:asciiTheme="minorBidi" w:hAnsiTheme="minorBidi" w:cstheme="minorBidi"/>
          <w:snapToGrid w:val="0"/>
          <w:sz w:val="22"/>
          <w:szCs w:val="22"/>
          <w:lang w:val="en-GB" w:eastAsia="en-US"/>
        </w:rPr>
        <w:t xml:space="preserve"> from the first cycle in Latin America and the Caribbean</w:t>
      </w:r>
      <w:r w:rsidR="00451E1F">
        <w:rPr>
          <w:rFonts w:asciiTheme="minorBidi" w:hAnsiTheme="minorBidi" w:cstheme="minorBidi"/>
          <w:snapToGrid w:val="0"/>
          <w:sz w:val="22"/>
          <w:szCs w:val="22"/>
          <w:lang w:val="en-GB" w:eastAsia="en-US"/>
        </w:rPr>
        <w:t xml:space="preserve"> could be described, </w:t>
      </w:r>
      <w:r>
        <w:rPr>
          <w:rFonts w:asciiTheme="minorBidi" w:hAnsiTheme="minorBidi" w:cstheme="minorBidi"/>
          <w:snapToGrid w:val="0"/>
          <w:sz w:val="22"/>
          <w:szCs w:val="22"/>
          <w:lang w:val="en-GB" w:eastAsia="en-US"/>
        </w:rPr>
        <w:t xml:space="preserve">but </w:t>
      </w:r>
      <w:r w:rsidR="00451E1F">
        <w:rPr>
          <w:rFonts w:asciiTheme="minorBidi" w:hAnsiTheme="minorBidi" w:cstheme="minorBidi"/>
          <w:snapToGrid w:val="0"/>
          <w:sz w:val="22"/>
          <w:szCs w:val="22"/>
          <w:lang w:val="en-GB" w:eastAsia="en-US"/>
        </w:rPr>
        <w:t xml:space="preserve">the key </w:t>
      </w:r>
      <w:r w:rsidR="0020254A">
        <w:rPr>
          <w:rFonts w:asciiTheme="minorBidi" w:hAnsiTheme="minorBidi" w:cstheme="minorBidi"/>
          <w:snapToGrid w:val="0"/>
          <w:sz w:val="22"/>
          <w:szCs w:val="22"/>
          <w:lang w:val="en-GB" w:eastAsia="en-US"/>
        </w:rPr>
        <w:t>recommendations</w:t>
      </w:r>
      <w:r>
        <w:rPr>
          <w:rFonts w:asciiTheme="minorBidi" w:hAnsiTheme="minorBidi" w:cstheme="minorBidi"/>
          <w:snapToGrid w:val="0"/>
          <w:sz w:val="22"/>
          <w:szCs w:val="22"/>
          <w:lang w:val="en-GB" w:eastAsia="en-US"/>
        </w:rPr>
        <w:t xml:space="preserve"> that are immediately relevant for the regions who are preparing or will be preparing their reports may be </w:t>
      </w:r>
      <w:r w:rsidR="00451E1F">
        <w:rPr>
          <w:rFonts w:asciiTheme="minorBidi" w:hAnsiTheme="minorBidi" w:cstheme="minorBidi"/>
          <w:snapToGrid w:val="0"/>
          <w:sz w:val="22"/>
          <w:szCs w:val="22"/>
          <w:lang w:val="en-GB" w:eastAsia="en-US"/>
        </w:rPr>
        <w:t xml:space="preserve">summarized </w:t>
      </w:r>
      <w:r>
        <w:rPr>
          <w:rFonts w:asciiTheme="minorBidi" w:hAnsiTheme="minorBidi" w:cstheme="minorBidi"/>
          <w:snapToGrid w:val="0"/>
          <w:sz w:val="22"/>
          <w:szCs w:val="22"/>
          <w:lang w:val="en-GB" w:eastAsia="en-US"/>
        </w:rPr>
        <w:t>as follows:</w:t>
      </w:r>
    </w:p>
    <w:p w14:paraId="5F4E3299" w14:textId="55B57402" w:rsidR="007D0CAC" w:rsidRDefault="009F7954" w:rsidP="00396894">
      <w:pPr>
        <w:pStyle w:val="Sansinterligne2"/>
        <w:numPr>
          <w:ilvl w:val="0"/>
          <w:numId w:val="35"/>
        </w:numPr>
        <w:spacing w:after="120"/>
        <w:ind w:left="1134" w:hanging="567"/>
        <w:jc w:val="both"/>
        <w:rPr>
          <w:rFonts w:asciiTheme="minorBidi" w:hAnsiTheme="minorBidi" w:cstheme="minorBidi"/>
          <w:snapToGrid w:val="0"/>
          <w:sz w:val="22"/>
          <w:szCs w:val="22"/>
          <w:lang w:val="en-GB" w:eastAsia="en-US"/>
        </w:rPr>
      </w:pPr>
      <w:r w:rsidRPr="00086A82">
        <w:rPr>
          <w:rFonts w:asciiTheme="minorBidi" w:hAnsiTheme="minorBidi" w:cstheme="minorBidi"/>
          <w:snapToGrid w:val="0"/>
          <w:sz w:val="22"/>
          <w:szCs w:val="22"/>
          <w:lang w:val="en-GB" w:eastAsia="en-US"/>
        </w:rPr>
        <w:t xml:space="preserve">Although </w:t>
      </w:r>
      <w:r w:rsidR="0020254A">
        <w:rPr>
          <w:rFonts w:asciiTheme="minorBidi" w:hAnsiTheme="minorBidi" w:cstheme="minorBidi"/>
          <w:snapToGrid w:val="0"/>
          <w:sz w:val="22"/>
          <w:szCs w:val="22"/>
          <w:lang w:val="en-GB" w:eastAsia="en-US"/>
        </w:rPr>
        <w:t>the</w:t>
      </w:r>
      <w:r w:rsidRPr="00086A82">
        <w:rPr>
          <w:rFonts w:asciiTheme="minorBidi" w:hAnsiTheme="minorBidi" w:cstheme="minorBidi"/>
          <w:snapToGrid w:val="0"/>
          <w:sz w:val="22"/>
          <w:szCs w:val="22"/>
          <w:lang w:val="en-GB" w:eastAsia="en-US"/>
        </w:rPr>
        <w:t xml:space="preserve"> submission </w:t>
      </w:r>
      <w:r w:rsidR="0020254A">
        <w:rPr>
          <w:rFonts w:asciiTheme="minorBidi" w:hAnsiTheme="minorBidi" w:cstheme="minorBidi"/>
          <w:snapToGrid w:val="0"/>
          <w:sz w:val="22"/>
          <w:szCs w:val="22"/>
          <w:lang w:val="en-GB" w:eastAsia="en-US"/>
        </w:rPr>
        <w:t xml:space="preserve">of a report </w:t>
      </w:r>
      <w:r w:rsidRPr="00086A82">
        <w:rPr>
          <w:rFonts w:asciiTheme="minorBidi" w:hAnsiTheme="minorBidi" w:cstheme="minorBidi"/>
          <w:snapToGrid w:val="0"/>
          <w:sz w:val="22"/>
          <w:szCs w:val="22"/>
          <w:lang w:val="en-GB" w:eastAsia="en-US"/>
        </w:rPr>
        <w:t xml:space="preserve">is a statutory obligation, </w:t>
      </w:r>
      <w:r w:rsidR="0020254A">
        <w:rPr>
          <w:rFonts w:asciiTheme="minorBidi" w:hAnsiTheme="minorBidi" w:cstheme="minorBidi"/>
          <w:snapToGrid w:val="0"/>
          <w:sz w:val="22"/>
          <w:szCs w:val="22"/>
          <w:lang w:val="en-GB" w:eastAsia="en-US"/>
        </w:rPr>
        <w:t xml:space="preserve">it is important to include the perspectives of all </w:t>
      </w:r>
      <w:r w:rsidR="00451E1F">
        <w:rPr>
          <w:rFonts w:asciiTheme="minorBidi" w:hAnsiTheme="minorBidi" w:cstheme="minorBidi"/>
          <w:snapToGrid w:val="0"/>
          <w:sz w:val="22"/>
          <w:szCs w:val="22"/>
          <w:lang w:val="en-GB" w:eastAsia="en-US"/>
        </w:rPr>
        <w:t xml:space="preserve">the </w:t>
      </w:r>
      <w:r w:rsidR="0020254A">
        <w:rPr>
          <w:rFonts w:asciiTheme="minorBidi" w:hAnsiTheme="minorBidi" w:cstheme="minorBidi"/>
          <w:snapToGrid w:val="0"/>
          <w:sz w:val="22"/>
          <w:szCs w:val="22"/>
          <w:lang w:val="en-GB" w:eastAsia="en-US"/>
        </w:rPr>
        <w:t>stakeholders involved, particularly communities, rather than</w:t>
      </w:r>
      <w:r w:rsidRPr="00086A82">
        <w:rPr>
          <w:rFonts w:asciiTheme="minorBidi" w:hAnsiTheme="minorBidi" w:cstheme="minorBidi"/>
          <w:snapToGrid w:val="0"/>
          <w:sz w:val="22"/>
          <w:szCs w:val="22"/>
          <w:lang w:val="en-GB" w:eastAsia="en-US"/>
        </w:rPr>
        <w:t xml:space="preserve"> focusing exclusively on State actions.</w:t>
      </w:r>
    </w:p>
    <w:p w14:paraId="2448EA28" w14:textId="6C2072CB" w:rsidR="007D0CAC" w:rsidRDefault="0020254A" w:rsidP="00396894">
      <w:pPr>
        <w:pStyle w:val="Sansinterligne2"/>
        <w:numPr>
          <w:ilvl w:val="0"/>
          <w:numId w:val="35"/>
        </w:numPr>
        <w:spacing w:after="120"/>
        <w:ind w:left="1134" w:hanging="567"/>
        <w:jc w:val="both"/>
        <w:rPr>
          <w:rFonts w:asciiTheme="minorBidi" w:hAnsiTheme="minorBidi" w:cstheme="minorBidi"/>
          <w:snapToGrid w:val="0"/>
          <w:sz w:val="22"/>
          <w:szCs w:val="22"/>
          <w:lang w:val="en-GB" w:eastAsia="en-US"/>
        </w:rPr>
      </w:pPr>
      <w:r>
        <w:rPr>
          <w:rFonts w:asciiTheme="minorBidi" w:hAnsiTheme="minorBidi" w:cstheme="minorBidi"/>
          <w:snapToGrid w:val="0"/>
          <w:sz w:val="22"/>
          <w:szCs w:val="22"/>
          <w:lang w:val="en-GB" w:eastAsia="en-US"/>
        </w:rPr>
        <w:t xml:space="preserve">Similarly, </w:t>
      </w:r>
      <w:r w:rsidR="00D05326" w:rsidRPr="00086A82">
        <w:rPr>
          <w:rFonts w:asciiTheme="minorBidi" w:hAnsiTheme="minorBidi" w:cstheme="minorBidi"/>
          <w:snapToGrid w:val="0"/>
          <w:sz w:val="22"/>
          <w:szCs w:val="22"/>
          <w:lang w:val="en-GB" w:eastAsia="en-US"/>
        </w:rPr>
        <w:t>reports shoul</w:t>
      </w:r>
      <w:r w:rsidR="00D358C3" w:rsidRPr="00086A82">
        <w:rPr>
          <w:rFonts w:asciiTheme="minorBidi" w:hAnsiTheme="minorBidi" w:cstheme="minorBidi"/>
          <w:snapToGrid w:val="0"/>
          <w:sz w:val="22"/>
          <w:szCs w:val="22"/>
          <w:lang w:val="en-GB" w:eastAsia="en-US"/>
        </w:rPr>
        <w:t>d not only</w:t>
      </w:r>
      <w:r w:rsidR="00D05326" w:rsidRPr="00086A82">
        <w:rPr>
          <w:rFonts w:asciiTheme="minorBidi" w:hAnsiTheme="minorBidi" w:cstheme="minorBidi"/>
          <w:snapToGrid w:val="0"/>
          <w:sz w:val="22"/>
          <w:szCs w:val="22"/>
          <w:lang w:val="en-GB" w:eastAsia="en-US"/>
        </w:rPr>
        <w:t xml:space="preserve"> cover actions related</w:t>
      </w:r>
      <w:r w:rsidR="00D358C3" w:rsidRPr="00086A82">
        <w:rPr>
          <w:rFonts w:asciiTheme="minorBidi" w:hAnsiTheme="minorBidi" w:cstheme="minorBidi"/>
          <w:snapToGrid w:val="0"/>
          <w:sz w:val="22"/>
          <w:szCs w:val="22"/>
          <w:lang w:val="en-GB" w:eastAsia="en-US"/>
        </w:rPr>
        <w:t xml:space="preserve"> </w:t>
      </w:r>
      <w:r w:rsidR="00D05326" w:rsidRPr="00086A82">
        <w:rPr>
          <w:rFonts w:asciiTheme="minorBidi" w:hAnsiTheme="minorBidi" w:cstheme="minorBidi"/>
          <w:snapToGrid w:val="0"/>
          <w:sz w:val="22"/>
          <w:szCs w:val="22"/>
          <w:lang w:val="en-GB" w:eastAsia="en-US"/>
        </w:rPr>
        <w:t>to inventoried or inscribed elements</w:t>
      </w:r>
      <w:r w:rsidR="00451E1F">
        <w:rPr>
          <w:rFonts w:asciiTheme="minorBidi" w:hAnsiTheme="minorBidi" w:cstheme="minorBidi"/>
          <w:snapToGrid w:val="0"/>
          <w:sz w:val="22"/>
          <w:szCs w:val="22"/>
          <w:lang w:val="en-GB" w:eastAsia="en-US"/>
        </w:rPr>
        <w:t xml:space="preserve">; rather, they should relate to </w:t>
      </w:r>
      <w:r w:rsidR="00D358C3" w:rsidRPr="00086A82">
        <w:rPr>
          <w:rFonts w:asciiTheme="minorBidi" w:hAnsiTheme="minorBidi" w:cstheme="minorBidi"/>
          <w:snapToGrid w:val="0"/>
          <w:sz w:val="22"/>
          <w:szCs w:val="22"/>
          <w:lang w:val="en-GB" w:eastAsia="en-US"/>
        </w:rPr>
        <w:t xml:space="preserve">intangible </w:t>
      </w:r>
      <w:r w:rsidR="00D05326" w:rsidRPr="00086A82">
        <w:rPr>
          <w:rFonts w:asciiTheme="minorBidi" w:hAnsiTheme="minorBidi" w:cstheme="minorBidi"/>
          <w:snapToGrid w:val="0"/>
          <w:sz w:val="22"/>
          <w:szCs w:val="22"/>
          <w:lang w:val="en-GB" w:eastAsia="en-US"/>
        </w:rPr>
        <w:t>cultural heritage in general</w:t>
      </w:r>
      <w:r>
        <w:rPr>
          <w:rFonts w:asciiTheme="minorBidi" w:hAnsiTheme="minorBidi" w:cstheme="minorBidi"/>
          <w:snapToGrid w:val="0"/>
          <w:sz w:val="22"/>
          <w:szCs w:val="22"/>
          <w:lang w:val="en-GB" w:eastAsia="en-US"/>
        </w:rPr>
        <w:t>, so as to showcase</w:t>
      </w:r>
      <w:r w:rsidR="006134C8">
        <w:rPr>
          <w:rFonts w:asciiTheme="minorBidi" w:hAnsiTheme="minorBidi" w:cstheme="minorBidi"/>
          <w:snapToGrid w:val="0"/>
          <w:sz w:val="22"/>
          <w:szCs w:val="22"/>
          <w:lang w:val="en-GB" w:eastAsia="en-US"/>
        </w:rPr>
        <w:t xml:space="preserve"> a greater variety of examples </w:t>
      </w:r>
      <w:r w:rsidR="000D54D6" w:rsidRPr="00086A82">
        <w:rPr>
          <w:rFonts w:asciiTheme="minorBidi" w:hAnsiTheme="minorBidi" w:cstheme="minorBidi"/>
          <w:snapToGrid w:val="0"/>
          <w:sz w:val="22"/>
          <w:szCs w:val="22"/>
          <w:lang w:val="en-GB" w:eastAsia="en-US"/>
        </w:rPr>
        <w:t>of safeguarding activities.</w:t>
      </w:r>
    </w:p>
    <w:p w14:paraId="15378DBE" w14:textId="33E0B5F5" w:rsidR="0020254A" w:rsidRDefault="00CC4C64" w:rsidP="00396894">
      <w:pPr>
        <w:pStyle w:val="Sansinterligne2"/>
        <w:numPr>
          <w:ilvl w:val="0"/>
          <w:numId w:val="35"/>
        </w:numPr>
        <w:spacing w:after="120"/>
        <w:ind w:left="1134" w:hanging="567"/>
        <w:jc w:val="both"/>
        <w:rPr>
          <w:rFonts w:asciiTheme="minorBidi" w:hAnsiTheme="minorBidi" w:cstheme="minorBidi"/>
          <w:snapToGrid w:val="0"/>
          <w:sz w:val="22"/>
          <w:szCs w:val="22"/>
          <w:lang w:val="en-GB" w:eastAsia="en-US"/>
        </w:rPr>
      </w:pPr>
      <w:r>
        <w:rPr>
          <w:rFonts w:asciiTheme="minorBidi" w:hAnsiTheme="minorBidi" w:cstheme="minorBidi"/>
          <w:snapToGrid w:val="0"/>
          <w:sz w:val="22"/>
          <w:szCs w:val="22"/>
          <w:lang w:val="en-GB" w:eastAsia="en-US"/>
        </w:rPr>
        <w:t>I</w:t>
      </w:r>
      <w:r w:rsidR="0020254A">
        <w:rPr>
          <w:rFonts w:asciiTheme="minorBidi" w:hAnsiTheme="minorBidi" w:cstheme="minorBidi"/>
          <w:snapToGrid w:val="0"/>
          <w:sz w:val="22"/>
          <w:szCs w:val="22"/>
          <w:lang w:val="en-GB" w:eastAsia="en-US"/>
        </w:rPr>
        <w:t xml:space="preserve">t could be helpful if reporting countries </w:t>
      </w:r>
      <w:r w:rsidR="007F041D">
        <w:rPr>
          <w:rFonts w:asciiTheme="minorBidi" w:hAnsiTheme="minorBidi" w:cstheme="minorBidi"/>
          <w:snapToGrid w:val="0"/>
          <w:sz w:val="22"/>
          <w:szCs w:val="22"/>
          <w:lang w:val="en-GB" w:eastAsia="en-US"/>
        </w:rPr>
        <w:t>clearly differentiate</w:t>
      </w:r>
      <w:r w:rsidR="00451E1F">
        <w:rPr>
          <w:rFonts w:asciiTheme="minorBidi" w:hAnsiTheme="minorBidi" w:cstheme="minorBidi"/>
          <w:snapToGrid w:val="0"/>
          <w:sz w:val="22"/>
          <w:szCs w:val="22"/>
          <w:lang w:val="en-GB" w:eastAsia="en-US"/>
        </w:rPr>
        <w:t>d between</w:t>
      </w:r>
      <w:r w:rsidR="0020254A">
        <w:rPr>
          <w:rFonts w:asciiTheme="minorBidi" w:hAnsiTheme="minorBidi" w:cstheme="minorBidi"/>
          <w:snapToGrid w:val="0"/>
          <w:sz w:val="22"/>
          <w:szCs w:val="22"/>
          <w:lang w:val="en-GB" w:eastAsia="en-US"/>
        </w:rPr>
        <w:t xml:space="preserve"> the notions of actions, outcomes and impacts, instead of focusing primarily on the safeguarding activities undertaken.</w:t>
      </w:r>
      <w:r w:rsidR="00967DE2" w:rsidRPr="00967DE2">
        <w:rPr>
          <w:rFonts w:asciiTheme="minorBidi" w:hAnsiTheme="minorBidi" w:cstheme="minorBidi"/>
          <w:snapToGrid w:val="0"/>
          <w:sz w:val="22"/>
          <w:szCs w:val="22"/>
          <w:lang w:val="en-GB" w:eastAsia="en-US"/>
        </w:rPr>
        <w:t xml:space="preserve"> </w:t>
      </w:r>
      <w:r w:rsidR="00967DE2">
        <w:rPr>
          <w:rFonts w:asciiTheme="minorBidi" w:hAnsiTheme="minorBidi" w:cstheme="minorBidi"/>
          <w:snapToGrid w:val="0"/>
          <w:sz w:val="22"/>
          <w:szCs w:val="22"/>
          <w:lang w:val="en-GB" w:eastAsia="en-US"/>
        </w:rPr>
        <w:t xml:space="preserve">States should also be </w:t>
      </w:r>
      <w:r w:rsidR="00967DE2" w:rsidRPr="00086A82">
        <w:rPr>
          <w:rFonts w:asciiTheme="minorBidi" w:hAnsiTheme="minorBidi" w:cstheme="minorBidi"/>
          <w:snapToGrid w:val="0"/>
          <w:sz w:val="22"/>
          <w:szCs w:val="22"/>
          <w:lang w:val="en-GB" w:eastAsia="en-US"/>
        </w:rPr>
        <w:t>encourag</w:t>
      </w:r>
      <w:r w:rsidR="00967DE2">
        <w:rPr>
          <w:rFonts w:asciiTheme="minorBidi" w:hAnsiTheme="minorBidi" w:cstheme="minorBidi"/>
          <w:snapToGrid w:val="0"/>
          <w:sz w:val="22"/>
          <w:szCs w:val="22"/>
          <w:lang w:val="en-GB" w:eastAsia="en-US"/>
        </w:rPr>
        <w:t>ed</w:t>
      </w:r>
      <w:r w:rsidR="00967DE2" w:rsidRPr="00086A82">
        <w:rPr>
          <w:rFonts w:asciiTheme="minorBidi" w:hAnsiTheme="minorBidi" w:cstheme="minorBidi"/>
          <w:snapToGrid w:val="0"/>
          <w:sz w:val="22"/>
          <w:szCs w:val="22"/>
          <w:lang w:val="en-GB" w:eastAsia="en-US"/>
        </w:rPr>
        <w:t xml:space="preserve"> to </w:t>
      </w:r>
      <w:r w:rsidR="00967DE2">
        <w:rPr>
          <w:rFonts w:asciiTheme="minorBidi" w:hAnsiTheme="minorBidi" w:cstheme="minorBidi"/>
          <w:snapToGrid w:val="0"/>
          <w:sz w:val="22"/>
          <w:szCs w:val="22"/>
          <w:lang w:val="en-GB" w:eastAsia="en-US"/>
        </w:rPr>
        <w:t xml:space="preserve">provide evidence supporting </w:t>
      </w:r>
      <w:r w:rsidR="00451E1F">
        <w:rPr>
          <w:rFonts w:asciiTheme="minorBidi" w:hAnsiTheme="minorBidi" w:cstheme="minorBidi"/>
          <w:snapToGrid w:val="0"/>
          <w:sz w:val="22"/>
          <w:szCs w:val="22"/>
          <w:lang w:val="en-GB" w:eastAsia="en-US"/>
        </w:rPr>
        <w:t xml:space="preserve">any </w:t>
      </w:r>
      <w:r w:rsidR="00967DE2">
        <w:rPr>
          <w:rFonts w:asciiTheme="minorBidi" w:hAnsiTheme="minorBidi" w:cstheme="minorBidi"/>
          <w:snapToGrid w:val="0"/>
          <w:sz w:val="22"/>
          <w:szCs w:val="22"/>
          <w:lang w:val="en-GB" w:eastAsia="en-US"/>
        </w:rPr>
        <w:t>claims made in the reports.</w:t>
      </w:r>
    </w:p>
    <w:p w14:paraId="3A46CBAB" w14:textId="591329A2" w:rsidR="00CE1D80" w:rsidRPr="00405541" w:rsidRDefault="000F2E6B" w:rsidP="00396894">
      <w:pPr>
        <w:pStyle w:val="Sansinterligne2"/>
        <w:numPr>
          <w:ilvl w:val="0"/>
          <w:numId w:val="23"/>
        </w:numPr>
        <w:spacing w:after="120"/>
        <w:ind w:left="567" w:hanging="567"/>
        <w:jc w:val="both"/>
        <w:rPr>
          <w:rFonts w:asciiTheme="minorBidi" w:hAnsiTheme="minorBidi" w:cstheme="minorBidi"/>
          <w:snapToGrid w:val="0"/>
          <w:sz w:val="22"/>
          <w:szCs w:val="22"/>
          <w:lang w:val="en-GB" w:eastAsia="en-US"/>
        </w:rPr>
      </w:pPr>
      <w:r w:rsidRPr="00405541">
        <w:rPr>
          <w:rFonts w:asciiTheme="minorBidi" w:hAnsiTheme="minorBidi" w:cstheme="minorBidi"/>
          <w:snapToGrid w:val="0"/>
          <w:sz w:val="22"/>
          <w:szCs w:val="22"/>
          <w:lang w:val="en-GB" w:eastAsia="en-US"/>
        </w:rPr>
        <w:t xml:space="preserve">The experiences gained so far </w:t>
      </w:r>
      <w:r w:rsidR="00451E1F" w:rsidRPr="00405541">
        <w:rPr>
          <w:rFonts w:asciiTheme="minorBidi" w:hAnsiTheme="minorBidi" w:cstheme="minorBidi"/>
          <w:snapToGrid w:val="0"/>
          <w:sz w:val="22"/>
          <w:szCs w:val="22"/>
          <w:lang w:val="en-GB" w:eastAsia="en-US"/>
        </w:rPr>
        <w:t xml:space="preserve">have </w:t>
      </w:r>
      <w:r w:rsidR="00CC007E" w:rsidRPr="00405541">
        <w:rPr>
          <w:rFonts w:asciiTheme="minorBidi" w:hAnsiTheme="minorBidi" w:cstheme="minorBidi"/>
          <w:snapToGrid w:val="0"/>
          <w:sz w:val="22"/>
          <w:szCs w:val="22"/>
          <w:lang w:val="en-GB" w:eastAsia="en-US"/>
        </w:rPr>
        <w:t xml:space="preserve">also </w:t>
      </w:r>
      <w:r w:rsidRPr="00405541">
        <w:rPr>
          <w:rFonts w:asciiTheme="minorBidi" w:hAnsiTheme="minorBidi" w:cstheme="minorBidi"/>
          <w:snapToGrid w:val="0"/>
          <w:sz w:val="22"/>
          <w:szCs w:val="22"/>
          <w:lang w:val="en-GB" w:eastAsia="en-US"/>
        </w:rPr>
        <w:t>point</w:t>
      </w:r>
      <w:r w:rsidR="00E02896" w:rsidRPr="00405541">
        <w:rPr>
          <w:rFonts w:asciiTheme="minorBidi" w:hAnsiTheme="minorBidi" w:cstheme="minorBidi"/>
          <w:snapToGrid w:val="0"/>
          <w:sz w:val="22"/>
          <w:szCs w:val="22"/>
          <w:lang w:val="en-GB" w:eastAsia="en-US"/>
        </w:rPr>
        <w:t>ed</w:t>
      </w:r>
      <w:r w:rsidRPr="00405541">
        <w:rPr>
          <w:rFonts w:asciiTheme="minorBidi" w:hAnsiTheme="minorBidi" w:cstheme="minorBidi"/>
          <w:snapToGrid w:val="0"/>
          <w:sz w:val="22"/>
          <w:szCs w:val="22"/>
          <w:lang w:val="en-GB" w:eastAsia="en-US"/>
        </w:rPr>
        <w:t xml:space="preserve"> to</w:t>
      </w:r>
      <w:r w:rsidR="00E02896" w:rsidRPr="00405541">
        <w:rPr>
          <w:rFonts w:asciiTheme="minorBidi" w:hAnsiTheme="minorBidi" w:cstheme="minorBidi"/>
          <w:snapToGrid w:val="0"/>
          <w:sz w:val="22"/>
          <w:szCs w:val="22"/>
          <w:lang w:val="en-GB" w:eastAsia="en-US"/>
        </w:rPr>
        <w:t xml:space="preserve"> </w:t>
      </w:r>
      <w:r w:rsidRPr="00405541">
        <w:rPr>
          <w:rFonts w:asciiTheme="minorBidi" w:hAnsiTheme="minorBidi" w:cstheme="minorBidi"/>
          <w:snapToGrid w:val="0"/>
          <w:sz w:val="22"/>
          <w:szCs w:val="22"/>
          <w:lang w:val="en-GB" w:eastAsia="en-US"/>
        </w:rPr>
        <w:t>technical or structural issues that require attention</w:t>
      </w:r>
      <w:r w:rsidR="007F041D" w:rsidRPr="00405541">
        <w:rPr>
          <w:rFonts w:asciiTheme="minorBidi" w:hAnsiTheme="minorBidi" w:cstheme="minorBidi"/>
          <w:snapToGrid w:val="0"/>
          <w:sz w:val="22"/>
          <w:szCs w:val="22"/>
          <w:lang w:val="en-GB" w:eastAsia="en-US"/>
        </w:rPr>
        <w:t xml:space="preserve"> </w:t>
      </w:r>
      <w:r w:rsidRPr="00405541">
        <w:rPr>
          <w:rFonts w:asciiTheme="minorBidi" w:hAnsiTheme="minorBidi" w:cstheme="minorBidi"/>
          <w:snapToGrid w:val="0"/>
          <w:sz w:val="22"/>
          <w:szCs w:val="22"/>
          <w:lang w:val="en-GB" w:eastAsia="en-US"/>
        </w:rPr>
        <w:t>in order to i</w:t>
      </w:r>
      <w:r w:rsidR="00FE7759" w:rsidRPr="00405541">
        <w:rPr>
          <w:rFonts w:asciiTheme="minorBidi" w:hAnsiTheme="minorBidi" w:cstheme="minorBidi"/>
          <w:snapToGrid w:val="0"/>
          <w:sz w:val="22"/>
          <w:szCs w:val="22"/>
          <w:lang w:val="en-GB" w:eastAsia="en-US"/>
        </w:rPr>
        <w:t>mprove the periodic reporting mechanism.</w:t>
      </w:r>
      <w:r w:rsidR="00E02896" w:rsidRPr="00405541">
        <w:rPr>
          <w:rFonts w:asciiTheme="minorBidi" w:hAnsiTheme="minorBidi" w:cstheme="minorBidi"/>
          <w:snapToGrid w:val="0"/>
          <w:sz w:val="22"/>
          <w:szCs w:val="22"/>
          <w:lang w:val="en-GB" w:eastAsia="en-US"/>
        </w:rPr>
        <w:t xml:space="preserve"> For example, t</w:t>
      </w:r>
      <w:r w:rsidR="00967DE2" w:rsidRPr="00405541">
        <w:rPr>
          <w:rFonts w:asciiTheme="minorBidi" w:hAnsiTheme="minorBidi" w:cstheme="minorBidi"/>
          <w:snapToGrid w:val="0"/>
          <w:sz w:val="22"/>
          <w:szCs w:val="22"/>
          <w:lang w:val="en-GB" w:eastAsia="en-US"/>
        </w:rPr>
        <w:t xml:space="preserve">he questions in the forms need to be streamlined </w:t>
      </w:r>
      <w:r w:rsidR="003D6640" w:rsidRPr="00405541">
        <w:rPr>
          <w:rFonts w:asciiTheme="minorBidi" w:hAnsiTheme="minorBidi" w:cstheme="minorBidi"/>
          <w:snapToGrid w:val="0"/>
          <w:sz w:val="22"/>
          <w:szCs w:val="22"/>
          <w:lang w:val="en-GB" w:eastAsia="en-US"/>
        </w:rPr>
        <w:t xml:space="preserve">as </w:t>
      </w:r>
      <w:r w:rsidR="00042374" w:rsidRPr="00405541">
        <w:rPr>
          <w:rFonts w:asciiTheme="minorBidi" w:hAnsiTheme="minorBidi" w:cstheme="minorBidi"/>
          <w:snapToGrid w:val="0"/>
          <w:sz w:val="22"/>
          <w:szCs w:val="22"/>
          <w:lang w:val="en-GB" w:eastAsia="en-US"/>
        </w:rPr>
        <w:t xml:space="preserve">there are over </w:t>
      </w:r>
      <w:r w:rsidR="00451E1F" w:rsidRPr="00405541">
        <w:rPr>
          <w:rFonts w:asciiTheme="minorBidi" w:hAnsiTheme="minorBidi" w:cstheme="minorBidi"/>
          <w:snapToGrid w:val="0"/>
          <w:sz w:val="22"/>
          <w:szCs w:val="22"/>
          <w:lang w:val="en-GB" w:eastAsia="en-US"/>
        </w:rPr>
        <w:t xml:space="preserve">a </w:t>
      </w:r>
      <w:r w:rsidR="00E02896" w:rsidRPr="00405541">
        <w:rPr>
          <w:rFonts w:asciiTheme="minorBidi" w:hAnsiTheme="minorBidi" w:cstheme="minorBidi"/>
          <w:snapToGrid w:val="0"/>
          <w:sz w:val="22"/>
          <w:szCs w:val="22"/>
          <w:lang w:val="en-GB" w:eastAsia="en-US"/>
        </w:rPr>
        <w:t>hundred</w:t>
      </w:r>
      <w:r w:rsidR="00042374" w:rsidRPr="00405541">
        <w:rPr>
          <w:rFonts w:asciiTheme="minorBidi" w:hAnsiTheme="minorBidi" w:cstheme="minorBidi"/>
          <w:snapToGrid w:val="0"/>
          <w:sz w:val="22"/>
          <w:szCs w:val="22"/>
          <w:lang w:val="en-GB" w:eastAsia="en-US"/>
        </w:rPr>
        <w:t xml:space="preserve"> questions</w:t>
      </w:r>
      <w:r w:rsidR="00D301CC" w:rsidRPr="00405541">
        <w:rPr>
          <w:rFonts w:asciiTheme="minorBidi" w:hAnsiTheme="minorBidi" w:cstheme="minorBidi"/>
          <w:snapToGrid w:val="0"/>
          <w:sz w:val="22"/>
          <w:szCs w:val="22"/>
          <w:lang w:val="en-GB" w:eastAsia="en-US"/>
        </w:rPr>
        <w:t xml:space="preserve"> and </w:t>
      </w:r>
      <w:r w:rsidR="006134C8" w:rsidRPr="00405541">
        <w:rPr>
          <w:rFonts w:asciiTheme="minorBidi" w:hAnsiTheme="minorBidi" w:cstheme="minorBidi"/>
          <w:snapToGrid w:val="0"/>
          <w:sz w:val="22"/>
          <w:szCs w:val="22"/>
          <w:lang w:val="en-GB" w:eastAsia="en-US"/>
        </w:rPr>
        <w:t>some</w:t>
      </w:r>
      <w:r w:rsidR="003D6640" w:rsidRPr="00405541">
        <w:rPr>
          <w:rFonts w:asciiTheme="minorBidi" w:hAnsiTheme="minorBidi" w:cstheme="minorBidi"/>
          <w:snapToGrid w:val="0"/>
          <w:sz w:val="22"/>
          <w:szCs w:val="22"/>
          <w:lang w:val="en-GB" w:eastAsia="en-US"/>
        </w:rPr>
        <w:t xml:space="preserve"> questions </w:t>
      </w:r>
      <w:r w:rsidR="00451E1F" w:rsidRPr="00405541">
        <w:rPr>
          <w:rFonts w:asciiTheme="minorBidi" w:hAnsiTheme="minorBidi" w:cstheme="minorBidi"/>
          <w:snapToGrid w:val="0"/>
          <w:sz w:val="22"/>
          <w:szCs w:val="22"/>
          <w:lang w:val="en-GB" w:eastAsia="en-US"/>
        </w:rPr>
        <w:t>request</w:t>
      </w:r>
      <w:r w:rsidR="003D6640" w:rsidRPr="00405541">
        <w:rPr>
          <w:rFonts w:asciiTheme="minorBidi" w:hAnsiTheme="minorBidi" w:cstheme="minorBidi"/>
          <w:snapToGrid w:val="0"/>
          <w:sz w:val="22"/>
          <w:szCs w:val="22"/>
          <w:lang w:val="en-GB" w:eastAsia="en-US"/>
        </w:rPr>
        <w:t xml:space="preserve"> similar information.</w:t>
      </w:r>
      <w:r w:rsidR="00070D84" w:rsidRPr="00405541">
        <w:rPr>
          <w:rFonts w:asciiTheme="minorBidi" w:hAnsiTheme="minorBidi" w:cstheme="minorBidi"/>
          <w:snapToGrid w:val="0"/>
          <w:sz w:val="22"/>
          <w:szCs w:val="22"/>
          <w:lang w:val="en-GB" w:eastAsia="en-US"/>
        </w:rPr>
        <w:t xml:space="preserve"> In addition</w:t>
      </w:r>
      <w:r w:rsidR="0020327A" w:rsidRPr="00405541">
        <w:rPr>
          <w:rFonts w:asciiTheme="minorBidi" w:hAnsiTheme="minorBidi" w:cstheme="minorBidi"/>
          <w:snapToGrid w:val="0"/>
          <w:sz w:val="22"/>
          <w:szCs w:val="22"/>
          <w:lang w:val="en-GB" w:eastAsia="en-US"/>
        </w:rPr>
        <w:t xml:space="preserve">, </w:t>
      </w:r>
      <w:r w:rsidR="006134C8" w:rsidRPr="00405541">
        <w:rPr>
          <w:rFonts w:asciiTheme="minorBidi" w:hAnsiTheme="minorBidi" w:cstheme="minorBidi"/>
          <w:snapToGrid w:val="0"/>
          <w:sz w:val="22"/>
          <w:szCs w:val="22"/>
          <w:lang w:val="en-GB" w:eastAsia="en-US"/>
        </w:rPr>
        <w:t>certain</w:t>
      </w:r>
      <w:r w:rsidR="0020327A" w:rsidRPr="00405541">
        <w:rPr>
          <w:rFonts w:asciiTheme="minorBidi" w:hAnsiTheme="minorBidi" w:cstheme="minorBidi"/>
          <w:snapToGrid w:val="0"/>
          <w:sz w:val="22"/>
          <w:szCs w:val="22"/>
          <w:lang w:val="en-GB" w:eastAsia="en-US"/>
        </w:rPr>
        <w:t xml:space="preserve"> </w:t>
      </w:r>
      <w:r w:rsidR="00634FDA" w:rsidRPr="00405541">
        <w:rPr>
          <w:rFonts w:asciiTheme="minorBidi" w:hAnsiTheme="minorBidi" w:cstheme="minorBidi"/>
          <w:snapToGrid w:val="0"/>
          <w:sz w:val="22"/>
          <w:szCs w:val="22"/>
          <w:lang w:val="en-GB" w:eastAsia="en-US"/>
        </w:rPr>
        <w:t>questions</w:t>
      </w:r>
      <w:r w:rsidR="0020327A" w:rsidRPr="00405541">
        <w:rPr>
          <w:rFonts w:asciiTheme="minorBidi" w:hAnsiTheme="minorBidi" w:cstheme="minorBidi"/>
          <w:snapToGrid w:val="0"/>
          <w:sz w:val="22"/>
          <w:szCs w:val="22"/>
          <w:lang w:val="en-GB" w:eastAsia="en-US"/>
        </w:rPr>
        <w:t xml:space="preserve"> </w:t>
      </w:r>
      <w:r w:rsidR="00634FDA" w:rsidRPr="00405541">
        <w:rPr>
          <w:rFonts w:asciiTheme="minorBidi" w:hAnsiTheme="minorBidi" w:cstheme="minorBidi"/>
          <w:snapToGrid w:val="0"/>
          <w:sz w:val="22"/>
          <w:szCs w:val="22"/>
          <w:lang w:val="en-GB" w:eastAsia="en-US"/>
        </w:rPr>
        <w:t xml:space="preserve">were </w:t>
      </w:r>
      <w:r w:rsidR="0020327A" w:rsidRPr="00405541">
        <w:rPr>
          <w:rFonts w:asciiTheme="minorBidi" w:hAnsiTheme="minorBidi" w:cstheme="minorBidi"/>
          <w:snapToGrid w:val="0"/>
          <w:sz w:val="22"/>
          <w:szCs w:val="22"/>
          <w:lang w:val="en-GB" w:eastAsia="en-US"/>
        </w:rPr>
        <w:t>interpret</w:t>
      </w:r>
      <w:r w:rsidR="000F0920" w:rsidRPr="00405541">
        <w:rPr>
          <w:rFonts w:asciiTheme="minorBidi" w:hAnsiTheme="minorBidi" w:cstheme="minorBidi"/>
          <w:snapToGrid w:val="0"/>
          <w:sz w:val="22"/>
          <w:szCs w:val="22"/>
          <w:lang w:val="en-GB" w:eastAsia="en-US"/>
        </w:rPr>
        <w:t>ed</w:t>
      </w:r>
      <w:r w:rsidR="0020327A" w:rsidRPr="00405541">
        <w:rPr>
          <w:rFonts w:asciiTheme="minorBidi" w:hAnsiTheme="minorBidi" w:cstheme="minorBidi"/>
          <w:snapToGrid w:val="0"/>
          <w:sz w:val="22"/>
          <w:szCs w:val="22"/>
          <w:lang w:val="en-GB" w:eastAsia="en-US"/>
        </w:rPr>
        <w:t xml:space="preserve"> in different ways by </w:t>
      </w:r>
      <w:r w:rsidR="00451E1F" w:rsidRPr="00405541">
        <w:rPr>
          <w:rFonts w:asciiTheme="minorBidi" w:hAnsiTheme="minorBidi" w:cstheme="minorBidi"/>
          <w:snapToGrid w:val="0"/>
          <w:sz w:val="22"/>
          <w:szCs w:val="22"/>
          <w:lang w:val="en-GB" w:eastAsia="en-US"/>
        </w:rPr>
        <w:t xml:space="preserve">the </w:t>
      </w:r>
      <w:r w:rsidR="0020327A" w:rsidRPr="00405541">
        <w:rPr>
          <w:rFonts w:asciiTheme="minorBidi" w:hAnsiTheme="minorBidi" w:cstheme="minorBidi"/>
          <w:snapToGrid w:val="0"/>
          <w:sz w:val="22"/>
          <w:szCs w:val="22"/>
          <w:lang w:val="en-GB" w:eastAsia="en-US"/>
        </w:rPr>
        <w:t xml:space="preserve">reporting countries, </w:t>
      </w:r>
      <w:r w:rsidR="00634FDA" w:rsidRPr="00405541">
        <w:rPr>
          <w:rFonts w:asciiTheme="minorBidi" w:hAnsiTheme="minorBidi" w:cstheme="minorBidi"/>
          <w:snapToGrid w:val="0"/>
          <w:sz w:val="22"/>
          <w:szCs w:val="22"/>
          <w:lang w:val="en-GB" w:eastAsia="en-US"/>
        </w:rPr>
        <w:t xml:space="preserve">as were </w:t>
      </w:r>
      <w:r w:rsidR="00C04FEF" w:rsidRPr="00405541">
        <w:rPr>
          <w:rFonts w:ascii="Arial" w:hAnsi="Arial" w:cs="Arial"/>
          <w:bCs/>
          <w:sz w:val="22"/>
          <w:szCs w:val="22"/>
          <w:lang w:val="en-US"/>
        </w:rPr>
        <w:t>terms</w:t>
      </w:r>
      <w:r w:rsidR="00C04FEF" w:rsidRPr="00405541">
        <w:rPr>
          <w:rFonts w:asciiTheme="minorBidi" w:hAnsiTheme="minorBidi" w:cstheme="minorBidi"/>
          <w:snapToGrid w:val="0"/>
          <w:sz w:val="22"/>
          <w:szCs w:val="22"/>
          <w:lang w:val="en-GB" w:eastAsia="en-US"/>
        </w:rPr>
        <w:t xml:space="preserve"> such as ‘element’, ‘diversity’ and ‘inclusivity’.</w:t>
      </w:r>
      <w:r w:rsidR="00E02896" w:rsidRPr="00405541">
        <w:rPr>
          <w:rFonts w:asciiTheme="minorBidi" w:hAnsiTheme="minorBidi" w:cstheme="minorBidi"/>
          <w:snapToGrid w:val="0"/>
          <w:sz w:val="22"/>
          <w:szCs w:val="22"/>
          <w:lang w:val="en-GB" w:eastAsia="en-US"/>
        </w:rPr>
        <w:t xml:space="preserve"> The Secretariat will strive to deal with issues </w:t>
      </w:r>
      <w:r w:rsidR="00451E1F" w:rsidRPr="00405541">
        <w:rPr>
          <w:rFonts w:asciiTheme="minorBidi" w:hAnsiTheme="minorBidi" w:cstheme="minorBidi"/>
          <w:snapToGrid w:val="0"/>
          <w:sz w:val="22"/>
          <w:szCs w:val="22"/>
          <w:lang w:val="en-GB" w:eastAsia="en-US"/>
        </w:rPr>
        <w:t xml:space="preserve">of a </w:t>
      </w:r>
      <w:r w:rsidR="00E02896" w:rsidRPr="00405541">
        <w:rPr>
          <w:rFonts w:asciiTheme="minorBidi" w:hAnsiTheme="minorBidi" w:cstheme="minorBidi"/>
          <w:snapToGrid w:val="0"/>
          <w:sz w:val="22"/>
          <w:szCs w:val="22"/>
          <w:lang w:val="en-GB" w:eastAsia="en-US"/>
        </w:rPr>
        <w:t>technical</w:t>
      </w:r>
      <w:r w:rsidR="00451E1F" w:rsidRPr="00405541">
        <w:rPr>
          <w:rFonts w:asciiTheme="minorBidi" w:hAnsiTheme="minorBidi" w:cstheme="minorBidi"/>
          <w:snapToGrid w:val="0"/>
          <w:sz w:val="22"/>
          <w:szCs w:val="22"/>
          <w:lang w:val="en-GB" w:eastAsia="en-US"/>
        </w:rPr>
        <w:t xml:space="preserve"> nature</w:t>
      </w:r>
      <w:r w:rsidR="00BF1450" w:rsidRPr="00405541">
        <w:rPr>
          <w:rFonts w:asciiTheme="minorBidi" w:hAnsiTheme="minorBidi" w:cstheme="minorBidi"/>
          <w:snapToGrid w:val="0"/>
          <w:sz w:val="22"/>
          <w:szCs w:val="22"/>
          <w:lang w:val="en-GB" w:eastAsia="en-US"/>
        </w:rPr>
        <w:t xml:space="preserve"> (particularly on data collection and analysis</w:t>
      </w:r>
      <w:r w:rsidR="00451E1F" w:rsidRPr="00405541">
        <w:rPr>
          <w:rFonts w:asciiTheme="minorBidi" w:hAnsiTheme="minorBidi" w:cstheme="minorBidi"/>
          <w:snapToGrid w:val="0"/>
          <w:sz w:val="22"/>
          <w:szCs w:val="22"/>
          <w:lang w:val="en-GB" w:eastAsia="en-US"/>
        </w:rPr>
        <w:t>-</w:t>
      </w:r>
      <w:r w:rsidR="00CC007E" w:rsidRPr="00405541">
        <w:rPr>
          <w:rFonts w:asciiTheme="minorBidi" w:hAnsiTheme="minorBidi" w:cstheme="minorBidi"/>
          <w:snapToGrid w:val="0"/>
          <w:sz w:val="22"/>
          <w:szCs w:val="22"/>
          <w:lang w:val="en-GB" w:eastAsia="en-US"/>
        </w:rPr>
        <w:t>related questions</w:t>
      </w:r>
      <w:r w:rsidR="00BF1450" w:rsidRPr="00405541">
        <w:rPr>
          <w:rFonts w:asciiTheme="minorBidi" w:hAnsiTheme="minorBidi" w:cstheme="minorBidi"/>
          <w:snapToGrid w:val="0"/>
          <w:sz w:val="22"/>
          <w:szCs w:val="22"/>
          <w:lang w:val="en-GB" w:eastAsia="en-US"/>
        </w:rPr>
        <w:t>)</w:t>
      </w:r>
      <w:r w:rsidR="00E02896" w:rsidRPr="00405541">
        <w:rPr>
          <w:rFonts w:asciiTheme="minorBidi" w:hAnsiTheme="minorBidi" w:cstheme="minorBidi"/>
          <w:snapToGrid w:val="0"/>
          <w:sz w:val="22"/>
          <w:szCs w:val="22"/>
          <w:lang w:val="en-GB" w:eastAsia="en-US"/>
        </w:rPr>
        <w:t xml:space="preserve"> that can be dealt with quickly</w:t>
      </w:r>
      <w:r w:rsidR="00843296" w:rsidRPr="00405541">
        <w:rPr>
          <w:rFonts w:asciiTheme="minorBidi" w:hAnsiTheme="minorBidi" w:cstheme="minorBidi"/>
          <w:snapToGrid w:val="0"/>
          <w:sz w:val="22"/>
          <w:szCs w:val="22"/>
          <w:lang w:val="en-GB" w:eastAsia="en-US"/>
        </w:rPr>
        <w:t xml:space="preserve">; </w:t>
      </w:r>
      <w:r w:rsidR="00451E1F" w:rsidRPr="00405541">
        <w:rPr>
          <w:rFonts w:asciiTheme="minorBidi" w:hAnsiTheme="minorBidi" w:cstheme="minorBidi"/>
          <w:snapToGrid w:val="0"/>
          <w:sz w:val="22"/>
          <w:szCs w:val="22"/>
          <w:lang w:val="en-GB" w:eastAsia="en-US"/>
        </w:rPr>
        <w:t xml:space="preserve">any </w:t>
      </w:r>
      <w:r w:rsidR="00843296" w:rsidRPr="00405541">
        <w:rPr>
          <w:rFonts w:asciiTheme="minorBidi" w:hAnsiTheme="minorBidi" w:cstheme="minorBidi"/>
          <w:snapToGrid w:val="0"/>
          <w:sz w:val="22"/>
          <w:szCs w:val="22"/>
          <w:lang w:val="en-GB" w:eastAsia="en-US"/>
        </w:rPr>
        <w:t>issues that require structural solutions will be considered carefully during the reflection year to be conducted at the end of the first reporting cycle in 2026.</w:t>
      </w:r>
    </w:p>
    <w:p w14:paraId="14B990B4" w14:textId="31B265F3" w:rsidR="00CF429B" w:rsidRDefault="004C4312" w:rsidP="00903C78">
      <w:pPr>
        <w:pStyle w:val="Sansinterligne2"/>
        <w:numPr>
          <w:ilvl w:val="0"/>
          <w:numId w:val="23"/>
        </w:numPr>
        <w:spacing w:after="120"/>
        <w:ind w:left="567" w:hanging="567"/>
        <w:jc w:val="both"/>
        <w:rPr>
          <w:rFonts w:asciiTheme="minorBidi" w:hAnsiTheme="minorBidi" w:cstheme="minorBidi"/>
          <w:snapToGrid w:val="0"/>
          <w:sz w:val="22"/>
          <w:szCs w:val="22"/>
          <w:lang w:val="en-GB" w:eastAsia="en-US"/>
        </w:rPr>
      </w:pPr>
      <w:r w:rsidRPr="00405541">
        <w:rPr>
          <w:rFonts w:asciiTheme="minorBidi" w:hAnsiTheme="minorBidi" w:cstheme="minorBidi"/>
          <w:snapToGrid w:val="0"/>
          <w:sz w:val="22"/>
          <w:szCs w:val="22"/>
          <w:lang w:val="en-GB" w:eastAsia="en-US"/>
        </w:rPr>
        <w:t>Finally, it must be recalled that the</w:t>
      </w:r>
      <w:r w:rsidRPr="00405541">
        <w:rPr>
          <w:sz w:val="22"/>
          <w:szCs w:val="22"/>
          <w:lang w:val="en-US"/>
        </w:rPr>
        <w:t xml:space="preserve"> </w:t>
      </w:r>
      <w:hyperlink r:id="rId20" w:history="1">
        <w:r w:rsidRPr="00396894">
          <w:rPr>
            <w:rStyle w:val="Lienhypertexte"/>
            <w:rFonts w:ascii="Arial" w:hAnsi="Arial" w:cs="Arial"/>
            <w:sz w:val="22"/>
            <w:szCs w:val="22"/>
            <w:lang w:val="en-US"/>
          </w:rPr>
          <w:t>Final Declaration</w:t>
        </w:r>
      </w:hyperlink>
      <w:r w:rsidRPr="00405541">
        <w:rPr>
          <w:rFonts w:asciiTheme="minorBidi" w:hAnsiTheme="minorBidi" w:cstheme="minorBidi"/>
          <w:snapToGrid w:val="0"/>
          <w:sz w:val="22"/>
          <w:szCs w:val="22"/>
          <w:lang w:val="en-GB" w:eastAsia="en-US"/>
        </w:rPr>
        <w:t xml:space="preserve"> of the r</w:t>
      </w:r>
      <w:r w:rsidR="00A446AC" w:rsidRPr="00405541">
        <w:rPr>
          <w:rFonts w:asciiTheme="minorBidi" w:hAnsiTheme="minorBidi" w:cstheme="minorBidi"/>
          <w:snapToGrid w:val="0"/>
          <w:sz w:val="22"/>
          <w:szCs w:val="22"/>
          <w:lang w:val="en-GB" w:eastAsia="en-US"/>
        </w:rPr>
        <w:t>ecently held UNESCO World Conference on Cultural Policies and Sustainable Development (</w:t>
      </w:r>
      <w:r w:rsidR="00A446AC" w:rsidRPr="00396894">
        <w:rPr>
          <w:rFonts w:asciiTheme="minorBidi" w:hAnsiTheme="minorBidi" w:cstheme="minorBidi"/>
          <w:snapToGrid w:val="0"/>
          <w:sz w:val="22"/>
          <w:szCs w:val="22"/>
          <w:lang w:val="en-GB" w:eastAsia="en-US"/>
        </w:rPr>
        <w:t>Mondiacult meeting</w:t>
      </w:r>
      <w:r w:rsidR="00A446AC" w:rsidRPr="00405541">
        <w:rPr>
          <w:rFonts w:asciiTheme="minorBidi" w:hAnsiTheme="minorBidi" w:cstheme="minorBidi"/>
          <w:snapToGrid w:val="0"/>
          <w:sz w:val="22"/>
          <w:szCs w:val="22"/>
          <w:lang w:val="en-GB" w:eastAsia="en-US"/>
        </w:rPr>
        <w:t>) calls upon UNESCO to produce a comprehensive Global Report on Cultural Policies on a quadrennial basis</w:t>
      </w:r>
      <w:r w:rsidRPr="00405541">
        <w:rPr>
          <w:rFonts w:asciiTheme="minorBidi" w:hAnsiTheme="minorBidi" w:cstheme="minorBidi"/>
          <w:snapToGrid w:val="0"/>
          <w:sz w:val="22"/>
          <w:szCs w:val="22"/>
          <w:lang w:val="en-GB" w:eastAsia="en-US"/>
        </w:rPr>
        <w:t>; this report is meant to</w:t>
      </w:r>
      <w:r w:rsidR="00A446AC" w:rsidRPr="00405541">
        <w:rPr>
          <w:rFonts w:asciiTheme="minorBidi" w:hAnsiTheme="minorBidi" w:cstheme="minorBidi"/>
          <w:snapToGrid w:val="0"/>
          <w:sz w:val="22"/>
          <w:szCs w:val="22"/>
          <w:lang w:val="en-GB" w:eastAsia="en-US"/>
        </w:rPr>
        <w:t xml:space="preserve"> build on information, data and existing indicators provided by its Member States notably in the framework of the periodic reports of the complete set of </w:t>
      </w:r>
      <w:r w:rsidR="00733B11" w:rsidRPr="00405541">
        <w:rPr>
          <w:rFonts w:asciiTheme="minorBidi" w:hAnsiTheme="minorBidi" w:cstheme="minorBidi"/>
          <w:snapToGrid w:val="0"/>
          <w:sz w:val="22"/>
          <w:szCs w:val="22"/>
          <w:lang w:val="en-GB" w:eastAsia="en-US"/>
        </w:rPr>
        <w:t xml:space="preserve">UNESCO </w:t>
      </w:r>
      <w:r w:rsidR="00A446AC" w:rsidRPr="00405541">
        <w:rPr>
          <w:rFonts w:asciiTheme="minorBidi" w:hAnsiTheme="minorBidi" w:cstheme="minorBidi"/>
          <w:snapToGrid w:val="0"/>
          <w:sz w:val="22"/>
          <w:szCs w:val="22"/>
          <w:lang w:val="en-GB" w:eastAsia="en-US"/>
        </w:rPr>
        <w:t xml:space="preserve">normative instruments in </w:t>
      </w:r>
      <w:r w:rsidR="00A446AC" w:rsidRPr="00405541">
        <w:rPr>
          <w:rFonts w:ascii="Arial" w:hAnsi="Arial" w:cs="Arial"/>
          <w:bCs/>
          <w:sz w:val="22"/>
          <w:szCs w:val="22"/>
          <w:lang w:val="en-US"/>
        </w:rPr>
        <w:t>the</w:t>
      </w:r>
      <w:r w:rsidR="00A446AC" w:rsidRPr="00405541">
        <w:rPr>
          <w:rFonts w:asciiTheme="minorBidi" w:hAnsiTheme="minorBidi" w:cstheme="minorBidi"/>
          <w:snapToGrid w:val="0"/>
          <w:sz w:val="22"/>
          <w:szCs w:val="22"/>
          <w:lang w:val="en-GB" w:eastAsia="en-US"/>
        </w:rPr>
        <w:t xml:space="preserve"> field of culture. It will be important therefore, as the Convention finalizes its first cycle of reformed periodic reporting to start exploring how best to adjust the process also so that the information it produces may also effectively contribute to this initiative.</w:t>
      </w:r>
    </w:p>
    <w:p w14:paraId="21604511" w14:textId="1E78A0B2" w:rsidR="00EF19C2" w:rsidRPr="004C4312" w:rsidRDefault="00EF19C2" w:rsidP="00396894">
      <w:pPr>
        <w:pStyle w:val="Sansinterligne2"/>
        <w:numPr>
          <w:ilvl w:val="0"/>
          <w:numId w:val="23"/>
        </w:numPr>
        <w:spacing w:after="120"/>
        <w:ind w:left="567" w:hanging="567"/>
        <w:jc w:val="both"/>
        <w:rPr>
          <w:rFonts w:asciiTheme="minorBidi" w:hAnsiTheme="minorBidi" w:cstheme="minorBidi"/>
          <w:snapToGrid w:val="0"/>
          <w:sz w:val="22"/>
          <w:szCs w:val="22"/>
          <w:lang w:val="en-GB" w:eastAsia="en-US"/>
        </w:rPr>
      </w:pPr>
      <w:r w:rsidRPr="00405541">
        <w:rPr>
          <w:rFonts w:asciiTheme="minorBidi" w:hAnsiTheme="minorBidi" w:cstheme="minorBidi"/>
          <w:sz w:val="22"/>
          <w:szCs w:val="22"/>
          <w:lang w:val="en-US"/>
        </w:rPr>
        <w:t>The Committee may wish to adopt the following decision</w:t>
      </w:r>
      <w:r w:rsidRPr="004C4312">
        <w:rPr>
          <w:rFonts w:asciiTheme="minorBidi" w:hAnsiTheme="minorBidi" w:cstheme="minorBidi"/>
          <w:sz w:val="22"/>
          <w:szCs w:val="22"/>
          <w:lang w:val="en-US"/>
        </w:rPr>
        <w:t>:</w:t>
      </w:r>
    </w:p>
    <w:p w14:paraId="0546626A" w14:textId="3F955ECA" w:rsidR="00EF19C2" w:rsidRPr="00FD624F" w:rsidRDefault="00EF19C2" w:rsidP="00EF19C2">
      <w:pPr>
        <w:pStyle w:val="COMTitleDecision"/>
        <w:rPr>
          <w:rFonts w:eastAsia="SimSun"/>
        </w:rPr>
      </w:pPr>
      <w:r>
        <w:t xml:space="preserve">DRAFT DECISION 17.COM </w:t>
      </w:r>
      <w:r w:rsidR="00306C33" w:rsidRPr="001479C0">
        <w:t>6.c</w:t>
      </w:r>
    </w:p>
    <w:p w14:paraId="783A29B0" w14:textId="77777777" w:rsidR="00EF19C2" w:rsidRPr="00285BB4" w:rsidRDefault="00EF19C2" w:rsidP="00EF19C2">
      <w:pPr>
        <w:pStyle w:val="COMPreambulaDecisions"/>
        <w:rPr>
          <w:rFonts w:eastAsia="SimSun"/>
        </w:rPr>
      </w:pPr>
      <w:r w:rsidRPr="00285BB4">
        <w:t>The Committee,</w:t>
      </w:r>
    </w:p>
    <w:p w14:paraId="6A5E3314" w14:textId="3CAFD259" w:rsidR="00EF19C2" w:rsidRPr="00345CB4" w:rsidRDefault="00EF19C2" w:rsidP="00EF19C2">
      <w:pPr>
        <w:pStyle w:val="COMParaDecision"/>
        <w:ind w:left="1134" w:hanging="567"/>
      </w:pPr>
      <w:r w:rsidRPr="00345CB4">
        <w:t>Having examined</w:t>
      </w:r>
      <w:r w:rsidRPr="00F32C23">
        <w:rPr>
          <w:u w:val="none"/>
        </w:rPr>
        <w:t xml:space="preserve"> doc</w:t>
      </w:r>
      <w:r>
        <w:rPr>
          <w:u w:val="none"/>
        </w:rPr>
        <w:t>ument LHE/22/17</w:t>
      </w:r>
      <w:r w:rsidRPr="00F32C23">
        <w:rPr>
          <w:u w:val="none"/>
        </w:rPr>
        <w:t>.COM/</w:t>
      </w:r>
      <w:r w:rsidR="00951FA6" w:rsidRPr="001479C0">
        <w:rPr>
          <w:u w:val="none"/>
        </w:rPr>
        <w:t>6.</w:t>
      </w:r>
      <w:r w:rsidR="005C1F37">
        <w:rPr>
          <w:u w:val="none"/>
        </w:rPr>
        <w:t>c</w:t>
      </w:r>
      <w:r>
        <w:rPr>
          <w:u w:val="none"/>
        </w:rPr>
        <w:t>,</w:t>
      </w:r>
    </w:p>
    <w:p w14:paraId="2D72F966" w14:textId="301D374E" w:rsidR="006814DD" w:rsidRPr="00396894" w:rsidRDefault="006814DD" w:rsidP="00EF19C2">
      <w:pPr>
        <w:pStyle w:val="COMParaDecision"/>
        <w:ind w:left="1134" w:hanging="567"/>
        <w:rPr>
          <w:rFonts w:asciiTheme="minorBidi" w:hAnsiTheme="minorBidi" w:cstheme="minorBidi"/>
        </w:rPr>
      </w:pPr>
      <w:r>
        <w:t>Recalling</w:t>
      </w:r>
      <w:r>
        <w:rPr>
          <w:u w:val="none"/>
        </w:rPr>
        <w:t xml:space="preserve"> Articles 7, 29 and 30 of the </w:t>
      </w:r>
      <w:r w:rsidRPr="00396894">
        <w:rPr>
          <w:rFonts w:asciiTheme="minorBidi" w:hAnsiTheme="minorBidi" w:cstheme="minorBidi"/>
          <w:u w:val="none"/>
        </w:rPr>
        <w:t xml:space="preserve">Convention concerning reports by States Parties, </w:t>
      </w:r>
      <w:r w:rsidR="00451E1F" w:rsidRPr="00396894">
        <w:rPr>
          <w:rFonts w:asciiTheme="minorBidi" w:hAnsiTheme="minorBidi" w:cstheme="minorBidi"/>
          <w:u w:val="none"/>
        </w:rPr>
        <w:t xml:space="preserve">as well as </w:t>
      </w:r>
      <w:r w:rsidRPr="00396894">
        <w:rPr>
          <w:rFonts w:asciiTheme="minorBidi" w:hAnsiTheme="minorBidi" w:cstheme="minorBidi"/>
          <w:u w:val="none"/>
        </w:rPr>
        <w:t>Chapter V of the Operational Directives,</w:t>
      </w:r>
    </w:p>
    <w:p w14:paraId="3ADA8711" w14:textId="40F0AF42" w:rsidR="00EF19C2" w:rsidRPr="00396894" w:rsidRDefault="006814DD" w:rsidP="00EF19C2">
      <w:pPr>
        <w:pStyle w:val="COMParaDecision"/>
        <w:ind w:left="1134" w:hanging="567"/>
        <w:rPr>
          <w:rFonts w:asciiTheme="minorBidi" w:hAnsiTheme="minorBidi" w:cstheme="minorBidi"/>
        </w:rPr>
      </w:pPr>
      <w:r w:rsidRPr="00396894">
        <w:rPr>
          <w:rFonts w:asciiTheme="minorBidi" w:hAnsiTheme="minorBidi" w:cstheme="minorBidi"/>
        </w:rPr>
        <w:lastRenderedPageBreak/>
        <w:t>Further r</w:t>
      </w:r>
      <w:r w:rsidR="00EF19C2" w:rsidRPr="00396894">
        <w:rPr>
          <w:rFonts w:asciiTheme="minorBidi" w:hAnsiTheme="minorBidi" w:cstheme="minorBidi"/>
        </w:rPr>
        <w:t>ecalling</w:t>
      </w:r>
      <w:r w:rsidR="00EF19C2" w:rsidRPr="00396894">
        <w:rPr>
          <w:rFonts w:asciiTheme="minorBidi" w:hAnsiTheme="minorBidi" w:cstheme="minorBidi"/>
          <w:u w:val="none"/>
        </w:rPr>
        <w:t xml:space="preserve"> </w:t>
      </w:r>
      <w:r w:rsidR="009105EA" w:rsidRPr="00396894">
        <w:rPr>
          <w:rFonts w:asciiTheme="minorBidi" w:hAnsiTheme="minorBidi" w:cstheme="minorBidi"/>
          <w:u w:val="none"/>
        </w:rPr>
        <w:t xml:space="preserve">Resolution </w:t>
      </w:r>
      <w:hyperlink r:id="rId21" w:history="1">
        <w:r w:rsidR="002C00F9" w:rsidRPr="00396894">
          <w:rPr>
            <w:rStyle w:val="Lienhypertexte"/>
            <w:rFonts w:asciiTheme="minorBidi" w:hAnsiTheme="minorBidi" w:cstheme="minorBidi"/>
          </w:rPr>
          <w:t>7.GA 9</w:t>
        </w:r>
      </w:hyperlink>
      <w:r w:rsidR="00AD4FF3" w:rsidRPr="00396894">
        <w:rPr>
          <w:rFonts w:asciiTheme="minorBidi" w:hAnsiTheme="minorBidi" w:cstheme="minorBidi"/>
          <w:u w:val="none"/>
        </w:rPr>
        <w:t xml:space="preserve"> and</w:t>
      </w:r>
      <w:r w:rsidR="009105EA" w:rsidRPr="00396894">
        <w:rPr>
          <w:rFonts w:asciiTheme="minorBidi" w:hAnsiTheme="minorBidi" w:cstheme="minorBidi"/>
          <w:u w:val="none"/>
        </w:rPr>
        <w:t xml:space="preserve"> </w:t>
      </w:r>
      <w:r w:rsidR="00EF19C2" w:rsidRPr="00396894">
        <w:rPr>
          <w:rFonts w:asciiTheme="minorBidi" w:hAnsiTheme="minorBidi" w:cstheme="minorBidi"/>
          <w:u w:val="none"/>
        </w:rPr>
        <w:t>Decision</w:t>
      </w:r>
      <w:r w:rsidR="00AA4125" w:rsidRPr="00396894">
        <w:rPr>
          <w:rFonts w:asciiTheme="minorBidi" w:hAnsiTheme="minorBidi" w:cstheme="minorBidi"/>
          <w:u w:val="none"/>
        </w:rPr>
        <w:t>s</w:t>
      </w:r>
      <w:r w:rsidR="00EF19C2" w:rsidRPr="00396894">
        <w:rPr>
          <w:rFonts w:asciiTheme="minorBidi" w:hAnsiTheme="minorBidi" w:cstheme="minorBidi"/>
          <w:u w:val="none"/>
        </w:rPr>
        <w:t xml:space="preserve"> </w:t>
      </w:r>
      <w:hyperlink r:id="rId22" w:history="1">
        <w:r w:rsidR="002C00F9" w:rsidRPr="00396894">
          <w:rPr>
            <w:rStyle w:val="Lienhypertexte"/>
            <w:rFonts w:asciiTheme="minorBidi" w:hAnsiTheme="minorBidi" w:cstheme="minorBidi"/>
          </w:rPr>
          <w:t>12.COM 10</w:t>
        </w:r>
      </w:hyperlink>
      <w:r w:rsidR="00AA4125" w:rsidRPr="00396894">
        <w:rPr>
          <w:rFonts w:asciiTheme="minorBidi" w:hAnsiTheme="minorBidi" w:cstheme="minorBidi"/>
          <w:u w:val="none"/>
        </w:rPr>
        <w:t>,</w:t>
      </w:r>
      <w:r w:rsidR="00AA4125" w:rsidRPr="00AB4250">
        <w:rPr>
          <w:rStyle w:val="Lienhypertexte"/>
          <w:rFonts w:asciiTheme="minorBidi" w:hAnsiTheme="minorBidi" w:cstheme="minorBidi"/>
          <w:color w:val="auto"/>
          <w:u w:val="none"/>
        </w:rPr>
        <w:t xml:space="preserve"> </w:t>
      </w:r>
      <w:hyperlink r:id="rId23" w:history="1">
        <w:r w:rsidR="008C1D14" w:rsidRPr="008C1D14">
          <w:rPr>
            <w:rStyle w:val="Lienhypertexte"/>
            <w:rFonts w:asciiTheme="minorBidi" w:hAnsiTheme="minorBidi" w:cstheme="minorBidi"/>
          </w:rPr>
          <w:t>13.COM 8</w:t>
        </w:r>
      </w:hyperlink>
      <w:r w:rsidR="002C00F9" w:rsidRPr="008C1D14">
        <w:rPr>
          <w:rStyle w:val="Lienhypertexte"/>
          <w:rFonts w:asciiTheme="minorBidi" w:hAnsiTheme="minorBidi" w:cstheme="minorBidi"/>
          <w:color w:val="auto"/>
          <w:u w:val="none"/>
        </w:rPr>
        <w:t xml:space="preserve">, </w:t>
      </w:r>
      <w:hyperlink r:id="rId24" w:history="1">
        <w:r w:rsidR="002C00F9" w:rsidRPr="00396894">
          <w:rPr>
            <w:rStyle w:val="Lienhypertexte"/>
            <w:rFonts w:asciiTheme="minorBidi" w:hAnsiTheme="minorBidi" w:cstheme="minorBidi"/>
          </w:rPr>
          <w:t>14.COM 8</w:t>
        </w:r>
      </w:hyperlink>
      <w:r w:rsidR="00AD4FF3" w:rsidRPr="00AB4250">
        <w:rPr>
          <w:rStyle w:val="Lienhypertexte"/>
          <w:rFonts w:asciiTheme="minorBidi" w:hAnsiTheme="minorBidi" w:cstheme="minorBidi"/>
          <w:color w:val="auto"/>
          <w:u w:val="none"/>
        </w:rPr>
        <w:t xml:space="preserve"> </w:t>
      </w:r>
      <w:r w:rsidR="00AD4FF3" w:rsidRPr="00826CE3">
        <w:rPr>
          <w:rStyle w:val="Lienhypertexte"/>
          <w:rFonts w:asciiTheme="minorBidi" w:hAnsiTheme="minorBidi" w:cstheme="minorBidi"/>
          <w:color w:val="auto"/>
          <w:u w:val="none"/>
        </w:rPr>
        <w:t>and</w:t>
      </w:r>
      <w:r w:rsidR="002C00F9" w:rsidRPr="008C1D14">
        <w:rPr>
          <w:rStyle w:val="Lienhypertexte"/>
          <w:rFonts w:asciiTheme="minorBidi" w:hAnsiTheme="minorBidi" w:cstheme="minorBidi"/>
          <w:color w:val="auto"/>
          <w:u w:val="none"/>
        </w:rPr>
        <w:t xml:space="preserve"> </w:t>
      </w:r>
      <w:hyperlink r:id="rId25" w:history="1">
        <w:r w:rsidR="002C00F9" w:rsidRPr="00396894">
          <w:rPr>
            <w:rStyle w:val="Lienhypertexte"/>
            <w:rFonts w:asciiTheme="minorBidi" w:hAnsiTheme="minorBidi" w:cstheme="minorBidi"/>
          </w:rPr>
          <w:t>16.COM 7.b</w:t>
        </w:r>
      </w:hyperlink>
      <w:r w:rsidR="00EF19C2" w:rsidRPr="00396894">
        <w:rPr>
          <w:rFonts w:asciiTheme="minorBidi" w:hAnsiTheme="minorBidi" w:cstheme="minorBidi"/>
          <w:u w:val="none"/>
        </w:rPr>
        <w:t>,</w:t>
      </w:r>
    </w:p>
    <w:p w14:paraId="6791494B" w14:textId="7ACEF84C" w:rsidR="00EF19C2" w:rsidRPr="00405541" w:rsidRDefault="006814DD" w:rsidP="00EF19C2">
      <w:pPr>
        <w:pStyle w:val="COMParaDecision"/>
        <w:ind w:left="1134" w:hanging="567"/>
      </w:pPr>
      <w:r w:rsidRPr="00396894">
        <w:rPr>
          <w:rFonts w:asciiTheme="minorBidi" w:hAnsiTheme="minorBidi" w:cstheme="minorBidi"/>
        </w:rPr>
        <w:t>Expresses its satisfaction</w:t>
      </w:r>
      <w:r w:rsidR="002C279D" w:rsidRPr="00396894">
        <w:rPr>
          <w:rFonts w:asciiTheme="minorBidi" w:hAnsiTheme="minorBidi" w:cstheme="minorBidi"/>
          <w:u w:val="none"/>
        </w:rPr>
        <w:t xml:space="preserve"> that the </w:t>
      </w:r>
      <w:r w:rsidR="00F85524" w:rsidRPr="00396894">
        <w:rPr>
          <w:rFonts w:asciiTheme="minorBidi" w:hAnsiTheme="minorBidi" w:cstheme="minorBidi"/>
          <w:u w:val="none"/>
        </w:rPr>
        <w:t xml:space="preserve">first </w:t>
      </w:r>
      <w:r w:rsidR="002C279D" w:rsidRPr="00396894">
        <w:rPr>
          <w:rFonts w:asciiTheme="minorBidi" w:hAnsiTheme="minorBidi" w:cstheme="minorBidi"/>
          <w:u w:val="none"/>
        </w:rPr>
        <w:t xml:space="preserve">cycle of periodic reporting </w:t>
      </w:r>
      <w:r w:rsidR="00AD4FF3" w:rsidRPr="00396894">
        <w:rPr>
          <w:rFonts w:asciiTheme="minorBidi" w:hAnsiTheme="minorBidi" w:cstheme="minorBidi"/>
          <w:u w:val="none"/>
        </w:rPr>
        <w:t xml:space="preserve">is progressing </w:t>
      </w:r>
      <w:r w:rsidR="00785D5C" w:rsidRPr="00396894">
        <w:rPr>
          <w:rFonts w:asciiTheme="minorBidi" w:hAnsiTheme="minorBidi" w:cstheme="minorBidi"/>
          <w:u w:val="none"/>
        </w:rPr>
        <w:t>well in the regions that have undertaken it</w:t>
      </w:r>
      <w:r w:rsidR="002C279D" w:rsidRPr="00396894">
        <w:rPr>
          <w:rFonts w:asciiTheme="minorBidi" w:hAnsiTheme="minorBidi" w:cstheme="minorBidi"/>
          <w:u w:val="none"/>
        </w:rPr>
        <w:t xml:space="preserve"> and </w:t>
      </w:r>
      <w:r w:rsidR="002C279D" w:rsidRPr="00396894">
        <w:rPr>
          <w:rFonts w:asciiTheme="minorBidi" w:hAnsiTheme="minorBidi" w:cstheme="minorBidi"/>
        </w:rPr>
        <w:t>thanks</w:t>
      </w:r>
      <w:r w:rsidR="002C279D" w:rsidRPr="00396894">
        <w:rPr>
          <w:rFonts w:asciiTheme="minorBidi" w:hAnsiTheme="minorBidi" w:cstheme="minorBidi"/>
          <w:u w:val="none"/>
        </w:rPr>
        <w:t xml:space="preserve"> </w:t>
      </w:r>
      <w:r w:rsidR="00AD4FF3" w:rsidRPr="00396894">
        <w:rPr>
          <w:rFonts w:asciiTheme="minorBidi" w:hAnsiTheme="minorBidi" w:cstheme="minorBidi"/>
          <w:u w:val="none"/>
        </w:rPr>
        <w:t>those</w:t>
      </w:r>
      <w:r w:rsidR="00AD4FF3">
        <w:rPr>
          <w:u w:val="none"/>
        </w:rPr>
        <w:t xml:space="preserve"> involved for their </w:t>
      </w:r>
      <w:r w:rsidR="002C279D">
        <w:rPr>
          <w:u w:val="none"/>
        </w:rPr>
        <w:t>engagement and commitment</w:t>
      </w:r>
      <w:r w:rsidR="008F4E3F">
        <w:rPr>
          <w:u w:val="none"/>
        </w:rPr>
        <w:t>, in particular country focal points for periodic reporting</w:t>
      </w:r>
      <w:r w:rsidR="002C00F9">
        <w:rPr>
          <w:u w:val="none"/>
        </w:rPr>
        <w:t>,</w:t>
      </w:r>
      <w:r w:rsidR="008F4E3F">
        <w:rPr>
          <w:u w:val="none"/>
        </w:rPr>
        <w:t xml:space="preserve"> </w:t>
      </w:r>
      <w:r w:rsidR="002C00F9">
        <w:rPr>
          <w:u w:val="none"/>
        </w:rPr>
        <w:t xml:space="preserve">national authorities, </w:t>
      </w:r>
      <w:r w:rsidR="008F4E3F">
        <w:rPr>
          <w:u w:val="none"/>
        </w:rPr>
        <w:t>facilitators</w:t>
      </w:r>
      <w:r w:rsidR="002C00F9">
        <w:rPr>
          <w:u w:val="none"/>
        </w:rPr>
        <w:t xml:space="preserve"> and Category 2 Centres under the auspices of UNESCO </w:t>
      </w:r>
      <w:r w:rsidR="00AD4FF3">
        <w:rPr>
          <w:u w:val="none"/>
        </w:rPr>
        <w:t xml:space="preserve">that are </w:t>
      </w:r>
      <w:r w:rsidR="002C00F9">
        <w:rPr>
          <w:u w:val="none"/>
        </w:rPr>
        <w:t>active in the field of intangible cultural heritage</w:t>
      </w:r>
      <w:r w:rsidR="002C279D">
        <w:rPr>
          <w:u w:val="none"/>
        </w:rPr>
        <w:t>;</w:t>
      </w:r>
    </w:p>
    <w:p w14:paraId="26929B2C" w14:textId="665E9386" w:rsidR="0069396B" w:rsidRPr="005A26DE" w:rsidRDefault="00803A38" w:rsidP="005A26DE">
      <w:pPr>
        <w:pStyle w:val="COMParaDecision"/>
        <w:ind w:left="1134" w:hanging="567"/>
      </w:pPr>
      <w:r w:rsidRPr="005A26DE">
        <w:t>Takes note</w:t>
      </w:r>
      <w:r w:rsidRPr="00733B11">
        <w:t xml:space="preserve"> </w:t>
      </w:r>
      <w:r w:rsidR="0069396B" w:rsidRPr="00733B11">
        <w:t>with interest</w:t>
      </w:r>
      <w:r w:rsidR="0069396B">
        <w:rPr>
          <w:u w:val="none"/>
        </w:rPr>
        <w:t xml:space="preserve"> </w:t>
      </w:r>
      <w:r>
        <w:rPr>
          <w:u w:val="none"/>
        </w:rPr>
        <w:t>the ‘A</w:t>
      </w:r>
      <w:r w:rsidRPr="005A26DE">
        <w:rPr>
          <w:bCs/>
          <w:u w:val="none"/>
          <w:lang w:val="en-US"/>
        </w:rPr>
        <w:t>nalytical r</w:t>
      </w:r>
      <w:r w:rsidRPr="008947AF">
        <w:rPr>
          <w:bCs/>
          <w:u w:val="none"/>
          <w:lang w:val="en-US"/>
        </w:rPr>
        <w:t>eport of the first cycle of periodic reporting on the implementation of the Convention and on the current status</w:t>
      </w:r>
      <w:r w:rsidRPr="00A446AC">
        <w:rPr>
          <w:bCs/>
          <w:u w:val="none"/>
          <w:lang w:val="en-US"/>
        </w:rPr>
        <w:t xml:space="preserve"> of elements inscribed on the Representative List of the Intangible Cultural Heritage of Humanity by States Parties in Latin America and the </w:t>
      </w:r>
      <w:r w:rsidRPr="00405541">
        <w:rPr>
          <w:bCs/>
          <w:u w:val="none"/>
          <w:lang w:val="en-US"/>
        </w:rPr>
        <w:t>Caribbean’ as contained in document LHE/22/17.COM/INF/6.c</w:t>
      </w:r>
      <w:r w:rsidR="00915702" w:rsidRPr="00405541">
        <w:rPr>
          <w:bCs/>
          <w:u w:val="none"/>
          <w:lang w:val="en-US"/>
        </w:rPr>
        <w:t xml:space="preserve">, </w:t>
      </w:r>
      <w:r w:rsidR="00BD7075">
        <w:rPr>
          <w:bCs/>
          <w:u w:val="none"/>
          <w:lang w:val="en-US"/>
        </w:rPr>
        <w:t xml:space="preserve">and </w:t>
      </w:r>
      <w:r w:rsidRPr="00405541">
        <w:rPr>
          <w:bCs/>
          <w:lang w:val="en-US"/>
        </w:rPr>
        <w:t>welcomes</w:t>
      </w:r>
      <w:r w:rsidRPr="00405541">
        <w:rPr>
          <w:bCs/>
          <w:u w:val="none"/>
          <w:lang w:val="en-US"/>
        </w:rPr>
        <w:t xml:space="preserve"> </w:t>
      </w:r>
      <w:r w:rsidR="00915702" w:rsidRPr="00405541">
        <w:rPr>
          <w:rFonts w:asciiTheme="minorBidi" w:hAnsiTheme="minorBidi" w:cstheme="minorBidi"/>
          <w:snapToGrid w:val="0"/>
          <w:u w:val="none"/>
          <w:lang w:eastAsia="en-US"/>
        </w:rPr>
        <w:t xml:space="preserve">the key findings </w:t>
      </w:r>
      <w:r w:rsidR="0069396B" w:rsidRPr="00405541">
        <w:rPr>
          <w:rFonts w:asciiTheme="minorBidi" w:hAnsiTheme="minorBidi" w:cstheme="minorBidi"/>
          <w:snapToGrid w:val="0"/>
          <w:u w:val="none"/>
          <w:lang w:eastAsia="en-US"/>
        </w:rPr>
        <w:t>highlighted in the report together with detailed information on the extent to which reporting States Parties have met the core indicators as well as on the targets set for the next round of reports</w:t>
      </w:r>
      <w:r w:rsidR="0069396B" w:rsidRPr="00405541">
        <w:rPr>
          <w:u w:val="none"/>
        </w:rPr>
        <w:t>;</w:t>
      </w:r>
    </w:p>
    <w:p w14:paraId="70C9DB7E" w14:textId="0BAC6814" w:rsidR="002C279D" w:rsidRPr="008F4E3F" w:rsidRDefault="002C279D" w:rsidP="00EF19C2">
      <w:pPr>
        <w:pStyle w:val="COMParaDecision"/>
        <w:ind w:left="1134" w:hanging="567"/>
      </w:pPr>
      <w:r>
        <w:t>Appreciates</w:t>
      </w:r>
      <w:r w:rsidR="008F4E3F">
        <w:rPr>
          <w:u w:val="none"/>
        </w:rPr>
        <w:t xml:space="preserve"> the work of the Secretariat in providing </w:t>
      </w:r>
      <w:r w:rsidR="00DE1715">
        <w:rPr>
          <w:u w:val="none"/>
        </w:rPr>
        <w:t xml:space="preserve">continuous and pertinent </w:t>
      </w:r>
      <w:r w:rsidR="008F4E3F">
        <w:rPr>
          <w:u w:val="none"/>
        </w:rPr>
        <w:t xml:space="preserve">support to the States Parties concerned </w:t>
      </w:r>
      <w:r w:rsidR="00AD4FF3">
        <w:rPr>
          <w:u w:val="none"/>
        </w:rPr>
        <w:t xml:space="preserve">with </w:t>
      </w:r>
      <w:r w:rsidR="008F4E3F">
        <w:rPr>
          <w:u w:val="none"/>
        </w:rPr>
        <w:t>their reporting process through capacity-building and ongoing follow-up</w:t>
      </w:r>
      <w:r w:rsidR="00AD4FF3">
        <w:rPr>
          <w:u w:val="none"/>
        </w:rPr>
        <w:t xml:space="preserve"> activities</w:t>
      </w:r>
      <w:r w:rsidR="008F4E3F">
        <w:rPr>
          <w:u w:val="none"/>
        </w:rPr>
        <w:t>;</w:t>
      </w:r>
    </w:p>
    <w:p w14:paraId="3AF20678" w14:textId="27A60C01" w:rsidR="008F4E3F" w:rsidRPr="00E50167" w:rsidRDefault="008F4E3F" w:rsidP="00EF19C2">
      <w:pPr>
        <w:pStyle w:val="COMParaDecision"/>
        <w:ind w:left="1134" w:hanging="567"/>
      </w:pPr>
      <w:r>
        <w:t>Encourage</w:t>
      </w:r>
      <w:r w:rsidR="00AD4FF3">
        <w:t>s</w:t>
      </w:r>
      <w:r>
        <w:rPr>
          <w:u w:val="none"/>
        </w:rPr>
        <w:t xml:space="preserve"> States Parties which are preparing their reports to </w:t>
      </w:r>
      <w:r w:rsidR="00EB3435">
        <w:rPr>
          <w:u w:val="none"/>
        </w:rPr>
        <w:t>benefit from</w:t>
      </w:r>
      <w:r>
        <w:rPr>
          <w:u w:val="none"/>
        </w:rPr>
        <w:t xml:space="preserve"> the experiences, observations and lessons learnt from States Parties which have already submitted their reports</w:t>
      </w:r>
      <w:r w:rsidR="00F85524">
        <w:rPr>
          <w:u w:val="none"/>
        </w:rPr>
        <w:t>;</w:t>
      </w:r>
    </w:p>
    <w:p w14:paraId="730D8ED1" w14:textId="2B2635A0" w:rsidR="00E50167" w:rsidRPr="00E50167" w:rsidRDefault="00E50167" w:rsidP="002B6E2A">
      <w:pPr>
        <w:pStyle w:val="COMParaDecision"/>
        <w:ind w:left="1134" w:hanging="567"/>
        <w:rPr>
          <w:u w:val="none"/>
        </w:rPr>
      </w:pPr>
      <w:r w:rsidRPr="00E50167">
        <w:t>Invites</w:t>
      </w:r>
      <w:r w:rsidRPr="00E50167">
        <w:rPr>
          <w:u w:val="none"/>
        </w:rPr>
        <w:t xml:space="preserve"> States Parties, Category 2 Centres and other stakeholders to consider the possibility of providing financial contributions, through the modality of their choice, to support the implementation of the first cycle of periodic reporting in the Africa region</w:t>
      </w:r>
      <w:r w:rsidR="00467A8D">
        <w:rPr>
          <w:u w:val="none"/>
        </w:rPr>
        <w:t>, including the capacity-building activities</w:t>
      </w:r>
      <w:r w:rsidRPr="00E50167">
        <w:rPr>
          <w:u w:val="none"/>
        </w:rPr>
        <w:t>;</w:t>
      </w:r>
    </w:p>
    <w:p w14:paraId="7A99F369" w14:textId="1BF779CA" w:rsidR="008F4E3F" w:rsidRDefault="008F4E3F" w:rsidP="00EF19C2">
      <w:pPr>
        <w:pStyle w:val="COMParaDecision"/>
        <w:ind w:left="1134" w:hanging="567"/>
        <w:rPr>
          <w:u w:val="none"/>
        </w:rPr>
      </w:pPr>
      <w:r>
        <w:t>Requests</w:t>
      </w:r>
      <w:r>
        <w:rPr>
          <w:u w:val="none"/>
        </w:rPr>
        <w:t xml:space="preserve"> that the Secretariat report </w:t>
      </w:r>
      <w:r w:rsidR="004F116C" w:rsidRPr="004F116C">
        <w:rPr>
          <w:u w:val="none"/>
        </w:rPr>
        <w:t xml:space="preserve">on the </w:t>
      </w:r>
      <w:r w:rsidR="00835991">
        <w:rPr>
          <w:u w:val="none"/>
        </w:rPr>
        <w:t xml:space="preserve">progress with the </w:t>
      </w:r>
      <w:r w:rsidR="004F116C" w:rsidRPr="004F116C">
        <w:rPr>
          <w:u w:val="none"/>
        </w:rPr>
        <w:t xml:space="preserve">periodic reporting </w:t>
      </w:r>
      <w:r w:rsidR="00835991">
        <w:rPr>
          <w:u w:val="none"/>
        </w:rPr>
        <w:t xml:space="preserve">exercise </w:t>
      </w:r>
      <w:r w:rsidR="004F116C" w:rsidRPr="004F116C">
        <w:rPr>
          <w:u w:val="none"/>
        </w:rPr>
        <w:t>on the implementation of the Convention and on the current status of elements inscribed on the Representative List of the Intangible Cultural Heritage of Humanity</w:t>
      </w:r>
      <w:r w:rsidR="00835991">
        <w:rPr>
          <w:u w:val="none"/>
        </w:rPr>
        <w:t>,</w:t>
      </w:r>
      <w:r w:rsidR="004F116C" w:rsidRPr="004F116C">
        <w:rPr>
          <w:u w:val="none"/>
        </w:rPr>
        <w:t xml:space="preserve"> </w:t>
      </w:r>
      <w:r>
        <w:rPr>
          <w:u w:val="none"/>
        </w:rPr>
        <w:t xml:space="preserve">for examination by the eighteenth session of the </w:t>
      </w:r>
      <w:r w:rsidRPr="004F116C">
        <w:rPr>
          <w:u w:val="none"/>
        </w:rPr>
        <w:t>Committee</w:t>
      </w:r>
      <w:r w:rsidR="00405541">
        <w:rPr>
          <w:u w:val="none"/>
        </w:rPr>
        <w:t>.</w:t>
      </w:r>
    </w:p>
    <w:sectPr w:rsidR="008F4E3F" w:rsidSect="00655736">
      <w:headerReference w:type="even" r:id="rId26"/>
      <w:headerReference w:type="default" r:id="rId27"/>
      <w:headerReference w:type="first" r:id="rId2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9458" w14:textId="77777777" w:rsidR="00243264" w:rsidRDefault="00243264" w:rsidP="00655736">
      <w:r>
        <w:separator/>
      </w:r>
    </w:p>
  </w:endnote>
  <w:endnote w:type="continuationSeparator" w:id="0">
    <w:p w14:paraId="37D02B7E" w14:textId="77777777" w:rsidR="00243264" w:rsidRDefault="0024326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9EED" w14:textId="77777777" w:rsidR="00243264" w:rsidRDefault="00243264" w:rsidP="00655736">
      <w:r>
        <w:separator/>
      </w:r>
    </w:p>
  </w:footnote>
  <w:footnote w:type="continuationSeparator" w:id="0">
    <w:p w14:paraId="74A71F74" w14:textId="77777777" w:rsidR="00243264" w:rsidRDefault="00243264" w:rsidP="00655736">
      <w:r>
        <w:continuationSeparator/>
      </w:r>
    </w:p>
  </w:footnote>
  <w:footnote w:id="1">
    <w:p w14:paraId="1BFF76E7" w14:textId="7A10346B" w:rsidR="00FB27FC" w:rsidRPr="00BD7075" w:rsidRDefault="00FB27FC" w:rsidP="00BD7075">
      <w:pPr>
        <w:pStyle w:val="Notedebasdepage"/>
        <w:ind w:left="567" w:hanging="567"/>
        <w:jc w:val="both"/>
        <w:rPr>
          <w:rFonts w:asciiTheme="minorBidi" w:hAnsiTheme="minorBidi" w:cstheme="minorBidi"/>
          <w:sz w:val="18"/>
          <w:szCs w:val="18"/>
          <w:lang w:val="en-GB"/>
        </w:rPr>
      </w:pPr>
      <w:r w:rsidRPr="00724D36">
        <w:rPr>
          <w:rStyle w:val="Appelnotedebasdep"/>
          <w:rFonts w:asciiTheme="minorBidi" w:hAnsiTheme="minorBidi" w:cstheme="minorBidi"/>
          <w:sz w:val="18"/>
          <w:szCs w:val="18"/>
        </w:rPr>
        <w:footnoteRef/>
      </w:r>
      <w:r w:rsidR="00BD7075" w:rsidRPr="00724D36">
        <w:rPr>
          <w:rFonts w:asciiTheme="minorBidi" w:hAnsiTheme="minorBidi" w:cstheme="minorBidi"/>
          <w:sz w:val="18"/>
          <w:szCs w:val="18"/>
          <w:vertAlign w:val="superscript"/>
          <w:lang w:val="en-GB"/>
        </w:rPr>
        <w:t>.</w:t>
      </w:r>
      <w:r w:rsidRPr="00BD7075">
        <w:rPr>
          <w:rFonts w:asciiTheme="minorBidi" w:hAnsiTheme="minorBidi" w:cstheme="minorBidi"/>
          <w:sz w:val="18"/>
          <w:szCs w:val="18"/>
          <w:lang w:val="en-GB"/>
        </w:rPr>
        <w:tab/>
      </w:r>
      <w:r w:rsidR="00347EFF" w:rsidRPr="00BD7075">
        <w:rPr>
          <w:rFonts w:asciiTheme="minorBidi" w:hAnsiTheme="minorBidi" w:cstheme="minorBidi"/>
          <w:bCs/>
          <w:sz w:val="18"/>
          <w:szCs w:val="18"/>
          <w:lang w:val="en-GB"/>
        </w:rPr>
        <w:t xml:space="preserve">A research team was established to undertake the assignment of a qualitative and quantitative analysis of the periodic reports. The team was composed of Ms Cristina </w:t>
      </w:r>
      <w:proofErr w:type="spellStart"/>
      <w:r w:rsidR="00347EFF" w:rsidRPr="00BD7075">
        <w:rPr>
          <w:rFonts w:asciiTheme="minorBidi" w:hAnsiTheme="minorBidi" w:cstheme="minorBidi"/>
          <w:bCs/>
          <w:sz w:val="18"/>
          <w:szCs w:val="18"/>
          <w:lang w:val="en-GB"/>
        </w:rPr>
        <w:t>Amescua</w:t>
      </w:r>
      <w:proofErr w:type="spellEnd"/>
      <w:r w:rsidR="00347EFF" w:rsidRPr="00BD7075">
        <w:rPr>
          <w:rFonts w:asciiTheme="minorBidi" w:hAnsiTheme="minorBidi" w:cstheme="minorBidi"/>
          <w:bCs/>
          <w:sz w:val="18"/>
          <w:szCs w:val="18"/>
          <w:lang w:val="en-GB"/>
        </w:rPr>
        <w:t xml:space="preserve">, the UNESCO Chair ‘Universidad Nacional </w:t>
      </w:r>
      <w:proofErr w:type="spellStart"/>
      <w:r w:rsidR="00347EFF" w:rsidRPr="00BD7075">
        <w:rPr>
          <w:rFonts w:asciiTheme="minorBidi" w:hAnsiTheme="minorBidi" w:cstheme="minorBidi"/>
          <w:bCs/>
          <w:sz w:val="18"/>
          <w:szCs w:val="18"/>
          <w:lang w:val="en-GB"/>
        </w:rPr>
        <w:t>Autónoma</w:t>
      </w:r>
      <w:proofErr w:type="spellEnd"/>
      <w:r w:rsidR="00347EFF" w:rsidRPr="00BD7075">
        <w:rPr>
          <w:rFonts w:asciiTheme="minorBidi" w:hAnsiTheme="minorBidi" w:cstheme="minorBidi"/>
          <w:bCs/>
          <w:sz w:val="18"/>
          <w:szCs w:val="18"/>
          <w:lang w:val="en-GB"/>
        </w:rPr>
        <w:t xml:space="preserve"> de México – Centro Regional de </w:t>
      </w:r>
      <w:proofErr w:type="spellStart"/>
      <w:r w:rsidR="00347EFF" w:rsidRPr="00BD7075">
        <w:rPr>
          <w:rFonts w:asciiTheme="minorBidi" w:hAnsiTheme="minorBidi" w:cstheme="minorBidi"/>
          <w:bCs/>
          <w:sz w:val="18"/>
          <w:szCs w:val="18"/>
          <w:lang w:val="en-GB"/>
        </w:rPr>
        <w:t>Investigaciones</w:t>
      </w:r>
      <w:proofErr w:type="spellEnd"/>
      <w:r w:rsidR="00347EFF" w:rsidRPr="00BD7075">
        <w:rPr>
          <w:rFonts w:asciiTheme="minorBidi" w:hAnsiTheme="minorBidi" w:cstheme="minorBidi"/>
          <w:bCs/>
          <w:sz w:val="18"/>
          <w:szCs w:val="18"/>
          <w:lang w:val="en-GB"/>
        </w:rPr>
        <w:t xml:space="preserve"> </w:t>
      </w:r>
      <w:proofErr w:type="spellStart"/>
      <w:r w:rsidR="00347EFF" w:rsidRPr="00BD7075">
        <w:rPr>
          <w:rFonts w:asciiTheme="minorBidi" w:hAnsiTheme="minorBidi" w:cstheme="minorBidi"/>
          <w:bCs/>
          <w:sz w:val="18"/>
          <w:szCs w:val="18"/>
          <w:lang w:val="en-GB"/>
        </w:rPr>
        <w:t>Multidisciplinarias</w:t>
      </w:r>
      <w:proofErr w:type="spellEnd"/>
      <w:r w:rsidR="00347EFF" w:rsidRPr="00BD7075">
        <w:rPr>
          <w:rFonts w:asciiTheme="minorBidi" w:hAnsiTheme="minorBidi" w:cstheme="minorBidi"/>
          <w:bCs/>
          <w:sz w:val="18"/>
          <w:szCs w:val="18"/>
          <w:lang w:val="en-GB"/>
        </w:rPr>
        <w:t xml:space="preserve">’ with research assistant Mr Jesús Mendoza Mejía, and Ms Harriet Deacon, an experienced UNESCO facilitator for the global capacity-building programme of the Convention who was also involved in the development of the </w:t>
      </w:r>
      <w:r w:rsidR="0092119C" w:rsidRPr="00BD7075">
        <w:rPr>
          <w:rFonts w:asciiTheme="minorBidi" w:hAnsiTheme="minorBidi" w:cstheme="minorBidi"/>
          <w:bCs/>
          <w:sz w:val="18"/>
          <w:szCs w:val="18"/>
          <w:lang w:val="en-GB"/>
        </w:rPr>
        <w:t>O</w:t>
      </w:r>
      <w:r w:rsidR="00347EFF" w:rsidRPr="00BD7075">
        <w:rPr>
          <w:rFonts w:asciiTheme="minorBidi" w:hAnsiTheme="minorBidi" w:cstheme="minorBidi"/>
          <w:bCs/>
          <w:sz w:val="18"/>
          <w:szCs w:val="18"/>
          <w:lang w:val="en-GB"/>
        </w:rPr>
        <w:t xml:space="preserve">verall </w:t>
      </w:r>
      <w:r w:rsidR="0092119C" w:rsidRPr="00BD7075">
        <w:rPr>
          <w:rFonts w:asciiTheme="minorBidi" w:hAnsiTheme="minorBidi" w:cstheme="minorBidi"/>
          <w:bCs/>
          <w:sz w:val="18"/>
          <w:szCs w:val="18"/>
          <w:lang w:val="en-GB"/>
        </w:rPr>
        <w:t>R</w:t>
      </w:r>
      <w:r w:rsidR="00347EFF" w:rsidRPr="00BD7075">
        <w:rPr>
          <w:rFonts w:asciiTheme="minorBidi" w:hAnsiTheme="minorBidi" w:cstheme="minorBidi"/>
          <w:bCs/>
          <w:sz w:val="18"/>
          <w:szCs w:val="18"/>
          <w:lang w:val="en-GB"/>
        </w:rPr>
        <w:t xml:space="preserve">esults </w:t>
      </w:r>
      <w:r w:rsidR="0092119C" w:rsidRPr="00BD7075">
        <w:rPr>
          <w:rFonts w:asciiTheme="minorBidi" w:hAnsiTheme="minorBidi" w:cstheme="minorBidi"/>
          <w:bCs/>
          <w:sz w:val="18"/>
          <w:szCs w:val="18"/>
          <w:lang w:val="en-GB"/>
        </w:rPr>
        <w:t>F</w:t>
      </w:r>
      <w:r w:rsidR="00347EFF" w:rsidRPr="00BD7075">
        <w:rPr>
          <w:rFonts w:asciiTheme="minorBidi" w:hAnsiTheme="minorBidi" w:cstheme="minorBidi"/>
          <w:bCs/>
          <w:sz w:val="18"/>
          <w:szCs w:val="18"/>
          <w:lang w:val="en-GB"/>
        </w:rPr>
        <w:t xml:space="preserve">ramework of the Convention; the team collaborated closely with a data specialist from Stat sans </w:t>
      </w:r>
      <w:proofErr w:type="spellStart"/>
      <w:r w:rsidR="00347EFF" w:rsidRPr="00BD7075">
        <w:rPr>
          <w:rFonts w:asciiTheme="minorBidi" w:hAnsiTheme="minorBidi" w:cstheme="minorBidi"/>
          <w:bCs/>
          <w:sz w:val="18"/>
          <w:szCs w:val="18"/>
          <w:lang w:val="en-GB"/>
        </w:rPr>
        <w:t>limites</w:t>
      </w:r>
      <w:proofErr w:type="spellEnd"/>
      <w:r w:rsidR="00347EFF" w:rsidRPr="00BD7075">
        <w:rPr>
          <w:rFonts w:asciiTheme="minorBidi" w:hAnsiTheme="minorBidi" w:cstheme="minorBidi"/>
          <w:bCs/>
          <w:sz w:val="18"/>
          <w:szCs w:val="18"/>
          <w:lang w:val="en-GB"/>
        </w:rPr>
        <w:t xml:space="preserve">, Ms </w:t>
      </w:r>
      <w:proofErr w:type="spellStart"/>
      <w:r w:rsidR="00347EFF" w:rsidRPr="00BD7075">
        <w:rPr>
          <w:rFonts w:asciiTheme="minorBidi" w:hAnsiTheme="minorBidi" w:cstheme="minorBidi"/>
          <w:bCs/>
          <w:sz w:val="18"/>
          <w:szCs w:val="18"/>
          <w:lang w:val="en-GB"/>
        </w:rPr>
        <w:t>Ioulia</w:t>
      </w:r>
      <w:proofErr w:type="spellEnd"/>
      <w:r w:rsidR="00347EFF" w:rsidRPr="00BD7075">
        <w:rPr>
          <w:rFonts w:asciiTheme="minorBidi" w:hAnsiTheme="minorBidi" w:cstheme="minorBidi"/>
          <w:bCs/>
          <w:sz w:val="18"/>
          <w:szCs w:val="18"/>
          <w:lang w:val="en-GB"/>
        </w:rPr>
        <w:t xml:space="preserve"> </w:t>
      </w:r>
      <w:proofErr w:type="spellStart"/>
      <w:r w:rsidR="00347EFF" w:rsidRPr="00BD7075">
        <w:rPr>
          <w:rFonts w:asciiTheme="minorBidi" w:hAnsiTheme="minorBidi" w:cstheme="minorBidi"/>
          <w:bCs/>
          <w:sz w:val="18"/>
          <w:szCs w:val="18"/>
          <w:lang w:val="en-GB"/>
        </w:rPr>
        <w:t>Sementchouk</w:t>
      </w:r>
      <w:proofErr w:type="spellEnd"/>
      <w:r w:rsidR="00EB3839" w:rsidRPr="00BD7075">
        <w:rPr>
          <w:rFonts w:asciiTheme="minorBidi" w:hAnsiTheme="minorBidi" w:cstheme="minorBidi"/>
          <w:bCs/>
          <w:sz w:val="18"/>
          <w:szCs w:val="18"/>
          <w:lang w:val="en-GB"/>
        </w:rPr>
        <w:t>.</w:t>
      </w:r>
    </w:p>
  </w:footnote>
  <w:footnote w:id="2">
    <w:p w14:paraId="4F721D85" w14:textId="7EF461FD" w:rsidR="0015209C" w:rsidRPr="00BD7075" w:rsidRDefault="0015209C" w:rsidP="00BD7075">
      <w:pPr>
        <w:pStyle w:val="Notedebasdepage"/>
        <w:tabs>
          <w:tab w:val="left" w:pos="709"/>
          <w:tab w:val="left" w:pos="1418"/>
          <w:tab w:val="left" w:pos="2127"/>
          <w:tab w:val="left" w:pos="2836"/>
          <w:tab w:val="left" w:pos="3545"/>
          <w:tab w:val="left" w:pos="4254"/>
          <w:tab w:val="left" w:pos="4963"/>
          <w:tab w:val="left" w:pos="5672"/>
          <w:tab w:val="left" w:pos="7331"/>
        </w:tabs>
        <w:ind w:left="567" w:hanging="567"/>
        <w:jc w:val="both"/>
        <w:rPr>
          <w:rFonts w:asciiTheme="minorBidi" w:hAnsiTheme="minorBidi" w:cstheme="minorBidi"/>
          <w:sz w:val="18"/>
          <w:szCs w:val="18"/>
          <w:lang w:val="en-GB"/>
        </w:rPr>
      </w:pPr>
      <w:r w:rsidRPr="00724D36">
        <w:rPr>
          <w:rStyle w:val="Appelnotedebasdep"/>
          <w:rFonts w:asciiTheme="minorBidi" w:hAnsiTheme="minorBidi" w:cstheme="minorBidi"/>
          <w:sz w:val="18"/>
          <w:szCs w:val="18"/>
        </w:rPr>
        <w:footnoteRef/>
      </w:r>
      <w:r w:rsidRPr="00BD7075">
        <w:rPr>
          <w:rFonts w:asciiTheme="minorBidi" w:hAnsiTheme="minorBidi" w:cstheme="minorBidi"/>
          <w:sz w:val="18"/>
          <w:szCs w:val="18"/>
          <w:lang w:val="en-GB"/>
        </w:rPr>
        <w:tab/>
        <w:t>D</w:t>
      </w:r>
      <w:r w:rsidRPr="00BD7075">
        <w:rPr>
          <w:rFonts w:asciiTheme="minorBidi" w:hAnsiTheme="minorBidi" w:cstheme="minorBidi"/>
          <w:snapToGrid w:val="0"/>
          <w:sz w:val="18"/>
          <w:szCs w:val="18"/>
          <w:lang w:val="en-GB" w:eastAsia="en-US"/>
        </w:rPr>
        <w:t xml:space="preserve">ocuments </w:t>
      </w:r>
      <w:hyperlink r:id="rId1" w:history="1">
        <w:r w:rsidRPr="00BD7075">
          <w:rPr>
            <w:rStyle w:val="Lienhypertexte"/>
            <w:rFonts w:asciiTheme="minorBidi" w:hAnsiTheme="minorBidi" w:cstheme="minorBidi"/>
            <w:snapToGrid w:val="0"/>
            <w:sz w:val="18"/>
            <w:szCs w:val="18"/>
            <w:lang w:val="en-GB" w:eastAsia="en-US"/>
          </w:rPr>
          <w:t>LHE/21/16.COM/10 Rev.</w:t>
        </w:r>
      </w:hyperlink>
      <w:r w:rsidRPr="00BD7075">
        <w:rPr>
          <w:rFonts w:asciiTheme="minorBidi" w:hAnsiTheme="minorBidi" w:cstheme="minorBidi"/>
          <w:snapToGrid w:val="0"/>
          <w:sz w:val="18"/>
          <w:szCs w:val="18"/>
          <w:lang w:val="en-GB" w:eastAsia="en-US"/>
        </w:rPr>
        <w:t xml:space="preserve"> and </w:t>
      </w:r>
      <w:hyperlink r:id="rId2" w:history="1">
        <w:r w:rsidRPr="00BD7075">
          <w:rPr>
            <w:rStyle w:val="Lienhypertexte"/>
            <w:rFonts w:asciiTheme="minorBidi" w:hAnsiTheme="minorBidi" w:cstheme="minorBidi"/>
            <w:snapToGrid w:val="0"/>
            <w:sz w:val="18"/>
            <w:szCs w:val="18"/>
            <w:lang w:val="en-GB" w:eastAsia="en-US"/>
          </w:rPr>
          <w:t>LHE/21/16.COM/INF.10 Rev.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96C542D" w:rsidR="00C6509C" w:rsidRPr="00C23A97" w:rsidRDefault="00C6509C" w:rsidP="00C5776D">
    <w:pPr>
      <w:pStyle w:val="En-tte"/>
      <w:rPr>
        <w:rFonts w:ascii="Arial" w:hAnsi="Arial" w:cs="Arial"/>
        <w:lang w:val="en-GB"/>
      </w:rPr>
    </w:pPr>
    <w:r>
      <w:rPr>
        <w:rFonts w:ascii="Arial" w:hAnsi="Arial" w:cs="Arial"/>
        <w:sz w:val="20"/>
        <w:szCs w:val="20"/>
        <w:lang w:val="en-GB"/>
      </w:rPr>
      <w:t>LHE/2</w:t>
    </w:r>
    <w:r w:rsidR="001E6B13">
      <w:rPr>
        <w:rFonts w:ascii="Arial" w:hAnsi="Arial" w:cs="Arial"/>
        <w:sz w:val="20"/>
        <w:szCs w:val="20"/>
        <w:lang w:val="en-GB"/>
      </w:rPr>
      <w:t>2</w:t>
    </w:r>
    <w:r>
      <w:rPr>
        <w:rFonts w:ascii="Arial" w:hAnsi="Arial" w:cs="Arial"/>
        <w:sz w:val="20"/>
        <w:szCs w:val="20"/>
        <w:lang w:val="en-GB"/>
      </w:rPr>
      <w:t>/1</w:t>
    </w:r>
    <w:r w:rsidR="001E6B13">
      <w:rPr>
        <w:rFonts w:ascii="Arial" w:hAnsi="Arial" w:cs="Arial"/>
        <w:sz w:val="20"/>
        <w:szCs w:val="20"/>
        <w:lang w:val="en-GB"/>
      </w:rPr>
      <w:t>7</w:t>
    </w:r>
    <w:r>
      <w:rPr>
        <w:rFonts w:ascii="Arial" w:hAnsi="Arial" w:cs="Arial"/>
        <w:sz w:val="20"/>
        <w:szCs w:val="20"/>
        <w:lang w:val="en-GB"/>
      </w:rPr>
      <w:t>.COM</w:t>
    </w:r>
    <w:r w:rsidRPr="00C23A97">
      <w:rPr>
        <w:rFonts w:ascii="Arial" w:hAnsi="Arial" w:cs="Arial"/>
        <w:sz w:val="20"/>
        <w:szCs w:val="20"/>
        <w:lang w:val="en-GB"/>
      </w:rPr>
      <w:t>/</w:t>
    </w:r>
    <w:r w:rsidR="008C195F" w:rsidRPr="0066159F">
      <w:rPr>
        <w:rFonts w:ascii="Arial" w:hAnsi="Arial" w:cs="Arial"/>
        <w:sz w:val="20"/>
        <w:szCs w:val="20"/>
        <w:lang w:val="en-GB"/>
      </w:rPr>
      <w:t>6</w:t>
    </w:r>
    <w:r w:rsidRPr="0066159F">
      <w:rPr>
        <w:rFonts w:ascii="Arial" w:hAnsi="Arial" w:cs="Arial"/>
        <w:sz w:val="20"/>
        <w:szCs w:val="20"/>
        <w:lang w:val="en-GB"/>
      </w:rPr>
      <w:t>.</w:t>
    </w:r>
    <w:r w:rsidR="004612FD">
      <w:rPr>
        <w:rFonts w:ascii="Arial" w:hAnsi="Arial" w:cs="Arial"/>
        <w:sz w:val="20"/>
        <w:szCs w:val="20"/>
        <w:lang w:val="en-GB"/>
      </w:rPr>
      <w:t>c</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noProof/>
        <w:sz w:val="20"/>
        <w:szCs w:val="20"/>
        <w:lang w:val="en-GB"/>
      </w:rPr>
      <w:t>2</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0E98FC7" w:rsidR="00C6509C" w:rsidRPr="0063300C" w:rsidRDefault="00C6509C" w:rsidP="00C5776D">
    <w:pPr>
      <w:pStyle w:val="En-tte"/>
      <w:jc w:val="right"/>
      <w:rPr>
        <w:rFonts w:ascii="Arial" w:hAnsi="Arial" w:cs="Arial"/>
        <w:lang w:val="en-GB"/>
      </w:rPr>
    </w:pPr>
    <w:r>
      <w:rPr>
        <w:rFonts w:ascii="Arial" w:hAnsi="Arial" w:cs="Arial"/>
        <w:sz w:val="20"/>
        <w:szCs w:val="20"/>
        <w:lang w:val="en-GB"/>
      </w:rPr>
      <w:t>LHE/2</w:t>
    </w:r>
    <w:r w:rsidR="002567A5">
      <w:rPr>
        <w:rFonts w:ascii="Arial" w:hAnsi="Arial" w:cs="Arial"/>
        <w:sz w:val="20"/>
        <w:szCs w:val="20"/>
        <w:lang w:val="en-GB"/>
      </w:rPr>
      <w:t>2</w:t>
    </w:r>
    <w:r>
      <w:rPr>
        <w:rFonts w:ascii="Arial" w:hAnsi="Arial" w:cs="Arial"/>
        <w:sz w:val="20"/>
        <w:szCs w:val="20"/>
        <w:lang w:val="en-GB"/>
      </w:rPr>
      <w:t>/1</w:t>
    </w:r>
    <w:r w:rsidR="002567A5">
      <w:rPr>
        <w:rFonts w:ascii="Arial" w:hAnsi="Arial" w:cs="Arial"/>
        <w:sz w:val="20"/>
        <w:szCs w:val="20"/>
        <w:lang w:val="en-GB"/>
      </w:rPr>
      <w:t>7</w:t>
    </w:r>
    <w:r>
      <w:rPr>
        <w:rFonts w:ascii="Arial" w:hAnsi="Arial" w:cs="Arial"/>
        <w:sz w:val="20"/>
        <w:szCs w:val="20"/>
        <w:lang w:val="en-GB"/>
      </w:rPr>
      <w:t>.COM</w:t>
    </w:r>
    <w:r w:rsidRPr="0063300C">
      <w:rPr>
        <w:rFonts w:ascii="Arial" w:hAnsi="Arial" w:cs="Arial"/>
        <w:sz w:val="20"/>
        <w:szCs w:val="20"/>
        <w:lang w:val="en-GB"/>
      </w:rPr>
      <w:t>/</w:t>
    </w:r>
    <w:r w:rsidR="008C195F" w:rsidRPr="001479C0">
      <w:rPr>
        <w:rFonts w:ascii="Arial" w:hAnsi="Arial" w:cs="Arial"/>
        <w:sz w:val="20"/>
        <w:szCs w:val="20"/>
        <w:lang w:val="en-GB"/>
      </w:rPr>
      <w:t>6.</w:t>
    </w:r>
    <w:r w:rsidR="00B51268" w:rsidRPr="001479C0">
      <w:rPr>
        <w:rFonts w:ascii="Arial" w:hAnsi="Arial" w:cs="Arial"/>
        <w:sz w:val="20"/>
        <w:szCs w:val="20"/>
        <w:lang w:val="en-GB"/>
      </w:rPr>
      <w:t>c</w:t>
    </w:r>
    <w:r w:rsidRPr="00F341FE">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Pr>
        <w:rStyle w:val="Numrodepage"/>
        <w:rFonts w:ascii="Arial" w:hAnsi="Arial" w:cs="Arial"/>
        <w:noProof/>
        <w:sz w:val="20"/>
        <w:szCs w:val="20"/>
        <w:lang w:val="en-GB"/>
      </w:rPr>
      <w:t>3</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5DBCB8AD" w:rsidR="00C6509C" w:rsidRPr="00E95AE2" w:rsidRDefault="00C6509C">
    <w:pPr>
      <w:pStyle w:val="En-tte"/>
      <w:rPr>
        <w:sz w:val="22"/>
        <w:szCs w:val="22"/>
        <w:lang w:val="en-GB"/>
      </w:rPr>
    </w:pPr>
    <w:r>
      <w:rPr>
        <w:noProof/>
      </w:rPr>
      <w:drawing>
        <wp:anchor distT="0" distB="0" distL="114300" distR="114300" simplePos="0" relativeHeight="251659264" behindDoc="0" locked="0" layoutInCell="1" allowOverlap="1" wp14:anchorId="2C05AA14" wp14:editId="2051EBAE">
          <wp:simplePos x="0" y="0"/>
          <wp:positionH relativeFrom="column">
            <wp:posOffset>27305</wp:posOffset>
          </wp:positionH>
          <wp:positionV relativeFrom="paragraph">
            <wp:posOffset>-26670</wp:posOffset>
          </wp:positionV>
          <wp:extent cx="1816735" cy="1375410"/>
          <wp:effectExtent l="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DC41253" w:rsidR="00C6509C" w:rsidRPr="00D7105A" w:rsidRDefault="00C6509C" w:rsidP="00C5776D">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AF02FC">
      <w:rPr>
        <w:rFonts w:ascii="Arial" w:hAnsi="Arial" w:cs="Arial"/>
        <w:b/>
        <w:sz w:val="44"/>
        <w:szCs w:val="44"/>
        <w:lang w:val="pt-PT"/>
      </w:rPr>
      <w:t>7</w:t>
    </w:r>
    <w:r w:rsidRPr="00D7105A">
      <w:rPr>
        <w:rFonts w:ascii="Arial" w:hAnsi="Arial" w:cs="Arial"/>
        <w:b/>
        <w:sz w:val="44"/>
        <w:szCs w:val="44"/>
        <w:lang w:val="pt-PT"/>
      </w:rPr>
      <w:t xml:space="preserve"> COM</w:t>
    </w:r>
  </w:p>
  <w:p w14:paraId="306484B8" w14:textId="391FA42B" w:rsidR="00C6509C" w:rsidRPr="00D7105A" w:rsidRDefault="00C6509C" w:rsidP="00C5776D">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A00D88">
      <w:rPr>
        <w:rFonts w:ascii="Arial" w:hAnsi="Arial" w:cs="Arial"/>
        <w:b/>
        <w:sz w:val="22"/>
        <w:szCs w:val="22"/>
        <w:lang w:val="pt-PT"/>
      </w:rPr>
      <w:t>2</w:t>
    </w:r>
    <w:r w:rsidRPr="00D7105A">
      <w:rPr>
        <w:rFonts w:ascii="Arial" w:hAnsi="Arial" w:cs="Arial"/>
        <w:b/>
        <w:sz w:val="22"/>
        <w:szCs w:val="22"/>
        <w:lang w:val="pt-PT"/>
      </w:rPr>
      <w:t>/1</w:t>
    </w:r>
    <w:r w:rsidR="00A00D88">
      <w:rPr>
        <w:rFonts w:ascii="Arial" w:hAnsi="Arial" w:cs="Arial"/>
        <w:b/>
        <w:sz w:val="22"/>
        <w:szCs w:val="22"/>
        <w:lang w:val="pt-PT"/>
      </w:rPr>
      <w:t>7</w:t>
    </w:r>
    <w:r w:rsidRPr="00D7105A">
      <w:rPr>
        <w:rFonts w:ascii="Arial" w:hAnsi="Arial" w:cs="Arial"/>
        <w:b/>
        <w:sz w:val="22"/>
        <w:szCs w:val="22"/>
        <w:lang w:val="pt-PT"/>
      </w:rPr>
      <w:t>.COM/</w:t>
    </w:r>
    <w:r w:rsidR="0006362A" w:rsidRPr="001479C0">
      <w:rPr>
        <w:rFonts w:ascii="Arial" w:hAnsi="Arial" w:cs="Arial"/>
        <w:b/>
        <w:sz w:val="22"/>
        <w:szCs w:val="22"/>
        <w:lang w:val="pt-PT"/>
      </w:rPr>
      <w:t>6</w:t>
    </w:r>
    <w:r w:rsidRPr="001479C0">
      <w:rPr>
        <w:rFonts w:ascii="Arial" w:hAnsi="Arial" w:cs="Arial"/>
        <w:b/>
        <w:sz w:val="22"/>
        <w:szCs w:val="22"/>
        <w:lang w:val="pt-PT"/>
      </w:rPr>
      <w:t>.</w:t>
    </w:r>
    <w:r w:rsidR="0016137F" w:rsidRPr="001479C0">
      <w:rPr>
        <w:rFonts w:ascii="Arial" w:hAnsi="Arial" w:cs="Arial"/>
        <w:b/>
        <w:sz w:val="22"/>
        <w:szCs w:val="22"/>
        <w:lang w:val="pt-PT"/>
      </w:rPr>
      <w:t>c</w:t>
    </w:r>
  </w:p>
  <w:p w14:paraId="1B4446C3" w14:textId="48208621" w:rsidR="00C6509C" w:rsidRPr="00D7105A" w:rsidRDefault="00C6509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396894">
      <w:rPr>
        <w:rFonts w:ascii="Arial" w:hAnsi="Arial" w:cs="Arial"/>
        <w:b/>
        <w:sz w:val="22"/>
        <w:szCs w:val="22"/>
        <w:lang w:val="pt-PT"/>
      </w:rPr>
      <w:t>31</w:t>
    </w:r>
    <w:r w:rsidR="00A30F2B" w:rsidRPr="0094542A">
      <w:rPr>
        <w:rFonts w:ascii="Arial" w:hAnsi="Arial" w:cs="Arial"/>
        <w:b/>
        <w:sz w:val="22"/>
        <w:szCs w:val="22"/>
        <w:lang w:val="pt-PT"/>
      </w:rPr>
      <w:t xml:space="preserve"> October </w:t>
    </w:r>
    <w:r w:rsidRPr="0094542A">
      <w:rPr>
        <w:rFonts w:ascii="Arial" w:hAnsi="Arial" w:cs="Arial"/>
        <w:b/>
        <w:sz w:val="22"/>
        <w:szCs w:val="22"/>
        <w:lang w:val="pt-PT"/>
      </w:rPr>
      <w:t>202</w:t>
    </w:r>
    <w:r w:rsidR="00AF02FC" w:rsidRPr="0094542A">
      <w:rPr>
        <w:rFonts w:ascii="Arial" w:hAnsi="Arial" w:cs="Arial"/>
        <w:b/>
        <w:sz w:val="22"/>
        <w:szCs w:val="22"/>
        <w:lang w:val="pt-PT"/>
      </w:rPr>
      <w:t>2</w:t>
    </w:r>
  </w:p>
  <w:p w14:paraId="255B57FF" w14:textId="0AD835E0" w:rsidR="00C6509C" w:rsidRPr="00F32C23" w:rsidRDefault="00C6509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3C4B8B1B" w14:textId="77777777" w:rsidR="00C6509C" w:rsidRPr="00E95AE2" w:rsidRDefault="00C6509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B7CD010"/>
    <w:lvl w:ilvl="0" w:tplc="930A8D98">
      <w:start w:val="1"/>
      <w:numFmt w:val="decimal"/>
      <w:lvlText w:val="%1."/>
      <w:lvlJc w:val="left"/>
      <w:pPr>
        <w:ind w:left="6300" w:hanging="360"/>
      </w:pPr>
      <w:rPr>
        <w:rFonts w:hint="default"/>
        <w:b w:val="0"/>
        <w:bCs w:val="0"/>
        <w:lang w:val="en-US"/>
      </w:rPr>
    </w:lvl>
    <w:lvl w:ilvl="1" w:tplc="04090019">
      <w:start w:val="1"/>
      <w:numFmt w:val="lowerLetter"/>
      <w:lvlText w:val="%2."/>
      <w:lvlJc w:val="left"/>
      <w:pPr>
        <w:ind w:left="1440" w:hanging="360"/>
      </w:pPr>
    </w:lvl>
    <w:lvl w:ilvl="2" w:tplc="59DCAFA2">
      <w:start w:val="9"/>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40446"/>
    <w:multiLevelType w:val="hybridMultilevel"/>
    <w:tmpl w:val="8360643E"/>
    <w:lvl w:ilvl="0" w:tplc="EA16E172">
      <w:start w:val="1"/>
      <w:numFmt w:val="decimal"/>
      <w:lvlText w:val="%1."/>
      <w:lvlJc w:val="left"/>
      <w:pPr>
        <w:ind w:left="720" w:hanging="360"/>
      </w:pPr>
      <w:rPr>
        <w:rFonts w:asciiTheme="minorBidi" w:hAnsiTheme="minorBidi"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3533CA"/>
    <w:multiLevelType w:val="hybridMultilevel"/>
    <w:tmpl w:val="8360643E"/>
    <w:lvl w:ilvl="0" w:tplc="EA16E172">
      <w:start w:val="1"/>
      <w:numFmt w:val="decimal"/>
      <w:lvlText w:val="%1."/>
      <w:lvlJc w:val="left"/>
      <w:pPr>
        <w:ind w:left="720" w:hanging="360"/>
      </w:pPr>
      <w:rPr>
        <w:rFonts w:asciiTheme="minorBidi" w:hAnsiTheme="minorBidi"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21614DF9"/>
    <w:multiLevelType w:val="hybridMultilevel"/>
    <w:tmpl w:val="202CA6FC"/>
    <w:lvl w:ilvl="0" w:tplc="3A88FBB0">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375DA"/>
    <w:multiLevelType w:val="hybridMultilevel"/>
    <w:tmpl w:val="14AC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520DE"/>
    <w:multiLevelType w:val="hybridMultilevel"/>
    <w:tmpl w:val="22E88E68"/>
    <w:lvl w:ilvl="0" w:tplc="D6A89610">
      <w:start w:val="3"/>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1B2FCC"/>
    <w:multiLevelType w:val="hybridMultilevel"/>
    <w:tmpl w:val="A520357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35F07BFE"/>
    <w:multiLevelType w:val="hybridMultilevel"/>
    <w:tmpl w:val="439AC4DA"/>
    <w:lvl w:ilvl="0" w:tplc="76CAC304">
      <w:start w:val="1"/>
      <w:numFmt w:val="decimal"/>
      <w:pStyle w:val="COMPara"/>
      <w:lvlText w:val="%1."/>
      <w:lvlJc w:val="left"/>
      <w:pPr>
        <w:ind w:left="390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8821994"/>
    <w:multiLevelType w:val="hybridMultilevel"/>
    <w:tmpl w:val="B34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F7735D"/>
    <w:multiLevelType w:val="hybridMultilevel"/>
    <w:tmpl w:val="F1A4EAA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3E894944"/>
    <w:multiLevelType w:val="hybridMultilevel"/>
    <w:tmpl w:val="AB44F2CC"/>
    <w:lvl w:ilvl="0" w:tplc="04090017">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F253D23"/>
    <w:multiLevelType w:val="multilevel"/>
    <w:tmpl w:val="815895E6"/>
    <w:lvl w:ilvl="0">
      <w:start w:val="26"/>
      <w:numFmt w:val="decimal"/>
      <w:lvlText w:val="%1"/>
      <w:lvlJc w:val="left"/>
      <w:pPr>
        <w:ind w:left="390" w:hanging="39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941504"/>
    <w:multiLevelType w:val="hybridMultilevel"/>
    <w:tmpl w:val="7C624CFE"/>
    <w:lvl w:ilvl="0" w:tplc="0CDA5C22">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602F7"/>
    <w:multiLevelType w:val="multilevel"/>
    <w:tmpl w:val="82604584"/>
    <w:lvl w:ilvl="0">
      <w:start w:val="23"/>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15:restartNumberingAfterBreak="0">
    <w:nsid w:val="4FDD27AB"/>
    <w:multiLevelType w:val="hybridMultilevel"/>
    <w:tmpl w:val="921A7DBE"/>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5014559E"/>
    <w:multiLevelType w:val="hybridMultilevel"/>
    <w:tmpl w:val="B7FE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F1AD4"/>
    <w:multiLevelType w:val="hybridMultilevel"/>
    <w:tmpl w:val="CA688ECE"/>
    <w:lvl w:ilvl="0" w:tplc="69905B24">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56C34595"/>
    <w:multiLevelType w:val="hybridMultilevel"/>
    <w:tmpl w:val="C040CFAC"/>
    <w:lvl w:ilvl="0" w:tplc="AC0A8938">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3" w15:restartNumberingAfterBreak="0">
    <w:nsid w:val="570054C1"/>
    <w:multiLevelType w:val="hybridMultilevel"/>
    <w:tmpl w:val="FF8887A4"/>
    <w:lvl w:ilvl="0" w:tplc="3288FB0C">
      <w:start w:val="1"/>
      <w:numFmt w:val="decimal"/>
      <w:lvlText w:val="%1."/>
      <w:lvlJc w:val="left"/>
      <w:pPr>
        <w:ind w:left="717" w:hanging="360"/>
      </w:pPr>
      <w:rPr>
        <w:rFonts w:hint="default"/>
        <w:b w:val="0"/>
        <w:bCs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59460CF3"/>
    <w:multiLevelType w:val="hybridMultilevel"/>
    <w:tmpl w:val="202CA6FC"/>
    <w:lvl w:ilvl="0" w:tplc="3A88FBB0">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601A5"/>
    <w:multiLevelType w:val="hybridMultilevel"/>
    <w:tmpl w:val="571A0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87A59"/>
    <w:multiLevelType w:val="hybridMultilevel"/>
    <w:tmpl w:val="F3824B22"/>
    <w:lvl w:ilvl="0" w:tplc="38405CCE">
      <w:start w:val="1"/>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72F39B8"/>
    <w:multiLevelType w:val="hybridMultilevel"/>
    <w:tmpl w:val="23CA4234"/>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6BA261EE"/>
    <w:multiLevelType w:val="hybridMultilevel"/>
    <w:tmpl w:val="BD22306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EE801EE"/>
    <w:multiLevelType w:val="hybridMultilevel"/>
    <w:tmpl w:val="F43EB7E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0" w15:restartNumberingAfterBreak="0">
    <w:nsid w:val="6F6F435D"/>
    <w:multiLevelType w:val="hybridMultilevel"/>
    <w:tmpl w:val="FE800C7E"/>
    <w:lvl w:ilvl="0" w:tplc="B448CEFA">
      <w:start w:val="6"/>
      <w:numFmt w:val="bullet"/>
      <w:lvlText w:val="-"/>
      <w:lvlJc w:val="left"/>
      <w:pPr>
        <w:ind w:left="927" w:hanging="360"/>
      </w:pPr>
      <w:rPr>
        <w:rFonts w:ascii="Arial" w:eastAsia="Times New Roman" w:hAnsi="Arial" w:cs="Arial" w:hint="default"/>
      </w:rPr>
    </w:lvl>
    <w:lvl w:ilvl="1" w:tplc="06542F1A">
      <w:start w:val="2"/>
      <w:numFmt w:val="bullet"/>
      <w:lvlText w:val="-"/>
      <w:lvlJc w:val="left"/>
      <w:pPr>
        <w:ind w:left="1647" w:hanging="360"/>
      </w:pPr>
      <w:rPr>
        <w:rFonts w:ascii="Times New Roman" w:eastAsia="Malgun Gothic" w:hAnsi="Times New Roman" w:cs="Times New Roman" w:hint="default"/>
        <w:sz w:val="24"/>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7C96592A"/>
    <w:multiLevelType w:val="hybridMultilevel"/>
    <w:tmpl w:val="3864A84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CEC2AE6"/>
    <w:multiLevelType w:val="hybridMultilevel"/>
    <w:tmpl w:val="3C6A083C"/>
    <w:lvl w:ilvl="0" w:tplc="A9EAE29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E735D"/>
    <w:multiLevelType w:val="hybridMultilevel"/>
    <w:tmpl w:val="0A8604C0"/>
    <w:lvl w:ilvl="0" w:tplc="CE7269BE">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num w:numId="1">
    <w:abstractNumId w:val="2"/>
  </w:num>
  <w:num w:numId="2">
    <w:abstractNumId w:val="9"/>
  </w:num>
  <w:num w:numId="3">
    <w:abstractNumId w:val="12"/>
  </w:num>
  <w:num w:numId="4">
    <w:abstractNumId w:val="13"/>
  </w:num>
  <w:num w:numId="5">
    <w:abstractNumId w:val="7"/>
  </w:num>
  <w:num w:numId="6">
    <w:abstractNumId w:val="18"/>
  </w:num>
  <w:num w:numId="7">
    <w:abstractNumId w:val="3"/>
  </w:num>
  <w:num w:numId="8">
    <w:abstractNumId w:val="16"/>
  </w:num>
  <w:num w:numId="9">
    <w:abstractNumId w:val="18"/>
    <w:lvlOverride w:ilvl="0">
      <w:lvl w:ilvl="0">
        <w:start w:val="23"/>
        <w:numFmt w:val="decimal"/>
        <w:lvlText w:val="%1"/>
        <w:lvlJc w:val="left"/>
        <w:pPr>
          <w:ind w:left="375" w:hanging="375"/>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27"/>
  </w:num>
  <w:num w:numId="14">
    <w:abstractNumId w:val="21"/>
  </w:num>
  <w:num w:numId="15">
    <w:abstractNumId w:val="30"/>
  </w:num>
  <w:num w:numId="16">
    <w:abstractNumId w:val="1"/>
  </w:num>
  <w:num w:numId="17">
    <w:abstractNumId w:val="25"/>
  </w:num>
  <w:num w:numId="18">
    <w:abstractNumId w:val="11"/>
  </w:num>
  <w:num w:numId="19">
    <w:abstractNumId w:val="6"/>
  </w:num>
  <w:num w:numId="20">
    <w:abstractNumId w:val="20"/>
  </w:num>
  <w:num w:numId="21">
    <w:abstractNumId w:val="33"/>
  </w:num>
  <w:num w:numId="22">
    <w:abstractNumId w:val="23"/>
  </w:num>
  <w:num w:numId="23">
    <w:abstractNumId w:val="17"/>
  </w:num>
  <w:num w:numId="24">
    <w:abstractNumId w:val="28"/>
  </w:num>
  <w:num w:numId="25">
    <w:abstractNumId w:val="5"/>
  </w:num>
  <w:num w:numId="26">
    <w:abstractNumId w:val="32"/>
  </w:num>
  <w:num w:numId="27">
    <w:abstractNumId w:val="24"/>
  </w:num>
  <w:num w:numId="28">
    <w:abstractNumId w:val="31"/>
  </w:num>
  <w:num w:numId="29">
    <w:abstractNumId w:val="10"/>
  </w:num>
  <w:num w:numId="30">
    <w:abstractNumId w:val="4"/>
  </w:num>
  <w:num w:numId="31">
    <w:abstractNumId w:val="19"/>
  </w:num>
  <w:num w:numId="32">
    <w:abstractNumId w:val="14"/>
  </w:num>
  <w:num w:numId="33">
    <w:abstractNumId w:val="8"/>
  </w:num>
  <w:num w:numId="34">
    <w:abstractNumId w:val="29"/>
  </w:num>
  <w:num w:numId="35">
    <w:abstractNumId w:val="22"/>
  </w:num>
  <w:num w:numId="36">
    <w:abstractNumId w:val="34"/>
  </w:num>
  <w:num w:numId="37">
    <w:abstractNumId w:val="12"/>
  </w:num>
  <w:num w:numId="38">
    <w:abstractNumId w:val="12"/>
  </w:num>
  <w:num w:numId="39">
    <w:abstractNumId w:val="12"/>
  </w:num>
  <w:num w:numId="4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97F"/>
    <w:rsid w:val="00000E07"/>
    <w:rsid w:val="00002328"/>
    <w:rsid w:val="00002EA1"/>
    <w:rsid w:val="00002FA6"/>
    <w:rsid w:val="00003813"/>
    <w:rsid w:val="00004055"/>
    <w:rsid w:val="000041DF"/>
    <w:rsid w:val="000048ED"/>
    <w:rsid w:val="0000558A"/>
    <w:rsid w:val="000059D1"/>
    <w:rsid w:val="00006AA3"/>
    <w:rsid w:val="0000726D"/>
    <w:rsid w:val="00010CE5"/>
    <w:rsid w:val="00011D03"/>
    <w:rsid w:val="00012976"/>
    <w:rsid w:val="000130C0"/>
    <w:rsid w:val="00013D4E"/>
    <w:rsid w:val="00014915"/>
    <w:rsid w:val="00015874"/>
    <w:rsid w:val="00015CD2"/>
    <w:rsid w:val="000164AB"/>
    <w:rsid w:val="00016CFE"/>
    <w:rsid w:val="00016F8F"/>
    <w:rsid w:val="00017F5D"/>
    <w:rsid w:val="00022089"/>
    <w:rsid w:val="0002230F"/>
    <w:rsid w:val="00024380"/>
    <w:rsid w:val="000318B7"/>
    <w:rsid w:val="00034236"/>
    <w:rsid w:val="00040084"/>
    <w:rsid w:val="00041A66"/>
    <w:rsid w:val="00041BE0"/>
    <w:rsid w:val="000421F4"/>
    <w:rsid w:val="00042374"/>
    <w:rsid w:val="00042D88"/>
    <w:rsid w:val="00043158"/>
    <w:rsid w:val="000436C4"/>
    <w:rsid w:val="0004443C"/>
    <w:rsid w:val="00044D5F"/>
    <w:rsid w:val="0005176E"/>
    <w:rsid w:val="0005199B"/>
    <w:rsid w:val="00052788"/>
    <w:rsid w:val="00053324"/>
    <w:rsid w:val="000533F3"/>
    <w:rsid w:val="000535F3"/>
    <w:rsid w:val="000545FE"/>
    <w:rsid w:val="00055E97"/>
    <w:rsid w:val="00056255"/>
    <w:rsid w:val="000565EB"/>
    <w:rsid w:val="000579F8"/>
    <w:rsid w:val="00057B70"/>
    <w:rsid w:val="00060940"/>
    <w:rsid w:val="000616EC"/>
    <w:rsid w:val="00062650"/>
    <w:rsid w:val="00062E52"/>
    <w:rsid w:val="0006362A"/>
    <w:rsid w:val="00063D2B"/>
    <w:rsid w:val="00065D2E"/>
    <w:rsid w:val="000674C4"/>
    <w:rsid w:val="000678FE"/>
    <w:rsid w:val="00070D84"/>
    <w:rsid w:val="00070E63"/>
    <w:rsid w:val="00071B3C"/>
    <w:rsid w:val="000720C4"/>
    <w:rsid w:val="00072544"/>
    <w:rsid w:val="0007383B"/>
    <w:rsid w:val="00073E79"/>
    <w:rsid w:val="00074360"/>
    <w:rsid w:val="00074BE6"/>
    <w:rsid w:val="00075F6B"/>
    <w:rsid w:val="000765F7"/>
    <w:rsid w:val="00077600"/>
    <w:rsid w:val="00077AB7"/>
    <w:rsid w:val="000805F1"/>
    <w:rsid w:val="00080A6C"/>
    <w:rsid w:val="00081896"/>
    <w:rsid w:val="00081CD8"/>
    <w:rsid w:val="0008277C"/>
    <w:rsid w:val="0008384C"/>
    <w:rsid w:val="00083FFA"/>
    <w:rsid w:val="000853C0"/>
    <w:rsid w:val="00085FC4"/>
    <w:rsid w:val="000866DF"/>
    <w:rsid w:val="00086A82"/>
    <w:rsid w:val="00087066"/>
    <w:rsid w:val="00087FF9"/>
    <w:rsid w:val="000905D6"/>
    <w:rsid w:val="000917BE"/>
    <w:rsid w:val="000918A2"/>
    <w:rsid w:val="00092874"/>
    <w:rsid w:val="00093ECF"/>
    <w:rsid w:val="000955CA"/>
    <w:rsid w:val="00096572"/>
    <w:rsid w:val="0009726B"/>
    <w:rsid w:val="00097AB0"/>
    <w:rsid w:val="00097F99"/>
    <w:rsid w:val="000A0C22"/>
    <w:rsid w:val="000A12F8"/>
    <w:rsid w:val="000A20B2"/>
    <w:rsid w:val="000A3AB5"/>
    <w:rsid w:val="000A430B"/>
    <w:rsid w:val="000A43F6"/>
    <w:rsid w:val="000A479B"/>
    <w:rsid w:val="000A4F0D"/>
    <w:rsid w:val="000A5A8D"/>
    <w:rsid w:val="000A68A8"/>
    <w:rsid w:val="000A7161"/>
    <w:rsid w:val="000A7F0E"/>
    <w:rsid w:val="000B1B6D"/>
    <w:rsid w:val="000B1C8F"/>
    <w:rsid w:val="000B2579"/>
    <w:rsid w:val="000B2627"/>
    <w:rsid w:val="000B36AC"/>
    <w:rsid w:val="000B39FC"/>
    <w:rsid w:val="000B3E84"/>
    <w:rsid w:val="000B4C44"/>
    <w:rsid w:val="000B5E10"/>
    <w:rsid w:val="000B714E"/>
    <w:rsid w:val="000C0D61"/>
    <w:rsid w:val="000C17D7"/>
    <w:rsid w:val="000C206F"/>
    <w:rsid w:val="000C2A31"/>
    <w:rsid w:val="000C31A5"/>
    <w:rsid w:val="000C3415"/>
    <w:rsid w:val="000C3703"/>
    <w:rsid w:val="000C7434"/>
    <w:rsid w:val="000D0F11"/>
    <w:rsid w:val="000D269A"/>
    <w:rsid w:val="000D2D59"/>
    <w:rsid w:val="000D2F25"/>
    <w:rsid w:val="000D4050"/>
    <w:rsid w:val="000D54D6"/>
    <w:rsid w:val="000D68A2"/>
    <w:rsid w:val="000D6D5E"/>
    <w:rsid w:val="000D7744"/>
    <w:rsid w:val="000E1F11"/>
    <w:rsid w:val="000E3C46"/>
    <w:rsid w:val="000E4E72"/>
    <w:rsid w:val="000E708A"/>
    <w:rsid w:val="000E7929"/>
    <w:rsid w:val="000E7933"/>
    <w:rsid w:val="000F03AB"/>
    <w:rsid w:val="000F0920"/>
    <w:rsid w:val="000F0D8D"/>
    <w:rsid w:val="000F142F"/>
    <w:rsid w:val="000F2E6B"/>
    <w:rsid w:val="000F301E"/>
    <w:rsid w:val="000F3815"/>
    <w:rsid w:val="000F39D4"/>
    <w:rsid w:val="000F3A3F"/>
    <w:rsid w:val="000F5BDC"/>
    <w:rsid w:val="000F5BF7"/>
    <w:rsid w:val="000F6145"/>
    <w:rsid w:val="000F64F9"/>
    <w:rsid w:val="0010082C"/>
    <w:rsid w:val="0010160D"/>
    <w:rsid w:val="00101E54"/>
    <w:rsid w:val="00102557"/>
    <w:rsid w:val="001054CE"/>
    <w:rsid w:val="00106BBD"/>
    <w:rsid w:val="00113397"/>
    <w:rsid w:val="001136DE"/>
    <w:rsid w:val="001148C4"/>
    <w:rsid w:val="00114B18"/>
    <w:rsid w:val="0011557F"/>
    <w:rsid w:val="001168D5"/>
    <w:rsid w:val="0011703A"/>
    <w:rsid w:val="00117C48"/>
    <w:rsid w:val="001201D9"/>
    <w:rsid w:val="00120304"/>
    <w:rsid w:val="00121BD0"/>
    <w:rsid w:val="001232D8"/>
    <w:rsid w:val="001270D5"/>
    <w:rsid w:val="00131FED"/>
    <w:rsid w:val="00133671"/>
    <w:rsid w:val="00133F28"/>
    <w:rsid w:val="00134243"/>
    <w:rsid w:val="00134C9E"/>
    <w:rsid w:val="00134CF7"/>
    <w:rsid w:val="00134DAD"/>
    <w:rsid w:val="00135B19"/>
    <w:rsid w:val="001367F7"/>
    <w:rsid w:val="00136BEA"/>
    <w:rsid w:val="001370BB"/>
    <w:rsid w:val="001373FF"/>
    <w:rsid w:val="00141B05"/>
    <w:rsid w:val="00142EC7"/>
    <w:rsid w:val="001437C9"/>
    <w:rsid w:val="00143D6A"/>
    <w:rsid w:val="001443F9"/>
    <w:rsid w:val="00144930"/>
    <w:rsid w:val="00145A03"/>
    <w:rsid w:val="00147618"/>
    <w:rsid w:val="001479C0"/>
    <w:rsid w:val="00151863"/>
    <w:rsid w:val="0015209C"/>
    <w:rsid w:val="001548EA"/>
    <w:rsid w:val="00154DC6"/>
    <w:rsid w:val="001553FF"/>
    <w:rsid w:val="001556B8"/>
    <w:rsid w:val="001563B5"/>
    <w:rsid w:val="00157315"/>
    <w:rsid w:val="00157BDE"/>
    <w:rsid w:val="00160A83"/>
    <w:rsid w:val="0016137F"/>
    <w:rsid w:val="001614BE"/>
    <w:rsid w:val="00161B77"/>
    <w:rsid w:val="00161D9F"/>
    <w:rsid w:val="00161E70"/>
    <w:rsid w:val="00162DE2"/>
    <w:rsid w:val="0016346A"/>
    <w:rsid w:val="00163C2E"/>
    <w:rsid w:val="00164857"/>
    <w:rsid w:val="00164B39"/>
    <w:rsid w:val="00164D56"/>
    <w:rsid w:val="00165836"/>
    <w:rsid w:val="001670F8"/>
    <w:rsid w:val="00167A9E"/>
    <w:rsid w:val="00167B10"/>
    <w:rsid w:val="00167C08"/>
    <w:rsid w:val="00170F6E"/>
    <w:rsid w:val="0017192E"/>
    <w:rsid w:val="00172D2C"/>
    <w:rsid w:val="00173894"/>
    <w:rsid w:val="0017402F"/>
    <w:rsid w:val="001740C5"/>
    <w:rsid w:val="0017562B"/>
    <w:rsid w:val="001763E3"/>
    <w:rsid w:val="001764B1"/>
    <w:rsid w:val="00181760"/>
    <w:rsid w:val="00183462"/>
    <w:rsid w:val="00183EB8"/>
    <w:rsid w:val="00184C15"/>
    <w:rsid w:val="00187C17"/>
    <w:rsid w:val="00190205"/>
    <w:rsid w:val="00190C71"/>
    <w:rsid w:val="00191EA4"/>
    <w:rsid w:val="00192AF1"/>
    <w:rsid w:val="00192E8F"/>
    <w:rsid w:val="0019348C"/>
    <w:rsid w:val="00193D41"/>
    <w:rsid w:val="00195359"/>
    <w:rsid w:val="00195ADA"/>
    <w:rsid w:val="001964D5"/>
    <w:rsid w:val="00196C1B"/>
    <w:rsid w:val="00197672"/>
    <w:rsid w:val="001A00DE"/>
    <w:rsid w:val="001A0A28"/>
    <w:rsid w:val="001A203D"/>
    <w:rsid w:val="001A22BF"/>
    <w:rsid w:val="001A3200"/>
    <w:rsid w:val="001A33C3"/>
    <w:rsid w:val="001A3F42"/>
    <w:rsid w:val="001A46AB"/>
    <w:rsid w:val="001A4F49"/>
    <w:rsid w:val="001A5B6D"/>
    <w:rsid w:val="001A71C7"/>
    <w:rsid w:val="001B0F73"/>
    <w:rsid w:val="001B183F"/>
    <w:rsid w:val="001B274E"/>
    <w:rsid w:val="001B3326"/>
    <w:rsid w:val="001B38A0"/>
    <w:rsid w:val="001B3996"/>
    <w:rsid w:val="001B39E9"/>
    <w:rsid w:val="001B6727"/>
    <w:rsid w:val="001B7781"/>
    <w:rsid w:val="001C0B73"/>
    <w:rsid w:val="001C1290"/>
    <w:rsid w:val="001C2DB7"/>
    <w:rsid w:val="001C2DF7"/>
    <w:rsid w:val="001C3F3C"/>
    <w:rsid w:val="001C5237"/>
    <w:rsid w:val="001C533C"/>
    <w:rsid w:val="001C55E4"/>
    <w:rsid w:val="001C5726"/>
    <w:rsid w:val="001C5CC9"/>
    <w:rsid w:val="001C653A"/>
    <w:rsid w:val="001C722D"/>
    <w:rsid w:val="001C7D54"/>
    <w:rsid w:val="001C7DC2"/>
    <w:rsid w:val="001D0554"/>
    <w:rsid w:val="001D0BB6"/>
    <w:rsid w:val="001D0C53"/>
    <w:rsid w:val="001D14FE"/>
    <w:rsid w:val="001D3DBE"/>
    <w:rsid w:val="001D4C7B"/>
    <w:rsid w:val="001D4CCE"/>
    <w:rsid w:val="001D549B"/>
    <w:rsid w:val="001D5C04"/>
    <w:rsid w:val="001D7FA7"/>
    <w:rsid w:val="001E1D8F"/>
    <w:rsid w:val="001E2665"/>
    <w:rsid w:val="001E2CA3"/>
    <w:rsid w:val="001E2D82"/>
    <w:rsid w:val="001E3C6F"/>
    <w:rsid w:val="001E5BC3"/>
    <w:rsid w:val="001E5CEE"/>
    <w:rsid w:val="001E6B13"/>
    <w:rsid w:val="001E7A23"/>
    <w:rsid w:val="001F1079"/>
    <w:rsid w:val="001F1E14"/>
    <w:rsid w:val="001F26CF"/>
    <w:rsid w:val="001F29A8"/>
    <w:rsid w:val="001F314E"/>
    <w:rsid w:val="001F4BBE"/>
    <w:rsid w:val="001F5F5D"/>
    <w:rsid w:val="001F6D88"/>
    <w:rsid w:val="001F775B"/>
    <w:rsid w:val="002005AF"/>
    <w:rsid w:val="00200795"/>
    <w:rsid w:val="002007FB"/>
    <w:rsid w:val="00200860"/>
    <w:rsid w:val="0020254A"/>
    <w:rsid w:val="00202BB2"/>
    <w:rsid w:val="0020326B"/>
    <w:rsid w:val="0020327A"/>
    <w:rsid w:val="00206548"/>
    <w:rsid w:val="002068C8"/>
    <w:rsid w:val="00207995"/>
    <w:rsid w:val="00210437"/>
    <w:rsid w:val="0021046E"/>
    <w:rsid w:val="0021245A"/>
    <w:rsid w:val="002151F3"/>
    <w:rsid w:val="002154AA"/>
    <w:rsid w:val="002157E1"/>
    <w:rsid w:val="00216907"/>
    <w:rsid w:val="00217EB2"/>
    <w:rsid w:val="00221D48"/>
    <w:rsid w:val="00222A0C"/>
    <w:rsid w:val="00222A2D"/>
    <w:rsid w:val="00223029"/>
    <w:rsid w:val="002232D6"/>
    <w:rsid w:val="00223317"/>
    <w:rsid w:val="002234EE"/>
    <w:rsid w:val="00224FAD"/>
    <w:rsid w:val="0022555C"/>
    <w:rsid w:val="00226F61"/>
    <w:rsid w:val="002271A3"/>
    <w:rsid w:val="002274B4"/>
    <w:rsid w:val="002315F5"/>
    <w:rsid w:val="00232409"/>
    <w:rsid w:val="00233EF1"/>
    <w:rsid w:val="00234745"/>
    <w:rsid w:val="00234F5D"/>
    <w:rsid w:val="002351A6"/>
    <w:rsid w:val="0023556D"/>
    <w:rsid w:val="002358CB"/>
    <w:rsid w:val="00236B07"/>
    <w:rsid w:val="00236C96"/>
    <w:rsid w:val="00236DB0"/>
    <w:rsid w:val="002407AF"/>
    <w:rsid w:val="002411A1"/>
    <w:rsid w:val="00242952"/>
    <w:rsid w:val="00243060"/>
    <w:rsid w:val="00243264"/>
    <w:rsid w:val="00244673"/>
    <w:rsid w:val="00246155"/>
    <w:rsid w:val="0024710B"/>
    <w:rsid w:val="00250341"/>
    <w:rsid w:val="00250571"/>
    <w:rsid w:val="00250656"/>
    <w:rsid w:val="00252189"/>
    <w:rsid w:val="00252B95"/>
    <w:rsid w:val="002562F9"/>
    <w:rsid w:val="00256584"/>
    <w:rsid w:val="002567A5"/>
    <w:rsid w:val="0025703D"/>
    <w:rsid w:val="00257520"/>
    <w:rsid w:val="0025762E"/>
    <w:rsid w:val="002601AE"/>
    <w:rsid w:val="00260EDC"/>
    <w:rsid w:val="00262E0E"/>
    <w:rsid w:val="00264299"/>
    <w:rsid w:val="002646AA"/>
    <w:rsid w:val="00265443"/>
    <w:rsid w:val="002655F6"/>
    <w:rsid w:val="00270539"/>
    <w:rsid w:val="00270BEA"/>
    <w:rsid w:val="002736CC"/>
    <w:rsid w:val="00273DB2"/>
    <w:rsid w:val="00274633"/>
    <w:rsid w:val="0027466B"/>
    <w:rsid w:val="0027695C"/>
    <w:rsid w:val="002807D8"/>
    <w:rsid w:val="00280B6A"/>
    <w:rsid w:val="0028121A"/>
    <w:rsid w:val="002817E8"/>
    <w:rsid w:val="002838A5"/>
    <w:rsid w:val="00283922"/>
    <w:rsid w:val="00284422"/>
    <w:rsid w:val="002852F7"/>
    <w:rsid w:val="00285BB4"/>
    <w:rsid w:val="00287BDF"/>
    <w:rsid w:val="00293C63"/>
    <w:rsid w:val="002942B0"/>
    <w:rsid w:val="00294CB3"/>
    <w:rsid w:val="002959ED"/>
    <w:rsid w:val="00296BAE"/>
    <w:rsid w:val="002A2357"/>
    <w:rsid w:val="002A33B4"/>
    <w:rsid w:val="002A4251"/>
    <w:rsid w:val="002A7FB5"/>
    <w:rsid w:val="002B3364"/>
    <w:rsid w:val="002B3BE2"/>
    <w:rsid w:val="002B493A"/>
    <w:rsid w:val="002B50B0"/>
    <w:rsid w:val="002B639D"/>
    <w:rsid w:val="002B6867"/>
    <w:rsid w:val="002B6A70"/>
    <w:rsid w:val="002B6E2A"/>
    <w:rsid w:val="002B7079"/>
    <w:rsid w:val="002C00F9"/>
    <w:rsid w:val="002C09E3"/>
    <w:rsid w:val="002C225F"/>
    <w:rsid w:val="002C26D5"/>
    <w:rsid w:val="002C279D"/>
    <w:rsid w:val="002C2C5C"/>
    <w:rsid w:val="002C3705"/>
    <w:rsid w:val="002C4006"/>
    <w:rsid w:val="002C430C"/>
    <w:rsid w:val="002C4C3B"/>
    <w:rsid w:val="002C607B"/>
    <w:rsid w:val="002C626F"/>
    <w:rsid w:val="002C6291"/>
    <w:rsid w:val="002C64A5"/>
    <w:rsid w:val="002C7060"/>
    <w:rsid w:val="002D1244"/>
    <w:rsid w:val="002D189C"/>
    <w:rsid w:val="002D1D12"/>
    <w:rsid w:val="002D2B42"/>
    <w:rsid w:val="002D38FC"/>
    <w:rsid w:val="002D4E97"/>
    <w:rsid w:val="002D5CC6"/>
    <w:rsid w:val="002D6026"/>
    <w:rsid w:val="002E0297"/>
    <w:rsid w:val="002E0E16"/>
    <w:rsid w:val="002E1185"/>
    <w:rsid w:val="002E19A0"/>
    <w:rsid w:val="002E2034"/>
    <w:rsid w:val="002E3382"/>
    <w:rsid w:val="002E3E56"/>
    <w:rsid w:val="002E5040"/>
    <w:rsid w:val="002E56C1"/>
    <w:rsid w:val="002E6033"/>
    <w:rsid w:val="002E64BA"/>
    <w:rsid w:val="002E66CB"/>
    <w:rsid w:val="002E6FC9"/>
    <w:rsid w:val="002F1DDC"/>
    <w:rsid w:val="002F2B0E"/>
    <w:rsid w:val="002F2B15"/>
    <w:rsid w:val="002F3DB6"/>
    <w:rsid w:val="002F57B6"/>
    <w:rsid w:val="002F6A58"/>
    <w:rsid w:val="002F700E"/>
    <w:rsid w:val="002F7884"/>
    <w:rsid w:val="00301F7D"/>
    <w:rsid w:val="0030216B"/>
    <w:rsid w:val="00302232"/>
    <w:rsid w:val="0030479B"/>
    <w:rsid w:val="00305E12"/>
    <w:rsid w:val="00306A90"/>
    <w:rsid w:val="00306C33"/>
    <w:rsid w:val="003072C0"/>
    <w:rsid w:val="00307B86"/>
    <w:rsid w:val="00307D44"/>
    <w:rsid w:val="003109FF"/>
    <w:rsid w:val="00310D73"/>
    <w:rsid w:val="0031145A"/>
    <w:rsid w:val="00311F13"/>
    <w:rsid w:val="00311F91"/>
    <w:rsid w:val="00313F48"/>
    <w:rsid w:val="00314980"/>
    <w:rsid w:val="00314C7B"/>
    <w:rsid w:val="00316C8D"/>
    <w:rsid w:val="003209B3"/>
    <w:rsid w:val="00321225"/>
    <w:rsid w:val="0032155D"/>
    <w:rsid w:val="00321DB4"/>
    <w:rsid w:val="00321E0E"/>
    <w:rsid w:val="00322226"/>
    <w:rsid w:val="00322BDF"/>
    <w:rsid w:val="003255B4"/>
    <w:rsid w:val="00325A0B"/>
    <w:rsid w:val="00326161"/>
    <w:rsid w:val="003268EE"/>
    <w:rsid w:val="00330741"/>
    <w:rsid w:val="00330A5F"/>
    <w:rsid w:val="00331344"/>
    <w:rsid w:val="0033220C"/>
    <w:rsid w:val="00332AEF"/>
    <w:rsid w:val="00335AE0"/>
    <w:rsid w:val="00336A0F"/>
    <w:rsid w:val="00336BB9"/>
    <w:rsid w:val="003375B3"/>
    <w:rsid w:val="00337A85"/>
    <w:rsid w:val="00337CEB"/>
    <w:rsid w:val="003417C5"/>
    <w:rsid w:val="003422C9"/>
    <w:rsid w:val="00343857"/>
    <w:rsid w:val="00343AA1"/>
    <w:rsid w:val="003444D3"/>
    <w:rsid w:val="003446B4"/>
    <w:rsid w:val="00344B58"/>
    <w:rsid w:val="0034539A"/>
    <w:rsid w:val="00345CB4"/>
    <w:rsid w:val="00346981"/>
    <w:rsid w:val="00346C18"/>
    <w:rsid w:val="00347EFF"/>
    <w:rsid w:val="00350CFC"/>
    <w:rsid w:val="00352837"/>
    <w:rsid w:val="00352D1B"/>
    <w:rsid w:val="00354BE7"/>
    <w:rsid w:val="00360108"/>
    <w:rsid w:val="003608FB"/>
    <w:rsid w:val="00360945"/>
    <w:rsid w:val="00361E13"/>
    <w:rsid w:val="00361EE7"/>
    <w:rsid w:val="0036308D"/>
    <w:rsid w:val="0036333A"/>
    <w:rsid w:val="00363F1D"/>
    <w:rsid w:val="00365DD5"/>
    <w:rsid w:val="0036676C"/>
    <w:rsid w:val="00367C72"/>
    <w:rsid w:val="003708D3"/>
    <w:rsid w:val="003715C6"/>
    <w:rsid w:val="00371AA6"/>
    <w:rsid w:val="00371BC3"/>
    <w:rsid w:val="00372D00"/>
    <w:rsid w:val="003738DB"/>
    <w:rsid w:val="00375D42"/>
    <w:rsid w:val="00376DBC"/>
    <w:rsid w:val="0038034D"/>
    <w:rsid w:val="003809A6"/>
    <w:rsid w:val="00381605"/>
    <w:rsid w:val="00382857"/>
    <w:rsid w:val="00383631"/>
    <w:rsid w:val="00386CFD"/>
    <w:rsid w:val="003870B1"/>
    <w:rsid w:val="003875A2"/>
    <w:rsid w:val="00390455"/>
    <w:rsid w:val="003904BB"/>
    <w:rsid w:val="00390788"/>
    <w:rsid w:val="00390C6D"/>
    <w:rsid w:val="00391548"/>
    <w:rsid w:val="003927B5"/>
    <w:rsid w:val="00393FCB"/>
    <w:rsid w:val="0039457B"/>
    <w:rsid w:val="00394DCB"/>
    <w:rsid w:val="00394E87"/>
    <w:rsid w:val="00395760"/>
    <w:rsid w:val="00396894"/>
    <w:rsid w:val="003A24D8"/>
    <w:rsid w:val="003A290D"/>
    <w:rsid w:val="003A30C9"/>
    <w:rsid w:val="003A3F5B"/>
    <w:rsid w:val="003A56F6"/>
    <w:rsid w:val="003A6129"/>
    <w:rsid w:val="003A724C"/>
    <w:rsid w:val="003A7C38"/>
    <w:rsid w:val="003B01DA"/>
    <w:rsid w:val="003B0D23"/>
    <w:rsid w:val="003B0D7E"/>
    <w:rsid w:val="003B2ECC"/>
    <w:rsid w:val="003B39DC"/>
    <w:rsid w:val="003B508E"/>
    <w:rsid w:val="003B54F6"/>
    <w:rsid w:val="003C1388"/>
    <w:rsid w:val="003C154A"/>
    <w:rsid w:val="003C1F53"/>
    <w:rsid w:val="003C24F1"/>
    <w:rsid w:val="003C2A12"/>
    <w:rsid w:val="003C4DF3"/>
    <w:rsid w:val="003C51FB"/>
    <w:rsid w:val="003C5883"/>
    <w:rsid w:val="003C615E"/>
    <w:rsid w:val="003C6D8A"/>
    <w:rsid w:val="003C70E3"/>
    <w:rsid w:val="003C74ED"/>
    <w:rsid w:val="003C784D"/>
    <w:rsid w:val="003D069C"/>
    <w:rsid w:val="003D0D69"/>
    <w:rsid w:val="003D25B7"/>
    <w:rsid w:val="003D29A3"/>
    <w:rsid w:val="003D4442"/>
    <w:rsid w:val="003D4D6C"/>
    <w:rsid w:val="003D5366"/>
    <w:rsid w:val="003D55BB"/>
    <w:rsid w:val="003D5939"/>
    <w:rsid w:val="003D5F0F"/>
    <w:rsid w:val="003D6640"/>
    <w:rsid w:val="003D66F1"/>
    <w:rsid w:val="003D6BCD"/>
    <w:rsid w:val="003D74FA"/>
    <w:rsid w:val="003D7646"/>
    <w:rsid w:val="003D7E4A"/>
    <w:rsid w:val="003E0074"/>
    <w:rsid w:val="003E05B0"/>
    <w:rsid w:val="003E0F96"/>
    <w:rsid w:val="003E3F4A"/>
    <w:rsid w:val="003E473E"/>
    <w:rsid w:val="003E4C8C"/>
    <w:rsid w:val="003E7D3C"/>
    <w:rsid w:val="003F113A"/>
    <w:rsid w:val="003F32A3"/>
    <w:rsid w:val="003F3E63"/>
    <w:rsid w:val="003F3EE0"/>
    <w:rsid w:val="003F44B1"/>
    <w:rsid w:val="003F4749"/>
    <w:rsid w:val="003F4F03"/>
    <w:rsid w:val="003F76B8"/>
    <w:rsid w:val="003F788B"/>
    <w:rsid w:val="00401C11"/>
    <w:rsid w:val="004025C9"/>
    <w:rsid w:val="00403A78"/>
    <w:rsid w:val="00403D74"/>
    <w:rsid w:val="00404E98"/>
    <w:rsid w:val="00405541"/>
    <w:rsid w:val="00405703"/>
    <w:rsid w:val="00406186"/>
    <w:rsid w:val="00406A5E"/>
    <w:rsid w:val="00407307"/>
    <w:rsid w:val="00407480"/>
    <w:rsid w:val="0040748D"/>
    <w:rsid w:val="004113CF"/>
    <w:rsid w:val="00412120"/>
    <w:rsid w:val="00413070"/>
    <w:rsid w:val="00413839"/>
    <w:rsid w:val="00414643"/>
    <w:rsid w:val="0041573C"/>
    <w:rsid w:val="004160C6"/>
    <w:rsid w:val="004174A2"/>
    <w:rsid w:val="00417566"/>
    <w:rsid w:val="004213A0"/>
    <w:rsid w:val="00422C73"/>
    <w:rsid w:val="00422F6F"/>
    <w:rsid w:val="004237B2"/>
    <w:rsid w:val="00424C19"/>
    <w:rsid w:val="00424ED7"/>
    <w:rsid w:val="0042523E"/>
    <w:rsid w:val="00430EC5"/>
    <w:rsid w:val="00430FB1"/>
    <w:rsid w:val="00431E04"/>
    <w:rsid w:val="004331B4"/>
    <w:rsid w:val="004343EE"/>
    <w:rsid w:val="00435EED"/>
    <w:rsid w:val="004413DE"/>
    <w:rsid w:val="004421E5"/>
    <w:rsid w:val="00442522"/>
    <w:rsid w:val="0044388C"/>
    <w:rsid w:val="004445A0"/>
    <w:rsid w:val="00444719"/>
    <w:rsid w:val="00445BC6"/>
    <w:rsid w:val="00447E86"/>
    <w:rsid w:val="00450E14"/>
    <w:rsid w:val="00451E1F"/>
    <w:rsid w:val="00452284"/>
    <w:rsid w:val="004527C8"/>
    <w:rsid w:val="00452B10"/>
    <w:rsid w:val="004532B9"/>
    <w:rsid w:val="00453B7C"/>
    <w:rsid w:val="004572CB"/>
    <w:rsid w:val="00457C8E"/>
    <w:rsid w:val="00460257"/>
    <w:rsid w:val="00460E37"/>
    <w:rsid w:val="004612FD"/>
    <w:rsid w:val="00461DEF"/>
    <w:rsid w:val="00461F7C"/>
    <w:rsid w:val="004625B6"/>
    <w:rsid w:val="0046495F"/>
    <w:rsid w:val="0046550D"/>
    <w:rsid w:val="00467216"/>
    <w:rsid w:val="004677FD"/>
    <w:rsid w:val="00467A8D"/>
    <w:rsid w:val="00470125"/>
    <w:rsid w:val="004708E7"/>
    <w:rsid w:val="004711F7"/>
    <w:rsid w:val="00471307"/>
    <w:rsid w:val="004714C6"/>
    <w:rsid w:val="00472D5D"/>
    <w:rsid w:val="00473577"/>
    <w:rsid w:val="00474BFF"/>
    <w:rsid w:val="00476077"/>
    <w:rsid w:val="00476B8F"/>
    <w:rsid w:val="00477B68"/>
    <w:rsid w:val="0048009A"/>
    <w:rsid w:val="004803D0"/>
    <w:rsid w:val="00481192"/>
    <w:rsid w:val="0048149B"/>
    <w:rsid w:val="0048263E"/>
    <w:rsid w:val="0048290E"/>
    <w:rsid w:val="0048456A"/>
    <w:rsid w:val="00484750"/>
    <w:rsid w:val="00485260"/>
    <w:rsid w:val="004854D6"/>
    <w:rsid w:val="004856CA"/>
    <w:rsid w:val="00486AB4"/>
    <w:rsid w:val="004877A2"/>
    <w:rsid w:val="00487A71"/>
    <w:rsid w:val="00487E67"/>
    <w:rsid w:val="00487FB3"/>
    <w:rsid w:val="00490219"/>
    <w:rsid w:val="00490DEF"/>
    <w:rsid w:val="00492B37"/>
    <w:rsid w:val="004938A2"/>
    <w:rsid w:val="0049470E"/>
    <w:rsid w:val="0049526C"/>
    <w:rsid w:val="00495326"/>
    <w:rsid w:val="00495CD6"/>
    <w:rsid w:val="0049705E"/>
    <w:rsid w:val="004A09A7"/>
    <w:rsid w:val="004A2875"/>
    <w:rsid w:val="004A3444"/>
    <w:rsid w:val="004A34A0"/>
    <w:rsid w:val="004A3CA8"/>
    <w:rsid w:val="004A4212"/>
    <w:rsid w:val="004A4299"/>
    <w:rsid w:val="004A5C0C"/>
    <w:rsid w:val="004A6462"/>
    <w:rsid w:val="004A6B2B"/>
    <w:rsid w:val="004A6C50"/>
    <w:rsid w:val="004A72D5"/>
    <w:rsid w:val="004A748B"/>
    <w:rsid w:val="004A7B4F"/>
    <w:rsid w:val="004A7DEE"/>
    <w:rsid w:val="004B2DD1"/>
    <w:rsid w:val="004B38EA"/>
    <w:rsid w:val="004B4ECB"/>
    <w:rsid w:val="004B5711"/>
    <w:rsid w:val="004B6C85"/>
    <w:rsid w:val="004B7C3F"/>
    <w:rsid w:val="004C1D6A"/>
    <w:rsid w:val="004C1FB2"/>
    <w:rsid w:val="004C3881"/>
    <w:rsid w:val="004C3927"/>
    <w:rsid w:val="004C3BB7"/>
    <w:rsid w:val="004C4312"/>
    <w:rsid w:val="004C44E1"/>
    <w:rsid w:val="004C46DC"/>
    <w:rsid w:val="004C5E61"/>
    <w:rsid w:val="004C63EA"/>
    <w:rsid w:val="004C65AA"/>
    <w:rsid w:val="004C6CE5"/>
    <w:rsid w:val="004C757D"/>
    <w:rsid w:val="004C7C82"/>
    <w:rsid w:val="004D0F18"/>
    <w:rsid w:val="004D1494"/>
    <w:rsid w:val="004D3148"/>
    <w:rsid w:val="004D50AE"/>
    <w:rsid w:val="004E02D8"/>
    <w:rsid w:val="004E154E"/>
    <w:rsid w:val="004E1671"/>
    <w:rsid w:val="004E2DFE"/>
    <w:rsid w:val="004E40C9"/>
    <w:rsid w:val="004E5E7D"/>
    <w:rsid w:val="004E6A48"/>
    <w:rsid w:val="004E76F3"/>
    <w:rsid w:val="004F0C4C"/>
    <w:rsid w:val="004F116C"/>
    <w:rsid w:val="004F28A5"/>
    <w:rsid w:val="004F305C"/>
    <w:rsid w:val="004F33D5"/>
    <w:rsid w:val="004F3C57"/>
    <w:rsid w:val="004F5051"/>
    <w:rsid w:val="004F6FCB"/>
    <w:rsid w:val="004F773A"/>
    <w:rsid w:val="00500327"/>
    <w:rsid w:val="005007AB"/>
    <w:rsid w:val="005008A8"/>
    <w:rsid w:val="00501B4D"/>
    <w:rsid w:val="00503FA9"/>
    <w:rsid w:val="00504500"/>
    <w:rsid w:val="00505293"/>
    <w:rsid w:val="00505343"/>
    <w:rsid w:val="005058AB"/>
    <w:rsid w:val="00507E76"/>
    <w:rsid w:val="005114C7"/>
    <w:rsid w:val="005126EC"/>
    <w:rsid w:val="00513121"/>
    <w:rsid w:val="005153D6"/>
    <w:rsid w:val="00515BC0"/>
    <w:rsid w:val="00517150"/>
    <w:rsid w:val="00517C49"/>
    <w:rsid w:val="00517FD8"/>
    <w:rsid w:val="00521477"/>
    <w:rsid w:val="0052373C"/>
    <w:rsid w:val="005241FA"/>
    <w:rsid w:val="00524645"/>
    <w:rsid w:val="00526B7B"/>
    <w:rsid w:val="00527508"/>
    <w:rsid w:val="005302DE"/>
    <w:rsid w:val="005308CE"/>
    <w:rsid w:val="00530CFF"/>
    <w:rsid w:val="00530F88"/>
    <w:rsid w:val="0053318C"/>
    <w:rsid w:val="00533B95"/>
    <w:rsid w:val="00534582"/>
    <w:rsid w:val="00534F8B"/>
    <w:rsid w:val="00535389"/>
    <w:rsid w:val="005358A2"/>
    <w:rsid w:val="0053609A"/>
    <w:rsid w:val="00536624"/>
    <w:rsid w:val="00536A2F"/>
    <w:rsid w:val="00540FF6"/>
    <w:rsid w:val="00542024"/>
    <w:rsid w:val="00542FD7"/>
    <w:rsid w:val="0054304E"/>
    <w:rsid w:val="00543F14"/>
    <w:rsid w:val="0054464D"/>
    <w:rsid w:val="00544EA6"/>
    <w:rsid w:val="00544F2F"/>
    <w:rsid w:val="00545554"/>
    <w:rsid w:val="00545A74"/>
    <w:rsid w:val="00545CAD"/>
    <w:rsid w:val="00546DFD"/>
    <w:rsid w:val="0054788F"/>
    <w:rsid w:val="00547DDA"/>
    <w:rsid w:val="0055038E"/>
    <w:rsid w:val="00551BE8"/>
    <w:rsid w:val="005524B1"/>
    <w:rsid w:val="005531DB"/>
    <w:rsid w:val="00554056"/>
    <w:rsid w:val="00555037"/>
    <w:rsid w:val="00556152"/>
    <w:rsid w:val="005567F4"/>
    <w:rsid w:val="00557FB6"/>
    <w:rsid w:val="00560B19"/>
    <w:rsid w:val="00561E39"/>
    <w:rsid w:val="00562038"/>
    <w:rsid w:val="00562762"/>
    <w:rsid w:val="005627FC"/>
    <w:rsid w:val="005637BC"/>
    <w:rsid w:val="005639AB"/>
    <w:rsid w:val="00563C59"/>
    <w:rsid w:val="00565062"/>
    <w:rsid w:val="005650B5"/>
    <w:rsid w:val="00565AAB"/>
    <w:rsid w:val="00566E7D"/>
    <w:rsid w:val="00567DA0"/>
    <w:rsid w:val="00570334"/>
    <w:rsid w:val="00571D18"/>
    <w:rsid w:val="00573336"/>
    <w:rsid w:val="005737BF"/>
    <w:rsid w:val="00573D9C"/>
    <w:rsid w:val="0057439C"/>
    <w:rsid w:val="00574E98"/>
    <w:rsid w:val="0057505E"/>
    <w:rsid w:val="005761F6"/>
    <w:rsid w:val="005776F3"/>
    <w:rsid w:val="005812F2"/>
    <w:rsid w:val="005816B6"/>
    <w:rsid w:val="00581AAD"/>
    <w:rsid w:val="00581BB9"/>
    <w:rsid w:val="00581E3C"/>
    <w:rsid w:val="00582507"/>
    <w:rsid w:val="005832D2"/>
    <w:rsid w:val="00583C92"/>
    <w:rsid w:val="00584480"/>
    <w:rsid w:val="0058527C"/>
    <w:rsid w:val="005871AE"/>
    <w:rsid w:val="005875F8"/>
    <w:rsid w:val="00587DDD"/>
    <w:rsid w:val="005908EF"/>
    <w:rsid w:val="00590993"/>
    <w:rsid w:val="00590AAD"/>
    <w:rsid w:val="00590B74"/>
    <w:rsid w:val="005914DA"/>
    <w:rsid w:val="0059183F"/>
    <w:rsid w:val="00591B8C"/>
    <w:rsid w:val="00592A2C"/>
    <w:rsid w:val="00592CA4"/>
    <w:rsid w:val="0059380B"/>
    <w:rsid w:val="00594519"/>
    <w:rsid w:val="0059489A"/>
    <w:rsid w:val="00594D33"/>
    <w:rsid w:val="0059514F"/>
    <w:rsid w:val="00595291"/>
    <w:rsid w:val="00595B1C"/>
    <w:rsid w:val="00596D39"/>
    <w:rsid w:val="00597808"/>
    <w:rsid w:val="005A0A0A"/>
    <w:rsid w:val="005A26DE"/>
    <w:rsid w:val="005A3397"/>
    <w:rsid w:val="005A3C88"/>
    <w:rsid w:val="005A4064"/>
    <w:rsid w:val="005A407B"/>
    <w:rsid w:val="005A6720"/>
    <w:rsid w:val="005B0127"/>
    <w:rsid w:val="005B1487"/>
    <w:rsid w:val="005B3743"/>
    <w:rsid w:val="005B44D3"/>
    <w:rsid w:val="005B506F"/>
    <w:rsid w:val="005B71E3"/>
    <w:rsid w:val="005B7A35"/>
    <w:rsid w:val="005C0094"/>
    <w:rsid w:val="005C0BB3"/>
    <w:rsid w:val="005C0D9C"/>
    <w:rsid w:val="005C1F37"/>
    <w:rsid w:val="005C200E"/>
    <w:rsid w:val="005C2249"/>
    <w:rsid w:val="005C3150"/>
    <w:rsid w:val="005C4B73"/>
    <w:rsid w:val="005C5E78"/>
    <w:rsid w:val="005C638C"/>
    <w:rsid w:val="005C73B3"/>
    <w:rsid w:val="005C7415"/>
    <w:rsid w:val="005C7EC6"/>
    <w:rsid w:val="005D02C9"/>
    <w:rsid w:val="005D09A0"/>
    <w:rsid w:val="005D0C1C"/>
    <w:rsid w:val="005D105B"/>
    <w:rsid w:val="005D12FB"/>
    <w:rsid w:val="005D3B4A"/>
    <w:rsid w:val="005D49E3"/>
    <w:rsid w:val="005D546C"/>
    <w:rsid w:val="005D5B58"/>
    <w:rsid w:val="005E05A6"/>
    <w:rsid w:val="005E0B0E"/>
    <w:rsid w:val="005E18E4"/>
    <w:rsid w:val="005E1D2B"/>
    <w:rsid w:val="005E1EFC"/>
    <w:rsid w:val="005E3042"/>
    <w:rsid w:val="005E3D6D"/>
    <w:rsid w:val="005E7074"/>
    <w:rsid w:val="005E7D02"/>
    <w:rsid w:val="005F0E8E"/>
    <w:rsid w:val="005F1073"/>
    <w:rsid w:val="005F1639"/>
    <w:rsid w:val="005F16C3"/>
    <w:rsid w:val="005F23EF"/>
    <w:rsid w:val="005F2723"/>
    <w:rsid w:val="005F2BAF"/>
    <w:rsid w:val="005F3E55"/>
    <w:rsid w:val="005F6C57"/>
    <w:rsid w:val="005F6F98"/>
    <w:rsid w:val="005F79DA"/>
    <w:rsid w:val="00600D93"/>
    <w:rsid w:val="00601801"/>
    <w:rsid w:val="006020AD"/>
    <w:rsid w:val="00603267"/>
    <w:rsid w:val="00606E44"/>
    <w:rsid w:val="00611639"/>
    <w:rsid w:val="006123F3"/>
    <w:rsid w:val="006134C8"/>
    <w:rsid w:val="00614319"/>
    <w:rsid w:val="0061494E"/>
    <w:rsid w:val="006157C5"/>
    <w:rsid w:val="006164C4"/>
    <w:rsid w:val="00617A1E"/>
    <w:rsid w:val="00621CBD"/>
    <w:rsid w:val="00621F57"/>
    <w:rsid w:val="00623573"/>
    <w:rsid w:val="00623BC2"/>
    <w:rsid w:val="00625097"/>
    <w:rsid w:val="00626BEA"/>
    <w:rsid w:val="00627E34"/>
    <w:rsid w:val="00632721"/>
    <w:rsid w:val="006329D2"/>
    <w:rsid w:val="0063300C"/>
    <w:rsid w:val="0063324B"/>
    <w:rsid w:val="006339E0"/>
    <w:rsid w:val="00634471"/>
    <w:rsid w:val="00634FDA"/>
    <w:rsid w:val="0063555F"/>
    <w:rsid w:val="00637FCD"/>
    <w:rsid w:val="00640084"/>
    <w:rsid w:val="00643866"/>
    <w:rsid w:val="00644644"/>
    <w:rsid w:val="00650FD3"/>
    <w:rsid w:val="00651A5B"/>
    <w:rsid w:val="006525BA"/>
    <w:rsid w:val="00652698"/>
    <w:rsid w:val="0065280B"/>
    <w:rsid w:val="00653BF3"/>
    <w:rsid w:val="006544DE"/>
    <w:rsid w:val="00654886"/>
    <w:rsid w:val="00655736"/>
    <w:rsid w:val="00656243"/>
    <w:rsid w:val="0065769A"/>
    <w:rsid w:val="006577F4"/>
    <w:rsid w:val="00657BC6"/>
    <w:rsid w:val="00660102"/>
    <w:rsid w:val="00660BAB"/>
    <w:rsid w:val="0066159F"/>
    <w:rsid w:val="006615F3"/>
    <w:rsid w:val="006623E4"/>
    <w:rsid w:val="00662519"/>
    <w:rsid w:val="00662AAD"/>
    <w:rsid w:val="00663B8D"/>
    <w:rsid w:val="006640EF"/>
    <w:rsid w:val="00664B42"/>
    <w:rsid w:val="00664C3B"/>
    <w:rsid w:val="0066520A"/>
    <w:rsid w:val="0067087A"/>
    <w:rsid w:val="00670B87"/>
    <w:rsid w:val="00671D1F"/>
    <w:rsid w:val="0067218F"/>
    <w:rsid w:val="00672407"/>
    <w:rsid w:val="00674F26"/>
    <w:rsid w:val="00680058"/>
    <w:rsid w:val="006814DD"/>
    <w:rsid w:val="006837E1"/>
    <w:rsid w:val="00683EEF"/>
    <w:rsid w:val="00687261"/>
    <w:rsid w:val="0069120B"/>
    <w:rsid w:val="00691F57"/>
    <w:rsid w:val="0069289F"/>
    <w:rsid w:val="006929AC"/>
    <w:rsid w:val="006931FA"/>
    <w:rsid w:val="0069396B"/>
    <w:rsid w:val="00694CDA"/>
    <w:rsid w:val="00695808"/>
    <w:rsid w:val="00695A06"/>
    <w:rsid w:val="00695C8C"/>
    <w:rsid w:val="00696604"/>
    <w:rsid w:val="00696C8D"/>
    <w:rsid w:val="00697891"/>
    <w:rsid w:val="00697BC5"/>
    <w:rsid w:val="006A031E"/>
    <w:rsid w:val="006A1BC9"/>
    <w:rsid w:val="006A296F"/>
    <w:rsid w:val="006A2AC2"/>
    <w:rsid w:val="006A3196"/>
    <w:rsid w:val="006A3617"/>
    <w:rsid w:val="006A48AB"/>
    <w:rsid w:val="006A4B70"/>
    <w:rsid w:val="006A4CAA"/>
    <w:rsid w:val="006B0D97"/>
    <w:rsid w:val="006B0E89"/>
    <w:rsid w:val="006B428F"/>
    <w:rsid w:val="006B4452"/>
    <w:rsid w:val="006B4966"/>
    <w:rsid w:val="006B5D77"/>
    <w:rsid w:val="006B6587"/>
    <w:rsid w:val="006B7C58"/>
    <w:rsid w:val="006C0253"/>
    <w:rsid w:val="006C0942"/>
    <w:rsid w:val="006C0C64"/>
    <w:rsid w:val="006C2B52"/>
    <w:rsid w:val="006C2DBF"/>
    <w:rsid w:val="006C3C1E"/>
    <w:rsid w:val="006C4C16"/>
    <w:rsid w:val="006C5484"/>
    <w:rsid w:val="006C588D"/>
    <w:rsid w:val="006C7393"/>
    <w:rsid w:val="006D0A3B"/>
    <w:rsid w:val="006D175F"/>
    <w:rsid w:val="006D326A"/>
    <w:rsid w:val="006D430D"/>
    <w:rsid w:val="006D4435"/>
    <w:rsid w:val="006D4E33"/>
    <w:rsid w:val="006D4F94"/>
    <w:rsid w:val="006E082F"/>
    <w:rsid w:val="006E0EA2"/>
    <w:rsid w:val="006E0F5C"/>
    <w:rsid w:val="006E16AD"/>
    <w:rsid w:val="006E3201"/>
    <w:rsid w:val="006E34BF"/>
    <w:rsid w:val="006E46E4"/>
    <w:rsid w:val="006E4B92"/>
    <w:rsid w:val="006E505B"/>
    <w:rsid w:val="006E56D8"/>
    <w:rsid w:val="006E5C60"/>
    <w:rsid w:val="006E5CDB"/>
    <w:rsid w:val="006E65B4"/>
    <w:rsid w:val="006E6826"/>
    <w:rsid w:val="006E7081"/>
    <w:rsid w:val="006E7394"/>
    <w:rsid w:val="006E75EB"/>
    <w:rsid w:val="006E787F"/>
    <w:rsid w:val="006F04F6"/>
    <w:rsid w:val="006F0DAD"/>
    <w:rsid w:val="006F19C1"/>
    <w:rsid w:val="006F34B9"/>
    <w:rsid w:val="006F4127"/>
    <w:rsid w:val="006F4A0A"/>
    <w:rsid w:val="006F4E06"/>
    <w:rsid w:val="006F5AD5"/>
    <w:rsid w:val="006F62E0"/>
    <w:rsid w:val="006F6405"/>
    <w:rsid w:val="006F6698"/>
    <w:rsid w:val="006F6FDE"/>
    <w:rsid w:val="006F7161"/>
    <w:rsid w:val="006F7511"/>
    <w:rsid w:val="00701F62"/>
    <w:rsid w:val="00701FD6"/>
    <w:rsid w:val="00703552"/>
    <w:rsid w:val="007046FA"/>
    <w:rsid w:val="00705E3C"/>
    <w:rsid w:val="00705E4C"/>
    <w:rsid w:val="007065A3"/>
    <w:rsid w:val="00707493"/>
    <w:rsid w:val="007076DD"/>
    <w:rsid w:val="0071058F"/>
    <w:rsid w:val="00710A4F"/>
    <w:rsid w:val="00711271"/>
    <w:rsid w:val="007119ED"/>
    <w:rsid w:val="00711C32"/>
    <w:rsid w:val="00712533"/>
    <w:rsid w:val="007128C7"/>
    <w:rsid w:val="00712DAD"/>
    <w:rsid w:val="0071338B"/>
    <w:rsid w:val="007137FC"/>
    <w:rsid w:val="00714BF7"/>
    <w:rsid w:val="0071547D"/>
    <w:rsid w:val="007156FE"/>
    <w:rsid w:val="00715A48"/>
    <w:rsid w:val="00715E7D"/>
    <w:rsid w:val="00717AF3"/>
    <w:rsid w:val="00717DA5"/>
    <w:rsid w:val="00722500"/>
    <w:rsid w:val="00724D36"/>
    <w:rsid w:val="007263C2"/>
    <w:rsid w:val="00731280"/>
    <w:rsid w:val="00733026"/>
    <w:rsid w:val="00733B11"/>
    <w:rsid w:val="007344B9"/>
    <w:rsid w:val="007351F5"/>
    <w:rsid w:val="007369FE"/>
    <w:rsid w:val="0074043A"/>
    <w:rsid w:val="00743CA8"/>
    <w:rsid w:val="00744357"/>
    <w:rsid w:val="00744484"/>
    <w:rsid w:val="00744B1B"/>
    <w:rsid w:val="007450CD"/>
    <w:rsid w:val="00746ECC"/>
    <w:rsid w:val="00746FF4"/>
    <w:rsid w:val="00747566"/>
    <w:rsid w:val="00747695"/>
    <w:rsid w:val="00751B8F"/>
    <w:rsid w:val="00753C38"/>
    <w:rsid w:val="007555D6"/>
    <w:rsid w:val="0075719B"/>
    <w:rsid w:val="00762D55"/>
    <w:rsid w:val="007634E2"/>
    <w:rsid w:val="00763667"/>
    <w:rsid w:val="00764307"/>
    <w:rsid w:val="007643F7"/>
    <w:rsid w:val="007654F3"/>
    <w:rsid w:val="007670A1"/>
    <w:rsid w:val="00767DE1"/>
    <w:rsid w:val="00767F02"/>
    <w:rsid w:val="00771E87"/>
    <w:rsid w:val="007729F8"/>
    <w:rsid w:val="00773188"/>
    <w:rsid w:val="00773668"/>
    <w:rsid w:val="0077494D"/>
    <w:rsid w:val="0077539C"/>
    <w:rsid w:val="00775B22"/>
    <w:rsid w:val="00776F5D"/>
    <w:rsid w:val="00777581"/>
    <w:rsid w:val="00781B3E"/>
    <w:rsid w:val="007828D0"/>
    <w:rsid w:val="00783212"/>
    <w:rsid w:val="00783782"/>
    <w:rsid w:val="00783FFE"/>
    <w:rsid w:val="00784B8C"/>
    <w:rsid w:val="00784E6B"/>
    <w:rsid w:val="00785D5C"/>
    <w:rsid w:val="00785E7E"/>
    <w:rsid w:val="0078733F"/>
    <w:rsid w:val="007879E1"/>
    <w:rsid w:val="00787EC2"/>
    <w:rsid w:val="007908BE"/>
    <w:rsid w:val="007934F3"/>
    <w:rsid w:val="0079595F"/>
    <w:rsid w:val="00795CF0"/>
    <w:rsid w:val="00797772"/>
    <w:rsid w:val="007A022A"/>
    <w:rsid w:val="007A08A9"/>
    <w:rsid w:val="007A0EBC"/>
    <w:rsid w:val="007A2C04"/>
    <w:rsid w:val="007A2C99"/>
    <w:rsid w:val="007A4324"/>
    <w:rsid w:val="007A4FDB"/>
    <w:rsid w:val="007A5212"/>
    <w:rsid w:val="007A556B"/>
    <w:rsid w:val="007A63E0"/>
    <w:rsid w:val="007B046F"/>
    <w:rsid w:val="007B0C85"/>
    <w:rsid w:val="007B21B2"/>
    <w:rsid w:val="007B2B8D"/>
    <w:rsid w:val="007B3049"/>
    <w:rsid w:val="007B328F"/>
    <w:rsid w:val="007B38BE"/>
    <w:rsid w:val="007B3E03"/>
    <w:rsid w:val="007B40D6"/>
    <w:rsid w:val="007B46E5"/>
    <w:rsid w:val="007B7945"/>
    <w:rsid w:val="007B7AEC"/>
    <w:rsid w:val="007B7CC1"/>
    <w:rsid w:val="007C095B"/>
    <w:rsid w:val="007C29B9"/>
    <w:rsid w:val="007C3058"/>
    <w:rsid w:val="007C79FF"/>
    <w:rsid w:val="007C7AAA"/>
    <w:rsid w:val="007D0000"/>
    <w:rsid w:val="007D0814"/>
    <w:rsid w:val="007D0CAC"/>
    <w:rsid w:val="007D1146"/>
    <w:rsid w:val="007D27E3"/>
    <w:rsid w:val="007D477C"/>
    <w:rsid w:val="007D5073"/>
    <w:rsid w:val="007D57BC"/>
    <w:rsid w:val="007D76F9"/>
    <w:rsid w:val="007D7E2D"/>
    <w:rsid w:val="007E023E"/>
    <w:rsid w:val="007E02CE"/>
    <w:rsid w:val="007E3DBD"/>
    <w:rsid w:val="007E4826"/>
    <w:rsid w:val="007E496F"/>
    <w:rsid w:val="007E4C3A"/>
    <w:rsid w:val="007E4C75"/>
    <w:rsid w:val="007E5410"/>
    <w:rsid w:val="007E5873"/>
    <w:rsid w:val="007E5893"/>
    <w:rsid w:val="007E6623"/>
    <w:rsid w:val="007E6EB4"/>
    <w:rsid w:val="007E7285"/>
    <w:rsid w:val="007E7886"/>
    <w:rsid w:val="007F0148"/>
    <w:rsid w:val="007F0151"/>
    <w:rsid w:val="007F041D"/>
    <w:rsid w:val="007F106A"/>
    <w:rsid w:val="007F1E46"/>
    <w:rsid w:val="007F2165"/>
    <w:rsid w:val="007F21EC"/>
    <w:rsid w:val="007F3674"/>
    <w:rsid w:val="007F3BF1"/>
    <w:rsid w:val="0080166A"/>
    <w:rsid w:val="0080176F"/>
    <w:rsid w:val="0080314B"/>
    <w:rsid w:val="00803291"/>
    <w:rsid w:val="00803A38"/>
    <w:rsid w:val="00803AC6"/>
    <w:rsid w:val="00803F16"/>
    <w:rsid w:val="008058F4"/>
    <w:rsid w:val="00805945"/>
    <w:rsid w:val="00805C68"/>
    <w:rsid w:val="00805FF1"/>
    <w:rsid w:val="008061A3"/>
    <w:rsid w:val="00806647"/>
    <w:rsid w:val="008077C9"/>
    <w:rsid w:val="008117BF"/>
    <w:rsid w:val="0081239E"/>
    <w:rsid w:val="00812767"/>
    <w:rsid w:val="00813354"/>
    <w:rsid w:val="00813357"/>
    <w:rsid w:val="0081345F"/>
    <w:rsid w:val="00813E6D"/>
    <w:rsid w:val="008173E2"/>
    <w:rsid w:val="008174CA"/>
    <w:rsid w:val="00817DC5"/>
    <w:rsid w:val="008205D1"/>
    <w:rsid w:val="00823263"/>
    <w:rsid w:val="00823494"/>
    <w:rsid w:val="00823576"/>
    <w:rsid w:val="00823A11"/>
    <w:rsid w:val="008252BA"/>
    <w:rsid w:val="00826CE3"/>
    <w:rsid w:val="008307B8"/>
    <w:rsid w:val="008317BA"/>
    <w:rsid w:val="0083254A"/>
    <w:rsid w:val="00833015"/>
    <w:rsid w:val="008350F5"/>
    <w:rsid w:val="0083567A"/>
    <w:rsid w:val="00835991"/>
    <w:rsid w:val="00835C52"/>
    <w:rsid w:val="00835FBE"/>
    <w:rsid w:val="00843020"/>
    <w:rsid w:val="00843296"/>
    <w:rsid w:val="00843B7A"/>
    <w:rsid w:val="00843FC8"/>
    <w:rsid w:val="00844832"/>
    <w:rsid w:val="00844B17"/>
    <w:rsid w:val="008461E1"/>
    <w:rsid w:val="00847423"/>
    <w:rsid w:val="00850064"/>
    <w:rsid w:val="008508EB"/>
    <w:rsid w:val="0085112E"/>
    <w:rsid w:val="00851234"/>
    <w:rsid w:val="00852724"/>
    <w:rsid w:val="0085307C"/>
    <w:rsid w:val="00853B84"/>
    <w:rsid w:val="0085405E"/>
    <w:rsid w:val="0085414A"/>
    <w:rsid w:val="00855677"/>
    <w:rsid w:val="008559D7"/>
    <w:rsid w:val="00855B3E"/>
    <w:rsid w:val="00855ED2"/>
    <w:rsid w:val="00856023"/>
    <w:rsid w:val="0085697A"/>
    <w:rsid w:val="00856A95"/>
    <w:rsid w:val="00857CE4"/>
    <w:rsid w:val="00857EB9"/>
    <w:rsid w:val="008607EE"/>
    <w:rsid w:val="0086093B"/>
    <w:rsid w:val="00861984"/>
    <w:rsid w:val="0086269D"/>
    <w:rsid w:val="008635D8"/>
    <w:rsid w:val="008643AF"/>
    <w:rsid w:val="0086543A"/>
    <w:rsid w:val="0086613B"/>
    <w:rsid w:val="00867957"/>
    <w:rsid w:val="00870F8A"/>
    <w:rsid w:val="0087234E"/>
    <w:rsid w:val="008724E5"/>
    <w:rsid w:val="00872579"/>
    <w:rsid w:val="0087361D"/>
    <w:rsid w:val="0087416A"/>
    <w:rsid w:val="00874CD6"/>
    <w:rsid w:val="00876F3C"/>
    <w:rsid w:val="00877C27"/>
    <w:rsid w:val="008819A8"/>
    <w:rsid w:val="00884A9D"/>
    <w:rsid w:val="0088500E"/>
    <w:rsid w:val="0088512B"/>
    <w:rsid w:val="00885CB0"/>
    <w:rsid w:val="00887ABD"/>
    <w:rsid w:val="00892793"/>
    <w:rsid w:val="008928AE"/>
    <w:rsid w:val="008947AF"/>
    <w:rsid w:val="00894D91"/>
    <w:rsid w:val="00896140"/>
    <w:rsid w:val="008966E5"/>
    <w:rsid w:val="0089675D"/>
    <w:rsid w:val="008A014D"/>
    <w:rsid w:val="008A0BB4"/>
    <w:rsid w:val="008A212E"/>
    <w:rsid w:val="008A2569"/>
    <w:rsid w:val="008A2B2D"/>
    <w:rsid w:val="008A2D96"/>
    <w:rsid w:val="008A3DE8"/>
    <w:rsid w:val="008A4111"/>
    <w:rsid w:val="008A48F6"/>
    <w:rsid w:val="008A4E1E"/>
    <w:rsid w:val="008A743D"/>
    <w:rsid w:val="008A758C"/>
    <w:rsid w:val="008A7CC2"/>
    <w:rsid w:val="008B077F"/>
    <w:rsid w:val="008B088A"/>
    <w:rsid w:val="008B15D1"/>
    <w:rsid w:val="008B30EE"/>
    <w:rsid w:val="008B4634"/>
    <w:rsid w:val="008B4887"/>
    <w:rsid w:val="008B526C"/>
    <w:rsid w:val="008B5BC0"/>
    <w:rsid w:val="008B7827"/>
    <w:rsid w:val="008C01DE"/>
    <w:rsid w:val="008C0426"/>
    <w:rsid w:val="008C110B"/>
    <w:rsid w:val="008C11BE"/>
    <w:rsid w:val="008C1919"/>
    <w:rsid w:val="008C195F"/>
    <w:rsid w:val="008C1D14"/>
    <w:rsid w:val="008C23B4"/>
    <w:rsid w:val="008C296C"/>
    <w:rsid w:val="008C7023"/>
    <w:rsid w:val="008C730D"/>
    <w:rsid w:val="008C7FBD"/>
    <w:rsid w:val="008D041C"/>
    <w:rsid w:val="008D4305"/>
    <w:rsid w:val="008D4716"/>
    <w:rsid w:val="008D6B45"/>
    <w:rsid w:val="008D6CDF"/>
    <w:rsid w:val="008D6D15"/>
    <w:rsid w:val="008E0426"/>
    <w:rsid w:val="008E0B6E"/>
    <w:rsid w:val="008E0DE3"/>
    <w:rsid w:val="008E1A85"/>
    <w:rsid w:val="008E2C69"/>
    <w:rsid w:val="008E2FCC"/>
    <w:rsid w:val="008E3C87"/>
    <w:rsid w:val="008E4473"/>
    <w:rsid w:val="008E63B7"/>
    <w:rsid w:val="008E7F5A"/>
    <w:rsid w:val="008F089E"/>
    <w:rsid w:val="008F0FE3"/>
    <w:rsid w:val="008F1A9A"/>
    <w:rsid w:val="008F34A4"/>
    <w:rsid w:val="008F4DB5"/>
    <w:rsid w:val="008F4E3F"/>
    <w:rsid w:val="008F5AC1"/>
    <w:rsid w:val="008F6602"/>
    <w:rsid w:val="008F7252"/>
    <w:rsid w:val="00900529"/>
    <w:rsid w:val="00900866"/>
    <w:rsid w:val="009012EB"/>
    <w:rsid w:val="00901915"/>
    <w:rsid w:val="009033F8"/>
    <w:rsid w:val="00903C78"/>
    <w:rsid w:val="009052B7"/>
    <w:rsid w:val="00906837"/>
    <w:rsid w:val="009105EA"/>
    <w:rsid w:val="00913925"/>
    <w:rsid w:val="00914DFF"/>
    <w:rsid w:val="0091504A"/>
    <w:rsid w:val="009150FF"/>
    <w:rsid w:val="00915702"/>
    <w:rsid w:val="009163A7"/>
    <w:rsid w:val="009176CD"/>
    <w:rsid w:val="0092119C"/>
    <w:rsid w:val="0092121B"/>
    <w:rsid w:val="0092183B"/>
    <w:rsid w:val="00922514"/>
    <w:rsid w:val="009228CD"/>
    <w:rsid w:val="00922E0D"/>
    <w:rsid w:val="009240EB"/>
    <w:rsid w:val="00924412"/>
    <w:rsid w:val="009255B1"/>
    <w:rsid w:val="0092574B"/>
    <w:rsid w:val="00926291"/>
    <w:rsid w:val="00931650"/>
    <w:rsid w:val="00933C47"/>
    <w:rsid w:val="00933C8B"/>
    <w:rsid w:val="009351BF"/>
    <w:rsid w:val="00940E64"/>
    <w:rsid w:val="00940F93"/>
    <w:rsid w:val="00941812"/>
    <w:rsid w:val="00942FE1"/>
    <w:rsid w:val="00944A1D"/>
    <w:rsid w:val="0094500F"/>
    <w:rsid w:val="0094542A"/>
    <w:rsid w:val="00945BF2"/>
    <w:rsid w:val="00946D0B"/>
    <w:rsid w:val="00946F5B"/>
    <w:rsid w:val="00951FA6"/>
    <w:rsid w:val="009526F0"/>
    <w:rsid w:val="009534DB"/>
    <w:rsid w:val="009535D5"/>
    <w:rsid w:val="00953A90"/>
    <w:rsid w:val="00954B1E"/>
    <w:rsid w:val="00955877"/>
    <w:rsid w:val="009560DF"/>
    <w:rsid w:val="0095691C"/>
    <w:rsid w:val="00956B26"/>
    <w:rsid w:val="00956BBF"/>
    <w:rsid w:val="00961F12"/>
    <w:rsid w:val="00967C31"/>
    <w:rsid w:val="00967DE2"/>
    <w:rsid w:val="00967F6E"/>
    <w:rsid w:val="0097199A"/>
    <w:rsid w:val="0097323C"/>
    <w:rsid w:val="0097335F"/>
    <w:rsid w:val="00973615"/>
    <w:rsid w:val="00973DFD"/>
    <w:rsid w:val="009744CB"/>
    <w:rsid w:val="009748CA"/>
    <w:rsid w:val="00980432"/>
    <w:rsid w:val="00980710"/>
    <w:rsid w:val="009818AA"/>
    <w:rsid w:val="00984D25"/>
    <w:rsid w:val="00985C7E"/>
    <w:rsid w:val="009865FD"/>
    <w:rsid w:val="009866DA"/>
    <w:rsid w:val="0098705A"/>
    <w:rsid w:val="00987AC6"/>
    <w:rsid w:val="009912EF"/>
    <w:rsid w:val="00991F86"/>
    <w:rsid w:val="00992723"/>
    <w:rsid w:val="0099369D"/>
    <w:rsid w:val="009945DC"/>
    <w:rsid w:val="00994CA3"/>
    <w:rsid w:val="0099520B"/>
    <w:rsid w:val="00996135"/>
    <w:rsid w:val="00997700"/>
    <w:rsid w:val="009A0002"/>
    <w:rsid w:val="009A18CD"/>
    <w:rsid w:val="009A2260"/>
    <w:rsid w:val="009A57DA"/>
    <w:rsid w:val="009A619E"/>
    <w:rsid w:val="009A6CA3"/>
    <w:rsid w:val="009A6CC3"/>
    <w:rsid w:val="009A723F"/>
    <w:rsid w:val="009A7726"/>
    <w:rsid w:val="009B0670"/>
    <w:rsid w:val="009B106A"/>
    <w:rsid w:val="009B11FA"/>
    <w:rsid w:val="009B1765"/>
    <w:rsid w:val="009B3F8E"/>
    <w:rsid w:val="009B4533"/>
    <w:rsid w:val="009B4E83"/>
    <w:rsid w:val="009B64D7"/>
    <w:rsid w:val="009B6AFF"/>
    <w:rsid w:val="009B6BBC"/>
    <w:rsid w:val="009B6E06"/>
    <w:rsid w:val="009B6F7D"/>
    <w:rsid w:val="009C0B87"/>
    <w:rsid w:val="009C284B"/>
    <w:rsid w:val="009C2873"/>
    <w:rsid w:val="009C4507"/>
    <w:rsid w:val="009C4722"/>
    <w:rsid w:val="009C6216"/>
    <w:rsid w:val="009C70FD"/>
    <w:rsid w:val="009D1911"/>
    <w:rsid w:val="009D1C97"/>
    <w:rsid w:val="009D330D"/>
    <w:rsid w:val="009D3406"/>
    <w:rsid w:val="009D49F9"/>
    <w:rsid w:val="009D5428"/>
    <w:rsid w:val="009D69C3"/>
    <w:rsid w:val="009E1CCA"/>
    <w:rsid w:val="009E4491"/>
    <w:rsid w:val="009E5329"/>
    <w:rsid w:val="009E56E5"/>
    <w:rsid w:val="009E5A93"/>
    <w:rsid w:val="009E5FB6"/>
    <w:rsid w:val="009F059E"/>
    <w:rsid w:val="009F1296"/>
    <w:rsid w:val="009F4544"/>
    <w:rsid w:val="009F4ACD"/>
    <w:rsid w:val="009F4DD5"/>
    <w:rsid w:val="009F7954"/>
    <w:rsid w:val="009F7AA3"/>
    <w:rsid w:val="00A00324"/>
    <w:rsid w:val="00A005CA"/>
    <w:rsid w:val="00A00D88"/>
    <w:rsid w:val="00A013A8"/>
    <w:rsid w:val="00A02827"/>
    <w:rsid w:val="00A02ED7"/>
    <w:rsid w:val="00A02FAC"/>
    <w:rsid w:val="00A03370"/>
    <w:rsid w:val="00A037A8"/>
    <w:rsid w:val="00A03BF8"/>
    <w:rsid w:val="00A06C1B"/>
    <w:rsid w:val="00A0755E"/>
    <w:rsid w:val="00A102CB"/>
    <w:rsid w:val="00A1152B"/>
    <w:rsid w:val="00A12558"/>
    <w:rsid w:val="00A1259D"/>
    <w:rsid w:val="00A128F0"/>
    <w:rsid w:val="00A13340"/>
    <w:rsid w:val="00A13903"/>
    <w:rsid w:val="00A13B8E"/>
    <w:rsid w:val="00A155F6"/>
    <w:rsid w:val="00A15B84"/>
    <w:rsid w:val="00A2169D"/>
    <w:rsid w:val="00A22AE5"/>
    <w:rsid w:val="00A23645"/>
    <w:rsid w:val="00A24A3B"/>
    <w:rsid w:val="00A24FFA"/>
    <w:rsid w:val="00A25466"/>
    <w:rsid w:val="00A26AAF"/>
    <w:rsid w:val="00A302F0"/>
    <w:rsid w:val="00A30425"/>
    <w:rsid w:val="00A30517"/>
    <w:rsid w:val="00A30C56"/>
    <w:rsid w:val="00A30F2B"/>
    <w:rsid w:val="00A317EC"/>
    <w:rsid w:val="00A34ED5"/>
    <w:rsid w:val="00A35661"/>
    <w:rsid w:val="00A36821"/>
    <w:rsid w:val="00A40497"/>
    <w:rsid w:val="00A418D0"/>
    <w:rsid w:val="00A4352F"/>
    <w:rsid w:val="00A43A29"/>
    <w:rsid w:val="00A440E2"/>
    <w:rsid w:val="00A446AC"/>
    <w:rsid w:val="00A446E0"/>
    <w:rsid w:val="00A44B92"/>
    <w:rsid w:val="00A44C64"/>
    <w:rsid w:val="00A454DC"/>
    <w:rsid w:val="00A45DBF"/>
    <w:rsid w:val="00A46453"/>
    <w:rsid w:val="00A52423"/>
    <w:rsid w:val="00A539A7"/>
    <w:rsid w:val="00A600B8"/>
    <w:rsid w:val="00A60593"/>
    <w:rsid w:val="00A60A96"/>
    <w:rsid w:val="00A60DCA"/>
    <w:rsid w:val="00A61327"/>
    <w:rsid w:val="00A61840"/>
    <w:rsid w:val="00A62DA8"/>
    <w:rsid w:val="00A62F5B"/>
    <w:rsid w:val="00A6509E"/>
    <w:rsid w:val="00A66C82"/>
    <w:rsid w:val="00A66F7E"/>
    <w:rsid w:val="00A67574"/>
    <w:rsid w:val="00A67CBD"/>
    <w:rsid w:val="00A71BEF"/>
    <w:rsid w:val="00A725CF"/>
    <w:rsid w:val="00A74181"/>
    <w:rsid w:val="00A755A2"/>
    <w:rsid w:val="00A7584C"/>
    <w:rsid w:val="00A768EA"/>
    <w:rsid w:val="00A77A3E"/>
    <w:rsid w:val="00A77D3C"/>
    <w:rsid w:val="00A8060C"/>
    <w:rsid w:val="00A81143"/>
    <w:rsid w:val="00A833CB"/>
    <w:rsid w:val="00A83B68"/>
    <w:rsid w:val="00A857CF"/>
    <w:rsid w:val="00A86C41"/>
    <w:rsid w:val="00A871AC"/>
    <w:rsid w:val="00A87635"/>
    <w:rsid w:val="00A90E5D"/>
    <w:rsid w:val="00A90F2F"/>
    <w:rsid w:val="00A92CC7"/>
    <w:rsid w:val="00A95B70"/>
    <w:rsid w:val="00A975F6"/>
    <w:rsid w:val="00AA13CE"/>
    <w:rsid w:val="00AA194A"/>
    <w:rsid w:val="00AA2641"/>
    <w:rsid w:val="00AA29D5"/>
    <w:rsid w:val="00AA2F44"/>
    <w:rsid w:val="00AA4125"/>
    <w:rsid w:val="00AA47CB"/>
    <w:rsid w:val="00AA6174"/>
    <w:rsid w:val="00AA6660"/>
    <w:rsid w:val="00AA6792"/>
    <w:rsid w:val="00AA6F56"/>
    <w:rsid w:val="00AA755A"/>
    <w:rsid w:val="00AB2C36"/>
    <w:rsid w:val="00AB40FB"/>
    <w:rsid w:val="00AB4250"/>
    <w:rsid w:val="00AB498E"/>
    <w:rsid w:val="00AB4CEB"/>
    <w:rsid w:val="00AB6DDE"/>
    <w:rsid w:val="00AB70B6"/>
    <w:rsid w:val="00AB7F9D"/>
    <w:rsid w:val="00AC0591"/>
    <w:rsid w:val="00AC2B58"/>
    <w:rsid w:val="00AC34E3"/>
    <w:rsid w:val="00AC3971"/>
    <w:rsid w:val="00AC3B29"/>
    <w:rsid w:val="00AC3DE5"/>
    <w:rsid w:val="00AC4AB8"/>
    <w:rsid w:val="00AC65EA"/>
    <w:rsid w:val="00AC6C0F"/>
    <w:rsid w:val="00AC7BD0"/>
    <w:rsid w:val="00AD121F"/>
    <w:rsid w:val="00AD1A86"/>
    <w:rsid w:val="00AD334E"/>
    <w:rsid w:val="00AD38A3"/>
    <w:rsid w:val="00AD3F47"/>
    <w:rsid w:val="00AD4CD7"/>
    <w:rsid w:val="00AD4EBA"/>
    <w:rsid w:val="00AD4FF3"/>
    <w:rsid w:val="00AD546F"/>
    <w:rsid w:val="00AD6BB9"/>
    <w:rsid w:val="00AD72A9"/>
    <w:rsid w:val="00AE103E"/>
    <w:rsid w:val="00AE2505"/>
    <w:rsid w:val="00AE385C"/>
    <w:rsid w:val="00AE4AA1"/>
    <w:rsid w:val="00AE4D5D"/>
    <w:rsid w:val="00AF02FC"/>
    <w:rsid w:val="00AF04A8"/>
    <w:rsid w:val="00AF0A07"/>
    <w:rsid w:val="00AF2459"/>
    <w:rsid w:val="00AF25E6"/>
    <w:rsid w:val="00AF4AEC"/>
    <w:rsid w:val="00AF4DEC"/>
    <w:rsid w:val="00AF4F77"/>
    <w:rsid w:val="00AF502A"/>
    <w:rsid w:val="00AF5549"/>
    <w:rsid w:val="00AF625E"/>
    <w:rsid w:val="00AF6283"/>
    <w:rsid w:val="00AF6830"/>
    <w:rsid w:val="00AF7E47"/>
    <w:rsid w:val="00B00E30"/>
    <w:rsid w:val="00B01ACF"/>
    <w:rsid w:val="00B026F5"/>
    <w:rsid w:val="00B0587C"/>
    <w:rsid w:val="00B11964"/>
    <w:rsid w:val="00B1297C"/>
    <w:rsid w:val="00B12E89"/>
    <w:rsid w:val="00B13452"/>
    <w:rsid w:val="00B139BE"/>
    <w:rsid w:val="00B140C5"/>
    <w:rsid w:val="00B14CB7"/>
    <w:rsid w:val="00B15288"/>
    <w:rsid w:val="00B161D9"/>
    <w:rsid w:val="00B16514"/>
    <w:rsid w:val="00B206B7"/>
    <w:rsid w:val="00B20E10"/>
    <w:rsid w:val="00B2172B"/>
    <w:rsid w:val="00B233A2"/>
    <w:rsid w:val="00B23A23"/>
    <w:rsid w:val="00B24770"/>
    <w:rsid w:val="00B26933"/>
    <w:rsid w:val="00B27D8A"/>
    <w:rsid w:val="00B27E00"/>
    <w:rsid w:val="00B300AE"/>
    <w:rsid w:val="00B3012E"/>
    <w:rsid w:val="00B304D2"/>
    <w:rsid w:val="00B30FA1"/>
    <w:rsid w:val="00B33701"/>
    <w:rsid w:val="00B34831"/>
    <w:rsid w:val="00B35DF9"/>
    <w:rsid w:val="00B3642A"/>
    <w:rsid w:val="00B36964"/>
    <w:rsid w:val="00B3754A"/>
    <w:rsid w:val="00B37FAF"/>
    <w:rsid w:val="00B41FD1"/>
    <w:rsid w:val="00B42182"/>
    <w:rsid w:val="00B427D2"/>
    <w:rsid w:val="00B434DA"/>
    <w:rsid w:val="00B44B32"/>
    <w:rsid w:val="00B45525"/>
    <w:rsid w:val="00B455A1"/>
    <w:rsid w:val="00B4623A"/>
    <w:rsid w:val="00B472C0"/>
    <w:rsid w:val="00B507C3"/>
    <w:rsid w:val="00B509A9"/>
    <w:rsid w:val="00B50D38"/>
    <w:rsid w:val="00B51268"/>
    <w:rsid w:val="00B517D6"/>
    <w:rsid w:val="00B52CD6"/>
    <w:rsid w:val="00B532E3"/>
    <w:rsid w:val="00B53504"/>
    <w:rsid w:val="00B53E8C"/>
    <w:rsid w:val="00B53EF0"/>
    <w:rsid w:val="00B560C6"/>
    <w:rsid w:val="00B60588"/>
    <w:rsid w:val="00B61B70"/>
    <w:rsid w:val="00B61EBE"/>
    <w:rsid w:val="00B62099"/>
    <w:rsid w:val="00B62BBA"/>
    <w:rsid w:val="00B63623"/>
    <w:rsid w:val="00B65799"/>
    <w:rsid w:val="00B6791A"/>
    <w:rsid w:val="00B701ED"/>
    <w:rsid w:val="00B70CCC"/>
    <w:rsid w:val="00B71546"/>
    <w:rsid w:val="00B71A59"/>
    <w:rsid w:val="00B722D8"/>
    <w:rsid w:val="00B72D91"/>
    <w:rsid w:val="00B75D3A"/>
    <w:rsid w:val="00B77DAE"/>
    <w:rsid w:val="00B825FD"/>
    <w:rsid w:val="00B82DFE"/>
    <w:rsid w:val="00B82FEB"/>
    <w:rsid w:val="00B83FCF"/>
    <w:rsid w:val="00B84D5A"/>
    <w:rsid w:val="00B8518E"/>
    <w:rsid w:val="00B8537A"/>
    <w:rsid w:val="00B85AE0"/>
    <w:rsid w:val="00B86C6F"/>
    <w:rsid w:val="00B86FAC"/>
    <w:rsid w:val="00B90054"/>
    <w:rsid w:val="00B90E58"/>
    <w:rsid w:val="00B917D2"/>
    <w:rsid w:val="00B92925"/>
    <w:rsid w:val="00B93247"/>
    <w:rsid w:val="00B93CF7"/>
    <w:rsid w:val="00B94322"/>
    <w:rsid w:val="00B956B6"/>
    <w:rsid w:val="00B9607C"/>
    <w:rsid w:val="00B96B80"/>
    <w:rsid w:val="00B96ED8"/>
    <w:rsid w:val="00BA188A"/>
    <w:rsid w:val="00BA241A"/>
    <w:rsid w:val="00BA277F"/>
    <w:rsid w:val="00BA2C82"/>
    <w:rsid w:val="00BA4AA7"/>
    <w:rsid w:val="00BA5062"/>
    <w:rsid w:val="00BA613E"/>
    <w:rsid w:val="00BA6786"/>
    <w:rsid w:val="00BA6EC7"/>
    <w:rsid w:val="00BA6F0E"/>
    <w:rsid w:val="00BB0283"/>
    <w:rsid w:val="00BB04AF"/>
    <w:rsid w:val="00BB2870"/>
    <w:rsid w:val="00BB33B7"/>
    <w:rsid w:val="00BB3497"/>
    <w:rsid w:val="00BB3C4B"/>
    <w:rsid w:val="00BB5040"/>
    <w:rsid w:val="00BB591D"/>
    <w:rsid w:val="00BB603C"/>
    <w:rsid w:val="00BB65B8"/>
    <w:rsid w:val="00BB732A"/>
    <w:rsid w:val="00BB7B5B"/>
    <w:rsid w:val="00BC18B7"/>
    <w:rsid w:val="00BC27B1"/>
    <w:rsid w:val="00BC2F8B"/>
    <w:rsid w:val="00BC396B"/>
    <w:rsid w:val="00BC4072"/>
    <w:rsid w:val="00BC4084"/>
    <w:rsid w:val="00BC4BBE"/>
    <w:rsid w:val="00BC5D6C"/>
    <w:rsid w:val="00BC63E0"/>
    <w:rsid w:val="00BC6864"/>
    <w:rsid w:val="00BD0125"/>
    <w:rsid w:val="00BD1722"/>
    <w:rsid w:val="00BD1E1C"/>
    <w:rsid w:val="00BD28B8"/>
    <w:rsid w:val="00BD2B0F"/>
    <w:rsid w:val="00BD3DB0"/>
    <w:rsid w:val="00BD4107"/>
    <w:rsid w:val="00BD41D6"/>
    <w:rsid w:val="00BD50C0"/>
    <w:rsid w:val="00BD52C9"/>
    <w:rsid w:val="00BD7075"/>
    <w:rsid w:val="00BD72C6"/>
    <w:rsid w:val="00BD757D"/>
    <w:rsid w:val="00BD7CEB"/>
    <w:rsid w:val="00BE002B"/>
    <w:rsid w:val="00BE186C"/>
    <w:rsid w:val="00BE1A25"/>
    <w:rsid w:val="00BE2680"/>
    <w:rsid w:val="00BE3F4A"/>
    <w:rsid w:val="00BE4E39"/>
    <w:rsid w:val="00BE5FA3"/>
    <w:rsid w:val="00BE62FF"/>
    <w:rsid w:val="00BE6354"/>
    <w:rsid w:val="00BE6745"/>
    <w:rsid w:val="00BE7CFC"/>
    <w:rsid w:val="00BF1450"/>
    <w:rsid w:val="00BF2280"/>
    <w:rsid w:val="00BF3328"/>
    <w:rsid w:val="00BF485E"/>
    <w:rsid w:val="00BF4BB6"/>
    <w:rsid w:val="00BF5B3F"/>
    <w:rsid w:val="00BF611A"/>
    <w:rsid w:val="00BF6D1A"/>
    <w:rsid w:val="00BF6E4C"/>
    <w:rsid w:val="00BF73A6"/>
    <w:rsid w:val="00BF79B3"/>
    <w:rsid w:val="00C02941"/>
    <w:rsid w:val="00C02B1C"/>
    <w:rsid w:val="00C04FEF"/>
    <w:rsid w:val="00C0518C"/>
    <w:rsid w:val="00C05E98"/>
    <w:rsid w:val="00C067BA"/>
    <w:rsid w:val="00C07B8E"/>
    <w:rsid w:val="00C1171D"/>
    <w:rsid w:val="00C11FED"/>
    <w:rsid w:val="00C122DF"/>
    <w:rsid w:val="00C12DC9"/>
    <w:rsid w:val="00C138D1"/>
    <w:rsid w:val="00C13B25"/>
    <w:rsid w:val="00C15201"/>
    <w:rsid w:val="00C15579"/>
    <w:rsid w:val="00C16B0A"/>
    <w:rsid w:val="00C16B80"/>
    <w:rsid w:val="00C23613"/>
    <w:rsid w:val="00C23614"/>
    <w:rsid w:val="00C23A97"/>
    <w:rsid w:val="00C23AE2"/>
    <w:rsid w:val="00C312A1"/>
    <w:rsid w:val="00C315AD"/>
    <w:rsid w:val="00C3363D"/>
    <w:rsid w:val="00C40144"/>
    <w:rsid w:val="00C406FD"/>
    <w:rsid w:val="00C41444"/>
    <w:rsid w:val="00C415FC"/>
    <w:rsid w:val="00C42C75"/>
    <w:rsid w:val="00C453F3"/>
    <w:rsid w:val="00C459E8"/>
    <w:rsid w:val="00C46CE7"/>
    <w:rsid w:val="00C4707B"/>
    <w:rsid w:val="00C476D9"/>
    <w:rsid w:val="00C50D3F"/>
    <w:rsid w:val="00C51374"/>
    <w:rsid w:val="00C51747"/>
    <w:rsid w:val="00C52EBE"/>
    <w:rsid w:val="00C548B1"/>
    <w:rsid w:val="00C55D21"/>
    <w:rsid w:val="00C56C78"/>
    <w:rsid w:val="00C5776D"/>
    <w:rsid w:val="00C60526"/>
    <w:rsid w:val="00C60C50"/>
    <w:rsid w:val="00C61952"/>
    <w:rsid w:val="00C61C33"/>
    <w:rsid w:val="00C6473A"/>
    <w:rsid w:val="00C64853"/>
    <w:rsid w:val="00C64855"/>
    <w:rsid w:val="00C6509C"/>
    <w:rsid w:val="00C65E0F"/>
    <w:rsid w:val="00C66A46"/>
    <w:rsid w:val="00C66AED"/>
    <w:rsid w:val="00C67178"/>
    <w:rsid w:val="00C676E3"/>
    <w:rsid w:val="00C70EA7"/>
    <w:rsid w:val="00C7433F"/>
    <w:rsid w:val="00C74A6E"/>
    <w:rsid w:val="00C7516E"/>
    <w:rsid w:val="00C75770"/>
    <w:rsid w:val="00C800EF"/>
    <w:rsid w:val="00C80412"/>
    <w:rsid w:val="00C8063B"/>
    <w:rsid w:val="00C80E02"/>
    <w:rsid w:val="00C838C0"/>
    <w:rsid w:val="00C842D4"/>
    <w:rsid w:val="00C84BCA"/>
    <w:rsid w:val="00C84FED"/>
    <w:rsid w:val="00C8503D"/>
    <w:rsid w:val="00C851F7"/>
    <w:rsid w:val="00C90562"/>
    <w:rsid w:val="00C91C9C"/>
    <w:rsid w:val="00C924A5"/>
    <w:rsid w:val="00C94170"/>
    <w:rsid w:val="00C97071"/>
    <w:rsid w:val="00CA07FD"/>
    <w:rsid w:val="00CA0848"/>
    <w:rsid w:val="00CA0BA0"/>
    <w:rsid w:val="00CA25AE"/>
    <w:rsid w:val="00CA32B6"/>
    <w:rsid w:val="00CA376C"/>
    <w:rsid w:val="00CA3785"/>
    <w:rsid w:val="00CA3913"/>
    <w:rsid w:val="00CA41C7"/>
    <w:rsid w:val="00CA42EB"/>
    <w:rsid w:val="00CA52EC"/>
    <w:rsid w:val="00CA56BB"/>
    <w:rsid w:val="00CA572E"/>
    <w:rsid w:val="00CA5973"/>
    <w:rsid w:val="00CB02BC"/>
    <w:rsid w:val="00CB0542"/>
    <w:rsid w:val="00CB0BC9"/>
    <w:rsid w:val="00CB2D43"/>
    <w:rsid w:val="00CB35C4"/>
    <w:rsid w:val="00CB51C9"/>
    <w:rsid w:val="00CB685A"/>
    <w:rsid w:val="00CC007E"/>
    <w:rsid w:val="00CC1BD0"/>
    <w:rsid w:val="00CC1C7B"/>
    <w:rsid w:val="00CC3EBB"/>
    <w:rsid w:val="00CC4C64"/>
    <w:rsid w:val="00CC4E6B"/>
    <w:rsid w:val="00CC5BE8"/>
    <w:rsid w:val="00CC60AB"/>
    <w:rsid w:val="00CC7CF2"/>
    <w:rsid w:val="00CD05C7"/>
    <w:rsid w:val="00CD1C79"/>
    <w:rsid w:val="00CD2171"/>
    <w:rsid w:val="00CD2EE0"/>
    <w:rsid w:val="00CD5A33"/>
    <w:rsid w:val="00CD73D6"/>
    <w:rsid w:val="00CE09E7"/>
    <w:rsid w:val="00CE1D80"/>
    <w:rsid w:val="00CE2595"/>
    <w:rsid w:val="00CE2618"/>
    <w:rsid w:val="00CE30FB"/>
    <w:rsid w:val="00CE3553"/>
    <w:rsid w:val="00CE5BFE"/>
    <w:rsid w:val="00CE7BE3"/>
    <w:rsid w:val="00CF0B50"/>
    <w:rsid w:val="00CF1753"/>
    <w:rsid w:val="00CF29B8"/>
    <w:rsid w:val="00CF429B"/>
    <w:rsid w:val="00CF4B5D"/>
    <w:rsid w:val="00CF4E60"/>
    <w:rsid w:val="00CF5D87"/>
    <w:rsid w:val="00CF744D"/>
    <w:rsid w:val="00D00115"/>
    <w:rsid w:val="00D00243"/>
    <w:rsid w:val="00D00B2B"/>
    <w:rsid w:val="00D00EB6"/>
    <w:rsid w:val="00D0110D"/>
    <w:rsid w:val="00D013AF"/>
    <w:rsid w:val="00D01E27"/>
    <w:rsid w:val="00D03FC3"/>
    <w:rsid w:val="00D04500"/>
    <w:rsid w:val="00D05326"/>
    <w:rsid w:val="00D10283"/>
    <w:rsid w:val="00D10B67"/>
    <w:rsid w:val="00D10CB8"/>
    <w:rsid w:val="00D120A3"/>
    <w:rsid w:val="00D14539"/>
    <w:rsid w:val="00D149D5"/>
    <w:rsid w:val="00D14C2E"/>
    <w:rsid w:val="00D162B1"/>
    <w:rsid w:val="00D16CA9"/>
    <w:rsid w:val="00D170BB"/>
    <w:rsid w:val="00D17186"/>
    <w:rsid w:val="00D17755"/>
    <w:rsid w:val="00D179CA"/>
    <w:rsid w:val="00D207DE"/>
    <w:rsid w:val="00D2256E"/>
    <w:rsid w:val="00D246CF"/>
    <w:rsid w:val="00D24877"/>
    <w:rsid w:val="00D25B50"/>
    <w:rsid w:val="00D2676C"/>
    <w:rsid w:val="00D2766A"/>
    <w:rsid w:val="00D301CC"/>
    <w:rsid w:val="00D30758"/>
    <w:rsid w:val="00D30E3F"/>
    <w:rsid w:val="00D3141A"/>
    <w:rsid w:val="00D31688"/>
    <w:rsid w:val="00D31BEC"/>
    <w:rsid w:val="00D3266D"/>
    <w:rsid w:val="00D335A5"/>
    <w:rsid w:val="00D33E19"/>
    <w:rsid w:val="00D34844"/>
    <w:rsid w:val="00D358C3"/>
    <w:rsid w:val="00D35919"/>
    <w:rsid w:val="00D364A9"/>
    <w:rsid w:val="00D40CB0"/>
    <w:rsid w:val="00D422DE"/>
    <w:rsid w:val="00D453F8"/>
    <w:rsid w:val="00D45689"/>
    <w:rsid w:val="00D45752"/>
    <w:rsid w:val="00D45E36"/>
    <w:rsid w:val="00D46624"/>
    <w:rsid w:val="00D466BF"/>
    <w:rsid w:val="00D4703F"/>
    <w:rsid w:val="00D47CF8"/>
    <w:rsid w:val="00D5021D"/>
    <w:rsid w:val="00D508E0"/>
    <w:rsid w:val="00D50A7C"/>
    <w:rsid w:val="00D51F8B"/>
    <w:rsid w:val="00D5381B"/>
    <w:rsid w:val="00D547E4"/>
    <w:rsid w:val="00D56642"/>
    <w:rsid w:val="00D6175F"/>
    <w:rsid w:val="00D6200E"/>
    <w:rsid w:val="00D625CF"/>
    <w:rsid w:val="00D62CCB"/>
    <w:rsid w:val="00D6434F"/>
    <w:rsid w:val="00D64843"/>
    <w:rsid w:val="00D65A65"/>
    <w:rsid w:val="00D6605C"/>
    <w:rsid w:val="00D67579"/>
    <w:rsid w:val="00D67FC8"/>
    <w:rsid w:val="00D70245"/>
    <w:rsid w:val="00D71023"/>
    <w:rsid w:val="00D7105A"/>
    <w:rsid w:val="00D71D41"/>
    <w:rsid w:val="00D71E55"/>
    <w:rsid w:val="00D72D96"/>
    <w:rsid w:val="00D731B3"/>
    <w:rsid w:val="00D81F93"/>
    <w:rsid w:val="00D8250F"/>
    <w:rsid w:val="00D83D47"/>
    <w:rsid w:val="00D83DC9"/>
    <w:rsid w:val="00D846CE"/>
    <w:rsid w:val="00D868E8"/>
    <w:rsid w:val="00D87288"/>
    <w:rsid w:val="00D87B68"/>
    <w:rsid w:val="00D9117A"/>
    <w:rsid w:val="00D91B81"/>
    <w:rsid w:val="00D93F45"/>
    <w:rsid w:val="00D94BA5"/>
    <w:rsid w:val="00D95317"/>
    <w:rsid w:val="00D95346"/>
    <w:rsid w:val="00D95497"/>
    <w:rsid w:val="00D95C4C"/>
    <w:rsid w:val="00D95CF0"/>
    <w:rsid w:val="00D97290"/>
    <w:rsid w:val="00DA091C"/>
    <w:rsid w:val="00DA24C4"/>
    <w:rsid w:val="00DA36ED"/>
    <w:rsid w:val="00DA6503"/>
    <w:rsid w:val="00DA6B4C"/>
    <w:rsid w:val="00DA6DAA"/>
    <w:rsid w:val="00DA7083"/>
    <w:rsid w:val="00DB0662"/>
    <w:rsid w:val="00DB163F"/>
    <w:rsid w:val="00DB333A"/>
    <w:rsid w:val="00DB4197"/>
    <w:rsid w:val="00DB516F"/>
    <w:rsid w:val="00DB5D33"/>
    <w:rsid w:val="00DB7702"/>
    <w:rsid w:val="00DB7AF3"/>
    <w:rsid w:val="00DC0AAF"/>
    <w:rsid w:val="00DC3155"/>
    <w:rsid w:val="00DC3C1A"/>
    <w:rsid w:val="00DC4A6C"/>
    <w:rsid w:val="00DC4EF0"/>
    <w:rsid w:val="00DC6358"/>
    <w:rsid w:val="00DC660F"/>
    <w:rsid w:val="00DC7068"/>
    <w:rsid w:val="00DC7A9C"/>
    <w:rsid w:val="00DD0FF1"/>
    <w:rsid w:val="00DD1CE5"/>
    <w:rsid w:val="00DD1DA4"/>
    <w:rsid w:val="00DD2B90"/>
    <w:rsid w:val="00DD2E80"/>
    <w:rsid w:val="00DD4051"/>
    <w:rsid w:val="00DD53EB"/>
    <w:rsid w:val="00DD76F2"/>
    <w:rsid w:val="00DE1715"/>
    <w:rsid w:val="00DE18CF"/>
    <w:rsid w:val="00DE1A08"/>
    <w:rsid w:val="00DE278A"/>
    <w:rsid w:val="00DE3161"/>
    <w:rsid w:val="00DE34F1"/>
    <w:rsid w:val="00DE38D5"/>
    <w:rsid w:val="00DE3D0A"/>
    <w:rsid w:val="00DE4567"/>
    <w:rsid w:val="00DE466F"/>
    <w:rsid w:val="00DE53B5"/>
    <w:rsid w:val="00DE5489"/>
    <w:rsid w:val="00DE5B18"/>
    <w:rsid w:val="00DE610F"/>
    <w:rsid w:val="00DE6160"/>
    <w:rsid w:val="00DE655D"/>
    <w:rsid w:val="00DE65B9"/>
    <w:rsid w:val="00DE6CE7"/>
    <w:rsid w:val="00DF02DD"/>
    <w:rsid w:val="00DF068B"/>
    <w:rsid w:val="00DF0DBB"/>
    <w:rsid w:val="00DF1986"/>
    <w:rsid w:val="00DF26B5"/>
    <w:rsid w:val="00DF2E25"/>
    <w:rsid w:val="00DF3A6A"/>
    <w:rsid w:val="00DF3AE0"/>
    <w:rsid w:val="00DF4942"/>
    <w:rsid w:val="00DF4B53"/>
    <w:rsid w:val="00DF7975"/>
    <w:rsid w:val="00E0025C"/>
    <w:rsid w:val="00E01B39"/>
    <w:rsid w:val="00E01EE7"/>
    <w:rsid w:val="00E02896"/>
    <w:rsid w:val="00E03E2C"/>
    <w:rsid w:val="00E06759"/>
    <w:rsid w:val="00E11AE4"/>
    <w:rsid w:val="00E130F2"/>
    <w:rsid w:val="00E15384"/>
    <w:rsid w:val="00E153EA"/>
    <w:rsid w:val="00E16761"/>
    <w:rsid w:val="00E17880"/>
    <w:rsid w:val="00E2024C"/>
    <w:rsid w:val="00E20FE2"/>
    <w:rsid w:val="00E2125F"/>
    <w:rsid w:val="00E22B67"/>
    <w:rsid w:val="00E23290"/>
    <w:rsid w:val="00E240E0"/>
    <w:rsid w:val="00E244E1"/>
    <w:rsid w:val="00E24E8C"/>
    <w:rsid w:val="00E24FDA"/>
    <w:rsid w:val="00E263E2"/>
    <w:rsid w:val="00E2660D"/>
    <w:rsid w:val="00E26AAF"/>
    <w:rsid w:val="00E26DBF"/>
    <w:rsid w:val="00E279FA"/>
    <w:rsid w:val="00E27F9F"/>
    <w:rsid w:val="00E30773"/>
    <w:rsid w:val="00E30816"/>
    <w:rsid w:val="00E31102"/>
    <w:rsid w:val="00E34D8F"/>
    <w:rsid w:val="00E36148"/>
    <w:rsid w:val="00E4150C"/>
    <w:rsid w:val="00E41F70"/>
    <w:rsid w:val="00E4309F"/>
    <w:rsid w:val="00E43274"/>
    <w:rsid w:val="00E44003"/>
    <w:rsid w:val="00E44E2F"/>
    <w:rsid w:val="00E4672E"/>
    <w:rsid w:val="00E469EA"/>
    <w:rsid w:val="00E50167"/>
    <w:rsid w:val="00E5028A"/>
    <w:rsid w:val="00E519C7"/>
    <w:rsid w:val="00E51E02"/>
    <w:rsid w:val="00E523C2"/>
    <w:rsid w:val="00E53BC6"/>
    <w:rsid w:val="00E53C56"/>
    <w:rsid w:val="00E5654C"/>
    <w:rsid w:val="00E60A86"/>
    <w:rsid w:val="00E60E5D"/>
    <w:rsid w:val="00E61337"/>
    <w:rsid w:val="00E627B1"/>
    <w:rsid w:val="00E631AD"/>
    <w:rsid w:val="00E6447D"/>
    <w:rsid w:val="00E644FB"/>
    <w:rsid w:val="00E64E36"/>
    <w:rsid w:val="00E662F2"/>
    <w:rsid w:val="00E664BF"/>
    <w:rsid w:val="00E666E3"/>
    <w:rsid w:val="00E66D09"/>
    <w:rsid w:val="00E672EE"/>
    <w:rsid w:val="00E70169"/>
    <w:rsid w:val="00E7194F"/>
    <w:rsid w:val="00E73C80"/>
    <w:rsid w:val="00E76945"/>
    <w:rsid w:val="00E76FE5"/>
    <w:rsid w:val="00E80873"/>
    <w:rsid w:val="00E83DCA"/>
    <w:rsid w:val="00E8500E"/>
    <w:rsid w:val="00E85BE4"/>
    <w:rsid w:val="00E87FC7"/>
    <w:rsid w:val="00E90822"/>
    <w:rsid w:val="00E9197C"/>
    <w:rsid w:val="00E91D49"/>
    <w:rsid w:val="00E9376C"/>
    <w:rsid w:val="00E95AE2"/>
    <w:rsid w:val="00E96014"/>
    <w:rsid w:val="00E97F8B"/>
    <w:rsid w:val="00EA2956"/>
    <w:rsid w:val="00EA29FC"/>
    <w:rsid w:val="00EA335E"/>
    <w:rsid w:val="00EA37D0"/>
    <w:rsid w:val="00EA528C"/>
    <w:rsid w:val="00EA557C"/>
    <w:rsid w:val="00EA580C"/>
    <w:rsid w:val="00EA6B17"/>
    <w:rsid w:val="00EA7C0C"/>
    <w:rsid w:val="00EB2D71"/>
    <w:rsid w:val="00EB330F"/>
    <w:rsid w:val="00EB3435"/>
    <w:rsid w:val="00EB35A6"/>
    <w:rsid w:val="00EB3839"/>
    <w:rsid w:val="00EB4550"/>
    <w:rsid w:val="00EB49C0"/>
    <w:rsid w:val="00EB5543"/>
    <w:rsid w:val="00EB5C4C"/>
    <w:rsid w:val="00EB60B1"/>
    <w:rsid w:val="00EB662A"/>
    <w:rsid w:val="00EC1942"/>
    <w:rsid w:val="00EC1DDD"/>
    <w:rsid w:val="00EC20C8"/>
    <w:rsid w:val="00EC28A1"/>
    <w:rsid w:val="00EC31DC"/>
    <w:rsid w:val="00EC5379"/>
    <w:rsid w:val="00EC58BC"/>
    <w:rsid w:val="00EC6F8D"/>
    <w:rsid w:val="00EC7C52"/>
    <w:rsid w:val="00ED26F5"/>
    <w:rsid w:val="00ED35E4"/>
    <w:rsid w:val="00ED36B4"/>
    <w:rsid w:val="00ED39B2"/>
    <w:rsid w:val="00ED46BC"/>
    <w:rsid w:val="00ED4EFB"/>
    <w:rsid w:val="00ED71CE"/>
    <w:rsid w:val="00EE10FE"/>
    <w:rsid w:val="00EE3369"/>
    <w:rsid w:val="00EE3471"/>
    <w:rsid w:val="00EE49F4"/>
    <w:rsid w:val="00EE574A"/>
    <w:rsid w:val="00EE6A00"/>
    <w:rsid w:val="00EF0DB4"/>
    <w:rsid w:val="00EF19C2"/>
    <w:rsid w:val="00EF1A61"/>
    <w:rsid w:val="00EF2118"/>
    <w:rsid w:val="00EF2291"/>
    <w:rsid w:val="00EF34E2"/>
    <w:rsid w:val="00EF3702"/>
    <w:rsid w:val="00EF52E7"/>
    <w:rsid w:val="00EF6634"/>
    <w:rsid w:val="00EF79BE"/>
    <w:rsid w:val="00F00611"/>
    <w:rsid w:val="00F02F73"/>
    <w:rsid w:val="00F0371D"/>
    <w:rsid w:val="00F05823"/>
    <w:rsid w:val="00F06F1A"/>
    <w:rsid w:val="00F07948"/>
    <w:rsid w:val="00F119FC"/>
    <w:rsid w:val="00F1206D"/>
    <w:rsid w:val="00F12FD3"/>
    <w:rsid w:val="00F130C3"/>
    <w:rsid w:val="00F136E6"/>
    <w:rsid w:val="00F1382E"/>
    <w:rsid w:val="00F142CD"/>
    <w:rsid w:val="00F14CAB"/>
    <w:rsid w:val="00F14EE4"/>
    <w:rsid w:val="00F15059"/>
    <w:rsid w:val="00F153B7"/>
    <w:rsid w:val="00F15E07"/>
    <w:rsid w:val="00F1686C"/>
    <w:rsid w:val="00F16FF7"/>
    <w:rsid w:val="00F17147"/>
    <w:rsid w:val="00F2088D"/>
    <w:rsid w:val="00F21B22"/>
    <w:rsid w:val="00F223FF"/>
    <w:rsid w:val="00F23507"/>
    <w:rsid w:val="00F24DF3"/>
    <w:rsid w:val="00F259CB"/>
    <w:rsid w:val="00F265D3"/>
    <w:rsid w:val="00F27E33"/>
    <w:rsid w:val="00F30DC6"/>
    <w:rsid w:val="00F31482"/>
    <w:rsid w:val="00F316D0"/>
    <w:rsid w:val="00F329CB"/>
    <w:rsid w:val="00F32C23"/>
    <w:rsid w:val="00F334E9"/>
    <w:rsid w:val="00F341FE"/>
    <w:rsid w:val="00F347DD"/>
    <w:rsid w:val="00F356E9"/>
    <w:rsid w:val="00F357CE"/>
    <w:rsid w:val="00F37964"/>
    <w:rsid w:val="00F40426"/>
    <w:rsid w:val="00F408F1"/>
    <w:rsid w:val="00F4338A"/>
    <w:rsid w:val="00F443F1"/>
    <w:rsid w:val="00F45844"/>
    <w:rsid w:val="00F45E95"/>
    <w:rsid w:val="00F46368"/>
    <w:rsid w:val="00F46B5B"/>
    <w:rsid w:val="00F47253"/>
    <w:rsid w:val="00F5134A"/>
    <w:rsid w:val="00F514FF"/>
    <w:rsid w:val="00F5238A"/>
    <w:rsid w:val="00F52648"/>
    <w:rsid w:val="00F53DE9"/>
    <w:rsid w:val="00F56F8C"/>
    <w:rsid w:val="00F576CB"/>
    <w:rsid w:val="00F60B03"/>
    <w:rsid w:val="00F61433"/>
    <w:rsid w:val="00F62042"/>
    <w:rsid w:val="00F6259D"/>
    <w:rsid w:val="00F6261A"/>
    <w:rsid w:val="00F6270B"/>
    <w:rsid w:val="00F62742"/>
    <w:rsid w:val="00F62F50"/>
    <w:rsid w:val="00F6541D"/>
    <w:rsid w:val="00F655B1"/>
    <w:rsid w:val="00F657EF"/>
    <w:rsid w:val="00F66BC9"/>
    <w:rsid w:val="00F670EF"/>
    <w:rsid w:val="00F67428"/>
    <w:rsid w:val="00F7035D"/>
    <w:rsid w:val="00F7185C"/>
    <w:rsid w:val="00F71A02"/>
    <w:rsid w:val="00F723A4"/>
    <w:rsid w:val="00F74555"/>
    <w:rsid w:val="00F759C8"/>
    <w:rsid w:val="00F75A2E"/>
    <w:rsid w:val="00F75B26"/>
    <w:rsid w:val="00F75F9D"/>
    <w:rsid w:val="00F77B2B"/>
    <w:rsid w:val="00F800EC"/>
    <w:rsid w:val="00F80885"/>
    <w:rsid w:val="00F810DE"/>
    <w:rsid w:val="00F81117"/>
    <w:rsid w:val="00F81448"/>
    <w:rsid w:val="00F8169A"/>
    <w:rsid w:val="00F81EE4"/>
    <w:rsid w:val="00F831A1"/>
    <w:rsid w:val="00F844FA"/>
    <w:rsid w:val="00F85524"/>
    <w:rsid w:val="00F875A2"/>
    <w:rsid w:val="00F90188"/>
    <w:rsid w:val="00F91390"/>
    <w:rsid w:val="00F930BC"/>
    <w:rsid w:val="00F932F9"/>
    <w:rsid w:val="00F94294"/>
    <w:rsid w:val="00F94F25"/>
    <w:rsid w:val="00F951C0"/>
    <w:rsid w:val="00F96C50"/>
    <w:rsid w:val="00F97FCA"/>
    <w:rsid w:val="00FA0D63"/>
    <w:rsid w:val="00FA2856"/>
    <w:rsid w:val="00FA2F1C"/>
    <w:rsid w:val="00FA2F7E"/>
    <w:rsid w:val="00FA3695"/>
    <w:rsid w:val="00FA6A08"/>
    <w:rsid w:val="00FA75DD"/>
    <w:rsid w:val="00FB21F0"/>
    <w:rsid w:val="00FB27FC"/>
    <w:rsid w:val="00FB39A8"/>
    <w:rsid w:val="00FB4E14"/>
    <w:rsid w:val="00FB52AD"/>
    <w:rsid w:val="00FB5768"/>
    <w:rsid w:val="00FB639C"/>
    <w:rsid w:val="00FB655E"/>
    <w:rsid w:val="00FB65CC"/>
    <w:rsid w:val="00FB65F5"/>
    <w:rsid w:val="00FB7AAA"/>
    <w:rsid w:val="00FC1114"/>
    <w:rsid w:val="00FC24B8"/>
    <w:rsid w:val="00FC2673"/>
    <w:rsid w:val="00FC44FF"/>
    <w:rsid w:val="00FC50DC"/>
    <w:rsid w:val="00FC57A4"/>
    <w:rsid w:val="00FD069F"/>
    <w:rsid w:val="00FD1226"/>
    <w:rsid w:val="00FD1394"/>
    <w:rsid w:val="00FD25E7"/>
    <w:rsid w:val="00FD4217"/>
    <w:rsid w:val="00FD4C02"/>
    <w:rsid w:val="00FD4DB0"/>
    <w:rsid w:val="00FD549C"/>
    <w:rsid w:val="00FD54D0"/>
    <w:rsid w:val="00FD56E4"/>
    <w:rsid w:val="00FD6C5C"/>
    <w:rsid w:val="00FE0953"/>
    <w:rsid w:val="00FE3560"/>
    <w:rsid w:val="00FE4335"/>
    <w:rsid w:val="00FE6631"/>
    <w:rsid w:val="00FE7241"/>
    <w:rsid w:val="00FE7759"/>
    <w:rsid w:val="00FF4635"/>
    <w:rsid w:val="00FF4830"/>
    <w:rsid w:val="00FF5156"/>
    <w:rsid w:val="00FF5395"/>
    <w:rsid w:val="00FF56F7"/>
    <w:rsid w:val="00FF5E77"/>
    <w:rsid w:val="00FF6146"/>
    <w:rsid w:val="00FF63A4"/>
    <w:rsid w:val="00FF6F1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qFormat/>
    <w:rsid w:val="004C75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4C757D"/>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aliases w:val="COM Heading"/>
    <w:basedOn w:val="Normal"/>
    <w:next w:val="Normal"/>
    <w:link w:val="Titre4C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Titre5">
    <w:name w:val="heading 5"/>
    <w:basedOn w:val="Normal"/>
    <w:next w:val="Normal"/>
    <w:link w:val="Titre5Car"/>
    <w:uiPriority w:val="9"/>
    <w:unhideWhenUsed/>
    <w:qFormat/>
    <w:rsid w:val="004C757D"/>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uiPriority w:val="9"/>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character" w:styleId="Lienhypertexte">
    <w:name w:val="Hyperlink"/>
    <w:uiPriority w:val="99"/>
    <w:unhideWhenUsed/>
    <w:rsid w:val="00594D33"/>
    <w:rPr>
      <w:color w:val="0000FF"/>
      <w:u w:val="single"/>
    </w:rPr>
  </w:style>
  <w:style w:type="paragraph" w:styleId="Notedebasdepage">
    <w:name w:val="footnote text"/>
    <w:basedOn w:val="Normal"/>
    <w:link w:val="NotedebasdepageCar"/>
    <w:uiPriority w:val="99"/>
    <w:unhideWhenUsed/>
    <w:rsid w:val="006F6698"/>
    <w:rPr>
      <w:sz w:val="20"/>
      <w:szCs w:val="20"/>
    </w:rPr>
  </w:style>
  <w:style w:type="character" w:customStyle="1" w:styleId="NotedebasdepageCar">
    <w:name w:val="Note de bas de page Car"/>
    <w:basedOn w:val="Policepardfaut"/>
    <w:link w:val="Notedebasdepage"/>
    <w:uiPriority w:val="99"/>
    <w:rsid w:val="006F6698"/>
    <w:rPr>
      <w:rFonts w:ascii="Times New Roman" w:eastAsia="Times New Roman" w:hAnsi="Times New Roman"/>
    </w:rPr>
  </w:style>
  <w:style w:type="character" w:styleId="Appelnotedebasdep">
    <w:name w:val="footnote reference"/>
    <w:basedOn w:val="Policepardfaut"/>
    <w:uiPriority w:val="99"/>
    <w:semiHidden/>
    <w:unhideWhenUsed/>
    <w:rsid w:val="006F6698"/>
    <w:rPr>
      <w:vertAlign w:val="superscript"/>
    </w:rPr>
  </w:style>
  <w:style w:type="character" w:styleId="Marquedecommentaire">
    <w:name w:val="annotation reference"/>
    <w:basedOn w:val="Policepardfaut"/>
    <w:uiPriority w:val="99"/>
    <w:semiHidden/>
    <w:unhideWhenUsed/>
    <w:rsid w:val="001D4CCE"/>
    <w:rPr>
      <w:sz w:val="16"/>
      <w:szCs w:val="16"/>
    </w:rPr>
  </w:style>
  <w:style w:type="paragraph" w:styleId="Commentaire">
    <w:name w:val="annotation text"/>
    <w:basedOn w:val="Normal"/>
    <w:link w:val="CommentaireCar"/>
    <w:uiPriority w:val="99"/>
    <w:unhideWhenUsed/>
    <w:rsid w:val="001D4CCE"/>
    <w:pPr>
      <w:spacing w:after="160"/>
    </w:pPr>
    <w:rPr>
      <w:rFonts w:asciiTheme="minorHAnsi" w:eastAsiaTheme="minorEastAsia" w:hAnsiTheme="minorHAnsi" w:cstheme="minorBidi"/>
      <w:sz w:val="20"/>
      <w:szCs w:val="20"/>
      <w:lang w:eastAsia="zh-CN"/>
    </w:rPr>
  </w:style>
  <w:style w:type="character" w:customStyle="1" w:styleId="CommentaireCar">
    <w:name w:val="Commentaire Car"/>
    <w:basedOn w:val="Policepardfaut"/>
    <w:link w:val="Commentaire"/>
    <w:uiPriority w:val="99"/>
    <w:rsid w:val="001D4CCE"/>
    <w:rPr>
      <w:rFonts w:asciiTheme="minorHAnsi" w:eastAsiaTheme="minorEastAsia" w:hAnsiTheme="minorHAnsi" w:cstheme="minorBidi"/>
      <w:lang w:eastAsia="zh-CN"/>
    </w:rPr>
  </w:style>
  <w:style w:type="character" w:styleId="Lienhypertextesuivivisit">
    <w:name w:val="FollowedHyperlink"/>
    <w:basedOn w:val="Policepardfaut"/>
    <w:uiPriority w:val="99"/>
    <w:semiHidden/>
    <w:unhideWhenUsed/>
    <w:rsid w:val="001D4CCE"/>
    <w:rPr>
      <w:color w:val="800080" w:themeColor="followedHyperlink"/>
      <w:u w:val="single"/>
    </w:rPr>
  </w:style>
  <w:style w:type="character" w:styleId="Mentionnonrsolue">
    <w:name w:val="Unresolved Mention"/>
    <w:basedOn w:val="Policepardfaut"/>
    <w:uiPriority w:val="99"/>
    <w:semiHidden/>
    <w:unhideWhenUsed/>
    <w:rsid w:val="002C6291"/>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5A0A0A"/>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5A0A0A"/>
    <w:rPr>
      <w:rFonts w:ascii="Times New Roman" w:eastAsia="Times New Roman" w:hAnsi="Times New Roman" w:cstheme="minorBidi"/>
      <w:b/>
      <w:bCs/>
      <w:lang w:eastAsia="zh-CN"/>
    </w:rPr>
  </w:style>
  <w:style w:type="paragraph" w:styleId="NormalWeb">
    <w:name w:val="Normal (Web)"/>
    <w:basedOn w:val="Normal"/>
    <w:uiPriority w:val="99"/>
    <w:semiHidden/>
    <w:unhideWhenUsed/>
    <w:rsid w:val="006E082F"/>
    <w:pPr>
      <w:spacing w:before="100" w:beforeAutospacing="1" w:after="100" w:afterAutospacing="1"/>
    </w:pPr>
    <w:rPr>
      <w:lang w:eastAsia="zh-CN"/>
    </w:rPr>
  </w:style>
  <w:style w:type="paragraph" w:customStyle="1" w:styleId="decisionelement">
    <w:name w:val="decision_element"/>
    <w:basedOn w:val="Normal"/>
    <w:rsid w:val="007A4FDB"/>
    <w:pPr>
      <w:spacing w:before="100" w:beforeAutospacing="1" w:after="100" w:afterAutospacing="1"/>
    </w:pPr>
    <w:rPr>
      <w:lang w:eastAsia="zh-CN"/>
    </w:rPr>
  </w:style>
  <w:style w:type="paragraph" w:styleId="TM1">
    <w:name w:val="toc 1"/>
    <w:basedOn w:val="Normal"/>
    <w:next w:val="Normal"/>
    <w:autoRedefine/>
    <w:uiPriority w:val="39"/>
    <w:unhideWhenUsed/>
    <w:rsid w:val="0088500E"/>
    <w:pPr>
      <w:tabs>
        <w:tab w:val="right" w:leader="dot" w:pos="10456"/>
      </w:tabs>
      <w:spacing w:after="100" w:line="259" w:lineRule="auto"/>
      <w:jc w:val="both"/>
    </w:pPr>
    <w:rPr>
      <w:rFonts w:asciiTheme="minorHAnsi" w:eastAsiaTheme="minorHAnsi" w:hAnsiTheme="minorHAnsi" w:cstheme="minorHAnsi"/>
      <w:b/>
      <w:bCs/>
      <w:noProof/>
      <w:sz w:val="22"/>
      <w:szCs w:val="22"/>
      <w:lang w:val="en-GB" w:eastAsia="en-US"/>
    </w:rPr>
  </w:style>
  <w:style w:type="paragraph" w:styleId="TM2">
    <w:name w:val="toc 2"/>
    <w:basedOn w:val="Normal"/>
    <w:next w:val="Normal"/>
    <w:autoRedefine/>
    <w:uiPriority w:val="39"/>
    <w:unhideWhenUsed/>
    <w:rsid w:val="007F0148"/>
    <w:pPr>
      <w:spacing w:after="100" w:line="259" w:lineRule="auto"/>
      <w:ind w:left="220"/>
      <w:jc w:val="both"/>
    </w:pPr>
    <w:rPr>
      <w:rFonts w:ascii="Arial" w:eastAsiaTheme="minorHAnsi" w:hAnsi="Arial" w:cstheme="minorBidi"/>
      <w:sz w:val="22"/>
      <w:szCs w:val="22"/>
      <w:lang w:val="en-GB" w:eastAsia="en-US"/>
    </w:rPr>
  </w:style>
  <w:style w:type="character" w:customStyle="1" w:styleId="Titre1Car">
    <w:name w:val="Titre 1 Car"/>
    <w:basedOn w:val="Policepardfaut"/>
    <w:link w:val="Titre1"/>
    <w:uiPriority w:val="9"/>
    <w:rsid w:val="004C757D"/>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rsid w:val="004C757D"/>
    <w:rPr>
      <w:rFonts w:asciiTheme="majorHAnsi" w:eastAsiaTheme="majorEastAsia" w:hAnsiTheme="majorHAnsi" w:cstheme="majorBidi"/>
      <w:color w:val="243F60" w:themeColor="accent1" w:themeShade="7F"/>
      <w:sz w:val="24"/>
      <w:szCs w:val="24"/>
    </w:rPr>
  </w:style>
  <w:style w:type="character" w:customStyle="1" w:styleId="Titre5Car">
    <w:name w:val="Titre 5 Car"/>
    <w:basedOn w:val="Policepardfaut"/>
    <w:link w:val="Titre5"/>
    <w:uiPriority w:val="9"/>
    <w:rsid w:val="004C757D"/>
    <w:rPr>
      <w:rFonts w:asciiTheme="majorHAnsi" w:eastAsiaTheme="majorEastAsia" w:hAnsiTheme="majorHAnsi" w:cstheme="majorBidi"/>
      <w:color w:val="365F91" w:themeColor="accent1" w:themeShade="BF"/>
      <w:sz w:val="24"/>
      <w:szCs w:val="24"/>
    </w:rPr>
  </w:style>
  <w:style w:type="paragraph" w:styleId="Titre">
    <w:name w:val="Title"/>
    <w:basedOn w:val="Normal"/>
    <w:next w:val="Normal"/>
    <w:link w:val="TitreCar"/>
    <w:uiPriority w:val="10"/>
    <w:qFormat/>
    <w:rsid w:val="004C757D"/>
    <w:pPr>
      <w:contextualSpacing/>
      <w:jc w:val="both"/>
    </w:pPr>
    <w:rPr>
      <w:rFonts w:asciiTheme="majorHAnsi" w:eastAsiaTheme="majorEastAsia" w:hAnsiTheme="majorHAnsi" w:cstheme="majorBidi"/>
      <w:spacing w:val="-10"/>
      <w:kern w:val="28"/>
      <w:sz w:val="56"/>
      <w:szCs w:val="56"/>
      <w:lang w:val="en-GB" w:eastAsia="en-US"/>
    </w:rPr>
  </w:style>
  <w:style w:type="character" w:customStyle="1" w:styleId="TitreCar">
    <w:name w:val="Titre Car"/>
    <w:basedOn w:val="Policepardfaut"/>
    <w:link w:val="Titre"/>
    <w:uiPriority w:val="10"/>
    <w:rsid w:val="004C757D"/>
    <w:rPr>
      <w:rFonts w:asciiTheme="majorHAnsi" w:eastAsiaTheme="majorEastAsia" w:hAnsiTheme="majorHAnsi" w:cstheme="majorBidi"/>
      <w:spacing w:val="-10"/>
      <w:kern w:val="28"/>
      <w:sz w:val="56"/>
      <w:szCs w:val="56"/>
      <w:lang w:val="en-GB" w:eastAsia="en-US"/>
    </w:rPr>
  </w:style>
  <w:style w:type="character" w:styleId="lev">
    <w:name w:val="Strong"/>
    <w:basedOn w:val="Policepardfaut"/>
    <w:uiPriority w:val="22"/>
    <w:qFormat/>
    <w:rsid w:val="004C757D"/>
    <w:rPr>
      <w:b/>
      <w:bCs/>
      <w:i/>
      <w:iCs/>
      <w:color w:val="4F81BD" w:themeColor="accent1"/>
    </w:rPr>
  </w:style>
  <w:style w:type="character" w:styleId="Accentuation">
    <w:name w:val="Emphasis"/>
    <w:basedOn w:val="Policepardfaut"/>
    <w:uiPriority w:val="20"/>
    <w:qFormat/>
    <w:rsid w:val="004C757D"/>
    <w:rPr>
      <w:i/>
      <w:iCs/>
    </w:rPr>
  </w:style>
  <w:style w:type="paragraph" w:styleId="Sansinterligne">
    <w:name w:val="No Spacing"/>
    <w:aliases w:val="Indented text"/>
    <w:basedOn w:val="Normal"/>
    <w:uiPriority w:val="1"/>
    <w:qFormat/>
    <w:rsid w:val="004C757D"/>
    <w:pPr>
      <w:spacing w:after="240"/>
      <w:ind w:left="1440"/>
      <w:jc w:val="both"/>
    </w:pPr>
    <w:rPr>
      <w:rFonts w:ascii="Arial" w:eastAsiaTheme="minorHAnsi" w:hAnsi="Arial" w:cstheme="minorBidi"/>
      <w:sz w:val="22"/>
      <w:szCs w:val="22"/>
      <w:lang w:val="en-GB" w:eastAsia="en-US"/>
    </w:rPr>
  </w:style>
  <w:style w:type="character" w:styleId="Accentuationintense">
    <w:name w:val="Intense Emphasis"/>
    <w:basedOn w:val="Policepardfaut"/>
    <w:uiPriority w:val="21"/>
    <w:qFormat/>
    <w:rsid w:val="004C757D"/>
    <w:rPr>
      <w:i/>
      <w:iCs/>
      <w:color w:val="4F81BD" w:themeColor="accent1"/>
    </w:rPr>
  </w:style>
  <w:style w:type="paragraph" w:styleId="TM3">
    <w:name w:val="toc 3"/>
    <w:basedOn w:val="Normal"/>
    <w:next w:val="Normal"/>
    <w:autoRedefine/>
    <w:uiPriority w:val="39"/>
    <w:unhideWhenUsed/>
    <w:rsid w:val="004C757D"/>
    <w:pPr>
      <w:spacing w:after="100" w:line="259" w:lineRule="auto"/>
      <w:ind w:left="440"/>
      <w:jc w:val="both"/>
    </w:pPr>
    <w:rPr>
      <w:rFonts w:ascii="Arial" w:eastAsiaTheme="minorHAnsi" w:hAnsi="Arial" w:cstheme="minorBidi"/>
      <w:sz w:val="22"/>
      <w:szCs w:val="22"/>
      <w:lang w:val="en-GB" w:eastAsia="en-US"/>
    </w:rPr>
  </w:style>
  <w:style w:type="paragraph" w:styleId="TM5">
    <w:name w:val="toc 5"/>
    <w:basedOn w:val="Normal"/>
    <w:next w:val="Normal"/>
    <w:autoRedefine/>
    <w:uiPriority w:val="39"/>
    <w:unhideWhenUsed/>
    <w:rsid w:val="004C757D"/>
    <w:pPr>
      <w:spacing w:after="100" w:line="259" w:lineRule="auto"/>
      <w:ind w:left="880"/>
      <w:jc w:val="both"/>
    </w:pPr>
    <w:rPr>
      <w:rFonts w:ascii="Arial" w:eastAsiaTheme="minorHAnsi" w:hAnsi="Arial" w:cstheme="minorBidi"/>
      <w:sz w:val="22"/>
      <w:szCs w:val="22"/>
      <w:lang w:val="en-GB" w:eastAsia="en-US"/>
    </w:rPr>
  </w:style>
  <w:style w:type="character" w:customStyle="1" w:styleId="jlqj4b">
    <w:name w:val="jlqj4b"/>
    <w:basedOn w:val="Policepardfaut"/>
    <w:rsid w:val="004C757D"/>
  </w:style>
  <w:style w:type="paragraph" w:styleId="Rvision">
    <w:name w:val="Revision"/>
    <w:hidden/>
    <w:uiPriority w:val="99"/>
    <w:semiHidden/>
    <w:rsid w:val="001C55E4"/>
    <w:rPr>
      <w:rFonts w:ascii="Times New Roman" w:eastAsia="Times New Roman" w:hAnsi="Times New Roman"/>
      <w:sz w:val="24"/>
      <w:szCs w:val="24"/>
    </w:rPr>
  </w:style>
  <w:style w:type="character" w:customStyle="1" w:styleId="normaltextrun">
    <w:name w:val="normaltextrun"/>
    <w:basedOn w:val="Policepardfaut"/>
    <w:rsid w:val="00B722D8"/>
  </w:style>
  <w:style w:type="paragraph" w:customStyle="1" w:styleId="GAPara">
    <w:name w:val="GA Para"/>
    <w:qFormat/>
    <w:rsid w:val="00A446AC"/>
    <w:pPr>
      <w:spacing w:after="120"/>
      <w:ind w:left="720" w:hanging="360"/>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9957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17128523">
      <w:bodyDiv w:val="1"/>
      <w:marLeft w:val="0"/>
      <w:marRight w:val="0"/>
      <w:marTop w:val="0"/>
      <w:marBottom w:val="0"/>
      <w:divBdr>
        <w:top w:val="none" w:sz="0" w:space="0" w:color="auto"/>
        <w:left w:val="none" w:sz="0" w:space="0" w:color="auto"/>
        <w:bottom w:val="none" w:sz="0" w:space="0" w:color="auto"/>
        <w:right w:val="none" w:sz="0" w:space="0" w:color="auto"/>
      </w:divBdr>
    </w:div>
    <w:div w:id="1054305340">
      <w:bodyDiv w:val="1"/>
      <w:marLeft w:val="0"/>
      <w:marRight w:val="0"/>
      <w:marTop w:val="0"/>
      <w:marBottom w:val="0"/>
      <w:divBdr>
        <w:top w:val="none" w:sz="0" w:space="0" w:color="auto"/>
        <w:left w:val="none" w:sz="0" w:space="0" w:color="auto"/>
        <w:bottom w:val="none" w:sz="0" w:space="0" w:color="auto"/>
        <w:right w:val="none" w:sz="0" w:space="0" w:color="auto"/>
      </w:divBdr>
      <w:divsChild>
        <w:div w:id="1840345738">
          <w:marLeft w:val="0"/>
          <w:marRight w:val="0"/>
          <w:marTop w:val="0"/>
          <w:marBottom w:val="0"/>
          <w:divBdr>
            <w:top w:val="none" w:sz="0" w:space="0" w:color="auto"/>
            <w:left w:val="none" w:sz="0" w:space="0" w:color="auto"/>
            <w:bottom w:val="none" w:sz="0" w:space="0" w:color="auto"/>
            <w:right w:val="none" w:sz="0" w:space="0" w:color="auto"/>
          </w:divBdr>
          <w:divsChild>
            <w:div w:id="8991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26145867">
      <w:bodyDiv w:val="1"/>
      <w:marLeft w:val="0"/>
      <w:marRight w:val="0"/>
      <w:marTop w:val="0"/>
      <w:marBottom w:val="0"/>
      <w:divBdr>
        <w:top w:val="none" w:sz="0" w:space="0" w:color="auto"/>
        <w:left w:val="none" w:sz="0" w:space="0" w:color="auto"/>
        <w:bottom w:val="none" w:sz="0" w:space="0" w:color="auto"/>
        <w:right w:val="none" w:sz="0" w:space="0" w:color="auto"/>
      </w:divBdr>
    </w:div>
    <w:div w:id="143710002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114090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12737095">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3213752">
      <w:bodyDiv w:val="1"/>
      <w:marLeft w:val="0"/>
      <w:marRight w:val="0"/>
      <w:marTop w:val="0"/>
      <w:marBottom w:val="0"/>
      <w:divBdr>
        <w:top w:val="none" w:sz="0" w:space="0" w:color="auto"/>
        <w:left w:val="none" w:sz="0" w:space="0" w:color="auto"/>
        <w:bottom w:val="none" w:sz="0" w:space="0" w:color="auto"/>
        <w:right w:val="none" w:sz="0" w:space="0" w:color="auto"/>
      </w:divBdr>
    </w:div>
    <w:div w:id="2033024590">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10" TargetMode="External"/><Relationship Id="rId13" Type="http://schemas.openxmlformats.org/officeDocument/2006/relationships/hyperlink" Target="https://ich.unesco.org/doc/src/LHE-22-17.COM-6.b-EN.docx" TargetMode="External"/><Relationship Id="rId18" Type="http://schemas.openxmlformats.org/officeDocument/2006/relationships/hyperlink" Target="https://ich.unesco.org/doc/src/LHE-22-17.COM-6.b-EN.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ch.unesco.org/en/Resolutions/7.GA/9"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ich.unesco.org/doc/src/41571-EN.pdf" TargetMode="External"/><Relationship Id="rId25" Type="http://schemas.openxmlformats.org/officeDocument/2006/relationships/hyperlink" Target="https://ich.unesco.org/en/Decisions/16.COM/7.b" TargetMode="External"/><Relationship Id="rId2" Type="http://schemas.openxmlformats.org/officeDocument/2006/relationships/numbering" Target="numbering.xml"/><Relationship Id="rId16" Type="http://schemas.openxmlformats.org/officeDocument/2006/relationships/hyperlink" Target="https://ich.unesco.org/doc/src/LHE-22-17.COM-INF.6.c-EN.docx" TargetMode="External"/><Relationship Id="rId20" Type="http://schemas.openxmlformats.org/officeDocument/2006/relationships/hyperlink" Target="https://www.unesco.org/sites/default/files/medias/fichiers/2022/10/6.MONDIACULT_EN_DRAFT%20FINAL%20DECLARATION_FINAL_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8" TargetMode="External"/><Relationship Id="rId24" Type="http://schemas.openxmlformats.org/officeDocument/2006/relationships/hyperlink" Target="https://ich.unesco.org/en/Decisions/14.COM/8" TargetMode="External"/><Relationship Id="rId5" Type="http://schemas.openxmlformats.org/officeDocument/2006/relationships/webSettings" Target="webSettings.xml"/><Relationship Id="rId15" Type="http://schemas.openxmlformats.org/officeDocument/2006/relationships/hyperlink" Target="https://ich.unesco.org/doc/src/LHE-21-16.COM-7.b-EN.docx" TargetMode="External"/><Relationship Id="rId23" Type="http://schemas.openxmlformats.org/officeDocument/2006/relationships/hyperlink" Target="https://ich.unesco.org/en/Decisions/13.COM/8" TargetMode="External"/><Relationship Id="rId28" Type="http://schemas.openxmlformats.org/officeDocument/2006/relationships/header" Target="header3.xml"/><Relationship Id="rId10" Type="http://schemas.openxmlformats.org/officeDocument/2006/relationships/hyperlink" Target="https://ich.unesco.org/en/Decisions/14.COM/8"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ch.unesco.org/en/Resolutions/7.GA/9" TargetMode="External"/><Relationship Id="rId14" Type="http://schemas.openxmlformats.org/officeDocument/2006/relationships/hyperlink" Target="https://ich.unesco.org/en/Decisions/16.COM/7.b" TargetMode="External"/><Relationship Id="rId22" Type="http://schemas.openxmlformats.org/officeDocument/2006/relationships/hyperlink" Target="https://ich.unesco.org/en/Decisions/12.COM/10"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doc/src/LHE-21-16.COM-INF.10_Rev.-EN.pdf" TargetMode="External"/><Relationship Id="rId1" Type="http://schemas.openxmlformats.org/officeDocument/2006/relationships/hyperlink" Target="https://ich.unesco.org/doc/src/LHE-21-16.COM-10_Rev.-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471</TotalTime>
  <Pages>7</Pages>
  <Words>3015</Words>
  <Characters>16587</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82</cp:revision>
  <cp:lastPrinted>2021-11-15T10:20:00Z</cp:lastPrinted>
  <dcterms:created xsi:type="dcterms:W3CDTF">2022-10-23T14:22:00Z</dcterms:created>
  <dcterms:modified xsi:type="dcterms:W3CDTF">2022-10-31T21:34:00Z</dcterms:modified>
</cp:coreProperties>
</file>