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A5A8" w14:textId="77777777" w:rsidR="00B625DE" w:rsidRPr="009D1A93" w:rsidRDefault="009800D3">
      <w:pPr>
        <w:spacing w:before="1440"/>
        <w:jc w:val="center"/>
        <w:rPr>
          <w:rFonts w:ascii="Arial" w:hAnsi="Arial" w:cs="Arial"/>
          <w:b/>
          <w:sz w:val="22"/>
          <w:szCs w:val="22"/>
        </w:rPr>
      </w:pPr>
      <w:r w:rsidRPr="009D1A93">
        <w:rPr>
          <w:rFonts w:ascii="Arial" w:hAnsi="Arial" w:cs="Arial"/>
          <w:b/>
          <w:sz w:val="22"/>
          <w:szCs w:val="22"/>
        </w:rPr>
        <w:t xml:space="preserve">CONVENTION POUR LA SAUVEGARDE DU </w:t>
      </w:r>
      <w:r w:rsidRPr="009D1A93">
        <w:rPr>
          <w:rFonts w:ascii="Arial" w:hAnsi="Arial" w:cs="Arial"/>
          <w:b/>
          <w:sz w:val="22"/>
          <w:szCs w:val="22"/>
        </w:rPr>
        <w:br/>
        <w:t>PATRIMOINE CULTUREL IMMATÉRIEL</w:t>
      </w:r>
    </w:p>
    <w:p w14:paraId="3785FE17" w14:textId="2EE86D64" w:rsidR="00B625DE" w:rsidRPr="009D1A93" w:rsidRDefault="009800D3">
      <w:pPr>
        <w:spacing w:before="1200"/>
        <w:jc w:val="center"/>
        <w:rPr>
          <w:rFonts w:ascii="Arial" w:hAnsi="Arial" w:cs="Arial"/>
          <w:b/>
          <w:sz w:val="22"/>
          <w:szCs w:val="22"/>
        </w:rPr>
      </w:pPr>
      <w:r w:rsidRPr="009D1A93">
        <w:rPr>
          <w:rFonts w:ascii="Arial" w:hAnsi="Arial" w:cs="Arial"/>
          <w:b/>
          <w:sz w:val="22"/>
          <w:szCs w:val="22"/>
        </w:rPr>
        <w:t xml:space="preserve">COMITÉ INTERGOUVERNEMENTAL </w:t>
      </w:r>
      <w:r w:rsidR="00EF662F" w:rsidRPr="009D1A93">
        <w:rPr>
          <w:rFonts w:ascii="Arial" w:hAnsi="Arial" w:cs="Arial"/>
          <w:b/>
          <w:sz w:val="22"/>
          <w:szCs w:val="22"/>
        </w:rPr>
        <w:t>DE</w:t>
      </w:r>
      <w:r w:rsidR="00A70046" w:rsidRPr="009D1A93">
        <w:rPr>
          <w:rFonts w:ascii="Arial" w:hAnsi="Arial" w:cs="Arial"/>
          <w:b/>
          <w:sz w:val="22"/>
          <w:szCs w:val="22"/>
        </w:rPr>
        <w:t xml:space="preserve"> </w:t>
      </w:r>
      <w:r w:rsidRPr="009D1A93">
        <w:rPr>
          <w:rFonts w:ascii="Arial" w:hAnsi="Arial" w:cs="Arial"/>
          <w:b/>
          <w:sz w:val="22"/>
          <w:szCs w:val="22"/>
        </w:rPr>
        <w:t>SAUVEGARDE</w:t>
      </w:r>
      <w:r w:rsidR="00D91F11" w:rsidRPr="009D1A93">
        <w:rPr>
          <w:rFonts w:ascii="Arial" w:hAnsi="Arial" w:cs="Arial"/>
          <w:b/>
          <w:sz w:val="22"/>
          <w:szCs w:val="22"/>
        </w:rPr>
        <w:br/>
      </w:r>
      <w:r w:rsidRPr="009D1A93">
        <w:rPr>
          <w:rFonts w:ascii="Arial" w:hAnsi="Arial" w:cs="Arial"/>
          <w:b/>
          <w:sz w:val="22"/>
          <w:szCs w:val="22"/>
        </w:rPr>
        <w:t>DU PATRIMOINE CULTUREL IMMATÉRIEL</w:t>
      </w:r>
    </w:p>
    <w:p w14:paraId="2A718CF3" w14:textId="77777777" w:rsidR="00B625DE" w:rsidRPr="009D1A93" w:rsidRDefault="009800D3">
      <w:pPr>
        <w:spacing w:before="840"/>
        <w:jc w:val="center"/>
        <w:rPr>
          <w:rFonts w:ascii="Arial" w:hAnsi="Arial" w:cs="Arial"/>
          <w:b/>
          <w:sz w:val="22"/>
          <w:szCs w:val="22"/>
        </w:rPr>
      </w:pPr>
      <w:r w:rsidRPr="009D1A93">
        <w:rPr>
          <w:rFonts w:ascii="Arial" w:eastAsiaTheme="minorEastAsia" w:hAnsi="Arial" w:cs="Arial"/>
          <w:b/>
          <w:sz w:val="22"/>
          <w:szCs w:val="22"/>
          <w:lang w:eastAsia="ko-KR"/>
        </w:rPr>
        <w:t xml:space="preserve">Dix-septième </w:t>
      </w:r>
      <w:r w:rsidR="00EC6F8D" w:rsidRPr="009D1A93">
        <w:rPr>
          <w:rFonts w:ascii="Arial" w:hAnsi="Arial" w:cs="Arial"/>
          <w:b/>
          <w:sz w:val="22"/>
          <w:szCs w:val="22"/>
        </w:rPr>
        <w:t>session</w:t>
      </w:r>
    </w:p>
    <w:p w14:paraId="613922E3" w14:textId="77777777" w:rsidR="00B625DE" w:rsidRPr="009D1A93" w:rsidRDefault="009800D3">
      <w:pPr>
        <w:jc w:val="center"/>
        <w:rPr>
          <w:rFonts w:ascii="Arial" w:hAnsi="Arial" w:cs="Arial"/>
          <w:b/>
          <w:sz w:val="22"/>
          <w:szCs w:val="22"/>
        </w:rPr>
      </w:pPr>
      <w:r w:rsidRPr="009D1A93">
        <w:rPr>
          <w:rFonts w:ascii="Arial" w:hAnsi="Arial" w:cs="Arial"/>
          <w:b/>
          <w:sz w:val="22"/>
          <w:szCs w:val="22"/>
        </w:rPr>
        <w:t xml:space="preserve">Rabat, </w:t>
      </w:r>
      <w:r w:rsidR="00F31F96" w:rsidRPr="009D1A93">
        <w:rPr>
          <w:rFonts w:ascii="Arial" w:hAnsi="Arial" w:cs="Arial"/>
          <w:b/>
          <w:sz w:val="22"/>
          <w:szCs w:val="22"/>
        </w:rPr>
        <w:t xml:space="preserve">Royaume du </w:t>
      </w:r>
      <w:r w:rsidRPr="009D1A93">
        <w:rPr>
          <w:rFonts w:ascii="Arial" w:hAnsi="Arial" w:cs="Arial"/>
          <w:b/>
          <w:sz w:val="22"/>
          <w:szCs w:val="22"/>
        </w:rPr>
        <w:t>Maroc</w:t>
      </w:r>
    </w:p>
    <w:p w14:paraId="67FC4BC8" w14:textId="637D5260" w:rsidR="00B625DE" w:rsidRPr="009D1A93" w:rsidRDefault="009800D3">
      <w:pPr>
        <w:jc w:val="center"/>
        <w:rPr>
          <w:rFonts w:ascii="Arial" w:hAnsi="Arial" w:cs="Arial"/>
          <w:b/>
          <w:sz w:val="22"/>
          <w:szCs w:val="22"/>
        </w:rPr>
      </w:pPr>
      <w:r w:rsidRPr="009D1A93">
        <w:rPr>
          <w:rFonts w:ascii="Arial" w:hAnsi="Arial" w:cs="Arial"/>
          <w:b/>
          <w:sz w:val="22"/>
          <w:szCs w:val="22"/>
        </w:rPr>
        <w:t xml:space="preserve">28 novembre </w:t>
      </w:r>
      <w:r w:rsidR="00C11908" w:rsidRPr="009D1A93">
        <w:rPr>
          <w:rFonts w:ascii="Arial" w:hAnsi="Arial" w:cs="Arial"/>
          <w:b/>
          <w:sz w:val="22"/>
          <w:szCs w:val="22"/>
        </w:rPr>
        <w:t>–</w:t>
      </w:r>
      <w:r w:rsidRPr="009D1A93">
        <w:rPr>
          <w:rFonts w:ascii="Arial" w:hAnsi="Arial" w:cs="Arial"/>
          <w:b/>
          <w:sz w:val="22"/>
          <w:szCs w:val="22"/>
        </w:rPr>
        <w:t xml:space="preserve"> 3</w:t>
      </w:r>
      <w:r w:rsidR="00C11908" w:rsidRPr="009D1A93">
        <w:rPr>
          <w:rFonts w:ascii="Arial" w:hAnsi="Arial" w:cs="Arial"/>
          <w:b/>
          <w:sz w:val="22"/>
          <w:szCs w:val="22"/>
        </w:rPr>
        <w:t xml:space="preserve"> </w:t>
      </w:r>
      <w:r w:rsidR="00B2172B" w:rsidRPr="009D1A93">
        <w:rPr>
          <w:rFonts w:ascii="Arial" w:hAnsi="Arial" w:cs="Arial"/>
          <w:b/>
          <w:sz w:val="22"/>
          <w:szCs w:val="22"/>
        </w:rPr>
        <w:t>décembre 2022</w:t>
      </w:r>
    </w:p>
    <w:p w14:paraId="54F43862" w14:textId="562F9330" w:rsidR="00B625DE" w:rsidRPr="009D1A93" w:rsidRDefault="009800D3">
      <w:pPr>
        <w:pStyle w:val="Sansinterligne2"/>
        <w:spacing w:before="1200"/>
        <w:jc w:val="center"/>
        <w:rPr>
          <w:rFonts w:ascii="Arial" w:hAnsi="Arial" w:cs="Arial"/>
          <w:b/>
          <w:sz w:val="22"/>
          <w:szCs w:val="22"/>
        </w:rPr>
      </w:pPr>
      <w:r w:rsidRPr="009D1A93">
        <w:rPr>
          <w:rFonts w:ascii="Arial" w:hAnsi="Arial" w:cs="Arial"/>
          <w:b/>
          <w:sz w:val="22"/>
          <w:szCs w:val="22"/>
          <w:u w:val="single"/>
        </w:rPr>
        <w:t xml:space="preserve">Point </w:t>
      </w:r>
      <w:r w:rsidR="00703E86" w:rsidRPr="009D1A93">
        <w:rPr>
          <w:rFonts w:ascii="Arial" w:hAnsi="Arial" w:cs="Arial"/>
          <w:b/>
          <w:sz w:val="22"/>
          <w:szCs w:val="22"/>
          <w:u w:val="single"/>
        </w:rPr>
        <w:t xml:space="preserve">5 </w:t>
      </w:r>
      <w:r w:rsidRPr="009D1A93">
        <w:rPr>
          <w:rFonts w:ascii="Arial" w:hAnsi="Arial" w:cs="Arial"/>
          <w:b/>
          <w:sz w:val="22"/>
          <w:szCs w:val="22"/>
          <w:u w:val="single"/>
        </w:rPr>
        <w:t>de l</w:t>
      </w:r>
      <w:r w:rsidR="00CA0916" w:rsidRPr="009D1A93">
        <w:rPr>
          <w:rFonts w:ascii="Arial" w:hAnsi="Arial" w:cs="Arial"/>
          <w:b/>
          <w:sz w:val="22"/>
          <w:szCs w:val="22"/>
          <w:u w:val="single"/>
        </w:rPr>
        <w:t>’</w:t>
      </w:r>
      <w:r w:rsidRPr="009D1A93">
        <w:rPr>
          <w:rFonts w:ascii="Arial" w:hAnsi="Arial" w:cs="Arial"/>
          <w:b/>
          <w:sz w:val="22"/>
          <w:szCs w:val="22"/>
          <w:u w:val="single"/>
        </w:rPr>
        <w:t xml:space="preserve">ordre du jour </w:t>
      </w:r>
      <w:r w:rsidR="00D91F11" w:rsidRPr="009D1A93">
        <w:rPr>
          <w:rFonts w:ascii="Arial" w:hAnsi="Arial" w:cs="Arial"/>
          <w:b/>
          <w:sz w:val="22"/>
          <w:szCs w:val="22"/>
          <w:u w:val="single"/>
        </w:rPr>
        <w:t>provisoire</w:t>
      </w:r>
      <w:r w:rsidR="00D91F11" w:rsidRPr="009D1A93">
        <w:rPr>
          <w:rFonts w:ascii="Arial" w:hAnsi="Arial" w:cs="Arial"/>
          <w:b/>
          <w:sz w:val="22"/>
          <w:szCs w:val="22"/>
        </w:rPr>
        <w:t> </w:t>
      </w:r>
      <w:r w:rsidRPr="009D1A93">
        <w:rPr>
          <w:rFonts w:ascii="Arial" w:hAnsi="Arial" w:cs="Arial"/>
          <w:b/>
          <w:sz w:val="22"/>
          <w:szCs w:val="22"/>
        </w:rPr>
        <w:t>:</w:t>
      </w:r>
    </w:p>
    <w:p w14:paraId="3823E3B0" w14:textId="0DEA35DB" w:rsidR="00B625DE" w:rsidRPr="009D1A93" w:rsidRDefault="009800D3">
      <w:pPr>
        <w:pStyle w:val="Sansinterligne2"/>
        <w:spacing w:after="960"/>
        <w:jc w:val="center"/>
        <w:rPr>
          <w:rFonts w:ascii="Arial" w:hAnsi="Arial" w:cs="Arial"/>
          <w:bCs/>
          <w:sz w:val="22"/>
          <w:szCs w:val="22"/>
        </w:rPr>
      </w:pPr>
      <w:r w:rsidRPr="009D1A93">
        <w:rPr>
          <w:rFonts w:ascii="Arial" w:hAnsi="Arial" w:cs="Arial"/>
          <w:b/>
          <w:sz w:val="22"/>
          <w:szCs w:val="22"/>
        </w:rPr>
        <w:t>Rapport du Secrétariat sur ses activités (</w:t>
      </w:r>
      <w:r w:rsidR="00EF662F" w:rsidRPr="009D1A93">
        <w:rPr>
          <w:rFonts w:ascii="Arial" w:hAnsi="Arial" w:cs="Arial"/>
          <w:b/>
          <w:sz w:val="22"/>
          <w:szCs w:val="22"/>
        </w:rPr>
        <w:t xml:space="preserve">de </w:t>
      </w:r>
      <w:r w:rsidR="00402D9D" w:rsidRPr="009D1A93">
        <w:rPr>
          <w:rFonts w:ascii="Arial" w:hAnsi="Arial" w:cs="Arial"/>
          <w:b/>
          <w:sz w:val="22"/>
          <w:szCs w:val="22"/>
        </w:rPr>
        <w:t xml:space="preserve">janvier </w:t>
      </w:r>
      <w:r w:rsidR="009D1A93" w:rsidRPr="009D1A93">
        <w:rPr>
          <w:rFonts w:ascii="Arial" w:hAnsi="Arial" w:cs="Arial"/>
          <w:b/>
          <w:sz w:val="22"/>
          <w:szCs w:val="22"/>
        </w:rPr>
        <w:t xml:space="preserve">2022 </w:t>
      </w:r>
      <w:r w:rsidRPr="009D1A93">
        <w:rPr>
          <w:rFonts w:ascii="Arial" w:hAnsi="Arial" w:cs="Arial"/>
          <w:b/>
          <w:sz w:val="22"/>
          <w:szCs w:val="22"/>
        </w:rPr>
        <w:t>à juin 2022)</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9D1A93" w14:paraId="2ACD1006" w14:textId="77777777" w:rsidTr="00EC6F8D">
        <w:trPr>
          <w:jc w:val="center"/>
        </w:trPr>
        <w:tc>
          <w:tcPr>
            <w:tcW w:w="5670" w:type="dxa"/>
            <w:vAlign w:val="center"/>
          </w:tcPr>
          <w:p w14:paraId="53E2B9D8" w14:textId="77777777" w:rsidR="00B625DE" w:rsidRPr="009D1A93" w:rsidRDefault="009800D3">
            <w:pPr>
              <w:pStyle w:val="Sansinterligne1"/>
              <w:spacing w:before="200" w:after="200"/>
              <w:jc w:val="center"/>
              <w:rPr>
                <w:rFonts w:ascii="Arial" w:hAnsi="Arial" w:cs="Arial"/>
                <w:b/>
                <w:sz w:val="22"/>
                <w:szCs w:val="22"/>
              </w:rPr>
            </w:pPr>
            <w:r w:rsidRPr="009D1A93">
              <w:rPr>
                <w:rFonts w:ascii="Arial" w:hAnsi="Arial" w:cs="Arial"/>
                <w:b/>
                <w:sz w:val="22"/>
                <w:szCs w:val="22"/>
              </w:rPr>
              <w:t>Résumé</w:t>
            </w:r>
          </w:p>
          <w:p w14:paraId="3C006451" w14:textId="6F607CD1" w:rsidR="00B625DE" w:rsidRPr="009D1A93" w:rsidRDefault="009800D3">
            <w:pPr>
              <w:pStyle w:val="Sansinterligne1"/>
              <w:spacing w:before="200" w:after="200"/>
              <w:jc w:val="both"/>
              <w:rPr>
                <w:rFonts w:asciiTheme="minorBidi" w:hAnsiTheme="minorBidi" w:cstheme="minorBidi"/>
                <w:bCs/>
                <w:sz w:val="22"/>
                <w:szCs w:val="22"/>
              </w:rPr>
            </w:pPr>
            <w:r w:rsidRPr="009D1A93">
              <w:rPr>
                <w:rFonts w:asciiTheme="minorBidi" w:hAnsiTheme="minorBidi" w:cstheme="minorBidi"/>
                <w:bCs/>
                <w:sz w:val="22"/>
                <w:szCs w:val="22"/>
              </w:rPr>
              <w:t xml:space="preserve">Ce document </w:t>
            </w:r>
            <w:r w:rsidR="00217864" w:rsidRPr="009D1A93">
              <w:rPr>
                <w:rFonts w:asciiTheme="minorBidi" w:hAnsiTheme="minorBidi" w:cstheme="minorBidi"/>
                <w:bCs/>
                <w:sz w:val="22"/>
                <w:szCs w:val="22"/>
              </w:rPr>
              <w:t>offre</w:t>
            </w:r>
            <w:r w:rsidRPr="009D1A93">
              <w:rPr>
                <w:rFonts w:asciiTheme="minorBidi" w:hAnsiTheme="minorBidi" w:cstheme="minorBidi"/>
                <w:bCs/>
                <w:sz w:val="22"/>
                <w:szCs w:val="22"/>
              </w:rPr>
              <w:t xml:space="preserve"> un aperçu des activités entreprises par le Secrétariat de la Convention de</w:t>
            </w:r>
            <w:r w:rsidR="00217864" w:rsidRPr="009D1A93">
              <w:rPr>
                <w:rFonts w:asciiTheme="minorBidi" w:hAnsiTheme="minorBidi" w:cstheme="minorBidi"/>
                <w:bCs/>
                <w:sz w:val="22"/>
                <w:szCs w:val="22"/>
              </w:rPr>
              <w:t> </w:t>
            </w:r>
            <w:r w:rsidRPr="009D1A93">
              <w:rPr>
                <w:rFonts w:asciiTheme="minorBidi" w:hAnsiTheme="minorBidi" w:cstheme="minorBidi"/>
                <w:bCs/>
                <w:sz w:val="22"/>
                <w:szCs w:val="22"/>
              </w:rPr>
              <w:t>2003 du 1</w:t>
            </w:r>
            <w:r w:rsidRPr="009D1A93">
              <w:rPr>
                <w:rFonts w:asciiTheme="minorBidi" w:hAnsiTheme="minorBidi" w:cstheme="minorBidi"/>
                <w:bCs/>
                <w:sz w:val="22"/>
                <w:szCs w:val="22"/>
                <w:vertAlign w:val="superscript"/>
              </w:rPr>
              <w:t>er</w:t>
            </w:r>
            <w:r w:rsidR="00217864" w:rsidRPr="009D1A93">
              <w:rPr>
                <w:rFonts w:asciiTheme="minorBidi" w:hAnsiTheme="minorBidi" w:cstheme="minorBidi"/>
                <w:bCs/>
                <w:sz w:val="22"/>
                <w:szCs w:val="22"/>
              </w:rPr>
              <w:t> </w:t>
            </w:r>
            <w:r w:rsidRPr="009D1A93">
              <w:rPr>
                <w:rFonts w:asciiTheme="minorBidi" w:hAnsiTheme="minorBidi" w:cstheme="minorBidi"/>
                <w:bCs/>
                <w:sz w:val="22"/>
                <w:szCs w:val="22"/>
              </w:rPr>
              <w:t>janvier</w:t>
            </w:r>
            <w:r w:rsidR="00217864" w:rsidRPr="009D1A93">
              <w:rPr>
                <w:rFonts w:asciiTheme="minorBidi" w:hAnsiTheme="minorBidi" w:cstheme="minorBidi"/>
                <w:bCs/>
                <w:sz w:val="22"/>
                <w:szCs w:val="22"/>
              </w:rPr>
              <w:t> </w:t>
            </w:r>
            <w:r w:rsidRPr="009D1A93">
              <w:rPr>
                <w:rFonts w:asciiTheme="minorBidi" w:hAnsiTheme="minorBidi" w:cstheme="minorBidi"/>
                <w:bCs/>
                <w:sz w:val="22"/>
                <w:szCs w:val="22"/>
              </w:rPr>
              <w:t>2022 au 30</w:t>
            </w:r>
            <w:r w:rsidR="00217864" w:rsidRPr="009D1A93">
              <w:rPr>
                <w:rFonts w:asciiTheme="minorBidi" w:hAnsiTheme="minorBidi" w:cstheme="minorBidi"/>
                <w:bCs/>
                <w:sz w:val="22"/>
                <w:szCs w:val="22"/>
              </w:rPr>
              <w:t> </w:t>
            </w:r>
            <w:r w:rsidRPr="009D1A93">
              <w:rPr>
                <w:rFonts w:asciiTheme="minorBidi" w:hAnsiTheme="minorBidi" w:cstheme="minorBidi"/>
                <w:bCs/>
                <w:sz w:val="22"/>
                <w:szCs w:val="22"/>
              </w:rPr>
              <w:t>juin</w:t>
            </w:r>
            <w:r w:rsidR="00217864" w:rsidRPr="009D1A93">
              <w:rPr>
                <w:rFonts w:asciiTheme="minorBidi" w:hAnsiTheme="minorBidi" w:cstheme="minorBidi"/>
                <w:bCs/>
                <w:sz w:val="22"/>
                <w:szCs w:val="22"/>
              </w:rPr>
              <w:t> </w:t>
            </w:r>
            <w:r w:rsidRPr="009D1A93">
              <w:rPr>
                <w:rFonts w:asciiTheme="minorBidi" w:hAnsiTheme="minorBidi" w:cstheme="minorBidi"/>
                <w:bCs/>
                <w:sz w:val="22"/>
                <w:szCs w:val="22"/>
              </w:rPr>
              <w:t>2022.</w:t>
            </w:r>
          </w:p>
          <w:p w14:paraId="761550E3" w14:textId="77777777" w:rsidR="00B625DE" w:rsidRPr="009D1A93" w:rsidRDefault="009800D3">
            <w:pPr>
              <w:pStyle w:val="Sansinterligne2"/>
              <w:spacing w:before="200" w:after="200"/>
              <w:jc w:val="both"/>
              <w:rPr>
                <w:rFonts w:ascii="Arial" w:hAnsi="Arial" w:cs="Arial"/>
                <w:b/>
                <w:sz w:val="22"/>
                <w:szCs w:val="22"/>
              </w:rPr>
            </w:pPr>
            <w:r w:rsidRPr="009D1A93">
              <w:rPr>
                <w:rFonts w:ascii="Arial" w:hAnsi="Arial" w:cs="Arial"/>
                <w:b/>
                <w:sz w:val="22"/>
                <w:szCs w:val="22"/>
              </w:rPr>
              <w:t xml:space="preserve">Décision requise : </w:t>
            </w:r>
            <w:r w:rsidRPr="009D1A93">
              <w:rPr>
                <w:rFonts w:ascii="Arial" w:hAnsi="Arial" w:cs="Arial"/>
                <w:bCs/>
                <w:sz w:val="22"/>
                <w:szCs w:val="22"/>
              </w:rPr>
              <w:t xml:space="preserve">paragraphe </w:t>
            </w:r>
            <w:r w:rsidR="0025776C" w:rsidRPr="009D1A93">
              <w:rPr>
                <w:rFonts w:ascii="Arial" w:hAnsi="Arial" w:cs="Arial"/>
                <w:bCs/>
                <w:sz w:val="22"/>
                <w:szCs w:val="22"/>
              </w:rPr>
              <w:t>27</w:t>
            </w:r>
          </w:p>
        </w:tc>
      </w:tr>
    </w:tbl>
    <w:p w14:paraId="17EC7DE4" w14:textId="77777777" w:rsidR="004A2875" w:rsidRPr="00F2660D" w:rsidRDefault="00655736" w:rsidP="00C25012">
      <w:pPr>
        <w:pStyle w:val="Paragraphedeliste"/>
        <w:keepLines/>
        <w:numPr>
          <w:ilvl w:val="0"/>
          <w:numId w:val="5"/>
        </w:numPr>
        <w:spacing w:after="240"/>
        <w:ind w:left="567" w:hanging="567"/>
        <w:contextualSpacing w:val="0"/>
        <w:rPr>
          <w:rFonts w:ascii="Arial" w:hAnsi="Arial" w:cs="Arial"/>
          <w:b/>
          <w:snapToGrid w:val="0"/>
          <w:sz w:val="22"/>
          <w:szCs w:val="22"/>
          <w:lang w:eastAsia="en-US"/>
        </w:rPr>
      </w:pPr>
      <w:r w:rsidRPr="00F2660D">
        <w:rPr>
          <w:sz w:val="22"/>
          <w:szCs w:val="22"/>
        </w:rPr>
        <w:br w:type="page"/>
      </w:r>
    </w:p>
    <w:p w14:paraId="66A640C8" w14:textId="77777777" w:rsidR="00B625DE" w:rsidRPr="00F2660D" w:rsidRDefault="009800D3">
      <w:pPr>
        <w:pStyle w:val="COMPara"/>
        <w:numPr>
          <w:ilvl w:val="0"/>
          <w:numId w:val="0"/>
        </w:numPr>
        <w:spacing w:before="240"/>
        <w:jc w:val="both"/>
        <w:rPr>
          <w:rFonts w:asciiTheme="minorBidi" w:hAnsiTheme="minorBidi" w:cstheme="minorBidi"/>
          <w:b/>
          <w:bCs/>
          <w:lang w:val="fr-FR"/>
        </w:rPr>
      </w:pPr>
      <w:r w:rsidRPr="00F2660D">
        <w:rPr>
          <w:rFonts w:asciiTheme="minorBidi" w:hAnsiTheme="minorBidi" w:cstheme="minorBidi"/>
          <w:b/>
          <w:bCs/>
          <w:lang w:val="fr-FR"/>
        </w:rPr>
        <w:lastRenderedPageBreak/>
        <w:t>Introduction</w:t>
      </w:r>
    </w:p>
    <w:p w14:paraId="13103843" w14:textId="56ADD813" w:rsidR="00B625DE" w:rsidRPr="009D1A93" w:rsidRDefault="009800D3">
      <w:pPr>
        <w:pStyle w:val="GAPara"/>
        <w:numPr>
          <w:ilvl w:val="0"/>
          <w:numId w:val="6"/>
        </w:numPr>
        <w:ind w:left="567" w:hanging="567"/>
        <w:jc w:val="both"/>
        <w:rPr>
          <w:rFonts w:asciiTheme="minorBidi" w:hAnsiTheme="minorBidi" w:cstheme="minorBidi"/>
          <w:bCs/>
          <w:lang w:val="fr-FR"/>
        </w:rPr>
      </w:pPr>
      <w:r w:rsidRPr="009D1A93">
        <w:rPr>
          <w:rFonts w:asciiTheme="minorBidi" w:hAnsiTheme="minorBidi" w:cstheme="minorBidi"/>
          <w:lang w:val="fr-FR"/>
        </w:rPr>
        <w:t>Le présent rapport</w:t>
      </w:r>
      <w:r w:rsidR="00B86078" w:rsidRPr="00F2660D">
        <w:rPr>
          <w:rStyle w:val="Appelnotedebasdep"/>
          <w:rFonts w:asciiTheme="minorBidi" w:hAnsiTheme="minorBidi" w:cstheme="minorBidi"/>
          <w:lang w:val="fr-FR"/>
        </w:rPr>
        <w:footnoteReference w:id="1"/>
      </w:r>
      <w:r w:rsidR="007E07FA" w:rsidRPr="009D1A93">
        <w:rPr>
          <w:rFonts w:asciiTheme="minorBidi" w:hAnsiTheme="minorBidi" w:cstheme="minorBidi"/>
          <w:lang w:val="fr-FR"/>
        </w:rPr>
        <w:t xml:space="preserve"> donne un aperçu des activités du Secrétariat, de ses principales réalisations et des défis rencontrés </w:t>
      </w:r>
      <w:r w:rsidRPr="009D1A93">
        <w:rPr>
          <w:rFonts w:asciiTheme="minorBidi" w:hAnsiTheme="minorBidi" w:cstheme="minorBidi"/>
          <w:lang w:val="fr-FR"/>
        </w:rPr>
        <w:t>de janvier à juin 2022</w:t>
      </w:r>
      <w:r w:rsidRPr="009D1A93">
        <w:rPr>
          <w:rFonts w:asciiTheme="minorBidi" w:hAnsiTheme="minorBidi" w:cstheme="minorBidi"/>
          <w:bCs/>
          <w:lang w:val="fr-FR"/>
        </w:rPr>
        <w:t xml:space="preserve">. </w:t>
      </w:r>
      <w:r w:rsidR="008438B1" w:rsidRPr="009D1A93">
        <w:rPr>
          <w:rFonts w:asciiTheme="minorBidi" w:hAnsiTheme="minorBidi" w:cstheme="minorBidi"/>
          <w:bCs/>
          <w:lang w:val="fr-FR"/>
        </w:rPr>
        <w:t xml:space="preserve">La période couverte par le </w:t>
      </w:r>
      <w:r w:rsidR="005E7DD2" w:rsidRPr="009D1A93">
        <w:rPr>
          <w:rFonts w:asciiTheme="minorBidi" w:hAnsiTheme="minorBidi" w:cstheme="minorBidi"/>
          <w:bCs/>
          <w:lang w:val="fr-FR"/>
        </w:rPr>
        <w:t xml:space="preserve">rapport est alignée sur </w:t>
      </w:r>
      <w:r w:rsidR="008438B1" w:rsidRPr="009D1A93">
        <w:rPr>
          <w:rFonts w:asciiTheme="minorBidi" w:hAnsiTheme="minorBidi" w:cstheme="minorBidi"/>
          <w:bCs/>
          <w:lang w:val="fr-FR"/>
        </w:rPr>
        <w:t>d</w:t>
      </w:r>
      <w:r w:rsidR="00CA0916" w:rsidRPr="009D1A93">
        <w:rPr>
          <w:rFonts w:asciiTheme="minorBidi" w:hAnsiTheme="minorBidi" w:cstheme="minorBidi"/>
          <w:bCs/>
          <w:lang w:val="fr-FR"/>
        </w:rPr>
        <w:t>’</w:t>
      </w:r>
      <w:r w:rsidR="008438B1" w:rsidRPr="009D1A93">
        <w:rPr>
          <w:rFonts w:asciiTheme="minorBidi" w:hAnsiTheme="minorBidi" w:cstheme="minorBidi"/>
          <w:bCs/>
          <w:lang w:val="fr-FR"/>
        </w:rPr>
        <w:t>autres processus d</w:t>
      </w:r>
      <w:r w:rsidR="00CA0916" w:rsidRPr="009D1A93">
        <w:rPr>
          <w:rFonts w:asciiTheme="minorBidi" w:hAnsiTheme="minorBidi" w:cstheme="minorBidi"/>
          <w:bCs/>
          <w:lang w:val="fr-FR"/>
        </w:rPr>
        <w:t>’</w:t>
      </w:r>
      <w:r w:rsidR="008438B1" w:rsidRPr="009D1A93">
        <w:rPr>
          <w:rFonts w:asciiTheme="minorBidi" w:hAnsiTheme="minorBidi" w:cstheme="minorBidi"/>
          <w:bCs/>
          <w:lang w:val="fr-FR"/>
        </w:rPr>
        <w:t xml:space="preserve">établissement de rapports de </w:t>
      </w:r>
      <w:r w:rsidR="005E7DD2" w:rsidRPr="009D1A93">
        <w:rPr>
          <w:rFonts w:asciiTheme="minorBidi" w:hAnsiTheme="minorBidi" w:cstheme="minorBidi"/>
          <w:bCs/>
          <w:lang w:val="fr-FR"/>
        </w:rPr>
        <w:t>l</w:t>
      </w:r>
      <w:r w:rsidR="00CA0916" w:rsidRPr="009D1A93">
        <w:rPr>
          <w:rFonts w:asciiTheme="minorBidi" w:hAnsiTheme="minorBidi" w:cstheme="minorBidi"/>
          <w:bCs/>
          <w:lang w:val="fr-FR"/>
        </w:rPr>
        <w:t>’</w:t>
      </w:r>
      <w:r w:rsidR="005E7DD2" w:rsidRPr="009D1A93">
        <w:rPr>
          <w:rFonts w:asciiTheme="minorBidi" w:hAnsiTheme="minorBidi" w:cstheme="minorBidi"/>
          <w:bCs/>
          <w:lang w:val="fr-FR"/>
        </w:rPr>
        <w:t>UNESCO</w:t>
      </w:r>
      <w:r w:rsidR="008438B1" w:rsidRPr="009D1A93">
        <w:rPr>
          <w:rFonts w:asciiTheme="minorBidi" w:hAnsiTheme="minorBidi" w:cstheme="minorBidi"/>
          <w:bCs/>
          <w:lang w:val="fr-FR"/>
        </w:rPr>
        <w:t xml:space="preserve">, à savoir le </w:t>
      </w:r>
      <w:hyperlink r:id="rId11" w:history="1">
        <w:r w:rsidR="008438B1" w:rsidRPr="009D1A93">
          <w:rPr>
            <w:rStyle w:val="Lienhypertexte"/>
            <w:rFonts w:asciiTheme="minorBidi" w:hAnsiTheme="minorBidi" w:cstheme="minorBidi"/>
            <w:bCs/>
            <w:lang w:val="fr-FR"/>
          </w:rPr>
          <w:t>rapport d</w:t>
        </w:r>
        <w:r w:rsidR="00C71929" w:rsidRPr="009D1A93">
          <w:rPr>
            <w:rStyle w:val="Lienhypertexte"/>
            <w:rFonts w:asciiTheme="minorBidi" w:hAnsiTheme="minorBidi" w:cstheme="minorBidi"/>
            <w:bCs/>
            <w:lang w:val="fr-FR"/>
          </w:rPr>
          <w:t>e la</w:t>
        </w:r>
        <w:r w:rsidR="008438B1" w:rsidRPr="009D1A93">
          <w:rPr>
            <w:rStyle w:val="Lienhypertexte"/>
            <w:rFonts w:asciiTheme="minorBidi" w:hAnsiTheme="minorBidi" w:cstheme="minorBidi"/>
            <w:bCs/>
            <w:lang w:val="fr-FR"/>
          </w:rPr>
          <w:t xml:space="preserve"> Directr</w:t>
        </w:r>
        <w:r w:rsidR="00C71929" w:rsidRPr="009D1A93">
          <w:rPr>
            <w:rStyle w:val="Lienhypertexte"/>
            <w:rFonts w:asciiTheme="minorBidi" w:hAnsiTheme="minorBidi" w:cstheme="minorBidi"/>
            <w:bCs/>
            <w:lang w:val="fr-FR"/>
          </w:rPr>
          <w:t>ice</w:t>
        </w:r>
        <w:r w:rsidR="008438B1" w:rsidRPr="009D1A93">
          <w:rPr>
            <w:rStyle w:val="Lienhypertexte"/>
            <w:rFonts w:asciiTheme="minorBidi" w:hAnsiTheme="minorBidi" w:cstheme="minorBidi"/>
            <w:bCs/>
            <w:lang w:val="fr-FR"/>
          </w:rPr>
          <w:t xml:space="preserve"> général</w:t>
        </w:r>
        <w:r w:rsidR="00C71929" w:rsidRPr="009D1A93">
          <w:rPr>
            <w:rStyle w:val="Lienhypertexte"/>
            <w:rFonts w:asciiTheme="minorBidi" w:hAnsiTheme="minorBidi" w:cstheme="minorBidi"/>
            <w:bCs/>
            <w:lang w:val="fr-FR"/>
          </w:rPr>
          <w:t>e</w:t>
        </w:r>
      </w:hyperlink>
      <w:r w:rsidR="008438B1" w:rsidRPr="009D1A93">
        <w:rPr>
          <w:rFonts w:asciiTheme="minorBidi" w:hAnsiTheme="minorBidi" w:cstheme="minorBidi"/>
          <w:bCs/>
          <w:lang w:val="fr-FR"/>
        </w:rPr>
        <w:t xml:space="preserve"> au Conseil exécutif sur </w:t>
      </w:r>
      <w:r w:rsidR="00C71929" w:rsidRPr="009D1A93">
        <w:rPr>
          <w:rFonts w:asciiTheme="minorBidi" w:hAnsiTheme="minorBidi" w:cstheme="minorBidi"/>
          <w:bCs/>
          <w:lang w:val="fr-FR"/>
        </w:rPr>
        <w:t xml:space="preserve">la mise en œuvre </w:t>
      </w:r>
      <w:r w:rsidR="008438B1" w:rsidRPr="009D1A93">
        <w:rPr>
          <w:rFonts w:asciiTheme="minorBidi" w:hAnsiTheme="minorBidi" w:cstheme="minorBidi"/>
          <w:bCs/>
          <w:lang w:val="fr-FR"/>
        </w:rPr>
        <w:t>des six premiers mois de l</w:t>
      </w:r>
      <w:r w:rsidR="00CA0916" w:rsidRPr="009D1A93">
        <w:rPr>
          <w:rFonts w:asciiTheme="minorBidi" w:hAnsiTheme="minorBidi" w:cstheme="minorBidi"/>
          <w:bCs/>
          <w:lang w:val="fr-FR"/>
        </w:rPr>
        <w:t>’</w:t>
      </w:r>
      <w:r w:rsidR="008438B1" w:rsidRPr="009D1A93">
        <w:rPr>
          <w:rFonts w:asciiTheme="minorBidi" w:hAnsiTheme="minorBidi" w:cstheme="minorBidi"/>
          <w:bCs/>
          <w:lang w:val="fr-FR"/>
        </w:rPr>
        <w:t xml:space="preserve">exercice biennal 2022-2023 du </w:t>
      </w:r>
      <w:hyperlink r:id="rId12" w:history="1">
        <w:r w:rsidR="008438B1" w:rsidRPr="009D1A93">
          <w:rPr>
            <w:rStyle w:val="Lienhypertexte"/>
            <w:rFonts w:asciiTheme="minorBidi" w:hAnsiTheme="minorBidi" w:cstheme="minorBidi"/>
            <w:bCs/>
            <w:lang w:val="fr-FR"/>
          </w:rPr>
          <w:t xml:space="preserve">programme et budget approuvé 41C/5 </w:t>
        </w:r>
        <w:r w:rsidR="008438B1" w:rsidRPr="009D1A93">
          <w:rPr>
            <w:rStyle w:val="Lienhypertexte"/>
            <w:rFonts w:asciiTheme="minorBidi" w:hAnsiTheme="minorBidi" w:cstheme="minorBidi"/>
            <w:lang w:val="fr-FR"/>
          </w:rPr>
          <w:t>pour 2022-2025</w:t>
        </w:r>
      </w:hyperlink>
      <w:r w:rsidR="0049565D" w:rsidRPr="009D1A93">
        <w:rPr>
          <w:rFonts w:asciiTheme="minorBidi" w:hAnsiTheme="minorBidi" w:cstheme="minorBidi"/>
          <w:lang w:val="fr-FR"/>
        </w:rPr>
        <w:t>. En outre, l</w:t>
      </w:r>
      <w:r w:rsidR="00CA0916" w:rsidRPr="009D1A93">
        <w:rPr>
          <w:rFonts w:asciiTheme="minorBidi" w:hAnsiTheme="minorBidi" w:cstheme="minorBidi"/>
          <w:lang w:val="fr-FR"/>
        </w:rPr>
        <w:t>’</w:t>
      </w:r>
      <w:r w:rsidR="00EC259C" w:rsidRPr="009D1A93">
        <w:rPr>
          <w:rFonts w:asciiTheme="minorBidi" w:hAnsiTheme="minorBidi" w:cstheme="minorBidi"/>
          <w:lang w:val="fr-FR"/>
        </w:rPr>
        <w:t xml:space="preserve">annexe I démontre la contribution du travail du Secrétariat au cadre de résultats du </w:t>
      </w:r>
      <w:r w:rsidR="007C2B6B" w:rsidRPr="009D1A93">
        <w:rPr>
          <w:rFonts w:asciiTheme="minorBidi" w:hAnsiTheme="minorBidi" w:cstheme="minorBidi"/>
          <w:lang w:val="fr-FR"/>
        </w:rPr>
        <w:t xml:space="preserve">41C/5 </w:t>
      </w:r>
      <w:r w:rsidR="00EC259C" w:rsidRPr="009D1A93">
        <w:rPr>
          <w:rFonts w:asciiTheme="minorBidi" w:hAnsiTheme="minorBidi" w:cstheme="minorBidi"/>
          <w:lang w:val="fr-FR"/>
        </w:rPr>
        <w:t xml:space="preserve">et, plus particulièrement, aux indicateurs de performance </w:t>
      </w:r>
      <w:r w:rsidR="007C2B6B" w:rsidRPr="009D1A93">
        <w:rPr>
          <w:rFonts w:asciiTheme="minorBidi" w:hAnsiTheme="minorBidi" w:cstheme="minorBidi"/>
          <w:iCs/>
          <w:lang w:val="fr-FR"/>
        </w:rPr>
        <w:t>du résultat 5.CLT4 (</w:t>
      </w:r>
      <w:r w:rsidRPr="009D1A93">
        <w:rPr>
          <w:rFonts w:asciiTheme="minorBidi" w:hAnsiTheme="minorBidi" w:cstheme="minorBidi"/>
          <w:iCs/>
          <w:lang w:val="fr-FR"/>
        </w:rPr>
        <w:t>« </w:t>
      </w:r>
      <w:r w:rsidR="007C2B6B" w:rsidRPr="009D1A93">
        <w:rPr>
          <w:rFonts w:asciiTheme="minorBidi" w:hAnsiTheme="minorBidi" w:cstheme="minorBidi"/>
          <w:iCs/>
          <w:lang w:val="fr-FR"/>
        </w:rPr>
        <w:t>Renforcement des capacités des États membres et des communautés à identifier, sauvegarder et promouvoir le patrimoine vivant</w:t>
      </w:r>
      <w:r w:rsidRPr="009D1A93">
        <w:rPr>
          <w:rFonts w:asciiTheme="minorBidi" w:hAnsiTheme="minorBidi" w:cstheme="minorBidi"/>
          <w:iCs/>
          <w:lang w:val="fr-FR"/>
        </w:rPr>
        <w:t> »</w:t>
      </w:r>
      <w:r w:rsidR="007C2B6B" w:rsidRPr="009D1A93">
        <w:rPr>
          <w:rFonts w:asciiTheme="minorBidi" w:hAnsiTheme="minorBidi" w:cstheme="minorBidi"/>
          <w:iCs/>
          <w:lang w:val="fr-FR"/>
        </w:rPr>
        <w:t>) du grand programme IV</w:t>
      </w:r>
      <w:r w:rsidR="00B2227D" w:rsidRPr="009D1A93">
        <w:rPr>
          <w:rFonts w:asciiTheme="minorBidi" w:hAnsiTheme="minorBidi" w:cstheme="minorBidi"/>
          <w:iCs/>
          <w:lang w:val="fr-FR"/>
        </w:rPr>
        <w:t xml:space="preserve">. </w:t>
      </w:r>
      <w:r w:rsidR="00C14BA9" w:rsidRPr="009D1A93">
        <w:rPr>
          <w:rFonts w:asciiTheme="minorBidi" w:hAnsiTheme="minorBidi" w:cstheme="minorBidi"/>
          <w:iCs/>
          <w:lang w:val="fr-FR"/>
        </w:rPr>
        <w:t>En outre, des références sont faites à l</w:t>
      </w:r>
      <w:r w:rsidR="00CA0916" w:rsidRPr="009D1A93">
        <w:rPr>
          <w:rFonts w:asciiTheme="minorBidi" w:hAnsiTheme="minorBidi" w:cstheme="minorBidi"/>
          <w:iCs/>
          <w:lang w:val="fr-FR"/>
        </w:rPr>
        <w:t>’</w:t>
      </w:r>
      <w:r w:rsidRPr="009D1A93">
        <w:rPr>
          <w:rFonts w:asciiTheme="minorBidi" w:hAnsiTheme="minorBidi" w:cstheme="minorBidi"/>
          <w:iCs/>
          <w:lang w:val="fr-FR"/>
        </w:rPr>
        <w:t>évaluation de</w:t>
      </w:r>
      <w:r w:rsidR="00C14BA9" w:rsidRPr="009D1A93">
        <w:rPr>
          <w:rFonts w:asciiTheme="minorBidi" w:hAnsiTheme="minorBidi" w:cstheme="minorBidi"/>
          <w:iCs/>
          <w:lang w:val="fr-FR"/>
        </w:rPr>
        <w:t xml:space="preserve"> l</w:t>
      </w:r>
      <w:r w:rsidR="00CA0916" w:rsidRPr="009D1A93">
        <w:rPr>
          <w:rFonts w:asciiTheme="minorBidi" w:hAnsiTheme="minorBidi" w:cstheme="minorBidi"/>
          <w:iCs/>
          <w:lang w:val="fr-FR"/>
        </w:rPr>
        <w:t>’</w:t>
      </w:r>
      <w:r w:rsidR="00C14BA9" w:rsidRPr="009D1A93">
        <w:rPr>
          <w:rFonts w:asciiTheme="minorBidi" w:hAnsiTheme="minorBidi" w:cstheme="minorBidi"/>
          <w:iCs/>
          <w:lang w:val="fr-FR"/>
        </w:rPr>
        <w:t>action de l</w:t>
      </w:r>
      <w:r w:rsidR="00CA0916" w:rsidRPr="009D1A93">
        <w:rPr>
          <w:rFonts w:asciiTheme="minorBidi" w:hAnsiTheme="minorBidi" w:cstheme="minorBidi"/>
          <w:iCs/>
          <w:lang w:val="fr-FR"/>
        </w:rPr>
        <w:t>’</w:t>
      </w:r>
      <w:r w:rsidR="00C14BA9" w:rsidRPr="009D1A93">
        <w:rPr>
          <w:rFonts w:asciiTheme="minorBidi" w:hAnsiTheme="minorBidi" w:cstheme="minorBidi"/>
          <w:iCs/>
          <w:lang w:val="fr-FR"/>
        </w:rPr>
        <w:t xml:space="preserve">UNESCO dans le cadre de la Convention de 2003 par </w:t>
      </w:r>
      <w:hyperlink r:id="rId13" w:history="1">
        <w:r w:rsidR="00C14BA9" w:rsidRPr="009D1A93">
          <w:rPr>
            <w:rStyle w:val="Lienhypertexte"/>
            <w:rFonts w:asciiTheme="minorBidi" w:hAnsiTheme="minorBidi" w:cstheme="minorBidi"/>
            <w:iCs/>
            <w:lang w:val="fr-FR"/>
          </w:rPr>
          <w:t>IOS 2021</w:t>
        </w:r>
      </w:hyperlink>
      <w:r w:rsidR="00CB5726" w:rsidRPr="009D1A93">
        <w:rPr>
          <w:rFonts w:asciiTheme="minorBidi" w:hAnsiTheme="minorBidi" w:cstheme="minorBidi"/>
          <w:iCs/>
          <w:lang w:val="fr-FR"/>
        </w:rPr>
        <w:t xml:space="preserve"> (document</w:t>
      </w:r>
      <w:r w:rsidR="003126D3">
        <w:rPr>
          <w:rFonts w:asciiTheme="minorBidi" w:hAnsiTheme="minorBidi" w:cstheme="minorBidi"/>
          <w:iCs/>
          <w:lang w:val="fr-FR"/>
        </w:rPr>
        <w:t>s</w:t>
      </w:r>
      <w:r w:rsidR="00CB5726" w:rsidRPr="009D1A93">
        <w:rPr>
          <w:rFonts w:asciiTheme="minorBidi" w:hAnsiTheme="minorBidi" w:cstheme="minorBidi"/>
          <w:iCs/>
          <w:lang w:val="fr-FR"/>
        </w:rPr>
        <w:t xml:space="preserve"> </w:t>
      </w:r>
      <w:hyperlink r:id="rId14" w:history="1">
        <w:r w:rsidR="00CB5726" w:rsidRPr="009D1A93">
          <w:rPr>
            <w:rStyle w:val="Lienhypertexte"/>
            <w:rFonts w:asciiTheme="minorBidi" w:hAnsiTheme="minorBidi" w:cstheme="minorBidi"/>
            <w:iCs/>
            <w:lang w:val="fr-FR"/>
          </w:rPr>
          <w:t>LHE/21/16.COM/10 Rev.</w:t>
        </w:r>
      </w:hyperlink>
      <w:r w:rsidR="00CB5726" w:rsidRPr="009D1A93">
        <w:rPr>
          <w:rFonts w:asciiTheme="minorBidi" w:hAnsiTheme="minorBidi" w:cstheme="minorBidi"/>
          <w:iCs/>
          <w:lang w:val="fr-FR"/>
        </w:rPr>
        <w:t xml:space="preserve"> et </w:t>
      </w:r>
      <w:hyperlink r:id="rId15" w:history="1">
        <w:r w:rsidR="00CB5726" w:rsidRPr="009D1A93">
          <w:rPr>
            <w:rStyle w:val="Lienhypertexte"/>
            <w:rFonts w:asciiTheme="minorBidi" w:hAnsiTheme="minorBidi" w:cstheme="minorBidi"/>
            <w:iCs/>
            <w:lang w:val="fr-FR"/>
          </w:rPr>
          <w:t>LHE</w:t>
        </w:r>
        <w:r w:rsidR="00D536DF" w:rsidRPr="009D1A93">
          <w:rPr>
            <w:rStyle w:val="Lienhypertexte"/>
            <w:rFonts w:asciiTheme="minorBidi" w:hAnsiTheme="minorBidi" w:cstheme="minorBidi"/>
            <w:iCs/>
            <w:lang w:val="fr-FR"/>
          </w:rPr>
          <w:t>/</w:t>
        </w:r>
        <w:r w:rsidR="00CB5726" w:rsidRPr="009D1A93">
          <w:rPr>
            <w:rStyle w:val="Lienhypertexte"/>
            <w:rFonts w:asciiTheme="minorBidi" w:hAnsiTheme="minorBidi" w:cstheme="minorBidi"/>
            <w:iCs/>
            <w:lang w:val="fr-FR"/>
          </w:rPr>
          <w:t>21/16.COM/INF.10 Rev</w:t>
        </w:r>
      </w:hyperlink>
      <w:r w:rsidR="00CB5726" w:rsidRPr="009D1A93">
        <w:rPr>
          <w:rFonts w:asciiTheme="minorBidi" w:hAnsiTheme="minorBidi" w:cstheme="minorBidi"/>
          <w:iCs/>
          <w:lang w:val="fr-FR"/>
        </w:rPr>
        <w:t>.)</w:t>
      </w:r>
      <w:r w:rsidR="00C14BA9" w:rsidRPr="009D1A93">
        <w:rPr>
          <w:rFonts w:asciiTheme="minorBidi" w:hAnsiTheme="minorBidi" w:cstheme="minorBidi"/>
          <w:iCs/>
          <w:lang w:val="fr-FR"/>
        </w:rPr>
        <w:t>.</w:t>
      </w:r>
    </w:p>
    <w:p w14:paraId="704B22A0" w14:textId="1820C6EF" w:rsidR="00B625DE" w:rsidRPr="009D1A93" w:rsidRDefault="009800D3">
      <w:pPr>
        <w:pStyle w:val="GAPara"/>
        <w:numPr>
          <w:ilvl w:val="0"/>
          <w:numId w:val="6"/>
        </w:numPr>
        <w:ind w:left="567" w:hanging="567"/>
        <w:jc w:val="both"/>
        <w:rPr>
          <w:rFonts w:asciiTheme="minorBidi" w:hAnsiTheme="minorBidi" w:cstheme="minorBidi"/>
          <w:bCs/>
          <w:lang w:val="fr-FR"/>
        </w:rPr>
      </w:pPr>
      <w:r w:rsidRPr="009D1A93">
        <w:rPr>
          <w:rFonts w:asciiTheme="minorBidi" w:hAnsiTheme="minorBidi" w:cstheme="minorBidi"/>
          <w:bCs/>
          <w:lang w:val="fr-FR"/>
        </w:rPr>
        <w:t>L</w:t>
      </w:r>
      <w:r w:rsidR="00CA0916" w:rsidRPr="009D1A93">
        <w:rPr>
          <w:rFonts w:asciiTheme="minorBidi" w:hAnsiTheme="minorBidi" w:cstheme="minorBidi"/>
          <w:bCs/>
          <w:lang w:val="fr-FR"/>
        </w:rPr>
        <w:t>’</w:t>
      </w:r>
      <w:r w:rsidRPr="009D1A93">
        <w:rPr>
          <w:rFonts w:asciiTheme="minorBidi" w:hAnsiTheme="minorBidi" w:cstheme="minorBidi"/>
          <w:bCs/>
          <w:lang w:val="fr-FR"/>
        </w:rPr>
        <w:t xml:space="preserve">Entité du patrimoine vivant fait office de Secrétariat de la Convention. Elle est structurée autour de deux unités et </w:t>
      </w:r>
      <w:r w:rsidR="00644D31" w:rsidRPr="009D1A93">
        <w:rPr>
          <w:rFonts w:asciiTheme="minorBidi" w:hAnsiTheme="minorBidi" w:cstheme="minorBidi"/>
          <w:bCs/>
          <w:lang w:val="fr-FR"/>
        </w:rPr>
        <w:t xml:space="preserve">trois </w:t>
      </w:r>
      <w:r w:rsidRPr="009D1A93">
        <w:rPr>
          <w:rFonts w:asciiTheme="minorBidi" w:hAnsiTheme="minorBidi" w:cstheme="minorBidi"/>
          <w:bCs/>
          <w:lang w:val="fr-FR"/>
        </w:rPr>
        <w:t>équipes : l</w:t>
      </w:r>
      <w:r w:rsidR="00CA0916" w:rsidRPr="009D1A93">
        <w:rPr>
          <w:rFonts w:asciiTheme="minorBidi" w:hAnsiTheme="minorBidi" w:cstheme="minorBidi"/>
          <w:bCs/>
          <w:lang w:val="fr-FR"/>
        </w:rPr>
        <w:t>’</w:t>
      </w:r>
      <w:r w:rsidR="00DA0ECA" w:rsidRPr="009D1A93">
        <w:rPr>
          <w:rFonts w:asciiTheme="minorBidi" w:hAnsiTheme="minorBidi" w:cstheme="minorBidi"/>
          <w:bCs/>
          <w:lang w:val="fr-FR"/>
        </w:rPr>
        <w:t>U</w:t>
      </w:r>
      <w:r w:rsidRPr="009D1A93">
        <w:rPr>
          <w:rFonts w:asciiTheme="minorBidi" w:hAnsiTheme="minorBidi" w:cstheme="minorBidi"/>
          <w:bCs/>
          <w:lang w:val="fr-FR"/>
        </w:rPr>
        <w:t>nité de gestion du programme (y compris l</w:t>
      </w:r>
      <w:r w:rsidR="00CA0916" w:rsidRPr="009D1A93">
        <w:rPr>
          <w:rFonts w:asciiTheme="minorBidi" w:hAnsiTheme="minorBidi" w:cstheme="minorBidi"/>
          <w:bCs/>
          <w:lang w:val="fr-FR"/>
        </w:rPr>
        <w:t>’</w:t>
      </w:r>
      <w:r w:rsidR="009054F6" w:rsidRPr="009D1A93">
        <w:rPr>
          <w:rFonts w:asciiTheme="minorBidi" w:hAnsiTheme="minorBidi"/>
          <w:lang w:val="fr-FR"/>
        </w:rPr>
        <w:t>É</w:t>
      </w:r>
      <w:r w:rsidRPr="009D1A93">
        <w:rPr>
          <w:rFonts w:asciiTheme="minorBidi" w:hAnsiTheme="minorBidi" w:cstheme="minorBidi"/>
          <w:bCs/>
          <w:lang w:val="fr-FR"/>
        </w:rPr>
        <w:t xml:space="preserve">quipe </w:t>
      </w:r>
      <w:r w:rsidR="00DA0ECA" w:rsidRPr="009D1A93">
        <w:rPr>
          <w:rFonts w:asciiTheme="minorBidi" w:hAnsiTheme="minorBidi" w:cstheme="minorBidi"/>
          <w:bCs/>
          <w:lang w:val="fr-FR"/>
        </w:rPr>
        <w:t xml:space="preserve">de soutien </w:t>
      </w:r>
      <w:r w:rsidRPr="009D1A93">
        <w:rPr>
          <w:rFonts w:asciiTheme="minorBidi" w:hAnsiTheme="minorBidi" w:cstheme="minorBidi"/>
          <w:bCs/>
          <w:lang w:val="fr-FR"/>
        </w:rPr>
        <w:t>statutaire) et l</w:t>
      </w:r>
      <w:r w:rsidR="00CA0916" w:rsidRPr="009D1A93">
        <w:rPr>
          <w:rFonts w:asciiTheme="minorBidi" w:hAnsiTheme="minorBidi" w:cstheme="minorBidi"/>
          <w:bCs/>
          <w:lang w:val="fr-FR"/>
        </w:rPr>
        <w:t>’</w:t>
      </w:r>
      <w:r w:rsidR="00DA0ECA" w:rsidRPr="009D1A93">
        <w:rPr>
          <w:rFonts w:asciiTheme="minorBidi" w:hAnsiTheme="minorBidi" w:cstheme="minorBidi"/>
          <w:bCs/>
          <w:lang w:val="fr-FR"/>
        </w:rPr>
        <w:t>U</w:t>
      </w:r>
      <w:r w:rsidRPr="009D1A93">
        <w:rPr>
          <w:rFonts w:asciiTheme="minorBidi" w:hAnsiTheme="minorBidi" w:cstheme="minorBidi"/>
          <w:bCs/>
          <w:lang w:val="fr-FR"/>
        </w:rPr>
        <w:t>nité de renforcement des capacités et de politique du patrimoine, ainsi que l</w:t>
      </w:r>
      <w:r w:rsidR="00CA0916" w:rsidRPr="009D1A93">
        <w:rPr>
          <w:rFonts w:asciiTheme="minorBidi" w:hAnsiTheme="minorBidi" w:cstheme="minorBidi"/>
          <w:bCs/>
          <w:lang w:val="fr-FR"/>
        </w:rPr>
        <w:t>’</w:t>
      </w:r>
      <w:r w:rsidR="009054F6" w:rsidRPr="009D1A93">
        <w:rPr>
          <w:rFonts w:asciiTheme="minorBidi" w:hAnsiTheme="minorBidi"/>
          <w:lang w:val="fr-FR"/>
        </w:rPr>
        <w:t>É</w:t>
      </w:r>
      <w:r w:rsidRPr="009D1A93">
        <w:rPr>
          <w:rFonts w:asciiTheme="minorBidi" w:hAnsiTheme="minorBidi" w:cstheme="minorBidi"/>
          <w:bCs/>
          <w:lang w:val="fr-FR"/>
        </w:rPr>
        <w:t xml:space="preserve">quipe </w:t>
      </w:r>
      <w:r w:rsidR="00DA0ECA" w:rsidRPr="009D1A93">
        <w:rPr>
          <w:rFonts w:asciiTheme="minorBidi" w:hAnsiTheme="minorBidi" w:cstheme="minorBidi"/>
          <w:bCs/>
          <w:lang w:val="fr-FR"/>
        </w:rPr>
        <w:t xml:space="preserve">chargée </w:t>
      </w:r>
      <w:r w:rsidRPr="009D1A93">
        <w:rPr>
          <w:rFonts w:asciiTheme="minorBidi" w:hAnsiTheme="minorBidi" w:cstheme="minorBidi"/>
          <w:bCs/>
          <w:lang w:val="fr-FR"/>
        </w:rPr>
        <w:t xml:space="preserve">de </w:t>
      </w:r>
      <w:r w:rsidR="00DA0ECA" w:rsidRPr="009D1A93">
        <w:rPr>
          <w:rFonts w:asciiTheme="minorBidi" w:hAnsiTheme="minorBidi" w:cstheme="minorBidi"/>
          <w:bCs/>
          <w:lang w:val="fr-FR"/>
        </w:rPr>
        <w:t xml:space="preserve">la </w:t>
      </w:r>
      <w:r w:rsidRPr="009D1A93">
        <w:rPr>
          <w:rFonts w:asciiTheme="minorBidi" w:hAnsiTheme="minorBidi" w:cstheme="minorBidi"/>
          <w:bCs/>
          <w:lang w:val="fr-FR"/>
        </w:rPr>
        <w:t xml:space="preserve">sauvegarde, de </w:t>
      </w:r>
      <w:r w:rsidR="00DA0ECA" w:rsidRPr="009D1A93">
        <w:rPr>
          <w:rFonts w:asciiTheme="minorBidi" w:hAnsiTheme="minorBidi" w:cstheme="minorBidi"/>
          <w:bCs/>
          <w:lang w:val="fr-FR"/>
        </w:rPr>
        <w:t xml:space="preserve">la </w:t>
      </w:r>
      <w:r w:rsidRPr="009D1A93">
        <w:rPr>
          <w:rFonts w:asciiTheme="minorBidi" w:hAnsiTheme="minorBidi" w:cstheme="minorBidi"/>
          <w:bCs/>
          <w:lang w:val="fr-FR"/>
        </w:rPr>
        <w:t>mise en œuvre et de suivi</w:t>
      </w:r>
      <w:r w:rsidR="00DA0ECA" w:rsidRPr="009D1A93">
        <w:rPr>
          <w:rFonts w:asciiTheme="minorBidi" w:hAnsiTheme="minorBidi" w:cstheme="minorBidi"/>
          <w:bCs/>
          <w:lang w:val="fr-FR"/>
        </w:rPr>
        <w:t>,</w:t>
      </w:r>
      <w:r w:rsidRPr="009D1A93">
        <w:rPr>
          <w:rFonts w:asciiTheme="minorBidi" w:hAnsiTheme="minorBidi" w:cstheme="minorBidi"/>
          <w:bCs/>
          <w:lang w:val="fr-FR"/>
        </w:rPr>
        <w:t xml:space="preserve"> et l</w:t>
      </w:r>
      <w:r w:rsidR="00CA0916" w:rsidRPr="009D1A93">
        <w:rPr>
          <w:rFonts w:asciiTheme="minorBidi" w:hAnsiTheme="minorBidi" w:cstheme="minorBidi"/>
          <w:bCs/>
          <w:lang w:val="fr-FR"/>
        </w:rPr>
        <w:t>’</w:t>
      </w:r>
      <w:r w:rsidR="009054F6" w:rsidRPr="009D1A93">
        <w:rPr>
          <w:rFonts w:asciiTheme="minorBidi" w:hAnsiTheme="minorBidi"/>
          <w:lang w:val="fr-FR"/>
        </w:rPr>
        <w:t>É</w:t>
      </w:r>
      <w:r w:rsidRPr="009D1A93">
        <w:rPr>
          <w:rFonts w:asciiTheme="minorBidi" w:hAnsiTheme="minorBidi" w:cstheme="minorBidi"/>
          <w:bCs/>
          <w:lang w:val="fr-FR"/>
        </w:rPr>
        <w:t>quipe de gestion des connaissances et de sensibilisation.</w:t>
      </w:r>
    </w:p>
    <w:p w14:paraId="0D7C4E7C" w14:textId="3C7C8123" w:rsidR="00B625DE" w:rsidRPr="009D1A93" w:rsidRDefault="009800D3">
      <w:pPr>
        <w:pStyle w:val="COMPara"/>
        <w:numPr>
          <w:ilvl w:val="0"/>
          <w:numId w:val="0"/>
        </w:numPr>
        <w:spacing w:before="240"/>
        <w:jc w:val="both"/>
        <w:rPr>
          <w:rFonts w:asciiTheme="minorBidi" w:hAnsiTheme="minorBidi" w:cstheme="minorBidi"/>
          <w:b/>
          <w:bCs/>
          <w:lang w:val="fr-FR"/>
        </w:rPr>
      </w:pPr>
      <w:bookmarkStart w:id="0" w:name="_Hlk114585834"/>
      <w:r w:rsidRPr="009D1A93">
        <w:rPr>
          <w:rFonts w:asciiTheme="minorBidi" w:hAnsiTheme="minorBidi" w:cstheme="minorBidi"/>
          <w:b/>
          <w:bCs/>
          <w:lang w:val="fr-FR"/>
        </w:rPr>
        <w:t>I</w:t>
      </w:r>
      <w:r w:rsidR="00F70CC5" w:rsidRPr="009D1A93">
        <w:rPr>
          <w:rFonts w:asciiTheme="minorBidi" w:hAnsiTheme="minorBidi" w:cstheme="minorBidi"/>
          <w:b/>
          <w:bCs/>
          <w:lang w:val="fr-FR"/>
        </w:rPr>
        <w:t xml:space="preserve">. </w:t>
      </w:r>
      <w:r w:rsidRPr="009D1A93">
        <w:rPr>
          <w:rFonts w:asciiTheme="minorBidi" w:hAnsiTheme="minorBidi" w:cstheme="minorBidi"/>
          <w:b/>
          <w:bCs/>
          <w:lang w:val="fr-FR"/>
        </w:rPr>
        <w:t>Renforcement des mécanismes de coopération et d</w:t>
      </w:r>
      <w:r w:rsidR="00CA0916" w:rsidRPr="009D1A93">
        <w:rPr>
          <w:rFonts w:asciiTheme="minorBidi" w:hAnsiTheme="minorBidi" w:cstheme="minorBidi"/>
          <w:b/>
          <w:bCs/>
          <w:lang w:val="fr-FR"/>
        </w:rPr>
        <w:t>’</w:t>
      </w:r>
      <w:r w:rsidRPr="009D1A93">
        <w:rPr>
          <w:rFonts w:asciiTheme="minorBidi" w:hAnsiTheme="minorBidi" w:cstheme="minorBidi"/>
          <w:b/>
          <w:bCs/>
          <w:lang w:val="fr-FR"/>
        </w:rPr>
        <w:t>assistance internationale de la Convention de 2003</w:t>
      </w:r>
    </w:p>
    <w:bookmarkEnd w:id="0"/>
    <w:p w14:paraId="74DBB659" w14:textId="1FC48B7C" w:rsidR="00B625DE" w:rsidRPr="009D1A93" w:rsidRDefault="009800D3">
      <w:pPr>
        <w:pStyle w:val="GAPara"/>
        <w:numPr>
          <w:ilvl w:val="0"/>
          <w:numId w:val="6"/>
        </w:numPr>
        <w:ind w:left="567" w:hanging="567"/>
        <w:jc w:val="both"/>
        <w:rPr>
          <w:rFonts w:asciiTheme="minorBidi" w:hAnsiTheme="minorBidi" w:cstheme="minorBidi"/>
          <w:lang w:val="fr-FR"/>
        </w:rPr>
      </w:pPr>
      <w:r w:rsidRPr="009D1A93">
        <w:rPr>
          <w:rFonts w:asciiTheme="minorBidi" w:hAnsiTheme="minorBidi" w:cstheme="minorBidi"/>
          <w:b/>
          <w:bCs/>
          <w:lang w:val="fr-FR"/>
        </w:rPr>
        <w:t xml:space="preserve">Soutien aux organes directeurs </w:t>
      </w:r>
      <w:r w:rsidR="00B21DB3" w:rsidRPr="009D1A93">
        <w:rPr>
          <w:rFonts w:asciiTheme="minorBidi" w:hAnsiTheme="minorBidi" w:cstheme="minorBidi"/>
          <w:b/>
          <w:bCs/>
          <w:lang w:val="fr-FR"/>
        </w:rPr>
        <w:t xml:space="preserve">: </w:t>
      </w:r>
      <w:r w:rsidR="00B21DB3" w:rsidRPr="009D1A93">
        <w:rPr>
          <w:rFonts w:asciiTheme="minorBidi" w:hAnsiTheme="minorBidi" w:cstheme="minorBidi"/>
          <w:lang w:val="fr-FR"/>
        </w:rPr>
        <w:t xml:space="preserve">Au cours de la période considérée, le Secrétariat a apporté un soutien </w:t>
      </w:r>
      <w:r w:rsidR="0034520C" w:rsidRPr="009D1A93">
        <w:rPr>
          <w:rFonts w:asciiTheme="minorBidi" w:hAnsiTheme="minorBidi" w:cstheme="minorBidi"/>
          <w:lang w:val="fr-FR"/>
        </w:rPr>
        <w:t xml:space="preserve">continu </w:t>
      </w:r>
      <w:r w:rsidR="00B21DB3" w:rsidRPr="009D1A93">
        <w:rPr>
          <w:rFonts w:asciiTheme="minorBidi" w:hAnsiTheme="minorBidi" w:cstheme="minorBidi"/>
          <w:lang w:val="fr-FR"/>
        </w:rPr>
        <w:t xml:space="preserve">aux travaux des organes directeurs de la Convention </w:t>
      </w:r>
      <w:r w:rsidR="00C154D9" w:rsidRPr="009D1A93">
        <w:rPr>
          <w:rFonts w:asciiTheme="minorBidi" w:hAnsiTheme="minorBidi" w:cstheme="minorBidi"/>
          <w:lang w:val="fr-FR"/>
        </w:rPr>
        <w:t xml:space="preserve">en </w:t>
      </w:r>
      <w:r w:rsidR="003E1EFF" w:rsidRPr="009D1A93">
        <w:rPr>
          <w:rFonts w:asciiTheme="minorBidi" w:hAnsiTheme="minorBidi" w:cstheme="minorBidi"/>
          <w:lang w:val="fr-FR"/>
        </w:rPr>
        <w:t xml:space="preserve">organisant </w:t>
      </w:r>
      <w:r w:rsidR="00FE257B" w:rsidRPr="009D1A93">
        <w:rPr>
          <w:rFonts w:asciiTheme="minorBidi" w:hAnsiTheme="minorBidi" w:cstheme="minorBidi"/>
          <w:lang w:val="fr-FR"/>
        </w:rPr>
        <w:t xml:space="preserve">douze </w:t>
      </w:r>
      <w:r w:rsidR="00B21DB3" w:rsidRPr="009D1A93">
        <w:rPr>
          <w:rFonts w:asciiTheme="minorBidi" w:hAnsiTheme="minorBidi" w:cstheme="minorBidi"/>
          <w:lang w:val="fr-FR"/>
        </w:rPr>
        <w:t>réunions statutaires</w:t>
      </w:r>
      <w:r w:rsidR="00664B02" w:rsidRPr="00F2660D">
        <w:rPr>
          <w:rStyle w:val="Appelnotedebasdep"/>
          <w:rFonts w:asciiTheme="minorBidi" w:hAnsiTheme="minorBidi" w:cstheme="minorBidi"/>
          <w:lang w:val="fr-FR"/>
        </w:rPr>
        <w:footnoteReference w:id="2"/>
      </w:r>
      <w:r w:rsidR="00F73323" w:rsidRPr="009D1A93">
        <w:rPr>
          <w:rFonts w:asciiTheme="minorBidi" w:hAnsiTheme="minorBidi" w:cstheme="minorBidi"/>
          <w:lang w:val="fr-FR"/>
        </w:rPr>
        <w:t xml:space="preserve">. </w:t>
      </w:r>
      <w:r w:rsidR="009B6CBC" w:rsidRPr="009D1A93">
        <w:rPr>
          <w:lang w:val="fr-FR"/>
        </w:rPr>
        <w:t>C</w:t>
      </w:r>
      <w:r w:rsidR="00CA0916" w:rsidRPr="009D1A93">
        <w:rPr>
          <w:lang w:val="fr-FR"/>
        </w:rPr>
        <w:t>’</w:t>
      </w:r>
      <w:r w:rsidR="009B6CBC" w:rsidRPr="009D1A93">
        <w:rPr>
          <w:lang w:val="fr-FR"/>
        </w:rPr>
        <w:t>est la première année que le Secrétariat a publié sur le site Internet de la Convention un</w:t>
      </w:r>
      <w:r w:rsidR="00921ABE">
        <w:rPr>
          <w:lang w:val="fr-FR"/>
        </w:rPr>
        <w:t xml:space="preserve"> </w:t>
      </w:r>
      <w:hyperlink r:id="rId16" w:history="1">
        <w:r w:rsidR="00921ABE" w:rsidRPr="00921ABE">
          <w:rPr>
            <w:rStyle w:val="Lienhypertexte"/>
            <w:rFonts w:cs="Arial"/>
            <w:lang w:val="fr-FR"/>
          </w:rPr>
          <w:t>calendrier complet des réunions statutaires en 2022</w:t>
        </w:r>
      </w:hyperlink>
      <w:r w:rsidR="00921ABE" w:rsidRPr="00F2660D">
        <w:rPr>
          <w:lang w:val="fr-FR"/>
        </w:rPr>
        <w:t xml:space="preserve">, </w:t>
      </w:r>
      <w:r w:rsidR="009B6CBC" w:rsidRPr="00921ABE">
        <w:rPr>
          <w:lang w:val="fr-FR"/>
        </w:rPr>
        <w:t>q</w:t>
      </w:r>
      <w:r w:rsidR="009B6CBC" w:rsidRPr="009D1A93">
        <w:rPr>
          <w:lang w:val="fr-FR"/>
        </w:rPr>
        <w:t>ui a été mis à jour tout au long de l</w:t>
      </w:r>
      <w:r w:rsidR="00CA0916" w:rsidRPr="009D1A93">
        <w:rPr>
          <w:lang w:val="fr-FR"/>
        </w:rPr>
        <w:t>’</w:t>
      </w:r>
      <w:r w:rsidR="009B6CBC" w:rsidRPr="009D1A93">
        <w:rPr>
          <w:lang w:val="fr-FR"/>
        </w:rPr>
        <w:t>année et a été conçu comme un outil utile pour</w:t>
      </w:r>
      <w:r w:rsidR="007009BB" w:rsidRPr="009D1A93">
        <w:rPr>
          <w:lang w:val="fr-FR"/>
        </w:rPr>
        <w:t xml:space="preserve"> que</w:t>
      </w:r>
      <w:r w:rsidR="009B6CBC" w:rsidRPr="009D1A93">
        <w:rPr>
          <w:lang w:val="fr-FR"/>
        </w:rPr>
        <w:t xml:space="preserve"> les États parties </w:t>
      </w:r>
      <w:r w:rsidR="007009BB" w:rsidRPr="009D1A93">
        <w:rPr>
          <w:lang w:val="fr-FR"/>
        </w:rPr>
        <w:t xml:space="preserve">puissent </w:t>
      </w:r>
      <w:r w:rsidR="009B6CBC" w:rsidRPr="009D1A93">
        <w:rPr>
          <w:lang w:val="fr-FR"/>
        </w:rPr>
        <w:t xml:space="preserve">organiser leur participation aux différentes réunions. </w:t>
      </w:r>
      <w:r w:rsidR="00B21DB3" w:rsidRPr="009D1A93">
        <w:rPr>
          <w:rFonts w:asciiTheme="minorBidi" w:hAnsiTheme="minorBidi" w:cstheme="minorBidi"/>
          <w:lang w:val="fr-FR"/>
        </w:rPr>
        <w:t xml:space="preserve">La pandémie de COVID-19 </w:t>
      </w:r>
      <w:r w:rsidR="00C76377" w:rsidRPr="009D1A93">
        <w:rPr>
          <w:rFonts w:asciiTheme="minorBidi" w:hAnsiTheme="minorBidi" w:cstheme="minorBidi"/>
          <w:lang w:val="fr-FR"/>
        </w:rPr>
        <w:t xml:space="preserve">a continué à </w:t>
      </w:r>
      <w:r w:rsidR="00B21DB3" w:rsidRPr="009D1A93">
        <w:rPr>
          <w:rFonts w:asciiTheme="minorBidi" w:hAnsiTheme="minorBidi" w:cstheme="minorBidi"/>
          <w:lang w:val="fr-FR"/>
        </w:rPr>
        <w:t xml:space="preserve">affecter </w:t>
      </w:r>
      <w:r w:rsidR="00B21DB3" w:rsidRPr="009D1A93">
        <w:rPr>
          <w:rFonts w:asciiTheme="minorBidi" w:hAnsiTheme="minorBidi" w:cstheme="minorBidi"/>
          <w:bCs/>
          <w:lang w:val="fr-FR"/>
        </w:rPr>
        <w:t>les opérations du Secrétariat</w:t>
      </w:r>
      <w:r w:rsidR="00C76377" w:rsidRPr="009D1A93">
        <w:rPr>
          <w:rFonts w:asciiTheme="minorBidi" w:hAnsiTheme="minorBidi" w:cstheme="minorBidi"/>
          <w:bCs/>
          <w:lang w:val="fr-FR"/>
        </w:rPr>
        <w:t>, qui a pu faire le point sur l</w:t>
      </w:r>
      <w:r w:rsidR="00CA0916" w:rsidRPr="009D1A93">
        <w:rPr>
          <w:rFonts w:asciiTheme="minorBidi" w:hAnsiTheme="minorBidi" w:cstheme="minorBidi"/>
          <w:bCs/>
          <w:lang w:val="fr-FR"/>
        </w:rPr>
        <w:t>’</w:t>
      </w:r>
      <w:r w:rsidR="0022228B" w:rsidRPr="009D1A93">
        <w:rPr>
          <w:rFonts w:asciiTheme="minorBidi" w:hAnsiTheme="minorBidi" w:cstheme="minorBidi"/>
          <w:bCs/>
          <w:lang w:val="fr-FR"/>
        </w:rPr>
        <w:t xml:space="preserve">expérience acquise au </w:t>
      </w:r>
      <w:r w:rsidR="00C76377" w:rsidRPr="009D1A93">
        <w:rPr>
          <w:rFonts w:asciiTheme="minorBidi" w:hAnsiTheme="minorBidi" w:cstheme="minorBidi"/>
          <w:bCs/>
          <w:lang w:val="fr-FR"/>
        </w:rPr>
        <w:t xml:space="preserve">cours des </w:t>
      </w:r>
      <w:r w:rsidR="0022228B" w:rsidRPr="009D1A93">
        <w:rPr>
          <w:rFonts w:asciiTheme="minorBidi" w:hAnsiTheme="minorBidi" w:cstheme="minorBidi"/>
          <w:bCs/>
          <w:lang w:val="fr-FR"/>
        </w:rPr>
        <w:t xml:space="preserve">deux dernières années grâce à de nouveaux </w:t>
      </w:r>
      <w:r w:rsidR="00B21DB3" w:rsidRPr="009D1A93">
        <w:rPr>
          <w:rFonts w:asciiTheme="minorBidi" w:hAnsiTheme="minorBidi" w:cstheme="minorBidi"/>
          <w:bCs/>
          <w:lang w:val="fr-FR"/>
        </w:rPr>
        <w:t>supports technologiques, outils</w:t>
      </w:r>
      <w:r w:rsidR="0022228B" w:rsidRPr="009D1A93">
        <w:rPr>
          <w:rFonts w:asciiTheme="minorBidi" w:hAnsiTheme="minorBidi" w:cstheme="minorBidi"/>
          <w:bCs/>
          <w:lang w:val="fr-FR"/>
        </w:rPr>
        <w:t xml:space="preserve">, </w:t>
      </w:r>
      <w:r w:rsidR="00B21DB3" w:rsidRPr="009D1A93">
        <w:rPr>
          <w:rFonts w:asciiTheme="minorBidi" w:hAnsiTheme="minorBidi" w:cstheme="minorBidi"/>
          <w:bCs/>
          <w:lang w:val="fr-FR"/>
        </w:rPr>
        <w:t xml:space="preserve">interfaces </w:t>
      </w:r>
      <w:r w:rsidR="0022228B" w:rsidRPr="009D1A93">
        <w:rPr>
          <w:rFonts w:asciiTheme="minorBidi" w:hAnsiTheme="minorBidi" w:cstheme="minorBidi"/>
          <w:bCs/>
          <w:lang w:val="fr-FR"/>
        </w:rPr>
        <w:t xml:space="preserve">et </w:t>
      </w:r>
      <w:r w:rsidR="00B21DB3" w:rsidRPr="009D1A93">
        <w:rPr>
          <w:rFonts w:asciiTheme="minorBidi" w:hAnsiTheme="minorBidi" w:cstheme="minorBidi"/>
          <w:bCs/>
          <w:lang w:val="fr-FR"/>
        </w:rPr>
        <w:t>modalités de réunion</w:t>
      </w:r>
      <w:r w:rsidR="0022228B" w:rsidRPr="009D1A93">
        <w:rPr>
          <w:rFonts w:asciiTheme="minorBidi" w:hAnsiTheme="minorBidi" w:cstheme="minorBidi"/>
          <w:bCs/>
          <w:lang w:val="fr-FR"/>
        </w:rPr>
        <w:t xml:space="preserve">, afin de </w:t>
      </w:r>
      <w:r w:rsidR="00C76377" w:rsidRPr="009D1A93">
        <w:rPr>
          <w:rFonts w:asciiTheme="minorBidi" w:hAnsiTheme="minorBidi" w:cstheme="minorBidi"/>
          <w:lang w:val="fr-FR"/>
        </w:rPr>
        <w:t xml:space="preserve">garantir que la vie statutaire de la Convention reste ininterrompue : </w:t>
      </w:r>
      <w:r w:rsidR="009B6CBC" w:rsidRPr="009D1A93">
        <w:rPr>
          <w:rFonts w:asciiTheme="minorBidi" w:hAnsiTheme="minorBidi" w:cstheme="minorBidi"/>
          <w:lang w:val="fr-FR"/>
        </w:rPr>
        <w:t xml:space="preserve">dix </w:t>
      </w:r>
      <w:r w:rsidR="00C76377" w:rsidRPr="009D1A93">
        <w:rPr>
          <w:rFonts w:asciiTheme="minorBidi" w:hAnsiTheme="minorBidi" w:cstheme="minorBidi"/>
          <w:lang w:val="fr-FR"/>
        </w:rPr>
        <w:t xml:space="preserve">réunions ont été organisées en ligne. Alors que les </w:t>
      </w:r>
      <w:r w:rsidR="00C76377" w:rsidRPr="009D1A93">
        <w:rPr>
          <w:rFonts w:asciiTheme="minorBidi" w:hAnsiTheme="minorBidi" w:cstheme="minorBidi"/>
          <w:bCs/>
          <w:lang w:val="fr-FR"/>
        </w:rPr>
        <w:t xml:space="preserve">impacts de la pandémie restent </w:t>
      </w:r>
      <w:r w:rsidR="00894D2C" w:rsidRPr="009D1A93">
        <w:rPr>
          <w:rFonts w:asciiTheme="minorBidi" w:hAnsiTheme="minorBidi" w:cstheme="minorBidi"/>
          <w:bCs/>
          <w:lang w:val="fr-FR"/>
        </w:rPr>
        <w:t xml:space="preserve">importants </w:t>
      </w:r>
      <w:r w:rsidR="00C76377" w:rsidRPr="009D1A93">
        <w:rPr>
          <w:rFonts w:asciiTheme="minorBidi" w:hAnsiTheme="minorBidi" w:cstheme="minorBidi"/>
          <w:bCs/>
          <w:lang w:val="fr-FR"/>
        </w:rPr>
        <w:t>dans de nombreuses régions du monde</w:t>
      </w:r>
      <w:r w:rsidR="00C76377" w:rsidRPr="009D1A93">
        <w:rPr>
          <w:rFonts w:asciiTheme="minorBidi" w:hAnsiTheme="minorBidi" w:cstheme="minorBidi"/>
          <w:lang w:val="fr-FR"/>
        </w:rPr>
        <w:t xml:space="preserve">, le Secrétariat a </w:t>
      </w:r>
      <w:r w:rsidR="00C76377" w:rsidRPr="009D1A93">
        <w:rPr>
          <w:rFonts w:asciiTheme="minorBidi" w:hAnsiTheme="minorBidi" w:cstheme="minorBidi"/>
          <w:bCs/>
          <w:lang w:val="fr-FR"/>
        </w:rPr>
        <w:t xml:space="preserve">pris les </w:t>
      </w:r>
      <w:r w:rsidR="00EE4BB8" w:rsidRPr="009D1A93">
        <w:rPr>
          <w:rFonts w:asciiTheme="minorBidi" w:hAnsiTheme="minorBidi" w:cstheme="minorBidi"/>
          <w:bCs/>
          <w:lang w:val="fr-FR"/>
        </w:rPr>
        <w:t xml:space="preserve">mesures </w:t>
      </w:r>
      <w:r w:rsidR="00C76377" w:rsidRPr="009D1A93">
        <w:rPr>
          <w:rFonts w:asciiTheme="minorBidi" w:hAnsiTheme="minorBidi" w:cstheme="minorBidi"/>
          <w:bCs/>
          <w:lang w:val="fr-FR"/>
        </w:rPr>
        <w:t xml:space="preserve">nécessaires pour </w:t>
      </w:r>
      <w:r w:rsidR="00C76377" w:rsidRPr="009D1A93">
        <w:rPr>
          <w:rFonts w:asciiTheme="minorBidi" w:hAnsiTheme="minorBidi" w:cstheme="minorBidi"/>
          <w:lang w:val="fr-FR"/>
        </w:rPr>
        <w:t xml:space="preserve">planifier </w:t>
      </w:r>
      <w:r w:rsidR="0022228B" w:rsidRPr="009D1A93">
        <w:rPr>
          <w:rFonts w:asciiTheme="minorBidi" w:hAnsiTheme="minorBidi" w:cstheme="minorBidi"/>
          <w:bCs/>
          <w:lang w:val="fr-FR"/>
        </w:rPr>
        <w:t xml:space="preserve">le retour </w:t>
      </w:r>
      <w:r w:rsidR="00C76377" w:rsidRPr="009D1A93">
        <w:rPr>
          <w:rFonts w:asciiTheme="minorBidi" w:hAnsiTheme="minorBidi" w:cstheme="minorBidi"/>
          <w:bCs/>
          <w:lang w:val="fr-FR"/>
        </w:rPr>
        <w:t xml:space="preserve">progressif </w:t>
      </w:r>
      <w:r w:rsidR="00894D2C" w:rsidRPr="009D1A93">
        <w:rPr>
          <w:rFonts w:asciiTheme="minorBidi" w:hAnsiTheme="minorBidi" w:cstheme="minorBidi"/>
          <w:bCs/>
          <w:lang w:val="fr-FR"/>
        </w:rPr>
        <w:t xml:space="preserve">aux </w:t>
      </w:r>
      <w:r w:rsidR="0027767E" w:rsidRPr="009D1A93">
        <w:rPr>
          <w:rFonts w:asciiTheme="minorBidi" w:hAnsiTheme="minorBidi" w:cstheme="minorBidi"/>
          <w:bCs/>
          <w:lang w:val="fr-FR"/>
        </w:rPr>
        <w:t xml:space="preserve">réunions </w:t>
      </w:r>
      <w:r w:rsidR="0017063D" w:rsidRPr="009D1A93">
        <w:rPr>
          <w:rFonts w:asciiTheme="minorBidi" w:hAnsiTheme="minorBidi" w:cstheme="minorBidi"/>
          <w:bCs/>
          <w:lang w:val="fr-FR"/>
        </w:rPr>
        <w:t xml:space="preserve">en présentiel </w:t>
      </w:r>
      <w:r w:rsidR="009B6CBC" w:rsidRPr="009D1A93">
        <w:rPr>
          <w:rFonts w:asciiTheme="minorBidi" w:hAnsiTheme="minorBidi" w:cstheme="minorBidi"/>
          <w:bCs/>
          <w:lang w:val="fr-FR"/>
        </w:rPr>
        <w:t xml:space="preserve">; </w:t>
      </w:r>
      <w:r w:rsidR="00AF5F34" w:rsidRPr="009D1A93">
        <w:rPr>
          <w:rFonts w:asciiTheme="minorBidi" w:hAnsiTheme="minorBidi" w:cstheme="minorBidi"/>
          <w:bCs/>
          <w:lang w:val="fr-FR"/>
        </w:rPr>
        <w:t>la neuvième session de l</w:t>
      </w:r>
      <w:r w:rsidR="00CA0916" w:rsidRPr="009D1A93">
        <w:rPr>
          <w:rFonts w:asciiTheme="minorBidi" w:hAnsiTheme="minorBidi" w:cstheme="minorBidi"/>
          <w:bCs/>
          <w:lang w:val="fr-FR"/>
        </w:rPr>
        <w:t>’</w:t>
      </w:r>
      <w:r w:rsidR="00AF5F34" w:rsidRPr="009D1A93">
        <w:rPr>
          <w:rFonts w:asciiTheme="minorBidi" w:hAnsiTheme="minorBidi" w:cstheme="minorBidi"/>
          <w:bCs/>
          <w:lang w:val="fr-FR"/>
        </w:rPr>
        <w:t xml:space="preserve">Assemblée générale a eu </w:t>
      </w:r>
      <w:r w:rsidR="009B6CBC" w:rsidRPr="009D1A93">
        <w:rPr>
          <w:rFonts w:asciiTheme="minorBidi" w:hAnsiTheme="minorBidi" w:cstheme="minorBidi"/>
          <w:bCs/>
          <w:lang w:val="fr-FR"/>
        </w:rPr>
        <w:t xml:space="preserve">lieu au </w:t>
      </w:r>
      <w:r w:rsidR="00AF5F34" w:rsidRPr="009D1A93">
        <w:rPr>
          <w:rFonts w:asciiTheme="minorBidi" w:hAnsiTheme="minorBidi" w:cstheme="minorBidi"/>
          <w:bCs/>
          <w:lang w:val="fr-FR"/>
        </w:rPr>
        <w:t>siège de l</w:t>
      </w:r>
      <w:r w:rsidR="00CA0916" w:rsidRPr="009D1A93">
        <w:rPr>
          <w:rFonts w:asciiTheme="minorBidi" w:hAnsiTheme="minorBidi" w:cstheme="minorBidi"/>
          <w:bCs/>
          <w:lang w:val="fr-FR"/>
        </w:rPr>
        <w:t>’</w:t>
      </w:r>
      <w:r w:rsidR="00AF5F34" w:rsidRPr="009D1A93">
        <w:rPr>
          <w:rFonts w:asciiTheme="minorBidi" w:hAnsiTheme="minorBidi" w:cstheme="minorBidi"/>
          <w:bCs/>
          <w:lang w:val="fr-FR"/>
        </w:rPr>
        <w:t>UNESCO du 5 au 7 juillet 2022</w:t>
      </w:r>
      <w:r w:rsidR="00C76377" w:rsidRPr="009D1A93">
        <w:rPr>
          <w:rFonts w:asciiTheme="minorBidi" w:hAnsiTheme="minorBidi" w:cstheme="minorBidi"/>
          <w:bCs/>
          <w:lang w:val="fr-FR"/>
        </w:rPr>
        <w:t>.</w:t>
      </w:r>
    </w:p>
    <w:p w14:paraId="2BEF633A" w14:textId="3B8ED889" w:rsidR="00B625DE" w:rsidRPr="00A041D7" w:rsidRDefault="009800D3">
      <w:pPr>
        <w:pStyle w:val="GAPara"/>
        <w:numPr>
          <w:ilvl w:val="0"/>
          <w:numId w:val="6"/>
        </w:numPr>
        <w:ind w:left="567" w:hanging="567"/>
        <w:jc w:val="both"/>
        <w:rPr>
          <w:rFonts w:asciiTheme="minorBidi" w:hAnsiTheme="minorBidi" w:cstheme="minorBidi"/>
          <w:lang w:val="fr-FR"/>
        </w:rPr>
      </w:pPr>
      <w:r w:rsidRPr="009D1A93">
        <w:rPr>
          <w:rFonts w:asciiTheme="minorBidi" w:hAnsiTheme="minorBidi" w:cstheme="minorBidi"/>
          <w:b/>
          <w:bCs/>
          <w:lang w:val="fr-FR"/>
        </w:rPr>
        <w:t>Résultats de la réflexion globale sur les mécanismes d</w:t>
      </w:r>
      <w:r w:rsidR="00CA0916" w:rsidRPr="009D1A93">
        <w:rPr>
          <w:rFonts w:asciiTheme="minorBidi" w:hAnsiTheme="minorBidi" w:cstheme="minorBidi"/>
          <w:b/>
          <w:bCs/>
          <w:lang w:val="fr-FR"/>
        </w:rPr>
        <w:t>’</w:t>
      </w:r>
      <w:r w:rsidRPr="009D1A93">
        <w:rPr>
          <w:rFonts w:asciiTheme="minorBidi" w:hAnsiTheme="minorBidi" w:cstheme="minorBidi"/>
          <w:b/>
          <w:bCs/>
          <w:lang w:val="fr-FR"/>
        </w:rPr>
        <w:t xml:space="preserve">inscription : </w:t>
      </w:r>
      <w:r w:rsidR="009523E0" w:rsidRPr="009D1A93">
        <w:rPr>
          <w:rFonts w:asciiTheme="minorBidi" w:hAnsiTheme="minorBidi" w:cstheme="minorBidi"/>
          <w:lang w:val="fr-FR"/>
        </w:rPr>
        <w:t>La période de référence a vu la conclusion de la réflexion globale sur les mécanismes d</w:t>
      </w:r>
      <w:r w:rsidR="00CA0916" w:rsidRPr="009D1A93">
        <w:rPr>
          <w:rFonts w:asciiTheme="minorBidi" w:hAnsiTheme="minorBidi" w:cstheme="minorBidi"/>
          <w:lang w:val="fr-FR"/>
        </w:rPr>
        <w:t>’</w:t>
      </w:r>
      <w:r w:rsidR="009523E0" w:rsidRPr="009D1A93">
        <w:rPr>
          <w:rFonts w:asciiTheme="minorBidi" w:hAnsiTheme="minorBidi" w:cstheme="minorBidi"/>
          <w:lang w:val="fr-FR"/>
        </w:rPr>
        <w:t xml:space="preserve">inscription qui a été initiée en 2017 par la douzième session du Comité, et soutenue par le Japon. </w:t>
      </w:r>
      <w:r w:rsidR="0021613F" w:rsidRPr="009D1A93">
        <w:rPr>
          <w:rFonts w:asciiTheme="minorBidi" w:eastAsia="SimSun" w:hAnsiTheme="minorBidi" w:cstheme="minorBidi"/>
          <w:snapToGrid/>
          <w:color w:val="000000" w:themeColor="text1"/>
          <w:lang w:val="fr-FR" w:bidi="en-US"/>
        </w:rPr>
        <w:t xml:space="preserve">Conformément à la </w:t>
      </w:r>
      <w:r w:rsidRPr="009D1A93">
        <w:rPr>
          <w:rFonts w:asciiTheme="minorBidi" w:eastAsia="SimSun" w:hAnsiTheme="minorBidi" w:cstheme="minorBidi"/>
          <w:snapToGrid/>
          <w:color w:val="000000" w:themeColor="text1"/>
          <w:lang w:val="fr-FR" w:bidi="en-US"/>
        </w:rPr>
        <w:t>décision de la seizième session du Comité (</w:t>
      </w:r>
      <w:r w:rsidR="00921ABE">
        <w:rPr>
          <w:rFonts w:asciiTheme="minorBidi" w:eastAsia="SimSun" w:hAnsiTheme="minorBidi" w:cstheme="minorBidi"/>
          <w:snapToGrid/>
          <w:lang w:val="fr-FR" w:bidi="en-US"/>
        </w:rPr>
        <w:t>d</w:t>
      </w:r>
      <w:r w:rsidR="00921ABE" w:rsidRPr="00F5173B">
        <w:rPr>
          <w:rFonts w:eastAsia="SimSun"/>
          <w:lang w:val="fr-FR"/>
        </w:rPr>
        <w:t xml:space="preserve">écision </w:t>
      </w:r>
      <w:hyperlink r:id="rId17" w:history="1">
        <w:r w:rsidR="00921ABE" w:rsidRPr="00921ABE">
          <w:rPr>
            <w:rStyle w:val="Lienhypertexte"/>
            <w:rFonts w:asciiTheme="minorBidi" w:eastAsia="SimSun" w:hAnsiTheme="minorBidi" w:cstheme="minorBidi"/>
            <w:snapToGrid/>
            <w:lang w:val="fr-FR" w:bidi="en-US"/>
          </w:rPr>
          <w:t>16.COM 14</w:t>
        </w:r>
      </w:hyperlink>
      <w:r w:rsidRPr="009D1A93">
        <w:rPr>
          <w:rFonts w:asciiTheme="minorBidi" w:eastAsia="SimSun" w:hAnsiTheme="minorBidi" w:cstheme="minorBidi"/>
          <w:snapToGrid/>
          <w:color w:val="000000" w:themeColor="text1"/>
          <w:lang w:val="fr-FR" w:bidi="en-US"/>
        </w:rPr>
        <w:t>)</w:t>
      </w:r>
      <w:r w:rsidR="00C13353" w:rsidRPr="009D1A93">
        <w:rPr>
          <w:rFonts w:asciiTheme="minorBidi" w:eastAsia="SimSun" w:hAnsiTheme="minorBidi" w:cstheme="minorBidi"/>
          <w:snapToGrid/>
          <w:color w:val="000000" w:themeColor="text1"/>
          <w:lang w:val="fr-FR" w:bidi="en-US"/>
        </w:rPr>
        <w:t xml:space="preserve">, qui a </w:t>
      </w:r>
      <w:r w:rsidRPr="009D1A93">
        <w:rPr>
          <w:rFonts w:asciiTheme="minorBidi" w:eastAsia="SimSun" w:hAnsiTheme="minorBidi" w:cstheme="minorBidi"/>
          <w:snapToGrid/>
          <w:color w:val="000000" w:themeColor="text1"/>
          <w:lang w:val="fr-FR" w:bidi="en-US"/>
        </w:rPr>
        <w:t xml:space="preserve">approuvé les recommandations </w:t>
      </w:r>
      <w:r w:rsidR="0021613F" w:rsidRPr="009D1A93">
        <w:rPr>
          <w:rFonts w:asciiTheme="minorBidi" w:eastAsia="SimSun" w:hAnsiTheme="minorBidi" w:cstheme="minorBidi"/>
          <w:snapToGrid/>
          <w:color w:val="000000" w:themeColor="text1"/>
          <w:lang w:val="fr-FR" w:bidi="en-US"/>
        </w:rPr>
        <w:t xml:space="preserve">faites par le </w:t>
      </w:r>
      <w:r w:rsidRPr="009D1A93">
        <w:rPr>
          <w:rFonts w:asciiTheme="minorBidi" w:eastAsia="SimSun" w:hAnsiTheme="minorBidi" w:cstheme="minorBidi"/>
          <w:snapToGrid/>
          <w:color w:val="000000" w:themeColor="text1"/>
          <w:lang w:val="fr-FR" w:bidi="en-US"/>
        </w:rPr>
        <w:t xml:space="preserve">groupe de travail </w:t>
      </w:r>
      <w:r w:rsidR="0021613F" w:rsidRPr="009D1A93">
        <w:rPr>
          <w:rFonts w:asciiTheme="minorBidi" w:eastAsia="SimSun" w:hAnsiTheme="minorBidi" w:cstheme="minorBidi"/>
          <w:snapToGrid/>
          <w:color w:val="000000" w:themeColor="text1"/>
          <w:lang w:val="fr-FR" w:bidi="en-US"/>
        </w:rPr>
        <w:t xml:space="preserve">à composition non limitée en 2021 (partie I et partie II) et a </w:t>
      </w:r>
      <w:r w:rsidR="00C13353" w:rsidRPr="009D1A93">
        <w:rPr>
          <w:rFonts w:asciiTheme="minorBidi" w:eastAsia="SimSun" w:hAnsiTheme="minorBidi" w:cstheme="minorBidi"/>
          <w:snapToGrid/>
          <w:color w:val="000000" w:themeColor="text1"/>
          <w:lang w:val="fr-FR" w:bidi="en-US"/>
        </w:rPr>
        <w:t xml:space="preserve">prolongé </w:t>
      </w:r>
      <w:r w:rsidRPr="009D1A93">
        <w:rPr>
          <w:rFonts w:asciiTheme="minorBidi" w:eastAsia="SimSun" w:hAnsiTheme="minorBidi" w:cstheme="minorBidi"/>
          <w:snapToGrid/>
          <w:color w:val="000000" w:themeColor="text1"/>
          <w:lang w:val="fr-FR" w:bidi="en-US"/>
        </w:rPr>
        <w:t xml:space="preserve">son mandat </w:t>
      </w:r>
      <w:r w:rsidR="0021613F" w:rsidRPr="009D1A93">
        <w:rPr>
          <w:rFonts w:asciiTheme="minorBidi" w:eastAsia="SimSun" w:hAnsiTheme="minorBidi" w:cstheme="minorBidi"/>
          <w:snapToGrid/>
          <w:color w:val="000000" w:themeColor="text1"/>
          <w:lang w:val="fr-FR" w:bidi="en-US"/>
        </w:rPr>
        <w:t>pour conclure sur des questions supplémentaires</w:t>
      </w:r>
      <w:r w:rsidRPr="009D1A93">
        <w:rPr>
          <w:rFonts w:asciiTheme="minorBidi" w:eastAsia="SimSun" w:hAnsiTheme="minorBidi" w:cstheme="minorBidi"/>
          <w:snapToGrid/>
          <w:color w:val="000000" w:themeColor="text1"/>
          <w:lang w:val="fr-FR" w:bidi="en-US"/>
        </w:rPr>
        <w:t xml:space="preserve">, une réunion de </w:t>
      </w:r>
      <w:r w:rsidR="0021613F" w:rsidRPr="009D1A93">
        <w:rPr>
          <w:rFonts w:asciiTheme="minorBidi" w:eastAsia="SimSun" w:hAnsiTheme="minorBidi" w:cstheme="minorBidi"/>
          <w:snapToGrid/>
          <w:color w:val="000000" w:themeColor="text1"/>
          <w:lang w:val="fr-FR" w:bidi="en-US"/>
        </w:rPr>
        <w:t xml:space="preserve">la </w:t>
      </w:r>
      <w:r w:rsidRPr="009D1A93">
        <w:rPr>
          <w:rFonts w:asciiTheme="minorBidi" w:eastAsia="SimSun" w:hAnsiTheme="minorBidi" w:cstheme="minorBidi"/>
          <w:snapToGrid/>
          <w:color w:val="000000" w:themeColor="text1"/>
          <w:lang w:val="fr-FR" w:bidi="en-US"/>
        </w:rPr>
        <w:t xml:space="preserve">partie III </w:t>
      </w:r>
      <w:r w:rsidR="0021613F" w:rsidRPr="009D1A93">
        <w:rPr>
          <w:rFonts w:asciiTheme="minorBidi" w:eastAsia="SimSun" w:hAnsiTheme="minorBidi" w:cstheme="minorBidi"/>
          <w:snapToGrid/>
          <w:color w:val="000000" w:themeColor="text1"/>
          <w:lang w:val="fr-FR" w:bidi="en-US"/>
        </w:rPr>
        <w:t>du groupe de travail</w:t>
      </w:r>
      <w:r w:rsidR="00AE1DD1" w:rsidRPr="009D1A93">
        <w:rPr>
          <w:rFonts w:asciiTheme="minorBidi" w:eastAsia="SimSun" w:hAnsiTheme="minorBidi" w:cstheme="minorBidi"/>
          <w:snapToGrid/>
          <w:color w:val="000000" w:themeColor="text1"/>
          <w:lang w:val="fr-FR" w:bidi="en-US"/>
        </w:rPr>
        <w:t xml:space="preserve"> a été organisée</w:t>
      </w:r>
      <w:r w:rsidR="0021613F" w:rsidRPr="009D1A93">
        <w:rPr>
          <w:rFonts w:asciiTheme="minorBidi" w:eastAsia="SimSun" w:hAnsiTheme="minorBidi" w:cstheme="minorBidi"/>
          <w:snapToGrid/>
          <w:color w:val="000000" w:themeColor="text1"/>
          <w:lang w:val="fr-FR" w:bidi="en-US"/>
        </w:rPr>
        <w:t xml:space="preserve"> </w:t>
      </w:r>
      <w:r w:rsidR="00C35674" w:rsidRPr="009D1A93">
        <w:rPr>
          <w:rFonts w:asciiTheme="minorBidi" w:eastAsia="SimSun" w:hAnsiTheme="minorBidi" w:cstheme="minorBidi"/>
          <w:snapToGrid/>
          <w:color w:val="000000" w:themeColor="text1"/>
          <w:lang w:val="fr-FR" w:bidi="en-US"/>
        </w:rPr>
        <w:t>(en ligne, 25 et 26 avril 2022)</w:t>
      </w:r>
      <w:r w:rsidRPr="009D1A93">
        <w:rPr>
          <w:rFonts w:asciiTheme="minorBidi" w:eastAsia="SimSun" w:hAnsiTheme="minorBidi" w:cstheme="minorBidi"/>
          <w:snapToGrid/>
          <w:color w:val="000000" w:themeColor="text1"/>
          <w:lang w:val="fr-FR" w:bidi="en-US"/>
        </w:rPr>
        <w:t xml:space="preserve">. </w:t>
      </w:r>
      <w:r w:rsidRPr="009D1A93">
        <w:rPr>
          <w:rFonts w:asciiTheme="minorBidi" w:hAnsiTheme="minorBidi" w:cstheme="minorBidi"/>
          <w:lang w:val="fr-FR"/>
        </w:rPr>
        <w:t xml:space="preserve">Les recommandations </w:t>
      </w:r>
      <w:r w:rsidR="00BE028C" w:rsidRPr="009D1A93">
        <w:rPr>
          <w:rFonts w:asciiTheme="minorBidi" w:hAnsiTheme="minorBidi" w:cstheme="minorBidi"/>
          <w:lang w:val="fr-FR"/>
        </w:rPr>
        <w:t xml:space="preserve">finales </w:t>
      </w:r>
      <w:r w:rsidRPr="009D1A93">
        <w:rPr>
          <w:rFonts w:asciiTheme="minorBidi" w:hAnsiTheme="minorBidi" w:cstheme="minorBidi"/>
          <w:lang w:val="fr-FR"/>
        </w:rPr>
        <w:t xml:space="preserve">de la réunion de la partie III </w:t>
      </w:r>
      <w:r w:rsidR="0021613F" w:rsidRPr="009D1A93">
        <w:rPr>
          <w:rFonts w:asciiTheme="minorBidi" w:hAnsiTheme="minorBidi" w:cstheme="minorBidi"/>
          <w:lang w:val="fr-FR"/>
        </w:rPr>
        <w:t xml:space="preserve">portaient sur des questions liées au nombre annuel de dossiers, à la composition et aux méthodes de </w:t>
      </w:r>
      <w:r w:rsidR="0021613F" w:rsidRPr="009D1A93">
        <w:rPr>
          <w:rFonts w:asciiTheme="minorBidi" w:hAnsiTheme="minorBidi" w:cstheme="minorBidi"/>
          <w:bCs/>
          <w:lang w:val="fr-FR"/>
        </w:rPr>
        <w:t xml:space="preserve">travail </w:t>
      </w:r>
      <w:r w:rsidR="0021613F" w:rsidRPr="009D1A93">
        <w:rPr>
          <w:rFonts w:asciiTheme="minorBidi" w:hAnsiTheme="minorBidi" w:cstheme="minorBidi"/>
          <w:lang w:val="fr-FR"/>
        </w:rPr>
        <w:t>de l</w:t>
      </w:r>
      <w:r w:rsidR="00CA0916" w:rsidRPr="009D1A93">
        <w:rPr>
          <w:rFonts w:asciiTheme="minorBidi" w:hAnsiTheme="minorBidi" w:cstheme="minorBidi"/>
          <w:lang w:val="fr-FR"/>
        </w:rPr>
        <w:t>’</w:t>
      </w:r>
      <w:r w:rsidR="0021613F" w:rsidRPr="009D1A93">
        <w:rPr>
          <w:rFonts w:asciiTheme="minorBidi" w:hAnsiTheme="minorBidi" w:cstheme="minorBidi"/>
          <w:lang w:val="fr-FR"/>
        </w:rPr>
        <w:t>organe d</w:t>
      </w:r>
      <w:r w:rsidR="00CA0916" w:rsidRPr="009D1A93">
        <w:rPr>
          <w:rFonts w:asciiTheme="minorBidi" w:hAnsiTheme="minorBidi" w:cstheme="minorBidi"/>
          <w:lang w:val="fr-FR"/>
        </w:rPr>
        <w:t>’</w:t>
      </w:r>
      <w:r w:rsidR="0021613F" w:rsidRPr="009D1A93">
        <w:rPr>
          <w:rFonts w:asciiTheme="minorBidi" w:hAnsiTheme="minorBidi" w:cstheme="minorBidi"/>
          <w:lang w:val="fr-FR"/>
        </w:rPr>
        <w:t>évaluation</w:t>
      </w:r>
      <w:r w:rsidR="00B30C3F" w:rsidRPr="009D1A93">
        <w:rPr>
          <w:rFonts w:asciiTheme="minorBidi" w:hAnsiTheme="minorBidi" w:cstheme="minorBidi"/>
          <w:lang w:val="fr-FR"/>
        </w:rPr>
        <w:t>,</w:t>
      </w:r>
      <w:r w:rsidR="0021613F" w:rsidRPr="009D1A93">
        <w:rPr>
          <w:rFonts w:asciiTheme="minorBidi" w:hAnsiTheme="minorBidi" w:cstheme="minorBidi"/>
          <w:lang w:val="fr-FR"/>
        </w:rPr>
        <w:t xml:space="preserve"> et à d</w:t>
      </w:r>
      <w:r w:rsidR="00CA0916" w:rsidRPr="009D1A93">
        <w:rPr>
          <w:rFonts w:asciiTheme="minorBidi" w:hAnsiTheme="minorBidi" w:cstheme="minorBidi"/>
          <w:lang w:val="fr-FR"/>
        </w:rPr>
        <w:t>’</w:t>
      </w:r>
      <w:r w:rsidR="0021613F" w:rsidRPr="009D1A93">
        <w:rPr>
          <w:rFonts w:asciiTheme="minorBidi" w:hAnsiTheme="minorBidi" w:cstheme="minorBidi"/>
          <w:lang w:val="fr-FR"/>
        </w:rPr>
        <w:t>autres questions techniques</w:t>
      </w:r>
      <w:r w:rsidR="006A1474" w:rsidRPr="009D1A93">
        <w:rPr>
          <w:rFonts w:asciiTheme="minorBidi" w:hAnsiTheme="minorBidi" w:cstheme="minorBidi"/>
          <w:lang w:val="fr-FR"/>
        </w:rPr>
        <w:t xml:space="preserve">. Les </w:t>
      </w:r>
      <w:r w:rsidR="00BE028C" w:rsidRPr="009D1A93">
        <w:rPr>
          <w:rFonts w:asciiTheme="minorBidi" w:hAnsiTheme="minorBidi" w:cstheme="minorBidi"/>
          <w:lang w:val="fr-FR"/>
        </w:rPr>
        <w:t xml:space="preserve">recommandations </w:t>
      </w:r>
      <w:r w:rsidR="006A1474" w:rsidRPr="009D1A93">
        <w:rPr>
          <w:rFonts w:asciiTheme="minorBidi" w:hAnsiTheme="minorBidi" w:cstheme="minorBidi"/>
          <w:lang w:val="fr-FR"/>
        </w:rPr>
        <w:t xml:space="preserve">ont </w:t>
      </w:r>
      <w:r w:rsidRPr="009D1A93">
        <w:rPr>
          <w:rFonts w:asciiTheme="minorBidi" w:hAnsiTheme="minorBidi" w:cstheme="minorBidi"/>
          <w:lang w:val="fr-FR"/>
        </w:rPr>
        <w:t>été présentées sous la forme d</w:t>
      </w:r>
      <w:r w:rsidR="00CA0916" w:rsidRPr="009D1A93">
        <w:rPr>
          <w:rFonts w:asciiTheme="minorBidi" w:hAnsiTheme="minorBidi" w:cstheme="minorBidi"/>
          <w:lang w:val="fr-FR"/>
        </w:rPr>
        <w:t>’</w:t>
      </w:r>
      <w:r w:rsidRPr="009D1A93">
        <w:rPr>
          <w:rFonts w:asciiTheme="minorBidi" w:hAnsiTheme="minorBidi" w:cstheme="minorBidi"/>
          <w:lang w:val="fr-FR"/>
        </w:rPr>
        <w:t xml:space="preserve">un </w:t>
      </w:r>
      <w:r w:rsidR="00BE028C" w:rsidRPr="009D1A93">
        <w:rPr>
          <w:rFonts w:asciiTheme="minorBidi" w:hAnsiTheme="minorBidi" w:cstheme="minorBidi"/>
          <w:lang w:val="fr-FR"/>
        </w:rPr>
        <w:t xml:space="preserve">projet de révision </w:t>
      </w:r>
      <w:r w:rsidRPr="009D1A93">
        <w:rPr>
          <w:rFonts w:asciiTheme="minorBidi" w:hAnsiTheme="minorBidi" w:cstheme="minorBidi"/>
          <w:lang w:val="fr-FR"/>
        </w:rPr>
        <w:t xml:space="preserve">des </w:t>
      </w:r>
      <w:r w:rsidR="00D53722" w:rsidRPr="009D1A93">
        <w:rPr>
          <w:rFonts w:asciiTheme="minorBidi" w:hAnsiTheme="minorBidi" w:cstheme="minorBidi"/>
          <w:lang w:val="fr-FR"/>
        </w:rPr>
        <w:t>d</w:t>
      </w:r>
      <w:r w:rsidRPr="009D1A93">
        <w:rPr>
          <w:rFonts w:asciiTheme="minorBidi" w:hAnsiTheme="minorBidi" w:cstheme="minorBidi"/>
          <w:lang w:val="fr-FR"/>
        </w:rPr>
        <w:t xml:space="preserve">irectives opérationnelles à la cinquième session extraordinaire du Comité </w:t>
      </w:r>
      <w:r w:rsidR="00C35674" w:rsidRPr="009D1A93">
        <w:rPr>
          <w:rFonts w:asciiTheme="minorBidi" w:hAnsiTheme="minorBidi" w:cstheme="minorBidi"/>
          <w:lang w:val="fr-FR"/>
        </w:rPr>
        <w:t>(</w:t>
      </w:r>
      <w:r w:rsidR="00B30C3F" w:rsidRPr="009D1A93">
        <w:rPr>
          <w:rFonts w:asciiTheme="minorBidi" w:hAnsiTheme="minorBidi" w:cstheme="minorBidi"/>
          <w:lang w:val="fr-FR"/>
        </w:rPr>
        <w:t>e</w:t>
      </w:r>
      <w:r w:rsidR="00C35674" w:rsidRPr="009D1A93">
        <w:rPr>
          <w:rFonts w:asciiTheme="minorBidi" w:hAnsiTheme="minorBidi" w:cstheme="minorBidi"/>
          <w:lang w:val="fr-FR"/>
        </w:rPr>
        <w:t>n ligne, 1er juillet 2022)</w:t>
      </w:r>
      <w:r w:rsidR="002F61A9" w:rsidRPr="009D1A93">
        <w:rPr>
          <w:rFonts w:asciiTheme="minorBidi" w:hAnsiTheme="minorBidi" w:cstheme="minorBidi"/>
          <w:lang w:val="fr-FR"/>
        </w:rPr>
        <w:t xml:space="preserve">, </w:t>
      </w:r>
      <w:r w:rsidR="00C35674" w:rsidRPr="009D1A93">
        <w:rPr>
          <w:rFonts w:asciiTheme="minorBidi" w:hAnsiTheme="minorBidi" w:cstheme="minorBidi"/>
          <w:lang w:val="fr-FR"/>
        </w:rPr>
        <w:t xml:space="preserve">qui </w:t>
      </w:r>
      <w:r w:rsidR="00BE028C" w:rsidRPr="009D1A93">
        <w:rPr>
          <w:rFonts w:asciiTheme="minorBidi" w:hAnsiTheme="minorBidi" w:cstheme="minorBidi"/>
          <w:lang w:val="fr-FR"/>
        </w:rPr>
        <w:t xml:space="preserve">les a approuvées et a </w:t>
      </w:r>
      <w:r w:rsidR="002F61A9" w:rsidRPr="009D1A93">
        <w:rPr>
          <w:rFonts w:asciiTheme="minorBidi" w:hAnsiTheme="minorBidi" w:cstheme="minorBidi"/>
          <w:lang w:val="fr-FR"/>
        </w:rPr>
        <w:t xml:space="preserve">recommandé </w:t>
      </w:r>
      <w:r w:rsidRPr="009D1A93">
        <w:rPr>
          <w:rFonts w:asciiTheme="minorBidi" w:hAnsiTheme="minorBidi" w:cstheme="minorBidi"/>
          <w:lang w:val="fr-FR"/>
        </w:rPr>
        <w:t>à l</w:t>
      </w:r>
      <w:r w:rsidR="00CA0916" w:rsidRPr="009D1A93">
        <w:rPr>
          <w:rFonts w:asciiTheme="minorBidi" w:hAnsiTheme="minorBidi" w:cstheme="minorBidi"/>
          <w:lang w:val="fr-FR"/>
        </w:rPr>
        <w:t>’</w:t>
      </w:r>
      <w:r w:rsidRPr="009D1A93">
        <w:rPr>
          <w:rFonts w:asciiTheme="minorBidi" w:hAnsiTheme="minorBidi" w:cstheme="minorBidi"/>
          <w:lang w:val="fr-FR"/>
        </w:rPr>
        <w:t xml:space="preserve">Assemblée générale de réviser les </w:t>
      </w:r>
      <w:r w:rsidR="00B30C3F" w:rsidRPr="009D1A93">
        <w:rPr>
          <w:rFonts w:asciiTheme="minorBidi" w:hAnsiTheme="minorBidi" w:cstheme="minorBidi"/>
          <w:lang w:val="fr-FR"/>
        </w:rPr>
        <w:t>d</w:t>
      </w:r>
      <w:r w:rsidRPr="009D1A93">
        <w:rPr>
          <w:rFonts w:asciiTheme="minorBidi" w:hAnsiTheme="minorBidi" w:cstheme="minorBidi"/>
          <w:lang w:val="fr-FR"/>
        </w:rPr>
        <w:t>irectives opérationnelles sur la base et dans l</w:t>
      </w:r>
      <w:r w:rsidR="00CA0916" w:rsidRPr="009D1A93">
        <w:rPr>
          <w:rFonts w:asciiTheme="minorBidi" w:hAnsiTheme="minorBidi" w:cstheme="minorBidi"/>
          <w:lang w:val="fr-FR"/>
        </w:rPr>
        <w:t>’</w:t>
      </w:r>
      <w:r w:rsidRPr="009D1A93">
        <w:rPr>
          <w:rFonts w:asciiTheme="minorBidi" w:hAnsiTheme="minorBidi" w:cstheme="minorBidi"/>
          <w:lang w:val="fr-FR"/>
        </w:rPr>
        <w:t xml:space="preserve">esprit du </w:t>
      </w:r>
      <w:r w:rsidR="0021613F" w:rsidRPr="009D1A93">
        <w:rPr>
          <w:rFonts w:asciiTheme="minorBidi" w:hAnsiTheme="minorBidi" w:cstheme="minorBidi"/>
          <w:lang w:val="fr-FR"/>
        </w:rPr>
        <w:lastRenderedPageBreak/>
        <w:t xml:space="preserve">groupe de </w:t>
      </w:r>
      <w:r w:rsidR="0021613F" w:rsidRPr="00A041D7">
        <w:rPr>
          <w:rFonts w:asciiTheme="minorBidi" w:hAnsiTheme="minorBidi" w:cstheme="minorBidi"/>
          <w:lang w:val="fr-FR"/>
        </w:rPr>
        <w:t xml:space="preserve">travail </w:t>
      </w:r>
      <w:r w:rsidRPr="00A041D7">
        <w:rPr>
          <w:rFonts w:asciiTheme="minorBidi" w:hAnsiTheme="minorBidi" w:cstheme="minorBidi"/>
          <w:lang w:val="fr-FR"/>
        </w:rPr>
        <w:t>(</w:t>
      </w:r>
      <w:hyperlink r:id="rId18" w:history="1">
        <w:r w:rsidR="00AA6E9D" w:rsidRPr="00F5173B">
          <w:rPr>
            <w:lang w:val="fr-FR"/>
          </w:rPr>
          <w:t>d</w:t>
        </w:r>
        <w:r w:rsidRPr="00F5173B">
          <w:rPr>
            <w:lang w:val="fr-FR"/>
          </w:rPr>
          <w:t xml:space="preserve">écision </w:t>
        </w:r>
        <w:r w:rsidRPr="00F5173B">
          <w:rPr>
            <w:color w:val="0000FF"/>
            <w:u w:val="single"/>
            <w:lang w:val="fr-FR"/>
          </w:rPr>
          <w:t>5.EXT.COM 4</w:t>
        </w:r>
      </w:hyperlink>
      <w:r w:rsidRPr="00A041D7">
        <w:rPr>
          <w:rFonts w:asciiTheme="minorBidi" w:hAnsiTheme="minorBidi" w:cstheme="minorBidi"/>
          <w:lang w:val="fr-FR"/>
        </w:rPr>
        <w:t>)</w:t>
      </w:r>
      <w:r w:rsidR="00BE028C" w:rsidRPr="00A041D7">
        <w:rPr>
          <w:rFonts w:asciiTheme="minorBidi" w:hAnsiTheme="minorBidi" w:cstheme="minorBidi"/>
          <w:lang w:val="fr-FR"/>
        </w:rPr>
        <w:t xml:space="preserve">. La </w:t>
      </w:r>
      <w:r w:rsidR="00C35674" w:rsidRPr="00A041D7">
        <w:rPr>
          <w:rFonts w:asciiTheme="minorBidi" w:hAnsiTheme="minorBidi" w:cstheme="minorBidi"/>
          <w:lang w:val="fr-FR"/>
        </w:rPr>
        <w:t>neuvième session de l</w:t>
      </w:r>
      <w:r w:rsidR="00CA0916" w:rsidRPr="00A041D7">
        <w:rPr>
          <w:rFonts w:asciiTheme="minorBidi" w:hAnsiTheme="minorBidi" w:cstheme="minorBidi"/>
          <w:lang w:val="fr-FR"/>
        </w:rPr>
        <w:t>’</w:t>
      </w:r>
      <w:r w:rsidR="0021613F" w:rsidRPr="00A041D7">
        <w:rPr>
          <w:rFonts w:asciiTheme="minorBidi" w:hAnsiTheme="minorBidi" w:cstheme="minorBidi"/>
          <w:lang w:val="fr-FR"/>
        </w:rPr>
        <w:t xml:space="preserve">Assemblée générale a </w:t>
      </w:r>
      <w:r w:rsidR="00C35674" w:rsidRPr="00A041D7">
        <w:rPr>
          <w:rFonts w:asciiTheme="minorBidi" w:hAnsiTheme="minorBidi" w:cstheme="minorBidi"/>
          <w:lang w:val="fr-FR"/>
        </w:rPr>
        <w:t xml:space="preserve">approuvé </w:t>
      </w:r>
      <w:r w:rsidR="0021613F" w:rsidRPr="00A041D7">
        <w:rPr>
          <w:rFonts w:asciiTheme="minorBidi" w:hAnsiTheme="minorBidi" w:cstheme="minorBidi"/>
          <w:lang w:val="fr-FR"/>
        </w:rPr>
        <w:t xml:space="preserve">les révisions des </w:t>
      </w:r>
      <w:r w:rsidR="00922A6B" w:rsidRPr="00A041D7">
        <w:rPr>
          <w:rFonts w:asciiTheme="minorBidi" w:hAnsiTheme="minorBidi" w:cstheme="minorBidi"/>
          <w:lang w:val="fr-FR"/>
        </w:rPr>
        <w:t>d</w:t>
      </w:r>
      <w:r w:rsidR="0021613F" w:rsidRPr="00A041D7">
        <w:rPr>
          <w:rFonts w:asciiTheme="minorBidi" w:hAnsiTheme="minorBidi" w:cstheme="minorBidi"/>
          <w:lang w:val="fr-FR"/>
        </w:rPr>
        <w:t>irectives opérationnelles (</w:t>
      </w:r>
      <w:r w:rsidR="00AA6E9D" w:rsidRPr="00A041D7">
        <w:rPr>
          <w:rFonts w:asciiTheme="minorBidi" w:hAnsiTheme="minorBidi" w:cstheme="minorBidi"/>
          <w:lang w:val="fr-FR"/>
        </w:rPr>
        <w:t>r</w:t>
      </w:r>
      <w:r w:rsidR="00224989" w:rsidRPr="00A041D7">
        <w:rPr>
          <w:rFonts w:asciiTheme="minorBidi" w:hAnsiTheme="minorBidi" w:cstheme="minorBidi"/>
          <w:lang w:val="fr-FR"/>
        </w:rPr>
        <w:t xml:space="preserve">ésolution </w:t>
      </w:r>
      <w:hyperlink r:id="rId19" w:history="1">
        <w:r w:rsidR="0021613F" w:rsidRPr="00A041D7">
          <w:rPr>
            <w:rStyle w:val="Lienhypertexte"/>
            <w:rFonts w:asciiTheme="minorBidi" w:hAnsiTheme="minorBidi" w:cstheme="minorBidi"/>
            <w:lang w:val="fr-FR"/>
          </w:rPr>
          <w:t>9.GA 9</w:t>
        </w:r>
      </w:hyperlink>
      <w:r w:rsidR="0021613F" w:rsidRPr="00A041D7">
        <w:rPr>
          <w:rFonts w:asciiTheme="minorBidi" w:hAnsiTheme="minorBidi" w:cstheme="minorBidi"/>
          <w:lang w:val="fr-FR"/>
        </w:rPr>
        <w:t>).</w:t>
      </w:r>
    </w:p>
    <w:p w14:paraId="19BE7B51" w14:textId="7215DC87" w:rsidR="00B625DE" w:rsidRPr="005F73DE" w:rsidRDefault="009800D3">
      <w:pPr>
        <w:pStyle w:val="GAPara"/>
        <w:numPr>
          <w:ilvl w:val="0"/>
          <w:numId w:val="6"/>
        </w:numPr>
        <w:ind w:left="567" w:hanging="567"/>
        <w:jc w:val="both"/>
        <w:rPr>
          <w:rFonts w:asciiTheme="minorBidi" w:hAnsiTheme="minorBidi" w:cstheme="minorBidi"/>
          <w:lang w:val="fr-FR"/>
        </w:rPr>
      </w:pPr>
      <w:r w:rsidRPr="00A041D7">
        <w:rPr>
          <w:rFonts w:asciiTheme="minorBidi" w:hAnsiTheme="minorBidi" w:cstheme="minorBidi"/>
          <w:lang w:val="fr-FR"/>
        </w:rPr>
        <w:t>Les résultats de la réflexion globale ont constitué une étape importante pour la Convention, renforçant la crédibilité des mécanismes d</w:t>
      </w:r>
      <w:r w:rsidR="00CA0916" w:rsidRPr="00A041D7">
        <w:rPr>
          <w:rFonts w:asciiTheme="minorBidi" w:hAnsiTheme="minorBidi" w:cstheme="minorBidi"/>
          <w:lang w:val="fr-FR"/>
        </w:rPr>
        <w:t>’</w:t>
      </w:r>
      <w:r w:rsidRPr="00A041D7">
        <w:rPr>
          <w:rFonts w:asciiTheme="minorBidi" w:hAnsiTheme="minorBidi" w:cstheme="minorBidi"/>
          <w:lang w:val="fr-FR"/>
        </w:rPr>
        <w:t>inscription tout en soulignant l</w:t>
      </w:r>
      <w:r w:rsidR="00CA0916" w:rsidRPr="00A041D7">
        <w:rPr>
          <w:rFonts w:asciiTheme="minorBidi" w:hAnsiTheme="minorBidi" w:cstheme="minorBidi"/>
          <w:lang w:val="fr-FR"/>
        </w:rPr>
        <w:t>’</w:t>
      </w:r>
      <w:r w:rsidRPr="00A041D7">
        <w:rPr>
          <w:rFonts w:asciiTheme="minorBidi" w:hAnsiTheme="minorBidi" w:cstheme="minorBidi"/>
          <w:lang w:val="fr-FR"/>
        </w:rPr>
        <w:t xml:space="preserve">importance continue de la participation des communautés dans les </w:t>
      </w:r>
      <w:r w:rsidR="00E906FD" w:rsidRPr="00A041D7">
        <w:rPr>
          <w:rFonts w:asciiTheme="minorBidi" w:hAnsiTheme="minorBidi" w:cstheme="minorBidi"/>
          <w:lang w:val="fr-FR"/>
        </w:rPr>
        <w:t xml:space="preserve">processus </w:t>
      </w:r>
      <w:r w:rsidRPr="00A041D7">
        <w:rPr>
          <w:rFonts w:asciiTheme="minorBidi" w:hAnsiTheme="minorBidi" w:cstheme="minorBidi"/>
          <w:lang w:val="fr-FR"/>
        </w:rPr>
        <w:t>existants et nouveaux</w:t>
      </w:r>
      <w:r w:rsidR="00E9166E" w:rsidRPr="00A041D7">
        <w:rPr>
          <w:rFonts w:asciiTheme="minorBidi" w:hAnsiTheme="minorBidi" w:cstheme="minorBidi"/>
          <w:lang w:val="fr-FR"/>
        </w:rPr>
        <w:t xml:space="preserve">. </w:t>
      </w:r>
      <w:r w:rsidRPr="00A041D7">
        <w:rPr>
          <w:rFonts w:asciiTheme="minorBidi" w:hAnsiTheme="minorBidi" w:cstheme="minorBidi"/>
          <w:lang w:val="fr-FR"/>
        </w:rPr>
        <w:t xml:space="preserve">Les </w:t>
      </w:r>
      <w:r w:rsidR="00922A6B" w:rsidRPr="00A041D7">
        <w:rPr>
          <w:rFonts w:asciiTheme="minorBidi" w:hAnsiTheme="minorBidi" w:cstheme="minorBidi"/>
          <w:lang w:val="fr-FR"/>
        </w:rPr>
        <w:t>d</w:t>
      </w:r>
      <w:r w:rsidRPr="00A041D7">
        <w:rPr>
          <w:rFonts w:asciiTheme="minorBidi" w:hAnsiTheme="minorBidi" w:cstheme="minorBidi"/>
          <w:lang w:val="fr-FR"/>
        </w:rPr>
        <w:t xml:space="preserve">irectives opérationnelles modifiées </w:t>
      </w:r>
      <w:r w:rsidR="00E906FD" w:rsidRPr="00A041D7">
        <w:rPr>
          <w:rFonts w:asciiTheme="minorBidi" w:hAnsiTheme="minorBidi" w:cstheme="minorBidi"/>
          <w:lang w:val="fr-FR"/>
        </w:rPr>
        <w:t xml:space="preserve">reflètent </w:t>
      </w:r>
      <w:r w:rsidRPr="00A041D7">
        <w:rPr>
          <w:rFonts w:asciiTheme="minorBidi" w:hAnsiTheme="minorBidi" w:cstheme="minorBidi"/>
          <w:lang w:val="fr-FR"/>
        </w:rPr>
        <w:t xml:space="preserve">donc </w:t>
      </w:r>
      <w:r w:rsidR="00E906FD" w:rsidRPr="00A041D7">
        <w:rPr>
          <w:rFonts w:asciiTheme="minorBidi" w:hAnsiTheme="minorBidi" w:cstheme="minorBidi"/>
          <w:lang w:val="fr-FR"/>
        </w:rPr>
        <w:t>de nouvelles procédures</w:t>
      </w:r>
      <w:r w:rsidR="00E9166E" w:rsidRPr="009D1A93">
        <w:rPr>
          <w:rFonts w:asciiTheme="minorBidi" w:hAnsiTheme="minorBidi" w:cstheme="minorBidi"/>
          <w:lang w:val="fr-FR"/>
        </w:rPr>
        <w:t xml:space="preserve">, notamment pour le </w:t>
      </w:r>
      <w:r w:rsidR="00E906FD" w:rsidRPr="009D1A93">
        <w:rPr>
          <w:rFonts w:asciiTheme="minorBidi" w:hAnsiTheme="minorBidi" w:cstheme="minorBidi"/>
          <w:lang w:val="fr-FR"/>
        </w:rPr>
        <w:t>transfert d</w:t>
      </w:r>
      <w:r w:rsidR="00CA0916" w:rsidRPr="009D1A93">
        <w:rPr>
          <w:rFonts w:asciiTheme="minorBidi" w:hAnsiTheme="minorBidi" w:cstheme="minorBidi"/>
          <w:lang w:val="fr-FR"/>
        </w:rPr>
        <w:t>’</w:t>
      </w:r>
      <w:r w:rsidR="00E906FD" w:rsidRPr="009D1A93">
        <w:rPr>
          <w:rFonts w:asciiTheme="minorBidi" w:hAnsiTheme="minorBidi" w:cstheme="minorBidi"/>
          <w:lang w:val="fr-FR"/>
        </w:rPr>
        <w:t xml:space="preserve">éléments </w:t>
      </w:r>
      <w:r w:rsidR="00A27125" w:rsidRPr="009D1A93">
        <w:rPr>
          <w:rFonts w:asciiTheme="minorBidi" w:hAnsiTheme="minorBidi" w:cstheme="minorBidi"/>
          <w:lang w:val="fr-FR"/>
        </w:rPr>
        <w:t xml:space="preserve">inscrits </w:t>
      </w:r>
      <w:r w:rsidR="00E906FD" w:rsidRPr="009D1A93">
        <w:rPr>
          <w:rFonts w:asciiTheme="minorBidi" w:hAnsiTheme="minorBidi" w:cstheme="minorBidi"/>
          <w:lang w:val="fr-FR"/>
        </w:rPr>
        <w:t>entre les Listes, l</w:t>
      </w:r>
      <w:r w:rsidR="00CA0916" w:rsidRPr="009D1A93">
        <w:rPr>
          <w:rFonts w:asciiTheme="minorBidi" w:hAnsiTheme="minorBidi" w:cstheme="minorBidi"/>
          <w:lang w:val="fr-FR"/>
        </w:rPr>
        <w:t>’</w:t>
      </w:r>
      <w:r w:rsidR="00E906FD" w:rsidRPr="009D1A93">
        <w:rPr>
          <w:rFonts w:asciiTheme="minorBidi" w:hAnsiTheme="minorBidi" w:cstheme="minorBidi"/>
          <w:lang w:val="fr-FR"/>
        </w:rPr>
        <w:t>inscription d</w:t>
      </w:r>
      <w:r w:rsidR="00CA0916" w:rsidRPr="009D1A93">
        <w:rPr>
          <w:rFonts w:asciiTheme="minorBidi" w:hAnsiTheme="minorBidi" w:cstheme="minorBidi"/>
          <w:lang w:val="fr-FR"/>
        </w:rPr>
        <w:t>’</w:t>
      </w:r>
      <w:r w:rsidR="00E906FD" w:rsidRPr="009D1A93">
        <w:rPr>
          <w:rFonts w:asciiTheme="minorBidi" w:hAnsiTheme="minorBidi" w:cstheme="minorBidi"/>
          <w:lang w:val="fr-FR"/>
        </w:rPr>
        <w:t xml:space="preserve">éléments sur une base étendue ou réduite, le retrait </w:t>
      </w:r>
      <w:r w:rsidR="00D84360" w:rsidRPr="009D1A93">
        <w:rPr>
          <w:rFonts w:asciiTheme="minorBidi" w:hAnsiTheme="minorBidi" w:cstheme="minorBidi"/>
          <w:lang w:val="fr-FR"/>
        </w:rPr>
        <w:t>d</w:t>
      </w:r>
      <w:r w:rsidR="00CA0916" w:rsidRPr="009D1A93">
        <w:rPr>
          <w:rFonts w:asciiTheme="minorBidi" w:hAnsiTheme="minorBidi" w:cstheme="minorBidi"/>
          <w:lang w:val="fr-FR"/>
        </w:rPr>
        <w:t>’</w:t>
      </w:r>
      <w:r w:rsidR="00D84360" w:rsidRPr="009D1A93">
        <w:rPr>
          <w:rFonts w:asciiTheme="minorBidi" w:hAnsiTheme="minorBidi" w:cstheme="minorBidi"/>
          <w:lang w:val="fr-FR"/>
        </w:rPr>
        <w:t>éléments</w:t>
      </w:r>
      <w:r w:rsidR="00E906FD" w:rsidRPr="009D1A93">
        <w:rPr>
          <w:rFonts w:asciiTheme="minorBidi" w:hAnsiTheme="minorBidi" w:cstheme="minorBidi"/>
          <w:lang w:val="fr-FR"/>
        </w:rPr>
        <w:t>, l</w:t>
      </w:r>
      <w:r w:rsidR="00CA0916" w:rsidRPr="009D1A93">
        <w:rPr>
          <w:rFonts w:asciiTheme="minorBidi" w:hAnsiTheme="minorBidi" w:cstheme="minorBidi"/>
          <w:lang w:val="fr-FR"/>
        </w:rPr>
        <w:t>’</w:t>
      </w:r>
      <w:r w:rsidR="00E906FD" w:rsidRPr="009D1A93">
        <w:rPr>
          <w:rFonts w:asciiTheme="minorBidi" w:hAnsiTheme="minorBidi" w:cstheme="minorBidi"/>
          <w:lang w:val="fr-FR"/>
        </w:rPr>
        <w:t>établissement d</w:t>
      </w:r>
      <w:r w:rsidR="00CA0916" w:rsidRPr="009D1A93">
        <w:rPr>
          <w:rFonts w:asciiTheme="minorBidi" w:hAnsiTheme="minorBidi" w:cstheme="minorBidi"/>
          <w:lang w:val="fr-FR"/>
        </w:rPr>
        <w:t>’</w:t>
      </w:r>
      <w:r w:rsidR="00E906FD" w:rsidRPr="009D1A93">
        <w:rPr>
          <w:rFonts w:asciiTheme="minorBidi" w:hAnsiTheme="minorBidi" w:cstheme="minorBidi"/>
          <w:lang w:val="fr-FR"/>
        </w:rPr>
        <w:t>un mécanisme de suivi des éléments inscrits</w:t>
      </w:r>
      <w:r w:rsidR="00D73800" w:rsidRPr="009D1A93">
        <w:rPr>
          <w:rFonts w:asciiTheme="minorBidi" w:hAnsiTheme="minorBidi" w:cstheme="minorBidi"/>
          <w:lang w:val="fr-FR"/>
        </w:rPr>
        <w:t>, entre autres</w:t>
      </w:r>
      <w:r w:rsidR="00E906FD" w:rsidRPr="009D1A93">
        <w:rPr>
          <w:rFonts w:asciiTheme="minorBidi" w:hAnsiTheme="minorBidi" w:cstheme="minorBidi"/>
          <w:lang w:val="fr-FR"/>
        </w:rPr>
        <w:t>. L</w:t>
      </w:r>
      <w:r w:rsidR="00CA0916" w:rsidRPr="009D1A93">
        <w:rPr>
          <w:rFonts w:asciiTheme="minorBidi" w:hAnsiTheme="minorBidi" w:cstheme="minorBidi"/>
          <w:lang w:val="fr-FR"/>
        </w:rPr>
        <w:t>’</w:t>
      </w:r>
      <w:r w:rsidR="008C0825" w:rsidRPr="009D1A93">
        <w:rPr>
          <w:rFonts w:asciiTheme="minorBidi" w:hAnsiTheme="minorBidi" w:cstheme="minorBidi"/>
          <w:lang w:val="fr-FR"/>
        </w:rPr>
        <w:t xml:space="preserve">achèvement de la réflexion globale nécessite la révision et le développement de nouveaux formulaires pour refléter les dernières modifications apportées aux </w:t>
      </w:r>
      <w:r w:rsidR="00922A6B" w:rsidRPr="009D1A93">
        <w:rPr>
          <w:rFonts w:asciiTheme="minorBidi" w:hAnsiTheme="minorBidi" w:cstheme="minorBidi"/>
          <w:lang w:val="fr-FR"/>
        </w:rPr>
        <w:t>d</w:t>
      </w:r>
      <w:r w:rsidR="008C0825" w:rsidRPr="009D1A93">
        <w:rPr>
          <w:rFonts w:asciiTheme="minorBidi" w:hAnsiTheme="minorBidi" w:cstheme="minorBidi"/>
          <w:lang w:val="fr-FR"/>
        </w:rPr>
        <w:t xml:space="preserve">irectives opérationnelles - </w:t>
      </w:r>
      <w:r w:rsidR="003E1EFF" w:rsidRPr="009D1A93">
        <w:rPr>
          <w:rFonts w:asciiTheme="minorBidi" w:hAnsiTheme="minorBidi" w:cstheme="minorBidi"/>
          <w:lang w:val="fr-FR"/>
        </w:rPr>
        <w:t xml:space="preserve">tous les </w:t>
      </w:r>
      <w:r w:rsidR="008C0825" w:rsidRPr="009D1A93">
        <w:rPr>
          <w:rFonts w:asciiTheme="minorBidi" w:hAnsiTheme="minorBidi" w:cstheme="minorBidi"/>
          <w:lang w:val="fr-FR"/>
        </w:rPr>
        <w:t>nouveaux formulaires seront disponibles dès qu</w:t>
      </w:r>
      <w:r w:rsidR="00CA0916" w:rsidRPr="009D1A93">
        <w:rPr>
          <w:rFonts w:asciiTheme="minorBidi" w:hAnsiTheme="minorBidi" w:cstheme="minorBidi"/>
          <w:lang w:val="fr-FR"/>
        </w:rPr>
        <w:t>’</w:t>
      </w:r>
      <w:r w:rsidR="003E1EFF" w:rsidRPr="009D1A93">
        <w:rPr>
          <w:rFonts w:asciiTheme="minorBidi" w:hAnsiTheme="minorBidi" w:cstheme="minorBidi"/>
          <w:lang w:val="fr-FR"/>
        </w:rPr>
        <w:t xml:space="preserve">ils seront prêts dans les deux langues de travail, et au plus tard </w:t>
      </w:r>
      <w:r w:rsidR="008C0825" w:rsidRPr="009D1A93">
        <w:rPr>
          <w:rFonts w:asciiTheme="minorBidi" w:hAnsiTheme="minorBidi" w:cstheme="minorBidi"/>
          <w:lang w:val="fr-FR"/>
        </w:rPr>
        <w:t>avant la fin de 2022</w:t>
      </w:r>
      <w:r w:rsidR="00245277" w:rsidRPr="009D1A93">
        <w:rPr>
          <w:rFonts w:asciiTheme="minorBidi" w:hAnsiTheme="minorBidi" w:cstheme="minorBidi"/>
          <w:lang w:val="fr-FR"/>
        </w:rPr>
        <w:t xml:space="preserve">. </w:t>
      </w:r>
      <w:r w:rsidR="00E906FD" w:rsidRPr="009D1A93">
        <w:rPr>
          <w:rFonts w:asciiTheme="minorBidi" w:hAnsiTheme="minorBidi" w:cstheme="minorBidi"/>
          <w:lang w:val="fr-FR"/>
        </w:rPr>
        <w:t xml:space="preserve">Par ailleurs, la réflexion a donné lieu </w:t>
      </w:r>
      <w:r w:rsidR="00812EC7" w:rsidRPr="009D1A93">
        <w:rPr>
          <w:rFonts w:asciiTheme="minorBidi" w:hAnsiTheme="minorBidi" w:cstheme="minorBidi"/>
          <w:lang w:val="fr-FR"/>
        </w:rPr>
        <w:t xml:space="preserve">à un nouvel </w:t>
      </w:r>
      <w:r w:rsidR="00E906FD" w:rsidRPr="009D1A93">
        <w:rPr>
          <w:rFonts w:asciiTheme="minorBidi" w:hAnsiTheme="minorBidi" w:cstheme="minorBidi"/>
          <w:lang w:val="fr-FR"/>
        </w:rPr>
        <w:t xml:space="preserve">axe de réflexion sur une </w:t>
      </w:r>
      <w:r w:rsidR="00812EC7" w:rsidRPr="009D1A93">
        <w:rPr>
          <w:rFonts w:asciiTheme="minorBidi" w:hAnsiTheme="minorBidi" w:cstheme="minorBidi"/>
          <w:lang w:val="fr-FR"/>
        </w:rPr>
        <w:t>mise en œuvre plus large de l</w:t>
      </w:r>
      <w:r w:rsidR="00CA0916" w:rsidRPr="009D1A93">
        <w:rPr>
          <w:rFonts w:asciiTheme="minorBidi" w:hAnsiTheme="minorBidi" w:cstheme="minorBidi"/>
          <w:lang w:val="fr-FR"/>
        </w:rPr>
        <w:t>’</w:t>
      </w:r>
      <w:r w:rsidR="00812EC7" w:rsidRPr="009D1A93">
        <w:rPr>
          <w:rFonts w:asciiTheme="minorBidi" w:hAnsiTheme="minorBidi" w:cstheme="minorBidi"/>
          <w:lang w:val="fr-FR"/>
        </w:rPr>
        <w:t>article 18 de la Convention</w:t>
      </w:r>
      <w:r w:rsidR="00E9166E" w:rsidRPr="009D1A93">
        <w:rPr>
          <w:rFonts w:asciiTheme="minorBidi" w:hAnsiTheme="minorBidi" w:cstheme="minorBidi"/>
          <w:lang w:val="fr-FR"/>
        </w:rPr>
        <w:t xml:space="preserve">, </w:t>
      </w:r>
      <w:r w:rsidR="00812EC7" w:rsidRPr="009D1A93">
        <w:rPr>
          <w:rFonts w:asciiTheme="minorBidi" w:hAnsiTheme="minorBidi" w:cstheme="minorBidi"/>
          <w:lang w:val="fr-FR"/>
        </w:rPr>
        <w:t xml:space="preserve">soutenu </w:t>
      </w:r>
      <w:r w:rsidR="00D41BE3" w:rsidRPr="009D1A93">
        <w:rPr>
          <w:rFonts w:asciiTheme="minorBidi" w:hAnsiTheme="minorBidi" w:cstheme="minorBidi"/>
          <w:lang w:val="fr-FR"/>
        </w:rPr>
        <w:t xml:space="preserve">financièrement </w:t>
      </w:r>
      <w:r w:rsidR="00812EC7" w:rsidRPr="009D1A93">
        <w:rPr>
          <w:rFonts w:asciiTheme="minorBidi" w:hAnsiTheme="minorBidi" w:cstheme="minorBidi"/>
          <w:lang w:val="fr-FR"/>
        </w:rPr>
        <w:t>par la Suède</w:t>
      </w:r>
      <w:r w:rsidR="00D135CA" w:rsidRPr="009D1A93">
        <w:rPr>
          <w:rFonts w:asciiTheme="minorBidi" w:hAnsiTheme="minorBidi" w:cstheme="minorBidi"/>
          <w:lang w:val="fr-FR"/>
        </w:rPr>
        <w:t xml:space="preserve">. Une </w:t>
      </w:r>
      <w:r w:rsidR="00D135CA" w:rsidRPr="005F73DE">
        <w:rPr>
          <w:rFonts w:asciiTheme="minorBidi" w:hAnsiTheme="minorBidi" w:cstheme="minorBidi"/>
          <w:lang w:val="fr-FR"/>
        </w:rPr>
        <w:t>mise à jour de cette initiative est portée à l</w:t>
      </w:r>
      <w:r w:rsidR="00CA0916" w:rsidRPr="005F73DE">
        <w:rPr>
          <w:rFonts w:asciiTheme="minorBidi" w:hAnsiTheme="minorBidi" w:cstheme="minorBidi"/>
          <w:lang w:val="fr-FR"/>
        </w:rPr>
        <w:t>’</w:t>
      </w:r>
      <w:r w:rsidR="00D135CA" w:rsidRPr="005F73DE">
        <w:rPr>
          <w:rFonts w:asciiTheme="minorBidi" w:hAnsiTheme="minorBidi" w:cstheme="minorBidi"/>
          <w:lang w:val="fr-FR"/>
        </w:rPr>
        <w:t xml:space="preserve">attention du présent Comité au point </w:t>
      </w:r>
      <w:r w:rsidR="00A04706" w:rsidRPr="005F73DE">
        <w:rPr>
          <w:rFonts w:asciiTheme="minorBidi" w:hAnsiTheme="minorBidi" w:cstheme="minorBidi"/>
          <w:lang w:val="fr-FR"/>
        </w:rPr>
        <w:t xml:space="preserve">10 </w:t>
      </w:r>
      <w:r w:rsidR="00D135CA" w:rsidRPr="005F73DE">
        <w:rPr>
          <w:rFonts w:asciiTheme="minorBidi" w:hAnsiTheme="minorBidi" w:cstheme="minorBidi"/>
          <w:lang w:val="fr-FR"/>
        </w:rPr>
        <w:t>(voir</w:t>
      </w:r>
      <w:r w:rsidR="007531AE">
        <w:rPr>
          <w:rFonts w:asciiTheme="minorBidi" w:hAnsiTheme="minorBidi" w:cstheme="minorBidi"/>
          <w:lang w:val="fr-FR"/>
        </w:rPr>
        <w:t xml:space="preserve"> </w:t>
      </w:r>
      <w:r w:rsidR="008C09CD">
        <w:rPr>
          <w:rFonts w:asciiTheme="minorBidi" w:hAnsiTheme="minorBidi" w:cstheme="minorBidi"/>
          <w:lang w:val="fr-FR"/>
        </w:rPr>
        <w:t xml:space="preserve">le </w:t>
      </w:r>
      <w:r w:rsidR="006E7A02" w:rsidRPr="005F73DE">
        <w:rPr>
          <w:rFonts w:asciiTheme="minorBidi" w:hAnsiTheme="minorBidi" w:cstheme="minorBidi"/>
          <w:lang w:val="fr-FR"/>
        </w:rPr>
        <w:t xml:space="preserve">document </w:t>
      </w:r>
      <w:hyperlink r:id="rId20" w:history="1">
        <w:r w:rsidR="006E7A02" w:rsidRPr="00F2660D">
          <w:rPr>
            <w:rStyle w:val="Lienhypertexte"/>
            <w:rFonts w:asciiTheme="minorBidi" w:hAnsiTheme="minorBidi" w:cstheme="minorBidi"/>
            <w:lang w:val="fr-FR"/>
          </w:rPr>
          <w:t>LHE/22/17.COM/10</w:t>
        </w:r>
      </w:hyperlink>
      <w:r w:rsidR="00800FBF" w:rsidRPr="005F73DE">
        <w:rPr>
          <w:rFonts w:asciiTheme="minorBidi" w:hAnsiTheme="minorBidi" w:cstheme="minorBidi"/>
          <w:lang w:val="fr-FR"/>
        </w:rPr>
        <w:t>)</w:t>
      </w:r>
      <w:r w:rsidR="00812EC7" w:rsidRPr="005F73DE">
        <w:rPr>
          <w:rFonts w:asciiTheme="minorBidi" w:hAnsiTheme="minorBidi" w:cstheme="minorBidi"/>
          <w:lang w:val="fr-FR"/>
        </w:rPr>
        <w:t>.</w:t>
      </w:r>
    </w:p>
    <w:p w14:paraId="3B8DA4B3" w14:textId="326BEB6F" w:rsidR="00B625DE" w:rsidRPr="009D1A93" w:rsidRDefault="009800D3" w:rsidP="00974E6F">
      <w:pPr>
        <w:pStyle w:val="GAPara"/>
        <w:widowControl w:val="0"/>
        <w:numPr>
          <w:ilvl w:val="0"/>
          <w:numId w:val="6"/>
        </w:numPr>
        <w:ind w:left="567" w:hanging="567"/>
        <w:jc w:val="both"/>
        <w:rPr>
          <w:rFonts w:asciiTheme="minorBidi" w:hAnsiTheme="minorBidi" w:cstheme="minorBidi"/>
          <w:lang w:val="fr-FR"/>
        </w:rPr>
      </w:pPr>
      <w:r w:rsidRPr="005F73DE">
        <w:rPr>
          <w:rFonts w:asciiTheme="minorBidi" w:hAnsiTheme="minorBidi" w:cstheme="minorBidi"/>
          <w:b/>
          <w:bCs/>
          <w:lang w:val="fr-FR"/>
        </w:rPr>
        <w:t xml:space="preserve">Harmonisation des </w:t>
      </w:r>
      <w:r w:rsidR="0040392C" w:rsidRPr="005F73DE">
        <w:rPr>
          <w:rFonts w:asciiTheme="minorBidi" w:hAnsiTheme="minorBidi" w:cstheme="minorBidi"/>
          <w:b/>
          <w:bCs/>
          <w:lang w:val="fr-FR"/>
        </w:rPr>
        <w:t>R</w:t>
      </w:r>
      <w:r w:rsidRPr="005F73DE">
        <w:rPr>
          <w:rFonts w:asciiTheme="minorBidi" w:hAnsiTheme="minorBidi" w:cstheme="minorBidi"/>
          <w:b/>
          <w:bCs/>
          <w:lang w:val="fr-FR"/>
        </w:rPr>
        <w:t>ègle</w:t>
      </w:r>
      <w:r w:rsidR="00AB6521" w:rsidRPr="005F73DE">
        <w:rPr>
          <w:rFonts w:asciiTheme="minorBidi" w:hAnsiTheme="minorBidi" w:cstheme="minorBidi"/>
          <w:b/>
          <w:bCs/>
          <w:lang w:val="fr-FR"/>
        </w:rPr>
        <w:t>ment</w:t>
      </w:r>
      <w:r w:rsidRPr="005F73DE">
        <w:rPr>
          <w:rFonts w:asciiTheme="minorBidi" w:hAnsiTheme="minorBidi" w:cstheme="minorBidi"/>
          <w:b/>
          <w:bCs/>
          <w:lang w:val="fr-FR"/>
        </w:rPr>
        <w:t xml:space="preserve">s </w:t>
      </w:r>
      <w:r w:rsidR="00AB6521" w:rsidRPr="005F73DE">
        <w:rPr>
          <w:rFonts w:asciiTheme="minorBidi" w:hAnsiTheme="minorBidi" w:cstheme="minorBidi"/>
          <w:b/>
          <w:bCs/>
          <w:lang w:val="fr-FR"/>
        </w:rPr>
        <w:t>intérieurs</w:t>
      </w:r>
      <w:r w:rsidRPr="005F73DE">
        <w:rPr>
          <w:rFonts w:asciiTheme="minorBidi" w:hAnsiTheme="minorBidi" w:cstheme="minorBidi"/>
          <w:b/>
          <w:bCs/>
          <w:lang w:val="fr-FR"/>
        </w:rPr>
        <w:t xml:space="preserve"> avec d</w:t>
      </w:r>
      <w:r w:rsidR="00CA0916" w:rsidRPr="005F73DE">
        <w:rPr>
          <w:rFonts w:asciiTheme="minorBidi" w:hAnsiTheme="minorBidi" w:cstheme="minorBidi"/>
          <w:b/>
          <w:bCs/>
          <w:lang w:val="fr-FR"/>
        </w:rPr>
        <w:t>’</w:t>
      </w:r>
      <w:r w:rsidRPr="005F73DE">
        <w:rPr>
          <w:rFonts w:asciiTheme="minorBidi" w:hAnsiTheme="minorBidi" w:cstheme="minorBidi"/>
          <w:b/>
          <w:bCs/>
          <w:lang w:val="fr-FR"/>
        </w:rPr>
        <w:t xml:space="preserve">autres </w:t>
      </w:r>
      <w:r w:rsidR="00AB6521" w:rsidRPr="005F73DE">
        <w:rPr>
          <w:rFonts w:asciiTheme="minorBidi" w:hAnsiTheme="minorBidi" w:cstheme="minorBidi"/>
          <w:b/>
          <w:bCs/>
          <w:lang w:val="fr-FR"/>
        </w:rPr>
        <w:t>C</w:t>
      </w:r>
      <w:r w:rsidRPr="005F73DE">
        <w:rPr>
          <w:rFonts w:asciiTheme="minorBidi" w:hAnsiTheme="minorBidi" w:cstheme="minorBidi"/>
          <w:b/>
          <w:bCs/>
          <w:lang w:val="fr-FR"/>
        </w:rPr>
        <w:t>onventions</w:t>
      </w:r>
      <w:r w:rsidRPr="009D1A93">
        <w:rPr>
          <w:rFonts w:asciiTheme="minorBidi" w:hAnsiTheme="minorBidi" w:cstheme="minorBidi"/>
          <w:b/>
          <w:bCs/>
          <w:lang w:val="fr-FR"/>
        </w:rPr>
        <w:t xml:space="preserve"> </w:t>
      </w:r>
      <w:r w:rsidRPr="009D1A93">
        <w:rPr>
          <w:rFonts w:asciiTheme="minorBidi" w:hAnsiTheme="minorBidi" w:cstheme="minorBidi"/>
          <w:lang w:val="fr-FR"/>
        </w:rPr>
        <w:t xml:space="preserve">: Une autre réalisation de la période </w:t>
      </w:r>
      <w:r w:rsidR="00B91652" w:rsidRPr="009D1A93">
        <w:rPr>
          <w:rFonts w:asciiTheme="minorBidi" w:hAnsiTheme="minorBidi" w:cstheme="minorBidi"/>
          <w:lang w:val="fr-FR"/>
        </w:rPr>
        <w:t>considérée</w:t>
      </w:r>
      <w:r w:rsidRPr="009D1A93">
        <w:rPr>
          <w:rFonts w:asciiTheme="minorBidi" w:hAnsiTheme="minorBidi" w:cstheme="minorBidi"/>
          <w:lang w:val="fr-FR"/>
        </w:rPr>
        <w:t xml:space="preserve"> a été la révision du </w:t>
      </w:r>
      <w:r w:rsidR="00113033" w:rsidRPr="009D1A93">
        <w:rPr>
          <w:rFonts w:asciiTheme="minorBidi" w:hAnsiTheme="minorBidi" w:cstheme="minorBidi"/>
          <w:lang w:val="fr-FR"/>
        </w:rPr>
        <w:t>R</w:t>
      </w:r>
      <w:r w:rsidRPr="009D1A93">
        <w:rPr>
          <w:rFonts w:asciiTheme="minorBidi" w:hAnsiTheme="minorBidi" w:cstheme="minorBidi"/>
          <w:lang w:val="fr-FR"/>
        </w:rPr>
        <w:t>èglement intérieur de l</w:t>
      </w:r>
      <w:r w:rsidR="00CA0916" w:rsidRPr="009D1A93">
        <w:rPr>
          <w:rFonts w:asciiTheme="minorBidi" w:hAnsiTheme="minorBidi" w:cstheme="minorBidi"/>
          <w:lang w:val="fr-FR"/>
        </w:rPr>
        <w:t>’</w:t>
      </w:r>
      <w:r w:rsidRPr="009D1A93">
        <w:rPr>
          <w:rFonts w:asciiTheme="minorBidi" w:hAnsiTheme="minorBidi" w:cstheme="minorBidi"/>
          <w:lang w:val="fr-FR"/>
        </w:rPr>
        <w:t>Assemblée générale de la Convention de 2003</w:t>
      </w:r>
      <w:r w:rsidR="0097229E" w:rsidRPr="009D1A93">
        <w:rPr>
          <w:rFonts w:asciiTheme="minorBidi" w:hAnsiTheme="minorBidi" w:cstheme="minorBidi"/>
          <w:lang w:val="fr-FR"/>
        </w:rPr>
        <w:t xml:space="preserve">, dans le </w:t>
      </w:r>
      <w:r w:rsidR="0017207F" w:rsidRPr="009D1A93">
        <w:rPr>
          <w:rFonts w:asciiTheme="minorBidi" w:hAnsiTheme="minorBidi" w:cstheme="minorBidi"/>
          <w:lang w:val="fr-FR"/>
        </w:rPr>
        <w:t>cadre des efforts déployés depuis longtemps par l</w:t>
      </w:r>
      <w:r w:rsidR="00CA0916" w:rsidRPr="009D1A93">
        <w:rPr>
          <w:rFonts w:asciiTheme="minorBidi" w:hAnsiTheme="minorBidi" w:cstheme="minorBidi"/>
          <w:lang w:val="fr-FR"/>
        </w:rPr>
        <w:t>’</w:t>
      </w:r>
      <w:r w:rsidR="0017207F" w:rsidRPr="009D1A93">
        <w:rPr>
          <w:rFonts w:asciiTheme="minorBidi" w:hAnsiTheme="minorBidi" w:cstheme="minorBidi"/>
          <w:lang w:val="fr-FR"/>
        </w:rPr>
        <w:t>UNESCO pour améliorer sa gouvernance (</w:t>
      </w:r>
      <w:r w:rsidR="000C16F4">
        <w:rPr>
          <w:rFonts w:asciiTheme="minorBidi" w:hAnsiTheme="minorBidi" w:cstheme="minorBidi"/>
          <w:lang w:val="fr-FR"/>
        </w:rPr>
        <w:t>r</w:t>
      </w:r>
      <w:r w:rsidR="00281825" w:rsidRPr="00F2660D">
        <w:rPr>
          <w:rFonts w:asciiTheme="minorBidi" w:hAnsiTheme="minorBidi" w:cstheme="minorBidi"/>
          <w:lang w:val="fr-FR"/>
        </w:rPr>
        <w:t>ésolution</w:t>
      </w:r>
      <w:r w:rsidR="005F73DE">
        <w:rPr>
          <w:rFonts w:asciiTheme="minorBidi" w:hAnsiTheme="minorBidi" w:cstheme="minorBidi"/>
          <w:lang w:val="fr-FR"/>
        </w:rPr>
        <w:t>s</w:t>
      </w:r>
      <w:r w:rsidR="00281825" w:rsidRPr="00F2660D">
        <w:rPr>
          <w:rFonts w:asciiTheme="minorBidi" w:hAnsiTheme="minorBidi" w:cstheme="minorBidi"/>
          <w:lang w:val="fr-FR"/>
        </w:rPr>
        <w:t xml:space="preserve"> </w:t>
      </w:r>
      <w:hyperlink r:id="rId21" w:anchor="%5B%7B%22num%22%3A207%2C%22gen%22%3A0%7D%2C%7B%22name%22%3A%22XYZ%22%7D%2C54%2C771%2C0%5D" w:history="1">
        <w:r w:rsidR="00281825" w:rsidRPr="00F5173B">
          <w:rPr>
            <w:rStyle w:val="Lienhypertexte"/>
            <w:rFonts w:cstheme="minorBidi"/>
            <w:lang w:val="fr-FR"/>
          </w:rPr>
          <w:t>38 C/101</w:t>
        </w:r>
      </w:hyperlink>
      <w:r w:rsidR="005F73DE">
        <w:rPr>
          <w:rFonts w:asciiTheme="minorBidi" w:hAnsiTheme="minorBidi" w:cstheme="minorBidi"/>
          <w:lang w:val="fr-FR"/>
        </w:rPr>
        <w:t xml:space="preserve"> et</w:t>
      </w:r>
      <w:hyperlink r:id="rId22" w:history="1">
        <w:r w:rsidR="0017207F" w:rsidRPr="00F5173B">
          <w:rPr>
            <w:lang w:val="fr-FR"/>
          </w:rPr>
          <w:t xml:space="preserve"> </w:t>
        </w:r>
        <w:r w:rsidR="0017207F" w:rsidRPr="00F651B9">
          <w:rPr>
            <w:color w:val="0000FF"/>
            <w:u w:val="single"/>
            <w:lang w:val="fr-FR"/>
          </w:rPr>
          <w:t>39 C/87</w:t>
        </w:r>
      </w:hyperlink>
      <w:r w:rsidR="0017207F" w:rsidRPr="00F5173B">
        <w:rPr>
          <w:vertAlign w:val="superscript"/>
        </w:rPr>
        <w:footnoteReference w:id="3"/>
      </w:r>
      <w:r w:rsidR="0017207F" w:rsidRPr="009D1A93">
        <w:rPr>
          <w:rFonts w:asciiTheme="minorBidi" w:hAnsiTheme="minorBidi" w:cstheme="minorBidi"/>
          <w:lang w:val="fr-FR"/>
        </w:rPr>
        <w:t xml:space="preserve"> ) et en </w:t>
      </w:r>
      <w:r w:rsidR="0097229E" w:rsidRPr="009D1A93">
        <w:rPr>
          <w:rFonts w:asciiTheme="minorBidi" w:hAnsiTheme="minorBidi" w:cstheme="minorBidi"/>
          <w:lang w:val="fr-FR"/>
        </w:rPr>
        <w:t>réponse aux demandes récurrentes des organes directeurs de la Convention (</w:t>
      </w:r>
      <w:r w:rsidR="00AA6E9D">
        <w:rPr>
          <w:rFonts w:asciiTheme="minorBidi" w:hAnsiTheme="minorBidi" w:cstheme="minorBidi"/>
          <w:lang w:val="fr-FR"/>
        </w:rPr>
        <w:t>r</w:t>
      </w:r>
      <w:r w:rsidR="0097229E" w:rsidRPr="009D1A93">
        <w:rPr>
          <w:rFonts w:asciiTheme="minorBidi" w:hAnsiTheme="minorBidi" w:cstheme="minorBidi"/>
          <w:lang w:val="fr-FR"/>
        </w:rPr>
        <w:t>ésolutions</w:t>
      </w:r>
      <w:r w:rsidR="00AA6E9D">
        <w:rPr>
          <w:rFonts w:asciiTheme="minorBidi" w:hAnsiTheme="minorBidi" w:cstheme="minorBidi"/>
          <w:lang w:val="fr-FR"/>
        </w:rPr>
        <w:t> </w:t>
      </w:r>
      <w:hyperlink r:id="rId23" w:history="1">
        <w:r w:rsidR="0097229E" w:rsidRPr="009D1A93">
          <w:rPr>
            <w:rStyle w:val="Lienhypertexte"/>
            <w:rFonts w:asciiTheme="minorBidi" w:hAnsiTheme="minorBidi" w:cstheme="minorBidi"/>
            <w:lang w:val="fr-FR"/>
          </w:rPr>
          <w:t>6.GA 11</w:t>
        </w:r>
      </w:hyperlink>
      <w:r w:rsidR="0097229E" w:rsidRPr="009D1A93">
        <w:rPr>
          <w:rFonts w:asciiTheme="minorBidi" w:hAnsiTheme="minorBidi" w:cstheme="minorBidi"/>
          <w:lang w:val="fr-FR"/>
        </w:rPr>
        <w:t xml:space="preserve">, </w:t>
      </w:r>
      <w:hyperlink r:id="rId24" w:history="1">
        <w:r w:rsidR="0097229E" w:rsidRPr="009D1A93">
          <w:rPr>
            <w:rStyle w:val="Lienhypertexte"/>
            <w:rFonts w:asciiTheme="minorBidi" w:hAnsiTheme="minorBidi" w:cstheme="minorBidi"/>
            <w:lang w:val="fr-FR"/>
          </w:rPr>
          <w:t>7.GA 12</w:t>
        </w:r>
      </w:hyperlink>
      <w:r w:rsidR="0097229E" w:rsidRPr="009D1A93">
        <w:rPr>
          <w:rFonts w:asciiTheme="minorBidi" w:hAnsiTheme="minorBidi" w:cstheme="minorBidi"/>
          <w:lang w:val="fr-FR"/>
        </w:rPr>
        <w:t xml:space="preserve"> et </w:t>
      </w:r>
      <w:hyperlink r:id="rId25" w:history="1">
        <w:r w:rsidR="0097229E" w:rsidRPr="009D1A93">
          <w:rPr>
            <w:rStyle w:val="Lienhypertexte"/>
            <w:rFonts w:asciiTheme="minorBidi" w:hAnsiTheme="minorBidi" w:cstheme="minorBidi"/>
            <w:lang w:val="fr-FR"/>
          </w:rPr>
          <w:t>7.GA 13</w:t>
        </w:r>
      </w:hyperlink>
      <w:r w:rsidR="0097229E" w:rsidRPr="009D1A93">
        <w:rPr>
          <w:rFonts w:asciiTheme="minorBidi" w:hAnsiTheme="minorBidi" w:cstheme="minorBidi"/>
          <w:lang w:val="fr-FR"/>
        </w:rPr>
        <w:t xml:space="preserve">, </w:t>
      </w:r>
      <w:hyperlink r:id="rId26" w:history="1">
        <w:r w:rsidR="0097229E" w:rsidRPr="009D1A93">
          <w:rPr>
            <w:rFonts w:asciiTheme="minorBidi" w:hAnsiTheme="minorBidi" w:cstheme="minorBidi"/>
            <w:snapToGrid/>
            <w:color w:val="0000FF"/>
            <w:u w:val="single"/>
            <w:lang w:val="fr-FR" w:eastAsia="fr-FR"/>
          </w:rPr>
          <w:t>8.GA 15</w:t>
        </w:r>
      </w:hyperlink>
      <w:r w:rsidR="0097229E" w:rsidRPr="009D1A93">
        <w:rPr>
          <w:rFonts w:asciiTheme="minorBidi" w:hAnsiTheme="minorBidi" w:cstheme="minorBidi"/>
          <w:lang w:val="fr-FR"/>
        </w:rPr>
        <w:t xml:space="preserve"> ainsi que les </w:t>
      </w:r>
      <w:r w:rsidR="00AA6E9D">
        <w:rPr>
          <w:rFonts w:asciiTheme="minorBidi" w:hAnsiTheme="minorBidi" w:cstheme="minorBidi"/>
          <w:lang w:val="fr-FR"/>
        </w:rPr>
        <w:t>d</w:t>
      </w:r>
      <w:r w:rsidR="0097229E" w:rsidRPr="009D1A93">
        <w:rPr>
          <w:rFonts w:asciiTheme="minorBidi" w:hAnsiTheme="minorBidi" w:cstheme="minorBidi"/>
          <w:lang w:val="fr-FR"/>
        </w:rPr>
        <w:t xml:space="preserve">écisions </w:t>
      </w:r>
      <w:hyperlink r:id="rId27" w:history="1">
        <w:r w:rsidR="0097229E" w:rsidRPr="009D1A93">
          <w:rPr>
            <w:rStyle w:val="Lienhypertexte"/>
            <w:rFonts w:asciiTheme="minorBidi" w:hAnsiTheme="minorBidi" w:cstheme="minorBidi"/>
            <w:lang w:val="fr-FR"/>
          </w:rPr>
          <w:t>13.COM 17</w:t>
        </w:r>
      </w:hyperlink>
      <w:r w:rsidR="0097229E" w:rsidRPr="009D1A93">
        <w:rPr>
          <w:rFonts w:asciiTheme="minorBidi" w:hAnsiTheme="minorBidi" w:cstheme="minorBidi"/>
          <w:lang w:val="fr-FR"/>
        </w:rPr>
        <w:t xml:space="preserve"> et </w:t>
      </w:r>
      <w:hyperlink r:id="rId28" w:history="1">
        <w:r w:rsidR="0097229E" w:rsidRPr="009D1A93">
          <w:rPr>
            <w:rStyle w:val="Lienhypertexte"/>
            <w:rFonts w:asciiTheme="minorBidi" w:hAnsiTheme="minorBidi" w:cstheme="minorBidi"/>
            <w:lang w:val="fr-FR"/>
          </w:rPr>
          <w:t>14.COM 19</w:t>
        </w:r>
      </w:hyperlink>
      <w:r w:rsidR="0097229E" w:rsidRPr="009D1A93">
        <w:rPr>
          <w:rFonts w:asciiTheme="minorBidi" w:hAnsiTheme="minorBidi" w:cstheme="minorBidi"/>
          <w:lang w:val="fr-FR"/>
        </w:rPr>
        <w:t xml:space="preserve">). </w:t>
      </w:r>
      <w:r w:rsidR="00E02CA0" w:rsidRPr="009D1A93">
        <w:rPr>
          <w:rFonts w:asciiTheme="minorBidi" w:hAnsiTheme="minorBidi" w:cstheme="minorBidi"/>
          <w:lang w:val="fr-FR"/>
        </w:rPr>
        <w:t xml:space="preserve">Le Secrétariat de la Convention de 2003 </w:t>
      </w:r>
      <w:r w:rsidR="00E9166E" w:rsidRPr="009D1A93">
        <w:rPr>
          <w:rFonts w:asciiTheme="minorBidi" w:hAnsiTheme="minorBidi" w:cstheme="minorBidi"/>
          <w:lang w:val="fr-FR"/>
        </w:rPr>
        <w:t>a participé à l</w:t>
      </w:r>
      <w:r w:rsidR="00CA0916" w:rsidRPr="009D1A93">
        <w:rPr>
          <w:rFonts w:asciiTheme="minorBidi" w:hAnsiTheme="minorBidi" w:cstheme="minorBidi"/>
          <w:lang w:val="fr-FR"/>
        </w:rPr>
        <w:t>’</w:t>
      </w:r>
      <w:r w:rsidR="00FA1373" w:rsidRPr="009D1A93">
        <w:rPr>
          <w:rFonts w:asciiTheme="minorBidi" w:hAnsiTheme="minorBidi" w:cstheme="minorBidi"/>
          <w:lang w:val="fr-FR"/>
        </w:rPr>
        <w:t xml:space="preserve">élaboration du </w:t>
      </w:r>
      <w:r w:rsidR="00AB6521" w:rsidRPr="009D1A93">
        <w:rPr>
          <w:rFonts w:asciiTheme="minorBidi" w:hAnsiTheme="minorBidi" w:cstheme="minorBidi"/>
          <w:lang w:val="fr-FR"/>
        </w:rPr>
        <w:t>R</w:t>
      </w:r>
      <w:r w:rsidR="00E9166E" w:rsidRPr="009D1A93">
        <w:rPr>
          <w:rFonts w:asciiTheme="minorBidi" w:hAnsiTheme="minorBidi" w:cstheme="minorBidi"/>
          <w:lang w:val="fr-FR"/>
        </w:rPr>
        <w:t xml:space="preserve">èglement intérieur </w:t>
      </w:r>
      <w:r w:rsidR="00AB6521" w:rsidRPr="009D1A93">
        <w:rPr>
          <w:rFonts w:asciiTheme="minorBidi" w:hAnsiTheme="minorBidi" w:cstheme="minorBidi"/>
          <w:lang w:val="fr-FR"/>
        </w:rPr>
        <w:t xml:space="preserve">modèle </w:t>
      </w:r>
      <w:r w:rsidR="00E9166E" w:rsidRPr="009D1A93">
        <w:rPr>
          <w:rFonts w:asciiTheme="minorBidi" w:hAnsiTheme="minorBidi" w:cstheme="minorBidi"/>
          <w:lang w:val="fr-FR"/>
        </w:rPr>
        <w:t xml:space="preserve">des assemblées des Parties aux </w:t>
      </w:r>
      <w:r w:rsidR="00AD471F" w:rsidRPr="009D1A93">
        <w:rPr>
          <w:rFonts w:asciiTheme="minorBidi" w:hAnsiTheme="minorBidi" w:cstheme="minorBidi"/>
          <w:lang w:val="fr-FR"/>
        </w:rPr>
        <w:t>C</w:t>
      </w:r>
      <w:r w:rsidR="00E9166E" w:rsidRPr="009D1A93">
        <w:rPr>
          <w:rFonts w:asciiTheme="minorBidi" w:hAnsiTheme="minorBidi" w:cstheme="minorBidi"/>
          <w:lang w:val="fr-FR"/>
        </w:rPr>
        <w:t xml:space="preserve">onventions de </w:t>
      </w:r>
      <w:r w:rsidR="00E02CA0" w:rsidRPr="009D1A93">
        <w:rPr>
          <w:rFonts w:asciiTheme="minorBidi" w:hAnsiTheme="minorBidi" w:cstheme="minorBidi"/>
          <w:lang w:val="fr-FR"/>
        </w:rPr>
        <w:t>l</w:t>
      </w:r>
      <w:r w:rsidR="00CA0916" w:rsidRPr="009D1A93">
        <w:rPr>
          <w:rFonts w:asciiTheme="minorBidi" w:hAnsiTheme="minorBidi" w:cstheme="minorBidi"/>
          <w:lang w:val="fr-FR"/>
        </w:rPr>
        <w:t>’</w:t>
      </w:r>
      <w:r w:rsidR="00E9166E" w:rsidRPr="009D1A93">
        <w:rPr>
          <w:rFonts w:asciiTheme="minorBidi" w:hAnsiTheme="minorBidi" w:cstheme="minorBidi"/>
          <w:lang w:val="fr-FR"/>
        </w:rPr>
        <w:t xml:space="preserve">UNESCO </w:t>
      </w:r>
      <w:r w:rsidR="00C543F6" w:rsidRPr="009D1A93">
        <w:rPr>
          <w:rFonts w:asciiTheme="minorBidi" w:hAnsiTheme="minorBidi" w:cstheme="minorBidi"/>
          <w:lang w:val="fr-FR"/>
        </w:rPr>
        <w:t>en matière de</w:t>
      </w:r>
      <w:r w:rsidR="00E02CA0" w:rsidRPr="009D1A93">
        <w:rPr>
          <w:rFonts w:asciiTheme="minorBidi" w:hAnsiTheme="minorBidi" w:cstheme="minorBidi"/>
          <w:lang w:val="fr-FR"/>
        </w:rPr>
        <w:t xml:space="preserve"> culture (ou </w:t>
      </w:r>
      <w:r w:rsidR="00113033" w:rsidRPr="009D1A93">
        <w:rPr>
          <w:rFonts w:asciiTheme="minorBidi" w:hAnsiTheme="minorBidi" w:cstheme="minorBidi"/>
          <w:lang w:val="fr-FR"/>
        </w:rPr>
        <w:t>« </w:t>
      </w:r>
      <w:r w:rsidR="00E02CA0" w:rsidRPr="009D1A93">
        <w:rPr>
          <w:rFonts w:asciiTheme="minorBidi" w:hAnsiTheme="minorBidi" w:cstheme="minorBidi"/>
          <w:lang w:val="fr-FR"/>
        </w:rPr>
        <w:t xml:space="preserve">Règlement intérieur </w:t>
      </w:r>
      <w:r w:rsidR="00AD471F" w:rsidRPr="009D1A93">
        <w:rPr>
          <w:rFonts w:asciiTheme="minorBidi" w:hAnsiTheme="minorBidi" w:cstheme="minorBidi"/>
          <w:lang w:val="fr-FR"/>
        </w:rPr>
        <w:t>modèle </w:t>
      </w:r>
      <w:r w:rsidR="00113033" w:rsidRPr="009D1A93">
        <w:rPr>
          <w:rFonts w:asciiTheme="minorBidi" w:hAnsiTheme="minorBidi" w:cstheme="minorBidi"/>
          <w:lang w:val="fr-FR"/>
        </w:rPr>
        <w:t>»</w:t>
      </w:r>
      <w:r w:rsidR="00E02CA0" w:rsidRPr="009D1A93">
        <w:rPr>
          <w:rFonts w:asciiTheme="minorBidi" w:hAnsiTheme="minorBidi" w:cstheme="minorBidi"/>
          <w:lang w:val="fr-FR"/>
        </w:rPr>
        <w:t>)</w:t>
      </w:r>
      <w:r w:rsidR="00E9166E" w:rsidRPr="009D1A93">
        <w:rPr>
          <w:rFonts w:asciiTheme="minorBidi" w:hAnsiTheme="minorBidi" w:cstheme="minorBidi"/>
          <w:lang w:val="fr-FR"/>
        </w:rPr>
        <w:t xml:space="preserve">, </w:t>
      </w:r>
      <w:r w:rsidR="00E02CA0" w:rsidRPr="009D1A93">
        <w:rPr>
          <w:rFonts w:asciiTheme="minorBidi" w:hAnsiTheme="minorBidi" w:cstheme="minorBidi"/>
          <w:lang w:val="fr-FR"/>
        </w:rPr>
        <w:t xml:space="preserve">qui a été examiné par la </w:t>
      </w:r>
      <w:r w:rsidR="00A164D7" w:rsidRPr="009D1A93">
        <w:rPr>
          <w:rFonts w:asciiTheme="minorBidi" w:hAnsiTheme="minorBidi" w:cstheme="minorBidi"/>
          <w:lang w:val="fr-FR"/>
        </w:rPr>
        <w:t>41e session de la Conférence générale (</w:t>
      </w:r>
      <w:r w:rsidR="000C16F4">
        <w:rPr>
          <w:rFonts w:asciiTheme="minorBidi" w:hAnsiTheme="minorBidi" w:cstheme="minorBidi"/>
          <w:lang w:val="fr-FR"/>
        </w:rPr>
        <w:t xml:space="preserve">résolution </w:t>
      </w:r>
      <w:hyperlink r:id="rId29" w:anchor="%5B%7B%22num%22%3A198%2C%22gen%22%3A0%7D%2C%7B%22name%22%3A%22XYZ%22%7D%2C54%2C324%2C0%5D" w:history="1">
        <w:r w:rsidR="00BC3085" w:rsidRPr="009D1A93">
          <w:rPr>
            <w:rStyle w:val="Lienhypertexte"/>
            <w:rFonts w:asciiTheme="minorBidi" w:eastAsia="SimSun" w:hAnsiTheme="minorBidi" w:cstheme="minorBidi"/>
            <w:lang w:val="fr-FR"/>
          </w:rPr>
          <w:t>41C/74</w:t>
        </w:r>
      </w:hyperlink>
      <w:r w:rsidR="00A164D7" w:rsidRPr="009D1A93">
        <w:rPr>
          <w:rFonts w:asciiTheme="minorBidi" w:hAnsiTheme="minorBidi" w:cstheme="minorBidi"/>
          <w:lang w:val="fr-FR"/>
        </w:rPr>
        <w:t>). Les révisions du Règlement intérieur de l</w:t>
      </w:r>
      <w:r w:rsidR="00CA0916" w:rsidRPr="009D1A93">
        <w:rPr>
          <w:rFonts w:asciiTheme="minorBidi" w:hAnsiTheme="minorBidi" w:cstheme="minorBidi"/>
          <w:lang w:val="fr-FR"/>
        </w:rPr>
        <w:t>’</w:t>
      </w:r>
      <w:r w:rsidR="00A164D7" w:rsidRPr="009D1A93">
        <w:rPr>
          <w:rFonts w:asciiTheme="minorBidi" w:hAnsiTheme="minorBidi" w:cstheme="minorBidi"/>
          <w:lang w:val="fr-FR"/>
        </w:rPr>
        <w:t>Assemblée générale de la Convention 2003 ont été proposées en s</w:t>
      </w:r>
      <w:r w:rsidR="00CA0916" w:rsidRPr="009D1A93">
        <w:rPr>
          <w:rFonts w:asciiTheme="minorBidi" w:hAnsiTheme="minorBidi" w:cstheme="minorBidi"/>
          <w:lang w:val="fr-FR"/>
        </w:rPr>
        <w:t>’</w:t>
      </w:r>
      <w:r w:rsidR="00A164D7" w:rsidRPr="009D1A93">
        <w:rPr>
          <w:rFonts w:asciiTheme="minorBidi" w:hAnsiTheme="minorBidi" w:cstheme="minorBidi"/>
          <w:lang w:val="fr-FR"/>
        </w:rPr>
        <w:t xml:space="preserve">alignant sur le Règlement intérieur </w:t>
      </w:r>
      <w:r w:rsidR="00F37E85" w:rsidRPr="009D1A93">
        <w:rPr>
          <w:rFonts w:asciiTheme="minorBidi" w:hAnsiTheme="minorBidi" w:cstheme="minorBidi"/>
          <w:lang w:val="fr-FR"/>
        </w:rPr>
        <w:t xml:space="preserve">modèle </w:t>
      </w:r>
      <w:r w:rsidR="005A252A" w:rsidRPr="009D1A93">
        <w:rPr>
          <w:rFonts w:asciiTheme="minorBidi" w:hAnsiTheme="minorBidi" w:cstheme="minorBidi"/>
          <w:lang w:val="fr-FR"/>
        </w:rPr>
        <w:t xml:space="preserve">(ce qui signifie que le nombre de règles est passé de </w:t>
      </w:r>
      <w:r w:rsidR="00F7273D" w:rsidRPr="009D1A93">
        <w:rPr>
          <w:rFonts w:asciiTheme="minorBidi" w:hAnsiTheme="minorBidi" w:cstheme="minorBidi"/>
          <w:lang w:val="fr-FR"/>
        </w:rPr>
        <w:t xml:space="preserve">dix-neuf </w:t>
      </w:r>
      <w:r w:rsidR="005A252A" w:rsidRPr="009D1A93">
        <w:rPr>
          <w:rFonts w:asciiTheme="minorBidi" w:hAnsiTheme="minorBidi" w:cstheme="minorBidi"/>
          <w:lang w:val="fr-FR"/>
        </w:rPr>
        <w:t xml:space="preserve">à </w:t>
      </w:r>
      <w:r w:rsidR="00F7273D" w:rsidRPr="009D1A93">
        <w:rPr>
          <w:rFonts w:asciiTheme="minorBidi" w:hAnsiTheme="minorBidi" w:cstheme="minorBidi"/>
          <w:lang w:val="fr-FR"/>
        </w:rPr>
        <w:t>quarante</w:t>
      </w:r>
      <w:r w:rsidR="005A252A" w:rsidRPr="009D1A93">
        <w:rPr>
          <w:rFonts w:asciiTheme="minorBidi" w:hAnsiTheme="minorBidi" w:cstheme="minorBidi"/>
          <w:lang w:val="fr-FR"/>
        </w:rPr>
        <w:t>)</w:t>
      </w:r>
      <w:r w:rsidR="00FA1373" w:rsidRPr="009D1A93">
        <w:rPr>
          <w:rFonts w:asciiTheme="minorBidi" w:hAnsiTheme="minorBidi" w:cstheme="minorBidi"/>
          <w:lang w:val="fr-FR"/>
        </w:rPr>
        <w:t>. Compte tenu du volume et de la complexité technique, le Secrétariat a invité les États parties à la Convention à une réunion d</w:t>
      </w:r>
      <w:r w:rsidR="00CA0916" w:rsidRPr="009D1A93">
        <w:rPr>
          <w:rFonts w:asciiTheme="minorBidi" w:hAnsiTheme="minorBidi" w:cstheme="minorBidi"/>
          <w:lang w:val="fr-FR"/>
        </w:rPr>
        <w:t>’</w:t>
      </w:r>
      <w:r w:rsidR="00FA1373" w:rsidRPr="009D1A93">
        <w:rPr>
          <w:rFonts w:asciiTheme="minorBidi" w:hAnsiTheme="minorBidi" w:cstheme="minorBidi"/>
          <w:lang w:val="fr-FR"/>
        </w:rPr>
        <w:t>information et d</w:t>
      </w:r>
      <w:r w:rsidR="00CA0916" w:rsidRPr="009D1A93">
        <w:rPr>
          <w:rFonts w:asciiTheme="minorBidi" w:hAnsiTheme="minorBidi" w:cstheme="minorBidi"/>
          <w:lang w:val="fr-FR"/>
        </w:rPr>
        <w:t>’</w:t>
      </w:r>
      <w:r w:rsidR="00FA1373" w:rsidRPr="009D1A93">
        <w:rPr>
          <w:rFonts w:asciiTheme="minorBidi" w:hAnsiTheme="minorBidi" w:cstheme="minorBidi"/>
          <w:lang w:val="fr-FR"/>
        </w:rPr>
        <w:t>échange en ligne le 31 mai 2022</w:t>
      </w:r>
      <w:r w:rsidR="005A252A" w:rsidRPr="009D1A93">
        <w:rPr>
          <w:rFonts w:asciiTheme="minorBidi" w:hAnsiTheme="minorBidi" w:cstheme="minorBidi"/>
          <w:lang w:val="fr-FR"/>
        </w:rPr>
        <w:t>. Les révisions proposées ont été approuvées par la neuvième session de l</w:t>
      </w:r>
      <w:r w:rsidR="00CA0916" w:rsidRPr="009D1A93">
        <w:rPr>
          <w:rFonts w:asciiTheme="minorBidi" w:hAnsiTheme="minorBidi" w:cstheme="minorBidi"/>
          <w:lang w:val="fr-FR"/>
        </w:rPr>
        <w:t>’</w:t>
      </w:r>
      <w:r w:rsidR="005A252A" w:rsidRPr="009D1A93">
        <w:rPr>
          <w:rFonts w:asciiTheme="minorBidi" w:hAnsiTheme="minorBidi" w:cstheme="minorBidi"/>
          <w:lang w:val="fr-FR"/>
        </w:rPr>
        <w:t>Assemblée générale et</w:t>
      </w:r>
      <w:r w:rsidR="00A168C6" w:rsidRPr="009D1A93">
        <w:rPr>
          <w:rFonts w:asciiTheme="minorBidi" w:hAnsiTheme="minorBidi" w:cstheme="minorBidi"/>
          <w:lang w:val="fr-FR"/>
        </w:rPr>
        <w:t xml:space="preserve">, à </w:t>
      </w:r>
      <w:r w:rsidR="005A252A" w:rsidRPr="009D1A93">
        <w:rPr>
          <w:rFonts w:asciiTheme="minorBidi" w:hAnsiTheme="minorBidi" w:cstheme="minorBidi"/>
          <w:lang w:val="fr-FR"/>
        </w:rPr>
        <w:t>ce titre</w:t>
      </w:r>
      <w:r w:rsidR="00A168C6" w:rsidRPr="009D1A93">
        <w:rPr>
          <w:rFonts w:asciiTheme="minorBidi" w:hAnsiTheme="minorBidi" w:cstheme="minorBidi"/>
          <w:lang w:val="fr-FR"/>
        </w:rPr>
        <w:t xml:space="preserve">, </w:t>
      </w:r>
      <w:r w:rsidR="005A252A" w:rsidRPr="009D1A93">
        <w:rPr>
          <w:rFonts w:asciiTheme="minorBidi" w:hAnsiTheme="minorBidi" w:cstheme="minorBidi"/>
          <w:lang w:val="fr-FR"/>
        </w:rPr>
        <w:t xml:space="preserve">la Convention de 2003 a été la première parmi les sept Conventions </w:t>
      </w:r>
      <w:r w:rsidR="00AB6521" w:rsidRPr="009D1A93">
        <w:rPr>
          <w:rFonts w:asciiTheme="minorBidi" w:hAnsiTheme="minorBidi" w:cstheme="minorBidi"/>
          <w:lang w:val="fr-FR"/>
        </w:rPr>
        <w:t xml:space="preserve">en matière de </w:t>
      </w:r>
      <w:r w:rsidR="005A252A" w:rsidRPr="009D1A93">
        <w:rPr>
          <w:rFonts w:asciiTheme="minorBidi" w:hAnsiTheme="minorBidi" w:cstheme="minorBidi"/>
          <w:lang w:val="fr-FR"/>
        </w:rPr>
        <w:t xml:space="preserve">culture à être </w:t>
      </w:r>
      <w:r w:rsidR="00D3627E" w:rsidRPr="009D1A93">
        <w:rPr>
          <w:rFonts w:asciiTheme="minorBidi" w:hAnsiTheme="minorBidi" w:cstheme="minorBidi"/>
          <w:lang w:val="fr-FR"/>
        </w:rPr>
        <w:t>le fer de lance de l</w:t>
      </w:r>
      <w:r w:rsidR="00CA0916" w:rsidRPr="009D1A93">
        <w:rPr>
          <w:rFonts w:asciiTheme="minorBidi" w:hAnsiTheme="minorBidi" w:cstheme="minorBidi"/>
          <w:lang w:val="fr-FR"/>
        </w:rPr>
        <w:t>’</w:t>
      </w:r>
      <w:r w:rsidR="00D3627E" w:rsidRPr="009D1A93">
        <w:rPr>
          <w:rFonts w:asciiTheme="minorBidi" w:hAnsiTheme="minorBidi" w:cstheme="minorBidi"/>
          <w:lang w:val="fr-FR"/>
        </w:rPr>
        <w:t>harmonisation d</w:t>
      </w:r>
      <w:r w:rsidR="00AB6521" w:rsidRPr="009D1A93">
        <w:rPr>
          <w:rFonts w:asciiTheme="minorBidi" w:hAnsiTheme="minorBidi" w:cstheme="minorBidi"/>
          <w:lang w:val="fr-FR"/>
        </w:rPr>
        <w:t xml:space="preserve">u Règlement intérieur </w:t>
      </w:r>
      <w:r w:rsidR="00A85D19" w:rsidRPr="009D1A93">
        <w:rPr>
          <w:rFonts w:asciiTheme="minorBidi" w:hAnsiTheme="minorBidi" w:cstheme="minorBidi"/>
          <w:lang w:val="fr-FR"/>
        </w:rPr>
        <w:t xml:space="preserve">de son assemblée </w:t>
      </w:r>
      <w:r w:rsidR="00357614" w:rsidRPr="009D1A93">
        <w:rPr>
          <w:rFonts w:asciiTheme="minorBidi" w:hAnsiTheme="minorBidi" w:cstheme="minorBidi"/>
          <w:lang w:val="fr-FR"/>
        </w:rPr>
        <w:t>(</w:t>
      </w:r>
      <w:r w:rsidR="00362321">
        <w:rPr>
          <w:rFonts w:asciiTheme="minorBidi" w:hAnsiTheme="minorBidi" w:cstheme="minorBidi"/>
          <w:lang w:val="fr-FR"/>
        </w:rPr>
        <w:t>r</w:t>
      </w:r>
      <w:r w:rsidR="00357614" w:rsidRPr="009D1A93">
        <w:rPr>
          <w:rFonts w:asciiTheme="minorBidi" w:hAnsiTheme="minorBidi" w:cstheme="minorBidi"/>
          <w:lang w:val="fr-FR"/>
        </w:rPr>
        <w:t xml:space="preserve">ésolution </w:t>
      </w:r>
      <w:hyperlink r:id="rId30" w:history="1">
        <w:r w:rsidR="00357614" w:rsidRPr="009D1A93">
          <w:rPr>
            <w:rStyle w:val="Lienhypertexte"/>
            <w:rFonts w:asciiTheme="minorBidi" w:hAnsiTheme="minorBidi" w:cstheme="minorBidi"/>
            <w:lang w:val="fr-FR"/>
          </w:rPr>
          <w:t>9.GA 12</w:t>
        </w:r>
      </w:hyperlink>
      <w:r w:rsidR="00357614" w:rsidRPr="009D1A93">
        <w:rPr>
          <w:rFonts w:asciiTheme="minorBidi" w:hAnsiTheme="minorBidi" w:cstheme="minorBidi"/>
          <w:lang w:val="fr-FR"/>
        </w:rPr>
        <w:t>)</w:t>
      </w:r>
      <w:r w:rsidR="005A252A" w:rsidRPr="009D1A93">
        <w:rPr>
          <w:rFonts w:asciiTheme="minorBidi" w:hAnsiTheme="minorBidi" w:cstheme="minorBidi"/>
          <w:lang w:val="fr-FR"/>
        </w:rPr>
        <w:t>.</w:t>
      </w:r>
    </w:p>
    <w:p w14:paraId="43F42B70" w14:textId="4682B377" w:rsidR="00B625DE" w:rsidRPr="009D1A93" w:rsidRDefault="009800D3" w:rsidP="00974E6F">
      <w:pPr>
        <w:pStyle w:val="GAPara"/>
        <w:widowControl w:val="0"/>
        <w:numPr>
          <w:ilvl w:val="0"/>
          <w:numId w:val="6"/>
        </w:numPr>
        <w:ind w:left="567" w:hanging="567"/>
        <w:jc w:val="both"/>
        <w:rPr>
          <w:rFonts w:asciiTheme="minorBidi" w:hAnsiTheme="minorBidi" w:cstheme="minorBidi"/>
          <w:lang w:val="fr-FR"/>
        </w:rPr>
      </w:pPr>
      <w:r w:rsidRPr="009D1A93">
        <w:rPr>
          <w:rFonts w:asciiTheme="minorBidi" w:hAnsiTheme="minorBidi" w:cstheme="minorBidi"/>
          <w:b/>
          <w:bCs/>
          <w:lang w:val="fr-FR"/>
        </w:rPr>
        <w:t>Soutien à l</w:t>
      </w:r>
      <w:r w:rsidR="00CA0916" w:rsidRPr="009D1A93">
        <w:rPr>
          <w:rFonts w:asciiTheme="minorBidi" w:hAnsiTheme="minorBidi" w:cstheme="minorBidi"/>
          <w:b/>
          <w:bCs/>
          <w:lang w:val="fr-FR"/>
        </w:rPr>
        <w:t>’</w:t>
      </w:r>
      <w:r w:rsidR="00E76F54" w:rsidRPr="009D1A93">
        <w:rPr>
          <w:rFonts w:asciiTheme="minorBidi" w:hAnsiTheme="minorBidi" w:cstheme="minorBidi"/>
          <w:b/>
          <w:bCs/>
          <w:lang w:val="fr-FR"/>
        </w:rPr>
        <w:t>O</w:t>
      </w:r>
      <w:r w:rsidRPr="009D1A93">
        <w:rPr>
          <w:rFonts w:asciiTheme="minorBidi" w:hAnsiTheme="minorBidi" w:cstheme="minorBidi"/>
          <w:b/>
          <w:bCs/>
          <w:lang w:val="fr-FR"/>
        </w:rPr>
        <w:t>rgane d</w:t>
      </w:r>
      <w:r w:rsidR="00CA0916" w:rsidRPr="009D1A93">
        <w:rPr>
          <w:rFonts w:asciiTheme="minorBidi" w:hAnsiTheme="minorBidi" w:cstheme="minorBidi"/>
          <w:b/>
          <w:bCs/>
          <w:lang w:val="fr-FR"/>
        </w:rPr>
        <w:t>’</w:t>
      </w:r>
      <w:r w:rsidRPr="009D1A93">
        <w:rPr>
          <w:rFonts w:asciiTheme="minorBidi" w:hAnsiTheme="minorBidi" w:cstheme="minorBidi"/>
          <w:b/>
          <w:bCs/>
          <w:lang w:val="fr-FR"/>
        </w:rPr>
        <w:t xml:space="preserve">évaluation </w:t>
      </w:r>
      <w:r w:rsidR="00C00D22" w:rsidRPr="009D1A93">
        <w:rPr>
          <w:rFonts w:asciiTheme="minorBidi" w:hAnsiTheme="minorBidi" w:cstheme="minorBidi"/>
          <w:b/>
          <w:bCs/>
          <w:lang w:val="fr-FR"/>
        </w:rPr>
        <w:t xml:space="preserve">: </w:t>
      </w:r>
      <w:r w:rsidR="00C00D22" w:rsidRPr="009D1A93">
        <w:rPr>
          <w:rFonts w:asciiTheme="minorBidi" w:hAnsiTheme="minorBidi" w:cstheme="minorBidi"/>
          <w:lang w:val="fr-FR"/>
        </w:rPr>
        <w:t xml:space="preserve">Le Secrétariat a </w:t>
      </w:r>
      <w:r w:rsidR="00E41B9B" w:rsidRPr="009D1A93">
        <w:rPr>
          <w:rFonts w:asciiTheme="minorBidi" w:hAnsiTheme="minorBidi" w:cstheme="minorBidi"/>
          <w:lang w:val="fr-FR"/>
        </w:rPr>
        <w:t xml:space="preserve">également </w:t>
      </w:r>
      <w:r w:rsidR="00C00D22" w:rsidRPr="009D1A93">
        <w:rPr>
          <w:rFonts w:asciiTheme="minorBidi" w:hAnsiTheme="minorBidi" w:cstheme="minorBidi"/>
          <w:lang w:val="fr-FR"/>
        </w:rPr>
        <w:t xml:space="preserve">entrepris des tâches </w:t>
      </w:r>
      <w:r w:rsidR="00E41B9B" w:rsidRPr="009D1A93">
        <w:rPr>
          <w:rFonts w:asciiTheme="minorBidi" w:hAnsiTheme="minorBidi" w:cstheme="minorBidi"/>
          <w:lang w:val="fr-FR"/>
        </w:rPr>
        <w:t xml:space="preserve">visant à soutenir </w:t>
      </w:r>
      <w:r w:rsidR="00C00D22" w:rsidRPr="009D1A93">
        <w:rPr>
          <w:rFonts w:asciiTheme="minorBidi" w:hAnsiTheme="minorBidi" w:cstheme="minorBidi"/>
          <w:lang w:val="fr-FR"/>
        </w:rPr>
        <w:t>l</w:t>
      </w:r>
      <w:r w:rsidR="00CA0916" w:rsidRPr="009D1A93">
        <w:rPr>
          <w:rFonts w:asciiTheme="minorBidi" w:hAnsiTheme="minorBidi" w:cstheme="minorBidi"/>
          <w:lang w:val="fr-FR"/>
        </w:rPr>
        <w:t>’</w:t>
      </w:r>
      <w:r w:rsidR="003A720C" w:rsidRPr="009D1A93">
        <w:rPr>
          <w:rFonts w:asciiTheme="minorBidi" w:hAnsiTheme="minorBidi" w:cstheme="minorBidi"/>
          <w:lang w:val="fr-FR"/>
        </w:rPr>
        <w:t>O</w:t>
      </w:r>
      <w:r w:rsidR="00C00D22" w:rsidRPr="009D1A93">
        <w:rPr>
          <w:rFonts w:asciiTheme="minorBidi" w:hAnsiTheme="minorBidi" w:cstheme="minorBidi"/>
          <w:lang w:val="fr-FR"/>
        </w:rPr>
        <w:t>rgane d</w:t>
      </w:r>
      <w:r w:rsidR="00CA0916" w:rsidRPr="009D1A93">
        <w:rPr>
          <w:rFonts w:asciiTheme="minorBidi" w:hAnsiTheme="minorBidi" w:cstheme="minorBidi"/>
          <w:lang w:val="fr-FR"/>
        </w:rPr>
        <w:t>’</w:t>
      </w:r>
      <w:r w:rsidR="00C00D22" w:rsidRPr="009D1A93">
        <w:rPr>
          <w:rFonts w:asciiTheme="minorBidi" w:hAnsiTheme="minorBidi" w:cstheme="minorBidi"/>
          <w:lang w:val="fr-FR"/>
        </w:rPr>
        <w:t xml:space="preserve">évaluation dans son évaluation des dossiers de candidature, </w:t>
      </w:r>
      <w:r w:rsidR="008C1641" w:rsidRPr="009D1A93">
        <w:rPr>
          <w:rFonts w:asciiTheme="minorBidi" w:hAnsiTheme="minorBidi" w:cstheme="minorBidi"/>
          <w:lang w:val="fr-FR"/>
        </w:rPr>
        <w:t xml:space="preserve">notamment </w:t>
      </w:r>
      <w:r w:rsidR="00E41B9B" w:rsidRPr="009D1A93">
        <w:rPr>
          <w:rFonts w:asciiTheme="minorBidi" w:hAnsiTheme="minorBidi" w:cstheme="minorBidi"/>
          <w:lang w:val="fr-FR"/>
        </w:rPr>
        <w:t>par l</w:t>
      </w:r>
      <w:r w:rsidR="00CA0916" w:rsidRPr="009D1A93">
        <w:rPr>
          <w:rFonts w:asciiTheme="minorBidi" w:hAnsiTheme="minorBidi" w:cstheme="minorBidi"/>
          <w:lang w:val="fr-FR"/>
        </w:rPr>
        <w:t>’</w:t>
      </w:r>
      <w:r w:rsidR="0034520C" w:rsidRPr="009D1A93">
        <w:rPr>
          <w:rFonts w:asciiTheme="minorBidi" w:hAnsiTheme="minorBidi" w:cstheme="minorBidi"/>
          <w:lang w:val="fr-FR"/>
        </w:rPr>
        <w:t xml:space="preserve">administration </w:t>
      </w:r>
      <w:r w:rsidR="00B97467" w:rsidRPr="009D1A93">
        <w:rPr>
          <w:rFonts w:asciiTheme="minorBidi" w:hAnsiTheme="minorBidi" w:cstheme="minorBidi"/>
          <w:lang w:val="fr-FR"/>
        </w:rPr>
        <w:t xml:space="preserve">de cinquante-six dossiers dans le cadre du cycle 2022 actuel, </w:t>
      </w:r>
      <w:r w:rsidR="0034520C" w:rsidRPr="009D1A93">
        <w:rPr>
          <w:rFonts w:asciiTheme="minorBidi" w:hAnsiTheme="minorBidi" w:cstheme="minorBidi"/>
          <w:lang w:val="fr-FR"/>
        </w:rPr>
        <w:t>ainsi que l</w:t>
      </w:r>
      <w:r w:rsidR="00CA0916" w:rsidRPr="009D1A93">
        <w:rPr>
          <w:rFonts w:asciiTheme="minorBidi" w:hAnsiTheme="minorBidi" w:cstheme="minorBidi"/>
          <w:lang w:val="fr-FR"/>
        </w:rPr>
        <w:t>’</w:t>
      </w:r>
      <w:r w:rsidR="002E6B39" w:rsidRPr="009D1A93">
        <w:rPr>
          <w:rFonts w:asciiTheme="minorBidi" w:hAnsiTheme="minorBidi" w:cstheme="minorBidi"/>
          <w:lang w:val="fr-FR"/>
        </w:rPr>
        <w:t xml:space="preserve">enregistrement de </w:t>
      </w:r>
      <w:r w:rsidR="00DA7488" w:rsidRPr="009D1A93">
        <w:rPr>
          <w:rFonts w:asciiTheme="minorBidi" w:hAnsiTheme="minorBidi" w:cstheme="minorBidi"/>
          <w:lang w:val="fr-FR"/>
        </w:rPr>
        <w:t xml:space="preserve">quatre-vingt-deux </w:t>
      </w:r>
      <w:r w:rsidR="008C1641" w:rsidRPr="009D1A93">
        <w:rPr>
          <w:rFonts w:asciiTheme="minorBidi" w:hAnsiTheme="minorBidi" w:cstheme="minorBidi"/>
          <w:lang w:val="fr-FR"/>
        </w:rPr>
        <w:t xml:space="preserve">dossiers de candidature nouvellement </w:t>
      </w:r>
      <w:r w:rsidR="00E41B9B" w:rsidRPr="009D1A93">
        <w:rPr>
          <w:rFonts w:asciiTheme="minorBidi" w:hAnsiTheme="minorBidi" w:cstheme="minorBidi"/>
          <w:lang w:val="fr-FR"/>
        </w:rPr>
        <w:t xml:space="preserve">reçus à la </w:t>
      </w:r>
      <w:r w:rsidR="002E6B39" w:rsidRPr="009D1A93">
        <w:rPr>
          <w:rFonts w:asciiTheme="minorBidi" w:hAnsiTheme="minorBidi" w:cstheme="minorBidi"/>
          <w:lang w:val="fr-FR"/>
        </w:rPr>
        <w:t>date limite du 31 mars 2022</w:t>
      </w:r>
      <w:r w:rsidR="00B97467" w:rsidRPr="009D1A93">
        <w:rPr>
          <w:rFonts w:asciiTheme="minorBidi" w:hAnsiTheme="minorBidi" w:cstheme="minorBidi"/>
          <w:lang w:val="fr-FR"/>
        </w:rPr>
        <w:t xml:space="preserve">, et la </w:t>
      </w:r>
      <w:r w:rsidR="002E6B39" w:rsidRPr="009D1A93">
        <w:rPr>
          <w:rFonts w:asciiTheme="minorBidi" w:hAnsiTheme="minorBidi" w:cstheme="minorBidi"/>
          <w:lang w:val="fr-FR"/>
        </w:rPr>
        <w:t xml:space="preserve">vérification de </w:t>
      </w:r>
      <w:r w:rsidR="008C1641" w:rsidRPr="009D1A93">
        <w:rPr>
          <w:rFonts w:asciiTheme="minorBidi" w:hAnsiTheme="minorBidi" w:cstheme="minorBidi"/>
          <w:lang w:val="fr-FR"/>
        </w:rPr>
        <w:t xml:space="preserve">la </w:t>
      </w:r>
      <w:r w:rsidR="00C00D22" w:rsidRPr="009D1A93">
        <w:rPr>
          <w:rFonts w:asciiTheme="minorBidi" w:hAnsiTheme="minorBidi" w:cstheme="minorBidi"/>
          <w:lang w:val="fr-FR"/>
        </w:rPr>
        <w:t xml:space="preserve">complétude technique de </w:t>
      </w:r>
      <w:r w:rsidR="00DA7488" w:rsidRPr="009D1A93">
        <w:rPr>
          <w:rFonts w:asciiTheme="minorBidi" w:hAnsiTheme="minorBidi" w:cstheme="minorBidi"/>
          <w:lang w:val="fr-FR"/>
        </w:rPr>
        <w:t xml:space="preserve">soixante </w:t>
      </w:r>
      <w:r w:rsidR="008C1641" w:rsidRPr="009D1A93">
        <w:rPr>
          <w:rFonts w:asciiTheme="minorBidi" w:hAnsiTheme="minorBidi" w:cstheme="minorBidi"/>
          <w:lang w:val="fr-FR"/>
        </w:rPr>
        <w:t>dossiers</w:t>
      </w:r>
      <w:r w:rsidR="009A09C2" w:rsidRPr="009D1A93">
        <w:rPr>
          <w:rFonts w:asciiTheme="minorBidi" w:hAnsiTheme="minorBidi" w:cstheme="minorBidi"/>
          <w:lang w:val="fr-FR"/>
        </w:rPr>
        <w:t xml:space="preserve">, dont treize dossiers multinationaux, inclus </w:t>
      </w:r>
      <w:r w:rsidR="00E41B9B" w:rsidRPr="009D1A93">
        <w:rPr>
          <w:rFonts w:asciiTheme="minorBidi" w:hAnsiTheme="minorBidi" w:cstheme="minorBidi"/>
          <w:lang w:val="fr-FR"/>
        </w:rPr>
        <w:t xml:space="preserve">dans </w:t>
      </w:r>
      <w:r w:rsidR="008C1641" w:rsidRPr="009D1A93">
        <w:rPr>
          <w:rFonts w:asciiTheme="minorBidi" w:hAnsiTheme="minorBidi" w:cstheme="minorBidi"/>
          <w:lang w:val="fr-FR"/>
        </w:rPr>
        <w:t xml:space="preserve">le </w:t>
      </w:r>
      <w:r w:rsidR="009A09C2" w:rsidRPr="009D1A93">
        <w:rPr>
          <w:rFonts w:asciiTheme="minorBidi" w:hAnsiTheme="minorBidi" w:cstheme="minorBidi"/>
          <w:lang w:val="fr-FR"/>
        </w:rPr>
        <w:t xml:space="preserve">prochain </w:t>
      </w:r>
      <w:r w:rsidR="008C1641" w:rsidRPr="009D1A93">
        <w:rPr>
          <w:rFonts w:asciiTheme="minorBidi" w:hAnsiTheme="minorBidi" w:cstheme="minorBidi"/>
          <w:lang w:val="fr-FR"/>
        </w:rPr>
        <w:t>cycle 2023</w:t>
      </w:r>
      <w:r w:rsidR="00C00D22" w:rsidRPr="009D1A93">
        <w:rPr>
          <w:rFonts w:asciiTheme="minorBidi" w:hAnsiTheme="minorBidi" w:cstheme="minorBidi"/>
          <w:lang w:val="fr-FR"/>
        </w:rPr>
        <w:t xml:space="preserve">. </w:t>
      </w:r>
      <w:r w:rsidR="00C33C91" w:rsidRPr="009D1A93">
        <w:rPr>
          <w:rFonts w:asciiTheme="minorBidi" w:hAnsiTheme="minorBidi" w:cstheme="minorBidi"/>
          <w:lang w:val="fr-FR"/>
        </w:rPr>
        <w:t xml:space="preserve">Toutes ces tâches ont été réalisées dans le cadre des exigences statutaires définies par le texte de la Convention et de ses </w:t>
      </w:r>
      <w:r w:rsidR="00922A6B" w:rsidRPr="009D1A93">
        <w:rPr>
          <w:rFonts w:asciiTheme="minorBidi" w:hAnsiTheme="minorBidi" w:cstheme="minorBidi"/>
          <w:lang w:val="fr-FR"/>
        </w:rPr>
        <w:t>d</w:t>
      </w:r>
      <w:r w:rsidR="00C33C91" w:rsidRPr="009D1A93">
        <w:rPr>
          <w:rFonts w:asciiTheme="minorBidi" w:hAnsiTheme="minorBidi" w:cstheme="minorBidi"/>
          <w:lang w:val="fr-FR"/>
        </w:rPr>
        <w:t>irectives opérationnelles, tout en permettant une certaine indulgence compte tenu des circonstances entourant la pandémie</w:t>
      </w:r>
      <w:r w:rsidR="00F93E36" w:rsidRPr="009D1A93">
        <w:rPr>
          <w:rFonts w:asciiTheme="minorBidi" w:hAnsiTheme="minorBidi" w:cstheme="minorBidi"/>
          <w:lang w:val="fr-FR"/>
        </w:rPr>
        <w:t xml:space="preserve"> COVID-19</w:t>
      </w:r>
      <w:r w:rsidR="00C33C91" w:rsidRPr="009D1A93">
        <w:rPr>
          <w:rFonts w:asciiTheme="minorBidi" w:hAnsiTheme="minorBidi" w:cstheme="minorBidi"/>
          <w:lang w:val="fr-FR"/>
        </w:rPr>
        <w:t>.</w:t>
      </w:r>
    </w:p>
    <w:p w14:paraId="09333B50" w14:textId="0037DD16" w:rsidR="00B625DE" w:rsidRPr="00E90B91" w:rsidRDefault="009800D3" w:rsidP="00974E6F">
      <w:pPr>
        <w:pStyle w:val="GAPara"/>
        <w:widowControl w:val="0"/>
        <w:numPr>
          <w:ilvl w:val="0"/>
          <w:numId w:val="6"/>
        </w:numPr>
        <w:ind w:left="567" w:hanging="567"/>
        <w:jc w:val="both"/>
        <w:rPr>
          <w:rFonts w:asciiTheme="minorBidi" w:hAnsiTheme="minorBidi" w:cstheme="minorBidi"/>
          <w:lang w:val="fr-FR"/>
        </w:rPr>
      </w:pPr>
      <w:r w:rsidRPr="009D1A93">
        <w:rPr>
          <w:rFonts w:asciiTheme="minorBidi" w:hAnsiTheme="minorBidi" w:cstheme="minorBidi"/>
          <w:b/>
          <w:bCs/>
          <w:lang w:val="fr-FR"/>
        </w:rPr>
        <w:t xml:space="preserve">Assistance internationale </w:t>
      </w:r>
      <w:r w:rsidRPr="009D1A93">
        <w:rPr>
          <w:rFonts w:asciiTheme="minorBidi" w:hAnsiTheme="minorBidi" w:cstheme="minorBidi"/>
          <w:lang w:val="fr-FR"/>
        </w:rPr>
        <w:t xml:space="preserve">: </w:t>
      </w:r>
      <w:r w:rsidR="003D451A" w:rsidRPr="009D1A93">
        <w:rPr>
          <w:rFonts w:asciiTheme="minorBidi" w:hAnsiTheme="minorBidi" w:cstheme="minorBidi"/>
          <w:lang w:val="fr-FR"/>
        </w:rPr>
        <w:t>Le Secrétariat a continué à soutenir les efforts nationaux de sauvegarde par le biais du mécanisme d</w:t>
      </w:r>
      <w:r w:rsidR="00CA0916" w:rsidRPr="009D1A93">
        <w:rPr>
          <w:rFonts w:asciiTheme="minorBidi" w:hAnsiTheme="minorBidi" w:cstheme="minorBidi"/>
          <w:lang w:val="fr-FR"/>
        </w:rPr>
        <w:t>’</w:t>
      </w:r>
      <w:r w:rsidR="003D451A" w:rsidRPr="009D1A93">
        <w:rPr>
          <w:rFonts w:asciiTheme="minorBidi" w:hAnsiTheme="minorBidi" w:cstheme="minorBidi"/>
          <w:lang w:val="fr-FR"/>
        </w:rPr>
        <w:t xml:space="preserve">assistance internationale. </w:t>
      </w:r>
      <w:r w:rsidR="00DB244B" w:rsidRPr="009D1A93">
        <w:rPr>
          <w:rFonts w:asciiTheme="minorBidi" w:hAnsiTheme="minorBidi" w:cstheme="minorBidi"/>
          <w:lang w:val="fr-FR"/>
        </w:rPr>
        <w:t>Entre janvier 2022 et juin 2022, le Secrétariat a administré cinq nouvelles demandes d</w:t>
      </w:r>
      <w:r w:rsidR="00CA0916" w:rsidRPr="009D1A93">
        <w:rPr>
          <w:rFonts w:asciiTheme="minorBidi" w:hAnsiTheme="minorBidi" w:cstheme="minorBidi"/>
          <w:lang w:val="fr-FR"/>
        </w:rPr>
        <w:t>’</w:t>
      </w:r>
      <w:r w:rsidR="00DB244B" w:rsidRPr="009D1A93">
        <w:rPr>
          <w:rFonts w:asciiTheme="minorBidi" w:hAnsiTheme="minorBidi" w:cstheme="minorBidi"/>
          <w:lang w:val="fr-FR"/>
        </w:rPr>
        <w:t xml:space="preserve">assistance internationale </w:t>
      </w:r>
      <w:r w:rsidR="00A168C6" w:rsidRPr="009D1A93">
        <w:rPr>
          <w:rFonts w:asciiTheme="minorBidi" w:hAnsiTheme="minorBidi" w:cstheme="minorBidi"/>
          <w:lang w:val="fr-FR"/>
        </w:rPr>
        <w:t xml:space="preserve">approuvées </w:t>
      </w:r>
      <w:r w:rsidR="00DB244B" w:rsidRPr="009D1A93">
        <w:rPr>
          <w:rFonts w:asciiTheme="minorBidi" w:hAnsiTheme="minorBidi" w:cstheme="minorBidi"/>
          <w:lang w:val="fr-FR"/>
        </w:rPr>
        <w:t xml:space="preserve">par le Bureau, tout en continuant à soutenir la mise en œuvre de quarante-deux projets actifs. </w:t>
      </w:r>
      <w:r w:rsidR="00397F6A" w:rsidRPr="009D1A93">
        <w:rPr>
          <w:rFonts w:asciiTheme="minorBidi" w:hAnsiTheme="minorBidi" w:cstheme="minorBidi"/>
          <w:lang w:val="fr-FR"/>
        </w:rPr>
        <w:t>Conformément à la recommandation 11 de l</w:t>
      </w:r>
      <w:r w:rsidR="00CA0916" w:rsidRPr="009D1A93">
        <w:rPr>
          <w:rFonts w:asciiTheme="minorBidi" w:hAnsiTheme="minorBidi" w:cstheme="minorBidi"/>
          <w:lang w:val="fr-FR"/>
        </w:rPr>
        <w:t>’</w:t>
      </w:r>
      <w:r w:rsidR="00397F6A" w:rsidRPr="009D1A93">
        <w:rPr>
          <w:rFonts w:asciiTheme="minorBidi" w:hAnsiTheme="minorBidi" w:cstheme="minorBidi"/>
          <w:lang w:val="fr-FR"/>
        </w:rPr>
        <w:t>évaluation d</w:t>
      </w:r>
      <w:r w:rsidR="00CA0916" w:rsidRPr="009D1A93">
        <w:rPr>
          <w:rFonts w:asciiTheme="minorBidi" w:hAnsiTheme="minorBidi" w:cstheme="minorBidi"/>
          <w:lang w:val="fr-FR"/>
        </w:rPr>
        <w:t>’</w:t>
      </w:r>
      <w:r w:rsidR="00397F6A" w:rsidRPr="009D1A93">
        <w:rPr>
          <w:rFonts w:asciiTheme="minorBidi" w:hAnsiTheme="minorBidi" w:cstheme="minorBidi"/>
          <w:lang w:val="fr-FR"/>
        </w:rPr>
        <w:t xml:space="preserve">IOS 2021, des activités ont été entreprises pour accroître la visibilité du mécanisme. </w:t>
      </w:r>
      <w:r w:rsidR="006B298A" w:rsidRPr="009D1A93">
        <w:rPr>
          <w:rFonts w:asciiTheme="minorBidi" w:hAnsiTheme="minorBidi" w:cstheme="minorBidi"/>
          <w:lang w:val="fr-FR"/>
        </w:rPr>
        <w:t>Une série de trois webinaires mondiaux a été organisée en mars 2022 dans différents fuseaux horaires pour présenter le mécanisme d</w:t>
      </w:r>
      <w:r w:rsidR="00CA0916" w:rsidRPr="009D1A93">
        <w:rPr>
          <w:rFonts w:asciiTheme="minorBidi" w:hAnsiTheme="minorBidi" w:cstheme="minorBidi"/>
          <w:lang w:val="fr-FR"/>
        </w:rPr>
        <w:t>’</w:t>
      </w:r>
      <w:r w:rsidR="006B298A" w:rsidRPr="009D1A93">
        <w:rPr>
          <w:rFonts w:asciiTheme="minorBidi" w:hAnsiTheme="minorBidi" w:cstheme="minorBidi"/>
          <w:lang w:val="fr-FR"/>
        </w:rPr>
        <w:t>assistance internationale à plusieurs parties prenantes impliquées dans la sauvegarde du patrimoine vivant</w:t>
      </w:r>
      <w:r w:rsidR="00006BDA" w:rsidRPr="009D1A93">
        <w:rPr>
          <w:rFonts w:asciiTheme="minorBidi" w:hAnsiTheme="minorBidi" w:cstheme="minorBidi"/>
          <w:lang w:val="fr-FR"/>
        </w:rPr>
        <w:t xml:space="preserve">. En outre, </w:t>
      </w:r>
      <w:r w:rsidR="00E50C64" w:rsidRPr="009D1A93">
        <w:rPr>
          <w:rFonts w:asciiTheme="minorBidi" w:hAnsiTheme="minorBidi" w:cstheme="minorBidi"/>
          <w:lang w:val="fr-FR"/>
        </w:rPr>
        <w:t xml:space="preserve">un </w:t>
      </w:r>
      <w:r w:rsidR="006B298A" w:rsidRPr="009D1A93">
        <w:rPr>
          <w:rFonts w:asciiTheme="minorBidi" w:hAnsiTheme="minorBidi" w:cstheme="minorBidi"/>
          <w:lang w:val="fr-FR"/>
        </w:rPr>
        <w:t xml:space="preserve">événement parallèle </w:t>
      </w:r>
      <w:r w:rsidR="00006BDA" w:rsidRPr="009D1A93">
        <w:rPr>
          <w:rFonts w:asciiTheme="minorBidi" w:hAnsiTheme="minorBidi" w:cstheme="minorBidi"/>
          <w:lang w:val="fr-FR"/>
        </w:rPr>
        <w:t>sur l</w:t>
      </w:r>
      <w:r w:rsidR="00CA0916" w:rsidRPr="009D1A93">
        <w:rPr>
          <w:rFonts w:asciiTheme="minorBidi" w:hAnsiTheme="minorBidi" w:cstheme="minorBidi"/>
          <w:lang w:val="fr-FR"/>
        </w:rPr>
        <w:t>’</w:t>
      </w:r>
      <w:r w:rsidR="00006BDA" w:rsidRPr="009D1A93">
        <w:rPr>
          <w:rFonts w:asciiTheme="minorBidi" w:hAnsiTheme="minorBidi" w:cstheme="minorBidi"/>
          <w:lang w:val="fr-FR"/>
        </w:rPr>
        <w:t xml:space="preserve">assistance internationale a été organisé lors de </w:t>
      </w:r>
      <w:r w:rsidR="006B298A" w:rsidRPr="009D1A93">
        <w:rPr>
          <w:rFonts w:asciiTheme="minorBidi" w:hAnsiTheme="minorBidi" w:cstheme="minorBidi"/>
          <w:lang w:val="fr-FR"/>
        </w:rPr>
        <w:t>la neuvième session de l</w:t>
      </w:r>
      <w:r w:rsidR="00CA0916" w:rsidRPr="009D1A93">
        <w:rPr>
          <w:rFonts w:asciiTheme="minorBidi" w:hAnsiTheme="minorBidi" w:cstheme="minorBidi"/>
          <w:lang w:val="fr-FR"/>
        </w:rPr>
        <w:t>’</w:t>
      </w:r>
      <w:r w:rsidR="006B298A" w:rsidRPr="009D1A93">
        <w:rPr>
          <w:rFonts w:asciiTheme="minorBidi" w:hAnsiTheme="minorBidi" w:cstheme="minorBidi"/>
          <w:lang w:val="fr-FR"/>
        </w:rPr>
        <w:t xml:space="preserve">Assemblée générale. A ces occasions, la </w:t>
      </w:r>
      <w:hyperlink r:id="rId31" w:history="1">
        <w:r w:rsidR="006B298A" w:rsidRPr="009D1A93">
          <w:rPr>
            <w:rStyle w:val="Lienhypertexte"/>
            <w:rFonts w:asciiTheme="minorBidi" w:hAnsiTheme="minorBidi" w:cstheme="minorBidi"/>
            <w:lang w:val="fr-FR"/>
          </w:rPr>
          <w:t>boîte à outils</w:t>
        </w:r>
      </w:hyperlink>
      <w:r w:rsidR="006B298A" w:rsidRPr="009D1A93">
        <w:rPr>
          <w:rFonts w:asciiTheme="minorBidi" w:hAnsiTheme="minorBidi" w:cstheme="minorBidi"/>
          <w:lang w:val="fr-FR"/>
        </w:rPr>
        <w:t xml:space="preserve"> pour la demande d</w:t>
      </w:r>
      <w:r w:rsidR="00CA0916" w:rsidRPr="009D1A93">
        <w:rPr>
          <w:rFonts w:asciiTheme="minorBidi" w:hAnsiTheme="minorBidi" w:cstheme="minorBidi"/>
          <w:lang w:val="fr-FR"/>
        </w:rPr>
        <w:t>’</w:t>
      </w:r>
      <w:r w:rsidR="006B298A" w:rsidRPr="009D1A93">
        <w:rPr>
          <w:rFonts w:asciiTheme="minorBidi" w:hAnsiTheme="minorBidi" w:cstheme="minorBidi"/>
          <w:lang w:val="fr-FR"/>
        </w:rPr>
        <w:t xml:space="preserve">assistance internationale préparée par le </w:t>
      </w:r>
      <w:r w:rsidR="006B298A" w:rsidRPr="009D1A93">
        <w:rPr>
          <w:rFonts w:asciiTheme="minorBidi" w:hAnsiTheme="minorBidi" w:cstheme="minorBidi"/>
          <w:lang w:val="fr-FR"/>
        </w:rPr>
        <w:lastRenderedPageBreak/>
        <w:t xml:space="preserve">Secrétariat en trois langues a été largement diffusée. Les </w:t>
      </w:r>
      <w:r w:rsidR="00274F9F" w:rsidRPr="009D1A93">
        <w:rPr>
          <w:rFonts w:asciiTheme="minorBidi" w:hAnsiTheme="minorBidi" w:cstheme="minorBidi"/>
          <w:lang w:val="fr-FR"/>
        </w:rPr>
        <w:t>rapports des Etats parties sur l</w:t>
      </w:r>
      <w:r w:rsidR="00CA0916" w:rsidRPr="009D1A93">
        <w:rPr>
          <w:rFonts w:asciiTheme="minorBidi" w:hAnsiTheme="minorBidi" w:cstheme="minorBidi"/>
          <w:lang w:val="fr-FR"/>
        </w:rPr>
        <w:t>’</w:t>
      </w:r>
      <w:r w:rsidR="00274F9F" w:rsidRPr="009D1A93">
        <w:rPr>
          <w:rFonts w:asciiTheme="minorBidi" w:hAnsiTheme="minorBidi" w:cstheme="minorBidi"/>
          <w:lang w:val="fr-FR"/>
        </w:rPr>
        <w:t>utilisation de l</w:t>
      </w:r>
      <w:r w:rsidR="00CA0916" w:rsidRPr="009D1A93">
        <w:rPr>
          <w:rFonts w:asciiTheme="minorBidi" w:hAnsiTheme="minorBidi" w:cstheme="minorBidi"/>
          <w:lang w:val="fr-FR"/>
        </w:rPr>
        <w:t>’</w:t>
      </w:r>
      <w:r w:rsidR="00274F9F" w:rsidRPr="009D1A93">
        <w:rPr>
          <w:rFonts w:asciiTheme="minorBidi" w:hAnsiTheme="minorBidi" w:cstheme="minorBidi"/>
          <w:lang w:val="fr-FR"/>
        </w:rPr>
        <w:t xml:space="preserve">assistance internationale présentés à la </w:t>
      </w:r>
      <w:r w:rsidR="00274F9F" w:rsidRPr="00E90B91">
        <w:rPr>
          <w:rFonts w:asciiTheme="minorBidi" w:hAnsiTheme="minorBidi" w:cstheme="minorBidi"/>
          <w:lang w:val="fr-FR"/>
        </w:rPr>
        <w:t xml:space="preserve">présente session du Comité au point 6.d comprennent des activités mises en œuvre avec le soutien du Secrétariat, tant au siège que dans les bureaux </w:t>
      </w:r>
      <w:r w:rsidR="00BD3C51" w:rsidRPr="00E90B91">
        <w:rPr>
          <w:rFonts w:asciiTheme="minorBidi" w:hAnsiTheme="minorBidi" w:cstheme="minorBidi"/>
          <w:lang w:val="fr-FR"/>
        </w:rPr>
        <w:t xml:space="preserve">hors-siège </w:t>
      </w:r>
      <w:r w:rsidR="00274F9F" w:rsidRPr="00E90B91">
        <w:rPr>
          <w:rFonts w:asciiTheme="minorBidi" w:hAnsiTheme="minorBidi" w:cstheme="minorBidi"/>
          <w:lang w:val="fr-FR"/>
        </w:rPr>
        <w:t xml:space="preserve">(voir </w:t>
      </w:r>
      <w:r w:rsidR="008C09CD">
        <w:rPr>
          <w:rFonts w:asciiTheme="minorBidi" w:hAnsiTheme="minorBidi" w:cstheme="minorBidi"/>
          <w:lang w:val="fr-FR"/>
        </w:rPr>
        <w:t xml:space="preserve">le </w:t>
      </w:r>
      <w:r w:rsidR="00274F9F" w:rsidRPr="00F2660D">
        <w:rPr>
          <w:rFonts w:asciiTheme="minorBidi" w:hAnsiTheme="minorBidi" w:cstheme="minorBidi"/>
          <w:lang w:val="fr-FR"/>
        </w:rPr>
        <w:t xml:space="preserve">document </w:t>
      </w:r>
      <w:hyperlink r:id="rId32" w:history="1">
        <w:r w:rsidR="00274F9F" w:rsidRPr="00F2660D">
          <w:rPr>
            <w:rStyle w:val="Lienhypertexte"/>
            <w:rFonts w:asciiTheme="minorBidi" w:hAnsiTheme="minorBidi" w:cstheme="minorBidi"/>
            <w:lang w:val="fr-FR"/>
          </w:rPr>
          <w:t>LHE/22/17.COM/6.d</w:t>
        </w:r>
      </w:hyperlink>
      <w:r w:rsidR="00274F9F" w:rsidRPr="00E90B91">
        <w:rPr>
          <w:rFonts w:asciiTheme="minorBidi" w:hAnsiTheme="minorBidi" w:cstheme="minorBidi"/>
          <w:lang w:val="fr-FR"/>
        </w:rPr>
        <w:t xml:space="preserve">). </w:t>
      </w:r>
      <w:r w:rsidR="00327DC5" w:rsidRPr="00E90B91">
        <w:rPr>
          <w:rFonts w:asciiTheme="minorBidi" w:hAnsiTheme="minorBidi" w:cstheme="minorBidi"/>
          <w:lang w:val="fr-FR"/>
        </w:rPr>
        <w:t xml:space="preserve">En outre, la </w:t>
      </w:r>
      <w:r w:rsidR="002239B0" w:rsidRPr="00E90B91">
        <w:rPr>
          <w:rFonts w:asciiTheme="minorBidi" w:hAnsiTheme="minorBidi" w:cstheme="minorBidi"/>
          <w:lang w:val="fr-FR"/>
        </w:rPr>
        <w:t>proposition du Secrétariat pour le suivi, l</w:t>
      </w:r>
      <w:r w:rsidR="00CA0916" w:rsidRPr="00E90B91">
        <w:rPr>
          <w:rFonts w:asciiTheme="minorBidi" w:hAnsiTheme="minorBidi" w:cstheme="minorBidi"/>
          <w:lang w:val="fr-FR"/>
        </w:rPr>
        <w:t>’</w:t>
      </w:r>
      <w:r w:rsidR="002239B0" w:rsidRPr="00E90B91">
        <w:rPr>
          <w:rFonts w:asciiTheme="minorBidi" w:hAnsiTheme="minorBidi" w:cstheme="minorBidi"/>
          <w:lang w:val="fr-FR"/>
        </w:rPr>
        <w:t>évaluation et l</w:t>
      </w:r>
      <w:r w:rsidR="00CA0916" w:rsidRPr="00E90B91">
        <w:rPr>
          <w:rFonts w:asciiTheme="minorBidi" w:hAnsiTheme="minorBidi" w:cstheme="minorBidi"/>
          <w:lang w:val="fr-FR"/>
        </w:rPr>
        <w:t>’</w:t>
      </w:r>
      <w:r w:rsidR="002239B0" w:rsidRPr="00E90B91">
        <w:rPr>
          <w:rFonts w:asciiTheme="minorBidi" w:hAnsiTheme="minorBidi" w:cstheme="minorBidi"/>
          <w:lang w:val="fr-FR"/>
        </w:rPr>
        <w:t>identification des enseignements tirés des projets d</w:t>
      </w:r>
      <w:r w:rsidR="00CA0916" w:rsidRPr="00E90B91">
        <w:rPr>
          <w:rFonts w:asciiTheme="minorBidi" w:hAnsiTheme="minorBidi" w:cstheme="minorBidi"/>
          <w:lang w:val="fr-FR"/>
        </w:rPr>
        <w:t>’</w:t>
      </w:r>
      <w:r w:rsidR="001F233F" w:rsidRPr="00E90B91">
        <w:rPr>
          <w:rFonts w:asciiTheme="minorBidi" w:hAnsiTheme="minorBidi" w:cstheme="minorBidi"/>
          <w:lang w:val="fr-FR"/>
        </w:rPr>
        <w:t xml:space="preserve">assistance </w:t>
      </w:r>
      <w:r w:rsidR="002239B0" w:rsidRPr="00E90B91">
        <w:rPr>
          <w:rFonts w:asciiTheme="minorBidi" w:hAnsiTheme="minorBidi" w:cstheme="minorBidi"/>
          <w:lang w:val="fr-FR"/>
        </w:rPr>
        <w:t>internationale est présentée pour examen par la présente session du Comité au point 11 (voir</w:t>
      </w:r>
      <w:r w:rsidR="008C09CD">
        <w:rPr>
          <w:rFonts w:asciiTheme="minorBidi" w:hAnsiTheme="minorBidi" w:cstheme="minorBidi"/>
          <w:lang w:val="fr-FR"/>
        </w:rPr>
        <w:t xml:space="preserve"> le</w:t>
      </w:r>
      <w:r w:rsidR="002239B0" w:rsidRPr="00E90B91">
        <w:rPr>
          <w:rFonts w:asciiTheme="minorBidi" w:hAnsiTheme="minorBidi" w:cstheme="minorBidi"/>
          <w:lang w:val="fr-FR"/>
        </w:rPr>
        <w:t xml:space="preserve"> </w:t>
      </w:r>
      <w:r w:rsidR="002239B0" w:rsidRPr="00F2660D">
        <w:rPr>
          <w:rFonts w:asciiTheme="minorBidi" w:hAnsiTheme="minorBidi" w:cstheme="minorBidi"/>
          <w:lang w:val="fr-FR"/>
        </w:rPr>
        <w:t xml:space="preserve">document </w:t>
      </w:r>
      <w:hyperlink r:id="rId33" w:history="1">
        <w:r w:rsidR="002239B0" w:rsidRPr="00F2660D">
          <w:rPr>
            <w:rStyle w:val="Lienhypertexte"/>
            <w:rFonts w:asciiTheme="minorBidi" w:hAnsiTheme="minorBidi" w:cstheme="minorBidi"/>
            <w:lang w:val="fr-FR"/>
          </w:rPr>
          <w:t>LHE/22/17.COM/11</w:t>
        </w:r>
      </w:hyperlink>
      <w:r w:rsidR="002239B0" w:rsidRPr="00E90B91">
        <w:rPr>
          <w:rFonts w:asciiTheme="minorBidi" w:hAnsiTheme="minorBidi" w:cstheme="minorBidi"/>
          <w:lang w:val="fr-FR"/>
        </w:rPr>
        <w:t>).</w:t>
      </w:r>
    </w:p>
    <w:p w14:paraId="0D771474" w14:textId="052D9036" w:rsidR="00B625DE" w:rsidRPr="00E90B91" w:rsidRDefault="009800D3" w:rsidP="00974E6F">
      <w:pPr>
        <w:pStyle w:val="GAPara"/>
        <w:widowControl w:val="0"/>
        <w:numPr>
          <w:ilvl w:val="0"/>
          <w:numId w:val="6"/>
        </w:numPr>
        <w:ind w:left="567" w:hanging="567"/>
        <w:jc w:val="both"/>
        <w:rPr>
          <w:rFonts w:asciiTheme="minorBidi" w:hAnsiTheme="minorBidi" w:cstheme="minorBidi"/>
          <w:b/>
          <w:bCs/>
          <w:lang w:val="fr-FR"/>
        </w:rPr>
      </w:pPr>
      <w:r w:rsidRPr="009D1A93">
        <w:rPr>
          <w:rFonts w:asciiTheme="minorBidi" w:hAnsiTheme="minorBidi" w:cstheme="minorBidi"/>
          <w:b/>
          <w:bCs/>
          <w:lang w:val="fr-FR"/>
        </w:rPr>
        <w:t xml:space="preserve">Organisations non gouvernementales accréditées </w:t>
      </w:r>
      <w:r w:rsidR="00CB6BF1" w:rsidRPr="00F2660D">
        <w:rPr>
          <w:rFonts w:asciiTheme="minorBidi" w:hAnsiTheme="minorBidi" w:cstheme="minorBidi"/>
          <w:lang w:val="fr-FR"/>
        </w:rPr>
        <w:t xml:space="preserve">: </w:t>
      </w:r>
      <w:r w:rsidR="00FB0D78" w:rsidRPr="009D1A93">
        <w:rPr>
          <w:rFonts w:asciiTheme="minorBidi" w:hAnsiTheme="minorBidi" w:cstheme="minorBidi"/>
          <w:lang w:val="fr-FR"/>
        </w:rPr>
        <w:t>L</w:t>
      </w:r>
      <w:r w:rsidR="00A32F3E" w:rsidRPr="009D1A93">
        <w:rPr>
          <w:rFonts w:asciiTheme="minorBidi" w:hAnsiTheme="minorBidi" w:cstheme="minorBidi"/>
          <w:lang w:val="fr-FR"/>
        </w:rPr>
        <w:t>a neuvième session de l</w:t>
      </w:r>
      <w:r w:rsidR="00CA0916" w:rsidRPr="009D1A93">
        <w:rPr>
          <w:rFonts w:asciiTheme="minorBidi" w:hAnsiTheme="minorBidi" w:cstheme="minorBidi"/>
          <w:lang w:val="fr-FR"/>
        </w:rPr>
        <w:t>’</w:t>
      </w:r>
      <w:r w:rsidR="00A32F3E" w:rsidRPr="009D1A93">
        <w:rPr>
          <w:rFonts w:asciiTheme="minorBidi" w:hAnsiTheme="minorBidi" w:cstheme="minorBidi"/>
          <w:lang w:val="fr-FR"/>
        </w:rPr>
        <w:t xml:space="preserve">Assemblée générale a accrédité </w:t>
      </w:r>
      <w:r w:rsidR="00A32F3E" w:rsidRPr="009D1A93">
        <w:rPr>
          <w:lang w:val="fr-FR"/>
        </w:rPr>
        <w:t xml:space="preserve">trente-trois </w:t>
      </w:r>
      <w:r w:rsidR="00A32F3E" w:rsidRPr="009D1A93">
        <w:rPr>
          <w:rFonts w:asciiTheme="minorBidi" w:hAnsiTheme="minorBidi" w:cstheme="minorBidi"/>
          <w:lang w:val="fr-FR"/>
        </w:rPr>
        <w:t>nouvelles organisations non gouvernementales (ONG) pour agir à titre consultatif auprès du Comité, ce qui porte le nombre total d</w:t>
      </w:r>
      <w:r w:rsidR="00CA0916" w:rsidRPr="009D1A93">
        <w:rPr>
          <w:rFonts w:asciiTheme="minorBidi" w:hAnsiTheme="minorBidi" w:cstheme="minorBidi"/>
          <w:lang w:val="fr-FR"/>
        </w:rPr>
        <w:t>’</w:t>
      </w:r>
      <w:r w:rsidR="00A32F3E" w:rsidRPr="009D1A93">
        <w:rPr>
          <w:rFonts w:asciiTheme="minorBidi" w:hAnsiTheme="minorBidi" w:cstheme="minorBidi"/>
          <w:lang w:val="fr-FR"/>
        </w:rPr>
        <w:t xml:space="preserve">ONG accréditées à </w:t>
      </w:r>
      <w:r w:rsidR="00B543FE" w:rsidRPr="009D1A93">
        <w:rPr>
          <w:rFonts w:asciiTheme="minorBidi" w:hAnsiTheme="minorBidi" w:cstheme="minorBidi"/>
          <w:lang w:val="fr-FR"/>
        </w:rPr>
        <w:t>217</w:t>
      </w:r>
      <w:r w:rsidR="00B543FE">
        <w:rPr>
          <w:rFonts w:asciiTheme="minorBidi" w:hAnsiTheme="minorBidi" w:cstheme="minorBidi"/>
          <w:lang w:val="fr-FR"/>
        </w:rPr>
        <w:t> </w:t>
      </w:r>
      <w:r w:rsidR="00A32F3E" w:rsidRPr="009D1A93">
        <w:rPr>
          <w:rFonts w:asciiTheme="minorBidi" w:hAnsiTheme="minorBidi" w:cstheme="minorBidi"/>
          <w:lang w:val="fr-FR"/>
        </w:rPr>
        <w:t>(</w:t>
      </w:r>
      <w:r w:rsidR="00B543FE">
        <w:rPr>
          <w:rFonts w:asciiTheme="minorBidi" w:hAnsiTheme="minorBidi" w:cstheme="minorBidi"/>
          <w:lang w:val="fr-FR"/>
        </w:rPr>
        <w:t>r</w:t>
      </w:r>
      <w:r w:rsidR="00A32F3E" w:rsidRPr="009D1A93">
        <w:rPr>
          <w:rFonts w:asciiTheme="minorBidi" w:hAnsiTheme="minorBidi" w:cstheme="minorBidi"/>
          <w:lang w:val="fr-FR"/>
        </w:rPr>
        <w:t xml:space="preserve">ésolution </w:t>
      </w:r>
      <w:hyperlink r:id="rId34" w:history="1">
        <w:r w:rsidR="00A32F3E" w:rsidRPr="009D1A93">
          <w:rPr>
            <w:rStyle w:val="Lienhypertexte"/>
            <w:rFonts w:asciiTheme="minorBidi" w:hAnsiTheme="minorBidi" w:cstheme="minorBidi"/>
            <w:lang w:val="fr-FR"/>
          </w:rPr>
          <w:t>9.GA.7</w:t>
        </w:r>
      </w:hyperlink>
      <w:r w:rsidR="00A32F3E" w:rsidRPr="009D1A93">
        <w:rPr>
          <w:rFonts w:asciiTheme="minorBidi" w:hAnsiTheme="minorBidi" w:cstheme="minorBidi"/>
          <w:lang w:val="fr-FR"/>
        </w:rPr>
        <w:t xml:space="preserve">). Le Forum des ONG du PCI et le Secrétariat ont renforcé leur collaboration en réalisant une cartographie des domaines de compétences des ONG accréditées. Cet exercice </w:t>
      </w:r>
      <w:r w:rsidR="00314FE1" w:rsidRPr="009D1A93">
        <w:rPr>
          <w:rFonts w:asciiTheme="minorBidi" w:hAnsiTheme="minorBidi" w:cstheme="minorBidi"/>
          <w:lang w:val="fr-FR"/>
        </w:rPr>
        <w:t xml:space="preserve">contribue </w:t>
      </w:r>
      <w:r w:rsidR="00A32F3E" w:rsidRPr="009D1A93">
        <w:rPr>
          <w:rFonts w:asciiTheme="minorBidi" w:hAnsiTheme="minorBidi" w:cstheme="minorBidi"/>
          <w:lang w:val="fr-FR"/>
        </w:rPr>
        <w:t xml:space="preserve">à identifier les moyens par lesquels les ONG accréditées seraient en mesure de fournir des services consultatifs au Comité, tout en facilitant la coopération </w:t>
      </w:r>
      <w:r w:rsidR="00A32F3E" w:rsidRPr="00E90B91">
        <w:rPr>
          <w:rFonts w:asciiTheme="minorBidi" w:hAnsiTheme="minorBidi" w:cstheme="minorBidi"/>
          <w:lang w:val="fr-FR"/>
        </w:rPr>
        <w:t xml:space="preserve">potentielle entre les ONG accréditées et les États parties. Un rapport du Forum des ONG du PCI </w:t>
      </w:r>
      <w:r w:rsidR="00C41E95" w:rsidRPr="00E90B91">
        <w:rPr>
          <w:rFonts w:asciiTheme="minorBidi" w:hAnsiTheme="minorBidi" w:cstheme="minorBidi"/>
          <w:lang w:val="fr-FR"/>
        </w:rPr>
        <w:t>(</w:t>
      </w:r>
      <w:r w:rsidR="00C41E95" w:rsidRPr="00E90B91">
        <w:rPr>
          <w:lang w:val="fr-FR"/>
        </w:rPr>
        <w:t xml:space="preserve">document </w:t>
      </w:r>
      <w:hyperlink r:id="rId35" w:history="1">
        <w:r w:rsidR="00C41E95" w:rsidRPr="00F2660D">
          <w:rPr>
            <w:rStyle w:val="Lienhypertexte"/>
            <w:rFonts w:cs="Arial"/>
            <w:lang w:val="fr-FR"/>
          </w:rPr>
          <w:t>LHE/22/17.COM/9</w:t>
        </w:r>
      </w:hyperlink>
      <w:r w:rsidR="00C41E95" w:rsidRPr="00E90B91">
        <w:rPr>
          <w:lang w:val="fr-FR"/>
        </w:rPr>
        <w:t>)</w:t>
      </w:r>
      <w:r w:rsidR="00A32F3E" w:rsidRPr="00E90B91">
        <w:rPr>
          <w:rFonts w:asciiTheme="minorBidi" w:hAnsiTheme="minorBidi" w:cstheme="minorBidi"/>
          <w:lang w:val="fr-FR"/>
        </w:rPr>
        <w:t xml:space="preserve">, qui sera examiné </w:t>
      </w:r>
      <w:r w:rsidR="00381B48" w:rsidRPr="00E90B91">
        <w:rPr>
          <w:rFonts w:asciiTheme="minorBidi" w:hAnsiTheme="minorBidi" w:cstheme="minorBidi"/>
          <w:lang w:val="fr-FR"/>
        </w:rPr>
        <w:t xml:space="preserve">par la </w:t>
      </w:r>
      <w:r w:rsidR="00A32F3E" w:rsidRPr="00E90B91">
        <w:rPr>
          <w:rFonts w:asciiTheme="minorBidi" w:hAnsiTheme="minorBidi" w:cstheme="minorBidi"/>
          <w:lang w:val="fr-FR"/>
        </w:rPr>
        <w:t xml:space="preserve">présente session </w:t>
      </w:r>
      <w:r w:rsidR="00381B48" w:rsidRPr="00E90B91">
        <w:rPr>
          <w:rFonts w:asciiTheme="minorBidi" w:hAnsiTheme="minorBidi" w:cstheme="minorBidi"/>
          <w:lang w:val="fr-FR"/>
        </w:rPr>
        <w:t>du Comité au point 9 de l</w:t>
      </w:r>
      <w:r w:rsidR="00CA0916" w:rsidRPr="00E90B91">
        <w:rPr>
          <w:rFonts w:asciiTheme="minorBidi" w:hAnsiTheme="minorBidi" w:cstheme="minorBidi"/>
          <w:lang w:val="fr-FR"/>
        </w:rPr>
        <w:t>’</w:t>
      </w:r>
      <w:r w:rsidR="00381B48" w:rsidRPr="00E90B91">
        <w:rPr>
          <w:rFonts w:asciiTheme="minorBidi" w:hAnsiTheme="minorBidi" w:cstheme="minorBidi"/>
          <w:lang w:val="fr-FR"/>
        </w:rPr>
        <w:t>ordre du jour provisoire</w:t>
      </w:r>
      <w:r w:rsidR="00A32F3E" w:rsidRPr="00E90B91">
        <w:rPr>
          <w:rFonts w:asciiTheme="minorBidi" w:hAnsiTheme="minorBidi" w:cstheme="minorBidi"/>
          <w:lang w:val="fr-FR"/>
        </w:rPr>
        <w:t xml:space="preserve">, </w:t>
      </w:r>
      <w:r w:rsidR="00445E19" w:rsidRPr="00E90B91">
        <w:rPr>
          <w:rFonts w:asciiTheme="minorBidi" w:hAnsiTheme="minorBidi" w:cstheme="minorBidi"/>
          <w:lang w:val="fr-FR"/>
        </w:rPr>
        <w:t xml:space="preserve">fournit de </w:t>
      </w:r>
      <w:r w:rsidR="00A32F3E" w:rsidRPr="00E90B91">
        <w:rPr>
          <w:rFonts w:asciiTheme="minorBidi" w:hAnsiTheme="minorBidi" w:cstheme="minorBidi"/>
          <w:lang w:val="fr-FR"/>
        </w:rPr>
        <w:t xml:space="preserve">plus amples détails sur cette </w:t>
      </w:r>
      <w:r w:rsidR="00314FE1" w:rsidRPr="00E90B91">
        <w:rPr>
          <w:rFonts w:asciiTheme="minorBidi" w:hAnsiTheme="minorBidi" w:cstheme="minorBidi"/>
          <w:lang w:val="fr-FR"/>
        </w:rPr>
        <w:t>initiative</w:t>
      </w:r>
      <w:r w:rsidR="00A32F3E" w:rsidRPr="00E90B91">
        <w:rPr>
          <w:rFonts w:asciiTheme="minorBidi" w:hAnsiTheme="minorBidi" w:cstheme="minorBidi"/>
          <w:lang w:val="fr-FR"/>
        </w:rPr>
        <w:t>.</w:t>
      </w:r>
    </w:p>
    <w:p w14:paraId="2C5855F2" w14:textId="435B0872" w:rsidR="00B625DE" w:rsidRPr="00E90B91" w:rsidRDefault="009800D3" w:rsidP="00974E6F">
      <w:pPr>
        <w:pStyle w:val="GAPara"/>
        <w:widowControl w:val="0"/>
        <w:numPr>
          <w:ilvl w:val="0"/>
          <w:numId w:val="6"/>
        </w:numPr>
        <w:ind w:left="567" w:hanging="567"/>
        <w:jc w:val="both"/>
        <w:rPr>
          <w:rFonts w:asciiTheme="minorBidi" w:hAnsiTheme="minorBidi" w:cstheme="minorBidi"/>
          <w:b/>
          <w:bCs/>
          <w:lang w:val="fr-FR"/>
        </w:rPr>
      </w:pPr>
      <w:r w:rsidRPr="00E90B91">
        <w:rPr>
          <w:b/>
          <w:bCs/>
          <w:lang w:val="fr-FR"/>
        </w:rPr>
        <w:t xml:space="preserve">Initiatives </w:t>
      </w:r>
      <w:r w:rsidRPr="00E90B91">
        <w:rPr>
          <w:rFonts w:asciiTheme="minorBidi" w:hAnsiTheme="minorBidi" w:cstheme="minorBidi"/>
          <w:b/>
          <w:bCs/>
          <w:lang w:val="fr-FR"/>
        </w:rPr>
        <w:t xml:space="preserve">thématiques </w:t>
      </w:r>
      <w:r w:rsidRPr="00F2660D">
        <w:rPr>
          <w:lang w:val="fr-FR"/>
        </w:rPr>
        <w:t xml:space="preserve">: </w:t>
      </w:r>
      <w:r w:rsidR="00FB0D78" w:rsidRPr="00E90B91">
        <w:rPr>
          <w:lang w:val="fr-FR"/>
        </w:rPr>
        <w:t>C</w:t>
      </w:r>
      <w:r w:rsidRPr="00E90B91">
        <w:rPr>
          <w:lang w:val="fr-FR"/>
        </w:rPr>
        <w:t>onformément à la Stratégie à moyen terme de l</w:t>
      </w:r>
      <w:r w:rsidR="00CA0916" w:rsidRPr="00E90B91">
        <w:rPr>
          <w:lang w:val="fr-FR"/>
        </w:rPr>
        <w:t>’</w:t>
      </w:r>
      <w:r w:rsidRPr="00E90B91">
        <w:rPr>
          <w:lang w:val="fr-FR"/>
        </w:rPr>
        <w:t xml:space="preserve">UNESCO pour 2022-2029 (41C/4), aux </w:t>
      </w:r>
      <w:r w:rsidR="00015822" w:rsidRPr="00E90B91">
        <w:rPr>
          <w:lang w:val="fr-FR"/>
        </w:rPr>
        <w:t>d</w:t>
      </w:r>
      <w:r w:rsidRPr="00E90B91">
        <w:rPr>
          <w:lang w:val="fr-FR"/>
        </w:rPr>
        <w:t>irectives opérationnelles de la Convention (Chapitre VI) et aux précédentes décisions du Comité</w:t>
      </w:r>
      <w:r w:rsidR="00B51494" w:rsidRPr="00E90B91">
        <w:rPr>
          <w:lang w:val="fr-FR"/>
        </w:rPr>
        <w:t xml:space="preserve">, </w:t>
      </w:r>
      <w:r w:rsidRPr="00E90B91">
        <w:rPr>
          <w:lang w:val="fr-FR"/>
        </w:rPr>
        <w:t xml:space="preserve">le Secrétariat a </w:t>
      </w:r>
      <w:r w:rsidR="00B51494" w:rsidRPr="00E90B91">
        <w:rPr>
          <w:lang w:val="fr-FR"/>
        </w:rPr>
        <w:t xml:space="preserve">continué à </w:t>
      </w:r>
      <w:r w:rsidRPr="00E90B91">
        <w:rPr>
          <w:lang w:val="fr-FR"/>
        </w:rPr>
        <w:t xml:space="preserve">développer une approche globale de la sauvegarde du patrimoine culturel immatériel et du développement durable et a </w:t>
      </w:r>
      <w:r w:rsidR="00B51494" w:rsidRPr="00E90B91">
        <w:rPr>
          <w:snapToGrid/>
          <w:lang w:val="fr-FR"/>
        </w:rPr>
        <w:t xml:space="preserve">identifié trois </w:t>
      </w:r>
      <w:r w:rsidRPr="00E90B91">
        <w:rPr>
          <w:snapToGrid/>
          <w:lang w:val="fr-FR"/>
        </w:rPr>
        <w:t xml:space="preserve">domaines </w:t>
      </w:r>
      <w:r w:rsidR="007B4009" w:rsidRPr="00E90B91">
        <w:rPr>
          <w:snapToGrid/>
          <w:lang w:val="fr-FR"/>
        </w:rPr>
        <w:t xml:space="preserve">thématiques </w:t>
      </w:r>
      <w:r w:rsidRPr="00E90B91">
        <w:rPr>
          <w:snapToGrid/>
          <w:lang w:val="fr-FR"/>
        </w:rPr>
        <w:t>d</w:t>
      </w:r>
      <w:r w:rsidR="00CA0916" w:rsidRPr="00E90B91">
        <w:rPr>
          <w:snapToGrid/>
          <w:lang w:val="fr-FR"/>
        </w:rPr>
        <w:t>’</w:t>
      </w:r>
      <w:r w:rsidRPr="00E90B91">
        <w:rPr>
          <w:snapToGrid/>
          <w:lang w:val="fr-FR"/>
        </w:rPr>
        <w:t xml:space="preserve">action </w:t>
      </w:r>
      <w:r w:rsidRPr="00E90B91">
        <w:rPr>
          <w:lang w:val="fr-FR"/>
        </w:rPr>
        <w:t xml:space="preserve">: i) </w:t>
      </w:r>
      <w:r w:rsidR="00381B48" w:rsidRPr="00E90B91">
        <w:rPr>
          <w:lang w:val="fr-FR"/>
        </w:rPr>
        <w:t xml:space="preserve">la dimension économique de la sauvegarde du patrimoine culturel </w:t>
      </w:r>
      <w:r w:rsidR="00381B48" w:rsidRPr="00E90B91">
        <w:rPr>
          <w:rFonts w:asciiTheme="minorBidi" w:hAnsiTheme="minorBidi" w:cstheme="minorBidi"/>
          <w:lang w:val="fr-FR"/>
        </w:rPr>
        <w:t>immatériel</w:t>
      </w:r>
      <w:r w:rsidR="00381B48" w:rsidRPr="00E90B91">
        <w:rPr>
          <w:lang w:val="fr-FR"/>
        </w:rPr>
        <w:t xml:space="preserve">, ii) la </w:t>
      </w:r>
      <w:r w:rsidRPr="00E90B91">
        <w:rPr>
          <w:rFonts w:asciiTheme="minorBidi" w:hAnsiTheme="minorBidi" w:cstheme="minorBidi"/>
          <w:lang w:val="fr-FR"/>
        </w:rPr>
        <w:t xml:space="preserve">sauvegarde du </w:t>
      </w:r>
      <w:r w:rsidRPr="00E90B91">
        <w:rPr>
          <w:lang w:val="fr-FR"/>
        </w:rPr>
        <w:t xml:space="preserve">patrimoine culturel immatériel et le changement climatique, et iii) la sauvegarde du patrimoine culturel immatériel dans les contextes urbains. </w:t>
      </w:r>
      <w:r w:rsidR="00FC2D19" w:rsidRPr="00E90B91">
        <w:rPr>
          <w:lang w:val="fr-FR"/>
        </w:rPr>
        <w:t>Une mise à jour de ces initiatives est présentée à la présente session du Comité au point 13 de l</w:t>
      </w:r>
      <w:r w:rsidR="00CA0916" w:rsidRPr="00E90B91">
        <w:rPr>
          <w:lang w:val="fr-FR"/>
        </w:rPr>
        <w:t>’</w:t>
      </w:r>
      <w:r w:rsidR="00FC2D19" w:rsidRPr="00E90B91">
        <w:rPr>
          <w:lang w:val="fr-FR"/>
        </w:rPr>
        <w:t>ordre du jour provisoire (</w:t>
      </w:r>
      <w:r w:rsidRPr="00E90B91">
        <w:rPr>
          <w:lang w:val="fr-FR"/>
        </w:rPr>
        <w:t xml:space="preserve">document </w:t>
      </w:r>
      <w:hyperlink r:id="rId36" w:history="1">
        <w:r w:rsidRPr="00F2660D">
          <w:rPr>
            <w:rStyle w:val="Lienhypertexte"/>
            <w:rFonts w:cs="Arial"/>
            <w:lang w:val="fr-FR"/>
          </w:rPr>
          <w:t>LHE/22/17.COM/13</w:t>
        </w:r>
      </w:hyperlink>
      <w:r w:rsidR="00FC2D19" w:rsidRPr="00E90B91">
        <w:rPr>
          <w:lang w:val="fr-FR"/>
        </w:rPr>
        <w:t>).</w:t>
      </w:r>
    </w:p>
    <w:p w14:paraId="53E5FA68" w14:textId="40022762" w:rsidR="00B625DE" w:rsidRPr="009D1A93" w:rsidRDefault="009800D3" w:rsidP="00974E6F">
      <w:pPr>
        <w:pStyle w:val="GAPara"/>
        <w:widowControl w:val="0"/>
        <w:numPr>
          <w:ilvl w:val="0"/>
          <w:numId w:val="6"/>
        </w:numPr>
        <w:ind w:left="567" w:hanging="567"/>
        <w:jc w:val="both"/>
        <w:rPr>
          <w:rFonts w:asciiTheme="minorBidi" w:hAnsiTheme="minorBidi" w:cstheme="minorBidi"/>
          <w:lang w:val="fr-FR"/>
        </w:rPr>
      </w:pPr>
      <w:r w:rsidRPr="009D1A93">
        <w:rPr>
          <w:rFonts w:asciiTheme="minorBidi" w:hAnsiTheme="minorBidi" w:cstheme="minorBidi"/>
          <w:b/>
          <w:bCs/>
          <w:lang w:val="fr-FR"/>
        </w:rPr>
        <w:t xml:space="preserve">Anniversaire de la Convention </w:t>
      </w:r>
      <w:r w:rsidRPr="00F2660D">
        <w:rPr>
          <w:rFonts w:asciiTheme="minorBidi" w:hAnsiTheme="minorBidi" w:cstheme="minorBidi"/>
          <w:lang w:val="fr-FR"/>
        </w:rPr>
        <w:t xml:space="preserve">: </w:t>
      </w:r>
      <w:r w:rsidR="00FB0D78" w:rsidRPr="009D1A93">
        <w:rPr>
          <w:rFonts w:asciiTheme="minorBidi" w:hAnsiTheme="minorBidi" w:cstheme="minorBidi"/>
          <w:lang w:val="fr-FR"/>
        </w:rPr>
        <w:t>L</w:t>
      </w:r>
      <w:r w:rsidRPr="009D1A93">
        <w:rPr>
          <w:rFonts w:asciiTheme="minorBidi" w:hAnsiTheme="minorBidi" w:cstheme="minorBidi"/>
          <w:lang w:val="fr-FR"/>
        </w:rPr>
        <w:t>es</w:t>
      </w:r>
      <w:r w:rsidRPr="009D1A93">
        <w:rPr>
          <w:rFonts w:asciiTheme="minorBidi" w:hAnsiTheme="minorBidi" w:cstheme="minorBidi"/>
          <w:b/>
          <w:bCs/>
          <w:lang w:val="fr-FR"/>
        </w:rPr>
        <w:t xml:space="preserve"> </w:t>
      </w:r>
      <w:r w:rsidR="00607871" w:rsidRPr="009D1A93">
        <w:rPr>
          <w:rFonts w:asciiTheme="minorBidi" w:hAnsiTheme="minorBidi" w:cstheme="minorBidi"/>
          <w:lang w:val="fr-FR"/>
        </w:rPr>
        <w:t xml:space="preserve">activités préparatoires pour </w:t>
      </w:r>
      <w:r w:rsidRPr="009D1A93">
        <w:rPr>
          <w:rFonts w:asciiTheme="minorBidi" w:hAnsiTheme="minorBidi" w:cstheme="minorBidi"/>
          <w:lang w:val="fr-FR"/>
        </w:rPr>
        <w:t xml:space="preserve">célébrer le vingtième anniversaire de la Convention en 2023 </w:t>
      </w:r>
      <w:r w:rsidR="00607871" w:rsidRPr="009D1A93">
        <w:rPr>
          <w:rFonts w:asciiTheme="minorBidi" w:hAnsiTheme="minorBidi" w:cstheme="minorBidi"/>
          <w:lang w:val="fr-FR"/>
        </w:rPr>
        <w:t xml:space="preserve">se sont poursuivies pendant la période de référence, conformément aux </w:t>
      </w:r>
      <w:r w:rsidRPr="009D1A93">
        <w:rPr>
          <w:rFonts w:asciiTheme="minorBidi" w:hAnsiTheme="minorBidi" w:cstheme="minorBidi"/>
          <w:lang w:val="fr-FR"/>
        </w:rPr>
        <w:t xml:space="preserve">thèmes </w:t>
      </w:r>
      <w:r w:rsidR="00BD2DB2" w:rsidRPr="009D1A93">
        <w:rPr>
          <w:rFonts w:asciiTheme="minorBidi" w:hAnsiTheme="minorBidi" w:cstheme="minorBidi"/>
          <w:lang w:val="fr-FR"/>
        </w:rPr>
        <w:t xml:space="preserve">proposés qui ont été notés par la </w:t>
      </w:r>
      <w:r w:rsidR="00505803" w:rsidRPr="009D1A93">
        <w:rPr>
          <w:rFonts w:asciiTheme="minorBidi" w:hAnsiTheme="minorBidi" w:cstheme="minorBidi"/>
          <w:lang w:val="fr-FR"/>
        </w:rPr>
        <w:t xml:space="preserve">neuvième </w:t>
      </w:r>
      <w:r w:rsidR="00607871" w:rsidRPr="009D1A93">
        <w:rPr>
          <w:rFonts w:asciiTheme="minorBidi" w:hAnsiTheme="minorBidi" w:cstheme="minorBidi"/>
          <w:lang w:val="fr-FR"/>
        </w:rPr>
        <w:t>session de l</w:t>
      </w:r>
      <w:r w:rsidR="00CA0916" w:rsidRPr="009D1A93">
        <w:rPr>
          <w:rFonts w:asciiTheme="minorBidi" w:hAnsiTheme="minorBidi" w:cstheme="minorBidi"/>
          <w:lang w:val="fr-FR"/>
        </w:rPr>
        <w:t>’</w:t>
      </w:r>
      <w:r w:rsidR="00607871" w:rsidRPr="009D1A93">
        <w:rPr>
          <w:rFonts w:asciiTheme="minorBidi" w:hAnsiTheme="minorBidi" w:cstheme="minorBidi"/>
          <w:lang w:val="fr-FR"/>
        </w:rPr>
        <w:t xml:space="preserve">Assemblée générale </w:t>
      </w:r>
      <w:r w:rsidR="00BD2DB2" w:rsidRPr="009D1A93">
        <w:rPr>
          <w:rFonts w:asciiTheme="minorBidi" w:hAnsiTheme="minorBidi" w:cstheme="minorBidi"/>
          <w:lang w:val="fr-FR"/>
        </w:rPr>
        <w:t>(</w:t>
      </w:r>
      <w:r w:rsidR="00B543FE">
        <w:rPr>
          <w:rFonts w:asciiTheme="minorBidi" w:hAnsiTheme="minorBidi" w:cstheme="minorBidi"/>
          <w:lang w:val="fr-FR"/>
        </w:rPr>
        <w:t>r</w:t>
      </w:r>
      <w:r w:rsidR="00BD2DB2" w:rsidRPr="009D1A93">
        <w:rPr>
          <w:rFonts w:asciiTheme="minorBidi" w:hAnsiTheme="minorBidi" w:cstheme="minorBidi"/>
          <w:lang w:val="fr-FR"/>
        </w:rPr>
        <w:t xml:space="preserve">ésolution </w:t>
      </w:r>
      <w:hyperlink r:id="rId37" w:history="1">
        <w:r w:rsidR="00BD2DB2" w:rsidRPr="009D1A93">
          <w:rPr>
            <w:rStyle w:val="Lienhypertexte"/>
            <w:rFonts w:asciiTheme="minorBidi" w:hAnsiTheme="minorBidi" w:cstheme="minorBidi"/>
            <w:lang w:val="fr-FR"/>
          </w:rPr>
          <w:t>9.GA 13</w:t>
        </w:r>
      </w:hyperlink>
      <w:r w:rsidR="00BD2DB2" w:rsidRPr="009D1A93">
        <w:rPr>
          <w:rFonts w:asciiTheme="minorBidi" w:hAnsiTheme="minorBidi" w:cstheme="minorBidi"/>
          <w:lang w:val="fr-FR"/>
        </w:rPr>
        <w:t xml:space="preserve"> ; document </w:t>
      </w:r>
      <w:hyperlink r:id="rId38" w:history="1">
        <w:r w:rsidR="00BD2DB2" w:rsidRPr="009D1A93">
          <w:rPr>
            <w:rStyle w:val="Lienhypertexte"/>
            <w:rFonts w:asciiTheme="minorBidi" w:hAnsiTheme="minorBidi" w:cstheme="minorBidi"/>
            <w:lang w:val="fr-FR"/>
          </w:rPr>
          <w:t>LHE/22/9.GA/13</w:t>
        </w:r>
      </w:hyperlink>
      <w:r w:rsidR="00BD2DB2" w:rsidRPr="009D1A93">
        <w:rPr>
          <w:rFonts w:asciiTheme="minorBidi" w:hAnsiTheme="minorBidi" w:cstheme="minorBidi"/>
          <w:lang w:val="fr-FR"/>
        </w:rPr>
        <w:t>)</w:t>
      </w:r>
      <w:r w:rsidR="00607871" w:rsidRPr="009D1A93">
        <w:rPr>
          <w:rFonts w:asciiTheme="minorBidi" w:hAnsiTheme="minorBidi" w:cstheme="minorBidi"/>
          <w:lang w:val="fr-FR"/>
        </w:rPr>
        <w:t xml:space="preserve">. </w:t>
      </w:r>
      <w:r w:rsidR="004549DA" w:rsidRPr="009D1A93">
        <w:rPr>
          <w:rFonts w:asciiTheme="minorBidi" w:hAnsiTheme="minorBidi" w:cstheme="minorBidi"/>
          <w:lang w:val="fr-FR"/>
        </w:rPr>
        <w:t>L</w:t>
      </w:r>
      <w:r w:rsidR="00CA0916" w:rsidRPr="009D1A93">
        <w:rPr>
          <w:rFonts w:asciiTheme="minorBidi" w:hAnsiTheme="minorBidi" w:cstheme="minorBidi"/>
          <w:lang w:val="fr-FR"/>
        </w:rPr>
        <w:t>’</w:t>
      </w:r>
      <w:r w:rsidR="004549DA" w:rsidRPr="009D1A93">
        <w:rPr>
          <w:rFonts w:asciiTheme="minorBidi" w:hAnsiTheme="minorBidi" w:cstheme="minorBidi"/>
          <w:lang w:val="fr-FR"/>
        </w:rPr>
        <w:t xml:space="preserve">identification de partenariats et de </w:t>
      </w:r>
      <w:r w:rsidR="00505803" w:rsidRPr="009D1A93">
        <w:rPr>
          <w:rFonts w:asciiTheme="minorBidi" w:hAnsiTheme="minorBidi" w:cstheme="minorBidi"/>
          <w:lang w:val="fr-FR"/>
        </w:rPr>
        <w:t xml:space="preserve">soutiens financiers </w:t>
      </w:r>
      <w:r w:rsidRPr="009D1A93">
        <w:rPr>
          <w:rFonts w:asciiTheme="minorBidi" w:hAnsiTheme="minorBidi" w:cstheme="minorBidi"/>
          <w:lang w:val="fr-FR"/>
        </w:rPr>
        <w:t xml:space="preserve">pour la campagne </w:t>
      </w:r>
      <w:r w:rsidR="00505803" w:rsidRPr="009D1A93">
        <w:rPr>
          <w:rFonts w:asciiTheme="minorBidi" w:hAnsiTheme="minorBidi" w:cstheme="minorBidi"/>
          <w:lang w:val="fr-FR"/>
        </w:rPr>
        <w:t>et l</w:t>
      </w:r>
      <w:r w:rsidR="00CA0916" w:rsidRPr="009D1A93">
        <w:rPr>
          <w:rFonts w:asciiTheme="minorBidi" w:hAnsiTheme="minorBidi" w:cstheme="minorBidi"/>
          <w:lang w:val="fr-FR"/>
        </w:rPr>
        <w:t>’</w:t>
      </w:r>
      <w:r w:rsidR="00505803" w:rsidRPr="009D1A93">
        <w:rPr>
          <w:rFonts w:asciiTheme="minorBidi" w:hAnsiTheme="minorBidi" w:cstheme="minorBidi"/>
          <w:lang w:val="fr-FR"/>
        </w:rPr>
        <w:t>organisation d</w:t>
      </w:r>
      <w:r w:rsidR="00CA0916" w:rsidRPr="009D1A93">
        <w:rPr>
          <w:rFonts w:asciiTheme="minorBidi" w:hAnsiTheme="minorBidi" w:cstheme="minorBidi"/>
          <w:lang w:val="fr-FR"/>
        </w:rPr>
        <w:t>’</w:t>
      </w:r>
      <w:r w:rsidR="00505803" w:rsidRPr="009D1A93">
        <w:rPr>
          <w:rFonts w:asciiTheme="minorBidi" w:hAnsiTheme="minorBidi" w:cstheme="minorBidi"/>
          <w:lang w:val="fr-FR"/>
        </w:rPr>
        <w:t>événements et d</w:t>
      </w:r>
      <w:r w:rsidR="00CA0916" w:rsidRPr="009D1A93">
        <w:rPr>
          <w:rFonts w:asciiTheme="minorBidi" w:hAnsiTheme="minorBidi" w:cstheme="minorBidi"/>
          <w:lang w:val="fr-FR"/>
        </w:rPr>
        <w:t>’</w:t>
      </w:r>
      <w:r w:rsidR="00505803" w:rsidRPr="009D1A93">
        <w:rPr>
          <w:rFonts w:asciiTheme="minorBidi" w:hAnsiTheme="minorBidi" w:cstheme="minorBidi"/>
          <w:lang w:val="fr-FR"/>
        </w:rPr>
        <w:t xml:space="preserve">activités </w:t>
      </w:r>
      <w:r w:rsidR="004549DA" w:rsidRPr="009D1A93">
        <w:rPr>
          <w:rFonts w:asciiTheme="minorBidi" w:hAnsiTheme="minorBidi" w:cstheme="minorBidi"/>
          <w:lang w:val="fr-FR"/>
        </w:rPr>
        <w:t>est en cours</w:t>
      </w:r>
      <w:r w:rsidR="00505803" w:rsidRPr="009D1A93">
        <w:rPr>
          <w:rFonts w:asciiTheme="minorBidi" w:hAnsiTheme="minorBidi" w:cstheme="minorBidi"/>
          <w:lang w:val="fr-FR"/>
        </w:rPr>
        <w:t>.</w:t>
      </w:r>
    </w:p>
    <w:p w14:paraId="38C44B49" w14:textId="03C6CEBC" w:rsidR="00B625DE" w:rsidRPr="009D1A93" w:rsidRDefault="009800D3" w:rsidP="00974E6F">
      <w:pPr>
        <w:pStyle w:val="GAPara"/>
        <w:widowControl w:val="0"/>
        <w:numPr>
          <w:ilvl w:val="0"/>
          <w:numId w:val="6"/>
        </w:numPr>
        <w:ind w:left="567" w:hanging="567"/>
        <w:jc w:val="both"/>
        <w:rPr>
          <w:lang w:val="fr-FR"/>
        </w:rPr>
      </w:pPr>
      <w:r w:rsidRPr="009D1A93">
        <w:rPr>
          <w:b/>
          <w:bCs/>
          <w:lang w:val="fr-FR"/>
        </w:rPr>
        <w:t xml:space="preserve">Les services de gestion des </w:t>
      </w:r>
      <w:r w:rsidRPr="009D1A93">
        <w:rPr>
          <w:rFonts w:asciiTheme="minorBidi" w:hAnsiTheme="minorBidi" w:cstheme="minorBidi"/>
          <w:b/>
          <w:bCs/>
          <w:lang w:val="fr-FR"/>
        </w:rPr>
        <w:t xml:space="preserve">connaissances </w:t>
      </w:r>
      <w:r w:rsidRPr="009D1A93">
        <w:rPr>
          <w:lang w:val="fr-FR"/>
        </w:rPr>
        <w:t xml:space="preserve">ont continué à jouer un rôle essentiel pour assurer la </w:t>
      </w:r>
      <w:r w:rsidR="00CA0916" w:rsidRPr="009D1A93">
        <w:rPr>
          <w:lang w:val="fr-FR"/>
        </w:rPr>
        <w:t>« </w:t>
      </w:r>
      <w:r w:rsidRPr="009D1A93">
        <w:rPr>
          <w:lang w:val="fr-FR"/>
        </w:rPr>
        <w:t>continuité des activités</w:t>
      </w:r>
      <w:r w:rsidR="00CA0916" w:rsidRPr="009D1A93">
        <w:rPr>
          <w:lang w:val="fr-FR"/>
        </w:rPr>
        <w:t> »</w:t>
      </w:r>
      <w:r w:rsidRPr="009D1A93">
        <w:rPr>
          <w:lang w:val="fr-FR"/>
        </w:rPr>
        <w:t>, notamment dans l</w:t>
      </w:r>
      <w:r w:rsidR="00CA0916" w:rsidRPr="009D1A93">
        <w:rPr>
          <w:lang w:val="fr-FR"/>
        </w:rPr>
        <w:t>’</w:t>
      </w:r>
      <w:r w:rsidRPr="009D1A93">
        <w:rPr>
          <w:lang w:val="fr-FR"/>
        </w:rPr>
        <w:t>organisation de nombreuses réunions en ligne de l</w:t>
      </w:r>
      <w:r w:rsidR="00CA0916" w:rsidRPr="009D1A93">
        <w:rPr>
          <w:lang w:val="fr-FR"/>
        </w:rPr>
        <w:t>’</w:t>
      </w:r>
      <w:r w:rsidRPr="009D1A93">
        <w:rPr>
          <w:lang w:val="fr-FR"/>
        </w:rPr>
        <w:t>organe d</w:t>
      </w:r>
      <w:r w:rsidR="00CA0916" w:rsidRPr="009D1A93">
        <w:rPr>
          <w:lang w:val="fr-FR"/>
        </w:rPr>
        <w:t>’</w:t>
      </w:r>
      <w:r w:rsidRPr="009D1A93">
        <w:rPr>
          <w:lang w:val="fr-FR"/>
        </w:rPr>
        <w:t>évaluation. L</w:t>
      </w:r>
      <w:r w:rsidR="00CA0916" w:rsidRPr="009D1A93">
        <w:rPr>
          <w:lang w:val="fr-FR"/>
        </w:rPr>
        <w:t>’</w:t>
      </w:r>
      <w:r w:rsidRPr="009D1A93">
        <w:rPr>
          <w:lang w:val="fr-FR"/>
        </w:rPr>
        <w:t>expérience positive acquise dans l</w:t>
      </w:r>
      <w:r w:rsidR="00CA0916" w:rsidRPr="009D1A93">
        <w:rPr>
          <w:lang w:val="fr-FR"/>
        </w:rPr>
        <w:t>’</w:t>
      </w:r>
      <w:r w:rsidRPr="009D1A93">
        <w:rPr>
          <w:lang w:val="fr-FR"/>
        </w:rPr>
        <w:t>évaluation des dossiers via l</w:t>
      </w:r>
      <w:r w:rsidR="00CA0916" w:rsidRPr="009D1A93">
        <w:rPr>
          <w:lang w:val="fr-FR"/>
        </w:rPr>
        <w:t>’</w:t>
      </w:r>
      <w:r w:rsidRPr="009D1A93">
        <w:rPr>
          <w:lang w:val="fr-FR"/>
        </w:rPr>
        <w:t xml:space="preserve">interface en ligne indique que le retour progressif des réunions </w:t>
      </w:r>
      <w:r w:rsidR="002D3362" w:rsidRPr="009D1A93">
        <w:rPr>
          <w:lang w:val="fr-FR"/>
        </w:rPr>
        <w:t>présentielles</w:t>
      </w:r>
      <w:r w:rsidRPr="009D1A93">
        <w:rPr>
          <w:i/>
          <w:iCs/>
          <w:lang w:val="fr-FR"/>
        </w:rPr>
        <w:t xml:space="preserve"> </w:t>
      </w:r>
      <w:r w:rsidRPr="009D1A93">
        <w:rPr>
          <w:lang w:val="fr-FR"/>
        </w:rPr>
        <w:t>n</w:t>
      </w:r>
      <w:r w:rsidR="00CA0916" w:rsidRPr="009D1A93">
        <w:rPr>
          <w:lang w:val="fr-FR"/>
        </w:rPr>
        <w:t>’</w:t>
      </w:r>
      <w:r w:rsidRPr="009D1A93">
        <w:rPr>
          <w:lang w:val="fr-FR"/>
        </w:rPr>
        <w:t>impliquera pas l</w:t>
      </w:r>
      <w:r w:rsidR="00CA0916" w:rsidRPr="009D1A93">
        <w:rPr>
          <w:lang w:val="fr-FR"/>
        </w:rPr>
        <w:t>’</w:t>
      </w:r>
      <w:r w:rsidRPr="009D1A93">
        <w:rPr>
          <w:lang w:val="fr-FR"/>
        </w:rPr>
        <w:t xml:space="preserve">abandon de cette méthode de travail. En fait, la </w:t>
      </w:r>
      <w:r w:rsidRPr="009D1A93">
        <w:rPr>
          <w:rFonts w:asciiTheme="minorBidi" w:hAnsiTheme="minorBidi" w:cstheme="minorBidi"/>
          <w:lang w:val="fr-FR"/>
        </w:rPr>
        <w:t xml:space="preserve">méthodologie de </w:t>
      </w:r>
      <w:r w:rsidRPr="009D1A93">
        <w:rPr>
          <w:lang w:val="fr-FR"/>
        </w:rPr>
        <w:t xml:space="preserve">travail pour la réunion </w:t>
      </w:r>
      <w:r w:rsidR="002D3362" w:rsidRPr="009D1A93">
        <w:rPr>
          <w:lang w:val="fr-FR"/>
        </w:rPr>
        <w:t xml:space="preserve">présentielle </w:t>
      </w:r>
      <w:r w:rsidRPr="009D1A93">
        <w:rPr>
          <w:lang w:val="fr-FR"/>
        </w:rPr>
        <w:t>de</w:t>
      </w:r>
      <w:r w:rsidRPr="009D1A93">
        <w:rPr>
          <w:i/>
          <w:iCs/>
          <w:lang w:val="fr-FR"/>
        </w:rPr>
        <w:t xml:space="preserve"> </w:t>
      </w:r>
      <w:r w:rsidRPr="009D1A93">
        <w:rPr>
          <w:lang w:val="fr-FR"/>
        </w:rPr>
        <w:t>juin de l</w:t>
      </w:r>
      <w:r w:rsidR="00CA0916" w:rsidRPr="009D1A93">
        <w:rPr>
          <w:lang w:val="fr-FR"/>
        </w:rPr>
        <w:t>’</w:t>
      </w:r>
      <w:r w:rsidRPr="009D1A93">
        <w:rPr>
          <w:lang w:val="fr-FR"/>
        </w:rPr>
        <w:t>Organe d</w:t>
      </w:r>
      <w:r w:rsidR="00CA0916" w:rsidRPr="009D1A93">
        <w:rPr>
          <w:lang w:val="fr-FR"/>
        </w:rPr>
        <w:t>’</w:t>
      </w:r>
      <w:r w:rsidRPr="009D1A93">
        <w:rPr>
          <w:lang w:val="fr-FR"/>
        </w:rPr>
        <w:t>évaluation a largement suivi la même approche que les réunions en ligne des années précédentes, impliquant un travail préliminaire intense effectué par les membres via l</w:t>
      </w:r>
      <w:r w:rsidR="00CA0916" w:rsidRPr="009D1A93">
        <w:rPr>
          <w:lang w:val="fr-FR"/>
        </w:rPr>
        <w:t>’</w:t>
      </w:r>
      <w:r w:rsidRPr="009D1A93">
        <w:rPr>
          <w:lang w:val="fr-FR"/>
        </w:rPr>
        <w:t>interface en ligne, qu</w:t>
      </w:r>
      <w:r w:rsidR="00CA0916" w:rsidRPr="009D1A93">
        <w:rPr>
          <w:lang w:val="fr-FR"/>
        </w:rPr>
        <w:t>’</w:t>
      </w:r>
      <w:r w:rsidRPr="009D1A93">
        <w:rPr>
          <w:lang w:val="fr-FR"/>
        </w:rPr>
        <w:t xml:space="preserve">ils ont souligné comme un outil particulièrement utile et bien conçu pour faciliter leur travail. </w:t>
      </w:r>
      <w:r w:rsidR="001D545A" w:rsidRPr="009D1A93">
        <w:rPr>
          <w:lang w:val="fr-FR"/>
        </w:rPr>
        <w:t>En outre, l</w:t>
      </w:r>
      <w:r w:rsidR="00CA0916" w:rsidRPr="009D1A93">
        <w:rPr>
          <w:lang w:val="fr-FR"/>
        </w:rPr>
        <w:t>’</w:t>
      </w:r>
      <w:r w:rsidR="00416443" w:rsidRPr="009D1A93">
        <w:rPr>
          <w:lang w:val="fr-FR"/>
        </w:rPr>
        <w:t xml:space="preserve">accès </w:t>
      </w:r>
      <w:r w:rsidR="00445797" w:rsidRPr="009D1A93">
        <w:rPr>
          <w:lang w:val="fr-FR"/>
        </w:rPr>
        <w:t xml:space="preserve">à la plateforme </w:t>
      </w:r>
      <w:r w:rsidR="0020192D" w:rsidRPr="009D1A93">
        <w:rPr>
          <w:lang w:val="fr-FR"/>
        </w:rPr>
        <w:t xml:space="preserve">en ligne </w:t>
      </w:r>
      <w:r w:rsidR="00445797" w:rsidRPr="009D1A93">
        <w:rPr>
          <w:lang w:val="fr-FR"/>
        </w:rPr>
        <w:t xml:space="preserve">de rapports </w:t>
      </w:r>
      <w:r w:rsidR="00416443" w:rsidRPr="009D1A93">
        <w:rPr>
          <w:lang w:val="fr-FR"/>
        </w:rPr>
        <w:t xml:space="preserve">a continué à être fourni </w:t>
      </w:r>
      <w:r w:rsidR="00445797" w:rsidRPr="009D1A93">
        <w:rPr>
          <w:lang w:val="fr-FR"/>
        </w:rPr>
        <w:t xml:space="preserve">aux </w:t>
      </w:r>
      <w:r w:rsidR="003E1EFF" w:rsidRPr="009D1A93">
        <w:rPr>
          <w:lang w:val="fr-FR"/>
        </w:rPr>
        <w:t>points</w:t>
      </w:r>
      <w:r w:rsidR="00416443" w:rsidRPr="009D1A93">
        <w:rPr>
          <w:lang w:val="fr-FR"/>
        </w:rPr>
        <w:t xml:space="preserve"> focaux désignés responsables de la coordination de </w:t>
      </w:r>
      <w:r w:rsidR="00445797" w:rsidRPr="009D1A93">
        <w:rPr>
          <w:lang w:val="fr-FR"/>
        </w:rPr>
        <w:t>l</w:t>
      </w:r>
      <w:r w:rsidR="00CA0916" w:rsidRPr="009D1A93">
        <w:rPr>
          <w:lang w:val="fr-FR"/>
        </w:rPr>
        <w:t>’</w:t>
      </w:r>
      <w:r w:rsidR="00416443" w:rsidRPr="009D1A93">
        <w:rPr>
          <w:lang w:val="fr-FR"/>
        </w:rPr>
        <w:t xml:space="preserve">exercice de rapport périodique </w:t>
      </w:r>
      <w:r w:rsidR="00445797" w:rsidRPr="009D1A93">
        <w:rPr>
          <w:lang w:val="fr-FR"/>
        </w:rPr>
        <w:t>dans chaque État partie</w:t>
      </w:r>
      <w:r w:rsidR="00416443" w:rsidRPr="009D1A93">
        <w:rPr>
          <w:lang w:val="fr-FR"/>
        </w:rPr>
        <w:t>. L</w:t>
      </w:r>
      <w:r w:rsidR="00CA0916" w:rsidRPr="009D1A93">
        <w:rPr>
          <w:lang w:val="fr-FR"/>
        </w:rPr>
        <w:t>’</w:t>
      </w:r>
      <w:r w:rsidRPr="009D1A93">
        <w:rPr>
          <w:lang w:val="fr-FR"/>
        </w:rPr>
        <w:t xml:space="preserve">augmentation des </w:t>
      </w:r>
      <w:r w:rsidR="00445797" w:rsidRPr="009D1A93">
        <w:rPr>
          <w:lang w:val="fr-FR"/>
        </w:rPr>
        <w:t xml:space="preserve">utilisations </w:t>
      </w:r>
      <w:r w:rsidRPr="009D1A93">
        <w:rPr>
          <w:lang w:val="fr-FR"/>
        </w:rPr>
        <w:t>exige que le système de gestion des connaissances continue d</w:t>
      </w:r>
      <w:r w:rsidR="00CA0916" w:rsidRPr="009D1A93">
        <w:rPr>
          <w:lang w:val="fr-FR"/>
        </w:rPr>
        <w:t>’</w:t>
      </w:r>
      <w:r w:rsidRPr="009D1A93">
        <w:rPr>
          <w:lang w:val="fr-FR"/>
        </w:rPr>
        <w:t xml:space="preserve">être optimisé afin de maintenir la page web et de stocker la </w:t>
      </w:r>
      <w:r w:rsidR="00015DCF" w:rsidRPr="009D1A93">
        <w:rPr>
          <w:lang w:val="fr-FR"/>
        </w:rPr>
        <w:t xml:space="preserve">grande quantité de </w:t>
      </w:r>
      <w:r w:rsidRPr="009D1A93">
        <w:rPr>
          <w:lang w:val="fr-FR"/>
        </w:rPr>
        <w:t>données produites.</w:t>
      </w:r>
    </w:p>
    <w:p w14:paraId="5D8911C0" w14:textId="7CF5C594" w:rsidR="00B625DE" w:rsidRPr="009D1A93" w:rsidRDefault="009800D3">
      <w:pPr>
        <w:pStyle w:val="GAPara"/>
        <w:numPr>
          <w:ilvl w:val="0"/>
          <w:numId w:val="6"/>
        </w:numPr>
        <w:ind w:left="567" w:hanging="567"/>
        <w:jc w:val="both"/>
        <w:rPr>
          <w:lang w:val="fr-FR"/>
        </w:rPr>
      </w:pPr>
      <w:r w:rsidRPr="009D1A93">
        <w:rPr>
          <w:rFonts w:asciiTheme="minorBidi" w:hAnsiTheme="minorBidi" w:cstheme="minorBidi"/>
          <w:b/>
          <w:bCs/>
          <w:lang w:val="fr-FR"/>
        </w:rPr>
        <w:t xml:space="preserve">Communication </w:t>
      </w:r>
      <w:r w:rsidRPr="009D1A93">
        <w:rPr>
          <w:b/>
          <w:bCs/>
          <w:lang w:val="fr-FR"/>
        </w:rPr>
        <w:t xml:space="preserve">et sensibilisation </w:t>
      </w:r>
      <w:r w:rsidRPr="00F2660D">
        <w:rPr>
          <w:lang w:val="fr-FR"/>
        </w:rPr>
        <w:t xml:space="preserve">: </w:t>
      </w:r>
      <w:r w:rsidRPr="009D1A93">
        <w:rPr>
          <w:lang w:val="fr-FR"/>
        </w:rPr>
        <w:t>Comme l</w:t>
      </w:r>
      <w:r w:rsidR="00CA0916" w:rsidRPr="009D1A93">
        <w:rPr>
          <w:lang w:val="fr-FR"/>
        </w:rPr>
        <w:t>’</w:t>
      </w:r>
      <w:r w:rsidRPr="009D1A93">
        <w:rPr>
          <w:lang w:val="fr-FR"/>
        </w:rPr>
        <w:t>a souligné l</w:t>
      </w:r>
      <w:r w:rsidR="00CA0916" w:rsidRPr="009D1A93">
        <w:rPr>
          <w:lang w:val="fr-FR"/>
        </w:rPr>
        <w:t>’</w:t>
      </w:r>
      <w:r w:rsidRPr="009D1A93">
        <w:rPr>
          <w:lang w:val="fr-FR"/>
        </w:rPr>
        <w:t>évaluation d</w:t>
      </w:r>
      <w:r w:rsidR="00CA0916" w:rsidRPr="009D1A93">
        <w:rPr>
          <w:lang w:val="fr-FR"/>
        </w:rPr>
        <w:t>’</w:t>
      </w:r>
      <w:r w:rsidRPr="009D1A93">
        <w:rPr>
          <w:lang w:val="fr-FR"/>
        </w:rPr>
        <w:t xml:space="preserve">IOS 2021, la page web de la Convention est un outil important pour présenter </w:t>
      </w:r>
      <w:r w:rsidR="003E1EFF" w:rsidRPr="009D1A93">
        <w:rPr>
          <w:lang w:val="fr-FR"/>
        </w:rPr>
        <w:t>l</w:t>
      </w:r>
      <w:r w:rsidR="00CA0916" w:rsidRPr="009D1A93">
        <w:rPr>
          <w:lang w:val="fr-FR"/>
        </w:rPr>
        <w:t>’</w:t>
      </w:r>
      <w:r w:rsidR="003E1EFF" w:rsidRPr="009D1A93">
        <w:rPr>
          <w:lang w:val="fr-FR"/>
        </w:rPr>
        <w:t xml:space="preserve">étendue des informations </w:t>
      </w:r>
      <w:r w:rsidRPr="009D1A93">
        <w:rPr>
          <w:lang w:val="fr-FR"/>
        </w:rPr>
        <w:t>relatives à la sauvegarde du patrimoine vivant, mais d</w:t>
      </w:r>
      <w:r w:rsidR="00CA0916" w:rsidRPr="009D1A93">
        <w:rPr>
          <w:lang w:val="fr-FR"/>
        </w:rPr>
        <w:t>’</w:t>
      </w:r>
      <w:r w:rsidRPr="009D1A93">
        <w:rPr>
          <w:lang w:val="fr-FR"/>
        </w:rPr>
        <w:t>autres moyens de communication et de sensibilisation sont nécessaires pour améliorer l</w:t>
      </w:r>
      <w:r w:rsidR="00CA0916" w:rsidRPr="009D1A93">
        <w:rPr>
          <w:lang w:val="fr-FR"/>
        </w:rPr>
        <w:t>’</w:t>
      </w:r>
      <w:r w:rsidRPr="009D1A93">
        <w:rPr>
          <w:lang w:val="fr-FR"/>
        </w:rPr>
        <w:t xml:space="preserve">engagement auprès de nouveaux publics, notamment le public non expert, les jeunes </w:t>
      </w:r>
      <w:r w:rsidR="00C54746" w:rsidRPr="009D1A93">
        <w:rPr>
          <w:lang w:val="fr-FR"/>
        </w:rPr>
        <w:t xml:space="preserve">et les </w:t>
      </w:r>
      <w:r w:rsidRPr="009D1A93">
        <w:rPr>
          <w:lang w:val="fr-FR"/>
        </w:rPr>
        <w:t xml:space="preserve">détenteurs du patrimoine vivant. Sur la base des conclusions de la société externe engagée </w:t>
      </w:r>
      <w:r w:rsidR="00567F13" w:rsidRPr="009D1A93">
        <w:rPr>
          <w:lang w:val="fr-FR"/>
        </w:rPr>
        <w:t xml:space="preserve">en 2021 </w:t>
      </w:r>
      <w:r w:rsidRPr="009D1A93">
        <w:rPr>
          <w:lang w:val="fr-FR"/>
        </w:rPr>
        <w:t>pour examiner l</w:t>
      </w:r>
      <w:r w:rsidR="00CA0916" w:rsidRPr="009D1A93">
        <w:rPr>
          <w:lang w:val="fr-FR"/>
        </w:rPr>
        <w:t>’</w:t>
      </w:r>
      <w:r w:rsidRPr="009D1A93">
        <w:rPr>
          <w:rFonts w:asciiTheme="minorBidi" w:hAnsiTheme="minorBidi" w:cstheme="minorBidi"/>
          <w:lang w:val="fr-FR"/>
        </w:rPr>
        <w:t xml:space="preserve">expérience utilisateur </w:t>
      </w:r>
      <w:r w:rsidRPr="009D1A93">
        <w:rPr>
          <w:lang w:val="fr-FR"/>
        </w:rPr>
        <w:t>du site web de la Convention de 2003, l</w:t>
      </w:r>
      <w:r w:rsidR="00CA0916" w:rsidRPr="009D1A93">
        <w:rPr>
          <w:lang w:val="fr-FR"/>
        </w:rPr>
        <w:t>’</w:t>
      </w:r>
      <w:r w:rsidR="00AB12CF" w:rsidRPr="009D1A93">
        <w:rPr>
          <w:lang w:val="fr-FR"/>
        </w:rPr>
        <w:t xml:space="preserve">alignement de la </w:t>
      </w:r>
      <w:r w:rsidR="004F2C2C" w:rsidRPr="009D1A93">
        <w:rPr>
          <w:lang w:val="fr-FR"/>
        </w:rPr>
        <w:t xml:space="preserve">page web </w:t>
      </w:r>
      <w:r w:rsidRPr="009D1A93">
        <w:rPr>
          <w:lang w:val="fr-FR"/>
        </w:rPr>
        <w:t>de la Convention sur la nouvelle charte graphique de l</w:t>
      </w:r>
      <w:r w:rsidR="00CA0916" w:rsidRPr="009D1A93">
        <w:rPr>
          <w:lang w:val="fr-FR"/>
        </w:rPr>
        <w:t>’</w:t>
      </w:r>
      <w:r w:rsidRPr="009D1A93">
        <w:rPr>
          <w:lang w:val="fr-FR"/>
        </w:rPr>
        <w:t xml:space="preserve">UNESCO sera </w:t>
      </w:r>
      <w:r w:rsidR="00AB12CF" w:rsidRPr="009D1A93">
        <w:rPr>
          <w:lang w:val="fr-FR"/>
        </w:rPr>
        <w:t xml:space="preserve">lancé </w:t>
      </w:r>
      <w:r w:rsidR="00D574FB" w:rsidRPr="009D1A93">
        <w:rPr>
          <w:lang w:val="fr-FR"/>
        </w:rPr>
        <w:t xml:space="preserve">prochainement. </w:t>
      </w:r>
      <w:r w:rsidR="000926C7" w:rsidRPr="009D1A93">
        <w:rPr>
          <w:lang w:val="fr-FR"/>
        </w:rPr>
        <w:t>En marge de la neuvième session de l</w:t>
      </w:r>
      <w:r w:rsidR="00CA0916" w:rsidRPr="009D1A93">
        <w:rPr>
          <w:lang w:val="fr-FR"/>
        </w:rPr>
        <w:t>’</w:t>
      </w:r>
      <w:r w:rsidR="000926C7" w:rsidRPr="009D1A93">
        <w:rPr>
          <w:lang w:val="fr-FR"/>
        </w:rPr>
        <w:t xml:space="preserve">Assemblée générale, </w:t>
      </w:r>
      <w:r w:rsidRPr="009D1A93">
        <w:rPr>
          <w:lang w:val="fr-FR"/>
        </w:rPr>
        <w:t xml:space="preserve">une exposition sur le MOOC </w:t>
      </w:r>
      <w:r w:rsidR="00800FBF" w:rsidRPr="009D1A93">
        <w:rPr>
          <w:lang w:val="fr-FR"/>
        </w:rPr>
        <w:t>« </w:t>
      </w:r>
      <w:r w:rsidRPr="009D1A93">
        <w:rPr>
          <w:lang w:val="fr-FR"/>
        </w:rPr>
        <w:t xml:space="preserve">Patrimoine vivant et </w:t>
      </w:r>
      <w:r w:rsidRPr="009D1A93">
        <w:rPr>
          <w:lang w:val="fr-FR"/>
        </w:rPr>
        <w:lastRenderedPageBreak/>
        <w:t>développement durable</w:t>
      </w:r>
      <w:r w:rsidR="00800FBF" w:rsidRPr="009D1A93">
        <w:rPr>
          <w:lang w:val="fr-FR"/>
        </w:rPr>
        <w:t> »</w:t>
      </w:r>
      <w:r w:rsidRPr="009D1A93">
        <w:rPr>
          <w:lang w:val="fr-FR"/>
        </w:rPr>
        <w:t xml:space="preserve"> a été organisée. La visibilité de la Convention a également été améliorée dans les communications de l</w:t>
      </w:r>
      <w:r w:rsidR="00CA0916" w:rsidRPr="009D1A93">
        <w:rPr>
          <w:lang w:val="fr-FR"/>
        </w:rPr>
        <w:t>’</w:t>
      </w:r>
      <w:r w:rsidRPr="009D1A93">
        <w:rPr>
          <w:lang w:val="fr-FR"/>
        </w:rPr>
        <w:t>UNESCO, par le biais d</w:t>
      </w:r>
      <w:r w:rsidR="00CA0916" w:rsidRPr="009D1A93">
        <w:rPr>
          <w:lang w:val="fr-FR"/>
        </w:rPr>
        <w:t>’</w:t>
      </w:r>
      <w:r w:rsidRPr="009D1A93">
        <w:rPr>
          <w:lang w:val="fr-FR"/>
        </w:rPr>
        <w:t>un plus grand nombre de messages sur les médias sociaux (Twitter, Facebook et Instagram) mettant en avant le patrimoine vivant et d</w:t>
      </w:r>
      <w:r w:rsidR="00CA0916" w:rsidRPr="009D1A93">
        <w:rPr>
          <w:lang w:val="fr-FR"/>
        </w:rPr>
        <w:t>’</w:t>
      </w:r>
      <w:r w:rsidRPr="009D1A93">
        <w:rPr>
          <w:lang w:val="fr-FR"/>
        </w:rPr>
        <w:t>actualités hebdomadaires sur la page web abordant différents thèmes dans toutes les régions et les Journées internationales liées aux domaines de la Convention. Une brochure sur le patrimoine vivant dans les situations d</w:t>
      </w:r>
      <w:r w:rsidR="00CA0916" w:rsidRPr="009D1A93">
        <w:rPr>
          <w:lang w:val="fr-FR"/>
        </w:rPr>
        <w:t>’</w:t>
      </w:r>
      <w:r w:rsidRPr="009D1A93">
        <w:rPr>
          <w:lang w:val="fr-FR"/>
        </w:rPr>
        <w:t xml:space="preserve">urgence a été publiée en trois langues. </w:t>
      </w:r>
      <w:r w:rsidR="00011210" w:rsidRPr="009D1A93">
        <w:rPr>
          <w:lang w:val="fr-FR"/>
        </w:rPr>
        <w:t xml:space="preserve">En outre, </w:t>
      </w:r>
      <w:r w:rsidR="00A8771C" w:rsidRPr="009D1A93">
        <w:rPr>
          <w:rFonts w:asciiTheme="minorBidi" w:hAnsiTheme="minorBidi" w:cstheme="minorBidi"/>
          <w:lang w:val="fr-FR"/>
        </w:rPr>
        <w:t>au cours de la période considérée</w:t>
      </w:r>
      <w:r w:rsidR="00567F13" w:rsidRPr="009D1A93">
        <w:rPr>
          <w:rFonts w:asciiTheme="minorBidi" w:hAnsiTheme="minorBidi" w:cstheme="minorBidi"/>
          <w:lang w:val="fr-FR"/>
        </w:rPr>
        <w:t xml:space="preserve">, des </w:t>
      </w:r>
      <w:r w:rsidR="00011210" w:rsidRPr="009D1A93">
        <w:rPr>
          <w:rFonts w:asciiTheme="minorBidi" w:hAnsiTheme="minorBidi" w:cstheme="minorBidi"/>
          <w:lang w:val="fr-FR"/>
        </w:rPr>
        <w:t>travaux intersectoriels et conjoints coordonnés ont été poursuivis en vue du lancement de la Décennie internationale des langues autochtones 2022-2032.</w:t>
      </w:r>
    </w:p>
    <w:p w14:paraId="6E7AD19B" w14:textId="4FF769A1" w:rsidR="00B625DE" w:rsidRPr="009D1A93" w:rsidRDefault="009800D3">
      <w:pPr>
        <w:pStyle w:val="COMPara"/>
        <w:numPr>
          <w:ilvl w:val="0"/>
          <w:numId w:val="0"/>
        </w:numPr>
        <w:jc w:val="both"/>
        <w:rPr>
          <w:rFonts w:asciiTheme="minorBidi" w:hAnsiTheme="minorBidi" w:cstheme="minorBidi"/>
          <w:lang w:val="fr-FR"/>
        </w:rPr>
      </w:pPr>
      <w:bookmarkStart w:id="1" w:name="_Hlk114585839"/>
      <w:r w:rsidRPr="009D1A93">
        <w:rPr>
          <w:rFonts w:asciiTheme="minorBidi" w:hAnsiTheme="minorBidi" w:cstheme="minorBidi"/>
          <w:b/>
          <w:bCs/>
          <w:lang w:val="fr-FR"/>
        </w:rPr>
        <w:t xml:space="preserve">II. </w:t>
      </w:r>
      <w:bookmarkStart w:id="2" w:name="_Hlk115978517"/>
      <w:r w:rsidR="00402D9D" w:rsidRPr="009D1A93">
        <w:rPr>
          <w:rFonts w:asciiTheme="minorBidi" w:hAnsiTheme="minorBidi" w:cstheme="minorBidi"/>
          <w:b/>
          <w:bCs/>
          <w:lang w:val="fr-FR"/>
        </w:rPr>
        <w:t xml:space="preserve">Sauvegarde du patrimoine vivant </w:t>
      </w:r>
      <w:r w:rsidR="00D1413F" w:rsidRPr="009D1A93">
        <w:rPr>
          <w:rFonts w:asciiTheme="minorBidi" w:hAnsiTheme="minorBidi" w:cstheme="minorBidi"/>
          <w:b/>
          <w:bCs/>
          <w:lang w:val="fr-FR"/>
        </w:rPr>
        <w:t xml:space="preserve">dans les </w:t>
      </w:r>
      <w:r w:rsidR="00383721" w:rsidRPr="009D1A93">
        <w:rPr>
          <w:rFonts w:asciiTheme="minorBidi" w:hAnsiTheme="minorBidi" w:cstheme="minorBidi"/>
          <w:b/>
          <w:bCs/>
          <w:lang w:val="fr-FR"/>
        </w:rPr>
        <w:t>situations d</w:t>
      </w:r>
      <w:r w:rsidR="00CA0916" w:rsidRPr="009D1A93">
        <w:rPr>
          <w:rFonts w:asciiTheme="minorBidi" w:hAnsiTheme="minorBidi" w:cstheme="minorBidi"/>
          <w:b/>
          <w:bCs/>
          <w:lang w:val="fr-FR"/>
        </w:rPr>
        <w:t>’</w:t>
      </w:r>
      <w:r w:rsidR="00383721" w:rsidRPr="009D1A93">
        <w:rPr>
          <w:rFonts w:asciiTheme="minorBidi" w:hAnsiTheme="minorBidi" w:cstheme="minorBidi"/>
          <w:b/>
          <w:bCs/>
          <w:lang w:val="fr-FR"/>
        </w:rPr>
        <w:t>urgence</w:t>
      </w:r>
    </w:p>
    <w:bookmarkEnd w:id="1"/>
    <w:p w14:paraId="78C825DC" w14:textId="798060C8" w:rsidR="00B625DE" w:rsidRPr="00495A53" w:rsidRDefault="0079486C">
      <w:pPr>
        <w:pStyle w:val="GAPara"/>
        <w:numPr>
          <w:ilvl w:val="0"/>
          <w:numId w:val="6"/>
        </w:numPr>
        <w:ind w:left="567" w:hanging="567"/>
        <w:jc w:val="both"/>
        <w:rPr>
          <w:lang w:val="fr-FR"/>
        </w:rPr>
      </w:pPr>
      <w:r w:rsidRPr="009D1A93">
        <w:rPr>
          <w:lang w:val="fr-FR"/>
        </w:rPr>
        <w:t xml:space="preserve">Le Secrétariat a </w:t>
      </w:r>
      <w:r w:rsidR="006E291D" w:rsidRPr="009D1A93">
        <w:rPr>
          <w:lang w:val="fr-FR"/>
        </w:rPr>
        <w:t xml:space="preserve">continué </w:t>
      </w:r>
      <w:r w:rsidR="00943238" w:rsidRPr="009D1A93">
        <w:rPr>
          <w:lang w:val="fr-FR"/>
        </w:rPr>
        <w:t xml:space="preserve">à </w:t>
      </w:r>
      <w:r w:rsidR="006E291D" w:rsidRPr="009D1A93">
        <w:rPr>
          <w:lang w:val="fr-FR"/>
        </w:rPr>
        <w:t xml:space="preserve">travailler à la </w:t>
      </w:r>
      <w:r w:rsidR="009800D3" w:rsidRPr="009D1A93">
        <w:rPr>
          <w:lang w:val="fr-FR"/>
        </w:rPr>
        <w:t xml:space="preserve">mise en œuvre </w:t>
      </w:r>
      <w:r w:rsidR="006E291D" w:rsidRPr="009D1A93">
        <w:rPr>
          <w:lang w:val="fr-FR"/>
        </w:rPr>
        <w:t xml:space="preserve">des </w:t>
      </w:r>
      <w:r w:rsidR="00800FBF" w:rsidRPr="009D1A93">
        <w:rPr>
          <w:b/>
          <w:bCs/>
          <w:lang w:val="fr-FR"/>
        </w:rPr>
        <w:t>« </w:t>
      </w:r>
      <w:r w:rsidR="001F3EDA" w:rsidRPr="009D1A93">
        <w:rPr>
          <w:rFonts w:asciiTheme="minorBidi" w:hAnsiTheme="minorBidi" w:cstheme="minorBidi"/>
          <w:b/>
          <w:bCs/>
          <w:lang w:val="fr-FR"/>
        </w:rPr>
        <w:t xml:space="preserve">Principes </w:t>
      </w:r>
      <w:r w:rsidR="001F3EDA" w:rsidRPr="009D1A93">
        <w:rPr>
          <w:b/>
          <w:bCs/>
          <w:lang w:val="fr-FR"/>
        </w:rPr>
        <w:t>et modalités</w:t>
      </w:r>
      <w:r w:rsidR="00724476" w:rsidRPr="009D1A93">
        <w:rPr>
          <w:b/>
          <w:bCs/>
          <w:lang w:val="fr-FR"/>
        </w:rPr>
        <w:t xml:space="preserve"> opérationnels pour la</w:t>
      </w:r>
      <w:r w:rsidR="001F3EDA" w:rsidRPr="009D1A93">
        <w:rPr>
          <w:b/>
          <w:bCs/>
          <w:lang w:val="fr-FR"/>
        </w:rPr>
        <w:t xml:space="preserve"> sauvegarde du patrimoine culturel immatériel en </w:t>
      </w:r>
      <w:r w:rsidR="00724476" w:rsidRPr="009D1A93">
        <w:rPr>
          <w:b/>
          <w:bCs/>
          <w:lang w:val="fr-FR"/>
        </w:rPr>
        <w:t xml:space="preserve">situations </w:t>
      </w:r>
      <w:r w:rsidR="001F3EDA" w:rsidRPr="009D1A93">
        <w:rPr>
          <w:b/>
          <w:bCs/>
          <w:lang w:val="fr-FR"/>
        </w:rPr>
        <w:t>d</w:t>
      </w:r>
      <w:r w:rsidR="00CA0916" w:rsidRPr="009D1A93">
        <w:rPr>
          <w:b/>
          <w:bCs/>
          <w:lang w:val="fr-FR"/>
        </w:rPr>
        <w:t>’</w:t>
      </w:r>
      <w:r w:rsidR="001F3EDA" w:rsidRPr="009D1A93">
        <w:rPr>
          <w:b/>
          <w:bCs/>
          <w:lang w:val="fr-FR"/>
        </w:rPr>
        <w:t>urgence</w:t>
      </w:r>
      <w:r w:rsidR="00800FBF" w:rsidRPr="009D1A93">
        <w:rPr>
          <w:b/>
          <w:bCs/>
          <w:lang w:val="fr-FR"/>
        </w:rPr>
        <w:t> »</w:t>
      </w:r>
      <w:r w:rsidR="009800D3" w:rsidRPr="009D1A93">
        <w:rPr>
          <w:lang w:val="fr-FR"/>
        </w:rPr>
        <w:t xml:space="preserve">, approuvés par la huitième </w:t>
      </w:r>
      <w:r w:rsidR="00E2086A" w:rsidRPr="009D1A93">
        <w:rPr>
          <w:lang w:val="fr-FR"/>
        </w:rPr>
        <w:t>session de l</w:t>
      </w:r>
      <w:r w:rsidR="00CA0916" w:rsidRPr="009D1A93">
        <w:rPr>
          <w:lang w:val="fr-FR"/>
        </w:rPr>
        <w:t>’</w:t>
      </w:r>
      <w:r w:rsidR="009800D3" w:rsidRPr="009D1A93">
        <w:rPr>
          <w:lang w:val="fr-FR"/>
        </w:rPr>
        <w:t>Assemblée générale (</w:t>
      </w:r>
      <w:r w:rsidR="00B543FE">
        <w:rPr>
          <w:lang w:val="fr-FR"/>
        </w:rPr>
        <w:t>r</w:t>
      </w:r>
      <w:r w:rsidR="009800D3" w:rsidRPr="009D1A93">
        <w:rPr>
          <w:lang w:val="fr-FR"/>
        </w:rPr>
        <w:t xml:space="preserve">ésolution </w:t>
      </w:r>
      <w:hyperlink r:id="rId39" w:history="1">
        <w:r w:rsidR="009800D3" w:rsidRPr="009D1A93">
          <w:rPr>
            <w:rStyle w:val="Lienhypertexte"/>
            <w:rFonts w:cs="Arial"/>
            <w:lang w:val="fr-FR"/>
          </w:rPr>
          <w:t>8.</w:t>
        </w:r>
        <w:r w:rsidR="00B543FE" w:rsidRPr="009D1A93">
          <w:rPr>
            <w:rStyle w:val="Lienhypertexte"/>
            <w:rFonts w:cs="Arial"/>
            <w:lang w:val="fr-FR"/>
          </w:rPr>
          <w:t>GA</w:t>
        </w:r>
        <w:r w:rsidR="00B543FE">
          <w:rPr>
            <w:rStyle w:val="Lienhypertexte"/>
            <w:rFonts w:cs="Arial"/>
            <w:lang w:val="fr-FR"/>
          </w:rPr>
          <w:t> </w:t>
        </w:r>
        <w:r w:rsidR="009800D3" w:rsidRPr="009D1A93">
          <w:rPr>
            <w:rStyle w:val="Lienhypertexte"/>
            <w:rFonts w:cs="Arial"/>
            <w:lang w:val="fr-FR"/>
          </w:rPr>
          <w:t>9</w:t>
        </w:r>
      </w:hyperlink>
      <w:r w:rsidR="009800D3" w:rsidRPr="009D1A93">
        <w:rPr>
          <w:lang w:val="fr-FR"/>
        </w:rPr>
        <w:t xml:space="preserve">). </w:t>
      </w:r>
      <w:r w:rsidR="001F3EDA" w:rsidRPr="009D1A93">
        <w:rPr>
          <w:lang w:val="fr-FR"/>
        </w:rPr>
        <w:t>Au cours de la période considérée</w:t>
      </w:r>
      <w:r w:rsidR="00E2086A" w:rsidRPr="009D1A93">
        <w:rPr>
          <w:lang w:val="fr-FR"/>
        </w:rPr>
        <w:t xml:space="preserve">, </w:t>
      </w:r>
      <w:r w:rsidR="001F3EDA" w:rsidRPr="009D1A93">
        <w:rPr>
          <w:lang w:val="fr-FR"/>
        </w:rPr>
        <w:t xml:space="preserve">un </w:t>
      </w:r>
      <w:r w:rsidR="00943238" w:rsidRPr="009D1A93">
        <w:rPr>
          <w:lang w:val="fr-FR"/>
        </w:rPr>
        <w:t xml:space="preserve">projet sur la </w:t>
      </w:r>
      <w:r w:rsidR="001F3EDA" w:rsidRPr="009D1A93">
        <w:rPr>
          <w:rFonts w:asciiTheme="minorBidi" w:hAnsiTheme="minorBidi" w:cstheme="minorBidi"/>
          <w:lang w:val="fr-FR"/>
        </w:rPr>
        <w:t xml:space="preserve">sauvegarde </w:t>
      </w:r>
      <w:r w:rsidR="00943238" w:rsidRPr="009D1A93">
        <w:rPr>
          <w:rFonts w:asciiTheme="minorBidi" w:hAnsiTheme="minorBidi" w:cstheme="minorBidi"/>
          <w:lang w:val="fr-FR"/>
        </w:rPr>
        <w:t xml:space="preserve">du </w:t>
      </w:r>
      <w:r w:rsidR="001F3EDA" w:rsidRPr="009D1A93">
        <w:rPr>
          <w:rFonts w:asciiTheme="minorBidi" w:hAnsiTheme="minorBidi" w:cstheme="minorBidi"/>
          <w:lang w:val="fr-FR"/>
        </w:rPr>
        <w:t>patrimoine vivant en situation d</w:t>
      </w:r>
      <w:r w:rsidR="00CA0916" w:rsidRPr="009D1A93">
        <w:rPr>
          <w:rFonts w:asciiTheme="minorBidi" w:hAnsiTheme="minorBidi" w:cstheme="minorBidi"/>
          <w:lang w:val="fr-FR"/>
        </w:rPr>
        <w:t>’</w:t>
      </w:r>
      <w:r w:rsidR="001F3EDA" w:rsidRPr="009D1A93">
        <w:rPr>
          <w:rFonts w:asciiTheme="minorBidi" w:hAnsiTheme="minorBidi" w:cstheme="minorBidi"/>
          <w:lang w:val="fr-FR"/>
        </w:rPr>
        <w:t xml:space="preserve">urgence dans les petits États insulaires en développement (PEID) du Pacifique et des Caraïbes </w:t>
      </w:r>
      <w:r w:rsidR="00EB7E9D" w:rsidRPr="009D1A93">
        <w:rPr>
          <w:rFonts w:asciiTheme="minorBidi" w:hAnsiTheme="minorBidi" w:cstheme="minorBidi"/>
          <w:lang w:val="fr-FR"/>
        </w:rPr>
        <w:t>a été lancé</w:t>
      </w:r>
      <w:r w:rsidR="001F3EDA" w:rsidRPr="009D1A93">
        <w:rPr>
          <w:rFonts w:asciiTheme="minorBidi" w:hAnsiTheme="minorBidi" w:cstheme="minorBidi"/>
          <w:lang w:val="fr-FR"/>
        </w:rPr>
        <w:t xml:space="preserve">. </w:t>
      </w:r>
      <w:r w:rsidR="00943238" w:rsidRPr="009D1A93">
        <w:rPr>
          <w:rFonts w:asciiTheme="minorBidi" w:hAnsiTheme="minorBidi" w:cstheme="minorBidi"/>
          <w:lang w:val="fr-FR"/>
        </w:rPr>
        <w:t xml:space="preserve">Dans le cadre de cette </w:t>
      </w:r>
      <w:r w:rsidR="009963C9" w:rsidRPr="009D1A93">
        <w:rPr>
          <w:rFonts w:asciiTheme="minorBidi" w:hAnsiTheme="minorBidi" w:cstheme="minorBidi"/>
          <w:lang w:val="fr-FR"/>
        </w:rPr>
        <w:t xml:space="preserve">initiative de </w:t>
      </w:r>
      <w:r w:rsidR="00943238" w:rsidRPr="009D1A93">
        <w:rPr>
          <w:rFonts w:asciiTheme="minorBidi" w:hAnsiTheme="minorBidi" w:cstheme="minorBidi"/>
          <w:lang w:val="fr-FR"/>
        </w:rPr>
        <w:t xml:space="preserve">trois ans, un atelier </w:t>
      </w:r>
      <w:r w:rsidR="009963C9" w:rsidRPr="009D1A93">
        <w:rPr>
          <w:rFonts w:asciiTheme="minorBidi" w:hAnsiTheme="minorBidi" w:cstheme="minorBidi"/>
          <w:lang w:val="fr-FR"/>
        </w:rPr>
        <w:t xml:space="preserve">interrégional </w:t>
      </w:r>
      <w:r w:rsidR="00943238" w:rsidRPr="009D1A93">
        <w:rPr>
          <w:rFonts w:asciiTheme="minorBidi" w:hAnsiTheme="minorBidi" w:cstheme="minorBidi"/>
          <w:lang w:val="fr-FR"/>
        </w:rPr>
        <w:t>en ligne a été organisé en coopération avec les bureaux hors siège de l</w:t>
      </w:r>
      <w:r w:rsidR="00CA0916" w:rsidRPr="009D1A93">
        <w:rPr>
          <w:rFonts w:asciiTheme="minorBidi" w:hAnsiTheme="minorBidi" w:cstheme="minorBidi"/>
          <w:lang w:val="fr-FR"/>
        </w:rPr>
        <w:t>’</w:t>
      </w:r>
      <w:r w:rsidR="00943238" w:rsidRPr="009D1A93">
        <w:rPr>
          <w:rFonts w:asciiTheme="minorBidi" w:hAnsiTheme="minorBidi" w:cstheme="minorBidi"/>
          <w:lang w:val="fr-FR"/>
        </w:rPr>
        <w:t xml:space="preserve">UNESCO à Apia et Kingston </w:t>
      </w:r>
      <w:r w:rsidR="00EB7E9D" w:rsidRPr="009D1A93">
        <w:rPr>
          <w:rFonts w:asciiTheme="minorBidi" w:hAnsiTheme="minorBidi" w:cstheme="minorBidi"/>
          <w:lang w:val="fr-FR"/>
        </w:rPr>
        <w:t>en avril 2022</w:t>
      </w:r>
      <w:r w:rsidR="00943238" w:rsidRPr="009D1A93">
        <w:rPr>
          <w:rFonts w:asciiTheme="minorBidi" w:hAnsiTheme="minorBidi" w:cstheme="minorBidi"/>
          <w:lang w:val="fr-FR"/>
        </w:rPr>
        <w:t xml:space="preserve">. Rassemblant une quarantaine de </w:t>
      </w:r>
      <w:r w:rsidR="00FC5158" w:rsidRPr="009D1A93">
        <w:rPr>
          <w:rFonts w:asciiTheme="minorBidi" w:hAnsiTheme="minorBidi" w:cstheme="minorBidi"/>
          <w:lang w:val="fr-FR"/>
        </w:rPr>
        <w:t>participants</w:t>
      </w:r>
      <w:r w:rsidR="00943238" w:rsidRPr="009D1A93">
        <w:rPr>
          <w:rFonts w:asciiTheme="minorBidi" w:hAnsiTheme="minorBidi" w:cstheme="minorBidi"/>
          <w:lang w:val="fr-FR"/>
        </w:rPr>
        <w:t>, la formation a permis le partage d</w:t>
      </w:r>
      <w:r w:rsidR="00CA0916" w:rsidRPr="009D1A93">
        <w:rPr>
          <w:rFonts w:asciiTheme="minorBidi" w:hAnsiTheme="minorBidi" w:cstheme="minorBidi"/>
          <w:lang w:val="fr-FR"/>
        </w:rPr>
        <w:t>’</w:t>
      </w:r>
      <w:r w:rsidR="00943238" w:rsidRPr="009D1A93">
        <w:rPr>
          <w:rFonts w:asciiTheme="minorBidi" w:hAnsiTheme="minorBidi" w:cstheme="minorBidi"/>
          <w:lang w:val="fr-FR"/>
        </w:rPr>
        <w:t xml:space="preserve">expériences </w:t>
      </w:r>
      <w:r w:rsidR="00FC5158" w:rsidRPr="009D1A93">
        <w:rPr>
          <w:rFonts w:asciiTheme="minorBidi" w:hAnsiTheme="minorBidi" w:cstheme="minorBidi"/>
          <w:lang w:val="fr-FR"/>
        </w:rPr>
        <w:t xml:space="preserve">entre les parties prenantes dans le </w:t>
      </w:r>
      <w:r w:rsidR="00FC5158" w:rsidRPr="009D1A93">
        <w:rPr>
          <w:color w:val="000000"/>
          <w:shd w:val="clear" w:color="auto" w:fill="FFFFFF"/>
          <w:lang w:val="fr-FR"/>
        </w:rPr>
        <w:t xml:space="preserve">domaine de la sauvegarde du patrimoine et de la réduction des risques de catastrophes </w:t>
      </w:r>
      <w:r w:rsidR="003846DE" w:rsidRPr="009D1A93">
        <w:rPr>
          <w:color w:val="000000"/>
          <w:shd w:val="clear" w:color="auto" w:fill="FFFFFF"/>
          <w:lang w:val="fr-FR"/>
        </w:rPr>
        <w:t xml:space="preserve">et a </w:t>
      </w:r>
      <w:r w:rsidR="00943238" w:rsidRPr="009D1A93">
        <w:rPr>
          <w:rFonts w:asciiTheme="minorBidi" w:hAnsiTheme="minorBidi" w:cstheme="minorBidi"/>
          <w:lang w:val="fr-FR"/>
        </w:rPr>
        <w:t xml:space="preserve">fourni un aperçu des besoins spécifiques liés à </w:t>
      </w:r>
      <w:r w:rsidR="00FC5158" w:rsidRPr="009D1A93">
        <w:rPr>
          <w:rFonts w:asciiTheme="minorBidi" w:hAnsiTheme="minorBidi" w:cstheme="minorBidi"/>
          <w:lang w:val="fr-FR"/>
        </w:rPr>
        <w:t xml:space="preserve">la </w:t>
      </w:r>
      <w:r w:rsidR="00943238" w:rsidRPr="009D1A93">
        <w:rPr>
          <w:rFonts w:asciiTheme="minorBidi" w:hAnsiTheme="minorBidi" w:cstheme="minorBidi"/>
          <w:lang w:val="fr-FR"/>
        </w:rPr>
        <w:t xml:space="preserve">sauvegarde </w:t>
      </w:r>
      <w:r w:rsidR="00FC5158" w:rsidRPr="009D1A93">
        <w:rPr>
          <w:rFonts w:asciiTheme="minorBidi" w:hAnsiTheme="minorBidi" w:cstheme="minorBidi"/>
          <w:lang w:val="fr-FR"/>
        </w:rPr>
        <w:t xml:space="preserve">du </w:t>
      </w:r>
      <w:r w:rsidR="00943238" w:rsidRPr="009D1A93">
        <w:rPr>
          <w:rFonts w:asciiTheme="minorBidi" w:hAnsiTheme="minorBidi" w:cstheme="minorBidi"/>
          <w:lang w:val="fr-FR"/>
        </w:rPr>
        <w:t xml:space="preserve">patrimoine vivant dans les pays exposés aux catastrophes naturelles. </w:t>
      </w:r>
      <w:r w:rsidR="00FC5158" w:rsidRPr="009D1A93">
        <w:rPr>
          <w:color w:val="000000"/>
          <w:shd w:val="clear" w:color="auto" w:fill="FFFFFF"/>
          <w:lang w:val="fr-FR"/>
        </w:rPr>
        <w:t xml:space="preserve">La formation a </w:t>
      </w:r>
      <w:r w:rsidR="00311FB2" w:rsidRPr="009D1A93">
        <w:rPr>
          <w:color w:val="000000"/>
          <w:shd w:val="clear" w:color="auto" w:fill="FFFFFF"/>
          <w:lang w:val="fr-FR"/>
        </w:rPr>
        <w:t xml:space="preserve">utilisé </w:t>
      </w:r>
      <w:r w:rsidR="00FC5158" w:rsidRPr="009D1A93">
        <w:rPr>
          <w:color w:val="000000"/>
          <w:shd w:val="clear" w:color="auto" w:fill="FFFFFF"/>
          <w:lang w:val="fr-FR"/>
        </w:rPr>
        <w:t xml:space="preserve">le matériel de formation </w:t>
      </w:r>
      <w:r w:rsidR="00625313" w:rsidRPr="009D1A93">
        <w:rPr>
          <w:color w:val="000000"/>
          <w:shd w:val="clear" w:color="auto" w:fill="FFFFFF"/>
          <w:lang w:val="fr-FR"/>
        </w:rPr>
        <w:t xml:space="preserve">du portefeuille </w:t>
      </w:r>
      <w:r w:rsidR="00EB7E9D" w:rsidRPr="009D1A93">
        <w:rPr>
          <w:lang w:val="fr-FR"/>
        </w:rPr>
        <w:t xml:space="preserve">du </w:t>
      </w:r>
      <w:r w:rsidR="00311FB2" w:rsidRPr="009D1A93">
        <w:rPr>
          <w:lang w:val="fr-FR"/>
        </w:rPr>
        <w:t xml:space="preserve">programme </w:t>
      </w:r>
      <w:r w:rsidR="00E8143B" w:rsidRPr="009D1A93">
        <w:rPr>
          <w:lang w:val="fr-FR"/>
        </w:rPr>
        <w:t xml:space="preserve">global </w:t>
      </w:r>
      <w:r w:rsidR="00311FB2" w:rsidRPr="009D1A93">
        <w:rPr>
          <w:lang w:val="fr-FR"/>
        </w:rPr>
        <w:t xml:space="preserve">de renforcement des capacités, </w:t>
      </w:r>
      <w:r w:rsidR="00980262" w:rsidRPr="009D1A93">
        <w:rPr>
          <w:lang w:val="fr-FR"/>
        </w:rPr>
        <w:t xml:space="preserve">en donnant </w:t>
      </w:r>
      <w:r w:rsidR="00311FB2" w:rsidRPr="009D1A93">
        <w:rPr>
          <w:lang w:val="fr-FR"/>
        </w:rPr>
        <w:t xml:space="preserve">des </w:t>
      </w:r>
      <w:r w:rsidR="00980262" w:rsidRPr="009D1A93">
        <w:rPr>
          <w:lang w:val="fr-FR"/>
        </w:rPr>
        <w:t xml:space="preserve">orientations </w:t>
      </w:r>
      <w:r w:rsidR="00311FB2" w:rsidRPr="009D1A93">
        <w:rPr>
          <w:lang w:val="fr-FR"/>
        </w:rPr>
        <w:t>sur l</w:t>
      </w:r>
      <w:r w:rsidR="00CA0916" w:rsidRPr="009D1A93">
        <w:rPr>
          <w:lang w:val="fr-FR"/>
        </w:rPr>
        <w:t>’</w:t>
      </w:r>
      <w:r w:rsidR="00311FB2" w:rsidRPr="009D1A93">
        <w:rPr>
          <w:lang w:val="fr-FR"/>
        </w:rPr>
        <w:t xml:space="preserve">intégration de la réduction des risques de catastrophe dans les inventaires communautaires du patrimoine culturel immatériel. Le Secrétariat a également lancé </w:t>
      </w:r>
      <w:r w:rsidR="00EB7E9D" w:rsidRPr="009D1A93">
        <w:rPr>
          <w:lang w:val="fr-FR"/>
        </w:rPr>
        <w:t xml:space="preserve">cette année </w:t>
      </w:r>
      <w:r w:rsidR="00875AAA" w:rsidRPr="009D1A93">
        <w:rPr>
          <w:lang w:val="fr-FR"/>
        </w:rPr>
        <w:t>la production d</w:t>
      </w:r>
      <w:r w:rsidR="00CA0916" w:rsidRPr="009D1A93">
        <w:rPr>
          <w:lang w:val="fr-FR"/>
        </w:rPr>
        <w:t>’</w:t>
      </w:r>
      <w:r w:rsidR="00875AAA" w:rsidRPr="009D1A93">
        <w:rPr>
          <w:lang w:val="fr-FR"/>
        </w:rPr>
        <w:t xml:space="preserve">un nouveau </w:t>
      </w:r>
      <w:r w:rsidR="00311FB2" w:rsidRPr="009D1A93">
        <w:rPr>
          <w:lang w:val="fr-FR"/>
        </w:rPr>
        <w:t xml:space="preserve">matériel de renforcement des capacités sur le thème du </w:t>
      </w:r>
      <w:r w:rsidR="00FC5D67" w:rsidRPr="009D1A93">
        <w:rPr>
          <w:lang w:val="fr-FR"/>
        </w:rPr>
        <w:t xml:space="preserve">patrimoine culturel immatériel </w:t>
      </w:r>
      <w:r w:rsidR="00311FB2" w:rsidRPr="009D1A93">
        <w:rPr>
          <w:lang w:val="fr-FR"/>
        </w:rPr>
        <w:t xml:space="preserve">dans le contexte des </w:t>
      </w:r>
      <w:r w:rsidR="00311FB2" w:rsidRPr="00495A53">
        <w:rPr>
          <w:lang w:val="fr-FR"/>
        </w:rPr>
        <w:t>conflits armés.</w:t>
      </w:r>
    </w:p>
    <w:p w14:paraId="3161612F" w14:textId="5CE3F369" w:rsidR="00B625DE" w:rsidRPr="009D1A93" w:rsidRDefault="009800D3">
      <w:pPr>
        <w:pStyle w:val="GAPara"/>
        <w:numPr>
          <w:ilvl w:val="0"/>
          <w:numId w:val="6"/>
        </w:numPr>
        <w:ind w:left="567" w:hanging="567"/>
        <w:jc w:val="both"/>
        <w:rPr>
          <w:rFonts w:asciiTheme="minorBidi" w:hAnsiTheme="minorBidi" w:cstheme="minorBidi"/>
          <w:lang w:val="fr-FR"/>
        </w:rPr>
      </w:pPr>
      <w:r w:rsidRPr="00495A53">
        <w:rPr>
          <w:rFonts w:asciiTheme="minorBidi" w:hAnsiTheme="minorBidi" w:cstheme="minorBidi"/>
          <w:lang w:val="fr-FR"/>
        </w:rPr>
        <w:t xml:space="preserve">En réponse </w:t>
      </w:r>
      <w:r w:rsidR="00395F7B" w:rsidRPr="00F2660D">
        <w:rPr>
          <w:rFonts w:asciiTheme="minorBidi" w:hAnsiTheme="minorBidi" w:cstheme="minorBidi"/>
          <w:lang w:val="fr-FR"/>
        </w:rPr>
        <w:t>à la guerre</w:t>
      </w:r>
      <w:r w:rsidRPr="00495A53">
        <w:rPr>
          <w:rFonts w:asciiTheme="minorBidi" w:hAnsiTheme="minorBidi" w:cstheme="minorBidi"/>
          <w:lang w:val="fr-FR"/>
        </w:rPr>
        <w:t xml:space="preserve"> en cours en Ukraine, le Secrétariat a fait un effort concerté pour soutenir la </w:t>
      </w:r>
      <w:r w:rsidRPr="00495A53">
        <w:rPr>
          <w:rFonts w:asciiTheme="minorBidi" w:hAnsiTheme="minorBidi" w:cstheme="minorBidi"/>
          <w:b/>
          <w:bCs/>
          <w:lang w:val="fr-FR"/>
        </w:rPr>
        <w:t>sauvegarde du patrimoine vivant ukrainien</w:t>
      </w:r>
      <w:r w:rsidRPr="00495A53">
        <w:rPr>
          <w:rFonts w:asciiTheme="minorBidi" w:hAnsiTheme="minorBidi" w:cstheme="minorBidi"/>
          <w:lang w:val="fr-FR"/>
        </w:rPr>
        <w:t>. Le Secrétariat a appelé à une réunion de coordination</w:t>
      </w:r>
      <w:r w:rsidRPr="009D1A93">
        <w:rPr>
          <w:rFonts w:asciiTheme="minorBidi" w:hAnsiTheme="minorBidi" w:cstheme="minorBidi"/>
          <w:lang w:val="fr-FR"/>
        </w:rPr>
        <w:t xml:space="preserve"> en mars 2022 pour rassembler plus de 40 parties prenantes afin de discuter des </w:t>
      </w:r>
      <w:r w:rsidR="008308DC" w:rsidRPr="009D1A93">
        <w:rPr>
          <w:rFonts w:asciiTheme="minorBidi" w:hAnsiTheme="minorBidi" w:cstheme="minorBidi"/>
          <w:lang w:val="fr-FR"/>
        </w:rPr>
        <w:t>domaines d</w:t>
      </w:r>
      <w:r w:rsidR="00CA0916" w:rsidRPr="009D1A93">
        <w:rPr>
          <w:rFonts w:asciiTheme="minorBidi" w:hAnsiTheme="minorBidi" w:cstheme="minorBidi"/>
          <w:lang w:val="fr-FR"/>
        </w:rPr>
        <w:t>’</w:t>
      </w:r>
      <w:r w:rsidR="008308DC" w:rsidRPr="009D1A93">
        <w:rPr>
          <w:rFonts w:asciiTheme="minorBidi" w:hAnsiTheme="minorBidi" w:cstheme="minorBidi"/>
          <w:lang w:val="fr-FR"/>
        </w:rPr>
        <w:t>action prioritaires. En guise de suivi, le Secrétariat a lancé une identification des besoins au niveau communautaire</w:t>
      </w:r>
      <w:r w:rsidR="00CE63DF" w:rsidRPr="009D1A93">
        <w:rPr>
          <w:rFonts w:asciiTheme="minorBidi" w:hAnsiTheme="minorBidi" w:cstheme="minorBidi"/>
          <w:lang w:val="fr-FR"/>
        </w:rPr>
        <w:t xml:space="preserve">, entre mars et juillet 2022, </w:t>
      </w:r>
      <w:r w:rsidR="008308DC" w:rsidRPr="009D1A93">
        <w:rPr>
          <w:rFonts w:asciiTheme="minorBidi" w:hAnsiTheme="minorBidi" w:cstheme="minorBidi"/>
          <w:lang w:val="fr-FR"/>
        </w:rPr>
        <w:t>dans cinq pays voisins de l</w:t>
      </w:r>
      <w:r w:rsidR="00CA0916" w:rsidRPr="009D1A93">
        <w:rPr>
          <w:rFonts w:asciiTheme="minorBidi" w:hAnsiTheme="minorBidi" w:cstheme="minorBidi"/>
          <w:lang w:val="fr-FR"/>
        </w:rPr>
        <w:t>’</w:t>
      </w:r>
      <w:r w:rsidR="008308DC" w:rsidRPr="009D1A93">
        <w:rPr>
          <w:rFonts w:asciiTheme="minorBidi" w:hAnsiTheme="minorBidi" w:cstheme="minorBidi"/>
          <w:lang w:val="fr-FR"/>
        </w:rPr>
        <w:t xml:space="preserve">Ukraine </w:t>
      </w:r>
      <w:r w:rsidR="00CE63DF" w:rsidRPr="009D1A93">
        <w:rPr>
          <w:rFonts w:asciiTheme="minorBidi" w:hAnsiTheme="minorBidi" w:cstheme="minorBidi"/>
          <w:lang w:val="fr-FR"/>
        </w:rPr>
        <w:t xml:space="preserve">qui ont reçu un afflux important de personnes ukrainiennes déplacées </w:t>
      </w:r>
      <w:r w:rsidR="008308DC" w:rsidRPr="009D1A93">
        <w:rPr>
          <w:rFonts w:asciiTheme="minorBidi" w:hAnsiTheme="minorBidi" w:cstheme="minorBidi"/>
          <w:lang w:val="fr-FR"/>
        </w:rPr>
        <w:t xml:space="preserve">(Hongrie, Moldavie, Pologne, Roumanie et Slovaquie). </w:t>
      </w:r>
      <w:r w:rsidR="00CE63DF" w:rsidRPr="009D1A93">
        <w:rPr>
          <w:rFonts w:asciiTheme="minorBidi" w:hAnsiTheme="minorBidi" w:cstheme="minorBidi"/>
          <w:lang w:val="fr-FR"/>
        </w:rPr>
        <w:t>Un ensemble de demandes d</w:t>
      </w:r>
      <w:r w:rsidR="00CA0916" w:rsidRPr="009D1A93">
        <w:rPr>
          <w:rFonts w:asciiTheme="minorBidi" w:hAnsiTheme="minorBidi" w:cstheme="minorBidi"/>
          <w:lang w:val="fr-FR"/>
        </w:rPr>
        <w:t>’</w:t>
      </w:r>
      <w:r w:rsidR="00CE63DF" w:rsidRPr="009D1A93">
        <w:rPr>
          <w:rFonts w:asciiTheme="minorBidi" w:hAnsiTheme="minorBidi" w:cstheme="minorBidi"/>
          <w:lang w:val="fr-FR"/>
        </w:rPr>
        <w:t>assistance internationale est en cours d</w:t>
      </w:r>
      <w:r w:rsidR="00CA0916" w:rsidRPr="009D1A93">
        <w:rPr>
          <w:rFonts w:asciiTheme="minorBidi" w:hAnsiTheme="minorBidi" w:cstheme="minorBidi"/>
          <w:lang w:val="fr-FR"/>
        </w:rPr>
        <w:t>’</w:t>
      </w:r>
      <w:r w:rsidR="00CE63DF" w:rsidRPr="009D1A93">
        <w:rPr>
          <w:rFonts w:asciiTheme="minorBidi" w:hAnsiTheme="minorBidi" w:cstheme="minorBidi"/>
          <w:lang w:val="fr-FR"/>
        </w:rPr>
        <w:t>élaboration pour répondre aux besoins de sauvegarde identifiés</w:t>
      </w:r>
      <w:r w:rsidR="009154CD" w:rsidRPr="009D1A93">
        <w:rPr>
          <w:rFonts w:asciiTheme="minorBidi" w:hAnsiTheme="minorBidi" w:cstheme="minorBidi"/>
          <w:lang w:val="fr-FR"/>
        </w:rPr>
        <w:t>, qui seront soumises dès que possible à l</w:t>
      </w:r>
      <w:r w:rsidR="00CA0916" w:rsidRPr="009D1A93">
        <w:rPr>
          <w:rFonts w:asciiTheme="minorBidi" w:hAnsiTheme="minorBidi" w:cstheme="minorBidi"/>
          <w:lang w:val="fr-FR"/>
        </w:rPr>
        <w:t>’</w:t>
      </w:r>
      <w:r w:rsidR="009154CD" w:rsidRPr="009D1A93">
        <w:rPr>
          <w:rFonts w:asciiTheme="minorBidi" w:hAnsiTheme="minorBidi" w:cstheme="minorBidi"/>
          <w:lang w:val="fr-FR"/>
        </w:rPr>
        <w:t xml:space="preserve">examen du Bureau </w:t>
      </w:r>
      <w:r w:rsidR="00CE63DF" w:rsidRPr="009D1A93">
        <w:rPr>
          <w:rFonts w:asciiTheme="minorBidi" w:hAnsiTheme="minorBidi" w:cstheme="minorBidi"/>
          <w:lang w:val="fr-FR"/>
        </w:rPr>
        <w:t>du Comité. Par ailleurs, le Secrétariat a lancé un projet par le biais du Fonds d</w:t>
      </w:r>
      <w:r w:rsidR="00CA0916" w:rsidRPr="009D1A93">
        <w:rPr>
          <w:rFonts w:asciiTheme="minorBidi" w:hAnsiTheme="minorBidi" w:cstheme="minorBidi"/>
          <w:lang w:val="fr-FR"/>
        </w:rPr>
        <w:t>’</w:t>
      </w:r>
      <w:r w:rsidR="00CE63DF" w:rsidRPr="009D1A93">
        <w:rPr>
          <w:rFonts w:asciiTheme="minorBidi" w:hAnsiTheme="minorBidi" w:cstheme="minorBidi"/>
          <w:lang w:val="fr-FR"/>
        </w:rPr>
        <w:t>urgence pour le patrimoine de l</w:t>
      </w:r>
      <w:r w:rsidR="00CA0916" w:rsidRPr="009D1A93">
        <w:rPr>
          <w:rFonts w:asciiTheme="minorBidi" w:hAnsiTheme="minorBidi" w:cstheme="minorBidi"/>
          <w:lang w:val="fr-FR"/>
        </w:rPr>
        <w:t>’</w:t>
      </w:r>
      <w:r w:rsidR="00CE63DF" w:rsidRPr="009D1A93">
        <w:rPr>
          <w:rFonts w:asciiTheme="minorBidi" w:hAnsiTheme="minorBidi" w:cstheme="minorBidi"/>
          <w:lang w:val="fr-FR"/>
        </w:rPr>
        <w:t>UNESCO afin de soutenir la résilience des écoliers ukrainiens en les sensibilisant davantage à leur patrimoine vivant. Il s</w:t>
      </w:r>
      <w:r w:rsidR="00CA0916" w:rsidRPr="009D1A93">
        <w:rPr>
          <w:rFonts w:asciiTheme="minorBidi" w:hAnsiTheme="minorBidi" w:cstheme="minorBidi"/>
          <w:lang w:val="fr-FR"/>
        </w:rPr>
        <w:t>’</w:t>
      </w:r>
      <w:r w:rsidR="00CE63DF" w:rsidRPr="009D1A93">
        <w:rPr>
          <w:rFonts w:asciiTheme="minorBidi" w:hAnsiTheme="minorBidi" w:cstheme="minorBidi"/>
          <w:lang w:val="fr-FR"/>
        </w:rPr>
        <w:t>agit d</w:t>
      </w:r>
      <w:r w:rsidR="00CA0916" w:rsidRPr="009D1A93">
        <w:rPr>
          <w:rFonts w:asciiTheme="minorBidi" w:hAnsiTheme="minorBidi" w:cstheme="minorBidi"/>
          <w:lang w:val="fr-FR"/>
        </w:rPr>
        <w:t>’</w:t>
      </w:r>
      <w:r w:rsidR="00CE63DF" w:rsidRPr="009D1A93">
        <w:rPr>
          <w:rFonts w:asciiTheme="minorBidi" w:hAnsiTheme="minorBidi" w:cstheme="minorBidi"/>
          <w:lang w:val="fr-FR"/>
        </w:rPr>
        <w:t xml:space="preserve">adapter le kit de ressources existant sur </w:t>
      </w:r>
      <w:r w:rsidR="009A1F5B" w:rsidRPr="009D1A93">
        <w:rPr>
          <w:rFonts w:asciiTheme="minorBidi" w:hAnsiTheme="minorBidi" w:cstheme="minorBidi"/>
          <w:lang w:val="fr-FR"/>
        </w:rPr>
        <w:t>« </w:t>
      </w:r>
      <w:r w:rsidR="00CE63DF" w:rsidRPr="009D1A93">
        <w:rPr>
          <w:rFonts w:asciiTheme="minorBidi" w:hAnsiTheme="minorBidi" w:cstheme="minorBidi"/>
          <w:lang w:val="fr-FR"/>
        </w:rPr>
        <w:t>l</w:t>
      </w:r>
      <w:r w:rsidR="00CA0916" w:rsidRPr="009D1A93">
        <w:rPr>
          <w:rFonts w:asciiTheme="minorBidi" w:hAnsiTheme="minorBidi" w:cstheme="minorBidi"/>
          <w:lang w:val="fr-FR"/>
        </w:rPr>
        <w:t>’</w:t>
      </w:r>
      <w:r w:rsidR="00CE63DF" w:rsidRPr="009D1A93">
        <w:rPr>
          <w:rFonts w:asciiTheme="minorBidi" w:hAnsiTheme="minorBidi" w:cstheme="minorBidi"/>
          <w:lang w:val="fr-FR"/>
        </w:rPr>
        <w:t>enseignement et l</w:t>
      </w:r>
      <w:r w:rsidR="00CA0916" w:rsidRPr="009D1A93">
        <w:rPr>
          <w:rFonts w:asciiTheme="minorBidi" w:hAnsiTheme="minorBidi" w:cstheme="minorBidi"/>
          <w:lang w:val="fr-FR"/>
        </w:rPr>
        <w:t>’</w:t>
      </w:r>
      <w:r w:rsidR="00CE63DF" w:rsidRPr="009D1A93">
        <w:rPr>
          <w:rFonts w:asciiTheme="minorBidi" w:hAnsiTheme="minorBidi" w:cstheme="minorBidi"/>
          <w:lang w:val="fr-FR"/>
        </w:rPr>
        <w:t>apprentissage du patrimoine vivant</w:t>
      </w:r>
      <w:r w:rsidR="009A1F5B" w:rsidRPr="009D1A93">
        <w:rPr>
          <w:rFonts w:asciiTheme="minorBidi" w:hAnsiTheme="minorBidi" w:cstheme="minorBidi"/>
          <w:lang w:val="fr-FR"/>
        </w:rPr>
        <w:t> »</w:t>
      </w:r>
      <w:r w:rsidR="00CE63DF" w:rsidRPr="009D1A93">
        <w:rPr>
          <w:rFonts w:asciiTheme="minorBidi" w:hAnsiTheme="minorBidi" w:cstheme="minorBidi"/>
          <w:lang w:val="fr-FR"/>
        </w:rPr>
        <w:t xml:space="preserve"> au contexte ukrainien et de développer dix études de cas supplémentaires qui seront pilotées dans un certain nombre d</w:t>
      </w:r>
      <w:r w:rsidR="00CA0916" w:rsidRPr="009D1A93">
        <w:rPr>
          <w:rFonts w:asciiTheme="minorBidi" w:hAnsiTheme="minorBidi" w:cstheme="minorBidi"/>
          <w:lang w:val="fr-FR"/>
        </w:rPr>
        <w:t>’</w:t>
      </w:r>
      <w:r w:rsidR="00CE63DF" w:rsidRPr="009D1A93">
        <w:rPr>
          <w:rFonts w:asciiTheme="minorBidi" w:hAnsiTheme="minorBidi" w:cstheme="minorBidi"/>
          <w:lang w:val="fr-FR"/>
        </w:rPr>
        <w:t>écoles primaires et secondaires, à l</w:t>
      </w:r>
      <w:r w:rsidR="00CA0916" w:rsidRPr="009D1A93">
        <w:rPr>
          <w:rFonts w:asciiTheme="minorBidi" w:hAnsiTheme="minorBidi" w:cstheme="minorBidi"/>
          <w:lang w:val="fr-FR"/>
        </w:rPr>
        <w:t>’</w:t>
      </w:r>
      <w:r w:rsidR="00CE63DF" w:rsidRPr="009D1A93">
        <w:rPr>
          <w:rFonts w:asciiTheme="minorBidi" w:hAnsiTheme="minorBidi" w:cstheme="minorBidi"/>
          <w:lang w:val="fr-FR"/>
        </w:rPr>
        <w:t>intérieur et à l</w:t>
      </w:r>
      <w:r w:rsidR="00CA0916" w:rsidRPr="009D1A93">
        <w:rPr>
          <w:rFonts w:asciiTheme="minorBidi" w:hAnsiTheme="minorBidi" w:cstheme="minorBidi"/>
          <w:lang w:val="fr-FR"/>
        </w:rPr>
        <w:t>’</w:t>
      </w:r>
      <w:r w:rsidR="00CE63DF" w:rsidRPr="009D1A93">
        <w:rPr>
          <w:rFonts w:asciiTheme="minorBidi" w:hAnsiTheme="minorBidi" w:cstheme="minorBidi"/>
          <w:lang w:val="fr-FR"/>
        </w:rPr>
        <w:t>extérieur de l</w:t>
      </w:r>
      <w:r w:rsidR="00CA0916" w:rsidRPr="009D1A93">
        <w:rPr>
          <w:rFonts w:asciiTheme="minorBidi" w:hAnsiTheme="minorBidi" w:cstheme="minorBidi"/>
          <w:lang w:val="fr-FR"/>
        </w:rPr>
        <w:t>’</w:t>
      </w:r>
      <w:r w:rsidR="00CE63DF" w:rsidRPr="009D1A93">
        <w:rPr>
          <w:rFonts w:asciiTheme="minorBidi" w:hAnsiTheme="minorBidi" w:cstheme="minorBidi"/>
          <w:lang w:val="fr-FR"/>
        </w:rPr>
        <w:t>Ukraine.</w:t>
      </w:r>
    </w:p>
    <w:p w14:paraId="7FDA1014" w14:textId="28FD0DCF" w:rsidR="00B625DE" w:rsidRPr="009D1A93" w:rsidRDefault="009800D3">
      <w:pPr>
        <w:pStyle w:val="GAPara"/>
        <w:numPr>
          <w:ilvl w:val="0"/>
          <w:numId w:val="6"/>
        </w:numPr>
        <w:ind w:left="567" w:hanging="567"/>
        <w:jc w:val="both"/>
        <w:rPr>
          <w:rFonts w:asciiTheme="minorBidi" w:hAnsiTheme="minorBidi" w:cstheme="minorBidi"/>
          <w:lang w:val="fr-FR"/>
        </w:rPr>
      </w:pPr>
      <w:r w:rsidRPr="009D1A93">
        <w:rPr>
          <w:rFonts w:asciiTheme="minorBidi" w:hAnsiTheme="minorBidi" w:cstheme="minorBidi"/>
          <w:lang w:val="fr-FR"/>
        </w:rPr>
        <w:t>Un fait marquant de la période considérée a été l</w:t>
      </w:r>
      <w:r w:rsidR="00CA0916" w:rsidRPr="009D1A93">
        <w:rPr>
          <w:rFonts w:asciiTheme="minorBidi" w:hAnsiTheme="minorBidi" w:cstheme="minorBidi"/>
          <w:lang w:val="fr-FR"/>
        </w:rPr>
        <w:t>’</w:t>
      </w:r>
      <w:r w:rsidRPr="009D1A93">
        <w:rPr>
          <w:rFonts w:asciiTheme="minorBidi" w:hAnsiTheme="minorBidi" w:cstheme="minorBidi"/>
          <w:b/>
          <w:bCs/>
          <w:lang w:val="fr-FR"/>
        </w:rPr>
        <w:t xml:space="preserve">inscription </w:t>
      </w:r>
      <w:r w:rsidR="007922CC" w:rsidRPr="009D1A93">
        <w:rPr>
          <w:rFonts w:asciiTheme="minorBidi" w:hAnsiTheme="minorBidi" w:cstheme="minorBidi"/>
          <w:b/>
          <w:bCs/>
          <w:lang w:val="fr-FR"/>
        </w:rPr>
        <w:t xml:space="preserve">accélérée </w:t>
      </w:r>
      <w:r w:rsidRPr="009D1A93">
        <w:rPr>
          <w:rFonts w:asciiTheme="minorBidi" w:hAnsiTheme="minorBidi" w:cstheme="minorBidi"/>
          <w:b/>
          <w:bCs/>
          <w:lang w:val="fr-FR"/>
        </w:rPr>
        <w:t xml:space="preserve">de </w:t>
      </w:r>
      <w:r w:rsidR="00800FBF" w:rsidRPr="009D1A93">
        <w:rPr>
          <w:b/>
          <w:bCs/>
          <w:lang w:val="fr-FR"/>
        </w:rPr>
        <w:t>« La culture de la préparation du bortsch ukrainien »</w:t>
      </w:r>
      <w:r w:rsidR="0040584E" w:rsidRPr="009D1A93">
        <w:rPr>
          <w:b/>
          <w:bCs/>
          <w:lang w:val="fr-FR"/>
        </w:rPr>
        <w:t xml:space="preserve"> </w:t>
      </w:r>
      <w:r w:rsidR="0040584E" w:rsidRPr="009D1A93">
        <w:rPr>
          <w:lang w:val="fr-FR"/>
        </w:rPr>
        <w:t xml:space="preserve">sur la Liste de sauvegarde urgente </w:t>
      </w:r>
      <w:r w:rsidR="00920194" w:rsidRPr="009D1A93">
        <w:rPr>
          <w:rFonts w:asciiTheme="minorBidi" w:hAnsiTheme="minorBidi" w:cstheme="minorBidi"/>
          <w:lang w:val="fr-FR"/>
        </w:rPr>
        <w:t>par l</w:t>
      </w:r>
      <w:r w:rsidR="00CA0916" w:rsidRPr="009D1A93">
        <w:rPr>
          <w:rFonts w:asciiTheme="minorBidi" w:hAnsiTheme="minorBidi" w:cstheme="minorBidi"/>
          <w:lang w:val="fr-FR"/>
        </w:rPr>
        <w:t>’</w:t>
      </w:r>
      <w:r w:rsidR="00920194" w:rsidRPr="009D1A93">
        <w:rPr>
          <w:rFonts w:asciiTheme="minorBidi" w:hAnsiTheme="minorBidi" w:cstheme="minorBidi"/>
          <w:lang w:val="fr-FR"/>
        </w:rPr>
        <w:t>application de l</w:t>
      </w:r>
      <w:r w:rsidR="00CA0916" w:rsidRPr="009D1A93">
        <w:rPr>
          <w:rFonts w:asciiTheme="minorBidi" w:hAnsiTheme="minorBidi" w:cstheme="minorBidi"/>
          <w:lang w:val="fr-FR"/>
        </w:rPr>
        <w:t>’</w:t>
      </w:r>
      <w:r w:rsidR="00920194" w:rsidRPr="009D1A93">
        <w:rPr>
          <w:rFonts w:asciiTheme="minorBidi" w:hAnsiTheme="minorBidi" w:cstheme="minorBidi"/>
          <w:lang w:val="fr-FR"/>
        </w:rPr>
        <w:t>article 17.3 de la Convention</w:t>
      </w:r>
      <w:r w:rsidR="0040584E" w:rsidRPr="009D1A93">
        <w:rPr>
          <w:rFonts w:asciiTheme="minorBidi" w:hAnsiTheme="minorBidi" w:cstheme="minorBidi"/>
          <w:lang w:val="fr-FR"/>
        </w:rPr>
        <w:t xml:space="preserve">. Dans le </w:t>
      </w:r>
      <w:r w:rsidR="0040584E" w:rsidRPr="00EB444D">
        <w:rPr>
          <w:rFonts w:asciiTheme="minorBidi" w:hAnsiTheme="minorBidi" w:cstheme="minorBidi"/>
          <w:lang w:val="fr-FR"/>
        </w:rPr>
        <w:t xml:space="preserve">contexte </w:t>
      </w:r>
      <w:r w:rsidR="0040584E" w:rsidRPr="00F2660D">
        <w:rPr>
          <w:rFonts w:asciiTheme="minorBidi" w:hAnsiTheme="minorBidi" w:cstheme="minorBidi"/>
          <w:lang w:val="fr-FR"/>
        </w:rPr>
        <w:t>d</w:t>
      </w:r>
      <w:r w:rsidR="00B32227" w:rsidRPr="00F2660D">
        <w:rPr>
          <w:rFonts w:asciiTheme="minorBidi" w:hAnsiTheme="minorBidi" w:cstheme="minorBidi"/>
          <w:lang w:val="fr-FR"/>
        </w:rPr>
        <w:t xml:space="preserve">e la guerre </w:t>
      </w:r>
      <w:r w:rsidR="0040584E" w:rsidRPr="00EB444D">
        <w:rPr>
          <w:rFonts w:asciiTheme="minorBidi" w:hAnsiTheme="minorBidi" w:cstheme="minorBidi"/>
          <w:lang w:val="fr-FR"/>
        </w:rPr>
        <w:t>en cours, l</w:t>
      </w:r>
      <w:r w:rsidR="00CA0916" w:rsidRPr="00EB444D">
        <w:rPr>
          <w:rFonts w:asciiTheme="minorBidi" w:hAnsiTheme="minorBidi" w:cstheme="minorBidi"/>
          <w:lang w:val="fr-FR"/>
        </w:rPr>
        <w:t>’</w:t>
      </w:r>
      <w:r w:rsidR="0040584E" w:rsidRPr="00EB444D">
        <w:rPr>
          <w:rFonts w:asciiTheme="minorBidi" w:hAnsiTheme="minorBidi" w:cstheme="minorBidi"/>
          <w:lang w:val="fr-FR"/>
        </w:rPr>
        <w:t>Ukraine a demandé le 21 avril 2022 que cette candidature soit traitée comme un cas d</w:t>
      </w:r>
      <w:r w:rsidR="00CA0916" w:rsidRPr="00EB444D">
        <w:rPr>
          <w:rFonts w:asciiTheme="minorBidi" w:hAnsiTheme="minorBidi" w:cstheme="minorBidi"/>
          <w:lang w:val="fr-FR"/>
        </w:rPr>
        <w:t>’</w:t>
      </w:r>
      <w:r w:rsidR="0040584E" w:rsidRPr="00EB444D">
        <w:rPr>
          <w:rFonts w:asciiTheme="minorBidi" w:hAnsiTheme="minorBidi" w:cstheme="minorBidi"/>
          <w:lang w:val="fr-FR"/>
        </w:rPr>
        <w:t xml:space="preserve">extrême urgence. </w:t>
      </w:r>
      <w:r w:rsidR="0040584E" w:rsidRPr="00EB444D">
        <w:rPr>
          <w:lang w:val="fr-FR"/>
        </w:rPr>
        <w:t xml:space="preserve">Le Secrétariat a soutenu la procédure tout au long, en commençant par la </w:t>
      </w:r>
      <w:r w:rsidR="0040584E" w:rsidRPr="00EB444D">
        <w:rPr>
          <w:rFonts w:asciiTheme="minorBidi" w:hAnsiTheme="minorBidi" w:cstheme="minorBidi"/>
          <w:lang w:val="fr-FR"/>
        </w:rPr>
        <w:t>réunion du Bureau le 6 mai 2022 pour examiner la demande et établir une procédure</w:t>
      </w:r>
      <w:r w:rsidR="0040584E" w:rsidRPr="009D1A93">
        <w:rPr>
          <w:rFonts w:asciiTheme="minorBidi" w:hAnsiTheme="minorBidi" w:cstheme="minorBidi"/>
          <w:lang w:val="fr-FR"/>
        </w:rPr>
        <w:t xml:space="preserve"> étape par étape pour traiter la demande </w:t>
      </w:r>
      <w:r w:rsidR="0040584E" w:rsidRPr="009D1A93">
        <w:rPr>
          <w:rFonts w:ascii="Times New Roman" w:hAnsi="Times New Roman" w:cs="Times New Roman"/>
          <w:snapToGrid/>
          <w:szCs w:val="24"/>
          <w:lang w:val="fr-FR" w:eastAsia="fr-FR"/>
        </w:rPr>
        <w:t>(</w:t>
      </w:r>
      <w:r w:rsidR="00EB444D">
        <w:rPr>
          <w:rFonts w:asciiTheme="minorBidi" w:hAnsiTheme="minorBidi" w:cstheme="minorBidi"/>
          <w:lang w:val="fr-FR"/>
        </w:rPr>
        <w:t>d</w:t>
      </w:r>
      <w:r w:rsidR="00D74D93" w:rsidRPr="00F5173B">
        <w:rPr>
          <w:lang w:val="fr-FR"/>
        </w:rPr>
        <w:t xml:space="preserve">écision </w:t>
      </w:r>
      <w:hyperlink r:id="rId40" w:history="1">
        <w:r w:rsidR="00D74D93" w:rsidRPr="00D74D93">
          <w:rPr>
            <w:rStyle w:val="Lienhypertexte"/>
            <w:rFonts w:asciiTheme="minorBidi" w:hAnsiTheme="minorBidi" w:cstheme="minorBidi"/>
            <w:lang w:val="fr-FR"/>
          </w:rPr>
          <w:t>17.COM 3.BUR 3</w:t>
        </w:r>
      </w:hyperlink>
      <w:r w:rsidR="0040584E" w:rsidRPr="009D1A93">
        <w:rPr>
          <w:rFonts w:asciiTheme="minorBidi" w:hAnsiTheme="minorBidi" w:cstheme="minorBidi"/>
          <w:lang w:val="fr-FR"/>
        </w:rPr>
        <w:t xml:space="preserve">) ; </w:t>
      </w:r>
      <w:r w:rsidR="0040584E" w:rsidRPr="009D1A93">
        <w:rPr>
          <w:lang w:val="fr-FR"/>
        </w:rPr>
        <w:t>le Secrétariat a ensuite consolidé les informations supplémentaires reçues de l</w:t>
      </w:r>
      <w:r w:rsidR="00CA0916" w:rsidRPr="009D1A93">
        <w:rPr>
          <w:lang w:val="fr-FR"/>
        </w:rPr>
        <w:t>’</w:t>
      </w:r>
      <w:r w:rsidR="0040584E" w:rsidRPr="009D1A93">
        <w:rPr>
          <w:lang w:val="fr-FR"/>
        </w:rPr>
        <w:t xml:space="preserve">Ukraine </w:t>
      </w:r>
      <w:r w:rsidR="00ED0C29" w:rsidRPr="009D1A93">
        <w:rPr>
          <w:lang w:val="fr-FR"/>
        </w:rPr>
        <w:t xml:space="preserve">les </w:t>
      </w:r>
      <w:r w:rsidR="0040584E" w:rsidRPr="009D1A93">
        <w:rPr>
          <w:lang w:val="fr-FR"/>
        </w:rPr>
        <w:t xml:space="preserve">14 et 15 juin </w:t>
      </w:r>
      <w:r w:rsidR="0040584E" w:rsidRPr="009D1A93">
        <w:rPr>
          <w:rFonts w:asciiTheme="minorBidi" w:hAnsiTheme="minorBidi" w:cstheme="minorBidi"/>
          <w:lang w:val="fr-FR"/>
        </w:rPr>
        <w:t>avant d</w:t>
      </w:r>
      <w:r w:rsidR="00CA0916" w:rsidRPr="009D1A93">
        <w:rPr>
          <w:rFonts w:asciiTheme="minorBidi" w:hAnsiTheme="minorBidi" w:cstheme="minorBidi"/>
          <w:lang w:val="fr-FR"/>
        </w:rPr>
        <w:t>’</w:t>
      </w:r>
      <w:r w:rsidR="0040584E" w:rsidRPr="009D1A93">
        <w:rPr>
          <w:rFonts w:asciiTheme="minorBidi" w:hAnsiTheme="minorBidi" w:cstheme="minorBidi"/>
          <w:lang w:val="fr-FR"/>
        </w:rPr>
        <w:t>organiser l</w:t>
      </w:r>
      <w:r w:rsidR="00CA0916" w:rsidRPr="009D1A93">
        <w:rPr>
          <w:rFonts w:asciiTheme="minorBidi" w:hAnsiTheme="minorBidi" w:cstheme="minorBidi"/>
          <w:lang w:val="fr-FR"/>
        </w:rPr>
        <w:t>’</w:t>
      </w:r>
      <w:r w:rsidR="0040584E" w:rsidRPr="009D1A93">
        <w:rPr>
          <w:rFonts w:asciiTheme="minorBidi" w:hAnsiTheme="minorBidi" w:cstheme="minorBidi"/>
          <w:lang w:val="fr-FR"/>
        </w:rPr>
        <w:t>évaluation de la nomination par l</w:t>
      </w:r>
      <w:r w:rsidR="00CA0916" w:rsidRPr="009D1A93">
        <w:rPr>
          <w:rFonts w:asciiTheme="minorBidi" w:hAnsiTheme="minorBidi" w:cstheme="minorBidi"/>
          <w:lang w:val="fr-FR"/>
        </w:rPr>
        <w:t>’</w:t>
      </w:r>
      <w:r w:rsidR="00DF4991" w:rsidRPr="009D1A93">
        <w:rPr>
          <w:rFonts w:asciiTheme="minorBidi" w:hAnsiTheme="minorBidi" w:cstheme="minorBidi"/>
          <w:lang w:val="fr-FR"/>
        </w:rPr>
        <w:t>O</w:t>
      </w:r>
      <w:r w:rsidR="0040584E" w:rsidRPr="009D1A93">
        <w:rPr>
          <w:rFonts w:asciiTheme="minorBidi" w:hAnsiTheme="minorBidi" w:cstheme="minorBidi"/>
          <w:lang w:val="fr-FR"/>
        </w:rPr>
        <w:t>rgane d</w:t>
      </w:r>
      <w:r w:rsidR="00CA0916" w:rsidRPr="009D1A93">
        <w:rPr>
          <w:rFonts w:asciiTheme="minorBidi" w:hAnsiTheme="minorBidi" w:cstheme="minorBidi"/>
          <w:lang w:val="fr-FR"/>
        </w:rPr>
        <w:t>’</w:t>
      </w:r>
      <w:r w:rsidR="0040584E" w:rsidRPr="009D1A93">
        <w:rPr>
          <w:rFonts w:asciiTheme="minorBidi" w:hAnsiTheme="minorBidi" w:cstheme="minorBidi"/>
          <w:lang w:val="fr-FR"/>
        </w:rPr>
        <w:t xml:space="preserve">évaluation 2022 ; </w:t>
      </w:r>
      <w:r w:rsidR="0040584E" w:rsidRPr="009D1A93">
        <w:rPr>
          <w:lang w:val="fr-FR"/>
        </w:rPr>
        <w:t>la recommandation de l</w:t>
      </w:r>
      <w:r w:rsidR="00CA0916" w:rsidRPr="009D1A93">
        <w:rPr>
          <w:lang w:val="fr-FR"/>
        </w:rPr>
        <w:t>’</w:t>
      </w:r>
      <w:r w:rsidR="00DF4991" w:rsidRPr="009D1A93">
        <w:rPr>
          <w:lang w:val="fr-FR"/>
        </w:rPr>
        <w:t>O</w:t>
      </w:r>
      <w:r w:rsidR="0040584E" w:rsidRPr="009D1A93">
        <w:rPr>
          <w:lang w:val="fr-FR"/>
        </w:rPr>
        <w:t>rgane d</w:t>
      </w:r>
      <w:r w:rsidR="00CA0916" w:rsidRPr="009D1A93">
        <w:rPr>
          <w:lang w:val="fr-FR"/>
        </w:rPr>
        <w:t>’</w:t>
      </w:r>
      <w:r w:rsidR="0040584E" w:rsidRPr="009D1A93">
        <w:rPr>
          <w:lang w:val="fr-FR"/>
        </w:rPr>
        <w:t xml:space="preserve">évaluation a été transférée au Bureau pour sa réunion du 23 juin 2022 (document </w:t>
      </w:r>
      <w:hyperlink r:id="rId41" w:history="1">
        <w:r w:rsidR="0040584E" w:rsidRPr="009D1A93">
          <w:rPr>
            <w:rStyle w:val="Lienhypertexte"/>
            <w:lang w:val="fr-FR"/>
          </w:rPr>
          <w:t>LHE/22/17 COM 4.BUR</w:t>
        </w:r>
        <w:r w:rsidR="00DF4991" w:rsidRPr="009D1A93">
          <w:rPr>
            <w:rStyle w:val="Lienhypertexte"/>
            <w:lang w:val="fr-FR"/>
          </w:rPr>
          <w:t> </w:t>
        </w:r>
        <w:r w:rsidR="0040584E" w:rsidRPr="009D1A93">
          <w:rPr>
            <w:rStyle w:val="Lienhypertexte"/>
            <w:lang w:val="fr-FR"/>
          </w:rPr>
          <w:t>5</w:t>
        </w:r>
      </w:hyperlink>
      <w:r w:rsidR="0040584E" w:rsidRPr="009D1A93">
        <w:rPr>
          <w:lang w:val="fr-FR"/>
        </w:rPr>
        <w:t>).</w:t>
      </w:r>
      <w:r w:rsidR="00F26283" w:rsidRPr="009D1A93">
        <w:rPr>
          <w:lang w:val="fr-FR"/>
        </w:rPr>
        <w:t xml:space="preserve"> Après un échange électronique avec les membres du Comité sur des questions de procédure, la cinquième session extraordinaire du Comité a décidé d</w:t>
      </w:r>
      <w:r w:rsidR="00CA0916" w:rsidRPr="009D1A93">
        <w:rPr>
          <w:lang w:val="fr-FR"/>
        </w:rPr>
        <w:t>’</w:t>
      </w:r>
      <w:r w:rsidR="00F26283" w:rsidRPr="009D1A93">
        <w:rPr>
          <w:lang w:val="fr-FR"/>
        </w:rPr>
        <w:t>inscrire l</w:t>
      </w:r>
      <w:r w:rsidR="00CA0916" w:rsidRPr="009D1A93">
        <w:rPr>
          <w:lang w:val="fr-FR"/>
        </w:rPr>
        <w:t>’</w:t>
      </w:r>
      <w:r w:rsidR="00F26283" w:rsidRPr="009D1A93">
        <w:rPr>
          <w:lang w:val="fr-FR"/>
        </w:rPr>
        <w:t xml:space="preserve">élément sur la </w:t>
      </w:r>
      <w:r w:rsidR="00DF4991" w:rsidRPr="009D1A93">
        <w:rPr>
          <w:lang w:val="fr-FR"/>
        </w:rPr>
        <w:t>L</w:t>
      </w:r>
      <w:r w:rsidR="00F26283" w:rsidRPr="009D1A93">
        <w:rPr>
          <w:lang w:val="fr-FR"/>
        </w:rPr>
        <w:t xml:space="preserve">iste de </w:t>
      </w:r>
      <w:r w:rsidR="00F26283" w:rsidRPr="009D1A93">
        <w:rPr>
          <w:lang w:val="fr-FR"/>
        </w:rPr>
        <w:lastRenderedPageBreak/>
        <w:t>sauvegarde urgente (</w:t>
      </w:r>
      <w:r w:rsidR="00E90B91">
        <w:rPr>
          <w:lang w:val="fr-FR"/>
        </w:rPr>
        <w:t>d</w:t>
      </w:r>
      <w:r w:rsidR="002977AF" w:rsidRPr="00F5173B">
        <w:rPr>
          <w:lang w:val="fr-FR"/>
        </w:rPr>
        <w:t xml:space="preserve">écision </w:t>
      </w:r>
      <w:hyperlink r:id="rId42" w:history="1">
        <w:r w:rsidR="002977AF" w:rsidRPr="002977AF">
          <w:rPr>
            <w:rStyle w:val="Lienhypertexte"/>
            <w:rFonts w:cs="Arial"/>
            <w:lang w:val="fr-FR"/>
          </w:rPr>
          <w:t>5.EXT.COM 5</w:t>
        </w:r>
      </w:hyperlink>
      <w:r w:rsidR="00F26283" w:rsidRPr="009D1A93">
        <w:rPr>
          <w:lang w:val="fr-FR"/>
        </w:rPr>
        <w:t xml:space="preserve">). </w:t>
      </w:r>
      <w:r w:rsidR="007922CC" w:rsidRPr="009D1A93">
        <w:rPr>
          <w:lang w:val="fr-FR"/>
        </w:rPr>
        <w:t>Dans l</w:t>
      </w:r>
      <w:r w:rsidR="00CA0916" w:rsidRPr="009D1A93">
        <w:rPr>
          <w:lang w:val="fr-FR"/>
        </w:rPr>
        <w:t>’</w:t>
      </w:r>
      <w:r w:rsidR="007922CC" w:rsidRPr="009D1A93">
        <w:rPr>
          <w:lang w:val="fr-FR"/>
        </w:rPr>
        <w:t xml:space="preserve">ensemble, </w:t>
      </w:r>
      <w:r w:rsidR="007922CC" w:rsidRPr="009D1A93">
        <w:rPr>
          <w:rFonts w:asciiTheme="minorBidi" w:hAnsiTheme="minorBidi" w:cstheme="minorBidi"/>
          <w:lang w:val="fr-FR"/>
        </w:rPr>
        <w:t>le Secrétariat a assuré un traitement rapide de la candidature, dans les dix semaines suivant sa soumission par l</w:t>
      </w:r>
      <w:r w:rsidR="00CA0916" w:rsidRPr="009D1A93">
        <w:rPr>
          <w:rFonts w:asciiTheme="minorBidi" w:hAnsiTheme="minorBidi" w:cstheme="minorBidi"/>
          <w:lang w:val="fr-FR"/>
        </w:rPr>
        <w:t>’</w:t>
      </w:r>
      <w:r w:rsidR="007922CC" w:rsidRPr="009D1A93">
        <w:rPr>
          <w:rFonts w:asciiTheme="minorBidi" w:hAnsiTheme="minorBidi" w:cstheme="minorBidi"/>
          <w:lang w:val="fr-FR"/>
        </w:rPr>
        <w:t>État partie, démontrant ainsi une première utilisation efficace de l</w:t>
      </w:r>
      <w:r w:rsidR="00CA0916" w:rsidRPr="009D1A93">
        <w:rPr>
          <w:rFonts w:asciiTheme="minorBidi" w:hAnsiTheme="minorBidi" w:cstheme="minorBidi"/>
          <w:lang w:val="fr-FR"/>
        </w:rPr>
        <w:t>’</w:t>
      </w:r>
      <w:r w:rsidR="007922CC" w:rsidRPr="009D1A93">
        <w:rPr>
          <w:rFonts w:asciiTheme="minorBidi" w:hAnsiTheme="minorBidi" w:cstheme="minorBidi"/>
          <w:lang w:val="fr-FR"/>
        </w:rPr>
        <w:t xml:space="preserve">article 17.3 de la Convention pour traiter une candidature selon une </w:t>
      </w:r>
      <w:r w:rsidR="00ED0C29" w:rsidRPr="009D1A93">
        <w:rPr>
          <w:rFonts w:asciiTheme="minorBidi" w:hAnsiTheme="minorBidi" w:cstheme="minorBidi"/>
          <w:lang w:val="fr-FR"/>
        </w:rPr>
        <w:t>procédure accélérée</w:t>
      </w:r>
      <w:r w:rsidR="007922CC" w:rsidRPr="009D1A93">
        <w:rPr>
          <w:rFonts w:asciiTheme="minorBidi" w:hAnsiTheme="minorBidi" w:cstheme="minorBidi"/>
          <w:lang w:val="fr-FR"/>
        </w:rPr>
        <w:t>.</w:t>
      </w:r>
    </w:p>
    <w:p w14:paraId="6BA7BE75" w14:textId="6B269EE9" w:rsidR="00B625DE" w:rsidRPr="009D1A93" w:rsidRDefault="009800D3">
      <w:pPr>
        <w:pStyle w:val="COMPara"/>
        <w:numPr>
          <w:ilvl w:val="0"/>
          <w:numId w:val="0"/>
        </w:numPr>
        <w:jc w:val="both"/>
        <w:rPr>
          <w:rFonts w:asciiTheme="minorBidi" w:hAnsiTheme="minorBidi" w:cstheme="minorBidi"/>
          <w:b/>
          <w:bCs/>
          <w:lang w:val="fr-FR"/>
        </w:rPr>
      </w:pPr>
      <w:bookmarkStart w:id="3" w:name="_Hlk114585843"/>
      <w:r w:rsidRPr="009D1A93">
        <w:rPr>
          <w:rFonts w:asciiTheme="minorBidi" w:hAnsiTheme="minorBidi" w:cstheme="minorBidi"/>
          <w:b/>
          <w:bCs/>
          <w:lang w:val="fr-FR"/>
        </w:rPr>
        <w:t>III</w:t>
      </w:r>
      <w:r w:rsidR="008A6458" w:rsidRPr="009D1A93">
        <w:rPr>
          <w:rFonts w:asciiTheme="minorBidi" w:hAnsiTheme="minorBidi" w:cstheme="minorBidi"/>
          <w:b/>
          <w:bCs/>
          <w:lang w:val="fr-FR"/>
        </w:rPr>
        <w:t xml:space="preserve">. </w:t>
      </w:r>
      <w:r w:rsidR="00397F83" w:rsidRPr="009D1A93">
        <w:rPr>
          <w:rFonts w:asciiTheme="minorBidi" w:hAnsiTheme="minorBidi" w:cstheme="minorBidi"/>
          <w:b/>
          <w:bCs/>
          <w:lang w:val="fr-FR"/>
        </w:rPr>
        <w:t xml:space="preserve">Mise en œuvre des priorités opérationnelles sur le renforcement des capacités </w:t>
      </w:r>
      <w:r w:rsidR="006D2D4F" w:rsidRPr="009D1A93">
        <w:rPr>
          <w:rFonts w:asciiTheme="minorBidi" w:hAnsiTheme="minorBidi" w:cstheme="minorBidi"/>
          <w:b/>
          <w:bCs/>
          <w:lang w:val="fr-FR"/>
        </w:rPr>
        <w:t xml:space="preserve">ainsi que sur le </w:t>
      </w:r>
      <w:r w:rsidR="00397F83" w:rsidRPr="009D1A93">
        <w:rPr>
          <w:rFonts w:asciiTheme="minorBidi" w:hAnsiTheme="minorBidi" w:cstheme="minorBidi"/>
          <w:b/>
          <w:bCs/>
          <w:lang w:val="fr-FR"/>
        </w:rPr>
        <w:t xml:space="preserve">patrimoine </w:t>
      </w:r>
      <w:r w:rsidR="00FD183E" w:rsidRPr="009D1A93">
        <w:rPr>
          <w:rFonts w:asciiTheme="minorBidi" w:hAnsiTheme="minorBidi" w:cstheme="minorBidi"/>
          <w:b/>
          <w:bCs/>
          <w:lang w:val="fr-FR"/>
        </w:rPr>
        <w:t xml:space="preserve">vivant </w:t>
      </w:r>
      <w:r w:rsidR="00397F83" w:rsidRPr="009D1A93">
        <w:rPr>
          <w:rFonts w:asciiTheme="minorBidi" w:hAnsiTheme="minorBidi" w:cstheme="minorBidi"/>
          <w:b/>
          <w:bCs/>
          <w:lang w:val="fr-FR"/>
        </w:rPr>
        <w:t>et l</w:t>
      </w:r>
      <w:r w:rsidR="00CA0916" w:rsidRPr="009D1A93">
        <w:rPr>
          <w:rFonts w:asciiTheme="minorBidi" w:hAnsiTheme="minorBidi" w:cstheme="minorBidi"/>
          <w:b/>
          <w:bCs/>
          <w:lang w:val="fr-FR"/>
        </w:rPr>
        <w:t>’</w:t>
      </w:r>
      <w:r w:rsidR="00397F83" w:rsidRPr="009D1A93">
        <w:rPr>
          <w:rFonts w:asciiTheme="minorBidi" w:hAnsiTheme="minorBidi" w:cstheme="minorBidi"/>
          <w:b/>
          <w:bCs/>
          <w:lang w:val="fr-FR"/>
        </w:rPr>
        <w:t>éducation</w:t>
      </w:r>
    </w:p>
    <w:bookmarkEnd w:id="3"/>
    <w:p w14:paraId="1D427DA0" w14:textId="0F0786E2" w:rsidR="00B625DE" w:rsidRPr="009D1A93" w:rsidRDefault="009800D3">
      <w:pPr>
        <w:pStyle w:val="GAPara"/>
        <w:numPr>
          <w:ilvl w:val="0"/>
          <w:numId w:val="6"/>
        </w:numPr>
        <w:ind w:left="567" w:hanging="567"/>
        <w:jc w:val="both"/>
        <w:rPr>
          <w:rFonts w:asciiTheme="minorBidi" w:hAnsiTheme="minorBidi" w:cstheme="minorBidi"/>
          <w:lang w:val="fr-FR"/>
        </w:rPr>
      </w:pPr>
      <w:r w:rsidRPr="009D1A93">
        <w:rPr>
          <w:rFonts w:asciiTheme="minorBidi" w:hAnsiTheme="minorBidi" w:cstheme="minorBidi"/>
          <w:b/>
          <w:bCs/>
          <w:lang w:val="fr-FR"/>
        </w:rPr>
        <w:t xml:space="preserve">Renforcement des capacités </w:t>
      </w:r>
      <w:r w:rsidRPr="009D1A93">
        <w:rPr>
          <w:rFonts w:asciiTheme="minorBidi" w:hAnsiTheme="minorBidi" w:cstheme="minorBidi"/>
          <w:lang w:val="fr-FR"/>
        </w:rPr>
        <w:t xml:space="preserve">: </w:t>
      </w:r>
      <w:r w:rsidR="009D30FA" w:rsidRPr="009D1A93">
        <w:rPr>
          <w:rFonts w:asciiTheme="minorBidi" w:hAnsiTheme="minorBidi" w:cstheme="minorBidi"/>
          <w:lang w:val="fr-FR"/>
        </w:rPr>
        <w:t xml:space="preserve">Le Secrétariat a </w:t>
      </w:r>
      <w:r w:rsidR="006F321F" w:rsidRPr="009D1A93">
        <w:rPr>
          <w:rFonts w:asciiTheme="minorBidi" w:hAnsiTheme="minorBidi" w:cstheme="minorBidi"/>
          <w:lang w:val="fr-FR"/>
        </w:rPr>
        <w:t xml:space="preserve">continué à fournir un soutien aux pays dans le cadre de la </w:t>
      </w:r>
      <w:r w:rsidR="006F321F" w:rsidRPr="009D1A93">
        <w:rPr>
          <w:rFonts w:asciiTheme="minorBidi" w:hAnsiTheme="minorBidi" w:cstheme="minorBidi"/>
          <w:bCs/>
          <w:lang w:val="fr-FR"/>
        </w:rPr>
        <w:t xml:space="preserve">première priorité de </w:t>
      </w:r>
      <w:r w:rsidR="006D2D4F" w:rsidRPr="009D1A93">
        <w:rPr>
          <w:rFonts w:asciiTheme="minorBidi" w:hAnsiTheme="minorBidi" w:cstheme="minorBidi"/>
          <w:bCs/>
          <w:lang w:val="fr-FR"/>
        </w:rPr>
        <w:t xml:space="preserve">financement </w:t>
      </w:r>
      <w:r w:rsidR="00800FBF" w:rsidRPr="009D1A93">
        <w:rPr>
          <w:rFonts w:asciiTheme="minorBidi" w:hAnsiTheme="minorBidi" w:cstheme="minorBidi"/>
          <w:bCs/>
          <w:lang w:val="fr-FR"/>
        </w:rPr>
        <w:t>« </w:t>
      </w:r>
      <w:r w:rsidR="006F321F" w:rsidRPr="009D1A93">
        <w:rPr>
          <w:rFonts w:asciiTheme="minorBidi" w:hAnsiTheme="minorBidi" w:cstheme="minorBidi"/>
          <w:bCs/>
          <w:lang w:val="fr-FR"/>
        </w:rPr>
        <w:t xml:space="preserve">Renforcer les capacités de sauvegarde du patrimoine culturel immatériel </w:t>
      </w:r>
      <w:r w:rsidR="005A05B3" w:rsidRPr="009D1A93">
        <w:rPr>
          <w:rFonts w:asciiTheme="minorBidi" w:hAnsiTheme="minorBidi" w:cstheme="minorBidi"/>
          <w:bCs/>
          <w:lang w:val="fr-FR"/>
        </w:rPr>
        <w:t>par le biais</w:t>
      </w:r>
      <w:r w:rsidR="006F321F" w:rsidRPr="009D1A93">
        <w:rPr>
          <w:rFonts w:asciiTheme="minorBidi" w:hAnsiTheme="minorBidi" w:cstheme="minorBidi"/>
          <w:bCs/>
          <w:lang w:val="fr-FR"/>
        </w:rPr>
        <w:t xml:space="preserve"> </w:t>
      </w:r>
      <w:r w:rsidR="005A05B3" w:rsidRPr="009D1A93">
        <w:rPr>
          <w:rFonts w:asciiTheme="minorBidi" w:hAnsiTheme="minorBidi" w:cstheme="minorBidi"/>
          <w:bCs/>
          <w:lang w:val="fr-FR"/>
        </w:rPr>
        <w:t>d’</w:t>
      </w:r>
      <w:r w:rsidR="006F321F" w:rsidRPr="009D1A93">
        <w:rPr>
          <w:rFonts w:asciiTheme="minorBidi" w:hAnsiTheme="minorBidi" w:cstheme="minorBidi"/>
          <w:bCs/>
          <w:lang w:val="fr-FR"/>
        </w:rPr>
        <w:t xml:space="preserve">approches multimodales et </w:t>
      </w:r>
      <w:r w:rsidR="005A05B3" w:rsidRPr="009D1A93">
        <w:rPr>
          <w:rFonts w:asciiTheme="minorBidi" w:hAnsiTheme="minorBidi" w:cstheme="minorBidi"/>
          <w:bCs/>
          <w:lang w:val="fr-FR"/>
        </w:rPr>
        <w:t xml:space="preserve">de </w:t>
      </w:r>
      <w:r w:rsidR="006F321F" w:rsidRPr="009D1A93">
        <w:rPr>
          <w:rFonts w:asciiTheme="minorBidi" w:hAnsiTheme="minorBidi" w:cstheme="minorBidi"/>
          <w:bCs/>
          <w:lang w:val="fr-FR"/>
        </w:rPr>
        <w:t>contribu</w:t>
      </w:r>
      <w:r w:rsidR="005A05B3" w:rsidRPr="009D1A93">
        <w:rPr>
          <w:rFonts w:asciiTheme="minorBidi" w:hAnsiTheme="minorBidi" w:cstheme="minorBidi"/>
          <w:bCs/>
          <w:lang w:val="fr-FR"/>
        </w:rPr>
        <w:t>tion</w:t>
      </w:r>
      <w:r w:rsidR="006F321F" w:rsidRPr="009D1A93">
        <w:rPr>
          <w:rFonts w:asciiTheme="minorBidi" w:hAnsiTheme="minorBidi" w:cstheme="minorBidi"/>
          <w:bCs/>
          <w:lang w:val="fr-FR"/>
        </w:rPr>
        <w:t xml:space="preserve"> au développement durable</w:t>
      </w:r>
      <w:r w:rsidR="00800FBF" w:rsidRPr="009D1A93">
        <w:rPr>
          <w:rFonts w:asciiTheme="minorBidi" w:hAnsiTheme="minorBidi" w:cstheme="minorBidi"/>
          <w:bCs/>
          <w:lang w:val="fr-FR"/>
        </w:rPr>
        <w:t> »</w:t>
      </w:r>
      <w:r w:rsidR="00323211" w:rsidRPr="009D1A93">
        <w:rPr>
          <w:rFonts w:asciiTheme="minorBidi" w:hAnsiTheme="minorBidi" w:cstheme="minorBidi"/>
          <w:bCs/>
          <w:lang w:val="fr-FR"/>
        </w:rPr>
        <w:t xml:space="preserve">, </w:t>
      </w:r>
      <w:r w:rsidR="006F321F" w:rsidRPr="009D1A93">
        <w:rPr>
          <w:rFonts w:asciiTheme="minorBidi" w:hAnsiTheme="minorBidi" w:cstheme="minorBidi"/>
          <w:bCs/>
          <w:lang w:val="fr-FR"/>
        </w:rPr>
        <w:t>approuvée par le Comité à sa seizième session (</w:t>
      </w:r>
      <w:hyperlink r:id="rId43" w:history="1">
        <w:r w:rsidR="00E90B91">
          <w:rPr>
            <w:lang w:val="fr-FR"/>
          </w:rPr>
          <w:t>d</w:t>
        </w:r>
        <w:r w:rsidR="002977AF" w:rsidRPr="00F5173B">
          <w:rPr>
            <w:lang w:val="fr-FR"/>
          </w:rPr>
          <w:t>écision 16.COM</w:t>
        </w:r>
        <w:r w:rsidR="00E90B91">
          <w:rPr>
            <w:color w:val="0000FF"/>
            <w:u w:val="single"/>
            <w:lang w:val="fr-FR"/>
          </w:rPr>
          <w:t> </w:t>
        </w:r>
        <w:r w:rsidR="002977AF" w:rsidRPr="00F5173B">
          <w:rPr>
            <w:lang w:val="fr-FR"/>
          </w:rPr>
          <w:t>12</w:t>
        </w:r>
      </w:hyperlink>
      <w:r w:rsidR="006F321F" w:rsidRPr="009D1A93">
        <w:rPr>
          <w:rFonts w:asciiTheme="minorBidi" w:hAnsiTheme="minorBidi" w:cstheme="minorBidi"/>
          <w:bCs/>
          <w:lang w:val="fr-FR"/>
        </w:rPr>
        <w:t xml:space="preserve">). Un </w:t>
      </w:r>
      <w:r w:rsidR="009D30FA" w:rsidRPr="00F2660D">
        <w:rPr>
          <w:rFonts w:asciiTheme="minorBidi" w:hAnsiTheme="minorBidi" w:cstheme="minorBidi"/>
          <w:bCs/>
          <w:lang w:val="fr-FR"/>
        </w:rPr>
        <w:t xml:space="preserve">renforcement des capacités et un soutien technique </w:t>
      </w:r>
      <w:r w:rsidR="006F321F" w:rsidRPr="00F2660D">
        <w:rPr>
          <w:rFonts w:asciiTheme="minorBidi" w:hAnsiTheme="minorBidi" w:cstheme="minorBidi"/>
          <w:bCs/>
          <w:lang w:val="fr-FR"/>
        </w:rPr>
        <w:t xml:space="preserve">ont été fournis </w:t>
      </w:r>
      <w:r w:rsidR="009D30FA" w:rsidRPr="00F2660D">
        <w:rPr>
          <w:rFonts w:asciiTheme="minorBidi" w:hAnsiTheme="minorBidi" w:cstheme="minorBidi"/>
          <w:bCs/>
          <w:lang w:val="fr-FR"/>
        </w:rPr>
        <w:t>à 96 États membres, dont 16 en Afrique et 9 dans les PEID, pour élaborer des politiques, stratégies et programmes nouv</w:t>
      </w:r>
      <w:r w:rsidR="009D30FA" w:rsidRPr="009D1A93">
        <w:rPr>
          <w:rFonts w:asciiTheme="minorBidi" w:hAnsiTheme="minorBidi" w:cstheme="minorBidi"/>
          <w:lang w:val="fr-FR"/>
        </w:rPr>
        <w:t xml:space="preserve">eaux ou révisés de sauvegarde du patrimoine vivant. </w:t>
      </w:r>
      <w:r w:rsidR="00EB7E9D" w:rsidRPr="009D1A93">
        <w:rPr>
          <w:rFonts w:asciiTheme="minorBidi" w:hAnsiTheme="minorBidi" w:cstheme="minorBidi"/>
          <w:lang w:val="fr-FR"/>
        </w:rPr>
        <w:t>Parmi ceux-ci</w:t>
      </w:r>
      <w:r w:rsidR="006F321F" w:rsidRPr="009D1A93">
        <w:rPr>
          <w:rFonts w:asciiTheme="minorBidi" w:hAnsiTheme="minorBidi" w:cstheme="minorBidi"/>
          <w:lang w:val="fr-FR"/>
        </w:rPr>
        <w:t xml:space="preserve">, </w:t>
      </w:r>
      <w:r w:rsidR="009D30FA" w:rsidRPr="009D1A93">
        <w:rPr>
          <w:lang w:val="fr-FR"/>
        </w:rPr>
        <w:t>22 pays (7 en Afrique et 9 dans les PEID) ont lancé</w:t>
      </w:r>
      <w:r w:rsidR="006F321F" w:rsidRPr="009D1A93">
        <w:rPr>
          <w:lang w:val="fr-FR"/>
        </w:rPr>
        <w:t xml:space="preserve">, avec le soutien du Secrétariat, de </w:t>
      </w:r>
      <w:r w:rsidR="009D30FA" w:rsidRPr="009D1A93">
        <w:rPr>
          <w:lang w:val="fr-FR"/>
        </w:rPr>
        <w:t xml:space="preserve">nouveaux programmes axés sur les actions fondamentales de </w:t>
      </w:r>
      <w:r w:rsidR="002B28B0" w:rsidRPr="009D1A93">
        <w:rPr>
          <w:lang w:val="fr-FR"/>
        </w:rPr>
        <w:t xml:space="preserve">la </w:t>
      </w:r>
      <w:r w:rsidR="009D30FA" w:rsidRPr="009D1A93">
        <w:rPr>
          <w:lang w:val="fr-FR"/>
        </w:rPr>
        <w:t xml:space="preserve">Convention (inventaire, plans de sauvegarde, élaboration de </w:t>
      </w:r>
      <w:r w:rsidR="009D30FA" w:rsidRPr="009D1A93">
        <w:rPr>
          <w:rFonts w:asciiTheme="minorBidi" w:hAnsiTheme="minorBidi" w:cstheme="minorBidi"/>
          <w:lang w:val="fr-FR"/>
        </w:rPr>
        <w:t>politiques</w:t>
      </w:r>
      <w:r w:rsidR="009D30FA" w:rsidRPr="009D1A93">
        <w:rPr>
          <w:lang w:val="fr-FR"/>
        </w:rPr>
        <w:t xml:space="preserve">) et </w:t>
      </w:r>
      <w:r w:rsidR="002B28B0" w:rsidRPr="009D1A93">
        <w:rPr>
          <w:lang w:val="fr-FR"/>
        </w:rPr>
        <w:t xml:space="preserve">dans différents </w:t>
      </w:r>
      <w:r w:rsidR="009D30FA" w:rsidRPr="009D1A93">
        <w:rPr>
          <w:lang w:val="fr-FR"/>
        </w:rPr>
        <w:t>domaines thématiques</w:t>
      </w:r>
      <w:r w:rsidR="00EA0EF4" w:rsidRPr="009D1A93">
        <w:rPr>
          <w:lang w:val="fr-FR"/>
        </w:rPr>
        <w:t>, notamment les situations d</w:t>
      </w:r>
      <w:r w:rsidR="00CA0916" w:rsidRPr="009D1A93">
        <w:rPr>
          <w:lang w:val="fr-FR"/>
        </w:rPr>
        <w:t>’</w:t>
      </w:r>
      <w:r w:rsidR="00EA0EF4" w:rsidRPr="009D1A93">
        <w:rPr>
          <w:lang w:val="fr-FR"/>
        </w:rPr>
        <w:t>urgence, l</w:t>
      </w:r>
      <w:r w:rsidR="00CA0916" w:rsidRPr="009D1A93">
        <w:rPr>
          <w:lang w:val="fr-FR"/>
        </w:rPr>
        <w:t>’</w:t>
      </w:r>
      <w:r w:rsidR="00EA0EF4" w:rsidRPr="009D1A93">
        <w:rPr>
          <w:lang w:val="fr-FR"/>
        </w:rPr>
        <w:t>éducation et les contextes urbains</w:t>
      </w:r>
      <w:r w:rsidR="00625FA9" w:rsidRPr="009D1A93">
        <w:rPr>
          <w:lang w:val="fr-FR"/>
        </w:rPr>
        <w:t xml:space="preserve">. </w:t>
      </w:r>
      <w:r w:rsidR="00DE087A" w:rsidRPr="009D1A93">
        <w:rPr>
          <w:rFonts w:asciiTheme="minorBidi" w:hAnsiTheme="minorBidi" w:cstheme="minorBidi"/>
          <w:lang w:val="fr-FR"/>
        </w:rPr>
        <w:t xml:space="preserve">La </w:t>
      </w:r>
      <w:r w:rsidR="00894D92" w:rsidRPr="009D1A93">
        <w:rPr>
          <w:rFonts w:asciiTheme="minorBidi" w:hAnsiTheme="minorBidi" w:cstheme="minorBidi"/>
          <w:lang w:val="fr-FR"/>
        </w:rPr>
        <w:t xml:space="preserve">demande pour le programme de renforcement des capacités étant </w:t>
      </w:r>
      <w:r w:rsidR="009934A8" w:rsidRPr="009D1A93">
        <w:rPr>
          <w:rFonts w:asciiTheme="minorBidi" w:hAnsiTheme="minorBidi" w:cstheme="minorBidi"/>
          <w:lang w:val="fr-FR"/>
        </w:rPr>
        <w:t>en hausse</w:t>
      </w:r>
      <w:r w:rsidR="007C0E0F" w:rsidRPr="009D1A93">
        <w:rPr>
          <w:rFonts w:asciiTheme="minorBidi" w:hAnsiTheme="minorBidi" w:cstheme="minorBidi"/>
          <w:lang w:val="fr-FR"/>
        </w:rPr>
        <w:t xml:space="preserve">, </w:t>
      </w:r>
      <w:r w:rsidR="00E73046" w:rsidRPr="009D1A93">
        <w:rPr>
          <w:rFonts w:asciiTheme="minorBidi" w:hAnsiTheme="minorBidi" w:cstheme="minorBidi"/>
          <w:lang w:val="fr-FR"/>
        </w:rPr>
        <w:t xml:space="preserve">le Secrétariat a lancé </w:t>
      </w:r>
      <w:r w:rsidR="009934A8" w:rsidRPr="009D1A93">
        <w:rPr>
          <w:lang w:val="fr-FR"/>
        </w:rPr>
        <w:t xml:space="preserve">un appel </w:t>
      </w:r>
      <w:r w:rsidR="009934A8" w:rsidRPr="009D1A93">
        <w:rPr>
          <w:rFonts w:asciiTheme="minorBidi" w:hAnsiTheme="minorBidi" w:cstheme="minorBidi"/>
          <w:lang w:val="fr-FR"/>
        </w:rPr>
        <w:t xml:space="preserve">à </w:t>
      </w:r>
      <w:r w:rsidR="00EA0EF4" w:rsidRPr="009D1A93">
        <w:rPr>
          <w:lang w:val="fr-FR"/>
        </w:rPr>
        <w:t>manifestation d</w:t>
      </w:r>
      <w:r w:rsidR="00CA0916" w:rsidRPr="009D1A93">
        <w:rPr>
          <w:lang w:val="fr-FR"/>
        </w:rPr>
        <w:t>’</w:t>
      </w:r>
      <w:r w:rsidR="009934A8" w:rsidRPr="009D1A93">
        <w:rPr>
          <w:lang w:val="fr-FR"/>
        </w:rPr>
        <w:t xml:space="preserve">intérêt pour étendre le réseau </w:t>
      </w:r>
      <w:r w:rsidR="00E8143B" w:rsidRPr="009D1A93">
        <w:rPr>
          <w:lang w:val="fr-FR"/>
        </w:rPr>
        <w:t xml:space="preserve">global </w:t>
      </w:r>
      <w:r w:rsidR="009934A8" w:rsidRPr="009D1A93">
        <w:rPr>
          <w:lang w:val="fr-FR"/>
        </w:rPr>
        <w:t>de facilitateurs du programme de renforcement des capacités</w:t>
      </w:r>
      <w:r w:rsidR="00E73046" w:rsidRPr="009D1A93">
        <w:rPr>
          <w:lang w:val="fr-FR"/>
        </w:rPr>
        <w:t xml:space="preserve">. </w:t>
      </w:r>
      <w:r w:rsidR="00783281" w:rsidRPr="009D1A93">
        <w:rPr>
          <w:lang w:val="fr-FR"/>
        </w:rPr>
        <w:t>Cet appel répond également à la recommandation 7 de l</w:t>
      </w:r>
      <w:r w:rsidR="00CA0916" w:rsidRPr="009D1A93">
        <w:rPr>
          <w:lang w:val="fr-FR"/>
        </w:rPr>
        <w:t>’</w:t>
      </w:r>
      <w:r w:rsidR="00783281" w:rsidRPr="009D1A93">
        <w:rPr>
          <w:lang w:val="fr-FR"/>
        </w:rPr>
        <w:t>évaluation d</w:t>
      </w:r>
      <w:r w:rsidR="00CA0916" w:rsidRPr="009D1A93">
        <w:rPr>
          <w:lang w:val="fr-FR"/>
        </w:rPr>
        <w:t>’</w:t>
      </w:r>
      <w:r w:rsidR="00783281" w:rsidRPr="009D1A93">
        <w:rPr>
          <w:lang w:val="fr-FR"/>
        </w:rPr>
        <w:t xml:space="preserve">IOS 2021, qui a confirmé le caractère central du programme </w:t>
      </w:r>
      <w:r w:rsidR="00E8143B" w:rsidRPr="009D1A93">
        <w:rPr>
          <w:lang w:val="fr-FR"/>
        </w:rPr>
        <w:t xml:space="preserve">global </w:t>
      </w:r>
      <w:r w:rsidR="00783281" w:rsidRPr="009D1A93">
        <w:rPr>
          <w:lang w:val="fr-FR"/>
        </w:rPr>
        <w:t xml:space="preserve">de renforcement des capacités et souligné </w:t>
      </w:r>
      <w:r w:rsidR="00783281" w:rsidRPr="005B132B">
        <w:rPr>
          <w:lang w:val="fr-FR"/>
        </w:rPr>
        <w:t>la nécessité de s</w:t>
      </w:r>
      <w:r w:rsidR="00CA0916" w:rsidRPr="005B132B">
        <w:rPr>
          <w:lang w:val="fr-FR"/>
        </w:rPr>
        <w:t>’</w:t>
      </w:r>
      <w:r w:rsidR="00783281" w:rsidRPr="005B132B">
        <w:rPr>
          <w:lang w:val="fr-FR"/>
        </w:rPr>
        <w:t>adapter à l</w:t>
      </w:r>
      <w:r w:rsidR="00CA0916" w:rsidRPr="005B132B">
        <w:rPr>
          <w:lang w:val="fr-FR"/>
        </w:rPr>
        <w:t>’</w:t>
      </w:r>
      <w:r w:rsidR="00783281" w:rsidRPr="005B132B">
        <w:rPr>
          <w:lang w:val="fr-FR"/>
        </w:rPr>
        <w:t xml:space="preserve">évolution des demandes géographiques et thématiques. Grâce au </w:t>
      </w:r>
      <w:r w:rsidR="00783281" w:rsidRPr="00F2660D">
        <w:rPr>
          <w:lang w:val="fr-FR"/>
        </w:rPr>
        <w:t>pool</w:t>
      </w:r>
      <w:r w:rsidR="00783281" w:rsidRPr="005B132B">
        <w:rPr>
          <w:lang w:val="fr-FR"/>
        </w:rPr>
        <w:t xml:space="preserve"> de facilitateurs </w:t>
      </w:r>
      <w:r w:rsidR="00640756" w:rsidRPr="005B132B">
        <w:rPr>
          <w:lang w:val="fr-FR"/>
        </w:rPr>
        <w:t>additionnels</w:t>
      </w:r>
      <w:r w:rsidR="00783281" w:rsidRPr="005B132B">
        <w:rPr>
          <w:lang w:val="fr-FR"/>
        </w:rPr>
        <w:t xml:space="preserve">, la Convention sera mieux équipée pour répondre à </w:t>
      </w:r>
      <w:r w:rsidR="00B353BF" w:rsidRPr="005B132B">
        <w:rPr>
          <w:lang w:val="fr-FR"/>
        </w:rPr>
        <w:t xml:space="preserve">ces </w:t>
      </w:r>
      <w:r w:rsidR="00783281" w:rsidRPr="005B132B">
        <w:rPr>
          <w:lang w:val="fr-FR"/>
        </w:rPr>
        <w:t xml:space="preserve">besoins </w:t>
      </w:r>
      <w:r w:rsidR="00B353BF" w:rsidRPr="005B132B">
        <w:rPr>
          <w:lang w:val="fr-FR"/>
        </w:rPr>
        <w:t>et s</w:t>
      </w:r>
      <w:r w:rsidR="00CA0916" w:rsidRPr="005B132B">
        <w:rPr>
          <w:lang w:val="fr-FR"/>
        </w:rPr>
        <w:t>’</w:t>
      </w:r>
      <w:r w:rsidR="00B353BF" w:rsidRPr="005B132B">
        <w:rPr>
          <w:lang w:val="fr-FR"/>
        </w:rPr>
        <w:t xml:space="preserve">assurer </w:t>
      </w:r>
      <w:r w:rsidR="00870611" w:rsidRPr="005B132B">
        <w:rPr>
          <w:color w:val="000000"/>
          <w:lang w:val="fr-FR"/>
        </w:rPr>
        <w:t>que les besoins thématiques émergents sont effectivement satisfaits</w:t>
      </w:r>
      <w:r w:rsidR="00783281" w:rsidRPr="005B132B">
        <w:rPr>
          <w:lang w:val="fr-FR"/>
        </w:rPr>
        <w:t xml:space="preserve">. </w:t>
      </w:r>
      <w:r w:rsidR="009934A8" w:rsidRPr="005B132B">
        <w:rPr>
          <w:lang w:val="fr-FR"/>
        </w:rPr>
        <w:t>Le Secrétariat</w:t>
      </w:r>
      <w:r w:rsidR="009934A8" w:rsidRPr="009D1A93">
        <w:rPr>
          <w:lang w:val="fr-FR"/>
        </w:rPr>
        <w:t xml:space="preserve"> a </w:t>
      </w:r>
      <w:r w:rsidR="001751E5" w:rsidRPr="009D1A93">
        <w:rPr>
          <w:lang w:val="fr-FR"/>
        </w:rPr>
        <w:t xml:space="preserve">poursuivi le travail de </w:t>
      </w:r>
      <w:r w:rsidR="009934A8" w:rsidRPr="009D1A93">
        <w:rPr>
          <w:lang w:val="fr-FR"/>
        </w:rPr>
        <w:t>réorientation du programme de renforcement des capacités en vue d</w:t>
      </w:r>
      <w:r w:rsidR="00CA0916" w:rsidRPr="009D1A93">
        <w:rPr>
          <w:lang w:val="fr-FR"/>
        </w:rPr>
        <w:t>’</w:t>
      </w:r>
      <w:r w:rsidR="009934A8" w:rsidRPr="009D1A93">
        <w:rPr>
          <w:lang w:val="fr-FR"/>
        </w:rPr>
        <w:t xml:space="preserve">une prestation multimodale </w:t>
      </w:r>
      <w:r w:rsidR="009F21A8" w:rsidRPr="009D1A93">
        <w:rPr>
          <w:lang w:val="fr-FR"/>
        </w:rPr>
        <w:t xml:space="preserve">et </w:t>
      </w:r>
      <w:r w:rsidR="009934A8" w:rsidRPr="009D1A93">
        <w:rPr>
          <w:rFonts w:asciiTheme="minorBidi" w:hAnsiTheme="minorBidi" w:cstheme="minorBidi"/>
          <w:lang w:val="fr-FR"/>
        </w:rPr>
        <w:t xml:space="preserve">a fait </w:t>
      </w:r>
      <w:r w:rsidR="009934A8" w:rsidRPr="009D1A93">
        <w:rPr>
          <w:lang w:val="fr-FR"/>
        </w:rPr>
        <w:t>progresser le développement d</w:t>
      </w:r>
      <w:r w:rsidR="00CA0916" w:rsidRPr="009D1A93">
        <w:rPr>
          <w:lang w:val="fr-FR"/>
        </w:rPr>
        <w:t>’</w:t>
      </w:r>
      <w:r w:rsidR="009934A8" w:rsidRPr="009D1A93">
        <w:rPr>
          <w:lang w:val="fr-FR"/>
        </w:rPr>
        <w:t>un système de gestion de l</w:t>
      </w:r>
      <w:r w:rsidR="00CA0916" w:rsidRPr="009D1A93">
        <w:rPr>
          <w:lang w:val="fr-FR"/>
        </w:rPr>
        <w:t>’</w:t>
      </w:r>
      <w:r w:rsidR="009934A8" w:rsidRPr="009D1A93">
        <w:rPr>
          <w:lang w:val="fr-FR"/>
        </w:rPr>
        <w:t>apprentissage (LMS).</w:t>
      </w:r>
    </w:p>
    <w:p w14:paraId="1ADA24FD" w14:textId="01D05E56" w:rsidR="00B625DE" w:rsidRPr="009D1A93" w:rsidRDefault="009800D3">
      <w:pPr>
        <w:pStyle w:val="GAPara"/>
        <w:numPr>
          <w:ilvl w:val="0"/>
          <w:numId w:val="6"/>
        </w:numPr>
        <w:ind w:left="567" w:hanging="567"/>
        <w:jc w:val="both"/>
        <w:rPr>
          <w:lang w:val="fr-FR"/>
        </w:rPr>
      </w:pPr>
      <w:r w:rsidRPr="009D1A93">
        <w:rPr>
          <w:lang w:val="fr-FR"/>
        </w:rPr>
        <w:t>La période considérée a également été marquée par le traitement et l</w:t>
      </w:r>
      <w:r w:rsidR="00CA0916" w:rsidRPr="009D1A93">
        <w:rPr>
          <w:lang w:val="fr-FR"/>
        </w:rPr>
        <w:t>’</w:t>
      </w:r>
      <w:r w:rsidRPr="009D1A93">
        <w:rPr>
          <w:lang w:val="fr-FR"/>
        </w:rPr>
        <w:t xml:space="preserve">évaluation de sept propositions de création ou de renouvellement de </w:t>
      </w:r>
      <w:r w:rsidRPr="009D1A93">
        <w:rPr>
          <w:b/>
          <w:bCs/>
          <w:lang w:val="fr-FR"/>
        </w:rPr>
        <w:t xml:space="preserve">chaires </w:t>
      </w:r>
      <w:r w:rsidRPr="009D1A93">
        <w:rPr>
          <w:lang w:val="fr-FR"/>
        </w:rPr>
        <w:t xml:space="preserve">UNESCO dans le domaine du patrimoine culturel immatériel, y compris la création du premier réseau UNITWIN sur la sauvegarde du patrimoine vivant </w:t>
      </w:r>
      <w:r w:rsidR="00157DCD" w:rsidRPr="009D1A93">
        <w:rPr>
          <w:lang w:val="fr-FR"/>
        </w:rPr>
        <w:t xml:space="preserve">dans </w:t>
      </w:r>
      <w:r w:rsidRPr="009D1A93">
        <w:rPr>
          <w:lang w:val="fr-FR"/>
        </w:rPr>
        <w:t>trois universités d</w:t>
      </w:r>
      <w:r w:rsidR="00CA0916" w:rsidRPr="009D1A93">
        <w:rPr>
          <w:lang w:val="fr-FR"/>
        </w:rPr>
        <w:t>’</w:t>
      </w:r>
      <w:r w:rsidRPr="009D1A93">
        <w:rPr>
          <w:lang w:val="fr-FR"/>
        </w:rPr>
        <w:t>Argentine, d</w:t>
      </w:r>
      <w:r w:rsidR="00CA0916" w:rsidRPr="009D1A93">
        <w:rPr>
          <w:lang w:val="fr-FR"/>
        </w:rPr>
        <w:t>’</w:t>
      </w:r>
      <w:r w:rsidRPr="009D1A93">
        <w:rPr>
          <w:lang w:val="fr-FR"/>
        </w:rPr>
        <w:t xml:space="preserve">Uruguay et du Paraguay. </w:t>
      </w:r>
      <w:r w:rsidR="00716105" w:rsidRPr="009D1A93">
        <w:rPr>
          <w:rFonts w:asciiTheme="minorBidi" w:hAnsiTheme="minorBidi" w:cstheme="minorBidi"/>
          <w:lang w:val="fr-FR"/>
        </w:rPr>
        <w:t xml:space="preserve">La Chaire UNESCO sur les études musicales transculturelles </w:t>
      </w:r>
      <w:r w:rsidR="00207215" w:rsidRPr="009D1A93">
        <w:rPr>
          <w:rFonts w:asciiTheme="minorBidi" w:hAnsiTheme="minorBidi" w:cstheme="minorBidi"/>
          <w:lang w:val="fr-FR"/>
        </w:rPr>
        <w:t xml:space="preserve">(Weimar, Allemagne) </w:t>
      </w:r>
      <w:r w:rsidR="00716105" w:rsidRPr="009D1A93">
        <w:rPr>
          <w:rFonts w:asciiTheme="minorBidi" w:hAnsiTheme="minorBidi" w:cstheme="minorBidi"/>
          <w:lang w:val="fr-FR"/>
        </w:rPr>
        <w:t xml:space="preserve">et la Chaire UNESCO sur la compréhension globale pour la durabilité </w:t>
      </w:r>
      <w:r w:rsidR="00207215" w:rsidRPr="009D1A93">
        <w:rPr>
          <w:rFonts w:asciiTheme="minorBidi" w:hAnsiTheme="minorBidi" w:cstheme="minorBidi"/>
          <w:lang w:val="fr-FR"/>
        </w:rPr>
        <w:t xml:space="preserve">(Jena, </w:t>
      </w:r>
      <w:r w:rsidR="00716105" w:rsidRPr="009D1A93">
        <w:rPr>
          <w:rFonts w:asciiTheme="minorBidi" w:hAnsiTheme="minorBidi" w:cstheme="minorBidi"/>
          <w:lang w:val="fr-FR"/>
        </w:rPr>
        <w:t xml:space="preserve">Allemagne) ont </w:t>
      </w:r>
      <w:r w:rsidR="009B62F9" w:rsidRPr="009D1A93">
        <w:rPr>
          <w:rFonts w:asciiTheme="minorBidi" w:hAnsiTheme="minorBidi" w:cstheme="minorBidi"/>
          <w:lang w:val="fr-FR"/>
        </w:rPr>
        <w:t xml:space="preserve">contribué </w:t>
      </w:r>
      <w:r w:rsidR="00716105" w:rsidRPr="009D1A93">
        <w:rPr>
          <w:rFonts w:asciiTheme="minorBidi" w:hAnsiTheme="minorBidi" w:cstheme="minorBidi"/>
          <w:lang w:val="fr-FR"/>
        </w:rPr>
        <w:t xml:space="preserve">au débat académique et à la mise en réseau autour du thème des </w:t>
      </w:r>
      <w:r w:rsidR="009B62F9" w:rsidRPr="009D1A93">
        <w:rPr>
          <w:rFonts w:asciiTheme="minorBidi" w:hAnsiTheme="minorBidi" w:cstheme="minorBidi"/>
          <w:lang w:val="fr-FR"/>
        </w:rPr>
        <w:t xml:space="preserve">cultures pour un avenir durable en organisant une </w:t>
      </w:r>
      <w:r w:rsidR="00716105" w:rsidRPr="009D1A93">
        <w:rPr>
          <w:rFonts w:asciiTheme="minorBidi" w:hAnsiTheme="minorBidi" w:cstheme="minorBidi"/>
          <w:lang w:val="fr-FR"/>
        </w:rPr>
        <w:t xml:space="preserve">conférence internationale des Chaires UNESCO </w:t>
      </w:r>
      <w:r w:rsidR="009B62F9" w:rsidRPr="009D1A93">
        <w:rPr>
          <w:rFonts w:asciiTheme="minorBidi" w:hAnsiTheme="minorBidi" w:cstheme="minorBidi"/>
          <w:lang w:val="fr-FR"/>
        </w:rPr>
        <w:t xml:space="preserve">en </w:t>
      </w:r>
      <w:r w:rsidR="00716105" w:rsidRPr="009D1A93">
        <w:rPr>
          <w:rFonts w:asciiTheme="minorBidi" w:hAnsiTheme="minorBidi" w:cstheme="minorBidi"/>
          <w:lang w:val="fr-FR"/>
        </w:rPr>
        <w:t>mai 2022</w:t>
      </w:r>
      <w:r w:rsidR="009B62F9" w:rsidRPr="009D1A93">
        <w:rPr>
          <w:rFonts w:asciiTheme="minorBidi" w:hAnsiTheme="minorBidi" w:cstheme="minorBidi"/>
          <w:lang w:val="fr-FR"/>
        </w:rPr>
        <w:t xml:space="preserve">. En outre, </w:t>
      </w:r>
      <w:r w:rsidR="00716105" w:rsidRPr="009D1A93">
        <w:rPr>
          <w:rFonts w:asciiTheme="minorBidi" w:hAnsiTheme="minorBidi" w:cstheme="minorBidi"/>
          <w:lang w:val="fr-FR"/>
        </w:rPr>
        <w:t xml:space="preserve">la chaire UNESCO sur le patrimoine culturel immatériel et le développement durable </w:t>
      </w:r>
      <w:r w:rsidR="00435B60" w:rsidRPr="009D1A93">
        <w:rPr>
          <w:rFonts w:asciiTheme="minorBidi" w:hAnsiTheme="minorBidi" w:cstheme="minorBidi"/>
          <w:lang w:val="fr-FR"/>
        </w:rPr>
        <w:t xml:space="preserve">(Cergy-Pontoise, France) </w:t>
      </w:r>
      <w:r w:rsidR="00716105" w:rsidRPr="009D1A93">
        <w:rPr>
          <w:rFonts w:asciiTheme="minorBidi" w:hAnsiTheme="minorBidi" w:cstheme="minorBidi"/>
          <w:lang w:val="fr-FR"/>
        </w:rPr>
        <w:t xml:space="preserve">a organisé </w:t>
      </w:r>
      <w:r w:rsidR="000D67B7" w:rsidRPr="009D1A93">
        <w:rPr>
          <w:rFonts w:asciiTheme="minorBidi" w:hAnsiTheme="minorBidi" w:cstheme="minorBidi"/>
          <w:lang w:val="fr-FR"/>
        </w:rPr>
        <w:t xml:space="preserve">sa </w:t>
      </w:r>
      <w:r w:rsidR="00716105" w:rsidRPr="009D1A93">
        <w:rPr>
          <w:rFonts w:asciiTheme="minorBidi" w:hAnsiTheme="minorBidi" w:cstheme="minorBidi"/>
          <w:lang w:val="fr-FR"/>
        </w:rPr>
        <w:t>conférence inaugurale en avril 2022</w:t>
      </w:r>
      <w:r w:rsidR="001A7A98" w:rsidRPr="009D1A93">
        <w:rPr>
          <w:rFonts w:asciiTheme="minorBidi" w:hAnsiTheme="minorBidi" w:cstheme="minorBidi"/>
          <w:lang w:val="fr-FR"/>
        </w:rPr>
        <w:t>.</w:t>
      </w:r>
    </w:p>
    <w:p w14:paraId="3DC9CAC9" w14:textId="3A8395C4" w:rsidR="00B625DE" w:rsidRPr="009D1A93" w:rsidRDefault="009800D3" w:rsidP="00115DA3">
      <w:pPr>
        <w:pStyle w:val="GAPara"/>
        <w:keepLines/>
        <w:numPr>
          <w:ilvl w:val="0"/>
          <w:numId w:val="6"/>
        </w:numPr>
        <w:ind w:left="567" w:hanging="567"/>
        <w:jc w:val="both"/>
        <w:rPr>
          <w:lang w:val="fr-FR"/>
        </w:rPr>
      </w:pPr>
      <w:r w:rsidRPr="009D1A93">
        <w:rPr>
          <w:rFonts w:asciiTheme="minorBidi" w:hAnsiTheme="minorBidi" w:cstheme="minorBidi"/>
          <w:b/>
          <w:bCs/>
          <w:lang w:val="fr-FR"/>
        </w:rPr>
        <w:t xml:space="preserve">Patrimoine vivant et éducation </w:t>
      </w:r>
      <w:r w:rsidRPr="00F2660D">
        <w:rPr>
          <w:rFonts w:asciiTheme="minorBidi" w:hAnsiTheme="minorBidi" w:cstheme="minorBidi"/>
          <w:lang w:val="fr-FR"/>
        </w:rPr>
        <w:t xml:space="preserve">: </w:t>
      </w:r>
      <w:r w:rsidR="009934A8" w:rsidRPr="009D1A93">
        <w:rPr>
          <w:rFonts w:asciiTheme="minorBidi" w:hAnsiTheme="minorBidi" w:cstheme="minorBidi"/>
          <w:color w:val="000000"/>
          <w:lang w:val="fr-FR"/>
        </w:rPr>
        <w:t xml:space="preserve">Le Secrétariat a poursuivi </w:t>
      </w:r>
      <w:r w:rsidR="006437D6" w:rsidRPr="009D1A93">
        <w:rPr>
          <w:rFonts w:asciiTheme="minorBidi" w:hAnsiTheme="minorBidi" w:cstheme="minorBidi"/>
          <w:color w:val="000000"/>
          <w:lang w:val="fr-FR"/>
        </w:rPr>
        <w:t xml:space="preserve">son travail sur la </w:t>
      </w:r>
      <w:r w:rsidR="00F1247E" w:rsidRPr="009D1A93">
        <w:rPr>
          <w:rFonts w:asciiTheme="minorBidi" w:hAnsiTheme="minorBidi" w:cstheme="minorBidi"/>
          <w:color w:val="000000"/>
          <w:lang w:val="fr-FR"/>
        </w:rPr>
        <w:t xml:space="preserve">deuxième </w:t>
      </w:r>
      <w:r w:rsidR="006437D6" w:rsidRPr="009D1A93">
        <w:rPr>
          <w:rFonts w:asciiTheme="minorBidi" w:hAnsiTheme="minorBidi" w:cstheme="minorBidi"/>
          <w:color w:val="000000"/>
          <w:lang w:val="fr-FR"/>
        </w:rPr>
        <w:t xml:space="preserve">priorité de </w:t>
      </w:r>
      <w:r w:rsidR="00F1247E" w:rsidRPr="009D1A93">
        <w:rPr>
          <w:rFonts w:asciiTheme="minorBidi" w:hAnsiTheme="minorBidi" w:cstheme="minorBidi"/>
          <w:color w:val="000000"/>
          <w:lang w:val="fr-FR"/>
        </w:rPr>
        <w:t xml:space="preserve">financement </w:t>
      </w:r>
      <w:r w:rsidR="006437D6" w:rsidRPr="009D1A93">
        <w:rPr>
          <w:rFonts w:asciiTheme="minorBidi" w:hAnsiTheme="minorBidi" w:cstheme="minorBidi"/>
          <w:color w:val="000000"/>
          <w:lang w:val="fr-FR"/>
        </w:rPr>
        <w:t xml:space="preserve">fixée par le Comité sur la </w:t>
      </w:r>
      <w:r w:rsidR="00800FBF" w:rsidRPr="009D1A93">
        <w:rPr>
          <w:rFonts w:asciiTheme="minorBidi" w:hAnsiTheme="minorBidi" w:cstheme="minorBidi"/>
          <w:color w:val="000000"/>
          <w:lang w:val="fr-FR"/>
        </w:rPr>
        <w:t>« </w:t>
      </w:r>
      <w:r w:rsidR="006437D6" w:rsidRPr="009D1A93">
        <w:rPr>
          <w:rFonts w:asciiTheme="minorBidi" w:hAnsiTheme="minorBidi" w:cstheme="minorBidi"/>
          <w:color w:val="000000"/>
          <w:lang w:val="fr-FR"/>
        </w:rPr>
        <w:t>Sauvegarde du patrimoine culturel immatériel dans l</w:t>
      </w:r>
      <w:r w:rsidR="00CA0916" w:rsidRPr="009D1A93">
        <w:rPr>
          <w:rFonts w:asciiTheme="minorBidi" w:hAnsiTheme="minorBidi" w:cstheme="minorBidi"/>
          <w:color w:val="000000"/>
          <w:lang w:val="fr-FR"/>
        </w:rPr>
        <w:t>’</w:t>
      </w:r>
      <w:r w:rsidR="006437D6" w:rsidRPr="009D1A93">
        <w:rPr>
          <w:rFonts w:asciiTheme="minorBidi" w:hAnsiTheme="minorBidi" w:cstheme="minorBidi"/>
          <w:color w:val="000000"/>
          <w:lang w:val="fr-FR"/>
        </w:rPr>
        <w:t>éducation formelle et non formelle</w:t>
      </w:r>
      <w:r w:rsidR="00800FBF" w:rsidRPr="009D1A93">
        <w:rPr>
          <w:rFonts w:asciiTheme="minorBidi" w:hAnsiTheme="minorBidi" w:cstheme="minorBidi"/>
          <w:color w:val="000000"/>
          <w:lang w:val="fr-FR"/>
        </w:rPr>
        <w:t xml:space="preserve"> » </w:t>
      </w:r>
      <w:r w:rsidR="006437D6" w:rsidRPr="009D1A93">
        <w:rPr>
          <w:rFonts w:asciiTheme="minorBidi" w:hAnsiTheme="minorBidi" w:cstheme="minorBidi"/>
          <w:bCs/>
          <w:lang w:val="fr-FR"/>
        </w:rPr>
        <w:t>(</w:t>
      </w:r>
      <w:r w:rsidR="00537464">
        <w:rPr>
          <w:rFonts w:asciiTheme="minorBidi" w:hAnsiTheme="minorBidi" w:cstheme="minorBidi"/>
          <w:bCs/>
          <w:lang w:val="fr-FR"/>
        </w:rPr>
        <w:t>d</w:t>
      </w:r>
      <w:r w:rsidR="005B132B" w:rsidRPr="00F5173B">
        <w:rPr>
          <w:lang w:val="fr-FR"/>
        </w:rPr>
        <w:t xml:space="preserve">écision </w:t>
      </w:r>
      <w:hyperlink r:id="rId44" w:history="1">
        <w:r w:rsidR="005B132B" w:rsidRPr="005B132B">
          <w:rPr>
            <w:rStyle w:val="Lienhypertexte"/>
            <w:rFonts w:asciiTheme="minorBidi" w:hAnsiTheme="minorBidi" w:cstheme="minorBidi"/>
            <w:bCs/>
            <w:lang w:val="fr-FR"/>
          </w:rPr>
          <w:t>16.COM 12</w:t>
        </w:r>
      </w:hyperlink>
      <w:r w:rsidR="006437D6" w:rsidRPr="009D1A93">
        <w:rPr>
          <w:rFonts w:asciiTheme="minorBidi" w:hAnsiTheme="minorBidi" w:cstheme="minorBidi"/>
          <w:bCs/>
          <w:lang w:val="fr-FR"/>
        </w:rPr>
        <w:t xml:space="preserve">). </w:t>
      </w:r>
      <w:r w:rsidR="00427694" w:rsidRPr="009D1A93">
        <w:rPr>
          <w:rFonts w:asciiTheme="minorBidi" w:hAnsiTheme="minorBidi" w:cstheme="minorBidi"/>
          <w:bCs/>
          <w:lang w:val="fr-FR"/>
        </w:rPr>
        <w:t>Le partage d</w:t>
      </w:r>
      <w:r w:rsidR="00CA0916" w:rsidRPr="009D1A93">
        <w:rPr>
          <w:rFonts w:asciiTheme="minorBidi" w:hAnsiTheme="minorBidi" w:cstheme="minorBidi"/>
          <w:bCs/>
          <w:lang w:val="fr-FR"/>
        </w:rPr>
        <w:t>’</w:t>
      </w:r>
      <w:r w:rsidR="00427694" w:rsidRPr="009D1A93">
        <w:rPr>
          <w:rFonts w:asciiTheme="minorBidi" w:hAnsiTheme="minorBidi" w:cstheme="minorBidi"/>
          <w:bCs/>
          <w:lang w:val="fr-FR"/>
        </w:rPr>
        <w:t>expérience et l</w:t>
      </w:r>
      <w:r w:rsidR="00CA0916" w:rsidRPr="009D1A93">
        <w:rPr>
          <w:rFonts w:asciiTheme="minorBidi" w:hAnsiTheme="minorBidi" w:cstheme="minorBidi"/>
          <w:bCs/>
          <w:lang w:val="fr-FR"/>
        </w:rPr>
        <w:t>’</w:t>
      </w:r>
      <w:r w:rsidR="00427694" w:rsidRPr="009D1A93">
        <w:rPr>
          <w:rFonts w:asciiTheme="minorBidi" w:hAnsiTheme="minorBidi" w:cstheme="minorBidi"/>
          <w:bCs/>
          <w:lang w:val="fr-FR"/>
        </w:rPr>
        <w:t>analyse du programme avec le Secteur de l</w:t>
      </w:r>
      <w:r w:rsidR="00CA0916" w:rsidRPr="009D1A93">
        <w:rPr>
          <w:rFonts w:asciiTheme="minorBidi" w:hAnsiTheme="minorBidi" w:cstheme="minorBidi"/>
          <w:bCs/>
          <w:lang w:val="fr-FR"/>
        </w:rPr>
        <w:t>’</w:t>
      </w:r>
      <w:r w:rsidR="00427694" w:rsidRPr="009D1A93">
        <w:rPr>
          <w:rFonts w:asciiTheme="minorBidi" w:hAnsiTheme="minorBidi" w:cstheme="minorBidi"/>
          <w:bCs/>
          <w:lang w:val="fr-FR"/>
        </w:rPr>
        <w:t xml:space="preserve">éducation ont été utiles pour affiner la portée du </w:t>
      </w:r>
      <w:r w:rsidR="00427694" w:rsidRPr="009D1A93">
        <w:rPr>
          <w:rFonts w:asciiTheme="minorBidi" w:hAnsiTheme="minorBidi" w:cstheme="minorBidi"/>
          <w:lang w:val="fr-FR"/>
        </w:rPr>
        <w:t xml:space="preserve">programme </w:t>
      </w:r>
      <w:r w:rsidR="00427694" w:rsidRPr="009D1A93">
        <w:rPr>
          <w:rFonts w:asciiTheme="minorBidi" w:hAnsiTheme="minorBidi" w:cstheme="minorBidi"/>
          <w:bCs/>
          <w:lang w:val="fr-FR"/>
        </w:rPr>
        <w:t>intersectoriel et élaborer un cadre de programme conjoint (recommandation 4 de l</w:t>
      </w:r>
      <w:r w:rsidR="00CA0916" w:rsidRPr="009D1A93">
        <w:rPr>
          <w:rFonts w:asciiTheme="minorBidi" w:hAnsiTheme="minorBidi" w:cstheme="minorBidi"/>
          <w:bCs/>
          <w:lang w:val="fr-FR"/>
        </w:rPr>
        <w:t>’</w:t>
      </w:r>
      <w:r w:rsidR="00427694" w:rsidRPr="009D1A93">
        <w:rPr>
          <w:rFonts w:asciiTheme="minorBidi" w:hAnsiTheme="minorBidi" w:cstheme="minorBidi"/>
          <w:bCs/>
          <w:lang w:val="fr-FR"/>
        </w:rPr>
        <w:t>évaluation d</w:t>
      </w:r>
      <w:r w:rsidR="00CA0916" w:rsidRPr="009D1A93">
        <w:rPr>
          <w:rFonts w:asciiTheme="minorBidi" w:hAnsiTheme="minorBidi" w:cstheme="minorBidi"/>
          <w:bCs/>
          <w:lang w:val="fr-FR"/>
        </w:rPr>
        <w:t>’</w:t>
      </w:r>
      <w:r w:rsidR="00427694" w:rsidRPr="009D1A93">
        <w:rPr>
          <w:rFonts w:asciiTheme="minorBidi" w:hAnsiTheme="minorBidi" w:cstheme="minorBidi"/>
          <w:bCs/>
          <w:lang w:val="fr-FR"/>
        </w:rPr>
        <w:t xml:space="preserve">IOS). </w:t>
      </w:r>
      <w:r w:rsidR="00674E5A" w:rsidRPr="009D1A93">
        <w:rPr>
          <w:rFonts w:asciiTheme="minorBidi" w:hAnsiTheme="minorBidi" w:cstheme="minorBidi"/>
          <w:bCs/>
          <w:lang w:val="fr-FR"/>
        </w:rPr>
        <w:t xml:space="preserve">Une </w:t>
      </w:r>
      <w:r w:rsidR="00427694" w:rsidRPr="009D1A93">
        <w:rPr>
          <w:rFonts w:asciiTheme="minorBidi" w:hAnsiTheme="minorBidi" w:cstheme="minorBidi"/>
          <w:bCs/>
          <w:lang w:val="fr-FR"/>
        </w:rPr>
        <w:t>théorie du changement</w:t>
      </w:r>
      <w:r w:rsidR="009316FF" w:rsidRPr="009D1A93">
        <w:rPr>
          <w:rFonts w:asciiTheme="minorBidi" w:hAnsiTheme="minorBidi" w:cstheme="minorBidi"/>
          <w:bCs/>
          <w:lang w:val="fr-FR"/>
        </w:rPr>
        <w:t xml:space="preserve"> commune</w:t>
      </w:r>
      <w:r w:rsidR="00427694" w:rsidRPr="009D1A93">
        <w:rPr>
          <w:rFonts w:asciiTheme="minorBidi" w:hAnsiTheme="minorBidi" w:cstheme="minorBidi"/>
          <w:bCs/>
          <w:lang w:val="fr-FR"/>
        </w:rPr>
        <w:t xml:space="preserve"> a été élaborée avec l</w:t>
      </w:r>
      <w:r w:rsidR="00CA0916" w:rsidRPr="009D1A93">
        <w:rPr>
          <w:rFonts w:asciiTheme="minorBidi" w:hAnsiTheme="minorBidi" w:cstheme="minorBidi"/>
          <w:bCs/>
          <w:lang w:val="fr-FR"/>
        </w:rPr>
        <w:t>’</w:t>
      </w:r>
      <w:r w:rsidR="00427694" w:rsidRPr="009D1A93">
        <w:rPr>
          <w:rFonts w:asciiTheme="minorBidi" w:hAnsiTheme="minorBidi" w:cstheme="minorBidi"/>
          <w:bCs/>
          <w:lang w:val="fr-FR"/>
        </w:rPr>
        <w:t>équipe Éducation du Bureau de Harare pour un projet sur le patrimoine vivant et l</w:t>
      </w:r>
      <w:r w:rsidR="00CA0916" w:rsidRPr="009D1A93">
        <w:rPr>
          <w:rFonts w:asciiTheme="minorBidi" w:hAnsiTheme="minorBidi" w:cstheme="minorBidi"/>
          <w:bCs/>
          <w:lang w:val="fr-FR"/>
        </w:rPr>
        <w:t>’</w:t>
      </w:r>
      <w:r w:rsidR="00427694" w:rsidRPr="009D1A93">
        <w:rPr>
          <w:rFonts w:asciiTheme="minorBidi" w:hAnsiTheme="minorBidi" w:cstheme="minorBidi"/>
          <w:bCs/>
          <w:lang w:val="fr-FR"/>
        </w:rPr>
        <w:t xml:space="preserve">éducation au Zimbabwe et en Namibie, tandis que le rôle important du patrimoine vivant pour les processus éducatifs, la transformation et la compréhension mutuelle a été discuté et reconnu dans le projet le plus récent de la </w:t>
      </w:r>
      <w:hyperlink r:id="rId45" w:history="1">
        <w:r w:rsidR="00427694" w:rsidRPr="009D1A93">
          <w:rPr>
            <w:rStyle w:val="Lienhypertexte"/>
            <w:rFonts w:asciiTheme="minorBidi" w:hAnsiTheme="minorBidi" w:cstheme="minorBidi"/>
            <w:lang w:val="fr-FR"/>
          </w:rPr>
          <w:t>Recommandation révisée sur l</w:t>
        </w:r>
        <w:r w:rsidR="00CA0916" w:rsidRPr="009D1A93">
          <w:rPr>
            <w:rStyle w:val="Lienhypertexte"/>
            <w:rFonts w:asciiTheme="minorBidi" w:hAnsiTheme="minorBidi" w:cstheme="minorBidi"/>
            <w:lang w:val="fr-FR"/>
          </w:rPr>
          <w:t>’</w:t>
        </w:r>
        <w:r w:rsidR="00427694" w:rsidRPr="009D1A93">
          <w:rPr>
            <w:rStyle w:val="Lienhypertexte"/>
            <w:rFonts w:asciiTheme="minorBidi" w:hAnsiTheme="minorBidi" w:cstheme="minorBidi"/>
            <w:lang w:val="fr-FR"/>
          </w:rPr>
          <w:t>éducation pour la compréhension, la coopération et la paix internationales et l</w:t>
        </w:r>
        <w:r w:rsidR="00CA0916" w:rsidRPr="009D1A93">
          <w:rPr>
            <w:rStyle w:val="Lienhypertexte"/>
            <w:rFonts w:asciiTheme="minorBidi" w:hAnsiTheme="minorBidi" w:cstheme="minorBidi"/>
            <w:lang w:val="fr-FR"/>
          </w:rPr>
          <w:t>’</w:t>
        </w:r>
        <w:r w:rsidR="00427694" w:rsidRPr="009D1A93">
          <w:rPr>
            <w:rStyle w:val="Lienhypertexte"/>
            <w:rFonts w:asciiTheme="minorBidi" w:hAnsiTheme="minorBidi" w:cstheme="minorBidi"/>
            <w:lang w:val="fr-FR"/>
          </w:rPr>
          <w:t>éducation relative aux droits de l</w:t>
        </w:r>
        <w:r w:rsidR="00CA0916" w:rsidRPr="009D1A93">
          <w:rPr>
            <w:rStyle w:val="Lienhypertexte"/>
            <w:rFonts w:asciiTheme="minorBidi" w:hAnsiTheme="minorBidi" w:cstheme="minorBidi"/>
            <w:lang w:val="fr-FR"/>
          </w:rPr>
          <w:t>’</w:t>
        </w:r>
        <w:r w:rsidR="00427694" w:rsidRPr="009D1A93">
          <w:rPr>
            <w:rStyle w:val="Lienhypertexte"/>
            <w:rFonts w:asciiTheme="minorBidi" w:hAnsiTheme="minorBidi" w:cstheme="minorBidi"/>
            <w:lang w:val="fr-FR"/>
          </w:rPr>
          <w:t>homme et aux libertés fondamentales (</w:t>
        </w:r>
        <w:r w:rsidR="00800FBF" w:rsidRPr="009D1A93">
          <w:rPr>
            <w:rStyle w:val="Lienhypertexte"/>
            <w:rFonts w:asciiTheme="minorBidi" w:hAnsiTheme="minorBidi" w:cstheme="minorBidi"/>
            <w:lang w:val="fr-FR"/>
          </w:rPr>
          <w:t>« </w:t>
        </w:r>
        <w:r w:rsidR="00427694" w:rsidRPr="009D1A93">
          <w:rPr>
            <w:rStyle w:val="Lienhypertexte"/>
            <w:rFonts w:asciiTheme="minorBidi" w:hAnsiTheme="minorBidi" w:cstheme="minorBidi"/>
            <w:lang w:val="fr-FR"/>
          </w:rPr>
          <w:t>Recommandation de 1974</w:t>
        </w:r>
        <w:r w:rsidR="00800FBF" w:rsidRPr="009D1A93">
          <w:rPr>
            <w:rStyle w:val="Lienhypertexte"/>
            <w:rFonts w:asciiTheme="minorBidi" w:hAnsiTheme="minorBidi" w:cstheme="minorBidi"/>
            <w:lang w:val="fr-FR"/>
          </w:rPr>
          <w:t> »</w:t>
        </w:r>
        <w:r w:rsidR="00427694" w:rsidRPr="009D1A93">
          <w:rPr>
            <w:rStyle w:val="Lienhypertexte"/>
            <w:rFonts w:asciiTheme="minorBidi" w:hAnsiTheme="minorBidi" w:cstheme="minorBidi"/>
            <w:lang w:val="fr-FR"/>
          </w:rPr>
          <w:t>)</w:t>
        </w:r>
      </w:hyperlink>
      <w:r w:rsidR="000C2714" w:rsidRPr="00F2660D">
        <w:rPr>
          <w:rStyle w:val="Lienhypertexte"/>
          <w:rFonts w:asciiTheme="minorBidi" w:hAnsiTheme="minorBidi" w:cstheme="minorBidi"/>
          <w:u w:val="none"/>
          <w:lang w:val="fr-FR"/>
        </w:rPr>
        <w:t xml:space="preserve"> </w:t>
      </w:r>
      <w:r w:rsidR="0050512D" w:rsidRPr="00F5173B">
        <w:rPr>
          <w:bCs/>
          <w:lang w:val="fr-FR"/>
        </w:rPr>
        <w:t>; ce sujet devra</w:t>
      </w:r>
      <w:r w:rsidR="00427694" w:rsidRPr="009D1A93">
        <w:rPr>
          <w:rFonts w:asciiTheme="minorBidi" w:hAnsiTheme="minorBidi" w:cstheme="minorBidi"/>
          <w:bCs/>
          <w:lang w:val="fr-FR"/>
        </w:rPr>
        <w:t xml:space="preserve"> être discuté lors d</w:t>
      </w:r>
      <w:r w:rsidR="00CA0916" w:rsidRPr="009D1A93">
        <w:rPr>
          <w:rFonts w:asciiTheme="minorBidi" w:hAnsiTheme="minorBidi" w:cstheme="minorBidi"/>
          <w:bCs/>
          <w:lang w:val="fr-FR"/>
        </w:rPr>
        <w:t>’</w:t>
      </w:r>
      <w:r w:rsidR="00427694" w:rsidRPr="009D1A93">
        <w:rPr>
          <w:rFonts w:asciiTheme="minorBidi" w:hAnsiTheme="minorBidi" w:cstheme="minorBidi"/>
          <w:bCs/>
          <w:lang w:val="fr-FR"/>
        </w:rPr>
        <w:t>une réunion d</w:t>
      </w:r>
      <w:r w:rsidR="001C2FC1" w:rsidRPr="009D1A93">
        <w:rPr>
          <w:rFonts w:asciiTheme="minorBidi" w:hAnsiTheme="minorBidi" w:cstheme="minorBidi"/>
          <w:bCs/>
          <w:lang w:val="fr-FR"/>
        </w:rPr>
        <w:t>’</w:t>
      </w:r>
      <w:r w:rsidR="00427694" w:rsidRPr="009D1A93">
        <w:rPr>
          <w:rFonts w:asciiTheme="minorBidi" w:hAnsiTheme="minorBidi" w:cstheme="minorBidi"/>
          <w:bCs/>
          <w:lang w:val="fr-FR"/>
        </w:rPr>
        <w:t>u</w:t>
      </w:r>
      <w:r w:rsidR="001C2FC1" w:rsidRPr="009D1A93">
        <w:rPr>
          <w:rFonts w:asciiTheme="minorBidi" w:hAnsiTheme="minorBidi" w:cstheme="minorBidi"/>
          <w:bCs/>
          <w:lang w:val="fr-FR"/>
        </w:rPr>
        <w:t>n</w:t>
      </w:r>
      <w:r w:rsidR="00427694" w:rsidRPr="009D1A93">
        <w:rPr>
          <w:rFonts w:asciiTheme="minorBidi" w:hAnsiTheme="minorBidi" w:cstheme="minorBidi"/>
          <w:bCs/>
          <w:lang w:val="fr-FR"/>
        </w:rPr>
        <w:t xml:space="preserve"> Comité spécial intergouvernemental</w:t>
      </w:r>
      <w:r w:rsidR="002413A7" w:rsidRPr="009D1A93">
        <w:rPr>
          <w:rFonts w:asciiTheme="minorBidi" w:hAnsiTheme="minorBidi" w:cstheme="minorBidi"/>
          <w:bCs/>
          <w:lang w:val="fr-FR"/>
        </w:rPr>
        <w:t xml:space="preserve">, en </w:t>
      </w:r>
      <w:r w:rsidR="00427694" w:rsidRPr="009D1A93">
        <w:rPr>
          <w:rFonts w:asciiTheme="minorBidi" w:hAnsiTheme="minorBidi" w:cstheme="minorBidi"/>
          <w:bCs/>
          <w:lang w:val="fr-FR"/>
        </w:rPr>
        <w:t xml:space="preserve">vue </w:t>
      </w:r>
      <w:r w:rsidR="00EA7CEC" w:rsidRPr="009D1A93">
        <w:rPr>
          <w:rFonts w:asciiTheme="minorBidi" w:hAnsiTheme="minorBidi" w:cstheme="minorBidi"/>
          <w:bCs/>
          <w:lang w:val="fr-FR"/>
        </w:rPr>
        <w:t xml:space="preserve">de sa </w:t>
      </w:r>
      <w:r w:rsidR="00427694" w:rsidRPr="009D1A93">
        <w:rPr>
          <w:rFonts w:asciiTheme="minorBidi" w:hAnsiTheme="minorBidi" w:cstheme="minorBidi"/>
          <w:bCs/>
          <w:lang w:val="fr-FR"/>
        </w:rPr>
        <w:t>soumis</w:t>
      </w:r>
      <w:r w:rsidR="00EA7CEC" w:rsidRPr="009D1A93">
        <w:rPr>
          <w:rFonts w:asciiTheme="minorBidi" w:hAnsiTheme="minorBidi" w:cstheme="minorBidi"/>
          <w:bCs/>
          <w:lang w:val="fr-FR"/>
        </w:rPr>
        <w:t>sion</w:t>
      </w:r>
      <w:r w:rsidR="00427694" w:rsidRPr="009D1A93">
        <w:rPr>
          <w:rFonts w:asciiTheme="minorBidi" w:hAnsiTheme="minorBidi" w:cstheme="minorBidi"/>
          <w:bCs/>
          <w:lang w:val="fr-FR"/>
        </w:rPr>
        <w:t xml:space="preserve"> à la 42e session de la Conférence générale de l</w:t>
      </w:r>
      <w:r w:rsidR="00CA0916" w:rsidRPr="009D1A93">
        <w:rPr>
          <w:rFonts w:asciiTheme="minorBidi" w:hAnsiTheme="minorBidi" w:cstheme="minorBidi"/>
          <w:bCs/>
          <w:lang w:val="fr-FR"/>
        </w:rPr>
        <w:t>’</w:t>
      </w:r>
      <w:r w:rsidR="002413A7" w:rsidRPr="009D1A93">
        <w:rPr>
          <w:rFonts w:asciiTheme="minorBidi" w:hAnsiTheme="minorBidi" w:cstheme="minorBidi"/>
          <w:bCs/>
          <w:lang w:val="fr-FR"/>
        </w:rPr>
        <w:t xml:space="preserve">UNESCO </w:t>
      </w:r>
      <w:r w:rsidR="00427694" w:rsidRPr="009D1A93">
        <w:rPr>
          <w:rFonts w:asciiTheme="minorBidi" w:hAnsiTheme="minorBidi" w:cstheme="minorBidi"/>
          <w:bCs/>
          <w:lang w:val="fr-FR"/>
        </w:rPr>
        <w:t>en novembre 2023. Cette recommandation constituera un instrument normatif essentiel dans le domaine de l</w:t>
      </w:r>
      <w:r w:rsidR="00CA0916" w:rsidRPr="009D1A93">
        <w:rPr>
          <w:rFonts w:asciiTheme="minorBidi" w:hAnsiTheme="minorBidi" w:cstheme="minorBidi"/>
          <w:bCs/>
          <w:lang w:val="fr-FR"/>
        </w:rPr>
        <w:t>’</w:t>
      </w:r>
      <w:r w:rsidR="00427694" w:rsidRPr="009D1A93">
        <w:rPr>
          <w:rFonts w:asciiTheme="minorBidi" w:hAnsiTheme="minorBidi" w:cstheme="minorBidi"/>
          <w:bCs/>
          <w:lang w:val="fr-FR"/>
        </w:rPr>
        <w:t>éducation et pour le suivi de la réalisation de l</w:t>
      </w:r>
      <w:r w:rsidR="00CA0916" w:rsidRPr="009D1A93">
        <w:rPr>
          <w:rFonts w:asciiTheme="minorBidi" w:hAnsiTheme="minorBidi" w:cstheme="minorBidi"/>
          <w:bCs/>
          <w:lang w:val="fr-FR"/>
        </w:rPr>
        <w:t>’</w:t>
      </w:r>
      <w:r w:rsidR="00B4518C" w:rsidRPr="009D1A93">
        <w:rPr>
          <w:rFonts w:asciiTheme="minorBidi" w:hAnsiTheme="minorBidi" w:cstheme="minorBidi"/>
          <w:bCs/>
          <w:lang w:val="fr-FR"/>
        </w:rPr>
        <w:t>o</w:t>
      </w:r>
      <w:r w:rsidR="0050512D" w:rsidRPr="009D1A93">
        <w:rPr>
          <w:rFonts w:asciiTheme="minorBidi" w:hAnsiTheme="minorBidi" w:cstheme="minorBidi"/>
          <w:bCs/>
          <w:lang w:val="fr-FR"/>
        </w:rPr>
        <w:t xml:space="preserve">bjectif du développement durable </w:t>
      </w:r>
      <w:r w:rsidR="00427694" w:rsidRPr="009D1A93">
        <w:rPr>
          <w:rFonts w:asciiTheme="minorBidi" w:hAnsiTheme="minorBidi" w:cstheme="minorBidi"/>
          <w:bCs/>
          <w:lang w:val="fr-FR"/>
        </w:rPr>
        <w:t>4, d</w:t>
      </w:r>
      <w:r w:rsidR="00CA0916" w:rsidRPr="009D1A93">
        <w:rPr>
          <w:rFonts w:asciiTheme="minorBidi" w:hAnsiTheme="minorBidi" w:cstheme="minorBidi"/>
          <w:bCs/>
          <w:lang w:val="fr-FR"/>
        </w:rPr>
        <w:t>’</w:t>
      </w:r>
      <w:r w:rsidR="00427694" w:rsidRPr="009D1A93">
        <w:rPr>
          <w:rFonts w:asciiTheme="minorBidi" w:hAnsiTheme="minorBidi" w:cstheme="minorBidi"/>
          <w:bCs/>
          <w:lang w:val="fr-FR"/>
        </w:rPr>
        <w:t>où l</w:t>
      </w:r>
      <w:r w:rsidR="00CA0916" w:rsidRPr="009D1A93">
        <w:rPr>
          <w:rFonts w:asciiTheme="minorBidi" w:hAnsiTheme="minorBidi" w:cstheme="minorBidi"/>
          <w:bCs/>
          <w:lang w:val="fr-FR"/>
        </w:rPr>
        <w:t>’</w:t>
      </w:r>
      <w:r w:rsidR="00427694" w:rsidRPr="009D1A93">
        <w:rPr>
          <w:rFonts w:asciiTheme="minorBidi" w:hAnsiTheme="minorBidi" w:cstheme="minorBidi"/>
          <w:bCs/>
          <w:lang w:val="fr-FR"/>
        </w:rPr>
        <w:t xml:space="preserve">importance </w:t>
      </w:r>
      <w:r w:rsidR="003E1EFF" w:rsidRPr="009D1A93">
        <w:rPr>
          <w:rFonts w:asciiTheme="minorBidi" w:hAnsiTheme="minorBidi" w:cstheme="minorBidi"/>
          <w:bCs/>
          <w:lang w:val="fr-FR"/>
        </w:rPr>
        <w:t xml:space="preserve">de </w:t>
      </w:r>
      <w:r w:rsidR="00427694" w:rsidRPr="009D1A93">
        <w:rPr>
          <w:rFonts w:asciiTheme="minorBidi" w:hAnsiTheme="minorBidi" w:cstheme="minorBidi"/>
          <w:bCs/>
          <w:lang w:val="fr-FR"/>
        </w:rPr>
        <w:t>faire reconnaître le rôle du patrimoine vivant pour l</w:t>
      </w:r>
      <w:r w:rsidR="00CA0916" w:rsidRPr="009D1A93">
        <w:rPr>
          <w:rFonts w:asciiTheme="minorBidi" w:hAnsiTheme="minorBidi" w:cstheme="minorBidi"/>
          <w:bCs/>
          <w:lang w:val="fr-FR"/>
        </w:rPr>
        <w:t>’</w:t>
      </w:r>
      <w:r w:rsidR="00427694" w:rsidRPr="009D1A93">
        <w:rPr>
          <w:rFonts w:asciiTheme="minorBidi" w:hAnsiTheme="minorBidi" w:cstheme="minorBidi"/>
          <w:bCs/>
          <w:lang w:val="fr-FR"/>
        </w:rPr>
        <w:t>éducation.</w:t>
      </w:r>
    </w:p>
    <w:p w14:paraId="017568CD" w14:textId="0B6D005A" w:rsidR="00B625DE" w:rsidRPr="009D1A93" w:rsidRDefault="009800D3">
      <w:pPr>
        <w:pStyle w:val="GAPara"/>
        <w:numPr>
          <w:ilvl w:val="0"/>
          <w:numId w:val="6"/>
        </w:numPr>
        <w:ind w:left="567" w:hanging="567"/>
        <w:jc w:val="both"/>
        <w:rPr>
          <w:lang w:val="fr-FR"/>
        </w:rPr>
      </w:pPr>
      <w:r w:rsidRPr="009D1A93">
        <w:rPr>
          <w:rFonts w:asciiTheme="minorBidi" w:hAnsiTheme="minorBidi" w:cstheme="minorBidi"/>
          <w:bCs/>
          <w:lang w:val="fr-FR"/>
        </w:rPr>
        <w:lastRenderedPageBreak/>
        <w:t xml:space="preserve">Le </w:t>
      </w:r>
      <w:hyperlink r:id="rId46" w:history="1">
        <w:r w:rsidR="00D50094" w:rsidRPr="009D1A93">
          <w:rPr>
            <w:rStyle w:val="Lienhypertexte"/>
            <w:rFonts w:asciiTheme="minorBidi" w:hAnsiTheme="minorBidi" w:cstheme="minorBidi"/>
            <w:bCs/>
            <w:lang w:val="fr-FR"/>
          </w:rPr>
          <w:t>C</w:t>
        </w:r>
        <w:r w:rsidRPr="009D1A93">
          <w:rPr>
            <w:rStyle w:val="Lienhypertexte"/>
            <w:rFonts w:asciiTheme="minorBidi" w:hAnsiTheme="minorBidi" w:cstheme="minorBidi"/>
            <w:bCs/>
            <w:lang w:val="fr-FR"/>
          </w:rPr>
          <w:t>entre d</w:t>
        </w:r>
        <w:r w:rsidR="00CA0916" w:rsidRPr="009D1A93">
          <w:rPr>
            <w:rStyle w:val="Lienhypertexte"/>
            <w:rFonts w:asciiTheme="minorBidi" w:hAnsiTheme="minorBidi" w:cstheme="minorBidi"/>
            <w:bCs/>
            <w:lang w:val="fr-FR"/>
          </w:rPr>
          <w:t>’</w:t>
        </w:r>
        <w:r w:rsidRPr="009D1A93">
          <w:rPr>
            <w:rStyle w:val="Lienhypertexte"/>
            <w:rFonts w:asciiTheme="minorBidi" w:hAnsiTheme="minorBidi" w:cstheme="minorBidi"/>
            <w:bCs/>
            <w:lang w:val="fr-FR"/>
          </w:rPr>
          <w:t>échange d</w:t>
        </w:r>
        <w:r w:rsidR="00CA0916" w:rsidRPr="009D1A93">
          <w:rPr>
            <w:rStyle w:val="Lienhypertexte"/>
            <w:rFonts w:asciiTheme="minorBidi" w:hAnsiTheme="minorBidi" w:cstheme="minorBidi"/>
            <w:bCs/>
            <w:lang w:val="fr-FR"/>
          </w:rPr>
          <w:t>’</w:t>
        </w:r>
        <w:r w:rsidRPr="009D1A93">
          <w:rPr>
            <w:rStyle w:val="Lienhypertexte"/>
            <w:rFonts w:asciiTheme="minorBidi" w:hAnsiTheme="minorBidi" w:cstheme="minorBidi"/>
            <w:bCs/>
            <w:lang w:val="fr-FR"/>
          </w:rPr>
          <w:t>informations sur le patrimoine vivant et l</w:t>
        </w:r>
        <w:r w:rsidR="00CA0916" w:rsidRPr="009D1A93">
          <w:rPr>
            <w:rStyle w:val="Lienhypertexte"/>
            <w:rFonts w:asciiTheme="minorBidi" w:hAnsiTheme="minorBidi" w:cstheme="minorBidi"/>
            <w:bCs/>
            <w:lang w:val="fr-FR"/>
          </w:rPr>
          <w:t>’</w:t>
        </w:r>
        <w:r w:rsidRPr="009D1A93">
          <w:rPr>
            <w:rStyle w:val="Lienhypertexte"/>
            <w:rFonts w:asciiTheme="minorBidi" w:hAnsiTheme="minorBidi" w:cstheme="minorBidi"/>
            <w:bCs/>
            <w:lang w:val="fr-FR"/>
          </w:rPr>
          <w:t>éducation</w:t>
        </w:r>
      </w:hyperlink>
      <w:r w:rsidRPr="009D1A93">
        <w:rPr>
          <w:rFonts w:asciiTheme="minorBidi" w:hAnsiTheme="minorBidi" w:cstheme="minorBidi"/>
          <w:bCs/>
          <w:lang w:val="fr-FR"/>
        </w:rPr>
        <w:t>, qui contient des projets et des ressources sur le sujet, est désormais disponible en trois langues (anglais, français et espagnol)</w:t>
      </w:r>
      <w:r w:rsidR="00D50094" w:rsidRPr="009D1A93">
        <w:rPr>
          <w:rFonts w:asciiTheme="minorBidi" w:hAnsiTheme="minorBidi" w:cstheme="minorBidi"/>
          <w:bCs/>
          <w:lang w:val="fr-FR"/>
        </w:rPr>
        <w:t>.</w:t>
      </w:r>
      <w:r w:rsidRPr="009D1A93">
        <w:rPr>
          <w:rFonts w:asciiTheme="minorBidi" w:hAnsiTheme="minorBidi" w:cstheme="minorBidi"/>
          <w:bCs/>
          <w:lang w:val="fr-FR"/>
        </w:rPr>
        <w:t xml:space="preserve"> </w:t>
      </w:r>
      <w:r w:rsidR="00D50094" w:rsidRPr="009D1A93">
        <w:rPr>
          <w:rFonts w:asciiTheme="minorBidi" w:hAnsiTheme="minorBidi" w:cstheme="minorBidi"/>
          <w:bCs/>
          <w:lang w:val="fr-FR"/>
        </w:rPr>
        <w:t>D</w:t>
      </w:r>
      <w:r w:rsidRPr="009D1A93">
        <w:rPr>
          <w:rFonts w:asciiTheme="minorBidi" w:hAnsiTheme="minorBidi" w:cstheme="minorBidi"/>
          <w:bCs/>
          <w:lang w:val="fr-FR"/>
        </w:rPr>
        <w:t xml:space="preserve">es </w:t>
      </w:r>
      <w:r w:rsidR="00626179" w:rsidRPr="009D1A93">
        <w:rPr>
          <w:rFonts w:asciiTheme="minorBidi" w:hAnsiTheme="minorBidi" w:cstheme="minorBidi"/>
          <w:lang w:val="fr-FR"/>
        </w:rPr>
        <w:t xml:space="preserve">projets </w:t>
      </w:r>
      <w:r w:rsidR="00AE237B" w:rsidRPr="009D1A93">
        <w:rPr>
          <w:rFonts w:asciiTheme="minorBidi" w:hAnsiTheme="minorBidi" w:cstheme="minorBidi"/>
          <w:lang w:val="fr-FR"/>
        </w:rPr>
        <w:t xml:space="preserve">générant des connaissances, des méthodes et des outils pour soutenir la transmission du patrimoine culturel immatériel </w:t>
      </w:r>
      <w:r w:rsidR="00656725" w:rsidRPr="009D1A93">
        <w:rPr>
          <w:rFonts w:asciiTheme="minorBidi" w:hAnsiTheme="minorBidi" w:cstheme="minorBidi"/>
          <w:lang w:val="fr-FR"/>
        </w:rPr>
        <w:t xml:space="preserve">dans </w:t>
      </w:r>
      <w:r w:rsidR="00AE237B" w:rsidRPr="009D1A93">
        <w:rPr>
          <w:rFonts w:asciiTheme="minorBidi" w:hAnsiTheme="minorBidi" w:cstheme="minorBidi"/>
          <w:lang w:val="fr-FR"/>
        </w:rPr>
        <w:t>l</w:t>
      </w:r>
      <w:r w:rsidR="00CA0916" w:rsidRPr="009D1A93">
        <w:rPr>
          <w:rFonts w:asciiTheme="minorBidi" w:hAnsiTheme="minorBidi" w:cstheme="minorBidi"/>
          <w:lang w:val="fr-FR"/>
        </w:rPr>
        <w:t>’</w:t>
      </w:r>
      <w:r w:rsidR="00AE237B" w:rsidRPr="009D1A93">
        <w:rPr>
          <w:rFonts w:asciiTheme="minorBidi" w:hAnsiTheme="minorBidi" w:cstheme="minorBidi"/>
          <w:lang w:val="fr-FR"/>
        </w:rPr>
        <w:t xml:space="preserve">éducation formelle et non formelle </w:t>
      </w:r>
      <w:r w:rsidR="006437D6" w:rsidRPr="009D1A93">
        <w:rPr>
          <w:rFonts w:asciiTheme="minorBidi" w:hAnsiTheme="minorBidi" w:cstheme="minorBidi"/>
          <w:lang w:val="fr-FR"/>
        </w:rPr>
        <w:t>sont en cours de réalisation en Amérique latine</w:t>
      </w:r>
      <w:r w:rsidR="00656725" w:rsidRPr="009D1A93">
        <w:rPr>
          <w:rFonts w:asciiTheme="minorBidi" w:hAnsiTheme="minorBidi" w:cstheme="minorBidi"/>
          <w:lang w:val="fr-FR"/>
        </w:rPr>
        <w:t xml:space="preserve"> et les Caraïbes</w:t>
      </w:r>
      <w:r w:rsidR="006437D6" w:rsidRPr="009D1A93">
        <w:rPr>
          <w:rFonts w:asciiTheme="minorBidi" w:hAnsiTheme="minorBidi" w:cstheme="minorBidi"/>
          <w:lang w:val="fr-FR"/>
        </w:rPr>
        <w:t xml:space="preserve">, en Europe, en </w:t>
      </w:r>
      <w:r w:rsidR="00D31E1A" w:rsidRPr="009D1A93">
        <w:rPr>
          <w:rFonts w:asciiTheme="minorBidi" w:hAnsiTheme="minorBidi" w:cstheme="minorBidi"/>
          <w:lang w:val="fr-FR"/>
        </w:rPr>
        <w:t xml:space="preserve">Afrique </w:t>
      </w:r>
      <w:r w:rsidR="006437D6" w:rsidRPr="009D1A93">
        <w:rPr>
          <w:rFonts w:asciiTheme="minorBidi" w:hAnsiTheme="minorBidi" w:cstheme="minorBidi"/>
          <w:lang w:val="fr-FR"/>
        </w:rPr>
        <w:t>et dans la région Asie-Pacifique</w:t>
      </w:r>
      <w:r w:rsidR="00AE237B" w:rsidRPr="009D1A93">
        <w:rPr>
          <w:rFonts w:asciiTheme="minorBidi" w:hAnsiTheme="minorBidi" w:cstheme="minorBidi"/>
          <w:lang w:val="fr-FR"/>
        </w:rPr>
        <w:t xml:space="preserve">. </w:t>
      </w:r>
      <w:r w:rsidRPr="009D1A93">
        <w:rPr>
          <w:rFonts w:asciiTheme="minorBidi" w:hAnsiTheme="minorBidi" w:cstheme="minorBidi"/>
          <w:lang w:val="fr-FR"/>
        </w:rPr>
        <w:t xml:space="preserve">En outre, </w:t>
      </w:r>
      <w:r w:rsidR="006F321F" w:rsidRPr="009D1A93">
        <w:rPr>
          <w:lang w:val="fr-FR"/>
        </w:rPr>
        <w:t xml:space="preserve">le nombre croissant de pays qui collaborent avec les bureaux hors </w:t>
      </w:r>
      <w:r w:rsidR="00A7743D" w:rsidRPr="009D1A93">
        <w:rPr>
          <w:lang w:val="fr-FR"/>
        </w:rPr>
        <w:t>s</w:t>
      </w:r>
      <w:r w:rsidR="006F321F" w:rsidRPr="009D1A93">
        <w:rPr>
          <w:lang w:val="fr-FR"/>
        </w:rPr>
        <w:t>iège pour mettre en œuvre le programme intersectoriel sur le patrimoine vivant et l</w:t>
      </w:r>
      <w:r w:rsidR="00CA0916" w:rsidRPr="009D1A93">
        <w:rPr>
          <w:lang w:val="fr-FR"/>
        </w:rPr>
        <w:t>’</w:t>
      </w:r>
      <w:r w:rsidR="006F321F" w:rsidRPr="009D1A93">
        <w:rPr>
          <w:lang w:val="fr-FR"/>
        </w:rPr>
        <w:t xml:space="preserve">éducation est encourageant, avec plus de 25 initiatives incluses dans les </w:t>
      </w:r>
      <w:r w:rsidR="0079486C" w:rsidRPr="009D1A93">
        <w:rPr>
          <w:lang w:val="fr-FR"/>
        </w:rPr>
        <w:t xml:space="preserve">plans de travail </w:t>
      </w:r>
      <w:r w:rsidR="006F321F" w:rsidRPr="009D1A93">
        <w:rPr>
          <w:lang w:val="fr-FR"/>
        </w:rPr>
        <w:t xml:space="preserve">du Secteur de la culture </w:t>
      </w:r>
      <w:r w:rsidR="00481A9B" w:rsidRPr="009D1A93">
        <w:rPr>
          <w:lang w:val="fr-FR"/>
        </w:rPr>
        <w:t>pour cet exercice biennal</w:t>
      </w:r>
      <w:r w:rsidR="006F321F" w:rsidRPr="009D1A93">
        <w:rPr>
          <w:lang w:val="fr-FR"/>
        </w:rPr>
        <w:t>. Ces réalisations contribuent à la mise en œuvre de cadres et de plans d</w:t>
      </w:r>
      <w:r w:rsidR="00CA0916" w:rsidRPr="009D1A93">
        <w:rPr>
          <w:lang w:val="fr-FR"/>
        </w:rPr>
        <w:t>’</w:t>
      </w:r>
      <w:r w:rsidR="006F321F" w:rsidRPr="009D1A93">
        <w:rPr>
          <w:lang w:val="fr-FR"/>
        </w:rPr>
        <w:t>action régionaux, tels que le cadre de Sendai pour la réduction des risques de catastrophe (2015-2030) et la réalisation des objectifs de développement durable (Agenda 2030), en particulier l</w:t>
      </w:r>
      <w:r w:rsidR="00CA0916" w:rsidRPr="009D1A93">
        <w:rPr>
          <w:lang w:val="fr-FR"/>
        </w:rPr>
        <w:t>’</w:t>
      </w:r>
      <w:r w:rsidR="006F321F" w:rsidRPr="009D1A93">
        <w:rPr>
          <w:lang w:val="fr-FR"/>
        </w:rPr>
        <w:t>objectif 4 sur l</w:t>
      </w:r>
      <w:r w:rsidR="00CA0916" w:rsidRPr="009D1A93">
        <w:rPr>
          <w:lang w:val="fr-FR"/>
        </w:rPr>
        <w:t>’</w:t>
      </w:r>
      <w:r w:rsidR="006F321F" w:rsidRPr="009D1A93">
        <w:rPr>
          <w:lang w:val="fr-FR"/>
        </w:rPr>
        <w:t>éducation de qualité et l</w:t>
      </w:r>
      <w:r w:rsidR="00CA0916" w:rsidRPr="009D1A93">
        <w:rPr>
          <w:lang w:val="fr-FR"/>
        </w:rPr>
        <w:t>’</w:t>
      </w:r>
      <w:r w:rsidR="006F321F" w:rsidRPr="009D1A93">
        <w:rPr>
          <w:lang w:val="fr-FR"/>
        </w:rPr>
        <w:t xml:space="preserve">objectif 11 sur la construction de villes résilientes. </w:t>
      </w:r>
      <w:r w:rsidR="0079486C" w:rsidRPr="009D1A93">
        <w:rPr>
          <w:lang w:val="fr-FR"/>
        </w:rPr>
        <w:t>Depuis le lancement réussi du premier cours en ligne ouvert et massif (MOOC) sur le patrimoine culturel immatériel et le développement durable en janvier 2022</w:t>
      </w:r>
      <w:r w:rsidR="008B18A0" w:rsidRPr="009D1A93">
        <w:rPr>
          <w:lang w:val="fr-FR"/>
        </w:rPr>
        <w:t xml:space="preserve">, </w:t>
      </w:r>
      <w:r w:rsidR="0079486C" w:rsidRPr="009D1A93">
        <w:rPr>
          <w:lang w:val="fr-FR"/>
        </w:rPr>
        <w:t xml:space="preserve">plus de 2550 apprenants de 160 pays se sont inscrits au cours </w:t>
      </w:r>
      <w:r w:rsidR="0056761A" w:rsidRPr="009D1A93">
        <w:rPr>
          <w:lang w:val="fr-FR"/>
        </w:rPr>
        <w:t xml:space="preserve">et ont suivi les </w:t>
      </w:r>
      <w:r w:rsidR="0079486C" w:rsidRPr="009D1A93">
        <w:rPr>
          <w:lang w:val="fr-FR"/>
        </w:rPr>
        <w:t>modules présentant les liens entre le patrimoine vivant et des domaines tels que l</w:t>
      </w:r>
      <w:r w:rsidR="00CA0916" w:rsidRPr="009D1A93">
        <w:rPr>
          <w:lang w:val="fr-FR"/>
        </w:rPr>
        <w:t>’</w:t>
      </w:r>
      <w:r w:rsidR="0079486C" w:rsidRPr="009D1A93">
        <w:rPr>
          <w:lang w:val="fr-FR"/>
        </w:rPr>
        <w:t xml:space="preserve">égalité des </w:t>
      </w:r>
      <w:r w:rsidR="00A7743D" w:rsidRPr="009D1A93">
        <w:rPr>
          <w:lang w:val="fr-FR"/>
        </w:rPr>
        <w:t>genres</w:t>
      </w:r>
      <w:r w:rsidR="0079486C" w:rsidRPr="009D1A93">
        <w:rPr>
          <w:lang w:val="fr-FR"/>
        </w:rPr>
        <w:t>, l</w:t>
      </w:r>
      <w:r w:rsidR="00CA0916" w:rsidRPr="009D1A93">
        <w:rPr>
          <w:lang w:val="fr-FR"/>
        </w:rPr>
        <w:t>’</w:t>
      </w:r>
      <w:r w:rsidR="0079486C" w:rsidRPr="009D1A93">
        <w:rPr>
          <w:lang w:val="fr-FR"/>
        </w:rPr>
        <w:t xml:space="preserve">éducation, la santé, la génération de revenus, les catastrophes et la consolidation de la paix. Le cours a notamment attiré un </w:t>
      </w:r>
      <w:r w:rsidR="008B18A0" w:rsidRPr="009D1A93">
        <w:rPr>
          <w:lang w:val="fr-FR"/>
        </w:rPr>
        <w:t xml:space="preserve">public </w:t>
      </w:r>
      <w:r w:rsidR="0079486C" w:rsidRPr="009D1A93">
        <w:rPr>
          <w:lang w:val="fr-FR"/>
        </w:rPr>
        <w:t>jeune. L</w:t>
      </w:r>
      <w:r w:rsidR="00CA0916" w:rsidRPr="009D1A93">
        <w:rPr>
          <w:lang w:val="fr-FR"/>
        </w:rPr>
        <w:t>’</w:t>
      </w:r>
      <w:r w:rsidR="0079486C" w:rsidRPr="009D1A93">
        <w:rPr>
          <w:lang w:val="fr-FR"/>
        </w:rPr>
        <w:t>adaptation du matériel de formation dans d</w:t>
      </w:r>
      <w:r w:rsidR="00CA0916" w:rsidRPr="009D1A93">
        <w:rPr>
          <w:lang w:val="fr-FR"/>
        </w:rPr>
        <w:t>’</w:t>
      </w:r>
      <w:r w:rsidR="0079486C" w:rsidRPr="009D1A93">
        <w:rPr>
          <w:lang w:val="fr-FR"/>
        </w:rPr>
        <w:t>autres versions linguistiques est en cours.</w:t>
      </w:r>
    </w:p>
    <w:p w14:paraId="1042238B" w14:textId="190D65E4" w:rsidR="00B625DE" w:rsidRPr="009D1A93" w:rsidRDefault="009800D3">
      <w:pPr>
        <w:pStyle w:val="GAPara"/>
        <w:numPr>
          <w:ilvl w:val="0"/>
          <w:numId w:val="6"/>
        </w:numPr>
        <w:ind w:left="567" w:hanging="567"/>
        <w:jc w:val="both"/>
        <w:rPr>
          <w:lang w:val="fr-FR"/>
        </w:rPr>
      </w:pPr>
      <w:r w:rsidRPr="009D1A93">
        <w:rPr>
          <w:rFonts w:asciiTheme="minorBidi" w:hAnsiTheme="minorBidi" w:cstheme="minorBidi"/>
          <w:b/>
          <w:bCs/>
          <w:lang w:val="fr-FR"/>
        </w:rPr>
        <w:t>Rapports périodiques</w:t>
      </w:r>
      <w:r w:rsidRPr="00F2660D">
        <w:rPr>
          <w:rFonts w:asciiTheme="minorBidi" w:hAnsiTheme="minorBidi" w:cstheme="minorBidi"/>
          <w:lang w:val="fr-FR"/>
        </w:rPr>
        <w:t xml:space="preserve"> </w:t>
      </w:r>
      <w:r w:rsidRPr="009D1A93">
        <w:rPr>
          <w:rFonts w:asciiTheme="minorBidi" w:hAnsiTheme="minorBidi" w:cstheme="minorBidi"/>
          <w:lang w:val="fr-FR"/>
        </w:rPr>
        <w:t xml:space="preserve">: </w:t>
      </w:r>
      <w:r w:rsidR="005E28DA" w:rsidRPr="009D1A93">
        <w:rPr>
          <w:lang w:val="fr-FR"/>
        </w:rPr>
        <w:t xml:space="preserve">Le Secrétariat a fait </w:t>
      </w:r>
      <w:r w:rsidR="004E10F0" w:rsidRPr="009D1A93">
        <w:rPr>
          <w:lang w:val="fr-FR"/>
        </w:rPr>
        <w:t xml:space="preserve">un effort soutenu pour </w:t>
      </w:r>
      <w:r w:rsidR="00F5770E" w:rsidRPr="009D1A93">
        <w:rPr>
          <w:lang w:val="fr-FR"/>
        </w:rPr>
        <w:t xml:space="preserve">appuyer </w:t>
      </w:r>
      <w:r w:rsidR="005E28DA" w:rsidRPr="009D1A93">
        <w:rPr>
          <w:lang w:val="fr-FR"/>
        </w:rPr>
        <w:t xml:space="preserve">la mise en œuvre des </w:t>
      </w:r>
      <w:r w:rsidR="00FA61C7" w:rsidRPr="009D1A93">
        <w:rPr>
          <w:lang w:val="fr-FR"/>
        </w:rPr>
        <w:t>mécanismes de</w:t>
      </w:r>
      <w:r w:rsidR="004E10F0" w:rsidRPr="009D1A93">
        <w:rPr>
          <w:lang w:val="fr-FR"/>
        </w:rPr>
        <w:t xml:space="preserve"> rapports périodiques. Au cours de la période considérée, le Secrétariat a entrepris l</w:t>
      </w:r>
      <w:r w:rsidR="00CA0916" w:rsidRPr="009D1A93">
        <w:rPr>
          <w:lang w:val="fr-FR"/>
        </w:rPr>
        <w:t>’</w:t>
      </w:r>
      <w:r w:rsidR="004E10F0" w:rsidRPr="009D1A93">
        <w:rPr>
          <w:lang w:val="fr-FR"/>
        </w:rPr>
        <w:t>évaluation d</w:t>
      </w:r>
      <w:r w:rsidR="00CA0916" w:rsidRPr="009D1A93">
        <w:rPr>
          <w:lang w:val="fr-FR"/>
        </w:rPr>
        <w:t>’</w:t>
      </w:r>
      <w:r w:rsidR="004E10F0" w:rsidRPr="009D1A93">
        <w:rPr>
          <w:lang w:val="fr-FR"/>
        </w:rPr>
        <w:t>un total de 24 rapports soumis par 18 États parties sur l</w:t>
      </w:r>
      <w:r w:rsidR="00CA0916" w:rsidRPr="009D1A93">
        <w:rPr>
          <w:lang w:val="fr-FR"/>
        </w:rPr>
        <w:t>’</w:t>
      </w:r>
      <w:r w:rsidR="004E10F0" w:rsidRPr="009D1A93">
        <w:rPr>
          <w:lang w:val="fr-FR"/>
        </w:rPr>
        <w:t>état actuel des éléments inscrits sur la Liste de sauvegarde urgente, qui seront examinés par la présente session du Comité au point 6.a de l</w:t>
      </w:r>
      <w:r w:rsidR="00CA0916" w:rsidRPr="009D1A93">
        <w:rPr>
          <w:lang w:val="fr-FR"/>
        </w:rPr>
        <w:t>’</w:t>
      </w:r>
      <w:r w:rsidR="004E10F0" w:rsidRPr="009D1A93">
        <w:rPr>
          <w:lang w:val="fr-FR"/>
        </w:rPr>
        <w:t xml:space="preserve">ordre du jour provisoire </w:t>
      </w:r>
      <w:r w:rsidR="004E10F0" w:rsidRPr="00537464">
        <w:rPr>
          <w:lang w:val="fr-FR"/>
        </w:rPr>
        <w:t>(</w:t>
      </w:r>
      <w:r w:rsidR="004E10F0" w:rsidRPr="00F2660D">
        <w:rPr>
          <w:lang w:val="fr-FR"/>
        </w:rPr>
        <w:t xml:space="preserve">document </w:t>
      </w:r>
      <w:hyperlink r:id="rId47" w:history="1">
        <w:r w:rsidR="004E10F0" w:rsidRPr="00F2660D">
          <w:rPr>
            <w:rStyle w:val="Lienhypertexte"/>
            <w:rFonts w:cs="Arial"/>
            <w:lang w:val="fr-FR"/>
          </w:rPr>
          <w:t>LHE/22/17.COM 6.a</w:t>
        </w:r>
      </w:hyperlink>
      <w:r w:rsidR="004E10F0" w:rsidRPr="009D1A93">
        <w:rPr>
          <w:lang w:val="fr-FR"/>
        </w:rPr>
        <w:t xml:space="preserve">). Pour les rapports périodiques sur la </w:t>
      </w:r>
      <w:r w:rsidR="009C23DB" w:rsidRPr="009D1A93">
        <w:rPr>
          <w:lang w:val="fr-FR"/>
        </w:rPr>
        <w:t>mise en œuvre de la Convention et sur l</w:t>
      </w:r>
      <w:r w:rsidR="00CA0916" w:rsidRPr="009D1A93">
        <w:rPr>
          <w:lang w:val="fr-FR"/>
        </w:rPr>
        <w:t>’</w:t>
      </w:r>
      <w:r w:rsidR="009C23DB" w:rsidRPr="009D1A93">
        <w:rPr>
          <w:lang w:val="fr-FR"/>
        </w:rPr>
        <w:t xml:space="preserve">état actuel des éléments inscrits sur la Liste représentative, </w:t>
      </w:r>
      <w:r w:rsidR="00D9050C" w:rsidRPr="009D1A93">
        <w:rPr>
          <w:lang w:val="fr-FR"/>
        </w:rPr>
        <w:t xml:space="preserve">le Secrétariat </w:t>
      </w:r>
      <w:r w:rsidR="00F5770E" w:rsidRPr="009D1A93">
        <w:rPr>
          <w:lang w:val="fr-FR"/>
        </w:rPr>
        <w:t xml:space="preserve">a </w:t>
      </w:r>
      <w:r w:rsidR="00D9050C" w:rsidRPr="009D1A93">
        <w:rPr>
          <w:lang w:val="fr-FR"/>
        </w:rPr>
        <w:t>fourni une vue d</w:t>
      </w:r>
      <w:r w:rsidR="00CA0916" w:rsidRPr="009D1A93">
        <w:rPr>
          <w:lang w:val="fr-FR"/>
        </w:rPr>
        <w:t>’</w:t>
      </w:r>
      <w:r w:rsidR="00D9050C" w:rsidRPr="009D1A93">
        <w:rPr>
          <w:lang w:val="fr-FR"/>
        </w:rPr>
        <w:t xml:space="preserve">ensemble </w:t>
      </w:r>
      <w:r w:rsidR="00D9050C" w:rsidRPr="00537464">
        <w:rPr>
          <w:lang w:val="fr-FR"/>
        </w:rPr>
        <w:t>analytique des rapports soumis par les Etats parties d</w:t>
      </w:r>
      <w:r w:rsidR="00CA0916" w:rsidRPr="00537464">
        <w:rPr>
          <w:lang w:val="fr-FR"/>
        </w:rPr>
        <w:t>’</w:t>
      </w:r>
      <w:r w:rsidR="00D9050C" w:rsidRPr="00537464">
        <w:rPr>
          <w:lang w:val="fr-FR"/>
        </w:rPr>
        <w:t>Europe qui seront examinés par la présente session du Comité au point 6.b de l</w:t>
      </w:r>
      <w:r w:rsidR="00CA0916" w:rsidRPr="00537464">
        <w:rPr>
          <w:lang w:val="fr-FR"/>
        </w:rPr>
        <w:t>’</w:t>
      </w:r>
      <w:r w:rsidR="00D9050C" w:rsidRPr="00537464">
        <w:rPr>
          <w:lang w:val="fr-FR"/>
        </w:rPr>
        <w:t>ordre du jour provisoire (</w:t>
      </w:r>
      <w:r w:rsidR="005F73DE" w:rsidRPr="00F2660D">
        <w:rPr>
          <w:lang w:val="fr-FR"/>
        </w:rPr>
        <w:t>document</w:t>
      </w:r>
      <w:r w:rsidR="002E20A2">
        <w:rPr>
          <w:lang w:val="fr-FR"/>
        </w:rPr>
        <w:t xml:space="preserve"> </w:t>
      </w:r>
      <w:hyperlink r:id="rId48" w:history="1">
        <w:r w:rsidR="00D9050C" w:rsidRPr="00F2660D">
          <w:rPr>
            <w:rStyle w:val="Lienhypertexte"/>
            <w:rFonts w:cs="Arial"/>
            <w:lang w:val="fr-FR"/>
          </w:rPr>
          <w:t>LHE/22/17.COM</w:t>
        </w:r>
        <w:r w:rsidR="002E20A2">
          <w:rPr>
            <w:rStyle w:val="Lienhypertexte"/>
            <w:rFonts w:cs="Arial"/>
            <w:lang w:val="fr-FR"/>
          </w:rPr>
          <w:t> </w:t>
        </w:r>
        <w:r w:rsidR="00D9050C" w:rsidRPr="00F2660D">
          <w:rPr>
            <w:rStyle w:val="Lienhypertexte"/>
            <w:rFonts w:cs="Arial"/>
            <w:lang w:val="fr-FR"/>
          </w:rPr>
          <w:t>6.</w:t>
        </w:r>
        <w:r w:rsidR="00F5770E" w:rsidRPr="00F2660D">
          <w:rPr>
            <w:rStyle w:val="Lienhypertexte"/>
            <w:rFonts w:cs="Arial"/>
            <w:lang w:val="fr-FR"/>
          </w:rPr>
          <w:t>b</w:t>
        </w:r>
      </w:hyperlink>
      <w:r w:rsidR="00D9050C" w:rsidRPr="00537464">
        <w:rPr>
          <w:lang w:val="fr-FR"/>
        </w:rPr>
        <w:t xml:space="preserve">). </w:t>
      </w:r>
      <w:r w:rsidR="00FF328E" w:rsidRPr="00537464">
        <w:rPr>
          <w:lang w:val="fr-FR"/>
        </w:rPr>
        <w:t xml:space="preserve">Pour les autres régions, </w:t>
      </w:r>
      <w:r w:rsidR="009C23DB" w:rsidRPr="00537464">
        <w:rPr>
          <w:lang w:val="fr-FR"/>
        </w:rPr>
        <w:t xml:space="preserve">le Secrétariat </w:t>
      </w:r>
      <w:r w:rsidR="005418B7" w:rsidRPr="00537464">
        <w:rPr>
          <w:lang w:val="fr-FR"/>
        </w:rPr>
        <w:t>a été chargé de préparer un rapport analytique approfondi sur les rapports périodiques soumis par les Etats parties d</w:t>
      </w:r>
      <w:r w:rsidR="00CA0916" w:rsidRPr="00537464">
        <w:rPr>
          <w:lang w:val="fr-FR"/>
        </w:rPr>
        <w:t>’</w:t>
      </w:r>
      <w:r w:rsidR="005418B7" w:rsidRPr="00537464">
        <w:rPr>
          <w:lang w:val="fr-FR"/>
        </w:rPr>
        <w:t>Amérique latine et des Caraïbes, de mener des activités de renforcement des capacités pour les Etats parties des Etats arabes, et d</w:t>
      </w:r>
      <w:r w:rsidR="00CA0916" w:rsidRPr="00537464">
        <w:rPr>
          <w:lang w:val="fr-FR"/>
        </w:rPr>
        <w:t>’</w:t>
      </w:r>
      <w:r w:rsidR="005418B7" w:rsidRPr="00537464">
        <w:rPr>
          <w:lang w:val="fr-FR"/>
        </w:rPr>
        <w:t xml:space="preserve">initier le processus de </w:t>
      </w:r>
      <w:r w:rsidR="00FF328E" w:rsidRPr="00537464">
        <w:rPr>
          <w:lang w:val="fr-FR"/>
        </w:rPr>
        <w:t xml:space="preserve">soumission de rapports </w:t>
      </w:r>
      <w:r w:rsidR="005418B7" w:rsidRPr="00537464">
        <w:rPr>
          <w:lang w:val="fr-FR"/>
        </w:rPr>
        <w:t>pour les Etats parties d</w:t>
      </w:r>
      <w:r w:rsidR="00CA0916" w:rsidRPr="00537464">
        <w:rPr>
          <w:lang w:val="fr-FR"/>
        </w:rPr>
        <w:t>’</w:t>
      </w:r>
      <w:r w:rsidR="005418B7" w:rsidRPr="00537464">
        <w:rPr>
          <w:lang w:val="fr-FR"/>
        </w:rPr>
        <w:t>Afrique ; une mise à jour à cet égard sera présentée à la présente session du Comité au point 6.c de l</w:t>
      </w:r>
      <w:r w:rsidR="00CA0916" w:rsidRPr="00537464">
        <w:rPr>
          <w:lang w:val="fr-FR"/>
        </w:rPr>
        <w:t>’</w:t>
      </w:r>
      <w:r w:rsidR="005418B7" w:rsidRPr="00537464">
        <w:rPr>
          <w:lang w:val="fr-FR"/>
        </w:rPr>
        <w:t>ordre du jour provisoire (</w:t>
      </w:r>
      <w:r w:rsidR="005F73DE" w:rsidRPr="00F2660D">
        <w:rPr>
          <w:lang w:val="fr-FR"/>
        </w:rPr>
        <w:t>document</w:t>
      </w:r>
      <w:r w:rsidR="002E20A2">
        <w:rPr>
          <w:lang w:val="fr-FR"/>
        </w:rPr>
        <w:t xml:space="preserve"> </w:t>
      </w:r>
      <w:hyperlink r:id="rId49" w:history="1">
        <w:r w:rsidR="005418B7" w:rsidRPr="00F2660D">
          <w:rPr>
            <w:rStyle w:val="Lienhypertexte"/>
            <w:rFonts w:cs="Arial"/>
            <w:lang w:val="fr-FR"/>
          </w:rPr>
          <w:t>LHE/22/17.COM</w:t>
        </w:r>
        <w:r w:rsidR="002E20A2">
          <w:rPr>
            <w:rStyle w:val="Lienhypertexte"/>
            <w:rFonts w:cs="Arial"/>
            <w:lang w:val="fr-FR"/>
          </w:rPr>
          <w:t> </w:t>
        </w:r>
        <w:r w:rsidR="005418B7" w:rsidRPr="00F2660D">
          <w:rPr>
            <w:rStyle w:val="Lienhypertexte"/>
            <w:rFonts w:cs="Arial"/>
            <w:lang w:val="fr-FR"/>
          </w:rPr>
          <w:t>6.</w:t>
        </w:r>
        <w:r w:rsidR="00E5712F" w:rsidRPr="00537464">
          <w:rPr>
            <w:rStyle w:val="Lienhypertexte"/>
            <w:rFonts w:cs="Arial"/>
            <w:lang w:val="fr-FR"/>
          </w:rPr>
          <w:t>c</w:t>
        </w:r>
      </w:hyperlink>
      <w:r w:rsidR="005418B7" w:rsidRPr="00537464">
        <w:rPr>
          <w:lang w:val="fr-FR"/>
        </w:rPr>
        <w:t>)</w:t>
      </w:r>
      <w:r w:rsidR="00D9050C" w:rsidRPr="00537464">
        <w:rPr>
          <w:lang w:val="fr-FR"/>
        </w:rPr>
        <w:t>.</w:t>
      </w:r>
    </w:p>
    <w:p w14:paraId="545A3F46" w14:textId="3D926C58" w:rsidR="00B625DE" w:rsidRPr="009D1A93" w:rsidRDefault="009800D3" w:rsidP="00115DA3">
      <w:pPr>
        <w:pStyle w:val="GAPara"/>
        <w:keepLines/>
        <w:numPr>
          <w:ilvl w:val="0"/>
          <w:numId w:val="6"/>
        </w:numPr>
        <w:ind w:left="567" w:hanging="567"/>
        <w:jc w:val="both"/>
        <w:rPr>
          <w:rFonts w:asciiTheme="minorBidi" w:hAnsiTheme="minorBidi" w:cstheme="minorBidi"/>
          <w:lang w:val="fr-FR"/>
        </w:rPr>
      </w:pPr>
      <w:r w:rsidRPr="009D1A93">
        <w:rPr>
          <w:rFonts w:asciiTheme="minorBidi" w:hAnsiTheme="minorBidi" w:cstheme="minorBidi"/>
          <w:b/>
          <w:bCs/>
          <w:lang w:val="fr-FR"/>
        </w:rPr>
        <w:t xml:space="preserve">Centres de catégorie </w:t>
      </w:r>
      <w:r w:rsidR="00674E5A" w:rsidRPr="009D1A93">
        <w:rPr>
          <w:rFonts w:asciiTheme="minorBidi" w:hAnsiTheme="minorBidi" w:cstheme="minorBidi"/>
          <w:b/>
          <w:bCs/>
          <w:lang w:val="fr-FR"/>
        </w:rPr>
        <w:t xml:space="preserve">2 </w:t>
      </w:r>
      <w:r w:rsidR="00B35768" w:rsidRPr="00F2660D">
        <w:rPr>
          <w:rFonts w:asciiTheme="minorBidi" w:hAnsiTheme="minorBidi" w:cstheme="minorBidi"/>
          <w:lang w:val="fr-FR"/>
        </w:rPr>
        <w:t xml:space="preserve">: </w:t>
      </w:r>
      <w:r w:rsidR="003B4C1A" w:rsidRPr="009D1A93">
        <w:rPr>
          <w:rFonts w:asciiTheme="minorBidi" w:hAnsiTheme="minorBidi" w:cstheme="minorBidi"/>
          <w:lang w:val="fr-FR"/>
        </w:rPr>
        <w:t xml:space="preserve">Le Secrétariat a lancé </w:t>
      </w:r>
      <w:r w:rsidR="007721F9" w:rsidRPr="009D1A93">
        <w:rPr>
          <w:rFonts w:asciiTheme="minorBidi" w:hAnsiTheme="minorBidi" w:cstheme="minorBidi"/>
          <w:lang w:val="fr-FR"/>
        </w:rPr>
        <w:t>la phase préparatoire de l</w:t>
      </w:r>
      <w:r w:rsidR="00CA0916" w:rsidRPr="009D1A93">
        <w:rPr>
          <w:rFonts w:asciiTheme="minorBidi" w:hAnsiTheme="minorBidi" w:cstheme="minorBidi"/>
          <w:lang w:val="fr-FR"/>
        </w:rPr>
        <w:t>’</w:t>
      </w:r>
      <w:r w:rsidR="00881E2A" w:rsidRPr="009D1A93">
        <w:rPr>
          <w:rFonts w:asciiTheme="minorBidi" w:hAnsiTheme="minorBidi" w:cstheme="minorBidi"/>
          <w:lang w:val="fr-FR"/>
        </w:rPr>
        <w:t xml:space="preserve">évaluation </w:t>
      </w:r>
      <w:r w:rsidR="007721F9" w:rsidRPr="009D1A93">
        <w:rPr>
          <w:rFonts w:asciiTheme="minorBidi" w:hAnsiTheme="minorBidi" w:cstheme="minorBidi"/>
          <w:lang w:val="fr-FR"/>
        </w:rPr>
        <w:t xml:space="preserve">du </w:t>
      </w:r>
      <w:r w:rsidR="00B862C1" w:rsidRPr="009D1A93">
        <w:rPr>
          <w:rFonts w:asciiTheme="minorBidi" w:hAnsiTheme="minorBidi" w:cstheme="minorBidi"/>
          <w:lang w:val="fr-FR"/>
        </w:rPr>
        <w:t>Centre régional pour la sauvegarde du patrimoine culturel immatériel en Europe du Sud-Est</w:t>
      </w:r>
      <w:r w:rsidR="003D15C2" w:rsidRPr="009D1A93">
        <w:rPr>
          <w:rFonts w:asciiTheme="minorBidi" w:hAnsiTheme="minorBidi" w:cstheme="minorBidi"/>
          <w:lang w:val="fr-FR"/>
        </w:rPr>
        <w:t xml:space="preserve">. En outre, le Secrétariat a </w:t>
      </w:r>
      <w:r w:rsidR="00B20E14" w:rsidRPr="009D1A93">
        <w:rPr>
          <w:rFonts w:asciiTheme="minorBidi" w:hAnsiTheme="minorBidi" w:cstheme="minorBidi"/>
          <w:lang w:val="fr-FR"/>
        </w:rPr>
        <w:t xml:space="preserve">soutenu le renouvellement des </w:t>
      </w:r>
      <w:r w:rsidR="003D15C2" w:rsidRPr="009D1A93">
        <w:rPr>
          <w:rFonts w:asciiTheme="minorBidi" w:hAnsiTheme="minorBidi" w:cstheme="minorBidi"/>
          <w:lang w:val="fr-FR"/>
        </w:rPr>
        <w:t xml:space="preserve">accords concernant </w:t>
      </w:r>
      <w:r w:rsidR="00B712D4" w:rsidRPr="009D1A93">
        <w:rPr>
          <w:rFonts w:asciiTheme="minorBidi" w:hAnsiTheme="minorBidi" w:cstheme="minorBidi"/>
          <w:lang w:val="fr-FR"/>
        </w:rPr>
        <w:t xml:space="preserve">le </w:t>
      </w:r>
      <w:r w:rsidR="003B4C1A" w:rsidRPr="009D1A93">
        <w:rPr>
          <w:rFonts w:asciiTheme="minorBidi" w:hAnsiTheme="minorBidi" w:cstheme="minorBidi"/>
          <w:lang w:val="fr-FR"/>
        </w:rPr>
        <w:t>Centre régional pour la sauvegarde du patrimoine culturel immatériel d</w:t>
      </w:r>
      <w:r w:rsidR="00CA0916" w:rsidRPr="009D1A93">
        <w:rPr>
          <w:rFonts w:asciiTheme="minorBidi" w:hAnsiTheme="minorBidi" w:cstheme="minorBidi"/>
          <w:lang w:val="fr-FR"/>
        </w:rPr>
        <w:t>’</w:t>
      </w:r>
      <w:r w:rsidR="003B4C1A" w:rsidRPr="009D1A93">
        <w:rPr>
          <w:rFonts w:asciiTheme="minorBidi" w:hAnsiTheme="minorBidi" w:cstheme="minorBidi"/>
          <w:lang w:val="fr-FR"/>
        </w:rPr>
        <w:t xml:space="preserve">Amérique latine </w:t>
      </w:r>
      <w:r w:rsidR="00B712D4" w:rsidRPr="009D1A93">
        <w:rPr>
          <w:rFonts w:asciiTheme="minorBidi" w:hAnsiTheme="minorBidi" w:cstheme="minorBidi"/>
          <w:lang w:val="fr-FR"/>
        </w:rPr>
        <w:t>(CRESPIAL</w:t>
      </w:r>
      <w:r w:rsidR="00F43B29" w:rsidRPr="009D1A93">
        <w:rPr>
          <w:rFonts w:asciiTheme="minorBidi" w:hAnsiTheme="minorBidi" w:cstheme="minorBidi"/>
          <w:lang w:val="fr-FR"/>
        </w:rPr>
        <w:t xml:space="preserve">) </w:t>
      </w:r>
      <w:r w:rsidR="003D15C2" w:rsidRPr="009D1A93">
        <w:rPr>
          <w:rFonts w:asciiTheme="minorBidi" w:hAnsiTheme="minorBidi" w:cstheme="minorBidi"/>
          <w:lang w:val="fr-FR"/>
        </w:rPr>
        <w:t xml:space="preserve">et </w:t>
      </w:r>
      <w:r w:rsidR="00B712D4" w:rsidRPr="009D1A93">
        <w:rPr>
          <w:rFonts w:asciiTheme="minorBidi" w:hAnsiTheme="minorBidi" w:cstheme="minorBidi"/>
          <w:lang w:val="fr-FR"/>
        </w:rPr>
        <w:t xml:space="preserve">le </w:t>
      </w:r>
      <w:r w:rsidR="003D15C2" w:rsidRPr="009D1A93">
        <w:rPr>
          <w:rFonts w:asciiTheme="minorBidi" w:hAnsiTheme="minorBidi" w:cstheme="minorBidi"/>
          <w:lang w:val="fr-FR"/>
        </w:rPr>
        <w:t xml:space="preserve">Centre régional pour la sauvegarde du patrimoine culturel immatériel en Afrique </w:t>
      </w:r>
      <w:r w:rsidR="00B712D4" w:rsidRPr="009D1A93">
        <w:rPr>
          <w:rFonts w:asciiTheme="minorBidi" w:hAnsiTheme="minorBidi" w:cstheme="minorBidi"/>
          <w:lang w:val="fr-FR"/>
        </w:rPr>
        <w:t>(CRESPIAF</w:t>
      </w:r>
      <w:r w:rsidR="003D15C2" w:rsidRPr="009D1A93">
        <w:rPr>
          <w:rFonts w:asciiTheme="minorBidi" w:hAnsiTheme="minorBidi" w:cstheme="minorBidi"/>
          <w:lang w:val="fr-FR"/>
        </w:rPr>
        <w:t>).</w:t>
      </w:r>
    </w:p>
    <w:p w14:paraId="253A331D" w14:textId="1B04C9DD" w:rsidR="00B625DE" w:rsidRPr="00F2660D" w:rsidRDefault="009800D3" w:rsidP="00F2660D">
      <w:pPr>
        <w:pStyle w:val="COMPara"/>
        <w:keepNext/>
        <w:numPr>
          <w:ilvl w:val="0"/>
          <w:numId w:val="0"/>
        </w:numPr>
        <w:spacing w:before="240"/>
        <w:ind w:left="714" w:hanging="357"/>
        <w:jc w:val="both"/>
        <w:rPr>
          <w:rFonts w:asciiTheme="minorBidi" w:hAnsiTheme="minorBidi" w:cstheme="minorBidi"/>
          <w:b/>
          <w:bCs/>
          <w:lang w:val="fr-FR"/>
        </w:rPr>
      </w:pPr>
      <w:bookmarkStart w:id="4" w:name="_Hlk114585848"/>
      <w:bookmarkEnd w:id="2"/>
      <w:r w:rsidRPr="00F2660D">
        <w:rPr>
          <w:rFonts w:asciiTheme="minorBidi" w:hAnsiTheme="minorBidi" w:cstheme="minorBidi"/>
          <w:b/>
          <w:bCs/>
          <w:lang w:val="fr-FR"/>
        </w:rPr>
        <w:t xml:space="preserve">IV. </w:t>
      </w:r>
      <w:r w:rsidR="00133813" w:rsidRPr="00F2660D">
        <w:rPr>
          <w:rFonts w:asciiTheme="minorBidi" w:hAnsiTheme="minorBidi" w:cstheme="minorBidi"/>
          <w:b/>
          <w:bCs/>
          <w:lang w:val="fr-FR"/>
        </w:rPr>
        <w:t>Pistes d’action</w:t>
      </w:r>
    </w:p>
    <w:bookmarkEnd w:id="4"/>
    <w:p w14:paraId="44C7B70D" w14:textId="530A6B44" w:rsidR="00B625DE" w:rsidRPr="009D1A93" w:rsidRDefault="009800D3">
      <w:pPr>
        <w:pStyle w:val="GAPara"/>
        <w:numPr>
          <w:ilvl w:val="0"/>
          <w:numId w:val="6"/>
        </w:numPr>
        <w:ind w:left="567" w:hanging="567"/>
        <w:jc w:val="both"/>
        <w:rPr>
          <w:rFonts w:asciiTheme="minorBidi" w:hAnsiTheme="minorBidi" w:cstheme="minorBidi"/>
          <w:lang w:val="fr-FR"/>
        </w:rPr>
      </w:pPr>
      <w:r w:rsidRPr="009D1A93">
        <w:rPr>
          <w:rFonts w:asciiTheme="minorBidi" w:hAnsiTheme="minorBidi" w:cstheme="minorBidi"/>
          <w:lang w:val="fr-FR"/>
        </w:rPr>
        <w:t xml:space="preserve">Même si la période </w:t>
      </w:r>
      <w:r w:rsidR="004960EA" w:rsidRPr="009D1A93">
        <w:rPr>
          <w:rFonts w:asciiTheme="minorBidi" w:hAnsiTheme="minorBidi" w:cstheme="minorBidi"/>
          <w:lang w:val="fr-FR"/>
        </w:rPr>
        <w:t xml:space="preserve">considérée </w:t>
      </w:r>
      <w:r w:rsidRPr="009D1A93">
        <w:rPr>
          <w:rFonts w:asciiTheme="minorBidi" w:hAnsiTheme="minorBidi" w:cstheme="minorBidi"/>
          <w:lang w:val="fr-FR"/>
        </w:rPr>
        <w:t>ne couvre qu</w:t>
      </w:r>
      <w:r w:rsidR="004960EA" w:rsidRPr="009D1A93">
        <w:rPr>
          <w:rFonts w:asciiTheme="minorBidi" w:hAnsiTheme="minorBidi" w:cstheme="minorBidi"/>
          <w:lang w:val="fr-FR"/>
        </w:rPr>
        <w:t>e six mois</w:t>
      </w:r>
      <w:r w:rsidR="00A05785" w:rsidRPr="009D1A93">
        <w:rPr>
          <w:rFonts w:asciiTheme="minorBidi" w:hAnsiTheme="minorBidi" w:cstheme="minorBidi"/>
          <w:lang w:val="fr-FR"/>
        </w:rPr>
        <w:t xml:space="preserve">, le présent rapport reflète </w:t>
      </w:r>
      <w:r w:rsidR="00763035" w:rsidRPr="009D1A93">
        <w:rPr>
          <w:rFonts w:asciiTheme="minorBidi" w:hAnsiTheme="minorBidi" w:cstheme="minorBidi"/>
          <w:lang w:val="fr-FR"/>
        </w:rPr>
        <w:t>l</w:t>
      </w:r>
      <w:r w:rsidR="00CA0916" w:rsidRPr="009D1A93">
        <w:rPr>
          <w:rFonts w:asciiTheme="minorBidi" w:hAnsiTheme="minorBidi" w:cstheme="minorBidi"/>
          <w:lang w:val="fr-FR"/>
        </w:rPr>
        <w:t>’</w:t>
      </w:r>
      <w:r w:rsidR="00A05785" w:rsidRPr="009D1A93">
        <w:rPr>
          <w:rFonts w:asciiTheme="minorBidi" w:hAnsiTheme="minorBidi" w:cstheme="minorBidi"/>
          <w:lang w:val="fr-FR"/>
        </w:rPr>
        <w:t>intensité des activités du Secrétariat</w:t>
      </w:r>
      <w:r w:rsidR="00003AC4" w:rsidRPr="009D1A93">
        <w:rPr>
          <w:rFonts w:asciiTheme="minorBidi" w:hAnsiTheme="minorBidi" w:cstheme="minorBidi"/>
          <w:lang w:val="fr-FR"/>
        </w:rPr>
        <w:t xml:space="preserve"> pendant cette période, couvrant de nombreux domaines afin de</w:t>
      </w:r>
      <w:r w:rsidR="00763035" w:rsidRPr="009D1A93">
        <w:rPr>
          <w:rFonts w:asciiTheme="minorBidi" w:hAnsiTheme="minorBidi" w:cstheme="minorBidi"/>
          <w:lang w:val="fr-FR"/>
        </w:rPr>
        <w:t xml:space="preserve"> sout</w:t>
      </w:r>
      <w:r w:rsidR="00003AC4" w:rsidRPr="009D1A93">
        <w:rPr>
          <w:rFonts w:asciiTheme="minorBidi" w:hAnsiTheme="minorBidi" w:cstheme="minorBidi"/>
          <w:lang w:val="fr-FR"/>
        </w:rPr>
        <w:t>enir le</w:t>
      </w:r>
      <w:r w:rsidR="0048677C" w:rsidRPr="009D1A93">
        <w:rPr>
          <w:rFonts w:asciiTheme="minorBidi" w:hAnsiTheme="minorBidi" w:cstheme="minorBidi"/>
          <w:lang w:val="fr-FR"/>
        </w:rPr>
        <w:t xml:space="preserve"> </w:t>
      </w:r>
      <w:r w:rsidR="00240379" w:rsidRPr="009D1A93">
        <w:rPr>
          <w:rFonts w:asciiTheme="minorBidi" w:hAnsiTheme="minorBidi" w:cstheme="minorBidi"/>
          <w:lang w:val="fr-FR"/>
        </w:rPr>
        <w:t xml:space="preserve">processus décisionnel </w:t>
      </w:r>
      <w:r w:rsidR="0048677C" w:rsidRPr="009D1A93">
        <w:rPr>
          <w:rFonts w:asciiTheme="minorBidi" w:hAnsiTheme="minorBidi" w:cstheme="minorBidi"/>
          <w:lang w:val="fr-FR"/>
        </w:rPr>
        <w:t>des organes directeurs de la Convention</w:t>
      </w:r>
      <w:r w:rsidR="00763035" w:rsidRPr="009D1A93">
        <w:rPr>
          <w:rFonts w:asciiTheme="minorBidi" w:hAnsiTheme="minorBidi" w:cstheme="minorBidi"/>
          <w:lang w:val="fr-FR"/>
        </w:rPr>
        <w:t xml:space="preserve">, </w:t>
      </w:r>
      <w:r w:rsidR="004960EA" w:rsidRPr="009D1A93">
        <w:rPr>
          <w:rFonts w:asciiTheme="minorBidi" w:hAnsiTheme="minorBidi" w:cstheme="minorBidi"/>
          <w:lang w:val="fr-FR"/>
        </w:rPr>
        <w:t xml:space="preserve">tout en </w:t>
      </w:r>
      <w:r w:rsidR="00003AC4" w:rsidRPr="009D1A93">
        <w:rPr>
          <w:rFonts w:asciiTheme="minorBidi" w:hAnsiTheme="minorBidi" w:cstheme="minorBidi"/>
          <w:lang w:val="fr-FR"/>
        </w:rPr>
        <w:t>administrant</w:t>
      </w:r>
      <w:r w:rsidR="00240379" w:rsidRPr="009D1A93">
        <w:rPr>
          <w:rFonts w:asciiTheme="minorBidi" w:hAnsiTheme="minorBidi" w:cstheme="minorBidi"/>
          <w:lang w:val="fr-FR"/>
        </w:rPr>
        <w:t xml:space="preserve"> de différents mécanismes de coopération internationale</w:t>
      </w:r>
      <w:r w:rsidR="00763035" w:rsidRPr="009D1A93">
        <w:rPr>
          <w:rFonts w:asciiTheme="minorBidi" w:hAnsiTheme="minorBidi" w:cstheme="minorBidi"/>
          <w:lang w:val="fr-FR"/>
        </w:rPr>
        <w:t xml:space="preserve">, </w:t>
      </w:r>
      <w:r w:rsidR="00003AC4" w:rsidRPr="009D1A93">
        <w:rPr>
          <w:rFonts w:asciiTheme="minorBidi" w:hAnsiTheme="minorBidi" w:cstheme="minorBidi"/>
          <w:lang w:val="fr-FR"/>
        </w:rPr>
        <w:t>mettant</w:t>
      </w:r>
      <w:r w:rsidR="00763035" w:rsidRPr="009D1A93">
        <w:rPr>
          <w:rFonts w:asciiTheme="minorBidi" w:hAnsiTheme="minorBidi" w:cstheme="minorBidi"/>
          <w:lang w:val="fr-FR"/>
        </w:rPr>
        <w:t xml:space="preserve"> en œuvre de </w:t>
      </w:r>
      <w:r w:rsidR="00240379" w:rsidRPr="009D1A93">
        <w:rPr>
          <w:rFonts w:asciiTheme="minorBidi" w:hAnsiTheme="minorBidi" w:cstheme="minorBidi"/>
          <w:lang w:val="fr-FR"/>
        </w:rPr>
        <w:t>projets opérationnels</w:t>
      </w:r>
      <w:r w:rsidR="00763035" w:rsidRPr="009D1A93">
        <w:rPr>
          <w:rFonts w:asciiTheme="minorBidi" w:hAnsiTheme="minorBidi" w:cstheme="minorBidi"/>
          <w:lang w:val="fr-FR"/>
        </w:rPr>
        <w:t xml:space="preserve">, </w:t>
      </w:r>
      <w:r w:rsidR="00003AC4" w:rsidRPr="009D1A93">
        <w:rPr>
          <w:rFonts w:asciiTheme="minorBidi" w:hAnsiTheme="minorBidi" w:cstheme="minorBidi"/>
          <w:lang w:val="fr-FR"/>
        </w:rPr>
        <w:t>élargissant</w:t>
      </w:r>
      <w:r w:rsidR="0005273A" w:rsidRPr="009D1A93">
        <w:rPr>
          <w:rFonts w:asciiTheme="minorBidi" w:hAnsiTheme="minorBidi" w:cstheme="minorBidi"/>
          <w:lang w:val="fr-FR"/>
        </w:rPr>
        <w:t xml:space="preserve"> l</w:t>
      </w:r>
      <w:r w:rsidR="00CA0916" w:rsidRPr="009D1A93">
        <w:rPr>
          <w:rFonts w:asciiTheme="minorBidi" w:hAnsiTheme="minorBidi" w:cstheme="minorBidi"/>
          <w:lang w:val="fr-FR"/>
        </w:rPr>
        <w:t>’</w:t>
      </w:r>
      <w:r w:rsidR="0005273A" w:rsidRPr="009D1A93">
        <w:rPr>
          <w:rFonts w:asciiTheme="minorBidi" w:hAnsiTheme="minorBidi" w:cstheme="minorBidi"/>
          <w:lang w:val="fr-FR"/>
        </w:rPr>
        <w:t>approche du renforcement des capacités</w:t>
      </w:r>
      <w:r w:rsidR="00240379" w:rsidRPr="009D1A93">
        <w:rPr>
          <w:rFonts w:asciiTheme="minorBidi" w:hAnsiTheme="minorBidi" w:cstheme="minorBidi"/>
          <w:lang w:val="fr-FR"/>
        </w:rPr>
        <w:t>, répon</w:t>
      </w:r>
      <w:r w:rsidR="00003AC4" w:rsidRPr="009D1A93">
        <w:rPr>
          <w:rFonts w:asciiTheme="minorBidi" w:hAnsiTheme="minorBidi" w:cstheme="minorBidi"/>
          <w:lang w:val="fr-FR"/>
        </w:rPr>
        <w:t>dant</w:t>
      </w:r>
      <w:r w:rsidR="00240379" w:rsidRPr="009D1A93">
        <w:rPr>
          <w:rFonts w:asciiTheme="minorBidi" w:hAnsiTheme="minorBidi" w:cstheme="minorBidi"/>
          <w:lang w:val="fr-FR"/>
        </w:rPr>
        <w:t xml:space="preserve"> aux situations d</w:t>
      </w:r>
      <w:r w:rsidR="00CA0916" w:rsidRPr="009D1A93">
        <w:rPr>
          <w:rFonts w:asciiTheme="minorBidi" w:hAnsiTheme="minorBidi" w:cstheme="minorBidi"/>
          <w:lang w:val="fr-FR"/>
        </w:rPr>
        <w:t>’</w:t>
      </w:r>
      <w:r w:rsidR="00240379" w:rsidRPr="009D1A93">
        <w:rPr>
          <w:rFonts w:asciiTheme="minorBidi" w:hAnsiTheme="minorBidi" w:cstheme="minorBidi"/>
          <w:lang w:val="fr-FR"/>
        </w:rPr>
        <w:t xml:space="preserve">urgence et </w:t>
      </w:r>
      <w:r w:rsidR="00042020" w:rsidRPr="009D1A93">
        <w:rPr>
          <w:rFonts w:asciiTheme="minorBidi" w:hAnsiTheme="minorBidi" w:cstheme="minorBidi"/>
          <w:lang w:val="fr-FR"/>
        </w:rPr>
        <w:t>développant</w:t>
      </w:r>
      <w:r w:rsidR="00240379" w:rsidRPr="009D1A93">
        <w:rPr>
          <w:rFonts w:asciiTheme="minorBidi" w:hAnsiTheme="minorBidi" w:cstheme="minorBidi"/>
          <w:lang w:val="fr-FR"/>
        </w:rPr>
        <w:t xml:space="preserve"> de nouveaux domaines thématiques</w:t>
      </w:r>
      <w:r w:rsidR="0048677C" w:rsidRPr="009D1A93">
        <w:rPr>
          <w:rFonts w:asciiTheme="minorBidi" w:hAnsiTheme="minorBidi" w:cstheme="minorBidi"/>
          <w:lang w:val="fr-FR"/>
        </w:rPr>
        <w:t>. Pour l</w:t>
      </w:r>
      <w:r w:rsidR="00CA0916" w:rsidRPr="009D1A93">
        <w:rPr>
          <w:rFonts w:asciiTheme="minorBidi" w:hAnsiTheme="minorBidi" w:cstheme="minorBidi"/>
          <w:lang w:val="fr-FR"/>
        </w:rPr>
        <w:t>’</w:t>
      </w:r>
      <w:r w:rsidR="009D0AF1" w:rsidRPr="009D1A93">
        <w:rPr>
          <w:rFonts w:asciiTheme="minorBidi" w:hAnsiTheme="minorBidi" w:cstheme="minorBidi"/>
          <w:lang w:val="fr-FR"/>
        </w:rPr>
        <w:t>avenir, trois domaines d</w:t>
      </w:r>
      <w:r w:rsidR="00CA0916" w:rsidRPr="009D1A93">
        <w:rPr>
          <w:rFonts w:asciiTheme="minorBidi" w:hAnsiTheme="minorBidi" w:cstheme="minorBidi"/>
          <w:lang w:val="fr-FR"/>
        </w:rPr>
        <w:t>’</w:t>
      </w:r>
      <w:r w:rsidR="009D0AF1" w:rsidRPr="009D1A93">
        <w:rPr>
          <w:rFonts w:asciiTheme="minorBidi" w:hAnsiTheme="minorBidi" w:cstheme="minorBidi"/>
          <w:lang w:val="fr-FR"/>
        </w:rPr>
        <w:t xml:space="preserve">intervention </w:t>
      </w:r>
      <w:r w:rsidR="00763035" w:rsidRPr="009D1A93">
        <w:rPr>
          <w:rFonts w:asciiTheme="minorBidi" w:hAnsiTheme="minorBidi" w:cstheme="minorBidi"/>
          <w:lang w:val="fr-FR"/>
        </w:rPr>
        <w:t>semblent mériter d</w:t>
      </w:r>
      <w:r w:rsidR="00CA0916" w:rsidRPr="009D1A93">
        <w:rPr>
          <w:rFonts w:asciiTheme="minorBidi" w:hAnsiTheme="minorBidi" w:cstheme="minorBidi"/>
          <w:lang w:val="fr-FR"/>
        </w:rPr>
        <w:t>’</w:t>
      </w:r>
      <w:r w:rsidR="00763035" w:rsidRPr="009D1A93">
        <w:rPr>
          <w:rFonts w:asciiTheme="minorBidi" w:hAnsiTheme="minorBidi" w:cstheme="minorBidi"/>
          <w:lang w:val="fr-FR"/>
        </w:rPr>
        <w:t>être soulignés</w:t>
      </w:r>
      <w:r w:rsidR="009D0AF1" w:rsidRPr="009D1A93">
        <w:rPr>
          <w:rFonts w:asciiTheme="minorBidi" w:hAnsiTheme="minorBidi" w:cstheme="minorBidi"/>
          <w:lang w:val="fr-FR"/>
        </w:rPr>
        <w:t>.</w:t>
      </w:r>
    </w:p>
    <w:p w14:paraId="3CC64D8E" w14:textId="145CD6CC" w:rsidR="00B625DE" w:rsidRPr="009D1A93" w:rsidRDefault="009800D3" w:rsidP="00F2660D">
      <w:pPr>
        <w:pStyle w:val="GAPara"/>
        <w:keepLines/>
        <w:numPr>
          <w:ilvl w:val="0"/>
          <w:numId w:val="6"/>
        </w:numPr>
        <w:ind w:left="567" w:hanging="567"/>
        <w:jc w:val="both"/>
        <w:rPr>
          <w:lang w:val="fr-FR"/>
        </w:rPr>
      </w:pPr>
      <w:r w:rsidRPr="009D1A93">
        <w:rPr>
          <w:lang w:val="fr-FR"/>
        </w:rPr>
        <w:lastRenderedPageBreak/>
        <w:t>Les résultats de la réflexion globale sur les mécanismes d</w:t>
      </w:r>
      <w:r w:rsidR="00CA0916" w:rsidRPr="009D1A93">
        <w:rPr>
          <w:lang w:val="fr-FR"/>
        </w:rPr>
        <w:t>’</w:t>
      </w:r>
      <w:r w:rsidRPr="009D1A93">
        <w:rPr>
          <w:lang w:val="fr-FR"/>
        </w:rPr>
        <w:t xml:space="preserve">inscription sont particulièrement encourageants et marquent une étape importante dans le développement futur de la Convention. Les révisions approuvées des </w:t>
      </w:r>
      <w:r w:rsidR="00922A6B" w:rsidRPr="009D1A93">
        <w:rPr>
          <w:lang w:val="fr-FR"/>
        </w:rPr>
        <w:t>d</w:t>
      </w:r>
      <w:r w:rsidRPr="009D1A93">
        <w:rPr>
          <w:lang w:val="fr-FR"/>
        </w:rPr>
        <w:t>irectives opérationnelles devraient servir à renforcer la crédibilité et l</w:t>
      </w:r>
      <w:r w:rsidR="00CA0916" w:rsidRPr="009D1A93">
        <w:rPr>
          <w:lang w:val="fr-FR"/>
        </w:rPr>
        <w:t>’</w:t>
      </w:r>
      <w:r w:rsidRPr="009D1A93">
        <w:rPr>
          <w:lang w:val="fr-FR"/>
        </w:rPr>
        <w:t>opérationnalisation des mécanismes d</w:t>
      </w:r>
      <w:r w:rsidR="00CA0916" w:rsidRPr="009D1A93">
        <w:rPr>
          <w:lang w:val="fr-FR"/>
        </w:rPr>
        <w:t>’</w:t>
      </w:r>
      <w:r w:rsidRPr="009D1A93">
        <w:rPr>
          <w:lang w:val="fr-FR"/>
        </w:rPr>
        <w:t xml:space="preserve">inscription. </w:t>
      </w:r>
      <w:r w:rsidR="0005273A" w:rsidRPr="009D1A93">
        <w:rPr>
          <w:rFonts w:asciiTheme="minorBidi" w:hAnsiTheme="minorBidi" w:cstheme="minorBidi"/>
          <w:lang w:val="fr-FR"/>
        </w:rPr>
        <w:t xml:space="preserve">Il </w:t>
      </w:r>
      <w:r w:rsidR="00763035" w:rsidRPr="009D1A93">
        <w:rPr>
          <w:rFonts w:asciiTheme="minorBidi" w:hAnsiTheme="minorBidi" w:cstheme="minorBidi"/>
          <w:lang w:val="fr-FR"/>
        </w:rPr>
        <w:t xml:space="preserve">sera </w:t>
      </w:r>
      <w:r w:rsidR="0005273A" w:rsidRPr="009D1A93">
        <w:rPr>
          <w:rFonts w:asciiTheme="minorBidi" w:hAnsiTheme="minorBidi" w:cstheme="minorBidi"/>
          <w:lang w:val="fr-FR"/>
        </w:rPr>
        <w:t xml:space="preserve">important de </w:t>
      </w:r>
      <w:r w:rsidR="00763035" w:rsidRPr="009D1A93">
        <w:rPr>
          <w:rFonts w:asciiTheme="minorBidi" w:hAnsiTheme="minorBidi" w:cstheme="minorBidi"/>
          <w:lang w:val="fr-FR"/>
        </w:rPr>
        <w:t xml:space="preserve">prévoir un certain </w:t>
      </w:r>
      <w:r w:rsidR="0005273A" w:rsidRPr="009D1A93">
        <w:rPr>
          <w:rFonts w:asciiTheme="minorBidi" w:hAnsiTheme="minorBidi" w:cstheme="minorBidi"/>
          <w:lang w:val="fr-FR"/>
        </w:rPr>
        <w:t>temps pour que les résultats de la réflexion globale sur les mécanismes d</w:t>
      </w:r>
      <w:r w:rsidR="00CA0916" w:rsidRPr="009D1A93">
        <w:rPr>
          <w:rFonts w:asciiTheme="minorBidi" w:hAnsiTheme="minorBidi" w:cstheme="minorBidi"/>
          <w:lang w:val="fr-FR"/>
        </w:rPr>
        <w:t>’</w:t>
      </w:r>
      <w:r w:rsidR="0005273A" w:rsidRPr="009D1A93">
        <w:rPr>
          <w:rFonts w:asciiTheme="minorBidi" w:hAnsiTheme="minorBidi" w:cstheme="minorBidi"/>
          <w:lang w:val="fr-FR"/>
        </w:rPr>
        <w:t xml:space="preserve">inscription prennent </w:t>
      </w:r>
      <w:r w:rsidR="00763035" w:rsidRPr="009D1A93">
        <w:rPr>
          <w:rFonts w:asciiTheme="minorBidi" w:hAnsiTheme="minorBidi" w:cstheme="minorBidi"/>
          <w:lang w:val="fr-FR"/>
        </w:rPr>
        <w:t xml:space="preserve">effet, car les révisions des </w:t>
      </w:r>
      <w:r w:rsidR="00922A6B" w:rsidRPr="009D1A93">
        <w:rPr>
          <w:rFonts w:asciiTheme="minorBidi" w:hAnsiTheme="minorBidi" w:cstheme="minorBidi"/>
          <w:lang w:val="fr-FR"/>
        </w:rPr>
        <w:t>d</w:t>
      </w:r>
      <w:r w:rsidR="00763035" w:rsidRPr="009D1A93">
        <w:rPr>
          <w:rFonts w:asciiTheme="minorBidi" w:hAnsiTheme="minorBidi" w:cstheme="minorBidi"/>
          <w:lang w:val="fr-FR"/>
        </w:rPr>
        <w:t xml:space="preserve">irectives opérationnelles </w:t>
      </w:r>
      <w:r w:rsidR="0005273A" w:rsidRPr="009D1A93">
        <w:rPr>
          <w:rFonts w:asciiTheme="minorBidi" w:hAnsiTheme="minorBidi" w:cstheme="minorBidi"/>
          <w:lang w:val="fr-FR"/>
        </w:rPr>
        <w:t xml:space="preserve">touchent </w:t>
      </w:r>
      <w:r w:rsidR="00763035" w:rsidRPr="009D1A93">
        <w:rPr>
          <w:rFonts w:asciiTheme="minorBidi" w:hAnsiTheme="minorBidi" w:cstheme="minorBidi"/>
          <w:lang w:val="fr-FR"/>
        </w:rPr>
        <w:t xml:space="preserve">à </w:t>
      </w:r>
      <w:r w:rsidR="0005273A" w:rsidRPr="009D1A93">
        <w:rPr>
          <w:rFonts w:asciiTheme="minorBidi" w:hAnsiTheme="minorBidi" w:cstheme="minorBidi"/>
          <w:lang w:val="fr-FR"/>
        </w:rPr>
        <w:t xml:space="preserve">de nombreux aspects qui devront être mis en œuvre à travers plusieurs cycles </w:t>
      </w:r>
      <w:r w:rsidR="00763035" w:rsidRPr="009D1A93">
        <w:rPr>
          <w:rFonts w:asciiTheme="minorBidi" w:hAnsiTheme="minorBidi" w:cstheme="minorBidi"/>
          <w:lang w:val="fr-FR"/>
        </w:rPr>
        <w:t>avant que leurs effets puissent être évalués de manière fiable</w:t>
      </w:r>
      <w:r w:rsidR="0005273A" w:rsidRPr="009D1A93">
        <w:rPr>
          <w:rFonts w:asciiTheme="minorBidi" w:hAnsiTheme="minorBidi" w:cstheme="minorBidi"/>
          <w:lang w:val="fr-FR"/>
        </w:rPr>
        <w:t xml:space="preserve">. En même temps, </w:t>
      </w:r>
      <w:r w:rsidR="00164B03" w:rsidRPr="009D1A93">
        <w:rPr>
          <w:rFonts w:asciiTheme="minorBidi" w:hAnsiTheme="minorBidi" w:cstheme="minorBidi"/>
          <w:lang w:val="fr-FR"/>
        </w:rPr>
        <w:t xml:space="preserve">le </w:t>
      </w:r>
      <w:r w:rsidR="0037324A" w:rsidRPr="009D1A93">
        <w:rPr>
          <w:rFonts w:asciiTheme="minorBidi" w:hAnsiTheme="minorBidi" w:cstheme="minorBidi"/>
          <w:lang w:val="fr-FR"/>
        </w:rPr>
        <w:t xml:space="preserve">Secrétariat </w:t>
      </w:r>
      <w:r w:rsidR="0005273A" w:rsidRPr="009D1A93">
        <w:rPr>
          <w:rFonts w:asciiTheme="minorBidi" w:hAnsiTheme="minorBidi" w:cstheme="minorBidi"/>
          <w:lang w:val="fr-FR"/>
        </w:rPr>
        <w:t>n</w:t>
      </w:r>
      <w:r w:rsidR="00CA0916" w:rsidRPr="009D1A93">
        <w:rPr>
          <w:rFonts w:asciiTheme="minorBidi" w:hAnsiTheme="minorBidi" w:cstheme="minorBidi"/>
          <w:lang w:val="fr-FR"/>
        </w:rPr>
        <w:t>’</w:t>
      </w:r>
      <w:r w:rsidR="0005273A" w:rsidRPr="009D1A93">
        <w:rPr>
          <w:rFonts w:asciiTheme="minorBidi" w:hAnsiTheme="minorBidi" w:cstheme="minorBidi"/>
          <w:lang w:val="fr-FR"/>
        </w:rPr>
        <w:t xml:space="preserve">a pas perdu de temps pour commencer à </w:t>
      </w:r>
      <w:r w:rsidR="0037324A" w:rsidRPr="009D1A93">
        <w:rPr>
          <w:rFonts w:asciiTheme="minorBidi" w:hAnsiTheme="minorBidi" w:cstheme="minorBidi"/>
          <w:lang w:val="fr-FR"/>
        </w:rPr>
        <w:t>préparer le soutien à la nouvelle réflexion sur une mise en œuvre plus large de l</w:t>
      </w:r>
      <w:r w:rsidR="00CA0916" w:rsidRPr="009D1A93">
        <w:rPr>
          <w:rFonts w:asciiTheme="minorBidi" w:hAnsiTheme="minorBidi" w:cstheme="minorBidi"/>
          <w:lang w:val="fr-FR"/>
        </w:rPr>
        <w:t>’</w:t>
      </w:r>
      <w:r w:rsidR="0037324A" w:rsidRPr="009D1A93">
        <w:rPr>
          <w:rFonts w:asciiTheme="minorBidi" w:hAnsiTheme="minorBidi" w:cstheme="minorBidi"/>
          <w:lang w:val="fr-FR"/>
        </w:rPr>
        <w:t xml:space="preserve">article 18 de la Convention. Cette </w:t>
      </w:r>
      <w:r w:rsidR="00164B03" w:rsidRPr="009D1A93">
        <w:rPr>
          <w:rFonts w:asciiTheme="minorBidi" w:hAnsiTheme="minorBidi" w:cstheme="minorBidi"/>
          <w:lang w:val="fr-FR"/>
        </w:rPr>
        <w:t xml:space="preserve">réflexion intergouvernementale </w:t>
      </w:r>
      <w:r w:rsidR="0037324A" w:rsidRPr="009D1A93">
        <w:rPr>
          <w:rFonts w:asciiTheme="minorBidi" w:hAnsiTheme="minorBidi" w:cstheme="minorBidi"/>
          <w:lang w:val="fr-FR"/>
        </w:rPr>
        <w:t xml:space="preserve">devrait </w:t>
      </w:r>
      <w:r w:rsidR="00164B03" w:rsidRPr="009D1A93">
        <w:rPr>
          <w:rFonts w:asciiTheme="minorBidi" w:hAnsiTheme="minorBidi" w:cstheme="minorBidi"/>
          <w:lang w:val="fr-FR"/>
        </w:rPr>
        <w:t>amener la Convention à un autre niveau de maturité</w:t>
      </w:r>
      <w:r w:rsidR="0005273A" w:rsidRPr="009D1A93">
        <w:rPr>
          <w:rFonts w:asciiTheme="minorBidi" w:hAnsiTheme="minorBidi" w:cstheme="minorBidi"/>
          <w:lang w:val="fr-FR"/>
        </w:rPr>
        <w:t xml:space="preserve">, </w:t>
      </w:r>
      <w:r w:rsidR="00164B03" w:rsidRPr="009D1A93">
        <w:rPr>
          <w:rFonts w:asciiTheme="minorBidi" w:hAnsiTheme="minorBidi" w:cstheme="minorBidi"/>
          <w:lang w:val="fr-FR"/>
        </w:rPr>
        <w:t xml:space="preserve">permettant un dialogue et une collaboration plus approfondis entre les </w:t>
      </w:r>
      <w:r w:rsidR="00763035" w:rsidRPr="009D1A93">
        <w:rPr>
          <w:rFonts w:asciiTheme="minorBidi" w:hAnsiTheme="minorBidi" w:cstheme="minorBidi"/>
          <w:lang w:val="fr-FR"/>
        </w:rPr>
        <w:t xml:space="preserve">différentes </w:t>
      </w:r>
      <w:r w:rsidR="00164B03" w:rsidRPr="009D1A93">
        <w:rPr>
          <w:rFonts w:asciiTheme="minorBidi" w:hAnsiTheme="minorBidi" w:cstheme="minorBidi"/>
          <w:lang w:val="fr-FR"/>
        </w:rPr>
        <w:t xml:space="preserve">parties prenantes autour du thème de </w:t>
      </w:r>
      <w:r w:rsidR="00763035" w:rsidRPr="009D1A93">
        <w:rPr>
          <w:rFonts w:asciiTheme="minorBidi" w:hAnsiTheme="minorBidi" w:cstheme="minorBidi"/>
          <w:lang w:val="fr-FR"/>
        </w:rPr>
        <w:t xml:space="preserve">bonnes pratiques pour la sauvegarde du </w:t>
      </w:r>
      <w:r w:rsidR="00164B03" w:rsidRPr="009D1A93">
        <w:rPr>
          <w:rFonts w:asciiTheme="minorBidi" w:hAnsiTheme="minorBidi" w:cstheme="minorBidi"/>
          <w:lang w:val="fr-FR"/>
        </w:rPr>
        <w:t>patrimoine vivant.</w:t>
      </w:r>
    </w:p>
    <w:p w14:paraId="1E9A26A4" w14:textId="273A7E84" w:rsidR="00B625DE" w:rsidRPr="009D1A93" w:rsidRDefault="009800D3">
      <w:pPr>
        <w:pStyle w:val="GAPara"/>
        <w:numPr>
          <w:ilvl w:val="0"/>
          <w:numId w:val="6"/>
        </w:numPr>
        <w:ind w:left="567" w:hanging="567"/>
        <w:jc w:val="both"/>
        <w:rPr>
          <w:lang w:val="fr-FR"/>
        </w:rPr>
      </w:pPr>
      <w:r w:rsidRPr="009D1A93">
        <w:rPr>
          <w:lang w:val="fr-FR"/>
        </w:rPr>
        <w:t xml:space="preserve">La nette amélioration des taux de soumission des rapports périodiques dans les deux régions où </w:t>
      </w:r>
      <w:r w:rsidRPr="009D1A93">
        <w:rPr>
          <w:rFonts w:asciiTheme="minorBidi" w:hAnsiTheme="minorBidi" w:cstheme="minorBidi"/>
          <w:lang w:val="fr-FR"/>
        </w:rPr>
        <w:t xml:space="preserve">le </w:t>
      </w:r>
      <w:r w:rsidRPr="009D1A93">
        <w:rPr>
          <w:lang w:val="fr-FR"/>
        </w:rPr>
        <w:t>système réformé a été appliqué jusqu</w:t>
      </w:r>
      <w:r w:rsidR="00CA0916" w:rsidRPr="009D1A93">
        <w:rPr>
          <w:lang w:val="fr-FR"/>
        </w:rPr>
        <w:t>’</w:t>
      </w:r>
      <w:r w:rsidRPr="009D1A93">
        <w:rPr>
          <w:lang w:val="fr-FR"/>
        </w:rPr>
        <w:t xml:space="preserve">à présent reflète une large participation des États parties. Pour autant que la </w:t>
      </w:r>
      <w:r w:rsidRPr="009D1A93">
        <w:rPr>
          <w:rFonts w:asciiTheme="minorBidi" w:hAnsiTheme="minorBidi" w:cstheme="minorBidi"/>
          <w:lang w:val="fr-FR"/>
        </w:rPr>
        <w:t xml:space="preserve">tendance </w:t>
      </w:r>
      <w:r w:rsidRPr="009D1A93">
        <w:rPr>
          <w:lang w:val="fr-FR"/>
        </w:rPr>
        <w:t>positive en matière de soumission de rapports se poursuive au cours des cycles suivants, l</w:t>
      </w:r>
      <w:r w:rsidR="00CA0916" w:rsidRPr="009D1A93">
        <w:rPr>
          <w:lang w:val="fr-FR"/>
        </w:rPr>
        <w:t>’</w:t>
      </w:r>
      <w:r w:rsidRPr="009D1A93">
        <w:rPr>
          <w:lang w:val="fr-FR"/>
        </w:rPr>
        <w:t>efficacité globale du système de présentation de rapports pour éclairer les décisions futures dépendra de la manière dont la grande quantité de données produites sera traitée et mise à disposition. Comme l</w:t>
      </w:r>
      <w:r w:rsidR="00CA0916" w:rsidRPr="009D1A93">
        <w:rPr>
          <w:lang w:val="fr-FR"/>
        </w:rPr>
        <w:t>’</w:t>
      </w:r>
      <w:r w:rsidRPr="009D1A93">
        <w:rPr>
          <w:lang w:val="fr-FR"/>
        </w:rPr>
        <w:t>a souligné l</w:t>
      </w:r>
      <w:r w:rsidR="00CA0916" w:rsidRPr="009D1A93">
        <w:rPr>
          <w:lang w:val="fr-FR"/>
        </w:rPr>
        <w:t>’</w:t>
      </w:r>
      <w:r w:rsidRPr="009D1A93">
        <w:rPr>
          <w:lang w:val="fr-FR"/>
        </w:rPr>
        <w:t>évaluation d</w:t>
      </w:r>
      <w:r w:rsidR="00CA0916" w:rsidRPr="009D1A93">
        <w:rPr>
          <w:lang w:val="fr-FR"/>
        </w:rPr>
        <w:t>’</w:t>
      </w:r>
      <w:r w:rsidRPr="009D1A93">
        <w:rPr>
          <w:lang w:val="fr-FR"/>
        </w:rPr>
        <w:t xml:space="preserve">IOS 2021, une réflexion plus approfondie </w:t>
      </w:r>
      <w:r w:rsidR="00B03E9E" w:rsidRPr="009D1A93">
        <w:rPr>
          <w:lang w:val="fr-FR"/>
        </w:rPr>
        <w:t xml:space="preserve">est </w:t>
      </w:r>
      <w:r w:rsidRPr="009D1A93">
        <w:rPr>
          <w:lang w:val="fr-FR"/>
        </w:rPr>
        <w:t xml:space="preserve">nécessaire </w:t>
      </w:r>
      <w:r w:rsidR="00B03E9E" w:rsidRPr="009D1A93">
        <w:rPr>
          <w:lang w:val="fr-FR"/>
        </w:rPr>
        <w:t>sur les utilisations potentielles des données collectées par le biais des rapports périodiques, ainsi que sur les stratégies permettant de les rendre largement disponibles de manière digeste et visuelle</w:t>
      </w:r>
      <w:r w:rsidR="008431E3" w:rsidRPr="009D1A93">
        <w:rPr>
          <w:lang w:val="fr-FR"/>
        </w:rPr>
        <w:t>.</w:t>
      </w:r>
      <w:r w:rsidR="00B03E9E" w:rsidRPr="009D1A93">
        <w:rPr>
          <w:lang w:val="fr-FR"/>
        </w:rPr>
        <w:t xml:space="preserve"> L</w:t>
      </w:r>
      <w:r w:rsidR="00CA0916" w:rsidRPr="009D1A93">
        <w:rPr>
          <w:lang w:val="fr-FR"/>
        </w:rPr>
        <w:t>’</w:t>
      </w:r>
      <w:r w:rsidR="00B03E9E" w:rsidRPr="009D1A93">
        <w:rPr>
          <w:lang w:val="fr-FR"/>
        </w:rPr>
        <w:t xml:space="preserve">année de </w:t>
      </w:r>
      <w:r w:rsidR="001825E9" w:rsidRPr="009D1A93">
        <w:rPr>
          <w:lang w:val="fr-FR"/>
        </w:rPr>
        <w:t xml:space="preserve">réflexion </w:t>
      </w:r>
      <w:r w:rsidR="00B03E9E" w:rsidRPr="009D1A93">
        <w:rPr>
          <w:lang w:val="fr-FR"/>
        </w:rPr>
        <w:t>du cycle de six ans (2026) sera consacrée à la production d</w:t>
      </w:r>
      <w:r w:rsidR="00CA0916" w:rsidRPr="009D1A93">
        <w:rPr>
          <w:lang w:val="fr-FR"/>
        </w:rPr>
        <w:t>’</w:t>
      </w:r>
      <w:r w:rsidR="00B03E9E" w:rsidRPr="009D1A93">
        <w:rPr>
          <w:lang w:val="fr-FR"/>
        </w:rPr>
        <w:t xml:space="preserve">une synapse </w:t>
      </w:r>
      <w:r w:rsidR="00E8143B" w:rsidRPr="009D1A93">
        <w:rPr>
          <w:lang w:val="fr-FR"/>
        </w:rPr>
        <w:t>globale</w:t>
      </w:r>
      <w:r w:rsidR="00B03E9E" w:rsidRPr="009D1A93">
        <w:rPr>
          <w:lang w:val="fr-FR"/>
        </w:rPr>
        <w:t xml:space="preserve">. Ceci est également lié </w:t>
      </w:r>
      <w:r w:rsidR="00CC49DA" w:rsidRPr="009D1A93">
        <w:rPr>
          <w:lang w:val="fr-FR"/>
        </w:rPr>
        <w:t xml:space="preserve">à la </w:t>
      </w:r>
      <w:r w:rsidR="00FA309D" w:rsidRPr="009D1A93">
        <w:rPr>
          <w:lang w:val="fr-FR"/>
        </w:rPr>
        <w:t>Conférence mondiale de l</w:t>
      </w:r>
      <w:r w:rsidR="00CA0916" w:rsidRPr="009D1A93">
        <w:rPr>
          <w:lang w:val="fr-FR"/>
        </w:rPr>
        <w:t>’</w:t>
      </w:r>
      <w:r w:rsidR="00FA309D" w:rsidRPr="009D1A93">
        <w:rPr>
          <w:lang w:val="fr-FR"/>
        </w:rPr>
        <w:t xml:space="preserve">UNESCO sur les politiques culturelles et le développement durable </w:t>
      </w:r>
      <w:r w:rsidR="001825E9" w:rsidRPr="009D1A93">
        <w:rPr>
          <w:lang w:val="fr-FR"/>
        </w:rPr>
        <w:t xml:space="preserve">(réunion Mondiacult) </w:t>
      </w:r>
      <w:r w:rsidR="00CC49DA" w:rsidRPr="009D1A93">
        <w:rPr>
          <w:lang w:val="fr-FR"/>
        </w:rPr>
        <w:t>qui s</w:t>
      </w:r>
      <w:r w:rsidR="00CA0916" w:rsidRPr="009D1A93">
        <w:rPr>
          <w:lang w:val="fr-FR"/>
        </w:rPr>
        <w:t>’</w:t>
      </w:r>
      <w:r w:rsidR="00CC49DA" w:rsidRPr="009D1A93">
        <w:rPr>
          <w:lang w:val="fr-FR"/>
        </w:rPr>
        <w:t>est tenue récemment</w:t>
      </w:r>
      <w:r w:rsidR="00FA309D" w:rsidRPr="009D1A93">
        <w:rPr>
          <w:lang w:val="fr-FR"/>
        </w:rPr>
        <w:t xml:space="preserve">. En effet, la </w:t>
      </w:r>
      <w:hyperlink r:id="rId50" w:history="1">
        <w:r w:rsidR="00D8635D" w:rsidRPr="009D1A93">
          <w:rPr>
            <w:rStyle w:val="Lienhypertexte"/>
            <w:rFonts w:cs="Arial"/>
            <w:lang w:val="fr-FR"/>
          </w:rPr>
          <w:t>D</w:t>
        </w:r>
        <w:r w:rsidR="00FA309D" w:rsidRPr="009D1A93">
          <w:rPr>
            <w:rStyle w:val="Lienhypertexte"/>
            <w:rFonts w:cs="Arial"/>
            <w:lang w:val="fr-FR"/>
          </w:rPr>
          <w:t>éclaration finale</w:t>
        </w:r>
      </w:hyperlink>
      <w:r w:rsidR="00FA309D" w:rsidRPr="009D1A93">
        <w:rPr>
          <w:lang w:val="fr-FR"/>
        </w:rPr>
        <w:t xml:space="preserve"> appelle </w:t>
      </w:r>
      <w:r w:rsidR="00CC49DA" w:rsidRPr="009D1A93">
        <w:rPr>
          <w:lang w:val="fr-FR"/>
        </w:rPr>
        <w:t>l</w:t>
      </w:r>
      <w:r w:rsidR="00CA0916" w:rsidRPr="009D1A93">
        <w:rPr>
          <w:lang w:val="fr-FR"/>
        </w:rPr>
        <w:t>’</w:t>
      </w:r>
      <w:r w:rsidR="00CC49DA" w:rsidRPr="009D1A93">
        <w:rPr>
          <w:lang w:val="fr-FR"/>
        </w:rPr>
        <w:t>UNESCO à produire un rapport global complet sur les politiques culturelles sur une base quadriennale, en s</w:t>
      </w:r>
      <w:r w:rsidR="00CA0916" w:rsidRPr="009D1A93">
        <w:rPr>
          <w:lang w:val="fr-FR"/>
        </w:rPr>
        <w:t>’</w:t>
      </w:r>
      <w:r w:rsidR="00CC49DA" w:rsidRPr="009D1A93">
        <w:rPr>
          <w:lang w:val="fr-FR"/>
        </w:rPr>
        <w:t>appuyant sur les informations, les données et les indicateurs existants fournis par ses États membres, notamment dans le cadre des rapports périodiques de l</w:t>
      </w:r>
      <w:r w:rsidR="00CA0916" w:rsidRPr="009D1A93">
        <w:rPr>
          <w:lang w:val="fr-FR"/>
        </w:rPr>
        <w:t>’</w:t>
      </w:r>
      <w:r w:rsidR="00CC49DA" w:rsidRPr="009D1A93">
        <w:rPr>
          <w:lang w:val="fr-FR"/>
        </w:rPr>
        <w:t>ensemble des instruments normatifs de l</w:t>
      </w:r>
      <w:r w:rsidR="00CA0916" w:rsidRPr="009D1A93">
        <w:rPr>
          <w:lang w:val="fr-FR"/>
        </w:rPr>
        <w:t>’</w:t>
      </w:r>
      <w:r w:rsidR="00CC49DA" w:rsidRPr="009D1A93">
        <w:rPr>
          <w:lang w:val="fr-FR"/>
        </w:rPr>
        <w:t xml:space="preserve">UNESCO dans le domaine de la culture. Il </w:t>
      </w:r>
      <w:r w:rsidR="00B03E9E" w:rsidRPr="009D1A93">
        <w:rPr>
          <w:lang w:val="fr-FR"/>
        </w:rPr>
        <w:t xml:space="preserve">sera donc </w:t>
      </w:r>
      <w:r w:rsidR="00CC49DA" w:rsidRPr="009D1A93">
        <w:rPr>
          <w:lang w:val="fr-FR"/>
        </w:rPr>
        <w:t>important</w:t>
      </w:r>
      <w:r w:rsidR="00B03E9E" w:rsidRPr="009D1A93">
        <w:rPr>
          <w:lang w:val="fr-FR"/>
        </w:rPr>
        <w:t>, alors que la Convention finalise son premier cycle de rapports périodiques réformés</w:t>
      </w:r>
      <w:r w:rsidR="00CC49DA" w:rsidRPr="009D1A93">
        <w:rPr>
          <w:lang w:val="fr-FR"/>
        </w:rPr>
        <w:t>, de commencer à explorer la meilleure façon d</w:t>
      </w:r>
      <w:r w:rsidR="00CA0916" w:rsidRPr="009D1A93">
        <w:rPr>
          <w:lang w:val="fr-FR"/>
        </w:rPr>
        <w:t>’</w:t>
      </w:r>
      <w:r w:rsidR="00B03E9E" w:rsidRPr="009D1A93">
        <w:rPr>
          <w:lang w:val="fr-FR"/>
        </w:rPr>
        <w:t>ajuster le processus afin que les informations qu</w:t>
      </w:r>
      <w:r w:rsidR="00CA0916" w:rsidRPr="009D1A93">
        <w:rPr>
          <w:lang w:val="fr-FR"/>
        </w:rPr>
        <w:t>’</w:t>
      </w:r>
      <w:r w:rsidR="00B03E9E" w:rsidRPr="009D1A93">
        <w:rPr>
          <w:lang w:val="fr-FR"/>
        </w:rPr>
        <w:t xml:space="preserve">elle produit puissent également </w:t>
      </w:r>
      <w:r w:rsidR="00CC49DA" w:rsidRPr="009D1A93">
        <w:rPr>
          <w:lang w:val="fr-FR"/>
        </w:rPr>
        <w:t xml:space="preserve">contribuer </w:t>
      </w:r>
      <w:r w:rsidR="00B03E9E" w:rsidRPr="009D1A93">
        <w:rPr>
          <w:lang w:val="fr-FR"/>
        </w:rPr>
        <w:t xml:space="preserve">efficacement </w:t>
      </w:r>
      <w:r w:rsidR="00CC49DA" w:rsidRPr="009D1A93">
        <w:rPr>
          <w:lang w:val="fr-FR"/>
        </w:rPr>
        <w:t>à cette initiative</w:t>
      </w:r>
      <w:r w:rsidR="00B03E9E" w:rsidRPr="009D1A93">
        <w:rPr>
          <w:lang w:val="fr-FR"/>
        </w:rPr>
        <w:t>.</w:t>
      </w:r>
    </w:p>
    <w:p w14:paraId="1AC92431" w14:textId="64DA6020" w:rsidR="00B625DE" w:rsidRPr="009D1A93" w:rsidRDefault="009800D3" w:rsidP="00115DA3">
      <w:pPr>
        <w:pStyle w:val="GAPara"/>
        <w:keepLines/>
        <w:numPr>
          <w:ilvl w:val="0"/>
          <w:numId w:val="6"/>
        </w:numPr>
        <w:ind w:left="567" w:hanging="567"/>
        <w:jc w:val="both"/>
        <w:rPr>
          <w:lang w:val="fr-FR"/>
        </w:rPr>
      </w:pPr>
      <w:r w:rsidRPr="009D1A93">
        <w:rPr>
          <w:lang w:val="fr-FR"/>
        </w:rPr>
        <w:t xml:space="preserve">Les fenêtres thématiques visant à mettre en évidence et à renforcer la contribution du patrimoine vivant au développement </w:t>
      </w:r>
      <w:r w:rsidRPr="00243BF6">
        <w:rPr>
          <w:lang w:val="fr-FR"/>
        </w:rPr>
        <w:t xml:space="preserve">durable continueront sans aucun doute à gagner en importance </w:t>
      </w:r>
      <w:r w:rsidRPr="00F2660D">
        <w:rPr>
          <w:lang w:val="fr-FR"/>
        </w:rPr>
        <w:t>(</w:t>
      </w:r>
      <w:r w:rsidR="001825E9" w:rsidRPr="00F2660D">
        <w:rPr>
          <w:lang w:val="fr-FR"/>
        </w:rPr>
        <w:t xml:space="preserve">document </w:t>
      </w:r>
      <w:hyperlink r:id="rId51" w:history="1">
        <w:r w:rsidR="001825E9" w:rsidRPr="00F2660D">
          <w:rPr>
            <w:rStyle w:val="Lienhypertexte"/>
            <w:rFonts w:cs="Arial"/>
            <w:lang w:val="fr-FR"/>
          </w:rPr>
          <w:t>LHE/22/17.COM 13</w:t>
        </w:r>
      </w:hyperlink>
      <w:r w:rsidRPr="00243BF6">
        <w:rPr>
          <w:lang w:val="fr-FR"/>
        </w:rPr>
        <w:t>). À</w:t>
      </w:r>
      <w:r w:rsidRPr="009D1A93">
        <w:rPr>
          <w:lang w:val="fr-FR"/>
        </w:rPr>
        <w:t xml:space="preserve"> cet égard</w:t>
      </w:r>
      <w:r w:rsidR="002D470A" w:rsidRPr="009D1A93">
        <w:rPr>
          <w:lang w:val="fr-FR"/>
        </w:rPr>
        <w:t>, le Programme sur le patrimoine vivant et l</w:t>
      </w:r>
      <w:r w:rsidR="00CA0916" w:rsidRPr="009D1A93">
        <w:rPr>
          <w:lang w:val="fr-FR"/>
        </w:rPr>
        <w:t>’</w:t>
      </w:r>
      <w:r w:rsidR="002D470A" w:rsidRPr="009D1A93">
        <w:rPr>
          <w:lang w:val="fr-FR"/>
        </w:rPr>
        <w:t xml:space="preserve">éducation </w:t>
      </w:r>
      <w:r w:rsidRPr="009D1A93">
        <w:rPr>
          <w:lang w:val="fr-FR"/>
        </w:rPr>
        <w:t xml:space="preserve">prend son </w:t>
      </w:r>
      <w:r w:rsidR="002D470A" w:rsidRPr="009D1A93">
        <w:rPr>
          <w:lang w:val="fr-FR"/>
        </w:rPr>
        <w:t xml:space="preserve">élan </w:t>
      </w:r>
      <w:r w:rsidRPr="009D1A93">
        <w:rPr>
          <w:lang w:val="fr-FR"/>
        </w:rPr>
        <w:t xml:space="preserve">en </w:t>
      </w:r>
      <w:r w:rsidR="002D470A" w:rsidRPr="009D1A93">
        <w:rPr>
          <w:lang w:val="fr-FR"/>
        </w:rPr>
        <w:t>intensifiant la collaboration intersectorielle pour l</w:t>
      </w:r>
      <w:r w:rsidR="00CA0916" w:rsidRPr="009D1A93">
        <w:rPr>
          <w:lang w:val="fr-FR"/>
        </w:rPr>
        <w:t>’</w:t>
      </w:r>
      <w:r w:rsidR="002D470A" w:rsidRPr="009D1A93">
        <w:rPr>
          <w:lang w:val="fr-FR"/>
        </w:rPr>
        <w:t>élaboration d</w:t>
      </w:r>
      <w:r w:rsidR="00CA0916" w:rsidRPr="009D1A93">
        <w:rPr>
          <w:lang w:val="fr-FR"/>
        </w:rPr>
        <w:t>’</w:t>
      </w:r>
      <w:r w:rsidR="002D470A" w:rsidRPr="009D1A93">
        <w:rPr>
          <w:lang w:val="fr-FR"/>
        </w:rPr>
        <w:t xml:space="preserve">un </w:t>
      </w:r>
      <w:hyperlink r:id="rId52" w:history="1">
        <w:r w:rsidR="002D470A" w:rsidRPr="009D1A93">
          <w:rPr>
            <w:rStyle w:val="Lienhypertexte"/>
            <w:lang w:val="fr-FR"/>
          </w:rPr>
          <w:t>cadre de l</w:t>
        </w:r>
        <w:r w:rsidR="00CA0916" w:rsidRPr="009D1A93">
          <w:rPr>
            <w:rStyle w:val="Lienhypertexte"/>
            <w:lang w:val="fr-FR"/>
          </w:rPr>
          <w:t>’</w:t>
        </w:r>
        <w:r w:rsidR="002D470A" w:rsidRPr="009D1A93">
          <w:rPr>
            <w:rStyle w:val="Lienhypertexte"/>
            <w:lang w:val="fr-FR"/>
          </w:rPr>
          <w:t>UNESCO sur l</w:t>
        </w:r>
        <w:r w:rsidR="00CA0916" w:rsidRPr="009D1A93">
          <w:rPr>
            <w:rStyle w:val="Lienhypertexte"/>
            <w:lang w:val="fr-FR"/>
          </w:rPr>
          <w:t>’</w:t>
        </w:r>
        <w:r w:rsidR="002D470A" w:rsidRPr="009D1A93">
          <w:rPr>
            <w:rStyle w:val="Lienhypertexte"/>
            <w:lang w:val="fr-FR"/>
          </w:rPr>
          <w:t>éducation culturelle et artistique</w:t>
        </w:r>
      </w:hyperlink>
      <w:r w:rsidR="002D470A" w:rsidRPr="009D1A93">
        <w:rPr>
          <w:lang w:val="fr-FR"/>
        </w:rPr>
        <w:t>. Les travaux relatifs à ce cadre ont été approuvés lors de la récente session du Conseil exécutif (</w:t>
      </w:r>
      <w:r w:rsidR="005F73DE" w:rsidRPr="00F5173B">
        <w:rPr>
          <w:lang w:val="fr-FR"/>
        </w:rPr>
        <w:t xml:space="preserve">projet de </w:t>
      </w:r>
      <w:r w:rsidR="00243BF6">
        <w:rPr>
          <w:rFonts w:cs="Times New Roman"/>
          <w:lang w:val="fr-FR"/>
        </w:rPr>
        <w:t>d</w:t>
      </w:r>
      <w:r w:rsidR="005F73DE" w:rsidRPr="00F5173B">
        <w:rPr>
          <w:lang w:val="fr-FR"/>
        </w:rPr>
        <w:t xml:space="preserve">écision </w:t>
      </w:r>
      <w:hyperlink r:id="rId53" w:history="1">
        <w:r w:rsidR="005F73DE" w:rsidRPr="005F73DE">
          <w:rPr>
            <w:rStyle w:val="Lienhypertexte"/>
            <w:lang w:val="fr-FR"/>
          </w:rPr>
          <w:t>215EX/5.I.D</w:t>
        </w:r>
      </w:hyperlink>
      <w:r w:rsidR="002D470A" w:rsidRPr="009D1A93">
        <w:rPr>
          <w:lang w:val="fr-FR"/>
        </w:rPr>
        <w:t xml:space="preserve">) </w:t>
      </w:r>
      <w:r w:rsidR="005E2C86" w:rsidRPr="009D1A93">
        <w:rPr>
          <w:lang w:val="fr-FR"/>
        </w:rPr>
        <w:t xml:space="preserve">et ont également été </w:t>
      </w:r>
      <w:r w:rsidR="002D470A" w:rsidRPr="009D1A93">
        <w:rPr>
          <w:lang w:val="fr-FR"/>
        </w:rPr>
        <w:t xml:space="preserve">soulignés dans la </w:t>
      </w:r>
      <w:hyperlink r:id="rId54" w:history="1">
        <w:r w:rsidR="00ED099D" w:rsidRPr="009D1A93">
          <w:rPr>
            <w:rStyle w:val="Lienhypertexte"/>
            <w:rFonts w:cs="Arial"/>
            <w:lang w:val="fr-FR"/>
          </w:rPr>
          <w:t>D</w:t>
        </w:r>
        <w:r w:rsidR="002D470A" w:rsidRPr="009D1A93">
          <w:rPr>
            <w:rStyle w:val="Lienhypertexte"/>
            <w:rFonts w:cs="Arial"/>
            <w:lang w:val="fr-FR"/>
          </w:rPr>
          <w:t>éclaration finale</w:t>
        </w:r>
      </w:hyperlink>
      <w:r w:rsidR="002D470A" w:rsidRPr="009D1A93">
        <w:rPr>
          <w:lang w:val="fr-FR"/>
        </w:rPr>
        <w:t xml:space="preserve"> de la </w:t>
      </w:r>
      <w:r w:rsidR="00927D0A" w:rsidRPr="009D1A93">
        <w:rPr>
          <w:lang w:val="fr-FR"/>
        </w:rPr>
        <w:t xml:space="preserve">réunion de </w:t>
      </w:r>
      <w:r w:rsidR="00FA309D" w:rsidRPr="009D1A93">
        <w:rPr>
          <w:lang w:val="fr-FR"/>
        </w:rPr>
        <w:t>Mondiacult</w:t>
      </w:r>
      <w:r w:rsidR="002D470A" w:rsidRPr="009D1A93">
        <w:rPr>
          <w:lang w:val="fr-FR"/>
        </w:rPr>
        <w:t>. Avec les discussions en cours sur la contribution du patrimoine vivant aux processus éducatifs en vue de l</w:t>
      </w:r>
      <w:r w:rsidR="00CA0916" w:rsidRPr="009D1A93">
        <w:rPr>
          <w:lang w:val="fr-FR"/>
        </w:rPr>
        <w:t>’</w:t>
      </w:r>
      <w:r w:rsidR="002D470A" w:rsidRPr="009D1A93">
        <w:rPr>
          <w:lang w:val="fr-FR"/>
        </w:rPr>
        <w:t xml:space="preserve">adoption de la </w:t>
      </w:r>
      <w:r w:rsidR="005F73DE" w:rsidRPr="00F5173B">
        <w:rPr>
          <w:lang w:val="fr-FR"/>
        </w:rPr>
        <w:t>« </w:t>
      </w:r>
      <w:hyperlink r:id="rId55" w:history="1">
        <w:r w:rsidR="005F73DE" w:rsidRPr="005F73DE">
          <w:rPr>
            <w:rStyle w:val="Lienhypertexte"/>
            <w:lang w:val="fr-FR"/>
          </w:rPr>
          <w:t>Recommandation de 1974</w:t>
        </w:r>
        <w:r w:rsidR="005F73DE" w:rsidRPr="00F2660D">
          <w:rPr>
            <w:rStyle w:val="Lienhypertexte"/>
            <w:u w:val="none"/>
            <w:lang w:val="fr-FR"/>
          </w:rPr>
          <w:t> </w:t>
        </w:r>
      </w:hyperlink>
      <w:r w:rsidR="005F73DE" w:rsidRPr="00F5173B">
        <w:rPr>
          <w:lang w:val="fr-FR"/>
        </w:rPr>
        <w:t>» révisée</w:t>
      </w:r>
      <w:r w:rsidR="002D470A" w:rsidRPr="009D1A93">
        <w:rPr>
          <w:lang w:val="fr-FR"/>
        </w:rPr>
        <w:t xml:space="preserve"> par la 42e session de la Conférence générale en novembre 2023, ces développements offrent une </w:t>
      </w:r>
      <w:r w:rsidR="005E2C86" w:rsidRPr="009D1A93">
        <w:rPr>
          <w:lang w:val="fr-FR"/>
        </w:rPr>
        <w:t xml:space="preserve">occasion </w:t>
      </w:r>
      <w:r w:rsidR="002D470A" w:rsidRPr="009D1A93">
        <w:rPr>
          <w:lang w:val="fr-FR"/>
        </w:rPr>
        <w:t xml:space="preserve">prometteuse </w:t>
      </w:r>
      <w:r w:rsidR="00EE31D2" w:rsidRPr="009D1A93">
        <w:rPr>
          <w:lang w:val="fr-FR"/>
        </w:rPr>
        <w:t>d</w:t>
      </w:r>
      <w:r w:rsidR="00CA0916" w:rsidRPr="009D1A93">
        <w:rPr>
          <w:lang w:val="fr-FR"/>
        </w:rPr>
        <w:t>’</w:t>
      </w:r>
      <w:r w:rsidR="005E2C86" w:rsidRPr="009D1A93">
        <w:rPr>
          <w:lang w:val="fr-FR"/>
        </w:rPr>
        <w:t>élargir et d</w:t>
      </w:r>
      <w:r w:rsidR="00CA0916" w:rsidRPr="009D1A93">
        <w:rPr>
          <w:lang w:val="fr-FR"/>
        </w:rPr>
        <w:t>’</w:t>
      </w:r>
      <w:r w:rsidR="005E2C86" w:rsidRPr="009D1A93">
        <w:rPr>
          <w:lang w:val="fr-FR"/>
        </w:rPr>
        <w:t>affiner le champ d</w:t>
      </w:r>
      <w:r w:rsidR="00CA0916" w:rsidRPr="009D1A93">
        <w:rPr>
          <w:lang w:val="fr-FR"/>
        </w:rPr>
        <w:t>’</w:t>
      </w:r>
      <w:r w:rsidR="005E2C86" w:rsidRPr="009D1A93">
        <w:rPr>
          <w:lang w:val="fr-FR"/>
        </w:rPr>
        <w:t>application du programme Patrimoine vivant et éducation, comme le recommande l</w:t>
      </w:r>
      <w:r w:rsidR="00CA0916" w:rsidRPr="009D1A93">
        <w:rPr>
          <w:lang w:val="fr-FR"/>
        </w:rPr>
        <w:t>’</w:t>
      </w:r>
      <w:r w:rsidR="005E2C86" w:rsidRPr="009D1A93">
        <w:rPr>
          <w:lang w:val="fr-FR"/>
        </w:rPr>
        <w:t>évaluation d</w:t>
      </w:r>
      <w:r w:rsidR="00CA0916" w:rsidRPr="009D1A93">
        <w:rPr>
          <w:lang w:val="fr-FR"/>
        </w:rPr>
        <w:t>’</w:t>
      </w:r>
      <w:r w:rsidR="005E2C86" w:rsidRPr="009D1A93">
        <w:rPr>
          <w:lang w:val="fr-FR"/>
        </w:rPr>
        <w:t xml:space="preserve">IOS </w:t>
      </w:r>
      <w:r w:rsidR="00CB5726" w:rsidRPr="009D1A93">
        <w:rPr>
          <w:lang w:val="fr-FR"/>
        </w:rPr>
        <w:t>(recommandation 4).</w:t>
      </w:r>
    </w:p>
    <w:p w14:paraId="317E31A3" w14:textId="77777777" w:rsidR="00B625DE" w:rsidRPr="00F2660D" w:rsidRDefault="009800D3">
      <w:pPr>
        <w:pStyle w:val="GAPara"/>
        <w:jc w:val="center"/>
        <w:rPr>
          <w:rFonts w:asciiTheme="minorBidi" w:hAnsiTheme="minorBidi" w:cstheme="minorBidi"/>
          <w:lang w:val="fr-FR"/>
        </w:rPr>
      </w:pPr>
      <w:r w:rsidRPr="00F2660D">
        <w:rPr>
          <w:rFonts w:asciiTheme="minorBidi" w:hAnsiTheme="minorBidi" w:cstheme="minorBidi"/>
          <w:lang w:val="fr-FR"/>
        </w:rPr>
        <w:t>***</w:t>
      </w:r>
    </w:p>
    <w:p w14:paraId="5142F8C7" w14:textId="0EE4453E" w:rsidR="00B625DE" w:rsidRPr="009D1A93" w:rsidRDefault="009800D3">
      <w:pPr>
        <w:pStyle w:val="GAPara"/>
        <w:numPr>
          <w:ilvl w:val="0"/>
          <w:numId w:val="6"/>
        </w:numPr>
        <w:ind w:left="567" w:hanging="567"/>
        <w:jc w:val="both"/>
        <w:rPr>
          <w:rFonts w:asciiTheme="minorBidi" w:hAnsiTheme="minorBidi" w:cstheme="minorBidi"/>
          <w:snapToGrid/>
          <w:lang w:val="fr-FR"/>
        </w:rPr>
      </w:pPr>
      <w:r w:rsidRPr="009D1A93">
        <w:rPr>
          <w:rFonts w:asciiTheme="minorBidi" w:hAnsiTheme="minorBidi" w:cstheme="minorBidi"/>
          <w:lang w:val="fr-FR"/>
        </w:rPr>
        <w:t xml:space="preserve">Le </w:t>
      </w:r>
      <w:r w:rsidRPr="009D1A93">
        <w:rPr>
          <w:rFonts w:asciiTheme="minorBidi" w:hAnsiTheme="minorBidi" w:cstheme="minorBidi"/>
          <w:bCs/>
          <w:lang w:val="fr-FR"/>
        </w:rPr>
        <w:t xml:space="preserve">Comité </w:t>
      </w:r>
      <w:r w:rsidRPr="009D1A93">
        <w:rPr>
          <w:rFonts w:asciiTheme="minorBidi" w:hAnsiTheme="minorBidi" w:cstheme="minorBidi"/>
          <w:lang w:val="fr-FR"/>
        </w:rPr>
        <w:t>pourrait souhaiter adopter la décision suivante</w:t>
      </w:r>
      <w:r w:rsidR="001B4FF7">
        <w:rPr>
          <w:rFonts w:asciiTheme="minorBidi" w:hAnsiTheme="minorBidi" w:cstheme="minorBidi"/>
          <w:lang w:val="fr-FR"/>
        </w:rPr>
        <w:t> :</w:t>
      </w:r>
    </w:p>
    <w:p w14:paraId="114EDDD6" w14:textId="77777777" w:rsidR="00B625DE" w:rsidRPr="009D1A93" w:rsidRDefault="009800D3">
      <w:pPr>
        <w:pStyle w:val="GATitleResolution"/>
        <w:rPr>
          <w:rFonts w:asciiTheme="minorBidi" w:hAnsiTheme="minorBidi" w:cstheme="minorBidi"/>
          <w:lang w:val="fr-FR"/>
        </w:rPr>
      </w:pPr>
      <w:r w:rsidRPr="009D1A93">
        <w:rPr>
          <w:rFonts w:asciiTheme="minorBidi" w:hAnsiTheme="minorBidi" w:cstheme="minorBidi"/>
          <w:lang w:val="fr-FR"/>
        </w:rPr>
        <w:t>PROJET DE DÉCISION 17.COM 5</w:t>
      </w:r>
    </w:p>
    <w:p w14:paraId="19A111AB" w14:textId="77777777" w:rsidR="00B625DE" w:rsidRPr="009D1A93" w:rsidRDefault="009800D3">
      <w:pPr>
        <w:pStyle w:val="GAPreambulaResolution"/>
        <w:rPr>
          <w:rFonts w:asciiTheme="minorBidi" w:eastAsia="SimSun" w:hAnsiTheme="minorBidi" w:cstheme="minorBidi"/>
          <w:lang w:val="fr-FR"/>
        </w:rPr>
      </w:pPr>
      <w:r w:rsidRPr="009D1A93">
        <w:rPr>
          <w:rFonts w:asciiTheme="minorBidi" w:hAnsiTheme="minorBidi" w:cstheme="minorBidi"/>
          <w:lang w:val="fr-FR"/>
        </w:rPr>
        <w:t>Le Comité,</w:t>
      </w:r>
    </w:p>
    <w:p w14:paraId="532F8611" w14:textId="77AEA43D" w:rsidR="00B625DE" w:rsidRPr="005F73DE" w:rsidRDefault="009800D3" w:rsidP="00D7158B">
      <w:pPr>
        <w:pStyle w:val="GAParaResolution"/>
        <w:numPr>
          <w:ilvl w:val="0"/>
          <w:numId w:val="20"/>
        </w:numPr>
        <w:ind w:left="1134" w:hanging="425"/>
        <w:rPr>
          <w:rFonts w:asciiTheme="minorBidi" w:hAnsiTheme="minorBidi" w:cstheme="minorBidi"/>
          <w:lang w:val="fr-FR"/>
        </w:rPr>
      </w:pPr>
      <w:r w:rsidRPr="009D1A93">
        <w:rPr>
          <w:rFonts w:asciiTheme="minorBidi" w:hAnsiTheme="minorBidi" w:cstheme="minorBidi"/>
          <w:lang w:val="fr-FR"/>
        </w:rPr>
        <w:t>Ayant examiné</w:t>
      </w:r>
      <w:r w:rsidRPr="009D1A93">
        <w:rPr>
          <w:rFonts w:asciiTheme="minorBidi" w:hAnsiTheme="minorBidi" w:cstheme="minorBidi"/>
          <w:u w:val="none"/>
          <w:lang w:val="fr-FR"/>
        </w:rPr>
        <w:t xml:space="preserve"> le </w:t>
      </w:r>
      <w:r w:rsidRPr="005F73DE">
        <w:rPr>
          <w:rFonts w:asciiTheme="minorBidi" w:hAnsiTheme="minorBidi" w:cstheme="minorBidi"/>
          <w:u w:val="none"/>
          <w:lang w:val="fr-FR"/>
        </w:rPr>
        <w:t>document LHE/22/17.COM/5 et son annexe</w:t>
      </w:r>
      <w:r w:rsidR="00914C1F" w:rsidRPr="005F73DE">
        <w:rPr>
          <w:rFonts w:asciiTheme="minorBidi" w:hAnsiTheme="minorBidi" w:cstheme="minorBidi"/>
          <w:u w:val="none"/>
          <w:lang w:val="fr-FR"/>
        </w:rPr>
        <w:t>,</w:t>
      </w:r>
    </w:p>
    <w:p w14:paraId="613715D0" w14:textId="32E300B3" w:rsidR="00B625DE" w:rsidRPr="009D1A93" w:rsidRDefault="00A75DFE" w:rsidP="00D7158B">
      <w:pPr>
        <w:pStyle w:val="GAParaResolution"/>
        <w:numPr>
          <w:ilvl w:val="0"/>
          <w:numId w:val="20"/>
        </w:numPr>
        <w:ind w:left="1134" w:hanging="425"/>
        <w:rPr>
          <w:rFonts w:asciiTheme="minorBidi" w:hAnsiTheme="minorBidi" w:cstheme="minorBidi"/>
          <w:u w:val="none"/>
          <w:lang w:val="fr-FR"/>
        </w:rPr>
      </w:pPr>
      <w:r w:rsidRPr="00F2660D">
        <w:rPr>
          <w:rFonts w:asciiTheme="minorBidi" w:hAnsiTheme="minorBidi" w:cstheme="minorBidi"/>
          <w:lang w:val="fr-FR"/>
        </w:rPr>
        <w:t>Constate avec grande satisfaction</w:t>
      </w:r>
      <w:r w:rsidR="009800D3" w:rsidRPr="005F73DE">
        <w:rPr>
          <w:rFonts w:asciiTheme="minorBidi" w:hAnsiTheme="minorBidi" w:cstheme="minorBidi"/>
          <w:u w:val="none"/>
          <w:lang w:val="fr-FR"/>
        </w:rPr>
        <w:t xml:space="preserve"> l</w:t>
      </w:r>
      <w:r w:rsidR="00CA0916" w:rsidRPr="005F73DE">
        <w:rPr>
          <w:rFonts w:asciiTheme="minorBidi" w:hAnsiTheme="minorBidi" w:cstheme="minorBidi"/>
          <w:u w:val="none"/>
          <w:lang w:val="fr-FR"/>
        </w:rPr>
        <w:t>’</w:t>
      </w:r>
      <w:r w:rsidR="009800D3" w:rsidRPr="005F73DE">
        <w:rPr>
          <w:rFonts w:asciiTheme="minorBidi" w:hAnsiTheme="minorBidi" w:cstheme="minorBidi"/>
          <w:u w:val="none"/>
          <w:lang w:val="fr-FR"/>
        </w:rPr>
        <w:t>achèvement de la réflexion globale sur les mécanismes d</w:t>
      </w:r>
      <w:r w:rsidR="00CA0916" w:rsidRPr="005F73DE">
        <w:rPr>
          <w:rFonts w:asciiTheme="minorBidi" w:hAnsiTheme="minorBidi" w:cstheme="minorBidi"/>
          <w:u w:val="none"/>
          <w:lang w:val="fr-FR"/>
        </w:rPr>
        <w:t>’</w:t>
      </w:r>
      <w:r w:rsidR="009800D3" w:rsidRPr="005F73DE">
        <w:rPr>
          <w:rFonts w:asciiTheme="minorBidi" w:hAnsiTheme="minorBidi" w:cstheme="minorBidi"/>
          <w:u w:val="none"/>
          <w:lang w:val="fr-FR"/>
        </w:rPr>
        <w:t>inscription sur les listes, qui</w:t>
      </w:r>
      <w:r w:rsidR="009800D3" w:rsidRPr="009D1A93">
        <w:rPr>
          <w:rFonts w:asciiTheme="minorBidi" w:hAnsiTheme="minorBidi" w:cstheme="minorBidi"/>
          <w:u w:val="none"/>
          <w:lang w:val="fr-FR"/>
        </w:rPr>
        <w:t xml:space="preserve"> a donné des résultats probants, importants </w:t>
      </w:r>
      <w:r w:rsidR="009800D3" w:rsidRPr="009D1A93">
        <w:rPr>
          <w:rFonts w:asciiTheme="minorBidi" w:hAnsiTheme="minorBidi" w:cstheme="minorBidi"/>
          <w:u w:val="none"/>
          <w:lang w:val="fr-FR"/>
        </w:rPr>
        <w:lastRenderedPageBreak/>
        <w:t>pour la crédibilité de la Convention et l</w:t>
      </w:r>
      <w:r w:rsidR="00CA0916" w:rsidRPr="009D1A93">
        <w:rPr>
          <w:rFonts w:asciiTheme="minorBidi" w:hAnsiTheme="minorBidi" w:cstheme="minorBidi"/>
          <w:u w:val="none"/>
          <w:lang w:val="fr-FR"/>
        </w:rPr>
        <w:t>’</w:t>
      </w:r>
      <w:r w:rsidR="009800D3" w:rsidRPr="009D1A93">
        <w:rPr>
          <w:rFonts w:asciiTheme="minorBidi" w:hAnsiTheme="minorBidi" w:cstheme="minorBidi"/>
          <w:u w:val="none"/>
          <w:lang w:val="fr-FR"/>
        </w:rPr>
        <w:t>opérationnalisation de ses mécanismes d</w:t>
      </w:r>
      <w:r w:rsidR="00CA0916" w:rsidRPr="009D1A93">
        <w:rPr>
          <w:rFonts w:asciiTheme="minorBidi" w:hAnsiTheme="minorBidi" w:cstheme="minorBidi"/>
          <w:u w:val="none"/>
          <w:lang w:val="fr-FR"/>
        </w:rPr>
        <w:t>’</w:t>
      </w:r>
      <w:r w:rsidR="009800D3" w:rsidRPr="009D1A93">
        <w:rPr>
          <w:rFonts w:asciiTheme="minorBidi" w:hAnsiTheme="minorBidi" w:cstheme="minorBidi"/>
          <w:u w:val="none"/>
          <w:lang w:val="fr-FR"/>
        </w:rPr>
        <w:t xml:space="preserve">inscription sur les listes, et </w:t>
      </w:r>
      <w:r w:rsidR="009800D3" w:rsidRPr="009D1A93">
        <w:rPr>
          <w:rFonts w:asciiTheme="minorBidi" w:hAnsiTheme="minorBidi" w:cstheme="minorBidi"/>
          <w:lang w:val="fr-FR"/>
        </w:rPr>
        <w:t>félicite</w:t>
      </w:r>
      <w:r w:rsidR="009800D3" w:rsidRPr="009D1A93">
        <w:rPr>
          <w:rFonts w:asciiTheme="minorBidi" w:hAnsiTheme="minorBidi" w:cstheme="minorBidi"/>
          <w:u w:val="none"/>
          <w:lang w:val="fr-FR"/>
        </w:rPr>
        <w:t xml:space="preserve"> le Secrétariat d</w:t>
      </w:r>
      <w:r w:rsidR="00CA0916" w:rsidRPr="009D1A93">
        <w:rPr>
          <w:rFonts w:asciiTheme="minorBidi" w:hAnsiTheme="minorBidi" w:cstheme="minorBidi"/>
          <w:u w:val="none"/>
          <w:lang w:val="fr-FR"/>
        </w:rPr>
        <w:t>’</w:t>
      </w:r>
      <w:r w:rsidR="009800D3" w:rsidRPr="009D1A93">
        <w:rPr>
          <w:rFonts w:asciiTheme="minorBidi" w:hAnsiTheme="minorBidi" w:cstheme="minorBidi"/>
          <w:u w:val="none"/>
          <w:lang w:val="fr-FR"/>
        </w:rPr>
        <w:t>avoir mené à bien ce processus ;</w:t>
      </w:r>
    </w:p>
    <w:p w14:paraId="194CAC06" w14:textId="0E4A1DEB" w:rsidR="00B625DE" w:rsidRPr="009D1A93" w:rsidRDefault="009800D3" w:rsidP="00D7158B">
      <w:pPr>
        <w:pStyle w:val="GAParaResolution"/>
        <w:numPr>
          <w:ilvl w:val="0"/>
          <w:numId w:val="20"/>
        </w:numPr>
        <w:ind w:left="1134" w:hanging="425"/>
        <w:rPr>
          <w:rFonts w:asciiTheme="minorBidi" w:hAnsiTheme="minorBidi" w:cstheme="minorBidi"/>
          <w:u w:val="none"/>
          <w:lang w:val="fr-FR"/>
        </w:rPr>
      </w:pPr>
      <w:r w:rsidRPr="009D1A93">
        <w:rPr>
          <w:rFonts w:asciiTheme="minorBidi" w:hAnsiTheme="minorBidi" w:cstheme="minorBidi"/>
          <w:lang w:val="fr-FR"/>
        </w:rPr>
        <w:t>Prend note avec satisfaction</w:t>
      </w:r>
      <w:r w:rsidRPr="009D1A93">
        <w:rPr>
          <w:rFonts w:asciiTheme="minorBidi" w:hAnsiTheme="minorBidi" w:cstheme="minorBidi"/>
          <w:u w:val="none"/>
          <w:lang w:val="fr-FR"/>
        </w:rPr>
        <w:t xml:space="preserve"> de l</w:t>
      </w:r>
      <w:r w:rsidR="00CA0916" w:rsidRPr="009D1A93">
        <w:rPr>
          <w:rFonts w:asciiTheme="minorBidi" w:hAnsiTheme="minorBidi" w:cstheme="minorBidi"/>
          <w:u w:val="none"/>
          <w:lang w:val="fr-FR"/>
        </w:rPr>
        <w:t>’</w:t>
      </w:r>
      <w:r w:rsidRPr="009D1A93">
        <w:rPr>
          <w:rFonts w:asciiTheme="minorBidi" w:hAnsiTheme="minorBidi" w:cstheme="minorBidi"/>
          <w:u w:val="none"/>
          <w:lang w:val="fr-FR"/>
        </w:rPr>
        <w:t>efficacité de l</w:t>
      </w:r>
      <w:r w:rsidR="00CA0916" w:rsidRPr="009D1A93">
        <w:rPr>
          <w:rFonts w:asciiTheme="minorBidi" w:hAnsiTheme="minorBidi" w:cstheme="minorBidi"/>
          <w:u w:val="none"/>
          <w:lang w:val="fr-FR"/>
        </w:rPr>
        <w:t>’</w:t>
      </w:r>
      <w:r w:rsidRPr="009D1A93">
        <w:rPr>
          <w:rFonts w:asciiTheme="minorBidi" w:hAnsiTheme="minorBidi" w:cstheme="minorBidi"/>
          <w:u w:val="none"/>
          <w:lang w:val="fr-FR"/>
        </w:rPr>
        <w:t>approche de renforcement des capacités élaborée par le Secrétariat pour le mécanisme réformé de présentation des rapports périodiques, confirmée par la nette amélioration des taux de soumission des rapports d</w:t>
      </w:r>
      <w:r w:rsidR="00CA0916" w:rsidRPr="009D1A93">
        <w:rPr>
          <w:rFonts w:asciiTheme="minorBidi" w:hAnsiTheme="minorBidi" w:cstheme="minorBidi"/>
          <w:u w:val="none"/>
          <w:lang w:val="fr-FR"/>
        </w:rPr>
        <w:t>’</w:t>
      </w:r>
      <w:r w:rsidRPr="009D1A93">
        <w:rPr>
          <w:rFonts w:asciiTheme="minorBidi" w:hAnsiTheme="minorBidi" w:cstheme="minorBidi"/>
          <w:u w:val="none"/>
          <w:lang w:val="fr-FR"/>
        </w:rPr>
        <w:t>Amérique latine et des Caraïbes et d</w:t>
      </w:r>
      <w:r w:rsidR="00CA0916" w:rsidRPr="009D1A93">
        <w:rPr>
          <w:rFonts w:asciiTheme="minorBidi" w:hAnsiTheme="minorBidi" w:cstheme="minorBidi"/>
          <w:u w:val="none"/>
          <w:lang w:val="fr-FR"/>
        </w:rPr>
        <w:t>’</w:t>
      </w:r>
      <w:r w:rsidRPr="009D1A93">
        <w:rPr>
          <w:rFonts w:asciiTheme="minorBidi" w:hAnsiTheme="minorBidi" w:cstheme="minorBidi"/>
          <w:u w:val="none"/>
          <w:lang w:val="fr-FR"/>
        </w:rPr>
        <w:t xml:space="preserve">Europe ; et </w:t>
      </w:r>
      <w:r w:rsidRPr="009D1A93">
        <w:rPr>
          <w:rFonts w:asciiTheme="minorBidi" w:hAnsiTheme="minorBidi" w:cstheme="minorBidi"/>
          <w:lang w:val="fr-FR"/>
        </w:rPr>
        <w:t>invite</w:t>
      </w:r>
      <w:r w:rsidRPr="009D1A93">
        <w:rPr>
          <w:rFonts w:asciiTheme="minorBidi" w:hAnsiTheme="minorBidi" w:cstheme="minorBidi"/>
          <w:u w:val="none"/>
          <w:lang w:val="fr-FR"/>
        </w:rPr>
        <w:t xml:space="preserve"> les</w:t>
      </w:r>
      <w:r w:rsidRPr="009D1A93">
        <w:rPr>
          <w:rFonts w:asciiTheme="minorBidi" w:hAnsiTheme="minorBidi" w:cstheme="minorBidi"/>
          <w:lang w:val="fr-FR"/>
        </w:rPr>
        <w:t xml:space="preserve"> </w:t>
      </w:r>
      <w:r w:rsidRPr="009D1A93">
        <w:rPr>
          <w:rFonts w:asciiTheme="minorBidi" w:hAnsiTheme="minorBidi" w:cstheme="minorBidi"/>
          <w:u w:val="none"/>
          <w:lang w:val="fr-FR"/>
        </w:rPr>
        <w:t xml:space="preserve">États parties à soutenir financièrement le </w:t>
      </w:r>
      <w:r w:rsidRPr="009D1A93">
        <w:rPr>
          <w:u w:val="none"/>
          <w:lang w:val="fr-FR"/>
        </w:rPr>
        <w:t>déploiement du renforcement des capacités pour le cycle régional de présentation des rapports périodiques en Afrique ;</w:t>
      </w:r>
    </w:p>
    <w:p w14:paraId="2D702564" w14:textId="09198970" w:rsidR="00B625DE" w:rsidRPr="009D1A93" w:rsidRDefault="009800D3" w:rsidP="00D7158B">
      <w:pPr>
        <w:pStyle w:val="GAParaResolution"/>
        <w:numPr>
          <w:ilvl w:val="0"/>
          <w:numId w:val="20"/>
        </w:numPr>
        <w:ind w:left="1134" w:hanging="425"/>
        <w:rPr>
          <w:rFonts w:asciiTheme="minorBidi" w:hAnsiTheme="minorBidi" w:cstheme="minorBidi"/>
          <w:u w:val="none"/>
          <w:lang w:val="fr-FR"/>
        </w:rPr>
      </w:pPr>
      <w:r w:rsidRPr="009D1A93">
        <w:rPr>
          <w:rFonts w:asciiTheme="minorBidi" w:hAnsiTheme="minorBidi" w:cstheme="minorBidi"/>
          <w:lang w:val="fr-FR"/>
        </w:rPr>
        <w:t xml:space="preserve">Prend </w:t>
      </w:r>
      <w:r w:rsidR="00CD1205" w:rsidRPr="009D1A93">
        <w:rPr>
          <w:rFonts w:asciiTheme="minorBidi" w:hAnsiTheme="minorBidi" w:cstheme="minorBidi"/>
          <w:lang w:val="fr-FR"/>
        </w:rPr>
        <w:t>note</w:t>
      </w:r>
      <w:r w:rsidR="00CD1205" w:rsidRPr="009D1A93">
        <w:rPr>
          <w:rFonts w:asciiTheme="minorBidi" w:hAnsiTheme="minorBidi" w:cstheme="minorBidi"/>
          <w:u w:val="none"/>
          <w:lang w:val="fr-FR"/>
        </w:rPr>
        <w:t xml:space="preserve"> de l</w:t>
      </w:r>
      <w:r w:rsidR="00CA0916" w:rsidRPr="009D1A93">
        <w:rPr>
          <w:rFonts w:asciiTheme="minorBidi" w:hAnsiTheme="minorBidi" w:cstheme="minorBidi"/>
          <w:u w:val="none"/>
          <w:lang w:val="fr-FR"/>
        </w:rPr>
        <w:t>’</w:t>
      </w:r>
      <w:r w:rsidR="00CD1205" w:rsidRPr="009D1A93">
        <w:rPr>
          <w:rFonts w:asciiTheme="minorBidi" w:hAnsiTheme="minorBidi" w:cstheme="minorBidi"/>
          <w:u w:val="none"/>
          <w:lang w:val="fr-FR"/>
        </w:rPr>
        <w:t>engagement accru du Secrétariat dans les initiatives liées à la sauvegarde du patrimoine vivant dans les situations d</w:t>
      </w:r>
      <w:r w:rsidR="00CA0916" w:rsidRPr="009D1A93">
        <w:rPr>
          <w:rFonts w:asciiTheme="minorBidi" w:hAnsiTheme="minorBidi" w:cstheme="minorBidi"/>
          <w:u w:val="none"/>
          <w:lang w:val="fr-FR"/>
        </w:rPr>
        <w:t>’</w:t>
      </w:r>
      <w:r w:rsidR="00CD1205" w:rsidRPr="009D1A93">
        <w:rPr>
          <w:rFonts w:asciiTheme="minorBidi" w:hAnsiTheme="minorBidi" w:cstheme="minorBidi"/>
          <w:u w:val="none"/>
          <w:lang w:val="fr-FR"/>
        </w:rPr>
        <w:t xml:space="preserve">urgence, ce qui confirme la pertinence des </w:t>
      </w:r>
      <w:r w:rsidR="00815142" w:rsidRPr="009D1A93">
        <w:rPr>
          <w:rFonts w:asciiTheme="minorBidi" w:hAnsiTheme="minorBidi" w:cstheme="minorBidi"/>
          <w:u w:val="none"/>
          <w:lang w:val="fr-FR"/>
        </w:rPr>
        <w:t>« </w:t>
      </w:r>
      <w:r w:rsidR="00CD1205" w:rsidRPr="009D1A93">
        <w:rPr>
          <w:rFonts w:asciiTheme="minorBidi" w:hAnsiTheme="minorBidi" w:cstheme="minorBidi"/>
          <w:u w:val="none"/>
          <w:lang w:val="fr-FR"/>
        </w:rPr>
        <w:t xml:space="preserve">Principes et modalités </w:t>
      </w:r>
      <w:r w:rsidR="00724476" w:rsidRPr="009D1A93">
        <w:rPr>
          <w:rFonts w:asciiTheme="minorBidi" w:hAnsiTheme="minorBidi" w:cstheme="minorBidi"/>
          <w:u w:val="none"/>
          <w:lang w:val="fr-FR"/>
        </w:rPr>
        <w:t xml:space="preserve">opérationnels pour la </w:t>
      </w:r>
      <w:r w:rsidR="00CD1205" w:rsidRPr="009D1A93">
        <w:rPr>
          <w:rFonts w:asciiTheme="minorBidi" w:hAnsiTheme="minorBidi" w:cstheme="minorBidi"/>
          <w:u w:val="none"/>
          <w:lang w:val="fr-FR"/>
        </w:rPr>
        <w:t xml:space="preserve">sauvegarde du patrimoine culturel immatériel </w:t>
      </w:r>
      <w:r w:rsidR="00724476" w:rsidRPr="009D1A93">
        <w:rPr>
          <w:rFonts w:asciiTheme="minorBidi" w:hAnsiTheme="minorBidi" w:cstheme="minorBidi"/>
          <w:u w:val="none"/>
          <w:lang w:val="fr-FR"/>
        </w:rPr>
        <w:t>en</w:t>
      </w:r>
      <w:r w:rsidR="00CD1205" w:rsidRPr="009D1A93">
        <w:rPr>
          <w:rFonts w:asciiTheme="minorBidi" w:hAnsiTheme="minorBidi" w:cstheme="minorBidi"/>
          <w:u w:val="none"/>
          <w:lang w:val="fr-FR"/>
        </w:rPr>
        <w:t xml:space="preserve"> situations d</w:t>
      </w:r>
      <w:r w:rsidR="00CA0916" w:rsidRPr="009D1A93">
        <w:rPr>
          <w:rFonts w:asciiTheme="minorBidi" w:hAnsiTheme="minorBidi" w:cstheme="minorBidi"/>
          <w:u w:val="none"/>
          <w:lang w:val="fr-FR"/>
        </w:rPr>
        <w:t>’</w:t>
      </w:r>
      <w:r w:rsidR="00CD1205" w:rsidRPr="009D1A93">
        <w:rPr>
          <w:rFonts w:asciiTheme="minorBidi" w:hAnsiTheme="minorBidi" w:cstheme="minorBidi"/>
          <w:u w:val="none"/>
          <w:lang w:val="fr-FR"/>
        </w:rPr>
        <w:t>urgence</w:t>
      </w:r>
      <w:r w:rsidR="00815142" w:rsidRPr="009D1A93">
        <w:rPr>
          <w:rFonts w:asciiTheme="minorBidi" w:hAnsiTheme="minorBidi" w:cstheme="minorBidi"/>
          <w:u w:val="none"/>
          <w:lang w:val="fr-FR"/>
        </w:rPr>
        <w:t> »</w:t>
      </w:r>
      <w:r w:rsidR="00CD1205" w:rsidRPr="009D1A93">
        <w:rPr>
          <w:rFonts w:asciiTheme="minorBidi" w:hAnsiTheme="minorBidi" w:cstheme="minorBidi"/>
          <w:u w:val="none"/>
          <w:lang w:val="fr-FR"/>
        </w:rPr>
        <w:t xml:space="preserve"> de la Convention et </w:t>
      </w:r>
      <w:r w:rsidR="00454BD7" w:rsidRPr="009D1A93">
        <w:rPr>
          <w:rFonts w:asciiTheme="minorBidi" w:hAnsiTheme="minorBidi" w:cstheme="minorBidi"/>
          <w:lang w:val="fr-FR"/>
        </w:rPr>
        <w:t xml:space="preserve">apprécie </w:t>
      </w:r>
      <w:r w:rsidR="00454BD7" w:rsidRPr="009D1A93">
        <w:rPr>
          <w:rFonts w:asciiTheme="minorBidi" w:hAnsiTheme="minorBidi" w:cstheme="minorBidi"/>
          <w:u w:val="none"/>
          <w:lang w:val="fr-FR"/>
        </w:rPr>
        <w:t xml:space="preserve">en particulier les actions entreprises par le Secrétariat pour soutenir la sauvegarde du patrimoine culturel immatériel ukrainien </w:t>
      </w:r>
      <w:r w:rsidR="00CD1205" w:rsidRPr="009D1A93">
        <w:rPr>
          <w:rFonts w:asciiTheme="minorBidi" w:hAnsiTheme="minorBidi" w:cstheme="minorBidi"/>
          <w:u w:val="none"/>
          <w:lang w:val="fr-FR"/>
        </w:rPr>
        <w:t>;</w:t>
      </w:r>
    </w:p>
    <w:p w14:paraId="4257448B" w14:textId="4DD99ADE" w:rsidR="00B625DE" w:rsidRPr="009D1A93" w:rsidRDefault="00CD1205" w:rsidP="00D7158B">
      <w:pPr>
        <w:pStyle w:val="GAParaResolution"/>
        <w:numPr>
          <w:ilvl w:val="0"/>
          <w:numId w:val="20"/>
        </w:numPr>
        <w:ind w:left="1134" w:hanging="425"/>
        <w:rPr>
          <w:rFonts w:asciiTheme="minorBidi" w:hAnsiTheme="minorBidi" w:cstheme="minorBidi"/>
          <w:u w:val="none"/>
          <w:lang w:val="fr-FR"/>
        </w:rPr>
      </w:pPr>
      <w:r w:rsidRPr="009D1A93">
        <w:rPr>
          <w:rFonts w:asciiTheme="minorBidi" w:hAnsiTheme="minorBidi" w:cstheme="minorBidi"/>
          <w:lang w:val="fr-FR"/>
        </w:rPr>
        <w:t>Prend</w:t>
      </w:r>
      <w:r w:rsidRPr="009D1A93">
        <w:rPr>
          <w:rFonts w:asciiTheme="minorBidi" w:hAnsiTheme="minorBidi" w:cstheme="minorBidi"/>
          <w:lang w:val="fr-FR" w:eastAsia="zh-CN"/>
        </w:rPr>
        <w:t xml:space="preserve"> note</w:t>
      </w:r>
      <w:r w:rsidR="00D7158B">
        <w:rPr>
          <w:rFonts w:asciiTheme="minorBidi" w:hAnsiTheme="minorBidi" w:cstheme="minorBidi"/>
          <w:lang w:val="fr-FR" w:eastAsia="zh-CN"/>
        </w:rPr>
        <w:t xml:space="preserve"> en outre</w:t>
      </w:r>
      <w:r w:rsidRPr="009D1A93">
        <w:rPr>
          <w:rFonts w:asciiTheme="minorBidi" w:hAnsiTheme="minorBidi" w:cstheme="minorBidi"/>
          <w:u w:val="none"/>
          <w:lang w:val="fr-FR" w:eastAsia="zh-CN"/>
        </w:rPr>
        <w:t xml:space="preserve"> </w:t>
      </w:r>
      <w:r w:rsidRPr="009D1A93">
        <w:rPr>
          <w:rFonts w:asciiTheme="minorBidi" w:hAnsiTheme="minorBidi" w:cstheme="minorBidi"/>
          <w:u w:val="none"/>
          <w:lang w:val="fr-FR"/>
        </w:rPr>
        <w:t xml:space="preserve">des </w:t>
      </w:r>
      <w:r w:rsidR="0000600F" w:rsidRPr="009D1A93">
        <w:rPr>
          <w:rFonts w:asciiTheme="minorBidi" w:hAnsiTheme="minorBidi" w:cstheme="minorBidi"/>
          <w:u w:val="none"/>
          <w:lang w:val="fr-FR"/>
        </w:rPr>
        <w:t xml:space="preserve">progrès réalisés </w:t>
      </w:r>
      <w:r w:rsidRPr="009D1A93">
        <w:rPr>
          <w:rFonts w:asciiTheme="minorBidi" w:hAnsiTheme="minorBidi" w:cstheme="minorBidi"/>
          <w:bCs/>
          <w:u w:val="none"/>
          <w:lang w:val="fr-FR"/>
        </w:rPr>
        <w:t xml:space="preserve">dans le cadre de </w:t>
      </w:r>
      <w:r w:rsidR="009800D3" w:rsidRPr="009D1A93">
        <w:rPr>
          <w:rFonts w:asciiTheme="minorBidi" w:hAnsiTheme="minorBidi" w:cstheme="minorBidi"/>
          <w:bCs/>
          <w:u w:val="none"/>
          <w:lang w:val="fr-FR"/>
        </w:rPr>
        <w:t xml:space="preserve">chacune </w:t>
      </w:r>
      <w:r w:rsidRPr="009D1A93">
        <w:rPr>
          <w:rFonts w:asciiTheme="minorBidi" w:hAnsiTheme="minorBidi" w:cstheme="minorBidi"/>
          <w:bCs/>
          <w:u w:val="none"/>
          <w:lang w:val="fr-FR"/>
        </w:rPr>
        <w:t xml:space="preserve">des </w:t>
      </w:r>
      <w:r w:rsidR="009800D3" w:rsidRPr="009D1A93">
        <w:rPr>
          <w:rFonts w:asciiTheme="minorBidi" w:hAnsiTheme="minorBidi" w:cstheme="minorBidi"/>
          <w:bCs/>
          <w:u w:val="none"/>
          <w:lang w:val="fr-FR"/>
        </w:rPr>
        <w:t xml:space="preserve">trois </w:t>
      </w:r>
      <w:r w:rsidRPr="009D1A93">
        <w:rPr>
          <w:rFonts w:asciiTheme="minorBidi" w:hAnsiTheme="minorBidi" w:cstheme="minorBidi"/>
          <w:bCs/>
          <w:u w:val="none"/>
          <w:lang w:val="fr-FR"/>
        </w:rPr>
        <w:t>initiatives thématiques</w:t>
      </w:r>
      <w:r w:rsidR="009800D3" w:rsidRPr="009D1A93">
        <w:rPr>
          <w:rFonts w:asciiTheme="minorBidi" w:hAnsiTheme="minorBidi" w:cstheme="minorBidi"/>
          <w:bCs/>
          <w:u w:val="none"/>
          <w:lang w:val="fr-FR"/>
        </w:rPr>
        <w:t xml:space="preserve">, y compris les enquêtes en ligne dans le </w:t>
      </w:r>
      <w:r w:rsidR="005C5C9D" w:rsidRPr="009D1A93">
        <w:rPr>
          <w:rFonts w:asciiTheme="minorBidi" w:hAnsiTheme="minorBidi" w:cstheme="minorBidi"/>
          <w:bCs/>
          <w:u w:val="none"/>
          <w:lang w:val="fr-FR"/>
        </w:rPr>
        <w:t>cadre de la préparation de l</w:t>
      </w:r>
      <w:r w:rsidR="00CA0916" w:rsidRPr="009D1A93">
        <w:rPr>
          <w:rFonts w:asciiTheme="minorBidi" w:hAnsiTheme="minorBidi" w:cstheme="minorBidi"/>
          <w:bCs/>
          <w:u w:val="none"/>
          <w:lang w:val="fr-FR"/>
        </w:rPr>
        <w:t>’</w:t>
      </w:r>
      <w:r w:rsidR="005C5C9D" w:rsidRPr="009D1A93">
        <w:rPr>
          <w:rFonts w:asciiTheme="minorBidi" w:hAnsiTheme="minorBidi" w:cstheme="minorBidi"/>
          <w:bCs/>
          <w:u w:val="none"/>
          <w:lang w:val="fr-FR"/>
        </w:rPr>
        <w:t>établissement de notes d</w:t>
      </w:r>
      <w:r w:rsidR="00CA0916" w:rsidRPr="009D1A93">
        <w:rPr>
          <w:rFonts w:asciiTheme="minorBidi" w:hAnsiTheme="minorBidi" w:cstheme="minorBidi"/>
          <w:bCs/>
          <w:u w:val="none"/>
          <w:lang w:val="fr-FR"/>
        </w:rPr>
        <w:t>’</w:t>
      </w:r>
      <w:r w:rsidR="005C5C9D" w:rsidRPr="009D1A93">
        <w:rPr>
          <w:rFonts w:asciiTheme="minorBidi" w:hAnsiTheme="minorBidi" w:cstheme="minorBidi"/>
          <w:bCs/>
          <w:u w:val="none"/>
          <w:lang w:val="fr-FR"/>
        </w:rPr>
        <w:t xml:space="preserve">orientation </w:t>
      </w:r>
      <w:r w:rsidRPr="009D1A93">
        <w:rPr>
          <w:rFonts w:asciiTheme="minorBidi" w:hAnsiTheme="minorBidi" w:cstheme="minorBidi"/>
          <w:bCs/>
          <w:u w:val="none"/>
          <w:lang w:val="fr-FR"/>
        </w:rPr>
        <w:t xml:space="preserve">et </w:t>
      </w:r>
      <w:r w:rsidRPr="009D1A93">
        <w:rPr>
          <w:rFonts w:asciiTheme="minorBidi" w:hAnsiTheme="minorBidi" w:cstheme="minorBidi"/>
          <w:lang w:val="fr-FR"/>
        </w:rPr>
        <w:t>demande</w:t>
      </w:r>
      <w:r w:rsidRPr="009D1A93">
        <w:rPr>
          <w:rFonts w:asciiTheme="minorBidi" w:hAnsiTheme="minorBidi" w:cstheme="minorBidi"/>
          <w:u w:val="none"/>
          <w:lang w:val="fr-FR"/>
        </w:rPr>
        <w:t xml:space="preserve"> au Secrétariat de faire rapport au Comité lors de sa dix-huitième session sur les progrès réalisés ;</w:t>
      </w:r>
    </w:p>
    <w:p w14:paraId="28ED72D2" w14:textId="75463111" w:rsidR="00B625DE" w:rsidRPr="005F73DE" w:rsidRDefault="00D7158B" w:rsidP="00D7158B">
      <w:pPr>
        <w:pStyle w:val="GAParaResolution"/>
        <w:numPr>
          <w:ilvl w:val="0"/>
          <w:numId w:val="20"/>
        </w:numPr>
        <w:ind w:left="1134" w:hanging="425"/>
        <w:rPr>
          <w:rFonts w:asciiTheme="minorBidi" w:hAnsiTheme="minorBidi" w:cstheme="minorBidi"/>
          <w:u w:val="none"/>
          <w:lang w:val="fr-FR"/>
        </w:rPr>
      </w:pPr>
      <w:r>
        <w:rPr>
          <w:rFonts w:asciiTheme="minorBidi" w:hAnsiTheme="minorBidi" w:cstheme="minorBidi"/>
          <w:lang w:val="fr-FR"/>
        </w:rPr>
        <w:t>Reconnaît</w:t>
      </w:r>
      <w:r w:rsidR="00E46485" w:rsidRPr="00D7158B">
        <w:rPr>
          <w:u w:val="none"/>
          <w:lang w:val="fr-FR"/>
        </w:rPr>
        <w:t xml:space="preserve"> </w:t>
      </w:r>
      <w:r w:rsidR="00CD1205" w:rsidRPr="009D1A93">
        <w:rPr>
          <w:u w:val="none"/>
          <w:lang w:val="fr-FR"/>
        </w:rPr>
        <w:t xml:space="preserve">la </w:t>
      </w:r>
      <w:r w:rsidR="003228F1" w:rsidRPr="009D1A93">
        <w:rPr>
          <w:u w:val="none"/>
          <w:lang w:val="fr-FR"/>
        </w:rPr>
        <w:t xml:space="preserve">réorientation du programme </w:t>
      </w:r>
      <w:r w:rsidR="00E8143B" w:rsidRPr="009D1A93">
        <w:rPr>
          <w:u w:val="none"/>
          <w:lang w:val="fr-FR"/>
        </w:rPr>
        <w:t xml:space="preserve">global </w:t>
      </w:r>
      <w:r w:rsidR="003228F1" w:rsidRPr="009D1A93">
        <w:rPr>
          <w:u w:val="none"/>
          <w:lang w:val="fr-FR"/>
        </w:rPr>
        <w:t>de renforcement des capacités</w:t>
      </w:r>
      <w:r w:rsidR="009800D3" w:rsidRPr="009D1A93">
        <w:rPr>
          <w:u w:val="none"/>
          <w:lang w:val="fr-FR"/>
        </w:rPr>
        <w:t xml:space="preserve">, y compris le </w:t>
      </w:r>
      <w:r w:rsidR="007A2F66" w:rsidRPr="009D1A93">
        <w:rPr>
          <w:u w:val="none"/>
          <w:lang w:val="fr-FR"/>
        </w:rPr>
        <w:t xml:space="preserve">passage à une </w:t>
      </w:r>
      <w:r w:rsidR="003228F1" w:rsidRPr="005F73DE">
        <w:rPr>
          <w:u w:val="none"/>
          <w:lang w:val="fr-FR"/>
        </w:rPr>
        <w:t xml:space="preserve">approche de prestation multimodale </w:t>
      </w:r>
      <w:r w:rsidR="007A2F66" w:rsidRPr="005F73DE">
        <w:rPr>
          <w:u w:val="none"/>
          <w:lang w:val="fr-FR"/>
        </w:rPr>
        <w:t>(mixte, entièrement en ligne, en personne)</w:t>
      </w:r>
      <w:r w:rsidR="003228F1" w:rsidRPr="005F73DE">
        <w:rPr>
          <w:u w:val="none"/>
          <w:lang w:val="fr-FR"/>
        </w:rPr>
        <w:t xml:space="preserve">, le </w:t>
      </w:r>
      <w:r w:rsidR="009800D3" w:rsidRPr="005F73DE">
        <w:rPr>
          <w:u w:val="none"/>
          <w:lang w:val="fr-FR"/>
        </w:rPr>
        <w:t xml:space="preserve">développement des </w:t>
      </w:r>
      <w:r w:rsidR="003228F1" w:rsidRPr="005F73DE">
        <w:rPr>
          <w:u w:val="none"/>
          <w:lang w:val="fr-FR"/>
        </w:rPr>
        <w:t>domaines thématiques et l</w:t>
      </w:r>
      <w:r w:rsidR="00CA0916" w:rsidRPr="005F73DE">
        <w:rPr>
          <w:u w:val="none"/>
          <w:lang w:val="fr-FR"/>
        </w:rPr>
        <w:t>’</w:t>
      </w:r>
      <w:r w:rsidR="009800D3" w:rsidRPr="005F73DE">
        <w:rPr>
          <w:u w:val="none"/>
          <w:lang w:val="fr-FR"/>
        </w:rPr>
        <w:t xml:space="preserve">expansion du </w:t>
      </w:r>
      <w:r w:rsidR="003228F1" w:rsidRPr="005F73DE">
        <w:rPr>
          <w:u w:val="none"/>
          <w:lang w:val="fr-FR"/>
        </w:rPr>
        <w:t xml:space="preserve">réseau </w:t>
      </w:r>
      <w:r w:rsidR="00E8143B" w:rsidRPr="005F73DE">
        <w:rPr>
          <w:u w:val="none"/>
          <w:lang w:val="fr-FR"/>
        </w:rPr>
        <w:t xml:space="preserve">global </w:t>
      </w:r>
      <w:r w:rsidR="003228F1" w:rsidRPr="005F73DE">
        <w:rPr>
          <w:u w:val="none"/>
          <w:lang w:val="fr-FR"/>
        </w:rPr>
        <w:t>de facilitateurs</w:t>
      </w:r>
      <w:r w:rsidR="009800D3" w:rsidRPr="005F73DE">
        <w:rPr>
          <w:u w:val="none"/>
          <w:lang w:val="fr-FR"/>
        </w:rPr>
        <w:t xml:space="preserve">, </w:t>
      </w:r>
      <w:r w:rsidR="00CD1205" w:rsidRPr="005F73DE">
        <w:rPr>
          <w:u w:val="none"/>
          <w:lang w:val="fr-FR"/>
        </w:rPr>
        <w:t xml:space="preserve">et </w:t>
      </w:r>
      <w:r>
        <w:rPr>
          <w:lang w:val="fr-FR"/>
        </w:rPr>
        <w:t>appelle</w:t>
      </w:r>
      <w:r w:rsidR="00E64449" w:rsidRPr="005F73DE">
        <w:rPr>
          <w:u w:val="none"/>
          <w:lang w:val="fr-FR"/>
        </w:rPr>
        <w:t xml:space="preserve"> </w:t>
      </w:r>
      <w:r w:rsidR="007A2F66" w:rsidRPr="005F73DE">
        <w:rPr>
          <w:u w:val="none"/>
          <w:lang w:val="fr-FR"/>
        </w:rPr>
        <w:t>les États parties à envisager d</w:t>
      </w:r>
      <w:r w:rsidR="00CA0916" w:rsidRPr="005F73DE">
        <w:rPr>
          <w:u w:val="none"/>
          <w:lang w:val="fr-FR"/>
        </w:rPr>
        <w:t>’</w:t>
      </w:r>
      <w:r w:rsidR="007A2F66" w:rsidRPr="005F73DE">
        <w:rPr>
          <w:u w:val="none"/>
          <w:lang w:val="fr-FR"/>
        </w:rPr>
        <w:t xml:space="preserve">accueillir </w:t>
      </w:r>
      <w:r w:rsidR="00CD1205" w:rsidRPr="005F73DE">
        <w:rPr>
          <w:u w:val="none"/>
          <w:lang w:val="fr-FR"/>
        </w:rPr>
        <w:t xml:space="preserve">et/ou de </w:t>
      </w:r>
      <w:r w:rsidR="007A2F66" w:rsidRPr="005F73DE">
        <w:rPr>
          <w:u w:val="none"/>
          <w:lang w:val="fr-FR"/>
        </w:rPr>
        <w:t>soutenir</w:t>
      </w:r>
      <w:r w:rsidR="00CD1205" w:rsidRPr="005F73DE">
        <w:rPr>
          <w:u w:val="none"/>
          <w:lang w:val="fr-FR"/>
        </w:rPr>
        <w:t xml:space="preserve"> financièrement </w:t>
      </w:r>
      <w:r w:rsidR="007A2F66" w:rsidRPr="005F73DE">
        <w:rPr>
          <w:u w:val="none"/>
          <w:lang w:val="fr-FR"/>
        </w:rPr>
        <w:t xml:space="preserve">des cours de </w:t>
      </w:r>
      <w:r w:rsidR="00CD1205" w:rsidRPr="005F73DE">
        <w:rPr>
          <w:u w:val="none"/>
          <w:lang w:val="fr-FR"/>
        </w:rPr>
        <w:t xml:space="preserve">formation pour </w:t>
      </w:r>
      <w:r w:rsidR="007A2F66" w:rsidRPr="005F73DE">
        <w:rPr>
          <w:u w:val="none"/>
          <w:lang w:val="fr-FR"/>
        </w:rPr>
        <w:t xml:space="preserve">doter le nombre croissant de </w:t>
      </w:r>
      <w:r w:rsidR="00CD1205" w:rsidRPr="005F73DE">
        <w:rPr>
          <w:u w:val="none"/>
          <w:lang w:val="fr-FR"/>
        </w:rPr>
        <w:t xml:space="preserve">facilitateurs </w:t>
      </w:r>
      <w:r w:rsidR="007A2F66" w:rsidRPr="005F73DE">
        <w:rPr>
          <w:u w:val="none"/>
          <w:lang w:val="fr-FR"/>
        </w:rPr>
        <w:t xml:space="preserve">des </w:t>
      </w:r>
      <w:r w:rsidR="009800D3" w:rsidRPr="005F73DE">
        <w:rPr>
          <w:u w:val="none"/>
          <w:lang w:val="fr-FR"/>
        </w:rPr>
        <w:t xml:space="preserve">connaissances et des compétences nécessaires </w:t>
      </w:r>
      <w:r w:rsidR="007A2F66" w:rsidRPr="005F73DE">
        <w:rPr>
          <w:u w:val="none"/>
          <w:lang w:val="fr-FR"/>
        </w:rPr>
        <w:t xml:space="preserve">pour soutenir les États parties </w:t>
      </w:r>
      <w:r w:rsidR="00CD1205" w:rsidRPr="005F73DE">
        <w:rPr>
          <w:u w:val="none"/>
          <w:lang w:val="fr-FR"/>
        </w:rPr>
        <w:t>;</w:t>
      </w:r>
    </w:p>
    <w:p w14:paraId="385AB277" w14:textId="520E53F3" w:rsidR="00B625DE" w:rsidRPr="009D1A93" w:rsidRDefault="009800D3" w:rsidP="00D7158B">
      <w:pPr>
        <w:pStyle w:val="GAParaResolution"/>
        <w:numPr>
          <w:ilvl w:val="0"/>
          <w:numId w:val="20"/>
        </w:numPr>
        <w:ind w:left="1134" w:hanging="425"/>
        <w:rPr>
          <w:u w:val="none"/>
          <w:lang w:val="fr-FR"/>
        </w:rPr>
      </w:pPr>
      <w:r w:rsidRPr="005F73DE">
        <w:rPr>
          <w:lang w:val="fr-FR"/>
        </w:rPr>
        <w:t xml:space="preserve">Prend </w:t>
      </w:r>
      <w:r w:rsidRPr="00D7158B">
        <w:rPr>
          <w:rFonts w:asciiTheme="minorBidi" w:hAnsiTheme="minorBidi" w:cstheme="minorBidi"/>
          <w:lang w:val="fr-FR"/>
        </w:rPr>
        <w:t>note</w:t>
      </w:r>
      <w:r w:rsidR="00D579A0" w:rsidRPr="005F73DE">
        <w:rPr>
          <w:lang w:val="fr-FR"/>
        </w:rPr>
        <w:t xml:space="preserve"> </w:t>
      </w:r>
      <w:r w:rsidR="00D7158B">
        <w:rPr>
          <w:lang w:val="fr-FR"/>
        </w:rPr>
        <w:t>également</w:t>
      </w:r>
      <w:r w:rsidRPr="005F73DE">
        <w:rPr>
          <w:u w:val="none"/>
          <w:lang w:val="fr-FR"/>
        </w:rPr>
        <w:t xml:space="preserve"> </w:t>
      </w:r>
      <w:r w:rsidR="00102D03" w:rsidRPr="005F73DE">
        <w:rPr>
          <w:u w:val="none"/>
          <w:lang w:val="fr-FR"/>
        </w:rPr>
        <w:t xml:space="preserve">de </w:t>
      </w:r>
      <w:r w:rsidR="007A2F66" w:rsidRPr="005F73DE">
        <w:rPr>
          <w:u w:val="none"/>
          <w:lang w:val="fr-FR"/>
        </w:rPr>
        <w:t xml:space="preserve">la demande </w:t>
      </w:r>
      <w:r w:rsidR="00102D03" w:rsidRPr="005F73DE">
        <w:rPr>
          <w:u w:val="none"/>
          <w:lang w:val="fr-FR"/>
        </w:rPr>
        <w:t xml:space="preserve">croissante </w:t>
      </w:r>
      <w:r w:rsidR="007A2F66" w:rsidRPr="005F73DE">
        <w:rPr>
          <w:u w:val="none"/>
          <w:lang w:val="fr-FR"/>
        </w:rPr>
        <w:t xml:space="preserve">de </w:t>
      </w:r>
      <w:r w:rsidR="001E07CE" w:rsidRPr="005F73DE">
        <w:rPr>
          <w:u w:val="none"/>
          <w:lang w:val="fr-FR"/>
        </w:rPr>
        <w:t xml:space="preserve">projets dans le cadre de la </w:t>
      </w:r>
      <w:r w:rsidR="00C342B0" w:rsidRPr="005F73DE">
        <w:rPr>
          <w:u w:val="none"/>
          <w:lang w:val="fr-FR"/>
        </w:rPr>
        <w:t xml:space="preserve">première </w:t>
      </w:r>
      <w:r w:rsidR="001E07CE" w:rsidRPr="005F73DE">
        <w:rPr>
          <w:u w:val="none"/>
          <w:lang w:val="fr-FR"/>
        </w:rPr>
        <w:t xml:space="preserve">priorité de financement </w:t>
      </w:r>
      <w:r w:rsidR="00D579A0" w:rsidRPr="005F73DE">
        <w:rPr>
          <w:u w:val="none"/>
          <w:lang w:val="fr-FR"/>
        </w:rPr>
        <w:t>« </w:t>
      </w:r>
      <w:r w:rsidR="001E07CE" w:rsidRPr="005F73DE">
        <w:rPr>
          <w:u w:val="none"/>
          <w:lang w:val="fr-FR"/>
        </w:rPr>
        <w:t>Renforcement des capacités de sauvegarde du patrimoine culturel immatériel</w:t>
      </w:r>
      <w:r w:rsidR="00D579A0" w:rsidRPr="005F73DE">
        <w:rPr>
          <w:u w:val="none"/>
          <w:lang w:val="fr-FR"/>
        </w:rPr>
        <w:t> »</w:t>
      </w:r>
      <w:r w:rsidR="00C342B0" w:rsidRPr="005F73DE">
        <w:rPr>
          <w:u w:val="none"/>
          <w:lang w:val="fr-FR"/>
        </w:rPr>
        <w:t xml:space="preserve">, qui comprend des demandes de renforcement des capacités dans les </w:t>
      </w:r>
      <w:r w:rsidR="001E07CE" w:rsidRPr="005F73DE">
        <w:rPr>
          <w:u w:val="none"/>
          <w:lang w:val="fr-FR"/>
        </w:rPr>
        <w:t xml:space="preserve">domaines essentiels de </w:t>
      </w:r>
      <w:r w:rsidR="00C342B0" w:rsidRPr="005F73DE">
        <w:rPr>
          <w:u w:val="none"/>
          <w:lang w:val="fr-FR"/>
        </w:rPr>
        <w:t>la Convention</w:t>
      </w:r>
      <w:r w:rsidR="001E07CE" w:rsidRPr="005F73DE">
        <w:rPr>
          <w:u w:val="none"/>
          <w:lang w:val="fr-FR"/>
        </w:rPr>
        <w:t>, tels que la préparation de plans de sauvegarde, de demandes d</w:t>
      </w:r>
      <w:r w:rsidR="00CA0916" w:rsidRPr="005F73DE">
        <w:rPr>
          <w:u w:val="none"/>
          <w:lang w:val="fr-FR"/>
        </w:rPr>
        <w:t>’</w:t>
      </w:r>
      <w:r w:rsidR="001E07CE" w:rsidRPr="005F73DE">
        <w:rPr>
          <w:u w:val="none"/>
          <w:lang w:val="fr-FR"/>
        </w:rPr>
        <w:t xml:space="preserve">assistance internationale et de dossiers de candidature, </w:t>
      </w:r>
      <w:r w:rsidR="00102D03" w:rsidRPr="005F73DE">
        <w:rPr>
          <w:u w:val="none"/>
          <w:lang w:val="fr-FR"/>
        </w:rPr>
        <w:t xml:space="preserve">et </w:t>
      </w:r>
      <w:r w:rsidR="001E07CE" w:rsidRPr="00F2660D">
        <w:rPr>
          <w:lang w:val="fr-FR"/>
        </w:rPr>
        <w:t>appelle</w:t>
      </w:r>
      <w:r w:rsidR="001E07CE" w:rsidRPr="005F73DE">
        <w:rPr>
          <w:u w:val="none"/>
          <w:lang w:val="fr-FR"/>
        </w:rPr>
        <w:t xml:space="preserve"> les États parties </w:t>
      </w:r>
      <w:r w:rsidR="00C342B0" w:rsidRPr="005F73DE">
        <w:rPr>
          <w:u w:val="none"/>
          <w:lang w:val="fr-FR"/>
        </w:rPr>
        <w:t>à fournir un soutien financier à la conception et à la mise en œuvre de projets pluriannuels</w:t>
      </w:r>
      <w:r w:rsidR="00C342B0" w:rsidRPr="009D1A93">
        <w:rPr>
          <w:u w:val="none"/>
          <w:lang w:val="fr-FR"/>
        </w:rPr>
        <w:t xml:space="preserve"> </w:t>
      </w:r>
      <w:r w:rsidR="00102D03" w:rsidRPr="009D1A93">
        <w:rPr>
          <w:u w:val="none"/>
          <w:lang w:val="fr-FR"/>
        </w:rPr>
        <w:t>pour répondre à ces demandes</w:t>
      </w:r>
      <w:r w:rsidR="00C342B0" w:rsidRPr="009D1A93">
        <w:rPr>
          <w:u w:val="none"/>
          <w:lang w:val="fr-FR"/>
        </w:rPr>
        <w:t xml:space="preserve">, notamment en Afrique et dans les petits États insulaires et en développement </w:t>
      </w:r>
      <w:r w:rsidR="009C2919" w:rsidRPr="009D1A93">
        <w:rPr>
          <w:u w:val="none"/>
          <w:lang w:val="fr-FR"/>
        </w:rPr>
        <w:t>;</w:t>
      </w:r>
    </w:p>
    <w:p w14:paraId="0A7D4059" w14:textId="5600013B" w:rsidR="00B625DE" w:rsidRPr="009D1A93" w:rsidRDefault="009800D3" w:rsidP="00D7158B">
      <w:pPr>
        <w:pStyle w:val="GAParaResolution"/>
        <w:numPr>
          <w:ilvl w:val="0"/>
          <w:numId w:val="20"/>
        </w:numPr>
        <w:ind w:left="1134" w:hanging="425"/>
        <w:rPr>
          <w:rFonts w:asciiTheme="minorBidi" w:hAnsiTheme="minorBidi" w:cstheme="minorBidi"/>
          <w:u w:val="none"/>
          <w:lang w:val="fr-FR"/>
        </w:rPr>
      </w:pPr>
      <w:r w:rsidRPr="00D7158B">
        <w:rPr>
          <w:rFonts w:asciiTheme="minorBidi" w:hAnsiTheme="minorBidi" w:cstheme="minorBidi"/>
          <w:lang w:val="fr-FR"/>
        </w:rPr>
        <w:t>Apprécie</w:t>
      </w:r>
      <w:r w:rsidRPr="009D1A93">
        <w:rPr>
          <w:u w:val="none"/>
          <w:lang w:val="fr-FR"/>
        </w:rPr>
        <w:t xml:space="preserve"> les progrès constants réalisés dans la mise en œuvre de la </w:t>
      </w:r>
      <w:r w:rsidR="00C342B0" w:rsidRPr="009D1A93">
        <w:rPr>
          <w:u w:val="none"/>
          <w:lang w:val="fr-FR"/>
        </w:rPr>
        <w:t xml:space="preserve">deuxième </w:t>
      </w:r>
      <w:r w:rsidRPr="009D1A93">
        <w:rPr>
          <w:u w:val="none"/>
          <w:lang w:val="fr-FR"/>
        </w:rPr>
        <w:t xml:space="preserve">priorité de financement </w:t>
      </w:r>
      <w:r w:rsidR="008067A8" w:rsidRPr="009D1A93">
        <w:rPr>
          <w:u w:val="none"/>
          <w:lang w:val="fr-FR"/>
        </w:rPr>
        <w:t>« </w:t>
      </w:r>
      <w:r w:rsidRPr="009D1A93">
        <w:rPr>
          <w:u w:val="none"/>
          <w:lang w:val="fr-FR"/>
        </w:rPr>
        <w:t>sauvegarde et transmission du patrimoine culturel immatériel par l</w:t>
      </w:r>
      <w:r w:rsidR="00CA0916" w:rsidRPr="009D1A93">
        <w:rPr>
          <w:u w:val="none"/>
          <w:lang w:val="fr-FR"/>
        </w:rPr>
        <w:t>’</w:t>
      </w:r>
      <w:r w:rsidRPr="009D1A93">
        <w:rPr>
          <w:u w:val="none"/>
          <w:lang w:val="fr-FR"/>
        </w:rPr>
        <w:t>éducation formelle et non formelle</w:t>
      </w:r>
      <w:r w:rsidR="008067A8" w:rsidRPr="009D1A93">
        <w:rPr>
          <w:u w:val="none"/>
          <w:lang w:val="fr-FR"/>
        </w:rPr>
        <w:t> »</w:t>
      </w:r>
      <w:r w:rsidRPr="009D1A93">
        <w:rPr>
          <w:u w:val="none"/>
          <w:lang w:val="fr-FR"/>
        </w:rPr>
        <w:t xml:space="preserve"> et </w:t>
      </w:r>
      <w:r w:rsidRPr="009D1A93">
        <w:rPr>
          <w:rFonts w:asciiTheme="minorBidi" w:hAnsiTheme="minorBidi" w:cstheme="minorBidi"/>
          <w:lang w:val="fr-FR"/>
        </w:rPr>
        <w:t>encourage</w:t>
      </w:r>
      <w:r w:rsidRPr="009D1A93">
        <w:rPr>
          <w:rFonts w:asciiTheme="minorBidi" w:hAnsiTheme="minorBidi" w:cstheme="minorBidi"/>
          <w:u w:val="none"/>
          <w:lang w:val="fr-FR"/>
        </w:rPr>
        <w:t xml:space="preserve"> les États parties à soutenir la collaboration intersectorielle avec le </w:t>
      </w:r>
      <w:r w:rsidR="008067A8" w:rsidRPr="009D1A93">
        <w:rPr>
          <w:rFonts w:asciiTheme="minorBidi" w:hAnsiTheme="minorBidi" w:cstheme="minorBidi"/>
          <w:u w:val="none"/>
          <w:lang w:val="fr-FR"/>
        </w:rPr>
        <w:t>S</w:t>
      </w:r>
      <w:r w:rsidRPr="009D1A93">
        <w:rPr>
          <w:rFonts w:asciiTheme="minorBidi" w:hAnsiTheme="minorBidi" w:cstheme="minorBidi"/>
          <w:u w:val="none"/>
          <w:lang w:val="fr-FR"/>
        </w:rPr>
        <w:t>ecteur de l</w:t>
      </w:r>
      <w:r w:rsidR="00CA0916" w:rsidRPr="009D1A93">
        <w:rPr>
          <w:rFonts w:asciiTheme="minorBidi" w:hAnsiTheme="minorBidi" w:cstheme="minorBidi"/>
          <w:u w:val="none"/>
          <w:lang w:val="fr-FR"/>
        </w:rPr>
        <w:t>’</w:t>
      </w:r>
      <w:r w:rsidRPr="009D1A93">
        <w:rPr>
          <w:rFonts w:asciiTheme="minorBidi" w:hAnsiTheme="minorBidi" w:cstheme="minorBidi"/>
          <w:u w:val="none"/>
          <w:lang w:val="fr-FR"/>
        </w:rPr>
        <w:t>éducation en vue d</w:t>
      </w:r>
      <w:r w:rsidR="00CA0916" w:rsidRPr="009D1A93">
        <w:rPr>
          <w:rFonts w:asciiTheme="minorBidi" w:hAnsiTheme="minorBidi" w:cstheme="minorBidi"/>
          <w:u w:val="none"/>
          <w:lang w:val="fr-FR"/>
        </w:rPr>
        <w:t>’</w:t>
      </w:r>
      <w:r w:rsidRPr="009D1A93">
        <w:rPr>
          <w:rFonts w:asciiTheme="minorBidi" w:hAnsiTheme="minorBidi" w:cstheme="minorBidi"/>
          <w:u w:val="none"/>
          <w:lang w:val="fr-FR"/>
        </w:rPr>
        <w:t>ancrer l</w:t>
      </w:r>
      <w:r w:rsidR="00CA0916" w:rsidRPr="009D1A93">
        <w:rPr>
          <w:rFonts w:asciiTheme="minorBidi" w:hAnsiTheme="minorBidi" w:cstheme="minorBidi"/>
          <w:u w:val="none"/>
          <w:lang w:val="fr-FR"/>
        </w:rPr>
        <w:t>’</w:t>
      </w:r>
      <w:r w:rsidRPr="009D1A93">
        <w:rPr>
          <w:rFonts w:asciiTheme="minorBidi" w:hAnsiTheme="minorBidi" w:cstheme="minorBidi"/>
          <w:u w:val="none"/>
          <w:lang w:val="fr-FR"/>
        </w:rPr>
        <w:t xml:space="preserve">intégration de la sauvegarde du patrimoine vivant dans les politiques et systèmes éducatifs aux niveaux local, national et international </w:t>
      </w:r>
      <w:r w:rsidR="003336E4" w:rsidRPr="009D1A93">
        <w:rPr>
          <w:rFonts w:asciiTheme="minorBidi" w:hAnsiTheme="minorBidi" w:cstheme="minorBidi"/>
          <w:u w:val="none"/>
          <w:lang w:val="fr-FR"/>
        </w:rPr>
        <w:t>;</w:t>
      </w:r>
    </w:p>
    <w:p w14:paraId="021A43E4" w14:textId="77777777" w:rsidR="00CD1205" w:rsidRPr="009D1A93" w:rsidRDefault="00CD1205" w:rsidP="007E3864">
      <w:pPr>
        <w:pStyle w:val="GAPara"/>
        <w:jc w:val="both"/>
        <w:rPr>
          <w:rFonts w:asciiTheme="minorBidi" w:hAnsiTheme="minorBidi" w:cstheme="minorBidi"/>
          <w:b/>
          <w:bCs/>
          <w:lang w:val="fr-FR"/>
        </w:rPr>
        <w:sectPr w:rsidR="00CD1205" w:rsidRPr="009D1A93" w:rsidSect="00655736">
          <w:headerReference w:type="even" r:id="rId56"/>
          <w:headerReference w:type="default" r:id="rId57"/>
          <w:headerReference w:type="first" r:id="rId58"/>
          <w:pgSz w:w="11906" w:h="16838" w:code="9"/>
          <w:pgMar w:top="1418" w:right="1134" w:bottom="1134" w:left="1134" w:header="397" w:footer="284" w:gutter="0"/>
          <w:cols w:space="708"/>
          <w:titlePg/>
          <w:docGrid w:linePitch="360"/>
        </w:sectPr>
      </w:pPr>
    </w:p>
    <w:p w14:paraId="44AB4616" w14:textId="77777777" w:rsidR="00937D53" w:rsidRPr="009D1A93" w:rsidRDefault="00937D53">
      <w:pPr>
        <w:rPr>
          <w:rFonts w:asciiTheme="minorBidi" w:eastAsia="SimSun" w:hAnsiTheme="minorBidi" w:cstheme="minorBidi"/>
          <w:sz w:val="22"/>
          <w:szCs w:val="22"/>
          <w:u w:val="single"/>
        </w:rPr>
      </w:pPr>
    </w:p>
    <w:p w14:paraId="79ACA60A" w14:textId="77777777" w:rsidR="00B625DE" w:rsidRPr="009D1A93" w:rsidRDefault="009800D3">
      <w:pPr>
        <w:pStyle w:val="COMParaDecision"/>
        <w:numPr>
          <w:ilvl w:val="0"/>
          <w:numId w:val="0"/>
        </w:numPr>
        <w:jc w:val="center"/>
        <w:rPr>
          <w:rFonts w:asciiTheme="minorBidi" w:hAnsiTheme="minorBidi" w:cstheme="minorBidi"/>
          <w:b/>
          <w:lang w:val="fr-FR"/>
        </w:rPr>
      </w:pPr>
      <w:r w:rsidRPr="009D1A93">
        <w:rPr>
          <w:rFonts w:asciiTheme="minorBidi" w:hAnsiTheme="minorBidi" w:cstheme="minorBidi"/>
          <w:b/>
          <w:lang w:val="fr-FR"/>
        </w:rPr>
        <w:t>Annexe</w:t>
      </w:r>
    </w:p>
    <w:p w14:paraId="6F6ABBA0" w14:textId="77777777" w:rsidR="00B625DE" w:rsidRPr="009D1A93" w:rsidRDefault="009800D3">
      <w:pPr>
        <w:pStyle w:val="COMParaDecision"/>
        <w:numPr>
          <w:ilvl w:val="0"/>
          <w:numId w:val="0"/>
        </w:numPr>
        <w:spacing w:after="240"/>
        <w:jc w:val="center"/>
        <w:rPr>
          <w:rFonts w:asciiTheme="minorBidi" w:hAnsiTheme="minorBidi" w:cstheme="minorBidi"/>
          <w:b/>
          <w:u w:val="none"/>
          <w:lang w:val="fr-FR"/>
        </w:rPr>
      </w:pPr>
      <w:bookmarkStart w:id="5" w:name="_Hlk114585904"/>
      <w:r w:rsidRPr="009D1A93">
        <w:rPr>
          <w:rFonts w:asciiTheme="minorBidi" w:hAnsiTheme="minorBidi" w:cstheme="minorBidi"/>
          <w:b/>
          <w:u w:val="none"/>
          <w:lang w:val="fr-FR"/>
        </w:rPr>
        <w:t>Évaluation par indicateur de performance</w:t>
      </w:r>
    </w:p>
    <w:tbl>
      <w:tblPr>
        <w:tblStyle w:val="TableGrid2"/>
        <w:tblW w:w="14572" w:type="dxa"/>
        <w:tblLook w:val="04A0" w:firstRow="1" w:lastRow="0" w:firstColumn="1" w:lastColumn="0" w:noHBand="0" w:noVBand="1"/>
      </w:tblPr>
      <w:tblGrid>
        <w:gridCol w:w="3789"/>
        <w:gridCol w:w="10783"/>
      </w:tblGrid>
      <w:tr w:rsidR="008717DE" w:rsidRPr="009D1A93" w14:paraId="02072F75" w14:textId="77777777" w:rsidTr="00265133">
        <w:trPr>
          <w:cantSplit/>
        </w:trPr>
        <w:tc>
          <w:tcPr>
            <w:tcW w:w="1300" w:type="pct"/>
            <w:shd w:val="clear" w:color="auto" w:fill="808080" w:themeFill="background1" w:themeFillShade="80"/>
            <w:vAlign w:val="center"/>
          </w:tcPr>
          <w:bookmarkEnd w:id="5"/>
          <w:p w14:paraId="42C3BB98" w14:textId="77777777" w:rsidR="00D7158B" w:rsidRDefault="00BE6193">
            <w:pPr>
              <w:keepNext/>
              <w:spacing w:before="120" w:after="120"/>
              <w:rPr>
                <w:rFonts w:asciiTheme="minorBidi" w:hAnsiTheme="minorBidi" w:cstheme="minorBidi"/>
                <w:b/>
                <w:bCs/>
                <w:color w:val="FFFFFF" w:themeColor="background1"/>
                <w:sz w:val="22"/>
                <w:szCs w:val="22"/>
              </w:rPr>
            </w:pPr>
            <w:r w:rsidRPr="00F2660D">
              <w:rPr>
                <w:rFonts w:asciiTheme="minorBidi" w:hAnsiTheme="minorBidi" w:cstheme="minorBidi"/>
                <w:b/>
                <w:bCs/>
                <w:color w:val="FFFFFF" w:themeColor="background1"/>
                <w:sz w:val="22"/>
                <w:szCs w:val="22"/>
              </w:rPr>
              <w:t xml:space="preserve">41C/5 </w:t>
            </w:r>
          </w:p>
          <w:p w14:paraId="6CACDBD6" w14:textId="37AEAA30" w:rsidR="00B625DE" w:rsidRPr="00F2660D" w:rsidRDefault="009800D3">
            <w:pPr>
              <w:keepNext/>
              <w:spacing w:before="120" w:after="120"/>
              <w:rPr>
                <w:rFonts w:asciiTheme="minorBidi" w:hAnsiTheme="minorBidi" w:cstheme="minorBidi"/>
                <w:b/>
                <w:bCs/>
                <w:color w:val="FFFFFF" w:themeColor="background1"/>
                <w:sz w:val="22"/>
                <w:szCs w:val="22"/>
              </w:rPr>
            </w:pPr>
            <w:r w:rsidRPr="009D1A93">
              <w:rPr>
                <w:rFonts w:asciiTheme="minorBidi" w:hAnsiTheme="minorBidi" w:cstheme="minorBidi"/>
                <w:b/>
                <w:bCs/>
                <w:color w:val="FFFFFF" w:themeColor="background1"/>
                <w:sz w:val="22"/>
                <w:szCs w:val="22"/>
              </w:rPr>
              <w:t>Indicateur</w:t>
            </w:r>
            <w:r w:rsidRPr="00F2660D">
              <w:rPr>
                <w:rFonts w:asciiTheme="minorBidi" w:hAnsiTheme="minorBidi" w:cstheme="minorBidi"/>
                <w:b/>
                <w:bCs/>
                <w:color w:val="FFFFFF" w:themeColor="background1"/>
                <w:sz w:val="22"/>
                <w:szCs w:val="22"/>
              </w:rPr>
              <w:t xml:space="preserve"> de performance 1</w:t>
            </w:r>
          </w:p>
        </w:tc>
        <w:tc>
          <w:tcPr>
            <w:tcW w:w="3700" w:type="pct"/>
            <w:shd w:val="clear" w:color="auto" w:fill="808080" w:themeFill="background1" w:themeFillShade="80"/>
            <w:vAlign w:val="center"/>
          </w:tcPr>
          <w:p w14:paraId="3E7AA48B" w14:textId="593C12C4" w:rsidR="00B625DE" w:rsidRPr="009D1A93" w:rsidRDefault="009800D3">
            <w:pPr>
              <w:keepNext/>
              <w:spacing w:before="120" w:after="120"/>
              <w:rPr>
                <w:rFonts w:asciiTheme="minorBidi" w:hAnsiTheme="minorBidi" w:cstheme="minorBidi"/>
                <w:b/>
                <w:bCs/>
                <w:color w:val="FFFFFF" w:themeColor="background1"/>
                <w:sz w:val="22"/>
                <w:szCs w:val="22"/>
              </w:rPr>
            </w:pPr>
            <w:r w:rsidRPr="009D1A93">
              <w:rPr>
                <w:rFonts w:asciiTheme="minorBidi" w:hAnsiTheme="minorBidi" w:cstheme="minorBidi"/>
                <w:b/>
                <w:bCs/>
                <w:color w:val="FFFFFF" w:themeColor="background1"/>
                <w:sz w:val="22"/>
                <w:szCs w:val="22"/>
              </w:rPr>
              <w:t>Nombre d</w:t>
            </w:r>
            <w:r w:rsidR="00CA0916" w:rsidRPr="009D1A93">
              <w:rPr>
                <w:rFonts w:asciiTheme="minorBidi" w:hAnsiTheme="minorBidi" w:cstheme="minorBidi"/>
                <w:b/>
                <w:bCs/>
                <w:color w:val="FFFFFF" w:themeColor="background1"/>
                <w:sz w:val="22"/>
                <w:szCs w:val="22"/>
              </w:rPr>
              <w:t>’</w:t>
            </w:r>
            <w:r w:rsidRPr="009D1A93">
              <w:rPr>
                <w:rFonts w:asciiTheme="minorBidi" w:hAnsiTheme="minorBidi" w:cstheme="minorBidi"/>
                <w:b/>
                <w:bCs/>
                <w:color w:val="FFFFFF" w:themeColor="background1"/>
                <w:sz w:val="22"/>
                <w:szCs w:val="22"/>
              </w:rPr>
              <w:t>États membres ayant des politiques, des stratégies et des programmes nouveaux ou révisés pour sauvegarder le patrimoine vivant, notamment dans le cadre de plans et de cadres de développement durable, conformément à la Convention de 2003 pour la sauvegarde du patrimoine culturel immatériel</w:t>
            </w:r>
          </w:p>
        </w:tc>
      </w:tr>
    </w:tbl>
    <w:tbl>
      <w:tblPr>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772"/>
        <w:gridCol w:w="321"/>
        <w:gridCol w:w="224"/>
        <w:gridCol w:w="10277"/>
      </w:tblGrid>
      <w:tr w:rsidR="006E52F6" w:rsidRPr="009D1A93" w14:paraId="36D08838" w14:textId="77777777" w:rsidTr="00474A2C">
        <w:trPr>
          <w:tblHeader/>
        </w:trPr>
        <w:tc>
          <w:tcPr>
            <w:tcW w:w="679" w:type="pct"/>
            <w:shd w:val="clear" w:color="auto" w:fill="D9D9D9" w:themeFill="background1" w:themeFillShade="D9"/>
            <w:vAlign w:val="center"/>
          </w:tcPr>
          <w:p w14:paraId="68B44F81" w14:textId="77777777" w:rsidR="00B625DE" w:rsidRPr="00F2660D" w:rsidRDefault="009800D3">
            <w:pPr>
              <w:spacing w:before="60" w:after="60"/>
              <w:jc w:val="center"/>
              <w:rPr>
                <w:rFonts w:asciiTheme="minorBidi" w:eastAsia="Calibri" w:hAnsiTheme="minorBidi" w:cstheme="minorBidi"/>
                <w:b/>
                <w:sz w:val="22"/>
                <w:szCs w:val="22"/>
              </w:rPr>
            </w:pPr>
            <w:r w:rsidRPr="00F2660D">
              <w:rPr>
                <w:rFonts w:asciiTheme="minorBidi" w:hAnsiTheme="minorBidi" w:cstheme="minorBidi"/>
                <w:b/>
                <w:bCs/>
                <w:sz w:val="22"/>
                <w:szCs w:val="22"/>
              </w:rPr>
              <w:t>Lignes de base</w:t>
            </w:r>
          </w:p>
        </w:tc>
        <w:tc>
          <w:tcPr>
            <w:tcW w:w="608" w:type="pct"/>
            <w:shd w:val="clear" w:color="auto" w:fill="D9D9D9" w:themeFill="background1" w:themeFillShade="D9"/>
            <w:vAlign w:val="center"/>
          </w:tcPr>
          <w:p w14:paraId="685AE3F3" w14:textId="77777777" w:rsidR="00B625DE" w:rsidRPr="00F2660D" w:rsidRDefault="009800D3">
            <w:pPr>
              <w:spacing w:before="60" w:after="60"/>
              <w:jc w:val="center"/>
              <w:rPr>
                <w:rFonts w:asciiTheme="minorBidi" w:eastAsia="Calibri" w:hAnsiTheme="minorBidi" w:cstheme="minorBidi"/>
                <w:b/>
                <w:sz w:val="22"/>
                <w:szCs w:val="22"/>
              </w:rPr>
            </w:pPr>
            <w:r w:rsidRPr="00F2660D">
              <w:rPr>
                <w:rFonts w:asciiTheme="minorBidi" w:eastAsia="Calibri" w:hAnsiTheme="minorBidi" w:cstheme="minorBidi"/>
                <w:b/>
                <w:sz w:val="22"/>
                <w:szCs w:val="22"/>
              </w:rPr>
              <w:t>Objectifs pour 2023</w:t>
            </w:r>
          </w:p>
        </w:tc>
        <w:tc>
          <w:tcPr>
            <w:tcW w:w="3712" w:type="pct"/>
            <w:gridSpan w:val="3"/>
            <w:shd w:val="clear" w:color="auto" w:fill="D9D9D9" w:themeFill="background1" w:themeFillShade="D9"/>
            <w:vAlign w:val="center"/>
          </w:tcPr>
          <w:p w14:paraId="01E7DB31" w14:textId="77777777" w:rsidR="00B625DE" w:rsidRPr="009D1A93" w:rsidRDefault="009800D3">
            <w:pPr>
              <w:autoSpaceDE w:val="0"/>
              <w:autoSpaceDN w:val="0"/>
              <w:adjustRightInd w:val="0"/>
              <w:jc w:val="center"/>
              <w:rPr>
                <w:rFonts w:asciiTheme="minorBidi" w:eastAsia="Calibri" w:hAnsiTheme="minorBidi" w:cstheme="minorBidi"/>
                <w:b/>
                <w:color w:val="000000"/>
                <w:sz w:val="22"/>
                <w:szCs w:val="22"/>
              </w:rPr>
            </w:pPr>
            <w:r w:rsidRPr="009D1A93">
              <w:rPr>
                <w:rFonts w:asciiTheme="minorBidi" w:eastAsia="Calibri" w:hAnsiTheme="minorBidi" w:cstheme="minorBidi"/>
                <w:b/>
                <w:sz w:val="22"/>
                <w:szCs w:val="22"/>
              </w:rPr>
              <w:t>Évaluation des progrès accomplis :</w:t>
            </w:r>
            <w:r w:rsidRPr="009D1A93">
              <w:rPr>
                <w:rFonts w:asciiTheme="minorBidi" w:eastAsia="Calibri" w:hAnsiTheme="minorBidi" w:cstheme="minorBidi"/>
                <w:b/>
                <w:sz w:val="22"/>
                <w:szCs w:val="22"/>
              </w:rPr>
              <w:br/>
              <w:t xml:space="preserve"> 01/01/2022 au 30/06/2022</w:t>
            </w:r>
          </w:p>
        </w:tc>
      </w:tr>
      <w:tr w:rsidR="006E52F6" w:rsidRPr="009D1A93" w14:paraId="2FD67251" w14:textId="77777777" w:rsidTr="00474A2C">
        <w:trPr>
          <w:trHeight w:val="1498"/>
        </w:trPr>
        <w:tc>
          <w:tcPr>
            <w:tcW w:w="679" w:type="pct"/>
            <w:tcBorders>
              <w:bottom w:val="single" w:sz="4" w:space="0" w:color="auto"/>
            </w:tcBorders>
          </w:tcPr>
          <w:p w14:paraId="7906A6A2" w14:textId="77777777" w:rsidR="00B625DE" w:rsidRPr="009D1A93" w:rsidRDefault="009800D3">
            <w:pPr>
              <w:spacing w:before="120" w:after="120"/>
              <w:rPr>
                <w:rFonts w:asciiTheme="minorBidi" w:hAnsiTheme="minorBidi" w:cstheme="minorBidi"/>
                <w:sz w:val="22"/>
                <w:szCs w:val="22"/>
              </w:rPr>
            </w:pPr>
            <w:r w:rsidRPr="009D1A93">
              <w:rPr>
                <w:rFonts w:asciiTheme="minorBidi" w:hAnsiTheme="minorBidi" w:cstheme="minorBidi"/>
                <w:sz w:val="22"/>
                <w:szCs w:val="22"/>
              </w:rPr>
              <w:t>60, dont 20 en Afrique et 10 dans les PEID</w:t>
            </w:r>
          </w:p>
        </w:tc>
        <w:tc>
          <w:tcPr>
            <w:tcW w:w="608" w:type="pct"/>
            <w:tcBorders>
              <w:bottom w:val="single" w:sz="4" w:space="0" w:color="auto"/>
            </w:tcBorders>
            <w:shd w:val="clear" w:color="auto" w:fill="auto"/>
          </w:tcPr>
          <w:p w14:paraId="0F3380FA" w14:textId="77777777" w:rsidR="00B625DE" w:rsidRPr="009D1A93" w:rsidRDefault="009800D3">
            <w:pPr>
              <w:spacing w:before="120" w:after="120"/>
              <w:ind w:left="-28"/>
              <w:rPr>
                <w:rFonts w:asciiTheme="minorBidi" w:hAnsiTheme="minorBidi" w:cstheme="minorBidi"/>
                <w:sz w:val="22"/>
                <w:szCs w:val="22"/>
              </w:rPr>
            </w:pPr>
            <w:r w:rsidRPr="009D1A93">
              <w:rPr>
                <w:rFonts w:asciiTheme="minorBidi" w:hAnsiTheme="minorBidi" w:cstheme="minorBidi"/>
                <w:sz w:val="22"/>
                <w:szCs w:val="22"/>
              </w:rPr>
              <w:t>60, dont 20 en Afrique et 10 dans les PEID</w:t>
            </w:r>
          </w:p>
        </w:tc>
        <w:tc>
          <w:tcPr>
            <w:tcW w:w="3712" w:type="pct"/>
            <w:gridSpan w:val="3"/>
            <w:tcBorders>
              <w:bottom w:val="single" w:sz="4" w:space="0" w:color="auto"/>
            </w:tcBorders>
            <w:shd w:val="clear" w:color="auto" w:fill="auto"/>
          </w:tcPr>
          <w:p w14:paraId="45E7AE7E" w14:textId="28A685FE" w:rsidR="00B625DE" w:rsidRPr="009D1A93" w:rsidRDefault="009800D3">
            <w:pPr>
              <w:pStyle w:val="Paragraphedeliste"/>
              <w:numPr>
                <w:ilvl w:val="0"/>
                <w:numId w:val="7"/>
              </w:numPr>
              <w:spacing w:before="120" w:after="120"/>
              <w:ind w:left="425" w:hanging="425"/>
              <w:contextualSpacing w:val="0"/>
              <w:jc w:val="both"/>
              <w:rPr>
                <w:rFonts w:asciiTheme="minorBidi" w:hAnsiTheme="minorBidi" w:cstheme="minorBidi"/>
                <w:sz w:val="22"/>
                <w:szCs w:val="22"/>
              </w:rPr>
            </w:pPr>
            <w:r w:rsidRPr="009D1A93">
              <w:rPr>
                <w:rFonts w:asciiTheme="minorBidi" w:hAnsiTheme="minorBidi" w:cstheme="minorBidi"/>
                <w:sz w:val="22"/>
                <w:szCs w:val="22"/>
              </w:rPr>
              <w:t xml:space="preserve">96 </w:t>
            </w:r>
            <w:r w:rsidR="00312667" w:rsidRPr="009D1A93">
              <w:rPr>
                <w:rFonts w:asciiTheme="minorBidi" w:hAnsiTheme="minorBidi" w:cstheme="minorBidi"/>
                <w:sz w:val="22"/>
                <w:szCs w:val="22"/>
              </w:rPr>
              <w:t>États membres ont bénéficié du programme de renforcement des capacités (</w:t>
            </w:r>
            <w:r w:rsidR="00FC32C5" w:rsidRPr="009D1A93">
              <w:rPr>
                <w:rFonts w:asciiTheme="minorBidi" w:hAnsiTheme="minorBidi" w:cstheme="minorBidi"/>
                <w:sz w:val="22"/>
                <w:szCs w:val="22"/>
              </w:rPr>
              <w:t xml:space="preserve">dont </w:t>
            </w:r>
            <w:r w:rsidRPr="009D1A93">
              <w:rPr>
                <w:rFonts w:asciiTheme="minorBidi" w:hAnsiTheme="minorBidi" w:cstheme="minorBidi"/>
                <w:sz w:val="22"/>
                <w:szCs w:val="22"/>
              </w:rPr>
              <w:t xml:space="preserve">16 en </w:t>
            </w:r>
            <w:r w:rsidR="00312667" w:rsidRPr="009D1A93">
              <w:rPr>
                <w:rFonts w:asciiTheme="minorBidi" w:hAnsiTheme="minorBidi" w:cstheme="minorBidi"/>
                <w:sz w:val="22"/>
                <w:szCs w:val="22"/>
              </w:rPr>
              <w:t xml:space="preserve">Afrique et </w:t>
            </w:r>
            <w:r w:rsidR="00644AA1" w:rsidRPr="009D1A93">
              <w:rPr>
                <w:rFonts w:asciiTheme="minorBidi" w:hAnsiTheme="minorBidi" w:cstheme="minorBidi"/>
                <w:sz w:val="22"/>
                <w:szCs w:val="22"/>
              </w:rPr>
              <w:t>9</w:t>
            </w:r>
            <w:r w:rsidR="00644AA1">
              <w:rPr>
                <w:rFonts w:asciiTheme="minorBidi" w:hAnsiTheme="minorBidi" w:cstheme="minorBidi"/>
                <w:sz w:val="22"/>
                <w:szCs w:val="22"/>
              </w:rPr>
              <w:t> </w:t>
            </w:r>
            <w:r w:rsidRPr="009D1A93">
              <w:rPr>
                <w:rFonts w:asciiTheme="minorBidi" w:hAnsiTheme="minorBidi" w:cstheme="minorBidi"/>
                <w:sz w:val="22"/>
                <w:szCs w:val="22"/>
              </w:rPr>
              <w:t xml:space="preserve">dans </w:t>
            </w:r>
            <w:r w:rsidR="00312667" w:rsidRPr="009D1A93">
              <w:rPr>
                <w:rFonts w:asciiTheme="minorBidi" w:hAnsiTheme="minorBidi" w:cstheme="minorBidi"/>
                <w:sz w:val="22"/>
                <w:szCs w:val="22"/>
              </w:rPr>
              <w:t xml:space="preserve">les PEID), </w:t>
            </w:r>
            <w:r w:rsidRPr="009D1A93">
              <w:rPr>
                <w:rFonts w:asciiTheme="minorBidi" w:hAnsiTheme="minorBidi" w:cstheme="minorBidi"/>
                <w:sz w:val="22"/>
                <w:szCs w:val="22"/>
              </w:rPr>
              <w:t xml:space="preserve">18 </w:t>
            </w:r>
            <w:r w:rsidR="00312667" w:rsidRPr="009D1A93">
              <w:rPr>
                <w:rFonts w:asciiTheme="minorBidi" w:hAnsiTheme="minorBidi" w:cstheme="minorBidi"/>
                <w:sz w:val="22"/>
                <w:szCs w:val="22"/>
              </w:rPr>
              <w:t xml:space="preserve">pays ont été soutenus pour leur exercice de rapport périodique </w:t>
            </w:r>
            <w:r w:rsidRPr="009D1A93">
              <w:rPr>
                <w:rFonts w:asciiTheme="minorBidi" w:hAnsiTheme="minorBidi" w:cstheme="minorBidi"/>
                <w:sz w:val="22"/>
                <w:szCs w:val="22"/>
              </w:rPr>
              <w:t>dans les États arabes</w:t>
            </w:r>
            <w:r w:rsidR="00FC32C5" w:rsidRPr="009D1A93">
              <w:rPr>
                <w:rFonts w:asciiTheme="minorBidi" w:hAnsiTheme="minorBidi" w:cstheme="minorBidi"/>
                <w:sz w:val="22"/>
                <w:szCs w:val="22"/>
              </w:rPr>
              <w:t> </w:t>
            </w:r>
            <w:r w:rsidR="007C0E0F" w:rsidRPr="009D1A93">
              <w:rPr>
                <w:rFonts w:asciiTheme="minorBidi" w:hAnsiTheme="minorBidi" w:cstheme="minorBidi"/>
                <w:sz w:val="22"/>
                <w:szCs w:val="22"/>
              </w:rPr>
              <w:t>;</w:t>
            </w:r>
          </w:p>
          <w:p w14:paraId="641DF009" w14:textId="176F1700" w:rsidR="00B625DE" w:rsidRPr="009D1A93" w:rsidRDefault="009800D3">
            <w:pPr>
              <w:pStyle w:val="Paragraphedeliste"/>
              <w:numPr>
                <w:ilvl w:val="0"/>
                <w:numId w:val="7"/>
              </w:numPr>
              <w:spacing w:before="120" w:after="120"/>
              <w:ind w:left="425" w:hanging="425"/>
              <w:contextualSpacing w:val="0"/>
              <w:jc w:val="both"/>
              <w:rPr>
                <w:rFonts w:asciiTheme="minorBidi" w:hAnsiTheme="minorBidi" w:cstheme="minorBidi"/>
                <w:sz w:val="22"/>
                <w:szCs w:val="22"/>
              </w:rPr>
            </w:pPr>
            <w:r w:rsidRPr="009D1A93">
              <w:rPr>
                <w:rFonts w:asciiTheme="minorBidi" w:hAnsiTheme="minorBidi" w:cstheme="minorBidi"/>
                <w:sz w:val="22"/>
                <w:szCs w:val="22"/>
              </w:rPr>
              <w:t>Un atelier de formation régional</w:t>
            </w:r>
            <w:r w:rsidRPr="00F2660D">
              <w:rPr>
                <w:rFonts w:asciiTheme="minorBidi" w:hAnsiTheme="minorBidi" w:cstheme="minorBidi"/>
                <w:sz w:val="22"/>
                <w:szCs w:val="22"/>
                <w:vertAlign w:val="superscript"/>
              </w:rPr>
              <w:footnoteReference w:id="4"/>
            </w:r>
            <w:r w:rsidRPr="009D1A93">
              <w:rPr>
                <w:rFonts w:asciiTheme="minorBidi" w:hAnsiTheme="minorBidi" w:cstheme="minorBidi"/>
                <w:sz w:val="22"/>
                <w:szCs w:val="22"/>
              </w:rPr>
              <w:t xml:space="preserve"> a été organisé en coopération avec un centre de catégorie 2. Il a permis de former 21 points focaux (&gt;50% de femmes) des Etats arabes </w:t>
            </w:r>
            <w:r w:rsidRPr="009D1A93">
              <w:rPr>
                <w:rFonts w:asciiTheme="minorBidi" w:eastAsia="SimSun" w:hAnsiTheme="minorBidi" w:cstheme="minorBidi"/>
                <w:sz w:val="22"/>
                <w:szCs w:val="22"/>
              </w:rPr>
              <w:t xml:space="preserve">pour le déploiement du mécanisme réformé de rapport périodique </w:t>
            </w:r>
            <w:r w:rsidR="007C0E0F" w:rsidRPr="009D1A93">
              <w:rPr>
                <w:rFonts w:asciiTheme="minorBidi" w:hAnsiTheme="minorBidi" w:cstheme="minorBidi"/>
                <w:sz w:val="22"/>
                <w:szCs w:val="22"/>
              </w:rPr>
              <w:t>;</w:t>
            </w:r>
          </w:p>
          <w:p w14:paraId="6B8E886C" w14:textId="77777777" w:rsidR="00B625DE" w:rsidRPr="009D1A93" w:rsidRDefault="009800D3">
            <w:pPr>
              <w:pStyle w:val="Paragraphedeliste"/>
              <w:numPr>
                <w:ilvl w:val="0"/>
                <w:numId w:val="7"/>
              </w:numPr>
              <w:spacing w:before="120" w:after="120"/>
              <w:ind w:left="425" w:hanging="425"/>
              <w:contextualSpacing w:val="0"/>
              <w:jc w:val="both"/>
              <w:rPr>
                <w:rFonts w:asciiTheme="minorBidi" w:hAnsiTheme="minorBidi" w:cstheme="minorBidi"/>
                <w:sz w:val="22"/>
                <w:szCs w:val="22"/>
              </w:rPr>
            </w:pPr>
            <w:r w:rsidRPr="009D1A93">
              <w:rPr>
                <w:rFonts w:asciiTheme="minorBidi" w:hAnsiTheme="minorBidi" w:cstheme="minorBidi"/>
                <w:sz w:val="22"/>
                <w:szCs w:val="22"/>
              </w:rPr>
              <w:t xml:space="preserve">Un atelier de formation interrégional organisé en coopération avec deux bureaux extérieurs, qui a formé </w:t>
            </w:r>
            <w:r w:rsidR="000436A4" w:rsidRPr="009D1A93">
              <w:rPr>
                <w:rFonts w:asciiTheme="minorBidi" w:hAnsiTheme="minorBidi" w:cstheme="minorBidi"/>
                <w:sz w:val="22"/>
                <w:szCs w:val="22"/>
              </w:rPr>
              <w:t xml:space="preserve">près de 30 </w:t>
            </w:r>
            <w:r w:rsidRPr="009D1A93">
              <w:rPr>
                <w:rFonts w:asciiTheme="minorBidi" w:hAnsiTheme="minorBidi" w:cstheme="minorBidi"/>
                <w:sz w:val="22"/>
                <w:szCs w:val="22"/>
              </w:rPr>
              <w:t>participants de 5 PEID</w:t>
            </w:r>
            <w:r w:rsidRPr="00F2660D">
              <w:rPr>
                <w:rFonts w:asciiTheme="minorBidi" w:hAnsiTheme="minorBidi" w:cstheme="minorBidi"/>
                <w:sz w:val="22"/>
                <w:szCs w:val="22"/>
                <w:vertAlign w:val="superscript"/>
              </w:rPr>
              <w:footnoteReference w:id="5"/>
            </w:r>
            <w:r w:rsidR="00A54E21" w:rsidRPr="009D1A93">
              <w:rPr>
                <w:rFonts w:asciiTheme="minorBidi" w:hAnsiTheme="minorBidi" w:cstheme="minorBidi"/>
                <w:sz w:val="22"/>
                <w:szCs w:val="22"/>
              </w:rPr>
              <w:t xml:space="preserve"> ;</w:t>
            </w:r>
          </w:p>
          <w:p w14:paraId="56147A70" w14:textId="3EABFEC7" w:rsidR="00B625DE" w:rsidRPr="009D1A93" w:rsidRDefault="009800D3">
            <w:pPr>
              <w:pStyle w:val="Paragraphedeliste"/>
              <w:numPr>
                <w:ilvl w:val="0"/>
                <w:numId w:val="7"/>
              </w:numPr>
              <w:spacing w:before="120" w:after="120"/>
              <w:ind w:left="425" w:hanging="425"/>
              <w:contextualSpacing w:val="0"/>
              <w:jc w:val="both"/>
              <w:rPr>
                <w:rFonts w:asciiTheme="minorBidi" w:hAnsiTheme="minorBidi" w:cstheme="minorBidi"/>
                <w:sz w:val="22"/>
                <w:szCs w:val="22"/>
              </w:rPr>
            </w:pPr>
            <w:r w:rsidRPr="009D1A93">
              <w:rPr>
                <w:rFonts w:asciiTheme="minorBidi" w:hAnsiTheme="minorBidi" w:cstheme="minorBidi"/>
                <w:sz w:val="22"/>
                <w:szCs w:val="22"/>
              </w:rPr>
              <w:t xml:space="preserve">7 </w:t>
            </w:r>
            <w:r w:rsidR="000D50B5" w:rsidRPr="009D1A93">
              <w:rPr>
                <w:rFonts w:asciiTheme="minorBidi" w:hAnsiTheme="minorBidi" w:cstheme="minorBidi"/>
                <w:sz w:val="22"/>
                <w:szCs w:val="22"/>
              </w:rPr>
              <w:t>propositions traitées pour l</w:t>
            </w:r>
            <w:r w:rsidR="00CA0916" w:rsidRPr="009D1A93">
              <w:rPr>
                <w:rFonts w:asciiTheme="minorBidi" w:hAnsiTheme="minorBidi" w:cstheme="minorBidi"/>
                <w:sz w:val="22"/>
                <w:szCs w:val="22"/>
              </w:rPr>
              <w:t>’</w:t>
            </w:r>
            <w:r w:rsidR="000D50B5" w:rsidRPr="009D1A93">
              <w:rPr>
                <w:rFonts w:asciiTheme="minorBidi" w:hAnsiTheme="minorBidi" w:cstheme="minorBidi"/>
                <w:sz w:val="22"/>
                <w:szCs w:val="22"/>
              </w:rPr>
              <w:t>établissement ou le renouvellement de Chaires UNESCO dans le domaine du patrimoine culturel immatériel</w:t>
            </w:r>
            <w:r w:rsidR="00312667" w:rsidRPr="009D1A93">
              <w:rPr>
                <w:rFonts w:asciiTheme="minorBidi" w:hAnsiTheme="minorBidi" w:cstheme="minorBidi"/>
                <w:sz w:val="22"/>
                <w:szCs w:val="22"/>
              </w:rPr>
              <w:t xml:space="preserve">, y compris </w:t>
            </w:r>
            <w:r w:rsidR="000D50B5" w:rsidRPr="009D1A93">
              <w:rPr>
                <w:rFonts w:asciiTheme="minorBidi" w:hAnsiTheme="minorBidi" w:cstheme="minorBidi"/>
                <w:sz w:val="22"/>
                <w:szCs w:val="22"/>
              </w:rPr>
              <w:t>l</w:t>
            </w:r>
            <w:r w:rsidR="00CA0916" w:rsidRPr="009D1A93">
              <w:rPr>
                <w:rFonts w:asciiTheme="minorBidi" w:hAnsiTheme="minorBidi" w:cstheme="minorBidi"/>
                <w:sz w:val="22"/>
                <w:szCs w:val="22"/>
              </w:rPr>
              <w:t>’</w:t>
            </w:r>
            <w:r w:rsidR="000D50B5" w:rsidRPr="009D1A93">
              <w:rPr>
                <w:rFonts w:asciiTheme="minorBidi" w:hAnsiTheme="minorBidi" w:cstheme="minorBidi"/>
                <w:sz w:val="22"/>
                <w:szCs w:val="22"/>
              </w:rPr>
              <w:t xml:space="preserve">établissement du premier réseau UNITWIN sur le PCI (Argentine, Uruguay et Paraguay) </w:t>
            </w:r>
            <w:r w:rsidR="007C0E0F" w:rsidRPr="009D1A93">
              <w:rPr>
                <w:rFonts w:asciiTheme="minorBidi" w:hAnsiTheme="minorBidi" w:cstheme="minorBidi"/>
                <w:sz w:val="22"/>
                <w:szCs w:val="22"/>
              </w:rPr>
              <w:t>;</w:t>
            </w:r>
          </w:p>
          <w:p w14:paraId="6AAA0768" w14:textId="7EBC6A44" w:rsidR="00B625DE" w:rsidRPr="009D1A93" w:rsidRDefault="009800D3">
            <w:pPr>
              <w:pStyle w:val="Paragraphedeliste"/>
              <w:numPr>
                <w:ilvl w:val="0"/>
                <w:numId w:val="7"/>
              </w:numPr>
              <w:spacing w:before="120" w:after="120"/>
              <w:ind w:left="425" w:hanging="425"/>
              <w:contextualSpacing w:val="0"/>
              <w:jc w:val="both"/>
              <w:rPr>
                <w:rFonts w:asciiTheme="minorBidi" w:hAnsiTheme="minorBidi" w:cstheme="minorBidi"/>
                <w:sz w:val="22"/>
                <w:szCs w:val="22"/>
              </w:rPr>
            </w:pPr>
            <w:r w:rsidRPr="009D1A93">
              <w:rPr>
                <w:rFonts w:asciiTheme="minorBidi" w:hAnsiTheme="minorBidi" w:cstheme="minorBidi"/>
                <w:sz w:val="22"/>
                <w:szCs w:val="22"/>
              </w:rPr>
              <w:t>L</w:t>
            </w:r>
            <w:r w:rsidR="00CA0916" w:rsidRPr="009D1A93">
              <w:rPr>
                <w:rFonts w:asciiTheme="minorBidi" w:hAnsiTheme="minorBidi" w:cstheme="minorBidi"/>
                <w:sz w:val="22"/>
                <w:szCs w:val="22"/>
              </w:rPr>
              <w:t>’</w:t>
            </w:r>
            <w:r w:rsidRPr="009D1A93">
              <w:rPr>
                <w:rFonts w:asciiTheme="minorBidi" w:hAnsiTheme="minorBidi" w:cstheme="minorBidi"/>
                <w:sz w:val="22"/>
                <w:szCs w:val="22"/>
              </w:rPr>
              <w:t>assistance internationale du Fonds du patrimoine culturel immatériel a soutenu 42 activités de sauvegarde dans 34 États parties, dont 17 en Afrique et 9 dans des PEID ;</w:t>
            </w:r>
          </w:p>
          <w:p w14:paraId="17EB1021" w14:textId="2D8F79DC" w:rsidR="00B625DE" w:rsidRPr="009D1A93" w:rsidRDefault="00B52C0C">
            <w:pPr>
              <w:pStyle w:val="Paragraphedeliste"/>
              <w:numPr>
                <w:ilvl w:val="0"/>
                <w:numId w:val="7"/>
              </w:numPr>
              <w:spacing w:before="120" w:after="120"/>
              <w:ind w:left="425" w:hanging="425"/>
              <w:contextualSpacing w:val="0"/>
              <w:jc w:val="both"/>
              <w:rPr>
                <w:rFonts w:asciiTheme="minorBidi" w:hAnsiTheme="minorBidi" w:cstheme="minorBidi"/>
                <w:sz w:val="22"/>
                <w:szCs w:val="22"/>
              </w:rPr>
            </w:pPr>
            <w:r w:rsidRPr="009D1A93">
              <w:rPr>
                <w:rFonts w:asciiTheme="minorBidi" w:hAnsiTheme="minorBidi" w:cstheme="minorBidi"/>
                <w:sz w:val="22"/>
                <w:szCs w:val="22"/>
              </w:rPr>
              <w:t xml:space="preserve">Le </w:t>
            </w:r>
            <w:r w:rsidR="009800D3" w:rsidRPr="009D1A93">
              <w:rPr>
                <w:rFonts w:asciiTheme="minorBidi" w:hAnsiTheme="minorBidi" w:cstheme="minorBidi"/>
                <w:sz w:val="22"/>
                <w:szCs w:val="22"/>
              </w:rPr>
              <w:t xml:space="preserve">cycle régional du mécanisme réformé de présentation de rapports périodiques pour les États arabes </w:t>
            </w:r>
            <w:r w:rsidRPr="009D1A93">
              <w:rPr>
                <w:rFonts w:asciiTheme="minorBidi" w:hAnsiTheme="minorBidi" w:cstheme="minorBidi"/>
                <w:sz w:val="22"/>
                <w:szCs w:val="22"/>
              </w:rPr>
              <w:t>s</w:t>
            </w:r>
            <w:r w:rsidR="00CA0916" w:rsidRPr="009D1A93">
              <w:rPr>
                <w:rFonts w:asciiTheme="minorBidi" w:hAnsiTheme="minorBidi" w:cstheme="minorBidi"/>
                <w:sz w:val="22"/>
                <w:szCs w:val="22"/>
              </w:rPr>
              <w:t>’</w:t>
            </w:r>
            <w:r w:rsidRPr="009D1A93">
              <w:rPr>
                <w:rFonts w:asciiTheme="minorBidi" w:hAnsiTheme="minorBidi" w:cstheme="minorBidi"/>
                <w:sz w:val="22"/>
                <w:szCs w:val="22"/>
              </w:rPr>
              <w:t xml:space="preserve">est poursuivi </w:t>
            </w:r>
            <w:r w:rsidR="009800D3" w:rsidRPr="009D1A93">
              <w:rPr>
                <w:rFonts w:asciiTheme="minorBidi" w:hAnsiTheme="minorBidi" w:cstheme="minorBidi"/>
                <w:sz w:val="22"/>
                <w:szCs w:val="22"/>
              </w:rPr>
              <w:t xml:space="preserve">avec des activités de renforcement des capacités </w:t>
            </w:r>
            <w:r w:rsidR="002D3362" w:rsidRPr="009D1A93">
              <w:rPr>
                <w:rFonts w:asciiTheme="minorBidi" w:hAnsiTheme="minorBidi" w:cstheme="minorBidi"/>
                <w:sz w:val="22"/>
                <w:szCs w:val="22"/>
              </w:rPr>
              <w:t>présentielles</w:t>
            </w:r>
            <w:r w:rsidR="009800D3" w:rsidRPr="009D1A93">
              <w:rPr>
                <w:rFonts w:asciiTheme="minorBidi" w:hAnsiTheme="minorBidi" w:cstheme="minorBidi"/>
                <w:sz w:val="22"/>
                <w:szCs w:val="22"/>
              </w:rPr>
              <w:t>, hybrides et en ligne</w:t>
            </w:r>
            <w:r w:rsidR="00A236D5" w:rsidRPr="009D1A93">
              <w:rPr>
                <w:rFonts w:asciiTheme="minorBidi" w:hAnsiTheme="minorBidi" w:cstheme="minorBidi"/>
                <w:sz w:val="22"/>
                <w:szCs w:val="22"/>
              </w:rPr>
              <w:t>.</w:t>
            </w:r>
          </w:p>
        </w:tc>
      </w:tr>
      <w:tr w:rsidR="008717DE" w:rsidRPr="009D1A93" w14:paraId="52451E1A" w14:textId="77777777" w:rsidTr="00474A2C">
        <w:trPr>
          <w:trHeight w:val="367"/>
        </w:trPr>
        <w:tc>
          <w:tcPr>
            <w:tcW w:w="679" w:type="pct"/>
            <w:tcBorders>
              <w:left w:val="nil"/>
              <w:bottom w:val="nil"/>
              <w:right w:val="nil"/>
            </w:tcBorders>
          </w:tcPr>
          <w:p w14:paraId="50EC6D55" w14:textId="77777777" w:rsidR="008717DE" w:rsidRPr="009D1A93" w:rsidRDefault="008717DE" w:rsidP="00265133">
            <w:pPr>
              <w:spacing w:before="120" w:after="120"/>
              <w:rPr>
                <w:rFonts w:asciiTheme="minorBidi" w:hAnsiTheme="minorBidi" w:cstheme="minorBidi"/>
                <w:sz w:val="22"/>
                <w:szCs w:val="22"/>
              </w:rPr>
            </w:pPr>
          </w:p>
        </w:tc>
        <w:tc>
          <w:tcPr>
            <w:tcW w:w="718" w:type="pct"/>
            <w:gridSpan w:val="2"/>
            <w:tcBorders>
              <w:left w:val="nil"/>
              <w:bottom w:val="nil"/>
              <w:right w:val="nil"/>
            </w:tcBorders>
            <w:shd w:val="clear" w:color="auto" w:fill="auto"/>
          </w:tcPr>
          <w:p w14:paraId="192B42E7" w14:textId="77777777" w:rsidR="008717DE" w:rsidRPr="009D1A93" w:rsidRDefault="008717DE" w:rsidP="00265133">
            <w:pPr>
              <w:pStyle w:val="Paragraphedeliste"/>
              <w:spacing w:before="120" w:after="120"/>
              <w:ind w:left="312"/>
              <w:contextualSpacing w:val="0"/>
              <w:rPr>
                <w:rFonts w:asciiTheme="minorBidi" w:hAnsiTheme="minorBidi" w:cstheme="minorBidi"/>
                <w:sz w:val="22"/>
                <w:szCs w:val="22"/>
              </w:rPr>
            </w:pPr>
          </w:p>
        </w:tc>
        <w:tc>
          <w:tcPr>
            <w:tcW w:w="77" w:type="pct"/>
            <w:tcBorders>
              <w:left w:val="nil"/>
              <w:bottom w:val="nil"/>
              <w:right w:val="nil"/>
            </w:tcBorders>
            <w:shd w:val="clear" w:color="auto" w:fill="auto"/>
          </w:tcPr>
          <w:p w14:paraId="2BB25669" w14:textId="77777777" w:rsidR="008717DE" w:rsidRPr="009D1A93" w:rsidRDefault="008717DE" w:rsidP="00265133">
            <w:pPr>
              <w:pStyle w:val="Paragraphedeliste"/>
              <w:spacing w:before="120" w:after="120"/>
              <w:ind w:left="312"/>
              <w:contextualSpacing w:val="0"/>
              <w:rPr>
                <w:rFonts w:asciiTheme="minorBidi" w:hAnsiTheme="minorBidi" w:cstheme="minorBidi"/>
                <w:sz w:val="22"/>
                <w:szCs w:val="22"/>
              </w:rPr>
            </w:pPr>
          </w:p>
        </w:tc>
        <w:tc>
          <w:tcPr>
            <w:tcW w:w="3526" w:type="pct"/>
            <w:tcBorders>
              <w:left w:val="nil"/>
              <w:bottom w:val="nil"/>
              <w:right w:val="nil"/>
            </w:tcBorders>
          </w:tcPr>
          <w:p w14:paraId="73A9C059" w14:textId="77777777" w:rsidR="008717DE" w:rsidRPr="009D1A93" w:rsidRDefault="008717DE" w:rsidP="00265133">
            <w:pPr>
              <w:pStyle w:val="Paragraphedeliste"/>
              <w:spacing w:before="120" w:after="120"/>
              <w:ind w:left="544"/>
              <w:contextualSpacing w:val="0"/>
              <w:rPr>
                <w:rFonts w:asciiTheme="minorBidi" w:hAnsiTheme="minorBidi" w:cstheme="minorBidi"/>
                <w:sz w:val="22"/>
                <w:szCs w:val="22"/>
              </w:rPr>
            </w:pPr>
          </w:p>
        </w:tc>
      </w:tr>
    </w:tbl>
    <w:tbl>
      <w:tblPr>
        <w:tblStyle w:val="TableGrid2"/>
        <w:tblW w:w="14572" w:type="dxa"/>
        <w:tblLook w:val="04A0" w:firstRow="1" w:lastRow="0" w:firstColumn="1" w:lastColumn="0" w:noHBand="0" w:noVBand="1"/>
      </w:tblPr>
      <w:tblGrid>
        <w:gridCol w:w="3681"/>
        <w:gridCol w:w="10891"/>
      </w:tblGrid>
      <w:tr w:rsidR="000412FA" w:rsidRPr="009D1A93" w14:paraId="372858C2" w14:textId="77777777" w:rsidTr="00F2660D">
        <w:trPr>
          <w:cantSplit/>
        </w:trPr>
        <w:tc>
          <w:tcPr>
            <w:tcW w:w="1263" w:type="pct"/>
            <w:shd w:val="clear" w:color="auto" w:fill="808080" w:themeFill="background1" w:themeFillShade="80"/>
            <w:vAlign w:val="center"/>
          </w:tcPr>
          <w:p w14:paraId="322D866D" w14:textId="77777777" w:rsidR="00D7158B" w:rsidRDefault="009800D3">
            <w:pPr>
              <w:keepNext/>
              <w:spacing w:before="120" w:after="120"/>
              <w:rPr>
                <w:rFonts w:asciiTheme="minorBidi" w:hAnsiTheme="minorBidi" w:cstheme="minorBidi"/>
                <w:b/>
                <w:bCs/>
                <w:color w:val="FFFFFF" w:themeColor="background1"/>
                <w:sz w:val="22"/>
                <w:szCs w:val="22"/>
              </w:rPr>
            </w:pPr>
            <w:r w:rsidRPr="00F2660D">
              <w:rPr>
                <w:rFonts w:asciiTheme="minorBidi" w:hAnsiTheme="minorBidi" w:cstheme="minorBidi"/>
                <w:b/>
                <w:bCs/>
                <w:color w:val="FFFFFF" w:themeColor="background1"/>
                <w:sz w:val="22"/>
                <w:szCs w:val="22"/>
              </w:rPr>
              <w:lastRenderedPageBreak/>
              <w:t>41C/5</w:t>
            </w:r>
          </w:p>
          <w:p w14:paraId="40A0AA61" w14:textId="178AC623" w:rsidR="00B625DE" w:rsidRPr="00F2660D" w:rsidRDefault="009800D3">
            <w:pPr>
              <w:keepNext/>
              <w:spacing w:before="120" w:after="120"/>
              <w:rPr>
                <w:rFonts w:asciiTheme="minorBidi" w:hAnsiTheme="minorBidi" w:cstheme="minorBidi"/>
                <w:b/>
                <w:bCs/>
                <w:color w:val="FFFFFF" w:themeColor="background1"/>
                <w:sz w:val="22"/>
                <w:szCs w:val="22"/>
              </w:rPr>
            </w:pPr>
            <w:r w:rsidRPr="009D1A93">
              <w:rPr>
                <w:rFonts w:asciiTheme="minorBidi" w:hAnsiTheme="minorBidi" w:cstheme="minorBidi"/>
                <w:b/>
                <w:bCs/>
                <w:color w:val="FFFFFF" w:themeColor="background1"/>
                <w:sz w:val="22"/>
                <w:szCs w:val="22"/>
              </w:rPr>
              <w:t>Indicateur</w:t>
            </w:r>
            <w:r w:rsidRPr="00F2660D">
              <w:rPr>
                <w:rFonts w:asciiTheme="minorBidi" w:hAnsiTheme="minorBidi" w:cstheme="minorBidi"/>
                <w:b/>
                <w:bCs/>
                <w:color w:val="FFFFFF" w:themeColor="background1"/>
                <w:sz w:val="22"/>
                <w:szCs w:val="22"/>
              </w:rPr>
              <w:t xml:space="preserve"> de performance 2</w:t>
            </w:r>
          </w:p>
        </w:tc>
        <w:tc>
          <w:tcPr>
            <w:tcW w:w="3737" w:type="pct"/>
            <w:shd w:val="clear" w:color="auto" w:fill="808080" w:themeFill="background1" w:themeFillShade="80"/>
            <w:vAlign w:val="center"/>
          </w:tcPr>
          <w:p w14:paraId="6EB52A65" w14:textId="7442AC15" w:rsidR="00B625DE" w:rsidRPr="009D1A93" w:rsidRDefault="009800D3">
            <w:pPr>
              <w:keepNext/>
              <w:spacing w:before="120" w:after="120"/>
              <w:rPr>
                <w:rFonts w:asciiTheme="minorBidi" w:hAnsiTheme="minorBidi" w:cstheme="minorBidi"/>
                <w:b/>
                <w:bCs/>
                <w:color w:val="FFFFFF" w:themeColor="background1"/>
                <w:sz w:val="22"/>
                <w:szCs w:val="22"/>
              </w:rPr>
            </w:pPr>
            <w:r w:rsidRPr="009D1A93">
              <w:rPr>
                <w:rFonts w:asciiTheme="minorBidi" w:hAnsiTheme="minorBidi" w:cstheme="minorBidi"/>
                <w:b/>
                <w:bCs/>
                <w:color w:val="FFFFFF" w:themeColor="background1"/>
                <w:sz w:val="22"/>
                <w:szCs w:val="22"/>
              </w:rPr>
              <w:t>Nombre d</w:t>
            </w:r>
            <w:r w:rsidR="00CA0916" w:rsidRPr="009D1A93">
              <w:rPr>
                <w:rFonts w:asciiTheme="minorBidi" w:hAnsiTheme="minorBidi" w:cstheme="minorBidi"/>
                <w:b/>
                <w:bCs/>
                <w:color w:val="FFFFFF" w:themeColor="background1"/>
                <w:sz w:val="22"/>
                <w:szCs w:val="22"/>
              </w:rPr>
              <w:t>’</w:t>
            </w:r>
            <w:r w:rsidRPr="009D1A93">
              <w:rPr>
                <w:rFonts w:asciiTheme="minorBidi" w:hAnsiTheme="minorBidi" w:cstheme="minorBidi"/>
                <w:b/>
                <w:bCs/>
                <w:color w:val="FFFFFF" w:themeColor="background1"/>
                <w:sz w:val="22"/>
                <w:szCs w:val="22"/>
              </w:rPr>
              <w:t>États membres sauvegardant durablement le patrimoine vivant grâce à des mécanismes renforcés de coopération et d</w:t>
            </w:r>
            <w:r w:rsidR="00CA0916" w:rsidRPr="009D1A93">
              <w:rPr>
                <w:rFonts w:asciiTheme="minorBidi" w:hAnsiTheme="minorBidi" w:cstheme="minorBidi"/>
                <w:b/>
                <w:bCs/>
                <w:color w:val="FFFFFF" w:themeColor="background1"/>
                <w:sz w:val="22"/>
                <w:szCs w:val="22"/>
              </w:rPr>
              <w:t>’</w:t>
            </w:r>
            <w:r w:rsidRPr="009D1A93">
              <w:rPr>
                <w:rFonts w:asciiTheme="minorBidi" w:hAnsiTheme="minorBidi" w:cstheme="minorBidi"/>
                <w:b/>
                <w:bCs/>
                <w:color w:val="FFFFFF" w:themeColor="background1"/>
                <w:sz w:val="22"/>
                <w:szCs w:val="22"/>
              </w:rPr>
              <w:t>assistance internationales de la Convention de 2003 pour la sauvegarde du patrimoine culturel immatériel</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702"/>
        <w:gridCol w:w="10891"/>
      </w:tblGrid>
      <w:tr w:rsidR="006E52F6" w:rsidRPr="009D1A93" w14:paraId="418AD728" w14:textId="77777777" w:rsidTr="00474A2C">
        <w:trPr>
          <w:tblHeader/>
        </w:trPr>
        <w:tc>
          <w:tcPr>
            <w:tcW w:w="679" w:type="pct"/>
            <w:shd w:val="clear" w:color="auto" w:fill="D9D9D9" w:themeFill="background1" w:themeFillShade="D9"/>
            <w:vAlign w:val="center"/>
          </w:tcPr>
          <w:p w14:paraId="21E1CBE4" w14:textId="77777777" w:rsidR="00B625DE" w:rsidRPr="00F2660D" w:rsidRDefault="009800D3">
            <w:pPr>
              <w:spacing w:before="60" w:after="60"/>
              <w:jc w:val="center"/>
              <w:rPr>
                <w:rFonts w:asciiTheme="minorBidi" w:eastAsia="Calibri" w:hAnsiTheme="minorBidi" w:cstheme="minorBidi"/>
                <w:b/>
                <w:sz w:val="22"/>
                <w:szCs w:val="22"/>
              </w:rPr>
            </w:pPr>
            <w:r w:rsidRPr="00F2660D">
              <w:rPr>
                <w:rFonts w:asciiTheme="minorBidi" w:hAnsiTheme="minorBidi" w:cstheme="minorBidi"/>
                <w:b/>
                <w:bCs/>
                <w:sz w:val="22"/>
                <w:szCs w:val="22"/>
              </w:rPr>
              <w:t>Lignes de base</w:t>
            </w:r>
          </w:p>
        </w:tc>
        <w:tc>
          <w:tcPr>
            <w:tcW w:w="584" w:type="pct"/>
            <w:shd w:val="clear" w:color="auto" w:fill="D9D9D9" w:themeFill="background1" w:themeFillShade="D9"/>
            <w:vAlign w:val="center"/>
          </w:tcPr>
          <w:p w14:paraId="6E57B341" w14:textId="77777777" w:rsidR="00B625DE" w:rsidRPr="00F2660D" w:rsidRDefault="009800D3">
            <w:pPr>
              <w:spacing w:before="60" w:after="60"/>
              <w:jc w:val="center"/>
              <w:rPr>
                <w:rFonts w:asciiTheme="minorBidi" w:eastAsia="Calibri" w:hAnsiTheme="minorBidi" w:cstheme="minorBidi"/>
                <w:b/>
                <w:sz w:val="22"/>
                <w:szCs w:val="22"/>
              </w:rPr>
            </w:pPr>
            <w:r w:rsidRPr="00F2660D">
              <w:rPr>
                <w:rFonts w:asciiTheme="minorBidi" w:eastAsia="Calibri" w:hAnsiTheme="minorBidi" w:cstheme="minorBidi"/>
                <w:b/>
                <w:sz w:val="22"/>
                <w:szCs w:val="22"/>
              </w:rPr>
              <w:t>Objectifs pour 2023</w:t>
            </w:r>
          </w:p>
        </w:tc>
        <w:tc>
          <w:tcPr>
            <w:tcW w:w="3737" w:type="pct"/>
            <w:shd w:val="clear" w:color="auto" w:fill="D9D9D9" w:themeFill="background1" w:themeFillShade="D9"/>
            <w:vAlign w:val="center"/>
          </w:tcPr>
          <w:p w14:paraId="3584C51E" w14:textId="77777777" w:rsidR="00B625DE" w:rsidRPr="009D1A93" w:rsidRDefault="009800D3">
            <w:pPr>
              <w:autoSpaceDE w:val="0"/>
              <w:autoSpaceDN w:val="0"/>
              <w:adjustRightInd w:val="0"/>
              <w:jc w:val="center"/>
              <w:rPr>
                <w:rFonts w:asciiTheme="minorBidi" w:eastAsia="Calibri" w:hAnsiTheme="minorBidi" w:cstheme="minorBidi"/>
                <w:b/>
                <w:color w:val="000000"/>
                <w:sz w:val="22"/>
                <w:szCs w:val="22"/>
              </w:rPr>
            </w:pPr>
            <w:r w:rsidRPr="009D1A93">
              <w:rPr>
                <w:rFonts w:asciiTheme="minorBidi" w:eastAsia="Calibri" w:hAnsiTheme="minorBidi" w:cstheme="minorBidi"/>
                <w:b/>
                <w:sz w:val="22"/>
                <w:szCs w:val="22"/>
              </w:rPr>
              <w:t>Évaluation des progrès accomplis :</w:t>
            </w:r>
            <w:r w:rsidRPr="009D1A93">
              <w:rPr>
                <w:rFonts w:asciiTheme="minorBidi" w:eastAsia="Calibri" w:hAnsiTheme="minorBidi" w:cstheme="minorBidi"/>
                <w:b/>
                <w:sz w:val="22"/>
                <w:szCs w:val="22"/>
              </w:rPr>
              <w:br/>
              <w:t xml:space="preserve"> 01/01/2022 au 30/06/2022</w:t>
            </w:r>
          </w:p>
        </w:tc>
      </w:tr>
      <w:tr w:rsidR="006E52F6" w:rsidRPr="009D1A93" w14:paraId="4C5B99BD" w14:textId="77777777" w:rsidTr="00474A2C">
        <w:trPr>
          <w:trHeight w:val="4361"/>
          <w:tblHeader/>
        </w:trPr>
        <w:tc>
          <w:tcPr>
            <w:tcW w:w="679" w:type="pct"/>
            <w:shd w:val="clear" w:color="auto" w:fill="auto"/>
          </w:tcPr>
          <w:p w14:paraId="066CE969" w14:textId="77777777" w:rsidR="00B625DE" w:rsidRPr="005F73DE" w:rsidRDefault="009800D3">
            <w:pPr>
              <w:spacing w:before="60" w:after="60"/>
              <w:rPr>
                <w:rFonts w:asciiTheme="minorBidi" w:hAnsiTheme="minorBidi" w:cstheme="minorBidi"/>
                <w:b/>
                <w:bCs/>
                <w:sz w:val="22"/>
                <w:szCs w:val="22"/>
              </w:rPr>
            </w:pPr>
            <w:r w:rsidRPr="005F73DE">
              <w:rPr>
                <w:rFonts w:asciiTheme="minorBidi" w:hAnsiTheme="minorBidi" w:cstheme="minorBidi"/>
                <w:sz w:val="22"/>
                <w:szCs w:val="22"/>
              </w:rPr>
              <w:t>80, dont 25 en Afrique et 15 dans les PEID</w:t>
            </w:r>
          </w:p>
        </w:tc>
        <w:tc>
          <w:tcPr>
            <w:tcW w:w="584" w:type="pct"/>
            <w:shd w:val="clear" w:color="auto" w:fill="auto"/>
          </w:tcPr>
          <w:p w14:paraId="1B430663" w14:textId="77777777" w:rsidR="00B625DE" w:rsidRPr="005F73DE" w:rsidRDefault="006E52F6">
            <w:pPr>
              <w:spacing w:before="60" w:after="60"/>
              <w:rPr>
                <w:rFonts w:asciiTheme="minorBidi" w:eastAsia="Calibri" w:hAnsiTheme="minorBidi" w:cstheme="minorBidi"/>
                <w:b/>
                <w:sz w:val="22"/>
                <w:szCs w:val="22"/>
              </w:rPr>
            </w:pPr>
            <w:r w:rsidRPr="005F73DE">
              <w:rPr>
                <w:rFonts w:asciiTheme="minorBidi" w:hAnsiTheme="minorBidi" w:cstheme="minorBidi"/>
                <w:sz w:val="22"/>
                <w:szCs w:val="22"/>
              </w:rPr>
              <w:t xml:space="preserve">90, dont </w:t>
            </w:r>
            <w:r w:rsidR="009800D3" w:rsidRPr="005F73DE">
              <w:rPr>
                <w:rFonts w:asciiTheme="minorBidi" w:hAnsiTheme="minorBidi" w:cstheme="minorBidi"/>
                <w:sz w:val="22"/>
                <w:szCs w:val="22"/>
              </w:rPr>
              <w:t xml:space="preserve">40 </w:t>
            </w:r>
            <w:r w:rsidRPr="005F73DE">
              <w:rPr>
                <w:rFonts w:asciiTheme="minorBidi" w:hAnsiTheme="minorBidi" w:cstheme="minorBidi"/>
                <w:sz w:val="22"/>
                <w:szCs w:val="22"/>
              </w:rPr>
              <w:t xml:space="preserve">en Afrique et </w:t>
            </w:r>
            <w:r w:rsidR="009800D3" w:rsidRPr="005F73DE">
              <w:rPr>
                <w:rFonts w:asciiTheme="minorBidi" w:hAnsiTheme="minorBidi" w:cstheme="minorBidi"/>
                <w:sz w:val="22"/>
                <w:szCs w:val="22"/>
              </w:rPr>
              <w:t xml:space="preserve">17 </w:t>
            </w:r>
            <w:r w:rsidRPr="005F73DE">
              <w:rPr>
                <w:rFonts w:asciiTheme="minorBidi" w:hAnsiTheme="minorBidi" w:cstheme="minorBidi"/>
                <w:sz w:val="22"/>
                <w:szCs w:val="22"/>
              </w:rPr>
              <w:t>PEID</w:t>
            </w:r>
          </w:p>
        </w:tc>
        <w:tc>
          <w:tcPr>
            <w:tcW w:w="3737" w:type="pct"/>
            <w:shd w:val="clear" w:color="auto" w:fill="auto"/>
          </w:tcPr>
          <w:p w14:paraId="7558C201" w14:textId="032B1DAA" w:rsidR="00B625DE" w:rsidRPr="005F73DE" w:rsidRDefault="009800D3">
            <w:pPr>
              <w:pStyle w:val="Paragraphedeliste"/>
              <w:numPr>
                <w:ilvl w:val="0"/>
                <w:numId w:val="8"/>
              </w:numPr>
              <w:spacing w:before="120" w:after="120"/>
              <w:ind w:left="323"/>
              <w:contextualSpacing w:val="0"/>
              <w:jc w:val="both"/>
              <w:rPr>
                <w:rFonts w:asciiTheme="minorBidi" w:hAnsiTheme="minorBidi" w:cstheme="minorBidi"/>
                <w:sz w:val="22"/>
                <w:szCs w:val="22"/>
              </w:rPr>
            </w:pPr>
            <w:r w:rsidRPr="005F73DE">
              <w:rPr>
                <w:rFonts w:asciiTheme="minorBidi" w:hAnsiTheme="minorBidi" w:cstheme="minorBidi"/>
                <w:sz w:val="22"/>
                <w:szCs w:val="22"/>
              </w:rPr>
              <w:t>Méthodes et outils de travail des organes directeurs et d</w:t>
            </w:r>
            <w:r w:rsidR="00CA0916" w:rsidRPr="005F73DE">
              <w:rPr>
                <w:rFonts w:asciiTheme="minorBidi" w:hAnsiTheme="minorBidi" w:cstheme="minorBidi"/>
                <w:sz w:val="22"/>
                <w:szCs w:val="22"/>
              </w:rPr>
              <w:t>’</w:t>
            </w:r>
            <w:r w:rsidRPr="005F73DE">
              <w:rPr>
                <w:rFonts w:asciiTheme="minorBidi" w:hAnsiTheme="minorBidi" w:cstheme="minorBidi"/>
                <w:sz w:val="22"/>
                <w:szCs w:val="22"/>
              </w:rPr>
              <w:t xml:space="preserve">évaluation de la Convention adaptés aux modalités en ligne, et services de gestion des connaissances optimisés pour assurer la continuité des mécanismes statutaires et des réunions </w:t>
            </w:r>
            <w:r w:rsidR="00140301" w:rsidRPr="005F73DE">
              <w:rPr>
                <w:rFonts w:asciiTheme="minorBidi" w:hAnsiTheme="minorBidi" w:cstheme="minorBidi"/>
                <w:sz w:val="22"/>
                <w:szCs w:val="22"/>
              </w:rPr>
              <w:t>;</w:t>
            </w:r>
          </w:p>
          <w:p w14:paraId="6917897C" w14:textId="18747B7F" w:rsidR="00B625DE" w:rsidRPr="005F73DE" w:rsidRDefault="009800D3">
            <w:pPr>
              <w:pStyle w:val="Paragraphedeliste"/>
              <w:keepNext/>
              <w:keepLines/>
              <w:numPr>
                <w:ilvl w:val="0"/>
                <w:numId w:val="8"/>
              </w:numPr>
              <w:spacing w:before="120" w:after="120"/>
              <w:ind w:left="323"/>
              <w:contextualSpacing w:val="0"/>
              <w:jc w:val="both"/>
              <w:rPr>
                <w:rFonts w:asciiTheme="minorBidi" w:hAnsiTheme="minorBidi" w:cstheme="minorBidi"/>
                <w:sz w:val="22"/>
                <w:szCs w:val="22"/>
              </w:rPr>
            </w:pPr>
            <w:r w:rsidRPr="005F73DE">
              <w:rPr>
                <w:rFonts w:asciiTheme="minorBidi" w:hAnsiTheme="minorBidi" w:cstheme="minorBidi"/>
                <w:sz w:val="22"/>
                <w:szCs w:val="22"/>
              </w:rPr>
              <w:t>Conclusion de la réflexion globale sur les mécanismes d</w:t>
            </w:r>
            <w:r w:rsidR="00CA0916" w:rsidRPr="005F73DE">
              <w:rPr>
                <w:rFonts w:asciiTheme="minorBidi" w:hAnsiTheme="minorBidi" w:cstheme="minorBidi"/>
                <w:sz w:val="22"/>
                <w:szCs w:val="22"/>
              </w:rPr>
              <w:t>’</w:t>
            </w:r>
            <w:r w:rsidRPr="005F73DE">
              <w:rPr>
                <w:rFonts w:asciiTheme="minorBidi" w:hAnsiTheme="minorBidi" w:cstheme="minorBidi"/>
                <w:sz w:val="22"/>
                <w:szCs w:val="22"/>
              </w:rPr>
              <w:t>inscription de la Convention et approbation des amendements ultérieurs aux directives opérationnelles ;</w:t>
            </w:r>
          </w:p>
          <w:p w14:paraId="47025441" w14:textId="2676AF41" w:rsidR="00B625DE" w:rsidRPr="005F73DE" w:rsidRDefault="009800D3">
            <w:pPr>
              <w:pStyle w:val="Paragraphedeliste"/>
              <w:numPr>
                <w:ilvl w:val="0"/>
                <w:numId w:val="8"/>
              </w:numPr>
              <w:autoSpaceDE w:val="0"/>
              <w:autoSpaceDN w:val="0"/>
              <w:adjustRightInd w:val="0"/>
              <w:ind w:left="323"/>
              <w:rPr>
                <w:rFonts w:asciiTheme="minorBidi" w:eastAsia="Calibri" w:hAnsiTheme="minorBidi" w:cstheme="minorBidi"/>
                <w:b/>
                <w:sz w:val="22"/>
                <w:szCs w:val="22"/>
              </w:rPr>
            </w:pPr>
            <w:r w:rsidRPr="005F73DE">
              <w:rPr>
                <w:rFonts w:asciiTheme="minorBidi" w:hAnsiTheme="minorBidi" w:cstheme="minorBidi"/>
                <w:sz w:val="22"/>
                <w:szCs w:val="22"/>
              </w:rPr>
              <w:t xml:space="preserve">5 </w:t>
            </w:r>
            <w:r w:rsidR="00B91FAF" w:rsidRPr="005F73DE">
              <w:rPr>
                <w:rFonts w:asciiTheme="minorBidi" w:hAnsiTheme="minorBidi" w:cstheme="minorBidi"/>
                <w:sz w:val="22"/>
                <w:szCs w:val="22"/>
              </w:rPr>
              <w:t>nouvelles demandes d</w:t>
            </w:r>
            <w:r w:rsidR="00CA0916" w:rsidRPr="005F73DE">
              <w:rPr>
                <w:rFonts w:asciiTheme="minorBidi" w:hAnsiTheme="minorBidi" w:cstheme="minorBidi"/>
                <w:sz w:val="22"/>
                <w:szCs w:val="22"/>
              </w:rPr>
              <w:t>’</w:t>
            </w:r>
            <w:r w:rsidR="00B91FAF" w:rsidRPr="005F73DE">
              <w:rPr>
                <w:rFonts w:asciiTheme="minorBidi" w:hAnsiTheme="minorBidi" w:cstheme="minorBidi"/>
                <w:sz w:val="22"/>
                <w:szCs w:val="22"/>
              </w:rPr>
              <w:t>assistance internationale traitées et accordées</w:t>
            </w:r>
            <w:r w:rsidR="006E52F6" w:rsidRPr="005F73DE">
              <w:rPr>
                <w:rFonts w:asciiTheme="minorBidi" w:hAnsiTheme="minorBidi" w:cstheme="minorBidi"/>
                <w:sz w:val="22"/>
                <w:szCs w:val="22"/>
              </w:rPr>
              <w:t xml:space="preserve">, dont </w:t>
            </w:r>
            <w:r w:rsidR="00B91FAF" w:rsidRPr="005F73DE">
              <w:rPr>
                <w:rFonts w:asciiTheme="minorBidi" w:hAnsiTheme="minorBidi" w:cstheme="minorBidi"/>
                <w:sz w:val="22"/>
                <w:szCs w:val="22"/>
              </w:rPr>
              <w:t xml:space="preserve">une en </w:t>
            </w:r>
            <w:r w:rsidR="006E52F6" w:rsidRPr="005F73DE">
              <w:rPr>
                <w:rFonts w:asciiTheme="minorBidi" w:hAnsiTheme="minorBidi" w:cstheme="minorBidi"/>
                <w:sz w:val="22"/>
                <w:szCs w:val="22"/>
              </w:rPr>
              <w:t xml:space="preserve">Afrique et </w:t>
            </w:r>
            <w:r w:rsidR="00B91FAF" w:rsidRPr="005F73DE">
              <w:rPr>
                <w:rFonts w:asciiTheme="minorBidi" w:hAnsiTheme="minorBidi" w:cstheme="minorBidi"/>
                <w:sz w:val="22"/>
                <w:szCs w:val="22"/>
              </w:rPr>
              <w:t xml:space="preserve">deux </w:t>
            </w:r>
            <w:r w:rsidR="006E52F6" w:rsidRPr="005F73DE">
              <w:rPr>
                <w:rFonts w:asciiTheme="minorBidi" w:hAnsiTheme="minorBidi" w:cstheme="minorBidi"/>
                <w:sz w:val="22"/>
                <w:szCs w:val="22"/>
              </w:rPr>
              <w:t xml:space="preserve">dans les PEID </w:t>
            </w:r>
            <w:r w:rsidR="00B91FAF" w:rsidRPr="005F73DE">
              <w:rPr>
                <w:rFonts w:asciiTheme="minorBidi" w:hAnsiTheme="minorBidi" w:cstheme="minorBidi"/>
                <w:sz w:val="22"/>
                <w:szCs w:val="22"/>
              </w:rPr>
              <w:t>;</w:t>
            </w:r>
          </w:p>
          <w:p w14:paraId="3F672545" w14:textId="33AFA400" w:rsidR="00B625DE" w:rsidRPr="005F73DE" w:rsidRDefault="009800D3">
            <w:pPr>
              <w:pStyle w:val="Paragraphedeliste"/>
              <w:numPr>
                <w:ilvl w:val="0"/>
                <w:numId w:val="8"/>
              </w:numPr>
              <w:spacing w:before="120" w:after="120"/>
              <w:ind w:left="323"/>
              <w:contextualSpacing w:val="0"/>
              <w:jc w:val="both"/>
              <w:rPr>
                <w:rFonts w:asciiTheme="minorBidi" w:hAnsiTheme="minorBidi" w:cstheme="minorBidi"/>
                <w:sz w:val="22"/>
                <w:szCs w:val="22"/>
              </w:rPr>
            </w:pPr>
            <w:r w:rsidRPr="005F73DE">
              <w:rPr>
                <w:rFonts w:asciiTheme="minorBidi" w:hAnsiTheme="minorBidi" w:cstheme="minorBidi"/>
                <w:sz w:val="22"/>
                <w:szCs w:val="22"/>
              </w:rPr>
              <w:t xml:space="preserve">57 </w:t>
            </w:r>
            <w:r w:rsidR="00BE6126" w:rsidRPr="005F73DE">
              <w:rPr>
                <w:rFonts w:asciiTheme="minorBidi" w:hAnsiTheme="minorBidi" w:cstheme="minorBidi"/>
                <w:sz w:val="22"/>
                <w:szCs w:val="22"/>
              </w:rPr>
              <w:t>dossiers de candidature traités pour le cycle 2022</w:t>
            </w:r>
            <w:r w:rsidR="007761D4" w:rsidRPr="00F2660D">
              <w:rPr>
                <w:rStyle w:val="Appelnotedebasdep"/>
                <w:rFonts w:asciiTheme="minorBidi" w:hAnsiTheme="minorBidi" w:cstheme="minorBidi"/>
                <w:sz w:val="22"/>
                <w:szCs w:val="22"/>
              </w:rPr>
              <w:footnoteReference w:id="6"/>
            </w:r>
            <w:r w:rsidRPr="005F73DE">
              <w:rPr>
                <w:rFonts w:asciiTheme="minorBidi" w:hAnsiTheme="minorBidi" w:cstheme="minorBidi"/>
                <w:sz w:val="22"/>
                <w:szCs w:val="22"/>
              </w:rPr>
              <w:t>, dont un dossier traité selon un</w:t>
            </w:r>
            <w:r w:rsidR="009D1DBE" w:rsidRPr="005F73DE">
              <w:rPr>
                <w:rFonts w:asciiTheme="minorBidi" w:hAnsiTheme="minorBidi" w:cstheme="minorBidi"/>
                <w:sz w:val="22"/>
                <w:szCs w:val="22"/>
              </w:rPr>
              <w:t>e base</w:t>
            </w:r>
            <w:r w:rsidR="005F73DE" w:rsidRPr="005F73DE">
              <w:rPr>
                <w:rFonts w:asciiTheme="minorBidi" w:hAnsiTheme="minorBidi" w:cstheme="minorBidi"/>
                <w:sz w:val="22"/>
                <w:szCs w:val="22"/>
              </w:rPr>
              <w:t xml:space="preserve"> </w:t>
            </w:r>
            <w:r w:rsidRPr="005F73DE">
              <w:rPr>
                <w:rFonts w:asciiTheme="minorBidi" w:hAnsiTheme="minorBidi" w:cstheme="minorBidi"/>
                <w:sz w:val="22"/>
                <w:szCs w:val="22"/>
              </w:rPr>
              <w:t>accéléré</w:t>
            </w:r>
            <w:r w:rsidR="009D1DBE" w:rsidRPr="005F73DE">
              <w:rPr>
                <w:rFonts w:asciiTheme="minorBidi" w:hAnsiTheme="minorBidi" w:cstheme="minorBidi"/>
                <w:sz w:val="22"/>
                <w:szCs w:val="22"/>
              </w:rPr>
              <w:t>e</w:t>
            </w:r>
            <w:r w:rsidRPr="005F73DE">
              <w:rPr>
                <w:rFonts w:asciiTheme="minorBidi" w:hAnsiTheme="minorBidi" w:cstheme="minorBidi"/>
                <w:sz w:val="22"/>
                <w:szCs w:val="22"/>
              </w:rPr>
              <w:t xml:space="preserve"> (cas d</w:t>
            </w:r>
            <w:r w:rsidR="00CA0916" w:rsidRPr="005F73DE">
              <w:rPr>
                <w:rFonts w:asciiTheme="minorBidi" w:hAnsiTheme="minorBidi" w:cstheme="minorBidi"/>
                <w:sz w:val="22"/>
                <w:szCs w:val="22"/>
              </w:rPr>
              <w:t>’</w:t>
            </w:r>
            <w:r w:rsidRPr="005F73DE">
              <w:rPr>
                <w:rFonts w:asciiTheme="minorBidi" w:hAnsiTheme="minorBidi" w:cstheme="minorBidi"/>
                <w:sz w:val="22"/>
                <w:szCs w:val="22"/>
              </w:rPr>
              <w:t>extrême urgence, au sens de l</w:t>
            </w:r>
            <w:r w:rsidR="00CA0916" w:rsidRPr="005F73DE">
              <w:rPr>
                <w:rFonts w:asciiTheme="minorBidi" w:hAnsiTheme="minorBidi" w:cstheme="minorBidi"/>
                <w:sz w:val="22"/>
                <w:szCs w:val="22"/>
              </w:rPr>
              <w:t>’</w:t>
            </w:r>
            <w:r w:rsidRPr="005F73DE">
              <w:rPr>
                <w:rFonts w:asciiTheme="minorBidi" w:hAnsiTheme="minorBidi" w:cstheme="minorBidi"/>
                <w:sz w:val="22"/>
                <w:szCs w:val="22"/>
              </w:rPr>
              <w:t>article 17.3)</w:t>
            </w:r>
            <w:r w:rsidR="00A236D5" w:rsidRPr="005F73DE">
              <w:rPr>
                <w:rFonts w:asciiTheme="minorBidi" w:hAnsiTheme="minorBidi" w:cstheme="minorBidi"/>
                <w:sz w:val="22"/>
                <w:szCs w:val="22"/>
              </w:rPr>
              <w:t> ;</w:t>
            </w:r>
          </w:p>
          <w:p w14:paraId="730D91DE" w14:textId="77777777" w:rsidR="00B625DE" w:rsidRPr="005F73DE" w:rsidRDefault="009800D3">
            <w:pPr>
              <w:pStyle w:val="Paragraphedeliste"/>
              <w:numPr>
                <w:ilvl w:val="0"/>
                <w:numId w:val="8"/>
              </w:numPr>
              <w:spacing w:before="120" w:after="120"/>
              <w:ind w:left="323"/>
              <w:contextualSpacing w:val="0"/>
              <w:jc w:val="both"/>
              <w:rPr>
                <w:rFonts w:asciiTheme="minorBidi" w:hAnsiTheme="minorBidi" w:cstheme="minorBidi"/>
                <w:sz w:val="22"/>
                <w:szCs w:val="22"/>
              </w:rPr>
            </w:pPr>
            <w:r w:rsidRPr="005F73DE">
              <w:rPr>
                <w:rFonts w:asciiTheme="minorBidi" w:hAnsiTheme="minorBidi" w:cstheme="minorBidi"/>
                <w:sz w:val="22"/>
                <w:szCs w:val="22"/>
              </w:rPr>
              <w:t xml:space="preserve">82 dossiers de candidature nouvellement déposés </w:t>
            </w:r>
            <w:r w:rsidR="007761D4" w:rsidRPr="005F73DE">
              <w:rPr>
                <w:rFonts w:asciiTheme="minorBidi" w:hAnsiTheme="minorBidi" w:cstheme="minorBidi"/>
                <w:sz w:val="22"/>
                <w:szCs w:val="22"/>
              </w:rPr>
              <w:t xml:space="preserve">enregistrés et </w:t>
            </w:r>
            <w:r w:rsidR="008C1641" w:rsidRPr="005F73DE">
              <w:rPr>
                <w:rFonts w:asciiTheme="minorBidi" w:hAnsiTheme="minorBidi" w:cstheme="minorBidi"/>
                <w:sz w:val="22"/>
                <w:szCs w:val="22"/>
              </w:rPr>
              <w:t xml:space="preserve">60 dossiers de candidature traités pour le cycle 2023 </w:t>
            </w:r>
            <w:r w:rsidR="007761D4" w:rsidRPr="005F73DE">
              <w:rPr>
                <w:rFonts w:asciiTheme="minorBidi" w:hAnsiTheme="minorBidi" w:cstheme="minorBidi"/>
                <w:sz w:val="22"/>
                <w:szCs w:val="22"/>
              </w:rPr>
              <w:t>;</w:t>
            </w:r>
          </w:p>
          <w:p w14:paraId="6AA1EEA0" w14:textId="705F06AA" w:rsidR="00B625DE" w:rsidRPr="005F73DE" w:rsidRDefault="00686027">
            <w:pPr>
              <w:pStyle w:val="Paragraphedeliste"/>
              <w:keepNext/>
              <w:numPr>
                <w:ilvl w:val="0"/>
                <w:numId w:val="8"/>
              </w:numPr>
              <w:spacing w:before="120" w:after="120"/>
              <w:ind w:left="323"/>
              <w:contextualSpacing w:val="0"/>
              <w:jc w:val="both"/>
              <w:rPr>
                <w:rFonts w:asciiTheme="minorBidi" w:hAnsiTheme="minorBidi" w:cstheme="minorBidi"/>
                <w:sz w:val="22"/>
                <w:szCs w:val="22"/>
              </w:rPr>
            </w:pPr>
            <w:r w:rsidRPr="005F73DE">
              <w:rPr>
                <w:rFonts w:asciiTheme="minorBidi" w:hAnsiTheme="minorBidi" w:cstheme="minorBidi"/>
                <w:sz w:val="22"/>
                <w:szCs w:val="22"/>
              </w:rPr>
              <w:t xml:space="preserve">12 </w:t>
            </w:r>
            <w:r w:rsidR="005176FE" w:rsidRPr="005F73DE">
              <w:rPr>
                <w:rFonts w:asciiTheme="minorBidi" w:hAnsiTheme="minorBidi" w:cstheme="minorBidi"/>
                <w:sz w:val="22"/>
                <w:szCs w:val="22"/>
              </w:rPr>
              <w:t xml:space="preserve">réunions </w:t>
            </w:r>
            <w:r w:rsidR="00F508D7" w:rsidRPr="005F73DE">
              <w:rPr>
                <w:rFonts w:asciiTheme="minorBidi" w:hAnsiTheme="minorBidi" w:cstheme="minorBidi"/>
                <w:sz w:val="22"/>
                <w:szCs w:val="22"/>
              </w:rPr>
              <w:t xml:space="preserve">et interventions </w:t>
            </w:r>
            <w:r w:rsidR="005176FE" w:rsidRPr="005F73DE">
              <w:rPr>
                <w:rFonts w:asciiTheme="minorBidi" w:hAnsiTheme="minorBidi" w:cstheme="minorBidi"/>
                <w:sz w:val="22"/>
                <w:szCs w:val="22"/>
              </w:rPr>
              <w:t>statutaires organisées</w:t>
            </w:r>
            <w:r w:rsidR="00A236D5" w:rsidRPr="00F2660D">
              <w:rPr>
                <w:rStyle w:val="Appelnotedebasdep"/>
                <w:rFonts w:asciiTheme="minorBidi" w:hAnsiTheme="minorBidi" w:cstheme="minorBidi"/>
                <w:sz w:val="22"/>
                <w:szCs w:val="22"/>
              </w:rPr>
              <w:footnoteReference w:id="7"/>
            </w:r>
            <w:r w:rsidR="005176FE" w:rsidRPr="005F73DE">
              <w:rPr>
                <w:rFonts w:asciiTheme="minorBidi" w:hAnsiTheme="minorBidi" w:cstheme="minorBidi"/>
                <w:sz w:val="22"/>
                <w:szCs w:val="22"/>
              </w:rPr>
              <w:t xml:space="preserve"> </w:t>
            </w:r>
            <w:r w:rsidR="00140301" w:rsidRPr="005F73DE">
              <w:rPr>
                <w:rFonts w:asciiTheme="minorBidi" w:hAnsiTheme="minorBidi" w:cstheme="minorBidi"/>
                <w:sz w:val="22"/>
                <w:szCs w:val="22"/>
              </w:rPr>
              <w:t>;</w:t>
            </w:r>
          </w:p>
          <w:p w14:paraId="614C6F6D" w14:textId="7D12C13E" w:rsidR="00B625DE" w:rsidRPr="005F73DE" w:rsidRDefault="009800D3">
            <w:pPr>
              <w:pStyle w:val="COMPara"/>
              <w:keepNext/>
              <w:keepLines/>
              <w:numPr>
                <w:ilvl w:val="0"/>
                <w:numId w:val="8"/>
              </w:numPr>
              <w:spacing w:before="120"/>
              <w:ind w:left="323"/>
              <w:jc w:val="both"/>
              <w:rPr>
                <w:rFonts w:asciiTheme="minorBidi" w:hAnsiTheme="minorBidi" w:cstheme="minorBidi"/>
                <w:lang w:val="fr-FR"/>
              </w:rPr>
            </w:pPr>
            <w:r w:rsidRPr="005F73DE">
              <w:rPr>
                <w:rFonts w:asciiTheme="minorBidi" w:hAnsiTheme="minorBidi" w:cstheme="minorBidi"/>
                <w:lang w:val="fr-FR"/>
              </w:rPr>
              <w:t>Première mise en œuvre de l</w:t>
            </w:r>
            <w:r w:rsidR="00CA0916" w:rsidRPr="005F73DE">
              <w:rPr>
                <w:rFonts w:asciiTheme="minorBidi" w:hAnsiTheme="minorBidi" w:cstheme="minorBidi"/>
                <w:lang w:val="fr-FR"/>
              </w:rPr>
              <w:t>’</w:t>
            </w:r>
            <w:r w:rsidRPr="005F73DE">
              <w:rPr>
                <w:rFonts w:asciiTheme="minorBidi" w:hAnsiTheme="minorBidi" w:cstheme="minorBidi"/>
                <w:lang w:val="fr-FR"/>
              </w:rPr>
              <w:t xml:space="preserve">article </w:t>
            </w:r>
            <w:r w:rsidRPr="00F2660D">
              <w:rPr>
                <w:rFonts w:asciiTheme="minorBidi" w:hAnsiTheme="minorBidi" w:cstheme="minorBidi"/>
                <w:lang w:val="fr-FR"/>
              </w:rPr>
              <w:t>17.</w:t>
            </w:r>
            <w:r w:rsidR="00A236D5" w:rsidRPr="00F2660D">
              <w:rPr>
                <w:rFonts w:asciiTheme="minorBidi" w:hAnsiTheme="minorBidi" w:cstheme="minorBidi"/>
                <w:lang w:val="fr-FR"/>
              </w:rPr>
              <w:t>3</w:t>
            </w:r>
            <w:r w:rsidRPr="005F73DE">
              <w:rPr>
                <w:rFonts w:asciiTheme="minorBidi" w:hAnsiTheme="minorBidi" w:cstheme="minorBidi"/>
                <w:lang w:val="fr-FR"/>
              </w:rPr>
              <w:t xml:space="preserve"> de la Convention permettant </w:t>
            </w:r>
            <w:r w:rsidR="00140301" w:rsidRPr="005F73DE">
              <w:rPr>
                <w:rFonts w:asciiTheme="minorBidi" w:hAnsiTheme="minorBidi" w:cstheme="minorBidi"/>
                <w:lang w:val="fr-FR"/>
              </w:rPr>
              <w:t>un traitement rapide (dans les dix semaines) d</w:t>
            </w:r>
            <w:r w:rsidR="00CA0916" w:rsidRPr="005F73DE">
              <w:rPr>
                <w:rFonts w:asciiTheme="minorBidi" w:hAnsiTheme="minorBidi" w:cstheme="minorBidi"/>
                <w:lang w:val="fr-FR"/>
              </w:rPr>
              <w:t>’</w:t>
            </w:r>
            <w:r w:rsidR="00140301" w:rsidRPr="005F73DE">
              <w:rPr>
                <w:rFonts w:asciiTheme="minorBidi" w:hAnsiTheme="minorBidi" w:cstheme="minorBidi"/>
                <w:lang w:val="fr-FR"/>
              </w:rPr>
              <w:t>une proposition d</w:t>
            </w:r>
            <w:r w:rsidR="00CA0916" w:rsidRPr="005F73DE">
              <w:rPr>
                <w:rFonts w:asciiTheme="minorBidi" w:hAnsiTheme="minorBidi" w:cstheme="minorBidi"/>
                <w:lang w:val="fr-FR"/>
              </w:rPr>
              <w:t>’</w:t>
            </w:r>
            <w:r w:rsidR="00140301" w:rsidRPr="005F73DE">
              <w:rPr>
                <w:rFonts w:asciiTheme="minorBidi" w:hAnsiTheme="minorBidi" w:cstheme="minorBidi"/>
                <w:lang w:val="fr-FR"/>
              </w:rPr>
              <w:t xml:space="preserve">inscription sur la </w:t>
            </w:r>
            <w:r w:rsidR="00A236D5" w:rsidRPr="005F73DE">
              <w:rPr>
                <w:rFonts w:asciiTheme="minorBidi" w:hAnsiTheme="minorBidi" w:cstheme="minorBidi"/>
                <w:lang w:val="fr-FR"/>
              </w:rPr>
              <w:t>L</w:t>
            </w:r>
            <w:r w:rsidR="00140301" w:rsidRPr="005F73DE">
              <w:rPr>
                <w:rFonts w:asciiTheme="minorBidi" w:hAnsiTheme="minorBidi" w:cstheme="minorBidi"/>
                <w:lang w:val="fr-FR"/>
              </w:rPr>
              <w:t>iste de sauvegarde urgente</w:t>
            </w:r>
            <w:r w:rsidR="00A236D5" w:rsidRPr="005F73DE">
              <w:rPr>
                <w:rFonts w:asciiTheme="minorBidi" w:hAnsiTheme="minorBidi" w:cstheme="minorBidi"/>
                <w:lang w:val="fr-FR"/>
              </w:rPr>
              <w:t>.</w:t>
            </w:r>
          </w:p>
        </w:tc>
      </w:tr>
    </w:tbl>
    <w:p w14:paraId="7125CC23" w14:textId="77777777" w:rsidR="009325DE" w:rsidRPr="009D1A93" w:rsidRDefault="009325DE">
      <w:pPr>
        <w:rPr>
          <w:rFonts w:ascii="Arial" w:eastAsia="SimSun" w:hAnsi="Arial" w:cs="Arial"/>
          <w:sz w:val="32"/>
          <w:szCs w:val="32"/>
          <w:u w:val="single"/>
        </w:rPr>
      </w:pPr>
    </w:p>
    <w:sectPr w:rsidR="009325DE" w:rsidRPr="009D1A93" w:rsidSect="008717DE">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3539" w14:textId="77777777" w:rsidR="00265133" w:rsidRDefault="00265133" w:rsidP="00655736">
      <w:r>
        <w:separator/>
      </w:r>
    </w:p>
  </w:endnote>
  <w:endnote w:type="continuationSeparator" w:id="0">
    <w:p w14:paraId="2B7177FD" w14:textId="77777777" w:rsidR="00265133" w:rsidRDefault="0026513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4ACF" w14:textId="77777777" w:rsidR="00265133" w:rsidRDefault="00265133" w:rsidP="00655736">
      <w:r>
        <w:separator/>
      </w:r>
    </w:p>
  </w:footnote>
  <w:footnote w:type="continuationSeparator" w:id="0">
    <w:p w14:paraId="5BEA7FE4" w14:textId="77777777" w:rsidR="00265133" w:rsidRDefault="00265133" w:rsidP="00655736">
      <w:r>
        <w:continuationSeparator/>
      </w:r>
    </w:p>
  </w:footnote>
  <w:footnote w:id="1">
    <w:p w14:paraId="613F4129" w14:textId="1BD2178B" w:rsidR="00B625DE" w:rsidRPr="00E92E4D" w:rsidRDefault="009800D3" w:rsidP="00F2660D">
      <w:pPr>
        <w:pStyle w:val="Notedebasdepage"/>
        <w:spacing w:after="60"/>
        <w:ind w:left="567" w:hanging="567"/>
        <w:jc w:val="both"/>
        <w:rPr>
          <w:rFonts w:asciiTheme="minorBidi" w:hAnsiTheme="minorBidi" w:cstheme="minorBidi"/>
          <w:sz w:val="18"/>
          <w:szCs w:val="18"/>
        </w:rPr>
      </w:pPr>
      <w:r w:rsidRPr="00E92E4D">
        <w:rPr>
          <w:rStyle w:val="Appelnotedebasdep"/>
          <w:rFonts w:asciiTheme="minorBidi" w:hAnsiTheme="minorBidi" w:cstheme="minorBidi"/>
          <w:sz w:val="18"/>
          <w:szCs w:val="18"/>
        </w:rPr>
        <w:footnoteRef/>
      </w:r>
      <w:r w:rsidRPr="00E92E4D">
        <w:rPr>
          <w:rFonts w:asciiTheme="minorBidi" w:hAnsiTheme="minorBidi" w:cstheme="minorBidi"/>
          <w:sz w:val="18"/>
          <w:szCs w:val="18"/>
        </w:rPr>
        <w:t xml:space="preserve"> </w:t>
      </w:r>
      <w:r w:rsidRPr="00E92E4D">
        <w:rPr>
          <w:rFonts w:asciiTheme="minorBidi" w:hAnsiTheme="minorBidi" w:cstheme="minorBidi"/>
          <w:sz w:val="18"/>
          <w:szCs w:val="18"/>
        </w:rPr>
        <w:tab/>
        <w:t xml:space="preserve">Le rapport doit être lu conjointement avec le </w:t>
      </w:r>
      <w:r w:rsidR="00C154D9" w:rsidRPr="00E92E4D">
        <w:rPr>
          <w:rFonts w:asciiTheme="minorBidi" w:hAnsiTheme="minorBidi" w:cstheme="minorBidi"/>
          <w:sz w:val="18"/>
          <w:szCs w:val="18"/>
        </w:rPr>
        <w:t xml:space="preserve">rapport </w:t>
      </w:r>
      <w:r w:rsidR="00A70046" w:rsidRPr="00E92E4D">
        <w:rPr>
          <w:rFonts w:asciiTheme="minorBidi" w:hAnsiTheme="minorBidi" w:cstheme="minorBidi"/>
          <w:sz w:val="18"/>
          <w:szCs w:val="18"/>
        </w:rPr>
        <w:t>« </w:t>
      </w:r>
      <w:r w:rsidR="00145077" w:rsidRPr="00E92E4D">
        <w:rPr>
          <w:rFonts w:asciiTheme="minorBidi" w:hAnsiTheme="minorBidi" w:cstheme="minorBidi"/>
          <w:sz w:val="18"/>
          <w:szCs w:val="18"/>
        </w:rPr>
        <w:t xml:space="preserve">Fonds du patrimoine culturel immatériel : </w:t>
      </w:r>
      <w:r w:rsidR="00C154D9" w:rsidRPr="00E92E4D">
        <w:rPr>
          <w:rFonts w:asciiTheme="minorBidi" w:hAnsiTheme="minorBidi" w:cstheme="minorBidi"/>
          <w:sz w:val="18"/>
          <w:szCs w:val="18"/>
        </w:rPr>
        <w:t>contributions volontaires supplémentaires et autres questions</w:t>
      </w:r>
      <w:r w:rsidR="00A70046" w:rsidRPr="00E92E4D">
        <w:rPr>
          <w:rFonts w:asciiTheme="minorBidi" w:hAnsiTheme="minorBidi" w:cstheme="minorBidi"/>
          <w:sz w:val="18"/>
          <w:szCs w:val="18"/>
        </w:rPr>
        <w:t> »</w:t>
      </w:r>
      <w:r w:rsidR="00145077" w:rsidRPr="00E92E4D">
        <w:rPr>
          <w:rFonts w:asciiTheme="minorBidi" w:hAnsiTheme="minorBidi" w:cstheme="minorBidi"/>
          <w:sz w:val="18"/>
          <w:szCs w:val="18"/>
        </w:rPr>
        <w:t xml:space="preserve">, porté à l'attention de la présente session du Comité au point 12 de l'ordre du jour provisoire </w:t>
      </w:r>
      <w:r w:rsidRPr="00E92E4D">
        <w:rPr>
          <w:rFonts w:asciiTheme="minorBidi" w:hAnsiTheme="minorBidi" w:cstheme="minorBidi"/>
          <w:sz w:val="18"/>
          <w:szCs w:val="18"/>
        </w:rPr>
        <w:t>(</w:t>
      </w:r>
      <w:r w:rsidRPr="00F2660D">
        <w:rPr>
          <w:rFonts w:asciiTheme="minorBidi" w:hAnsiTheme="minorBidi" w:cstheme="minorBidi"/>
          <w:sz w:val="18"/>
          <w:szCs w:val="18"/>
        </w:rPr>
        <w:t xml:space="preserve">document </w:t>
      </w:r>
      <w:hyperlink r:id="rId1" w:history="1">
        <w:r w:rsidRPr="00F2660D">
          <w:rPr>
            <w:rStyle w:val="Lienhypertexte"/>
            <w:rFonts w:asciiTheme="minorBidi" w:hAnsiTheme="minorBidi" w:cstheme="minorBidi"/>
            <w:bCs/>
            <w:iCs/>
            <w:sz w:val="18"/>
            <w:szCs w:val="18"/>
          </w:rPr>
          <w:t>LHE/22/17.COM/12</w:t>
        </w:r>
      </w:hyperlink>
      <w:r w:rsidRPr="00E92E4D">
        <w:rPr>
          <w:rFonts w:asciiTheme="minorBidi" w:hAnsiTheme="minorBidi" w:cstheme="minorBidi"/>
          <w:bCs/>
          <w:iCs/>
          <w:sz w:val="18"/>
          <w:szCs w:val="18"/>
        </w:rPr>
        <w:t xml:space="preserve">) et </w:t>
      </w:r>
      <w:r w:rsidR="00C154D9" w:rsidRPr="00E92E4D">
        <w:rPr>
          <w:rFonts w:asciiTheme="minorBidi" w:hAnsiTheme="minorBidi" w:cstheme="minorBidi"/>
          <w:bCs/>
          <w:iCs/>
          <w:sz w:val="18"/>
          <w:szCs w:val="18"/>
        </w:rPr>
        <w:t xml:space="preserve">le </w:t>
      </w:r>
      <w:r w:rsidR="00F87BCA" w:rsidRPr="00E92E4D">
        <w:rPr>
          <w:rFonts w:asciiTheme="minorBidi" w:hAnsiTheme="minorBidi" w:cstheme="minorBidi"/>
          <w:bCs/>
          <w:iCs/>
          <w:sz w:val="18"/>
          <w:szCs w:val="18"/>
        </w:rPr>
        <w:t>Plan d'utilisation des ressources du Fonds tel qu'approuvé par la neuvième session de l'Assemblée générale (</w:t>
      </w:r>
      <w:r w:rsidR="00AA6E9D" w:rsidRPr="00E92E4D">
        <w:rPr>
          <w:rFonts w:asciiTheme="minorBidi" w:hAnsiTheme="minorBidi" w:cstheme="minorBidi"/>
          <w:bCs/>
          <w:iCs/>
          <w:sz w:val="18"/>
          <w:szCs w:val="18"/>
        </w:rPr>
        <w:t>r</w:t>
      </w:r>
      <w:r w:rsidR="00F87BCA" w:rsidRPr="00E92E4D">
        <w:rPr>
          <w:rFonts w:asciiTheme="minorBidi" w:hAnsiTheme="minorBidi" w:cstheme="minorBidi"/>
          <w:bCs/>
          <w:iCs/>
          <w:sz w:val="18"/>
          <w:szCs w:val="18"/>
        </w:rPr>
        <w:t xml:space="preserve">ésolution </w:t>
      </w:r>
      <w:hyperlink r:id="rId2" w:history="1">
        <w:r w:rsidR="00F87BCA" w:rsidRPr="00E92E4D">
          <w:rPr>
            <w:rStyle w:val="Lienhypertexte"/>
            <w:rFonts w:asciiTheme="minorBidi" w:hAnsiTheme="minorBidi" w:cstheme="minorBidi"/>
            <w:sz w:val="18"/>
            <w:szCs w:val="18"/>
          </w:rPr>
          <w:t>9.GA 10</w:t>
        </w:r>
      </w:hyperlink>
      <w:r w:rsidR="00F87BCA" w:rsidRPr="00E92E4D">
        <w:rPr>
          <w:rFonts w:asciiTheme="minorBidi" w:hAnsiTheme="minorBidi" w:cstheme="minorBidi"/>
          <w:bCs/>
          <w:iCs/>
          <w:sz w:val="18"/>
          <w:szCs w:val="18"/>
        </w:rPr>
        <w:t xml:space="preserve"> ; document </w:t>
      </w:r>
      <w:hyperlink r:id="rId3" w:history="1">
        <w:r w:rsidR="00FA3FE5" w:rsidRPr="00E92E4D">
          <w:rPr>
            <w:rStyle w:val="Lienhypertexte"/>
            <w:rFonts w:asciiTheme="minorBidi" w:hAnsiTheme="minorBidi" w:cstheme="minorBidi"/>
            <w:sz w:val="18"/>
            <w:szCs w:val="18"/>
          </w:rPr>
          <w:t>LHE/22/9.GA/10</w:t>
        </w:r>
      </w:hyperlink>
      <w:r w:rsidR="00F87BCA" w:rsidRPr="00E92E4D">
        <w:rPr>
          <w:rFonts w:asciiTheme="minorBidi" w:hAnsiTheme="minorBidi" w:cstheme="minorBidi"/>
          <w:bCs/>
          <w:iCs/>
          <w:sz w:val="18"/>
          <w:szCs w:val="18"/>
        </w:rPr>
        <w:t>)</w:t>
      </w:r>
      <w:r w:rsidR="00FA3FE5" w:rsidRPr="00E92E4D">
        <w:rPr>
          <w:rFonts w:asciiTheme="minorBidi" w:hAnsiTheme="minorBidi" w:cstheme="minorBidi"/>
          <w:sz w:val="18"/>
          <w:szCs w:val="18"/>
        </w:rPr>
        <w:t>.</w:t>
      </w:r>
    </w:p>
  </w:footnote>
  <w:footnote w:id="2">
    <w:p w14:paraId="52B39D28" w14:textId="77777777" w:rsidR="00B625DE" w:rsidRPr="00F2660D" w:rsidRDefault="009800D3" w:rsidP="00F2660D">
      <w:pPr>
        <w:pStyle w:val="Notedebasdepage"/>
        <w:spacing w:after="60"/>
        <w:ind w:left="567" w:hanging="567"/>
        <w:jc w:val="both"/>
        <w:rPr>
          <w:rFonts w:asciiTheme="minorBidi" w:hAnsiTheme="minorBidi" w:cstheme="minorBidi"/>
          <w:sz w:val="18"/>
          <w:szCs w:val="18"/>
        </w:rPr>
      </w:pPr>
      <w:r w:rsidRPr="00F2660D">
        <w:rPr>
          <w:rStyle w:val="Appelnotedebasdep"/>
          <w:rFonts w:asciiTheme="minorBidi" w:hAnsiTheme="minorBidi" w:cstheme="minorBidi"/>
          <w:sz w:val="18"/>
          <w:szCs w:val="18"/>
        </w:rPr>
        <w:footnoteRef/>
      </w:r>
      <w:r w:rsidRPr="00F2660D">
        <w:rPr>
          <w:rFonts w:asciiTheme="minorBidi" w:hAnsiTheme="minorBidi" w:cstheme="minorBidi"/>
          <w:sz w:val="18"/>
          <w:szCs w:val="18"/>
        </w:rPr>
        <w:t xml:space="preserve"> </w:t>
      </w:r>
      <w:r w:rsidRPr="00F2660D">
        <w:rPr>
          <w:rFonts w:asciiTheme="minorBidi" w:hAnsiTheme="minorBidi" w:cstheme="minorBidi"/>
          <w:sz w:val="18"/>
          <w:szCs w:val="18"/>
        </w:rPr>
        <w:tab/>
      </w:r>
      <w:r w:rsidRPr="00E92E4D">
        <w:rPr>
          <w:rFonts w:asciiTheme="minorBidi" w:hAnsiTheme="minorBidi" w:cstheme="minorBidi"/>
          <w:sz w:val="18"/>
          <w:szCs w:val="18"/>
        </w:rPr>
        <w:t>Le rapport inclut la neuvième session de l'Assemblée générale (</w:t>
      </w:r>
      <w:r w:rsidR="004E6C4F" w:rsidRPr="00E92E4D">
        <w:rPr>
          <w:rFonts w:asciiTheme="minorBidi" w:hAnsiTheme="minorBidi" w:cstheme="minorBidi"/>
          <w:sz w:val="18"/>
          <w:szCs w:val="18"/>
        </w:rPr>
        <w:t>siège de l'UNESCO, du 5 au 7 juillet 2022</w:t>
      </w:r>
      <w:r w:rsidRPr="00E92E4D">
        <w:rPr>
          <w:rFonts w:asciiTheme="minorBidi" w:hAnsiTheme="minorBidi" w:cstheme="minorBidi"/>
          <w:sz w:val="18"/>
          <w:szCs w:val="18"/>
        </w:rPr>
        <w:t xml:space="preserve">) </w:t>
      </w:r>
      <w:r w:rsidR="004E6C4F" w:rsidRPr="00E92E4D">
        <w:rPr>
          <w:rFonts w:asciiTheme="minorBidi" w:hAnsiTheme="minorBidi" w:cstheme="minorBidi"/>
          <w:sz w:val="18"/>
          <w:szCs w:val="18"/>
        </w:rPr>
        <w:t xml:space="preserve">car de nombreuses activités </w:t>
      </w:r>
      <w:r w:rsidR="006511FD" w:rsidRPr="00E92E4D">
        <w:rPr>
          <w:rFonts w:asciiTheme="minorBidi" w:hAnsiTheme="minorBidi" w:cstheme="minorBidi"/>
          <w:sz w:val="18"/>
          <w:szCs w:val="18"/>
        </w:rPr>
        <w:t xml:space="preserve">entreprises </w:t>
      </w:r>
      <w:r w:rsidR="004E6C4F" w:rsidRPr="00E92E4D">
        <w:rPr>
          <w:rFonts w:asciiTheme="minorBidi" w:hAnsiTheme="minorBidi" w:cstheme="minorBidi"/>
          <w:sz w:val="18"/>
          <w:szCs w:val="18"/>
        </w:rPr>
        <w:t xml:space="preserve">au cours de la période considérée </w:t>
      </w:r>
      <w:r w:rsidR="006511FD" w:rsidRPr="00E92E4D">
        <w:rPr>
          <w:rFonts w:asciiTheme="minorBidi" w:hAnsiTheme="minorBidi" w:cstheme="minorBidi"/>
          <w:sz w:val="18"/>
          <w:szCs w:val="18"/>
        </w:rPr>
        <w:t>ont conduit aux décisions prises par cette session de l'Assemblée.</w:t>
      </w:r>
    </w:p>
  </w:footnote>
  <w:footnote w:id="3">
    <w:p w14:paraId="4FA0EA83" w14:textId="65DE0057" w:rsidR="00B625DE" w:rsidRPr="00F2660D" w:rsidRDefault="009800D3" w:rsidP="00F2660D">
      <w:pPr>
        <w:pStyle w:val="Notedebasdepage"/>
        <w:spacing w:after="60"/>
        <w:rPr>
          <w:rFonts w:asciiTheme="minorBidi" w:hAnsiTheme="minorBidi" w:cstheme="minorBidi"/>
          <w:sz w:val="18"/>
          <w:szCs w:val="18"/>
        </w:rPr>
      </w:pPr>
      <w:r w:rsidRPr="00F2660D">
        <w:rPr>
          <w:rStyle w:val="Appelnotedebasdep"/>
          <w:rFonts w:asciiTheme="minorBidi" w:hAnsiTheme="minorBidi" w:cstheme="minorBidi"/>
          <w:sz w:val="18"/>
          <w:szCs w:val="18"/>
        </w:rPr>
        <w:footnoteRef/>
      </w:r>
      <w:r w:rsidRPr="00F2660D">
        <w:rPr>
          <w:rFonts w:asciiTheme="minorBidi" w:hAnsiTheme="minorBidi" w:cstheme="minorBidi"/>
          <w:sz w:val="18"/>
          <w:szCs w:val="18"/>
        </w:rPr>
        <w:t xml:space="preserve"> </w:t>
      </w:r>
      <w:r w:rsidRPr="00F2660D">
        <w:rPr>
          <w:rFonts w:asciiTheme="minorBidi" w:hAnsiTheme="minorBidi" w:cstheme="minorBidi"/>
          <w:sz w:val="18"/>
          <w:szCs w:val="18"/>
        </w:rPr>
        <w:tab/>
        <w:t>Tel que modifié par la Commission APX (</w:t>
      </w:r>
      <w:r w:rsidR="000C16F4" w:rsidRPr="00F2660D">
        <w:rPr>
          <w:rFonts w:asciiTheme="minorBidi" w:hAnsiTheme="minorBidi" w:cstheme="minorBidi"/>
          <w:sz w:val="18"/>
          <w:szCs w:val="18"/>
        </w:rPr>
        <w:t xml:space="preserve">document </w:t>
      </w:r>
      <w:hyperlink r:id="rId4" w:history="1">
        <w:r w:rsidR="000C16F4" w:rsidRPr="00F2660D">
          <w:rPr>
            <w:rStyle w:val="Lienhypertexte"/>
            <w:rFonts w:asciiTheme="minorBidi" w:hAnsiTheme="minorBidi" w:cstheme="minorBidi"/>
          </w:rPr>
          <w:t>39 C/70</w:t>
        </w:r>
      </w:hyperlink>
      <w:r w:rsidRPr="00F2660D">
        <w:rPr>
          <w:rFonts w:asciiTheme="minorBidi" w:hAnsiTheme="minorBidi" w:cstheme="minorBidi"/>
          <w:sz w:val="18"/>
          <w:szCs w:val="18"/>
        </w:rPr>
        <w:t>)</w:t>
      </w:r>
    </w:p>
  </w:footnote>
  <w:footnote w:id="4">
    <w:p w14:paraId="6B517B67" w14:textId="328B70E4" w:rsidR="00B625DE" w:rsidRPr="00F2660D" w:rsidRDefault="009800D3">
      <w:pPr>
        <w:pStyle w:val="Notedebasdepage"/>
        <w:tabs>
          <w:tab w:val="left" w:pos="567"/>
        </w:tabs>
        <w:spacing w:after="60"/>
        <w:ind w:left="567" w:hanging="567"/>
        <w:contextualSpacing/>
        <w:jc w:val="both"/>
        <w:rPr>
          <w:rFonts w:asciiTheme="minorBidi" w:hAnsiTheme="minorBidi" w:cstheme="minorBidi"/>
          <w:sz w:val="18"/>
          <w:szCs w:val="18"/>
          <w:highlight w:val="yellow"/>
        </w:rPr>
      </w:pPr>
      <w:r w:rsidRPr="00F2660D">
        <w:rPr>
          <w:rFonts w:asciiTheme="minorBidi" w:hAnsiTheme="minorBidi" w:cstheme="minorBidi"/>
          <w:sz w:val="18"/>
          <w:szCs w:val="18"/>
          <w:vertAlign w:val="superscript"/>
        </w:rPr>
        <w:footnoteRef/>
      </w:r>
      <w:r w:rsidRPr="00F2660D">
        <w:rPr>
          <w:rFonts w:asciiTheme="minorBidi" w:hAnsiTheme="minorBidi" w:cstheme="minorBidi"/>
          <w:sz w:val="18"/>
          <w:szCs w:val="18"/>
        </w:rPr>
        <w:t>.</w:t>
      </w:r>
      <w:r w:rsidRPr="00F2660D">
        <w:rPr>
          <w:rFonts w:asciiTheme="minorBidi" w:hAnsiTheme="minorBidi" w:cstheme="minorBidi"/>
          <w:sz w:val="18"/>
          <w:szCs w:val="18"/>
        </w:rPr>
        <w:tab/>
      </w:r>
      <w:bookmarkStart w:id="6" w:name="_Hlk106219719"/>
      <w:r w:rsidRPr="00F2660D">
        <w:rPr>
          <w:rFonts w:asciiTheme="minorBidi" w:hAnsiTheme="minorBidi" w:cstheme="minorBidi"/>
          <w:sz w:val="18"/>
          <w:szCs w:val="18"/>
        </w:rPr>
        <w:t xml:space="preserve">La région des États arabes </w:t>
      </w:r>
      <w:r w:rsidR="00FC32C5" w:rsidRPr="00F2660D">
        <w:rPr>
          <w:rFonts w:asciiTheme="minorBidi" w:hAnsiTheme="minorBidi" w:cstheme="minorBidi"/>
          <w:sz w:val="18"/>
          <w:szCs w:val="18"/>
        </w:rPr>
        <w:t xml:space="preserve">a </w:t>
      </w:r>
      <w:r w:rsidRPr="00F2660D">
        <w:rPr>
          <w:rFonts w:asciiTheme="minorBidi" w:hAnsiTheme="minorBidi" w:cstheme="minorBidi"/>
          <w:sz w:val="18"/>
          <w:szCs w:val="18"/>
        </w:rPr>
        <w:t>lanc</w:t>
      </w:r>
      <w:r w:rsidR="00FC32C5" w:rsidRPr="00F2660D">
        <w:rPr>
          <w:rFonts w:asciiTheme="minorBidi" w:hAnsiTheme="minorBidi" w:cstheme="minorBidi"/>
          <w:sz w:val="18"/>
          <w:szCs w:val="18"/>
        </w:rPr>
        <w:t>é</w:t>
      </w:r>
      <w:r w:rsidRPr="00F2660D">
        <w:rPr>
          <w:rFonts w:asciiTheme="minorBidi" w:hAnsiTheme="minorBidi" w:cstheme="minorBidi"/>
          <w:sz w:val="18"/>
          <w:szCs w:val="18"/>
        </w:rPr>
        <w:t xml:space="preserve"> une formation sur les rapports périodiques à l'Institut du patrimoine de Sharjah - (hybride, 21-25 mars 2022).</w:t>
      </w:r>
    </w:p>
    <w:bookmarkEnd w:id="6"/>
  </w:footnote>
  <w:footnote w:id="5">
    <w:p w14:paraId="2FF81A20" w14:textId="5617F44C" w:rsidR="00B625DE" w:rsidRPr="00E92E4D" w:rsidRDefault="009800D3">
      <w:pPr>
        <w:tabs>
          <w:tab w:val="left" w:pos="540"/>
        </w:tabs>
        <w:spacing w:after="60"/>
        <w:ind w:left="567" w:hanging="567"/>
        <w:contextualSpacing/>
        <w:jc w:val="both"/>
        <w:rPr>
          <w:rFonts w:asciiTheme="minorBidi" w:hAnsiTheme="minorBidi" w:cstheme="minorBidi"/>
          <w:sz w:val="18"/>
          <w:szCs w:val="18"/>
        </w:rPr>
      </w:pPr>
      <w:r w:rsidRPr="00E92E4D">
        <w:rPr>
          <w:rFonts w:asciiTheme="minorBidi" w:hAnsiTheme="minorBidi" w:cstheme="minorBidi"/>
          <w:sz w:val="18"/>
          <w:szCs w:val="18"/>
          <w:vertAlign w:val="superscript"/>
          <w:lang w:val="en-GB"/>
        </w:rPr>
        <w:footnoteRef/>
      </w:r>
      <w:r w:rsidRPr="00E92E4D">
        <w:rPr>
          <w:rFonts w:asciiTheme="minorBidi" w:hAnsiTheme="minorBidi" w:cstheme="minorBidi"/>
          <w:sz w:val="18"/>
          <w:szCs w:val="18"/>
        </w:rPr>
        <w:t>.</w:t>
      </w:r>
      <w:r w:rsidRPr="00E92E4D">
        <w:rPr>
          <w:rFonts w:asciiTheme="minorBidi" w:hAnsiTheme="minorBidi" w:cstheme="minorBidi"/>
          <w:sz w:val="18"/>
          <w:szCs w:val="18"/>
        </w:rPr>
        <w:tab/>
      </w:r>
      <w:bookmarkStart w:id="7" w:name="_Hlk106220221"/>
      <w:r w:rsidRPr="00F2660D">
        <w:rPr>
          <w:rFonts w:asciiTheme="minorBidi" w:hAnsiTheme="minorBidi" w:cstheme="minorBidi"/>
          <w:sz w:val="18"/>
          <w:szCs w:val="18"/>
        </w:rPr>
        <w:t xml:space="preserve">Atelier interrégional de lancement du projet </w:t>
      </w:r>
      <w:r w:rsidR="00CF6C02" w:rsidRPr="00F2660D">
        <w:rPr>
          <w:rFonts w:asciiTheme="minorBidi" w:hAnsiTheme="minorBidi" w:cstheme="minorBidi"/>
          <w:sz w:val="18"/>
          <w:szCs w:val="18"/>
        </w:rPr>
        <w:t>« </w:t>
      </w:r>
      <w:r w:rsidRPr="00F2660D">
        <w:rPr>
          <w:rFonts w:asciiTheme="minorBidi" w:hAnsiTheme="minorBidi" w:cstheme="minorBidi"/>
          <w:sz w:val="18"/>
          <w:szCs w:val="18"/>
        </w:rPr>
        <w:t>Renforcement des capacités pour la sauvegarde du patrimoine culturel immatériel en cas d'urgence dans les petits États insulaires en développement du Pacifique et des Caraïbes</w:t>
      </w:r>
      <w:r w:rsidR="00CF6C02" w:rsidRPr="00F2660D">
        <w:rPr>
          <w:rFonts w:asciiTheme="minorBidi" w:hAnsiTheme="minorBidi" w:cstheme="minorBidi"/>
          <w:sz w:val="18"/>
          <w:szCs w:val="18"/>
        </w:rPr>
        <w:t> »</w:t>
      </w:r>
      <w:r w:rsidRPr="00F2660D">
        <w:rPr>
          <w:rFonts w:asciiTheme="minorBidi" w:hAnsiTheme="minorBidi" w:cstheme="minorBidi"/>
          <w:sz w:val="18"/>
          <w:szCs w:val="18"/>
        </w:rPr>
        <w:t xml:space="preserve"> - (en ligne, 7</w:t>
      </w:r>
      <w:r w:rsidR="005A1342" w:rsidRPr="00F2660D">
        <w:rPr>
          <w:rFonts w:asciiTheme="minorBidi" w:hAnsiTheme="minorBidi" w:cstheme="minorBidi"/>
          <w:sz w:val="18"/>
          <w:szCs w:val="18"/>
        </w:rPr>
        <w:t xml:space="preserve"> - </w:t>
      </w:r>
      <w:r w:rsidR="00571543" w:rsidRPr="00F2660D">
        <w:rPr>
          <w:rFonts w:asciiTheme="minorBidi" w:hAnsiTheme="minorBidi" w:cstheme="minorBidi"/>
          <w:sz w:val="18"/>
          <w:szCs w:val="18"/>
        </w:rPr>
        <w:t>8</w:t>
      </w:r>
      <w:r w:rsidRPr="00F2660D">
        <w:rPr>
          <w:rFonts w:asciiTheme="minorBidi" w:hAnsiTheme="minorBidi" w:cstheme="minorBidi"/>
          <w:sz w:val="18"/>
          <w:szCs w:val="18"/>
        </w:rPr>
        <w:t xml:space="preserve"> avril 2022)</w:t>
      </w:r>
      <w:r w:rsidRPr="00E92E4D">
        <w:rPr>
          <w:rFonts w:asciiTheme="minorBidi" w:hAnsiTheme="minorBidi" w:cstheme="minorBidi"/>
          <w:sz w:val="18"/>
          <w:szCs w:val="18"/>
        </w:rPr>
        <w:t>.</w:t>
      </w:r>
      <w:bookmarkEnd w:id="7"/>
    </w:p>
  </w:footnote>
  <w:footnote w:id="6">
    <w:p w14:paraId="5C0F1344" w14:textId="5FB35880" w:rsidR="00B625DE" w:rsidRPr="00F2660D" w:rsidRDefault="009800D3">
      <w:pPr>
        <w:pStyle w:val="Notedebasdepage"/>
        <w:spacing w:after="60"/>
        <w:ind w:left="567" w:hanging="567"/>
        <w:contextualSpacing/>
        <w:jc w:val="both"/>
        <w:rPr>
          <w:rFonts w:asciiTheme="minorBidi" w:hAnsiTheme="minorBidi" w:cstheme="minorBidi"/>
          <w:sz w:val="18"/>
          <w:szCs w:val="18"/>
        </w:rPr>
      </w:pPr>
      <w:r w:rsidRPr="00F2660D">
        <w:rPr>
          <w:rStyle w:val="Appelnotedebasdep"/>
          <w:rFonts w:asciiTheme="minorBidi" w:hAnsiTheme="minorBidi" w:cstheme="minorBidi"/>
          <w:sz w:val="18"/>
          <w:szCs w:val="18"/>
          <w:lang w:val="en-GB"/>
        </w:rPr>
        <w:footnoteRef/>
      </w:r>
      <w:r w:rsidRPr="00F2660D">
        <w:rPr>
          <w:rFonts w:asciiTheme="minorBidi" w:hAnsiTheme="minorBidi" w:cstheme="minorBidi"/>
          <w:sz w:val="18"/>
          <w:szCs w:val="18"/>
        </w:rPr>
        <w:t xml:space="preserve">. </w:t>
      </w:r>
      <w:r w:rsidRPr="00F2660D">
        <w:rPr>
          <w:rFonts w:asciiTheme="minorBidi" w:hAnsiTheme="minorBidi" w:cstheme="minorBidi"/>
          <w:sz w:val="18"/>
          <w:szCs w:val="18"/>
        </w:rPr>
        <w:tab/>
        <w:t xml:space="preserve">Pendant la période </w:t>
      </w:r>
      <w:r w:rsidR="00442A36" w:rsidRPr="00F2660D">
        <w:rPr>
          <w:rFonts w:asciiTheme="minorBidi" w:hAnsiTheme="minorBidi" w:cstheme="minorBidi"/>
          <w:sz w:val="18"/>
          <w:szCs w:val="18"/>
        </w:rPr>
        <w:t>considérée</w:t>
      </w:r>
      <w:r w:rsidRPr="00F2660D">
        <w:rPr>
          <w:rFonts w:asciiTheme="minorBidi" w:hAnsiTheme="minorBidi" w:cstheme="minorBidi"/>
          <w:sz w:val="18"/>
          <w:szCs w:val="18"/>
        </w:rPr>
        <w:t>, le Secrétariat a organisé deux réunions de l'Organe d'évaluation pour l'évaluation de cinquante-six dossiers de candidature dans le cadre du cycle 2022 en plus de l'évaluation d'un dossier sur une base accélérée (au sens de l'article 17.</w:t>
      </w:r>
      <w:r w:rsidR="00D456A5" w:rsidRPr="00F2660D">
        <w:rPr>
          <w:rFonts w:asciiTheme="minorBidi" w:hAnsiTheme="minorBidi" w:cstheme="minorBidi"/>
          <w:sz w:val="18"/>
          <w:szCs w:val="18"/>
        </w:rPr>
        <w:t>3</w:t>
      </w:r>
      <w:r w:rsidRPr="00F2660D">
        <w:rPr>
          <w:rFonts w:asciiTheme="minorBidi" w:hAnsiTheme="minorBidi" w:cstheme="minorBidi"/>
          <w:sz w:val="18"/>
          <w:szCs w:val="18"/>
        </w:rPr>
        <w:t xml:space="preserve">). Le Secrétariat a également géré </w:t>
      </w:r>
      <w:r w:rsidR="00E02779" w:rsidRPr="00F2660D">
        <w:rPr>
          <w:rFonts w:asciiTheme="minorBidi" w:hAnsiTheme="minorBidi" w:cstheme="minorBidi"/>
          <w:sz w:val="18"/>
          <w:szCs w:val="18"/>
        </w:rPr>
        <w:t xml:space="preserve">l'enregistrement de </w:t>
      </w:r>
      <w:r w:rsidRPr="00F2660D">
        <w:rPr>
          <w:rFonts w:asciiTheme="minorBidi" w:hAnsiTheme="minorBidi" w:cstheme="minorBidi"/>
          <w:sz w:val="18"/>
          <w:szCs w:val="18"/>
        </w:rPr>
        <w:t>quatre-vingt-deux dossiers</w:t>
      </w:r>
      <w:r w:rsidR="004F7171" w:rsidRPr="00F2660D">
        <w:rPr>
          <w:rFonts w:asciiTheme="minorBidi" w:hAnsiTheme="minorBidi" w:cstheme="minorBidi"/>
          <w:sz w:val="18"/>
          <w:szCs w:val="18"/>
        </w:rPr>
        <w:t xml:space="preserve"> de </w:t>
      </w:r>
      <w:r w:rsidRPr="00F2660D">
        <w:rPr>
          <w:rFonts w:asciiTheme="minorBidi" w:hAnsiTheme="minorBidi" w:cstheme="minorBidi"/>
          <w:sz w:val="18"/>
          <w:szCs w:val="18"/>
        </w:rPr>
        <w:t xml:space="preserve">nomination </w:t>
      </w:r>
      <w:r w:rsidR="004F7171" w:rsidRPr="00F2660D">
        <w:rPr>
          <w:rFonts w:asciiTheme="minorBidi" w:hAnsiTheme="minorBidi" w:cstheme="minorBidi"/>
          <w:sz w:val="18"/>
          <w:szCs w:val="18"/>
        </w:rPr>
        <w:t xml:space="preserve">soumis à la date limite du 31 mars 2022 et a </w:t>
      </w:r>
      <w:r w:rsidR="00E02779" w:rsidRPr="00F2660D">
        <w:rPr>
          <w:rFonts w:asciiTheme="minorBidi" w:hAnsiTheme="minorBidi" w:cstheme="minorBidi"/>
          <w:sz w:val="18"/>
          <w:szCs w:val="18"/>
        </w:rPr>
        <w:t xml:space="preserve">vérifié la complétude technique de </w:t>
      </w:r>
      <w:r w:rsidR="004F7171" w:rsidRPr="00F2660D">
        <w:rPr>
          <w:rFonts w:asciiTheme="minorBidi" w:hAnsiTheme="minorBidi" w:cstheme="minorBidi"/>
          <w:sz w:val="18"/>
          <w:szCs w:val="18"/>
        </w:rPr>
        <w:t>soixante dossiers inclus dans le cycle de 2023</w:t>
      </w:r>
      <w:r w:rsidRPr="00F2660D">
        <w:rPr>
          <w:rFonts w:asciiTheme="minorBidi" w:hAnsiTheme="minorBidi" w:cstheme="minorBidi"/>
          <w:sz w:val="18"/>
          <w:szCs w:val="18"/>
        </w:rPr>
        <w:t>.</w:t>
      </w:r>
    </w:p>
  </w:footnote>
  <w:footnote w:id="7">
    <w:p w14:paraId="5A41A367" w14:textId="77777777" w:rsidR="00A236D5" w:rsidRPr="00F2660D" w:rsidRDefault="00A236D5">
      <w:pPr>
        <w:pStyle w:val="Notedebasdepage"/>
        <w:tabs>
          <w:tab w:val="left" w:pos="567"/>
        </w:tabs>
        <w:spacing w:after="60"/>
        <w:contextualSpacing/>
        <w:jc w:val="both"/>
        <w:rPr>
          <w:rFonts w:asciiTheme="minorBidi" w:hAnsiTheme="minorBidi" w:cstheme="minorBidi"/>
          <w:sz w:val="18"/>
          <w:szCs w:val="18"/>
        </w:rPr>
      </w:pPr>
      <w:r w:rsidRPr="00F2660D">
        <w:rPr>
          <w:rStyle w:val="Appelnotedebasdep"/>
          <w:rFonts w:asciiTheme="minorBidi" w:hAnsiTheme="minorBidi" w:cstheme="minorBidi"/>
          <w:sz w:val="18"/>
          <w:szCs w:val="18"/>
          <w:lang w:val="en-GB"/>
        </w:rPr>
        <w:footnoteRef/>
      </w:r>
      <w:r w:rsidRPr="00F2660D">
        <w:rPr>
          <w:rFonts w:asciiTheme="minorBidi" w:hAnsiTheme="minorBidi" w:cstheme="minorBidi"/>
          <w:sz w:val="18"/>
          <w:szCs w:val="18"/>
        </w:rPr>
        <w:t xml:space="preserve">. </w:t>
      </w:r>
      <w:r w:rsidRPr="00F2660D">
        <w:rPr>
          <w:rFonts w:asciiTheme="minorBidi" w:hAnsiTheme="minorBidi" w:cstheme="minorBidi"/>
          <w:sz w:val="18"/>
          <w:szCs w:val="18"/>
        </w:rPr>
        <w:tab/>
        <w:t>Réunions et interventions entre janvier et juillet 2022 :</w:t>
      </w:r>
    </w:p>
    <w:p w14:paraId="23269DEE" w14:textId="77777777" w:rsidR="00A236D5" w:rsidRPr="00F2660D" w:rsidRDefault="00A236D5">
      <w:pPr>
        <w:pStyle w:val="Notedebasdepage"/>
        <w:spacing w:after="60"/>
        <w:ind w:left="709"/>
        <w:contextualSpacing/>
        <w:jc w:val="both"/>
        <w:rPr>
          <w:rFonts w:asciiTheme="minorBidi" w:hAnsiTheme="minorBidi" w:cstheme="minorBidi"/>
          <w:sz w:val="18"/>
          <w:szCs w:val="18"/>
        </w:rPr>
      </w:pPr>
      <w:r w:rsidRPr="00F2660D">
        <w:rPr>
          <w:rFonts w:asciiTheme="minorBidi" w:hAnsiTheme="minorBidi" w:cstheme="minorBidi"/>
          <w:sz w:val="18"/>
          <w:szCs w:val="18"/>
        </w:rPr>
        <w:t>Quatre réunions du Bureau de 17.COM ;</w:t>
      </w:r>
    </w:p>
    <w:p w14:paraId="1B858270" w14:textId="7E56FDA3" w:rsidR="00A236D5" w:rsidRPr="00F2660D" w:rsidRDefault="00A236D5">
      <w:pPr>
        <w:pStyle w:val="Notedebasdepage"/>
        <w:spacing w:after="60"/>
        <w:ind w:left="709"/>
        <w:contextualSpacing/>
        <w:jc w:val="both"/>
        <w:rPr>
          <w:rFonts w:asciiTheme="minorBidi" w:hAnsiTheme="minorBidi" w:cstheme="minorBidi"/>
          <w:sz w:val="18"/>
          <w:szCs w:val="18"/>
        </w:rPr>
      </w:pPr>
      <w:r w:rsidRPr="00F2660D">
        <w:rPr>
          <w:rFonts w:asciiTheme="minorBidi" w:hAnsiTheme="minorBidi" w:cstheme="minorBidi"/>
          <w:sz w:val="18"/>
          <w:szCs w:val="18"/>
        </w:rPr>
        <w:t>Deux réunions de l'</w:t>
      </w:r>
      <w:r w:rsidR="00D456A5" w:rsidRPr="00F2660D">
        <w:rPr>
          <w:rFonts w:asciiTheme="minorBidi" w:hAnsiTheme="minorBidi" w:cstheme="minorBidi"/>
          <w:sz w:val="18"/>
          <w:szCs w:val="18"/>
        </w:rPr>
        <w:t>O</w:t>
      </w:r>
      <w:r w:rsidRPr="00F2660D">
        <w:rPr>
          <w:rFonts w:asciiTheme="minorBidi" w:hAnsiTheme="minorBidi" w:cstheme="minorBidi"/>
          <w:sz w:val="18"/>
          <w:szCs w:val="18"/>
        </w:rPr>
        <w:t>rgane d'évaluation pour le cycle 2023 ;</w:t>
      </w:r>
    </w:p>
    <w:p w14:paraId="6BE9C765" w14:textId="77777777" w:rsidR="00A236D5" w:rsidRPr="00F2660D" w:rsidRDefault="00A236D5">
      <w:pPr>
        <w:pStyle w:val="Notedebasdepage"/>
        <w:spacing w:after="60"/>
        <w:ind w:left="709"/>
        <w:contextualSpacing/>
        <w:jc w:val="both"/>
        <w:rPr>
          <w:rFonts w:asciiTheme="minorBidi" w:hAnsiTheme="minorBidi" w:cstheme="minorBidi"/>
          <w:sz w:val="18"/>
          <w:szCs w:val="18"/>
        </w:rPr>
      </w:pPr>
      <w:r w:rsidRPr="00F2660D">
        <w:rPr>
          <w:rFonts w:asciiTheme="minorBidi" w:hAnsiTheme="minorBidi" w:cstheme="minorBidi"/>
          <w:sz w:val="18"/>
          <w:szCs w:val="18"/>
        </w:rPr>
        <w:t>Cinquième session extraordinaire du Comité intergouvernemental, en ligne, le 1er juillet 2023 ;</w:t>
      </w:r>
    </w:p>
    <w:p w14:paraId="02935D30" w14:textId="6A4D5FEE" w:rsidR="00A236D5" w:rsidRPr="00F2660D" w:rsidRDefault="00A236D5">
      <w:pPr>
        <w:pStyle w:val="Notedebasdepage"/>
        <w:spacing w:after="60"/>
        <w:ind w:left="709"/>
        <w:contextualSpacing/>
        <w:jc w:val="both"/>
        <w:rPr>
          <w:rFonts w:asciiTheme="minorBidi" w:hAnsiTheme="minorBidi" w:cstheme="minorBidi"/>
          <w:sz w:val="18"/>
          <w:szCs w:val="18"/>
        </w:rPr>
      </w:pPr>
      <w:r w:rsidRPr="00F2660D">
        <w:rPr>
          <w:rFonts w:asciiTheme="minorBidi" w:hAnsiTheme="minorBidi" w:cstheme="minorBidi"/>
          <w:sz w:val="18"/>
          <w:szCs w:val="18"/>
        </w:rPr>
        <w:t xml:space="preserve">Groupe de travail intergouvernemental à composition non limitée dans le cadre de la réflexion globale sur les mécanismes d'inscription - </w:t>
      </w:r>
      <w:r w:rsidR="00D456A5" w:rsidRPr="00F2660D">
        <w:rPr>
          <w:rFonts w:asciiTheme="minorBidi" w:hAnsiTheme="minorBidi" w:cstheme="minorBidi"/>
          <w:sz w:val="18"/>
          <w:szCs w:val="18"/>
        </w:rPr>
        <w:t>p</w:t>
      </w:r>
      <w:r w:rsidRPr="00F2660D">
        <w:rPr>
          <w:rFonts w:asciiTheme="minorBidi" w:hAnsiTheme="minorBidi" w:cstheme="minorBidi"/>
          <w:sz w:val="18"/>
          <w:szCs w:val="18"/>
        </w:rPr>
        <w:t>artie III (en ligne) ;</w:t>
      </w:r>
    </w:p>
    <w:p w14:paraId="6A6AB8B3" w14:textId="35662845" w:rsidR="00A236D5" w:rsidRPr="00F2660D" w:rsidRDefault="00A236D5">
      <w:pPr>
        <w:pStyle w:val="Notedebasdepage"/>
        <w:spacing w:after="60"/>
        <w:ind w:left="709"/>
        <w:contextualSpacing/>
        <w:jc w:val="both"/>
        <w:rPr>
          <w:rFonts w:asciiTheme="minorBidi" w:hAnsiTheme="minorBidi" w:cstheme="minorBidi"/>
          <w:sz w:val="18"/>
          <w:szCs w:val="18"/>
        </w:rPr>
      </w:pPr>
      <w:r w:rsidRPr="00F2660D">
        <w:rPr>
          <w:rFonts w:asciiTheme="minorBidi" w:hAnsiTheme="minorBidi" w:cstheme="minorBidi"/>
          <w:sz w:val="18"/>
          <w:szCs w:val="18"/>
        </w:rPr>
        <w:t xml:space="preserve">Réunion d'information et d'échange sur les révisions proposées au Règlement intérieur de l'Assemblée générale des États parties ; </w:t>
      </w:r>
    </w:p>
    <w:p w14:paraId="1B3CA910" w14:textId="71A5E431" w:rsidR="00A236D5" w:rsidRPr="00F2660D" w:rsidRDefault="00A236D5">
      <w:pPr>
        <w:pStyle w:val="Notedebasdepage"/>
        <w:spacing w:after="60"/>
        <w:ind w:left="709"/>
        <w:contextualSpacing/>
        <w:jc w:val="both"/>
        <w:rPr>
          <w:rFonts w:asciiTheme="minorBidi" w:hAnsiTheme="minorBidi" w:cstheme="minorBidi"/>
          <w:sz w:val="18"/>
          <w:szCs w:val="18"/>
        </w:rPr>
      </w:pPr>
      <w:r w:rsidRPr="00F2660D">
        <w:rPr>
          <w:rFonts w:asciiTheme="minorBidi" w:hAnsiTheme="minorBidi" w:cstheme="minorBidi"/>
          <w:sz w:val="18"/>
          <w:szCs w:val="18"/>
        </w:rPr>
        <w:t>Neuvième session de l'Assemblée générale des États parties à la Convention, siège de l'UNESCO, 5 au 7 juillet 2022 ;</w:t>
      </w:r>
      <w:r w:rsidR="00D456A5" w:rsidRPr="00F2660D">
        <w:rPr>
          <w:rFonts w:asciiTheme="minorBidi" w:hAnsiTheme="minorBidi" w:cstheme="minorBidi"/>
          <w:sz w:val="18"/>
          <w:szCs w:val="18"/>
        </w:rPr>
        <w:t xml:space="preserve"> et</w:t>
      </w:r>
    </w:p>
    <w:p w14:paraId="012E82DD" w14:textId="77777777" w:rsidR="00A236D5" w:rsidRPr="00F2660D" w:rsidRDefault="00A236D5">
      <w:pPr>
        <w:pStyle w:val="Notedebasdepage"/>
        <w:spacing w:after="60"/>
        <w:ind w:left="709"/>
        <w:contextualSpacing/>
        <w:jc w:val="both"/>
        <w:rPr>
          <w:rFonts w:asciiTheme="minorBidi" w:hAnsiTheme="minorBidi" w:cstheme="minorBidi"/>
          <w:sz w:val="18"/>
          <w:szCs w:val="18"/>
        </w:rPr>
      </w:pPr>
      <w:r w:rsidRPr="00F2660D">
        <w:rPr>
          <w:rFonts w:asciiTheme="minorBidi" w:hAnsiTheme="minorBidi" w:cstheme="minorBidi"/>
          <w:sz w:val="18"/>
          <w:szCs w:val="18"/>
        </w:rPr>
        <w:t>Deux échanges électroniques des membres du Comité intergouvernemental pour la sauvegarde du patrimoine culturel immatériel.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3BB0" w14:textId="77777777" w:rsidR="00B625DE" w:rsidRDefault="009800D3">
    <w:pPr>
      <w:pStyle w:val="En-tte"/>
      <w:rPr>
        <w:rFonts w:ascii="Arial" w:hAnsi="Arial" w:cs="Arial"/>
        <w:lang w:val="en-GB"/>
      </w:rPr>
    </w:pPr>
    <w:r>
      <w:rPr>
        <w:rFonts w:ascii="Arial" w:hAnsi="Arial" w:cs="Arial"/>
        <w:sz w:val="20"/>
        <w:szCs w:val="20"/>
        <w:lang w:val="en-GB"/>
      </w:rPr>
      <w:t>LHE/22/17</w:t>
    </w:r>
    <w:r w:rsidR="00EC6F8D">
      <w:rPr>
        <w:rFonts w:ascii="Arial" w:hAnsi="Arial" w:cs="Arial"/>
        <w:sz w:val="20"/>
        <w:szCs w:val="20"/>
        <w:lang w:val="en-GB"/>
      </w:rPr>
      <w:t xml:space="preserve">.COM/5 </w:t>
    </w:r>
    <w:r w:rsidR="00D95C4C" w:rsidRPr="00C23A97">
      <w:rPr>
        <w:rFonts w:ascii="Arial" w:hAnsi="Arial" w:cs="Arial"/>
        <w:sz w:val="20"/>
        <w:szCs w:val="20"/>
        <w:lang w:val="en-GB"/>
      </w:rPr>
      <w:t xml:space="preserve">-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6E75EB">
      <w:rPr>
        <w:rStyle w:val="Numrodepage"/>
        <w:rFonts w:ascii="Arial" w:hAnsi="Arial" w:cs="Arial"/>
        <w:noProof/>
        <w:sz w:val="20"/>
        <w:szCs w:val="20"/>
        <w:lang w:val="en-GB"/>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E5E7" w14:textId="77777777" w:rsidR="00B625DE" w:rsidRDefault="009800D3">
    <w:pPr>
      <w:pStyle w:val="En-tte"/>
      <w:jc w:val="right"/>
      <w:rPr>
        <w:rFonts w:ascii="Arial" w:hAnsi="Arial" w:cs="Arial"/>
        <w:lang w:val="en-GB"/>
      </w:rPr>
    </w:pPr>
    <w:r>
      <w:rPr>
        <w:rFonts w:ascii="Arial" w:hAnsi="Arial" w:cs="Arial"/>
        <w:sz w:val="20"/>
        <w:szCs w:val="20"/>
        <w:lang w:val="en-GB"/>
      </w:rPr>
      <w:t>LHE/22/17</w:t>
    </w:r>
    <w:r w:rsidR="00EC6F8D">
      <w:rPr>
        <w:rFonts w:ascii="Arial" w:hAnsi="Arial" w:cs="Arial"/>
        <w:sz w:val="20"/>
        <w:szCs w:val="20"/>
        <w:lang w:val="en-GB"/>
      </w:rPr>
      <w:t xml:space="preserve">.COM/5 </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A4A6" w14:textId="441E2E6B" w:rsidR="00B625DE" w:rsidRDefault="00EE20C5">
    <w:pPr>
      <w:pStyle w:val="En-tte"/>
      <w:rPr>
        <w:sz w:val="22"/>
        <w:szCs w:val="22"/>
        <w:lang w:val="en-GB"/>
      </w:rPr>
    </w:pPr>
    <w:r>
      <w:rPr>
        <w:rFonts w:ascii="Arial" w:hAnsi="Arial" w:cs="Arial"/>
        <w:b/>
        <w:noProof/>
        <w:sz w:val="44"/>
        <w:szCs w:val="44"/>
        <w:lang w:val="pt-PT"/>
      </w:rPr>
      <w:drawing>
        <wp:anchor distT="0" distB="0" distL="114300" distR="114300" simplePos="0" relativeHeight="251659264" behindDoc="0" locked="0" layoutInCell="1" allowOverlap="1" wp14:anchorId="54E7A226" wp14:editId="55447F7E">
          <wp:simplePos x="0" y="0"/>
          <wp:positionH relativeFrom="column">
            <wp:posOffset>0</wp:posOffset>
          </wp:positionH>
          <wp:positionV relativeFrom="paragraph">
            <wp:posOffset>163830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444DA" w14:textId="77777777" w:rsidR="00B625DE" w:rsidRPr="00A70046" w:rsidRDefault="00D86BB3">
    <w:pPr>
      <w:pStyle w:val="En-tte"/>
      <w:spacing w:after="520"/>
      <w:jc w:val="right"/>
      <w:rPr>
        <w:rFonts w:ascii="Arial" w:hAnsi="Arial" w:cs="Arial"/>
        <w:b/>
        <w:sz w:val="44"/>
        <w:szCs w:val="44"/>
        <w:lang w:val="pt-BR"/>
      </w:rPr>
    </w:pPr>
    <w:r w:rsidRPr="00A70046">
      <w:rPr>
        <w:rFonts w:ascii="Arial" w:hAnsi="Arial" w:cs="Arial"/>
        <w:b/>
        <w:sz w:val="44"/>
        <w:szCs w:val="44"/>
        <w:lang w:val="pt-BR"/>
      </w:rPr>
      <w:t xml:space="preserve">17 </w:t>
    </w:r>
    <w:r w:rsidR="00EC6F8D" w:rsidRPr="00A70046">
      <w:rPr>
        <w:rFonts w:ascii="Arial" w:hAnsi="Arial" w:cs="Arial"/>
        <w:b/>
        <w:sz w:val="44"/>
        <w:szCs w:val="44"/>
        <w:lang w:val="pt-BR"/>
      </w:rPr>
      <w:t>COM</w:t>
    </w:r>
  </w:p>
  <w:p w14:paraId="30F24327" w14:textId="77777777" w:rsidR="00B625DE" w:rsidRPr="00A70046" w:rsidRDefault="009800D3">
    <w:pPr>
      <w:jc w:val="right"/>
      <w:rPr>
        <w:rFonts w:ascii="Arial" w:hAnsi="Arial" w:cs="Arial"/>
        <w:b/>
        <w:sz w:val="22"/>
        <w:szCs w:val="22"/>
        <w:lang w:val="pt-BR"/>
      </w:rPr>
    </w:pPr>
    <w:r w:rsidRPr="00A70046">
      <w:rPr>
        <w:rFonts w:ascii="Arial" w:hAnsi="Arial" w:cs="Arial"/>
        <w:b/>
        <w:sz w:val="22"/>
        <w:szCs w:val="22"/>
        <w:lang w:val="pt-BR"/>
      </w:rPr>
      <w:t>LHE/22/17</w:t>
    </w:r>
    <w:r w:rsidR="00D95C4C" w:rsidRPr="00A70046">
      <w:rPr>
        <w:rFonts w:ascii="Arial" w:hAnsi="Arial" w:cs="Arial"/>
        <w:b/>
        <w:sz w:val="22"/>
        <w:szCs w:val="22"/>
        <w:lang w:val="pt-BR"/>
      </w:rPr>
      <w:t>.</w:t>
    </w:r>
    <w:r w:rsidR="00EC6F8D" w:rsidRPr="00A70046">
      <w:rPr>
        <w:rFonts w:ascii="Arial" w:hAnsi="Arial" w:cs="Arial"/>
        <w:b/>
        <w:sz w:val="22"/>
        <w:szCs w:val="22"/>
        <w:lang w:val="pt-BR"/>
      </w:rPr>
      <w:t>COM/5</w:t>
    </w:r>
  </w:p>
  <w:p w14:paraId="5906EE7B" w14:textId="4C1B3E37" w:rsidR="00B625DE" w:rsidRPr="00A70046" w:rsidRDefault="009800D3">
    <w:pPr>
      <w:jc w:val="right"/>
      <w:rPr>
        <w:rFonts w:ascii="Arial" w:eastAsiaTheme="minorEastAsia" w:hAnsi="Arial" w:cs="Arial"/>
        <w:b/>
        <w:sz w:val="22"/>
        <w:szCs w:val="22"/>
        <w:lang w:val="pt-BR" w:eastAsia="ko-KR"/>
      </w:rPr>
    </w:pPr>
    <w:r w:rsidRPr="00A70046">
      <w:rPr>
        <w:rFonts w:ascii="Arial" w:hAnsi="Arial" w:cs="Arial"/>
        <w:b/>
        <w:sz w:val="22"/>
        <w:szCs w:val="22"/>
        <w:lang w:val="pt-BR"/>
      </w:rPr>
      <w:t xml:space="preserve">Paris, </w:t>
    </w:r>
    <w:r w:rsidR="00D91F11">
      <w:rPr>
        <w:rFonts w:ascii="Arial" w:hAnsi="Arial" w:cs="Arial"/>
        <w:b/>
        <w:sz w:val="22"/>
        <w:szCs w:val="22"/>
        <w:lang w:val="pt-BR"/>
      </w:rPr>
      <w:t xml:space="preserve">le </w:t>
    </w:r>
    <w:r w:rsidR="004D553B" w:rsidRPr="00A70046">
      <w:rPr>
        <w:rFonts w:ascii="Arial" w:hAnsi="Arial" w:cs="Arial"/>
        <w:b/>
        <w:sz w:val="22"/>
        <w:szCs w:val="22"/>
        <w:lang w:val="pt-BR"/>
      </w:rPr>
      <w:t xml:space="preserve">31 </w:t>
    </w:r>
    <w:r w:rsidR="00D10734" w:rsidRPr="00A70046">
      <w:rPr>
        <w:rFonts w:ascii="Arial" w:hAnsi="Arial" w:cs="Arial"/>
        <w:b/>
        <w:sz w:val="22"/>
        <w:szCs w:val="22"/>
        <w:lang w:val="pt-BR"/>
      </w:rPr>
      <w:t xml:space="preserve">octobre </w:t>
    </w:r>
    <w:r w:rsidR="00337CEB" w:rsidRPr="00A70046">
      <w:rPr>
        <w:rFonts w:ascii="Arial" w:hAnsi="Arial" w:cs="Arial"/>
        <w:b/>
        <w:sz w:val="22"/>
        <w:szCs w:val="22"/>
        <w:lang w:val="pt-BR"/>
      </w:rPr>
      <w:t>2022</w:t>
    </w:r>
  </w:p>
  <w:p w14:paraId="79F7D12D" w14:textId="2FF2EBC9" w:rsidR="00B625DE" w:rsidRPr="00EE20C5" w:rsidRDefault="009800D3" w:rsidP="00EE20C5">
    <w:pPr>
      <w:spacing w:after="360"/>
      <w:jc w:val="right"/>
      <w:rPr>
        <w:rFonts w:ascii="Arial" w:hAnsi="Arial" w:cs="Arial"/>
        <w:b/>
        <w:sz w:val="22"/>
        <w:szCs w:val="22"/>
      </w:rPr>
    </w:pPr>
    <w:r w:rsidRPr="00EE20C5">
      <w:rPr>
        <w:rFonts w:ascii="Arial" w:hAnsi="Arial" w:cs="Arial"/>
        <w:b/>
        <w:sz w:val="22"/>
        <w:szCs w:val="22"/>
      </w:rPr>
      <w:t xml:space="preserve">Original : </w:t>
    </w:r>
    <w:r w:rsidR="00EE20C5" w:rsidRPr="00EE20C5">
      <w:rPr>
        <w:rFonts w:ascii="Arial" w:hAnsi="Arial" w:cs="Arial"/>
        <w:b/>
        <w:sz w:val="22"/>
        <w:szCs w:val="22"/>
      </w:rPr>
      <w:t>a</w:t>
    </w:r>
    <w:r w:rsidR="002B1E5C" w:rsidRPr="00EE20C5">
      <w:rPr>
        <w:rFonts w:ascii="Arial" w:hAnsi="Arial" w:cs="Arial"/>
        <w:b/>
        <w:sz w:val="22"/>
        <w:szCs w:val="22"/>
      </w:rPr>
      <w:t>nglais</w:t>
    </w:r>
  </w:p>
  <w:p w14:paraId="3320AC27" w14:textId="77777777" w:rsidR="00D95C4C" w:rsidRPr="00F2660D"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B7CD010"/>
    <w:lvl w:ilvl="0" w:tplc="930A8D98">
      <w:start w:val="1"/>
      <w:numFmt w:val="decimal"/>
      <w:lvlText w:val="%1."/>
      <w:lvlJc w:val="left"/>
      <w:pPr>
        <w:ind w:left="6300" w:hanging="360"/>
      </w:pPr>
      <w:rPr>
        <w:rFonts w:hint="default"/>
        <w:b w:val="0"/>
        <w:bCs w:val="0"/>
        <w:lang w:val="en-US"/>
      </w:rPr>
    </w:lvl>
    <w:lvl w:ilvl="1" w:tplc="04090019">
      <w:start w:val="1"/>
      <w:numFmt w:val="lowerLetter"/>
      <w:lvlText w:val="%2."/>
      <w:lvlJc w:val="left"/>
      <w:pPr>
        <w:ind w:left="1440" w:hanging="360"/>
      </w:pPr>
    </w:lvl>
    <w:lvl w:ilvl="2" w:tplc="59DCAFA2">
      <w:start w:val="9"/>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1772E4C"/>
    <w:multiLevelType w:val="multilevel"/>
    <w:tmpl w:val="901CF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0516A"/>
    <w:multiLevelType w:val="multilevel"/>
    <w:tmpl w:val="117E9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196BF0"/>
    <w:multiLevelType w:val="hybridMultilevel"/>
    <w:tmpl w:val="925EBC0E"/>
    <w:lvl w:ilvl="0" w:tplc="14CC53B8">
      <w:start w:val="1"/>
      <w:numFmt w:val="decimal"/>
      <w:pStyle w:val="1GAPara"/>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07BFE"/>
    <w:multiLevelType w:val="hybridMultilevel"/>
    <w:tmpl w:val="E6A6F74E"/>
    <w:lvl w:ilvl="0" w:tplc="04BA9A64">
      <w:start w:val="1"/>
      <w:numFmt w:val="decimal"/>
      <w:pStyle w:val="COMPara"/>
      <w:lvlText w:val="%1."/>
      <w:lvlJc w:val="left"/>
      <w:pPr>
        <w:ind w:left="72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5B0026"/>
    <w:multiLevelType w:val="hybridMultilevel"/>
    <w:tmpl w:val="D21E4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32084"/>
    <w:multiLevelType w:val="multilevel"/>
    <w:tmpl w:val="214A7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C5391B"/>
    <w:multiLevelType w:val="hybridMultilevel"/>
    <w:tmpl w:val="D9F8A3A2"/>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
  </w:num>
  <w:num w:numId="2">
    <w:abstractNumId w:val="5"/>
  </w:num>
  <w:num w:numId="3">
    <w:abstractNumId w:val="6"/>
  </w:num>
  <w:num w:numId="4">
    <w:abstractNumId w:val="7"/>
  </w:num>
  <w:num w:numId="5">
    <w:abstractNumId w:val="12"/>
  </w:num>
  <w:num w:numId="6">
    <w:abstractNumId w:val="0"/>
  </w:num>
  <w:num w:numId="7">
    <w:abstractNumId w:val="11"/>
  </w:num>
  <w:num w:numId="8">
    <w:abstractNumId w:val="8"/>
  </w:num>
  <w:num w:numId="9">
    <w:abstractNumId w:val="4"/>
  </w:num>
  <w:num w:numId="10">
    <w:abstractNumId w:val="10"/>
  </w:num>
  <w:num w:numId="11">
    <w:abstractNumId w:val="2"/>
  </w:num>
  <w:num w:numId="12">
    <w:abstractNumId w:val="5"/>
  </w:num>
  <w:num w:numId="13">
    <w:abstractNumId w:val="5"/>
  </w:num>
  <w:num w:numId="14">
    <w:abstractNumId w:val="5"/>
  </w:num>
  <w:num w:numId="15">
    <w:abstractNumId w:val="3"/>
  </w:num>
  <w:num w:numId="16">
    <w:abstractNumId w:val="6"/>
  </w:num>
  <w:num w:numId="17">
    <w:abstractNumId w:val="5"/>
  </w:num>
  <w:num w:numId="18">
    <w:abstractNumId w:val="5"/>
  </w:num>
  <w:num w:numId="19">
    <w:abstractNumId w:val="5"/>
  </w:num>
  <w:num w:numId="20">
    <w:abstractNumId w:val="6"/>
    <w:lvlOverride w:ilvl="0">
      <w:startOverride w:val="1"/>
    </w:lvlOverride>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42"/>
    <w:rsid w:val="00003AC4"/>
    <w:rsid w:val="00003F83"/>
    <w:rsid w:val="000048ED"/>
    <w:rsid w:val="0000600F"/>
    <w:rsid w:val="00006BDA"/>
    <w:rsid w:val="00007F48"/>
    <w:rsid w:val="0001095A"/>
    <w:rsid w:val="00011210"/>
    <w:rsid w:val="00014456"/>
    <w:rsid w:val="00014915"/>
    <w:rsid w:val="000153F5"/>
    <w:rsid w:val="00015822"/>
    <w:rsid w:val="00015DCF"/>
    <w:rsid w:val="00023A48"/>
    <w:rsid w:val="00033353"/>
    <w:rsid w:val="000412FA"/>
    <w:rsid w:val="00041A66"/>
    <w:rsid w:val="00042020"/>
    <w:rsid w:val="00042D88"/>
    <w:rsid w:val="000436A4"/>
    <w:rsid w:val="000452BC"/>
    <w:rsid w:val="00045BE1"/>
    <w:rsid w:val="000470E4"/>
    <w:rsid w:val="0005176E"/>
    <w:rsid w:val="0005273A"/>
    <w:rsid w:val="000603E1"/>
    <w:rsid w:val="00066875"/>
    <w:rsid w:val="00067C0C"/>
    <w:rsid w:val="000714FE"/>
    <w:rsid w:val="000728B7"/>
    <w:rsid w:val="00073479"/>
    <w:rsid w:val="00073A2F"/>
    <w:rsid w:val="000752CF"/>
    <w:rsid w:val="000765F7"/>
    <w:rsid w:val="0007725F"/>
    <w:rsid w:val="000778A9"/>
    <w:rsid w:val="00077AB7"/>
    <w:rsid w:val="00080204"/>
    <w:rsid w:val="00081329"/>
    <w:rsid w:val="00081CD8"/>
    <w:rsid w:val="0008324E"/>
    <w:rsid w:val="00090C0A"/>
    <w:rsid w:val="000926C7"/>
    <w:rsid w:val="000A0072"/>
    <w:rsid w:val="000A42E4"/>
    <w:rsid w:val="000A52EF"/>
    <w:rsid w:val="000A70C1"/>
    <w:rsid w:val="000A72FE"/>
    <w:rsid w:val="000A7F0E"/>
    <w:rsid w:val="000B01C6"/>
    <w:rsid w:val="000B1C8F"/>
    <w:rsid w:val="000B5FED"/>
    <w:rsid w:val="000B6065"/>
    <w:rsid w:val="000B7DD7"/>
    <w:rsid w:val="000C0D61"/>
    <w:rsid w:val="000C16F4"/>
    <w:rsid w:val="000C2714"/>
    <w:rsid w:val="000D50B5"/>
    <w:rsid w:val="000D527A"/>
    <w:rsid w:val="000D67B7"/>
    <w:rsid w:val="000E288F"/>
    <w:rsid w:val="000F3A3F"/>
    <w:rsid w:val="001015A5"/>
    <w:rsid w:val="00102236"/>
    <w:rsid w:val="00102557"/>
    <w:rsid w:val="00102D03"/>
    <w:rsid w:val="00111963"/>
    <w:rsid w:val="00112E2B"/>
    <w:rsid w:val="00113033"/>
    <w:rsid w:val="00115DA3"/>
    <w:rsid w:val="00120B79"/>
    <w:rsid w:val="001210C8"/>
    <w:rsid w:val="00122C53"/>
    <w:rsid w:val="00122E62"/>
    <w:rsid w:val="00124245"/>
    <w:rsid w:val="001278A8"/>
    <w:rsid w:val="00127C12"/>
    <w:rsid w:val="00133813"/>
    <w:rsid w:val="00135A98"/>
    <w:rsid w:val="00140301"/>
    <w:rsid w:val="00141BC0"/>
    <w:rsid w:val="00142472"/>
    <w:rsid w:val="001436A2"/>
    <w:rsid w:val="00145077"/>
    <w:rsid w:val="00147BB6"/>
    <w:rsid w:val="00155670"/>
    <w:rsid w:val="00155CA7"/>
    <w:rsid w:val="00156B23"/>
    <w:rsid w:val="00157DCD"/>
    <w:rsid w:val="00161901"/>
    <w:rsid w:val="00164B03"/>
    <w:rsid w:val="00164D56"/>
    <w:rsid w:val="00166092"/>
    <w:rsid w:val="00167B10"/>
    <w:rsid w:val="0017063D"/>
    <w:rsid w:val="0017207F"/>
    <w:rsid w:val="001722E6"/>
    <w:rsid w:val="0017402F"/>
    <w:rsid w:val="001751E5"/>
    <w:rsid w:val="00176158"/>
    <w:rsid w:val="00176762"/>
    <w:rsid w:val="001825E9"/>
    <w:rsid w:val="00186609"/>
    <w:rsid w:val="00186A17"/>
    <w:rsid w:val="00190205"/>
    <w:rsid w:val="00193E84"/>
    <w:rsid w:val="00196C1B"/>
    <w:rsid w:val="001A23A8"/>
    <w:rsid w:val="001A2E9A"/>
    <w:rsid w:val="001A659B"/>
    <w:rsid w:val="001A75D6"/>
    <w:rsid w:val="001A7A98"/>
    <w:rsid w:val="001B0F73"/>
    <w:rsid w:val="001B1701"/>
    <w:rsid w:val="001B3C09"/>
    <w:rsid w:val="001B4B42"/>
    <w:rsid w:val="001B4FF7"/>
    <w:rsid w:val="001C15DC"/>
    <w:rsid w:val="001C2DB7"/>
    <w:rsid w:val="001C2FC1"/>
    <w:rsid w:val="001C44BF"/>
    <w:rsid w:val="001C59F5"/>
    <w:rsid w:val="001C5A46"/>
    <w:rsid w:val="001D00FD"/>
    <w:rsid w:val="001D0625"/>
    <w:rsid w:val="001D14FE"/>
    <w:rsid w:val="001D1A5C"/>
    <w:rsid w:val="001D1F07"/>
    <w:rsid w:val="001D545A"/>
    <w:rsid w:val="001D5C04"/>
    <w:rsid w:val="001E00A2"/>
    <w:rsid w:val="001E0307"/>
    <w:rsid w:val="001E07CE"/>
    <w:rsid w:val="001E2E20"/>
    <w:rsid w:val="001F0071"/>
    <w:rsid w:val="001F1750"/>
    <w:rsid w:val="001F233F"/>
    <w:rsid w:val="001F26CF"/>
    <w:rsid w:val="001F3171"/>
    <w:rsid w:val="001F3EDA"/>
    <w:rsid w:val="001F6163"/>
    <w:rsid w:val="001F6D97"/>
    <w:rsid w:val="0020192D"/>
    <w:rsid w:val="002028B7"/>
    <w:rsid w:val="0020495C"/>
    <w:rsid w:val="00207215"/>
    <w:rsid w:val="00210A9B"/>
    <w:rsid w:val="00211D87"/>
    <w:rsid w:val="00212587"/>
    <w:rsid w:val="00215EC3"/>
    <w:rsid w:val="0021613F"/>
    <w:rsid w:val="002161F7"/>
    <w:rsid w:val="00217864"/>
    <w:rsid w:val="0022197D"/>
    <w:rsid w:val="0022228B"/>
    <w:rsid w:val="00222A2D"/>
    <w:rsid w:val="00223029"/>
    <w:rsid w:val="002239B0"/>
    <w:rsid w:val="00223BA2"/>
    <w:rsid w:val="00224989"/>
    <w:rsid w:val="00225611"/>
    <w:rsid w:val="00227E77"/>
    <w:rsid w:val="00234441"/>
    <w:rsid w:val="00234745"/>
    <w:rsid w:val="002351A6"/>
    <w:rsid w:val="00235600"/>
    <w:rsid w:val="00235BBF"/>
    <w:rsid w:val="00240379"/>
    <w:rsid w:val="002405E7"/>
    <w:rsid w:val="002407AF"/>
    <w:rsid w:val="00240CAB"/>
    <w:rsid w:val="002413A7"/>
    <w:rsid w:val="00243956"/>
    <w:rsid w:val="00243BF6"/>
    <w:rsid w:val="00244D4F"/>
    <w:rsid w:val="00245277"/>
    <w:rsid w:val="00247E34"/>
    <w:rsid w:val="002547A3"/>
    <w:rsid w:val="00254B26"/>
    <w:rsid w:val="00257099"/>
    <w:rsid w:val="0025776C"/>
    <w:rsid w:val="00257D06"/>
    <w:rsid w:val="0026221A"/>
    <w:rsid w:val="00262E30"/>
    <w:rsid w:val="00265133"/>
    <w:rsid w:val="0027125A"/>
    <w:rsid w:val="00271ABE"/>
    <w:rsid w:val="0027466B"/>
    <w:rsid w:val="00274F9F"/>
    <w:rsid w:val="00275EFD"/>
    <w:rsid w:val="0027767E"/>
    <w:rsid w:val="002814F6"/>
    <w:rsid w:val="00281825"/>
    <w:rsid w:val="0028353C"/>
    <w:rsid w:val="002838A5"/>
    <w:rsid w:val="00285BB4"/>
    <w:rsid w:val="00285FCA"/>
    <w:rsid w:val="00286D0E"/>
    <w:rsid w:val="0028701B"/>
    <w:rsid w:val="002914EA"/>
    <w:rsid w:val="00292BF4"/>
    <w:rsid w:val="00294231"/>
    <w:rsid w:val="002977AF"/>
    <w:rsid w:val="0029790C"/>
    <w:rsid w:val="002B1A41"/>
    <w:rsid w:val="002B1E5C"/>
    <w:rsid w:val="002B28B0"/>
    <w:rsid w:val="002B7A34"/>
    <w:rsid w:val="002C09E3"/>
    <w:rsid w:val="002C1388"/>
    <w:rsid w:val="002C3134"/>
    <w:rsid w:val="002C40C7"/>
    <w:rsid w:val="002C4678"/>
    <w:rsid w:val="002C6A2C"/>
    <w:rsid w:val="002D1244"/>
    <w:rsid w:val="002D3362"/>
    <w:rsid w:val="002D398A"/>
    <w:rsid w:val="002D470A"/>
    <w:rsid w:val="002D7F79"/>
    <w:rsid w:val="002E0740"/>
    <w:rsid w:val="002E18ED"/>
    <w:rsid w:val="002E20A2"/>
    <w:rsid w:val="002E2A02"/>
    <w:rsid w:val="002E3BF3"/>
    <w:rsid w:val="002E4C03"/>
    <w:rsid w:val="002E6751"/>
    <w:rsid w:val="002E6B39"/>
    <w:rsid w:val="002E7E3A"/>
    <w:rsid w:val="002F35C9"/>
    <w:rsid w:val="002F3B5C"/>
    <w:rsid w:val="002F61A9"/>
    <w:rsid w:val="003001C5"/>
    <w:rsid w:val="00306EDA"/>
    <w:rsid w:val="00311FB2"/>
    <w:rsid w:val="00312667"/>
    <w:rsid w:val="003126D3"/>
    <w:rsid w:val="00314FE1"/>
    <w:rsid w:val="00321459"/>
    <w:rsid w:val="003228F1"/>
    <w:rsid w:val="00322D1A"/>
    <w:rsid w:val="00323211"/>
    <w:rsid w:val="0032488E"/>
    <w:rsid w:val="00325860"/>
    <w:rsid w:val="00325DA1"/>
    <w:rsid w:val="003279E5"/>
    <w:rsid w:val="00327DC5"/>
    <w:rsid w:val="0033133F"/>
    <w:rsid w:val="003336E4"/>
    <w:rsid w:val="00334037"/>
    <w:rsid w:val="003342E4"/>
    <w:rsid w:val="00337CEB"/>
    <w:rsid w:val="003445FE"/>
    <w:rsid w:val="00344B58"/>
    <w:rsid w:val="0034520C"/>
    <w:rsid w:val="0034539A"/>
    <w:rsid w:val="00345CB4"/>
    <w:rsid w:val="00346250"/>
    <w:rsid w:val="0035080D"/>
    <w:rsid w:val="00350D35"/>
    <w:rsid w:val="003510F4"/>
    <w:rsid w:val="003513E0"/>
    <w:rsid w:val="00353068"/>
    <w:rsid w:val="003552B8"/>
    <w:rsid w:val="00357614"/>
    <w:rsid w:val="00357B92"/>
    <w:rsid w:val="00360D80"/>
    <w:rsid w:val="00362321"/>
    <w:rsid w:val="003631AF"/>
    <w:rsid w:val="0036358D"/>
    <w:rsid w:val="003643C7"/>
    <w:rsid w:val="00366F58"/>
    <w:rsid w:val="00370292"/>
    <w:rsid w:val="0037324A"/>
    <w:rsid w:val="0037357B"/>
    <w:rsid w:val="00375D42"/>
    <w:rsid w:val="00377047"/>
    <w:rsid w:val="00377338"/>
    <w:rsid w:val="00377768"/>
    <w:rsid w:val="0038123A"/>
    <w:rsid w:val="00381B48"/>
    <w:rsid w:val="00383721"/>
    <w:rsid w:val="00384330"/>
    <w:rsid w:val="003846DE"/>
    <w:rsid w:val="0038539E"/>
    <w:rsid w:val="00395F7B"/>
    <w:rsid w:val="0039768B"/>
    <w:rsid w:val="00397F6A"/>
    <w:rsid w:val="00397F83"/>
    <w:rsid w:val="003A26D2"/>
    <w:rsid w:val="003A720C"/>
    <w:rsid w:val="003B264A"/>
    <w:rsid w:val="003B3579"/>
    <w:rsid w:val="003B4C1A"/>
    <w:rsid w:val="003B5180"/>
    <w:rsid w:val="003B6462"/>
    <w:rsid w:val="003C0C68"/>
    <w:rsid w:val="003C0DD9"/>
    <w:rsid w:val="003C30E7"/>
    <w:rsid w:val="003C77CA"/>
    <w:rsid w:val="003D069C"/>
    <w:rsid w:val="003D15C2"/>
    <w:rsid w:val="003D30A0"/>
    <w:rsid w:val="003D3F56"/>
    <w:rsid w:val="003D451A"/>
    <w:rsid w:val="003D4691"/>
    <w:rsid w:val="003D7646"/>
    <w:rsid w:val="003D7857"/>
    <w:rsid w:val="003E05D1"/>
    <w:rsid w:val="003E1EFF"/>
    <w:rsid w:val="003F113A"/>
    <w:rsid w:val="003F3E63"/>
    <w:rsid w:val="003F462E"/>
    <w:rsid w:val="003F4AEC"/>
    <w:rsid w:val="003F7888"/>
    <w:rsid w:val="00402D9D"/>
    <w:rsid w:val="004036D6"/>
    <w:rsid w:val="0040392C"/>
    <w:rsid w:val="0040409A"/>
    <w:rsid w:val="00404111"/>
    <w:rsid w:val="00404693"/>
    <w:rsid w:val="0040584E"/>
    <w:rsid w:val="004060D7"/>
    <w:rsid w:val="00407480"/>
    <w:rsid w:val="00407B03"/>
    <w:rsid w:val="00410E5C"/>
    <w:rsid w:val="00411B61"/>
    <w:rsid w:val="0041378F"/>
    <w:rsid w:val="00414643"/>
    <w:rsid w:val="00416443"/>
    <w:rsid w:val="004216BF"/>
    <w:rsid w:val="00422738"/>
    <w:rsid w:val="00427694"/>
    <w:rsid w:val="004313C4"/>
    <w:rsid w:val="00431DB0"/>
    <w:rsid w:val="00435945"/>
    <w:rsid w:val="00435B60"/>
    <w:rsid w:val="004421E5"/>
    <w:rsid w:val="00442A36"/>
    <w:rsid w:val="00445797"/>
    <w:rsid w:val="00445E19"/>
    <w:rsid w:val="00446FA8"/>
    <w:rsid w:val="00452284"/>
    <w:rsid w:val="00453340"/>
    <w:rsid w:val="004548C1"/>
    <w:rsid w:val="004549DA"/>
    <w:rsid w:val="00454BD7"/>
    <w:rsid w:val="00455128"/>
    <w:rsid w:val="0045615B"/>
    <w:rsid w:val="00457C8E"/>
    <w:rsid w:val="004619F4"/>
    <w:rsid w:val="00465C4A"/>
    <w:rsid w:val="00471A28"/>
    <w:rsid w:val="004728E3"/>
    <w:rsid w:val="00474A2C"/>
    <w:rsid w:val="0047616E"/>
    <w:rsid w:val="0048027D"/>
    <w:rsid w:val="00481A9B"/>
    <w:rsid w:val="004856CA"/>
    <w:rsid w:val="0048677C"/>
    <w:rsid w:val="00487E67"/>
    <w:rsid w:val="004906B7"/>
    <w:rsid w:val="00491BAA"/>
    <w:rsid w:val="0049222A"/>
    <w:rsid w:val="0049565D"/>
    <w:rsid w:val="00495A53"/>
    <w:rsid w:val="004960EA"/>
    <w:rsid w:val="0049705E"/>
    <w:rsid w:val="004A1F05"/>
    <w:rsid w:val="004A2875"/>
    <w:rsid w:val="004A34A0"/>
    <w:rsid w:val="004A3687"/>
    <w:rsid w:val="004A3D16"/>
    <w:rsid w:val="004A60AC"/>
    <w:rsid w:val="004B3693"/>
    <w:rsid w:val="004B4FE5"/>
    <w:rsid w:val="004B5681"/>
    <w:rsid w:val="004C7C82"/>
    <w:rsid w:val="004D0B05"/>
    <w:rsid w:val="004D0C7E"/>
    <w:rsid w:val="004D2A8E"/>
    <w:rsid w:val="004D553B"/>
    <w:rsid w:val="004D6581"/>
    <w:rsid w:val="004E10F0"/>
    <w:rsid w:val="004E4C7D"/>
    <w:rsid w:val="004E520A"/>
    <w:rsid w:val="004E6C4F"/>
    <w:rsid w:val="004F07B6"/>
    <w:rsid w:val="004F2C2C"/>
    <w:rsid w:val="004F7171"/>
    <w:rsid w:val="005008A8"/>
    <w:rsid w:val="0050512D"/>
    <w:rsid w:val="00505803"/>
    <w:rsid w:val="0050683A"/>
    <w:rsid w:val="005107F8"/>
    <w:rsid w:val="0051419F"/>
    <w:rsid w:val="00514995"/>
    <w:rsid w:val="00515E6B"/>
    <w:rsid w:val="00516356"/>
    <w:rsid w:val="005176FE"/>
    <w:rsid w:val="00517A17"/>
    <w:rsid w:val="00517FD8"/>
    <w:rsid w:val="005201A9"/>
    <w:rsid w:val="00524114"/>
    <w:rsid w:val="00525BE8"/>
    <w:rsid w:val="00525D85"/>
    <w:rsid w:val="00525FAC"/>
    <w:rsid w:val="005264D9"/>
    <w:rsid w:val="005268C6"/>
    <w:rsid w:val="00526B7B"/>
    <w:rsid w:val="00527C37"/>
    <w:rsid w:val="005308CE"/>
    <w:rsid w:val="0053318C"/>
    <w:rsid w:val="00537464"/>
    <w:rsid w:val="005418B7"/>
    <w:rsid w:val="00544C34"/>
    <w:rsid w:val="00555D95"/>
    <w:rsid w:val="00556195"/>
    <w:rsid w:val="00565025"/>
    <w:rsid w:val="005665BF"/>
    <w:rsid w:val="0056761A"/>
    <w:rsid w:val="00567F13"/>
    <w:rsid w:val="005713C5"/>
    <w:rsid w:val="00571543"/>
    <w:rsid w:val="0057364E"/>
    <w:rsid w:val="0057439C"/>
    <w:rsid w:val="00574794"/>
    <w:rsid w:val="005753A4"/>
    <w:rsid w:val="00575483"/>
    <w:rsid w:val="0058143C"/>
    <w:rsid w:val="00582A8B"/>
    <w:rsid w:val="00584F14"/>
    <w:rsid w:val="00587EF4"/>
    <w:rsid w:val="0059172D"/>
    <w:rsid w:val="005960FA"/>
    <w:rsid w:val="005A05B3"/>
    <w:rsid w:val="005A1342"/>
    <w:rsid w:val="005A1C12"/>
    <w:rsid w:val="005A252A"/>
    <w:rsid w:val="005A5D1D"/>
    <w:rsid w:val="005A60C2"/>
    <w:rsid w:val="005A671C"/>
    <w:rsid w:val="005B0127"/>
    <w:rsid w:val="005B132B"/>
    <w:rsid w:val="005B2B3E"/>
    <w:rsid w:val="005B5CFC"/>
    <w:rsid w:val="005B7A35"/>
    <w:rsid w:val="005C42FB"/>
    <w:rsid w:val="005C4B73"/>
    <w:rsid w:val="005C4FEE"/>
    <w:rsid w:val="005C5C9D"/>
    <w:rsid w:val="005D0297"/>
    <w:rsid w:val="005D3430"/>
    <w:rsid w:val="005D5F36"/>
    <w:rsid w:val="005D7B05"/>
    <w:rsid w:val="005E1D2B"/>
    <w:rsid w:val="005E28DA"/>
    <w:rsid w:val="005E2C86"/>
    <w:rsid w:val="005E5E3F"/>
    <w:rsid w:val="005E7074"/>
    <w:rsid w:val="005E7DD2"/>
    <w:rsid w:val="005F2BAF"/>
    <w:rsid w:val="005F5136"/>
    <w:rsid w:val="005F73DE"/>
    <w:rsid w:val="00600D93"/>
    <w:rsid w:val="00603C6D"/>
    <w:rsid w:val="00607871"/>
    <w:rsid w:val="00616207"/>
    <w:rsid w:val="00616E5A"/>
    <w:rsid w:val="00622186"/>
    <w:rsid w:val="006243C8"/>
    <w:rsid w:val="00625313"/>
    <w:rsid w:val="00625FA9"/>
    <w:rsid w:val="00626179"/>
    <w:rsid w:val="00626BEA"/>
    <w:rsid w:val="0063300C"/>
    <w:rsid w:val="0064059F"/>
    <w:rsid w:val="00640756"/>
    <w:rsid w:val="00641E3E"/>
    <w:rsid w:val="006437D6"/>
    <w:rsid w:val="00644456"/>
    <w:rsid w:val="00644AA1"/>
    <w:rsid w:val="00644D31"/>
    <w:rsid w:val="00650AFF"/>
    <w:rsid w:val="006511FD"/>
    <w:rsid w:val="00651A5B"/>
    <w:rsid w:val="00654903"/>
    <w:rsid w:val="00655736"/>
    <w:rsid w:val="00656725"/>
    <w:rsid w:val="00662229"/>
    <w:rsid w:val="00662C74"/>
    <w:rsid w:val="00662E74"/>
    <w:rsid w:val="006633F6"/>
    <w:rsid w:val="00663B8D"/>
    <w:rsid w:val="00664B02"/>
    <w:rsid w:val="006679C3"/>
    <w:rsid w:val="00674E5A"/>
    <w:rsid w:val="00686027"/>
    <w:rsid w:val="00693824"/>
    <w:rsid w:val="006951C0"/>
    <w:rsid w:val="00696C8D"/>
    <w:rsid w:val="006A1474"/>
    <w:rsid w:val="006A2AC2"/>
    <w:rsid w:val="006A3617"/>
    <w:rsid w:val="006A477C"/>
    <w:rsid w:val="006A60DD"/>
    <w:rsid w:val="006A6830"/>
    <w:rsid w:val="006B1EF2"/>
    <w:rsid w:val="006B298A"/>
    <w:rsid w:val="006B4089"/>
    <w:rsid w:val="006B4452"/>
    <w:rsid w:val="006B5C3E"/>
    <w:rsid w:val="006B7C76"/>
    <w:rsid w:val="006C193A"/>
    <w:rsid w:val="006C514E"/>
    <w:rsid w:val="006C56E1"/>
    <w:rsid w:val="006C6747"/>
    <w:rsid w:val="006D1EBC"/>
    <w:rsid w:val="006D2D4F"/>
    <w:rsid w:val="006E291D"/>
    <w:rsid w:val="006E2E78"/>
    <w:rsid w:val="006E3477"/>
    <w:rsid w:val="006E46E4"/>
    <w:rsid w:val="006E4C95"/>
    <w:rsid w:val="006E52F6"/>
    <w:rsid w:val="006E562E"/>
    <w:rsid w:val="006E566B"/>
    <w:rsid w:val="006E75EB"/>
    <w:rsid w:val="006E7A02"/>
    <w:rsid w:val="006F0081"/>
    <w:rsid w:val="006F22A5"/>
    <w:rsid w:val="006F321F"/>
    <w:rsid w:val="006F484D"/>
    <w:rsid w:val="006F5250"/>
    <w:rsid w:val="007005D1"/>
    <w:rsid w:val="007009BB"/>
    <w:rsid w:val="00701B18"/>
    <w:rsid w:val="00703E86"/>
    <w:rsid w:val="00704D1F"/>
    <w:rsid w:val="007141E8"/>
    <w:rsid w:val="00716105"/>
    <w:rsid w:val="00716814"/>
    <w:rsid w:val="00717999"/>
    <w:rsid w:val="00717DA5"/>
    <w:rsid w:val="00724219"/>
    <w:rsid w:val="00724476"/>
    <w:rsid w:val="007254B5"/>
    <w:rsid w:val="007302E5"/>
    <w:rsid w:val="00730B44"/>
    <w:rsid w:val="00732055"/>
    <w:rsid w:val="00732691"/>
    <w:rsid w:val="00732D5B"/>
    <w:rsid w:val="00741A84"/>
    <w:rsid w:val="00743073"/>
    <w:rsid w:val="00744484"/>
    <w:rsid w:val="00747566"/>
    <w:rsid w:val="007531AE"/>
    <w:rsid w:val="007542C9"/>
    <w:rsid w:val="00755E21"/>
    <w:rsid w:val="007564B7"/>
    <w:rsid w:val="0075725E"/>
    <w:rsid w:val="00763035"/>
    <w:rsid w:val="00763F90"/>
    <w:rsid w:val="00764572"/>
    <w:rsid w:val="0076709D"/>
    <w:rsid w:val="007718E1"/>
    <w:rsid w:val="007721F9"/>
    <w:rsid w:val="00773188"/>
    <w:rsid w:val="007761D4"/>
    <w:rsid w:val="00776591"/>
    <w:rsid w:val="007770E7"/>
    <w:rsid w:val="00783281"/>
    <w:rsid w:val="00783782"/>
    <w:rsid w:val="00784B8C"/>
    <w:rsid w:val="007879E1"/>
    <w:rsid w:val="007922CC"/>
    <w:rsid w:val="0079346A"/>
    <w:rsid w:val="0079486C"/>
    <w:rsid w:val="007A1EEB"/>
    <w:rsid w:val="007A2987"/>
    <w:rsid w:val="007A2F66"/>
    <w:rsid w:val="007A5578"/>
    <w:rsid w:val="007B1EBC"/>
    <w:rsid w:val="007B4009"/>
    <w:rsid w:val="007C0E0F"/>
    <w:rsid w:val="007C2151"/>
    <w:rsid w:val="007C2B6B"/>
    <w:rsid w:val="007C48ED"/>
    <w:rsid w:val="007C4BEE"/>
    <w:rsid w:val="007C4F87"/>
    <w:rsid w:val="007C6818"/>
    <w:rsid w:val="007C6F5D"/>
    <w:rsid w:val="007D0517"/>
    <w:rsid w:val="007D0AD9"/>
    <w:rsid w:val="007D3016"/>
    <w:rsid w:val="007D3269"/>
    <w:rsid w:val="007D41C7"/>
    <w:rsid w:val="007D4C0E"/>
    <w:rsid w:val="007D7BAC"/>
    <w:rsid w:val="007E07FA"/>
    <w:rsid w:val="007E19AF"/>
    <w:rsid w:val="007E3864"/>
    <w:rsid w:val="007E57AA"/>
    <w:rsid w:val="007F2BB2"/>
    <w:rsid w:val="007F4B9F"/>
    <w:rsid w:val="00800FBF"/>
    <w:rsid w:val="00802239"/>
    <w:rsid w:val="008024F4"/>
    <w:rsid w:val="00804597"/>
    <w:rsid w:val="008067A8"/>
    <w:rsid w:val="00812EC7"/>
    <w:rsid w:val="00813F65"/>
    <w:rsid w:val="00815142"/>
    <w:rsid w:val="0081759C"/>
    <w:rsid w:val="00823A11"/>
    <w:rsid w:val="008308DC"/>
    <w:rsid w:val="008352B2"/>
    <w:rsid w:val="00840E47"/>
    <w:rsid w:val="008431E3"/>
    <w:rsid w:val="008438B1"/>
    <w:rsid w:val="00850A28"/>
    <w:rsid w:val="00852923"/>
    <w:rsid w:val="0085405E"/>
    <w:rsid w:val="0085414A"/>
    <w:rsid w:val="00857EB9"/>
    <w:rsid w:val="00860F90"/>
    <w:rsid w:val="00861C83"/>
    <w:rsid w:val="00862602"/>
    <w:rsid w:val="0086269D"/>
    <w:rsid w:val="0086543A"/>
    <w:rsid w:val="00870611"/>
    <w:rsid w:val="00870731"/>
    <w:rsid w:val="008717DE"/>
    <w:rsid w:val="008724E5"/>
    <w:rsid w:val="00872E43"/>
    <w:rsid w:val="00873277"/>
    <w:rsid w:val="008754C0"/>
    <w:rsid w:val="00875AAA"/>
    <w:rsid w:val="008765C9"/>
    <w:rsid w:val="0087702C"/>
    <w:rsid w:val="00880A01"/>
    <w:rsid w:val="008817FA"/>
    <w:rsid w:val="00881E2A"/>
    <w:rsid w:val="00884A9D"/>
    <w:rsid w:val="0088512B"/>
    <w:rsid w:val="00891D3E"/>
    <w:rsid w:val="00892269"/>
    <w:rsid w:val="00894D2C"/>
    <w:rsid w:val="00894D92"/>
    <w:rsid w:val="008A2B2D"/>
    <w:rsid w:val="008A4E1E"/>
    <w:rsid w:val="008A51BE"/>
    <w:rsid w:val="008A6458"/>
    <w:rsid w:val="008A751F"/>
    <w:rsid w:val="008B18A0"/>
    <w:rsid w:val="008B6BEA"/>
    <w:rsid w:val="008C0825"/>
    <w:rsid w:val="008C09CD"/>
    <w:rsid w:val="008C1641"/>
    <w:rsid w:val="008C18BE"/>
    <w:rsid w:val="008C296C"/>
    <w:rsid w:val="008C4642"/>
    <w:rsid w:val="008C6749"/>
    <w:rsid w:val="008C7D63"/>
    <w:rsid w:val="008D4305"/>
    <w:rsid w:val="008E1A85"/>
    <w:rsid w:val="008E344F"/>
    <w:rsid w:val="009032A8"/>
    <w:rsid w:val="00904D33"/>
    <w:rsid w:val="009054F6"/>
    <w:rsid w:val="00914C1F"/>
    <w:rsid w:val="009154CD"/>
    <w:rsid w:val="009163A7"/>
    <w:rsid w:val="009177ED"/>
    <w:rsid w:val="00917A4B"/>
    <w:rsid w:val="00920194"/>
    <w:rsid w:val="00920468"/>
    <w:rsid w:val="00921ABE"/>
    <w:rsid w:val="00922A6B"/>
    <w:rsid w:val="00924A65"/>
    <w:rsid w:val="00927C9E"/>
    <w:rsid w:val="00927D0A"/>
    <w:rsid w:val="00927DBB"/>
    <w:rsid w:val="009316FF"/>
    <w:rsid w:val="00931E4C"/>
    <w:rsid w:val="009325DE"/>
    <w:rsid w:val="00937D53"/>
    <w:rsid w:val="00940B7D"/>
    <w:rsid w:val="00941C6A"/>
    <w:rsid w:val="00943238"/>
    <w:rsid w:val="0094395A"/>
    <w:rsid w:val="00945229"/>
    <w:rsid w:val="0094531E"/>
    <w:rsid w:val="009459AD"/>
    <w:rsid w:val="00946D0B"/>
    <w:rsid w:val="00947608"/>
    <w:rsid w:val="00947987"/>
    <w:rsid w:val="00950EAE"/>
    <w:rsid w:val="009523E0"/>
    <w:rsid w:val="00953B52"/>
    <w:rsid w:val="00955877"/>
    <w:rsid w:val="00956946"/>
    <w:rsid w:val="00957BF9"/>
    <w:rsid w:val="00961E35"/>
    <w:rsid w:val="00962034"/>
    <w:rsid w:val="00966E10"/>
    <w:rsid w:val="0097229E"/>
    <w:rsid w:val="00973E8E"/>
    <w:rsid w:val="00974E6F"/>
    <w:rsid w:val="009800D3"/>
    <w:rsid w:val="00980262"/>
    <w:rsid w:val="00980A27"/>
    <w:rsid w:val="00980FCB"/>
    <w:rsid w:val="00981432"/>
    <w:rsid w:val="00990862"/>
    <w:rsid w:val="009913FF"/>
    <w:rsid w:val="00991A23"/>
    <w:rsid w:val="009934A8"/>
    <w:rsid w:val="00994B83"/>
    <w:rsid w:val="00994D7C"/>
    <w:rsid w:val="009963C9"/>
    <w:rsid w:val="009A09C2"/>
    <w:rsid w:val="009A0B7E"/>
    <w:rsid w:val="009A18CD"/>
    <w:rsid w:val="009A1F5B"/>
    <w:rsid w:val="009A2790"/>
    <w:rsid w:val="009A5E75"/>
    <w:rsid w:val="009B5BC5"/>
    <w:rsid w:val="009B62F9"/>
    <w:rsid w:val="009B6CBC"/>
    <w:rsid w:val="009B7931"/>
    <w:rsid w:val="009C1B96"/>
    <w:rsid w:val="009C1EC9"/>
    <w:rsid w:val="009C23DB"/>
    <w:rsid w:val="009C2919"/>
    <w:rsid w:val="009D0AF1"/>
    <w:rsid w:val="009D1A93"/>
    <w:rsid w:val="009D1DBE"/>
    <w:rsid w:val="009D20FF"/>
    <w:rsid w:val="009D30FA"/>
    <w:rsid w:val="009D5428"/>
    <w:rsid w:val="009D6462"/>
    <w:rsid w:val="009D6A55"/>
    <w:rsid w:val="009D7163"/>
    <w:rsid w:val="009E2125"/>
    <w:rsid w:val="009E2C82"/>
    <w:rsid w:val="009E3435"/>
    <w:rsid w:val="009E5760"/>
    <w:rsid w:val="009F21A8"/>
    <w:rsid w:val="009F5F65"/>
    <w:rsid w:val="00A018A5"/>
    <w:rsid w:val="00A041D7"/>
    <w:rsid w:val="00A04706"/>
    <w:rsid w:val="00A05785"/>
    <w:rsid w:val="00A05FAC"/>
    <w:rsid w:val="00A12558"/>
    <w:rsid w:val="00A13835"/>
    <w:rsid w:val="00A13903"/>
    <w:rsid w:val="00A164D7"/>
    <w:rsid w:val="00A168C6"/>
    <w:rsid w:val="00A20AE0"/>
    <w:rsid w:val="00A233B9"/>
    <w:rsid w:val="00A236D5"/>
    <w:rsid w:val="00A23FA9"/>
    <w:rsid w:val="00A2497E"/>
    <w:rsid w:val="00A25742"/>
    <w:rsid w:val="00A27125"/>
    <w:rsid w:val="00A32F3E"/>
    <w:rsid w:val="00A34ED5"/>
    <w:rsid w:val="00A3594D"/>
    <w:rsid w:val="00A37959"/>
    <w:rsid w:val="00A439D9"/>
    <w:rsid w:val="00A45DBF"/>
    <w:rsid w:val="00A47702"/>
    <w:rsid w:val="00A54E21"/>
    <w:rsid w:val="00A55E75"/>
    <w:rsid w:val="00A5725D"/>
    <w:rsid w:val="00A601C6"/>
    <w:rsid w:val="00A61B3D"/>
    <w:rsid w:val="00A62A85"/>
    <w:rsid w:val="00A62E8D"/>
    <w:rsid w:val="00A63DF6"/>
    <w:rsid w:val="00A6501C"/>
    <w:rsid w:val="00A65057"/>
    <w:rsid w:val="00A6605F"/>
    <w:rsid w:val="00A6737C"/>
    <w:rsid w:val="00A70046"/>
    <w:rsid w:val="00A71080"/>
    <w:rsid w:val="00A7211B"/>
    <w:rsid w:val="00A725CF"/>
    <w:rsid w:val="00A755A2"/>
    <w:rsid w:val="00A75DFE"/>
    <w:rsid w:val="00A7743D"/>
    <w:rsid w:val="00A85D19"/>
    <w:rsid w:val="00A8771C"/>
    <w:rsid w:val="00A91430"/>
    <w:rsid w:val="00A92E78"/>
    <w:rsid w:val="00A97A46"/>
    <w:rsid w:val="00A97FA1"/>
    <w:rsid w:val="00AA0B42"/>
    <w:rsid w:val="00AA1F54"/>
    <w:rsid w:val="00AA590D"/>
    <w:rsid w:val="00AA6660"/>
    <w:rsid w:val="00AA6C18"/>
    <w:rsid w:val="00AA6E9D"/>
    <w:rsid w:val="00AB12CF"/>
    <w:rsid w:val="00AB2423"/>
    <w:rsid w:val="00AB2C36"/>
    <w:rsid w:val="00AB4187"/>
    <w:rsid w:val="00AB6022"/>
    <w:rsid w:val="00AB6521"/>
    <w:rsid w:val="00AB6DDE"/>
    <w:rsid w:val="00AB6FC9"/>
    <w:rsid w:val="00AB70B6"/>
    <w:rsid w:val="00AD0911"/>
    <w:rsid w:val="00AD1A86"/>
    <w:rsid w:val="00AD2320"/>
    <w:rsid w:val="00AD471F"/>
    <w:rsid w:val="00AD4FD9"/>
    <w:rsid w:val="00AD5C46"/>
    <w:rsid w:val="00AE103E"/>
    <w:rsid w:val="00AE1DCA"/>
    <w:rsid w:val="00AE1DD1"/>
    <w:rsid w:val="00AE237B"/>
    <w:rsid w:val="00AF040E"/>
    <w:rsid w:val="00AF0A07"/>
    <w:rsid w:val="00AF0B99"/>
    <w:rsid w:val="00AF3266"/>
    <w:rsid w:val="00AF33D6"/>
    <w:rsid w:val="00AF4AEC"/>
    <w:rsid w:val="00AF4ED8"/>
    <w:rsid w:val="00AF5F34"/>
    <w:rsid w:val="00AF625E"/>
    <w:rsid w:val="00AF7134"/>
    <w:rsid w:val="00AF7CE5"/>
    <w:rsid w:val="00B01FCA"/>
    <w:rsid w:val="00B02CE4"/>
    <w:rsid w:val="00B03E9E"/>
    <w:rsid w:val="00B04884"/>
    <w:rsid w:val="00B0633A"/>
    <w:rsid w:val="00B0797C"/>
    <w:rsid w:val="00B13809"/>
    <w:rsid w:val="00B139BE"/>
    <w:rsid w:val="00B17B10"/>
    <w:rsid w:val="00B20E14"/>
    <w:rsid w:val="00B2172B"/>
    <w:rsid w:val="00B21DB3"/>
    <w:rsid w:val="00B2227D"/>
    <w:rsid w:val="00B2243C"/>
    <w:rsid w:val="00B23EEC"/>
    <w:rsid w:val="00B30C3F"/>
    <w:rsid w:val="00B32227"/>
    <w:rsid w:val="00B32662"/>
    <w:rsid w:val="00B32B7F"/>
    <w:rsid w:val="00B34A96"/>
    <w:rsid w:val="00B353BF"/>
    <w:rsid w:val="00B35768"/>
    <w:rsid w:val="00B43CB5"/>
    <w:rsid w:val="00B44018"/>
    <w:rsid w:val="00B44794"/>
    <w:rsid w:val="00B4490A"/>
    <w:rsid w:val="00B4518C"/>
    <w:rsid w:val="00B46117"/>
    <w:rsid w:val="00B47BC5"/>
    <w:rsid w:val="00B51494"/>
    <w:rsid w:val="00B52AD2"/>
    <w:rsid w:val="00B52C0C"/>
    <w:rsid w:val="00B543FE"/>
    <w:rsid w:val="00B6229D"/>
    <w:rsid w:val="00B625DE"/>
    <w:rsid w:val="00B62DEA"/>
    <w:rsid w:val="00B64E84"/>
    <w:rsid w:val="00B66101"/>
    <w:rsid w:val="00B7016D"/>
    <w:rsid w:val="00B712D4"/>
    <w:rsid w:val="00B76A7A"/>
    <w:rsid w:val="00B86078"/>
    <w:rsid w:val="00B862C1"/>
    <w:rsid w:val="00B91652"/>
    <w:rsid w:val="00B917D2"/>
    <w:rsid w:val="00B91FAF"/>
    <w:rsid w:val="00B92C18"/>
    <w:rsid w:val="00B94CF2"/>
    <w:rsid w:val="00B97467"/>
    <w:rsid w:val="00BA241A"/>
    <w:rsid w:val="00BA76D5"/>
    <w:rsid w:val="00BB04AF"/>
    <w:rsid w:val="00BB0993"/>
    <w:rsid w:val="00BB28CF"/>
    <w:rsid w:val="00BC0E8A"/>
    <w:rsid w:val="00BC2DFD"/>
    <w:rsid w:val="00BC3085"/>
    <w:rsid w:val="00BC4D87"/>
    <w:rsid w:val="00BC75FC"/>
    <w:rsid w:val="00BD0395"/>
    <w:rsid w:val="00BD2DB2"/>
    <w:rsid w:val="00BD3C51"/>
    <w:rsid w:val="00BD52C9"/>
    <w:rsid w:val="00BD629B"/>
    <w:rsid w:val="00BD7C58"/>
    <w:rsid w:val="00BE028C"/>
    <w:rsid w:val="00BE0C0C"/>
    <w:rsid w:val="00BE50D4"/>
    <w:rsid w:val="00BE6126"/>
    <w:rsid w:val="00BE6193"/>
    <w:rsid w:val="00BE6354"/>
    <w:rsid w:val="00BF22C2"/>
    <w:rsid w:val="00BF2C90"/>
    <w:rsid w:val="00C00D22"/>
    <w:rsid w:val="00C071DF"/>
    <w:rsid w:val="00C10427"/>
    <w:rsid w:val="00C11908"/>
    <w:rsid w:val="00C13353"/>
    <w:rsid w:val="00C138D1"/>
    <w:rsid w:val="00C14879"/>
    <w:rsid w:val="00C14BA9"/>
    <w:rsid w:val="00C15161"/>
    <w:rsid w:val="00C154D9"/>
    <w:rsid w:val="00C22F28"/>
    <w:rsid w:val="00C23A97"/>
    <w:rsid w:val="00C24F8A"/>
    <w:rsid w:val="00C25012"/>
    <w:rsid w:val="00C26201"/>
    <w:rsid w:val="00C30D58"/>
    <w:rsid w:val="00C30DE2"/>
    <w:rsid w:val="00C33C91"/>
    <w:rsid w:val="00C3403D"/>
    <w:rsid w:val="00C342B0"/>
    <w:rsid w:val="00C343C0"/>
    <w:rsid w:val="00C34905"/>
    <w:rsid w:val="00C35674"/>
    <w:rsid w:val="00C357DC"/>
    <w:rsid w:val="00C41E95"/>
    <w:rsid w:val="00C438B7"/>
    <w:rsid w:val="00C45732"/>
    <w:rsid w:val="00C47311"/>
    <w:rsid w:val="00C50288"/>
    <w:rsid w:val="00C52EBE"/>
    <w:rsid w:val="00C543F6"/>
    <w:rsid w:val="00C54746"/>
    <w:rsid w:val="00C5558C"/>
    <w:rsid w:val="00C5776D"/>
    <w:rsid w:val="00C6053A"/>
    <w:rsid w:val="00C64476"/>
    <w:rsid w:val="00C64855"/>
    <w:rsid w:val="00C661AE"/>
    <w:rsid w:val="00C70EA7"/>
    <w:rsid w:val="00C71929"/>
    <w:rsid w:val="00C729C3"/>
    <w:rsid w:val="00C7433F"/>
    <w:rsid w:val="00C74759"/>
    <w:rsid w:val="00C7516E"/>
    <w:rsid w:val="00C75770"/>
    <w:rsid w:val="00C76377"/>
    <w:rsid w:val="00C7701E"/>
    <w:rsid w:val="00C77CED"/>
    <w:rsid w:val="00C827C3"/>
    <w:rsid w:val="00C86009"/>
    <w:rsid w:val="00C87A7B"/>
    <w:rsid w:val="00C94827"/>
    <w:rsid w:val="00C95FF6"/>
    <w:rsid w:val="00C96CC0"/>
    <w:rsid w:val="00C976CD"/>
    <w:rsid w:val="00CA01EE"/>
    <w:rsid w:val="00CA0916"/>
    <w:rsid w:val="00CA56BB"/>
    <w:rsid w:val="00CA652B"/>
    <w:rsid w:val="00CB0542"/>
    <w:rsid w:val="00CB09E1"/>
    <w:rsid w:val="00CB5000"/>
    <w:rsid w:val="00CB5726"/>
    <w:rsid w:val="00CB6244"/>
    <w:rsid w:val="00CB6BF1"/>
    <w:rsid w:val="00CC0939"/>
    <w:rsid w:val="00CC26EC"/>
    <w:rsid w:val="00CC3510"/>
    <w:rsid w:val="00CC49DA"/>
    <w:rsid w:val="00CC56EB"/>
    <w:rsid w:val="00CC6F1E"/>
    <w:rsid w:val="00CD0394"/>
    <w:rsid w:val="00CD1205"/>
    <w:rsid w:val="00CD2E0F"/>
    <w:rsid w:val="00CD4378"/>
    <w:rsid w:val="00CD581C"/>
    <w:rsid w:val="00CE22BF"/>
    <w:rsid w:val="00CE63DF"/>
    <w:rsid w:val="00CE7B5F"/>
    <w:rsid w:val="00CF2501"/>
    <w:rsid w:val="00CF2EA3"/>
    <w:rsid w:val="00CF4303"/>
    <w:rsid w:val="00CF5C9E"/>
    <w:rsid w:val="00CF6C02"/>
    <w:rsid w:val="00CF6D4D"/>
    <w:rsid w:val="00D00B2B"/>
    <w:rsid w:val="00D01D04"/>
    <w:rsid w:val="00D02C87"/>
    <w:rsid w:val="00D05B00"/>
    <w:rsid w:val="00D10734"/>
    <w:rsid w:val="00D135CA"/>
    <w:rsid w:val="00D1413F"/>
    <w:rsid w:val="00D24877"/>
    <w:rsid w:val="00D27C8F"/>
    <w:rsid w:val="00D30D9B"/>
    <w:rsid w:val="00D31E1A"/>
    <w:rsid w:val="00D35C50"/>
    <w:rsid w:val="00D3627E"/>
    <w:rsid w:val="00D37D22"/>
    <w:rsid w:val="00D400FB"/>
    <w:rsid w:val="00D41062"/>
    <w:rsid w:val="00D41BE3"/>
    <w:rsid w:val="00D456A5"/>
    <w:rsid w:val="00D467BF"/>
    <w:rsid w:val="00D47430"/>
    <w:rsid w:val="00D50094"/>
    <w:rsid w:val="00D50C51"/>
    <w:rsid w:val="00D51723"/>
    <w:rsid w:val="00D536DF"/>
    <w:rsid w:val="00D53722"/>
    <w:rsid w:val="00D54A7A"/>
    <w:rsid w:val="00D54B7C"/>
    <w:rsid w:val="00D574FB"/>
    <w:rsid w:val="00D579A0"/>
    <w:rsid w:val="00D602CB"/>
    <w:rsid w:val="00D6141F"/>
    <w:rsid w:val="00D62B63"/>
    <w:rsid w:val="00D631C0"/>
    <w:rsid w:val="00D63318"/>
    <w:rsid w:val="00D65817"/>
    <w:rsid w:val="00D663C6"/>
    <w:rsid w:val="00D7105A"/>
    <w:rsid w:val="00D710BA"/>
    <w:rsid w:val="00D7158B"/>
    <w:rsid w:val="00D71C89"/>
    <w:rsid w:val="00D73800"/>
    <w:rsid w:val="00D74D93"/>
    <w:rsid w:val="00D8250F"/>
    <w:rsid w:val="00D82B40"/>
    <w:rsid w:val="00D84360"/>
    <w:rsid w:val="00D85708"/>
    <w:rsid w:val="00D8635D"/>
    <w:rsid w:val="00D86BB3"/>
    <w:rsid w:val="00D9050C"/>
    <w:rsid w:val="00D9100D"/>
    <w:rsid w:val="00D91F11"/>
    <w:rsid w:val="00D94F37"/>
    <w:rsid w:val="00D95C08"/>
    <w:rsid w:val="00D95C4C"/>
    <w:rsid w:val="00DA0ECA"/>
    <w:rsid w:val="00DA36ED"/>
    <w:rsid w:val="00DA3C0E"/>
    <w:rsid w:val="00DA4E62"/>
    <w:rsid w:val="00DA7488"/>
    <w:rsid w:val="00DB244B"/>
    <w:rsid w:val="00DB619A"/>
    <w:rsid w:val="00DC141C"/>
    <w:rsid w:val="00DC243B"/>
    <w:rsid w:val="00DC257E"/>
    <w:rsid w:val="00DC25FB"/>
    <w:rsid w:val="00DC2ED8"/>
    <w:rsid w:val="00DC4EE2"/>
    <w:rsid w:val="00DD289F"/>
    <w:rsid w:val="00DD422E"/>
    <w:rsid w:val="00DD6C75"/>
    <w:rsid w:val="00DE087A"/>
    <w:rsid w:val="00DE199D"/>
    <w:rsid w:val="00DE25D0"/>
    <w:rsid w:val="00DE2977"/>
    <w:rsid w:val="00DE34F1"/>
    <w:rsid w:val="00DE6160"/>
    <w:rsid w:val="00DF4942"/>
    <w:rsid w:val="00DF498E"/>
    <w:rsid w:val="00DF4991"/>
    <w:rsid w:val="00DF639D"/>
    <w:rsid w:val="00E02779"/>
    <w:rsid w:val="00E02CA0"/>
    <w:rsid w:val="00E0578B"/>
    <w:rsid w:val="00E06779"/>
    <w:rsid w:val="00E104FE"/>
    <w:rsid w:val="00E13FDB"/>
    <w:rsid w:val="00E14717"/>
    <w:rsid w:val="00E1555F"/>
    <w:rsid w:val="00E2086A"/>
    <w:rsid w:val="00E2125F"/>
    <w:rsid w:val="00E240B8"/>
    <w:rsid w:val="00E244E1"/>
    <w:rsid w:val="00E26A05"/>
    <w:rsid w:val="00E312AB"/>
    <w:rsid w:val="00E33E43"/>
    <w:rsid w:val="00E350E4"/>
    <w:rsid w:val="00E3700E"/>
    <w:rsid w:val="00E40B3D"/>
    <w:rsid w:val="00E4150C"/>
    <w:rsid w:val="00E41B9B"/>
    <w:rsid w:val="00E42D23"/>
    <w:rsid w:val="00E43A59"/>
    <w:rsid w:val="00E46485"/>
    <w:rsid w:val="00E471D3"/>
    <w:rsid w:val="00E471DA"/>
    <w:rsid w:val="00E50C64"/>
    <w:rsid w:val="00E52408"/>
    <w:rsid w:val="00E5650A"/>
    <w:rsid w:val="00E5712F"/>
    <w:rsid w:val="00E627B1"/>
    <w:rsid w:val="00E63515"/>
    <w:rsid w:val="00E64449"/>
    <w:rsid w:val="00E646D9"/>
    <w:rsid w:val="00E66C0E"/>
    <w:rsid w:val="00E70169"/>
    <w:rsid w:val="00E73046"/>
    <w:rsid w:val="00E7414F"/>
    <w:rsid w:val="00E75865"/>
    <w:rsid w:val="00E76E56"/>
    <w:rsid w:val="00E76F54"/>
    <w:rsid w:val="00E7718B"/>
    <w:rsid w:val="00E8143B"/>
    <w:rsid w:val="00E824F1"/>
    <w:rsid w:val="00E906FD"/>
    <w:rsid w:val="00E90B91"/>
    <w:rsid w:val="00E91610"/>
    <w:rsid w:val="00E9166E"/>
    <w:rsid w:val="00E92E4D"/>
    <w:rsid w:val="00E9376C"/>
    <w:rsid w:val="00E94A20"/>
    <w:rsid w:val="00E95AE2"/>
    <w:rsid w:val="00EA0EF4"/>
    <w:rsid w:val="00EA335E"/>
    <w:rsid w:val="00EA528C"/>
    <w:rsid w:val="00EA580C"/>
    <w:rsid w:val="00EA65CB"/>
    <w:rsid w:val="00EA7842"/>
    <w:rsid w:val="00EA7CEC"/>
    <w:rsid w:val="00EB30C4"/>
    <w:rsid w:val="00EB444D"/>
    <w:rsid w:val="00EB766A"/>
    <w:rsid w:val="00EB7E9D"/>
    <w:rsid w:val="00EC259C"/>
    <w:rsid w:val="00EC6BB4"/>
    <w:rsid w:val="00EC6F8D"/>
    <w:rsid w:val="00ED099D"/>
    <w:rsid w:val="00ED0C29"/>
    <w:rsid w:val="00ED39B2"/>
    <w:rsid w:val="00ED6204"/>
    <w:rsid w:val="00EE11E8"/>
    <w:rsid w:val="00EE153D"/>
    <w:rsid w:val="00EE20C5"/>
    <w:rsid w:val="00EE31D2"/>
    <w:rsid w:val="00EE49F4"/>
    <w:rsid w:val="00EE4BB8"/>
    <w:rsid w:val="00EF292D"/>
    <w:rsid w:val="00EF34E2"/>
    <w:rsid w:val="00EF662F"/>
    <w:rsid w:val="00F002C1"/>
    <w:rsid w:val="00F03DF1"/>
    <w:rsid w:val="00F10A80"/>
    <w:rsid w:val="00F10D21"/>
    <w:rsid w:val="00F117FC"/>
    <w:rsid w:val="00F11E8A"/>
    <w:rsid w:val="00F1247E"/>
    <w:rsid w:val="00F13825"/>
    <w:rsid w:val="00F2263F"/>
    <w:rsid w:val="00F259FB"/>
    <w:rsid w:val="00F26283"/>
    <w:rsid w:val="00F2660D"/>
    <w:rsid w:val="00F27112"/>
    <w:rsid w:val="00F30DC6"/>
    <w:rsid w:val="00F31F96"/>
    <w:rsid w:val="00F32596"/>
    <w:rsid w:val="00F32C23"/>
    <w:rsid w:val="00F36FFC"/>
    <w:rsid w:val="00F37E85"/>
    <w:rsid w:val="00F43B29"/>
    <w:rsid w:val="00F450EF"/>
    <w:rsid w:val="00F508D7"/>
    <w:rsid w:val="00F5173B"/>
    <w:rsid w:val="00F53DE9"/>
    <w:rsid w:val="00F54441"/>
    <w:rsid w:val="00F576CB"/>
    <w:rsid w:val="00F5770E"/>
    <w:rsid w:val="00F651B9"/>
    <w:rsid w:val="00F6786C"/>
    <w:rsid w:val="00F7035D"/>
    <w:rsid w:val="00F70CC5"/>
    <w:rsid w:val="00F71A02"/>
    <w:rsid w:val="00F7273D"/>
    <w:rsid w:val="00F73323"/>
    <w:rsid w:val="00F8116F"/>
    <w:rsid w:val="00F81EB0"/>
    <w:rsid w:val="00F87BCA"/>
    <w:rsid w:val="00F93E36"/>
    <w:rsid w:val="00F963CF"/>
    <w:rsid w:val="00FA0D63"/>
    <w:rsid w:val="00FA1373"/>
    <w:rsid w:val="00FA1FA9"/>
    <w:rsid w:val="00FA25E9"/>
    <w:rsid w:val="00FA309D"/>
    <w:rsid w:val="00FA3320"/>
    <w:rsid w:val="00FA3FE5"/>
    <w:rsid w:val="00FA4B90"/>
    <w:rsid w:val="00FA61C7"/>
    <w:rsid w:val="00FB0D78"/>
    <w:rsid w:val="00FB122F"/>
    <w:rsid w:val="00FB21A9"/>
    <w:rsid w:val="00FB24C0"/>
    <w:rsid w:val="00FB2549"/>
    <w:rsid w:val="00FB2BD2"/>
    <w:rsid w:val="00FB65A8"/>
    <w:rsid w:val="00FB67AE"/>
    <w:rsid w:val="00FC0894"/>
    <w:rsid w:val="00FC1E0F"/>
    <w:rsid w:val="00FC26D6"/>
    <w:rsid w:val="00FC2A1F"/>
    <w:rsid w:val="00FC2D19"/>
    <w:rsid w:val="00FC3093"/>
    <w:rsid w:val="00FC32C5"/>
    <w:rsid w:val="00FC5158"/>
    <w:rsid w:val="00FC5D67"/>
    <w:rsid w:val="00FD1226"/>
    <w:rsid w:val="00FD183E"/>
    <w:rsid w:val="00FD29D9"/>
    <w:rsid w:val="00FE0B34"/>
    <w:rsid w:val="00FE1677"/>
    <w:rsid w:val="00FE257B"/>
    <w:rsid w:val="00FE3C08"/>
    <w:rsid w:val="00FF1E50"/>
    <w:rsid w:val="00FF2779"/>
    <w:rsid w:val="00FF328E"/>
    <w:rsid w:val="00FF3B2D"/>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B0BBC"/>
  <w15:docId w15:val="{02EDB777-9FDD-4A5F-AE84-994833BE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1">
    <w:name w:val="heading 1"/>
    <w:basedOn w:val="Normal"/>
    <w:next w:val="Normal"/>
    <w:link w:val="Titre1Car"/>
    <w:uiPriority w:val="9"/>
    <w:rsid w:val="009432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Normal bullet 2"/>
    <w:basedOn w:val="Normal"/>
    <w:link w:val="ParagraphedelisteCar"/>
    <w:qFormat/>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unhideWhenUsed/>
    <w:rsid w:val="004313C4"/>
    <w:rPr>
      <w:vertAlign w:val="superscript"/>
    </w:rPr>
  </w:style>
  <w:style w:type="paragraph" w:customStyle="1" w:styleId="GAPara">
    <w:name w:val="GA Para"/>
    <w:qFormat/>
    <w:rsid w:val="002B1E5C"/>
    <w:pPr>
      <w:spacing w:after="120"/>
      <w:ind w:left="720" w:hanging="360"/>
    </w:pPr>
    <w:rPr>
      <w:rFonts w:ascii="Arial" w:eastAsia="Times New Roman" w:hAnsi="Arial" w:cs="Arial"/>
      <w:snapToGrid w:val="0"/>
      <w:sz w:val="22"/>
      <w:szCs w:val="22"/>
      <w:lang w:val="en-GB" w:eastAsia="en-US"/>
    </w:rPr>
  </w:style>
  <w:style w:type="character" w:styleId="Lienhypertexte">
    <w:name w:val="Hyperlink"/>
    <w:basedOn w:val="Policepardfaut"/>
    <w:uiPriority w:val="99"/>
    <w:rsid w:val="002B1E5C"/>
    <w:rPr>
      <w:rFonts w:cs="Times New Roman"/>
      <w:color w:val="0000FF"/>
      <w:u w:val="single"/>
    </w:rPr>
  </w:style>
  <w:style w:type="character" w:styleId="Lienhypertextesuivivisit">
    <w:name w:val="FollowedHyperlink"/>
    <w:basedOn w:val="Policepardfaut"/>
    <w:uiPriority w:val="99"/>
    <w:semiHidden/>
    <w:unhideWhenUsed/>
    <w:rsid w:val="006F0081"/>
    <w:rPr>
      <w:color w:val="800080" w:themeColor="followedHyperlink"/>
      <w:u w:val="single"/>
    </w:rPr>
  </w:style>
  <w:style w:type="character" w:styleId="Mentionnonrsolue">
    <w:name w:val="Unresolved Mention"/>
    <w:basedOn w:val="Policepardfaut"/>
    <w:uiPriority w:val="99"/>
    <w:semiHidden/>
    <w:unhideWhenUsed/>
    <w:rsid w:val="00743073"/>
    <w:rPr>
      <w:color w:val="605E5C"/>
      <w:shd w:val="clear" w:color="auto" w:fill="E1DFDD"/>
    </w:rPr>
  </w:style>
  <w:style w:type="table" w:customStyle="1" w:styleId="TableGrid2">
    <w:name w:val="Table Grid2"/>
    <w:basedOn w:val="TableauNormal"/>
    <w:next w:val="Grilledutableau"/>
    <w:uiPriority w:val="59"/>
    <w:rsid w:val="008717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qFormat/>
    <w:locked/>
    <w:rsid w:val="008717DE"/>
    <w:rPr>
      <w:rFonts w:ascii="Times New Roman" w:eastAsia="Times New Roman" w:hAnsi="Times New Roman"/>
      <w:sz w:val="24"/>
      <w:szCs w:val="24"/>
    </w:rPr>
  </w:style>
  <w:style w:type="character" w:customStyle="1" w:styleId="textview">
    <w:name w:val="textview"/>
    <w:basedOn w:val="Policepardfaut"/>
    <w:rsid w:val="000D527A"/>
  </w:style>
  <w:style w:type="character" w:styleId="Marquedecommentaire">
    <w:name w:val="annotation reference"/>
    <w:basedOn w:val="Policepardfaut"/>
    <w:uiPriority w:val="99"/>
    <w:semiHidden/>
    <w:unhideWhenUsed/>
    <w:rsid w:val="006F22A5"/>
    <w:rPr>
      <w:sz w:val="16"/>
      <w:szCs w:val="16"/>
    </w:rPr>
  </w:style>
  <w:style w:type="paragraph" w:styleId="Commentaire">
    <w:name w:val="annotation text"/>
    <w:basedOn w:val="Normal"/>
    <w:link w:val="CommentaireCar"/>
    <w:uiPriority w:val="99"/>
    <w:unhideWhenUsed/>
    <w:rsid w:val="006F22A5"/>
    <w:rPr>
      <w:sz w:val="20"/>
      <w:szCs w:val="20"/>
    </w:rPr>
  </w:style>
  <w:style w:type="character" w:customStyle="1" w:styleId="CommentaireCar">
    <w:name w:val="Commentaire Car"/>
    <w:basedOn w:val="Policepardfaut"/>
    <w:link w:val="Commentaire"/>
    <w:uiPriority w:val="99"/>
    <w:rsid w:val="006F22A5"/>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6F22A5"/>
    <w:rPr>
      <w:b/>
      <w:bCs/>
    </w:rPr>
  </w:style>
  <w:style w:type="character" w:customStyle="1" w:styleId="ObjetducommentaireCar">
    <w:name w:val="Objet du commentaire Car"/>
    <w:basedOn w:val="CommentaireCar"/>
    <w:link w:val="Objetducommentaire"/>
    <w:uiPriority w:val="99"/>
    <w:semiHidden/>
    <w:rsid w:val="006F22A5"/>
    <w:rPr>
      <w:rFonts w:ascii="Times New Roman" w:eastAsia="Times New Roman" w:hAnsi="Times New Roman"/>
      <w:b/>
      <w:bCs/>
    </w:rPr>
  </w:style>
  <w:style w:type="paragraph" w:styleId="NormalWeb">
    <w:name w:val="Normal (Web)"/>
    <w:basedOn w:val="Normal"/>
    <w:uiPriority w:val="99"/>
    <w:semiHidden/>
    <w:unhideWhenUsed/>
    <w:rsid w:val="00E3700E"/>
    <w:pPr>
      <w:spacing w:before="100" w:beforeAutospacing="1" w:after="100" w:afterAutospacing="1"/>
    </w:pPr>
    <w:rPr>
      <w:lang w:eastAsia="zh-CN"/>
    </w:rPr>
  </w:style>
  <w:style w:type="paragraph" w:customStyle="1" w:styleId="wiki-text">
    <w:name w:val="wiki-text"/>
    <w:basedOn w:val="Normal"/>
    <w:rsid w:val="000A0072"/>
    <w:pPr>
      <w:spacing w:before="100" w:beforeAutospacing="1" w:after="100" w:afterAutospacing="1"/>
    </w:pPr>
    <w:rPr>
      <w:lang w:eastAsia="zh-CN"/>
    </w:rPr>
  </w:style>
  <w:style w:type="character" w:styleId="lev">
    <w:name w:val="Strong"/>
    <w:basedOn w:val="Policepardfaut"/>
    <w:uiPriority w:val="22"/>
    <w:qFormat/>
    <w:rsid w:val="000A0072"/>
    <w:rPr>
      <w:b/>
      <w:bCs/>
    </w:rPr>
  </w:style>
  <w:style w:type="paragraph" w:customStyle="1" w:styleId="wiki-list-item">
    <w:name w:val="wiki-list-item"/>
    <w:basedOn w:val="Normal"/>
    <w:rsid w:val="000A0072"/>
    <w:pPr>
      <w:spacing w:before="100" w:beforeAutospacing="1" w:after="100" w:afterAutospacing="1"/>
    </w:pPr>
    <w:rPr>
      <w:lang w:eastAsia="zh-CN"/>
    </w:rPr>
  </w:style>
  <w:style w:type="paragraph" w:customStyle="1" w:styleId="GATitleResolution">
    <w:name w:val="GA Title Resolution"/>
    <w:basedOn w:val="Normal"/>
    <w:qFormat/>
    <w:rsid w:val="00155CA7"/>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155CA7"/>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155CA7"/>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1GAPara">
    <w:name w:val="1. GA Para"/>
    <w:qFormat/>
    <w:rsid w:val="005B5CFC"/>
    <w:pPr>
      <w:numPr>
        <w:numId w:val="9"/>
      </w:numPr>
      <w:spacing w:after="120"/>
      <w:ind w:hanging="720"/>
      <w:jc w:val="both"/>
    </w:pPr>
    <w:rPr>
      <w:rFonts w:ascii="Arial" w:eastAsia="DengXian" w:hAnsi="Arial" w:cs="Arial"/>
      <w:snapToGrid w:val="0"/>
      <w:sz w:val="22"/>
      <w:szCs w:val="22"/>
      <w:lang w:val="en-US" w:eastAsia="zh-CN"/>
    </w:rPr>
  </w:style>
  <w:style w:type="character" w:customStyle="1" w:styleId="hps">
    <w:name w:val="hps"/>
    <w:rsid w:val="005B5CFC"/>
  </w:style>
  <w:style w:type="paragraph" w:customStyle="1" w:styleId="Style1">
    <w:name w:val="Style1"/>
    <w:basedOn w:val="Normal"/>
    <w:link w:val="Style1Char"/>
    <w:qFormat/>
    <w:rsid w:val="006B1EF2"/>
    <w:pPr>
      <w:tabs>
        <w:tab w:val="left" w:pos="1134"/>
        <w:tab w:val="left" w:pos="1701"/>
        <w:tab w:val="left" w:pos="2268"/>
      </w:tabs>
      <w:spacing w:before="120" w:after="120"/>
      <w:jc w:val="both"/>
    </w:pPr>
    <w:rPr>
      <w:rFonts w:ascii="Arial" w:hAnsi="Arial" w:cs="Arial"/>
      <w:sz w:val="22"/>
      <w:szCs w:val="22"/>
    </w:rPr>
  </w:style>
  <w:style w:type="character" w:customStyle="1" w:styleId="Style1Char">
    <w:name w:val="Style1 Char"/>
    <w:basedOn w:val="Policepardfaut"/>
    <w:link w:val="Style1"/>
    <w:rsid w:val="006B1EF2"/>
    <w:rPr>
      <w:rFonts w:ascii="Arial" w:eastAsia="Times New Roman" w:hAnsi="Arial" w:cs="Arial"/>
      <w:sz w:val="22"/>
      <w:szCs w:val="22"/>
    </w:rPr>
  </w:style>
  <w:style w:type="character" w:customStyle="1" w:styleId="normaltextrun">
    <w:name w:val="normaltextrun"/>
    <w:basedOn w:val="Policepardfaut"/>
    <w:rsid w:val="007F2BB2"/>
  </w:style>
  <w:style w:type="character" w:customStyle="1" w:styleId="Titre1Car">
    <w:name w:val="Titre 1 Car"/>
    <w:basedOn w:val="Policepardfaut"/>
    <w:link w:val="Titre1"/>
    <w:uiPriority w:val="9"/>
    <w:rsid w:val="00943238"/>
    <w:rPr>
      <w:rFonts w:asciiTheme="majorHAnsi" w:eastAsiaTheme="majorEastAsia" w:hAnsiTheme="majorHAnsi" w:cstheme="majorBidi"/>
      <w:color w:val="365F91" w:themeColor="accent1" w:themeShade="BF"/>
      <w:sz w:val="32"/>
      <w:szCs w:val="32"/>
    </w:rPr>
  </w:style>
  <w:style w:type="paragraph" w:customStyle="1" w:styleId="Bullet1">
    <w:name w:val="Bullet_1"/>
    <w:basedOn w:val="Marge"/>
    <w:link w:val="Bullet1Char"/>
    <w:qFormat/>
    <w:rsid w:val="00FA1373"/>
    <w:pPr>
      <w:numPr>
        <w:numId w:val="21"/>
      </w:numPr>
      <w:tabs>
        <w:tab w:val="clear" w:pos="567"/>
      </w:tabs>
      <w:spacing w:before="240" w:line="360" w:lineRule="auto"/>
    </w:pPr>
    <w:rPr>
      <w:rFonts w:eastAsia="SimSun" w:cs="Arial"/>
      <w:sz w:val="28"/>
      <w:szCs w:val="28"/>
      <w:lang w:val="en-GB" w:eastAsia="zh-CN"/>
    </w:rPr>
  </w:style>
  <w:style w:type="paragraph" w:customStyle="1" w:styleId="Bullet2">
    <w:name w:val="Bullet_2"/>
    <w:basedOn w:val="Marge"/>
    <w:qFormat/>
    <w:rsid w:val="00FA1373"/>
    <w:pPr>
      <w:numPr>
        <w:ilvl w:val="1"/>
        <w:numId w:val="21"/>
      </w:numPr>
      <w:tabs>
        <w:tab w:val="clear" w:pos="567"/>
      </w:tabs>
      <w:spacing w:before="240" w:line="360" w:lineRule="auto"/>
      <w:ind w:left="1134" w:hanging="567"/>
    </w:pPr>
    <w:rPr>
      <w:rFonts w:eastAsia="SimSun" w:cs="Arial"/>
      <w:sz w:val="28"/>
      <w:szCs w:val="28"/>
      <w:lang w:val="en-GB" w:eastAsia="zh-CN"/>
    </w:rPr>
  </w:style>
  <w:style w:type="character" w:customStyle="1" w:styleId="Bullet1Char">
    <w:name w:val="Bullet_1 Char"/>
    <w:link w:val="Bullet1"/>
    <w:rsid w:val="00FA1373"/>
    <w:rPr>
      <w:rFonts w:ascii="Arial" w:hAnsi="Arial" w:cs="Arial"/>
      <w:snapToGrid w:val="0"/>
      <w:sz w:val="28"/>
      <w:szCs w:val="28"/>
      <w:lang w:val="en-GB" w:eastAsia="zh-CN"/>
    </w:rPr>
  </w:style>
  <w:style w:type="paragraph" w:styleId="Rvision">
    <w:name w:val="Revision"/>
    <w:hidden/>
    <w:uiPriority w:val="99"/>
    <w:semiHidden/>
    <w:rsid w:val="0001095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1247">
      <w:bodyDiv w:val="1"/>
      <w:marLeft w:val="0"/>
      <w:marRight w:val="0"/>
      <w:marTop w:val="0"/>
      <w:marBottom w:val="0"/>
      <w:divBdr>
        <w:top w:val="none" w:sz="0" w:space="0" w:color="auto"/>
        <w:left w:val="none" w:sz="0" w:space="0" w:color="auto"/>
        <w:bottom w:val="none" w:sz="0" w:space="0" w:color="auto"/>
        <w:right w:val="none" w:sz="0" w:space="0" w:color="auto"/>
      </w:divBdr>
    </w:div>
    <w:div w:id="174810700">
      <w:bodyDiv w:val="1"/>
      <w:marLeft w:val="0"/>
      <w:marRight w:val="0"/>
      <w:marTop w:val="0"/>
      <w:marBottom w:val="0"/>
      <w:divBdr>
        <w:top w:val="none" w:sz="0" w:space="0" w:color="auto"/>
        <w:left w:val="none" w:sz="0" w:space="0" w:color="auto"/>
        <w:bottom w:val="none" w:sz="0" w:space="0" w:color="auto"/>
        <w:right w:val="none" w:sz="0" w:space="0" w:color="auto"/>
      </w:divBdr>
    </w:div>
    <w:div w:id="178593295">
      <w:bodyDiv w:val="1"/>
      <w:marLeft w:val="0"/>
      <w:marRight w:val="0"/>
      <w:marTop w:val="0"/>
      <w:marBottom w:val="0"/>
      <w:divBdr>
        <w:top w:val="none" w:sz="0" w:space="0" w:color="auto"/>
        <w:left w:val="none" w:sz="0" w:space="0" w:color="auto"/>
        <w:bottom w:val="none" w:sz="0" w:space="0" w:color="auto"/>
        <w:right w:val="none" w:sz="0" w:space="0" w:color="auto"/>
      </w:divBdr>
    </w:div>
    <w:div w:id="337732521">
      <w:bodyDiv w:val="1"/>
      <w:marLeft w:val="0"/>
      <w:marRight w:val="0"/>
      <w:marTop w:val="0"/>
      <w:marBottom w:val="0"/>
      <w:divBdr>
        <w:top w:val="none" w:sz="0" w:space="0" w:color="auto"/>
        <w:left w:val="none" w:sz="0" w:space="0" w:color="auto"/>
        <w:bottom w:val="none" w:sz="0" w:space="0" w:color="auto"/>
        <w:right w:val="none" w:sz="0" w:space="0" w:color="auto"/>
      </w:divBdr>
    </w:div>
    <w:div w:id="394402331">
      <w:bodyDiv w:val="1"/>
      <w:marLeft w:val="0"/>
      <w:marRight w:val="0"/>
      <w:marTop w:val="0"/>
      <w:marBottom w:val="0"/>
      <w:divBdr>
        <w:top w:val="none" w:sz="0" w:space="0" w:color="auto"/>
        <w:left w:val="none" w:sz="0" w:space="0" w:color="auto"/>
        <w:bottom w:val="none" w:sz="0" w:space="0" w:color="auto"/>
        <w:right w:val="none" w:sz="0" w:space="0" w:color="auto"/>
      </w:divBdr>
    </w:div>
    <w:div w:id="526022878">
      <w:bodyDiv w:val="1"/>
      <w:marLeft w:val="0"/>
      <w:marRight w:val="0"/>
      <w:marTop w:val="0"/>
      <w:marBottom w:val="0"/>
      <w:divBdr>
        <w:top w:val="none" w:sz="0" w:space="0" w:color="auto"/>
        <w:left w:val="none" w:sz="0" w:space="0" w:color="auto"/>
        <w:bottom w:val="none" w:sz="0" w:space="0" w:color="auto"/>
        <w:right w:val="none" w:sz="0" w:space="0" w:color="auto"/>
      </w:divBdr>
      <w:divsChild>
        <w:div w:id="1227692066">
          <w:marLeft w:val="0"/>
          <w:marRight w:val="0"/>
          <w:marTop w:val="0"/>
          <w:marBottom w:val="0"/>
          <w:divBdr>
            <w:top w:val="none" w:sz="0" w:space="0" w:color="auto"/>
            <w:left w:val="none" w:sz="0" w:space="0" w:color="auto"/>
            <w:bottom w:val="none" w:sz="0" w:space="0" w:color="auto"/>
            <w:right w:val="none" w:sz="0" w:space="0" w:color="auto"/>
          </w:divBdr>
          <w:divsChild>
            <w:div w:id="67650627">
              <w:marLeft w:val="-225"/>
              <w:marRight w:val="-225"/>
              <w:marTop w:val="0"/>
              <w:marBottom w:val="0"/>
              <w:divBdr>
                <w:top w:val="none" w:sz="0" w:space="0" w:color="auto"/>
                <w:left w:val="none" w:sz="0" w:space="0" w:color="auto"/>
                <w:bottom w:val="none" w:sz="0" w:space="0" w:color="auto"/>
                <w:right w:val="none" w:sz="0" w:space="0" w:color="auto"/>
              </w:divBdr>
              <w:divsChild>
                <w:div w:id="1732390388">
                  <w:marLeft w:val="0"/>
                  <w:marRight w:val="0"/>
                  <w:marTop w:val="0"/>
                  <w:marBottom w:val="0"/>
                  <w:divBdr>
                    <w:top w:val="none" w:sz="0" w:space="0" w:color="auto"/>
                    <w:left w:val="none" w:sz="0" w:space="0" w:color="auto"/>
                    <w:bottom w:val="none" w:sz="0" w:space="0" w:color="auto"/>
                    <w:right w:val="none" w:sz="0" w:space="0" w:color="auto"/>
                  </w:divBdr>
                  <w:divsChild>
                    <w:div w:id="5792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76985">
      <w:bodyDiv w:val="1"/>
      <w:marLeft w:val="0"/>
      <w:marRight w:val="0"/>
      <w:marTop w:val="0"/>
      <w:marBottom w:val="0"/>
      <w:divBdr>
        <w:top w:val="none" w:sz="0" w:space="0" w:color="auto"/>
        <w:left w:val="none" w:sz="0" w:space="0" w:color="auto"/>
        <w:bottom w:val="none" w:sz="0" w:space="0" w:color="auto"/>
        <w:right w:val="none" w:sz="0" w:space="0" w:color="auto"/>
      </w:divBdr>
    </w:div>
    <w:div w:id="549878367">
      <w:bodyDiv w:val="1"/>
      <w:marLeft w:val="0"/>
      <w:marRight w:val="0"/>
      <w:marTop w:val="0"/>
      <w:marBottom w:val="0"/>
      <w:divBdr>
        <w:top w:val="none" w:sz="0" w:space="0" w:color="auto"/>
        <w:left w:val="none" w:sz="0" w:space="0" w:color="auto"/>
        <w:bottom w:val="none" w:sz="0" w:space="0" w:color="auto"/>
        <w:right w:val="none" w:sz="0" w:space="0" w:color="auto"/>
      </w:divBdr>
    </w:div>
    <w:div w:id="570771576">
      <w:bodyDiv w:val="1"/>
      <w:marLeft w:val="0"/>
      <w:marRight w:val="0"/>
      <w:marTop w:val="0"/>
      <w:marBottom w:val="0"/>
      <w:divBdr>
        <w:top w:val="none" w:sz="0" w:space="0" w:color="auto"/>
        <w:left w:val="none" w:sz="0" w:space="0" w:color="auto"/>
        <w:bottom w:val="none" w:sz="0" w:space="0" w:color="auto"/>
        <w:right w:val="none" w:sz="0" w:space="0" w:color="auto"/>
      </w:divBdr>
      <w:divsChild>
        <w:div w:id="417599290">
          <w:marLeft w:val="0"/>
          <w:marRight w:val="0"/>
          <w:marTop w:val="0"/>
          <w:marBottom w:val="0"/>
          <w:divBdr>
            <w:top w:val="none" w:sz="0" w:space="0" w:color="auto"/>
            <w:left w:val="none" w:sz="0" w:space="0" w:color="auto"/>
            <w:bottom w:val="none" w:sz="0" w:space="0" w:color="auto"/>
            <w:right w:val="none" w:sz="0" w:space="0" w:color="auto"/>
          </w:divBdr>
          <w:divsChild>
            <w:div w:id="1158963841">
              <w:marLeft w:val="-225"/>
              <w:marRight w:val="-225"/>
              <w:marTop w:val="0"/>
              <w:marBottom w:val="0"/>
              <w:divBdr>
                <w:top w:val="none" w:sz="0" w:space="0" w:color="auto"/>
                <w:left w:val="none" w:sz="0" w:space="0" w:color="auto"/>
                <w:bottom w:val="none" w:sz="0" w:space="0" w:color="auto"/>
                <w:right w:val="none" w:sz="0" w:space="0" w:color="auto"/>
              </w:divBdr>
              <w:divsChild>
                <w:div w:id="1001274154">
                  <w:marLeft w:val="0"/>
                  <w:marRight w:val="0"/>
                  <w:marTop w:val="0"/>
                  <w:marBottom w:val="0"/>
                  <w:divBdr>
                    <w:top w:val="none" w:sz="0" w:space="0" w:color="auto"/>
                    <w:left w:val="none" w:sz="0" w:space="0" w:color="auto"/>
                    <w:bottom w:val="none" w:sz="0" w:space="0" w:color="auto"/>
                    <w:right w:val="none" w:sz="0" w:space="0" w:color="auto"/>
                  </w:divBdr>
                  <w:divsChild>
                    <w:div w:id="12340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85184">
      <w:bodyDiv w:val="1"/>
      <w:marLeft w:val="0"/>
      <w:marRight w:val="0"/>
      <w:marTop w:val="0"/>
      <w:marBottom w:val="0"/>
      <w:divBdr>
        <w:top w:val="none" w:sz="0" w:space="0" w:color="auto"/>
        <w:left w:val="none" w:sz="0" w:space="0" w:color="auto"/>
        <w:bottom w:val="none" w:sz="0" w:space="0" w:color="auto"/>
        <w:right w:val="none" w:sz="0" w:space="0" w:color="auto"/>
      </w:divBdr>
    </w:div>
    <w:div w:id="715550073">
      <w:bodyDiv w:val="1"/>
      <w:marLeft w:val="0"/>
      <w:marRight w:val="0"/>
      <w:marTop w:val="0"/>
      <w:marBottom w:val="0"/>
      <w:divBdr>
        <w:top w:val="none" w:sz="0" w:space="0" w:color="auto"/>
        <w:left w:val="none" w:sz="0" w:space="0" w:color="auto"/>
        <w:bottom w:val="none" w:sz="0" w:space="0" w:color="auto"/>
        <w:right w:val="none" w:sz="0" w:space="0" w:color="auto"/>
      </w:divBdr>
    </w:div>
    <w:div w:id="76592547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65755117">
      <w:bodyDiv w:val="1"/>
      <w:marLeft w:val="0"/>
      <w:marRight w:val="0"/>
      <w:marTop w:val="0"/>
      <w:marBottom w:val="0"/>
      <w:divBdr>
        <w:top w:val="none" w:sz="0" w:space="0" w:color="auto"/>
        <w:left w:val="none" w:sz="0" w:space="0" w:color="auto"/>
        <w:bottom w:val="none" w:sz="0" w:space="0" w:color="auto"/>
        <w:right w:val="none" w:sz="0" w:space="0" w:color="auto"/>
      </w:divBdr>
    </w:div>
    <w:div w:id="993415900">
      <w:bodyDiv w:val="1"/>
      <w:marLeft w:val="0"/>
      <w:marRight w:val="0"/>
      <w:marTop w:val="0"/>
      <w:marBottom w:val="0"/>
      <w:divBdr>
        <w:top w:val="none" w:sz="0" w:space="0" w:color="auto"/>
        <w:left w:val="none" w:sz="0" w:space="0" w:color="auto"/>
        <w:bottom w:val="none" w:sz="0" w:space="0" w:color="auto"/>
        <w:right w:val="none" w:sz="0" w:space="0" w:color="auto"/>
      </w:divBdr>
    </w:div>
    <w:div w:id="1015763351">
      <w:bodyDiv w:val="1"/>
      <w:marLeft w:val="0"/>
      <w:marRight w:val="0"/>
      <w:marTop w:val="0"/>
      <w:marBottom w:val="0"/>
      <w:divBdr>
        <w:top w:val="none" w:sz="0" w:space="0" w:color="auto"/>
        <w:left w:val="none" w:sz="0" w:space="0" w:color="auto"/>
        <w:bottom w:val="none" w:sz="0" w:space="0" w:color="auto"/>
        <w:right w:val="none" w:sz="0" w:space="0" w:color="auto"/>
      </w:divBdr>
    </w:div>
    <w:div w:id="1044450946">
      <w:bodyDiv w:val="1"/>
      <w:marLeft w:val="0"/>
      <w:marRight w:val="0"/>
      <w:marTop w:val="0"/>
      <w:marBottom w:val="0"/>
      <w:divBdr>
        <w:top w:val="none" w:sz="0" w:space="0" w:color="auto"/>
        <w:left w:val="none" w:sz="0" w:space="0" w:color="auto"/>
        <w:bottom w:val="none" w:sz="0" w:space="0" w:color="auto"/>
        <w:right w:val="none" w:sz="0" w:space="0" w:color="auto"/>
      </w:divBdr>
      <w:divsChild>
        <w:div w:id="978074967">
          <w:marLeft w:val="0"/>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3013791">
      <w:bodyDiv w:val="1"/>
      <w:marLeft w:val="0"/>
      <w:marRight w:val="0"/>
      <w:marTop w:val="0"/>
      <w:marBottom w:val="0"/>
      <w:divBdr>
        <w:top w:val="none" w:sz="0" w:space="0" w:color="auto"/>
        <w:left w:val="none" w:sz="0" w:space="0" w:color="auto"/>
        <w:bottom w:val="none" w:sz="0" w:space="0" w:color="auto"/>
        <w:right w:val="none" w:sz="0" w:space="0" w:color="auto"/>
      </w:divBdr>
      <w:divsChild>
        <w:div w:id="1477722364">
          <w:marLeft w:val="0"/>
          <w:marRight w:val="0"/>
          <w:marTop w:val="0"/>
          <w:marBottom w:val="0"/>
          <w:divBdr>
            <w:top w:val="none" w:sz="0" w:space="0" w:color="auto"/>
            <w:left w:val="none" w:sz="0" w:space="0" w:color="auto"/>
            <w:bottom w:val="none" w:sz="0" w:space="0" w:color="auto"/>
            <w:right w:val="none" w:sz="0" w:space="0" w:color="auto"/>
          </w:divBdr>
        </w:div>
      </w:divsChild>
    </w:div>
    <w:div w:id="1248689887">
      <w:bodyDiv w:val="1"/>
      <w:marLeft w:val="0"/>
      <w:marRight w:val="0"/>
      <w:marTop w:val="0"/>
      <w:marBottom w:val="0"/>
      <w:divBdr>
        <w:top w:val="none" w:sz="0" w:space="0" w:color="auto"/>
        <w:left w:val="none" w:sz="0" w:space="0" w:color="auto"/>
        <w:bottom w:val="none" w:sz="0" w:space="0" w:color="auto"/>
        <w:right w:val="none" w:sz="0" w:space="0" w:color="auto"/>
      </w:divBdr>
    </w:div>
    <w:div w:id="1344018168">
      <w:bodyDiv w:val="1"/>
      <w:marLeft w:val="0"/>
      <w:marRight w:val="0"/>
      <w:marTop w:val="0"/>
      <w:marBottom w:val="0"/>
      <w:divBdr>
        <w:top w:val="none" w:sz="0" w:space="0" w:color="auto"/>
        <w:left w:val="none" w:sz="0" w:space="0" w:color="auto"/>
        <w:bottom w:val="none" w:sz="0" w:space="0" w:color="auto"/>
        <w:right w:val="none" w:sz="0" w:space="0" w:color="auto"/>
      </w:divBdr>
    </w:div>
    <w:div w:id="1375739429">
      <w:bodyDiv w:val="1"/>
      <w:marLeft w:val="0"/>
      <w:marRight w:val="0"/>
      <w:marTop w:val="0"/>
      <w:marBottom w:val="0"/>
      <w:divBdr>
        <w:top w:val="none" w:sz="0" w:space="0" w:color="auto"/>
        <w:left w:val="none" w:sz="0" w:space="0" w:color="auto"/>
        <w:bottom w:val="none" w:sz="0" w:space="0" w:color="auto"/>
        <w:right w:val="none" w:sz="0" w:space="0" w:color="auto"/>
      </w:divBdr>
    </w:div>
    <w:div w:id="1390378602">
      <w:bodyDiv w:val="1"/>
      <w:marLeft w:val="0"/>
      <w:marRight w:val="0"/>
      <w:marTop w:val="0"/>
      <w:marBottom w:val="0"/>
      <w:divBdr>
        <w:top w:val="none" w:sz="0" w:space="0" w:color="auto"/>
        <w:left w:val="none" w:sz="0" w:space="0" w:color="auto"/>
        <w:bottom w:val="none" w:sz="0" w:space="0" w:color="auto"/>
        <w:right w:val="none" w:sz="0" w:space="0" w:color="auto"/>
      </w:divBdr>
    </w:div>
    <w:div w:id="1433697965">
      <w:bodyDiv w:val="1"/>
      <w:marLeft w:val="0"/>
      <w:marRight w:val="0"/>
      <w:marTop w:val="0"/>
      <w:marBottom w:val="0"/>
      <w:divBdr>
        <w:top w:val="none" w:sz="0" w:space="0" w:color="auto"/>
        <w:left w:val="none" w:sz="0" w:space="0" w:color="auto"/>
        <w:bottom w:val="none" w:sz="0" w:space="0" w:color="auto"/>
        <w:right w:val="none" w:sz="0" w:space="0" w:color="auto"/>
      </w:divBdr>
    </w:div>
    <w:div w:id="1486896338">
      <w:bodyDiv w:val="1"/>
      <w:marLeft w:val="0"/>
      <w:marRight w:val="0"/>
      <w:marTop w:val="0"/>
      <w:marBottom w:val="0"/>
      <w:divBdr>
        <w:top w:val="none" w:sz="0" w:space="0" w:color="auto"/>
        <w:left w:val="none" w:sz="0" w:space="0" w:color="auto"/>
        <w:bottom w:val="none" w:sz="0" w:space="0" w:color="auto"/>
        <w:right w:val="none" w:sz="0" w:space="0" w:color="auto"/>
      </w:divBdr>
    </w:div>
    <w:div w:id="1552034004">
      <w:bodyDiv w:val="1"/>
      <w:marLeft w:val="0"/>
      <w:marRight w:val="0"/>
      <w:marTop w:val="0"/>
      <w:marBottom w:val="0"/>
      <w:divBdr>
        <w:top w:val="none" w:sz="0" w:space="0" w:color="auto"/>
        <w:left w:val="none" w:sz="0" w:space="0" w:color="auto"/>
        <w:bottom w:val="none" w:sz="0" w:space="0" w:color="auto"/>
        <w:right w:val="none" w:sz="0" w:space="0" w:color="auto"/>
      </w:divBdr>
      <w:divsChild>
        <w:div w:id="2127501377">
          <w:marLeft w:val="0"/>
          <w:marRight w:val="0"/>
          <w:marTop w:val="0"/>
          <w:marBottom w:val="0"/>
          <w:divBdr>
            <w:top w:val="none" w:sz="0" w:space="0" w:color="auto"/>
            <w:left w:val="none" w:sz="0" w:space="0" w:color="auto"/>
            <w:bottom w:val="none" w:sz="0" w:space="0" w:color="auto"/>
            <w:right w:val="none" w:sz="0" w:space="0" w:color="auto"/>
          </w:divBdr>
          <w:divsChild>
            <w:div w:id="839613836">
              <w:marLeft w:val="-225"/>
              <w:marRight w:val="-225"/>
              <w:marTop w:val="0"/>
              <w:marBottom w:val="0"/>
              <w:divBdr>
                <w:top w:val="none" w:sz="0" w:space="0" w:color="auto"/>
                <w:left w:val="none" w:sz="0" w:space="0" w:color="auto"/>
                <w:bottom w:val="none" w:sz="0" w:space="0" w:color="auto"/>
                <w:right w:val="none" w:sz="0" w:space="0" w:color="auto"/>
              </w:divBdr>
              <w:divsChild>
                <w:div w:id="788208286">
                  <w:marLeft w:val="0"/>
                  <w:marRight w:val="0"/>
                  <w:marTop w:val="0"/>
                  <w:marBottom w:val="0"/>
                  <w:divBdr>
                    <w:top w:val="none" w:sz="0" w:space="0" w:color="auto"/>
                    <w:left w:val="none" w:sz="0" w:space="0" w:color="auto"/>
                    <w:bottom w:val="none" w:sz="0" w:space="0" w:color="auto"/>
                    <w:right w:val="none" w:sz="0" w:space="0" w:color="auto"/>
                  </w:divBdr>
                  <w:divsChild>
                    <w:div w:id="13737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44967948">
      <w:bodyDiv w:val="1"/>
      <w:marLeft w:val="0"/>
      <w:marRight w:val="0"/>
      <w:marTop w:val="0"/>
      <w:marBottom w:val="0"/>
      <w:divBdr>
        <w:top w:val="none" w:sz="0" w:space="0" w:color="auto"/>
        <w:left w:val="none" w:sz="0" w:space="0" w:color="auto"/>
        <w:bottom w:val="none" w:sz="0" w:space="0" w:color="auto"/>
        <w:right w:val="none" w:sz="0" w:space="0" w:color="auto"/>
      </w:divBdr>
    </w:div>
    <w:div w:id="1661344972">
      <w:bodyDiv w:val="1"/>
      <w:marLeft w:val="0"/>
      <w:marRight w:val="0"/>
      <w:marTop w:val="0"/>
      <w:marBottom w:val="0"/>
      <w:divBdr>
        <w:top w:val="none" w:sz="0" w:space="0" w:color="auto"/>
        <w:left w:val="none" w:sz="0" w:space="0" w:color="auto"/>
        <w:bottom w:val="none" w:sz="0" w:space="0" w:color="auto"/>
        <w:right w:val="none" w:sz="0" w:space="0" w:color="auto"/>
      </w:divBdr>
      <w:divsChild>
        <w:div w:id="117841275">
          <w:marLeft w:val="0"/>
          <w:marRight w:val="0"/>
          <w:marTop w:val="0"/>
          <w:marBottom w:val="0"/>
          <w:divBdr>
            <w:top w:val="none" w:sz="0" w:space="0" w:color="auto"/>
            <w:left w:val="none" w:sz="0" w:space="0" w:color="auto"/>
            <w:bottom w:val="none" w:sz="0" w:space="0" w:color="auto"/>
            <w:right w:val="none" w:sz="0" w:space="0" w:color="auto"/>
          </w:divBdr>
          <w:divsChild>
            <w:div w:id="1470201515">
              <w:marLeft w:val="-225"/>
              <w:marRight w:val="-225"/>
              <w:marTop w:val="0"/>
              <w:marBottom w:val="0"/>
              <w:divBdr>
                <w:top w:val="none" w:sz="0" w:space="0" w:color="auto"/>
                <w:left w:val="none" w:sz="0" w:space="0" w:color="auto"/>
                <w:bottom w:val="none" w:sz="0" w:space="0" w:color="auto"/>
                <w:right w:val="none" w:sz="0" w:space="0" w:color="auto"/>
              </w:divBdr>
              <w:divsChild>
                <w:div w:id="386802859">
                  <w:marLeft w:val="0"/>
                  <w:marRight w:val="0"/>
                  <w:marTop w:val="0"/>
                  <w:marBottom w:val="0"/>
                  <w:divBdr>
                    <w:top w:val="none" w:sz="0" w:space="0" w:color="auto"/>
                    <w:left w:val="none" w:sz="0" w:space="0" w:color="auto"/>
                    <w:bottom w:val="none" w:sz="0" w:space="0" w:color="auto"/>
                    <w:right w:val="none" w:sz="0" w:space="0" w:color="auto"/>
                  </w:divBdr>
                  <w:divsChild>
                    <w:div w:id="9445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3390">
      <w:bodyDiv w:val="1"/>
      <w:marLeft w:val="0"/>
      <w:marRight w:val="0"/>
      <w:marTop w:val="0"/>
      <w:marBottom w:val="0"/>
      <w:divBdr>
        <w:top w:val="none" w:sz="0" w:space="0" w:color="auto"/>
        <w:left w:val="none" w:sz="0" w:space="0" w:color="auto"/>
        <w:bottom w:val="none" w:sz="0" w:space="0" w:color="auto"/>
        <w:right w:val="none" w:sz="0" w:space="0" w:color="auto"/>
      </w:divBdr>
    </w:div>
    <w:div w:id="1816530764">
      <w:bodyDiv w:val="1"/>
      <w:marLeft w:val="0"/>
      <w:marRight w:val="0"/>
      <w:marTop w:val="0"/>
      <w:marBottom w:val="0"/>
      <w:divBdr>
        <w:top w:val="none" w:sz="0" w:space="0" w:color="auto"/>
        <w:left w:val="none" w:sz="0" w:space="0" w:color="auto"/>
        <w:bottom w:val="none" w:sz="0" w:space="0" w:color="auto"/>
        <w:right w:val="none" w:sz="0" w:space="0" w:color="auto"/>
      </w:divBdr>
    </w:div>
    <w:div w:id="183529508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5532245">
      <w:bodyDiv w:val="1"/>
      <w:marLeft w:val="0"/>
      <w:marRight w:val="0"/>
      <w:marTop w:val="0"/>
      <w:marBottom w:val="0"/>
      <w:divBdr>
        <w:top w:val="none" w:sz="0" w:space="0" w:color="auto"/>
        <w:left w:val="none" w:sz="0" w:space="0" w:color="auto"/>
        <w:bottom w:val="none" w:sz="0" w:space="0" w:color="auto"/>
        <w:right w:val="none" w:sz="0" w:space="0" w:color="auto"/>
      </w:divBdr>
      <w:divsChild>
        <w:div w:id="815491078">
          <w:marLeft w:val="0"/>
          <w:marRight w:val="0"/>
          <w:marTop w:val="0"/>
          <w:marBottom w:val="0"/>
          <w:divBdr>
            <w:top w:val="none" w:sz="0" w:space="0" w:color="auto"/>
            <w:left w:val="none" w:sz="0" w:space="0" w:color="auto"/>
            <w:bottom w:val="none" w:sz="0" w:space="0" w:color="auto"/>
            <w:right w:val="none" w:sz="0" w:space="0" w:color="auto"/>
          </w:divBdr>
          <w:divsChild>
            <w:div w:id="978730076">
              <w:marLeft w:val="-225"/>
              <w:marRight w:val="-225"/>
              <w:marTop w:val="0"/>
              <w:marBottom w:val="0"/>
              <w:divBdr>
                <w:top w:val="none" w:sz="0" w:space="0" w:color="auto"/>
                <w:left w:val="none" w:sz="0" w:space="0" w:color="auto"/>
                <w:bottom w:val="none" w:sz="0" w:space="0" w:color="auto"/>
                <w:right w:val="none" w:sz="0" w:space="0" w:color="auto"/>
              </w:divBdr>
              <w:divsChild>
                <w:div w:id="1476144643">
                  <w:marLeft w:val="0"/>
                  <w:marRight w:val="0"/>
                  <w:marTop w:val="0"/>
                  <w:marBottom w:val="0"/>
                  <w:divBdr>
                    <w:top w:val="none" w:sz="0" w:space="0" w:color="auto"/>
                    <w:left w:val="none" w:sz="0" w:space="0" w:color="auto"/>
                    <w:bottom w:val="none" w:sz="0" w:space="0" w:color="auto"/>
                    <w:right w:val="none" w:sz="0" w:space="0" w:color="auto"/>
                  </w:divBdr>
                  <w:divsChild>
                    <w:div w:id="5252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5789">
      <w:bodyDiv w:val="1"/>
      <w:marLeft w:val="0"/>
      <w:marRight w:val="0"/>
      <w:marTop w:val="0"/>
      <w:marBottom w:val="0"/>
      <w:divBdr>
        <w:top w:val="none" w:sz="0" w:space="0" w:color="auto"/>
        <w:left w:val="none" w:sz="0" w:space="0" w:color="auto"/>
        <w:bottom w:val="none" w:sz="0" w:space="0" w:color="auto"/>
        <w:right w:val="none" w:sz="0" w:space="0" w:color="auto"/>
      </w:divBdr>
      <w:divsChild>
        <w:div w:id="1681660952">
          <w:marLeft w:val="0"/>
          <w:marRight w:val="0"/>
          <w:marTop w:val="0"/>
          <w:marBottom w:val="0"/>
          <w:divBdr>
            <w:top w:val="none" w:sz="0" w:space="0" w:color="auto"/>
            <w:left w:val="none" w:sz="0" w:space="0" w:color="auto"/>
            <w:bottom w:val="none" w:sz="0" w:space="0" w:color="auto"/>
            <w:right w:val="none" w:sz="0" w:space="0" w:color="auto"/>
          </w:divBdr>
          <w:divsChild>
            <w:div w:id="615022050">
              <w:marLeft w:val="-225"/>
              <w:marRight w:val="-225"/>
              <w:marTop w:val="0"/>
              <w:marBottom w:val="0"/>
              <w:divBdr>
                <w:top w:val="none" w:sz="0" w:space="0" w:color="auto"/>
                <w:left w:val="none" w:sz="0" w:space="0" w:color="auto"/>
                <w:bottom w:val="none" w:sz="0" w:space="0" w:color="auto"/>
                <w:right w:val="none" w:sz="0" w:space="0" w:color="auto"/>
              </w:divBdr>
              <w:divsChild>
                <w:div w:id="116068494">
                  <w:marLeft w:val="0"/>
                  <w:marRight w:val="0"/>
                  <w:marTop w:val="0"/>
                  <w:marBottom w:val="0"/>
                  <w:divBdr>
                    <w:top w:val="none" w:sz="0" w:space="0" w:color="auto"/>
                    <w:left w:val="none" w:sz="0" w:space="0" w:color="auto"/>
                    <w:bottom w:val="none" w:sz="0" w:space="0" w:color="auto"/>
                    <w:right w:val="none" w:sz="0" w:space="0" w:color="auto"/>
                  </w:divBdr>
                  <w:divsChild>
                    <w:div w:id="12303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47541222">
      <w:bodyDiv w:val="1"/>
      <w:marLeft w:val="0"/>
      <w:marRight w:val="0"/>
      <w:marTop w:val="0"/>
      <w:marBottom w:val="0"/>
      <w:divBdr>
        <w:top w:val="none" w:sz="0" w:space="0" w:color="auto"/>
        <w:left w:val="none" w:sz="0" w:space="0" w:color="auto"/>
        <w:bottom w:val="none" w:sz="0" w:space="0" w:color="auto"/>
        <w:right w:val="none" w:sz="0" w:space="0" w:color="auto"/>
      </w:divBdr>
    </w:div>
    <w:div w:id="2025474695">
      <w:bodyDiv w:val="1"/>
      <w:marLeft w:val="0"/>
      <w:marRight w:val="0"/>
      <w:marTop w:val="0"/>
      <w:marBottom w:val="0"/>
      <w:divBdr>
        <w:top w:val="none" w:sz="0" w:space="0" w:color="auto"/>
        <w:left w:val="none" w:sz="0" w:space="0" w:color="auto"/>
        <w:bottom w:val="none" w:sz="0" w:space="0" w:color="auto"/>
        <w:right w:val="none" w:sz="0" w:space="0" w:color="auto"/>
      </w:divBdr>
    </w:div>
    <w:div w:id="2071877118">
      <w:bodyDiv w:val="1"/>
      <w:marLeft w:val="0"/>
      <w:marRight w:val="0"/>
      <w:marTop w:val="0"/>
      <w:marBottom w:val="0"/>
      <w:divBdr>
        <w:top w:val="none" w:sz="0" w:space="0" w:color="auto"/>
        <w:left w:val="none" w:sz="0" w:space="0" w:color="auto"/>
        <w:bottom w:val="none" w:sz="0" w:space="0" w:color="auto"/>
        <w:right w:val="none" w:sz="0" w:space="0" w:color="auto"/>
      </w:divBdr>
    </w:div>
    <w:div w:id="211485872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 w:id="2144231422">
      <w:bodyDiv w:val="1"/>
      <w:marLeft w:val="0"/>
      <w:marRight w:val="0"/>
      <w:marTop w:val="0"/>
      <w:marBottom w:val="0"/>
      <w:divBdr>
        <w:top w:val="none" w:sz="0" w:space="0" w:color="auto"/>
        <w:left w:val="none" w:sz="0" w:space="0" w:color="auto"/>
        <w:bottom w:val="none" w:sz="0" w:space="0" w:color="auto"/>
        <w:right w:val="none" w:sz="0" w:space="0" w:color="auto"/>
      </w:divBdr>
      <w:divsChild>
        <w:div w:id="1861966780">
          <w:marLeft w:val="0"/>
          <w:marRight w:val="0"/>
          <w:marTop w:val="0"/>
          <w:marBottom w:val="0"/>
          <w:divBdr>
            <w:top w:val="none" w:sz="0" w:space="0" w:color="auto"/>
            <w:left w:val="none" w:sz="0" w:space="0" w:color="auto"/>
            <w:bottom w:val="none" w:sz="0" w:space="0" w:color="auto"/>
            <w:right w:val="none" w:sz="0" w:space="0" w:color="auto"/>
          </w:divBdr>
          <w:divsChild>
            <w:div w:id="924412691">
              <w:marLeft w:val="-225"/>
              <w:marRight w:val="-225"/>
              <w:marTop w:val="0"/>
              <w:marBottom w:val="0"/>
              <w:divBdr>
                <w:top w:val="none" w:sz="0" w:space="0" w:color="auto"/>
                <w:left w:val="none" w:sz="0" w:space="0" w:color="auto"/>
                <w:bottom w:val="none" w:sz="0" w:space="0" w:color="auto"/>
                <w:right w:val="none" w:sz="0" w:space="0" w:color="auto"/>
              </w:divBdr>
              <w:divsChild>
                <w:div w:id="55737648">
                  <w:marLeft w:val="0"/>
                  <w:marRight w:val="0"/>
                  <w:marTop w:val="0"/>
                  <w:marBottom w:val="0"/>
                  <w:divBdr>
                    <w:top w:val="none" w:sz="0" w:space="0" w:color="auto"/>
                    <w:left w:val="none" w:sz="0" w:space="0" w:color="auto"/>
                    <w:bottom w:val="none" w:sz="0" w:space="0" w:color="auto"/>
                    <w:right w:val="none" w:sz="0" w:space="0" w:color="auto"/>
                  </w:divBdr>
                  <w:divsChild>
                    <w:div w:id="17119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1-16.COM-INF.10_Rev.-FR.pdf" TargetMode="External"/><Relationship Id="rId18" Type="http://schemas.openxmlformats.org/officeDocument/2006/relationships/hyperlink" Target="https://ich.unesco.org/fr/Decisions/5.EXT.COM/4" TargetMode="External"/><Relationship Id="rId26" Type="http://schemas.openxmlformats.org/officeDocument/2006/relationships/hyperlink" Target="https://ich.unesco.org/fr/Decisions/8.GA/15" TargetMode="External"/><Relationship Id="rId39" Type="http://schemas.openxmlformats.org/officeDocument/2006/relationships/hyperlink" Target="https://ich.unesco.org/fr/Decisions/8.GA/9" TargetMode="External"/><Relationship Id="rId21" Type="http://schemas.openxmlformats.org/officeDocument/2006/relationships/hyperlink" Target="https://unesdoc.unesco.org/in/documentViewer.xhtml?v=2.1.196&amp;id=p::usmarcdef_0000243325_fre&amp;file=/in/rest/annotationSVC/DownloadWatermarkedAttachment/attach_import_26bcf2ea-457a-4403-bbf1-26fa068507b7%3F_%3D243325fre.pdf&amp;locale=en&amp;multi=true&amp;ark=/ark:/48223/pf0000243325_fre/PDF/243325fre.pdf" TargetMode="External"/><Relationship Id="rId34" Type="http://schemas.openxmlformats.org/officeDocument/2006/relationships/hyperlink" Target="https://ich.unesco.org/fr/Decisions/9.GA/7" TargetMode="External"/><Relationship Id="rId42" Type="http://schemas.openxmlformats.org/officeDocument/2006/relationships/hyperlink" Target="https://ich.unesco.org/fr/D%C3%A9cisions/5.EXT.COM/5" TargetMode="External"/><Relationship Id="rId47" Type="http://schemas.openxmlformats.org/officeDocument/2006/relationships/hyperlink" Target="https://ich.unesco.org/doc/src/LHE-22-17.COM-6.a-FR.docx" TargetMode="External"/><Relationship Id="rId50" Type="http://schemas.openxmlformats.org/officeDocument/2006/relationships/hyperlink" Target="https://www.unesco.org/sites/default/files/medias/fichiers/2022/10/6.MONDIACULT_FR_DRAFT%20FINAL%20DECLARATION.pdf" TargetMode="External"/><Relationship Id="rId55" Type="http://schemas.openxmlformats.org/officeDocument/2006/relationships/hyperlink" Target="https://unesdoc.unesco.org/ark:/48223/pf0000383055_fre" TargetMode="External"/><Relationship Id="rId7" Type="http://schemas.openxmlformats.org/officeDocument/2006/relationships/settings" Target="settings.xml"/><Relationship Id="rId12" Type="http://schemas.openxmlformats.org/officeDocument/2006/relationships/hyperlink" Target="https://unesdoc.unesco.org/ark:/48223/pf0000380868_fre" TargetMode="External"/><Relationship Id="rId17" Type="http://schemas.openxmlformats.org/officeDocument/2006/relationships/hyperlink" Target="https://ich.unesco.org/fr/Decisions/16.COM/14" TargetMode="External"/><Relationship Id="rId25" Type="http://schemas.openxmlformats.org/officeDocument/2006/relationships/hyperlink" Target="https://ich.unesco.org/fr/Decisions/7.GA/13" TargetMode="External"/><Relationship Id="rId33" Type="http://schemas.openxmlformats.org/officeDocument/2006/relationships/hyperlink" Target="https://ich.unesco.org/doc/src/LHE-22-17.COM-11-FR.docx" TargetMode="External"/><Relationship Id="rId38" Type="http://schemas.openxmlformats.org/officeDocument/2006/relationships/hyperlink" Target="https://ich.unesco.org/doc/src/LHE-22-9.GA-13_FR.docx" TargetMode="External"/><Relationship Id="rId46" Type="http://schemas.openxmlformats.org/officeDocument/2006/relationships/hyperlink" Target="https://ich.unesco.org/fr/resources-education"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h.unesco.org/fr/calendrier-des-runions-statutaires-en-2022-01237" TargetMode="External"/><Relationship Id="rId20" Type="http://schemas.openxmlformats.org/officeDocument/2006/relationships/hyperlink" Target="https://ich.unesco.org/doc/src/LHE-22-17.COM-10-FR.docx" TargetMode="External"/><Relationship Id="rId29" Type="http://schemas.openxmlformats.org/officeDocument/2006/relationships/hyperlink" Target="https://unesdoc.unesco.org/in/documentViewer.xhtml?v=2.1.196&amp;id=p::usmarcdef_0000380399_fre&amp;file=/in/rest/annotationSVC/DownloadWatermarkedAttachment/attach_import_7c9c732f-79d8-463d-86f5-3b6477ff6621%3F_%3D380399fre.pdf&amp;locale=en&amp;multi=true&amp;ark=/ark:/48223/pf0000380399_fre/PDF/380399fre.pdf" TargetMode="External"/><Relationship Id="rId41" Type="http://schemas.openxmlformats.org/officeDocument/2006/relationships/hyperlink" Target="https://ich.unesco.org/doc/src/LHE-22-17.COM_4.BUR-5-FR.docx" TargetMode="External"/><Relationship Id="rId54" Type="http://schemas.openxmlformats.org/officeDocument/2006/relationships/hyperlink" Target="https://www.unesco.org/sites/default/files/medias/fichiers/2022/10/6.MONDIACULT_FR_DRAFT%20FINAL%20DECLAR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sdoc.unesco.org/ark:/48223/pf0000382589" TargetMode="External"/><Relationship Id="rId24" Type="http://schemas.openxmlformats.org/officeDocument/2006/relationships/hyperlink" Target="https://ich.unesco.org/fr/r%C3%A9solutions/7.GA/12?dec=resolutions&amp;ref_decision=7.GA" TargetMode="External"/><Relationship Id="rId32" Type="http://schemas.openxmlformats.org/officeDocument/2006/relationships/hyperlink" Target="https://ich.unesco.org/doc/src/LHE-22-17.COM-6.d-FR.docx" TargetMode="External"/><Relationship Id="rId37" Type="http://schemas.openxmlformats.org/officeDocument/2006/relationships/hyperlink" Target="https://ich.unesco.org/fr/Decisions/9.GA/13" TargetMode="External"/><Relationship Id="rId40" Type="http://schemas.openxmlformats.org/officeDocument/2006/relationships/hyperlink" Target="https://ich.unesco.org/fr/decisions-bureau/17.COM%203.BUR/3" TargetMode="External"/><Relationship Id="rId45" Type="http://schemas.openxmlformats.org/officeDocument/2006/relationships/hyperlink" Target="https://unesdoc.unesco.org/ark:/48223/pf0000383055_fre" TargetMode="External"/><Relationship Id="rId53" Type="http://schemas.openxmlformats.org/officeDocument/2006/relationships/hyperlink" Target="https://unesdoc.unesco.org/ark:/48223/pf0000382472_fre" TargetMode="Externa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ich.unesco.org/doc/src/LHE-21-16.COM-INF.10_Rev.-FR.pdf" TargetMode="External"/><Relationship Id="rId23" Type="http://schemas.openxmlformats.org/officeDocument/2006/relationships/hyperlink" Target="https://ich.unesco.org/fr/r%C3%A9solutions/6.GA/11?dec=resolutions&amp;ref_decision=6.GA" TargetMode="External"/><Relationship Id="rId28" Type="http://schemas.openxmlformats.org/officeDocument/2006/relationships/hyperlink" Target="https://ich.unesco.org/fr/Decisions/14.COM/19" TargetMode="External"/><Relationship Id="rId36" Type="http://schemas.openxmlformats.org/officeDocument/2006/relationships/hyperlink" Target="https://ich.unesco.org/doc/src/LHE-22-17.COM-13-FR.docx" TargetMode="External"/><Relationship Id="rId49" Type="http://schemas.openxmlformats.org/officeDocument/2006/relationships/hyperlink" Target="https://ich.unesco.org/doc/src/LHE-22-17.COM-6.c-FR.docx" TargetMode="External"/><Relationship Id="rId57"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ich.unesco.org/fr/Decisions/9.GA/9" TargetMode="External"/><Relationship Id="rId31" Type="http://schemas.openxmlformats.org/officeDocument/2006/relationships/hyperlink" Target="https://ich.unesco.org/doc/src/53724-FR.pdf" TargetMode="External"/><Relationship Id="rId44" Type="http://schemas.openxmlformats.org/officeDocument/2006/relationships/hyperlink" Target="https://ich.unesco.org/fr/Decisions/16.COM/12" TargetMode="External"/><Relationship Id="rId52" Type="http://schemas.openxmlformats.org/officeDocument/2006/relationships/hyperlink" Target="https://unesdoc.unesco.org/ark:/48223/pf0000376144_fre"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h.unesco.org/doc/src/LHE-21-16.COM-10_Rev.-FR.docx" TargetMode="External"/><Relationship Id="rId22" Type="http://schemas.openxmlformats.org/officeDocument/2006/relationships/hyperlink" Target="https://unesdoc.unesco.org/ark:/48223/pf0000260889_fre" TargetMode="External"/><Relationship Id="rId27" Type="http://schemas.openxmlformats.org/officeDocument/2006/relationships/hyperlink" Target="https://ich.unesco.org/fr/d%C3%A9cisions/13.COM/17?dec=decisions&amp;ref_decision=13.COM" TargetMode="External"/><Relationship Id="rId30" Type="http://schemas.openxmlformats.org/officeDocument/2006/relationships/hyperlink" Target="https://ich.unesco.org/fr/Decisions/9.GA/12" TargetMode="External"/><Relationship Id="rId35" Type="http://schemas.openxmlformats.org/officeDocument/2006/relationships/hyperlink" Target="https://ich.unesco.org/doc/src/LHE-22-17.COM-9-FR.docx" TargetMode="External"/><Relationship Id="rId43" Type="http://schemas.openxmlformats.org/officeDocument/2006/relationships/hyperlink" Target="https://ich.unesco.org/fr/Decisions/16.COM/12" TargetMode="External"/><Relationship Id="rId48" Type="http://schemas.openxmlformats.org/officeDocument/2006/relationships/hyperlink" Target="https://ich.unesco.org/doc/src/LHE-22-17.COM-6.b-FR.docx"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ich.unesco.org/doc/src/LHE-22-17.COM-13-FR.docx"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LHE-22-9.GA-10-FR.docx" TargetMode="External"/><Relationship Id="rId2" Type="http://schemas.openxmlformats.org/officeDocument/2006/relationships/hyperlink" Target="https://ich.unesco.org/fr/Decisions/9.GA/10" TargetMode="External"/><Relationship Id="rId1" Type="http://schemas.openxmlformats.org/officeDocument/2006/relationships/hyperlink" Target="https://ich.unesco.org/doc/src/LHE-22-17.COM-12-FR.docx" TargetMode="External"/><Relationship Id="rId4" Type="http://schemas.openxmlformats.org/officeDocument/2006/relationships/hyperlink" Target="https://unesdoc.unesco.org/ark:/48223/pf0000260089_f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9EC1E465D57343B402C1696CC81C61" ma:contentTypeVersion="11" ma:contentTypeDescription="Create a new document." ma:contentTypeScope="" ma:versionID="7b128adddc59638608d7a9abfe090405">
  <xsd:schema xmlns:xsd="http://www.w3.org/2001/XMLSchema" xmlns:xs="http://www.w3.org/2001/XMLSchema" xmlns:p="http://schemas.microsoft.com/office/2006/metadata/properties" xmlns:ns3="e87381cd-c1b2-4c27-9825-5355900d81f7" xmlns:ns4="c5fa2140-002e-4f41-846b-028dda5c8061" targetNamespace="http://schemas.microsoft.com/office/2006/metadata/properties" ma:root="true" ma:fieldsID="38c01cefda2a2fac15b1326a69085c26" ns3:_="" ns4:_="">
    <xsd:import namespace="e87381cd-c1b2-4c27-9825-5355900d81f7"/>
    <xsd:import namespace="c5fa2140-002e-4f41-846b-028dda5c80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381cd-c1b2-4c27-9825-5355900d81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a2140-002e-4f41-846b-028dda5c80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customXml/itemProps2.xml><?xml version="1.0" encoding="utf-8"?>
<ds:datastoreItem xmlns:ds="http://schemas.openxmlformats.org/officeDocument/2006/customXml" ds:itemID="{645A4839-0364-4630-9978-58A538747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381cd-c1b2-4c27-9825-5355900d81f7"/>
    <ds:schemaRef ds:uri="c5fa2140-002e-4f41-846b-028dda5c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BE838-AB18-4EA2-B09B-0EE9A9EAACF2}">
  <ds:schemaRefs>
    <ds:schemaRef ds:uri="http://schemas.microsoft.com/sharepoint/v3/contenttype/forms"/>
  </ds:schemaRefs>
</ds:datastoreItem>
</file>

<file path=customXml/itemProps4.xml><?xml version="1.0" encoding="utf-8"?>
<ds:datastoreItem xmlns:ds="http://schemas.openxmlformats.org/officeDocument/2006/customXml" ds:itemID="{CE8B9885-39AC-4BED-902D-74F53E2B136A}">
  <ds:schemaRefs>
    <ds:schemaRef ds:uri="http://purl.org/dc/terms/"/>
    <ds:schemaRef ds:uri="http://schemas.microsoft.com/office/2006/metadata/properties"/>
    <ds:schemaRef ds:uri="http://schemas.microsoft.com/office/2006/documentManagement/types"/>
    <ds:schemaRef ds:uri="c5fa2140-002e-4f41-846b-028dda5c8061"/>
    <ds:schemaRef ds:uri="http://purl.org/dc/elements/1.1/"/>
    <ds:schemaRef ds:uri="http://schemas.openxmlformats.org/package/2006/metadata/core-properties"/>
    <ds:schemaRef ds:uri="http://schemas.microsoft.com/office/infopath/2007/PartnerControls"/>
    <ds:schemaRef ds:uri="e87381cd-c1b2-4c27-9825-5355900d81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966</TotalTime>
  <Pages>11</Pages>
  <Words>6447</Words>
  <Characters>35464</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docId:BAD856C96064981E55C21CE0B9B823D4</cp:keywords>
  <dc:description/>
  <cp:lastModifiedBy>Ohinata, Fumiko</cp:lastModifiedBy>
  <cp:revision>369</cp:revision>
  <cp:lastPrinted>2022-10-27T16:18:00Z</cp:lastPrinted>
  <dcterms:created xsi:type="dcterms:W3CDTF">2022-10-25T08:51:00Z</dcterms:created>
  <dcterms:modified xsi:type="dcterms:W3CDTF">2022-10-31T22:44:00Z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0x0101009C9EC1E465D57343B402C1696CC81C61</vt:lpwstr>
  </property>
</Properties>
</file>