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64F9" w14:textId="7A8810C7" w:rsidR="0038462E" w:rsidRPr="003B3052" w:rsidRDefault="00FE3BE6" w:rsidP="00455AF1">
      <w:pPr>
        <w:tabs>
          <w:tab w:val="left" w:pos="4065"/>
          <w:tab w:val="left" w:pos="8528"/>
        </w:tabs>
        <w:spacing w:before="1440"/>
        <w:jc w:val="center"/>
        <w:rPr>
          <w:rFonts w:ascii="Arial" w:hAnsi="Arial" w:cs="Arial"/>
          <w:b/>
          <w:sz w:val="22"/>
          <w:szCs w:val="22"/>
        </w:rPr>
      </w:pPr>
      <w:r w:rsidRPr="003B3052">
        <w:rPr>
          <w:rFonts w:ascii="Arial" w:hAnsi="Arial" w:cs="Arial"/>
          <w:b/>
          <w:sz w:val="22"/>
          <w:szCs w:val="22"/>
        </w:rPr>
        <w:t xml:space="preserve">CONVENTION POUR LA SAUVEGARDE DU </w:t>
      </w:r>
      <w:r w:rsidRPr="003B3052">
        <w:rPr>
          <w:rFonts w:ascii="Arial" w:hAnsi="Arial" w:cs="Arial"/>
          <w:b/>
          <w:sz w:val="22"/>
          <w:szCs w:val="22"/>
        </w:rPr>
        <w:br/>
        <w:t>PATRIMOINE CULTUREL IMMATÉRIEL</w:t>
      </w:r>
    </w:p>
    <w:p w14:paraId="6023760D" w14:textId="36FB2C52" w:rsidR="0038462E" w:rsidRPr="003B3052" w:rsidRDefault="00FE3BE6">
      <w:pPr>
        <w:spacing w:before="1200"/>
        <w:jc w:val="center"/>
        <w:rPr>
          <w:rFonts w:ascii="Arial" w:hAnsi="Arial" w:cs="Arial"/>
          <w:b/>
          <w:sz w:val="22"/>
          <w:szCs w:val="22"/>
        </w:rPr>
      </w:pPr>
      <w:r w:rsidRPr="003B3052">
        <w:rPr>
          <w:rFonts w:ascii="Arial" w:hAnsi="Arial" w:cs="Arial"/>
          <w:b/>
          <w:sz w:val="22"/>
          <w:szCs w:val="22"/>
        </w:rPr>
        <w:t xml:space="preserve">COMITÉ INTERGOUVERNEMENTAL DE </w:t>
      </w:r>
      <w:r w:rsidRPr="003B3052">
        <w:rPr>
          <w:rFonts w:ascii="Arial" w:hAnsi="Arial" w:cs="Arial"/>
          <w:b/>
          <w:sz w:val="22"/>
          <w:szCs w:val="22"/>
        </w:rPr>
        <w:br/>
        <w:t>SAUVEGARDE DU PATRIMOINE CULTUREL IMMATÉRIEL</w:t>
      </w:r>
    </w:p>
    <w:p w14:paraId="4B74C982" w14:textId="77777777" w:rsidR="0038462E" w:rsidRPr="003B3052" w:rsidRDefault="00FE3BE6">
      <w:pPr>
        <w:spacing w:before="840"/>
        <w:jc w:val="center"/>
        <w:rPr>
          <w:rFonts w:ascii="Arial" w:hAnsi="Arial" w:cs="Arial"/>
          <w:b/>
          <w:sz w:val="22"/>
          <w:szCs w:val="22"/>
        </w:rPr>
      </w:pPr>
      <w:r w:rsidRPr="003B3052">
        <w:rPr>
          <w:rFonts w:ascii="Arial" w:eastAsiaTheme="minorEastAsia" w:hAnsi="Arial" w:cs="Arial"/>
          <w:b/>
          <w:sz w:val="22"/>
          <w:szCs w:val="22"/>
          <w:lang w:eastAsia="ko-KR"/>
        </w:rPr>
        <w:t xml:space="preserve">Dix-septième </w:t>
      </w:r>
      <w:r w:rsidR="00EC6F8D" w:rsidRPr="003B3052">
        <w:rPr>
          <w:rFonts w:ascii="Arial" w:hAnsi="Arial" w:cs="Arial"/>
          <w:b/>
          <w:sz w:val="22"/>
          <w:szCs w:val="22"/>
        </w:rPr>
        <w:t>session</w:t>
      </w:r>
    </w:p>
    <w:p w14:paraId="5A635292" w14:textId="77777777" w:rsidR="0038462E" w:rsidRPr="003B3052" w:rsidRDefault="00FE3BE6">
      <w:pPr>
        <w:jc w:val="center"/>
        <w:rPr>
          <w:rFonts w:ascii="Arial" w:hAnsi="Arial" w:cs="Arial"/>
          <w:b/>
          <w:sz w:val="22"/>
          <w:szCs w:val="22"/>
        </w:rPr>
      </w:pPr>
      <w:r w:rsidRPr="003B3052">
        <w:rPr>
          <w:rFonts w:ascii="Arial" w:hAnsi="Arial" w:cs="Arial"/>
          <w:b/>
          <w:sz w:val="22"/>
          <w:szCs w:val="22"/>
        </w:rPr>
        <w:t xml:space="preserve">Rabat, </w:t>
      </w:r>
      <w:r w:rsidR="00F31F96" w:rsidRPr="003B3052">
        <w:rPr>
          <w:rFonts w:ascii="Arial" w:hAnsi="Arial" w:cs="Arial"/>
          <w:b/>
          <w:sz w:val="22"/>
          <w:szCs w:val="22"/>
        </w:rPr>
        <w:t xml:space="preserve">Royaume du </w:t>
      </w:r>
      <w:r w:rsidRPr="003B3052">
        <w:rPr>
          <w:rFonts w:ascii="Arial" w:hAnsi="Arial" w:cs="Arial"/>
          <w:b/>
          <w:sz w:val="22"/>
          <w:szCs w:val="22"/>
        </w:rPr>
        <w:t>Maroc</w:t>
      </w:r>
    </w:p>
    <w:p w14:paraId="2F639CC8" w14:textId="6E76A928" w:rsidR="0038462E" w:rsidRPr="003B3052" w:rsidRDefault="00FE3BE6">
      <w:pPr>
        <w:jc w:val="center"/>
        <w:rPr>
          <w:rFonts w:ascii="Arial" w:hAnsi="Arial" w:cs="Arial"/>
          <w:b/>
          <w:sz w:val="22"/>
          <w:szCs w:val="22"/>
        </w:rPr>
      </w:pPr>
      <w:r w:rsidRPr="003B3052">
        <w:rPr>
          <w:rFonts w:ascii="Arial" w:hAnsi="Arial" w:cs="Arial"/>
          <w:b/>
          <w:sz w:val="22"/>
          <w:szCs w:val="22"/>
        </w:rPr>
        <w:t xml:space="preserve">28 novembre </w:t>
      </w:r>
      <w:r w:rsidR="00455AF1">
        <w:rPr>
          <w:rFonts w:ascii="Arial" w:hAnsi="Arial" w:cs="Arial"/>
          <w:b/>
          <w:sz w:val="22"/>
          <w:szCs w:val="22"/>
        </w:rPr>
        <w:t>–</w:t>
      </w:r>
      <w:r w:rsidR="00E72344" w:rsidRPr="003B3052">
        <w:rPr>
          <w:rFonts w:ascii="Arial" w:hAnsi="Arial" w:cs="Arial"/>
          <w:b/>
          <w:sz w:val="22"/>
          <w:szCs w:val="22"/>
        </w:rPr>
        <w:t xml:space="preserve"> </w:t>
      </w:r>
      <w:r w:rsidRPr="003B3052">
        <w:rPr>
          <w:rFonts w:ascii="Arial" w:hAnsi="Arial" w:cs="Arial"/>
          <w:b/>
          <w:sz w:val="22"/>
          <w:szCs w:val="22"/>
        </w:rPr>
        <w:t>3</w:t>
      </w:r>
      <w:r w:rsidR="00455AF1">
        <w:rPr>
          <w:rFonts w:ascii="Arial" w:hAnsi="Arial" w:cs="Arial"/>
          <w:b/>
          <w:sz w:val="22"/>
          <w:szCs w:val="22"/>
        </w:rPr>
        <w:t xml:space="preserve"> </w:t>
      </w:r>
      <w:r w:rsidR="00B2172B" w:rsidRPr="003B3052">
        <w:rPr>
          <w:rFonts w:ascii="Arial" w:hAnsi="Arial" w:cs="Arial"/>
          <w:b/>
          <w:sz w:val="22"/>
          <w:szCs w:val="22"/>
        </w:rPr>
        <w:t>décembre 2022</w:t>
      </w:r>
    </w:p>
    <w:p w14:paraId="1B827428" w14:textId="39AC668F" w:rsidR="0038462E" w:rsidRPr="003B3052" w:rsidRDefault="00FE3BE6">
      <w:pPr>
        <w:pStyle w:val="Sansinterligne2"/>
        <w:spacing w:before="1200"/>
        <w:jc w:val="center"/>
        <w:rPr>
          <w:rFonts w:ascii="Arial" w:hAnsi="Arial" w:cs="Arial"/>
          <w:b/>
          <w:sz w:val="22"/>
          <w:szCs w:val="22"/>
        </w:rPr>
      </w:pPr>
      <w:r w:rsidRPr="003B3052">
        <w:rPr>
          <w:rFonts w:ascii="Arial" w:hAnsi="Arial" w:cs="Arial"/>
          <w:b/>
          <w:sz w:val="22"/>
          <w:szCs w:val="22"/>
          <w:u w:val="single"/>
        </w:rPr>
        <w:t xml:space="preserve">Point </w:t>
      </w:r>
      <w:r w:rsidR="000C72D6" w:rsidRPr="003B3052">
        <w:rPr>
          <w:rFonts w:ascii="Arial" w:hAnsi="Arial" w:cs="Arial"/>
          <w:b/>
          <w:sz w:val="22"/>
          <w:szCs w:val="22"/>
          <w:u w:val="single"/>
        </w:rPr>
        <w:t xml:space="preserve">13 </w:t>
      </w:r>
      <w:r w:rsidRPr="003B3052">
        <w:rPr>
          <w:rFonts w:ascii="Arial" w:hAnsi="Arial" w:cs="Arial"/>
          <w:b/>
          <w:sz w:val="22"/>
          <w:szCs w:val="22"/>
          <w:u w:val="single"/>
        </w:rPr>
        <w:t>de l</w:t>
      </w:r>
      <w:r w:rsidR="00595A56" w:rsidRPr="003B3052">
        <w:rPr>
          <w:rFonts w:ascii="Arial" w:hAnsi="Arial" w:cs="Arial"/>
          <w:b/>
          <w:sz w:val="22"/>
          <w:szCs w:val="22"/>
          <w:u w:val="single"/>
        </w:rPr>
        <w:t>’</w:t>
      </w:r>
      <w:r w:rsidRPr="003B3052">
        <w:rPr>
          <w:rFonts w:ascii="Arial" w:hAnsi="Arial" w:cs="Arial"/>
          <w:b/>
          <w:sz w:val="22"/>
          <w:szCs w:val="22"/>
          <w:u w:val="single"/>
        </w:rPr>
        <w:t>ordre du jour provisoire</w:t>
      </w:r>
      <w:r w:rsidRPr="00455AF1">
        <w:rPr>
          <w:rFonts w:ascii="Arial" w:hAnsi="Arial" w:cs="Arial"/>
          <w:b/>
          <w:sz w:val="22"/>
          <w:szCs w:val="22"/>
        </w:rPr>
        <w:t xml:space="preserve"> </w:t>
      </w:r>
      <w:r w:rsidRPr="003B3052">
        <w:rPr>
          <w:rFonts w:ascii="Arial" w:hAnsi="Arial" w:cs="Arial"/>
          <w:b/>
          <w:sz w:val="22"/>
          <w:szCs w:val="22"/>
        </w:rPr>
        <w:t>:</w:t>
      </w:r>
    </w:p>
    <w:p w14:paraId="76AEF1A7" w14:textId="77777777" w:rsidR="0038462E" w:rsidRPr="003B3052" w:rsidRDefault="00FE3BE6">
      <w:pPr>
        <w:pStyle w:val="Sansinterligne2"/>
        <w:spacing w:after="960"/>
        <w:jc w:val="center"/>
        <w:rPr>
          <w:rFonts w:ascii="Arial" w:hAnsi="Arial" w:cs="Arial"/>
          <w:bCs/>
          <w:sz w:val="22"/>
          <w:szCs w:val="22"/>
        </w:rPr>
      </w:pPr>
      <w:r w:rsidRPr="003B3052">
        <w:rPr>
          <w:rFonts w:ascii="Arial" w:hAnsi="Arial" w:cs="Arial"/>
          <w:b/>
          <w:sz w:val="22"/>
          <w:szCs w:val="22"/>
        </w:rPr>
        <w:t>Initiatives thématiques sur le patrimoine vivant et le développement durable</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3B3052" w14:paraId="4A88AD61" w14:textId="77777777" w:rsidTr="00455AF1">
        <w:trPr>
          <w:jc w:val="center"/>
        </w:trPr>
        <w:tc>
          <w:tcPr>
            <w:tcW w:w="5826" w:type="dxa"/>
            <w:vAlign w:val="center"/>
          </w:tcPr>
          <w:p w14:paraId="30798CAE" w14:textId="77777777" w:rsidR="0038462E" w:rsidRPr="003B3052" w:rsidRDefault="00FE3BE6">
            <w:pPr>
              <w:pStyle w:val="Sansinterligne1"/>
              <w:spacing w:before="200" w:after="200"/>
              <w:jc w:val="center"/>
              <w:rPr>
                <w:rFonts w:ascii="Arial" w:hAnsi="Arial" w:cs="Arial"/>
                <w:b/>
                <w:sz w:val="22"/>
                <w:szCs w:val="22"/>
              </w:rPr>
            </w:pPr>
            <w:r w:rsidRPr="003B3052">
              <w:rPr>
                <w:rFonts w:ascii="Arial" w:hAnsi="Arial" w:cs="Arial"/>
                <w:b/>
                <w:sz w:val="22"/>
                <w:szCs w:val="22"/>
              </w:rPr>
              <w:t>Résumé</w:t>
            </w:r>
          </w:p>
          <w:p w14:paraId="4216B02D" w14:textId="1949FFC4" w:rsidR="0038462E" w:rsidRPr="003B3052" w:rsidRDefault="00FE3BE6">
            <w:pPr>
              <w:pStyle w:val="Sansinterligne2"/>
              <w:spacing w:before="200" w:after="200"/>
              <w:jc w:val="both"/>
              <w:rPr>
                <w:rFonts w:ascii="Arial" w:hAnsi="Arial" w:cs="Arial"/>
                <w:bCs/>
                <w:sz w:val="22"/>
                <w:szCs w:val="22"/>
              </w:rPr>
            </w:pPr>
            <w:r w:rsidRPr="003B3052">
              <w:rPr>
                <w:rFonts w:ascii="Arial" w:hAnsi="Arial" w:cs="Arial"/>
                <w:bCs/>
                <w:sz w:val="22"/>
                <w:szCs w:val="22"/>
              </w:rPr>
              <w:t>En 2021, le Secrétariat a lancé le développement d</w:t>
            </w:r>
            <w:r w:rsidR="00595A56" w:rsidRPr="003B3052">
              <w:rPr>
                <w:rFonts w:ascii="Arial" w:hAnsi="Arial" w:cs="Arial"/>
                <w:bCs/>
                <w:sz w:val="22"/>
                <w:szCs w:val="22"/>
              </w:rPr>
              <w:t>’</w:t>
            </w:r>
            <w:r w:rsidRPr="003B3052">
              <w:rPr>
                <w:rFonts w:ascii="Arial" w:hAnsi="Arial" w:cs="Arial"/>
                <w:bCs/>
                <w:sz w:val="22"/>
                <w:szCs w:val="22"/>
              </w:rPr>
              <w:t xml:space="preserve">initiatives thématiques concernant </w:t>
            </w:r>
            <w:r w:rsidR="005B3E96" w:rsidRPr="003B3052">
              <w:rPr>
                <w:rFonts w:ascii="Arial" w:hAnsi="Arial" w:cs="Arial"/>
                <w:bCs/>
                <w:sz w:val="22"/>
                <w:szCs w:val="22"/>
              </w:rPr>
              <w:t xml:space="preserve">(i) </w:t>
            </w:r>
            <w:r w:rsidRPr="003B3052">
              <w:rPr>
                <w:rFonts w:ascii="Arial" w:hAnsi="Arial" w:cs="Arial"/>
                <w:bCs/>
                <w:sz w:val="22"/>
                <w:szCs w:val="22"/>
              </w:rPr>
              <w:t xml:space="preserve">les </w:t>
            </w:r>
            <w:r w:rsidR="00E72344" w:rsidRPr="00455AF1">
              <w:rPr>
                <w:rFonts w:ascii="Arial" w:hAnsi="Arial" w:cs="Arial"/>
                <w:bCs/>
                <w:sz w:val="22"/>
                <w:szCs w:val="22"/>
                <w:lang w:val="en-GB"/>
              </w:rPr>
              <w:t>aspects</w:t>
            </w:r>
            <w:r w:rsidR="00E72344" w:rsidRPr="003B3052">
              <w:rPr>
                <w:rFonts w:ascii="Arial" w:hAnsi="Arial" w:cs="Arial"/>
                <w:bCs/>
                <w:sz w:val="22"/>
                <w:szCs w:val="22"/>
              </w:rPr>
              <w:t xml:space="preserve"> </w:t>
            </w:r>
            <w:r w:rsidR="00F13B33" w:rsidRPr="003B3052">
              <w:rPr>
                <w:rFonts w:ascii="Arial" w:hAnsi="Arial" w:cs="Arial"/>
                <w:bCs/>
                <w:sz w:val="22"/>
                <w:szCs w:val="22"/>
              </w:rPr>
              <w:t xml:space="preserve">économiques de la sauvegarde du patrimoine culturel immatériel, </w:t>
            </w:r>
            <w:r w:rsidR="005B3E96" w:rsidRPr="003B3052">
              <w:rPr>
                <w:rFonts w:ascii="Arial" w:hAnsi="Arial" w:cs="Arial"/>
                <w:bCs/>
                <w:sz w:val="22"/>
                <w:szCs w:val="22"/>
              </w:rPr>
              <w:t xml:space="preserve">(ii) la </w:t>
            </w:r>
            <w:r w:rsidR="00F13B33" w:rsidRPr="003B3052">
              <w:rPr>
                <w:rFonts w:ascii="Arial" w:hAnsi="Arial" w:cs="Arial"/>
                <w:bCs/>
                <w:sz w:val="22"/>
                <w:szCs w:val="22"/>
              </w:rPr>
              <w:t xml:space="preserve">sauvegarde du patrimoine culturel immatériel et le changement climatique et </w:t>
            </w:r>
            <w:r w:rsidR="005B3E96" w:rsidRPr="003B3052">
              <w:rPr>
                <w:rFonts w:ascii="Arial" w:hAnsi="Arial" w:cs="Arial"/>
                <w:bCs/>
                <w:sz w:val="22"/>
                <w:szCs w:val="22"/>
              </w:rPr>
              <w:t xml:space="preserve">(iii) </w:t>
            </w:r>
            <w:r w:rsidR="00F13B33" w:rsidRPr="003B3052">
              <w:rPr>
                <w:rFonts w:ascii="Arial" w:hAnsi="Arial" w:cs="Arial"/>
                <w:bCs/>
                <w:sz w:val="22"/>
                <w:szCs w:val="22"/>
              </w:rPr>
              <w:t xml:space="preserve">la sauvegarde du patrimoine culturel immatériel dans les contextes urbains. Le présent document rend compte des progrès </w:t>
            </w:r>
            <w:r w:rsidR="002D703A" w:rsidRPr="003B3052">
              <w:rPr>
                <w:rFonts w:ascii="Arial" w:hAnsi="Arial" w:cs="Arial"/>
                <w:bCs/>
                <w:sz w:val="22"/>
                <w:szCs w:val="22"/>
              </w:rPr>
              <w:t xml:space="preserve">réalisés </w:t>
            </w:r>
            <w:r w:rsidR="00F13B33" w:rsidRPr="003B3052">
              <w:rPr>
                <w:rFonts w:ascii="Arial" w:hAnsi="Arial" w:cs="Arial"/>
                <w:bCs/>
                <w:sz w:val="22"/>
                <w:szCs w:val="22"/>
              </w:rPr>
              <w:t>depuis la seizième session du Comité en décembre 2021.</w:t>
            </w:r>
          </w:p>
          <w:p w14:paraId="7B717454" w14:textId="77777777" w:rsidR="0038462E" w:rsidRPr="003B3052" w:rsidRDefault="00FE3BE6">
            <w:pPr>
              <w:pStyle w:val="Sansinterligne2"/>
              <w:spacing w:before="200" w:after="200"/>
              <w:jc w:val="both"/>
              <w:rPr>
                <w:rFonts w:ascii="Arial" w:hAnsi="Arial" w:cs="Arial"/>
                <w:b/>
                <w:sz w:val="22"/>
                <w:szCs w:val="22"/>
              </w:rPr>
            </w:pPr>
            <w:r w:rsidRPr="003B3052">
              <w:rPr>
                <w:rFonts w:ascii="Arial" w:hAnsi="Arial" w:cs="Arial"/>
                <w:b/>
                <w:sz w:val="22"/>
                <w:szCs w:val="22"/>
              </w:rPr>
              <w:t xml:space="preserve">Décision requise : </w:t>
            </w:r>
            <w:r w:rsidRPr="003B3052">
              <w:rPr>
                <w:rFonts w:ascii="Arial" w:hAnsi="Arial" w:cs="Arial"/>
                <w:bCs/>
                <w:sz w:val="22"/>
                <w:szCs w:val="22"/>
              </w:rPr>
              <w:t xml:space="preserve">paragraphe </w:t>
            </w:r>
            <w:r w:rsidR="00FC6F1E" w:rsidRPr="003B3052">
              <w:rPr>
                <w:rFonts w:ascii="Arial" w:hAnsi="Arial" w:cs="Arial"/>
                <w:bCs/>
                <w:sz w:val="22"/>
                <w:szCs w:val="22"/>
              </w:rPr>
              <w:t>18</w:t>
            </w:r>
          </w:p>
        </w:tc>
      </w:tr>
    </w:tbl>
    <w:p w14:paraId="2ADC0CB6" w14:textId="77777777" w:rsidR="00455AF1" w:rsidRDefault="00455AF1">
      <w:pPr>
        <w:pStyle w:val="COMPara"/>
        <w:numPr>
          <w:ilvl w:val="0"/>
          <w:numId w:val="0"/>
        </w:numPr>
        <w:spacing w:before="240"/>
        <w:jc w:val="both"/>
        <w:rPr>
          <w:b/>
          <w:bCs/>
          <w:lang w:val="fr-FR"/>
        </w:rPr>
      </w:pPr>
    </w:p>
    <w:p w14:paraId="78E706E0" w14:textId="77777777" w:rsidR="00455AF1" w:rsidRDefault="00455AF1">
      <w:pPr>
        <w:rPr>
          <w:rFonts w:ascii="Arial" w:hAnsi="Arial" w:cs="Arial"/>
          <w:b/>
          <w:bCs/>
          <w:snapToGrid w:val="0"/>
          <w:sz w:val="22"/>
          <w:szCs w:val="22"/>
          <w:lang w:eastAsia="en-US"/>
        </w:rPr>
      </w:pPr>
      <w:r>
        <w:rPr>
          <w:b/>
          <w:bCs/>
        </w:rPr>
        <w:br w:type="page"/>
      </w:r>
    </w:p>
    <w:p w14:paraId="075E3EAE" w14:textId="56E0609B" w:rsidR="0038462E" w:rsidRPr="003B3052" w:rsidRDefault="00FE3BE6">
      <w:pPr>
        <w:pStyle w:val="COMPara"/>
        <w:numPr>
          <w:ilvl w:val="0"/>
          <w:numId w:val="0"/>
        </w:numPr>
        <w:spacing w:before="240"/>
        <w:jc w:val="both"/>
        <w:rPr>
          <w:b/>
          <w:bCs/>
          <w:lang w:val="fr-FR"/>
        </w:rPr>
      </w:pPr>
      <w:r w:rsidRPr="003B3052">
        <w:rPr>
          <w:b/>
          <w:bCs/>
          <w:lang w:val="fr-FR"/>
        </w:rPr>
        <w:lastRenderedPageBreak/>
        <w:t>Introduction</w:t>
      </w:r>
    </w:p>
    <w:p w14:paraId="459746FE" w14:textId="2D20FB76" w:rsidR="0038462E" w:rsidRPr="003B3052" w:rsidRDefault="00FE3BE6">
      <w:pPr>
        <w:pStyle w:val="GAPara"/>
        <w:numPr>
          <w:ilvl w:val="0"/>
          <w:numId w:val="34"/>
        </w:numPr>
        <w:ind w:left="567" w:hanging="567"/>
        <w:jc w:val="both"/>
        <w:rPr>
          <w:rFonts w:asciiTheme="minorBidi" w:hAnsiTheme="minorBidi" w:cstheme="minorBidi"/>
          <w:lang w:val="fr-FR"/>
        </w:rPr>
      </w:pPr>
      <w:r w:rsidRPr="003B3052">
        <w:rPr>
          <w:rFonts w:asciiTheme="minorBidi" w:hAnsiTheme="minorBidi" w:cstheme="minorBidi"/>
          <w:lang w:val="fr-FR"/>
        </w:rPr>
        <w:t>Conformément au projet de stratégie à moyen terme de l</w:t>
      </w:r>
      <w:r w:rsidR="00595A56" w:rsidRPr="003B3052">
        <w:rPr>
          <w:rFonts w:asciiTheme="minorBidi" w:hAnsiTheme="minorBidi" w:cstheme="minorBidi"/>
          <w:lang w:val="fr-FR"/>
        </w:rPr>
        <w:t>’</w:t>
      </w:r>
      <w:r w:rsidRPr="003B3052">
        <w:rPr>
          <w:rFonts w:asciiTheme="minorBidi" w:hAnsiTheme="minorBidi" w:cstheme="minorBidi"/>
          <w:lang w:val="fr-FR"/>
        </w:rPr>
        <w:t>UNESCO pour 2022-2029 (</w:t>
      </w:r>
      <w:hyperlink r:id="rId8" w:history="1">
        <w:r w:rsidRPr="003B3052">
          <w:rPr>
            <w:rStyle w:val="Lienhypertexte"/>
            <w:rFonts w:asciiTheme="minorBidi" w:hAnsiTheme="minorBidi" w:cstheme="minorBidi"/>
            <w:lang w:val="fr-FR"/>
          </w:rPr>
          <w:t>41C/4</w:t>
        </w:r>
      </w:hyperlink>
      <w:r w:rsidRPr="003B3052">
        <w:rPr>
          <w:rFonts w:asciiTheme="minorBidi" w:hAnsiTheme="minorBidi" w:cstheme="minorBidi"/>
          <w:lang w:val="fr-FR"/>
        </w:rPr>
        <w:t xml:space="preserve">), aux </w:t>
      </w:r>
      <w:r w:rsidR="00E72344" w:rsidRPr="003B3052">
        <w:rPr>
          <w:rFonts w:asciiTheme="minorBidi" w:hAnsiTheme="minorBidi" w:cstheme="minorBidi"/>
          <w:lang w:val="fr-FR"/>
        </w:rPr>
        <w:t>D</w:t>
      </w:r>
      <w:r w:rsidRPr="003B3052">
        <w:rPr>
          <w:rFonts w:asciiTheme="minorBidi" w:hAnsiTheme="minorBidi" w:cstheme="minorBidi"/>
          <w:lang w:val="fr-FR"/>
        </w:rPr>
        <w:t>irectives opérationnelles de la Convention (</w:t>
      </w:r>
      <w:hyperlink r:id="rId9" w:history="1">
        <w:r w:rsidRPr="003B3052">
          <w:rPr>
            <w:rStyle w:val="Lienhypertexte"/>
            <w:rFonts w:asciiTheme="minorBidi" w:hAnsiTheme="minorBidi" w:cstheme="minorBidi"/>
            <w:lang w:val="fr-FR"/>
          </w:rPr>
          <w:t>chapitre VI</w:t>
        </w:r>
      </w:hyperlink>
      <w:r w:rsidRPr="003B3052">
        <w:rPr>
          <w:rFonts w:asciiTheme="minorBidi" w:hAnsiTheme="minorBidi" w:cstheme="minorBidi"/>
          <w:lang w:val="fr-FR"/>
        </w:rPr>
        <w:t>) et aux décisions du Comité soulignant l</w:t>
      </w:r>
      <w:r w:rsidR="00595A56" w:rsidRPr="003B3052">
        <w:rPr>
          <w:rFonts w:asciiTheme="minorBidi" w:hAnsiTheme="minorBidi" w:cstheme="minorBidi"/>
          <w:lang w:val="fr-FR"/>
        </w:rPr>
        <w:t>’</w:t>
      </w:r>
      <w:r w:rsidRPr="003B3052">
        <w:rPr>
          <w:rFonts w:asciiTheme="minorBidi" w:hAnsiTheme="minorBidi" w:cstheme="minorBidi"/>
          <w:lang w:val="fr-FR"/>
        </w:rPr>
        <w:t>importance de mettre en évidence les contributions du patrimoine vivant au développement durable,</w:t>
      </w:r>
      <w:bookmarkStart w:id="0" w:name="_Ref88177584"/>
      <w:r w:rsidRPr="003B3052">
        <w:rPr>
          <w:vertAlign w:val="superscript"/>
          <w:lang w:val="fr-FR"/>
        </w:rPr>
        <w:footnoteReference w:id="1"/>
      </w:r>
      <w:bookmarkEnd w:id="0"/>
      <w:r w:rsidRPr="003B3052">
        <w:rPr>
          <w:rFonts w:asciiTheme="minorBidi" w:hAnsiTheme="minorBidi" w:cstheme="minorBidi"/>
          <w:vertAlign w:val="superscript"/>
          <w:lang w:val="fr-FR"/>
        </w:rPr>
        <w:t xml:space="preserve"> </w:t>
      </w:r>
      <w:r w:rsidRPr="003B3052">
        <w:rPr>
          <w:rFonts w:asciiTheme="minorBidi" w:hAnsiTheme="minorBidi" w:cstheme="minorBidi"/>
          <w:lang w:val="fr-FR"/>
        </w:rPr>
        <w:t>le Secrétariat</w:t>
      </w:r>
      <w:r w:rsidR="00862C7E" w:rsidRPr="003B3052">
        <w:rPr>
          <w:rFonts w:asciiTheme="minorBidi" w:hAnsiTheme="minorBidi" w:cstheme="minorBidi"/>
          <w:lang w:val="fr-FR"/>
        </w:rPr>
        <w:t xml:space="preserve"> </w:t>
      </w:r>
      <w:r w:rsidR="0021249D" w:rsidRPr="003B3052">
        <w:rPr>
          <w:rFonts w:asciiTheme="minorBidi" w:hAnsiTheme="minorBidi" w:cstheme="minorBidi"/>
          <w:lang w:val="fr-FR"/>
        </w:rPr>
        <w:t>déploie</w:t>
      </w:r>
      <w:r w:rsidR="005B3E96" w:rsidRPr="003B3052">
        <w:rPr>
          <w:rFonts w:asciiTheme="minorBidi" w:hAnsiTheme="minorBidi" w:cstheme="minorBidi"/>
          <w:lang w:val="fr-FR"/>
        </w:rPr>
        <w:t xml:space="preserve"> des </w:t>
      </w:r>
      <w:r w:rsidRPr="003B3052">
        <w:rPr>
          <w:rFonts w:asciiTheme="minorBidi" w:hAnsiTheme="minorBidi" w:cstheme="minorBidi"/>
          <w:lang w:val="fr-FR"/>
        </w:rPr>
        <w:t xml:space="preserve">efforts </w:t>
      </w:r>
      <w:r w:rsidR="00862C7E" w:rsidRPr="003B3052">
        <w:rPr>
          <w:rFonts w:asciiTheme="minorBidi" w:hAnsiTheme="minorBidi" w:cstheme="minorBidi"/>
          <w:lang w:val="fr-FR"/>
        </w:rPr>
        <w:t xml:space="preserve">depuis 2021 </w:t>
      </w:r>
      <w:r w:rsidRPr="003B3052">
        <w:rPr>
          <w:rFonts w:asciiTheme="minorBidi" w:hAnsiTheme="minorBidi" w:cstheme="minorBidi"/>
          <w:lang w:val="fr-FR"/>
        </w:rPr>
        <w:t xml:space="preserve">dans des domaines thématiques spécifiques pour contribuer à une approche holistique de la sauvegarde du patrimoine et du développement durable. </w:t>
      </w:r>
      <w:r w:rsidR="00DF13C1" w:rsidRPr="003B3052">
        <w:rPr>
          <w:rFonts w:asciiTheme="minorBidi" w:hAnsiTheme="minorBidi" w:cstheme="minorBidi"/>
          <w:lang w:val="fr-FR"/>
        </w:rPr>
        <w:t xml:space="preserve">Ces initiatives </w:t>
      </w:r>
      <w:r w:rsidR="0021249D" w:rsidRPr="003B3052">
        <w:rPr>
          <w:rFonts w:asciiTheme="minorBidi" w:hAnsiTheme="minorBidi" w:cstheme="minorBidi"/>
          <w:lang w:val="fr-FR"/>
        </w:rPr>
        <w:t>s’inscrivent également</w:t>
      </w:r>
      <w:r w:rsidR="00DF13C1" w:rsidRPr="003B3052">
        <w:rPr>
          <w:rFonts w:asciiTheme="minorBidi" w:hAnsiTheme="minorBidi" w:cstheme="minorBidi"/>
          <w:lang w:val="fr-FR"/>
        </w:rPr>
        <w:t xml:space="preserve"> </w:t>
      </w:r>
      <w:r w:rsidR="0021249D" w:rsidRPr="003B3052">
        <w:rPr>
          <w:rFonts w:asciiTheme="minorBidi" w:hAnsiTheme="minorBidi" w:cstheme="minorBidi"/>
          <w:lang w:val="fr-FR"/>
        </w:rPr>
        <w:t xml:space="preserve">dans </w:t>
      </w:r>
      <w:r w:rsidR="00DF13C1" w:rsidRPr="003B3052">
        <w:rPr>
          <w:rFonts w:asciiTheme="minorBidi" w:hAnsiTheme="minorBidi" w:cstheme="minorBidi"/>
          <w:lang w:val="fr-FR"/>
        </w:rPr>
        <w:t>la</w:t>
      </w:r>
      <w:r w:rsidR="0021249D" w:rsidRPr="003B3052">
        <w:rPr>
          <w:rFonts w:asciiTheme="minorBidi" w:hAnsiTheme="minorBidi" w:cstheme="minorBidi"/>
          <w:lang w:val="fr-FR"/>
        </w:rPr>
        <w:t xml:space="preserve"> ligne de la</w:t>
      </w:r>
      <w:r w:rsidR="00DF13C1" w:rsidRPr="003B3052">
        <w:rPr>
          <w:rFonts w:asciiTheme="minorBidi" w:hAnsiTheme="minorBidi" w:cstheme="minorBidi"/>
          <w:lang w:val="fr-FR"/>
        </w:rPr>
        <w:t xml:space="preserve"> </w:t>
      </w:r>
      <w:hyperlink r:id="rId10" w:history="1">
        <w:r w:rsidR="00DF13C1" w:rsidRPr="003B3052">
          <w:rPr>
            <w:rStyle w:val="Lienhypertexte"/>
            <w:rFonts w:asciiTheme="minorBidi" w:hAnsiTheme="minorBidi" w:cstheme="minorBidi"/>
            <w:lang w:val="fr-FR"/>
          </w:rPr>
          <w:t>Déclaration finale</w:t>
        </w:r>
      </w:hyperlink>
      <w:r w:rsidR="00DF13C1" w:rsidRPr="003B3052">
        <w:rPr>
          <w:rFonts w:asciiTheme="minorBidi" w:hAnsiTheme="minorBidi" w:cstheme="minorBidi"/>
          <w:lang w:val="fr-FR"/>
        </w:rPr>
        <w:t xml:space="preserve"> de la Conférence mondiale de l</w:t>
      </w:r>
      <w:r w:rsidR="00595A56" w:rsidRPr="003B3052">
        <w:rPr>
          <w:rFonts w:asciiTheme="minorBidi" w:hAnsiTheme="minorBidi" w:cstheme="minorBidi"/>
          <w:lang w:val="fr-FR"/>
        </w:rPr>
        <w:t>’</w:t>
      </w:r>
      <w:r w:rsidR="00DF13C1" w:rsidRPr="003B3052">
        <w:rPr>
          <w:rFonts w:asciiTheme="minorBidi" w:hAnsiTheme="minorBidi" w:cstheme="minorBidi"/>
          <w:lang w:val="fr-FR"/>
        </w:rPr>
        <w:t xml:space="preserve">UNESCO sur les politiques culturelles et le développement durable (MONDIACULT 2022), qui a salué le nouvel élan donné au rôle de la culture </w:t>
      </w:r>
      <w:r w:rsidR="00862C7E" w:rsidRPr="003B3052">
        <w:rPr>
          <w:rFonts w:asciiTheme="minorBidi" w:hAnsiTheme="minorBidi" w:cstheme="minorBidi"/>
          <w:lang w:val="fr-FR"/>
        </w:rPr>
        <w:t>pour</w:t>
      </w:r>
      <w:r w:rsidR="00DF13C1" w:rsidRPr="003B3052">
        <w:rPr>
          <w:rFonts w:asciiTheme="minorBidi" w:hAnsiTheme="minorBidi" w:cstheme="minorBidi"/>
          <w:lang w:val="fr-FR"/>
        </w:rPr>
        <w:t xml:space="preserve"> </w:t>
      </w:r>
      <w:r w:rsidR="00862C7E" w:rsidRPr="003B3052">
        <w:rPr>
          <w:rFonts w:asciiTheme="minorBidi" w:hAnsiTheme="minorBidi" w:cstheme="minorBidi"/>
          <w:lang w:val="fr-FR"/>
        </w:rPr>
        <w:t xml:space="preserve">le </w:t>
      </w:r>
      <w:r w:rsidR="00DF13C1" w:rsidRPr="003B3052">
        <w:rPr>
          <w:rFonts w:asciiTheme="minorBidi" w:hAnsiTheme="minorBidi" w:cstheme="minorBidi"/>
          <w:lang w:val="fr-FR"/>
        </w:rPr>
        <w:t>développement durable, en tant que force de résilience, d</w:t>
      </w:r>
      <w:r w:rsidR="00595A56" w:rsidRPr="003B3052">
        <w:rPr>
          <w:rFonts w:asciiTheme="minorBidi" w:hAnsiTheme="minorBidi" w:cstheme="minorBidi"/>
          <w:lang w:val="fr-FR"/>
        </w:rPr>
        <w:t>’</w:t>
      </w:r>
      <w:r w:rsidR="00DF13C1" w:rsidRPr="003B3052">
        <w:rPr>
          <w:rFonts w:asciiTheme="minorBidi" w:hAnsiTheme="minorBidi" w:cstheme="minorBidi"/>
          <w:lang w:val="fr-FR"/>
        </w:rPr>
        <w:t xml:space="preserve">inclusion et de cohésion sociales, de protection </w:t>
      </w:r>
      <w:r w:rsidR="00862C7E" w:rsidRPr="003B3052">
        <w:rPr>
          <w:rFonts w:asciiTheme="minorBidi" w:hAnsiTheme="minorBidi" w:cstheme="minorBidi"/>
          <w:lang w:val="fr-FR"/>
        </w:rPr>
        <w:t>environnementale</w:t>
      </w:r>
      <w:r w:rsidR="00DF13C1" w:rsidRPr="003B3052">
        <w:rPr>
          <w:rFonts w:asciiTheme="minorBidi" w:hAnsiTheme="minorBidi" w:cstheme="minorBidi"/>
          <w:lang w:val="fr-FR"/>
        </w:rPr>
        <w:t xml:space="preserve"> et de croissance durable et inclusive.</w:t>
      </w:r>
    </w:p>
    <w:p w14:paraId="578B5770" w14:textId="7B37AC1A" w:rsidR="0038462E" w:rsidRPr="003B3052" w:rsidRDefault="0021249D">
      <w:pPr>
        <w:pStyle w:val="GAPara"/>
        <w:numPr>
          <w:ilvl w:val="0"/>
          <w:numId w:val="34"/>
        </w:numPr>
        <w:ind w:left="567" w:hanging="567"/>
        <w:jc w:val="both"/>
        <w:rPr>
          <w:rFonts w:asciiTheme="minorBidi" w:hAnsiTheme="minorBidi" w:cstheme="minorBidi"/>
          <w:lang w:val="fr-FR"/>
        </w:rPr>
      </w:pPr>
      <w:r w:rsidRPr="003B3052">
        <w:rPr>
          <w:rFonts w:asciiTheme="minorBidi" w:hAnsiTheme="minorBidi" w:cstheme="minorBidi"/>
          <w:lang w:val="fr-FR"/>
        </w:rPr>
        <w:t>S</w:t>
      </w:r>
      <w:r w:rsidR="00595A56" w:rsidRPr="003B3052">
        <w:rPr>
          <w:rFonts w:asciiTheme="minorBidi" w:hAnsiTheme="minorBidi" w:cstheme="minorBidi"/>
          <w:lang w:val="fr-FR"/>
        </w:rPr>
        <w:t>’</w:t>
      </w:r>
      <w:r w:rsidR="00FE3BE6" w:rsidRPr="003B3052">
        <w:rPr>
          <w:rFonts w:asciiTheme="minorBidi" w:hAnsiTheme="minorBidi" w:cstheme="minorBidi"/>
          <w:lang w:val="fr-FR"/>
        </w:rPr>
        <w:t xml:space="preserve">appuyant sur la </w:t>
      </w:r>
      <w:r w:rsidR="00A72825" w:rsidRPr="003B3052">
        <w:rPr>
          <w:rFonts w:asciiTheme="minorBidi" w:hAnsiTheme="minorBidi" w:cstheme="minorBidi"/>
          <w:lang w:val="fr-FR"/>
        </w:rPr>
        <w:t xml:space="preserve">méthodologie </w:t>
      </w:r>
      <w:r w:rsidR="00FE3BE6" w:rsidRPr="003B3052">
        <w:rPr>
          <w:rFonts w:asciiTheme="minorBidi" w:hAnsiTheme="minorBidi" w:cstheme="minorBidi"/>
          <w:lang w:val="fr-FR"/>
        </w:rPr>
        <w:t xml:space="preserve">déjà </w:t>
      </w:r>
      <w:r w:rsidR="00862C7E" w:rsidRPr="003B3052">
        <w:rPr>
          <w:rFonts w:asciiTheme="minorBidi" w:hAnsiTheme="minorBidi" w:cstheme="minorBidi"/>
          <w:lang w:val="fr-FR"/>
        </w:rPr>
        <w:t>mise en place</w:t>
      </w:r>
      <w:r w:rsidR="00FE3BE6" w:rsidRPr="003B3052">
        <w:rPr>
          <w:rFonts w:asciiTheme="minorBidi" w:hAnsiTheme="minorBidi" w:cstheme="minorBidi"/>
          <w:lang w:val="fr-FR"/>
        </w:rPr>
        <w:t xml:space="preserve"> dans </w:t>
      </w:r>
      <w:r w:rsidR="00862C7E" w:rsidRPr="003B3052">
        <w:rPr>
          <w:rFonts w:asciiTheme="minorBidi" w:hAnsiTheme="minorBidi" w:cstheme="minorBidi"/>
          <w:lang w:val="fr-FR"/>
        </w:rPr>
        <w:t>le cadre de</w:t>
      </w:r>
      <w:r w:rsidRPr="003B3052">
        <w:rPr>
          <w:rFonts w:asciiTheme="minorBidi" w:hAnsiTheme="minorBidi" w:cstheme="minorBidi"/>
          <w:lang w:val="fr-FR"/>
        </w:rPr>
        <w:t>s</w:t>
      </w:r>
      <w:r w:rsidR="00FE3BE6" w:rsidRPr="003B3052">
        <w:rPr>
          <w:rFonts w:asciiTheme="minorBidi" w:hAnsiTheme="minorBidi" w:cstheme="minorBidi"/>
          <w:lang w:val="fr-FR"/>
        </w:rPr>
        <w:t xml:space="preserve"> </w:t>
      </w:r>
      <w:r w:rsidRPr="003B3052">
        <w:rPr>
          <w:rFonts w:asciiTheme="minorBidi" w:hAnsiTheme="minorBidi" w:cstheme="minorBidi"/>
          <w:lang w:val="fr-FR"/>
        </w:rPr>
        <w:t xml:space="preserve">travaux </w:t>
      </w:r>
      <w:r w:rsidR="00FE3BE6" w:rsidRPr="003B3052">
        <w:rPr>
          <w:rFonts w:asciiTheme="minorBidi" w:hAnsiTheme="minorBidi" w:cstheme="minorBidi"/>
          <w:lang w:val="fr-FR"/>
        </w:rPr>
        <w:t xml:space="preserve">sur la </w:t>
      </w:r>
      <w:hyperlink r:id="rId11" w:history="1">
        <w:r w:rsidR="00FE3BE6" w:rsidRPr="003B3052">
          <w:rPr>
            <w:rStyle w:val="Lienhypertexte"/>
            <w:rFonts w:asciiTheme="minorBidi" w:hAnsiTheme="minorBidi" w:cstheme="minorBidi"/>
            <w:lang w:val="fr-FR"/>
          </w:rPr>
          <w:t>sauvegarde du patrimoine culturel immatériel dans les situations d</w:t>
        </w:r>
        <w:r w:rsidR="00595A56" w:rsidRPr="003B3052">
          <w:rPr>
            <w:rStyle w:val="Lienhypertexte"/>
            <w:rFonts w:asciiTheme="minorBidi" w:hAnsiTheme="minorBidi" w:cstheme="minorBidi"/>
            <w:lang w:val="fr-FR"/>
          </w:rPr>
          <w:t>’</w:t>
        </w:r>
        <w:r w:rsidR="00FE3BE6" w:rsidRPr="003B3052">
          <w:rPr>
            <w:rStyle w:val="Lienhypertexte"/>
            <w:rFonts w:asciiTheme="minorBidi" w:hAnsiTheme="minorBidi" w:cstheme="minorBidi"/>
            <w:lang w:val="fr-FR"/>
          </w:rPr>
          <w:t>urgence</w:t>
        </w:r>
      </w:hyperlink>
      <w:r w:rsidR="00FE3BE6" w:rsidRPr="003B3052">
        <w:rPr>
          <w:rFonts w:asciiTheme="minorBidi" w:hAnsiTheme="minorBidi" w:cstheme="minorBidi"/>
          <w:lang w:val="fr-FR"/>
        </w:rPr>
        <w:t xml:space="preserve">, les trois domaines thématiques suivants ont été identifiés </w:t>
      </w:r>
      <w:r w:rsidR="00DF13C1" w:rsidRPr="003B3052">
        <w:rPr>
          <w:rFonts w:asciiTheme="minorBidi" w:hAnsiTheme="minorBidi" w:cstheme="minorBidi"/>
          <w:lang w:val="fr-FR"/>
        </w:rPr>
        <w:t xml:space="preserve">: les </w:t>
      </w:r>
      <w:r w:rsidR="00DA1BB3" w:rsidRPr="003B3052">
        <w:rPr>
          <w:rFonts w:asciiTheme="minorBidi" w:hAnsiTheme="minorBidi" w:cstheme="minorBidi"/>
          <w:lang w:val="fr-FR"/>
        </w:rPr>
        <w:t xml:space="preserve">aspects </w:t>
      </w:r>
      <w:r w:rsidR="00DF13C1" w:rsidRPr="003B3052">
        <w:rPr>
          <w:rFonts w:asciiTheme="minorBidi" w:hAnsiTheme="minorBidi" w:cstheme="minorBidi"/>
          <w:lang w:val="fr-FR"/>
        </w:rPr>
        <w:t xml:space="preserve">économiques de la sauvegarde du patrimoine culturel immatériel (section A), la sauvegarde du </w:t>
      </w:r>
      <w:r w:rsidR="00DF13C1" w:rsidRPr="003B3052">
        <w:rPr>
          <w:lang w:val="fr-FR"/>
        </w:rPr>
        <w:t xml:space="preserve">patrimoine </w:t>
      </w:r>
      <w:r w:rsidR="00DF13C1" w:rsidRPr="003B3052">
        <w:rPr>
          <w:rFonts w:asciiTheme="minorBidi" w:hAnsiTheme="minorBidi" w:cstheme="minorBidi"/>
          <w:lang w:val="fr-FR"/>
        </w:rPr>
        <w:t xml:space="preserve">culturel immatériel et le changement climatique (section B), et la sauvegarde du patrimoine culturel immatériel dans les contextes urbains (section C). </w:t>
      </w:r>
      <w:r w:rsidR="00FE3BE6" w:rsidRPr="003B3052">
        <w:rPr>
          <w:rFonts w:asciiTheme="minorBidi" w:hAnsiTheme="minorBidi" w:cstheme="minorBidi"/>
          <w:lang w:val="fr-FR"/>
        </w:rPr>
        <w:t>Les premières mesures prises dans ces trois domaines ont fait l</w:t>
      </w:r>
      <w:r w:rsidR="00595A56" w:rsidRPr="003B3052">
        <w:rPr>
          <w:rFonts w:asciiTheme="minorBidi" w:hAnsiTheme="minorBidi" w:cstheme="minorBidi"/>
          <w:lang w:val="fr-FR"/>
        </w:rPr>
        <w:t>’</w:t>
      </w:r>
      <w:r w:rsidR="00FE3BE6" w:rsidRPr="003B3052">
        <w:rPr>
          <w:rFonts w:asciiTheme="minorBidi" w:hAnsiTheme="minorBidi" w:cstheme="minorBidi"/>
          <w:lang w:val="fr-FR"/>
        </w:rPr>
        <w:t>objet d</w:t>
      </w:r>
      <w:r w:rsidR="00595A56" w:rsidRPr="003B3052">
        <w:rPr>
          <w:rFonts w:asciiTheme="minorBidi" w:hAnsiTheme="minorBidi" w:cstheme="minorBidi"/>
          <w:lang w:val="fr-FR"/>
        </w:rPr>
        <w:t>’</w:t>
      </w:r>
      <w:r w:rsidR="00FE3BE6" w:rsidRPr="003B3052">
        <w:rPr>
          <w:rFonts w:asciiTheme="minorBidi" w:hAnsiTheme="minorBidi" w:cstheme="minorBidi"/>
          <w:lang w:val="fr-FR"/>
        </w:rPr>
        <w:t>un premier rapport à la seizième session du Comité en décembre 2021</w:t>
      </w:r>
      <w:r w:rsidR="00D95F6C" w:rsidRPr="003B3052">
        <w:rPr>
          <w:rFonts w:asciiTheme="minorBidi" w:hAnsiTheme="minorBidi" w:cstheme="minorBidi"/>
          <w:lang w:val="fr-FR"/>
        </w:rPr>
        <w:t xml:space="preserve">, qui a invité le Secrétariat à poursuivre ses efforts </w:t>
      </w:r>
      <w:r w:rsidR="005B3E96" w:rsidRPr="003B3052">
        <w:rPr>
          <w:rFonts w:asciiTheme="minorBidi" w:hAnsiTheme="minorBidi" w:cstheme="minorBidi"/>
          <w:lang w:val="fr-FR"/>
        </w:rPr>
        <w:t xml:space="preserve">(décision </w:t>
      </w:r>
      <w:hyperlink r:id="rId12" w:history="1">
        <w:r w:rsidR="005B3E96" w:rsidRPr="003B3052">
          <w:rPr>
            <w:rStyle w:val="Lienhypertexte"/>
            <w:rFonts w:asciiTheme="minorBidi" w:hAnsiTheme="minorBidi" w:cstheme="minorBidi"/>
            <w:lang w:val="fr-FR"/>
          </w:rPr>
          <w:t>16.COM 5.b</w:t>
        </w:r>
      </w:hyperlink>
      <w:r w:rsidR="005B3E96" w:rsidRPr="003B3052">
        <w:rPr>
          <w:rFonts w:asciiTheme="minorBidi" w:hAnsiTheme="minorBidi" w:cstheme="minorBidi"/>
          <w:lang w:val="fr-FR"/>
        </w:rPr>
        <w:t>)</w:t>
      </w:r>
      <w:r w:rsidR="00D95F6C" w:rsidRPr="003B3052">
        <w:rPr>
          <w:rFonts w:asciiTheme="minorBidi" w:hAnsiTheme="minorBidi" w:cstheme="minorBidi"/>
          <w:lang w:val="fr-FR"/>
        </w:rPr>
        <w:t xml:space="preserve">. La </w:t>
      </w:r>
      <w:r w:rsidR="00FE3BE6" w:rsidRPr="003B3052">
        <w:rPr>
          <w:rFonts w:asciiTheme="minorBidi" w:hAnsiTheme="minorBidi" w:cstheme="minorBidi"/>
          <w:lang w:val="fr-FR"/>
        </w:rPr>
        <w:t>neuvième session de l</w:t>
      </w:r>
      <w:r w:rsidR="00595A56" w:rsidRPr="003B3052">
        <w:rPr>
          <w:rFonts w:asciiTheme="minorBidi" w:hAnsiTheme="minorBidi" w:cstheme="minorBidi"/>
          <w:lang w:val="fr-FR"/>
        </w:rPr>
        <w:t>’</w:t>
      </w:r>
      <w:r w:rsidR="00FE3BE6" w:rsidRPr="003B3052">
        <w:rPr>
          <w:rFonts w:asciiTheme="minorBidi" w:hAnsiTheme="minorBidi" w:cstheme="minorBidi"/>
          <w:lang w:val="fr-FR"/>
        </w:rPr>
        <w:t xml:space="preserve">Assemblée générale en juillet 2022 a </w:t>
      </w:r>
      <w:r w:rsidR="00DA1BB3" w:rsidRPr="003B3052">
        <w:rPr>
          <w:rFonts w:asciiTheme="minorBidi" w:hAnsiTheme="minorBidi" w:cstheme="minorBidi"/>
          <w:lang w:val="fr-FR"/>
        </w:rPr>
        <w:t>de nouveau fait part de ses</w:t>
      </w:r>
      <w:r w:rsidR="00D95F6C" w:rsidRPr="003B3052">
        <w:rPr>
          <w:rFonts w:asciiTheme="minorBidi" w:hAnsiTheme="minorBidi" w:cstheme="minorBidi"/>
          <w:lang w:val="fr-FR"/>
        </w:rPr>
        <w:t xml:space="preserve"> encouragement</w:t>
      </w:r>
      <w:r w:rsidR="00DA1BB3" w:rsidRPr="003B3052">
        <w:rPr>
          <w:rFonts w:asciiTheme="minorBidi" w:hAnsiTheme="minorBidi" w:cstheme="minorBidi"/>
          <w:lang w:val="fr-FR"/>
        </w:rPr>
        <w:t>s</w:t>
      </w:r>
      <w:r w:rsidR="00D95F6C" w:rsidRPr="003B3052">
        <w:rPr>
          <w:rFonts w:asciiTheme="minorBidi" w:hAnsiTheme="minorBidi" w:cstheme="minorBidi"/>
          <w:lang w:val="fr-FR"/>
        </w:rPr>
        <w:t xml:space="preserve"> </w:t>
      </w:r>
      <w:r w:rsidR="00C41194" w:rsidRPr="003B3052">
        <w:rPr>
          <w:rFonts w:asciiTheme="minorBidi" w:hAnsiTheme="minorBidi" w:cstheme="minorBidi"/>
          <w:lang w:val="fr-FR"/>
        </w:rPr>
        <w:t>à l’encontre de</w:t>
      </w:r>
      <w:r w:rsidR="00DA1BB3" w:rsidRPr="003B3052">
        <w:rPr>
          <w:rFonts w:asciiTheme="minorBidi" w:hAnsiTheme="minorBidi" w:cstheme="minorBidi"/>
          <w:lang w:val="fr-FR"/>
        </w:rPr>
        <w:t xml:space="preserve"> </w:t>
      </w:r>
      <w:r w:rsidR="00D95F6C" w:rsidRPr="003B3052">
        <w:rPr>
          <w:rFonts w:asciiTheme="minorBidi" w:hAnsiTheme="minorBidi" w:cstheme="minorBidi"/>
          <w:lang w:val="fr-FR"/>
        </w:rPr>
        <w:t>l</w:t>
      </w:r>
      <w:r w:rsidR="00595A56" w:rsidRPr="003B3052">
        <w:rPr>
          <w:rFonts w:asciiTheme="minorBidi" w:hAnsiTheme="minorBidi" w:cstheme="minorBidi"/>
          <w:lang w:val="fr-FR"/>
        </w:rPr>
        <w:t>’</w:t>
      </w:r>
      <w:r w:rsidR="00877C0C" w:rsidRPr="003B3052">
        <w:rPr>
          <w:rFonts w:asciiTheme="minorBidi" w:hAnsiTheme="minorBidi" w:cstheme="minorBidi"/>
          <w:lang w:val="fr-FR"/>
        </w:rPr>
        <w:t>initiative</w:t>
      </w:r>
      <w:r w:rsidR="00C41194" w:rsidRPr="003B3052">
        <w:rPr>
          <w:rFonts w:asciiTheme="minorBidi" w:hAnsiTheme="minorBidi" w:cstheme="minorBidi"/>
          <w:lang w:val="fr-FR"/>
        </w:rPr>
        <w:t>,</w:t>
      </w:r>
      <w:r w:rsidR="00877C0C" w:rsidRPr="003B3052">
        <w:rPr>
          <w:rFonts w:asciiTheme="minorBidi" w:hAnsiTheme="minorBidi" w:cstheme="minorBidi"/>
          <w:lang w:val="fr-FR"/>
        </w:rPr>
        <w:t xml:space="preserve"> en appréciant </w:t>
      </w:r>
      <w:r w:rsidR="00354FF3" w:rsidRPr="003B3052">
        <w:rPr>
          <w:rFonts w:asciiTheme="minorBidi" w:hAnsiTheme="minorBidi" w:cstheme="minorBidi"/>
          <w:lang w:val="fr-FR"/>
        </w:rPr>
        <w:t xml:space="preserve">les progrès réalisés dans le cadre des initiatives thématiques </w:t>
      </w:r>
      <w:r w:rsidR="00426AB7" w:rsidRPr="003B3052">
        <w:rPr>
          <w:rFonts w:asciiTheme="minorBidi" w:hAnsiTheme="minorBidi" w:cstheme="minorBidi"/>
          <w:lang w:val="fr-FR"/>
        </w:rPr>
        <w:t>(</w:t>
      </w:r>
      <w:r w:rsidR="00FB32B8" w:rsidRPr="003B3052">
        <w:rPr>
          <w:lang w:val="fr-FR"/>
        </w:rPr>
        <w:t>r</w:t>
      </w:r>
      <w:r w:rsidR="00426AB7" w:rsidRPr="003B3052">
        <w:rPr>
          <w:lang w:val="fr-FR"/>
        </w:rPr>
        <w:t xml:space="preserve">ésolution </w:t>
      </w:r>
      <w:hyperlink r:id="rId13" w:history="1">
        <w:r w:rsidR="00426AB7" w:rsidRPr="003B3052">
          <w:rPr>
            <w:rStyle w:val="Lienhypertexte"/>
            <w:rFonts w:cs="Arial"/>
            <w:lang w:val="fr-FR"/>
          </w:rPr>
          <w:t>9.GA 6</w:t>
        </w:r>
      </w:hyperlink>
      <w:r w:rsidR="00426AB7" w:rsidRPr="003B3052">
        <w:rPr>
          <w:lang w:val="fr-FR"/>
        </w:rPr>
        <w:t>)</w:t>
      </w:r>
      <w:r w:rsidR="00354FF3" w:rsidRPr="003B3052">
        <w:rPr>
          <w:rFonts w:asciiTheme="minorBidi" w:hAnsiTheme="minorBidi" w:cstheme="minorBidi"/>
          <w:lang w:val="fr-FR"/>
        </w:rPr>
        <w:t xml:space="preserve">. Le présent document </w:t>
      </w:r>
      <w:r w:rsidR="00C41194" w:rsidRPr="003B3052">
        <w:rPr>
          <w:rFonts w:asciiTheme="minorBidi" w:hAnsiTheme="minorBidi" w:cstheme="minorBidi"/>
          <w:lang w:val="fr-FR"/>
        </w:rPr>
        <w:t>fait rapport</w:t>
      </w:r>
      <w:r w:rsidR="00354FF3" w:rsidRPr="003B3052">
        <w:rPr>
          <w:rFonts w:asciiTheme="minorBidi" w:hAnsiTheme="minorBidi" w:cstheme="minorBidi"/>
          <w:lang w:val="fr-FR"/>
        </w:rPr>
        <w:t xml:space="preserve"> des actions entreprises depuis décembre 2021 pour faire progresser les travaux thématiques.</w:t>
      </w:r>
    </w:p>
    <w:p w14:paraId="17A64360" w14:textId="21D261E0" w:rsidR="0038462E" w:rsidRPr="003B3052" w:rsidRDefault="00DA1BB3">
      <w:pPr>
        <w:pStyle w:val="Titre4"/>
        <w:spacing w:before="240"/>
        <w:ind w:left="567" w:hanging="567"/>
        <w:rPr>
          <w:lang w:val="fr-FR"/>
        </w:rPr>
      </w:pPr>
      <w:r w:rsidRPr="003B3052">
        <w:rPr>
          <w:lang w:val="fr-FR"/>
        </w:rPr>
        <w:t xml:space="preserve">Aspects </w:t>
      </w:r>
      <w:r w:rsidR="00FE3BE6" w:rsidRPr="003B3052">
        <w:rPr>
          <w:lang w:val="fr-FR"/>
        </w:rPr>
        <w:t>économiques de la sauvegarde du patrimoine culturel immatériel</w:t>
      </w:r>
    </w:p>
    <w:p w14:paraId="60736BA0" w14:textId="6FF544E2" w:rsidR="0038462E" w:rsidRPr="003B3052" w:rsidRDefault="00FE3BE6">
      <w:pPr>
        <w:pStyle w:val="GAPara"/>
        <w:numPr>
          <w:ilvl w:val="0"/>
          <w:numId w:val="34"/>
        </w:numPr>
        <w:ind w:left="567" w:hanging="567"/>
        <w:jc w:val="both"/>
        <w:rPr>
          <w:lang w:val="fr-FR"/>
        </w:rPr>
      </w:pPr>
      <w:r w:rsidRPr="003B3052">
        <w:rPr>
          <w:lang w:val="fr-FR"/>
        </w:rPr>
        <w:t xml:space="preserve">Les activités économiques </w:t>
      </w:r>
      <w:r w:rsidR="00F5081D" w:rsidRPr="003B3052">
        <w:rPr>
          <w:lang w:val="fr-FR"/>
        </w:rPr>
        <w:t>liées à la pratique du patrimoine vivant</w:t>
      </w:r>
      <w:r w:rsidRPr="003B3052">
        <w:rPr>
          <w:lang w:val="fr-FR"/>
        </w:rPr>
        <w:t xml:space="preserve">, ainsi que le commerce de biens et services culturels liés aux </w:t>
      </w:r>
      <w:r w:rsidR="00F5081D" w:rsidRPr="003B3052">
        <w:rPr>
          <w:lang w:val="fr-FR"/>
        </w:rPr>
        <w:t xml:space="preserve">expressions du </w:t>
      </w:r>
      <w:r w:rsidRPr="003B3052">
        <w:rPr>
          <w:lang w:val="fr-FR"/>
        </w:rPr>
        <w:t xml:space="preserve">patrimoine culturel immatériel, peuvent générer des revenus pour leurs </w:t>
      </w:r>
      <w:r w:rsidR="00FB32B8" w:rsidRPr="003B3052">
        <w:rPr>
          <w:lang w:val="fr-FR"/>
        </w:rPr>
        <w:t>praticiens</w:t>
      </w:r>
      <w:r w:rsidR="00A72825" w:rsidRPr="003B3052">
        <w:rPr>
          <w:lang w:val="fr-FR"/>
        </w:rPr>
        <w:t xml:space="preserve">, contribuant ainsi </w:t>
      </w:r>
      <w:r w:rsidRPr="003B3052">
        <w:rPr>
          <w:lang w:val="fr-FR"/>
        </w:rPr>
        <w:t xml:space="preserve">à </w:t>
      </w:r>
      <w:r w:rsidR="00A72825" w:rsidRPr="003B3052">
        <w:rPr>
          <w:lang w:val="fr-FR"/>
        </w:rPr>
        <w:t xml:space="preserve">améliorer </w:t>
      </w:r>
      <w:r w:rsidRPr="003B3052">
        <w:rPr>
          <w:lang w:val="fr-FR"/>
        </w:rPr>
        <w:t xml:space="preserve">les </w:t>
      </w:r>
      <w:r w:rsidR="00A72825" w:rsidRPr="003B3052">
        <w:rPr>
          <w:lang w:val="fr-FR"/>
        </w:rPr>
        <w:t xml:space="preserve">moyens de subsistance </w:t>
      </w:r>
      <w:r w:rsidRPr="003B3052">
        <w:rPr>
          <w:lang w:val="fr-FR"/>
        </w:rPr>
        <w:t xml:space="preserve">des communautés qui pratiquent </w:t>
      </w:r>
      <w:r w:rsidR="00151ADB" w:rsidRPr="003B3052">
        <w:rPr>
          <w:lang w:val="fr-FR"/>
        </w:rPr>
        <w:t xml:space="preserve">et transmettent </w:t>
      </w:r>
      <w:r w:rsidRPr="003B3052">
        <w:rPr>
          <w:lang w:val="fr-FR"/>
        </w:rPr>
        <w:t>ce patrimoine, ainsi qu</w:t>
      </w:r>
      <w:r w:rsidR="00595A56" w:rsidRPr="003B3052">
        <w:rPr>
          <w:lang w:val="fr-FR"/>
        </w:rPr>
        <w:t>’</w:t>
      </w:r>
      <w:r w:rsidRPr="003B3052">
        <w:rPr>
          <w:lang w:val="fr-FR"/>
        </w:rPr>
        <w:t>à renforcer l</w:t>
      </w:r>
      <w:r w:rsidR="00595A56" w:rsidRPr="003B3052">
        <w:rPr>
          <w:lang w:val="fr-FR"/>
        </w:rPr>
        <w:t>’</w:t>
      </w:r>
      <w:r w:rsidRPr="003B3052">
        <w:rPr>
          <w:rFonts w:asciiTheme="minorBidi" w:hAnsiTheme="minorBidi" w:cstheme="minorBidi"/>
          <w:lang w:val="fr-FR"/>
        </w:rPr>
        <w:t xml:space="preserve">économie locale et à améliorer la cohésion sociale. </w:t>
      </w:r>
      <w:r w:rsidRPr="003B3052">
        <w:rPr>
          <w:lang w:val="fr-FR"/>
        </w:rPr>
        <w:t xml:space="preserve">Cependant, </w:t>
      </w:r>
      <w:r w:rsidR="00151ADB" w:rsidRPr="003B3052">
        <w:rPr>
          <w:lang w:val="fr-FR"/>
        </w:rPr>
        <w:t xml:space="preserve">les impacts négatifs potentiels de </w:t>
      </w:r>
      <w:r w:rsidR="00FB32B8" w:rsidRPr="003B3052">
        <w:rPr>
          <w:lang w:val="fr-FR"/>
        </w:rPr>
        <w:t xml:space="preserve">telles </w:t>
      </w:r>
      <w:r w:rsidRPr="003B3052">
        <w:rPr>
          <w:lang w:val="fr-FR"/>
        </w:rPr>
        <w:t>activités</w:t>
      </w:r>
      <w:r w:rsidR="00151ADB" w:rsidRPr="003B3052">
        <w:rPr>
          <w:lang w:val="fr-FR"/>
        </w:rPr>
        <w:t>, qu</w:t>
      </w:r>
      <w:r w:rsidR="00595A56" w:rsidRPr="003B3052">
        <w:rPr>
          <w:lang w:val="fr-FR"/>
        </w:rPr>
        <w:t>’</w:t>
      </w:r>
      <w:r w:rsidR="00151ADB" w:rsidRPr="003B3052">
        <w:rPr>
          <w:lang w:val="fr-FR"/>
        </w:rPr>
        <w:t xml:space="preserve">ils soient intentionnels ou non, sur la </w:t>
      </w:r>
      <w:r w:rsidRPr="003B3052">
        <w:rPr>
          <w:lang w:val="fr-FR"/>
        </w:rPr>
        <w:t xml:space="preserve">viabilité du patrimoine culturel immatériel </w:t>
      </w:r>
      <w:r w:rsidR="00151ADB" w:rsidRPr="003B3052">
        <w:rPr>
          <w:lang w:val="fr-FR"/>
        </w:rPr>
        <w:t xml:space="preserve">suscitent des inquiétudes croissantes </w:t>
      </w:r>
      <w:r w:rsidR="00FE6D72" w:rsidRPr="003B3052">
        <w:rPr>
          <w:lang w:val="fr-FR"/>
        </w:rPr>
        <w:t xml:space="preserve">pour </w:t>
      </w:r>
      <w:r w:rsidR="00151ADB" w:rsidRPr="003B3052">
        <w:rPr>
          <w:lang w:val="fr-FR"/>
        </w:rPr>
        <w:t>les communautés qui le pratiquent</w:t>
      </w:r>
      <w:r w:rsidR="00A72825" w:rsidRPr="003B3052">
        <w:rPr>
          <w:lang w:val="fr-FR"/>
        </w:rPr>
        <w:t xml:space="preserve">. </w:t>
      </w:r>
      <w:r w:rsidR="00F5081D" w:rsidRPr="003B3052">
        <w:rPr>
          <w:lang w:val="fr-FR"/>
        </w:rPr>
        <w:t xml:space="preserve">Les </w:t>
      </w:r>
      <w:r w:rsidRPr="003B3052">
        <w:rPr>
          <w:lang w:val="fr-FR"/>
        </w:rPr>
        <w:t xml:space="preserve">menaces et les risques qui pèsent sur le </w:t>
      </w:r>
      <w:r w:rsidR="00246B81" w:rsidRPr="003B3052">
        <w:rPr>
          <w:lang w:val="fr-FR"/>
        </w:rPr>
        <w:t xml:space="preserve">patrimoine culturel immatériel </w:t>
      </w:r>
      <w:r w:rsidRPr="003B3052">
        <w:rPr>
          <w:lang w:val="fr-FR"/>
        </w:rPr>
        <w:t>et qui sont liés à des activités commerciales sont divers</w:t>
      </w:r>
      <w:r w:rsidR="00246B81" w:rsidRPr="003B3052">
        <w:rPr>
          <w:lang w:val="fr-FR"/>
        </w:rPr>
        <w:t>, qu</w:t>
      </w:r>
      <w:r w:rsidR="00595A56" w:rsidRPr="003B3052">
        <w:rPr>
          <w:lang w:val="fr-FR"/>
        </w:rPr>
        <w:t>’</w:t>
      </w:r>
      <w:r w:rsidR="00246B81" w:rsidRPr="003B3052">
        <w:rPr>
          <w:lang w:val="fr-FR"/>
        </w:rPr>
        <w:t>il s</w:t>
      </w:r>
      <w:r w:rsidR="00595A56" w:rsidRPr="003B3052">
        <w:rPr>
          <w:lang w:val="fr-FR"/>
        </w:rPr>
        <w:t>’</w:t>
      </w:r>
      <w:r w:rsidR="00246B81" w:rsidRPr="003B3052">
        <w:rPr>
          <w:lang w:val="fr-FR"/>
        </w:rPr>
        <w:t xml:space="preserve">agisse de </w:t>
      </w:r>
      <w:r w:rsidR="00C41194" w:rsidRPr="003B3052">
        <w:rPr>
          <w:lang w:val="fr-FR"/>
        </w:rPr>
        <w:t>le « figer »,</w:t>
      </w:r>
      <w:r w:rsidR="00FE6D72" w:rsidRPr="003B3052">
        <w:rPr>
          <w:lang w:val="fr-FR"/>
        </w:rPr>
        <w:t xml:space="preserve"> </w:t>
      </w:r>
      <w:r w:rsidR="00246B81" w:rsidRPr="003B3052">
        <w:rPr>
          <w:lang w:val="fr-FR"/>
        </w:rPr>
        <w:t xml:space="preserve">de la </w:t>
      </w:r>
      <w:r w:rsidRPr="003B3052">
        <w:rPr>
          <w:lang w:val="fr-FR"/>
        </w:rPr>
        <w:t xml:space="preserve">perte ou de la </w:t>
      </w:r>
      <w:r w:rsidR="00FE6D72" w:rsidRPr="003B3052">
        <w:rPr>
          <w:lang w:val="fr-FR"/>
        </w:rPr>
        <w:t>distorsion de son objectif</w:t>
      </w:r>
      <w:r w:rsidRPr="003B3052">
        <w:rPr>
          <w:lang w:val="fr-FR"/>
        </w:rPr>
        <w:t xml:space="preserve"> et de sa signification</w:t>
      </w:r>
      <w:r w:rsidR="00246B81" w:rsidRPr="003B3052">
        <w:rPr>
          <w:lang w:val="fr-FR"/>
        </w:rPr>
        <w:t xml:space="preserve">, de sa décontextualisation, de son </w:t>
      </w:r>
      <w:r w:rsidR="00FE6D72" w:rsidRPr="003B3052">
        <w:rPr>
          <w:lang w:val="fr-FR"/>
        </w:rPr>
        <w:t>détournement</w:t>
      </w:r>
      <w:r w:rsidRPr="003B3052">
        <w:rPr>
          <w:lang w:val="fr-FR"/>
        </w:rPr>
        <w:t xml:space="preserve"> </w:t>
      </w:r>
      <w:r w:rsidR="00246B81" w:rsidRPr="003B3052">
        <w:rPr>
          <w:lang w:val="fr-FR"/>
        </w:rPr>
        <w:t xml:space="preserve">ou de sa </w:t>
      </w:r>
      <w:r w:rsidR="00151ADB" w:rsidRPr="003B3052">
        <w:rPr>
          <w:lang w:val="fr-FR"/>
        </w:rPr>
        <w:t>commercialisation excessive</w:t>
      </w:r>
      <w:r w:rsidRPr="003B3052">
        <w:rPr>
          <w:lang w:val="fr-FR"/>
        </w:rPr>
        <w:t xml:space="preserve">. </w:t>
      </w:r>
      <w:r w:rsidR="007702A5" w:rsidRPr="003B3052">
        <w:rPr>
          <w:lang w:val="fr-FR"/>
        </w:rPr>
        <w:t xml:space="preserve">La Convention et ses Directives opérationnelles (notamment les paragraphes 116, 117 ainsi que le chapitre VI.2) reconnaissent </w:t>
      </w:r>
      <w:r w:rsidR="00246B81" w:rsidRPr="003B3052">
        <w:rPr>
          <w:lang w:val="fr-FR"/>
        </w:rPr>
        <w:t xml:space="preserve">la complexité des interrelations entre les </w:t>
      </w:r>
      <w:r w:rsidR="007702A5" w:rsidRPr="003B3052">
        <w:rPr>
          <w:lang w:val="fr-FR"/>
        </w:rPr>
        <w:t>activités économiques et la sauvegarde du patrimoine culturel immatériel</w:t>
      </w:r>
      <w:r w:rsidR="00C41194" w:rsidRPr="003B3052">
        <w:rPr>
          <w:lang w:val="fr-FR"/>
        </w:rPr>
        <w:t>,</w:t>
      </w:r>
      <w:r w:rsidR="007702A5" w:rsidRPr="003B3052">
        <w:rPr>
          <w:lang w:val="fr-FR"/>
        </w:rPr>
        <w:t xml:space="preserve"> et proposent des mesures générales pour atténuer ces </w:t>
      </w:r>
      <w:r w:rsidR="001E733D" w:rsidRPr="003B3052">
        <w:rPr>
          <w:lang w:val="fr-FR"/>
        </w:rPr>
        <w:t xml:space="preserve">risques </w:t>
      </w:r>
      <w:r w:rsidR="007702A5" w:rsidRPr="003B3052">
        <w:rPr>
          <w:lang w:val="fr-FR"/>
        </w:rPr>
        <w:t>et garantir le rôle primordial des communautés en tant que moteurs et bénéficiaires de ces activités</w:t>
      </w:r>
      <w:r w:rsidR="00151ADB" w:rsidRPr="003B3052">
        <w:rPr>
          <w:lang w:val="fr-FR"/>
        </w:rPr>
        <w:t xml:space="preserve">, conformément aux </w:t>
      </w:r>
      <w:hyperlink r:id="rId14" w:history="1">
        <w:r w:rsidR="00151ADB" w:rsidRPr="003B3052">
          <w:rPr>
            <w:rStyle w:val="Lienhypertexte"/>
            <w:rFonts w:cs="Arial"/>
            <w:lang w:val="fr-FR"/>
          </w:rPr>
          <w:t>Principes éthiques pour la sauvegarde du patrimoine culturel immatériel</w:t>
        </w:r>
      </w:hyperlink>
      <w:r w:rsidR="007702A5" w:rsidRPr="003B3052">
        <w:rPr>
          <w:lang w:val="fr-FR"/>
        </w:rPr>
        <w:t>.</w:t>
      </w:r>
    </w:p>
    <w:p w14:paraId="46F4CA57" w14:textId="717D79B9" w:rsidR="0038462E" w:rsidRPr="00455AF1" w:rsidRDefault="00FE3BE6">
      <w:pPr>
        <w:pStyle w:val="GAPara"/>
        <w:numPr>
          <w:ilvl w:val="0"/>
          <w:numId w:val="34"/>
        </w:numPr>
        <w:ind w:left="567" w:hanging="567"/>
        <w:jc w:val="both"/>
        <w:rPr>
          <w:lang w:val="fr-FR"/>
        </w:rPr>
      </w:pPr>
      <w:r w:rsidRPr="00455AF1">
        <w:rPr>
          <w:rFonts w:asciiTheme="minorBidi" w:hAnsiTheme="minorBidi" w:cstheme="minorBidi"/>
          <w:lang w:val="fr-FR"/>
        </w:rPr>
        <w:t>Le Comité et ses organes d</w:t>
      </w:r>
      <w:r w:rsidR="00595A56" w:rsidRPr="00455AF1">
        <w:rPr>
          <w:rFonts w:asciiTheme="minorBidi" w:hAnsiTheme="minorBidi" w:cstheme="minorBidi"/>
          <w:lang w:val="fr-FR"/>
        </w:rPr>
        <w:t>’</w:t>
      </w:r>
      <w:r w:rsidRPr="00455AF1">
        <w:rPr>
          <w:rFonts w:asciiTheme="minorBidi" w:hAnsiTheme="minorBidi" w:cstheme="minorBidi"/>
          <w:lang w:val="fr-FR"/>
        </w:rPr>
        <w:t xml:space="preserve">évaluation ont réfléchi à de nombreuses reprises aux </w:t>
      </w:r>
      <w:r w:rsidR="00C521E0" w:rsidRPr="00455AF1">
        <w:rPr>
          <w:rFonts w:asciiTheme="minorBidi" w:hAnsiTheme="minorBidi" w:cstheme="minorBidi"/>
          <w:lang w:val="fr-FR"/>
        </w:rPr>
        <w:t xml:space="preserve">aspects </w:t>
      </w:r>
      <w:r w:rsidRPr="00455AF1">
        <w:rPr>
          <w:rFonts w:asciiTheme="minorBidi" w:hAnsiTheme="minorBidi" w:cstheme="minorBidi"/>
          <w:lang w:val="fr-FR"/>
        </w:rPr>
        <w:t xml:space="preserve">économiques de la sauvegarde du patrimoine culturel </w:t>
      </w:r>
      <w:r w:rsidRPr="00455AF1">
        <w:rPr>
          <w:lang w:val="fr-FR"/>
        </w:rPr>
        <w:t>immatériel</w:t>
      </w:r>
      <w:r w:rsidRPr="00455AF1">
        <w:rPr>
          <w:rFonts w:asciiTheme="minorBidi" w:hAnsiTheme="minorBidi" w:cstheme="minorBidi"/>
          <w:lang w:val="fr-FR"/>
        </w:rPr>
        <w:t>, y compris ses aspects positifs et négatifs, en particulier dans le cadre de l</w:t>
      </w:r>
      <w:r w:rsidR="00595A56" w:rsidRPr="00455AF1">
        <w:rPr>
          <w:rFonts w:asciiTheme="minorBidi" w:hAnsiTheme="minorBidi" w:cstheme="minorBidi"/>
          <w:lang w:val="fr-FR"/>
        </w:rPr>
        <w:t>’</w:t>
      </w:r>
      <w:r w:rsidRPr="00455AF1">
        <w:rPr>
          <w:rFonts w:asciiTheme="minorBidi" w:hAnsiTheme="minorBidi" w:cstheme="minorBidi"/>
          <w:lang w:val="fr-FR"/>
        </w:rPr>
        <w:t xml:space="preserve">examen des candidatures aux </w:t>
      </w:r>
      <w:r w:rsidR="00AA6CB0" w:rsidRPr="00455AF1">
        <w:rPr>
          <w:rFonts w:asciiTheme="minorBidi" w:hAnsiTheme="minorBidi" w:cstheme="minorBidi"/>
          <w:lang w:val="fr-FR"/>
        </w:rPr>
        <w:t>L</w:t>
      </w:r>
      <w:r w:rsidRPr="00455AF1">
        <w:rPr>
          <w:rFonts w:asciiTheme="minorBidi" w:hAnsiTheme="minorBidi" w:cstheme="minorBidi"/>
          <w:lang w:val="fr-FR"/>
        </w:rPr>
        <w:t>istes de la Convention et des rapports périodiques sur la mise en œuvre de la Convention au niveau national.</w:t>
      </w:r>
      <w:r w:rsidR="001E733D" w:rsidRPr="00455AF1">
        <w:rPr>
          <w:rStyle w:val="Appelnotedebasdep"/>
          <w:rFonts w:asciiTheme="minorBidi" w:hAnsiTheme="minorBidi" w:cstheme="minorBidi"/>
          <w:lang w:val="fr-FR"/>
        </w:rPr>
        <w:footnoteReference w:id="2"/>
      </w:r>
      <w:r w:rsidR="001E733D" w:rsidRPr="00455AF1">
        <w:rPr>
          <w:lang w:val="fr-FR"/>
        </w:rPr>
        <w:t xml:space="preserve"> Lors de sa quatorzième session en décembre 2019, le Comité a demandé au Secrétariat </w:t>
      </w:r>
      <w:r w:rsidR="00595A56" w:rsidRPr="00455AF1">
        <w:rPr>
          <w:lang w:val="fr-FR"/>
        </w:rPr>
        <w:t>« </w:t>
      </w:r>
      <w:r w:rsidR="001E733D" w:rsidRPr="00455AF1">
        <w:rPr>
          <w:lang w:val="fr-FR"/>
        </w:rPr>
        <w:t>de publier les recommandations de l</w:t>
      </w:r>
      <w:r w:rsidR="00595A56" w:rsidRPr="00455AF1">
        <w:rPr>
          <w:lang w:val="fr-FR"/>
        </w:rPr>
        <w:t>’</w:t>
      </w:r>
      <w:r w:rsidR="001E733D" w:rsidRPr="00455AF1">
        <w:rPr>
          <w:lang w:val="fr-FR"/>
        </w:rPr>
        <w:t>Organe d</w:t>
      </w:r>
      <w:r w:rsidR="00595A56" w:rsidRPr="00455AF1">
        <w:rPr>
          <w:lang w:val="fr-FR"/>
        </w:rPr>
        <w:t>’</w:t>
      </w:r>
      <w:r w:rsidR="001E733D" w:rsidRPr="00455AF1">
        <w:rPr>
          <w:lang w:val="fr-FR"/>
        </w:rPr>
        <w:t xml:space="preserve">évaluation sur les mesures de sauvegarde et les bonnes pratiques qui traitent du risque de décontextualisation et de commercialisation </w:t>
      </w:r>
      <w:r w:rsidR="00AA6CB0" w:rsidRPr="00455AF1">
        <w:rPr>
          <w:lang w:val="fr-FR"/>
        </w:rPr>
        <w:t xml:space="preserve">excessive </w:t>
      </w:r>
      <w:r w:rsidR="001E733D" w:rsidRPr="00455AF1">
        <w:rPr>
          <w:lang w:val="fr-FR"/>
        </w:rPr>
        <w:t>des éléments</w:t>
      </w:r>
      <w:r w:rsidR="00AA6CB0" w:rsidRPr="00455AF1">
        <w:rPr>
          <w:lang w:val="fr-FR"/>
        </w:rPr>
        <w:t>,</w:t>
      </w:r>
      <w:r w:rsidR="001E733D" w:rsidRPr="00455AF1">
        <w:rPr>
          <w:lang w:val="fr-FR"/>
        </w:rPr>
        <w:t xml:space="preserve"> dans une note d</w:t>
      </w:r>
      <w:r w:rsidR="00595A56" w:rsidRPr="00455AF1">
        <w:rPr>
          <w:lang w:val="fr-FR"/>
        </w:rPr>
        <w:t>’</w:t>
      </w:r>
      <w:r w:rsidR="001E733D" w:rsidRPr="00455AF1">
        <w:rPr>
          <w:lang w:val="fr-FR"/>
        </w:rPr>
        <w:t xml:space="preserve">orientation </w:t>
      </w:r>
      <w:r w:rsidR="00AA6CB0" w:rsidRPr="00455AF1">
        <w:rPr>
          <w:lang w:val="fr-FR"/>
        </w:rPr>
        <w:t>pour les</w:t>
      </w:r>
      <w:r w:rsidR="001E733D" w:rsidRPr="00455AF1">
        <w:rPr>
          <w:lang w:val="fr-FR"/>
        </w:rPr>
        <w:t xml:space="preserve"> communautés et </w:t>
      </w:r>
      <w:r w:rsidR="00AA6CB0" w:rsidRPr="00455AF1">
        <w:rPr>
          <w:lang w:val="fr-FR"/>
        </w:rPr>
        <w:t xml:space="preserve">les </w:t>
      </w:r>
      <w:r w:rsidR="001E733D" w:rsidRPr="00455AF1">
        <w:rPr>
          <w:lang w:val="fr-FR"/>
        </w:rPr>
        <w:t>États parties</w:t>
      </w:r>
      <w:r w:rsidR="00595A56" w:rsidRPr="00455AF1">
        <w:rPr>
          <w:lang w:val="fr-FR"/>
        </w:rPr>
        <w:t> »</w:t>
      </w:r>
      <w:r w:rsidR="001E733D" w:rsidRPr="00455AF1">
        <w:rPr>
          <w:lang w:val="fr-FR"/>
        </w:rPr>
        <w:t xml:space="preserve"> </w:t>
      </w:r>
      <w:r w:rsidR="00D74DA0" w:rsidRPr="00455AF1">
        <w:rPr>
          <w:lang w:val="fr-FR"/>
        </w:rPr>
        <w:t xml:space="preserve">(décision </w:t>
      </w:r>
      <w:hyperlink r:id="rId15" w:history="1">
        <w:r w:rsidR="00D74DA0" w:rsidRPr="00455AF1">
          <w:rPr>
            <w:rStyle w:val="Lienhypertexte"/>
            <w:rFonts w:asciiTheme="minorBidi" w:hAnsiTheme="minorBidi" w:cstheme="minorBidi"/>
            <w:lang w:val="fr-FR"/>
          </w:rPr>
          <w:t>14.COM 10</w:t>
        </w:r>
      </w:hyperlink>
      <w:r w:rsidR="00D74DA0" w:rsidRPr="00455AF1">
        <w:rPr>
          <w:rFonts w:asciiTheme="minorBidi" w:hAnsiTheme="minorBidi" w:cstheme="minorBidi"/>
          <w:lang w:val="fr-FR"/>
        </w:rPr>
        <w:t>, paragraphe 14)</w:t>
      </w:r>
      <w:r w:rsidR="001E733D" w:rsidRPr="00455AF1">
        <w:rPr>
          <w:lang w:val="fr-FR"/>
        </w:rPr>
        <w:t xml:space="preserve">. Cette décision a été </w:t>
      </w:r>
      <w:r w:rsidR="00D74DA0" w:rsidRPr="00455AF1">
        <w:rPr>
          <w:lang w:val="fr-FR"/>
        </w:rPr>
        <w:t xml:space="preserve">prise sur la </w:t>
      </w:r>
      <w:r w:rsidR="004C09F4" w:rsidRPr="00455AF1">
        <w:rPr>
          <w:lang w:val="fr-FR"/>
        </w:rPr>
        <w:lastRenderedPageBreak/>
        <w:t xml:space="preserve">base </w:t>
      </w:r>
      <w:r w:rsidR="00D74DA0" w:rsidRPr="00455AF1">
        <w:rPr>
          <w:lang w:val="fr-FR"/>
        </w:rPr>
        <w:t>des préoccupations récurrentes exprimées par l</w:t>
      </w:r>
      <w:r w:rsidR="00595A56" w:rsidRPr="00455AF1">
        <w:rPr>
          <w:lang w:val="fr-FR"/>
        </w:rPr>
        <w:t>’</w:t>
      </w:r>
      <w:r w:rsidR="00D74DA0" w:rsidRPr="00455AF1">
        <w:rPr>
          <w:lang w:val="fr-FR"/>
        </w:rPr>
        <w:t>Organe d</w:t>
      </w:r>
      <w:r w:rsidR="00595A56" w:rsidRPr="00455AF1">
        <w:rPr>
          <w:lang w:val="fr-FR"/>
        </w:rPr>
        <w:t>’</w:t>
      </w:r>
      <w:r w:rsidR="00D74DA0" w:rsidRPr="00455AF1">
        <w:rPr>
          <w:lang w:val="fr-FR"/>
        </w:rPr>
        <w:t xml:space="preserve">évaluation concernant </w:t>
      </w:r>
      <w:r w:rsidR="002E20ED" w:rsidRPr="00455AF1">
        <w:rPr>
          <w:lang w:val="fr-FR"/>
        </w:rPr>
        <w:t xml:space="preserve">(a) </w:t>
      </w:r>
      <w:r w:rsidR="004C09F4" w:rsidRPr="00455AF1">
        <w:rPr>
          <w:lang w:val="fr-FR"/>
        </w:rPr>
        <w:t xml:space="preserve">les </w:t>
      </w:r>
      <w:r w:rsidR="00AA6CB0" w:rsidRPr="00455AF1">
        <w:rPr>
          <w:lang w:val="fr-FR"/>
        </w:rPr>
        <w:t xml:space="preserve">aspects </w:t>
      </w:r>
      <w:r w:rsidR="00D74DA0" w:rsidRPr="00455AF1">
        <w:rPr>
          <w:lang w:val="fr-FR"/>
        </w:rPr>
        <w:t xml:space="preserve">économiques </w:t>
      </w:r>
      <w:r w:rsidR="00AA6CB0" w:rsidRPr="00455AF1">
        <w:rPr>
          <w:lang w:val="fr-FR"/>
        </w:rPr>
        <w:t>mis en évidence par</w:t>
      </w:r>
      <w:r w:rsidR="002E20ED" w:rsidRPr="00455AF1">
        <w:rPr>
          <w:lang w:val="fr-FR"/>
        </w:rPr>
        <w:t xml:space="preserve"> </w:t>
      </w:r>
      <w:r w:rsidR="00D74DA0" w:rsidRPr="00455AF1">
        <w:rPr>
          <w:lang w:val="fr-FR"/>
        </w:rPr>
        <w:t xml:space="preserve">certaines </w:t>
      </w:r>
      <w:r w:rsidR="00AA6CB0" w:rsidRPr="00455AF1">
        <w:rPr>
          <w:lang w:val="fr-FR"/>
        </w:rPr>
        <w:t xml:space="preserve">candidature </w:t>
      </w:r>
      <w:r w:rsidR="004F7AB6" w:rsidRPr="00455AF1">
        <w:rPr>
          <w:lang w:val="fr-FR"/>
        </w:rPr>
        <w:t xml:space="preserve">sur les Listes de la Convention </w:t>
      </w:r>
      <w:r w:rsidR="002E20ED" w:rsidRPr="00455AF1">
        <w:rPr>
          <w:lang w:val="fr-FR"/>
        </w:rPr>
        <w:t xml:space="preserve">et (b) </w:t>
      </w:r>
      <w:r w:rsidR="00D74DA0" w:rsidRPr="00455AF1">
        <w:rPr>
          <w:lang w:val="fr-FR"/>
        </w:rPr>
        <w:t>les risques perçus de</w:t>
      </w:r>
      <w:r w:rsidR="00AA6CB0" w:rsidRPr="00455AF1">
        <w:rPr>
          <w:lang w:val="fr-FR"/>
        </w:rPr>
        <w:t>s</w:t>
      </w:r>
      <w:r w:rsidR="00D74DA0" w:rsidRPr="00455AF1">
        <w:rPr>
          <w:lang w:val="fr-FR"/>
        </w:rPr>
        <w:t xml:space="preserve"> mesures de sauvegarde planifiées qui pourraient ne pas donner suffisamment la priorité à la sauvegarde des fonctions sociales et des significations culturelles</w:t>
      </w:r>
      <w:r w:rsidR="002E20ED" w:rsidRPr="00455AF1">
        <w:rPr>
          <w:lang w:val="fr-FR"/>
        </w:rPr>
        <w:t xml:space="preserve">, </w:t>
      </w:r>
      <w:r w:rsidR="0099216C" w:rsidRPr="00455AF1">
        <w:rPr>
          <w:lang w:val="fr-FR"/>
        </w:rPr>
        <w:t xml:space="preserve">conduisant ainsi à </w:t>
      </w:r>
      <w:r w:rsidR="00151ADB" w:rsidRPr="00455AF1">
        <w:rPr>
          <w:lang w:val="fr-FR"/>
        </w:rPr>
        <w:t xml:space="preserve">leur </w:t>
      </w:r>
      <w:r w:rsidR="0099216C" w:rsidRPr="00455AF1">
        <w:rPr>
          <w:lang w:val="fr-FR"/>
        </w:rPr>
        <w:t>décontextualisation potentielle en raison d</w:t>
      </w:r>
      <w:r w:rsidR="00595A56" w:rsidRPr="00455AF1">
        <w:rPr>
          <w:lang w:val="fr-FR"/>
        </w:rPr>
        <w:t>’</w:t>
      </w:r>
      <w:r w:rsidR="0099216C" w:rsidRPr="00455AF1">
        <w:rPr>
          <w:lang w:val="fr-FR"/>
        </w:rPr>
        <w:t>une commercialisation</w:t>
      </w:r>
      <w:r w:rsidR="00AA6CB0" w:rsidRPr="00455AF1">
        <w:rPr>
          <w:lang w:val="fr-FR"/>
        </w:rPr>
        <w:t xml:space="preserve"> excessive</w:t>
      </w:r>
      <w:r w:rsidR="004C09F4" w:rsidRPr="00455AF1">
        <w:rPr>
          <w:lang w:val="fr-FR"/>
        </w:rPr>
        <w:t xml:space="preserve">, par exemple par le biais </w:t>
      </w:r>
      <w:r w:rsidR="00AA6CB0" w:rsidRPr="00455AF1">
        <w:rPr>
          <w:lang w:val="fr-FR"/>
        </w:rPr>
        <w:t>de la marque</w:t>
      </w:r>
      <w:r w:rsidR="004C09F4" w:rsidRPr="00455AF1">
        <w:rPr>
          <w:lang w:val="fr-FR"/>
        </w:rPr>
        <w:t xml:space="preserve"> ou de l</w:t>
      </w:r>
      <w:r w:rsidR="00595A56" w:rsidRPr="00455AF1">
        <w:rPr>
          <w:lang w:val="fr-FR"/>
        </w:rPr>
        <w:t>’</w:t>
      </w:r>
      <w:r w:rsidR="004C09F4" w:rsidRPr="00455AF1">
        <w:rPr>
          <w:lang w:val="fr-FR"/>
        </w:rPr>
        <w:t>étiquetage d</w:t>
      </w:r>
      <w:r w:rsidR="00595A56" w:rsidRPr="00455AF1">
        <w:rPr>
          <w:lang w:val="fr-FR"/>
        </w:rPr>
        <w:t>’</w:t>
      </w:r>
      <w:r w:rsidR="004C09F4" w:rsidRPr="00455AF1">
        <w:rPr>
          <w:lang w:val="fr-FR"/>
        </w:rPr>
        <w:t>un produit associé à une pratique du patrimoine vivant. L</w:t>
      </w:r>
      <w:r w:rsidR="00595A56" w:rsidRPr="00455AF1">
        <w:rPr>
          <w:lang w:val="fr-FR"/>
        </w:rPr>
        <w:t>’</w:t>
      </w:r>
      <w:r w:rsidR="002E20ED" w:rsidRPr="00455AF1">
        <w:rPr>
          <w:lang w:val="fr-FR"/>
        </w:rPr>
        <w:t>importance d</w:t>
      </w:r>
      <w:r w:rsidR="00595A56" w:rsidRPr="00455AF1">
        <w:rPr>
          <w:lang w:val="fr-FR"/>
        </w:rPr>
        <w:t>’</w:t>
      </w:r>
      <w:r w:rsidR="002E20ED" w:rsidRPr="00455AF1">
        <w:rPr>
          <w:lang w:val="fr-FR"/>
        </w:rPr>
        <w:t>une note d</w:t>
      </w:r>
      <w:r w:rsidR="00595A56" w:rsidRPr="00455AF1">
        <w:rPr>
          <w:lang w:val="fr-FR"/>
        </w:rPr>
        <w:t>’</w:t>
      </w:r>
      <w:r w:rsidR="002E20ED" w:rsidRPr="00455AF1">
        <w:rPr>
          <w:lang w:val="fr-FR"/>
        </w:rPr>
        <w:t>orientation est soulignée dans le rapport de l</w:t>
      </w:r>
      <w:r w:rsidR="00595A56" w:rsidRPr="00455AF1">
        <w:rPr>
          <w:lang w:val="fr-FR"/>
        </w:rPr>
        <w:t>’</w:t>
      </w:r>
      <w:r w:rsidR="002E20ED" w:rsidRPr="00455AF1">
        <w:rPr>
          <w:lang w:val="fr-FR"/>
        </w:rPr>
        <w:t>Organe d</w:t>
      </w:r>
      <w:r w:rsidR="00595A56" w:rsidRPr="00455AF1">
        <w:rPr>
          <w:lang w:val="fr-FR"/>
        </w:rPr>
        <w:t>’</w:t>
      </w:r>
      <w:r w:rsidR="002E20ED" w:rsidRPr="00455AF1">
        <w:rPr>
          <w:lang w:val="fr-FR"/>
        </w:rPr>
        <w:t>évaluation 2022 présenté pour examen par cette session du Comité au point 7 de l</w:t>
      </w:r>
      <w:r w:rsidR="00595A56" w:rsidRPr="00455AF1">
        <w:rPr>
          <w:lang w:val="fr-FR"/>
        </w:rPr>
        <w:t>’</w:t>
      </w:r>
      <w:r w:rsidR="002E20ED" w:rsidRPr="00455AF1">
        <w:rPr>
          <w:lang w:val="fr-FR"/>
        </w:rPr>
        <w:t xml:space="preserve">ordre du jour provisoire (document </w:t>
      </w:r>
      <w:hyperlink r:id="rId16" w:history="1">
        <w:r w:rsidR="002E20ED" w:rsidRPr="00455AF1">
          <w:rPr>
            <w:rStyle w:val="Lienhypertexte"/>
            <w:rFonts w:cs="Arial"/>
            <w:lang w:val="fr-FR"/>
          </w:rPr>
          <w:t>LHE/22/17.COM/7</w:t>
        </w:r>
      </w:hyperlink>
      <w:r w:rsidR="002E20ED" w:rsidRPr="00455AF1">
        <w:rPr>
          <w:lang w:val="fr-FR"/>
        </w:rPr>
        <w:t>).</w:t>
      </w:r>
    </w:p>
    <w:p w14:paraId="3803570E" w14:textId="07DF5B0E" w:rsidR="0038462E" w:rsidRPr="003B3052" w:rsidRDefault="00F07D9C">
      <w:pPr>
        <w:pStyle w:val="GAPara"/>
        <w:numPr>
          <w:ilvl w:val="0"/>
          <w:numId w:val="34"/>
        </w:numPr>
        <w:ind w:left="567" w:hanging="567"/>
        <w:jc w:val="both"/>
        <w:rPr>
          <w:rFonts w:asciiTheme="minorBidi" w:hAnsiTheme="minorBidi" w:cstheme="minorBidi"/>
          <w:lang w:val="fr-FR"/>
        </w:rPr>
      </w:pPr>
      <w:r w:rsidRPr="003B3052">
        <w:rPr>
          <w:rFonts w:asciiTheme="minorBidi" w:hAnsiTheme="minorBidi" w:cstheme="minorBidi"/>
          <w:lang w:val="fr-FR"/>
        </w:rPr>
        <w:t>Dans un premier temps,</w:t>
      </w:r>
      <w:r w:rsidR="00FE3BE6" w:rsidRPr="003B3052">
        <w:rPr>
          <w:rFonts w:asciiTheme="minorBidi" w:hAnsiTheme="minorBidi" w:cstheme="minorBidi"/>
          <w:lang w:val="fr-FR"/>
        </w:rPr>
        <w:t xml:space="preserve"> </w:t>
      </w:r>
      <w:r w:rsidRPr="003B3052">
        <w:rPr>
          <w:rFonts w:asciiTheme="minorBidi" w:hAnsiTheme="minorBidi" w:cstheme="minorBidi"/>
          <w:lang w:val="fr-FR"/>
        </w:rPr>
        <w:t xml:space="preserve">pour parvenir à </w:t>
      </w:r>
      <w:r w:rsidR="001E733D" w:rsidRPr="003B3052">
        <w:rPr>
          <w:rFonts w:asciiTheme="minorBidi" w:hAnsiTheme="minorBidi" w:cstheme="minorBidi"/>
          <w:lang w:val="fr-FR"/>
        </w:rPr>
        <w:t>l</w:t>
      </w:r>
      <w:r w:rsidR="00595A56" w:rsidRPr="003B3052">
        <w:rPr>
          <w:rFonts w:asciiTheme="minorBidi" w:hAnsiTheme="minorBidi" w:cstheme="minorBidi"/>
          <w:lang w:val="fr-FR"/>
        </w:rPr>
        <w:t>’</w:t>
      </w:r>
      <w:r w:rsidR="00C40B5E" w:rsidRPr="003B3052">
        <w:rPr>
          <w:rFonts w:asciiTheme="minorBidi" w:hAnsiTheme="minorBidi" w:cstheme="minorBidi"/>
          <w:lang w:val="fr-FR"/>
        </w:rPr>
        <w:t>élaboration d</w:t>
      </w:r>
      <w:r w:rsidR="00595A56" w:rsidRPr="003B3052">
        <w:rPr>
          <w:rFonts w:asciiTheme="minorBidi" w:hAnsiTheme="minorBidi" w:cstheme="minorBidi"/>
          <w:lang w:val="fr-FR"/>
        </w:rPr>
        <w:t>’</w:t>
      </w:r>
      <w:r w:rsidR="00C40B5E" w:rsidRPr="003B3052">
        <w:rPr>
          <w:rFonts w:asciiTheme="minorBidi" w:hAnsiTheme="minorBidi" w:cstheme="minorBidi"/>
          <w:lang w:val="fr-FR"/>
        </w:rPr>
        <w:t>une note d</w:t>
      </w:r>
      <w:r w:rsidR="00595A56" w:rsidRPr="003B3052">
        <w:rPr>
          <w:rFonts w:asciiTheme="minorBidi" w:hAnsiTheme="minorBidi" w:cstheme="minorBidi"/>
          <w:lang w:val="fr-FR"/>
        </w:rPr>
        <w:t>’</w:t>
      </w:r>
      <w:r w:rsidR="00C40B5E" w:rsidRPr="003B3052">
        <w:rPr>
          <w:rFonts w:asciiTheme="minorBidi" w:hAnsiTheme="minorBidi" w:cstheme="minorBidi"/>
          <w:lang w:val="fr-FR"/>
        </w:rPr>
        <w:t xml:space="preserve">orientation </w:t>
      </w:r>
      <w:r w:rsidR="00597C32" w:rsidRPr="003B3052">
        <w:rPr>
          <w:rFonts w:asciiTheme="minorBidi" w:hAnsiTheme="minorBidi" w:cstheme="minorBidi"/>
          <w:lang w:val="fr-FR"/>
        </w:rPr>
        <w:t xml:space="preserve">qui </w:t>
      </w:r>
      <w:r w:rsidR="00586B93" w:rsidRPr="003B3052">
        <w:rPr>
          <w:rFonts w:asciiTheme="minorBidi" w:hAnsiTheme="minorBidi" w:cstheme="minorBidi"/>
          <w:lang w:val="fr-FR"/>
        </w:rPr>
        <w:t xml:space="preserve">aborderait </w:t>
      </w:r>
      <w:r w:rsidR="00597C32" w:rsidRPr="003B3052">
        <w:rPr>
          <w:rFonts w:asciiTheme="minorBidi" w:hAnsiTheme="minorBidi" w:cstheme="minorBidi"/>
          <w:lang w:val="fr-FR"/>
        </w:rPr>
        <w:t xml:space="preserve">non seulement </w:t>
      </w:r>
      <w:r w:rsidR="00586B93" w:rsidRPr="003B3052">
        <w:rPr>
          <w:rFonts w:asciiTheme="minorBidi" w:hAnsiTheme="minorBidi" w:cstheme="minorBidi"/>
          <w:lang w:val="fr-FR"/>
        </w:rPr>
        <w:t xml:space="preserve">le </w:t>
      </w:r>
      <w:r w:rsidR="00597C32" w:rsidRPr="003B3052">
        <w:rPr>
          <w:rFonts w:asciiTheme="minorBidi" w:hAnsiTheme="minorBidi" w:cstheme="minorBidi"/>
          <w:lang w:val="fr-FR"/>
        </w:rPr>
        <w:t xml:space="preserve">risque de décontextualisation et de commercialisation </w:t>
      </w:r>
      <w:r w:rsidR="00586B93" w:rsidRPr="003B3052">
        <w:rPr>
          <w:rFonts w:asciiTheme="minorBidi" w:hAnsiTheme="minorBidi" w:cstheme="minorBidi"/>
          <w:lang w:val="fr-FR"/>
        </w:rPr>
        <w:t xml:space="preserve">excessive </w:t>
      </w:r>
      <w:r w:rsidR="00597C32" w:rsidRPr="003B3052">
        <w:rPr>
          <w:rFonts w:asciiTheme="minorBidi" w:hAnsiTheme="minorBidi" w:cstheme="minorBidi"/>
          <w:lang w:val="fr-FR"/>
        </w:rPr>
        <w:t>du patrimoine culturel immatériel</w:t>
      </w:r>
      <w:r w:rsidR="00EB4E6C" w:rsidRPr="003B3052">
        <w:rPr>
          <w:rFonts w:asciiTheme="minorBidi" w:hAnsiTheme="minorBidi" w:cstheme="minorBidi"/>
          <w:lang w:val="fr-FR"/>
        </w:rPr>
        <w:t>, mais qui fournirait une vue d</w:t>
      </w:r>
      <w:r w:rsidR="00595A56" w:rsidRPr="003B3052">
        <w:rPr>
          <w:rFonts w:asciiTheme="minorBidi" w:hAnsiTheme="minorBidi" w:cstheme="minorBidi"/>
          <w:lang w:val="fr-FR"/>
        </w:rPr>
        <w:t>’</w:t>
      </w:r>
      <w:r w:rsidR="00EB4E6C" w:rsidRPr="003B3052">
        <w:rPr>
          <w:rFonts w:asciiTheme="minorBidi" w:hAnsiTheme="minorBidi" w:cstheme="minorBidi"/>
          <w:lang w:val="fr-FR"/>
        </w:rPr>
        <w:t xml:space="preserve">ensemble plus complète des </w:t>
      </w:r>
      <w:r w:rsidR="00597C32" w:rsidRPr="003B3052">
        <w:rPr>
          <w:rFonts w:asciiTheme="minorBidi" w:hAnsiTheme="minorBidi" w:cstheme="minorBidi"/>
          <w:lang w:val="fr-FR"/>
        </w:rPr>
        <w:t xml:space="preserve">aspects économiques </w:t>
      </w:r>
      <w:r w:rsidR="0082085D" w:rsidRPr="003B3052">
        <w:rPr>
          <w:rFonts w:asciiTheme="minorBidi" w:hAnsiTheme="minorBidi" w:cstheme="minorBidi"/>
          <w:lang w:val="fr-FR"/>
        </w:rPr>
        <w:t>des</w:t>
      </w:r>
      <w:r w:rsidR="00EB4E6C" w:rsidRPr="003B3052">
        <w:rPr>
          <w:rFonts w:asciiTheme="minorBidi" w:hAnsiTheme="minorBidi" w:cstheme="minorBidi"/>
          <w:lang w:val="fr-FR"/>
        </w:rPr>
        <w:t xml:space="preserve"> actions de sauvegarde</w:t>
      </w:r>
      <w:r w:rsidR="00FE3BE6" w:rsidRPr="003B3052">
        <w:rPr>
          <w:rFonts w:asciiTheme="minorBidi" w:hAnsiTheme="minorBidi" w:cstheme="minorBidi"/>
          <w:lang w:val="fr-FR"/>
        </w:rPr>
        <w:t xml:space="preserve">, </w:t>
      </w:r>
      <w:r w:rsidR="00597C32" w:rsidRPr="003B3052">
        <w:rPr>
          <w:rFonts w:asciiTheme="minorBidi" w:hAnsiTheme="minorBidi" w:cstheme="minorBidi"/>
          <w:lang w:val="fr-FR"/>
        </w:rPr>
        <w:t>le Secrétariat a entrepris une série d</w:t>
      </w:r>
      <w:r w:rsidR="00595A56" w:rsidRPr="003B3052">
        <w:rPr>
          <w:rFonts w:asciiTheme="minorBidi" w:hAnsiTheme="minorBidi" w:cstheme="minorBidi"/>
          <w:lang w:val="fr-FR"/>
        </w:rPr>
        <w:t>’</w:t>
      </w:r>
      <w:r w:rsidR="00597C32" w:rsidRPr="003B3052">
        <w:rPr>
          <w:rFonts w:asciiTheme="minorBidi" w:hAnsiTheme="minorBidi" w:cstheme="minorBidi"/>
          <w:lang w:val="fr-FR"/>
        </w:rPr>
        <w:t xml:space="preserve">actions </w:t>
      </w:r>
      <w:r w:rsidR="00151ADB" w:rsidRPr="003B3052">
        <w:rPr>
          <w:rFonts w:asciiTheme="minorBidi" w:hAnsiTheme="minorBidi" w:cstheme="minorBidi"/>
          <w:lang w:val="fr-FR"/>
        </w:rPr>
        <w:t>en 2021 et début de 2022</w:t>
      </w:r>
      <w:r w:rsidR="00EB4E6C" w:rsidRPr="003B3052">
        <w:rPr>
          <w:rFonts w:asciiTheme="minorBidi" w:hAnsiTheme="minorBidi" w:cstheme="minorBidi"/>
          <w:lang w:val="fr-FR"/>
        </w:rPr>
        <w:t xml:space="preserve">, y compris la </w:t>
      </w:r>
      <w:r w:rsidR="00FE3BE6" w:rsidRPr="003B3052">
        <w:rPr>
          <w:rFonts w:asciiTheme="minorBidi" w:hAnsiTheme="minorBidi" w:cstheme="minorBidi"/>
          <w:lang w:val="fr-FR"/>
        </w:rPr>
        <w:t xml:space="preserve">compilation des décisions </w:t>
      </w:r>
      <w:r w:rsidR="0082085D" w:rsidRPr="003B3052">
        <w:rPr>
          <w:rFonts w:asciiTheme="minorBidi" w:hAnsiTheme="minorBidi" w:cstheme="minorBidi"/>
          <w:lang w:val="fr-FR"/>
        </w:rPr>
        <w:t xml:space="preserve">antérieures </w:t>
      </w:r>
      <w:r w:rsidR="00FE3BE6" w:rsidRPr="003B3052">
        <w:rPr>
          <w:rFonts w:asciiTheme="minorBidi" w:hAnsiTheme="minorBidi" w:cstheme="minorBidi"/>
          <w:lang w:val="fr-FR"/>
        </w:rPr>
        <w:t xml:space="preserve">des organes directeurs de la Convention, les </w:t>
      </w:r>
      <w:r w:rsidR="00EB4E6C" w:rsidRPr="003B3052">
        <w:rPr>
          <w:rFonts w:asciiTheme="minorBidi" w:hAnsiTheme="minorBidi" w:cstheme="minorBidi"/>
          <w:lang w:val="fr-FR"/>
        </w:rPr>
        <w:t xml:space="preserve">recommandations </w:t>
      </w:r>
      <w:r w:rsidR="00FE3BE6" w:rsidRPr="003B3052">
        <w:rPr>
          <w:rFonts w:asciiTheme="minorBidi" w:hAnsiTheme="minorBidi" w:cstheme="minorBidi"/>
          <w:lang w:val="fr-FR"/>
        </w:rPr>
        <w:t>des organes d</w:t>
      </w:r>
      <w:r w:rsidR="00595A56" w:rsidRPr="003B3052">
        <w:rPr>
          <w:rFonts w:asciiTheme="minorBidi" w:hAnsiTheme="minorBidi" w:cstheme="minorBidi"/>
          <w:lang w:val="fr-FR"/>
        </w:rPr>
        <w:t>’</w:t>
      </w:r>
      <w:r w:rsidR="00FE3BE6" w:rsidRPr="003B3052">
        <w:rPr>
          <w:rFonts w:asciiTheme="minorBidi" w:hAnsiTheme="minorBidi" w:cstheme="minorBidi"/>
          <w:lang w:val="fr-FR"/>
        </w:rPr>
        <w:t xml:space="preserve">évaluation, </w:t>
      </w:r>
      <w:r w:rsidR="00EB4E6C" w:rsidRPr="003B3052">
        <w:rPr>
          <w:rFonts w:asciiTheme="minorBidi" w:hAnsiTheme="minorBidi" w:cstheme="minorBidi"/>
          <w:lang w:val="fr-FR"/>
        </w:rPr>
        <w:t xml:space="preserve">un </w:t>
      </w:r>
      <w:r w:rsidR="00FE3BE6" w:rsidRPr="003B3052">
        <w:rPr>
          <w:rFonts w:asciiTheme="minorBidi" w:hAnsiTheme="minorBidi" w:cstheme="minorBidi"/>
          <w:lang w:val="fr-FR"/>
        </w:rPr>
        <w:t xml:space="preserve">examen de la littérature existante, la </w:t>
      </w:r>
      <w:r w:rsidR="0082085D" w:rsidRPr="003B3052">
        <w:rPr>
          <w:rFonts w:asciiTheme="minorBidi" w:hAnsiTheme="minorBidi" w:cstheme="minorBidi"/>
          <w:lang w:val="fr-FR"/>
        </w:rPr>
        <w:t xml:space="preserve">mise en place </w:t>
      </w:r>
      <w:r w:rsidR="00FE3BE6" w:rsidRPr="003B3052">
        <w:rPr>
          <w:rFonts w:asciiTheme="minorBidi" w:hAnsiTheme="minorBidi" w:cstheme="minorBidi"/>
          <w:lang w:val="fr-FR"/>
        </w:rPr>
        <w:t>d</w:t>
      </w:r>
      <w:r w:rsidR="00595A56" w:rsidRPr="003B3052">
        <w:rPr>
          <w:rFonts w:asciiTheme="minorBidi" w:hAnsiTheme="minorBidi" w:cstheme="minorBidi"/>
          <w:lang w:val="fr-FR"/>
        </w:rPr>
        <w:t>’</w:t>
      </w:r>
      <w:r w:rsidR="00FE3BE6" w:rsidRPr="003B3052">
        <w:rPr>
          <w:rFonts w:asciiTheme="minorBidi" w:hAnsiTheme="minorBidi" w:cstheme="minorBidi"/>
          <w:lang w:val="fr-FR"/>
        </w:rPr>
        <w:t>un groupe d</w:t>
      </w:r>
      <w:r w:rsidR="00595A56" w:rsidRPr="003B3052">
        <w:rPr>
          <w:rFonts w:asciiTheme="minorBidi" w:hAnsiTheme="minorBidi" w:cstheme="minorBidi"/>
          <w:lang w:val="fr-FR"/>
        </w:rPr>
        <w:t>’</w:t>
      </w:r>
      <w:r w:rsidR="00EB4E6C" w:rsidRPr="003B3052">
        <w:rPr>
          <w:rFonts w:asciiTheme="minorBidi" w:hAnsiTheme="minorBidi" w:cstheme="minorBidi"/>
          <w:lang w:val="fr-FR"/>
        </w:rPr>
        <w:t>experts chargé de l</w:t>
      </w:r>
      <w:r w:rsidR="00595A56" w:rsidRPr="003B3052">
        <w:rPr>
          <w:rFonts w:asciiTheme="minorBidi" w:hAnsiTheme="minorBidi" w:cstheme="minorBidi"/>
          <w:lang w:val="fr-FR"/>
        </w:rPr>
        <w:t>’</w:t>
      </w:r>
      <w:r w:rsidR="00FE3BE6" w:rsidRPr="003B3052">
        <w:rPr>
          <w:rFonts w:asciiTheme="minorBidi" w:hAnsiTheme="minorBidi" w:cstheme="minorBidi"/>
          <w:lang w:val="fr-FR"/>
        </w:rPr>
        <w:t>examen</w:t>
      </w:r>
      <w:r w:rsidRPr="003B3052">
        <w:rPr>
          <w:rFonts w:asciiTheme="minorBidi" w:hAnsiTheme="minorBidi" w:cstheme="minorBidi"/>
          <w:lang w:val="fr-FR"/>
        </w:rPr>
        <w:t xml:space="preserve">, </w:t>
      </w:r>
      <w:r w:rsidR="00FE3BE6" w:rsidRPr="003B3052">
        <w:rPr>
          <w:rFonts w:asciiTheme="minorBidi" w:hAnsiTheme="minorBidi" w:cstheme="minorBidi"/>
          <w:lang w:val="fr-FR"/>
        </w:rPr>
        <w:t>et l</w:t>
      </w:r>
      <w:r w:rsidR="00595A56" w:rsidRPr="003B3052">
        <w:rPr>
          <w:rFonts w:asciiTheme="minorBidi" w:hAnsiTheme="minorBidi" w:cstheme="minorBidi"/>
          <w:lang w:val="fr-FR"/>
        </w:rPr>
        <w:t>’</w:t>
      </w:r>
      <w:r w:rsidR="00FE3BE6" w:rsidRPr="003B3052">
        <w:rPr>
          <w:rFonts w:asciiTheme="minorBidi" w:hAnsiTheme="minorBidi" w:cstheme="minorBidi"/>
          <w:lang w:val="fr-FR"/>
        </w:rPr>
        <w:t>élaboration d</w:t>
      </w:r>
      <w:r w:rsidR="00595A56" w:rsidRPr="003B3052">
        <w:rPr>
          <w:rFonts w:asciiTheme="minorBidi" w:hAnsiTheme="minorBidi" w:cstheme="minorBidi"/>
          <w:lang w:val="fr-FR"/>
        </w:rPr>
        <w:t>’</w:t>
      </w:r>
      <w:r w:rsidR="00FE3BE6" w:rsidRPr="003B3052">
        <w:rPr>
          <w:rFonts w:asciiTheme="minorBidi" w:hAnsiTheme="minorBidi" w:cstheme="minorBidi"/>
          <w:lang w:val="fr-FR"/>
        </w:rPr>
        <w:t xml:space="preserve">une </w:t>
      </w:r>
      <w:r w:rsidR="00C40B5E" w:rsidRPr="003B3052">
        <w:rPr>
          <w:rFonts w:asciiTheme="minorBidi" w:hAnsiTheme="minorBidi" w:cstheme="minorBidi"/>
          <w:lang w:val="fr-FR"/>
        </w:rPr>
        <w:t>première série d</w:t>
      </w:r>
      <w:r w:rsidR="00595A56" w:rsidRPr="003B3052">
        <w:rPr>
          <w:rFonts w:asciiTheme="minorBidi" w:hAnsiTheme="minorBidi" w:cstheme="minorBidi"/>
          <w:lang w:val="fr-FR"/>
        </w:rPr>
        <w:t>’</w:t>
      </w:r>
      <w:r w:rsidR="00FE3BE6" w:rsidRPr="003B3052">
        <w:rPr>
          <w:rFonts w:asciiTheme="minorBidi" w:hAnsiTheme="minorBidi" w:cstheme="minorBidi"/>
          <w:lang w:val="fr-FR"/>
        </w:rPr>
        <w:t>études de cas provenant de différentes régions du monde.</w:t>
      </w:r>
    </w:p>
    <w:p w14:paraId="732F79B1" w14:textId="24501C1C" w:rsidR="0038462E" w:rsidRPr="003B3052" w:rsidRDefault="00FE3BE6">
      <w:pPr>
        <w:pStyle w:val="GAPara"/>
        <w:numPr>
          <w:ilvl w:val="0"/>
          <w:numId w:val="34"/>
        </w:numPr>
        <w:ind w:left="567" w:hanging="567"/>
        <w:jc w:val="both"/>
        <w:rPr>
          <w:rFonts w:asciiTheme="minorBidi" w:hAnsiTheme="minorBidi" w:cstheme="minorBidi"/>
          <w:lang w:val="fr-FR"/>
        </w:rPr>
      </w:pPr>
      <w:r w:rsidRPr="003B3052">
        <w:rPr>
          <w:rFonts w:asciiTheme="minorBidi" w:hAnsiTheme="minorBidi" w:cstheme="minorBidi"/>
          <w:lang w:val="fr-FR"/>
        </w:rPr>
        <w:t xml:space="preserve">Dans un deuxième temps, une </w:t>
      </w:r>
      <w:hyperlink r:id="rId17" w:history="1">
        <w:r w:rsidRPr="003B3052">
          <w:rPr>
            <w:rStyle w:val="Lienhypertexte"/>
            <w:rFonts w:asciiTheme="minorBidi" w:hAnsiTheme="minorBidi" w:cstheme="minorBidi"/>
            <w:lang w:val="fr-FR"/>
          </w:rPr>
          <w:t>enquête mondiale</w:t>
        </w:r>
      </w:hyperlink>
      <w:r w:rsidRPr="003B3052">
        <w:rPr>
          <w:lang w:val="fr-FR"/>
        </w:rPr>
        <w:t xml:space="preserve"> a été lancée </w:t>
      </w:r>
      <w:r w:rsidR="00CC4E38" w:rsidRPr="003B3052">
        <w:rPr>
          <w:lang w:val="fr-FR"/>
        </w:rPr>
        <w:t xml:space="preserve">début </w:t>
      </w:r>
      <w:r w:rsidRPr="003B3052">
        <w:rPr>
          <w:lang w:val="fr-FR"/>
        </w:rPr>
        <w:t xml:space="preserve">octobre 2022 </w:t>
      </w:r>
      <w:r w:rsidR="00151ADB" w:rsidRPr="003B3052">
        <w:rPr>
          <w:lang w:val="fr-FR"/>
        </w:rPr>
        <w:t xml:space="preserve">et </w:t>
      </w:r>
      <w:r w:rsidRPr="003B3052">
        <w:rPr>
          <w:lang w:val="fr-FR"/>
        </w:rPr>
        <w:t xml:space="preserve">adressée à </w:t>
      </w:r>
      <w:r w:rsidR="00EB4E6C" w:rsidRPr="003B3052">
        <w:rPr>
          <w:lang w:val="fr-FR"/>
        </w:rPr>
        <w:t xml:space="preserve">plus de 1 000 </w:t>
      </w:r>
      <w:r w:rsidRPr="003B3052">
        <w:rPr>
          <w:lang w:val="fr-FR"/>
        </w:rPr>
        <w:t xml:space="preserve">parties prenantes </w:t>
      </w:r>
      <w:r w:rsidR="00EB4E6C" w:rsidRPr="003B3052">
        <w:rPr>
          <w:lang w:val="fr-FR"/>
        </w:rPr>
        <w:t>de la Convention</w:t>
      </w:r>
      <w:r w:rsidRPr="003B3052">
        <w:rPr>
          <w:lang w:val="fr-FR"/>
        </w:rPr>
        <w:t xml:space="preserve">, y compris les </w:t>
      </w:r>
      <w:r w:rsidR="00EB4E6C" w:rsidRPr="003B3052">
        <w:rPr>
          <w:lang w:val="fr-FR"/>
        </w:rPr>
        <w:t xml:space="preserve">autorités nationales, les organisations non gouvernementales accréditées, les centres de catégorie 2 </w:t>
      </w:r>
      <w:r w:rsidRPr="003B3052">
        <w:rPr>
          <w:lang w:val="fr-FR"/>
        </w:rPr>
        <w:t xml:space="preserve">et les personnes de contact pour les éléments </w:t>
      </w:r>
      <w:r w:rsidR="00EB4E6C" w:rsidRPr="003B3052">
        <w:rPr>
          <w:lang w:val="fr-FR"/>
        </w:rPr>
        <w:t>inscrits sur les Listes</w:t>
      </w:r>
      <w:r w:rsidR="0070188E" w:rsidRPr="003B3052">
        <w:rPr>
          <w:lang w:val="fr-FR"/>
        </w:rPr>
        <w:t>. L</w:t>
      </w:r>
      <w:r w:rsidR="00595A56" w:rsidRPr="003B3052">
        <w:rPr>
          <w:lang w:val="fr-FR"/>
        </w:rPr>
        <w:t>’</w:t>
      </w:r>
      <w:r w:rsidRPr="003B3052">
        <w:rPr>
          <w:rFonts w:asciiTheme="minorBidi" w:hAnsiTheme="minorBidi" w:cstheme="minorBidi"/>
          <w:lang w:val="fr-FR"/>
        </w:rPr>
        <w:t xml:space="preserve">enquête </w:t>
      </w:r>
      <w:r w:rsidR="00151ADB" w:rsidRPr="003B3052">
        <w:rPr>
          <w:rFonts w:asciiTheme="minorBidi" w:hAnsiTheme="minorBidi" w:cstheme="minorBidi"/>
          <w:lang w:val="fr-FR"/>
        </w:rPr>
        <w:t xml:space="preserve">visait </w:t>
      </w:r>
      <w:r w:rsidR="00F5081D" w:rsidRPr="003B3052">
        <w:rPr>
          <w:rFonts w:asciiTheme="minorBidi" w:hAnsiTheme="minorBidi" w:cstheme="minorBidi"/>
          <w:lang w:val="fr-FR"/>
        </w:rPr>
        <w:t>à identifier (i) les effets positifs et négatifs de la commercialisation relatifs aux éléments du patrimoine culturel immatériel, (ii) les initiatives des États et des communautés visant à maximiser l</w:t>
      </w:r>
      <w:r w:rsidR="00595A56" w:rsidRPr="003B3052">
        <w:rPr>
          <w:rFonts w:asciiTheme="minorBidi" w:hAnsiTheme="minorBidi" w:cstheme="minorBidi"/>
          <w:lang w:val="fr-FR"/>
        </w:rPr>
        <w:t>’</w:t>
      </w:r>
      <w:r w:rsidR="00F5081D" w:rsidRPr="003B3052">
        <w:rPr>
          <w:rFonts w:asciiTheme="minorBidi" w:hAnsiTheme="minorBidi" w:cstheme="minorBidi"/>
          <w:lang w:val="fr-FR"/>
        </w:rPr>
        <w:t>impact positif de la commercialisation pour la sauvegarde du patrimoine culturel immatériel et (iii) les initiatives des États et des communautés visant à prévenir et à atténuer l</w:t>
      </w:r>
      <w:r w:rsidR="00595A56" w:rsidRPr="003B3052">
        <w:rPr>
          <w:rFonts w:asciiTheme="minorBidi" w:hAnsiTheme="minorBidi" w:cstheme="minorBidi"/>
          <w:lang w:val="fr-FR"/>
        </w:rPr>
        <w:t>’</w:t>
      </w:r>
      <w:r w:rsidR="00F5081D" w:rsidRPr="003B3052">
        <w:rPr>
          <w:rFonts w:asciiTheme="minorBidi" w:hAnsiTheme="minorBidi" w:cstheme="minorBidi"/>
          <w:lang w:val="fr-FR"/>
        </w:rPr>
        <w:t xml:space="preserve">impact négatif de la commercialisation </w:t>
      </w:r>
      <w:r w:rsidR="002F10B5" w:rsidRPr="003B3052">
        <w:rPr>
          <w:rFonts w:asciiTheme="minorBidi" w:hAnsiTheme="minorBidi" w:cstheme="minorBidi"/>
          <w:lang w:val="fr-FR"/>
        </w:rPr>
        <w:t>sur le patrimoine culturel immatériel</w:t>
      </w:r>
      <w:r w:rsidR="00F5081D" w:rsidRPr="003B3052">
        <w:rPr>
          <w:rFonts w:asciiTheme="minorBidi" w:hAnsiTheme="minorBidi" w:cstheme="minorBidi"/>
          <w:lang w:val="fr-FR"/>
        </w:rPr>
        <w:t xml:space="preserve">. En </w:t>
      </w:r>
      <w:r w:rsidR="00774869" w:rsidRPr="003B3052">
        <w:rPr>
          <w:rFonts w:asciiTheme="minorBidi" w:hAnsiTheme="minorBidi" w:cstheme="minorBidi"/>
          <w:lang w:val="fr-FR"/>
        </w:rPr>
        <w:t>outre, en s</w:t>
      </w:r>
      <w:r w:rsidR="00595A56" w:rsidRPr="003B3052">
        <w:rPr>
          <w:rFonts w:asciiTheme="minorBidi" w:hAnsiTheme="minorBidi" w:cstheme="minorBidi"/>
          <w:lang w:val="fr-FR"/>
        </w:rPr>
        <w:t>’</w:t>
      </w:r>
      <w:r w:rsidR="00774869" w:rsidRPr="003B3052">
        <w:rPr>
          <w:rFonts w:asciiTheme="minorBidi" w:hAnsiTheme="minorBidi" w:cstheme="minorBidi"/>
          <w:lang w:val="fr-FR"/>
        </w:rPr>
        <w:t xml:space="preserve">adressant </w:t>
      </w:r>
      <w:r w:rsidR="009B38BD" w:rsidRPr="003B3052">
        <w:rPr>
          <w:rFonts w:asciiTheme="minorBidi" w:hAnsiTheme="minorBidi" w:cstheme="minorBidi"/>
          <w:lang w:val="fr-FR"/>
        </w:rPr>
        <w:t xml:space="preserve">aux </w:t>
      </w:r>
      <w:r w:rsidR="00774869" w:rsidRPr="003B3052">
        <w:rPr>
          <w:rFonts w:asciiTheme="minorBidi" w:hAnsiTheme="minorBidi" w:cstheme="minorBidi"/>
          <w:lang w:val="fr-FR"/>
        </w:rPr>
        <w:t xml:space="preserve">personnes de contact des </w:t>
      </w:r>
      <w:r w:rsidR="00062BD0" w:rsidRPr="003B3052">
        <w:rPr>
          <w:rFonts w:asciiTheme="minorBidi" w:hAnsiTheme="minorBidi" w:cstheme="minorBidi"/>
          <w:lang w:val="fr-FR"/>
        </w:rPr>
        <w:t xml:space="preserve">candidatures des </w:t>
      </w:r>
      <w:r w:rsidR="00774869" w:rsidRPr="003B3052">
        <w:rPr>
          <w:rFonts w:asciiTheme="minorBidi" w:hAnsiTheme="minorBidi" w:cstheme="minorBidi"/>
          <w:lang w:val="fr-FR"/>
        </w:rPr>
        <w:t>éléments inscrits, il est espéré que les initiatives thématiques pourraient constituer une plate-forme d</w:t>
      </w:r>
      <w:r w:rsidR="00595A56" w:rsidRPr="003B3052">
        <w:rPr>
          <w:rFonts w:asciiTheme="minorBidi" w:hAnsiTheme="minorBidi" w:cstheme="minorBidi"/>
          <w:lang w:val="fr-FR"/>
        </w:rPr>
        <w:t>’</w:t>
      </w:r>
      <w:r w:rsidR="00774869" w:rsidRPr="003B3052">
        <w:rPr>
          <w:rFonts w:asciiTheme="minorBidi" w:hAnsiTheme="minorBidi" w:cstheme="minorBidi"/>
          <w:lang w:val="fr-FR"/>
        </w:rPr>
        <w:t>engagement pour les communautés, offrant une opportunité de partage d</w:t>
      </w:r>
      <w:r w:rsidR="00595A56" w:rsidRPr="003B3052">
        <w:rPr>
          <w:rFonts w:asciiTheme="minorBidi" w:hAnsiTheme="minorBidi" w:cstheme="minorBidi"/>
          <w:lang w:val="fr-FR"/>
        </w:rPr>
        <w:t>’</w:t>
      </w:r>
      <w:r w:rsidR="00774869" w:rsidRPr="003B3052">
        <w:rPr>
          <w:rFonts w:asciiTheme="minorBidi" w:hAnsiTheme="minorBidi" w:cstheme="minorBidi"/>
          <w:lang w:val="fr-FR"/>
        </w:rPr>
        <w:t>expérience et de mise en réseau entre les communautés confrontées à des problèmes similaires</w:t>
      </w:r>
      <w:r w:rsidR="00062BD0" w:rsidRPr="003B3052">
        <w:rPr>
          <w:rFonts w:asciiTheme="minorBidi" w:hAnsiTheme="minorBidi" w:cstheme="minorBidi"/>
          <w:lang w:val="fr-FR"/>
        </w:rPr>
        <w:t>,</w:t>
      </w:r>
      <w:r w:rsidR="00774869" w:rsidRPr="003B3052">
        <w:rPr>
          <w:rFonts w:asciiTheme="minorBidi" w:hAnsiTheme="minorBidi" w:cstheme="minorBidi"/>
          <w:lang w:val="fr-FR"/>
        </w:rPr>
        <w:t xml:space="preserve"> et leur donnant la possibilité de contribuer </w:t>
      </w:r>
      <w:r w:rsidR="00151ADB" w:rsidRPr="003B3052">
        <w:rPr>
          <w:rFonts w:asciiTheme="minorBidi" w:hAnsiTheme="minorBidi" w:cstheme="minorBidi"/>
          <w:lang w:val="fr-FR"/>
        </w:rPr>
        <w:t xml:space="preserve">directement </w:t>
      </w:r>
      <w:r w:rsidR="00774869" w:rsidRPr="003B3052">
        <w:rPr>
          <w:rFonts w:asciiTheme="minorBidi" w:hAnsiTheme="minorBidi" w:cstheme="minorBidi"/>
          <w:lang w:val="fr-FR"/>
        </w:rPr>
        <w:t xml:space="preserve">aux discussions intergouvernementales </w:t>
      </w:r>
      <w:r w:rsidR="00151ADB" w:rsidRPr="003B3052">
        <w:rPr>
          <w:rFonts w:asciiTheme="minorBidi" w:hAnsiTheme="minorBidi" w:cstheme="minorBidi"/>
          <w:lang w:val="fr-FR"/>
        </w:rPr>
        <w:t>sur le sujet</w:t>
      </w:r>
      <w:r w:rsidR="00774869" w:rsidRPr="003B3052">
        <w:rPr>
          <w:rFonts w:asciiTheme="minorBidi" w:hAnsiTheme="minorBidi" w:cstheme="minorBidi"/>
          <w:lang w:val="fr-FR"/>
        </w:rPr>
        <w:t>.</w:t>
      </w:r>
    </w:p>
    <w:p w14:paraId="7F5C71AF" w14:textId="29395ABB" w:rsidR="0038462E" w:rsidRPr="003B3052" w:rsidRDefault="00FE3BE6">
      <w:pPr>
        <w:pStyle w:val="GAPara"/>
        <w:numPr>
          <w:ilvl w:val="0"/>
          <w:numId w:val="34"/>
        </w:numPr>
        <w:ind w:left="567" w:hanging="567"/>
        <w:jc w:val="both"/>
        <w:rPr>
          <w:rFonts w:asciiTheme="minorBidi" w:hAnsiTheme="minorBidi" w:cstheme="minorBidi"/>
          <w:lang w:val="fr-FR"/>
        </w:rPr>
      </w:pPr>
      <w:r w:rsidRPr="003B3052">
        <w:rPr>
          <w:rFonts w:asciiTheme="minorBidi" w:hAnsiTheme="minorBidi" w:cstheme="minorBidi"/>
          <w:lang w:val="fr-FR"/>
        </w:rPr>
        <w:t xml:space="preserve">Au moment de la rédaction, </w:t>
      </w:r>
      <w:r w:rsidR="00440AEE" w:rsidRPr="003B3052">
        <w:rPr>
          <w:rFonts w:asciiTheme="minorBidi" w:hAnsiTheme="minorBidi" w:cstheme="minorBidi"/>
          <w:lang w:val="fr-FR"/>
        </w:rPr>
        <w:t xml:space="preserve">138 </w:t>
      </w:r>
      <w:r w:rsidRPr="003B3052">
        <w:rPr>
          <w:rFonts w:asciiTheme="minorBidi" w:hAnsiTheme="minorBidi" w:cstheme="minorBidi"/>
          <w:lang w:val="fr-FR"/>
        </w:rPr>
        <w:t xml:space="preserve">répondants de </w:t>
      </w:r>
      <w:r w:rsidR="00B07A79" w:rsidRPr="003B3052">
        <w:rPr>
          <w:rFonts w:asciiTheme="minorBidi" w:hAnsiTheme="minorBidi" w:cstheme="minorBidi"/>
          <w:lang w:val="fr-FR"/>
        </w:rPr>
        <w:t xml:space="preserve">plus de 60 </w:t>
      </w:r>
      <w:r w:rsidRPr="003B3052">
        <w:rPr>
          <w:rFonts w:asciiTheme="minorBidi" w:hAnsiTheme="minorBidi" w:cstheme="minorBidi"/>
          <w:lang w:val="fr-FR"/>
        </w:rPr>
        <w:t>pays avaient participé à l</w:t>
      </w:r>
      <w:r w:rsidR="00595A56" w:rsidRPr="003B3052">
        <w:rPr>
          <w:rFonts w:asciiTheme="minorBidi" w:hAnsiTheme="minorBidi" w:cstheme="minorBidi"/>
          <w:lang w:val="fr-FR"/>
        </w:rPr>
        <w:t>’</w:t>
      </w:r>
      <w:r w:rsidRPr="003B3052">
        <w:rPr>
          <w:rFonts w:asciiTheme="minorBidi" w:hAnsiTheme="minorBidi" w:cstheme="minorBidi"/>
          <w:lang w:val="fr-FR"/>
        </w:rPr>
        <w:t xml:space="preserve">enquête. Les </w:t>
      </w:r>
      <w:r w:rsidR="0070188E" w:rsidRPr="003B3052">
        <w:rPr>
          <w:rFonts w:asciiTheme="minorBidi" w:hAnsiTheme="minorBidi" w:cstheme="minorBidi"/>
          <w:lang w:val="fr-FR"/>
        </w:rPr>
        <w:t>résultats de l</w:t>
      </w:r>
      <w:r w:rsidR="00595A56" w:rsidRPr="003B3052">
        <w:rPr>
          <w:rFonts w:asciiTheme="minorBidi" w:hAnsiTheme="minorBidi" w:cstheme="minorBidi"/>
          <w:lang w:val="fr-FR"/>
        </w:rPr>
        <w:t>’</w:t>
      </w:r>
      <w:r w:rsidR="0070188E" w:rsidRPr="003B3052">
        <w:rPr>
          <w:rFonts w:asciiTheme="minorBidi" w:hAnsiTheme="minorBidi" w:cstheme="minorBidi"/>
          <w:lang w:val="fr-FR"/>
        </w:rPr>
        <w:t xml:space="preserve">enquête </w:t>
      </w:r>
      <w:r w:rsidR="00CB2AC6" w:rsidRPr="003B3052">
        <w:rPr>
          <w:rFonts w:asciiTheme="minorBidi" w:hAnsiTheme="minorBidi" w:cstheme="minorBidi"/>
          <w:lang w:val="fr-FR"/>
        </w:rPr>
        <w:t xml:space="preserve">et leur analyse </w:t>
      </w:r>
      <w:r w:rsidR="0070188E" w:rsidRPr="003B3052">
        <w:rPr>
          <w:rFonts w:asciiTheme="minorBidi" w:hAnsiTheme="minorBidi" w:cstheme="minorBidi"/>
          <w:lang w:val="fr-FR"/>
        </w:rPr>
        <w:t xml:space="preserve">devraient fournir un plus large éventail </w:t>
      </w:r>
      <w:r w:rsidR="00EF2A7E" w:rsidRPr="003B3052">
        <w:rPr>
          <w:rFonts w:asciiTheme="minorBidi" w:hAnsiTheme="minorBidi" w:cstheme="minorBidi"/>
          <w:lang w:val="fr-FR"/>
        </w:rPr>
        <w:t xml:space="preserve">d’informations </w:t>
      </w:r>
      <w:r w:rsidR="0070188E" w:rsidRPr="003B3052">
        <w:rPr>
          <w:rFonts w:asciiTheme="minorBidi" w:hAnsiTheme="minorBidi" w:cstheme="minorBidi"/>
          <w:lang w:val="fr-FR"/>
        </w:rPr>
        <w:t>sur les implications des activités économiques pour la sauvegarde du patrimoine culturel immatériel, qui seront intégrés dans la note d</w:t>
      </w:r>
      <w:r w:rsidR="00595A56" w:rsidRPr="003B3052">
        <w:rPr>
          <w:rFonts w:asciiTheme="minorBidi" w:hAnsiTheme="minorBidi" w:cstheme="minorBidi"/>
          <w:lang w:val="fr-FR"/>
        </w:rPr>
        <w:t>’</w:t>
      </w:r>
      <w:r w:rsidR="0070188E" w:rsidRPr="003B3052">
        <w:rPr>
          <w:rFonts w:asciiTheme="minorBidi" w:hAnsiTheme="minorBidi" w:cstheme="minorBidi"/>
          <w:lang w:val="fr-FR"/>
        </w:rPr>
        <w:t>orientation, sous la forme d</w:t>
      </w:r>
      <w:r w:rsidR="00595A56" w:rsidRPr="003B3052">
        <w:rPr>
          <w:rFonts w:asciiTheme="minorBidi" w:hAnsiTheme="minorBidi" w:cstheme="minorBidi"/>
          <w:lang w:val="fr-FR"/>
        </w:rPr>
        <w:t>’</w:t>
      </w:r>
      <w:r w:rsidR="0070188E" w:rsidRPr="003B3052">
        <w:rPr>
          <w:rFonts w:asciiTheme="minorBidi" w:hAnsiTheme="minorBidi" w:cstheme="minorBidi"/>
          <w:lang w:val="fr-FR"/>
        </w:rPr>
        <w:t xml:space="preserve">études de cas, de </w:t>
      </w:r>
      <w:r w:rsidR="00EF2A7E" w:rsidRPr="003B3052">
        <w:rPr>
          <w:rFonts w:asciiTheme="minorBidi" w:hAnsiTheme="minorBidi" w:cstheme="minorBidi"/>
          <w:lang w:val="fr-FR"/>
        </w:rPr>
        <w:t xml:space="preserve">réflexion </w:t>
      </w:r>
      <w:r w:rsidR="0070188E" w:rsidRPr="003B3052">
        <w:rPr>
          <w:rFonts w:asciiTheme="minorBidi" w:hAnsiTheme="minorBidi" w:cstheme="minorBidi"/>
          <w:lang w:val="fr-FR"/>
        </w:rPr>
        <w:t>sur de nouvelles questions</w:t>
      </w:r>
      <w:r w:rsidR="00EF2A7E" w:rsidRPr="003B3052">
        <w:rPr>
          <w:rFonts w:asciiTheme="minorBidi" w:hAnsiTheme="minorBidi" w:cstheme="minorBidi"/>
          <w:lang w:val="fr-FR"/>
        </w:rPr>
        <w:t>,</w:t>
      </w:r>
      <w:r w:rsidR="0070188E" w:rsidRPr="003B3052">
        <w:rPr>
          <w:rFonts w:asciiTheme="minorBidi" w:hAnsiTheme="minorBidi" w:cstheme="minorBidi"/>
          <w:lang w:val="fr-FR"/>
        </w:rPr>
        <w:t xml:space="preserve"> ou celles déjà identifiées</w:t>
      </w:r>
      <w:r w:rsidR="00EF2A7E" w:rsidRPr="003B3052">
        <w:rPr>
          <w:rFonts w:asciiTheme="minorBidi" w:hAnsiTheme="minorBidi" w:cstheme="minorBidi"/>
          <w:lang w:val="fr-FR"/>
        </w:rPr>
        <w:t>,</w:t>
      </w:r>
      <w:r w:rsidR="0070188E" w:rsidRPr="003B3052">
        <w:rPr>
          <w:rFonts w:asciiTheme="minorBidi" w:hAnsiTheme="minorBidi" w:cstheme="minorBidi"/>
          <w:lang w:val="fr-FR"/>
        </w:rPr>
        <w:t xml:space="preserve"> et de</w:t>
      </w:r>
      <w:r w:rsidR="00EF2A7E" w:rsidRPr="003B3052">
        <w:rPr>
          <w:rFonts w:asciiTheme="minorBidi" w:hAnsiTheme="minorBidi" w:cstheme="minorBidi"/>
          <w:lang w:val="fr-FR"/>
        </w:rPr>
        <w:t>s</w:t>
      </w:r>
      <w:r w:rsidR="0070188E" w:rsidRPr="003B3052">
        <w:rPr>
          <w:rFonts w:asciiTheme="minorBidi" w:hAnsiTheme="minorBidi" w:cstheme="minorBidi"/>
          <w:lang w:val="fr-FR"/>
        </w:rPr>
        <w:t xml:space="preserve"> recommandations.</w:t>
      </w:r>
      <w:r w:rsidR="00CB2AC6" w:rsidRPr="003B3052">
        <w:rPr>
          <w:rFonts w:asciiTheme="minorBidi" w:hAnsiTheme="minorBidi" w:cstheme="minorBidi"/>
          <w:lang w:val="fr-FR"/>
        </w:rPr>
        <w:t xml:space="preserve"> Il est prévu que la note d</w:t>
      </w:r>
      <w:r w:rsidR="00595A56" w:rsidRPr="003B3052">
        <w:rPr>
          <w:rFonts w:asciiTheme="minorBidi" w:hAnsiTheme="minorBidi" w:cstheme="minorBidi"/>
          <w:lang w:val="fr-FR"/>
        </w:rPr>
        <w:t>’</w:t>
      </w:r>
      <w:r w:rsidR="00CB2AC6" w:rsidRPr="003B3052">
        <w:rPr>
          <w:rFonts w:asciiTheme="minorBidi" w:hAnsiTheme="minorBidi" w:cstheme="minorBidi"/>
          <w:lang w:val="fr-FR"/>
        </w:rPr>
        <w:t>orientation finalisée soit mise à disposition sur le site Internet de la Convention en 2023. En outre, la note d</w:t>
      </w:r>
      <w:r w:rsidR="00595A56" w:rsidRPr="003B3052">
        <w:rPr>
          <w:rFonts w:asciiTheme="minorBidi" w:hAnsiTheme="minorBidi" w:cstheme="minorBidi"/>
          <w:lang w:val="fr-FR"/>
        </w:rPr>
        <w:t>’</w:t>
      </w:r>
      <w:r w:rsidR="00CB2AC6" w:rsidRPr="003B3052">
        <w:rPr>
          <w:rFonts w:asciiTheme="minorBidi" w:hAnsiTheme="minorBidi" w:cstheme="minorBidi"/>
          <w:lang w:val="fr-FR"/>
        </w:rPr>
        <w:t>orientation et l</w:t>
      </w:r>
      <w:r w:rsidR="00595A56" w:rsidRPr="003B3052">
        <w:rPr>
          <w:rFonts w:asciiTheme="minorBidi" w:hAnsiTheme="minorBidi" w:cstheme="minorBidi"/>
          <w:lang w:val="fr-FR"/>
        </w:rPr>
        <w:t>’</w:t>
      </w:r>
      <w:r w:rsidR="00CB2AC6" w:rsidRPr="003B3052">
        <w:rPr>
          <w:rFonts w:asciiTheme="minorBidi" w:hAnsiTheme="minorBidi" w:cstheme="minorBidi"/>
          <w:lang w:val="fr-FR"/>
        </w:rPr>
        <w:t xml:space="preserve">enquête serviront de base </w:t>
      </w:r>
      <w:r w:rsidR="00EF2A7E" w:rsidRPr="003B3052">
        <w:rPr>
          <w:rFonts w:asciiTheme="minorBidi" w:hAnsiTheme="minorBidi" w:cstheme="minorBidi"/>
          <w:lang w:val="fr-FR"/>
        </w:rPr>
        <w:t>pour une</w:t>
      </w:r>
      <w:r w:rsidR="00CB2AC6" w:rsidRPr="003B3052">
        <w:rPr>
          <w:rFonts w:asciiTheme="minorBidi" w:hAnsiTheme="minorBidi" w:cstheme="minorBidi"/>
          <w:lang w:val="fr-FR"/>
        </w:rPr>
        <w:t xml:space="preserve"> réflexion </w:t>
      </w:r>
      <w:r w:rsidR="00EF2A7E" w:rsidRPr="003B3052">
        <w:rPr>
          <w:rFonts w:asciiTheme="minorBidi" w:hAnsiTheme="minorBidi" w:cstheme="minorBidi"/>
          <w:lang w:val="fr-FR"/>
        </w:rPr>
        <w:t xml:space="preserve">plus approfondie </w:t>
      </w:r>
      <w:r w:rsidR="00CB2AC6" w:rsidRPr="003B3052">
        <w:rPr>
          <w:rFonts w:asciiTheme="minorBidi" w:hAnsiTheme="minorBidi" w:cstheme="minorBidi"/>
          <w:lang w:val="fr-FR"/>
        </w:rPr>
        <w:t>dans le cadre de cette initiative thématique, avec l</w:t>
      </w:r>
      <w:r w:rsidR="00595A56" w:rsidRPr="003B3052">
        <w:rPr>
          <w:rFonts w:asciiTheme="minorBidi" w:hAnsiTheme="minorBidi" w:cstheme="minorBidi"/>
          <w:lang w:val="fr-FR"/>
        </w:rPr>
        <w:t>’</w:t>
      </w:r>
      <w:r w:rsidR="00CB2AC6" w:rsidRPr="003B3052">
        <w:rPr>
          <w:rFonts w:asciiTheme="minorBidi" w:hAnsiTheme="minorBidi" w:cstheme="minorBidi"/>
          <w:lang w:val="fr-FR"/>
        </w:rPr>
        <w:t xml:space="preserve">organisation </w:t>
      </w:r>
      <w:r w:rsidR="00151ADB" w:rsidRPr="003B3052">
        <w:rPr>
          <w:rFonts w:asciiTheme="minorBidi" w:hAnsiTheme="minorBidi" w:cstheme="minorBidi"/>
          <w:lang w:val="fr-FR"/>
        </w:rPr>
        <w:t>éventuelle d</w:t>
      </w:r>
      <w:r w:rsidR="00595A56" w:rsidRPr="003B3052">
        <w:rPr>
          <w:rFonts w:asciiTheme="minorBidi" w:hAnsiTheme="minorBidi" w:cstheme="minorBidi"/>
          <w:lang w:val="fr-FR"/>
        </w:rPr>
        <w:t>’</w:t>
      </w:r>
      <w:r w:rsidR="00151ADB" w:rsidRPr="003B3052">
        <w:rPr>
          <w:rFonts w:asciiTheme="minorBidi" w:hAnsiTheme="minorBidi" w:cstheme="minorBidi"/>
          <w:lang w:val="fr-FR"/>
        </w:rPr>
        <w:t xml:space="preserve">une </w:t>
      </w:r>
      <w:r w:rsidR="00CB2AC6" w:rsidRPr="003B3052">
        <w:rPr>
          <w:rFonts w:asciiTheme="minorBidi" w:hAnsiTheme="minorBidi" w:cstheme="minorBidi"/>
          <w:lang w:val="fr-FR"/>
        </w:rPr>
        <w:t>réunion d</w:t>
      </w:r>
      <w:r w:rsidR="00595A56" w:rsidRPr="003B3052">
        <w:rPr>
          <w:rFonts w:asciiTheme="minorBidi" w:hAnsiTheme="minorBidi" w:cstheme="minorBidi"/>
          <w:lang w:val="fr-FR"/>
        </w:rPr>
        <w:t>’</w:t>
      </w:r>
      <w:r w:rsidR="00CB2AC6" w:rsidRPr="003B3052">
        <w:rPr>
          <w:rFonts w:asciiTheme="minorBidi" w:hAnsiTheme="minorBidi" w:cstheme="minorBidi"/>
          <w:lang w:val="fr-FR"/>
        </w:rPr>
        <w:t xml:space="preserve">experts sur les </w:t>
      </w:r>
      <w:r w:rsidR="00F8237D" w:rsidRPr="003B3052">
        <w:rPr>
          <w:rFonts w:asciiTheme="minorBidi" w:hAnsiTheme="minorBidi" w:cstheme="minorBidi"/>
          <w:lang w:val="fr-FR"/>
        </w:rPr>
        <w:t xml:space="preserve">aspects </w:t>
      </w:r>
      <w:r w:rsidR="00CB2AC6" w:rsidRPr="003B3052">
        <w:rPr>
          <w:rFonts w:asciiTheme="minorBidi" w:hAnsiTheme="minorBidi" w:cstheme="minorBidi"/>
          <w:lang w:val="fr-FR"/>
        </w:rPr>
        <w:t>économiques de la sauvegarde du patrimoine culturel immatériel qui se tiendra en 2023 ou 2024, en attendant la mobilisation de fonds supplémentaires pour couvrir les coûts d</w:t>
      </w:r>
      <w:r w:rsidR="00595A56" w:rsidRPr="003B3052">
        <w:rPr>
          <w:rFonts w:asciiTheme="minorBidi" w:hAnsiTheme="minorBidi" w:cstheme="minorBidi"/>
          <w:lang w:val="fr-FR"/>
        </w:rPr>
        <w:t>’</w:t>
      </w:r>
      <w:r w:rsidR="00CB2AC6" w:rsidRPr="003B3052">
        <w:rPr>
          <w:rFonts w:asciiTheme="minorBidi" w:hAnsiTheme="minorBidi" w:cstheme="minorBidi"/>
          <w:lang w:val="fr-FR"/>
        </w:rPr>
        <w:t>une telle réunion.</w:t>
      </w:r>
    </w:p>
    <w:p w14:paraId="1882467B" w14:textId="77777777" w:rsidR="0038462E" w:rsidRPr="003B3052" w:rsidRDefault="00FE3BE6">
      <w:pPr>
        <w:pStyle w:val="Titre4"/>
        <w:spacing w:before="240"/>
        <w:ind w:left="567" w:hanging="567"/>
        <w:rPr>
          <w:lang w:val="fr-FR"/>
        </w:rPr>
      </w:pPr>
      <w:r w:rsidRPr="003B3052">
        <w:rPr>
          <w:lang w:val="fr-FR"/>
        </w:rPr>
        <w:t>Sauvegarde du patrimoine culturel immatériel et changement climatique</w:t>
      </w:r>
    </w:p>
    <w:p w14:paraId="58D6928E" w14:textId="20A86ACD" w:rsidR="0038462E" w:rsidRPr="003B3052" w:rsidRDefault="00FE3BE6">
      <w:pPr>
        <w:pStyle w:val="GAPara"/>
        <w:numPr>
          <w:ilvl w:val="0"/>
          <w:numId w:val="34"/>
        </w:numPr>
        <w:ind w:left="567" w:hanging="567"/>
        <w:jc w:val="both"/>
        <w:rPr>
          <w:lang w:val="fr-FR"/>
        </w:rPr>
      </w:pPr>
      <w:r w:rsidRPr="003B3052">
        <w:rPr>
          <w:lang w:val="fr-FR"/>
        </w:rPr>
        <w:t>Le changement climatique et le nombre croissant de catastrophes liées au climat, notamment l</w:t>
      </w:r>
      <w:r w:rsidR="00595A56" w:rsidRPr="003B3052">
        <w:rPr>
          <w:lang w:val="fr-FR"/>
        </w:rPr>
        <w:t>’</w:t>
      </w:r>
      <w:r w:rsidRPr="003B3052">
        <w:rPr>
          <w:lang w:val="fr-FR"/>
        </w:rPr>
        <w:t xml:space="preserve">élévation du niveau de la mer, les vagues de chaleur, les cyclones, les sécheresses, les incendies de forêt et les inondations, représentent un défi majeur pour la sauvegarde du patrimoine culturel immatériel dans le monde. Les menaces comprennent la perte accélérée des </w:t>
      </w:r>
      <w:r w:rsidR="00B64658" w:rsidRPr="003B3052">
        <w:rPr>
          <w:lang w:val="fr-FR"/>
        </w:rPr>
        <w:t xml:space="preserve">détenteurs </w:t>
      </w:r>
      <w:r w:rsidRPr="003B3052">
        <w:rPr>
          <w:lang w:val="fr-FR"/>
        </w:rPr>
        <w:t xml:space="preserve">de </w:t>
      </w:r>
      <w:r w:rsidR="00B64658" w:rsidRPr="003B3052">
        <w:rPr>
          <w:shd w:val="clear" w:color="auto" w:fill="FFFFFF"/>
          <w:lang w:val="fr-FR"/>
        </w:rPr>
        <w:t>savoirs</w:t>
      </w:r>
      <w:r w:rsidRPr="003B3052">
        <w:rPr>
          <w:lang w:val="fr-FR"/>
        </w:rPr>
        <w:t>, le déplacement ou la relocalisation de communautés entières, et la destruction ou la perte d</w:t>
      </w:r>
      <w:r w:rsidR="00595A56" w:rsidRPr="003B3052">
        <w:rPr>
          <w:lang w:val="fr-FR"/>
        </w:rPr>
        <w:t>’</w:t>
      </w:r>
      <w:r w:rsidRPr="003B3052">
        <w:rPr>
          <w:lang w:val="fr-FR"/>
        </w:rPr>
        <w:t>accès aux cadres et aux ressources nécessaires aux communautés pour pratiquer et transmettre leur patrimoine culturel immatériel. Dans le même temps, les Directives opérationnelles de la Convention reconnaissent l</w:t>
      </w:r>
      <w:r w:rsidR="00595A56" w:rsidRPr="003B3052">
        <w:rPr>
          <w:lang w:val="fr-FR"/>
        </w:rPr>
        <w:t>’</w:t>
      </w:r>
      <w:r w:rsidRPr="003B3052">
        <w:rPr>
          <w:lang w:val="fr-FR"/>
        </w:rPr>
        <w:t>importance du patrimoine culturel immatériel pour renforcer la résilience des communautés face aux catastrophes naturelles et au changement climatique (</w:t>
      </w:r>
      <w:r w:rsidR="00F6777F" w:rsidRPr="003B3052">
        <w:rPr>
          <w:lang w:val="fr-FR"/>
        </w:rPr>
        <w:t xml:space="preserve">paragraphe </w:t>
      </w:r>
      <w:r w:rsidRPr="003B3052">
        <w:rPr>
          <w:lang w:val="fr-FR"/>
        </w:rPr>
        <w:t xml:space="preserve">191). Plus précisément, elles reconnaissent le rôle </w:t>
      </w:r>
      <w:r w:rsidRPr="003B3052">
        <w:rPr>
          <w:lang w:val="fr-FR"/>
        </w:rPr>
        <w:lastRenderedPageBreak/>
        <w:t xml:space="preserve">potentiel du patrimoine culturel immatériel, et en particulier des connaissances et des pratiques </w:t>
      </w:r>
      <w:r w:rsidR="00B64658" w:rsidRPr="003B3052">
        <w:rPr>
          <w:lang w:val="fr-FR"/>
        </w:rPr>
        <w:t>relatives à la</w:t>
      </w:r>
      <w:r w:rsidRPr="003B3052">
        <w:rPr>
          <w:lang w:val="fr-FR"/>
        </w:rPr>
        <w:t xml:space="preserve"> géoscience et </w:t>
      </w:r>
      <w:r w:rsidR="00B64658" w:rsidRPr="003B3052">
        <w:rPr>
          <w:lang w:val="fr-FR"/>
        </w:rPr>
        <w:t xml:space="preserve">au </w:t>
      </w:r>
      <w:r w:rsidRPr="003B3052">
        <w:rPr>
          <w:lang w:val="fr-FR"/>
        </w:rPr>
        <w:t xml:space="preserve">climat, dans la réduction des risques de catastrophe, la </w:t>
      </w:r>
      <w:r w:rsidR="00B64658" w:rsidRPr="003B3052">
        <w:rPr>
          <w:lang w:val="fr-FR"/>
        </w:rPr>
        <w:t xml:space="preserve">reconstruction suite à des </w:t>
      </w:r>
      <w:r w:rsidRPr="003B3052">
        <w:rPr>
          <w:lang w:val="fr-FR"/>
        </w:rPr>
        <w:t>catastrophe</w:t>
      </w:r>
      <w:r w:rsidR="00B64658" w:rsidRPr="003B3052">
        <w:rPr>
          <w:lang w:val="fr-FR"/>
        </w:rPr>
        <w:t>s naturelles</w:t>
      </w:r>
      <w:r w:rsidRPr="003B3052">
        <w:rPr>
          <w:lang w:val="fr-FR"/>
        </w:rPr>
        <w:t>, l</w:t>
      </w:r>
      <w:r w:rsidR="00595A56" w:rsidRPr="003B3052">
        <w:rPr>
          <w:lang w:val="fr-FR"/>
        </w:rPr>
        <w:t>’</w:t>
      </w:r>
      <w:r w:rsidRPr="003B3052">
        <w:rPr>
          <w:lang w:val="fr-FR"/>
        </w:rPr>
        <w:t xml:space="preserve">adaptation au </w:t>
      </w:r>
      <w:r w:rsidR="00FC02B4" w:rsidRPr="003B3052">
        <w:rPr>
          <w:lang w:val="fr-FR"/>
        </w:rPr>
        <w:t xml:space="preserve">changement </w:t>
      </w:r>
      <w:r w:rsidRPr="003B3052">
        <w:rPr>
          <w:lang w:val="fr-FR"/>
        </w:rPr>
        <w:t>climat</w:t>
      </w:r>
      <w:r w:rsidR="00FC02B4" w:rsidRPr="003B3052">
        <w:rPr>
          <w:lang w:val="fr-FR"/>
        </w:rPr>
        <w:t>ique</w:t>
      </w:r>
      <w:r w:rsidRPr="003B3052">
        <w:rPr>
          <w:lang w:val="fr-FR"/>
        </w:rPr>
        <w:t xml:space="preserve"> et l</w:t>
      </w:r>
      <w:r w:rsidR="00595A56" w:rsidRPr="003B3052">
        <w:rPr>
          <w:lang w:val="fr-FR"/>
        </w:rPr>
        <w:t>’</w:t>
      </w:r>
      <w:r w:rsidRPr="003B3052">
        <w:rPr>
          <w:lang w:val="fr-FR"/>
        </w:rPr>
        <w:t>atténuation de celui-ci.</w:t>
      </w:r>
    </w:p>
    <w:p w14:paraId="3AC1426E" w14:textId="2350D60D" w:rsidR="0038462E" w:rsidRPr="003B3052" w:rsidRDefault="004C015E">
      <w:pPr>
        <w:pStyle w:val="GAPara"/>
        <w:numPr>
          <w:ilvl w:val="0"/>
          <w:numId w:val="34"/>
        </w:numPr>
        <w:ind w:left="567" w:hanging="567"/>
        <w:jc w:val="both"/>
        <w:rPr>
          <w:lang w:val="fr-FR"/>
        </w:rPr>
      </w:pPr>
      <w:hyperlink r:id="rId18" w:history="1">
        <w:r w:rsidR="00FE3BE6" w:rsidRPr="003B3052">
          <w:rPr>
            <w:rStyle w:val="Lienhypertexte"/>
            <w:rFonts w:cs="Arial"/>
            <w:lang w:val="fr-FR"/>
          </w:rPr>
          <w:t>Les Principes opérationnels et modalités de sauvegarde du patrimoine culturel immatériel dans les situations d</w:t>
        </w:r>
        <w:r w:rsidR="00595A56" w:rsidRPr="003B3052">
          <w:rPr>
            <w:rStyle w:val="Lienhypertexte"/>
            <w:rFonts w:cs="Arial"/>
            <w:lang w:val="fr-FR"/>
          </w:rPr>
          <w:t>’</w:t>
        </w:r>
        <w:r w:rsidR="00FE3BE6" w:rsidRPr="003B3052">
          <w:rPr>
            <w:rStyle w:val="Lienhypertexte"/>
            <w:rFonts w:cs="Arial"/>
            <w:lang w:val="fr-FR"/>
          </w:rPr>
          <w:t>urgence</w:t>
        </w:r>
      </w:hyperlink>
      <w:r w:rsidR="00FE3BE6" w:rsidRPr="003B3052">
        <w:rPr>
          <w:lang w:val="fr-FR"/>
        </w:rPr>
        <w:t xml:space="preserve"> sont également pertinents pour comprendre la relation entre le patrimoine culturel immatériel et le changement climatique. Adoptés par l</w:t>
      </w:r>
      <w:r w:rsidR="00595A56" w:rsidRPr="003B3052">
        <w:rPr>
          <w:lang w:val="fr-FR"/>
        </w:rPr>
        <w:t>’</w:t>
      </w:r>
      <w:r w:rsidR="00FE3BE6" w:rsidRPr="003B3052">
        <w:rPr>
          <w:lang w:val="fr-FR"/>
        </w:rPr>
        <w:t>Assemblée générale en 2020, ils fournissent des orientations aux États parties et aux autres parties prenantes concernées sur la meilleure façon de sauvegarder et de mobiliser le patrimoine culturel immatériel dans divers contextes d</w:t>
      </w:r>
      <w:r w:rsidR="00595A56" w:rsidRPr="003B3052">
        <w:rPr>
          <w:lang w:val="fr-FR"/>
        </w:rPr>
        <w:t>’</w:t>
      </w:r>
      <w:r w:rsidR="00FE3BE6" w:rsidRPr="003B3052">
        <w:rPr>
          <w:lang w:val="fr-FR"/>
        </w:rPr>
        <w:t xml:space="preserve">urgence, y compris ceux liés aux catastrophes liées au climat. Ils </w:t>
      </w:r>
      <w:r w:rsidR="001413EB" w:rsidRPr="003B3052">
        <w:rPr>
          <w:lang w:val="fr-FR"/>
        </w:rPr>
        <w:t xml:space="preserve">mettent en évidence </w:t>
      </w:r>
      <w:r w:rsidR="00FE3BE6" w:rsidRPr="003B3052">
        <w:rPr>
          <w:lang w:val="fr-FR"/>
        </w:rPr>
        <w:t>le double rôle que le patrimoine culturel immatériel peut jouer dans une situation d</w:t>
      </w:r>
      <w:r w:rsidR="00595A56" w:rsidRPr="003B3052">
        <w:rPr>
          <w:lang w:val="fr-FR"/>
        </w:rPr>
        <w:t>’</w:t>
      </w:r>
      <w:r w:rsidR="00FE3BE6" w:rsidRPr="003B3052">
        <w:rPr>
          <w:lang w:val="fr-FR"/>
        </w:rPr>
        <w:t xml:space="preserve">urgence, à la fois </w:t>
      </w:r>
      <w:r w:rsidR="001413EB" w:rsidRPr="003B3052">
        <w:rPr>
          <w:lang w:val="fr-FR"/>
        </w:rPr>
        <w:t xml:space="preserve">en tant que </w:t>
      </w:r>
      <w:r w:rsidR="00FE3BE6" w:rsidRPr="003B3052">
        <w:rPr>
          <w:lang w:val="fr-FR"/>
        </w:rPr>
        <w:t>menac</w:t>
      </w:r>
      <w:r w:rsidR="001413EB" w:rsidRPr="003B3052">
        <w:rPr>
          <w:lang w:val="fr-FR"/>
        </w:rPr>
        <w:t>e</w:t>
      </w:r>
      <w:r w:rsidR="00FE3BE6" w:rsidRPr="003B3052">
        <w:rPr>
          <w:lang w:val="fr-FR"/>
        </w:rPr>
        <w:t xml:space="preserve"> et </w:t>
      </w:r>
      <w:r w:rsidR="00B436BD" w:rsidRPr="003B3052">
        <w:rPr>
          <w:lang w:val="fr-FR"/>
        </w:rPr>
        <w:t xml:space="preserve">en tant que </w:t>
      </w:r>
      <w:r w:rsidR="00FE3BE6" w:rsidRPr="003B3052">
        <w:rPr>
          <w:lang w:val="fr-FR"/>
        </w:rPr>
        <w:t xml:space="preserve">ressource potentielle </w:t>
      </w:r>
      <w:r w:rsidR="00B436BD" w:rsidRPr="003B3052">
        <w:rPr>
          <w:lang w:val="fr-FR"/>
        </w:rPr>
        <w:t xml:space="preserve">dans </w:t>
      </w:r>
      <w:r w:rsidR="00FE3BE6" w:rsidRPr="003B3052">
        <w:rPr>
          <w:lang w:val="fr-FR"/>
        </w:rPr>
        <w:t xml:space="preserve">laquelle les communautés peuvent puiser </w:t>
      </w:r>
      <w:r w:rsidR="00B436BD" w:rsidRPr="003B3052">
        <w:rPr>
          <w:lang w:val="fr-FR"/>
        </w:rPr>
        <w:t>en tant</w:t>
      </w:r>
      <w:r w:rsidR="00FE3BE6" w:rsidRPr="003B3052">
        <w:rPr>
          <w:lang w:val="fr-FR"/>
        </w:rPr>
        <w:t xml:space="preserve"> </w:t>
      </w:r>
      <w:r w:rsidR="00B436BD" w:rsidRPr="003B3052">
        <w:rPr>
          <w:lang w:val="fr-FR"/>
        </w:rPr>
        <w:t>qu’</w:t>
      </w:r>
      <w:r w:rsidR="00FE3BE6" w:rsidRPr="003B3052">
        <w:rPr>
          <w:lang w:val="fr-FR"/>
        </w:rPr>
        <w:t>outil précieux de résilience. En outre, ils attirent l</w:t>
      </w:r>
      <w:r w:rsidR="00595A56" w:rsidRPr="003B3052">
        <w:rPr>
          <w:lang w:val="fr-FR"/>
        </w:rPr>
        <w:t>’</w:t>
      </w:r>
      <w:r w:rsidR="00FE3BE6" w:rsidRPr="003B3052">
        <w:rPr>
          <w:lang w:val="fr-FR"/>
        </w:rPr>
        <w:t>attention sur l</w:t>
      </w:r>
      <w:r w:rsidR="00595A56" w:rsidRPr="003B3052">
        <w:rPr>
          <w:lang w:val="fr-FR"/>
        </w:rPr>
        <w:t>’</w:t>
      </w:r>
      <w:r w:rsidR="00FE3BE6" w:rsidRPr="003B3052">
        <w:rPr>
          <w:lang w:val="fr-FR"/>
        </w:rPr>
        <w:t xml:space="preserve">importance des approches </w:t>
      </w:r>
      <w:r w:rsidR="00B436BD" w:rsidRPr="003B3052">
        <w:rPr>
          <w:lang w:val="fr-FR"/>
        </w:rPr>
        <w:t xml:space="preserve">basées sur la participation des communautés </w:t>
      </w:r>
      <w:r w:rsidR="00FE3BE6" w:rsidRPr="003B3052">
        <w:rPr>
          <w:lang w:val="fr-FR"/>
        </w:rPr>
        <w:t>pour sauvegarder le patrimoine culturel immatériel dans les situations d</w:t>
      </w:r>
      <w:r w:rsidR="00595A56" w:rsidRPr="003B3052">
        <w:rPr>
          <w:lang w:val="fr-FR"/>
        </w:rPr>
        <w:t>’</w:t>
      </w:r>
      <w:r w:rsidR="00FE3BE6" w:rsidRPr="003B3052">
        <w:rPr>
          <w:lang w:val="fr-FR"/>
        </w:rPr>
        <w:t>urgence, et sur le fait que les communautés devraient toujours jouer un rôle primordial dans l</w:t>
      </w:r>
      <w:r w:rsidR="00595A56" w:rsidRPr="003B3052">
        <w:rPr>
          <w:lang w:val="fr-FR"/>
        </w:rPr>
        <w:t>’</w:t>
      </w:r>
      <w:r w:rsidR="00FE3BE6" w:rsidRPr="003B3052">
        <w:rPr>
          <w:lang w:val="fr-FR"/>
        </w:rPr>
        <w:t>identification de la manière dont leur patrimoine culturel immatériel est menacé, des mesures nécessaires pour le sauvegarder, ainsi que de la manière dont elles pourraient s</w:t>
      </w:r>
      <w:r w:rsidR="00595A56" w:rsidRPr="003B3052">
        <w:rPr>
          <w:lang w:val="fr-FR"/>
        </w:rPr>
        <w:t>’</w:t>
      </w:r>
      <w:r w:rsidR="00FE3BE6" w:rsidRPr="003B3052">
        <w:rPr>
          <w:lang w:val="fr-FR"/>
        </w:rPr>
        <w:t>en servir comme ressource pour renforcer la résilience.</w:t>
      </w:r>
    </w:p>
    <w:p w14:paraId="231E3E92" w14:textId="4A722935" w:rsidR="0038462E" w:rsidRPr="003B3052" w:rsidRDefault="00FE3BE6">
      <w:pPr>
        <w:pStyle w:val="GAPara"/>
        <w:numPr>
          <w:ilvl w:val="0"/>
          <w:numId w:val="34"/>
        </w:numPr>
        <w:ind w:left="567" w:hanging="567"/>
        <w:jc w:val="both"/>
        <w:rPr>
          <w:lang w:val="fr-FR"/>
        </w:rPr>
      </w:pPr>
      <w:r w:rsidRPr="003B3052">
        <w:rPr>
          <w:lang w:val="fr-FR"/>
        </w:rPr>
        <w:t>Le Secrétariat a eu quelques expériences initiales de mise en œuvre des principes et modalités opérationnels dans des contextes de catastrophe grâce à son travail de renforcement des capacités sur le patrimoine culturel immatériel et la réduction des risques de catastrophe. En 2021, un projet financé par la Suisse au Honduras et aux Philippines a réuni des experts du patrimoine vivant et des spécialistes de la gestion des catastrophes pour renforcer les capacités de sauvegarde du patrimoine culturel immatériel dans les contextes de catastrophe. En outre, en avril 2022, avec le soutien du Japon, l</w:t>
      </w:r>
      <w:r w:rsidR="00595A56" w:rsidRPr="003B3052">
        <w:rPr>
          <w:lang w:val="fr-FR"/>
        </w:rPr>
        <w:t>’</w:t>
      </w:r>
      <w:r w:rsidRPr="003B3052">
        <w:rPr>
          <w:lang w:val="fr-FR"/>
        </w:rPr>
        <w:t xml:space="preserve">UNESCO a lancé un projet triennal de sauvegarde du patrimoine vivant en </w:t>
      </w:r>
      <w:r w:rsidR="00CC168A" w:rsidRPr="003B3052">
        <w:rPr>
          <w:lang w:val="fr-FR"/>
        </w:rPr>
        <w:t xml:space="preserve">situation </w:t>
      </w:r>
      <w:r w:rsidRPr="003B3052">
        <w:rPr>
          <w:lang w:val="fr-FR"/>
        </w:rPr>
        <w:t>d</w:t>
      </w:r>
      <w:r w:rsidR="00595A56" w:rsidRPr="003B3052">
        <w:rPr>
          <w:lang w:val="fr-FR"/>
        </w:rPr>
        <w:t>’</w:t>
      </w:r>
      <w:r w:rsidRPr="003B3052">
        <w:rPr>
          <w:lang w:val="fr-FR"/>
        </w:rPr>
        <w:t xml:space="preserve">urgence dans cinq petits États insulaires en développement du Pacifique et des Caraïbes (Bahamas, Belize, Fidji, Tonga, Vanuatu), </w:t>
      </w:r>
      <w:r w:rsidR="00CC168A" w:rsidRPr="003B3052">
        <w:rPr>
          <w:lang w:val="fr-FR"/>
        </w:rPr>
        <w:t>en particulier sujet</w:t>
      </w:r>
      <w:r w:rsidR="004B083D" w:rsidRPr="003B3052">
        <w:rPr>
          <w:lang w:val="fr-FR"/>
        </w:rPr>
        <w:t>tes</w:t>
      </w:r>
      <w:r w:rsidRPr="003B3052">
        <w:rPr>
          <w:lang w:val="fr-FR"/>
        </w:rPr>
        <w:t xml:space="preserve"> aux effets du changement climatique. Ce projet fournira un soutien opportun aux communautés à risque pour mobiliser leur patrimoine vivant </w:t>
      </w:r>
      <w:r w:rsidR="004B083D" w:rsidRPr="003B3052">
        <w:rPr>
          <w:lang w:val="fr-FR"/>
        </w:rPr>
        <w:t xml:space="preserve">en tant que </w:t>
      </w:r>
      <w:r w:rsidRPr="003B3052">
        <w:rPr>
          <w:lang w:val="fr-FR"/>
        </w:rPr>
        <w:t>source de résilience et pour atténuer les effets négatifs potentiels sur leur patrimoine vivant.</w:t>
      </w:r>
    </w:p>
    <w:p w14:paraId="5A531AE3" w14:textId="0DFF23D5" w:rsidR="0038462E" w:rsidRPr="003B3052" w:rsidRDefault="00FE3BE6">
      <w:pPr>
        <w:pStyle w:val="GAPara"/>
        <w:numPr>
          <w:ilvl w:val="0"/>
          <w:numId w:val="34"/>
        </w:numPr>
        <w:ind w:left="567" w:hanging="567"/>
        <w:jc w:val="both"/>
        <w:rPr>
          <w:lang w:val="fr-FR"/>
        </w:rPr>
      </w:pPr>
      <w:r w:rsidRPr="003B3052">
        <w:rPr>
          <w:lang w:val="fr-FR"/>
        </w:rPr>
        <w:t>C</w:t>
      </w:r>
      <w:r w:rsidR="00595A56" w:rsidRPr="003B3052">
        <w:rPr>
          <w:lang w:val="fr-FR"/>
        </w:rPr>
        <w:t>’</w:t>
      </w:r>
      <w:r w:rsidRPr="003B3052">
        <w:rPr>
          <w:lang w:val="fr-FR"/>
        </w:rPr>
        <w:t xml:space="preserve">est dans ce contexte que le Secrétariat </w:t>
      </w:r>
      <w:r w:rsidR="00CC4E38" w:rsidRPr="003B3052">
        <w:rPr>
          <w:lang w:val="fr-FR"/>
        </w:rPr>
        <w:t xml:space="preserve">a lancé fin octobre 2022 </w:t>
      </w:r>
      <w:r w:rsidRPr="003B3052">
        <w:rPr>
          <w:lang w:val="fr-FR"/>
        </w:rPr>
        <w:t xml:space="preserve">une </w:t>
      </w:r>
      <w:hyperlink r:id="rId19" w:history="1">
        <w:r w:rsidRPr="003B3052">
          <w:rPr>
            <w:rStyle w:val="Lienhypertexte"/>
            <w:rFonts w:cs="Arial"/>
            <w:lang w:val="fr-FR"/>
          </w:rPr>
          <w:t xml:space="preserve">enquête </w:t>
        </w:r>
        <w:r w:rsidR="005C2CB8" w:rsidRPr="003B3052">
          <w:rPr>
            <w:rStyle w:val="Lienhypertexte"/>
            <w:rFonts w:cs="Arial"/>
            <w:lang w:val="fr-FR"/>
          </w:rPr>
          <w:t>mondiale</w:t>
        </w:r>
      </w:hyperlink>
      <w:r w:rsidRPr="003B3052">
        <w:rPr>
          <w:lang w:val="fr-FR"/>
        </w:rPr>
        <w:t xml:space="preserve"> sur la sauvegarde du patrimoine culturel immatériel et le changement climatique afin de mieux </w:t>
      </w:r>
      <w:r w:rsidR="00343BE0" w:rsidRPr="003B3052">
        <w:rPr>
          <w:lang w:val="fr-FR"/>
        </w:rPr>
        <w:t xml:space="preserve">appréhender </w:t>
      </w:r>
      <w:r w:rsidRPr="003B3052">
        <w:rPr>
          <w:lang w:val="fr-FR"/>
        </w:rPr>
        <w:t xml:space="preserve">les expériences </w:t>
      </w:r>
      <w:r w:rsidR="00343BE0" w:rsidRPr="003B3052">
        <w:rPr>
          <w:lang w:val="fr-FR"/>
        </w:rPr>
        <w:t xml:space="preserve">liées au </w:t>
      </w:r>
      <w:r w:rsidRPr="003B3052">
        <w:rPr>
          <w:lang w:val="fr-FR"/>
        </w:rPr>
        <w:t xml:space="preserve">changement climatique </w:t>
      </w:r>
      <w:r w:rsidR="001E4581" w:rsidRPr="003B3052">
        <w:rPr>
          <w:lang w:val="fr-FR"/>
        </w:rPr>
        <w:t xml:space="preserve">que peuvent connaître </w:t>
      </w:r>
      <w:r w:rsidRPr="003B3052">
        <w:rPr>
          <w:lang w:val="fr-FR"/>
        </w:rPr>
        <w:t xml:space="preserve">les </w:t>
      </w:r>
      <w:r w:rsidR="00343BE0" w:rsidRPr="003B3052">
        <w:rPr>
          <w:lang w:val="fr-FR"/>
        </w:rPr>
        <w:t xml:space="preserve">parties prenantes </w:t>
      </w:r>
      <w:r w:rsidRPr="003B3052">
        <w:rPr>
          <w:lang w:val="fr-FR"/>
        </w:rPr>
        <w:t xml:space="preserve">du patrimoine vivant </w:t>
      </w:r>
      <w:r w:rsidR="002964F2" w:rsidRPr="003B3052">
        <w:rPr>
          <w:lang w:val="fr-FR"/>
        </w:rPr>
        <w:t>(l</w:t>
      </w:r>
      <w:r w:rsidR="00595A56" w:rsidRPr="003B3052">
        <w:rPr>
          <w:lang w:val="fr-FR"/>
        </w:rPr>
        <w:t>’</w:t>
      </w:r>
      <w:r w:rsidR="002964F2" w:rsidRPr="003B3052">
        <w:rPr>
          <w:lang w:val="fr-FR"/>
        </w:rPr>
        <w:t>enquête est en cours au moment de la publication de ce document)</w:t>
      </w:r>
      <w:r w:rsidRPr="003B3052">
        <w:rPr>
          <w:lang w:val="fr-FR"/>
        </w:rPr>
        <w:t>. L</w:t>
      </w:r>
      <w:r w:rsidR="00595A56" w:rsidRPr="003B3052">
        <w:rPr>
          <w:lang w:val="fr-FR"/>
        </w:rPr>
        <w:t>’</w:t>
      </w:r>
      <w:r w:rsidRPr="003B3052">
        <w:rPr>
          <w:lang w:val="fr-FR"/>
        </w:rPr>
        <w:t>enquête a également été largement diffusée auprès d</w:t>
      </w:r>
      <w:r w:rsidR="00595A56" w:rsidRPr="003B3052">
        <w:rPr>
          <w:lang w:val="fr-FR"/>
        </w:rPr>
        <w:t>’</w:t>
      </w:r>
      <w:r w:rsidRPr="003B3052">
        <w:rPr>
          <w:lang w:val="fr-FR"/>
        </w:rPr>
        <w:t>autres acteurs clés travaillant dans le domaine du changement climatique. L</w:t>
      </w:r>
      <w:r w:rsidR="00595A56" w:rsidRPr="003B3052">
        <w:rPr>
          <w:lang w:val="fr-FR"/>
        </w:rPr>
        <w:t>’</w:t>
      </w:r>
      <w:r w:rsidRPr="003B3052">
        <w:rPr>
          <w:lang w:val="fr-FR"/>
        </w:rPr>
        <w:t>enquête visait à solliciter des exemples et des expériences sur la double nature du patrimoine culturel immatériel dans le contexte du changement climatique</w:t>
      </w:r>
      <w:r w:rsidR="001E4581" w:rsidRPr="003B3052">
        <w:rPr>
          <w:lang w:val="fr-FR"/>
        </w:rPr>
        <w:t>,</w:t>
      </w:r>
      <w:r w:rsidRPr="003B3052">
        <w:rPr>
          <w:lang w:val="fr-FR"/>
        </w:rPr>
        <w:t xml:space="preserve"> à savoir</w:t>
      </w:r>
      <w:r w:rsidR="001E4581" w:rsidRPr="003B3052">
        <w:rPr>
          <w:lang w:val="fr-FR"/>
        </w:rPr>
        <w:t xml:space="preserve"> </w:t>
      </w:r>
      <w:r w:rsidRPr="003B3052">
        <w:rPr>
          <w:lang w:val="fr-FR"/>
        </w:rPr>
        <w:t>sa vulnérabilité au changement climatique et aux catastrophes liées au climat, ainsi que sa capacité à fournir aux communautés une source de résilience pour atténuer les impacts du changement climatique et s</w:t>
      </w:r>
      <w:r w:rsidR="00595A56" w:rsidRPr="003B3052">
        <w:rPr>
          <w:lang w:val="fr-FR"/>
        </w:rPr>
        <w:t>’</w:t>
      </w:r>
      <w:r w:rsidRPr="003B3052">
        <w:rPr>
          <w:lang w:val="fr-FR"/>
        </w:rPr>
        <w:t>adapter aux environnements sociaux et écologiques changeants.</w:t>
      </w:r>
    </w:p>
    <w:p w14:paraId="413B6AFB" w14:textId="6EBD5337" w:rsidR="0038462E" w:rsidRPr="003B3052" w:rsidRDefault="00FE3BE6">
      <w:pPr>
        <w:pStyle w:val="GAPara"/>
        <w:numPr>
          <w:ilvl w:val="0"/>
          <w:numId w:val="34"/>
        </w:numPr>
        <w:ind w:left="567" w:hanging="567"/>
        <w:jc w:val="both"/>
        <w:rPr>
          <w:lang w:val="fr-FR"/>
        </w:rPr>
      </w:pPr>
      <w:r w:rsidRPr="003B3052">
        <w:rPr>
          <w:lang w:val="fr-FR"/>
        </w:rPr>
        <w:t>Les résultats de l</w:t>
      </w:r>
      <w:r w:rsidR="00595A56" w:rsidRPr="003B3052">
        <w:rPr>
          <w:lang w:val="fr-FR"/>
        </w:rPr>
        <w:t>’</w:t>
      </w:r>
      <w:r w:rsidRPr="003B3052">
        <w:rPr>
          <w:lang w:val="fr-FR"/>
        </w:rPr>
        <w:t>enquête alimenteront une note d</w:t>
      </w:r>
      <w:r w:rsidR="00595A56" w:rsidRPr="003B3052">
        <w:rPr>
          <w:lang w:val="fr-FR"/>
        </w:rPr>
        <w:t>’</w:t>
      </w:r>
      <w:r w:rsidRPr="003B3052">
        <w:rPr>
          <w:lang w:val="fr-FR"/>
        </w:rPr>
        <w:t>orientation en cours d</w:t>
      </w:r>
      <w:r w:rsidR="00595A56" w:rsidRPr="003B3052">
        <w:rPr>
          <w:lang w:val="fr-FR"/>
        </w:rPr>
        <w:t>’</w:t>
      </w:r>
      <w:r w:rsidRPr="003B3052">
        <w:rPr>
          <w:lang w:val="fr-FR"/>
        </w:rPr>
        <w:t>élaboration, qui comprendra des études de cas démontrant la relation complexe entre le patrimoine culturel immatériel et le changement climatique dans différents contextes géographiques</w:t>
      </w:r>
      <w:r w:rsidR="000142A4" w:rsidRPr="003B3052">
        <w:rPr>
          <w:lang w:val="fr-FR"/>
        </w:rPr>
        <w:t xml:space="preserve">, socioculturels </w:t>
      </w:r>
      <w:r w:rsidRPr="003B3052">
        <w:rPr>
          <w:lang w:val="fr-FR"/>
        </w:rPr>
        <w:t xml:space="preserve">et </w:t>
      </w:r>
      <w:r w:rsidR="000142A4" w:rsidRPr="003B3052">
        <w:rPr>
          <w:lang w:val="fr-FR"/>
        </w:rPr>
        <w:t>écosystémiques</w:t>
      </w:r>
      <w:r w:rsidRPr="003B3052">
        <w:rPr>
          <w:lang w:val="fr-FR"/>
        </w:rPr>
        <w:t>. La note d</w:t>
      </w:r>
      <w:r w:rsidR="00595A56" w:rsidRPr="003B3052">
        <w:rPr>
          <w:lang w:val="fr-FR"/>
        </w:rPr>
        <w:t>’</w:t>
      </w:r>
      <w:r w:rsidRPr="003B3052">
        <w:rPr>
          <w:lang w:val="fr-FR"/>
        </w:rPr>
        <w:t>orientation intégrera également les résultats d</w:t>
      </w:r>
      <w:r w:rsidR="00595A56" w:rsidRPr="003B3052">
        <w:rPr>
          <w:lang w:val="fr-FR"/>
        </w:rPr>
        <w:t>’</w:t>
      </w:r>
      <w:r w:rsidRPr="003B3052">
        <w:rPr>
          <w:lang w:val="fr-FR"/>
        </w:rPr>
        <w:t>un examen de la littérature entrepris par le Secrétariat plus tôt dans l</w:t>
      </w:r>
      <w:r w:rsidR="00595A56" w:rsidRPr="003B3052">
        <w:rPr>
          <w:lang w:val="fr-FR"/>
        </w:rPr>
        <w:t>’</w:t>
      </w:r>
      <w:r w:rsidRPr="003B3052">
        <w:rPr>
          <w:lang w:val="fr-FR"/>
        </w:rPr>
        <w:t xml:space="preserve">année. Elle cherchera à mieux faire </w:t>
      </w:r>
      <w:r w:rsidR="001E4581" w:rsidRPr="003B3052">
        <w:rPr>
          <w:lang w:val="fr-FR"/>
        </w:rPr>
        <w:t xml:space="preserve">comprendre </w:t>
      </w:r>
      <w:r w:rsidRPr="003B3052">
        <w:rPr>
          <w:lang w:val="fr-FR"/>
        </w:rPr>
        <w:t>la manière dont le patrimoine culturel immatériel peut être exploité pour renforcer la résilience au changement climatique et favoriser l</w:t>
      </w:r>
      <w:r w:rsidR="00595A56" w:rsidRPr="003B3052">
        <w:rPr>
          <w:lang w:val="fr-FR"/>
        </w:rPr>
        <w:t>’</w:t>
      </w:r>
      <w:r w:rsidRPr="003B3052">
        <w:rPr>
          <w:lang w:val="fr-FR"/>
        </w:rPr>
        <w:t>inclusion sociale, tout en fournissant des conseils aux États sur la manière d</w:t>
      </w:r>
      <w:r w:rsidR="00595A56" w:rsidRPr="003B3052">
        <w:rPr>
          <w:lang w:val="fr-FR"/>
        </w:rPr>
        <w:t>’</w:t>
      </w:r>
      <w:r w:rsidRPr="003B3052">
        <w:rPr>
          <w:lang w:val="fr-FR"/>
        </w:rPr>
        <w:t>intégrer le patrimoine vivant dans les stratégies d</w:t>
      </w:r>
      <w:r w:rsidR="00595A56" w:rsidRPr="003B3052">
        <w:rPr>
          <w:lang w:val="fr-FR"/>
        </w:rPr>
        <w:t>’</w:t>
      </w:r>
      <w:r w:rsidRPr="003B3052">
        <w:rPr>
          <w:lang w:val="fr-FR"/>
        </w:rPr>
        <w:t>adaptation et d</w:t>
      </w:r>
      <w:r w:rsidR="00595A56" w:rsidRPr="003B3052">
        <w:rPr>
          <w:lang w:val="fr-FR"/>
        </w:rPr>
        <w:t>’</w:t>
      </w:r>
      <w:r w:rsidRPr="003B3052">
        <w:rPr>
          <w:lang w:val="fr-FR"/>
        </w:rPr>
        <w:t xml:space="preserve">atténuation du changement climatique. De cette façon, elle cherche à contribuer aux efforts </w:t>
      </w:r>
      <w:r w:rsidR="00D92189" w:rsidRPr="003B3052">
        <w:rPr>
          <w:lang w:val="fr-FR"/>
        </w:rPr>
        <w:t xml:space="preserve">déployés à l’échelle </w:t>
      </w:r>
      <w:r w:rsidRPr="003B3052">
        <w:rPr>
          <w:lang w:val="fr-FR"/>
        </w:rPr>
        <w:t>de l</w:t>
      </w:r>
      <w:r w:rsidR="00595A56" w:rsidRPr="003B3052">
        <w:rPr>
          <w:lang w:val="fr-FR"/>
        </w:rPr>
        <w:t>’</w:t>
      </w:r>
      <w:r w:rsidRPr="003B3052">
        <w:rPr>
          <w:lang w:val="fr-FR"/>
        </w:rPr>
        <w:t xml:space="preserve">UNESCO, pour améliorer les connaissances </w:t>
      </w:r>
      <w:r w:rsidR="00D92189" w:rsidRPr="003B3052">
        <w:rPr>
          <w:lang w:val="fr-FR"/>
        </w:rPr>
        <w:t>sur</w:t>
      </w:r>
      <w:r w:rsidRPr="003B3052">
        <w:rPr>
          <w:lang w:val="fr-FR"/>
        </w:rPr>
        <w:t xml:space="preserve"> l</w:t>
      </w:r>
      <w:r w:rsidR="00595A56" w:rsidRPr="003B3052">
        <w:rPr>
          <w:lang w:val="fr-FR"/>
        </w:rPr>
        <w:t>’</w:t>
      </w:r>
      <w:r w:rsidRPr="003B3052">
        <w:rPr>
          <w:lang w:val="fr-FR"/>
        </w:rPr>
        <w:t>action climatique, en démontrant l</w:t>
      </w:r>
      <w:r w:rsidR="00595A56" w:rsidRPr="003B3052">
        <w:rPr>
          <w:lang w:val="fr-FR"/>
        </w:rPr>
        <w:t>’</w:t>
      </w:r>
      <w:r w:rsidRPr="003B3052">
        <w:rPr>
          <w:lang w:val="fr-FR"/>
        </w:rPr>
        <w:t xml:space="preserve">importance du patrimoine vivant dans </w:t>
      </w:r>
      <w:r w:rsidRPr="003B3052">
        <w:rPr>
          <w:lang w:val="fr-FR"/>
        </w:rPr>
        <w:lastRenderedPageBreak/>
        <w:t>l</w:t>
      </w:r>
      <w:r w:rsidR="00595A56" w:rsidRPr="003B3052">
        <w:rPr>
          <w:lang w:val="fr-FR"/>
        </w:rPr>
        <w:t>’</w:t>
      </w:r>
      <w:r w:rsidRPr="003B3052">
        <w:rPr>
          <w:lang w:val="fr-FR"/>
        </w:rPr>
        <w:t>élaboration de réponses localement pertinentes, durables et inclusives à ce défi mondial urgent.</w:t>
      </w:r>
    </w:p>
    <w:p w14:paraId="1F83E3F8" w14:textId="77777777" w:rsidR="0038462E" w:rsidRPr="003B3052" w:rsidRDefault="00FE3BE6">
      <w:pPr>
        <w:pStyle w:val="Titre4"/>
        <w:spacing w:before="240"/>
        <w:ind w:left="567" w:hanging="567"/>
        <w:rPr>
          <w:lang w:val="fr-FR"/>
        </w:rPr>
      </w:pPr>
      <w:r w:rsidRPr="003B3052">
        <w:rPr>
          <w:lang w:val="fr-FR"/>
        </w:rPr>
        <w:t>Sauvegarde du patrimoine culturel immatériel dans les contextes urbains</w:t>
      </w:r>
    </w:p>
    <w:p w14:paraId="21CD7132" w14:textId="526B30B7" w:rsidR="0038462E" w:rsidRPr="003B3052" w:rsidRDefault="00FE3BE6">
      <w:pPr>
        <w:pStyle w:val="GAPara"/>
        <w:numPr>
          <w:ilvl w:val="0"/>
          <w:numId w:val="34"/>
        </w:numPr>
        <w:ind w:left="567" w:hanging="567"/>
        <w:jc w:val="both"/>
        <w:rPr>
          <w:lang w:val="fr-FR"/>
        </w:rPr>
      </w:pPr>
      <w:r w:rsidRPr="003B3052">
        <w:rPr>
          <w:lang w:val="fr-FR"/>
        </w:rPr>
        <w:t>L</w:t>
      </w:r>
      <w:r w:rsidR="00595A56" w:rsidRPr="003B3052">
        <w:rPr>
          <w:lang w:val="fr-FR"/>
        </w:rPr>
        <w:t>’</w:t>
      </w:r>
      <w:r w:rsidRPr="003B3052">
        <w:rPr>
          <w:lang w:val="fr-FR"/>
        </w:rPr>
        <w:t xml:space="preserve">urbanisation façonne de plus en plus la manière dont </w:t>
      </w:r>
      <w:r w:rsidR="00F6777F" w:rsidRPr="003B3052">
        <w:rPr>
          <w:lang w:val="fr-FR"/>
        </w:rPr>
        <w:t xml:space="preserve">les sociétés </w:t>
      </w:r>
      <w:r w:rsidRPr="003B3052">
        <w:rPr>
          <w:lang w:val="fr-FR"/>
        </w:rPr>
        <w:t>vivent et interagissent. La convergence de multiples communautés de cultures différentes dans les zones urbaines et les taux d</w:t>
      </w:r>
      <w:r w:rsidR="00595A56" w:rsidRPr="003B3052">
        <w:rPr>
          <w:lang w:val="fr-FR"/>
        </w:rPr>
        <w:t>’</w:t>
      </w:r>
      <w:r w:rsidRPr="003B3052">
        <w:rPr>
          <w:lang w:val="fr-FR"/>
        </w:rPr>
        <w:t>urbanisation sans précédent dans le monde ont un impact sur les modes de vie et la transmission du patrimoine vivant. Dans les villes, les pratiques culturelles peuvent perdre leur visibilité en raison de la dynamique urbaine et entrer en conflit avec d</w:t>
      </w:r>
      <w:r w:rsidR="00595A56" w:rsidRPr="003B3052">
        <w:rPr>
          <w:lang w:val="fr-FR"/>
        </w:rPr>
        <w:t>’</w:t>
      </w:r>
      <w:r w:rsidRPr="003B3052">
        <w:rPr>
          <w:lang w:val="fr-FR"/>
        </w:rPr>
        <w:t xml:space="preserve">autres pratiques ou expressions du patrimoine culturel immatériel. Dans le même temps, ces mêmes pratiques </w:t>
      </w:r>
      <w:r w:rsidR="003F0DDB" w:rsidRPr="003B3052">
        <w:rPr>
          <w:lang w:val="fr-FR"/>
        </w:rPr>
        <w:t>sont une source d’</w:t>
      </w:r>
      <w:r w:rsidRPr="003B3052">
        <w:rPr>
          <w:lang w:val="fr-FR"/>
        </w:rPr>
        <w:t xml:space="preserve">identité </w:t>
      </w:r>
      <w:r w:rsidR="003F0DDB" w:rsidRPr="003B3052">
        <w:rPr>
          <w:lang w:val="fr-FR"/>
        </w:rPr>
        <w:t xml:space="preserve">dans les </w:t>
      </w:r>
      <w:r w:rsidRPr="003B3052">
        <w:rPr>
          <w:lang w:val="fr-FR"/>
        </w:rPr>
        <w:t>contextes urbains. Dans cette situation, l</w:t>
      </w:r>
      <w:r w:rsidR="00595A56" w:rsidRPr="003B3052">
        <w:rPr>
          <w:lang w:val="fr-FR"/>
        </w:rPr>
        <w:t>’</w:t>
      </w:r>
      <w:r w:rsidRPr="003B3052">
        <w:rPr>
          <w:lang w:val="fr-FR"/>
        </w:rPr>
        <w:t>urbanisation a mis en évidence la nécessité de comprendre comment le patrimoine vivant s</w:t>
      </w:r>
      <w:r w:rsidR="00595A56" w:rsidRPr="003B3052">
        <w:rPr>
          <w:lang w:val="fr-FR"/>
        </w:rPr>
        <w:t>’</w:t>
      </w:r>
      <w:r w:rsidRPr="003B3052">
        <w:rPr>
          <w:lang w:val="fr-FR"/>
        </w:rPr>
        <w:t>adapte</w:t>
      </w:r>
      <w:r w:rsidR="000142A4" w:rsidRPr="003B3052">
        <w:rPr>
          <w:lang w:val="fr-FR"/>
        </w:rPr>
        <w:t xml:space="preserve">, </w:t>
      </w:r>
      <w:r w:rsidRPr="003B3052">
        <w:rPr>
          <w:lang w:val="fr-FR"/>
        </w:rPr>
        <w:t xml:space="preserve">évolue </w:t>
      </w:r>
      <w:r w:rsidR="003F0DDB" w:rsidRPr="003B3052">
        <w:rPr>
          <w:lang w:val="fr-FR"/>
        </w:rPr>
        <w:t>voire</w:t>
      </w:r>
      <w:r w:rsidR="000142A4" w:rsidRPr="003B3052">
        <w:rPr>
          <w:lang w:val="fr-FR"/>
        </w:rPr>
        <w:t xml:space="preserve"> disparaît </w:t>
      </w:r>
      <w:r w:rsidRPr="003B3052">
        <w:rPr>
          <w:lang w:val="fr-FR"/>
        </w:rPr>
        <w:t>dans les contextes urbains. De multiples facteurs tels que l</w:t>
      </w:r>
      <w:r w:rsidR="00595A56" w:rsidRPr="003B3052">
        <w:rPr>
          <w:lang w:val="fr-FR"/>
        </w:rPr>
        <w:t>’</w:t>
      </w:r>
      <w:r w:rsidRPr="003B3052">
        <w:rPr>
          <w:lang w:val="fr-FR"/>
        </w:rPr>
        <w:t>exode rural, le changement climatique, la rareté des terres et l</w:t>
      </w:r>
      <w:r w:rsidR="00595A56" w:rsidRPr="003B3052">
        <w:rPr>
          <w:lang w:val="fr-FR"/>
        </w:rPr>
        <w:t>’</w:t>
      </w:r>
      <w:r w:rsidRPr="003B3052">
        <w:rPr>
          <w:lang w:val="fr-FR"/>
        </w:rPr>
        <w:t>augmentation du coût de la vie ont un impact sur la pratique du patrimoine vivant dans les villes.</w:t>
      </w:r>
    </w:p>
    <w:p w14:paraId="617C454F" w14:textId="58C141E7" w:rsidR="0038462E" w:rsidRPr="003B3052" w:rsidRDefault="00FE3BE6">
      <w:pPr>
        <w:pStyle w:val="GAPara"/>
        <w:numPr>
          <w:ilvl w:val="0"/>
          <w:numId w:val="34"/>
        </w:numPr>
        <w:ind w:left="567" w:hanging="567"/>
        <w:jc w:val="both"/>
        <w:rPr>
          <w:lang w:val="fr-FR"/>
        </w:rPr>
      </w:pPr>
      <w:r w:rsidRPr="003B3052">
        <w:rPr>
          <w:lang w:val="fr-FR"/>
        </w:rPr>
        <w:t>Au niveau mondial, des instruments et des normes sur le patrimoine vivant et le développement urbain ont été élaborés afin de définir des principes et des approches sur cette question. Parmi eux, la Charte mondiale du droit à la ville (2005) souligne l</w:t>
      </w:r>
      <w:r w:rsidR="00595A56" w:rsidRPr="003B3052">
        <w:rPr>
          <w:lang w:val="fr-FR"/>
        </w:rPr>
        <w:t>’</w:t>
      </w:r>
      <w:r w:rsidRPr="003B3052">
        <w:rPr>
          <w:lang w:val="fr-FR"/>
        </w:rPr>
        <w:t xml:space="preserve">importance des fonctions sociales et des ressources culturelles des centres urbains, en tant que finalité première de la ville. La Recommandation sur le paysage urbain historique (2011), rappelle la nécessité de préserver le patrimoine urbain, y compris les composantes matérielles et immatérielles, pour atteindre un équilibre entre croissance urbaine et qualité de vie. Le Nouvel Agenda Urbain 2017 de </w:t>
      </w:r>
      <w:r w:rsidR="008030E6" w:rsidRPr="003B3052">
        <w:rPr>
          <w:lang w:val="fr-FR"/>
        </w:rPr>
        <w:t>ONU-</w:t>
      </w:r>
      <w:r w:rsidRPr="003B3052">
        <w:rPr>
          <w:lang w:val="fr-FR"/>
        </w:rPr>
        <w:t>Habitat reconnaît la corrélation entre les bonnes pratiques d</w:t>
      </w:r>
      <w:r w:rsidR="00595A56" w:rsidRPr="003B3052">
        <w:rPr>
          <w:lang w:val="fr-FR"/>
        </w:rPr>
        <w:t>’</w:t>
      </w:r>
      <w:r w:rsidRPr="003B3052">
        <w:rPr>
          <w:lang w:val="fr-FR"/>
        </w:rPr>
        <w:t>urbanisation et de développement en relation avec l</w:t>
      </w:r>
      <w:r w:rsidR="00595A56" w:rsidRPr="003B3052">
        <w:rPr>
          <w:lang w:val="fr-FR"/>
        </w:rPr>
        <w:t>’</w:t>
      </w:r>
      <w:r w:rsidRPr="003B3052">
        <w:rPr>
          <w:lang w:val="fr-FR"/>
        </w:rPr>
        <w:t>Agenda 2030 pour le développement durable et l</w:t>
      </w:r>
      <w:r w:rsidR="00595A56" w:rsidRPr="003B3052">
        <w:rPr>
          <w:lang w:val="fr-FR"/>
        </w:rPr>
        <w:t>’</w:t>
      </w:r>
      <w:r w:rsidRPr="003B3052">
        <w:rPr>
          <w:lang w:val="fr-FR"/>
        </w:rPr>
        <w:t>Objectif 11 sur les villes et communautés durables, qui rappelle l</w:t>
      </w:r>
      <w:r w:rsidR="00595A56" w:rsidRPr="003B3052">
        <w:rPr>
          <w:lang w:val="fr-FR"/>
        </w:rPr>
        <w:t>’</w:t>
      </w:r>
      <w:r w:rsidRPr="003B3052">
        <w:rPr>
          <w:lang w:val="fr-FR"/>
        </w:rPr>
        <w:t xml:space="preserve">importance de la sauvegarde du patrimoine culturel pour le développement durable, tout comme la Déclaration de Hangzhou (2013). La déclaration de Jeonju sur le </w:t>
      </w:r>
      <w:r w:rsidR="00595A56" w:rsidRPr="003B3052">
        <w:rPr>
          <w:lang w:val="fr-FR"/>
        </w:rPr>
        <w:t>« </w:t>
      </w:r>
      <w:r w:rsidRPr="003B3052">
        <w:rPr>
          <w:lang w:val="fr-FR"/>
        </w:rPr>
        <w:t>patrimoine culturel immatériel, une ressource pour la ville d</w:t>
      </w:r>
      <w:r w:rsidR="00595A56" w:rsidRPr="003B3052">
        <w:rPr>
          <w:lang w:val="fr-FR"/>
        </w:rPr>
        <w:t>’</w:t>
      </w:r>
      <w:r w:rsidRPr="003B3052">
        <w:rPr>
          <w:lang w:val="fr-FR"/>
        </w:rPr>
        <w:t>aujourd</w:t>
      </w:r>
      <w:r w:rsidR="00595A56" w:rsidRPr="003B3052">
        <w:rPr>
          <w:lang w:val="fr-FR"/>
        </w:rPr>
        <w:t>’</w:t>
      </w:r>
      <w:r w:rsidRPr="003B3052">
        <w:rPr>
          <w:lang w:val="fr-FR"/>
        </w:rPr>
        <w:t>hui et de demain</w:t>
      </w:r>
      <w:r w:rsidR="00595A56" w:rsidRPr="003B3052">
        <w:rPr>
          <w:lang w:val="fr-FR"/>
        </w:rPr>
        <w:t> »</w:t>
      </w:r>
      <w:r w:rsidR="00F6777F" w:rsidRPr="003B3052">
        <w:rPr>
          <w:lang w:val="fr-FR"/>
        </w:rPr>
        <w:t xml:space="preserve"> </w:t>
      </w:r>
      <w:r w:rsidRPr="003B3052">
        <w:rPr>
          <w:lang w:val="fr-FR"/>
        </w:rPr>
        <w:t xml:space="preserve">rappelle </w:t>
      </w:r>
      <w:r w:rsidR="00813A61" w:rsidRPr="003B3052">
        <w:rPr>
          <w:lang w:val="fr-FR"/>
        </w:rPr>
        <w:t xml:space="preserve">à quel point </w:t>
      </w:r>
      <w:r w:rsidRPr="003B3052">
        <w:rPr>
          <w:lang w:val="fr-FR"/>
        </w:rPr>
        <w:t>la sauvegarde du patrimoine vivant dans les contextes urbains</w:t>
      </w:r>
      <w:r w:rsidR="00595A56" w:rsidRPr="003B3052">
        <w:rPr>
          <w:lang w:val="fr-FR"/>
        </w:rPr>
        <w:t xml:space="preserve"> « </w:t>
      </w:r>
      <w:r w:rsidRPr="003B3052">
        <w:rPr>
          <w:lang w:val="fr-FR"/>
        </w:rPr>
        <w:t>a été sous-explorée et sous-représentée dans l</w:t>
      </w:r>
      <w:r w:rsidR="00595A56" w:rsidRPr="003B3052">
        <w:rPr>
          <w:lang w:val="fr-FR"/>
        </w:rPr>
        <w:t>’</w:t>
      </w:r>
      <w:r w:rsidRPr="003B3052">
        <w:rPr>
          <w:lang w:val="fr-FR"/>
        </w:rPr>
        <w:t>élaboration des politiques</w:t>
      </w:r>
      <w:r w:rsidR="00595A56" w:rsidRPr="003B3052">
        <w:rPr>
          <w:lang w:val="fr-FR"/>
        </w:rPr>
        <w:t> »</w:t>
      </w:r>
      <w:r w:rsidRPr="003B3052">
        <w:rPr>
          <w:lang w:val="fr-FR"/>
        </w:rPr>
        <w:t>. Les instruments et normes internationaux qui se concentrent sur le thème du patrimoine culturel immatériel et d</w:t>
      </w:r>
      <w:r w:rsidR="008030E6" w:rsidRPr="003B3052">
        <w:rPr>
          <w:lang w:val="fr-FR"/>
        </w:rPr>
        <w:t>es</w:t>
      </w:r>
      <w:r w:rsidRPr="003B3052">
        <w:rPr>
          <w:lang w:val="fr-FR"/>
        </w:rPr>
        <w:t xml:space="preserve"> contexte</w:t>
      </w:r>
      <w:r w:rsidR="008030E6" w:rsidRPr="003B3052">
        <w:rPr>
          <w:lang w:val="fr-FR"/>
        </w:rPr>
        <w:t>s</w:t>
      </w:r>
      <w:r w:rsidRPr="003B3052">
        <w:rPr>
          <w:lang w:val="fr-FR"/>
        </w:rPr>
        <w:t xml:space="preserve"> urbain</w:t>
      </w:r>
      <w:r w:rsidR="008030E6" w:rsidRPr="003B3052">
        <w:rPr>
          <w:lang w:val="fr-FR"/>
        </w:rPr>
        <w:t>s</w:t>
      </w:r>
      <w:r w:rsidRPr="003B3052">
        <w:rPr>
          <w:lang w:val="fr-FR"/>
        </w:rPr>
        <w:t xml:space="preserve"> sont à la fois opportuns et urgents.</w:t>
      </w:r>
    </w:p>
    <w:p w14:paraId="777BBFBD" w14:textId="63EA9B37" w:rsidR="0038462E" w:rsidRPr="003B3052" w:rsidRDefault="00FE3BE6">
      <w:pPr>
        <w:pStyle w:val="GAPara"/>
        <w:numPr>
          <w:ilvl w:val="0"/>
          <w:numId w:val="34"/>
        </w:numPr>
        <w:ind w:left="567" w:hanging="567"/>
        <w:jc w:val="both"/>
        <w:rPr>
          <w:lang w:val="fr-FR"/>
        </w:rPr>
      </w:pPr>
      <w:r w:rsidRPr="003B3052">
        <w:rPr>
          <w:lang w:val="fr-FR"/>
        </w:rPr>
        <w:t xml:space="preserve">Depuis mai 2018, le Secrétariat </w:t>
      </w:r>
      <w:r w:rsidR="000142A4" w:rsidRPr="003B3052">
        <w:rPr>
          <w:lang w:val="fr-FR"/>
        </w:rPr>
        <w:t xml:space="preserve">met en œuvre </w:t>
      </w:r>
      <w:r w:rsidRPr="003B3052">
        <w:rPr>
          <w:lang w:val="fr-FR"/>
        </w:rPr>
        <w:t xml:space="preserve">un projet extrabudgétaire pluriannuel, </w:t>
      </w:r>
      <w:r w:rsidR="00595A56" w:rsidRPr="003B3052">
        <w:rPr>
          <w:lang w:val="fr-FR"/>
        </w:rPr>
        <w:t>« </w:t>
      </w:r>
      <w:r w:rsidRPr="003B3052">
        <w:rPr>
          <w:lang w:val="fr-FR"/>
        </w:rPr>
        <w:t>Patrimoine immatériel et créativité pour des villes durables</w:t>
      </w:r>
      <w:r w:rsidR="00595A56" w:rsidRPr="003B3052">
        <w:rPr>
          <w:lang w:val="fr-FR"/>
        </w:rPr>
        <w:t> »</w:t>
      </w:r>
      <w:r w:rsidRPr="003B3052">
        <w:rPr>
          <w:lang w:val="fr-FR"/>
        </w:rPr>
        <w:t xml:space="preserve">, </w:t>
      </w:r>
      <w:r w:rsidR="00F6777F" w:rsidRPr="003B3052">
        <w:rPr>
          <w:lang w:val="fr-FR"/>
        </w:rPr>
        <w:t>avec le soutien du secteur privé de la République populaire de Chine</w:t>
      </w:r>
      <w:r w:rsidRPr="003B3052">
        <w:rPr>
          <w:lang w:val="fr-FR"/>
        </w:rPr>
        <w:t xml:space="preserve">, dans le cadre duquel des </w:t>
      </w:r>
      <w:r w:rsidR="00F6777F" w:rsidRPr="003B3052">
        <w:rPr>
          <w:lang w:val="fr-FR"/>
        </w:rPr>
        <w:t xml:space="preserve">actions </w:t>
      </w:r>
      <w:r w:rsidRPr="003B3052">
        <w:rPr>
          <w:lang w:val="fr-FR"/>
        </w:rPr>
        <w:t>pilotes ont été mises en œuvre par le biais d</w:t>
      </w:r>
      <w:r w:rsidR="00595A56" w:rsidRPr="003B3052">
        <w:rPr>
          <w:lang w:val="fr-FR"/>
        </w:rPr>
        <w:t>’</w:t>
      </w:r>
      <w:r w:rsidRPr="003B3052">
        <w:rPr>
          <w:lang w:val="fr-FR"/>
        </w:rPr>
        <w:t>exercices d</w:t>
      </w:r>
      <w:r w:rsidR="00595A56" w:rsidRPr="003B3052">
        <w:rPr>
          <w:lang w:val="fr-FR"/>
        </w:rPr>
        <w:t>’</w:t>
      </w:r>
      <w:r w:rsidRPr="003B3052">
        <w:rPr>
          <w:lang w:val="fr-FR"/>
        </w:rPr>
        <w:t xml:space="preserve">inventaire </w:t>
      </w:r>
      <w:r w:rsidR="008030E6" w:rsidRPr="003B3052">
        <w:rPr>
          <w:lang w:val="fr-FR"/>
        </w:rPr>
        <w:t xml:space="preserve">avec la participation des communautés </w:t>
      </w:r>
      <w:r w:rsidRPr="003B3052">
        <w:rPr>
          <w:lang w:val="fr-FR"/>
        </w:rPr>
        <w:t xml:space="preserve">dans six villes sélectionnées, à savoir George Town (Malaisie), Harare (Zimbabwe), Kingston (Jamaïque), Ayacucho (Pérou), Tbilissi (Géorgie) et Irbid (Jordanie). Le projet visait à promouvoir le rôle de la culture dans le développement urbain durable et, plus </w:t>
      </w:r>
      <w:r w:rsidR="008030E6" w:rsidRPr="003B3052">
        <w:rPr>
          <w:lang w:val="fr-FR"/>
        </w:rPr>
        <w:t>spécifiquement</w:t>
      </w:r>
      <w:r w:rsidRPr="003B3052">
        <w:rPr>
          <w:lang w:val="fr-FR"/>
        </w:rPr>
        <w:t>, à aborder le rôle que le patrimoine vivant peut jouer dans la construction de villes durables. Ces projets pilotes ont reçu un fort soutien des parties prenantes dans les villes concernées.</w:t>
      </w:r>
    </w:p>
    <w:p w14:paraId="61779FE8" w14:textId="15FC373A" w:rsidR="0038462E" w:rsidRPr="003B3052" w:rsidRDefault="00F92F41">
      <w:pPr>
        <w:pStyle w:val="GAPara"/>
        <w:numPr>
          <w:ilvl w:val="0"/>
          <w:numId w:val="34"/>
        </w:numPr>
        <w:ind w:left="567" w:hanging="567"/>
        <w:jc w:val="both"/>
        <w:rPr>
          <w:lang w:val="fr-FR"/>
        </w:rPr>
      </w:pPr>
      <w:r w:rsidRPr="003B3052">
        <w:rPr>
          <w:rFonts w:asciiTheme="minorBidi" w:hAnsiTheme="minorBidi" w:cstheme="minorBidi"/>
          <w:color w:val="000000" w:themeColor="text1"/>
          <w:lang w:val="fr-FR"/>
        </w:rPr>
        <w:t>Compte tenu d</w:t>
      </w:r>
      <w:r w:rsidR="00FE3BE6" w:rsidRPr="003B3052">
        <w:rPr>
          <w:rFonts w:asciiTheme="minorBidi" w:hAnsiTheme="minorBidi" w:cstheme="minorBidi"/>
          <w:color w:val="000000" w:themeColor="text1"/>
          <w:lang w:val="fr-FR"/>
        </w:rPr>
        <w:t xml:space="preserve">es résultats du projet pilote sur les inventaires </w:t>
      </w:r>
      <w:r w:rsidRPr="003B3052">
        <w:rPr>
          <w:rFonts w:asciiTheme="minorBidi" w:hAnsiTheme="minorBidi" w:cstheme="minorBidi"/>
          <w:color w:val="000000" w:themeColor="text1"/>
          <w:lang w:val="fr-FR"/>
        </w:rPr>
        <w:t xml:space="preserve">avec la participation des communautés </w:t>
      </w:r>
      <w:r w:rsidR="00FE3BE6" w:rsidRPr="003B3052">
        <w:rPr>
          <w:rFonts w:asciiTheme="minorBidi" w:hAnsiTheme="minorBidi" w:cstheme="minorBidi"/>
          <w:color w:val="000000" w:themeColor="text1"/>
          <w:lang w:val="fr-FR"/>
        </w:rPr>
        <w:t xml:space="preserve">dans les villes, le Secrétariat a commencé </w:t>
      </w:r>
      <w:r w:rsidR="00F6777F" w:rsidRPr="003B3052">
        <w:rPr>
          <w:rFonts w:asciiTheme="minorBidi" w:hAnsiTheme="minorBidi" w:cstheme="minorBidi"/>
          <w:color w:val="000000" w:themeColor="text1"/>
          <w:lang w:val="fr-FR"/>
        </w:rPr>
        <w:t xml:space="preserve">en décembre 2021 </w:t>
      </w:r>
      <w:r w:rsidR="00FE3BE6" w:rsidRPr="003B3052">
        <w:rPr>
          <w:rFonts w:asciiTheme="minorBidi" w:hAnsiTheme="minorBidi" w:cstheme="minorBidi"/>
          <w:color w:val="000000" w:themeColor="text1"/>
          <w:lang w:val="fr-FR"/>
        </w:rPr>
        <w:t>à élaborer des lignes directrices et des recommandations politiques pour la mise en œuvre de la Convention dans les contextes urbains. Les lignes directrices sont sous-tendues par l</w:t>
      </w:r>
      <w:r w:rsidR="00595A56"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idée que le patrimoine urbain ne s</w:t>
      </w:r>
      <w:r w:rsidR="00595A56"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 xml:space="preserve">exprime pas seulement dans ses formes bâties ou matérielles, mais à travers les usages et pratiques vivantes </w:t>
      </w:r>
      <w:r w:rsidR="006F1709" w:rsidRPr="003B3052">
        <w:rPr>
          <w:rFonts w:asciiTheme="minorBidi" w:hAnsiTheme="minorBidi" w:cstheme="minorBidi"/>
          <w:color w:val="000000" w:themeColor="text1"/>
          <w:lang w:val="fr-FR"/>
        </w:rPr>
        <w:t xml:space="preserve">des habitants </w:t>
      </w:r>
      <w:r w:rsidR="00FE3BE6" w:rsidRPr="003B3052">
        <w:rPr>
          <w:rFonts w:asciiTheme="minorBidi" w:hAnsiTheme="minorBidi" w:cstheme="minorBidi"/>
          <w:color w:val="000000" w:themeColor="text1"/>
          <w:lang w:val="fr-FR"/>
        </w:rPr>
        <w:t xml:space="preserve">des villes et la façon dont ils </w:t>
      </w:r>
      <w:r w:rsidR="00FE3BE6" w:rsidRPr="003B3052">
        <w:rPr>
          <w:lang w:val="fr-FR"/>
        </w:rPr>
        <w:t xml:space="preserve">se situent </w:t>
      </w:r>
      <w:r w:rsidR="00FE3BE6" w:rsidRPr="003B3052">
        <w:rPr>
          <w:rFonts w:asciiTheme="minorBidi" w:hAnsiTheme="minorBidi" w:cstheme="minorBidi"/>
          <w:color w:val="000000" w:themeColor="text1"/>
          <w:lang w:val="fr-FR"/>
        </w:rPr>
        <w:t>dans les espaces urbains</w:t>
      </w:r>
      <w:r w:rsidR="00FE3BE6" w:rsidRPr="003B3052">
        <w:rPr>
          <w:color w:val="000000"/>
          <w:shd w:val="clear" w:color="auto" w:fill="FFFFFF"/>
          <w:lang w:val="fr-FR"/>
        </w:rPr>
        <w:t xml:space="preserve">. </w:t>
      </w:r>
      <w:r w:rsidR="00FE3BE6" w:rsidRPr="003B3052">
        <w:rPr>
          <w:rFonts w:asciiTheme="minorBidi" w:hAnsiTheme="minorBidi" w:cstheme="minorBidi"/>
          <w:color w:val="000000" w:themeColor="text1"/>
          <w:lang w:val="fr-FR"/>
        </w:rPr>
        <w:t>Pour contribuer à l</w:t>
      </w:r>
      <w:r w:rsidR="00595A56"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 xml:space="preserve">élaboration des lignes directrices, une </w:t>
      </w:r>
      <w:hyperlink r:id="rId20" w:history="1">
        <w:r w:rsidR="00FE3BE6" w:rsidRPr="003B3052">
          <w:rPr>
            <w:rStyle w:val="Lienhypertexte"/>
            <w:rFonts w:cstheme="minorBidi"/>
            <w:lang w:val="fr-FR"/>
          </w:rPr>
          <w:t xml:space="preserve">enquête </w:t>
        </w:r>
        <w:r w:rsidR="005C2CB8" w:rsidRPr="003B3052">
          <w:rPr>
            <w:rStyle w:val="Lienhypertexte"/>
            <w:rFonts w:asciiTheme="minorBidi" w:hAnsiTheme="minorBidi" w:cstheme="minorBidi"/>
            <w:lang w:val="fr-FR"/>
          </w:rPr>
          <w:t>mondiale</w:t>
        </w:r>
      </w:hyperlink>
      <w:r w:rsidR="005C2CB8" w:rsidRPr="003B3052">
        <w:rPr>
          <w:rFonts w:asciiTheme="minorBidi" w:hAnsiTheme="minorBidi" w:cstheme="minorBidi"/>
          <w:color w:val="000000" w:themeColor="text1"/>
          <w:lang w:val="fr-FR"/>
        </w:rPr>
        <w:t xml:space="preserve"> sur la </w:t>
      </w:r>
      <w:r w:rsidR="00595A56" w:rsidRPr="003B3052">
        <w:rPr>
          <w:rFonts w:asciiTheme="minorBidi" w:hAnsiTheme="minorBidi" w:cstheme="minorBidi"/>
          <w:color w:val="000000" w:themeColor="text1"/>
          <w:lang w:val="fr-FR"/>
        </w:rPr>
        <w:t>« </w:t>
      </w:r>
      <w:r w:rsidR="00FE3BE6" w:rsidRPr="003B3052">
        <w:rPr>
          <w:rFonts w:asciiTheme="minorBidi" w:hAnsiTheme="minorBidi" w:cstheme="minorBidi"/>
          <w:color w:val="000000" w:themeColor="text1"/>
          <w:lang w:val="fr-FR"/>
        </w:rPr>
        <w:t>Sauvegarde du patrimoine culturel immatériel dans les contextes urbains</w:t>
      </w:r>
      <w:r w:rsidR="00595A56" w:rsidRPr="003B3052">
        <w:rPr>
          <w:rFonts w:asciiTheme="minorBidi" w:hAnsiTheme="minorBidi" w:cstheme="minorBidi"/>
          <w:color w:val="000000" w:themeColor="text1"/>
          <w:lang w:val="fr-FR"/>
        </w:rPr>
        <w:t> »</w:t>
      </w:r>
      <w:r w:rsidR="00FE3BE6" w:rsidRPr="003B3052">
        <w:rPr>
          <w:rFonts w:asciiTheme="minorBidi" w:hAnsiTheme="minorBidi" w:cstheme="minorBidi"/>
          <w:color w:val="000000" w:themeColor="text1"/>
          <w:lang w:val="fr-FR"/>
        </w:rPr>
        <w:t xml:space="preserve"> a été lancée à la </w:t>
      </w:r>
      <w:r w:rsidR="006F1709" w:rsidRPr="003B3052">
        <w:rPr>
          <w:rFonts w:asciiTheme="minorBidi" w:hAnsiTheme="minorBidi" w:cstheme="minorBidi"/>
          <w:color w:val="000000" w:themeColor="text1"/>
          <w:lang w:val="fr-FR"/>
        </w:rPr>
        <w:t xml:space="preserve">mi-octobre </w:t>
      </w:r>
      <w:r w:rsidR="00FE3BE6" w:rsidRPr="003B3052">
        <w:rPr>
          <w:rFonts w:asciiTheme="minorBidi" w:hAnsiTheme="minorBidi" w:cstheme="minorBidi"/>
          <w:color w:val="000000" w:themeColor="text1"/>
          <w:lang w:val="fr-FR"/>
        </w:rPr>
        <w:t xml:space="preserve">2022 </w:t>
      </w:r>
      <w:r w:rsidR="002964F2" w:rsidRPr="003B3052">
        <w:rPr>
          <w:rFonts w:asciiTheme="minorBidi" w:hAnsiTheme="minorBidi" w:cstheme="minorBidi"/>
          <w:color w:val="000000" w:themeColor="text1"/>
          <w:lang w:val="fr-FR"/>
        </w:rPr>
        <w:t>(l</w:t>
      </w:r>
      <w:r w:rsidR="00595A56" w:rsidRPr="003B3052">
        <w:rPr>
          <w:rFonts w:asciiTheme="minorBidi" w:hAnsiTheme="minorBidi" w:cstheme="minorBidi"/>
          <w:color w:val="000000" w:themeColor="text1"/>
          <w:lang w:val="fr-FR"/>
        </w:rPr>
        <w:t>’</w:t>
      </w:r>
      <w:r w:rsidR="002964F2" w:rsidRPr="003B3052">
        <w:rPr>
          <w:rFonts w:asciiTheme="minorBidi" w:hAnsiTheme="minorBidi" w:cstheme="minorBidi"/>
          <w:color w:val="000000" w:themeColor="text1"/>
          <w:lang w:val="fr-FR"/>
        </w:rPr>
        <w:t>enquête est en cours au moment de la publication de ce document)</w:t>
      </w:r>
      <w:r w:rsidR="00FE3BE6" w:rsidRPr="003B3052">
        <w:rPr>
          <w:rFonts w:asciiTheme="minorBidi" w:hAnsiTheme="minorBidi" w:cstheme="minorBidi"/>
          <w:color w:val="000000" w:themeColor="text1"/>
          <w:lang w:val="fr-FR"/>
        </w:rPr>
        <w:t>. L</w:t>
      </w:r>
      <w:r w:rsidR="00595A56"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objectif de l</w:t>
      </w:r>
      <w:r w:rsidR="00595A56"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enquête est de recueillir les contributions des parties prenantes dans les domaines de l</w:t>
      </w:r>
      <w:r w:rsidR="00595A56"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 xml:space="preserve">urbanisme et de la </w:t>
      </w:r>
      <w:r w:rsidR="006F1709" w:rsidRPr="003B3052">
        <w:rPr>
          <w:rFonts w:asciiTheme="minorBidi" w:hAnsiTheme="minorBidi" w:cstheme="minorBidi"/>
          <w:color w:val="000000" w:themeColor="text1"/>
          <w:lang w:val="fr-FR"/>
        </w:rPr>
        <w:t xml:space="preserve">sauvegarde du </w:t>
      </w:r>
      <w:r w:rsidR="00FE3BE6" w:rsidRPr="003B3052">
        <w:rPr>
          <w:rFonts w:asciiTheme="minorBidi" w:hAnsiTheme="minorBidi" w:cstheme="minorBidi"/>
          <w:color w:val="000000" w:themeColor="text1"/>
          <w:lang w:val="fr-FR"/>
        </w:rPr>
        <w:t>patrimoine culturel immatériel</w:t>
      </w:r>
      <w:r w:rsidR="002F5880"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 xml:space="preserve"> et d</w:t>
      </w:r>
      <w:r w:rsidR="00595A56"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 xml:space="preserve">identifier les sujets clés </w:t>
      </w:r>
      <w:r w:rsidR="002F5880" w:rsidRPr="003B3052">
        <w:rPr>
          <w:rFonts w:asciiTheme="minorBidi" w:hAnsiTheme="minorBidi" w:cstheme="minorBidi"/>
          <w:color w:val="000000" w:themeColor="text1"/>
          <w:lang w:val="fr-FR"/>
        </w:rPr>
        <w:t>situés</w:t>
      </w:r>
      <w:r w:rsidR="00FE3BE6" w:rsidRPr="003B3052">
        <w:rPr>
          <w:rFonts w:asciiTheme="minorBidi" w:hAnsiTheme="minorBidi" w:cstheme="minorBidi"/>
          <w:color w:val="000000" w:themeColor="text1"/>
          <w:lang w:val="fr-FR"/>
        </w:rPr>
        <w:t xml:space="preserve"> </w:t>
      </w:r>
      <w:r w:rsidR="002F5880" w:rsidRPr="003B3052">
        <w:rPr>
          <w:rFonts w:asciiTheme="minorBidi" w:hAnsiTheme="minorBidi" w:cstheme="minorBidi"/>
          <w:color w:val="000000" w:themeColor="text1"/>
          <w:lang w:val="fr-FR"/>
        </w:rPr>
        <w:t xml:space="preserve">entre le </w:t>
      </w:r>
      <w:r w:rsidR="00FE3BE6" w:rsidRPr="003B3052">
        <w:rPr>
          <w:rFonts w:asciiTheme="minorBidi" w:hAnsiTheme="minorBidi" w:cstheme="minorBidi"/>
          <w:color w:val="000000" w:themeColor="text1"/>
          <w:lang w:val="fr-FR"/>
        </w:rPr>
        <w:t>patrimoine vivant et la pratique de l</w:t>
      </w:r>
      <w:r w:rsidR="00595A56"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urbanisme. L</w:t>
      </w:r>
      <w:r w:rsidR="00595A56"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enquête comprend des questions telles que</w:t>
      </w:r>
      <w:r w:rsidR="004C015E">
        <w:rPr>
          <w:rFonts w:asciiTheme="minorBidi" w:hAnsiTheme="minorBidi" w:cstheme="minorBidi"/>
          <w:color w:val="000000" w:themeColor="text1"/>
          <w:lang w:val="fr-FR"/>
        </w:rPr>
        <w:t> </w:t>
      </w:r>
      <w:r w:rsidR="00FE3BE6" w:rsidRPr="003B3052">
        <w:rPr>
          <w:rFonts w:asciiTheme="minorBidi" w:hAnsiTheme="minorBidi" w:cstheme="minorBidi"/>
          <w:color w:val="000000" w:themeColor="text1"/>
          <w:lang w:val="fr-FR"/>
        </w:rPr>
        <w:t xml:space="preserve">: les </w:t>
      </w:r>
      <w:r w:rsidR="006F1709" w:rsidRPr="003B3052">
        <w:rPr>
          <w:rFonts w:asciiTheme="minorBidi" w:hAnsiTheme="minorBidi" w:cstheme="minorBidi"/>
          <w:color w:val="000000" w:themeColor="text1"/>
          <w:lang w:val="fr-FR"/>
        </w:rPr>
        <w:t>moyens d</w:t>
      </w:r>
      <w:r w:rsidR="00595A56" w:rsidRPr="003B3052">
        <w:rPr>
          <w:rFonts w:asciiTheme="minorBidi" w:hAnsiTheme="minorBidi" w:cstheme="minorBidi"/>
          <w:color w:val="000000" w:themeColor="text1"/>
          <w:lang w:val="fr-FR"/>
        </w:rPr>
        <w:t>’</w:t>
      </w:r>
      <w:r w:rsidR="00FE3BE6" w:rsidRPr="003B3052">
        <w:rPr>
          <w:rFonts w:asciiTheme="minorBidi" w:hAnsiTheme="minorBidi" w:cstheme="minorBidi"/>
          <w:color w:val="000000" w:themeColor="text1"/>
          <w:lang w:val="fr-FR"/>
        </w:rPr>
        <w:t xml:space="preserve">identifier le patrimoine vivant </w:t>
      </w:r>
      <w:r w:rsidR="00FE3BE6" w:rsidRPr="003B3052">
        <w:rPr>
          <w:rFonts w:asciiTheme="minorBidi" w:hAnsiTheme="minorBidi" w:cstheme="minorBidi"/>
          <w:color w:val="000000" w:themeColor="text1"/>
          <w:lang w:val="fr-FR"/>
        </w:rPr>
        <w:lastRenderedPageBreak/>
        <w:t xml:space="preserve">dans les villes, les menaces </w:t>
      </w:r>
      <w:r w:rsidR="002F5880" w:rsidRPr="003B3052">
        <w:rPr>
          <w:rFonts w:asciiTheme="minorBidi" w:hAnsiTheme="minorBidi" w:cstheme="minorBidi"/>
          <w:color w:val="000000" w:themeColor="text1"/>
          <w:lang w:val="fr-FR"/>
        </w:rPr>
        <w:t xml:space="preserve">pesant sur </w:t>
      </w:r>
      <w:r w:rsidR="00FE3BE6" w:rsidRPr="003B3052">
        <w:rPr>
          <w:rFonts w:asciiTheme="minorBidi" w:hAnsiTheme="minorBidi" w:cstheme="minorBidi"/>
          <w:color w:val="000000" w:themeColor="text1"/>
          <w:lang w:val="fr-FR"/>
        </w:rPr>
        <w:t xml:space="preserve">le </w:t>
      </w:r>
      <w:r w:rsidR="00FE3BE6" w:rsidRPr="003B3052">
        <w:rPr>
          <w:lang w:val="fr-FR"/>
        </w:rPr>
        <w:t xml:space="preserve">patrimoine culturel </w:t>
      </w:r>
      <w:r w:rsidR="00FE3BE6" w:rsidRPr="003B3052">
        <w:rPr>
          <w:rFonts w:asciiTheme="minorBidi" w:hAnsiTheme="minorBidi" w:cstheme="minorBidi"/>
          <w:color w:val="000000" w:themeColor="text1"/>
          <w:lang w:val="fr-FR"/>
        </w:rPr>
        <w:t xml:space="preserve">immatériel </w:t>
      </w:r>
      <w:r w:rsidR="00FE3BE6" w:rsidRPr="003B3052">
        <w:rPr>
          <w:lang w:val="fr-FR"/>
        </w:rPr>
        <w:t>dans les contextes urbains, les méthodes et les défis lors de l</w:t>
      </w:r>
      <w:r w:rsidR="00595A56" w:rsidRPr="003B3052">
        <w:rPr>
          <w:lang w:val="fr-FR"/>
        </w:rPr>
        <w:t>’</w:t>
      </w:r>
      <w:r w:rsidR="00FE3BE6" w:rsidRPr="003B3052">
        <w:rPr>
          <w:lang w:val="fr-FR"/>
        </w:rPr>
        <w:t>intégration du patrimoine culturel immatériel</w:t>
      </w:r>
      <w:r w:rsidR="002F5880" w:rsidRPr="003B3052">
        <w:rPr>
          <w:lang w:val="fr-FR"/>
        </w:rPr>
        <w:t>,</w:t>
      </w:r>
      <w:r w:rsidR="00FE3BE6" w:rsidRPr="003B3052">
        <w:rPr>
          <w:lang w:val="fr-FR"/>
        </w:rPr>
        <w:t xml:space="preserve"> </w:t>
      </w:r>
      <w:r w:rsidR="006F1709" w:rsidRPr="003B3052">
        <w:rPr>
          <w:lang w:val="fr-FR"/>
        </w:rPr>
        <w:t xml:space="preserve">ainsi que des </w:t>
      </w:r>
      <w:r w:rsidR="00FE3BE6" w:rsidRPr="003B3052">
        <w:rPr>
          <w:lang w:val="fr-FR"/>
        </w:rPr>
        <w:t xml:space="preserve">recommandations potentielles lorsque le patrimoine vivant peut contribuer </w:t>
      </w:r>
      <w:r w:rsidR="002F5880" w:rsidRPr="003B3052">
        <w:rPr>
          <w:lang w:val="fr-FR"/>
        </w:rPr>
        <w:t>à la vie</w:t>
      </w:r>
      <w:r w:rsidR="00FE3BE6" w:rsidRPr="003B3052">
        <w:rPr>
          <w:lang w:val="fr-FR"/>
        </w:rPr>
        <w:t xml:space="preserve"> écologique, </w:t>
      </w:r>
      <w:r w:rsidR="002F5880" w:rsidRPr="003B3052">
        <w:rPr>
          <w:lang w:val="fr-FR"/>
        </w:rPr>
        <w:t>à l’</w:t>
      </w:r>
      <w:r w:rsidR="00FE3BE6" w:rsidRPr="003B3052">
        <w:rPr>
          <w:lang w:val="fr-FR"/>
        </w:rPr>
        <w:t xml:space="preserve">économie et </w:t>
      </w:r>
      <w:r w:rsidR="002F5880" w:rsidRPr="003B3052">
        <w:rPr>
          <w:lang w:val="fr-FR"/>
        </w:rPr>
        <w:t xml:space="preserve">aux structures </w:t>
      </w:r>
      <w:r w:rsidR="00FE3BE6" w:rsidRPr="003B3052">
        <w:rPr>
          <w:lang w:val="fr-FR"/>
        </w:rPr>
        <w:t xml:space="preserve">sociales des villes, et </w:t>
      </w:r>
      <w:r w:rsidR="006F1709" w:rsidRPr="003B3052">
        <w:rPr>
          <w:lang w:val="fr-FR"/>
        </w:rPr>
        <w:t xml:space="preserve">comment identifier les </w:t>
      </w:r>
      <w:r w:rsidR="00FE3BE6" w:rsidRPr="003B3052">
        <w:rPr>
          <w:lang w:val="fr-FR"/>
        </w:rPr>
        <w:t>principales parties prenantes.</w:t>
      </w:r>
    </w:p>
    <w:p w14:paraId="453E7700" w14:textId="6AC40C6D" w:rsidR="0038462E" w:rsidRPr="003B3052" w:rsidRDefault="00FE3BE6">
      <w:pPr>
        <w:pStyle w:val="GAPara"/>
        <w:numPr>
          <w:ilvl w:val="0"/>
          <w:numId w:val="34"/>
        </w:numPr>
        <w:ind w:left="567" w:hanging="567"/>
        <w:jc w:val="both"/>
        <w:rPr>
          <w:lang w:val="fr-FR"/>
        </w:rPr>
      </w:pPr>
      <w:r w:rsidRPr="003B3052">
        <w:rPr>
          <w:lang w:val="fr-FR"/>
        </w:rPr>
        <w:t>La note d</w:t>
      </w:r>
      <w:r w:rsidR="00595A56" w:rsidRPr="003B3052">
        <w:rPr>
          <w:lang w:val="fr-FR"/>
        </w:rPr>
        <w:t>’</w:t>
      </w:r>
      <w:r w:rsidRPr="003B3052">
        <w:rPr>
          <w:lang w:val="fr-FR"/>
        </w:rPr>
        <w:t>orientation sur le patrimoine vivant et la planification urbaine présentera un cadre pour l</w:t>
      </w:r>
      <w:r w:rsidR="00595A56" w:rsidRPr="003B3052">
        <w:rPr>
          <w:lang w:val="fr-FR"/>
        </w:rPr>
        <w:t>’</w:t>
      </w:r>
      <w:r w:rsidRPr="003B3052">
        <w:rPr>
          <w:lang w:val="fr-FR"/>
        </w:rPr>
        <w:t>intégration du patrimoine vivant dans la planification urbaine, accessible aux urbanistes, aux décideurs, aux communautés du patrimoine vivant et aux parties prenantes</w:t>
      </w:r>
      <w:r w:rsidRPr="003B3052">
        <w:rPr>
          <w:rFonts w:asciiTheme="minorBidi" w:hAnsiTheme="minorBidi"/>
          <w:color w:val="000000" w:themeColor="text1"/>
          <w:lang w:val="fr-FR"/>
        </w:rPr>
        <w:t>. Elle comprendra des études de cas sur l</w:t>
      </w:r>
      <w:r w:rsidR="00595A56" w:rsidRPr="003B3052">
        <w:rPr>
          <w:rFonts w:asciiTheme="minorBidi" w:hAnsiTheme="minorBidi"/>
          <w:color w:val="000000" w:themeColor="text1"/>
          <w:lang w:val="fr-FR"/>
        </w:rPr>
        <w:t>’</w:t>
      </w:r>
      <w:r w:rsidRPr="003B3052">
        <w:rPr>
          <w:rFonts w:asciiTheme="minorBidi" w:hAnsiTheme="minorBidi"/>
          <w:color w:val="000000" w:themeColor="text1"/>
          <w:lang w:val="fr-FR"/>
        </w:rPr>
        <w:t xml:space="preserve">intégration du </w:t>
      </w:r>
      <w:r w:rsidRPr="003B3052">
        <w:rPr>
          <w:rFonts w:asciiTheme="minorBidi" w:hAnsiTheme="minorBidi" w:cstheme="minorBidi"/>
          <w:color w:val="000000" w:themeColor="text1"/>
          <w:lang w:val="fr-FR"/>
        </w:rPr>
        <w:t xml:space="preserve">patrimoine </w:t>
      </w:r>
      <w:r w:rsidRPr="003B3052">
        <w:rPr>
          <w:rFonts w:asciiTheme="minorBidi" w:hAnsiTheme="minorBidi"/>
          <w:color w:val="000000" w:themeColor="text1"/>
          <w:lang w:val="fr-FR"/>
        </w:rPr>
        <w:t>culturel immatériel dans les plans directeurs et les plans stratégiques urbains, reflétant les différents plans</w:t>
      </w:r>
      <w:r w:rsidR="002F5880" w:rsidRPr="003B3052">
        <w:rPr>
          <w:rFonts w:asciiTheme="minorBidi" w:hAnsiTheme="minorBidi"/>
          <w:color w:val="000000" w:themeColor="text1"/>
          <w:lang w:val="fr-FR"/>
        </w:rPr>
        <w:t xml:space="preserve"> urbains</w:t>
      </w:r>
      <w:r w:rsidRPr="003B3052">
        <w:rPr>
          <w:rFonts w:asciiTheme="minorBidi" w:hAnsiTheme="minorBidi"/>
          <w:color w:val="000000" w:themeColor="text1"/>
          <w:lang w:val="fr-FR"/>
        </w:rPr>
        <w:t xml:space="preserve">, </w:t>
      </w:r>
      <w:r w:rsidR="002F5880" w:rsidRPr="003B3052">
        <w:rPr>
          <w:rFonts w:asciiTheme="minorBidi" w:hAnsiTheme="minorBidi"/>
          <w:color w:val="000000" w:themeColor="text1"/>
          <w:lang w:val="fr-FR"/>
        </w:rPr>
        <w:t xml:space="preserve">les </w:t>
      </w:r>
      <w:r w:rsidRPr="003B3052">
        <w:rPr>
          <w:rFonts w:asciiTheme="minorBidi" w:hAnsiTheme="minorBidi"/>
          <w:color w:val="000000" w:themeColor="text1"/>
          <w:lang w:val="fr-FR"/>
        </w:rPr>
        <w:t xml:space="preserve">politiques et </w:t>
      </w:r>
      <w:r w:rsidR="002F5880" w:rsidRPr="003B3052">
        <w:rPr>
          <w:rFonts w:asciiTheme="minorBidi" w:hAnsiTheme="minorBidi"/>
          <w:color w:val="000000" w:themeColor="text1"/>
          <w:lang w:val="fr-FR"/>
        </w:rPr>
        <w:t xml:space="preserve">les </w:t>
      </w:r>
      <w:r w:rsidRPr="003B3052">
        <w:rPr>
          <w:rFonts w:asciiTheme="minorBidi" w:hAnsiTheme="minorBidi"/>
          <w:color w:val="000000" w:themeColor="text1"/>
          <w:lang w:val="fr-FR"/>
        </w:rPr>
        <w:t>règlement</w:t>
      </w:r>
      <w:r w:rsidR="002F5880" w:rsidRPr="003B3052">
        <w:rPr>
          <w:rFonts w:asciiTheme="minorBidi" w:hAnsiTheme="minorBidi"/>
          <w:color w:val="000000" w:themeColor="text1"/>
          <w:lang w:val="fr-FR"/>
        </w:rPr>
        <w:t>ations</w:t>
      </w:r>
      <w:r w:rsidRPr="003B3052">
        <w:rPr>
          <w:rFonts w:asciiTheme="minorBidi" w:hAnsiTheme="minorBidi"/>
          <w:color w:val="000000" w:themeColor="text1"/>
          <w:lang w:val="fr-FR"/>
        </w:rPr>
        <w:t xml:space="preserve"> déjà en place. En outre, le Secrétariat cherchera à assurer la reconnaissance des pratiques des communautés en matière de patrimoine culturel immatériel dans la stratégie spatiale </w:t>
      </w:r>
      <w:r w:rsidR="002F5880" w:rsidRPr="003B3052">
        <w:rPr>
          <w:rFonts w:asciiTheme="minorBidi" w:hAnsiTheme="minorBidi"/>
          <w:color w:val="000000" w:themeColor="text1"/>
          <w:lang w:val="fr-FR"/>
        </w:rPr>
        <w:t xml:space="preserve">de la ville </w:t>
      </w:r>
      <w:r w:rsidRPr="003B3052">
        <w:rPr>
          <w:rFonts w:asciiTheme="minorBidi" w:hAnsiTheme="minorBidi"/>
          <w:color w:val="000000" w:themeColor="text1"/>
          <w:lang w:val="fr-FR"/>
        </w:rPr>
        <w:t>et les processus de développement durable.</w:t>
      </w:r>
    </w:p>
    <w:p w14:paraId="1AF4794A" w14:textId="5B301679" w:rsidR="0038462E" w:rsidRPr="003B3052" w:rsidRDefault="00FE3BE6">
      <w:pPr>
        <w:pStyle w:val="GAPara"/>
        <w:numPr>
          <w:ilvl w:val="0"/>
          <w:numId w:val="34"/>
        </w:numPr>
        <w:ind w:left="567" w:hanging="567"/>
        <w:jc w:val="both"/>
        <w:rPr>
          <w:lang w:val="fr-FR"/>
        </w:rPr>
      </w:pPr>
      <w:r w:rsidRPr="003B3052">
        <w:rPr>
          <w:lang w:val="fr-FR"/>
        </w:rPr>
        <w:t xml:space="preserve">Le Comité </w:t>
      </w:r>
      <w:r w:rsidRPr="003B3052">
        <w:rPr>
          <w:rFonts w:asciiTheme="minorBidi" w:hAnsiTheme="minorBidi" w:cstheme="minorBidi"/>
          <w:color w:val="000000" w:themeColor="text1"/>
          <w:lang w:val="fr-FR"/>
        </w:rPr>
        <w:t xml:space="preserve">pourrait </w:t>
      </w:r>
      <w:r w:rsidRPr="003B3052">
        <w:rPr>
          <w:lang w:val="fr-FR"/>
        </w:rPr>
        <w:t>souhaiter adopter la décision suivante</w:t>
      </w:r>
      <w:r w:rsidR="004C015E">
        <w:rPr>
          <w:lang w:val="fr-FR"/>
        </w:rPr>
        <w:t> </w:t>
      </w:r>
      <w:r w:rsidR="00D95C4C" w:rsidRPr="003B3052">
        <w:rPr>
          <w:lang w:val="fr-FR"/>
        </w:rPr>
        <w:t>:</w:t>
      </w:r>
    </w:p>
    <w:p w14:paraId="2FDDD46A" w14:textId="77777777" w:rsidR="0038462E" w:rsidRPr="003B3052" w:rsidRDefault="00FE3BE6">
      <w:pPr>
        <w:pStyle w:val="COMTitleDecision"/>
        <w:rPr>
          <w:rFonts w:eastAsia="SimSun"/>
          <w:lang w:val="fr-FR"/>
        </w:rPr>
      </w:pPr>
      <w:r w:rsidRPr="003B3052">
        <w:rPr>
          <w:lang w:val="fr-FR"/>
        </w:rPr>
        <w:t xml:space="preserve">PROJET DE </w:t>
      </w:r>
      <w:r w:rsidR="00CB0542" w:rsidRPr="003B3052">
        <w:rPr>
          <w:lang w:val="fr-FR"/>
        </w:rPr>
        <w:t xml:space="preserve">DÉCISION </w:t>
      </w:r>
      <w:r w:rsidR="0026221A" w:rsidRPr="003B3052">
        <w:rPr>
          <w:lang w:val="fr-FR"/>
        </w:rPr>
        <w:t>17</w:t>
      </w:r>
      <w:r w:rsidR="00EC6F8D" w:rsidRPr="003B3052">
        <w:rPr>
          <w:lang w:val="fr-FR"/>
        </w:rPr>
        <w:t xml:space="preserve">.COM </w:t>
      </w:r>
      <w:r w:rsidR="009837FF" w:rsidRPr="003B3052">
        <w:rPr>
          <w:lang w:val="fr-FR"/>
        </w:rPr>
        <w:t>13</w:t>
      </w:r>
    </w:p>
    <w:p w14:paraId="6C2AB9C0" w14:textId="77777777" w:rsidR="0038462E" w:rsidRPr="003B3052" w:rsidRDefault="00FE3BE6">
      <w:pPr>
        <w:pStyle w:val="COMPreambulaDecisions"/>
        <w:rPr>
          <w:rFonts w:eastAsia="SimSun"/>
          <w:lang w:val="fr-FR"/>
        </w:rPr>
      </w:pPr>
      <w:r w:rsidRPr="003B3052">
        <w:rPr>
          <w:lang w:val="fr-FR"/>
        </w:rPr>
        <w:t>Le Comité,</w:t>
      </w:r>
    </w:p>
    <w:p w14:paraId="3E24F363" w14:textId="77777777" w:rsidR="0038462E" w:rsidRPr="003B3052" w:rsidRDefault="00FE3BE6">
      <w:pPr>
        <w:pStyle w:val="COMParaDecision"/>
        <w:ind w:left="1134" w:hanging="567"/>
        <w:rPr>
          <w:lang w:val="fr-FR"/>
        </w:rPr>
      </w:pPr>
      <w:r w:rsidRPr="003B3052">
        <w:rPr>
          <w:lang w:val="fr-FR"/>
        </w:rPr>
        <w:t>Ayant examiné</w:t>
      </w:r>
      <w:r w:rsidRPr="003B3052">
        <w:rPr>
          <w:u w:val="none"/>
          <w:lang w:val="fr-FR"/>
        </w:rPr>
        <w:t xml:space="preserve"> le </w:t>
      </w:r>
      <w:r w:rsidR="00CB0542" w:rsidRPr="003B3052">
        <w:rPr>
          <w:u w:val="none"/>
          <w:lang w:val="fr-FR"/>
        </w:rPr>
        <w:t xml:space="preserve">document </w:t>
      </w:r>
      <w:r w:rsidR="00C5776D" w:rsidRPr="003B3052">
        <w:rPr>
          <w:u w:val="none"/>
          <w:lang w:val="fr-FR"/>
        </w:rPr>
        <w:t>LHE/22/17</w:t>
      </w:r>
      <w:r w:rsidR="00EC6F8D" w:rsidRPr="003B3052">
        <w:rPr>
          <w:u w:val="none"/>
          <w:lang w:val="fr-FR"/>
        </w:rPr>
        <w:t>.COM/13</w:t>
      </w:r>
      <w:r w:rsidR="006E75EB" w:rsidRPr="003B3052">
        <w:rPr>
          <w:u w:val="none"/>
          <w:lang w:val="fr-FR"/>
        </w:rPr>
        <w:t>,</w:t>
      </w:r>
    </w:p>
    <w:p w14:paraId="2A99E187" w14:textId="6BC74625" w:rsidR="0038462E" w:rsidRPr="003F4A4E" w:rsidRDefault="00FE3BE6" w:rsidP="003F4A4E">
      <w:pPr>
        <w:pStyle w:val="COMParaDecision"/>
        <w:ind w:left="1134" w:hanging="567"/>
        <w:rPr>
          <w:lang w:val="fr-FR"/>
        </w:rPr>
      </w:pPr>
      <w:r w:rsidRPr="003B3052">
        <w:rPr>
          <w:lang w:val="fr-FR"/>
        </w:rPr>
        <w:t>Rappelant</w:t>
      </w:r>
      <w:r w:rsidRPr="003B3052">
        <w:rPr>
          <w:u w:val="none"/>
          <w:lang w:val="fr-FR"/>
        </w:rPr>
        <w:t xml:space="preserve"> </w:t>
      </w:r>
      <w:r w:rsidR="00761D38" w:rsidRPr="003B3052">
        <w:rPr>
          <w:u w:val="none"/>
          <w:lang w:val="fr-FR"/>
        </w:rPr>
        <w:t xml:space="preserve">le chapitre VI des </w:t>
      </w:r>
      <w:r w:rsidR="009E738B" w:rsidRPr="003B3052">
        <w:rPr>
          <w:u w:val="none"/>
          <w:lang w:val="fr-FR"/>
        </w:rPr>
        <w:t>D</w:t>
      </w:r>
      <w:r w:rsidR="00761D38" w:rsidRPr="003B3052">
        <w:rPr>
          <w:u w:val="none"/>
          <w:lang w:val="fr-FR"/>
        </w:rPr>
        <w:t>irectives opérationnelles,</w:t>
      </w:r>
      <w:r w:rsidR="003F4A4E" w:rsidRPr="003F4A4E">
        <w:rPr>
          <w:u w:val="none"/>
          <w:lang w:val="fr-FR"/>
        </w:rPr>
        <w:t xml:space="preserve"> </w:t>
      </w:r>
      <w:r w:rsidR="003F4A4E" w:rsidRPr="003B3052">
        <w:rPr>
          <w:u w:val="none"/>
          <w:lang w:val="fr-FR"/>
        </w:rPr>
        <w:t xml:space="preserve">la résolution </w:t>
      </w:r>
      <w:hyperlink r:id="rId21" w:history="1">
        <w:r w:rsidR="003F4A4E" w:rsidRPr="003B3052">
          <w:rPr>
            <w:rStyle w:val="Lienhypertexte"/>
            <w:rFonts w:cs="Arial"/>
            <w:lang w:val="fr-FR"/>
          </w:rPr>
          <w:t>9.GA 6</w:t>
        </w:r>
      </w:hyperlink>
      <w:r w:rsidR="003F4A4E" w:rsidRPr="003B3052">
        <w:rPr>
          <w:u w:val="none"/>
          <w:lang w:val="fr-FR"/>
        </w:rPr>
        <w:t>,</w:t>
      </w:r>
      <w:r w:rsidR="003F4A4E" w:rsidRPr="003F4A4E">
        <w:rPr>
          <w:u w:val="none"/>
          <w:lang w:val="fr-FR"/>
        </w:rPr>
        <w:t xml:space="preserve"> ainsi que</w:t>
      </w:r>
      <w:r w:rsidR="00761D38" w:rsidRPr="003F4A4E">
        <w:rPr>
          <w:u w:val="none"/>
          <w:lang w:val="fr-FR"/>
        </w:rPr>
        <w:t xml:space="preserve"> l</w:t>
      </w:r>
      <w:r w:rsidR="003F4A4E" w:rsidRPr="003F4A4E">
        <w:rPr>
          <w:u w:val="none"/>
          <w:lang w:val="fr-FR"/>
        </w:rPr>
        <w:t>es</w:t>
      </w:r>
      <w:r w:rsidR="00761D38" w:rsidRPr="003F4A4E">
        <w:rPr>
          <w:u w:val="none"/>
          <w:lang w:val="fr-FR"/>
        </w:rPr>
        <w:t xml:space="preserve"> </w:t>
      </w:r>
      <w:r w:rsidR="008E344F" w:rsidRPr="003F4A4E">
        <w:rPr>
          <w:u w:val="none"/>
          <w:lang w:val="fr-FR"/>
        </w:rPr>
        <w:t>décision</w:t>
      </w:r>
      <w:r w:rsidR="003F4A4E" w:rsidRPr="003F4A4E">
        <w:rPr>
          <w:u w:val="none"/>
          <w:lang w:val="fr-FR"/>
        </w:rPr>
        <w:t>s</w:t>
      </w:r>
      <w:r w:rsidR="003F4A4E">
        <w:rPr>
          <w:u w:val="none"/>
          <w:lang w:val="fr-FR"/>
        </w:rPr>
        <w:t xml:space="preserve"> </w:t>
      </w:r>
      <w:hyperlink r:id="rId22" w:history="1">
        <w:r w:rsidR="003F4A4E" w:rsidRPr="003F4A4E">
          <w:rPr>
            <w:rStyle w:val="Lienhypertexte"/>
            <w:rFonts w:cs="Arial"/>
            <w:lang w:val="fr-FR"/>
          </w:rPr>
          <w:t>14.COM 10</w:t>
        </w:r>
      </w:hyperlink>
      <w:r w:rsidR="003F4A4E" w:rsidRPr="003F4A4E">
        <w:rPr>
          <w:u w:val="none"/>
          <w:lang w:val="fr-FR"/>
        </w:rPr>
        <w:t xml:space="preserve"> et </w:t>
      </w:r>
      <w:hyperlink r:id="rId23" w:history="1">
        <w:r w:rsidR="00761D38" w:rsidRPr="003F4A4E">
          <w:rPr>
            <w:rStyle w:val="Lienhypertexte"/>
            <w:rFonts w:cs="Arial"/>
            <w:lang w:val="fr-FR"/>
          </w:rPr>
          <w:t>16.COM 5.b</w:t>
        </w:r>
      </w:hyperlink>
      <w:r w:rsidR="003F4A4E">
        <w:rPr>
          <w:u w:val="none"/>
          <w:lang w:val="fr-FR"/>
        </w:rPr>
        <w:t>,</w:t>
      </w:r>
      <w:r w:rsidR="00761D38" w:rsidRPr="003F4A4E">
        <w:rPr>
          <w:u w:val="none"/>
          <w:lang w:val="fr-FR"/>
        </w:rPr>
        <w:t xml:space="preserve"> </w:t>
      </w:r>
    </w:p>
    <w:p w14:paraId="6C6DB33C" w14:textId="4524BAD9" w:rsidR="0038462E" w:rsidRPr="003B3052" w:rsidRDefault="00FE3BE6">
      <w:pPr>
        <w:pStyle w:val="COMParaDecision"/>
        <w:ind w:left="1134" w:hanging="567"/>
        <w:rPr>
          <w:lang w:val="fr-FR"/>
        </w:rPr>
      </w:pPr>
      <w:r w:rsidRPr="003B3052">
        <w:rPr>
          <w:lang w:val="fr-FR"/>
        </w:rPr>
        <w:t>Réaffirme</w:t>
      </w:r>
      <w:r w:rsidRPr="003B3052">
        <w:rPr>
          <w:u w:val="none"/>
          <w:lang w:val="fr-FR"/>
        </w:rPr>
        <w:t xml:space="preserve"> le rôle important du patrimoine culturel immatériel pour un développement social, économique et environnemental inclusif</w:t>
      </w:r>
      <w:r w:rsidR="00480024" w:rsidRPr="003B3052">
        <w:rPr>
          <w:u w:val="none"/>
          <w:lang w:val="fr-FR"/>
        </w:rPr>
        <w:t xml:space="preserve">, </w:t>
      </w:r>
      <w:r w:rsidR="00761D38" w:rsidRPr="003B3052">
        <w:rPr>
          <w:lang w:val="fr-FR"/>
        </w:rPr>
        <w:t>se félicite</w:t>
      </w:r>
      <w:r w:rsidR="00761D38" w:rsidRPr="003B3052">
        <w:rPr>
          <w:u w:val="none"/>
          <w:lang w:val="fr-FR"/>
        </w:rPr>
        <w:t xml:space="preserve"> des </w:t>
      </w:r>
      <w:r w:rsidR="00B92B4E" w:rsidRPr="003B3052">
        <w:rPr>
          <w:u w:val="none"/>
          <w:lang w:val="fr-FR"/>
        </w:rPr>
        <w:t xml:space="preserve">progrès </w:t>
      </w:r>
      <w:r w:rsidR="009E738B" w:rsidRPr="003B3052">
        <w:rPr>
          <w:u w:val="none"/>
          <w:lang w:val="fr-FR"/>
        </w:rPr>
        <w:t xml:space="preserve">réalisés </w:t>
      </w:r>
      <w:r w:rsidR="00B92B4E" w:rsidRPr="003B3052">
        <w:rPr>
          <w:u w:val="none"/>
          <w:lang w:val="fr-FR"/>
        </w:rPr>
        <w:t xml:space="preserve">dans la </w:t>
      </w:r>
      <w:r w:rsidR="00426AB7" w:rsidRPr="003B3052">
        <w:rPr>
          <w:u w:val="none"/>
          <w:lang w:val="fr-FR"/>
        </w:rPr>
        <w:t xml:space="preserve">mise en œuvre des </w:t>
      </w:r>
      <w:r w:rsidR="00761D38" w:rsidRPr="003B3052">
        <w:rPr>
          <w:u w:val="none"/>
          <w:lang w:val="fr-FR"/>
        </w:rPr>
        <w:t xml:space="preserve">initiatives thématiques </w:t>
      </w:r>
      <w:r w:rsidR="00B92B4E" w:rsidRPr="003B3052">
        <w:rPr>
          <w:u w:val="none"/>
          <w:lang w:val="fr-FR"/>
        </w:rPr>
        <w:t xml:space="preserve">sur (i) </w:t>
      </w:r>
      <w:r w:rsidR="00EA1C50" w:rsidRPr="003B3052">
        <w:rPr>
          <w:u w:val="none"/>
          <w:lang w:val="fr-FR"/>
        </w:rPr>
        <w:t xml:space="preserve">les </w:t>
      </w:r>
      <w:r w:rsidR="009E738B" w:rsidRPr="003B3052">
        <w:rPr>
          <w:u w:val="none"/>
          <w:lang w:val="fr-FR"/>
        </w:rPr>
        <w:t xml:space="preserve">aspects </w:t>
      </w:r>
      <w:r w:rsidR="00B92B4E" w:rsidRPr="003B3052">
        <w:rPr>
          <w:u w:val="none"/>
          <w:lang w:val="fr-FR"/>
        </w:rPr>
        <w:t>économiques de la sauvegarde du patrimoine culturel immatériel, (ii) la sauvegarde du patrimoine culturel immatériel et le changement climatique, et (iii) la sauvegarde du patrimoine culturel immatériel dans les contextes urbains</w:t>
      </w:r>
      <w:r w:rsidR="00480024" w:rsidRPr="003B3052">
        <w:rPr>
          <w:u w:val="none"/>
          <w:lang w:val="fr-FR"/>
        </w:rPr>
        <w:t xml:space="preserve">, et </w:t>
      </w:r>
      <w:r w:rsidR="00480024" w:rsidRPr="003B3052">
        <w:rPr>
          <w:lang w:val="fr-FR"/>
        </w:rPr>
        <w:t xml:space="preserve">attend </w:t>
      </w:r>
      <w:r w:rsidR="00455AF1">
        <w:rPr>
          <w:lang w:val="fr-FR"/>
        </w:rPr>
        <w:t>avec intérêt</w:t>
      </w:r>
      <w:r w:rsidR="009E738B" w:rsidRPr="003B3052">
        <w:rPr>
          <w:u w:val="none"/>
          <w:lang w:val="fr-FR"/>
        </w:rPr>
        <w:t xml:space="preserve"> </w:t>
      </w:r>
      <w:r w:rsidR="00480024" w:rsidRPr="003B3052">
        <w:rPr>
          <w:u w:val="none"/>
          <w:lang w:val="fr-FR"/>
        </w:rPr>
        <w:t>les notes d</w:t>
      </w:r>
      <w:r w:rsidR="00595A56" w:rsidRPr="003B3052">
        <w:rPr>
          <w:u w:val="none"/>
          <w:lang w:val="fr-FR"/>
        </w:rPr>
        <w:t>’</w:t>
      </w:r>
      <w:r w:rsidR="00480024" w:rsidRPr="003B3052">
        <w:rPr>
          <w:u w:val="none"/>
          <w:lang w:val="fr-FR"/>
        </w:rPr>
        <w:t xml:space="preserve">orientation pour </w:t>
      </w:r>
      <w:r w:rsidR="009E738B" w:rsidRPr="003B3052">
        <w:rPr>
          <w:u w:val="none"/>
          <w:lang w:val="fr-FR"/>
        </w:rPr>
        <w:t xml:space="preserve">guider </w:t>
      </w:r>
      <w:r w:rsidR="00480024" w:rsidRPr="003B3052">
        <w:rPr>
          <w:u w:val="none"/>
          <w:lang w:val="fr-FR"/>
        </w:rPr>
        <w:t>les efforts des États et des communautés dans les trois domaines susmentionnés</w:t>
      </w:r>
      <w:r w:rsidR="009E738B" w:rsidRPr="003B3052">
        <w:rPr>
          <w:u w:val="none"/>
          <w:lang w:val="fr-FR"/>
        </w:rPr>
        <w:t> </w:t>
      </w:r>
      <w:r w:rsidR="00480024" w:rsidRPr="003B3052">
        <w:rPr>
          <w:u w:val="none"/>
          <w:lang w:val="fr-FR"/>
        </w:rPr>
        <w:t>;</w:t>
      </w:r>
    </w:p>
    <w:p w14:paraId="4781F1AB" w14:textId="36DA0E45" w:rsidR="0038462E" w:rsidRPr="003B3052" w:rsidRDefault="00FE3BE6">
      <w:pPr>
        <w:pStyle w:val="COMParaDecision"/>
        <w:ind w:left="1134" w:hanging="567"/>
        <w:rPr>
          <w:u w:val="none"/>
          <w:lang w:val="fr-FR"/>
        </w:rPr>
      </w:pPr>
      <w:r w:rsidRPr="003B3052">
        <w:rPr>
          <w:lang w:val="fr-FR"/>
        </w:rPr>
        <w:t>Apprécie</w:t>
      </w:r>
      <w:r w:rsidRPr="003B3052">
        <w:rPr>
          <w:u w:val="none"/>
          <w:lang w:val="fr-FR"/>
        </w:rPr>
        <w:t xml:space="preserve"> l</w:t>
      </w:r>
      <w:r w:rsidR="00595A56" w:rsidRPr="003B3052">
        <w:rPr>
          <w:u w:val="none"/>
          <w:lang w:val="fr-FR"/>
        </w:rPr>
        <w:t>’</w:t>
      </w:r>
      <w:r w:rsidRPr="003B3052">
        <w:rPr>
          <w:u w:val="none"/>
          <w:lang w:val="fr-FR"/>
        </w:rPr>
        <w:t>implication d</w:t>
      </w:r>
      <w:r w:rsidR="00595A56" w:rsidRPr="003B3052">
        <w:rPr>
          <w:u w:val="none"/>
          <w:lang w:val="fr-FR"/>
        </w:rPr>
        <w:t>’</w:t>
      </w:r>
      <w:r w:rsidRPr="003B3052">
        <w:rPr>
          <w:u w:val="none"/>
          <w:lang w:val="fr-FR"/>
        </w:rPr>
        <w:t xml:space="preserve">un </w:t>
      </w:r>
      <w:r w:rsidR="009A35D3" w:rsidRPr="003B3052">
        <w:rPr>
          <w:u w:val="none"/>
          <w:lang w:val="fr-FR"/>
        </w:rPr>
        <w:t xml:space="preserve">large éventail de parties prenantes, notamment </w:t>
      </w:r>
      <w:r w:rsidR="00EA1C50" w:rsidRPr="003B3052">
        <w:rPr>
          <w:u w:val="none"/>
          <w:lang w:val="fr-FR"/>
        </w:rPr>
        <w:t>par la diffusion d</w:t>
      </w:r>
      <w:r w:rsidR="00595A56" w:rsidRPr="003B3052">
        <w:rPr>
          <w:u w:val="none"/>
          <w:lang w:val="fr-FR"/>
        </w:rPr>
        <w:t>’</w:t>
      </w:r>
      <w:r w:rsidR="00EA1C50" w:rsidRPr="003B3052">
        <w:rPr>
          <w:u w:val="none"/>
          <w:lang w:val="fr-FR"/>
        </w:rPr>
        <w:t xml:space="preserve">enquêtes permettant </w:t>
      </w:r>
      <w:r w:rsidR="00B6138F" w:rsidRPr="003B3052">
        <w:rPr>
          <w:u w:val="none"/>
          <w:lang w:val="fr-FR"/>
        </w:rPr>
        <w:t xml:space="preserve">de toucher </w:t>
      </w:r>
      <w:r w:rsidR="00EA1C50" w:rsidRPr="003B3052">
        <w:rPr>
          <w:u w:val="none"/>
          <w:lang w:val="fr-FR"/>
        </w:rPr>
        <w:t xml:space="preserve">les </w:t>
      </w:r>
      <w:r w:rsidRPr="003B3052">
        <w:rPr>
          <w:u w:val="none"/>
          <w:lang w:val="fr-FR"/>
        </w:rPr>
        <w:t xml:space="preserve">points focaux </w:t>
      </w:r>
      <w:r w:rsidR="009E738B" w:rsidRPr="003B3052">
        <w:rPr>
          <w:u w:val="none"/>
          <w:lang w:val="fr-FR"/>
        </w:rPr>
        <w:t xml:space="preserve">des candidatures </w:t>
      </w:r>
      <w:r w:rsidR="00EA1C50" w:rsidRPr="003B3052">
        <w:rPr>
          <w:u w:val="none"/>
          <w:lang w:val="fr-FR"/>
        </w:rPr>
        <w:t xml:space="preserve">des éléments inscrits sur les Listes de la Convention, et </w:t>
      </w:r>
      <w:r w:rsidR="00EA1C50" w:rsidRPr="003B3052">
        <w:rPr>
          <w:lang w:val="fr-FR"/>
        </w:rPr>
        <w:t>encourage</w:t>
      </w:r>
      <w:r w:rsidR="00EA1C50" w:rsidRPr="003B3052">
        <w:rPr>
          <w:u w:val="none"/>
          <w:lang w:val="fr-FR"/>
        </w:rPr>
        <w:t xml:space="preserve"> les États parties à faciliter la participation des communautés concernées à </w:t>
      </w:r>
      <w:r w:rsidR="009E738B" w:rsidRPr="003B3052">
        <w:rPr>
          <w:u w:val="none"/>
          <w:lang w:val="fr-FR"/>
        </w:rPr>
        <w:t xml:space="preserve">de telles </w:t>
      </w:r>
      <w:r w:rsidR="00EA1C50" w:rsidRPr="003B3052">
        <w:rPr>
          <w:u w:val="none"/>
          <w:lang w:val="fr-FR"/>
        </w:rPr>
        <w:t>initiatives</w:t>
      </w:r>
      <w:r w:rsidR="00082EFA">
        <w:rPr>
          <w:u w:val="none"/>
          <w:lang w:val="fr-FR"/>
        </w:rPr>
        <w:t> </w:t>
      </w:r>
      <w:r w:rsidR="00EA1C50" w:rsidRPr="003B3052">
        <w:rPr>
          <w:u w:val="none"/>
          <w:lang w:val="fr-FR"/>
        </w:rPr>
        <w:t>;</w:t>
      </w:r>
    </w:p>
    <w:p w14:paraId="5F21041C" w14:textId="61D9F460" w:rsidR="0038462E" w:rsidRPr="003B3052" w:rsidRDefault="00FE3BE6">
      <w:pPr>
        <w:pStyle w:val="COMParaDecision"/>
        <w:ind w:left="1134" w:hanging="567"/>
        <w:rPr>
          <w:u w:val="none"/>
          <w:lang w:val="fr-FR"/>
        </w:rPr>
      </w:pPr>
      <w:r w:rsidRPr="003B3052">
        <w:rPr>
          <w:lang w:val="fr-FR"/>
        </w:rPr>
        <w:t>Demande</w:t>
      </w:r>
      <w:r w:rsidRPr="003B3052">
        <w:rPr>
          <w:u w:val="none"/>
          <w:lang w:val="fr-FR"/>
        </w:rPr>
        <w:t xml:space="preserve"> au </w:t>
      </w:r>
      <w:r w:rsidR="00EA1C50" w:rsidRPr="003B3052">
        <w:rPr>
          <w:u w:val="none"/>
          <w:lang w:val="fr-FR"/>
        </w:rPr>
        <w:t xml:space="preserve">Secrétariat </w:t>
      </w:r>
      <w:r w:rsidRPr="003B3052">
        <w:rPr>
          <w:u w:val="none"/>
          <w:lang w:val="fr-FR"/>
        </w:rPr>
        <w:t xml:space="preserve">de poursuivre </w:t>
      </w:r>
      <w:r w:rsidR="00C20E70" w:rsidRPr="003B3052">
        <w:rPr>
          <w:u w:val="none"/>
          <w:lang w:val="fr-FR"/>
        </w:rPr>
        <w:t>l’élaboration</w:t>
      </w:r>
      <w:r w:rsidRPr="003B3052">
        <w:rPr>
          <w:u w:val="none"/>
          <w:lang w:val="fr-FR"/>
        </w:rPr>
        <w:t xml:space="preserve"> </w:t>
      </w:r>
      <w:r w:rsidR="00C20E70" w:rsidRPr="003B3052">
        <w:rPr>
          <w:u w:val="none"/>
          <w:lang w:val="fr-FR"/>
        </w:rPr>
        <w:t>d’</w:t>
      </w:r>
      <w:r w:rsidRPr="003B3052">
        <w:rPr>
          <w:u w:val="none"/>
          <w:lang w:val="fr-FR"/>
        </w:rPr>
        <w:t xml:space="preserve">activités </w:t>
      </w:r>
      <w:r w:rsidR="00EA1C50" w:rsidRPr="003B3052">
        <w:rPr>
          <w:u w:val="none"/>
          <w:lang w:val="fr-FR"/>
        </w:rPr>
        <w:t xml:space="preserve">dans le cadre des initiatives thématiques et </w:t>
      </w:r>
      <w:r w:rsidR="00EA1C50" w:rsidRPr="003B3052">
        <w:rPr>
          <w:lang w:val="fr-FR"/>
        </w:rPr>
        <w:t>appelle</w:t>
      </w:r>
      <w:r w:rsidR="00EA1C50" w:rsidRPr="003B3052">
        <w:rPr>
          <w:u w:val="none"/>
          <w:lang w:val="fr-FR"/>
        </w:rPr>
        <w:t xml:space="preserve"> les États parties et autres partenaires potentiels à soutenir leur mise en œuvre par des contributions financières et en nature</w:t>
      </w:r>
      <w:r w:rsidR="00F50667" w:rsidRPr="003B3052">
        <w:rPr>
          <w:u w:val="none"/>
          <w:lang w:val="fr-FR"/>
        </w:rPr>
        <w:t>, y compris pour l</w:t>
      </w:r>
      <w:r w:rsidR="00595A56" w:rsidRPr="003B3052">
        <w:rPr>
          <w:u w:val="none"/>
          <w:lang w:val="fr-FR"/>
        </w:rPr>
        <w:t>’</w:t>
      </w:r>
      <w:r w:rsidR="00F50667" w:rsidRPr="003B3052">
        <w:rPr>
          <w:u w:val="none"/>
          <w:lang w:val="fr-FR"/>
        </w:rPr>
        <w:t xml:space="preserve">organisation de </w:t>
      </w:r>
      <w:r w:rsidR="001C3B25" w:rsidRPr="003B3052">
        <w:rPr>
          <w:u w:val="none"/>
          <w:lang w:val="fr-FR"/>
        </w:rPr>
        <w:t>réunions d</w:t>
      </w:r>
      <w:r w:rsidR="00595A56" w:rsidRPr="003B3052">
        <w:rPr>
          <w:u w:val="none"/>
          <w:lang w:val="fr-FR"/>
        </w:rPr>
        <w:t>’</w:t>
      </w:r>
      <w:r w:rsidR="00F50667" w:rsidRPr="003B3052">
        <w:rPr>
          <w:u w:val="none"/>
          <w:lang w:val="fr-FR"/>
        </w:rPr>
        <w:t>experts</w:t>
      </w:r>
      <w:r w:rsidR="00082EFA">
        <w:rPr>
          <w:u w:val="none"/>
          <w:lang w:val="fr-FR"/>
        </w:rPr>
        <w:t> </w:t>
      </w:r>
      <w:r w:rsidR="00EA1C50" w:rsidRPr="003B3052">
        <w:rPr>
          <w:u w:val="none"/>
          <w:lang w:val="fr-FR"/>
        </w:rPr>
        <w:t>;</w:t>
      </w:r>
    </w:p>
    <w:p w14:paraId="10A7A1F5" w14:textId="09230816" w:rsidR="0038462E" w:rsidRPr="003B3052" w:rsidRDefault="00B92B4E">
      <w:pPr>
        <w:pStyle w:val="COMParaDecision"/>
        <w:ind w:left="1134" w:hanging="567"/>
        <w:rPr>
          <w:u w:val="none"/>
          <w:lang w:val="fr-FR"/>
        </w:rPr>
      </w:pPr>
      <w:r w:rsidRPr="003B3052">
        <w:rPr>
          <w:lang w:val="fr-FR"/>
        </w:rPr>
        <w:t xml:space="preserve">Demande </w:t>
      </w:r>
      <w:r w:rsidR="00FE3BE6" w:rsidRPr="003B3052">
        <w:rPr>
          <w:lang w:val="fr-FR"/>
        </w:rPr>
        <w:t>en outre</w:t>
      </w:r>
      <w:r w:rsidR="00FE3BE6" w:rsidRPr="003B3052">
        <w:rPr>
          <w:u w:val="none"/>
          <w:lang w:val="fr-FR"/>
        </w:rPr>
        <w:t xml:space="preserve"> au </w:t>
      </w:r>
      <w:r w:rsidRPr="003B3052">
        <w:rPr>
          <w:u w:val="none"/>
          <w:lang w:val="fr-FR"/>
        </w:rPr>
        <w:t xml:space="preserve">Secrétariat de </w:t>
      </w:r>
      <w:r w:rsidR="00B6138F" w:rsidRPr="003B3052">
        <w:rPr>
          <w:u w:val="none"/>
          <w:lang w:val="fr-FR"/>
        </w:rPr>
        <w:t>faire rapport sur les</w:t>
      </w:r>
      <w:r w:rsidRPr="003B3052">
        <w:rPr>
          <w:u w:val="none"/>
          <w:lang w:val="fr-FR"/>
        </w:rPr>
        <w:t xml:space="preserve"> progrès </w:t>
      </w:r>
      <w:r w:rsidR="00B6138F" w:rsidRPr="003B3052">
        <w:rPr>
          <w:u w:val="none"/>
          <w:lang w:val="fr-FR"/>
        </w:rPr>
        <w:t xml:space="preserve">réalisés </w:t>
      </w:r>
      <w:r w:rsidR="00FE3BE6" w:rsidRPr="003B3052">
        <w:rPr>
          <w:u w:val="none"/>
          <w:lang w:val="fr-FR"/>
        </w:rPr>
        <w:t xml:space="preserve">dans la mise en œuvre des initiatives thématiques </w:t>
      </w:r>
      <w:r w:rsidRPr="003B3052">
        <w:rPr>
          <w:u w:val="none"/>
          <w:lang w:val="fr-FR"/>
        </w:rPr>
        <w:t>à sa dix-huitième session en 2023.</w:t>
      </w:r>
    </w:p>
    <w:sectPr w:rsidR="0038462E" w:rsidRPr="003B3052" w:rsidSect="00655736">
      <w:headerReference w:type="even" r:id="rId24"/>
      <w:headerReference w:type="default" r:id="rId25"/>
      <w:headerReference w:type="first" r:id="rId26"/>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E1067" w14:textId="77777777" w:rsidR="004C7C82" w:rsidRDefault="004C7C82" w:rsidP="00655736">
      <w:r>
        <w:separator/>
      </w:r>
    </w:p>
  </w:endnote>
  <w:endnote w:type="continuationSeparator" w:id="0">
    <w:p w14:paraId="3ADE111E" w14:textId="77777777" w:rsidR="004C7C82" w:rsidRDefault="004C7C8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EA2E" w14:textId="77777777" w:rsidR="004C7C82" w:rsidRDefault="004C7C82" w:rsidP="00655736">
      <w:r>
        <w:separator/>
      </w:r>
    </w:p>
  </w:footnote>
  <w:footnote w:type="continuationSeparator" w:id="0">
    <w:p w14:paraId="01F7FF84" w14:textId="77777777" w:rsidR="004C7C82" w:rsidRDefault="004C7C82" w:rsidP="00655736">
      <w:r>
        <w:continuationSeparator/>
      </w:r>
    </w:p>
  </w:footnote>
  <w:footnote w:id="1">
    <w:p w14:paraId="28834C3D" w14:textId="503D6342" w:rsidR="0038462E" w:rsidRPr="00455AF1" w:rsidRDefault="00FE3BE6">
      <w:pPr>
        <w:pStyle w:val="Notedebasdepage"/>
        <w:ind w:left="567" w:hanging="567"/>
        <w:jc w:val="both"/>
        <w:rPr>
          <w:rFonts w:asciiTheme="minorBidi" w:hAnsiTheme="minorBidi" w:cstheme="minorBidi"/>
          <w:sz w:val="18"/>
          <w:szCs w:val="18"/>
        </w:rPr>
      </w:pPr>
      <w:r w:rsidRPr="00C13724">
        <w:rPr>
          <w:rStyle w:val="Appelnotedebasdep"/>
          <w:rFonts w:asciiTheme="minorBidi" w:hAnsiTheme="minorBidi" w:cstheme="minorBidi"/>
          <w:sz w:val="18"/>
          <w:szCs w:val="18"/>
          <w:lang w:val="en-GB"/>
        </w:rPr>
        <w:footnoteRef/>
      </w:r>
      <w:r w:rsidRPr="00C13724">
        <w:rPr>
          <w:rFonts w:asciiTheme="minorBidi" w:hAnsiTheme="minorBidi" w:cstheme="minorBidi"/>
          <w:sz w:val="18"/>
          <w:szCs w:val="18"/>
          <w:vertAlign w:val="superscript"/>
        </w:rPr>
        <w:t>.</w:t>
      </w:r>
      <w:r w:rsidRPr="00455AF1">
        <w:rPr>
          <w:rFonts w:asciiTheme="minorBidi" w:hAnsiTheme="minorBidi" w:cstheme="minorBidi"/>
          <w:sz w:val="18"/>
          <w:szCs w:val="18"/>
        </w:rPr>
        <w:tab/>
      </w:r>
      <w:r w:rsidR="00DF13C1" w:rsidRPr="00455AF1">
        <w:rPr>
          <w:rFonts w:asciiTheme="minorBidi" w:hAnsiTheme="minorBidi" w:cstheme="minorBidi"/>
          <w:sz w:val="18"/>
          <w:szCs w:val="18"/>
        </w:rPr>
        <w:t xml:space="preserve">Pour la décision la plus récente, </w:t>
      </w:r>
      <w:r w:rsidRPr="00455AF1">
        <w:rPr>
          <w:rFonts w:asciiTheme="minorBidi" w:hAnsiTheme="minorBidi" w:cstheme="minorBidi"/>
          <w:sz w:val="18"/>
          <w:szCs w:val="18"/>
        </w:rPr>
        <w:t xml:space="preserve">voir la </w:t>
      </w:r>
      <w:r w:rsidRPr="00455AF1">
        <w:rPr>
          <w:rFonts w:asciiTheme="minorBidi" w:eastAsiaTheme="minorEastAsia" w:hAnsiTheme="minorBidi" w:cstheme="minorBidi"/>
          <w:sz w:val="18"/>
          <w:szCs w:val="18"/>
          <w:lang w:eastAsia="zh-CN"/>
        </w:rPr>
        <w:t xml:space="preserve">décision </w:t>
      </w:r>
      <w:hyperlink r:id="rId1" w:history="1">
        <w:r w:rsidR="00DF13C1" w:rsidRPr="00455AF1">
          <w:rPr>
            <w:rStyle w:val="Lienhypertexte"/>
            <w:rFonts w:asciiTheme="minorBidi" w:eastAsiaTheme="minorEastAsia" w:hAnsiTheme="minorBidi" w:cstheme="minorBidi"/>
            <w:sz w:val="18"/>
            <w:szCs w:val="18"/>
            <w:lang w:eastAsia="zh-CN"/>
          </w:rPr>
          <w:t>16.COM 8</w:t>
        </w:r>
      </w:hyperlink>
      <w:r w:rsidR="00DF13C1" w:rsidRPr="00455AF1">
        <w:rPr>
          <w:rFonts w:asciiTheme="minorBidi" w:eastAsiaTheme="minorEastAsia" w:hAnsiTheme="minorBidi" w:cstheme="minorBidi"/>
          <w:sz w:val="18"/>
          <w:szCs w:val="18"/>
          <w:lang w:eastAsia="zh-CN"/>
        </w:rPr>
        <w:t xml:space="preserve"> (paragraphe 9).</w:t>
      </w:r>
    </w:p>
  </w:footnote>
  <w:footnote w:id="2">
    <w:p w14:paraId="501081B9" w14:textId="5E15B962" w:rsidR="0038462E" w:rsidRPr="00455AF1" w:rsidRDefault="00FE3BE6">
      <w:pPr>
        <w:pStyle w:val="Notedebasdepage"/>
        <w:ind w:left="567" w:hanging="567"/>
        <w:jc w:val="both"/>
        <w:rPr>
          <w:rFonts w:asciiTheme="minorBidi" w:hAnsiTheme="minorBidi" w:cstheme="minorBidi"/>
          <w:sz w:val="18"/>
          <w:szCs w:val="18"/>
        </w:rPr>
      </w:pPr>
      <w:r w:rsidRPr="00C13724">
        <w:rPr>
          <w:rStyle w:val="Appelnotedebasdep"/>
          <w:rFonts w:asciiTheme="minorBidi" w:hAnsiTheme="minorBidi" w:cstheme="minorBidi"/>
          <w:sz w:val="18"/>
          <w:szCs w:val="18"/>
        </w:rPr>
        <w:footnoteRef/>
      </w:r>
      <w:r w:rsidRPr="00C13724">
        <w:rPr>
          <w:rFonts w:asciiTheme="minorBidi" w:hAnsiTheme="minorBidi" w:cstheme="minorBidi"/>
          <w:sz w:val="18"/>
          <w:szCs w:val="18"/>
          <w:vertAlign w:val="superscript"/>
        </w:rPr>
        <w:t>.</w:t>
      </w:r>
      <w:r w:rsidRPr="00455AF1">
        <w:rPr>
          <w:rFonts w:asciiTheme="minorBidi" w:hAnsiTheme="minorBidi" w:cstheme="minorBidi"/>
          <w:sz w:val="18"/>
          <w:szCs w:val="18"/>
        </w:rPr>
        <w:tab/>
        <w:t xml:space="preserve">Voir la décision </w:t>
      </w:r>
      <w:hyperlink r:id="rId2" w:history="1">
        <w:r w:rsidRPr="00455AF1">
          <w:rPr>
            <w:rStyle w:val="Lienhypertexte"/>
            <w:rFonts w:asciiTheme="minorBidi" w:hAnsiTheme="minorBidi" w:cstheme="minorBidi"/>
            <w:sz w:val="18"/>
            <w:szCs w:val="18"/>
          </w:rPr>
          <w:t>16.COM 7.a</w:t>
        </w:r>
      </w:hyperlink>
      <w:r w:rsidRPr="00455AF1">
        <w:rPr>
          <w:rFonts w:asciiTheme="minorBidi" w:hAnsiTheme="minorBidi" w:cstheme="minorBidi"/>
          <w:sz w:val="18"/>
          <w:szCs w:val="18"/>
        </w:rPr>
        <w:t xml:space="preserve"> (paragraphe 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9FC0" w14:textId="77777777" w:rsidR="0038462E" w:rsidRDefault="00FE3BE6">
    <w:pPr>
      <w:pStyle w:val="En-tte"/>
      <w:rPr>
        <w:rFonts w:ascii="Arial" w:hAnsi="Arial" w:cs="Arial"/>
        <w:lang w:val="en-GB"/>
      </w:rPr>
    </w:pPr>
    <w:r>
      <w:rPr>
        <w:rFonts w:ascii="Arial" w:hAnsi="Arial" w:cs="Arial"/>
        <w:sz w:val="20"/>
        <w:szCs w:val="20"/>
        <w:lang w:val="en-GB"/>
      </w:rPr>
      <w:t>LHE/22/17</w:t>
    </w:r>
    <w:r w:rsidR="00EC6F8D">
      <w:rPr>
        <w:rFonts w:ascii="Arial" w:hAnsi="Arial" w:cs="Arial"/>
        <w:sz w:val="20"/>
        <w:szCs w:val="20"/>
        <w:lang w:val="en-GB"/>
      </w:rPr>
      <w:t xml:space="preserve">.COM/13 </w:t>
    </w:r>
    <w:r w:rsidR="00D95C4C" w:rsidRPr="00C23A97">
      <w:rPr>
        <w:rFonts w:ascii="Arial" w:hAnsi="Arial" w:cs="Arial"/>
        <w:sz w:val="20"/>
        <w:szCs w:val="20"/>
        <w:lang w:val="en-GB"/>
      </w:rPr>
      <w:t xml:space="preserve">-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6E75EB">
      <w:rPr>
        <w:rStyle w:val="Numrodepage"/>
        <w:rFonts w:ascii="Arial" w:hAnsi="Arial" w:cs="Arial"/>
        <w:noProof/>
        <w:sz w:val="20"/>
        <w:szCs w:val="20"/>
        <w:lang w:val="en-GB"/>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7D87" w14:textId="77777777" w:rsidR="0038462E" w:rsidRDefault="00FE3BE6">
    <w:pPr>
      <w:pStyle w:val="En-tte"/>
      <w:jc w:val="right"/>
      <w:rPr>
        <w:rFonts w:ascii="Arial" w:hAnsi="Arial" w:cs="Arial"/>
        <w:lang w:val="en-GB"/>
      </w:rPr>
    </w:pPr>
    <w:r>
      <w:rPr>
        <w:rFonts w:ascii="Arial" w:hAnsi="Arial" w:cs="Arial"/>
        <w:sz w:val="20"/>
        <w:szCs w:val="20"/>
        <w:lang w:val="en-GB"/>
      </w:rPr>
      <w:t>LHE/22/17</w:t>
    </w:r>
    <w:r w:rsidR="00EC6F8D">
      <w:rPr>
        <w:rFonts w:ascii="Arial" w:hAnsi="Arial" w:cs="Arial"/>
        <w:sz w:val="20"/>
        <w:szCs w:val="20"/>
        <w:lang w:val="en-GB"/>
      </w:rPr>
      <w:t xml:space="preserve">.COM/13 </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7812" w14:textId="5D01963D" w:rsidR="0038462E" w:rsidRDefault="00FE3BE6">
    <w:pPr>
      <w:pStyle w:val="En-tte"/>
      <w:rPr>
        <w:sz w:val="22"/>
        <w:szCs w:val="22"/>
        <w:lang w:val="en-GB"/>
      </w:rPr>
    </w:pPr>
    <w:r>
      <w:rPr>
        <w:rFonts w:ascii="Arial" w:hAnsi="Arial" w:cs="Arial"/>
        <w:b/>
        <w:noProof/>
        <w:sz w:val="44"/>
        <w:szCs w:val="44"/>
        <w:lang w:val="pt-PT"/>
      </w:rPr>
      <w:drawing>
        <wp:anchor distT="0" distB="0" distL="114300" distR="114300" simplePos="0" relativeHeight="251659264" behindDoc="0" locked="0" layoutInCell="1" allowOverlap="1" wp14:anchorId="20ED9B2C" wp14:editId="5666A7DF">
          <wp:simplePos x="0" y="0"/>
          <wp:positionH relativeFrom="column">
            <wp:posOffset>0</wp:posOffset>
          </wp:positionH>
          <wp:positionV relativeFrom="paragraph">
            <wp:posOffset>159385</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F123C7" w14:textId="77777777" w:rsidR="0038462E" w:rsidRDefault="00D86BB3">
    <w:pPr>
      <w:pStyle w:val="En-tte"/>
      <w:spacing w:after="520"/>
      <w:jc w:val="right"/>
      <w:rPr>
        <w:rFonts w:ascii="Arial" w:hAnsi="Arial" w:cs="Arial"/>
        <w:b/>
        <w:sz w:val="44"/>
        <w:szCs w:val="44"/>
        <w:lang w:val="pt-PT"/>
      </w:rPr>
    </w:pPr>
    <w:r>
      <w:rPr>
        <w:rFonts w:ascii="Arial" w:hAnsi="Arial" w:cs="Arial"/>
        <w:b/>
        <w:sz w:val="44"/>
        <w:szCs w:val="44"/>
        <w:lang w:val="pt-PT"/>
      </w:rPr>
      <w:t xml:space="preserve">17 </w:t>
    </w:r>
    <w:r w:rsidR="00EC6F8D" w:rsidRPr="00D7105A">
      <w:rPr>
        <w:rFonts w:ascii="Arial" w:hAnsi="Arial" w:cs="Arial"/>
        <w:b/>
        <w:sz w:val="44"/>
        <w:szCs w:val="44"/>
        <w:lang w:val="pt-PT"/>
      </w:rPr>
      <w:t>COM</w:t>
    </w:r>
  </w:p>
  <w:p w14:paraId="41F66FF2" w14:textId="77777777" w:rsidR="0038462E" w:rsidRPr="003B3052" w:rsidRDefault="00FE3BE6">
    <w:pPr>
      <w:jc w:val="right"/>
      <w:rPr>
        <w:rFonts w:ascii="Arial" w:hAnsi="Arial" w:cs="Arial"/>
        <w:b/>
        <w:sz w:val="22"/>
        <w:szCs w:val="22"/>
      </w:rPr>
    </w:pPr>
    <w:r w:rsidRPr="003B3052">
      <w:rPr>
        <w:rFonts w:ascii="Arial" w:hAnsi="Arial" w:cs="Arial"/>
        <w:b/>
        <w:sz w:val="22"/>
        <w:szCs w:val="22"/>
      </w:rPr>
      <w:t>LHE/22/17</w:t>
    </w:r>
    <w:r w:rsidR="00D95C4C" w:rsidRPr="003B3052">
      <w:rPr>
        <w:rFonts w:ascii="Arial" w:hAnsi="Arial" w:cs="Arial"/>
        <w:b/>
        <w:sz w:val="22"/>
        <w:szCs w:val="22"/>
      </w:rPr>
      <w:t>.</w:t>
    </w:r>
    <w:r w:rsidR="00EC6F8D" w:rsidRPr="003B3052">
      <w:rPr>
        <w:rFonts w:ascii="Arial" w:hAnsi="Arial" w:cs="Arial"/>
        <w:b/>
        <w:sz w:val="22"/>
        <w:szCs w:val="22"/>
      </w:rPr>
      <w:t>COM/13</w:t>
    </w:r>
  </w:p>
  <w:p w14:paraId="26316AE9" w14:textId="019882EA" w:rsidR="0038462E" w:rsidRPr="003B3052" w:rsidRDefault="00FE3BE6">
    <w:pPr>
      <w:jc w:val="right"/>
      <w:rPr>
        <w:rFonts w:ascii="Arial" w:eastAsiaTheme="minorEastAsia" w:hAnsi="Arial" w:cs="Arial"/>
        <w:b/>
        <w:sz w:val="22"/>
        <w:szCs w:val="22"/>
        <w:lang w:eastAsia="ko-KR"/>
      </w:rPr>
    </w:pPr>
    <w:r w:rsidRPr="003B3052">
      <w:rPr>
        <w:rFonts w:ascii="Arial" w:hAnsi="Arial" w:cs="Arial"/>
        <w:b/>
        <w:sz w:val="22"/>
        <w:szCs w:val="22"/>
      </w:rPr>
      <w:t xml:space="preserve">Paris, </w:t>
    </w:r>
    <w:r w:rsidR="00455AF1">
      <w:rPr>
        <w:rFonts w:ascii="Arial" w:hAnsi="Arial" w:cs="Arial"/>
        <w:b/>
        <w:sz w:val="22"/>
        <w:szCs w:val="22"/>
      </w:rPr>
      <w:t xml:space="preserve">le </w:t>
    </w:r>
    <w:r w:rsidR="000C72D6" w:rsidRPr="003B3052">
      <w:rPr>
        <w:rFonts w:ascii="Arial" w:hAnsi="Arial" w:cs="Arial"/>
        <w:b/>
        <w:sz w:val="22"/>
        <w:szCs w:val="22"/>
      </w:rPr>
      <w:t xml:space="preserve">31 octobre </w:t>
    </w:r>
    <w:r w:rsidR="00337CEB" w:rsidRPr="003B3052">
      <w:rPr>
        <w:rFonts w:ascii="Arial" w:hAnsi="Arial" w:cs="Arial"/>
        <w:b/>
        <w:sz w:val="22"/>
        <w:szCs w:val="22"/>
      </w:rPr>
      <w:t>2022</w:t>
    </w:r>
  </w:p>
  <w:p w14:paraId="50DF37DF" w14:textId="1FF9E11A" w:rsidR="0038462E" w:rsidRPr="003B3052" w:rsidRDefault="00FE3BE6">
    <w:pPr>
      <w:spacing w:after="120"/>
      <w:jc w:val="right"/>
      <w:rPr>
        <w:rFonts w:ascii="Arial" w:hAnsi="Arial" w:cs="Arial"/>
        <w:b/>
        <w:sz w:val="22"/>
        <w:szCs w:val="22"/>
      </w:rPr>
    </w:pPr>
    <w:r w:rsidRPr="003B3052">
      <w:rPr>
        <w:rFonts w:ascii="Arial" w:hAnsi="Arial" w:cs="Arial"/>
        <w:b/>
        <w:sz w:val="22"/>
        <w:szCs w:val="22"/>
      </w:rPr>
      <w:t xml:space="preserve">Original : </w:t>
    </w:r>
    <w:r w:rsidR="00E72344" w:rsidRPr="003B3052">
      <w:rPr>
        <w:rFonts w:ascii="Arial" w:hAnsi="Arial" w:cs="Arial"/>
        <w:b/>
        <w:sz w:val="22"/>
        <w:szCs w:val="22"/>
      </w:rPr>
      <w:t>anglais</w:t>
    </w:r>
  </w:p>
  <w:p w14:paraId="1E6F4DF1" w14:textId="77777777" w:rsidR="00D95C4C" w:rsidRPr="00E95AE2" w:rsidRDefault="00D95C4C" w:rsidP="00FE3BE6">
    <w:pPr>
      <w:pStyle w:val="En-tte"/>
      <w:spacing w:after="240"/>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7A4"/>
    <w:multiLevelType w:val="hybridMultilevel"/>
    <w:tmpl w:val="24C8534C"/>
    <w:lvl w:ilvl="0" w:tplc="0409000F">
      <w:start w:val="1"/>
      <w:numFmt w:val="decimal"/>
      <w:lvlText w:val="%1."/>
      <w:lvlJc w:val="left"/>
      <w:pPr>
        <w:ind w:left="63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B2440DD"/>
    <w:multiLevelType w:val="hybridMultilevel"/>
    <w:tmpl w:val="D0B2D208"/>
    <w:lvl w:ilvl="0" w:tplc="103ABF24">
      <w:start w:val="1"/>
      <w:numFmt w:val="upperLetter"/>
      <w:pStyle w:val="Titre4"/>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35F07BFE"/>
    <w:multiLevelType w:val="hybridMultilevel"/>
    <w:tmpl w:val="44862C20"/>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D012921"/>
    <w:multiLevelType w:val="hybridMultilevel"/>
    <w:tmpl w:val="0B8A0C5C"/>
    <w:lvl w:ilvl="0" w:tplc="6E4616FA">
      <w:start w:val="1"/>
      <w:numFmt w:val="upperRoman"/>
      <w:lvlText w:val="%1."/>
      <w:lvlJc w:val="righ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3"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12"/>
  </w:num>
  <w:num w:numId="2">
    <w:abstractNumId w:val="6"/>
  </w:num>
  <w:num w:numId="3">
    <w:abstractNumId w:val="2"/>
  </w:num>
  <w:num w:numId="4">
    <w:abstractNumId w:val="14"/>
  </w:num>
  <w:num w:numId="5">
    <w:abstractNumId w:val="13"/>
  </w:num>
  <w:num w:numId="6">
    <w:abstractNumId w:val="1"/>
  </w:num>
  <w:num w:numId="7">
    <w:abstractNumId w:val="3"/>
  </w:num>
  <w:num w:numId="8">
    <w:abstractNumId w:val="10"/>
  </w:num>
  <w:num w:numId="9">
    <w:abstractNumId w:val="5"/>
  </w:num>
  <w:num w:numId="10">
    <w:abstractNumId w:val="7"/>
  </w:num>
  <w:num w:numId="11">
    <w:abstractNumId w:val="9"/>
  </w:num>
  <w:num w:numId="12">
    <w:abstractNumId w:val="8"/>
  </w:num>
  <w:num w:numId="13">
    <w:abstractNumId w:val="15"/>
  </w:num>
  <w:num w:numId="14">
    <w:abstractNumId w:val="5"/>
  </w:num>
  <w:num w:numId="15">
    <w:abstractNumId w:val="4"/>
  </w:num>
  <w:num w:numId="16">
    <w:abstractNumId w:val="5"/>
  </w:num>
  <w:num w:numId="17">
    <w:abstractNumId w:val="5"/>
  </w:num>
  <w:num w:numId="18">
    <w:abstractNumId w:val="5"/>
    <w:lvlOverride w:ilvl="0">
      <w:startOverride w:val="1"/>
    </w:lvlOverride>
  </w:num>
  <w:num w:numId="19">
    <w:abstractNumId w:val="5"/>
  </w:num>
  <w:num w:numId="20">
    <w:abstractNumId w:val="5"/>
    <w:lvlOverride w:ilvl="0">
      <w:startOverride w:val="1"/>
    </w:lvlOverride>
  </w:num>
  <w:num w:numId="21">
    <w:abstractNumId w:val="5"/>
  </w:num>
  <w:num w:numId="22">
    <w:abstractNumId w:val="5"/>
    <w:lvlOverride w:ilvl="0">
      <w:startOverride w:val="1"/>
    </w:lvlOverride>
  </w:num>
  <w:num w:numId="23">
    <w:abstractNumId w:val="5"/>
  </w:num>
  <w:num w:numId="24">
    <w:abstractNumId w:val="5"/>
  </w:num>
  <w:num w:numId="25">
    <w:abstractNumId w:val="5"/>
  </w:num>
  <w:num w:numId="26">
    <w:abstractNumId w:val="5"/>
  </w:num>
  <w:num w:numId="27">
    <w:abstractNumId w:val="5"/>
  </w:num>
  <w:num w:numId="28">
    <w:abstractNumId w:val="4"/>
  </w:num>
  <w:num w:numId="29">
    <w:abstractNumId w:val="5"/>
  </w:num>
  <w:num w:numId="30">
    <w:abstractNumId w:val="5"/>
  </w:num>
  <w:num w:numId="31">
    <w:abstractNumId w:val="4"/>
  </w:num>
  <w:num w:numId="32">
    <w:abstractNumId w:val="4"/>
  </w:num>
  <w:num w:numId="33">
    <w:abstractNumId w:val="7"/>
    <w:lvlOverride w:ilvl="0">
      <w:startOverride w:val="1"/>
    </w:lvlOverride>
  </w:num>
  <w:num w:numId="34">
    <w:abstractNumId w:val="0"/>
  </w:num>
  <w:num w:numId="35">
    <w:abstractNumId w:val="11"/>
  </w:num>
  <w:num w:numId="36">
    <w:abstractNumId w:val="5"/>
  </w:num>
  <w:num w:numId="37">
    <w:abstractNumId w:val="5"/>
  </w:num>
  <w:num w:numId="38">
    <w:abstractNumId w:val="5"/>
  </w:num>
  <w:num w:numId="39">
    <w:abstractNumId w:val="5"/>
  </w:num>
  <w:num w:numId="40">
    <w:abstractNumId w:val="5"/>
  </w:num>
  <w:num w:numId="41">
    <w:abstractNumId w:val="5"/>
  </w:num>
  <w:num w:numId="42">
    <w:abstractNumId w:val="7"/>
  </w:num>
  <w:num w:numId="43">
    <w:abstractNumId w:val="7"/>
  </w:num>
  <w:num w:numId="44">
    <w:abstractNumId w:val="7"/>
  </w:num>
  <w:num w:numId="45">
    <w:abstractNumId w:val="7"/>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96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2A4"/>
    <w:rsid w:val="00014915"/>
    <w:rsid w:val="00041857"/>
    <w:rsid w:val="00041A66"/>
    <w:rsid w:val="00042D88"/>
    <w:rsid w:val="0005176E"/>
    <w:rsid w:val="00062BD0"/>
    <w:rsid w:val="000765F7"/>
    <w:rsid w:val="0007725F"/>
    <w:rsid w:val="00077AB7"/>
    <w:rsid w:val="00081CD8"/>
    <w:rsid w:val="00082EFA"/>
    <w:rsid w:val="000A7F0E"/>
    <w:rsid w:val="000B1C8F"/>
    <w:rsid w:val="000C0D61"/>
    <w:rsid w:val="000C72D6"/>
    <w:rsid w:val="000E3C48"/>
    <w:rsid w:val="000F197C"/>
    <w:rsid w:val="000F3A3F"/>
    <w:rsid w:val="000F40F9"/>
    <w:rsid w:val="00102557"/>
    <w:rsid w:val="00117068"/>
    <w:rsid w:val="001413EB"/>
    <w:rsid w:val="00151ADB"/>
    <w:rsid w:val="00164D56"/>
    <w:rsid w:val="00164E9B"/>
    <w:rsid w:val="00167B10"/>
    <w:rsid w:val="0017402F"/>
    <w:rsid w:val="00190205"/>
    <w:rsid w:val="00196C1B"/>
    <w:rsid w:val="001B0F73"/>
    <w:rsid w:val="001C2DB7"/>
    <w:rsid w:val="001C3B25"/>
    <w:rsid w:val="001D14FE"/>
    <w:rsid w:val="001D5C04"/>
    <w:rsid w:val="001E4581"/>
    <w:rsid w:val="001E733D"/>
    <w:rsid w:val="001F26CF"/>
    <w:rsid w:val="0021249D"/>
    <w:rsid w:val="00222A2D"/>
    <w:rsid w:val="00223029"/>
    <w:rsid w:val="00234745"/>
    <w:rsid w:val="002351A6"/>
    <w:rsid w:val="002407AF"/>
    <w:rsid w:val="0024567E"/>
    <w:rsid w:val="00246B81"/>
    <w:rsid w:val="00254B26"/>
    <w:rsid w:val="0026221A"/>
    <w:rsid w:val="0027466B"/>
    <w:rsid w:val="002814F6"/>
    <w:rsid w:val="002838A5"/>
    <w:rsid w:val="00285BB4"/>
    <w:rsid w:val="00287928"/>
    <w:rsid w:val="00287A75"/>
    <w:rsid w:val="00292754"/>
    <w:rsid w:val="002964F2"/>
    <w:rsid w:val="002C09E3"/>
    <w:rsid w:val="002C6A2C"/>
    <w:rsid w:val="002D1244"/>
    <w:rsid w:val="002D703A"/>
    <w:rsid w:val="002E20ED"/>
    <w:rsid w:val="002F10B5"/>
    <w:rsid w:val="002F5880"/>
    <w:rsid w:val="00337CEB"/>
    <w:rsid w:val="00343BE0"/>
    <w:rsid w:val="00344B58"/>
    <w:rsid w:val="0034539A"/>
    <w:rsid w:val="00345CB4"/>
    <w:rsid w:val="00354FF3"/>
    <w:rsid w:val="00375D42"/>
    <w:rsid w:val="0038462E"/>
    <w:rsid w:val="003B3052"/>
    <w:rsid w:val="003D069C"/>
    <w:rsid w:val="003D7646"/>
    <w:rsid w:val="003F0DDB"/>
    <w:rsid w:val="003F113A"/>
    <w:rsid w:val="003F3E63"/>
    <w:rsid w:val="003F4A4E"/>
    <w:rsid w:val="00407480"/>
    <w:rsid w:val="00410EC8"/>
    <w:rsid w:val="00414643"/>
    <w:rsid w:val="00426AB7"/>
    <w:rsid w:val="004313C4"/>
    <w:rsid w:val="00440AEE"/>
    <w:rsid w:val="004421E5"/>
    <w:rsid w:val="00452284"/>
    <w:rsid w:val="00455AF1"/>
    <w:rsid w:val="00457C8E"/>
    <w:rsid w:val="00480024"/>
    <w:rsid w:val="004856CA"/>
    <w:rsid w:val="00487E67"/>
    <w:rsid w:val="004906B7"/>
    <w:rsid w:val="0049705E"/>
    <w:rsid w:val="004A2875"/>
    <w:rsid w:val="004A34A0"/>
    <w:rsid w:val="004B083D"/>
    <w:rsid w:val="004C015E"/>
    <w:rsid w:val="004C09F4"/>
    <w:rsid w:val="004C7C82"/>
    <w:rsid w:val="004E0A78"/>
    <w:rsid w:val="004F7AB6"/>
    <w:rsid w:val="005008A8"/>
    <w:rsid w:val="00517FD8"/>
    <w:rsid w:val="00526B7B"/>
    <w:rsid w:val="005308CE"/>
    <w:rsid w:val="0053318C"/>
    <w:rsid w:val="0057439C"/>
    <w:rsid w:val="00586B93"/>
    <w:rsid w:val="00587E4A"/>
    <w:rsid w:val="00595A56"/>
    <w:rsid w:val="005960FA"/>
    <w:rsid w:val="00597C32"/>
    <w:rsid w:val="005A4F86"/>
    <w:rsid w:val="005B0127"/>
    <w:rsid w:val="005B3E96"/>
    <w:rsid w:val="005B7A35"/>
    <w:rsid w:val="005C2CB8"/>
    <w:rsid w:val="005C4B73"/>
    <w:rsid w:val="005E1D2B"/>
    <w:rsid w:val="005E7074"/>
    <w:rsid w:val="005F2BAF"/>
    <w:rsid w:val="00600D93"/>
    <w:rsid w:val="00626BEA"/>
    <w:rsid w:val="0063300C"/>
    <w:rsid w:val="00641E06"/>
    <w:rsid w:val="00651A5B"/>
    <w:rsid w:val="00654A47"/>
    <w:rsid w:val="00655736"/>
    <w:rsid w:val="00663B8D"/>
    <w:rsid w:val="00696C8D"/>
    <w:rsid w:val="006A2AC2"/>
    <w:rsid w:val="006A3617"/>
    <w:rsid w:val="006B4452"/>
    <w:rsid w:val="006E46E4"/>
    <w:rsid w:val="006E75EB"/>
    <w:rsid w:val="006F1709"/>
    <w:rsid w:val="0070188E"/>
    <w:rsid w:val="00717DA5"/>
    <w:rsid w:val="00723D7F"/>
    <w:rsid w:val="00744484"/>
    <w:rsid w:val="00747566"/>
    <w:rsid w:val="00760212"/>
    <w:rsid w:val="00761D38"/>
    <w:rsid w:val="007702A5"/>
    <w:rsid w:val="00773188"/>
    <w:rsid w:val="00774869"/>
    <w:rsid w:val="00783782"/>
    <w:rsid w:val="00784B8C"/>
    <w:rsid w:val="007879E1"/>
    <w:rsid w:val="007D32F2"/>
    <w:rsid w:val="007E57AA"/>
    <w:rsid w:val="007F1F32"/>
    <w:rsid w:val="008030E6"/>
    <w:rsid w:val="0080542F"/>
    <w:rsid w:val="00813A61"/>
    <w:rsid w:val="0082085D"/>
    <w:rsid w:val="00823A11"/>
    <w:rsid w:val="0085405E"/>
    <w:rsid w:val="0085414A"/>
    <w:rsid w:val="00857EB9"/>
    <w:rsid w:val="0086269D"/>
    <w:rsid w:val="00862C7E"/>
    <w:rsid w:val="0086543A"/>
    <w:rsid w:val="008724E5"/>
    <w:rsid w:val="008765C9"/>
    <w:rsid w:val="00877C0C"/>
    <w:rsid w:val="00884A9D"/>
    <w:rsid w:val="0088512B"/>
    <w:rsid w:val="008A2B2D"/>
    <w:rsid w:val="008A4E1E"/>
    <w:rsid w:val="008A6458"/>
    <w:rsid w:val="008C296C"/>
    <w:rsid w:val="008D4305"/>
    <w:rsid w:val="008E1A85"/>
    <w:rsid w:val="008E344F"/>
    <w:rsid w:val="008E386C"/>
    <w:rsid w:val="009163A7"/>
    <w:rsid w:val="00937D53"/>
    <w:rsid w:val="00946D0B"/>
    <w:rsid w:val="00955877"/>
    <w:rsid w:val="00962034"/>
    <w:rsid w:val="009837FF"/>
    <w:rsid w:val="0099216C"/>
    <w:rsid w:val="009A18CD"/>
    <w:rsid w:val="009A35D3"/>
    <w:rsid w:val="009B38BD"/>
    <w:rsid w:val="009D5428"/>
    <w:rsid w:val="009E738B"/>
    <w:rsid w:val="00A12558"/>
    <w:rsid w:val="00A13903"/>
    <w:rsid w:val="00A34ED5"/>
    <w:rsid w:val="00A45DBF"/>
    <w:rsid w:val="00A725CF"/>
    <w:rsid w:val="00A72825"/>
    <w:rsid w:val="00A755A2"/>
    <w:rsid w:val="00A91430"/>
    <w:rsid w:val="00AA590D"/>
    <w:rsid w:val="00AA6660"/>
    <w:rsid w:val="00AA6CB0"/>
    <w:rsid w:val="00AB2C36"/>
    <w:rsid w:val="00AB6DDE"/>
    <w:rsid w:val="00AB70B6"/>
    <w:rsid w:val="00AC71F0"/>
    <w:rsid w:val="00AD1A86"/>
    <w:rsid w:val="00AD5C46"/>
    <w:rsid w:val="00AE103E"/>
    <w:rsid w:val="00AE1BC4"/>
    <w:rsid w:val="00AF0A07"/>
    <w:rsid w:val="00AF4AEC"/>
    <w:rsid w:val="00AF625E"/>
    <w:rsid w:val="00B005B4"/>
    <w:rsid w:val="00B07A79"/>
    <w:rsid w:val="00B139BE"/>
    <w:rsid w:val="00B2172B"/>
    <w:rsid w:val="00B436BD"/>
    <w:rsid w:val="00B6138F"/>
    <w:rsid w:val="00B64658"/>
    <w:rsid w:val="00B917D2"/>
    <w:rsid w:val="00B92B4E"/>
    <w:rsid w:val="00BA241A"/>
    <w:rsid w:val="00BB04AF"/>
    <w:rsid w:val="00BD52C9"/>
    <w:rsid w:val="00BE6354"/>
    <w:rsid w:val="00C13724"/>
    <w:rsid w:val="00C138D1"/>
    <w:rsid w:val="00C20E70"/>
    <w:rsid w:val="00C222F8"/>
    <w:rsid w:val="00C23A97"/>
    <w:rsid w:val="00C40B5E"/>
    <w:rsid w:val="00C41194"/>
    <w:rsid w:val="00C45629"/>
    <w:rsid w:val="00C521E0"/>
    <w:rsid w:val="00C52EBE"/>
    <w:rsid w:val="00C5776D"/>
    <w:rsid w:val="00C64855"/>
    <w:rsid w:val="00C70EA7"/>
    <w:rsid w:val="00C7433F"/>
    <w:rsid w:val="00C7516E"/>
    <w:rsid w:val="00C75770"/>
    <w:rsid w:val="00C97529"/>
    <w:rsid w:val="00CA3C25"/>
    <w:rsid w:val="00CA56BB"/>
    <w:rsid w:val="00CB0542"/>
    <w:rsid w:val="00CB2AC6"/>
    <w:rsid w:val="00CC168A"/>
    <w:rsid w:val="00CC4E38"/>
    <w:rsid w:val="00D00B2B"/>
    <w:rsid w:val="00D24877"/>
    <w:rsid w:val="00D361E4"/>
    <w:rsid w:val="00D405D1"/>
    <w:rsid w:val="00D63318"/>
    <w:rsid w:val="00D7105A"/>
    <w:rsid w:val="00D74DA0"/>
    <w:rsid w:val="00D8250F"/>
    <w:rsid w:val="00D86BB3"/>
    <w:rsid w:val="00D92189"/>
    <w:rsid w:val="00D95C4C"/>
    <w:rsid w:val="00D95F6C"/>
    <w:rsid w:val="00DA1BB3"/>
    <w:rsid w:val="00DA36ED"/>
    <w:rsid w:val="00DE34F1"/>
    <w:rsid w:val="00DE6160"/>
    <w:rsid w:val="00DF13C1"/>
    <w:rsid w:val="00DF4942"/>
    <w:rsid w:val="00E2125F"/>
    <w:rsid w:val="00E21F06"/>
    <w:rsid w:val="00E244E1"/>
    <w:rsid w:val="00E4150C"/>
    <w:rsid w:val="00E61D52"/>
    <w:rsid w:val="00E627B1"/>
    <w:rsid w:val="00E70169"/>
    <w:rsid w:val="00E72344"/>
    <w:rsid w:val="00E734F8"/>
    <w:rsid w:val="00E8627D"/>
    <w:rsid w:val="00E9376C"/>
    <w:rsid w:val="00E95AE2"/>
    <w:rsid w:val="00EA0030"/>
    <w:rsid w:val="00EA1C50"/>
    <w:rsid w:val="00EA335E"/>
    <w:rsid w:val="00EA528C"/>
    <w:rsid w:val="00EA580C"/>
    <w:rsid w:val="00EB4E6C"/>
    <w:rsid w:val="00EC6F8D"/>
    <w:rsid w:val="00ED39B2"/>
    <w:rsid w:val="00EE49F4"/>
    <w:rsid w:val="00EF2A7E"/>
    <w:rsid w:val="00EF34E2"/>
    <w:rsid w:val="00F07D9C"/>
    <w:rsid w:val="00F13B33"/>
    <w:rsid w:val="00F30DC6"/>
    <w:rsid w:val="00F31F96"/>
    <w:rsid w:val="00F32C23"/>
    <w:rsid w:val="00F50667"/>
    <w:rsid w:val="00F5081D"/>
    <w:rsid w:val="00F53DE9"/>
    <w:rsid w:val="00F576CB"/>
    <w:rsid w:val="00F6777F"/>
    <w:rsid w:val="00F7035D"/>
    <w:rsid w:val="00F70CC5"/>
    <w:rsid w:val="00F71A02"/>
    <w:rsid w:val="00F8237D"/>
    <w:rsid w:val="00F92F41"/>
    <w:rsid w:val="00F97DD8"/>
    <w:rsid w:val="00FA0D63"/>
    <w:rsid w:val="00FB32B8"/>
    <w:rsid w:val="00FC02B4"/>
    <w:rsid w:val="00FC6F1E"/>
    <w:rsid w:val="00FD1226"/>
    <w:rsid w:val="00FE3BE6"/>
    <w:rsid w:val="00FE6D72"/>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8477526"/>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COMPara"/>
    <w:next w:val="Normal"/>
    <w:link w:val="Titre4Car"/>
    <w:qFormat/>
    <w:rsid w:val="00C222F8"/>
    <w:pPr>
      <w:numPr>
        <w:numId w:val="15"/>
      </w:numPr>
      <w:jc w:val="both"/>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C222F8"/>
    <w:rPr>
      <w:rFonts w:ascii="Arial" w:eastAsia="Times New Roman" w:hAnsi="Arial" w:cs="Arial"/>
      <w:b/>
      <w:bCs/>
      <w:snapToGrid w:val="0"/>
      <w:sz w:val="22"/>
      <w:szCs w:val="22"/>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uiPriority w:val="99"/>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paragraph" w:customStyle="1" w:styleId="GAParaResolution">
    <w:name w:val="GA Para Resolution"/>
    <w:basedOn w:val="Normal"/>
    <w:qFormat/>
    <w:rsid w:val="00C45629"/>
    <w:pPr>
      <w:autoSpaceDE w:val="0"/>
      <w:autoSpaceDN w:val="0"/>
      <w:adjustRightInd w:val="0"/>
      <w:spacing w:after="120"/>
      <w:ind w:left="1287" w:hanging="360"/>
      <w:jc w:val="both"/>
    </w:pPr>
    <w:rPr>
      <w:rFonts w:ascii="Arial" w:eastAsia="SimSun" w:hAnsi="Arial" w:cs="Arial"/>
      <w:sz w:val="22"/>
      <w:szCs w:val="22"/>
      <w:u w:val="single"/>
      <w:lang w:val="en-GB"/>
    </w:rPr>
  </w:style>
  <w:style w:type="paragraph" w:customStyle="1" w:styleId="GAPara">
    <w:name w:val="GA Para"/>
    <w:qFormat/>
    <w:rsid w:val="00C45629"/>
    <w:pPr>
      <w:spacing w:after="120"/>
      <w:ind w:left="720" w:hanging="360"/>
    </w:pPr>
    <w:rPr>
      <w:rFonts w:ascii="Arial" w:eastAsia="Times New Roman" w:hAnsi="Arial" w:cs="Arial"/>
      <w:snapToGrid w:val="0"/>
      <w:sz w:val="22"/>
      <w:szCs w:val="22"/>
      <w:lang w:val="en-GB" w:eastAsia="en-US"/>
    </w:rPr>
  </w:style>
  <w:style w:type="character" w:styleId="Lienhypertexte">
    <w:name w:val="Hyperlink"/>
    <w:basedOn w:val="Policepardfaut"/>
    <w:uiPriority w:val="99"/>
    <w:rsid w:val="00C45629"/>
    <w:rPr>
      <w:rFonts w:cs="Times New Roman"/>
      <w:color w:val="0000FF"/>
      <w:u w:val="single"/>
    </w:rPr>
  </w:style>
  <w:style w:type="character" w:styleId="Mentionnonrsolue">
    <w:name w:val="Unresolved Mention"/>
    <w:basedOn w:val="Policepardfaut"/>
    <w:uiPriority w:val="99"/>
    <w:semiHidden/>
    <w:unhideWhenUsed/>
    <w:rsid w:val="00654A47"/>
    <w:rPr>
      <w:color w:val="605E5C"/>
      <w:shd w:val="clear" w:color="auto" w:fill="E1DFDD"/>
    </w:rPr>
  </w:style>
  <w:style w:type="character" w:styleId="Lienhypertextesuivivisit">
    <w:name w:val="FollowedHyperlink"/>
    <w:basedOn w:val="Policepardfaut"/>
    <w:uiPriority w:val="99"/>
    <w:semiHidden/>
    <w:unhideWhenUsed/>
    <w:rsid w:val="00DF13C1"/>
    <w:rPr>
      <w:color w:val="800080" w:themeColor="followedHyperlink"/>
      <w:u w:val="single"/>
    </w:rPr>
  </w:style>
  <w:style w:type="character" w:styleId="Marquedecommentaire">
    <w:name w:val="annotation reference"/>
    <w:basedOn w:val="Policepardfaut"/>
    <w:uiPriority w:val="99"/>
    <w:semiHidden/>
    <w:unhideWhenUsed/>
    <w:rsid w:val="0021249D"/>
    <w:rPr>
      <w:sz w:val="16"/>
      <w:szCs w:val="16"/>
    </w:rPr>
  </w:style>
  <w:style w:type="paragraph" w:styleId="Commentaire">
    <w:name w:val="annotation text"/>
    <w:basedOn w:val="Normal"/>
    <w:link w:val="CommentaireCar"/>
    <w:uiPriority w:val="99"/>
    <w:semiHidden/>
    <w:unhideWhenUsed/>
    <w:rsid w:val="0021249D"/>
    <w:rPr>
      <w:sz w:val="20"/>
      <w:szCs w:val="20"/>
    </w:rPr>
  </w:style>
  <w:style w:type="character" w:customStyle="1" w:styleId="CommentaireCar">
    <w:name w:val="Commentaire Car"/>
    <w:basedOn w:val="Policepardfaut"/>
    <w:link w:val="Commentaire"/>
    <w:uiPriority w:val="99"/>
    <w:semiHidden/>
    <w:rsid w:val="0021249D"/>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21249D"/>
    <w:rPr>
      <w:b/>
      <w:bCs/>
    </w:rPr>
  </w:style>
  <w:style w:type="character" w:customStyle="1" w:styleId="ObjetducommentaireCar">
    <w:name w:val="Objet du commentaire Car"/>
    <w:basedOn w:val="CommentaireCar"/>
    <w:link w:val="Objetducommentaire"/>
    <w:uiPriority w:val="99"/>
    <w:semiHidden/>
    <w:rsid w:val="0021249D"/>
    <w:rPr>
      <w:rFonts w:ascii="Times New Roman" w:eastAsia="Times New Roman" w:hAnsi="Times New Roman"/>
      <w:b/>
      <w:bCs/>
    </w:rPr>
  </w:style>
  <w:style w:type="paragraph" w:styleId="Rvision">
    <w:name w:val="Revision"/>
    <w:hidden/>
    <w:uiPriority w:val="99"/>
    <w:semiHidden/>
    <w:rsid w:val="0021249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8083_fre" TargetMode="External"/><Relationship Id="rId13" Type="http://schemas.openxmlformats.org/officeDocument/2006/relationships/hyperlink" Target="https://ich.unesco.org/fr/Decisions/9.GA/6" TargetMode="External"/><Relationship Id="rId18" Type="http://schemas.openxmlformats.org/officeDocument/2006/relationships/hyperlink" Target="https://ich.unesco.org/fr/operational-principles-and-modalities-in-emergencies-01143"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ch.unesco.org/fr/Decisions/9.GA/6" TargetMode="External"/><Relationship Id="rId7" Type="http://schemas.openxmlformats.org/officeDocument/2006/relationships/endnotes" Target="endnotes.xml"/><Relationship Id="rId12" Type="http://schemas.openxmlformats.org/officeDocument/2006/relationships/hyperlink" Target="https://ich.unesco.org/fr/Decisions/16.COM/5.b" TargetMode="External"/><Relationship Id="rId17" Type="http://schemas.openxmlformats.org/officeDocument/2006/relationships/hyperlink" Target="https://ich.unesco.org/fr/surveys-on-thematic-initiatives-0127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ich.unesco.org/doc/src/LHE-22-17.COM-7-FR.docx" TargetMode="External"/><Relationship Id="rId20" Type="http://schemas.openxmlformats.org/officeDocument/2006/relationships/hyperlink" Target="https://ich.unesco.org/fr/surveys-on-thematic-initiatives-012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emergency-situations-0111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ch.unesco.org/fr/Decisions/14.COM/10" TargetMode="External"/><Relationship Id="rId23" Type="http://schemas.openxmlformats.org/officeDocument/2006/relationships/hyperlink" Target="https://ich.unesco.org/fr/Decisions/16.COM/5.b" TargetMode="External"/><Relationship Id="rId28" Type="http://schemas.openxmlformats.org/officeDocument/2006/relationships/theme" Target="theme/theme1.xml"/><Relationship Id="rId10" Type="http://schemas.openxmlformats.org/officeDocument/2006/relationships/hyperlink" Target="https://www.unesco.org/sites/default/files/medias/fichiers/2022/10/6.MONDIACULT_FR_DRAFT%20FINAL%20DECLARATION.pdf" TargetMode="External"/><Relationship Id="rId19" Type="http://schemas.openxmlformats.org/officeDocument/2006/relationships/hyperlink" Target="https://ich.unesco.org/fr/surveys-on-thematic-initiatives-01277" TargetMode="External"/><Relationship Id="rId4" Type="http://schemas.openxmlformats.org/officeDocument/2006/relationships/settings" Target="settings.xml"/><Relationship Id="rId9" Type="http://schemas.openxmlformats.org/officeDocument/2006/relationships/hyperlink" Target="https://ich.unesco.org/doc/src/ICH-Operational_Directives-9.GA-FR.docx" TargetMode="External"/><Relationship Id="rId14" Type="http://schemas.openxmlformats.org/officeDocument/2006/relationships/hyperlink" Target="https://ich.unesco.org/fr/ethics-and-ich-00866" TargetMode="External"/><Relationship Id="rId22" Type="http://schemas.openxmlformats.org/officeDocument/2006/relationships/hyperlink" Target="https://ich.unesco.org/fr/D%C3%A9cisions/14.COM/1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ich.unesco.org/fr/Decisions/16.COM/7.a" TargetMode="External"/><Relationship Id="rId1" Type="http://schemas.openxmlformats.org/officeDocument/2006/relationships/hyperlink" Target="https://ich.unesco.org/fr/Decisions/16.COM/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162</TotalTime>
  <Pages>6</Pages>
  <Words>3568</Words>
  <Characters>19629</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keywords>, docId:22CF5B956F985CE9B77E729CF9A06B2D</cp:keywords>
  <cp:lastModifiedBy>Ohinata, Fumiko</cp:lastModifiedBy>
  <cp:revision>27</cp:revision>
  <cp:lastPrinted>2022-10-31T21:40:00Z</cp:lastPrinted>
  <dcterms:created xsi:type="dcterms:W3CDTF">2022-10-31T16:34:00Z</dcterms:created>
  <dcterms:modified xsi:type="dcterms:W3CDTF">2022-10-31T21:55:00Z</dcterms:modified>
</cp:coreProperties>
</file>