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186B" w14:textId="46421207" w:rsidR="00BC3420" w:rsidRPr="00632E6F" w:rsidRDefault="00BC3420" w:rsidP="00BC3420">
      <w:pPr>
        <w:spacing w:before="1440"/>
        <w:jc w:val="center"/>
        <w:rPr>
          <w:rFonts w:ascii="Arial" w:hAnsi="Arial" w:cs="Arial"/>
          <w:b/>
          <w:sz w:val="22"/>
          <w:szCs w:val="22"/>
        </w:rPr>
      </w:pPr>
      <w:r w:rsidRPr="00632E6F">
        <w:rPr>
          <w:rFonts w:ascii="Arial" w:hAnsi="Arial"/>
          <w:b/>
          <w:sz w:val="22"/>
          <w:szCs w:val="22"/>
        </w:rPr>
        <w:t>CONVENTION FOR THE SAFEGUARDING OF THE</w:t>
      </w:r>
      <w:r w:rsidRPr="00632E6F">
        <w:rPr>
          <w:rFonts w:ascii="Arial" w:hAnsi="Arial"/>
          <w:b/>
          <w:sz w:val="22"/>
          <w:szCs w:val="22"/>
        </w:rPr>
        <w:br/>
        <w:t>INTANGIBLE CULTURAL HERITAGE</w:t>
      </w:r>
    </w:p>
    <w:p w14:paraId="31FA6570" w14:textId="771EAA31" w:rsidR="00BC3420" w:rsidRPr="00632E6F" w:rsidRDefault="00BC3420" w:rsidP="00BC3420">
      <w:pPr>
        <w:spacing w:before="1200"/>
        <w:jc w:val="center"/>
        <w:rPr>
          <w:rFonts w:ascii="Arial" w:hAnsi="Arial" w:cs="Arial"/>
          <w:b/>
          <w:sz w:val="22"/>
          <w:szCs w:val="22"/>
        </w:rPr>
      </w:pPr>
      <w:r w:rsidRPr="00632E6F">
        <w:rPr>
          <w:rFonts w:ascii="Arial" w:hAnsi="Arial"/>
          <w:b/>
          <w:sz w:val="22"/>
          <w:szCs w:val="22"/>
        </w:rPr>
        <w:t>INTERGOVERNMENTAL COMMITTEE FOR THE</w:t>
      </w:r>
      <w:r w:rsidR="002E16EF" w:rsidRPr="00632E6F">
        <w:rPr>
          <w:rFonts w:ascii="Arial" w:hAnsi="Arial" w:cs="Arial"/>
          <w:b/>
          <w:sz w:val="22"/>
          <w:szCs w:val="22"/>
        </w:rPr>
        <w:br/>
      </w:r>
      <w:r w:rsidRPr="00632E6F">
        <w:rPr>
          <w:rFonts w:ascii="Arial" w:hAnsi="Arial"/>
          <w:b/>
          <w:sz w:val="22"/>
          <w:szCs w:val="22"/>
        </w:rPr>
        <w:t>SAFEGUARDING OF THE INTANGIBLE CULTURAL HERITAGE</w:t>
      </w:r>
    </w:p>
    <w:p w14:paraId="6E1245BD" w14:textId="77777777" w:rsidR="00BC3420" w:rsidRPr="00632E6F" w:rsidRDefault="007A000F" w:rsidP="00F4581D">
      <w:pPr>
        <w:spacing w:before="840"/>
        <w:jc w:val="center"/>
        <w:rPr>
          <w:rFonts w:ascii="Arial" w:hAnsi="Arial" w:cs="Arial"/>
          <w:b/>
          <w:sz w:val="22"/>
          <w:szCs w:val="22"/>
        </w:rPr>
      </w:pPr>
      <w:r w:rsidRPr="00632E6F">
        <w:rPr>
          <w:rFonts w:ascii="Arial" w:hAnsi="Arial"/>
          <w:b/>
          <w:sz w:val="22"/>
          <w:szCs w:val="22"/>
        </w:rPr>
        <w:t>Seventeenth session</w:t>
      </w:r>
    </w:p>
    <w:p w14:paraId="4E0A6283" w14:textId="77777777" w:rsidR="00F4581D" w:rsidRPr="00632E6F" w:rsidRDefault="004417A7" w:rsidP="00F4581D">
      <w:pPr>
        <w:jc w:val="center"/>
        <w:rPr>
          <w:rFonts w:ascii="Arial" w:hAnsi="Arial"/>
          <w:b/>
          <w:sz w:val="22"/>
        </w:rPr>
      </w:pPr>
      <w:r w:rsidRPr="00632E6F">
        <w:rPr>
          <w:rFonts w:ascii="Arial" w:hAnsi="Arial"/>
          <w:b/>
          <w:sz w:val="22"/>
        </w:rPr>
        <w:t>Rabat, Kingdom of Morocco</w:t>
      </w:r>
    </w:p>
    <w:p w14:paraId="7F72295B" w14:textId="6E741A86" w:rsidR="00EF74E3" w:rsidRPr="00632E6F" w:rsidRDefault="00AE3322" w:rsidP="00F4581D">
      <w:pPr>
        <w:jc w:val="center"/>
        <w:rPr>
          <w:rFonts w:ascii="Arial" w:hAnsi="Arial"/>
          <w:b/>
          <w:sz w:val="22"/>
        </w:rPr>
      </w:pPr>
      <w:r w:rsidRPr="00632E6F">
        <w:rPr>
          <w:rFonts w:ascii="Arial" w:hAnsi="Arial"/>
          <w:b/>
          <w:sz w:val="22"/>
        </w:rPr>
        <w:t xml:space="preserve">28 November </w:t>
      </w:r>
      <w:r w:rsidR="00E12FFB" w:rsidRPr="00632E6F">
        <w:rPr>
          <w:rFonts w:ascii="Arial" w:hAnsi="Arial"/>
          <w:b/>
          <w:sz w:val="22"/>
        </w:rPr>
        <w:t>to</w:t>
      </w:r>
      <w:r w:rsidRPr="00632E6F">
        <w:rPr>
          <w:rFonts w:ascii="Arial" w:hAnsi="Arial"/>
          <w:b/>
          <w:sz w:val="22"/>
        </w:rPr>
        <w:t xml:space="preserve"> 3 December 2022</w:t>
      </w:r>
    </w:p>
    <w:p w14:paraId="59A98C3B" w14:textId="6AE1A73C" w:rsidR="008F09EC" w:rsidRPr="00632E6F" w:rsidRDefault="008F09EC" w:rsidP="00007CFE">
      <w:pPr>
        <w:pStyle w:val="Sansinterligne2"/>
        <w:spacing w:before="960"/>
        <w:jc w:val="center"/>
        <w:rPr>
          <w:rFonts w:ascii="Arial" w:hAnsi="Arial" w:cs="Arial"/>
          <w:b/>
          <w:sz w:val="22"/>
          <w:szCs w:val="22"/>
        </w:rPr>
      </w:pPr>
      <w:r w:rsidRPr="00632E6F">
        <w:rPr>
          <w:rFonts w:ascii="Arial" w:hAnsi="Arial"/>
          <w:b/>
          <w:sz w:val="22"/>
          <w:szCs w:val="22"/>
          <w:u w:val="single"/>
        </w:rPr>
        <w:t xml:space="preserve">Item 12 of the </w:t>
      </w:r>
      <w:r w:rsidR="008024B7">
        <w:rPr>
          <w:rFonts w:ascii="Arial" w:hAnsi="Arial"/>
          <w:b/>
          <w:sz w:val="22"/>
          <w:szCs w:val="22"/>
          <w:u w:val="single"/>
        </w:rPr>
        <w:t>p</w:t>
      </w:r>
      <w:r w:rsidR="00832A33" w:rsidRPr="00632E6F">
        <w:rPr>
          <w:rFonts w:ascii="Arial" w:hAnsi="Arial"/>
          <w:b/>
          <w:sz w:val="22"/>
          <w:szCs w:val="22"/>
          <w:u w:val="single"/>
        </w:rPr>
        <w:t xml:space="preserve">rovisional </w:t>
      </w:r>
      <w:r w:rsidR="008024B7">
        <w:rPr>
          <w:rFonts w:ascii="Arial" w:hAnsi="Arial"/>
          <w:b/>
          <w:sz w:val="22"/>
          <w:szCs w:val="22"/>
          <w:u w:val="single"/>
        </w:rPr>
        <w:t>a</w:t>
      </w:r>
      <w:r w:rsidRPr="00632E6F">
        <w:rPr>
          <w:rFonts w:ascii="Arial" w:hAnsi="Arial"/>
          <w:b/>
          <w:sz w:val="22"/>
          <w:szCs w:val="22"/>
          <w:u w:val="single"/>
        </w:rPr>
        <w:t>genda</w:t>
      </w:r>
      <w:r w:rsidRPr="00632E6F">
        <w:rPr>
          <w:rFonts w:ascii="Arial" w:hAnsi="Arial"/>
          <w:b/>
          <w:sz w:val="22"/>
          <w:szCs w:val="22"/>
        </w:rPr>
        <w:t>:</w:t>
      </w:r>
    </w:p>
    <w:tbl>
      <w:tblPr>
        <w:tblpPr w:leftFromText="141" w:rightFromText="141" w:vertAnchor="text" w:horzAnchor="margin" w:tblpXSpec="center" w:tblpY="1358"/>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F6030" w:rsidRPr="00632E6F" w14:paraId="7D162912" w14:textId="77777777" w:rsidTr="00111F0A">
        <w:tc>
          <w:tcPr>
            <w:tcW w:w="5670" w:type="dxa"/>
            <w:vAlign w:val="center"/>
          </w:tcPr>
          <w:p w14:paraId="58759D28" w14:textId="77777777" w:rsidR="002F6030" w:rsidRPr="00632E6F" w:rsidRDefault="002F6030" w:rsidP="005523C8">
            <w:pPr>
              <w:pStyle w:val="Sansinterligne1"/>
              <w:spacing w:before="200" w:after="200"/>
              <w:jc w:val="center"/>
              <w:rPr>
                <w:rFonts w:ascii="Arial" w:hAnsi="Arial" w:cs="Arial"/>
                <w:b/>
                <w:sz w:val="22"/>
                <w:szCs w:val="22"/>
              </w:rPr>
            </w:pPr>
            <w:r w:rsidRPr="00632E6F">
              <w:rPr>
                <w:rFonts w:ascii="Arial" w:hAnsi="Arial"/>
                <w:b/>
                <w:sz w:val="22"/>
                <w:szCs w:val="22"/>
              </w:rPr>
              <w:t>Summary</w:t>
            </w:r>
          </w:p>
          <w:p w14:paraId="331AECB0" w14:textId="55A69A56" w:rsidR="005D586C" w:rsidRPr="00632E6F" w:rsidRDefault="002F6030" w:rsidP="005523C8">
            <w:pPr>
              <w:pStyle w:val="Sansinterligne1"/>
              <w:jc w:val="both"/>
              <w:rPr>
                <w:rFonts w:ascii="Arial" w:hAnsi="Arial"/>
                <w:sz w:val="22"/>
              </w:rPr>
            </w:pPr>
            <w:r w:rsidRPr="00632E6F">
              <w:rPr>
                <w:rFonts w:ascii="Arial" w:hAnsi="Arial"/>
                <w:sz w:val="22"/>
              </w:rPr>
              <w:t>In accordance with Article 25.5 of the Convention, the Committee may accept contributions to the Intangible Cultural Heritage Fund for specific purposes relating to specific projects, provided that those projects have been approved by the Committee. The present document reports on these and other types of voluntary contributions received for the period from 1 January to 30 June 2022.</w:t>
            </w:r>
          </w:p>
          <w:p w14:paraId="2AF6D7A8" w14:textId="77777777" w:rsidR="005D586C" w:rsidRPr="00632E6F" w:rsidRDefault="005D586C" w:rsidP="005523C8">
            <w:pPr>
              <w:pStyle w:val="Sansinterligne1"/>
              <w:jc w:val="both"/>
              <w:rPr>
                <w:rFonts w:ascii="Arial" w:hAnsi="Arial" w:cs="Arial"/>
                <w:b/>
                <w:sz w:val="22"/>
              </w:rPr>
            </w:pPr>
          </w:p>
          <w:p w14:paraId="5ABC18F4" w14:textId="6E2325D4" w:rsidR="002F6030" w:rsidRPr="00632E6F" w:rsidRDefault="002F6030" w:rsidP="005523C8">
            <w:pPr>
              <w:pStyle w:val="Sansinterligne1"/>
              <w:spacing w:after="120"/>
              <w:jc w:val="both"/>
              <w:rPr>
                <w:rFonts w:ascii="Arial" w:hAnsi="Arial" w:cs="Arial"/>
                <w:b/>
                <w:sz w:val="22"/>
                <w:szCs w:val="22"/>
              </w:rPr>
            </w:pPr>
            <w:r w:rsidRPr="00632E6F">
              <w:rPr>
                <w:rFonts w:ascii="Arial" w:hAnsi="Arial"/>
                <w:b/>
                <w:sz w:val="22"/>
                <w:szCs w:val="22"/>
              </w:rPr>
              <w:t xml:space="preserve">Decision required: </w:t>
            </w:r>
            <w:r w:rsidR="00613D3F" w:rsidRPr="00632E6F">
              <w:rPr>
                <w:rFonts w:ascii="Arial" w:hAnsi="Arial"/>
                <w:bCs/>
                <w:sz w:val="22"/>
                <w:szCs w:val="22"/>
              </w:rPr>
              <w:t>p</w:t>
            </w:r>
            <w:r w:rsidRPr="00632E6F">
              <w:rPr>
                <w:rFonts w:ascii="Arial" w:hAnsi="Arial"/>
                <w:bCs/>
                <w:sz w:val="22"/>
                <w:szCs w:val="22"/>
              </w:rPr>
              <w:t xml:space="preserve">aragraph </w:t>
            </w:r>
            <w:r w:rsidR="00BA6776" w:rsidRPr="00111F0A">
              <w:rPr>
                <w:rFonts w:ascii="Arial" w:hAnsi="Arial"/>
                <w:bCs/>
                <w:sz w:val="22"/>
                <w:szCs w:val="22"/>
              </w:rPr>
              <w:t>1</w:t>
            </w:r>
            <w:r w:rsidR="000109DB" w:rsidRPr="00111F0A">
              <w:rPr>
                <w:rFonts w:ascii="Arial" w:hAnsi="Arial"/>
                <w:bCs/>
                <w:sz w:val="22"/>
                <w:szCs w:val="22"/>
              </w:rPr>
              <w:t>9</w:t>
            </w:r>
          </w:p>
        </w:tc>
      </w:tr>
    </w:tbl>
    <w:p w14:paraId="56328EF9" w14:textId="4B7D3691" w:rsidR="00291055" w:rsidRPr="00632E6F" w:rsidRDefault="00F21B75" w:rsidP="00111F0A">
      <w:pPr>
        <w:pStyle w:val="NoSpacing"/>
        <w:spacing w:after="1200"/>
        <w:jc w:val="center"/>
        <w:rPr>
          <w:rFonts w:ascii="Arial" w:hAnsi="Arial" w:cs="Arial"/>
          <w:b/>
          <w:sz w:val="22"/>
          <w:szCs w:val="22"/>
        </w:rPr>
      </w:pPr>
      <w:r w:rsidRPr="00632E6F">
        <w:rPr>
          <w:rFonts w:ascii="Arial" w:hAnsi="Arial"/>
          <w:b/>
          <w:sz w:val="22"/>
          <w:szCs w:val="22"/>
        </w:rPr>
        <w:t xml:space="preserve">Intangible Cultural Heritage Fund: </w:t>
      </w:r>
      <w:r w:rsidRPr="00632E6F">
        <w:rPr>
          <w:rFonts w:ascii="Arial" w:hAnsi="Arial"/>
          <w:b/>
          <w:sz w:val="22"/>
          <w:szCs w:val="22"/>
        </w:rPr>
        <w:br/>
        <w:t>voluntary</w:t>
      </w:r>
      <w:r w:rsidR="00613D3F" w:rsidRPr="00632E6F">
        <w:rPr>
          <w:rFonts w:ascii="Arial" w:hAnsi="Arial"/>
          <w:b/>
          <w:sz w:val="22"/>
          <w:szCs w:val="22"/>
        </w:rPr>
        <w:t xml:space="preserve"> supplementary</w:t>
      </w:r>
      <w:r w:rsidRPr="00632E6F">
        <w:rPr>
          <w:rFonts w:ascii="Arial" w:hAnsi="Arial"/>
          <w:b/>
          <w:sz w:val="22"/>
          <w:szCs w:val="22"/>
        </w:rPr>
        <w:t xml:space="preserve"> contributions and other </w:t>
      </w:r>
      <w:r w:rsidR="00613D3F" w:rsidRPr="00632E6F">
        <w:rPr>
          <w:rFonts w:ascii="Arial" w:hAnsi="Arial"/>
          <w:b/>
          <w:sz w:val="22"/>
          <w:szCs w:val="22"/>
        </w:rPr>
        <w:t>issues</w:t>
      </w:r>
    </w:p>
    <w:p w14:paraId="642E5196" w14:textId="77777777" w:rsidR="008F09EC" w:rsidRPr="00632E6F" w:rsidRDefault="008F09EC" w:rsidP="00291055">
      <w:pPr>
        <w:pStyle w:val="NoSpacing"/>
        <w:tabs>
          <w:tab w:val="left" w:pos="4410"/>
          <w:tab w:val="center" w:pos="4819"/>
        </w:tabs>
        <w:spacing w:after="1200"/>
        <w:jc w:val="center"/>
        <w:rPr>
          <w:rFonts w:ascii="Arial" w:hAnsi="Arial" w:cs="Arial"/>
          <w:b/>
          <w:sz w:val="22"/>
          <w:szCs w:val="22"/>
        </w:rPr>
      </w:pPr>
    </w:p>
    <w:p w14:paraId="5FFCCE84" w14:textId="77777777" w:rsidR="00291055" w:rsidRPr="00632E6F" w:rsidRDefault="00291055" w:rsidP="00291055">
      <w:pPr>
        <w:pStyle w:val="COMParabodytext"/>
        <w:numPr>
          <w:ilvl w:val="0"/>
          <w:numId w:val="0"/>
        </w:numPr>
        <w:ind w:left="567"/>
      </w:pPr>
      <w:r w:rsidRPr="00632E6F">
        <w:br w:type="page"/>
      </w:r>
    </w:p>
    <w:p w14:paraId="008B94CB" w14:textId="77777777" w:rsidR="00F21B75" w:rsidRPr="00632E6F" w:rsidRDefault="00F21B75" w:rsidP="000F1492">
      <w:pPr>
        <w:pStyle w:val="COMParabodytext"/>
        <w:ind w:left="567" w:hanging="567"/>
      </w:pPr>
      <w:r w:rsidRPr="00632E6F">
        <w:lastRenderedPageBreak/>
        <w:t>Chapter VI of the Convention, concerning the Fund for the Safeguarding of the Intangible Cultural Heritage (hereafter, ‘the Fund’), establishes that States Parties may wish to make voluntary supplementary contributions (Article 27) in addition to their assessed contributions (Article 26). In accordance with Article 25.5, such contributions may relate to specific projects, ‘provided that those projects have been approved by the Committee’.</w:t>
      </w:r>
    </w:p>
    <w:p w14:paraId="05D7E65F" w14:textId="6A929618" w:rsidR="0058275F" w:rsidRPr="00632E6F" w:rsidRDefault="00875F52" w:rsidP="0069724F">
      <w:pPr>
        <w:pStyle w:val="COMParabodytext"/>
        <w:ind w:left="567" w:hanging="567"/>
      </w:pPr>
      <w:r w:rsidRPr="00632E6F">
        <w:t xml:space="preserve">Voluntary supplementary contributions are primarily meant to support the funding priorities approved by the Committee. </w:t>
      </w:r>
      <w:r w:rsidR="0058275F" w:rsidRPr="00632E6F">
        <w:t xml:space="preserve">At its sixteenth session in 2021, the Committee approved two </w:t>
      </w:r>
      <w:r w:rsidRPr="00632E6F">
        <w:t xml:space="preserve">such </w:t>
      </w:r>
      <w:r w:rsidR="0058275F" w:rsidRPr="00632E6F">
        <w:t xml:space="preserve">funding priorities for the period 2022-2025, namely: (1) </w:t>
      </w:r>
      <w:r w:rsidR="00613D3F" w:rsidRPr="00632E6F">
        <w:t>‘</w:t>
      </w:r>
      <w:r w:rsidR="0058275F" w:rsidRPr="00632E6F">
        <w:t>Strengthening capacities to safeguard intangible cultural heritage using multi-modal approaches and contribute to sustainable development</w:t>
      </w:r>
      <w:r w:rsidR="00613D3F" w:rsidRPr="00632E6F">
        <w:t>’</w:t>
      </w:r>
      <w:r w:rsidR="0058275F" w:rsidRPr="00632E6F">
        <w:t xml:space="preserve"> and (2)</w:t>
      </w:r>
      <w:r w:rsidR="00613D3F" w:rsidRPr="00632E6F">
        <w:t> ‘</w:t>
      </w:r>
      <w:r w:rsidR="0058275F" w:rsidRPr="00632E6F">
        <w:t>Safeguarding intangible cultural heritage in formal and non-formal education</w:t>
      </w:r>
      <w:r w:rsidR="00613D3F" w:rsidRPr="00632E6F">
        <w:t>’</w:t>
      </w:r>
      <w:r w:rsidR="00832A33" w:rsidRPr="00632E6F">
        <w:t xml:space="preserve"> </w:t>
      </w:r>
      <w:r w:rsidR="005901BD" w:rsidRPr="00632E6F">
        <w:t xml:space="preserve">(Decision </w:t>
      </w:r>
      <w:hyperlink r:id="rId8" w:history="1">
        <w:r w:rsidR="005901BD" w:rsidRPr="00632E6F">
          <w:rPr>
            <w:rStyle w:val="Hyperlink"/>
          </w:rPr>
          <w:t>16.COM 12</w:t>
        </w:r>
      </w:hyperlink>
      <w:r w:rsidR="005901BD" w:rsidRPr="00632E6F">
        <w:rPr>
          <w:rStyle w:val="Hyperlink"/>
          <w:color w:val="auto"/>
          <w:u w:val="none"/>
        </w:rPr>
        <w:t>)</w:t>
      </w:r>
      <w:r w:rsidR="0058275F" w:rsidRPr="00632E6F">
        <w:t>. The resource mobili</w:t>
      </w:r>
      <w:r w:rsidR="00832A33" w:rsidRPr="00632E6F">
        <w:t>z</w:t>
      </w:r>
      <w:r w:rsidR="0058275F" w:rsidRPr="00632E6F">
        <w:t xml:space="preserve">ation targets set for these two funding priorities </w:t>
      </w:r>
      <w:r w:rsidR="00020469" w:rsidRPr="00632E6F">
        <w:t xml:space="preserve">are </w:t>
      </w:r>
      <w:r w:rsidR="00613D3F" w:rsidRPr="00632E6F">
        <w:t>US$</w:t>
      </w:r>
      <w:r w:rsidR="0058275F" w:rsidRPr="00632E6F">
        <w:t xml:space="preserve">5 million and </w:t>
      </w:r>
      <w:r w:rsidR="00613D3F" w:rsidRPr="00632E6F">
        <w:t>US$</w:t>
      </w:r>
      <w:r w:rsidR="0058275F" w:rsidRPr="00632E6F">
        <w:t>3.5</w:t>
      </w:r>
      <w:r w:rsidR="00613D3F" w:rsidRPr="00632E6F">
        <w:t> </w:t>
      </w:r>
      <w:r w:rsidR="0058275F" w:rsidRPr="00632E6F">
        <w:t xml:space="preserve">million respectively for the </w:t>
      </w:r>
      <w:r w:rsidR="00613D3F" w:rsidRPr="00632E6F">
        <w:t xml:space="preserve">period </w:t>
      </w:r>
      <w:r w:rsidR="0058275F" w:rsidRPr="00632E6F">
        <w:t>2022–2025</w:t>
      </w:r>
      <w:r w:rsidR="00A33213" w:rsidRPr="00632E6F">
        <w:t xml:space="preserve"> </w:t>
      </w:r>
      <w:r w:rsidR="005901BD" w:rsidRPr="00632E6F">
        <w:t xml:space="preserve">(see Annex II in document </w:t>
      </w:r>
      <w:hyperlink r:id="rId9" w:history="1">
        <w:r w:rsidR="005901BD" w:rsidRPr="00632E6F">
          <w:rPr>
            <w:rStyle w:val="Hyperlink"/>
          </w:rPr>
          <w:t>LHE/21/16.COM</w:t>
        </w:r>
        <w:r w:rsidR="004725AA" w:rsidRPr="00632E6F">
          <w:rPr>
            <w:rStyle w:val="Hyperlink"/>
          </w:rPr>
          <w:t>/</w:t>
        </w:r>
        <w:r w:rsidR="005901BD" w:rsidRPr="00632E6F">
          <w:rPr>
            <w:rStyle w:val="Hyperlink"/>
          </w:rPr>
          <w:t>12</w:t>
        </w:r>
      </w:hyperlink>
      <w:r w:rsidR="005901BD" w:rsidRPr="00632E6F">
        <w:t>)</w:t>
      </w:r>
      <w:r w:rsidR="0058275F" w:rsidRPr="00632E6F">
        <w:t>.</w:t>
      </w:r>
    </w:p>
    <w:p w14:paraId="0B2B7489" w14:textId="0BCE2074" w:rsidR="008921B6" w:rsidRPr="00632E6F" w:rsidRDefault="00605BAC">
      <w:pPr>
        <w:pStyle w:val="COMParabodytext"/>
        <w:ind w:left="567" w:hanging="567"/>
        <w:rPr>
          <w:bCs/>
        </w:rPr>
      </w:pPr>
      <w:r w:rsidRPr="00632E6F">
        <w:t>The present document provides an overview</w:t>
      </w:r>
      <w:r w:rsidR="00190E3F" w:rsidRPr="00632E6F">
        <w:rPr>
          <w:rStyle w:val="FootnoteReference"/>
        </w:rPr>
        <w:footnoteReference w:id="2"/>
      </w:r>
      <w:r w:rsidRPr="00632E6F">
        <w:t xml:space="preserve"> of the contributions received during the first six months of the </w:t>
      </w:r>
      <w:r w:rsidR="00F37EE3" w:rsidRPr="00632E6F">
        <w:t>biennium</w:t>
      </w:r>
      <w:r w:rsidRPr="00632E6F">
        <w:t>, from 1 January to 30 June 2022</w:t>
      </w:r>
      <w:r w:rsidR="00875F52" w:rsidRPr="00632E6F">
        <w:t xml:space="preserve"> (Section</w:t>
      </w:r>
      <w:r w:rsidR="00AD0DC2" w:rsidRPr="00632E6F">
        <w:t> </w:t>
      </w:r>
      <w:r w:rsidR="00875F52" w:rsidRPr="00632E6F">
        <w:t>A)</w:t>
      </w:r>
      <w:r w:rsidRPr="00632E6F">
        <w:t>.</w:t>
      </w:r>
      <w:r w:rsidR="00AD0DC2" w:rsidRPr="00632E6F">
        <w:t xml:space="preserve"> Furthermore, it reports, in response to the request by the Committee (</w:t>
      </w:r>
      <w:r w:rsidR="00630005" w:rsidRPr="00632E6F">
        <w:t>Decision </w:t>
      </w:r>
      <w:hyperlink r:id="rId10" w:history="1">
        <w:r w:rsidR="00630005" w:rsidRPr="00632E6F">
          <w:rPr>
            <w:rStyle w:val="Hyperlink"/>
          </w:rPr>
          <w:t>7.COM 20.1</w:t>
        </w:r>
      </w:hyperlink>
      <w:r w:rsidR="00AD0DC2" w:rsidRPr="00632E6F">
        <w:t>), on the different forms of support to the Convention</w:t>
      </w:r>
      <w:r w:rsidR="00A33213" w:rsidRPr="00632E6F">
        <w:t xml:space="preserve"> received</w:t>
      </w:r>
      <w:r w:rsidR="00AD0DC2" w:rsidRPr="00632E6F">
        <w:t>, other than voluntary contributions to the Fund (Section B).</w:t>
      </w:r>
    </w:p>
    <w:p w14:paraId="73775763" w14:textId="7A11D9D2" w:rsidR="00B06EDF" w:rsidRPr="00632E6F" w:rsidRDefault="00194524" w:rsidP="002E16EF">
      <w:pPr>
        <w:pStyle w:val="ListParagraph"/>
        <w:numPr>
          <w:ilvl w:val="4"/>
          <w:numId w:val="36"/>
        </w:numPr>
        <w:spacing w:before="240" w:after="120"/>
        <w:ind w:left="567" w:hanging="567"/>
        <w:contextualSpacing w:val="0"/>
        <w:rPr>
          <w:rFonts w:asciiTheme="minorBidi" w:hAnsiTheme="minorBidi" w:cstheme="minorBidi"/>
          <w:b/>
          <w:sz w:val="22"/>
          <w:szCs w:val="22"/>
        </w:rPr>
      </w:pPr>
      <w:r w:rsidRPr="00632E6F">
        <w:rPr>
          <w:rFonts w:asciiTheme="minorBidi" w:hAnsiTheme="minorBidi"/>
          <w:b/>
          <w:sz w:val="22"/>
          <w:szCs w:val="22"/>
        </w:rPr>
        <w:t>Voluntary supplementary</w:t>
      </w:r>
      <w:r w:rsidR="00B06EDF" w:rsidRPr="00632E6F">
        <w:rPr>
          <w:rFonts w:asciiTheme="minorBidi" w:hAnsiTheme="minorBidi"/>
          <w:b/>
          <w:sz w:val="22"/>
          <w:szCs w:val="22"/>
        </w:rPr>
        <w:t xml:space="preserve"> contributions to the Fund</w:t>
      </w:r>
    </w:p>
    <w:p w14:paraId="1E76302D" w14:textId="11812361" w:rsidR="00AD0DC2" w:rsidRPr="00632E6F" w:rsidRDefault="00B06EDF" w:rsidP="00AD0DC2">
      <w:pPr>
        <w:pStyle w:val="COMParabodytext"/>
        <w:ind w:left="561" w:hanging="561"/>
        <w:rPr>
          <w:bCs/>
        </w:rPr>
      </w:pPr>
      <w:r w:rsidRPr="00632E6F">
        <w:rPr>
          <w:b/>
        </w:rPr>
        <w:tab/>
      </w:r>
      <w:r w:rsidR="00AD0DC2" w:rsidRPr="00632E6F">
        <w:rPr>
          <w:rFonts w:asciiTheme="minorBidi" w:hAnsiTheme="minorBidi"/>
        </w:rPr>
        <w:t>In the first half of 2022</w:t>
      </w:r>
      <w:r w:rsidR="00AD0DC2" w:rsidRPr="00632E6F">
        <w:t xml:space="preserve">, three voluntary supplementary contributions were received, totalling US$189,277, </w:t>
      </w:r>
      <w:r w:rsidR="003843F2" w:rsidRPr="00632E6F">
        <w:t>as described below</w:t>
      </w:r>
      <w:r w:rsidR="00AD0DC2" w:rsidRPr="00632E6F">
        <w:t xml:space="preserve"> (see Annex</w:t>
      </w:r>
      <w:r w:rsidR="003843F2" w:rsidRPr="00632E6F">
        <w:t xml:space="preserve"> for the list of contributions</w:t>
      </w:r>
      <w:r w:rsidR="00AD0DC2" w:rsidRPr="00632E6F">
        <w:t>). The beginning of the current biennium (41 C/5) is marked by an increase in the amount of voluntary contributions compared to the same period in the previous 2020–2021 biennium (40 C/5), for which the total amount of contributions was US$102,600 for the period from January to June 2020.</w:t>
      </w:r>
    </w:p>
    <w:p w14:paraId="44605C69" w14:textId="259279A2" w:rsidR="00B06EDF" w:rsidRPr="00632E6F" w:rsidRDefault="00DC58D5" w:rsidP="005C3281">
      <w:pPr>
        <w:tabs>
          <w:tab w:val="left" w:pos="567"/>
        </w:tabs>
        <w:snapToGrid w:val="0"/>
        <w:spacing w:before="240" w:after="120"/>
        <w:jc w:val="both"/>
        <w:rPr>
          <w:rFonts w:ascii="Arial" w:hAnsi="Arial" w:cs="Arial"/>
          <w:snapToGrid w:val="0"/>
          <w:color w:val="000000"/>
          <w:sz w:val="22"/>
          <w:szCs w:val="22"/>
        </w:rPr>
      </w:pPr>
      <w:r w:rsidRPr="00632E6F">
        <w:rPr>
          <w:rFonts w:ascii="Arial" w:hAnsi="Arial"/>
          <w:b/>
          <w:sz w:val="22"/>
          <w:szCs w:val="22"/>
        </w:rPr>
        <w:tab/>
      </w:r>
      <w:r w:rsidR="00B06EDF" w:rsidRPr="00632E6F">
        <w:rPr>
          <w:rFonts w:ascii="Arial" w:hAnsi="Arial"/>
          <w:b/>
          <w:sz w:val="22"/>
          <w:szCs w:val="22"/>
        </w:rPr>
        <w:t>Funding priority</w:t>
      </w:r>
      <w:r w:rsidR="00B06EDF" w:rsidRPr="00632E6F">
        <w:rPr>
          <w:rFonts w:ascii="Arial" w:hAnsi="Arial"/>
          <w:b/>
          <w:snapToGrid w:val="0"/>
          <w:sz w:val="22"/>
          <w:szCs w:val="22"/>
        </w:rPr>
        <w:t xml:space="preserve"> 1: </w:t>
      </w:r>
      <w:r w:rsidR="003312CC" w:rsidRPr="00632E6F">
        <w:rPr>
          <w:rFonts w:ascii="Arial" w:hAnsi="Arial"/>
          <w:b/>
          <w:snapToGrid w:val="0"/>
          <w:sz w:val="22"/>
          <w:szCs w:val="22"/>
        </w:rPr>
        <w:t>C</w:t>
      </w:r>
      <w:r w:rsidR="00B06EDF" w:rsidRPr="00632E6F">
        <w:rPr>
          <w:rFonts w:ascii="Arial" w:hAnsi="Arial"/>
          <w:b/>
          <w:snapToGrid w:val="0"/>
          <w:sz w:val="22"/>
          <w:szCs w:val="22"/>
        </w:rPr>
        <w:t>apacity-building programme</w:t>
      </w:r>
    </w:p>
    <w:p w14:paraId="3FC61444" w14:textId="687746C0" w:rsidR="001C5F1C" w:rsidRPr="00632E6F" w:rsidRDefault="00A02A5A" w:rsidP="0018278B">
      <w:pPr>
        <w:pStyle w:val="COMParabodytext"/>
        <w:ind w:left="567" w:hanging="567"/>
      </w:pPr>
      <w:r w:rsidRPr="00632E6F">
        <w:t xml:space="preserve">Priority 1 </w:t>
      </w:r>
      <w:r w:rsidR="00586FC8" w:rsidRPr="00632E6F">
        <w:t xml:space="preserve">‘Strengthening capacities to safeguard intangible cultural heritage using multi-modal approaches and contribute to sustainable development’ </w:t>
      </w:r>
      <w:r w:rsidRPr="00632E6F">
        <w:t xml:space="preserve">aims to continue efforts to extend the reach and effectiveness of the global capacity building programme, which was first put in place in 2009 and since then provided support to States and communities in more than 95 countries. During the period under consideration, one contribution was made to the Fund by </w:t>
      </w:r>
      <w:r w:rsidRPr="00632E6F">
        <w:rPr>
          <w:b/>
          <w:bCs/>
        </w:rPr>
        <w:t>ICHCAP</w:t>
      </w:r>
      <w:r w:rsidR="00D87FCE" w:rsidRPr="00632E6F">
        <w:t xml:space="preserve"> (International Information and Networking Centre for Intangible Cultural Heritage in the Asia-Pacific Region)</w:t>
      </w:r>
      <w:r w:rsidRPr="00632E6F">
        <w:t>. It enables the implementation of a capacity-building project at the national and local levels in the United Republic of Tanzania set to begin at the end of 2022. This contribution of US$81,271 represents 1.6% of the US$5 million mobili</w:t>
      </w:r>
      <w:r w:rsidR="00586FC8" w:rsidRPr="00632E6F">
        <w:t>z</w:t>
      </w:r>
      <w:r w:rsidRPr="00632E6F">
        <w:t>ation target set for the 2022</w:t>
      </w:r>
      <w:r w:rsidR="003312CC" w:rsidRPr="00632E6F">
        <w:t xml:space="preserve"> – </w:t>
      </w:r>
      <w:r w:rsidRPr="00632E6F">
        <w:t>2025</w:t>
      </w:r>
      <w:r w:rsidR="003312CC" w:rsidRPr="00632E6F">
        <w:t xml:space="preserve"> </w:t>
      </w:r>
      <w:r w:rsidR="00586FC8" w:rsidRPr="00632E6F">
        <w:t>quadrennium</w:t>
      </w:r>
      <w:r w:rsidRPr="00632E6F">
        <w:t>.</w:t>
      </w:r>
    </w:p>
    <w:p w14:paraId="2D0452AA" w14:textId="72319279" w:rsidR="00FF5BCB" w:rsidRPr="00632E6F" w:rsidRDefault="00BC5E89" w:rsidP="005C3281">
      <w:pPr>
        <w:tabs>
          <w:tab w:val="left" w:pos="567"/>
        </w:tabs>
        <w:snapToGrid w:val="0"/>
        <w:spacing w:before="240" w:after="120"/>
        <w:jc w:val="both"/>
        <w:rPr>
          <w:rFonts w:ascii="Arial" w:hAnsi="Arial" w:cs="Arial"/>
          <w:snapToGrid w:val="0"/>
          <w:sz w:val="22"/>
          <w:szCs w:val="22"/>
        </w:rPr>
      </w:pPr>
      <w:r w:rsidRPr="00632E6F">
        <w:rPr>
          <w:rFonts w:ascii="Arial" w:hAnsi="Arial"/>
          <w:b/>
          <w:sz w:val="22"/>
          <w:szCs w:val="22"/>
        </w:rPr>
        <w:tab/>
        <w:t>Funding priority</w:t>
      </w:r>
      <w:r w:rsidRPr="00632E6F">
        <w:rPr>
          <w:rFonts w:ascii="Arial" w:hAnsi="Arial"/>
          <w:b/>
          <w:snapToGrid w:val="0"/>
          <w:sz w:val="22"/>
          <w:szCs w:val="22"/>
        </w:rPr>
        <w:t xml:space="preserve"> 2: </w:t>
      </w:r>
      <w:r w:rsidR="003312CC" w:rsidRPr="00632E6F">
        <w:rPr>
          <w:rFonts w:ascii="Arial" w:hAnsi="Arial"/>
          <w:b/>
          <w:snapToGrid w:val="0"/>
          <w:sz w:val="22"/>
          <w:szCs w:val="22"/>
        </w:rPr>
        <w:t>I</w:t>
      </w:r>
      <w:r w:rsidRPr="00632E6F">
        <w:rPr>
          <w:rFonts w:ascii="Arial" w:hAnsi="Arial"/>
          <w:b/>
          <w:snapToGrid w:val="0"/>
          <w:sz w:val="22"/>
          <w:szCs w:val="22"/>
        </w:rPr>
        <w:t>ntangible cultural heritage in education</w:t>
      </w:r>
    </w:p>
    <w:p w14:paraId="19E4150F" w14:textId="793D897A" w:rsidR="00B07200" w:rsidRPr="00632E6F" w:rsidRDefault="00C33428" w:rsidP="0018278B">
      <w:pPr>
        <w:pStyle w:val="COMParabodytext"/>
        <w:ind w:left="567" w:hanging="567"/>
      </w:pPr>
      <w:r w:rsidRPr="00632E6F">
        <w:t xml:space="preserve">Despite the </w:t>
      </w:r>
      <w:r w:rsidR="003312CC" w:rsidRPr="00632E6F">
        <w:t xml:space="preserve">continued </w:t>
      </w:r>
      <w:r w:rsidRPr="00632E6F">
        <w:t xml:space="preserve">interest of States Parties in this topic, no </w:t>
      </w:r>
      <w:r w:rsidR="00194524" w:rsidRPr="00632E6F">
        <w:t>voluntary supplementary</w:t>
      </w:r>
      <w:r w:rsidRPr="00632E6F">
        <w:t xml:space="preserve"> contributions to the Fund were received during the reporting period to support</w:t>
      </w:r>
      <w:r w:rsidR="00CE50E2" w:rsidRPr="00632E6F">
        <w:t xml:space="preserve"> funding</w:t>
      </w:r>
      <w:r w:rsidRPr="00632E6F">
        <w:t xml:space="preserve"> priority</w:t>
      </w:r>
      <w:r w:rsidR="00CE50E2" w:rsidRPr="00632E6F">
        <w:t> </w:t>
      </w:r>
      <w:r w:rsidRPr="00632E6F">
        <w:t xml:space="preserve">2, the objective of which is to </w:t>
      </w:r>
      <w:r w:rsidR="003312CC" w:rsidRPr="00632E6F">
        <w:t xml:space="preserve">integrate </w:t>
      </w:r>
      <w:r w:rsidRPr="00632E6F">
        <w:t xml:space="preserve">intangible cultural heritage into formal and non-formal education, in cooperation with the </w:t>
      </w:r>
      <w:r w:rsidR="00813C1F" w:rsidRPr="00632E6F">
        <w:t>UNESCO</w:t>
      </w:r>
      <w:r w:rsidR="00F16B0E" w:rsidRPr="00F16B0E">
        <w:t xml:space="preserve"> '</w:t>
      </w:r>
      <w:r w:rsidR="00813C1F" w:rsidRPr="00632E6F">
        <w:t xml:space="preserve">s </w:t>
      </w:r>
      <w:r w:rsidRPr="00632E6F">
        <w:t>education sector.</w:t>
      </w:r>
    </w:p>
    <w:p w14:paraId="5E0896FF" w14:textId="48D00129" w:rsidR="00C0236C" w:rsidRPr="00632E6F" w:rsidRDefault="004F4D68" w:rsidP="00111F0A">
      <w:pPr>
        <w:pStyle w:val="COMParabodytext"/>
        <w:keepLines/>
        <w:ind w:left="567" w:hanging="567"/>
      </w:pPr>
      <w:r w:rsidRPr="00632E6F">
        <w:lastRenderedPageBreak/>
        <w:t xml:space="preserve">However, it should be noted that in the absence of new voluntary supplementary contributions </w:t>
      </w:r>
      <w:r w:rsidR="008C7642" w:rsidRPr="00632E6F">
        <w:t xml:space="preserve">to the Fund, </w:t>
      </w:r>
      <w:r w:rsidR="00811233" w:rsidRPr="00632E6F">
        <w:t xml:space="preserve">the </w:t>
      </w:r>
      <w:r w:rsidR="008C7642" w:rsidRPr="00632E6F">
        <w:t>UNESCO</w:t>
      </w:r>
      <w:r w:rsidR="00F16B0E" w:rsidRPr="00F16B0E">
        <w:t>'</w:t>
      </w:r>
      <w:r w:rsidR="008C7642" w:rsidRPr="00632E6F">
        <w:t xml:space="preserve">s </w:t>
      </w:r>
      <w:r w:rsidR="00811233" w:rsidRPr="00632E6F">
        <w:t>Funds-in-Trust mechanism has</w:t>
      </w:r>
      <w:r w:rsidRPr="00632E6F">
        <w:t xml:space="preserve"> supported the launch of a new initiative in Africa (see paragraph </w:t>
      </w:r>
      <w:r w:rsidR="00811233" w:rsidRPr="00632E6F">
        <w:t>14</w:t>
      </w:r>
      <w:r w:rsidRPr="00632E6F">
        <w:t>)</w:t>
      </w:r>
      <w:r w:rsidR="00811233" w:rsidRPr="00632E6F">
        <w:t>. In addition,</w:t>
      </w:r>
      <w:r w:rsidR="00FF5AF6" w:rsidRPr="00632E6F">
        <w:t xml:space="preserve"> </w:t>
      </w:r>
      <w:r w:rsidR="00811233" w:rsidRPr="00632E6F">
        <w:t xml:space="preserve">there is an ongoing project </w:t>
      </w:r>
      <w:r w:rsidR="00FF5AF6" w:rsidRPr="00632E6F">
        <w:t xml:space="preserve">in Latin America and the Caribbean, as well as </w:t>
      </w:r>
      <w:r w:rsidR="00811233" w:rsidRPr="00632E6F">
        <w:t xml:space="preserve">another for </w:t>
      </w:r>
      <w:r w:rsidR="00FF5AF6" w:rsidRPr="00632E6F">
        <w:t xml:space="preserve">Asia and Africa, financed by </w:t>
      </w:r>
      <w:r w:rsidR="00194524" w:rsidRPr="00632E6F">
        <w:t>voluntary supplementary</w:t>
      </w:r>
      <w:r w:rsidR="00FF5AF6" w:rsidRPr="00632E6F">
        <w:t xml:space="preserve"> contributions to the Fund (see paragraph 1</w:t>
      </w:r>
      <w:r w:rsidRPr="00632E6F">
        <w:t>0</w:t>
      </w:r>
      <w:r w:rsidR="00FF5AF6" w:rsidRPr="00632E6F">
        <w:t>).</w:t>
      </w:r>
    </w:p>
    <w:p w14:paraId="0A959779" w14:textId="3DEF4859" w:rsidR="00E25CD5" w:rsidRPr="00632E6F" w:rsidRDefault="00E25CD5" w:rsidP="005C3281">
      <w:pPr>
        <w:tabs>
          <w:tab w:val="left" w:pos="567"/>
        </w:tabs>
        <w:snapToGrid w:val="0"/>
        <w:spacing w:before="240" w:after="120"/>
        <w:ind w:left="567"/>
        <w:jc w:val="both"/>
        <w:rPr>
          <w:rFonts w:ascii="Arial" w:hAnsi="Arial" w:cs="Arial"/>
          <w:snapToGrid w:val="0"/>
          <w:sz w:val="22"/>
          <w:szCs w:val="22"/>
        </w:rPr>
      </w:pPr>
      <w:r w:rsidRPr="00632E6F">
        <w:rPr>
          <w:rFonts w:ascii="Arial" w:hAnsi="Arial"/>
          <w:b/>
          <w:snapToGrid w:val="0"/>
          <w:sz w:val="22"/>
          <w:szCs w:val="22"/>
        </w:rPr>
        <w:t xml:space="preserve">Strengthening the </w:t>
      </w:r>
      <w:r w:rsidRPr="00632E6F">
        <w:rPr>
          <w:rFonts w:ascii="Arial" w:hAnsi="Arial"/>
          <w:b/>
          <w:sz w:val="22"/>
          <w:szCs w:val="22"/>
        </w:rPr>
        <w:t>human</w:t>
      </w:r>
      <w:r w:rsidRPr="00632E6F">
        <w:rPr>
          <w:rFonts w:ascii="Arial" w:hAnsi="Arial"/>
          <w:b/>
          <w:snapToGrid w:val="0"/>
          <w:sz w:val="22"/>
          <w:szCs w:val="22"/>
        </w:rPr>
        <w:t xml:space="preserve"> </w:t>
      </w:r>
      <w:r w:rsidR="000F1492" w:rsidRPr="00632E6F">
        <w:rPr>
          <w:rFonts w:ascii="Arial" w:hAnsi="Arial"/>
          <w:b/>
          <w:snapToGrid w:val="0"/>
          <w:sz w:val="22"/>
          <w:szCs w:val="22"/>
        </w:rPr>
        <w:t xml:space="preserve">capacities </w:t>
      </w:r>
      <w:r w:rsidRPr="00632E6F">
        <w:rPr>
          <w:rFonts w:ascii="Arial" w:hAnsi="Arial"/>
          <w:b/>
          <w:snapToGrid w:val="0"/>
          <w:sz w:val="22"/>
          <w:szCs w:val="22"/>
        </w:rPr>
        <w:t>of the Secretariat</w:t>
      </w:r>
    </w:p>
    <w:p w14:paraId="27E0A07A" w14:textId="69B75A0A" w:rsidR="003516AB" w:rsidRPr="00632E6F" w:rsidRDefault="003516AB" w:rsidP="0018278B">
      <w:pPr>
        <w:pStyle w:val="COMParabodytext"/>
        <w:ind w:left="567" w:hanging="567"/>
      </w:pPr>
      <w:r w:rsidRPr="00632E6F">
        <w:t xml:space="preserve">The </w:t>
      </w:r>
      <w:r w:rsidR="000F1492" w:rsidRPr="00632E6F">
        <w:t>sub</w:t>
      </w:r>
      <w:r w:rsidRPr="00632E6F">
        <w:t xml:space="preserve">-fund intended to enhance the human </w:t>
      </w:r>
      <w:r w:rsidR="00813C1F" w:rsidRPr="00632E6F">
        <w:t xml:space="preserve">capacities </w:t>
      </w:r>
      <w:r w:rsidRPr="00632E6F">
        <w:t xml:space="preserve">of the Secretariat, was created by the General Assembly in June 2010 (Resolution </w:t>
      </w:r>
      <w:hyperlink r:id="rId11" w:history="1">
        <w:r w:rsidRPr="00632E6F">
          <w:rPr>
            <w:rStyle w:val="Hyperlink"/>
          </w:rPr>
          <w:t>3.GA 9</w:t>
        </w:r>
      </w:hyperlink>
      <w:r w:rsidRPr="00632E6F">
        <w:t xml:space="preserve">) to support the Secretariat on a lasting basis and to enable it to meet the needs expressed by States Parties. The annual target of the </w:t>
      </w:r>
      <w:r w:rsidR="000F1492" w:rsidRPr="00632E6F">
        <w:t>sub</w:t>
      </w:r>
      <w:r w:rsidRPr="00632E6F">
        <w:t xml:space="preserve">-fund, initially set at approximately US$1.1 million in 2010, was reassessed by the eighth session of the General Assembly in 2020 at US$950,000 per year (Resolution </w:t>
      </w:r>
      <w:hyperlink r:id="rId12" w:history="1">
        <w:r w:rsidRPr="00632E6F">
          <w:rPr>
            <w:rStyle w:val="Hyperlink"/>
          </w:rPr>
          <w:t>8.GA 7</w:t>
        </w:r>
      </w:hyperlink>
      <w:r w:rsidRPr="00632E6F">
        <w:t>).</w:t>
      </w:r>
    </w:p>
    <w:p w14:paraId="6F791F8A" w14:textId="19CBA32C" w:rsidR="003D6DE0" w:rsidRPr="00632E6F" w:rsidRDefault="00FD298C" w:rsidP="0018278B">
      <w:pPr>
        <w:pStyle w:val="COMParabodytext"/>
        <w:ind w:left="567" w:hanging="567"/>
      </w:pPr>
      <w:r w:rsidRPr="00632E6F">
        <w:t xml:space="preserve">During the first half of 2022, two contributions were received from </w:t>
      </w:r>
      <w:r w:rsidRPr="00632E6F">
        <w:rPr>
          <w:b/>
          <w:bCs/>
        </w:rPr>
        <w:t>France</w:t>
      </w:r>
      <w:r w:rsidRPr="00632E6F">
        <w:t xml:space="preserve"> and </w:t>
      </w:r>
      <w:r w:rsidRPr="00632E6F">
        <w:rPr>
          <w:b/>
          <w:bCs/>
        </w:rPr>
        <w:t>Lithuania</w:t>
      </w:r>
      <w:r w:rsidRPr="00632E6F">
        <w:t xml:space="preserve">, for a total of US$108,006 for the period under consideration. This corresponds to 6% of the </w:t>
      </w:r>
      <w:r w:rsidR="003312CC" w:rsidRPr="00632E6F">
        <w:t xml:space="preserve">biennial </w:t>
      </w:r>
      <w:r w:rsidRPr="00632E6F">
        <w:t>target endorsed by the General Assembly.</w:t>
      </w:r>
      <w:r w:rsidR="002A0759" w:rsidRPr="00111F0A">
        <w:rPr>
          <w:rStyle w:val="FootnoteReference"/>
        </w:rPr>
        <w:footnoteReference w:id="3"/>
      </w:r>
      <w:r w:rsidRPr="00632E6F">
        <w:t xml:space="preserve"> </w:t>
      </w:r>
      <w:r w:rsidR="003312CC" w:rsidRPr="00632E6F">
        <w:t>Furthermore</w:t>
      </w:r>
      <w:r w:rsidRPr="00632E6F">
        <w:t xml:space="preserve">, voluntary in-kind contributions were received from </w:t>
      </w:r>
      <w:r w:rsidRPr="00632E6F">
        <w:rPr>
          <w:b/>
          <w:bCs/>
        </w:rPr>
        <w:t>China</w:t>
      </w:r>
      <w:r w:rsidRPr="00632E6F">
        <w:t xml:space="preserve"> </w:t>
      </w:r>
      <w:r w:rsidR="003312CC" w:rsidRPr="00632E6F">
        <w:t>in the form of a staff secondment</w:t>
      </w:r>
      <w:r w:rsidRPr="00632E6F">
        <w:t xml:space="preserve"> since May 2021 and a sponsored traineeship since March 2021.</w:t>
      </w:r>
    </w:p>
    <w:p w14:paraId="0865AA95" w14:textId="77777777" w:rsidR="00854296" w:rsidRPr="00632E6F" w:rsidRDefault="00B06EDF" w:rsidP="003F4C1B">
      <w:pPr>
        <w:keepNext/>
        <w:tabs>
          <w:tab w:val="left" w:pos="567"/>
        </w:tabs>
        <w:snapToGrid w:val="0"/>
        <w:spacing w:before="240" w:after="120"/>
        <w:jc w:val="both"/>
        <w:rPr>
          <w:rFonts w:ascii="Arial" w:hAnsi="Arial"/>
          <w:b/>
          <w:snapToGrid w:val="0"/>
          <w:sz w:val="22"/>
          <w:szCs w:val="22"/>
        </w:rPr>
      </w:pPr>
      <w:r w:rsidRPr="00632E6F">
        <w:rPr>
          <w:rFonts w:ascii="Arial" w:hAnsi="Arial"/>
          <w:b/>
          <w:snapToGrid w:val="0"/>
          <w:sz w:val="22"/>
          <w:szCs w:val="22"/>
        </w:rPr>
        <w:tab/>
        <w:t>Ongoing activities supported by voluntary supplementary contributions</w:t>
      </w:r>
    </w:p>
    <w:p w14:paraId="3F4DD0B9" w14:textId="7B034742" w:rsidR="001760C2" w:rsidRPr="00632E6F" w:rsidRDefault="00D6512A" w:rsidP="0018278B">
      <w:pPr>
        <w:pStyle w:val="COMParabodytext"/>
        <w:ind w:left="567" w:hanging="567"/>
      </w:pPr>
      <w:r w:rsidRPr="00632E6F">
        <w:t xml:space="preserve">The eleven ongoing projects below are currently funded through </w:t>
      </w:r>
      <w:r w:rsidR="00194524" w:rsidRPr="00632E6F">
        <w:t>voluntary supplementary</w:t>
      </w:r>
      <w:r w:rsidRPr="00632E6F">
        <w:t xml:space="preserve"> contributions:</w:t>
      </w:r>
    </w:p>
    <w:tbl>
      <w:tblPr>
        <w:tblStyle w:val="Grilledutableau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3567"/>
      </w:tblGrid>
      <w:tr w:rsidR="00A73858" w:rsidRPr="0035387A" w14:paraId="004606E5" w14:textId="77777777" w:rsidTr="006706A9">
        <w:trPr>
          <w:cantSplit/>
          <w:trHeight w:val="289"/>
        </w:trPr>
        <w:tc>
          <w:tcPr>
            <w:tcW w:w="5473" w:type="dxa"/>
            <w:tcBorders>
              <w:top w:val="single" w:sz="4" w:space="0" w:color="auto"/>
              <w:bottom w:val="single" w:sz="4" w:space="0" w:color="auto"/>
            </w:tcBorders>
          </w:tcPr>
          <w:p w14:paraId="274D24B2" w14:textId="77777777" w:rsidR="00A73858" w:rsidRPr="0035387A" w:rsidRDefault="00A73858" w:rsidP="00A73858">
            <w:pPr>
              <w:spacing w:before="120" w:after="120"/>
              <w:jc w:val="center"/>
              <w:rPr>
                <w:rFonts w:ascii="Arial" w:hAnsi="Arial" w:cs="Arial"/>
                <w:b/>
                <w:snapToGrid w:val="0"/>
                <w:sz w:val="22"/>
                <w:szCs w:val="22"/>
              </w:rPr>
            </w:pPr>
            <w:r w:rsidRPr="0035387A">
              <w:rPr>
                <w:rFonts w:ascii="Arial" w:hAnsi="Arial" w:cs="Arial"/>
                <w:b/>
                <w:snapToGrid w:val="0"/>
                <w:sz w:val="22"/>
                <w:szCs w:val="22"/>
              </w:rPr>
              <w:t>Project</w:t>
            </w:r>
          </w:p>
        </w:tc>
        <w:tc>
          <w:tcPr>
            <w:tcW w:w="3567" w:type="dxa"/>
            <w:tcBorders>
              <w:top w:val="single" w:sz="4" w:space="0" w:color="auto"/>
              <w:bottom w:val="single" w:sz="4" w:space="0" w:color="auto"/>
            </w:tcBorders>
          </w:tcPr>
          <w:p w14:paraId="5585922F" w14:textId="77777777" w:rsidR="00A73858" w:rsidRPr="0035387A" w:rsidRDefault="00A73858" w:rsidP="00A73858">
            <w:pPr>
              <w:spacing w:before="120" w:after="120"/>
              <w:jc w:val="center"/>
              <w:rPr>
                <w:rFonts w:ascii="Arial" w:hAnsi="Arial" w:cs="Arial"/>
                <w:b/>
                <w:snapToGrid w:val="0"/>
                <w:sz w:val="22"/>
                <w:szCs w:val="22"/>
                <w:highlight w:val="yellow"/>
              </w:rPr>
            </w:pPr>
            <w:r w:rsidRPr="0035387A">
              <w:rPr>
                <w:rFonts w:ascii="Arial" w:hAnsi="Arial" w:cs="Arial"/>
                <w:b/>
                <w:snapToGrid w:val="0"/>
                <w:sz w:val="22"/>
                <w:szCs w:val="22"/>
              </w:rPr>
              <w:t>Last report issued</w:t>
            </w:r>
          </w:p>
        </w:tc>
      </w:tr>
      <w:tr w:rsidR="003E4CEC" w:rsidRPr="0035387A" w14:paraId="58BA419D" w14:textId="77777777" w:rsidTr="006706A9">
        <w:trPr>
          <w:cantSplit/>
          <w:trHeight w:val="712"/>
        </w:trPr>
        <w:tc>
          <w:tcPr>
            <w:tcW w:w="9040" w:type="dxa"/>
            <w:gridSpan w:val="2"/>
            <w:tcBorders>
              <w:top w:val="single" w:sz="4" w:space="0" w:color="auto"/>
            </w:tcBorders>
          </w:tcPr>
          <w:p w14:paraId="19832F4C" w14:textId="77777777" w:rsidR="003E4CEC" w:rsidRPr="0035387A" w:rsidRDefault="003E4CEC" w:rsidP="003E4CEC">
            <w:pPr>
              <w:spacing w:before="120" w:after="120"/>
              <w:jc w:val="both"/>
              <w:rPr>
                <w:rFonts w:ascii="Arial" w:hAnsi="Arial" w:cs="Arial"/>
                <w:b/>
                <w:bCs/>
                <w:snapToGrid w:val="0"/>
                <w:sz w:val="22"/>
                <w:szCs w:val="22"/>
                <w:highlight w:val="yellow"/>
              </w:rPr>
            </w:pPr>
            <w:r w:rsidRPr="0035387A">
              <w:rPr>
                <w:rFonts w:ascii="Arial" w:hAnsi="Arial" w:cs="Arial"/>
                <w:b/>
                <w:bCs/>
                <w:snapToGrid w:val="0"/>
                <w:sz w:val="22"/>
                <w:szCs w:val="22"/>
              </w:rPr>
              <w:t>Priority 1: Strengthening capacities to safeguard intangible cultural heritage using multi-modal approaches and contribute to sustainable development</w:t>
            </w:r>
          </w:p>
        </w:tc>
      </w:tr>
      <w:tr w:rsidR="009F7932" w:rsidRPr="0035387A" w14:paraId="5FAC2633" w14:textId="77777777" w:rsidTr="003A1792">
        <w:trPr>
          <w:cantSplit/>
          <w:trHeight w:val="774"/>
        </w:trPr>
        <w:tc>
          <w:tcPr>
            <w:tcW w:w="5473" w:type="dxa"/>
          </w:tcPr>
          <w:p w14:paraId="7C74056B"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Safeguarding intangible cultural heritage through strengthening national capacities in Morocco, Mauritania and Tunisia</w:t>
            </w:r>
          </w:p>
        </w:tc>
        <w:tc>
          <w:tcPr>
            <w:tcW w:w="3567" w:type="dxa"/>
          </w:tcPr>
          <w:p w14:paraId="0A00E70A" w14:textId="5062DEAB" w:rsidR="009F7932" w:rsidRPr="0035387A" w:rsidRDefault="001501B1" w:rsidP="003A1792">
            <w:pPr>
              <w:spacing w:after="240"/>
              <w:jc w:val="center"/>
              <w:rPr>
                <w:rFonts w:ascii="Arial" w:hAnsi="Arial" w:cs="Arial"/>
                <w:snapToGrid w:val="0"/>
                <w:sz w:val="22"/>
                <w:szCs w:val="22"/>
              </w:rPr>
            </w:pPr>
            <w:hyperlink r:id="rId13" w:history="1">
              <w:r w:rsidR="00375DB7" w:rsidRPr="0035387A">
                <w:rPr>
                  <w:rStyle w:val="Hyperlink"/>
                  <w:rFonts w:ascii="Arial" w:hAnsi="Arial" w:cs="Arial"/>
                  <w:snapToGrid w:val="0"/>
                  <w:sz w:val="22"/>
                  <w:szCs w:val="22"/>
                </w:rPr>
                <w:t>See project page</w:t>
              </w:r>
            </w:hyperlink>
          </w:p>
        </w:tc>
      </w:tr>
      <w:tr w:rsidR="009F7932" w:rsidRPr="0035387A" w14:paraId="3155880C" w14:textId="77777777" w:rsidTr="003A1792">
        <w:trPr>
          <w:cantSplit/>
          <w:trHeight w:val="335"/>
        </w:trPr>
        <w:tc>
          <w:tcPr>
            <w:tcW w:w="5473" w:type="dxa"/>
          </w:tcPr>
          <w:p w14:paraId="6A425BE0" w14:textId="3A060E3F" w:rsidR="009F7932" w:rsidRPr="0035387A" w:rsidRDefault="001A521D" w:rsidP="003A1792">
            <w:pPr>
              <w:spacing w:after="240"/>
              <w:jc w:val="both"/>
              <w:rPr>
                <w:rFonts w:ascii="Arial" w:hAnsi="Arial" w:cs="Arial"/>
                <w:snapToGrid w:val="0"/>
                <w:sz w:val="22"/>
                <w:szCs w:val="22"/>
              </w:rPr>
            </w:pPr>
            <w:r w:rsidRPr="0035387A">
              <w:rPr>
                <w:rFonts w:ascii="Arial" w:hAnsi="Arial" w:cs="Arial"/>
                <w:snapToGrid w:val="0"/>
                <w:sz w:val="22"/>
                <w:szCs w:val="22"/>
              </w:rPr>
              <w:t>Strengthening capacities for safeguarding intangible cultural heritage in disaster contexts</w:t>
            </w:r>
          </w:p>
        </w:tc>
        <w:tc>
          <w:tcPr>
            <w:tcW w:w="3567" w:type="dxa"/>
          </w:tcPr>
          <w:p w14:paraId="0ECB890E" w14:textId="6A6EA022" w:rsidR="009F7932" w:rsidRPr="0035387A" w:rsidRDefault="001501B1" w:rsidP="003A1792">
            <w:pPr>
              <w:spacing w:after="240"/>
              <w:jc w:val="center"/>
              <w:rPr>
                <w:rFonts w:ascii="Arial" w:hAnsi="Arial" w:cs="Arial"/>
                <w:snapToGrid w:val="0"/>
                <w:sz w:val="22"/>
                <w:szCs w:val="22"/>
              </w:rPr>
            </w:pPr>
            <w:hyperlink r:id="rId14" w:history="1">
              <w:r w:rsidR="00DC72E7" w:rsidRPr="0035387A">
                <w:rPr>
                  <w:rStyle w:val="Hyperlink"/>
                  <w:rFonts w:ascii="Arial" w:hAnsi="Arial" w:cs="Arial"/>
                  <w:snapToGrid w:val="0"/>
                  <w:sz w:val="22"/>
                  <w:szCs w:val="22"/>
                </w:rPr>
                <w:t>See project page</w:t>
              </w:r>
            </w:hyperlink>
          </w:p>
        </w:tc>
      </w:tr>
      <w:tr w:rsidR="009F7932" w:rsidRPr="0035387A" w14:paraId="04F63D7A" w14:textId="77777777" w:rsidTr="003A1792">
        <w:trPr>
          <w:cantSplit/>
          <w:trHeight w:val="870"/>
        </w:trPr>
        <w:tc>
          <w:tcPr>
            <w:tcW w:w="5473" w:type="dxa"/>
          </w:tcPr>
          <w:p w14:paraId="39510369" w14:textId="31022D04" w:rsidR="009F7932" w:rsidRPr="0035387A" w:rsidRDefault="003312CC" w:rsidP="003A1792">
            <w:pPr>
              <w:spacing w:after="240"/>
              <w:jc w:val="both"/>
              <w:rPr>
                <w:rFonts w:ascii="Arial" w:hAnsi="Arial" w:cs="Arial"/>
                <w:snapToGrid w:val="0"/>
                <w:sz w:val="22"/>
                <w:szCs w:val="22"/>
              </w:rPr>
            </w:pPr>
            <w:r w:rsidRPr="0035387A">
              <w:rPr>
                <w:rFonts w:ascii="Arial" w:hAnsi="Arial" w:cs="Arial"/>
                <w:snapToGrid w:val="0"/>
                <w:sz w:val="22"/>
                <w:szCs w:val="22"/>
              </w:rPr>
              <w:t>Practical handbook on periodic reporting with a self-learning tool on the Overall results framework for the implementation of the Convention for the Safeguarding of the Intangible Cultural Heritage</w:t>
            </w:r>
          </w:p>
        </w:tc>
        <w:tc>
          <w:tcPr>
            <w:tcW w:w="3567" w:type="dxa"/>
          </w:tcPr>
          <w:p w14:paraId="3D65C9A9" w14:textId="7D20B5C3" w:rsidR="00C02678" w:rsidRPr="0035387A" w:rsidRDefault="001501B1" w:rsidP="003A1792">
            <w:pPr>
              <w:spacing w:after="240"/>
              <w:jc w:val="center"/>
              <w:rPr>
                <w:rFonts w:ascii="Arial" w:hAnsi="Arial" w:cs="Arial"/>
                <w:snapToGrid w:val="0"/>
                <w:sz w:val="22"/>
                <w:szCs w:val="22"/>
                <w:highlight w:val="yellow"/>
              </w:rPr>
            </w:pPr>
            <w:hyperlink r:id="rId15" w:history="1">
              <w:r w:rsidR="00CF1ED5" w:rsidRPr="00433045">
                <w:rPr>
                  <w:rStyle w:val="Hyperlink"/>
                  <w:rFonts w:ascii="Arial" w:hAnsi="Arial" w:cs="Arial"/>
                  <w:snapToGrid w:val="0"/>
                  <w:sz w:val="22"/>
                  <w:szCs w:val="22"/>
                </w:rPr>
                <w:t>See project page</w:t>
              </w:r>
            </w:hyperlink>
          </w:p>
        </w:tc>
      </w:tr>
      <w:tr w:rsidR="009F7932" w:rsidRPr="0035387A" w14:paraId="6C661542" w14:textId="77777777" w:rsidTr="003A1792">
        <w:trPr>
          <w:cantSplit/>
          <w:trHeight w:val="746"/>
        </w:trPr>
        <w:tc>
          <w:tcPr>
            <w:tcW w:w="5473" w:type="dxa"/>
          </w:tcPr>
          <w:p w14:paraId="75A12611"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Support of the development and implementation of capacity building activities for safeguarding intangible cultural heritage in conflict-related situations, including situations of forced displacement</w:t>
            </w:r>
          </w:p>
        </w:tc>
        <w:tc>
          <w:tcPr>
            <w:tcW w:w="3567" w:type="dxa"/>
          </w:tcPr>
          <w:p w14:paraId="423E5595" w14:textId="50890726" w:rsidR="009F7932" w:rsidRPr="0035387A" w:rsidRDefault="001501B1" w:rsidP="003A1792">
            <w:pPr>
              <w:spacing w:after="240"/>
              <w:jc w:val="center"/>
              <w:rPr>
                <w:rFonts w:ascii="Arial" w:hAnsi="Arial" w:cs="Arial"/>
                <w:snapToGrid w:val="0"/>
                <w:sz w:val="22"/>
                <w:szCs w:val="22"/>
                <w:highlight w:val="yellow"/>
              </w:rPr>
            </w:pPr>
            <w:hyperlink r:id="rId16" w:history="1">
              <w:r w:rsidR="00DC72E7" w:rsidRPr="0035387A">
                <w:rPr>
                  <w:rStyle w:val="Hyperlink"/>
                  <w:rFonts w:ascii="Arial" w:hAnsi="Arial" w:cs="Arial"/>
                  <w:snapToGrid w:val="0"/>
                  <w:sz w:val="22"/>
                  <w:szCs w:val="22"/>
                </w:rPr>
                <w:t>See project page</w:t>
              </w:r>
            </w:hyperlink>
          </w:p>
        </w:tc>
      </w:tr>
      <w:tr w:rsidR="009F7932" w:rsidRPr="0035387A" w14:paraId="3B555738" w14:textId="77777777" w:rsidTr="003A1792">
        <w:trPr>
          <w:cantSplit/>
          <w:trHeight w:val="495"/>
        </w:trPr>
        <w:tc>
          <w:tcPr>
            <w:tcW w:w="5473" w:type="dxa"/>
          </w:tcPr>
          <w:p w14:paraId="234A86E8"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Capacity-building for safeguarding intangible cultural heritage and contributing to sustainable development</w:t>
            </w:r>
          </w:p>
        </w:tc>
        <w:tc>
          <w:tcPr>
            <w:tcW w:w="3567" w:type="dxa"/>
          </w:tcPr>
          <w:p w14:paraId="7D26248E" w14:textId="4EF258E0" w:rsidR="009F7932" w:rsidRPr="0035387A" w:rsidRDefault="001501B1" w:rsidP="003A1792">
            <w:pPr>
              <w:spacing w:after="240"/>
              <w:jc w:val="center"/>
              <w:rPr>
                <w:rFonts w:ascii="Arial" w:hAnsi="Arial" w:cs="Arial"/>
                <w:snapToGrid w:val="0"/>
                <w:sz w:val="22"/>
                <w:szCs w:val="22"/>
                <w:highlight w:val="yellow"/>
              </w:rPr>
            </w:pPr>
            <w:hyperlink r:id="rId17" w:history="1">
              <w:r w:rsidR="00DC72E7" w:rsidRPr="0035387A">
                <w:rPr>
                  <w:rStyle w:val="Hyperlink"/>
                  <w:rFonts w:ascii="Arial" w:hAnsi="Arial" w:cs="Arial"/>
                  <w:snapToGrid w:val="0"/>
                  <w:sz w:val="22"/>
                  <w:szCs w:val="22"/>
                </w:rPr>
                <w:t>See project page</w:t>
              </w:r>
            </w:hyperlink>
          </w:p>
        </w:tc>
      </w:tr>
      <w:tr w:rsidR="009F7932" w:rsidRPr="0035387A" w14:paraId="61698DF5" w14:textId="77777777" w:rsidTr="00D14067">
        <w:trPr>
          <w:cantSplit/>
          <w:trHeight w:val="740"/>
        </w:trPr>
        <w:tc>
          <w:tcPr>
            <w:tcW w:w="5473" w:type="dxa"/>
          </w:tcPr>
          <w:p w14:paraId="53FFCE18"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Strengthening capacities at the national and local levels for the safeguarding of intangible cultural heritage in Dominica</w:t>
            </w:r>
          </w:p>
        </w:tc>
        <w:tc>
          <w:tcPr>
            <w:tcW w:w="3567" w:type="dxa"/>
          </w:tcPr>
          <w:p w14:paraId="179244E4" w14:textId="6C249CE5" w:rsidR="009F7932" w:rsidRPr="0035387A" w:rsidRDefault="001501B1" w:rsidP="003A1792">
            <w:pPr>
              <w:spacing w:after="240"/>
              <w:jc w:val="center"/>
              <w:rPr>
                <w:rFonts w:ascii="Arial" w:hAnsi="Arial" w:cs="Arial"/>
                <w:snapToGrid w:val="0"/>
                <w:sz w:val="22"/>
                <w:szCs w:val="22"/>
                <w:highlight w:val="yellow"/>
              </w:rPr>
            </w:pPr>
            <w:hyperlink r:id="rId18" w:history="1">
              <w:r w:rsidR="00DC72E7" w:rsidRPr="0035387A">
                <w:rPr>
                  <w:rStyle w:val="Hyperlink"/>
                  <w:rFonts w:ascii="Arial" w:hAnsi="Arial" w:cs="Arial"/>
                  <w:snapToGrid w:val="0"/>
                  <w:sz w:val="22"/>
                  <w:szCs w:val="22"/>
                </w:rPr>
                <w:t>See project page</w:t>
              </w:r>
            </w:hyperlink>
          </w:p>
        </w:tc>
      </w:tr>
      <w:tr w:rsidR="009F7932" w:rsidRPr="0035387A" w14:paraId="3689DB5D" w14:textId="77777777" w:rsidTr="003A1792">
        <w:trPr>
          <w:cantSplit/>
          <w:trHeight w:val="703"/>
        </w:trPr>
        <w:tc>
          <w:tcPr>
            <w:tcW w:w="5473" w:type="dxa"/>
          </w:tcPr>
          <w:p w14:paraId="2977D383" w14:textId="378031D5" w:rsidR="009F7932" w:rsidRPr="0035387A" w:rsidRDefault="003312CC" w:rsidP="003A1792">
            <w:pPr>
              <w:spacing w:after="240"/>
              <w:jc w:val="both"/>
              <w:rPr>
                <w:rFonts w:ascii="Arial" w:hAnsi="Arial" w:cs="Arial"/>
                <w:snapToGrid w:val="0"/>
                <w:sz w:val="22"/>
                <w:szCs w:val="22"/>
              </w:rPr>
            </w:pPr>
            <w:r w:rsidRPr="0035387A">
              <w:rPr>
                <w:rFonts w:ascii="Arial" w:hAnsi="Arial" w:cs="Arial"/>
                <w:snapToGrid w:val="0"/>
                <w:sz w:val="22"/>
                <w:szCs w:val="22"/>
              </w:rPr>
              <w:lastRenderedPageBreak/>
              <w:t xml:space="preserve">Strengthening national capacities for safeguarding </w:t>
            </w:r>
            <w:r w:rsidR="001A521D" w:rsidRPr="0035387A">
              <w:rPr>
                <w:rFonts w:ascii="Arial" w:hAnsi="Arial" w:cs="Arial"/>
                <w:snapToGrid w:val="0"/>
                <w:sz w:val="22"/>
                <w:szCs w:val="22"/>
              </w:rPr>
              <w:t xml:space="preserve">intangible cultural heritage and contributing to sustainable development </w:t>
            </w:r>
            <w:r w:rsidRPr="0035387A">
              <w:rPr>
                <w:rFonts w:ascii="Arial" w:hAnsi="Arial" w:cs="Arial"/>
                <w:snapToGrid w:val="0"/>
                <w:sz w:val="22"/>
                <w:szCs w:val="22"/>
              </w:rPr>
              <w:t>in Kenya</w:t>
            </w:r>
            <w:r w:rsidR="009F7932" w:rsidRPr="0035387A">
              <w:rPr>
                <w:rFonts w:ascii="Arial" w:hAnsi="Arial" w:cs="Arial"/>
                <w:sz w:val="22"/>
                <w:szCs w:val="22"/>
              </w:rPr>
              <w:t> </w:t>
            </w:r>
          </w:p>
        </w:tc>
        <w:tc>
          <w:tcPr>
            <w:tcW w:w="3567" w:type="dxa"/>
          </w:tcPr>
          <w:p w14:paraId="74FA0474" w14:textId="215F1DCC" w:rsidR="009F7932" w:rsidRPr="0035387A" w:rsidRDefault="001501B1" w:rsidP="003A1792">
            <w:pPr>
              <w:spacing w:after="240"/>
              <w:jc w:val="center"/>
              <w:rPr>
                <w:rFonts w:ascii="Arial" w:hAnsi="Arial" w:cs="Arial"/>
                <w:snapToGrid w:val="0"/>
                <w:sz w:val="22"/>
                <w:szCs w:val="22"/>
                <w:highlight w:val="yellow"/>
              </w:rPr>
            </w:pPr>
            <w:hyperlink r:id="rId19" w:history="1">
              <w:r w:rsidR="00C02678" w:rsidRPr="0035387A">
                <w:rPr>
                  <w:rStyle w:val="Hyperlink"/>
                  <w:rFonts w:ascii="Arial" w:hAnsi="Arial" w:cs="Arial"/>
                  <w:sz w:val="22"/>
                  <w:szCs w:val="22"/>
                </w:rPr>
                <w:t>See project page</w:t>
              </w:r>
              <w:bookmarkStart w:id="0" w:name="_Ref116254153"/>
            </w:hyperlink>
            <w:r w:rsidR="00C02678" w:rsidRPr="0035387A">
              <w:rPr>
                <w:rStyle w:val="FootnoteReference"/>
                <w:rFonts w:ascii="Arial" w:hAnsi="Arial" w:cs="Arial"/>
                <w:snapToGrid w:val="0"/>
                <w:sz w:val="22"/>
                <w:szCs w:val="22"/>
              </w:rPr>
              <w:footnoteReference w:id="4"/>
            </w:r>
            <w:bookmarkEnd w:id="0"/>
          </w:p>
        </w:tc>
      </w:tr>
      <w:tr w:rsidR="009F7932" w:rsidRPr="0035387A" w14:paraId="1A60FCB0" w14:textId="77777777" w:rsidTr="006706A9">
        <w:trPr>
          <w:cantSplit/>
          <w:trHeight w:val="742"/>
        </w:trPr>
        <w:tc>
          <w:tcPr>
            <w:tcW w:w="5473" w:type="dxa"/>
          </w:tcPr>
          <w:p w14:paraId="61B15720" w14:textId="44443E5F"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 xml:space="preserve">Strengthening capacities at the national and local levels </w:t>
            </w:r>
            <w:r w:rsidR="00053945" w:rsidRPr="0035387A">
              <w:rPr>
                <w:rFonts w:ascii="Arial" w:hAnsi="Arial" w:cs="Arial"/>
                <w:snapToGrid w:val="0"/>
                <w:sz w:val="22"/>
                <w:szCs w:val="22"/>
              </w:rPr>
              <w:t xml:space="preserve">for the safeguarding of </w:t>
            </w:r>
            <w:r w:rsidRPr="0035387A">
              <w:rPr>
                <w:rFonts w:ascii="Arial" w:hAnsi="Arial" w:cs="Arial"/>
                <w:snapToGrid w:val="0"/>
                <w:sz w:val="22"/>
                <w:szCs w:val="22"/>
              </w:rPr>
              <w:t xml:space="preserve">intangible cultural heritage in the United Republic of Tanzania and contributing to sustainable development </w:t>
            </w:r>
          </w:p>
        </w:tc>
        <w:tc>
          <w:tcPr>
            <w:tcW w:w="3567" w:type="dxa"/>
          </w:tcPr>
          <w:p w14:paraId="6B684662" w14:textId="5906EC2E" w:rsidR="009F7932" w:rsidRPr="0035387A" w:rsidRDefault="001501B1" w:rsidP="003A1792">
            <w:pPr>
              <w:spacing w:after="240"/>
              <w:jc w:val="center"/>
              <w:rPr>
                <w:rFonts w:ascii="Arial" w:hAnsi="Arial" w:cs="Arial"/>
                <w:snapToGrid w:val="0"/>
                <w:sz w:val="22"/>
                <w:szCs w:val="22"/>
                <w:highlight w:val="yellow"/>
              </w:rPr>
            </w:pPr>
            <w:hyperlink r:id="rId20" w:history="1">
              <w:r w:rsidR="00C02678" w:rsidRPr="0035387A">
                <w:rPr>
                  <w:rStyle w:val="Hyperlink"/>
                  <w:rFonts w:ascii="Arial" w:hAnsi="Arial" w:cs="Arial"/>
                  <w:sz w:val="22"/>
                  <w:szCs w:val="22"/>
                </w:rPr>
                <w:t>See project page</w:t>
              </w:r>
            </w:hyperlink>
            <w:r w:rsidR="00AE2EC9" w:rsidRPr="0035387A">
              <w:rPr>
                <w:rFonts w:ascii="Arial" w:hAnsi="Arial" w:cs="Arial"/>
                <w:snapToGrid w:val="0"/>
                <w:sz w:val="22"/>
                <w:szCs w:val="22"/>
                <w:vertAlign w:val="superscript"/>
              </w:rPr>
              <w:fldChar w:fldCharType="begin"/>
            </w:r>
            <w:r w:rsidR="00AE2EC9" w:rsidRPr="0035387A">
              <w:rPr>
                <w:rFonts w:ascii="Arial" w:hAnsi="Arial" w:cs="Arial"/>
                <w:snapToGrid w:val="0"/>
                <w:sz w:val="22"/>
                <w:szCs w:val="22"/>
                <w:vertAlign w:val="superscript"/>
              </w:rPr>
              <w:instrText xml:space="preserve"> NOTEREF _Ref116254153 \h  \* MERGEFORMAT </w:instrText>
            </w:r>
            <w:r w:rsidR="00AE2EC9" w:rsidRPr="0035387A">
              <w:rPr>
                <w:rFonts w:ascii="Arial" w:hAnsi="Arial" w:cs="Arial"/>
                <w:snapToGrid w:val="0"/>
                <w:sz w:val="22"/>
                <w:szCs w:val="22"/>
                <w:vertAlign w:val="superscript"/>
              </w:rPr>
            </w:r>
            <w:r w:rsidR="00AE2EC9" w:rsidRPr="0035387A">
              <w:rPr>
                <w:rFonts w:ascii="Arial" w:hAnsi="Arial" w:cs="Arial"/>
                <w:snapToGrid w:val="0"/>
                <w:sz w:val="22"/>
                <w:szCs w:val="22"/>
                <w:vertAlign w:val="superscript"/>
              </w:rPr>
              <w:fldChar w:fldCharType="separate"/>
            </w:r>
            <w:r w:rsidR="00E20531" w:rsidRPr="0035387A">
              <w:rPr>
                <w:rFonts w:ascii="Arial" w:hAnsi="Arial" w:cs="Arial"/>
                <w:snapToGrid w:val="0"/>
                <w:sz w:val="22"/>
                <w:szCs w:val="22"/>
                <w:vertAlign w:val="superscript"/>
              </w:rPr>
              <w:t>3</w:t>
            </w:r>
            <w:r w:rsidR="00AE2EC9" w:rsidRPr="0035387A">
              <w:rPr>
                <w:rFonts w:ascii="Arial" w:hAnsi="Arial" w:cs="Arial"/>
                <w:snapToGrid w:val="0"/>
                <w:sz w:val="22"/>
                <w:szCs w:val="22"/>
                <w:vertAlign w:val="superscript"/>
              </w:rPr>
              <w:fldChar w:fldCharType="end"/>
            </w:r>
          </w:p>
        </w:tc>
      </w:tr>
      <w:tr w:rsidR="003E4CEC" w:rsidRPr="0035387A" w14:paraId="1C3815D1" w14:textId="77777777" w:rsidTr="006706A9">
        <w:trPr>
          <w:cantSplit/>
          <w:trHeight w:val="712"/>
        </w:trPr>
        <w:tc>
          <w:tcPr>
            <w:tcW w:w="9040" w:type="dxa"/>
            <w:gridSpan w:val="2"/>
          </w:tcPr>
          <w:p w14:paraId="15CAB2BF" w14:textId="77777777" w:rsidR="003E4CEC" w:rsidRPr="0035387A" w:rsidRDefault="003E4CEC" w:rsidP="003A1792">
            <w:pPr>
              <w:keepNext/>
              <w:spacing w:after="240"/>
              <w:rPr>
                <w:rFonts w:ascii="Arial" w:hAnsi="Arial" w:cs="Arial"/>
                <w:b/>
                <w:bCs/>
                <w:snapToGrid w:val="0"/>
                <w:sz w:val="22"/>
                <w:szCs w:val="22"/>
                <w:highlight w:val="yellow"/>
              </w:rPr>
            </w:pPr>
            <w:r w:rsidRPr="0035387A">
              <w:rPr>
                <w:rFonts w:ascii="Arial" w:hAnsi="Arial" w:cs="Arial"/>
                <w:b/>
                <w:bCs/>
                <w:snapToGrid w:val="0"/>
                <w:sz w:val="22"/>
                <w:szCs w:val="22"/>
              </w:rPr>
              <w:t>Priority 2: Safeguarding intangible cultural heritage in formal and non-formal education</w:t>
            </w:r>
          </w:p>
        </w:tc>
      </w:tr>
      <w:tr w:rsidR="009F7932" w:rsidRPr="0035387A" w14:paraId="313D2770" w14:textId="77777777" w:rsidTr="003A1792">
        <w:trPr>
          <w:cantSplit/>
          <w:trHeight w:val="688"/>
        </w:trPr>
        <w:tc>
          <w:tcPr>
            <w:tcW w:w="5473" w:type="dxa"/>
          </w:tcPr>
          <w:p w14:paraId="2EA9B0E5" w14:textId="630D3A4F"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Safeguarding intangible cultural heritage through formal and non-formal education in Latin America and the Caribbean</w:t>
            </w:r>
          </w:p>
        </w:tc>
        <w:tc>
          <w:tcPr>
            <w:tcW w:w="3567" w:type="dxa"/>
          </w:tcPr>
          <w:p w14:paraId="3EF3FCFC" w14:textId="132FA8E9" w:rsidR="009F7932" w:rsidRPr="0035387A" w:rsidRDefault="001501B1" w:rsidP="003A1792">
            <w:pPr>
              <w:spacing w:after="240"/>
              <w:jc w:val="center"/>
              <w:rPr>
                <w:rFonts w:ascii="Arial" w:hAnsi="Arial" w:cs="Arial"/>
                <w:snapToGrid w:val="0"/>
                <w:sz w:val="22"/>
                <w:szCs w:val="22"/>
                <w:highlight w:val="yellow"/>
              </w:rPr>
            </w:pPr>
            <w:hyperlink r:id="rId21" w:history="1">
              <w:r w:rsidR="00DC72E7" w:rsidRPr="0035387A">
                <w:rPr>
                  <w:rStyle w:val="Hyperlink"/>
                  <w:rFonts w:ascii="Arial" w:hAnsi="Arial" w:cs="Arial"/>
                  <w:snapToGrid w:val="0"/>
                  <w:sz w:val="22"/>
                  <w:szCs w:val="22"/>
                </w:rPr>
                <w:t>See project page</w:t>
              </w:r>
            </w:hyperlink>
          </w:p>
        </w:tc>
      </w:tr>
      <w:tr w:rsidR="009F7932" w:rsidRPr="0035387A" w14:paraId="7F8D3D42" w14:textId="77777777" w:rsidTr="003A1792">
        <w:trPr>
          <w:cantSplit/>
          <w:trHeight w:val="958"/>
        </w:trPr>
        <w:tc>
          <w:tcPr>
            <w:tcW w:w="5473" w:type="dxa"/>
          </w:tcPr>
          <w:p w14:paraId="121ED001"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Living heritage and the sustainable development goals: safeguarding intangible cultural heritage through formal and non-formal education in the Asia and the Pacific Region and in Africa</w:t>
            </w:r>
          </w:p>
        </w:tc>
        <w:tc>
          <w:tcPr>
            <w:tcW w:w="3567" w:type="dxa"/>
          </w:tcPr>
          <w:p w14:paraId="431E6172" w14:textId="2316F284" w:rsidR="009F7932" w:rsidRPr="0035387A" w:rsidRDefault="001501B1" w:rsidP="003A1792">
            <w:pPr>
              <w:spacing w:after="240"/>
              <w:jc w:val="center"/>
              <w:rPr>
                <w:rFonts w:ascii="Arial" w:hAnsi="Arial" w:cs="Arial"/>
                <w:snapToGrid w:val="0"/>
                <w:sz w:val="22"/>
                <w:szCs w:val="22"/>
                <w:highlight w:val="yellow"/>
              </w:rPr>
            </w:pPr>
            <w:hyperlink r:id="rId22" w:history="1">
              <w:r w:rsidR="00DC72E7" w:rsidRPr="0035387A">
                <w:rPr>
                  <w:rStyle w:val="Hyperlink"/>
                  <w:rFonts w:ascii="Arial" w:hAnsi="Arial" w:cs="Arial"/>
                  <w:snapToGrid w:val="0"/>
                  <w:sz w:val="22"/>
                  <w:szCs w:val="22"/>
                </w:rPr>
                <w:t>See project page</w:t>
              </w:r>
            </w:hyperlink>
          </w:p>
        </w:tc>
      </w:tr>
      <w:tr w:rsidR="00C64A8D" w:rsidRPr="0035387A" w14:paraId="47472E2A" w14:textId="77777777" w:rsidTr="003A1792">
        <w:trPr>
          <w:cantSplit/>
          <w:trHeight w:val="139"/>
        </w:trPr>
        <w:tc>
          <w:tcPr>
            <w:tcW w:w="9040" w:type="dxa"/>
            <w:gridSpan w:val="2"/>
          </w:tcPr>
          <w:p w14:paraId="68740DED" w14:textId="750DFEA3" w:rsidR="00C64A8D" w:rsidRPr="0035387A" w:rsidRDefault="00C64A8D" w:rsidP="003A1792">
            <w:pPr>
              <w:spacing w:after="240"/>
              <w:rPr>
                <w:rFonts w:ascii="Arial" w:hAnsi="Arial" w:cs="Arial"/>
                <w:b/>
                <w:bCs/>
                <w:snapToGrid w:val="0"/>
                <w:sz w:val="22"/>
                <w:szCs w:val="22"/>
                <w:highlight w:val="yellow"/>
              </w:rPr>
            </w:pPr>
            <w:r w:rsidRPr="0035387A">
              <w:rPr>
                <w:rFonts w:ascii="Arial" w:hAnsi="Arial" w:cs="Arial"/>
                <w:b/>
                <w:bCs/>
                <w:snapToGrid w:val="0"/>
                <w:sz w:val="22"/>
                <w:szCs w:val="22"/>
              </w:rPr>
              <w:t>Expert meetings</w:t>
            </w:r>
          </w:p>
        </w:tc>
      </w:tr>
      <w:tr w:rsidR="009F7932" w:rsidRPr="0035387A" w14:paraId="485D6506" w14:textId="77777777" w:rsidTr="003A1792">
        <w:trPr>
          <w:cantSplit/>
          <w:trHeight w:val="628"/>
        </w:trPr>
        <w:tc>
          <w:tcPr>
            <w:tcW w:w="5473" w:type="dxa"/>
            <w:tcBorders>
              <w:bottom w:val="single" w:sz="4" w:space="0" w:color="auto"/>
            </w:tcBorders>
          </w:tcPr>
          <w:p w14:paraId="10C2DEC6" w14:textId="77777777" w:rsidR="009F7932" w:rsidRPr="0035387A" w:rsidRDefault="009F7932" w:rsidP="003A1792">
            <w:pPr>
              <w:spacing w:after="240"/>
              <w:jc w:val="both"/>
              <w:rPr>
                <w:rFonts w:ascii="Arial" w:hAnsi="Arial" w:cs="Arial"/>
                <w:snapToGrid w:val="0"/>
                <w:sz w:val="22"/>
                <w:szCs w:val="22"/>
              </w:rPr>
            </w:pPr>
            <w:r w:rsidRPr="0035387A">
              <w:rPr>
                <w:rFonts w:ascii="Arial" w:hAnsi="Arial" w:cs="Arial"/>
                <w:snapToGrid w:val="0"/>
                <w:sz w:val="22"/>
                <w:szCs w:val="22"/>
              </w:rPr>
              <w:t>Reflection on the listing mechanisms of the 2003 Convention</w:t>
            </w:r>
          </w:p>
        </w:tc>
        <w:tc>
          <w:tcPr>
            <w:tcW w:w="3567" w:type="dxa"/>
            <w:tcBorders>
              <w:bottom w:val="single" w:sz="4" w:space="0" w:color="auto"/>
            </w:tcBorders>
          </w:tcPr>
          <w:p w14:paraId="1EE8F96B" w14:textId="799F8F14" w:rsidR="00375DB7" w:rsidRPr="0035387A" w:rsidRDefault="00375DB7" w:rsidP="003A1792">
            <w:pPr>
              <w:jc w:val="center"/>
              <w:rPr>
                <w:rFonts w:ascii="Arial" w:hAnsi="Arial" w:cs="Arial"/>
                <w:snapToGrid w:val="0"/>
                <w:sz w:val="22"/>
                <w:szCs w:val="22"/>
              </w:rPr>
            </w:pPr>
            <w:r w:rsidRPr="0035387A">
              <w:rPr>
                <w:rFonts w:ascii="Arial" w:hAnsi="Arial" w:cs="Arial"/>
                <w:snapToGrid w:val="0"/>
                <w:sz w:val="22"/>
                <w:szCs w:val="22"/>
              </w:rPr>
              <w:t>See document</w:t>
            </w:r>
          </w:p>
          <w:p w14:paraId="6AB54D25" w14:textId="42626FB2" w:rsidR="00375DB7" w:rsidRPr="0035387A" w:rsidRDefault="001501B1" w:rsidP="003A1792">
            <w:pPr>
              <w:spacing w:after="240"/>
              <w:jc w:val="center"/>
              <w:rPr>
                <w:rFonts w:ascii="Arial" w:hAnsi="Arial" w:cs="Arial"/>
                <w:snapToGrid w:val="0"/>
                <w:sz w:val="22"/>
                <w:szCs w:val="22"/>
              </w:rPr>
            </w:pPr>
            <w:hyperlink r:id="rId23" w:history="1">
              <w:r w:rsidR="00DC72E7" w:rsidRPr="0035387A">
                <w:rPr>
                  <w:rStyle w:val="Hyperlink"/>
                  <w:rFonts w:ascii="Arial" w:hAnsi="Arial" w:cs="Arial"/>
                  <w:sz w:val="22"/>
                  <w:szCs w:val="22"/>
                </w:rPr>
                <w:t>LHE/22/9.GA/9 Rev.</w:t>
              </w:r>
            </w:hyperlink>
          </w:p>
        </w:tc>
      </w:tr>
    </w:tbl>
    <w:p w14:paraId="41F97630" w14:textId="34EEB943" w:rsidR="00C747DA" w:rsidRPr="00632E6F" w:rsidRDefault="00DC58D5" w:rsidP="002E16EF">
      <w:pPr>
        <w:pStyle w:val="ListParagraph"/>
        <w:numPr>
          <w:ilvl w:val="4"/>
          <w:numId w:val="36"/>
        </w:numPr>
        <w:spacing w:before="240" w:after="120"/>
        <w:ind w:left="567" w:hanging="567"/>
        <w:contextualSpacing w:val="0"/>
        <w:rPr>
          <w:rFonts w:asciiTheme="minorBidi" w:hAnsiTheme="minorBidi"/>
          <w:b/>
          <w:sz w:val="22"/>
          <w:szCs w:val="22"/>
        </w:rPr>
      </w:pPr>
      <w:r w:rsidRPr="00632E6F">
        <w:rPr>
          <w:rFonts w:asciiTheme="minorBidi" w:hAnsiTheme="minorBidi"/>
          <w:b/>
          <w:sz w:val="22"/>
          <w:szCs w:val="22"/>
        </w:rPr>
        <w:t>P</w:t>
      </w:r>
      <w:r w:rsidR="00854296" w:rsidRPr="00632E6F">
        <w:rPr>
          <w:rFonts w:asciiTheme="minorBidi" w:hAnsiTheme="minorBidi"/>
          <w:b/>
          <w:sz w:val="22"/>
          <w:szCs w:val="22"/>
        </w:rPr>
        <w:t>rojects and activities supported by other types of voluntary contributions</w:t>
      </w:r>
    </w:p>
    <w:p w14:paraId="4FB8B75A" w14:textId="37EBCAB8" w:rsidR="00DC58D5" w:rsidRPr="00632E6F" w:rsidRDefault="00E01E41">
      <w:pPr>
        <w:pStyle w:val="COMParabodytext"/>
        <w:ind w:left="567" w:hanging="567"/>
      </w:pPr>
      <w:r w:rsidRPr="00632E6F">
        <w:t>In order to give a comprehensive overview of the support received by the Convention across different modalities and reflect the diversity of projects supported by donors, this section outline</w:t>
      </w:r>
      <w:r w:rsidR="00E771C4" w:rsidRPr="00632E6F">
        <w:t>s</w:t>
      </w:r>
      <w:r w:rsidRPr="00632E6F">
        <w:t xml:space="preserve"> the different projects that were considered as active</w:t>
      </w:r>
      <w:r w:rsidRPr="00111F0A">
        <w:rPr>
          <w:rStyle w:val="FootnoteReference"/>
        </w:rPr>
        <w:footnoteReference w:id="5"/>
      </w:r>
      <w:r w:rsidRPr="00632E6F">
        <w:t xml:space="preserve"> during the period from 1 January to 30 June 2022. </w:t>
      </w:r>
      <w:r w:rsidR="00DC58D5" w:rsidRPr="00632E6F">
        <w:t xml:space="preserve">During </w:t>
      </w:r>
      <w:r w:rsidR="006D4076" w:rsidRPr="00632E6F">
        <w:t>this</w:t>
      </w:r>
      <w:r w:rsidR="00DC58D5" w:rsidRPr="00632E6F">
        <w:t xml:space="preserve"> period, eight new projects and activities were initiated; these are indicated by an asterisk (*)</w:t>
      </w:r>
      <w:r w:rsidR="001C1949" w:rsidRPr="00632E6F">
        <w:t xml:space="preserve"> </w:t>
      </w:r>
      <w:r w:rsidR="00DC58D5" w:rsidRPr="00632E6F">
        <w:t>below.</w:t>
      </w:r>
    </w:p>
    <w:p w14:paraId="1A37F591" w14:textId="7940E175" w:rsidR="00E01E41" w:rsidRPr="00632E6F" w:rsidRDefault="00E01E41" w:rsidP="00E01E41">
      <w:pPr>
        <w:pStyle w:val="COMParabodytext"/>
        <w:ind w:left="567" w:hanging="567"/>
      </w:pPr>
      <w:r w:rsidRPr="00632E6F">
        <w:t xml:space="preserve">While meaningful budgetary information </w:t>
      </w:r>
      <w:r w:rsidR="004725AA" w:rsidRPr="00632E6F">
        <w:t>cannot</w:t>
      </w:r>
      <w:r w:rsidRPr="00632E6F">
        <w:t xml:space="preserve"> be provided due to the many different implementation periods associated with the projects and activities mentioned, the number and geographical scope of these initiatives testify to the extent of ongoing actions aiming to improve the implementation of the Convention by States Parties and communities and of the generous support provided by a wide range of donors to UNESCO</w:t>
      </w:r>
      <w:r w:rsidR="00F16B0E" w:rsidRPr="00F16B0E">
        <w:t>'</w:t>
      </w:r>
      <w:r w:rsidRPr="00632E6F">
        <w:t>s work at the global, regional and national levels.</w:t>
      </w:r>
    </w:p>
    <w:p w14:paraId="6FD48541" w14:textId="77777777" w:rsidR="00E24471" w:rsidRPr="00632E6F" w:rsidRDefault="00E24471" w:rsidP="00316252">
      <w:pPr>
        <w:pStyle w:val="COMParabodytext"/>
        <w:ind w:left="567" w:hanging="567"/>
      </w:pPr>
      <w:r w:rsidRPr="00632E6F">
        <w:t>As a long-standing programme which heavily relies on UNESCO Field Offices for its implementation in complement to upstream activities at the global level, the capacity-building programme (Priority 1) received much support through the following:</w:t>
      </w:r>
    </w:p>
    <w:p w14:paraId="4708F6B0" w14:textId="0D3E5A58" w:rsidR="00E24471" w:rsidRPr="00632E6F" w:rsidRDefault="00E24471" w:rsidP="00E24471">
      <w:pPr>
        <w:numPr>
          <w:ilvl w:val="1"/>
          <w:numId w:val="19"/>
        </w:numPr>
        <w:spacing w:after="120"/>
        <w:ind w:left="1134" w:hanging="567"/>
        <w:jc w:val="both"/>
        <w:rPr>
          <w:rFonts w:asciiTheme="minorBidi" w:hAnsiTheme="minorBidi" w:cstheme="minorBidi"/>
          <w:sz w:val="22"/>
          <w:szCs w:val="22"/>
        </w:rPr>
      </w:pPr>
      <w:r w:rsidRPr="00632E6F">
        <w:rPr>
          <w:rFonts w:asciiTheme="minorBidi" w:hAnsiTheme="minorBidi"/>
          <w:snapToGrid w:val="0"/>
          <w:color w:val="000000"/>
          <w:sz w:val="22"/>
        </w:rPr>
        <w:t>The self-benefiting Funds-in-Trust agreements allow</w:t>
      </w:r>
      <w:r w:rsidR="00464AF5"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the implementation of four projects thanks to contributions from Benin (Abuja Office), Brazil (Brasilia Office) and Morocco</w:t>
      </w:r>
      <w:r w:rsidR="007B52BB"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(Rabat Office</w:t>
      </w:r>
      <w:r w:rsidR="00C32E6A" w:rsidRPr="00632E6F">
        <w:rPr>
          <w:rFonts w:asciiTheme="minorBidi" w:hAnsiTheme="minorBidi"/>
          <w:snapToGrid w:val="0"/>
          <w:color w:val="000000"/>
          <w:sz w:val="22"/>
        </w:rPr>
        <w:t>, two projects</w:t>
      </w:r>
      <w:r w:rsidRPr="00632E6F">
        <w:rPr>
          <w:rFonts w:asciiTheme="minorBidi" w:hAnsiTheme="minorBidi"/>
          <w:snapToGrid w:val="0"/>
          <w:color w:val="000000"/>
          <w:sz w:val="22"/>
        </w:rPr>
        <w:t>);</w:t>
      </w:r>
    </w:p>
    <w:p w14:paraId="3DECA351" w14:textId="4916349F" w:rsidR="00E24471" w:rsidRPr="00632E6F" w:rsidRDefault="00E24471" w:rsidP="00111F0A">
      <w:pPr>
        <w:keepLines/>
        <w:numPr>
          <w:ilvl w:val="1"/>
          <w:numId w:val="19"/>
        </w:numPr>
        <w:spacing w:after="120"/>
        <w:ind w:left="1134" w:hanging="567"/>
        <w:jc w:val="both"/>
        <w:rPr>
          <w:rFonts w:asciiTheme="minorBidi" w:hAnsiTheme="minorBidi" w:cstheme="minorBidi"/>
          <w:sz w:val="22"/>
          <w:szCs w:val="22"/>
        </w:rPr>
      </w:pPr>
      <w:r w:rsidRPr="00632E6F">
        <w:rPr>
          <w:rFonts w:asciiTheme="minorBidi" w:hAnsiTheme="minorBidi"/>
          <w:snapToGrid w:val="0"/>
          <w:color w:val="000000"/>
          <w:sz w:val="22"/>
        </w:rPr>
        <w:lastRenderedPageBreak/>
        <w:t>Other Funds-in-Trust agreements with Japan (</w:t>
      </w:r>
      <w:r w:rsidR="00E82140" w:rsidRPr="00632E6F">
        <w:rPr>
          <w:rFonts w:asciiTheme="minorBidi" w:hAnsiTheme="minorBidi"/>
          <w:snapToGrid w:val="0"/>
          <w:color w:val="000000"/>
          <w:sz w:val="22"/>
        </w:rPr>
        <w:t xml:space="preserve">Headquarters, </w:t>
      </w:r>
      <w:r w:rsidRPr="00632E6F">
        <w:rPr>
          <w:rFonts w:asciiTheme="minorBidi" w:hAnsiTheme="minorBidi"/>
          <w:snapToGrid w:val="0"/>
          <w:color w:val="000000"/>
          <w:sz w:val="22"/>
        </w:rPr>
        <w:t xml:space="preserve">Beijing </w:t>
      </w:r>
      <w:r w:rsidR="009B3F7D" w:rsidRPr="00632E6F">
        <w:rPr>
          <w:rFonts w:asciiTheme="minorBidi" w:hAnsiTheme="minorBidi"/>
          <w:snapToGrid w:val="0"/>
          <w:color w:val="000000"/>
          <w:sz w:val="22"/>
        </w:rPr>
        <w:t>O</w:t>
      </w:r>
      <w:r w:rsidRPr="00632E6F">
        <w:rPr>
          <w:rFonts w:asciiTheme="minorBidi" w:hAnsiTheme="minorBidi"/>
          <w:snapToGrid w:val="0"/>
          <w:color w:val="000000"/>
          <w:sz w:val="22"/>
        </w:rPr>
        <w:t xml:space="preserve">ffice), the United Nations through the United Nations University (Bangkok </w:t>
      </w:r>
      <w:r w:rsidR="009B3F7D" w:rsidRPr="00632E6F">
        <w:rPr>
          <w:rFonts w:asciiTheme="minorBidi" w:hAnsiTheme="minorBidi"/>
          <w:snapToGrid w:val="0"/>
          <w:color w:val="000000"/>
          <w:sz w:val="22"/>
        </w:rPr>
        <w:t>O</w:t>
      </w:r>
      <w:r w:rsidRPr="00632E6F">
        <w:rPr>
          <w:rFonts w:asciiTheme="minorBidi" w:hAnsiTheme="minorBidi"/>
          <w:snapToGrid w:val="0"/>
          <w:color w:val="000000"/>
          <w:sz w:val="22"/>
        </w:rPr>
        <w:t>ffice) and the private sector of the People</w:t>
      </w:r>
      <w:r w:rsidR="00F16B0E" w:rsidRPr="00F16B0E">
        <w:rPr>
          <w:rFonts w:asciiTheme="minorBidi" w:hAnsiTheme="minorBidi"/>
          <w:snapToGrid w:val="0"/>
          <w:color w:val="000000"/>
          <w:sz w:val="22"/>
        </w:rPr>
        <w:t>'</w:t>
      </w:r>
      <w:r w:rsidRPr="00632E6F">
        <w:rPr>
          <w:rFonts w:asciiTheme="minorBidi" w:hAnsiTheme="minorBidi"/>
          <w:snapToGrid w:val="0"/>
          <w:color w:val="000000"/>
          <w:sz w:val="22"/>
        </w:rPr>
        <w:t>s Republic of China (Headquarters</w:t>
      </w:r>
      <w:r w:rsidR="004F349E" w:rsidRPr="00632E6F">
        <w:rPr>
          <w:rFonts w:asciiTheme="minorBidi" w:hAnsiTheme="minorBidi"/>
          <w:snapToGrid w:val="0"/>
          <w:color w:val="000000"/>
          <w:sz w:val="22"/>
        </w:rPr>
        <w:t>,</w:t>
      </w:r>
      <w:r w:rsidR="00671A85" w:rsidRPr="00632E6F">
        <w:rPr>
          <w:rFonts w:asciiTheme="minorBidi" w:hAnsiTheme="minorBidi"/>
          <w:snapToGrid w:val="0"/>
          <w:color w:val="000000"/>
          <w:sz w:val="22"/>
        </w:rPr>
        <w:t xml:space="preserve"> </w:t>
      </w:r>
      <w:r w:rsidR="004F349E" w:rsidRPr="00632E6F">
        <w:rPr>
          <w:rFonts w:asciiTheme="minorBidi" w:hAnsiTheme="minorBidi"/>
          <w:snapToGrid w:val="0"/>
          <w:color w:val="000000"/>
          <w:sz w:val="22"/>
        </w:rPr>
        <w:t>two projects</w:t>
      </w:r>
      <w:r w:rsidRPr="00632E6F">
        <w:rPr>
          <w:rFonts w:asciiTheme="minorBidi" w:hAnsiTheme="minorBidi"/>
          <w:snapToGrid w:val="0"/>
          <w:color w:val="000000"/>
          <w:sz w:val="22"/>
        </w:rPr>
        <w:t>)</w:t>
      </w:r>
      <w:r w:rsidR="00671A85"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 xml:space="preserve">support the implementation of </w:t>
      </w:r>
      <w:r w:rsidR="007B52BB" w:rsidRPr="00632E6F">
        <w:rPr>
          <w:rFonts w:asciiTheme="minorBidi" w:hAnsiTheme="minorBidi"/>
          <w:snapToGrid w:val="0"/>
          <w:color w:val="000000"/>
          <w:sz w:val="22"/>
        </w:rPr>
        <w:t>f</w:t>
      </w:r>
      <w:r w:rsidR="004F349E" w:rsidRPr="00632E6F">
        <w:rPr>
          <w:rFonts w:asciiTheme="minorBidi" w:hAnsiTheme="minorBidi"/>
          <w:snapToGrid w:val="0"/>
          <w:color w:val="000000"/>
          <w:sz w:val="22"/>
        </w:rPr>
        <w:t>ive</w:t>
      </w:r>
      <w:r w:rsidR="007B52BB"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projects;</w:t>
      </w:r>
    </w:p>
    <w:p w14:paraId="3A422B0D" w14:textId="6EA4F9BB" w:rsidR="00E24471" w:rsidRPr="00632E6F" w:rsidRDefault="00E24471" w:rsidP="00397CFF">
      <w:pPr>
        <w:numPr>
          <w:ilvl w:val="1"/>
          <w:numId w:val="19"/>
        </w:numPr>
        <w:spacing w:after="120"/>
        <w:ind w:left="1134" w:hanging="567"/>
        <w:jc w:val="both"/>
        <w:rPr>
          <w:rFonts w:asciiTheme="minorBidi" w:hAnsiTheme="minorBidi" w:cstheme="minorBidi"/>
          <w:sz w:val="22"/>
          <w:szCs w:val="22"/>
        </w:rPr>
      </w:pPr>
      <w:r w:rsidRPr="00632E6F">
        <w:rPr>
          <w:rFonts w:asciiTheme="minorBidi" w:hAnsiTheme="minorBidi"/>
          <w:snapToGrid w:val="0"/>
          <w:color w:val="000000"/>
          <w:sz w:val="22"/>
        </w:rPr>
        <w:t xml:space="preserve">Additional </w:t>
      </w:r>
      <w:r w:rsidR="004F349E" w:rsidRPr="00632E6F">
        <w:rPr>
          <w:rFonts w:asciiTheme="minorBidi" w:hAnsiTheme="minorBidi"/>
          <w:snapToGrid w:val="0"/>
          <w:color w:val="000000"/>
          <w:sz w:val="22"/>
        </w:rPr>
        <w:t xml:space="preserve">contributions </w:t>
      </w:r>
      <w:r w:rsidRPr="00632E6F">
        <w:rPr>
          <w:rFonts w:asciiTheme="minorBidi" w:hAnsiTheme="minorBidi"/>
          <w:snapToGrid w:val="0"/>
          <w:color w:val="000000"/>
          <w:sz w:val="22"/>
        </w:rPr>
        <w:t xml:space="preserve">to the UNESCO </w:t>
      </w:r>
      <w:r w:rsidR="009B3F7D" w:rsidRPr="00632E6F">
        <w:rPr>
          <w:rFonts w:asciiTheme="minorBidi" w:hAnsiTheme="minorBidi"/>
          <w:snapToGrid w:val="0"/>
          <w:color w:val="000000"/>
          <w:sz w:val="22"/>
        </w:rPr>
        <w:t xml:space="preserve">Regular </w:t>
      </w:r>
      <w:r w:rsidRPr="00632E6F">
        <w:rPr>
          <w:rFonts w:asciiTheme="minorBidi" w:hAnsiTheme="minorBidi"/>
          <w:snapToGrid w:val="0"/>
          <w:color w:val="000000"/>
          <w:sz w:val="22"/>
        </w:rPr>
        <w:t xml:space="preserve">Programme </w:t>
      </w:r>
      <w:r w:rsidR="00671A85" w:rsidRPr="00632E6F">
        <w:rPr>
          <w:rFonts w:asciiTheme="minorBidi" w:hAnsiTheme="minorBidi"/>
          <w:snapToGrid w:val="0"/>
          <w:color w:val="000000"/>
          <w:sz w:val="22"/>
        </w:rPr>
        <w:t xml:space="preserve">were </w:t>
      </w:r>
      <w:r w:rsidRPr="00632E6F">
        <w:rPr>
          <w:rFonts w:asciiTheme="minorBidi" w:hAnsiTheme="minorBidi"/>
          <w:snapToGrid w:val="0"/>
          <w:color w:val="000000"/>
          <w:sz w:val="22"/>
        </w:rPr>
        <w:t xml:space="preserve">received from the International Training Centre on Intangible Cultural Heritage in the Asia-Pacific Region </w:t>
      </w:r>
      <w:r w:rsidR="00E82140" w:rsidRPr="00632E6F">
        <w:rPr>
          <w:rFonts w:asciiTheme="minorBidi" w:hAnsiTheme="minorBidi"/>
          <w:snapToGrid w:val="0"/>
          <w:color w:val="000000"/>
          <w:sz w:val="22"/>
        </w:rPr>
        <w:t>–</w:t>
      </w:r>
      <w:r w:rsidRPr="00632E6F">
        <w:rPr>
          <w:rFonts w:asciiTheme="minorBidi" w:hAnsiTheme="minorBidi"/>
          <w:snapToGrid w:val="0"/>
          <w:color w:val="000000"/>
          <w:sz w:val="22"/>
        </w:rPr>
        <w:t xml:space="preserve"> CRIHAP</w:t>
      </w:r>
      <w:r w:rsidR="00E82140"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(Almaty</w:t>
      </w:r>
      <w:r w:rsidR="006D001F" w:rsidRPr="00632E6F">
        <w:rPr>
          <w:rFonts w:asciiTheme="minorBidi" w:hAnsiTheme="minorBidi"/>
          <w:b/>
          <w:bCs/>
          <w:snapToGrid w:val="0"/>
          <w:color w:val="000000"/>
          <w:sz w:val="22"/>
        </w:rPr>
        <w:t>*</w:t>
      </w:r>
      <w:r w:rsidR="0095201E" w:rsidRPr="00632E6F">
        <w:rPr>
          <w:rFonts w:asciiTheme="minorBidi" w:hAnsiTheme="minorBidi"/>
          <w:snapToGrid w:val="0"/>
          <w:color w:val="000000"/>
          <w:sz w:val="22"/>
        </w:rPr>
        <w:t xml:space="preserve"> and</w:t>
      </w:r>
      <w:r w:rsidR="00E82140" w:rsidRPr="00632E6F">
        <w:rPr>
          <w:rFonts w:asciiTheme="minorBidi" w:hAnsiTheme="minorBidi"/>
          <w:snapToGrid w:val="0"/>
          <w:color w:val="000000"/>
          <w:sz w:val="22"/>
        </w:rPr>
        <w:t xml:space="preserve"> </w:t>
      </w:r>
      <w:r w:rsidR="00671A85" w:rsidRPr="00632E6F">
        <w:rPr>
          <w:rFonts w:asciiTheme="minorBidi" w:hAnsiTheme="minorBidi"/>
          <w:snapToGrid w:val="0"/>
          <w:color w:val="000000"/>
          <w:sz w:val="22"/>
        </w:rPr>
        <w:t xml:space="preserve">Bangkok* </w:t>
      </w:r>
      <w:r w:rsidRPr="00632E6F">
        <w:rPr>
          <w:rFonts w:asciiTheme="minorBidi" w:hAnsiTheme="minorBidi"/>
          <w:snapToGrid w:val="0"/>
          <w:color w:val="000000"/>
          <w:sz w:val="22"/>
        </w:rPr>
        <w:t>Office</w:t>
      </w:r>
      <w:r w:rsidR="0095201E" w:rsidRPr="00632E6F">
        <w:rPr>
          <w:rFonts w:asciiTheme="minorBidi" w:hAnsiTheme="minorBidi"/>
          <w:snapToGrid w:val="0"/>
          <w:color w:val="000000"/>
          <w:sz w:val="22"/>
        </w:rPr>
        <w:t xml:space="preserve">s, as well as two activities by the </w:t>
      </w:r>
      <w:r w:rsidR="00671A85" w:rsidRPr="00632E6F">
        <w:rPr>
          <w:rFonts w:asciiTheme="minorBidi" w:hAnsiTheme="minorBidi"/>
          <w:snapToGrid w:val="0"/>
          <w:color w:val="000000"/>
          <w:sz w:val="22"/>
        </w:rPr>
        <w:t>Dhaka</w:t>
      </w:r>
      <w:r w:rsidR="0095201E" w:rsidRPr="00632E6F">
        <w:rPr>
          <w:rFonts w:asciiTheme="minorBidi" w:hAnsiTheme="minorBidi"/>
          <w:snapToGrid w:val="0"/>
          <w:color w:val="000000"/>
          <w:sz w:val="22"/>
        </w:rPr>
        <w:t xml:space="preserve"> Office</w:t>
      </w:r>
      <w:r w:rsidRPr="00632E6F">
        <w:rPr>
          <w:rFonts w:asciiTheme="minorBidi" w:hAnsiTheme="minorBidi"/>
          <w:snapToGrid w:val="0"/>
          <w:color w:val="000000"/>
          <w:sz w:val="22"/>
        </w:rPr>
        <w:t xml:space="preserve">), from the </w:t>
      </w:r>
      <w:r w:rsidRPr="00632E6F">
        <w:rPr>
          <w:rFonts w:asciiTheme="minorBidi" w:hAnsiTheme="minorBidi"/>
          <w:snapToGrid w:val="0"/>
          <w:sz w:val="22"/>
        </w:rPr>
        <w:t>ICHCAP (</w:t>
      </w:r>
      <w:r w:rsidR="00671A85" w:rsidRPr="00632E6F">
        <w:rPr>
          <w:rFonts w:asciiTheme="minorBidi" w:hAnsiTheme="minorBidi"/>
          <w:snapToGrid w:val="0"/>
          <w:sz w:val="22"/>
        </w:rPr>
        <w:t xml:space="preserve">two activities by the Bangkok* Office, </w:t>
      </w:r>
      <w:r w:rsidRPr="00632E6F">
        <w:rPr>
          <w:rFonts w:asciiTheme="minorBidi" w:hAnsiTheme="minorBidi"/>
          <w:snapToGrid w:val="0"/>
          <w:sz w:val="22"/>
        </w:rPr>
        <w:t>Jakarta Office</w:t>
      </w:r>
      <w:r w:rsidR="00671A85" w:rsidRPr="00632E6F">
        <w:rPr>
          <w:rFonts w:asciiTheme="minorBidi" w:hAnsiTheme="minorBidi"/>
          <w:snapToGrid w:val="0"/>
          <w:sz w:val="22"/>
        </w:rPr>
        <w:t xml:space="preserve"> as well as Headquarters*</w:t>
      </w:r>
      <w:r w:rsidRPr="00632E6F">
        <w:rPr>
          <w:rFonts w:asciiTheme="minorBidi" w:hAnsiTheme="minorBidi"/>
          <w:snapToGrid w:val="0"/>
          <w:sz w:val="22"/>
        </w:rPr>
        <w:t xml:space="preserve">), </w:t>
      </w:r>
      <w:r w:rsidR="00E82140" w:rsidRPr="00632E6F">
        <w:rPr>
          <w:rFonts w:asciiTheme="minorBidi" w:hAnsiTheme="minorBidi"/>
          <w:snapToGrid w:val="0"/>
          <w:color w:val="000000"/>
          <w:sz w:val="22"/>
        </w:rPr>
        <w:t>t</w:t>
      </w:r>
      <w:r w:rsidR="006D001F" w:rsidRPr="00632E6F">
        <w:rPr>
          <w:rFonts w:asciiTheme="minorBidi" w:hAnsiTheme="minorBidi"/>
          <w:snapToGrid w:val="0"/>
          <w:color w:val="000000"/>
          <w:sz w:val="22"/>
        </w:rPr>
        <w:t xml:space="preserve">he Sharjah Institute for Heritage, </w:t>
      </w:r>
      <w:r w:rsidR="00E82140" w:rsidRPr="00632E6F">
        <w:rPr>
          <w:rFonts w:asciiTheme="minorBidi" w:hAnsiTheme="minorBidi"/>
          <w:snapToGrid w:val="0"/>
          <w:color w:val="000000"/>
          <w:sz w:val="22"/>
        </w:rPr>
        <w:t>United Arab Emirates</w:t>
      </w:r>
      <w:r w:rsidR="006D001F" w:rsidRPr="00632E6F">
        <w:rPr>
          <w:rFonts w:asciiTheme="minorBidi" w:hAnsiTheme="minorBidi"/>
          <w:snapToGrid w:val="0"/>
          <w:color w:val="000000"/>
          <w:sz w:val="22"/>
        </w:rPr>
        <w:t>*</w:t>
      </w:r>
      <w:r w:rsidR="00E82140" w:rsidRPr="00632E6F">
        <w:rPr>
          <w:rFonts w:asciiTheme="minorBidi" w:hAnsiTheme="minorBidi"/>
          <w:snapToGrid w:val="0"/>
          <w:color w:val="000000"/>
          <w:sz w:val="22"/>
        </w:rPr>
        <w:t xml:space="preserve"> </w:t>
      </w:r>
      <w:r w:rsidRPr="00632E6F">
        <w:rPr>
          <w:rFonts w:asciiTheme="minorBidi" w:hAnsiTheme="minorBidi"/>
          <w:snapToGrid w:val="0"/>
          <w:color w:val="000000"/>
          <w:sz w:val="22"/>
        </w:rPr>
        <w:t xml:space="preserve">(Headquarters) and </w:t>
      </w:r>
      <w:r w:rsidRPr="00632E6F">
        <w:rPr>
          <w:rFonts w:asciiTheme="minorBidi" w:hAnsiTheme="minorBidi"/>
          <w:snapToGrid w:val="0"/>
          <w:sz w:val="22"/>
        </w:rPr>
        <w:t>Kazakhstan</w:t>
      </w:r>
      <w:r w:rsidR="006D001F" w:rsidRPr="00632E6F">
        <w:rPr>
          <w:rFonts w:asciiTheme="minorBidi" w:hAnsiTheme="minorBidi"/>
          <w:snapToGrid w:val="0"/>
          <w:sz w:val="22"/>
        </w:rPr>
        <w:t>*</w:t>
      </w:r>
      <w:r w:rsidRPr="00632E6F">
        <w:rPr>
          <w:rFonts w:asciiTheme="minorBidi" w:hAnsiTheme="minorBidi"/>
          <w:snapToGrid w:val="0"/>
          <w:sz w:val="22"/>
        </w:rPr>
        <w:t xml:space="preserve"> (Almaty </w:t>
      </w:r>
      <w:r w:rsidR="00E82140" w:rsidRPr="00632E6F">
        <w:rPr>
          <w:rFonts w:asciiTheme="minorBidi" w:hAnsiTheme="minorBidi"/>
          <w:snapToGrid w:val="0"/>
          <w:sz w:val="22"/>
        </w:rPr>
        <w:t>O</w:t>
      </w:r>
      <w:r w:rsidRPr="00632E6F">
        <w:rPr>
          <w:rFonts w:asciiTheme="minorBidi" w:hAnsiTheme="minorBidi"/>
          <w:snapToGrid w:val="0"/>
          <w:sz w:val="22"/>
        </w:rPr>
        <w:t>ffice)</w:t>
      </w:r>
      <w:r w:rsidR="00671A85" w:rsidRPr="00632E6F">
        <w:rPr>
          <w:rFonts w:asciiTheme="minorBidi" w:hAnsiTheme="minorBidi"/>
          <w:snapToGrid w:val="0"/>
          <w:sz w:val="22"/>
        </w:rPr>
        <w:t xml:space="preserve">. These contributions </w:t>
      </w:r>
      <w:r w:rsidRPr="00632E6F">
        <w:rPr>
          <w:rFonts w:asciiTheme="minorBidi" w:hAnsiTheme="minorBidi"/>
          <w:snapToGrid w:val="0"/>
          <w:color w:val="000000"/>
          <w:sz w:val="22"/>
        </w:rPr>
        <w:t xml:space="preserve">support UNESCO Headquarters and </w:t>
      </w:r>
      <w:r w:rsidR="00FE1BB9" w:rsidRPr="00632E6F">
        <w:rPr>
          <w:rFonts w:asciiTheme="minorBidi" w:hAnsiTheme="minorBidi"/>
          <w:snapToGrid w:val="0"/>
          <w:color w:val="000000"/>
          <w:sz w:val="22"/>
        </w:rPr>
        <w:t>Field Offices</w:t>
      </w:r>
      <w:r w:rsidRPr="00632E6F">
        <w:rPr>
          <w:rFonts w:asciiTheme="minorBidi" w:hAnsiTheme="minorBidi"/>
          <w:snapToGrid w:val="0"/>
          <w:color w:val="000000"/>
          <w:sz w:val="22"/>
        </w:rPr>
        <w:t xml:space="preserve"> in the implementation of </w:t>
      </w:r>
      <w:r w:rsidR="00671A85" w:rsidRPr="00632E6F">
        <w:rPr>
          <w:rFonts w:asciiTheme="minorBidi" w:hAnsiTheme="minorBidi"/>
          <w:snapToGrid w:val="0"/>
          <w:color w:val="000000"/>
          <w:sz w:val="22"/>
        </w:rPr>
        <w:t xml:space="preserve">ten </w:t>
      </w:r>
      <w:r w:rsidRPr="00632E6F">
        <w:rPr>
          <w:rFonts w:asciiTheme="minorBidi" w:hAnsiTheme="minorBidi"/>
          <w:snapToGrid w:val="0"/>
          <w:color w:val="000000"/>
          <w:sz w:val="22"/>
        </w:rPr>
        <w:t>activities as part of the global capacity building programme.</w:t>
      </w:r>
    </w:p>
    <w:p w14:paraId="177A5649" w14:textId="73ED9FFC" w:rsidR="00E24471" w:rsidRPr="00632E6F" w:rsidRDefault="00ED2602" w:rsidP="00397CFF">
      <w:pPr>
        <w:pStyle w:val="COMParabodytext"/>
        <w:ind w:left="567" w:hanging="567"/>
      </w:pPr>
      <w:r w:rsidRPr="00632E6F">
        <w:t xml:space="preserve">Initiatives promoting the </w:t>
      </w:r>
      <w:r w:rsidR="00464AF5" w:rsidRPr="00632E6F">
        <w:t xml:space="preserve">integration </w:t>
      </w:r>
      <w:r w:rsidRPr="00632E6F">
        <w:t xml:space="preserve">of living heritage into education (Priority 2) </w:t>
      </w:r>
      <w:r w:rsidR="00464AF5" w:rsidRPr="00632E6F">
        <w:t xml:space="preserve">are supported by </w:t>
      </w:r>
      <w:r w:rsidRPr="00632E6F">
        <w:t>the private sector of the People</w:t>
      </w:r>
      <w:r w:rsidR="00F16B0E" w:rsidRPr="00F16B0E">
        <w:t>'</w:t>
      </w:r>
      <w:r w:rsidRPr="00632E6F">
        <w:t xml:space="preserve">s Republic of China (Bangkok Office) and </w:t>
      </w:r>
      <w:r w:rsidR="00464AF5" w:rsidRPr="00632E6F">
        <w:t xml:space="preserve">a new contribution from </w:t>
      </w:r>
      <w:r w:rsidRPr="00632E6F">
        <w:t>Flanders, Belgium</w:t>
      </w:r>
      <w:r w:rsidR="006D001F" w:rsidRPr="00632E6F">
        <w:t>*</w:t>
      </w:r>
      <w:r w:rsidRPr="00632E6F">
        <w:t xml:space="preserve"> (Harare Office)</w:t>
      </w:r>
      <w:r w:rsidR="002F76CC" w:rsidRPr="00632E6F">
        <w:t>, both through the Fund-in-Trust arrangements</w:t>
      </w:r>
      <w:r w:rsidRPr="00632E6F">
        <w:t xml:space="preserve">. </w:t>
      </w:r>
      <w:r w:rsidR="00464AF5" w:rsidRPr="00632E6F">
        <w:t>The latter supported the launch of</w:t>
      </w:r>
      <w:r w:rsidRPr="00632E6F">
        <w:t xml:space="preserve"> a new project entitled </w:t>
      </w:r>
      <w:r w:rsidR="00464AF5" w:rsidRPr="00632E6F">
        <w:t>‘</w:t>
      </w:r>
      <w:r w:rsidRPr="00632E6F">
        <w:t xml:space="preserve">Safeguarding Intangible Cultural Heritage in </w:t>
      </w:r>
      <w:r w:rsidR="00464AF5" w:rsidRPr="00632E6F">
        <w:t>b</w:t>
      </w:r>
      <w:r w:rsidRPr="00632E6F">
        <w:t xml:space="preserve">asic </w:t>
      </w:r>
      <w:r w:rsidR="00464AF5" w:rsidRPr="00632E6F">
        <w:t>e</w:t>
      </w:r>
      <w:r w:rsidRPr="00632E6F">
        <w:t>ducation in Namibia and Zimbabwe</w:t>
      </w:r>
      <w:r w:rsidR="00464AF5" w:rsidRPr="00632E6F">
        <w:t>’</w:t>
      </w:r>
      <w:r w:rsidRPr="00632E6F">
        <w:t xml:space="preserve"> (2022 </w:t>
      </w:r>
      <w:r w:rsidR="00464AF5" w:rsidRPr="00632E6F">
        <w:t>–</w:t>
      </w:r>
      <w:r w:rsidRPr="00632E6F">
        <w:t xml:space="preserve"> 2024</w:t>
      </w:r>
      <w:r w:rsidR="00464AF5" w:rsidRPr="00632E6F">
        <w:t>;</w:t>
      </w:r>
      <w:r w:rsidRPr="00632E6F">
        <w:t xml:space="preserve"> budget of US$355,860).</w:t>
      </w:r>
    </w:p>
    <w:p w14:paraId="4B4CE9B6" w14:textId="4D8C4FA7" w:rsidR="00E24471" w:rsidRPr="00632E6F" w:rsidRDefault="00E24471" w:rsidP="0018278B">
      <w:pPr>
        <w:pStyle w:val="COMParabodytext"/>
        <w:ind w:left="567" w:hanging="567"/>
      </w:pPr>
      <w:r w:rsidRPr="00632E6F">
        <w:t xml:space="preserve">In addition to projects that contribute to the two funding priorities, </w:t>
      </w:r>
      <w:r w:rsidR="00464AF5" w:rsidRPr="00632E6F">
        <w:t>donors</w:t>
      </w:r>
      <w:r w:rsidRPr="00632E6F">
        <w:t xml:space="preserve"> also provide support to a wide range of projects that directly link the safeguarding of living heritage to other types of heritage (movable heritage) and/or to specific areas of sustainable development such as improving social protection, developing creative industries, managing tourism, building peace or enhancing human security at large or for instance conducting thematic studies:</w:t>
      </w:r>
    </w:p>
    <w:p w14:paraId="60AED7FC" w14:textId="6B278225" w:rsidR="00E24471" w:rsidRPr="00632E6F" w:rsidRDefault="00E24471" w:rsidP="00E24471">
      <w:pPr>
        <w:numPr>
          <w:ilvl w:val="0"/>
          <w:numId w:val="26"/>
        </w:numPr>
        <w:spacing w:after="120"/>
        <w:ind w:left="1134" w:hanging="567"/>
        <w:jc w:val="both"/>
        <w:rPr>
          <w:rFonts w:asciiTheme="minorBidi" w:hAnsiTheme="minorBidi" w:cstheme="minorBidi"/>
          <w:sz w:val="22"/>
          <w:szCs w:val="22"/>
        </w:rPr>
      </w:pPr>
      <w:r w:rsidRPr="00632E6F">
        <w:rPr>
          <w:rFonts w:asciiTheme="minorBidi" w:hAnsiTheme="minorBidi"/>
          <w:snapToGrid w:val="0"/>
          <w:color w:val="000000"/>
          <w:sz w:val="22"/>
        </w:rPr>
        <w:t>Self-benefiting Funds-in-Trust agreements support four projects through contributions from Brazil (Brasilia Office), India (Delhi Office</w:t>
      </w:r>
      <w:r w:rsidR="00C32E6A" w:rsidRPr="00632E6F">
        <w:rPr>
          <w:rFonts w:asciiTheme="minorBidi" w:hAnsiTheme="minorBidi"/>
          <w:snapToGrid w:val="0"/>
          <w:color w:val="000000"/>
          <w:sz w:val="22"/>
        </w:rPr>
        <w:t>, two projects</w:t>
      </w:r>
      <w:r w:rsidRPr="00632E6F">
        <w:rPr>
          <w:rFonts w:asciiTheme="minorBidi" w:hAnsiTheme="minorBidi"/>
          <w:snapToGrid w:val="0"/>
          <w:color w:val="000000"/>
          <w:sz w:val="22"/>
        </w:rPr>
        <w:t>) and Morocco (Rabat Office);</w:t>
      </w:r>
    </w:p>
    <w:p w14:paraId="2EA0DBD4" w14:textId="66C14A5A" w:rsidR="00E24471" w:rsidRPr="00632E6F" w:rsidRDefault="00E24471" w:rsidP="000D5EA7">
      <w:pPr>
        <w:numPr>
          <w:ilvl w:val="0"/>
          <w:numId w:val="26"/>
        </w:numPr>
        <w:spacing w:after="120"/>
        <w:ind w:left="1134" w:hanging="567"/>
        <w:jc w:val="both"/>
        <w:rPr>
          <w:rFonts w:asciiTheme="minorBidi" w:hAnsiTheme="minorBidi" w:cstheme="minorBidi"/>
          <w:snapToGrid w:val="0"/>
          <w:sz w:val="22"/>
          <w:szCs w:val="22"/>
        </w:rPr>
      </w:pPr>
      <w:r w:rsidRPr="00632E6F">
        <w:rPr>
          <w:rFonts w:asciiTheme="minorBidi" w:hAnsiTheme="minorBidi"/>
          <w:snapToGrid w:val="0"/>
          <w:sz w:val="22"/>
        </w:rPr>
        <w:t>Other Funds-in-Trust agreements established with France (Quito Office), the United Nations including the United Nations Human Security Trust Fund (Libreville and Rabat Offices), the Office of the United Nations Development Programme</w:t>
      </w:r>
      <w:r w:rsidR="00F16B0E" w:rsidRPr="00F16B0E">
        <w:rPr>
          <w:rFonts w:asciiTheme="minorBidi" w:hAnsiTheme="minorBidi"/>
          <w:snapToGrid w:val="0"/>
          <w:sz w:val="22"/>
        </w:rPr>
        <w:t>'</w:t>
      </w:r>
      <w:r w:rsidRPr="00632E6F">
        <w:rPr>
          <w:rFonts w:asciiTheme="minorBidi" w:hAnsiTheme="minorBidi"/>
          <w:snapToGrid w:val="0"/>
          <w:sz w:val="22"/>
        </w:rPr>
        <w:t>s Multi-Donor Trust Fund (UNDP) (Kabul Office</w:t>
      </w:r>
      <w:r w:rsidR="004D6E9E" w:rsidRPr="00632E6F">
        <w:rPr>
          <w:rFonts w:asciiTheme="minorBidi" w:hAnsiTheme="minorBidi"/>
          <w:snapToGrid w:val="0"/>
          <w:sz w:val="22"/>
        </w:rPr>
        <w:t>, two projects</w:t>
      </w:r>
      <w:r w:rsidRPr="00632E6F">
        <w:rPr>
          <w:rFonts w:asciiTheme="minorBidi" w:hAnsiTheme="minorBidi"/>
          <w:snapToGrid w:val="0"/>
          <w:sz w:val="22"/>
        </w:rPr>
        <w:t xml:space="preserve">) and the private sector </w:t>
      </w:r>
      <w:r w:rsidR="00464AF5" w:rsidRPr="00632E6F">
        <w:rPr>
          <w:rFonts w:asciiTheme="minorBidi" w:hAnsiTheme="minorBidi"/>
          <w:snapToGrid w:val="0"/>
          <w:sz w:val="22"/>
        </w:rPr>
        <w:t xml:space="preserve">of </w:t>
      </w:r>
      <w:r w:rsidRPr="00632E6F">
        <w:rPr>
          <w:rFonts w:asciiTheme="minorBidi" w:hAnsiTheme="minorBidi"/>
          <w:snapToGrid w:val="0"/>
          <w:sz w:val="22"/>
        </w:rPr>
        <w:t>the People</w:t>
      </w:r>
      <w:r w:rsidR="00F16B0E" w:rsidRPr="00F16B0E">
        <w:rPr>
          <w:rFonts w:asciiTheme="minorBidi" w:hAnsiTheme="minorBidi"/>
          <w:snapToGrid w:val="0"/>
          <w:sz w:val="22"/>
        </w:rPr>
        <w:t>'</w:t>
      </w:r>
      <w:r w:rsidRPr="00632E6F">
        <w:rPr>
          <w:rFonts w:asciiTheme="minorBidi" w:hAnsiTheme="minorBidi"/>
          <w:snapToGrid w:val="0"/>
          <w:sz w:val="22"/>
        </w:rPr>
        <w:t xml:space="preserve">s Republic of China (Bamako Office), </w:t>
      </w:r>
      <w:r w:rsidRPr="00632E6F">
        <w:rPr>
          <w:rFonts w:asciiTheme="minorBidi" w:hAnsiTheme="minorBidi"/>
          <w:snapToGrid w:val="0"/>
          <w:color w:val="000000"/>
          <w:sz w:val="22"/>
        </w:rPr>
        <w:t>support UNESCO</w:t>
      </w:r>
      <w:r w:rsidR="00F16B0E" w:rsidRPr="00F16B0E">
        <w:rPr>
          <w:rFonts w:asciiTheme="minorBidi" w:hAnsiTheme="minorBidi"/>
          <w:snapToGrid w:val="0"/>
          <w:sz w:val="22"/>
        </w:rPr>
        <w:t>'</w:t>
      </w:r>
      <w:r w:rsidRPr="00632E6F">
        <w:rPr>
          <w:rFonts w:asciiTheme="minorBidi" w:hAnsiTheme="minorBidi"/>
          <w:snapToGrid w:val="0"/>
          <w:color w:val="000000"/>
          <w:sz w:val="22"/>
        </w:rPr>
        <w:t xml:space="preserve">s </w:t>
      </w:r>
      <w:r w:rsidR="00464AF5" w:rsidRPr="00632E6F">
        <w:rPr>
          <w:rFonts w:asciiTheme="minorBidi" w:hAnsiTheme="minorBidi"/>
          <w:snapToGrid w:val="0"/>
          <w:color w:val="000000"/>
          <w:sz w:val="22"/>
        </w:rPr>
        <w:t>Field Offices</w:t>
      </w:r>
      <w:r w:rsidRPr="00632E6F">
        <w:rPr>
          <w:rFonts w:asciiTheme="minorBidi" w:hAnsiTheme="minorBidi"/>
          <w:snapToGrid w:val="0"/>
          <w:color w:val="000000"/>
          <w:sz w:val="22"/>
        </w:rPr>
        <w:t xml:space="preserve"> in the implementation of six projects</w:t>
      </w:r>
      <w:r w:rsidRPr="00632E6F">
        <w:rPr>
          <w:rFonts w:asciiTheme="minorBidi" w:hAnsiTheme="minorBidi"/>
          <w:snapToGrid w:val="0"/>
          <w:sz w:val="22"/>
        </w:rPr>
        <w:t>;</w:t>
      </w:r>
    </w:p>
    <w:p w14:paraId="6C1E2277" w14:textId="7FB01CB0" w:rsidR="00E24471" w:rsidRPr="00632E6F" w:rsidRDefault="00AC2772" w:rsidP="002A60FC">
      <w:pPr>
        <w:numPr>
          <w:ilvl w:val="0"/>
          <w:numId w:val="26"/>
        </w:numPr>
        <w:spacing w:after="120"/>
        <w:ind w:left="1134" w:hanging="567"/>
        <w:jc w:val="both"/>
        <w:rPr>
          <w:rFonts w:asciiTheme="minorBidi" w:hAnsiTheme="minorBidi" w:cstheme="minorBidi"/>
          <w:snapToGrid w:val="0"/>
          <w:color w:val="000000"/>
          <w:sz w:val="22"/>
          <w:szCs w:val="22"/>
        </w:rPr>
      </w:pPr>
      <w:r w:rsidRPr="00632E6F">
        <w:rPr>
          <w:rFonts w:asciiTheme="minorBidi" w:hAnsiTheme="minorBidi"/>
          <w:snapToGrid w:val="0"/>
          <w:color w:val="000000"/>
          <w:sz w:val="22"/>
        </w:rPr>
        <w:t xml:space="preserve">Additional </w:t>
      </w:r>
      <w:r w:rsidR="00E20531" w:rsidRPr="00632E6F">
        <w:rPr>
          <w:rFonts w:asciiTheme="minorBidi" w:hAnsiTheme="minorBidi"/>
          <w:snapToGrid w:val="0"/>
          <w:color w:val="000000"/>
          <w:sz w:val="22"/>
        </w:rPr>
        <w:t xml:space="preserve">contributions </w:t>
      </w:r>
      <w:r w:rsidRPr="00632E6F">
        <w:rPr>
          <w:rFonts w:asciiTheme="minorBidi" w:hAnsiTheme="minorBidi"/>
          <w:snapToGrid w:val="0"/>
          <w:color w:val="000000"/>
          <w:sz w:val="22"/>
        </w:rPr>
        <w:t xml:space="preserve">to the UNESCO </w:t>
      </w:r>
      <w:r w:rsidR="00464AF5" w:rsidRPr="00632E6F">
        <w:rPr>
          <w:rFonts w:asciiTheme="minorBidi" w:hAnsiTheme="minorBidi"/>
          <w:snapToGrid w:val="0"/>
          <w:color w:val="000000"/>
          <w:sz w:val="22"/>
        </w:rPr>
        <w:t xml:space="preserve">Regular </w:t>
      </w:r>
      <w:r w:rsidRPr="00632E6F">
        <w:rPr>
          <w:rFonts w:asciiTheme="minorBidi" w:hAnsiTheme="minorBidi"/>
          <w:snapToGrid w:val="0"/>
          <w:color w:val="000000"/>
          <w:sz w:val="22"/>
        </w:rPr>
        <w:t>Programme received from Bulgaria</w:t>
      </w:r>
      <w:r w:rsidR="006D001F" w:rsidRPr="00632E6F">
        <w:rPr>
          <w:rFonts w:asciiTheme="minorBidi" w:hAnsiTheme="minorBidi"/>
          <w:snapToGrid w:val="0"/>
          <w:color w:val="000000"/>
          <w:sz w:val="22"/>
        </w:rPr>
        <w:t>*</w:t>
      </w:r>
      <w:r w:rsidRPr="00632E6F">
        <w:rPr>
          <w:rFonts w:asciiTheme="minorBidi" w:hAnsiTheme="minorBidi"/>
          <w:snapToGrid w:val="0"/>
          <w:color w:val="000000"/>
          <w:sz w:val="22"/>
        </w:rPr>
        <w:t xml:space="preserve"> and Sweden support the work of the Secretariat </w:t>
      </w:r>
      <w:r w:rsidR="00BA6776" w:rsidRPr="00632E6F">
        <w:rPr>
          <w:rFonts w:asciiTheme="minorBidi" w:hAnsiTheme="minorBidi"/>
          <w:snapToGrid w:val="0"/>
          <w:color w:val="000000"/>
          <w:sz w:val="22"/>
        </w:rPr>
        <w:t xml:space="preserve">at the global level </w:t>
      </w:r>
      <w:r w:rsidRPr="00632E6F">
        <w:rPr>
          <w:rFonts w:asciiTheme="minorBidi" w:hAnsiTheme="minorBidi"/>
          <w:snapToGrid w:val="0"/>
          <w:color w:val="000000"/>
          <w:sz w:val="22"/>
        </w:rPr>
        <w:t>(Headquarters).</w:t>
      </w:r>
    </w:p>
    <w:p w14:paraId="36918FF9" w14:textId="0C18424A" w:rsidR="00DC58D5" w:rsidRPr="00632E6F" w:rsidRDefault="00DC58D5" w:rsidP="002E16EF">
      <w:pPr>
        <w:pStyle w:val="COMParabodytext"/>
        <w:keepNext/>
        <w:numPr>
          <w:ilvl w:val="0"/>
          <w:numId w:val="0"/>
        </w:numPr>
        <w:ind w:left="567"/>
        <w:rPr>
          <w:b/>
          <w:bCs/>
        </w:rPr>
      </w:pPr>
      <w:r w:rsidRPr="00632E6F">
        <w:rPr>
          <w:b/>
          <w:bCs/>
        </w:rPr>
        <w:t>Concluding remarks</w:t>
      </w:r>
    </w:p>
    <w:p w14:paraId="0E97F431" w14:textId="77649759" w:rsidR="00AC4307" w:rsidRPr="00632E6F" w:rsidRDefault="00AC4307" w:rsidP="00D14067">
      <w:pPr>
        <w:pStyle w:val="COMParabodytext"/>
        <w:keepNext/>
        <w:ind w:left="567" w:hanging="567"/>
      </w:pPr>
      <w:r w:rsidRPr="00632E6F">
        <w:t>Twenty years after its adoption, the Convention has reached near-universality with 180 States Parties (as of 30 June 2022), leading to a</w:t>
      </w:r>
      <w:r w:rsidR="00FC6219" w:rsidRPr="00632E6F">
        <w:t>n</w:t>
      </w:r>
      <w:r w:rsidRPr="00632E6F">
        <w:t xml:space="preserve"> increasing demand for supporting safeguarding efforts at the national level. </w:t>
      </w:r>
      <w:r w:rsidR="00AF4FEA" w:rsidRPr="00632E6F">
        <w:t>In addition to the continuous need expressed for capacity-building of actors involved in safeguarding the intangible cultural heritage, additional demands</w:t>
      </w:r>
      <w:r w:rsidRPr="00632E6F">
        <w:t xml:space="preserve"> are manifested in </w:t>
      </w:r>
      <w:r w:rsidR="00391895" w:rsidRPr="00632E6F">
        <w:t xml:space="preserve">the increase of </w:t>
      </w:r>
      <w:r w:rsidRPr="00632E6F">
        <w:t>the number of requests for projects and thematic initiatives.</w:t>
      </w:r>
      <w:r w:rsidR="00AF4FEA" w:rsidRPr="00632E6F">
        <w:t xml:space="preserve"> While the Convention is receiving significant support through the Funds-in-Trust and other earmarked modalities, targets for both funding priorities are </w:t>
      </w:r>
      <w:r w:rsidR="00FC6219" w:rsidRPr="00632E6F">
        <w:t xml:space="preserve">continuously </w:t>
      </w:r>
      <w:r w:rsidR="0069724F" w:rsidRPr="00632E6F">
        <w:t xml:space="preserve">not reached </w:t>
      </w:r>
      <w:r w:rsidR="000109DB" w:rsidRPr="00632E6F">
        <w:t>in terms of voluntary supplementary contributions</w:t>
      </w:r>
      <w:r w:rsidR="00AF4FEA" w:rsidRPr="00632E6F">
        <w:t>.</w:t>
      </w:r>
    </w:p>
    <w:p w14:paraId="1266767B" w14:textId="63342ED3" w:rsidR="00DC58D5" w:rsidRPr="00632E6F" w:rsidRDefault="00DC58D5" w:rsidP="00111F0A">
      <w:pPr>
        <w:pStyle w:val="COMParabodytext"/>
        <w:ind w:left="567" w:hanging="567"/>
      </w:pPr>
      <w:r w:rsidRPr="00632E6F">
        <w:t xml:space="preserve">The Committee may wish to encourage donors to support the achievement of the objectives set out in the two funding priorities </w:t>
      </w:r>
      <w:r w:rsidRPr="00632E6F">
        <w:rPr>
          <w:rFonts w:asciiTheme="minorBidi" w:hAnsiTheme="minorBidi"/>
        </w:rPr>
        <w:t>through voluntary supplementary contributions</w:t>
      </w:r>
      <w:r w:rsidR="00FC6219" w:rsidRPr="00632E6F">
        <w:rPr>
          <w:rFonts w:asciiTheme="minorBidi" w:hAnsiTheme="minorBidi"/>
        </w:rPr>
        <w:t xml:space="preserve"> in particular (in addition to </w:t>
      </w:r>
      <w:r w:rsidRPr="00632E6F">
        <w:rPr>
          <w:rFonts w:asciiTheme="minorBidi" w:hAnsiTheme="minorBidi"/>
        </w:rPr>
        <w:t>Funds-in-Trust or other arrangements earmarked for specific purposes</w:t>
      </w:r>
      <w:r w:rsidR="00FC6219" w:rsidRPr="00632E6F">
        <w:rPr>
          <w:rFonts w:asciiTheme="minorBidi" w:hAnsiTheme="minorBidi"/>
        </w:rPr>
        <w:t>)</w:t>
      </w:r>
      <w:r w:rsidRPr="00632E6F">
        <w:rPr>
          <w:rFonts w:asciiTheme="minorBidi" w:hAnsiTheme="minorBidi"/>
        </w:rPr>
        <w:t xml:space="preserve">, to enable UNESCO to continue the implementation of projects for the safeguarding of living heritage and to develop new initiatives. It should be noted that </w:t>
      </w:r>
      <w:r w:rsidRPr="00632E6F">
        <w:t xml:space="preserve">lightly earmarked contributions (voluntary supplementary contributions to the Fund) </w:t>
      </w:r>
      <w:r w:rsidR="00FC6219" w:rsidRPr="00632E6F">
        <w:t>allow</w:t>
      </w:r>
      <w:r w:rsidRPr="00632E6F">
        <w:t xml:space="preserve"> the Committee to better coordinate international cooperation, in accordance with Article 19 of the Convention</w:t>
      </w:r>
      <w:r w:rsidR="00FC6219" w:rsidRPr="00632E6F">
        <w:t xml:space="preserve">. This funding modality facilitates swift actions by </w:t>
      </w:r>
      <w:r w:rsidRPr="00632E6F">
        <w:t>the Secretariat to adapt resources to needs and to offer its services effectively</w:t>
      </w:r>
      <w:r w:rsidR="00FC6219" w:rsidRPr="00632E6F">
        <w:t>, while offering</w:t>
      </w:r>
      <w:r w:rsidRPr="00632E6F">
        <w:t xml:space="preserve"> good visibility to the donors.</w:t>
      </w:r>
    </w:p>
    <w:p w14:paraId="346EA0A8" w14:textId="0C899C94" w:rsidR="00AC4307" w:rsidRPr="00CF1ED5" w:rsidRDefault="00FC6219" w:rsidP="00111F0A">
      <w:pPr>
        <w:pStyle w:val="COMParabodytext"/>
        <w:keepLines/>
        <w:ind w:left="567" w:hanging="567"/>
      </w:pPr>
      <w:r w:rsidRPr="00CF1ED5">
        <w:lastRenderedPageBreak/>
        <w:t>Furthermore and a</w:t>
      </w:r>
      <w:r w:rsidR="00AC4307" w:rsidRPr="00CF1ED5">
        <w:t xml:space="preserve">s highlighted in several documents presented to the governing bodies of the Convention (most recently the </w:t>
      </w:r>
      <w:hyperlink r:id="rId24" w:history="1">
        <w:r w:rsidR="00AC4307" w:rsidRPr="00CF1ED5">
          <w:rPr>
            <w:rStyle w:val="Hyperlink"/>
          </w:rPr>
          <w:t>IOS Evaluation (2021) of UNESCO</w:t>
        </w:r>
        <w:r w:rsidR="00F16B0E" w:rsidRPr="00CF1ED5">
          <w:rPr>
            <w:rStyle w:val="Hyperlink"/>
          </w:rPr>
          <w:t>'</w:t>
        </w:r>
        <w:r w:rsidR="00AC4307" w:rsidRPr="00CF1ED5">
          <w:rPr>
            <w:rStyle w:val="Hyperlink"/>
          </w:rPr>
          <w:t>s action in the framework of the 2003 Convention</w:t>
        </w:r>
      </w:hyperlink>
      <w:r w:rsidR="00AC4307" w:rsidRPr="00CF1ED5">
        <w:t xml:space="preserve"> in 2021 and document </w:t>
      </w:r>
      <w:hyperlink r:id="rId25" w:history="1">
        <w:r w:rsidR="00AC4307" w:rsidRPr="00CF1ED5">
          <w:rPr>
            <w:rStyle w:val="Hyperlink"/>
          </w:rPr>
          <w:t>LHE/22/9.GA/10</w:t>
        </w:r>
      </w:hyperlink>
      <w:r w:rsidR="00AC4307" w:rsidRPr="00CF1ED5">
        <w:t xml:space="preserve"> in 2022), </w:t>
      </w:r>
      <w:r w:rsidR="00391895" w:rsidRPr="00CF1ED5">
        <w:t>actions under the Convention</w:t>
      </w:r>
      <w:r w:rsidR="00AC4307" w:rsidRPr="00CF1ED5">
        <w:t xml:space="preserve"> require continued support from the Secretariat. To this end, the Committee could take into consideration the human resources requirements of the Secretariat to ensure that it is able to provide adequate support </w:t>
      </w:r>
      <w:r w:rsidR="00391895" w:rsidRPr="00CF1ED5">
        <w:t>to the stakeholders of the Convention</w:t>
      </w:r>
      <w:r w:rsidR="00AC4307" w:rsidRPr="00CF1ED5">
        <w:t>.</w:t>
      </w:r>
    </w:p>
    <w:p w14:paraId="5B1D0FE3" w14:textId="1375345C" w:rsidR="007E60C6" w:rsidRPr="00632E6F" w:rsidRDefault="007E60C6" w:rsidP="005C3281">
      <w:pPr>
        <w:pStyle w:val="COMParabodytext"/>
        <w:keepNext/>
        <w:ind w:left="567" w:hanging="567"/>
      </w:pPr>
      <w:r w:rsidRPr="00632E6F">
        <w:t>The Committee may wish to adopt the following decision:</w:t>
      </w:r>
    </w:p>
    <w:p w14:paraId="04F75D99" w14:textId="77777777" w:rsidR="007E60C6" w:rsidRPr="00632E6F" w:rsidRDefault="007E60C6" w:rsidP="007E60C6">
      <w:pPr>
        <w:pStyle w:val="GATitleResolution"/>
      </w:pPr>
      <w:r w:rsidRPr="00632E6F">
        <w:t>DRAFT DECISION 17.COM 12</w:t>
      </w:r>
    </w:p>
    <w:p w14:paraId="20CE59CD" w14:textId="77777777" w:rsidR="007E60C6" w:rsidRPr="00632E6F" w:rsidRDefault="007E60C6" w:rsidP="007E60C6">
      <w:pPr>
        <w:pStyle w:val="COMPreambulaDecision"/>
      </w:pPr>
      <w:r w:rsidRPr="00632E6F">
        <w:t>The Committee,</w:t>
      </w:r>
    </w:p>
    <w:p w14:paraId="2757CF30" w14:textId="77777777" w:rsidR="001C53F4" w:rsidRPr="00632E6F" w:rsidRDefault="001C53F4" w:rsidP="001C53F4">
      <w:pPr>
        <w:numPr>
          <w:ilvl w:val="0"/>
          <w:numId w:val="10"/>
        </w:numPr>
        <w:autoSpaceDE w:val="0"/>
        <w:autoSpaceDN w:val="0"/>
        <w:adjustRightInd w:val="0"/>
        <w:spacing w:after="120"/>
        <w:ind w:left="1134" w:hanging="567"/>
        <w:rPr>
          <w:rFonts w:ascii="Arial" w:eastAsia="SimSun" w:hAnsi="Arial" w:cs="Arial"/>
          <w:sz w:val="22"/>
          <w:szCs w:val="22"/>
          <w:u w:val="single"/>
        </w:rPr>
      </w:pPr>
      <w:r w:rsidRPr="00632E6F">
        <w:rPr>
          <w:rFonts w:ascii="Arial" w:hAnsi="Arial"/>
          <w:sz w:val="22"/>
          <w:szCs w:val="22"/>
          <w:u w:val="single"/>
        </w:rPr>
        <w:t>Having examined</w:t>
      </w:r>
      <w:r w:rsidRPr="00632E6F">
        <w:rPr>
          <w:rFonts w:ascii="Arial" w:hAnsi="Arial"/>
          <w:sz w:val="22"/>
          <w:szCs w:val="22"/>
        </w:rPr>
        <w:t xml:space="preserve"> document LHE/22/17.COM/12,</w:t>
      </w:r>
    </w:p>
    <w:p w14:paraId="6EB42360" w14:textId="77777777" w:rsidR="001C53F4" w:rsidRPr="00632E6F" w:rsidRDefault="001C53F4" w:rsidP="001C53F4">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sidRPr="00632E6F">
        <w:rPr>
          <w:rFonts w:ascii="Arial" w:hAnsi="Arial"/>
          <w:sz w:val="22"/>
          <w:szCs w:val="22"/>
          <w:u w:val="single"/>
        </w:rPr>
        <w:t>Recalling</w:t>
      </w:r>
      <w:r w:rsidRPr="00632E6F">
        <w:rPr>
          <w:rFonts w:ascii="Arial" w:hAnsi="Arial"/>
          <w:sz w:val="22"/>
          <w:szCs w:val="22"/>
        </w:rPr>
        <w:t xml:space="preserve"> Article 25.5 of the Convention and Chapter II of the Operational Directives,</w:t>
      </w:r>
    </w:p>
    <w:p w14:paraId="0FBE09E5" w14:textId="797610E8" w:rsidR="001C53F4" w:rsidRPr="00632E6F" w:rsidRDefault="001C53F4" w:rsidP="001C53F4">
      <w:pPr>
        <w:numPr>
          <w:ilvl w:val="0"/>
          <w:numId w:val="10"/>
        </w:numPr>
        <w:autoSpaceDE w:val="0"/>
        <w:autoSpaceDN w:val="0"/>
        <w:adjustRightInd w:val="0"/>
        <w:spacing w:after="120"/>
        <w:ind w:left="1134" w:hanging="567"/>
        <w:jc w:val="both"/>
        <w:rPr>
          <w:rFonts w:asciiTheme="minorBidi" w:eastAsia="SimSun" w:hAnsiTheme="minorBidi" w:cstheme="minorBidi"/>
          <w:sz w:val="22"/>
          <w:szCs w:val="22"/>
          <w:u w:val="single"/>
        </w:rPr>
      </w:pPr>
      <w:r w:rsidRPr="00632E6F">
        <w:rPr>
          <w:rFonts w:ascii="Arial" w:hAnsi="Arial"/>
          <w:sz w:val="22"/>
          <w:szCs w:val="22"/>
          <w:u w:val="single"/>
        </w:rPr>
        <w:t>Further recalling</w:t>
      </w:r>
      <w:r w:rsidRPr="00632E6F">
        <w:rPr>
          <w:rFonts w:ascii="Arial" w:hAnsi="Arial"/>
          <w:sz w:val="22"/>
          <w:szCs w:val="22"/>
        </w:rPr>
        <w:t xml:space="preserve"> its previous decisions concerning</w:t>
      </w:r>
      <w:r w:rsidRPr="00632E6F">
        <w:rPr>
          <w:rFonts w:asciiTheme="minorBidi" w:hAnsiTheme="minorBidi"/>
          <w:sz w:val="22"/>
          <w:szCs w:val="22"/>
        </w:rPr>
        <w:t xml:space="preserve"> voluntary supplementary contributions to the Intangible Cultural Heritage Fund, and in particular its </w:t>
      </w:r>
      <w:r w:rsidR="005E53A9" w:rsidRPr="00632E6F">
        <w:rPr>
          <w:rFonts w:asciiTheme="minorBidi" w:hAnsiTheme="minorBidi"/>
          <w:sz w:val="22"/>
          <w:szCs w:val="22"/>
        </w:rPr>
        <w:t>Decision </w:t>
      </w:r>
      <w:hyperlink r:id="rId26" w:history="1">
        <w:r w:rsidRPr="00632E6F">
          <w:rPr>
            <w:rStyle w:val="Hyperlink"/>
            <w:rFonts w:asciiTheme="minorBidi" w:hAnsiTheme="minorBidi"/>
            <w:sz w:val="22"/>
            <w:szCs w:val="22"/>
          </w:rPr>
          <w:t>16.COM 12</w:t>
        </w:r>
      </w:hyperlink>
      <w:r w:rsidRPr="00632E6F">
        <w:rPr>
          <w:rFonts w:asciiTheme="minorBidi" w:hAnsiTheme="minorBidi"/>
          <w:sz w:val="22"/>
          <w:szCs w:val="22"/>
        </w:rPr>
        <w:t>,</w:t>
      </w:r>
    </w:p>
    <w:p w14:paraId="088E5EF3" w14:textId="41737CE2" w:rsidR="001C53F4" w:rsidRPr="00632E6F" w:rsidRDefault="001C53F4" w:rsidP="001C53F4">
      <w:pPr>
        <w:pStyle w:val="COMParaDecision"/>
        <w:ind w:left="1134" w:hanging="567"/>
        <w:rPr>
          <w:u w:val="none"/>
        </w:rPr>
      </w:pPr>
      <w:r w:rsidRPr="00632E6F">
        <w:t>Thanks</w:t>
      </w:r>
      <w:r w:rsidRPr="00632E6F">
        <w:rPr>
          <w:u w:val="none"/>
        </w:rPr>
        <w:t xml:space="preserve"> all the contributors who have generously supported the Convention and its Secretariat since the last session, namely France, Lithuania, </w:t>
      </w:r>
      <w:r w:rsidR="00AA4223" w:rsidRPr="00632E6F">
        <w:rPr>
          <w:u w:val="none"/>
        </w:rPr>
        <w:t xml:space="preserve">Monaco, </w:t>
      </w:r>
      <w:r w:rsidRPr="00632E6F">
        <w:rPr>
          <w:u w:val="none"/>
        </w:rPr>
        <w:t>the Netherlands, Slovakia and the International Information and Networking Centre for Intangible Cultural Heritage in the Asia-Pacific Region (ICHCAP) as well as the People</w:t>
      </w:r>
      <w:r w:rsidR="00F16B0E" w:rsidRPr="00F16B0E">
        <w:rPr>
          <w:u w:val="none"/>
        </w:rPr>
        <w:t>'</w:t>
      </w:r>
      <w:r w:rsidRPr="00632E6F">
        <w:rPr>
          <w:u w:val="none"/>
        </w:rPr>
        <w:t>s Republic of China for its in-kind support;</w:t>
      </w:r>
    </w:p>
    <w:p w14:paraId="58DD5210" w14:textId="4AD5BFD3" w:rsidR="00B23112" w:rsidRPr="00632E6F" w:rsidRDefault="001C53F4" w:rsidP="00F17E17">
      <w:pPr>
        <w:pStyle w:val="COMParaDecision"/>
        <w:ind w:left="1134" w:hanging="567"/>
        <w:rPr>
          <w:u w:val="none"/>
        </w:rPr>
      </w:pPr>
      <w:r w:rsidRPr="00632E6F">
        <w:t>Takes note</w:t>
      </w:r>
      <w:r w:rsidRPr="00632E6F">
        <w:rPr>
          <w:u w:val="none"/>
        </w:rPr>
        <w:t xml:space="preserve"> that </w:t>
      </w:r>
      <w:r w:rsidR="00BB2E0B" w:rsidRPr="00632E6F">
        <w:rPr>
          <w:u w:val="none"/>
        </w:rPr>
        <w:t>in addition to</w:t>
      </w:r>
      <w:r w:rsidRPr="00632E6F">
        <w:rPr>
          <w:u w:val="none"/>
        </w:rPr>
        <w:t xml:space="preserve"> </w:t>
      </w:r>
      <w:r w:rsidR="00194524" w:rsidRPr="00632E6F">
        <w:rPr>
          <w:u w:val="none"/>
        </w:rPr>
        <w:t>voluntary supplementary</w:t>
      </w:r>
      <w:r w:rsidRPr="00632E6F">
        <w:rPr>
          <w:u w:val="none"/>
        </w:rPr>
        <w:t xml:space="preserve"> contributions to the </w:t>
      </w:r>
      <w:r w:rsidRPr="00632E6F">
        <w:rPr>
          <w:rFonts w:asciiTheme="minorBidi" w:hAnsiTheme="minorBidi"/>
          <w:u w:val="none"/>
        </w:rPr>
        <w:t>Intangible Cultural Heritage Fund, the Convention has received other</w:t>
      </w:r>
      <w:r w:rsidR="00BB2E0B" w:rsidRPr="00632E6F">
        <w:rPr>
          <w:rFonts w:asciiTheme="minorBidi" w:hAnsiTheme="minorBidi"/>
          <w:u w:val="none"/>
        </w:rPr>
        <w:t xml:space="preserve"> types of</w:t>
      </w:r>
      <w:r w:rsidRPr="00632E6F">
        <w:rPr>
          <w:rFonts w:asciiTheme="minorBidi" w:hAnsiTheme="minorBidi"/>
          <w:u w:val="none"/>
        </w:rPr>
        <w:t xml:space="preserve"> financial support through the Funds-in-Trust and other earmarked modalities, and </w:t>
      </w:r>
      <w:r w:rsidRPr="00632E6F">
        <w:rPr>
          <w:rFonts w:asciiTheme="minorBidi" w:hAnsiTheme="minorBidi"/>
        </w:rPr>
        <w:t>e</w:t>
      </w:r>
      <w:r w:rsidRPr="00632E6F">
        <w:t xml:space="preserve">xpresses </w:t>
      </w:r>
      <w:r w:rsidR="00BB2E0B" w:rsidRPr="00632E6F">
        <w:t>appreciation</w:t>
      </w:r>
      <w:r w:rsidRPr="00632E6F">
        <w:rPr>
          <w:u w:val="none"/>
        </w:rPr>
        <w:t xml:space="preserve"> to all the contributors who generously support the Convention; </w:t>
      </w:r>
    </w:p>
    <w:p w14:paraId="3DA21C16" w14:textId="4328C418" w:rsidR="00F64FAC" w:rsidRPr="00632E6F" w:rsidRDefault="00D46A8B" w:rsidP="00F17E17">
      <w:pPr>
        <w:pStyle w:val="COMParaDecision"/>
        <w:ind w:left="1134" w:hanging="567"/>
        <w:rPr>
          <w:u w:val="none"/>
        </w:rPr>
      </w:pPr>
      <w:r w:rsidRPr="00632E6F">
        <w:t>Encourages</w:t>
      </w:r>
      <w:r w:rsidRPr="00632E6F">
        <w:rPr>
          <w:u w:val="none"/>
        </w:rPr>
        <w:t xml:space="preserve"> potential contributors to support the Convention, particularly within the framework of the two funding priorities defined for the period 2022</w:t>
      </w:r>
      <w:r w:rsidR="00BA6776" w:rsidRPr="00632E6F">
        <w:rPr>
          <w:u w:val="none"/>
        </w:rPr>
        <w:t xml:space="preserve"> – </w:t>
      </w:r>
      <w:r w:rsidRPr="00632E6F">
        <w:rPr>
          <w:u w:val="none"/>
        </w:rPr>
        <w:t>2025</w:t>
      </w:r>
      <w:r w:rsidR="00BA6776" w:rsidRPr="00632E6F">
        <w:rPr>
          <w:u w:val="none"/>
        </w:rPr>
        <w:t xml:space="preserve"> </w:t>
      </w:r>
      <w:r w:rsidRPr="00632E6F">
        <w:rPr>
          <w:u w:val="none"/>
        </w:rPr>
        <w:t xml:space="preserve">and the </w:t>
      </w:r>
      <w:r w:rsidR="00813C1F" w:rsidRPr="00632E6F">
        <w:rPr>
          <w:u w:val="none"/>
        </w:rPr>
        <w:t>sub</w:t>
      </w:r>
      <w:r w:rsidRPr="00632E6F">
        <w:rPr>
          <w:u w:val="none"/>
        </w:rPr>
        <w:t>-</w:t>
      </w:r>
      <w:r w:rsidR="00813C1F" w:rsidRPr="00632E6F">
        <w:rPr>
          <w:u w:val="none"/>
        </w:rPr>
        <w:t xml:space="preserve">fund </w:t>
      </w:r>
      <w:r w:rsidRPr="00632E6F">
        <w:rPr>
          <w:u w:val="none"/>
        </w:rPr>
        <w:t xml:space="preserve">for </w:t>
      </w:r>
      <w:r w:rsidR="00813C1F" w:rsidRPr="00632E6F">
        <w:rPr>
          <w:u w:val="none"/>
        </w:rPr>
        <w:t xml:space="preserve">Enhancing </w:t>
      </w:r>
      <w:r w:rsidRPr="00632E6F">
        <w:rPr>
          <w:u w:val="none"/>
        </w:rPr>
        <w:t xml:space="preserve">the human </w:t>
      </w:r>
      <w:r w:rsidR="00AA4223" w:rsidRPr="00632E6F">
        <w:rPr>
          <w:u w:val="none"/>
        </w:rPr>
        <w:t xml:space="preserve">capacities </w:t>
      </w:r>
      <w:r w:rsidRPr="00632E6F">
        <w:rPr>
          <w:u w:val="none"/>
        </w:rPr>
        <w:t>of the Secretariat;</w:t>
      </w:r>
    </w:p>
    <w:p w14:paraId="0F1C3D87" w14:textId="14B05415" w:rsidR="001C53F4" w:rsidRPr="00632E6F" w:rsidRDefault="001C53F4" w:rsidP="001C53F4">
      <w:pPr>
        <w:pStyle w:val="COMParaDecision"/>
        <w:ind w:left="1134" w:hanging="567"/>
      </w:pPr>
      <w:r w:rsidRPr="00632E6F">
        <w:t>Further encourages</w:t>
      </w:r>
      <w:r w:rsidRPr="00632E6F">
        <w:rPr>
          <w:u w:val="none"/>
        </w:rPr>
        <w:t xml:space="preserve"> the Secretariat to pursue its efforts to mobili</w:t>
      </w:r>
      <w:r w:rsidR="00BA6776" w:rsidRPr="00632E6F">
        <w:rPr>
          <w:u w:val="none"/>
        </w:rPr>
        <w:t>z</w:t>
      </w:r>
      <w:r w:rsidRPr="00632E6F">
        <w:rPr>
          <w:u w:val="none"/>
        </w:rPr>
        <w:t>e funds to support the implementation of the Convention, and to respond positively to the needs expressed by States Parties in line with both funding priorities;</w:t>
      </w:r>
    </w:p>
    <w:p w14:paraId="15DBF5BF" w14:textId="068AB376" w:rsidR="008554E7" w:rsidRPr="001867B8" w:rsidRDefault="001C53F4" w:rsidP="00111F0A">
      <w:pPr>
        <w:pStyle w:val="COMParaDecision"/>
        <w:ind w:left="1134" w:hanging="567"/>
        <w:rPr>
          <w:u w:val="none"/>
        </w:rPr>
      </w:pPr>
      <w:r w:rsidRPr="00632E6F">
        <w:t>Requests</w:t>
      </w:r>
      <w:r w:rsidRPr="001867B8">
        <w:rPr>
          <w:u w:val="none"/>
        </w:rPr>
        <w:t xml:space="preserve"> that the Secretariat report, at its eighteenth session, on the progress made in the implementation of any voluntary supplementary contributions received since the seventeenth session.</w:t>
      </w:r>
    </w:p>
    <w:p w14:paraId="24592991" w14:textId="77777777" w:rsidR="00B57EB1" w:rsidRPr="00632E6F" w:rsidRDefault="00B57EB1">
      <w:pPr>
        <w:rPr>
          <w:rFonts w:ascii="Arial" w:hAnsi="Arial" w:cs="Arial"/>
          <w:b/>
          <w:sz w:val="22"/>
          <w:szCs w:val="22"/>
        </w:rPr>
      </w:pPr>
      <w:r w:rsidRPr="00632E6F">
        <w:rPr>
          <w:b/>
        </w:rPr>
        <w:br w:type="page"/>
      </w:r>
    </w:p>
    <w:p w14:paraId="0AF1C585" w14:textId="1ABBA20D" w:rsidR="00B57EB1" w:rsidRPr="00632E6F" w:rsidRDefault="00B57EB1" w:rsidP="005C3281">
      <w:pPr>
        <w:pStyle w:val="COMParaDecision"/>
        <w:keepNext/>
        <w:numPr>
          <w:ilvl w:val="0"/>
          <w:numId w:val="0"/>
        </w:numPr>
        <w:contextualSpacing/>
        <w:jc w:val="center"/>
        <w:rPr>
          <w:b/>
        </w:rPr>
      </w:pPr>
      <w:r w:rsidRPr="00632E6F">
        <w:rPr>
          <w:b/>
        </w:rPr>
        <w:lastRenderedPageBreak/>
        <w:t>Annex</w:t>
      </w:r>
    </w:p>
    <w:p w14:paraId="326F55D0" w14:textId="0B9C6C42" w:rsidR="008554E7" w:rsidRPr="00632E6F" w:rsidRDefault="008554E7" w:rsidP="00111F0A">
      <w:pPr>
        <w:pStyle w:val="COMParaDecision"/>
        <w:keepNext/>
        <w:numPr>
          <w:ilvl w:val="0"/>
          <w:numId w:val="0"/>
        </w:numPr>
        <w:spacing w:before="240" w:after="0"/>
        <w:jc w:val="center"/>
        <w:rPr>
          <w:b/>
          <w:u w:val="none"/>
        </w:rPr>
      </w:pPr>
      <w:r w:rsidRPr="00632E6F">
        <w:rPr>
          <w:b/>
          <w:u w:val="none"/>
        </w:rPr>
        <w:t xml:space="preserve">Financial and in-kind contributions supporting the 2003 Convention </w:t>
      </w:r>
    </w:p>
    <w:p w14:paraId="743BD397" w14:textId="77777777" w:rsidR="008554E7" w:rsidRPr="00632E6F" w:rsidRDefault="008554E7">
      <w:pPr>
        <w:pStyle w:val="COMParaDecision"/>
        <w:keepNext/>
        <w:numPr>
          <w:ilvl w:val="0"/>
          <w:numId w:val="0"/>
        </w:numPr>
        <w:jc w:val="center"/>
        <w:rPr>
          <w:b/>
          <w:caps/>
          <w:snapToGrid w:val="0"/>
          <w:u w:val="none"/>
        </w:rPr>
      </w:pPr>
      <w:r w:rsidRPr="00632E6F">
        <w:rPr>
          <w:b/>
          <w:u w:val="none"/>
        </w:rPr>
        <w:t>for the period from 1 January 2022 to 30 June 2022</w:t>
      </w:r>
    </w:p>
    <w:p w14:paraId="36314F8D" w14:textId="7FBB4FD3" w:rsidR="004B6B2A" w:rsidRPr="00632E6F" w:rsidRDefault="00194524" w:rsidP="004B6B2A">
      <w:pPr>
        <w:spacing w:before="840" w:after="60"/>
        <w:rPr>
          <w:rFonts w:ascii="Arial" w:hAnsi="Arial" w:cs="Arial"/>
          <w:b/>
          <w:smallCaps/>
          <w:color w:val="000000"/>
          <w:szCs w:val="22"/>
        </w:rPr>
      </w:pPr>
      <w:r w:rsidRPr="00632E6F">
        <w:rPr>
          <w:rFonts w:ascii="Arial" w:hAnsi="Arial"/>
          <w:b/>
          <w:smallCaps/>
          <w:color w:val="000000"/>
        </w:rPr>
        <w:t>Voluntary supplementary</w:t>
      </w:r>
      <w:r w:rsidR="004B6B2A" w:rsidRPr="00632E6F">
        <w:rPr>
          <w:rFonts w:ascii="Arial" w:hAnsi="Arial"/>
          <w:b/>
          <w:smallCaps/>
          <w:color w:val="000000"/>
        </w:rPr>
        <w:t xml:space="preserve"> contributions to the Intangible Cultural Heritage Fund</w:t>
      </w:r>
    </w:p>
    <w:p w14:paraId="1CC5AC44" w14:textId="0DF79806" w:rsidR="004B6B2A" w:rsidRPr="00632E6F" w:rsidRDefault="004B6B2A" w:rsidP="004B6B2A">
      <w:pPr>
        <w:spacing w:before="120"/>
        <w:ind w:left="709"/>
        <w:rPr>
          <w:rFonts w:ascii="Arial" w:hAnsi="Arial" w:cs="Arial"/>
          <w:b/>
          <w:color w:val="000000"/>
          <w:sz w:val="20"/>
          <w:szCs w:val="20"/>
        </w:rPr>
      </w:pPr>
      <w:r w:rsidRPr="00632E6F">
        <w:rPr>
          <w:rFonts w:ascii="Arial" w:hAnsi="Arial"/>
          <w:b/>
          <w:color w:val="000000"/>
          <w:sz w:val="20"/>
        </w:rPr>
        <w:t>Funding priority 1</w:t>
      </w:r>
      <w:r w:rsidR="00AA4223" w:rsidRPr="00632E6F">
        <w:rPr>
          <w:rFonts w:ascii="Arial" w:hAnsi="Arial"/>
          <w:b/>
          <w:color w:val="000000"/>
          <w:sz w:val="20"/>
        </w:rPr>
        <w:t>:</w:t>
      </w:r>
      <w:r w:rsidRPr="00632E6F">
        <w:rPr>
          <w:rFonts w:ascii="Arial" w:hAnsi="Arial"/>
          <w:b/>
          <w:color w:val="000000"/>
          <w:sz w:val="20"/>
        </w:rPr>
        <w:t xml:space="preserve"> Strengthening capacities to safeguard intangible cultural heritage using multi-modal approaches and contribute to sustainable development </w:t>
      </w:r>
    </w:p>
    <w:tbl>
      <w:tblPr>
        <w:tblW w:w="8930" w:type="dxa"/>
        <w:tblInd w:w="709" w:type="dxa"/>
        <w:tblLook w:val="04A0" w:firstRow="1" w:lastRow="0" w:firstColumn="1" w:lastColumn="0" w:noHBand="0" w:noVBand="1"/>
      </w:tblPr>
      <w:tblGrid>
        <w:gridCol w:w="6603"/>
        <w:gridCol w:w="2327"/>
      </w:tblGrid>
      <w:tr w:rsidR="004B6B2A" w:rsidRPr="00632E6F" w14:paraId="3E0E9D0C" w14:textId="77777777" w:rsidTr="009C0B2E">
        <w:trPr>
          <w:cantSplit/>
        </w:trPr>
        <w:tc>
          <w:tcPr>
            <w:tcW w:w="6603" w:type="dxa"/>
            <w:vAlign w:val="center"/>
          </w:tcPr>
          <w:p w14:paraId="666E7096" w14:textId="77777777" w:rsidR="004B6B2A" w:rsidRPr="00632E6F" w:rsidRDefault="004B6B2A" w:rsidP="009C0B2E">
            <w:pPr>
              <w:spacing w:before="60" w:after="60"/>
              <w:rPr>
                <w:rFonts w:ascii="Arial" w:hAnsi="Arial" w:cs="Arial"/>
                <w:color w:val="000000"/>
                <w:sz w:val="20"/>
                <w:szCs w:val="20"/>
              </w:rPr>
            </w:pPr>
            <w:r w:rsidRPr="00632E6F">
              <w:rPr>
                <w:rFonts w:ascii="Arial" w:hAnsi="Arial"/>
                <w:color w:val="000000"/>
                <w:sz w:val="20"/>
              </w:rPr>
              <w:t>ICHCAP</w:t>
            </w:r>
          </w:p>
        </w:tc>
        <w:tc>
          <w:tcPr>
            <w:tcW w:w="2327" w:type="dxa"/>
            <w:vAlign w:val="center"/>
          </w:tcPr>
          <w:p w14:paraId="35E21A10" w14:textId="4FF23F46" w:rsidR="004B6B2A" w:rsidRPr="00632E6F" w:rsidRDefault="00BA6776" w:rsidP="009C0B2E">
            <w:pPr>
              <w:spacing w:before="60" w:after="60"/>
              <w:jc w:val="right"/>
              <w:rPr>
                <w:rFonts w:ascii="Arial" w:hAnsi="Arial" w:cs="Arial"/>
                <w:color w:val="000000"/>
                <w:sz w:val="20"/>
                <w:szCs w:val="20"/>
              </w:rPr>
            </w:pPr>
            <w:r w:rsidRPr="00632E6F">
              <w:rPr>
                <w:rFonts w:ascii="Arial" w:hAnsi="Arial"/>
                <w:color w:val="000000"/>
                <w:sz w:val="20"/>
              </w:rPr>
              <w:t>US$</w:t>
            </w:r>
            <w:r w:rsidR="004B6B2A" w:rsidRPr="00632E6F">
              <w:rPr>
                <w:rFonts w:ascii="Arial" w:hAnsi="Arial"/>
                <w:color w:val="000000"/>
                <w:sz w:val="20"/>
              </w:rPr>
              <w:t>81,271.13</w:t>
            </w:r>
          </w:p>
        </w:tc>
      </w:tr>
    </w:tbl>
    <w:p w14:paraId="51ABA8E7" w14:textId="2192A75D" w:rsidR="004B6B2A" w:rsidRPr="00632E6F" w:rsidRDefault="004B6B2A" w:rsidP="004B6B2A">
      <w:pPr>
        <w:spacing w:before="120"/>
        <w:ind w:left="709"/>
        <w:rPr>
          <w:rFonts w:ascii="Arial" w:hAnsi="Arial" w:cs="Arial"/>
          <w:b/>
          <w:color w:val="000000"/>
          <w:sz w:val="20"/>
          <w:szCs w:val="20"/>
        </w:rPr>
      </w:pPr>
      <w:r w:rsidRPr="00632E6F">
        <w:rPr>
          <w:rFonts w:ascii="Arial" w:hAnsi="Arial"/>
          <w:b/>
          <w:color w:val="000000"/>
          <w:sz w:val="20"/>
        </w:rPr>
        <w:t>Sub-</w:t>
      </w:r>
      <w:r w:rsidR="00247A08" w:rsidRPr="00632E6F">
        <w:rPr>
          <w:rFonts w:ascii="Arial" w:hAnsi="Arial"/>
          <w:b/>
          <w:color w:val="000000"/>
          <w:sz w:val="20"/>
        </w:rPr>
        <w:t xml:space="preserve">fund </w:t>
      </w:r>
      <w:r w:rsidRPr="00632E6F">
        <w:rPr>
          <w:rFonts w:ascii="Arial" w:hAnsi="Arial"/>
          <w:b/>
          <w:color w:val="000000"/>
          <w:sz w:val="20"/>
        </w:rPr>
        <w:t xml:space="preserve">for enhancing the human </w:t>
      </w:r>
      <w:r w:rsidR="00AA4223" w:rsidRPr="00632E6F">
        <w:rPr>
          <w:rFonts w:ascii="Arial" w:hAnsi="Arial"/>
          <w:b/>
          <w:color w:val="000000"/>
          <w:sz w:val="20"/>
        </w:rPr>
        <w:t xml:space="preserve">capacities </w:t>
      </w:r>
      <w:r w:rsidRPr="00632E6F">
        <w:rPr>
          <w:rFonts w:ascii="Arial" w:hAnsi="Arial"/>
          <w:b/>
          <w:color w:val="000000"/>
          <w:sz w:val="20"/>
        </w:rPr>
        <w:t>of the Secretariat</w:t>
      </w:r>
    </w:p>
    <w:tbl>
      <w:tblPr>
        <w:tblW w:w="8930" w:type="dxa"/>
        <w:tblInd w:w="709" w:type="dxa"/>
        <w:tblLook w:val="04A0" w:firstRow="1" w:lastRow="0" w:firstColumn="1" w:lastColumn="0" w:noHBand="0" w:noVBand="1"/>
      </w:tblPr>
      <w:tblGrid>
        <w:gridCol w:w="6603"/>
        <w:gridCol w:w="2327"/>
      </w:tblGrid>
      <w:tr w:rsidR="004B6B2A" w:rsidRPr="00632E6F" w14:paraId="45662E90" w14:textId="77777777" w:rsidTr="009C0B2E">
        <w:trPr>
          <w:cantSplit/>
        </w:trPr>
        <w:tc>
          <w:tcPr>
            <w:tcW w:w="6603" w:type="dxa"/>
            <w:vAlign w:val="center"/>
          </w:tcPr>
          <w:p w14:paraId="417B9410" w14:textId="77777777" w:rsidR="004B6B2A" w:rsidRPr="00632E6F" w:rsidRDefault="004B6B2A" w:rsidP="009C0B2E">
            <w:pPr>
              <w:spacing w:before="60" w:after="60"/>
              <w:rPr>
                <w:rFonts w:ascii="Arial" w:hAnsi="Arial" w:cs="Arial"/>
                <w:color w:val="000000"/>
                <w:sz w:val="20"/>
                <w:szCs w:val="20"/>
              </w:rPr>
            </w:pPr>
            <w:r w:rsidRPr="00632E6F">
              <w:rPr>
                <w:rFonts w:ascii="Arial" w:hAnsi="Arial"/>
                <w:color w:val="000000"/>
                <w:sz w:val="20"/>
              </w:rPr>
              <w:t>France</w:t>
            </w:r>
          </w:p>
        </w:tc>
        <w:tc>
          <w:tcPr>
            <w:tcW w:w="2327" w:type="dxa"/>
            <w:vAlign w:val="center"/>
          </w:tcPr>
          <w:p w14:paraId="3CEC041A" w14:textId="1B723061" w:rsidR="004B6B2A" w:rsidRPr="00632E6F" w:rsidRDefault="00BA6776" w:rsidP="009C0B2E">
            <w:pPr>
              <w:spacing w:before="60" w:after="60"/>
              <w:jc w:val="right"/>
              <w:rPr>
                <w:rFonts w:ascii="Arial" w:hAnsi="Arial" w:cs="Arial"/>
                <w:color w:val="000000"/>
                <w:sz w:val="20"/>
                <w:szCs w:val="20"/>
              </w:rPr>
            </w:pPr>
            <w:r w:rsidRPr="00632E6F">
              <w:rPr>
                <w:rFonts w:ascii="Arial" w:hAnsi="Arial"/>
                <w:color w:val="000000"/>
                <w:sz w:val="20"/>
              </w:rPr>
              <w:t>US$</w:t>
            </w:r>
            <w:r w:rsidR="004B6B2A" w:rsidRPr="00632E6F">
              <w:rPr>
                <w:rFonts w:ascii="Arial" w:hAnsi="Arial"/>
                <w:color w:val="000000"/>
                <w:sz w:val="20"/>
              </w:rPr>
              <w:t>105,596.62</w:t>
            </w:r>
          </w:p>
        </w:tc>
      </w:tr>
      <w:tr w:rsidR="004B6B2A" w:rsidRPr="00632E6F" w14:paraId="6AA08766" w14:textId="77777777" w:rsidTr="009C0B2E">
        <w:trPr>
          <w:cantSplit/>
        </w:trPr>
        <w:tc>
          <w:tcPr>
            <w:tcW w:w="6603" w:type="dxa"/>
            <w:vAlign w:val="center"/>
          </w:tcPr>
          <w:p w14:paraId="7C153156" w14:textId="77777777" w:rsidR="004B6B2A" w:rsidRPr="00632E6F" w:rsidRDefault="004B6B2A" w:rsidP="009C0B2E">
            <w:pPr>
              <w:spacing w:before="60" w:after="60"/>
              <w:rPr>
                <w:rFonts w:ascii="Arial" w:hAnsi="Arial" w:cs="Arial"/>
                <w:color w:val="000000"/>
                <w:sz w:val="20"/>
                <w:szCs w:val="20"/>
              </w:rPr>
            </w:pPr>
            <w:r w:rsidRPr="00632E6F">
              <w:rPr>
                <w:rFonts w:ascii="Arial" w:hAnsi="Arial"/>
                <w:color w:val="000000"/>
                <w:sz w:val="20"/>
              </w:rPr>
              <w:t>Lithuania</w:t>
            </w:r>
          </w:p>
        </w:tc>
        <w:tc>
          <w:tcPr>
            <w:tcW w:w="2327" w:type="dxa"/>
            <w:vAlign w:val="center"/>
          </w:tcPr>
          <w:p w14:paraId="5412A714" w14:textId="06B6CBD0" w:rsidR="004B6B2A" w:rsidRPr="00632E6F" w:rsidRDefault="00BA6776" w:rsidP="009C0B2E">
            <w:pPr>
              <w:spacing w:before="60" w:after="60"/>
              <w:jc w:val="right"/>
              <w:rPr>
                <w:rFonts w:ascii="Arial" w:hAnsi="Arial" w:cs="Arial"/>
                <w:color w:val="000000"/>
                <w:sz w:val="20"/>
                <w:szCs w:val="20"/>
              </w:rPr>
            </w:pPr>
            <w:r w:rsidRPr="00632E6F">
              <w:rPr>
                <w:rFonts w:ascii="Arial" w:hAnsi="Arial"/>
                <w:color w:val="000000"/>
                <w:sz w:val="20"/>
              </w:rPr>
              <w:t>US$</w:t>
            </w:r>
            <w:r w:rsidR="004B6B2A" w:rsidRPr="00632E6F">
              <w:rPr>
                <w:rFonts w:ascii="Arial" w:hAnsi="Arial"/>
                <w:color w:val="000000"/>
                <w:sz w:val="20"/>
              </w:rPr>
              <w:t>2,409.00</w:t>
            </w:r>
          </w:p>
        </w:tc>
      </w:tr>
    </w:tbl>
    <w:p w14:paraId="2B774BCB" w14:textId="77777777" w:rsidR="004B6B2A" w:rsidRPr="00632E6F" w:rsidRDefault="004B6B2A" w:rsidP="004B6B2A">
      <w:pPr>
        <w:spacing w:before="360" w:after="60"/>
        <w:rPr>
          <w:rFonts w:ascii="Arial" w:hAnsi="Arial" w:cs="Arial"/>
          <w:b/>
          <w:smallCaps/>
          <w:color w:val="000000"/>
          <w:szCs w:val="22"/>
        </w:rPr>
      </w:pPr>
      <w:r w:rsidRPr="00632E6F">
        <w:rPr>
          <w:rFonts w:ascii="Arial" w:hAnsi="Arial"/>
          <w:b/>
          <w:smallCaps/>
          <w:color w:val="000000"/>
        </w:rPr>
        <w:t>Loans and secondments</w:t>
      </w:r>
      <w:r w:rsidR="00AE2EC9" w:rsidRPr="00632E6F">
        <w:rPr>
          <w:rStyle w:val="FootnoteReference"/>
          <w:bCs/>
        </w:rPr>
        <w:footnoteReference w:id="6"/>
      </w:r>
    </w:p>
    <w:tbl>
      <w:tblPr>
        <w:tblW w:w="8935" w:type="dxa"/>
        <w:tblInd w:w="709" w:type="dxa"/>
        <w:tblLook w:val="04A0" w:firstRow="1" w:lastRow="0" w:firstColumn="1" w:lastColumn="0" w:noHBand="0" w:noVBand="1"/>
      </w:tblPr>
      <w:tblGrid>
        <w:gridCol w:w="6605"/>
        <w:gridCol w:w="2330"/>
      </w:tblGrid>
      <w:tr w:rsidR="004B6B2A" w:rsidRPr="00632E6F" w14:paraId="7F0C09F9" w14:textId="77777777" w:rsidTr="009C0B2E">
        <w:trPr>
          <w:cantSplit/>
        </w:trPr>
        <w:tc>
          <w:tcPr>
            <w:tcW w:w="6605" w:type="dxa"/>
            <w:vAlign w:val="center"/>
            <w:hideMark/>
          </w:tcPr>
          <w:p w14:paraId="1AA36844" w14:textId="77777777" w:rsidR="004B6B2A" w:rsidRPr="00632E6F" w:rsidRDefault="004B6B2A" w:rsidP="009C0B2E">
            <w:pPr>
              <w:spacing w:before="60" w:after="60"/>
              <w:rPr>
                <w:rFonts w:ascii="Arial" w:hAnsi="Arial" w:cs="Arial"/>
                <w:color w:val="000000"/>
                <w:sz w:val="20"/>
                <w:szCs w:val="20"/>
              </w:rPr>
            </w:pPr>
            <w:r w:rsidRPr="00632E6F">
              <w:rPr>
                <w:rFonts w:ascii="Arial" w:hAnsi="Arial"/>
                <w:color w:val="000000"/>
                <w:sz w:val="20"/>
              </w:rPr>
              <w:t>China</w:t>
            </w:r>
          </w:p>
        </w:tc>
        <w:tc>
          <w:tcPr>
            <w:tcW w:w="2330" w:type="dxa"/>
            <w:vAlign w:val="center"/>
            <w:hideMark/>
          </w:tcPr>
          <w:p w14:paraId="09E3B10E" w14:textId="77777777" w:rsidR="004B6B2A" w:rsidRPr="00632E6F" w:rsidRDefault="004B6B2A" w:rsidP="009C0B2E">
            <w:pPr>
              <w:spacing w:before="60" w:after="60"/>
              <w:jc w:val="right"/>
              <w:rPr>
                <w:rFonts w:ascii="Arial" w:hAnsi="Arial" w:cs="Arial"/>
                <w:color w:val="000000"/>
                <w:sz w:val="20"/>
                <w:szCs w:val="20"/>
              </w:rPr>
            </w:pPr>
            <w:r w:rsidRPr="00632E6F">
              <w:rPr>
                <w:rFonts w:ascii="Arial" w:hAnsi="Arial"/>
                <w:color w:val="000000"/>
                <w:sz w:val="20"/>
              </w:rPr>
              <w:t>6 months at P-2 level</w:t>
            </w:r>
          </w:p>
        </w:tc>
      </w:tr>
      <w:tr w:rsidR="004B6B2A" w:rsidRPr="00632E6F" w14:paraId="6916D0FA" w14:textId="77777777" w:rsidTr="009C0B2E">
        <w:trPr>
          <w:cantSplit/>
        </w:trPr>
        <w:tc>
          <w:tcPr>
            <w:tcW w:w="6605" w:type="dxa"/>
            <w:vAlign w:val="center"/>
          </w:tcPr>
          <w:p w14:paraId="0BE795E3" w14:textId="77777777" w:rsidR="004B6B2A" w:rsidRPr="00632E6F" w:rsidRDefault="004B6B2A" w:rsidP="009C0B2E">
            <w:pPr>
              <w:spacing w:before="60" w:after="60"/>
              <w:rPr>
                <w:rFonts w:ascii="Arial" w:hAnsi="Arial" w:cs="Arial"/>
                <w:color w:val="000000"/>
                <w:sz w:val="20"/>
                <w:szCs w:val="20"/>
              </w:rPr>
            </w:pPr>
          </w:p>
        </w:tc>
        <w:tc>
          <w:tcPr>
            <w:tcW w:w="2330" w:type="dxa"/>
            <w:vAlign w:val="center"/>
          </w:tcPr>
          <w:p w14:paraId="4E6DE5D4" w14:textId="0C1203D2" w:rsidR="004B6B2A" w:rsidRPr="00632E6F" w:rsidRDefault="00B63E29" w:rsidP="009C0B2E">
            <w:pPr>
              <w:spacing w:before="60" w:after="60"/>
              <w:jc w:val="right"/>
              <w:rPr>
                <w:rFonts w:ascii="Arial" w:hAnsi="Arial" w:cs="Arial"/>
                <w:color w:val="000000"/>
                <w:sz w:val="20"/>
                <w:szCs w:val="20"/>
              </w:rPr>
            </w:pPr>
            <w:r w:rsidRPr="00632E6F">
              <w:rPr>
                <w:rFonts w:ascii="Arial" w:hAnsi="Arial"/>
                <w:color w:val="000000"/>
                <w:sz w:val="20"/>
              </w:rPr>
              <w:t xml:space="preserve">5 </w:t>
            </w:r>
            <w:r w:rsidR="004B6B2A" w:rsidRPr="00632E6F">
              <w:rPr>
                <w:rFonts w:ascii="Arial" w:hAnsi="Arial"/>
                <w:color w:val="000000"/>
                <w:sz w:val="20"/>
              </w:rPr>
              <w:t>months (sponsored trainee)</w:t>
            </w:r>
          </w:p>
        </w:tc>
      </w:tr>
    </w:tbl>
    <w:p w14:paraId="2B5BF44B" w14:textId="77777777" w:rsidR="002E2F53" w:rsidRPr="00632E6F" w:rsidRDefault="002E2F53" w:rsidP="004B6B2A">
      <w:pPr>
        <w:spacing w:before="840" w:after="60"/>
      </w:pPr>
    </w:p>
    <w:sectPr w:rsidR="002E2F53" w:rsidRPr="00632E6F" w:rsidSect="005D586C">
      <w:headerReference w:type="even" r:id="rId27"/>
      <w:headerReference w:type="default" r:id="rId28"/>
      <w:headerReference w:type="first" r:id="rId29"/>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354C" w14:textId="77777777" w:rsidR="003C33E6" w:rsidRDefault="003C33E6" w:rsidP="00655736">
      <w:r>
        <w:separator/>
      </w:r>
    </w:p>
    <w:p w14:paraId="77679154" w14:textId="77777777" w:rsidR="003C33E6" w:rsidRDefault="003C33E6"/>
    <w:p w14:paraId="5B3F32DC" w14:textId="77777777" w:rsidR="003C33E6" w:rsidRDefault="003C33E6" w:rsidP="002E58D4"/>
    <w:p w14:paraId="228EF8C4" w14:textId="77777777" w:rsidR="003C33E6" w:rsidRDefault="003C33E6" w:rsidP="002E58D4"/>
    <w:p w14:paraId="61EA3EAF" w14:textId="77777777" w:rsidR="003C33E6" w:rsidRDefault="003C33E6" w:rsidP="002E58D4"/>
  </w:endnote>
  <w:endnote w:type="continuationSeparator" w:id="0">
    <w:p w14:paraId="5974F64C" w14:textId="77777777" w:rsidR="003C33E6" w:rsidRDefault="003C33E6" w:rsidP="00655736">
      <w:r>
        <w:continuationSeparator/>
      </w:r>
    </w:p>
    <w:p w14:paraId="7719A722" w14:textId="77777777" w:rsidR="003C33E6" w:rsidRDefault="003C33E6"/>
    <w:p w14:paraId="2E2DC847" w14:textId="77777777" w:rsidR="003C33E6" w:rsidRDefault="003C33E6" w:rsidP="002E58D4"/>
    <w:p w14:paraId="2D690843" w14:textId="77777777" w:rsidR="003C33E6" w:rsidRDefault="003C33E6" w:rsidP="002E58D4"/>
    <w:p w14:paraId="316EBC38" w14:textId="77777777" w:rsidR="003C33E6" w:rsidRDefault="003C33E6"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A477" w14:textId="77777777" w:rsidR="003C33E6" w:rsidRDefault="003C33E6" w:rsidP="00C64A8D">
      <w:r>
        <w:separator/>
      </w:r>
    </w:p>
  </w:footnote>
  <w:footnote w:type="continuationSeparator" w:id="0">
    <w:p w14:paraId="02FEFA4F" w14:textId="77777777" w:rsidR="003C33E6" w:rsidRDefault="003C33E6" w:rsidP="00C64A8D">
      <w:r>
        <w:continuationSeparator/>
      </w:r>
    </w:p>
  </w:footnote>
  <w:footnote w:type="continuationNotice" w:id="1">
    <w:p w14:paraId="3799CC60" w14:textId="77777777" w:rsidR="003C33E6" w:rsidRDefault="003C33E6"/>
  </w:footnote>
  <w:footnote w:id="2">
    <w:p w14:paraId="2D01F3A8" w14:textId="121362AD" w:rsidR="00190E3F" w:rsidRPr="00111F0A" w:rsidRDefault="00190E3F" w:rsidP="00D14067">
      <w:pPr>
        <w:pStyle w:val="FootnoteText"/>
        <w:spacing w:after="60"/>
        <w:ind w:left="567" w:hanging="567"/>
        <w:jc w:val="both"/>
        <w:rPr>
          <w:rFonts w:asciiTheme="minorBidi" w:hAnsiTheme="minorBidi" w:cstheme="minorBidi"/>
          <w:sz w:val="18"/>
          <w:szCs w:val="18"/>
        </w:rPr>
      </w:pPr>
      <w:r w:rsidRPr="00F16B0E">
        <w:rPr>
          <w:rStyle w:val="FootnoteReference"/>
          <w:rFonts w:asciiTheme="minorBidi" w:hAnsiTheme="minorBidi" w:cstheme="minorBidi"/>
          <w:sz w:val="18"/>
          <w:szCs w:val="18"/>
          <w:vertAlign w:val="baseline"/>
        </w:rPr>
        <w:footnoteRef/>
      </w:r>
      <w:r w:rsidRPr="00F16B0E">
        <w:rPr>
          <w:rStyle w:val="FootnoteReference"/>
          <w:rFonts w:asciiTheme="minorBidi" w:hAnsiTheme="minorBidi" w:cstheme="minorBidi"/>
          <w:sz w:val="18"/>
          <w:szCs w:val="18"/>
          <w:vertAlign w:val="baseline"/>
        </w:rPr>
        <w:t>.</w:t>
      </w:r>
      <w:r w:rsidRPr="00F16B0E">
        <w:rPr>
          <w:rStyle w:val="FootnoteReference"/>
          <w:rFonts w:asciiTheme="minorBidi" w:hAnsiTheme="minorBidi" w:cstheme="minorBidi"/>
          <w:sz w:val="18"/>
          <w:szCs w:val="18"/>
          <w:vertAlign w:val="baseline"/>
        </w:rPr>
        <w:tab/>
        <w:t>Between the sixteenth session of the Committee in December 2021 and the beginning of the period covered by the present document, three voluntary supplementary contributions were received from the Netherlands and the International Information and Networking Centre for Intangible Cultural Heritage in the Asia-Pacific Region (ICHCAP) – to support capacity building projects, respectively entitled ‘Practical handbook on periodic reporting with a self-learning tool on the Overall results framework for the implementation of the Convention for the Safeguarding of the Intangible Cultural Heritage’ and ‘</w:t>
      </w:r>
      <w:r w:rsidR="00053945" w:rsidRPr="00F16B0E">
        <w:rPr>
          <w:rFonts w:asciiTheme="minorBidi" w:hAnsiTheme="minorBidi" w:cstheme="minorBidi"/>
          <w:sz w:val="18"/>
          <w:szCs w:val="18"/>
        </w:rPr>
        <w:t>Strengthening national capacities for safeguarding intangible cultural heritage and contributing to sustainable development in Kenya</w:t>
      </w:r>
      <w:r w:rsidRPr="00F16B0E">
        <w:rPr>
          <w:rStyle w:val="FootnoteReference"/>
          <w:rFonts w:asciiTheme="minorBidi" w:hAnsiTheme="minorBidi" w:cstheme="minorBidi"/>
          <w:sz w:val="18"/>
          <w:szCs w:val="18"/>
          <w:vertAlign w:val="baseline"/>
        </w:rPr>
        <w:t>'</w:t>
      </w:r>
      <w:r w:rsidR="00D20394" w:rsidRPr="00F16B0E">
        <w:rPr>
          <w:rFonts w:asciiTheme="minorBidi" w:hAnsiTheme="minorBidi" w:cstheme="minorBidi"/>
          <w:sz w:val="18"/>
          <w:szCs w:val="18"/>
        </w:rPr>
        <w:t xml:space="preserve"> </w:t>
      </w:r>
      <w:r w:rsidRPr="00F16B0E">
        <w:rPr>
          <w:rStyle w:val="FootnoteReference"/>
          <w:rFonts w:asciiTheme="minorBidi" w:hAnsiTheme="minorBidi" w:cstheme="minorBidi"/>
          <w:sz w:val="18"/>
          <w:szCs w:val="18"/>
          <w:vertAlign w:val="baseline"/>
        </w:rPr>
        <w:t xml:space="preserve">– as well as from Slovakia for the </w:t>
      </w:r>
      <w:r w:rsidR="00813C1F" w:rsidRPr="00F16B0E">
        <w:rPr>
          <w:rStyle w:val="FootnoteReference"/>
          <w:rFonts w:asciiTheme="minorBidi" w:hAnsiTheme="minorBidi" w:cstheme="minorBidi"/>
          <w:sz w:val="18"/>
          <w:szCs w:val="18"/>
          <w:vertAlign w:val="baseline"/>
        </w:rPr>
        <w:t>sub</w:t>
      </w:r>
      <w:r w:rsidRPr="00F16B0E">
        <w:rPr>
          <w:rStyle w:val="FootnoteReference"/>
          <w:rFonts w:asciiTheme="minorBidi" w:hAnsiTheme="minorBidi" w:cstheme="minorBidi"/>
          <w:sz w:val="18"/>
          <w:szCs w:val="18"/>
          <w:vertAlign w:val="baseline"/>
        </w:rPr>
        <w:t xml:space="preserve">-fund </w:t>
      </w:r>
      <w:r w:rsidR="00813C1F" w:rsidRPr="00F16B0E">
        <w:rPr>
          <w:rStyle w:val="FootnoteReference"/>
          <w:rFonts w:asciiTheme="minorBidi" w:hAnsiTheme="minorBidi" w:cstheme="minorBidi"/>
          <w:sz w:val="18"/>
          <w:szCs w:val="18"/>
          <w:vertAlign w:val="baseline"/>
        </w:rPr>
        <w:t>for Enhancing</w:t>
      </w:r>
      <w:r w:rsidR="00813C1F" w:rsidRPr="00F16B0E">
        <w:rPr>
          <w:rFonts w:asciiTheme="minorBidi" w:hAnsiTheme="minorBidi" w:cstheme="minorBidi"/>
          <w:sz w:val="18"/>
          <w:szCs w:val="18"/>
        </w:rPr>
        <w:t xml:space="preserve"> </w:t>
      </w:r>
      <w:r w:rsidRPr="00F16B0E">
        <w:rPr>
          <w:rStyle w:val="FootnoteReference"/>
          <w:rFonts w:asciiTheme="minorBidi" w:hAnsiTheme="minorBidi" w:cstheme="minorBidi"/>
          <w:sz w:val="18"/>
          <w:szCs w:val="18"/>
          <w:vertAlign w:val="baseline"/>
        </w:rPr>
        <w:t xml:space="preserve">the human </w:t>
      </w:r>
      <w:r w:rsidR="00813C1F" w:rsidRPr="00F16B0E">
        <w:rPr>
          <w:rStyle w:val="FootnoteReference"/>
          <w:rFonts w:asciiTheme="minorBidi" w:hAnsiTheme="minorBidi" w:cstheme="minorBidi"/>
          <w:sz w:val="18"/>
          <w:szCs w:val="18"/>
          <w:vertAlign w:val="baseline"/>
        </w:rPr>
        <w:t>c</w:t>
      </w:r>
      <w:r w:rsidR="00813C1F" w:rsidRPr="00F16B0E">
        <w:rPr>
          <w:rFonts w:asciiTheme="minorBidi" w:hAnsiTheme="minorBidi" w:cstheme="minorBidi"/>
          <w:sz w:val="18"/>
          <w:szCs w:val="18"/>
        </w:rPr>
        <w:t>apacities</w:t>
      </w:r>
      <w:r w:rsidR="00813C1F" w:rsidRPr="00F16B0E">
        <w:rPr>
          <w:rStyle w:val="FootnoteReference"/>
          <w:rFonts w:asciiTheme="minorBidi" w:hAnsiTheme="minorBidi" w:cstheme="minorBidi"/>
          <w:sz w:val="18"/>
          <w:szCs w:val="18"/>
          <w:vertAlign w:val="baseline"/>
        </w:rPr>
        <w:t xml:space="preserve"> </w:t>
      </w:r>
      <w:r w:rsidRPr="00F16B0E">
        <w:rPr>
          <w:rStyle w:val="FootnoteReference"/>
          <w:rFonts w:asciiTheme="minorBidi" w:hAnsiTheme="minorBidi" w:cstheme="minorBidi"/>
          <w:sz w:val="18"/>
          <w:szCs w:val="18"/>
          <w:vertAlign w:val="baseline"/>
        </w:rPr>
        <w:t>of the Secretariat. These three contributions were included in the Report on the Intangible Cultural Heritage Fund for the period 1</w:t>
      </w:r>
      <w:r w:rsidR="00D20394" w:rsidRPr="00F16B0E">
        <w:rPr>
          <w:rFonts w:asciiTheme="minorBidi" w:hAnsiTheme="minorBidi" w:cstheme="minorBidi"/>
          <w:sz w:val="18"/>
          <w:szCs w:val="18"/>
        </w:rPr>
        <w:t> </w:t>
      </w:r>
      <w:r w:rsidRPr="00F16B0E">
        <w:rPr>
          <w:rStyle w:val="FootnoteReference"/>
          <w:rFonts w:asciiTheme="minorBidi" w:hAnsiTheme="minorBidi" w:cstheme="minorBidi"/>
          <w:sz w:val="18"/>
          <w:szCs w:val="18"/>
          <w:vertAlign w:val="baseline"/>
        </w:rPr>
        <w:t>January 2020 to 31 December 2021 (</w:t>
      </w:r>
      <w:r w:rsidR="00985113" w:rsidRPr="00632E6F">
        <w:rPr>
          <w:rStyle w:val="FootnoteReference"/>
          <w:rFonts w:asciiTheme="minorBidi" w:hAnsiTheme="minorBidi" w:cstheme="minorBidi"/>
          <w:sz w:val="18"/>
          <w:szCs w:val="18"/>
          <w:vertAlign w:val="baseline"/>
        </w:rPr>
        <w:t>document </w:t>
      </w:r>
      <w:hyperlink r:id="rId1" w:history="1">
        <w:r w:rsidRPr="00632E6F">
          <w:rPr>
            <w:rStyle w:val="Hyperlink"/>
            <w:rFonts w:asciiTheme="minorBidi" w:hAnsiTheme="minorBidi" w:cstheme="minorBidi"/>
            <w:sz w:val="18"/>
            <w:szCs w:val="18"/>
          </w:rPr>
          <w:t>LHE/22/9.GA/INF.10</w:t>
        </w:r>
      </w:hyperlink>
      <w:r w:rsidRPr="00632E6F">
        <w:rPr>
          <w:rStyle w:val="FootnoteReference"/>
          <w:rFonts w:asciiTheme="minorBidi" w:hAnsiTheme="minorBidi" w:cstheme="minorBidi"/>
          <w:sz w:val="18"/>
          <w:szCs w:val="18"/>
          <w:vertAlign w:val="baseline"/>
        </w:rPr>
        <w:t>) presented to the ninth session of the General Assembly in July 2022.</w:t>
      </w:r>
    </w:p>
  </w:footnote>
  <w:footnote w:id="3">
    <w:p w14:paraId="0BF5C405" w14:textId="6E69914C" w:rsidR="002A0759" w:rsidRPr="00632E6F" w:rsidRDefault="002A0759" w:rsidP="005C3281">
      <w:pPr>
        <w:pStyle w:val="FootnoteText"/>
        <w:spacing w:after="60"/>
        <w:ind w:left="567" w:hanging="567"/>
        <w:jc w:val="both"/>
        <w:rPr>
          <w:rFonts w:asciiTheme="minorBidi" w:hAnsiTheme="minorBidi" w:cstheme="minorBidi"/>
          <w:sz w:val="18"/>
          <w:szCs w:val="18"/>
        </w:rPr>
      </w:pPr>
      <w:r w:rsidRPr="00632E6F">
        <w:rPr>
          <w:rStyle w:val="FootnoteReference"/>
          <w:rFonts w:asciiTheme="minorBidi" w:hAnsiTheme="minorBidi" w:cstheme="minorBidi"/>
          <w:sz w:val="18"/>
          <w:szCs w:val="18"/>
          <w:vertAlign w:val="baseline"/>
        </w:rPr>
        <w:footnoteRef/>
      </w:r>
      <w:r w:rsidRPr="00632E6F">
        <w:rPr>
          <w:rStyle w:val="FootnoteReference"/>
          <w:rFonts w:asciiTheme="minorBidi" w:hAnsiTheme="minorBidi" w:cstheme="minorBidi"/>
          <w:sz w:val="18"/>
          <w:szCs w:val="18"/>
          <w:vertAlign w:val="baseline"/>
        </w:rPr>
        <w:t>.</w:t>
      </w:r>
      <w:r w:rsidRPr="00632E6F">
        <w:rPr>
          <w:rStyle w:val="FootnoteReference"/>
          <w:rFonts w:asciiTheme="minorBidi" w:hAnsiTheme="minorBidi" w:cstheme="minorBidi"/>
          <w:sz w:val="18"/>
          <w:szCs w:val="18"/>
          <w:vertAlign w:val="baseline"/>
        </w:rPr>
        <w:tab/>
      </w:r>
      <w:r w:rsidR="006510CD" w:rsidRPr="00632E6F">
        <w:rPr>
          <w:rStyle w:val="FootnoteReference"/>
          <w:rFonts w:asciiTheme="minorBidi" w:hAnsiTheme="minorBidi" w:cstheme="minorBidi"/>
          <w:sz w:val="18"/>
          <w:szCs w:val="18"/>
          <w:vertAlign w:val="baseline"/>
        </w:rPr>
        <w:t>A</w:t>
      </w:r>
      <w:r w:rsidR="00CE50E2" w:rsidRPr="00632E6F">
        <w:rPr>
          <w:rFonts w:asciiTheme="minorBidi" w:hAnsiTheme="minorBidi" w:cstheme="minorBidi"/>
          <w:sz w:val="18"/>
          <w:szCs w:val="18"/>
        </w:rPr>
        <w:t xml:space="preserve">fter </w:t>
      </w:r>
      <w:r w:rsidRPr="00632E6F">
        <w:rPr>
          <w:rFonts w:asciiTheme="minorBidi" w:hAnsiTheme="minorBidi" w:cstheme="minorBidi"/>
          <w:sz w:val="18"/>
          <w:szCs w:val="18"/>
        </w:rPr>
        <w:t>the period covered by this document,</w:t>
      </w:r>
      <w:r w:rsidRPr="00632E6F">
        <w:rPr>
          <w:rStyle w:val="FootnoteReference"/>
          <w:rFonts w:asciiTheme="minorBidi" w:hAnsiTheme="minorBidi" w:cstheme="minorBidi"/>
          <w:sz w:val="18"/>
          <w:szCs w:val="18"/>
          <w:vertAlign w:val="baseline"/>
        </w:rPr>
        <w:t xml:space="preserve"> an agreement was signed with Monaco for a contribution to the </w:t>
      </w:r>
      <w:r w:rsidR="00E47F79">
        <w:rPr>
          <w:rFonts w:asciiTheme="minorBidi" w:hAnsiTheme="minorBidi" w:cstheme="minorBidi"/>
          <w:sz w:val="18"/>
          <w:szCs w:val="18"/>
        </w:rPr>
        <w:t>s</w:t>
      </w:r>
      <w:r w:rsidRPr="00632E6F">
        <w:rPr>
          <w:rStyle w:val="FootnoteReference"/>
          <w:rFonts w:asciiTheme="minorBidi" w:hAnsiTheme="minorBidi" w:cstheme="minorBidi"/>
          <w:sz w:val="18"/>
          <w:szCs w:val="18"/>
          <w:vertAlign w:val="baseline"/>
        </w:rPr>
        <w:t>ub-fund in the amount of 10,000</w:t>
      </w:r>
      <w:r w:rsidR="006510CD" w:rsidRPr="00632E6F">
        <w:rPr>
          <w:rStyle w:val="FootnoteReference"/>
          <w:rFonts w:asciiTheme="minorBidi" w:hAnsiTheme="minorBidi" w:cstheme="minorBidi"/>
          <w:sz w:val="18"/>
          <w:szCs w:val="18"/>
          <w:vertAlign w:val="baseline"/>
        </w:rPr>
        <w:t xml:space="preserve"> EUR</w:t>
      </w:r>
      <w:r w:rsidRPr="00632E6F">
        <w:rPr>
          <w:rStyle w:val="FootnoteReference"/>
          <w:rFonts w:asciiTheme="minorBidi" w:hAnsiTheme="minorBidi" w:cstheme="minorBidi"/>
          <w:sz w:val="18"/>
          <w:szCs w:val="18"/>
          <w:vertAlign w:val="baseline"/>
        </w:rPr>
        <w:t xml:space="preserve">; this will be included in the </w:t>
      </w:r>
      <w:r w:rsidRPr="00632E6F">
        <w:rPr>
          <w:rFonts w:asciiTheme="minorBidi" w:hAnsiTheme="minorBidi" w:cstheme="minorBidi"/>
          <w:sz w:val="18"/>
          <w:szCs w:val="18"/>
        </w:rPr>
        <w:t xml:space="preserve">financial </w:t>
      </w:r>
      <w:r w:rsidR="006510CD" w:rsidRPr="00632E6F">
        <w:rPr>
          <w:rFonts w:asciiTheme="minorBidi" w:hAnsiTheme="minorBidi" w:cstheme="minorBidi"/>
          <w:sz w:val="18"/>
          <w:szCs w:val="18"/>
        </w:rPr>
        <w:t xml:space="preserve">report to </w:t>
      </w:r>
      <w:r w:rsidRPr="00632E6F">
        <w:rPr>
          <w:rFonts w:asciiTheme="minorBidi" w:hAnsiTheme="minorBidi" w:cstheme="minorBidi"/>
          <w:sz w:val="18"/>
          <w:szCs w:val="18"/>
        </w:rPr>
        <w:t>be presented to the Committee at</w:t>
      </w:r>
      <w:r w:rsidRPr="00632E6F">
        <w:rPr>
          <w:rStyle w:val="FootnoteReference"/>
          <w:rFonts w:asciiTheme="minorBidi" w:hAnsiTheme="minorBidi" w:cstheme="minorBidi"/>
          <w:sz w:val="18"/>
          <w:szCs w:val="18"/>
          <w:vertAlign w:val="baseline"/>
        </w:rPr>
        <w:t xml:space="preserve"> its eighteenth session</w:t>
      </w:r>
      <w:r w:rsidRPr="00632E6F">
        <w:rPr>
          <w:rFonts w:asciiTheme="minorBidi" w:hAnsiTheme="minorBidi" w:cstheme="minorBidi"/>
          <w:sz w:val="18"/>
          <w:szCs w:val="18"/>
        </w:rPr>
        <w:t xml:space="preserve"> in 2023</w:t>
      </w:r>
      <w:r w:rsidRPr="00632E6F">
        <w:rPr>
          <w:rStyle w:val="FootnoteReference"/>
          <w:rFonts w:asciiTheme="minorBidi" w:hAnsiTheme="minorBidi" w:cstheme="minorBidi"/>
          <w:sz w:val="18"/>
          <w:szCs w:val="18"/>
          <w:vertAlign w:val="baseline"/>
        </w:rPr>
        <w:t>.</w:t>
      </w:r>
    </w:p>
  </w:footnote>
  <w:footnote w:id="4">
    <w:p w14:paraId="6E6DB11B" w14:textId="71A01FF7" w:rsidR="00C02678" w:rsidRPr="00632E6F" w:rsidRDefault="00C02678" w:rsidP="005C3281">
      <w:pPr>
        <w:pStyle w:val="FootnoteText"/>
        <w:spacing w:after="60"/>
        <w:ind w:left="567" w:hanging="567"/>
        <w:jc w:val="both"/>
        <w:rPr>
          <w:rFonts w:asciiTheme="minorBidi" w:hAnsiTheme="minorBidi" w:cstheme="minorBidi"/>
          <w:sz w:val="18"/>
          <w:szCs w:val="18"/>
        </w:rPr>
      </w:pPr>
      <w:r w:rsidRPr="00632E6F">
        <w:rPr>
          <w:rStyle w:val="FootnoteReference"/>
          <w:rFonts w:asciiTheme="minorBidi" w:hAnsiTheme="minorBidi" w:cstheme="minorBidi"/>
          <w:sz w:val="18"/>
          <w:szCs w:val="18"/>
          <w:vertAlign w:val="baseline"/>
        </w:rPr>
        <w:footnoteRef/>
      </w:r>
      <w:r w:rsidRPr="00632E6F">
        <w:rPr>
          <w:rFonts w:asciiTheme="minorBidi" w:hAnsiTheme="minorBidi" w:cstheme="minorBidi"/>
          <w:sz w:val="18"/>
          <w:szCs w:val="18"/>
        </w:rPr>
        <w:t xml:space="preserve">. </w:t>
      </w:r>
      <w:r w:rsidRPr="00632E6F">
        <w:rPr>
          <w:rFonts w:asciiTheme="minorBidi" w:hAnsiTheme="minorBidi" w:cstheme="minorBidi"/>
          <w:sz w:val="18"/>
          <w:szCs w:val="18"/>
        </w:rPr>
        <w:tab/>
        <w:t xml:space="preserve">Regarding recent contributions </w:t>
      </w:r>
      <w:r w:rsidR="00B57EB1" w:rsidRPr="00632E6F">
        <w:rPr>
          <w:rFonts w:asciiTheme="minorBidi" w:hAnsiTheme="minorBidi" w:cstheme="minorBidi"/>
          <w:sz w:val="18"/>
          <w:szCs w:val="18"/>
        </w:rPr>
        <w:t xml:space="preserve">supporting projects in </w:t>
      </w:r>
      <w:r w:rsidRPr="00632E6F">
        <w:rPr>
          <w:rFonts w:asciiTheme="minorBidi" w:hAnsiTheme="minorBidi" w:cstheme="minorBidi"/>
          <w:sz w:val="18"/>
          <w:szCs w:val="18"/>
        </w:rPr>
        <w:t>Kenya and Tanzania, activities are expected to start at the end of 2022</w:t>
      </w:r>
      <w:r w:rsidR="009B3F7D" w:rsidRPr="00632E6F">
        <w:rPr>
          <w:rFonts w:asciiTheme="minorBidi" w:hAnsiTheme="minorBidi" w:cstheme="minorBidi"/>
          <w:sz w:val="18"/>
          <w:szCs w:val="18"/>
        </w:rPr>
        <w:t>;</w:t>
      </w:r>
      <w:r w:rsidRPr="00632E6F">
        <w:rPr>
          <w:rFonts w:asciiTheme="minorBidi" w:hAnsiTheme="minorBidi" w:cstheme="minorBidi"/>
          <w:sz w:val="18"/>
          <w:szCs w:val="18"/>
        </w:rPr>
        <w:t xml:space="preserve"> narrative reports </w:t>
      </w:r>
      <w:r w:rsidR="009B3F7D" w:rsidRPr="00632E6F">
        <w:rPr>
          <w:rFonts w:asciiTheme="minorBidi" w:hAnsiTheme="minorBidi" w:cstheme="minorBidi"/>
          <w:sz w:val="18"/>
          <w:szCs w:val="18"/>
        </w:rPr>
        <w:t>will therefore be made</w:t>
      </w:r>
      <w:r w:rsidRPr="00632E6F">
        <w:rPr>
          <w:rFonts w:asciiTheme="minorBidi" w:hAnsiTheme="minorBidi" w:cstheme="minorBidi"/>
          <w:sz w:val="18"/>
          <w:szCs w:val="18"/>
        </w:rPr>
        <w:t xml:space="preserve"> available</w:t>
      </w:r>
      <w:r w:rsidR="009B3F7D" w:rsidRPr="00632E6F">
        <w:rPr>
          <w:rFonts w:asciiTheme="minorBidi" w:hAnsiTheme="minorBidi" w:cstheme="minorBidi"/>
          <w:sz w:val="18"/>
          <w:szCs w:val="18"/>
        </w:rPr>
        <w:t xml:space="preserve"> </w:t>
      </w:r>
      <w:r w:rsidR="00B57EB1" w:rsidRPr="00632E6F">
        <w:rPr>
          <w:rFonts w:asciiTheme="minorBidi" w:hAnsiTheme="minorBidi" w:cstheme="minorBidi"/>
          <w:sz w:val="18"/>
          <w:szCs w:val="18"/>
        </w:rPr>
        <w:t>for</w:t>
      </w:r>
      <w:r w:rsidR="009B3F7D" w:rsidRPr="00632E6F">
        <w:rPr>
          <w:rFonts w:asciiTheme="minorBidi" w:hAnsiTheme="minorBidi" w:cstheme="minorBidi"/>
          <w:sz w:val="18"/>
          <w:szCs w:val="18"/>
        </w:rPr>
        <w:t xml:space="preserve"> the next session of the Committee</w:t>
      </w:r>
      <w:r w:rsidRPr="00632E6F">
        <w:rPr>
          <w:rFonts w:asciiTheme="minorBidi" w:hAnsiTheme="minorBidi" w:cstheme="minorBidi"/>
          <w:sz w:val="18"/>
          <w:szCs w:val="18"/>
        </w:rPr>
        <w:t>.</w:t>
      </w:r>
    </w:p>
  </w:footnote>
  <w:footnote w:id="5">
    <w:p w14:paraId="0130547B" w14:textId="0011380B" w:rsidR="00E01E41" w:rsidRPr="00632E6F" w:rsidRDefault="00E01E41" w:rsidP="00E01E41">
      <w:pPr>
        <w:pStyle w:val="FootnoteText"/>
        <w:spacing w:after="60"/>
        <w:ind w:left="567" w:hanging="567"/>
        <w:jc w:val="both"/>
        <w:rPr>
          <w:rFonts w:asciiTheme="minorBidi" w:hAnsiTheme="minorBidi" w:cstheme="minorBidi"/>
          <w:sz w:val="18"/>
          <w:szCs w:val="18"/>
        </w:rPr>
      </w:pPr>
      <w:r w:rsidRPr="00632E6F">
        <w:rPr>
          <w:rStyle w:val="FootnoteReference"/>
          <w:rFonts w:asciiTheme="minorBidi" w:hAnsiTheme="minorBidi" w:cstheme="minorBidi"/>
          <w:sz w:val="18"/>
          <w:szCs w:val="18"/>
          <w:vertAlign w:val="baseline"/>
        </w:rPr>
        <w:footnoteRef/>
      </w:r>
      <w:r w:rsidRPr="00632E6F">
        <w:rPr>
          <w:rFonts w:asciiTheme="minorBidi" w:hAnsiTheme="minorBidi" w:cstheme="minorBidi"/>
          <w:sz w:val="18"/>
          <w:szCs w:val="18"/>
        </w:rPr>
        <w:t xml:space="preserve">. </w:t>
      </w:r>
      <w:r w:rsidRPr="00632E6F">
        <w:rPr>
          <w:rFonts w:asciiTheme="minorBidi" w:hAnsiTheme="minorBidi" w:cstheme="minorBidi"/>
          <w:sz w:val="18"/>
          <w:szCs w:val="18"/>
        </w:rPr>
        <w:tab/>
        <w:t xml:space="preserve">This includes projects that fall under the </w:t>
      </w:r>
      <w:r w:rsidR="00B57EB1" w:rsidRPr="00632E6F">
        <w:rPr>
          <w:rFonts w:asciiTheme="minorBidi" w:hAnsiTheme="minorBidi" w:cstheme="minorBidi"/>
          <w:sz w:val="18"/>
          <w:szCs w:val="18"/>
        </w:rPr>
        <w:t xml:space="preserve">Output 5.CLT4 </w:t>
      </w:r>
      <w:r w:rsidRPr="00632E6F">
        <w:rPr>
          <w:rFonts w:asciiTheme="minorBidi" w:hAnsiTheme="minorBidi" w:cstheme="minorBidi"/>
          <w:sz w:val="18"/>
          <w:szCs w:val="18"/>
        </w:rPr>
        <w:t>of</w:t>
      </w:r>
      <w:r w:rsidR="00B57EB1" w:rsidRPr="00632E6F">
        <w:rPr>
          <w:rFonts w:asciiTheme="minorBidi" w:hAnsiTheme="minorBidi" w:cstheme="minorBidi"/>
          <w:sz w:val="18"/>
          <w:szCs w:val="18"/>
        </w:rPr>
        <w:t xml:space="preserve"> the</w:t>
      </w:r>
      <w:r w:rsidRPr="00632E6F">
        <w:rPr>
          <w:rFonts w:asciiTheme="minorBidi" w:hAnsiTheme="minorBidi" w:cstheme="minorBidi"/>
          <w:sz w:val="18"/>
          <w:szCs w:val="18"/>
        </w:rPr>
        <w:t xml:space="preserve"> </w:t>
      </w:r>
      <w:hyperlink r:id="rId2" w:history="1">
        <w:r w:rsidRPr="00632E6F">
          <w:rPr>
            <w:rStyle w:val="Hyperlink"/>
            <w:rFonts w:asciiTheme="minorBidi" w:hAnsiTheme="minorBidi" w:cstheme="minorBidi"/>
            <w:sz w:val="18"/>
            <w:szCs w:val="18"/>
          </w:rPr>
          <w:t>41 C/5</w:t>
        </w:r>
      </w:hyperlink>
      <w:r w:rsidR="00B57EB1" w:rsidRPr="00632E6F">
        <w:rPr>
          <w:rFonts w:asciiTheme="minorBidi" w:hAnsiTheme="minorBidi" w:cstheme="minorBidi"/>
          <w:sz w:val="18"/>
          <w:szCs w:val="18"/>
        </w:rPr>
        <w:t xml:space="preserve"> ‘</w:t>
      </w:r>
      <w:r w:rsidRPr="00632E6F">
        <w:rPr>
          <w:rFonts w:asciiTheme="minorBidi" w:hAnsiTheme="minorBidi" w:cstheme="minorBidi"/>
          <w:sz w:val="18"/>
          <w:szCs w:val="18"/>
        </w:rPr>
        <w:t>Strengthening the capacities of Member States and communities to identify, safeguard and promote living heritage</w:t>
      </w:r>
      <w:r w:rsidR="00B57EB1" w:rsidRPr="00632E6F">
        <w:rPr>
          <w:rFonts w:asciiTheme="minorBidi" w:hAnsiTheme="minorBidi" w:cstheme="minorBidi"/>
          <w:sz w:val="18"/>
          <w:szCs w:val="18"/>
        </w:rPr>
        <w:t>’</w:t>
      </w:r>
      <w:r w:rsidRPr="00632E6F">
        <w:rPr>
          <w:rFonts w:asciiTheme="minorBidi" w:hAnsiTheme="minorBidi" w:cstheme="minorBidi"/>
          <w:sz w:val="18"/>
          <w:szCs w:val="18"/>
        </w:rPr>
        <w:t xml:space="preserve">. The projects initiated, </w:t>
      </w:r>
      <w:r w:rsidR="00B57EB1" w:rsidRPr="00632E6F">
        <w:rPr>
          <w:rFonts w:asciiTheme="minorBidi" w:hAnsiTheme="minorBidi" w:cstheme="minorBidi"/>
          <w:sz w:val="18"/>
          <w:szCs w:val="18"/>
        </w:rPr>
        <w:t xml:space="preserve">under implementation </w:t>
      </w:r>
      <w:r w:rsidRPr="00632E6F">
        <w:rPr>
          <w:rFonts w:asciiTheme="minorBidi" w:hAnsiTheme="minorBidi" w:cstheme="minorBidi"/>
          <w:sz w:val="18"/>
          <w:szCs w:val="18"/>
        </w:rPr>
        <w:t xml:space="preserve">or completed during the </w:t>
      </w:r>
      <w:r w:rsidR="00B57EB1" w:rsidRPr="00632E6F">
        <w:rPr>
          <w:rFonts w:asciiTheme="minorBidi" w:hAnsiTheme="minorBidi" w:cstheme="minorBidi"/>
          <w:sz w:val="18"/>
          <w:szCs w:val="18"/>
        </w:rPr>
        <w:t>reporting period</w:t>
      </w:r>
      <w:r w:rsidRPr="00632E6F">
        <w:rPr>
          <w:rFonts w:asciiTheme="minorBidi" w:hAnsiTheme="minorBidi" w:cstheme="minorBidi"/>
          <w:sz w:val="18"/>
          <w:szCs w:val="18"/>
        </w:rPr>
        <w:t xml:space="preserve"> are considered active. Donor contributions may have been partially or fully received before or during the period under consideration.</w:t>
      </w:r>
      <w:r w:rsidR="006D4076" w:rsidRPr="00632E6F">
        <w:rPr>
          <w:rFonts w:asciiTheme="minorBidi" w:hAnsiTheme="minorBidi" w:cstheme="minorBidi"/>
          <w:sz w:val="18"/>
          <w:szCs w:val="18"/>
        </w:rPr>
        <w:t xml:space="preserve"> Field Offices – or Headquarters in the case of global activities – responsible for implementing each project are shown in brackets after the name of the donor.</w:t>
      </w:r>
    </w:p>
  </w:footnote>
  <w:footnote w:id="6">
    <w:p w14:paraId="410306B1" w14:textId="77777777" w:rsidR="00AE2EC9" w:rsidRPr="00632E6F" w:rsidRDefault="00AE2EC9" w:rsidP="00AE2EC9">
      <w:pPr>
        <w:pStyle w:val="FootnoteText"/>
        <w:spacing w:after="60"/>
        <w:ind w:left="567" w:hanging="567"/>
        <w:jc w:val="both"/>
        <w:rPr>
          <w:rFonts w:asciiTheme="minorBidi" w:hAnsiTheme="minorBidi" w:cstheme="minorBidi"/>
          <w:sz w:val="18"/>
          <w:szCs w:val="18"/>
        </w:rPr>
      </w:pPr>
      <w:r w:rsidRPr="00632E6F">
        <w:rPr>
          <w:rStyle w:val="FootnoteReference"/>
          <w:rFonts w:asciiTheme="minorBidi" w:hAnsiTheme="minorBidi" w:cstheme="minorBidi"/>
          <w:sz w:val="18"/>
          <w:szCs w:val="18"/>
          <w:vertAlign w:val="baseline"/>
        </w:rPr>
        <w:footnoteRef/>
      </w:r>
      <w:r w:rsidRPr="00632E6F">
        <w:rPr>
          <w:rFonts w:asciiTheme="minorBidi" w:hAnsiTheme="minorBidi" w:cstheme="minorBidi"/>
          <w:sz w:val="18"/>
          <w:szCs w:val="18"/>
        </w:rPr>
        <w:t xml:space="preserve">. </w:t>
      </w:r>
      <w:r w:rsidRPr="00632E6F">
        <w:rPr>
          <w:rFonts w:asciiTheme="minorBidi" w:hAnsiTheme="minorBidi" w:cstheme="minorBidi"/>
          <w:sz w:val="18"/>
          <w:szCs w:val="18"/>
        </w:rPr>
        <w:tab/>
        <w:t xml:space="preserve">Information provided by the Living Heritage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B847" w14:textId="77777777" w:rsidR="006B5001" w:rsidRPr="002E58D4" w:rsidRDefault="008F09EC" w:rsidP="00461168">
    <w:pPr>
      <w:pStyle w:val="Header"/>
      <w:rPr>
        <w:rFonts w:ascii="Arial" w:hAnsi="Arial" w:cs="Arial"/>
      </w:rPr>
    </w:pPr>
    <w:r>
      <w:rPr>
        <w:rFonts w:ascii="Arial" w:hAnsi="Arial"/>
        <w:sz w:val="20"/>
        <w:szCs w:val="20"/>
      </w:rPr>
      <w:t xml:space="preserve">LHE/22/17.COM/12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rPr>
      <w:instrText xml:space="preserve"> </w:instrText>
    </w:r>
    <w:r w:rsidR="00E9376C">
      <w:rPr>
        <w:rStyle w:val="PageNumber"/>
        <w:rFonts w:ascii="Arial" w:hAnsi="Arial" w:cs="Arial"/>
        <w:sz w:val="20"/>
        <w:szCs w:val="20"/>
      </w:rPr>
      <w:instrText>PAGE</w:instrText>
    </w:r>
    <w:r w:rsidR="00E9376C" w:rsidRPr="00EF563B">
      <w:rPr>
        <w:rStyle w:val="PageNumber"/>
        <w:rFonts w:ascii="Arial" w:hAnsi="Arial" w:cs="Arial"/>
        <w:sz w:val="20"/>
        <w:szCs w:val="20"/>
      </w:rPr>
      <w:instrText xml:space="preserve"> </w:instrText>
    </w:r>
    <w:r w:rsidR="00E9376C" w:rsidRPr="00EF563B">
      <w:rPr>
        <w:rStyle w:val="PageNumber"/>
        <w:rFonts w:ascii="Arial" w:hAnsi="Arial" w:cs="Arial"/>
        <w:sz w:val="20"/>
        <w:szCs w:val="20"/>
      </w:rPr>
      <w:fldChar w:fldCharType="separate"/>
    </w:r>
    <w:r w:rsidR="00316252">
      <w:rPr>
        <w:rStyle w:val="PageNumber"/>
        <w:rFonts w:ascii="Arial" w:hAnsi="Arial" w:cs="Arial"/>
        <w:noProof/>
        <w:sz w:val="20"/>
        <w:szCs w:val="20"/>
      </w:rPr>
      <w:t>8</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5F1D" w14:textId="77777777" w:rsidR="006B5001" w:rsidRPr="00BC3420" w:rsidRDefault="008F09EC" w:rsidP="00461168">
    <w:pPr>
      <w:pStyle w:val="Header"/>
      <w:jc w:val="right"/>
      <w:rPr>
        <w:rFonts w:ascii="Arial" w:hAnsi="Arial" w:cs="Arial"/>
      </w:rPr>
    </w:pPr>
    <w:r>
      <w:rPr>
        <w:rFonts w:ascii="Arial" w:hAnsi="Arial"/>
        <w:sz w:val="20"/>
        <w:szCs w:val="20"/>
      </w:rPr>
      <w:t xml:space="preserve">LHE/22/17.COM/12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rPr>
      <w:instrText xml:space="preserve"> </w:instrText>
    </w:r>
    <w:r w:rsidR="002C0D14">
      <w:rPr>
        <w:rStyle w:val="PageNumber"/>
        <w:rFonts w:ascii="Arial" w:hAnsi="Arial" w:cs="Arial"/>
        <w:sz w:val="20"/>
        <w:szCs w:val="20"/>
      </w:rPr>
      <w:instrText>PAGE</w:instrText>
    </w:r>
    <w:r w:rsidR="002C0D14" w:rsidRPr="00EF563B">
      <w:rPr>
        <w:rStyle w:val="PageNumber"/>
        <w:rFonts w:ascii="Arial" w:hAnsi="Arial" w:cs="Arial"/>
        <w:sz w:val="20"/>
        <w:szCs w:val="20"/>
      </w:rPr>
      <w:instrText xml:space="preserve"> </w:instrText>
    </w:r>
    <w:r w:rsidR="002C0D14" w:rsidRPr="00EF563B">
      <w:rPr>
        <w:rStyle w:val="PageNumber"/>
        <w:rFonts w:ascii="Arial" w:hAnsi="Arial" w:cs="Arial"/>
        <w:sz w:val="20"/>
        <w:szCs w:val="20"/>
      </w:rPr>
      <w:fldChar w:fldCharType="separate"/>
    </w:r>
    <w:r w:rsidR="00316252">
      <w:rPr>
        <w:rStyle w:val="PageNumber"/>
        <w:rFonts w:ascii="Arial" w:hAnsi="Arial" w:cs="Arial"/>
        <w:noProof/>
        <w:sz w:val="20"/>
        <w:szCs w:val="20"/>
      </w:rPr>
      <w:t>7</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05BB" w14:textId="77777777" w:rsidR="00E9376C" w:rsidRPr="008B64DF" w:rsidRDefault="00DC72E7">
    <w:pPr>
      <w:pStyle w:val="Header"/>
      <w:rPr>
        <w:sz w:val="22"/>
        <w:szCs w:val="22"/>
      </w:rPr>
    </w:pPr>
    <w:r>
      <w:rPr>
        <w:noProof/>
        <w:lang w:val="fr-FR"/>
      </w:rPr>
      <w:drawing>
        <wp:anchor distT="0" distB="0" distL="114300" distR="114300" simplePos="0" relativeHeight="251658752" behindDoc="0" locked="0" layoutInCell="1" allowOverlap="1" wp14:anchorId="09684A1C" wp14:editId="00EFD61D">
          <wp:simplePos x="0" y="0"/>
          <wp:positionH relativeFrom="column">
            <wp:posOffset>3810</wp:posOffset>
          </wp:positionH>
          <wp:positionV relativeFrom="paragraph">
            <wp:posOffset>157480</wp:posOffset>
          </wp:positionV>
          <wp:extent cx="1711325" cy="1296035"/>
          <wp:effectExtent l="0" t="0" r="3175" b="0"/>
          <wp:wrapSquare wrapText="bothSides"/>
          <wp:docPr id="2"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B7BCD" w14:textId="77777777" w:rsidR="00E9376C" w:rsidRPr="00C318BF" w:rsidRDefault="00EA602C" w:rsidP="008F09EC">
    <w:pPr>
      <w:pStyle w:val="Header"/>
      <w:spacing w:after="520"/>
      <w:jc w:val="right"/>
      <w:rPr>
        <w:rFonts w:ascii="Arial" w:hAnsi="Arial" w:cs="Arial"/>
        <w:b/>
        <w:sz w:val="44"/>
        <w:szCs w:val="44"/>
      </w:rPr>
    </w:pPr>
    <w:r>
      <w:rPr>
        <w:rFonts w:ascii="Arial" w:hAnsi="Arial"/>
        <w:b/>
        <w:sz w:val="44"/>
        <w:szCs w:val="44"/>
      </w:rPr>
      <w:t>17 COM</w:t>
    </w:r>
  </w:p>
  <w:p w14:paraId="0189290B" w14:textId="77777777" w:rsidR="00E9376C" w:rsidRPr="00C318BF" w:rsidRDefault="008F09EC" w:rsidP="008F09EC">
    <w:pPr>
      <w:jc w:val="right"/>
      <w:rPr>
        <w:rFonts w:ascii="Arial" w:hAnsi="Arial" w:cs="Arial"/>
        <w:b/>
        <w:sz w:val="22"/>
        <w:szCs w:val="22"/>
      </w:rPr>
    </w:pPr>
    <w:r>
      <w:rPr>
        <w:rFonts w:ascii="Arial" w:hAnsi="Arial"/>
        <w:b/>
        <w:sz w:val="22"/>
        <w:szCs w:val="22"/>
      </w:rPr>
      <w:t>LHE/22/17.COM/12</w:t>
    </w:r>
  </w:p>
  <w:p w14:paraId="05F82CA5" w14:textId="77777777" w:rsidR="00E9376C" w:rsidRPr="00C318BF" w:rsidRDefault="008F09EC" w:rsidP="007E60C6">
    <w:pPr>
      <w:jc w:val="right"/>
      <w:rPr>
        <w:rFonts w:ascii="Arial" w:eastAsiaTheme="minorEastAsia" w:hAnsi="Arial" w:cs="Arial"/>
        <w:b/>
        <w:sz w:val="22"/>
        <w:szCs w:val="22"/>
      </w:rPr>
    </w:pPr>
    <w:r w:rsidRPr="002E16EF">
      <w:rPr>
        <w:rFonts w:ascii="Arial" w:hAnsi="Arial"/>
        <w:b/>
        <w:sz w:val="22"/>
        <w:szCs w:val="22"/>
      </w:rPr>
      <w:t xml:space="preserve">Paris, </w:t>
    </w:r>
    <w:r w:rsidRPr="00111F0A">
      <w:rPr>
        <w:rFonts w:ascii="Arial" w:hAnsi="Arial"/>
        <w:b/>
        <w:sz w:val="22"/>
        <w:szCs w:val="22"/>
      </w:rPr>
      <w:t xml:space="preserve">31 October </w:t>
    </w:r>
    <w:r w:rsidRPr="002E16EF">
      <w:rPr>
        <w:rFonts w:ascii="Arial" w:hAnsi="Arial"/>
        <w:b/>
        <w:sz w:val="22"/>
        <w:szCs w:val="22"/>
      </w:rPr>
      <w:t>2022</w:t>
    </w:r>
  </w:p>
  <w:p w14:paraId="1CD55869" w14:textId="77777777" w:rsidR="00E9376C" w:rsidRPr="0020150F" w:rsidRDefault="00E9376C" w:rsidP="00F84A0B">
    <w:pPr>
      <w:spacing w:after="240"/>
      <w:jc w:val="right"/>
      <w:rPr>
        <w:rFonts w:ascii="Arial" w:hAnsi="Arial" w:cs="Arial"/>
        <w:b/>
        <w:sz w:val="22"/>
        <w:szCs w:val="22"/>
      </w:rPr>
    </w:pPr>
    <w:r>
      <w:rPr>
        <w:rFonts w:ascii="Arial" w:hAnsi="Arial"/>
        <w:b/>
        <w:sz w:val="22"/>
        <w:szCs w:val="22"/>
      </w:rPr>
      <w:t>Original: English</w:t>
    </w:r>
  </w:p>
  <w:p w14:paraId="3FAD8866"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FF9"/>
    <w:multiLevelType w:val="hybridMultilevel"/>
    <w:tmpl w:val="90603A9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BC37EF"/>
    <w:multiLevelType w:val="hybridMultilevel"/>
    <w:tmpl w:val="011861E4"/>
    <w:lvl w:ilvl="0" w:tplc="7CCAD88C">
      <w:start w:val="3"/>
      <w:numFmt w:val="upperLetter"/>
      <w:lvlText w:val="%1."/>
      <w:lvlJc w:val="left"/>
      <w:pPr>
        <w:ind w:left="6298" w:hanging="60"/>
      </w:pPr>
      <w:rPr>
        <w:rFonts w:hint="default"/>
        <w:sz w:val="22"/>
        <w:szCs w:val="22"/>
      </w:rPr>
    </w:lvl>
    <w:lvl w:ilvl="1" w:tplc="040C0019" w:tentative="1">
      <w:start w:val="1"/>
      <w:numFmt w:val="lowerLetter"/>
      <w:lvlText w:val="%2."/>
      <w:lvlJc w:val="left"/>
      <w:pPr>
        <w:ind w:left="4438" w:hanging="360"/>
      </w:pPr>
    </w:lvl>
    <w:lvl w:ilvl="2" w:tplc="040C001B" w:tentative="1">
      <w:start w:val="1"/>
      <w:numFmt w:val="lowerRoman"/>
      <w:lvlText w:val="%3."/>
      <w:lvlJc w:val="right"/>
      <w:pPr>
        <w:ind w:left="5158" w:hanging="180"/>
      </w:pPr>
    </w:lvl>
    <w:lvl w:ilvl="3" w:tplc="040C000F" w:tentative="1">
      <w:start w:val="1"/>
      <w:numFmt w:val="decimal"/>
      <w:lvlText w:val="%4."/>
      <w:lvlJc w:val="left"/>
      <w:pPr>
        <w:ind w:left="5878" w:hanging="360"/>
      </w:pPr>
    </w:lvl>
    <w:lvl w:ilvl="4" w:tplc="040C0019" w:tentative="1">
      <w:start w:val="1"/>
      <w:numFmt w:val="lowerLetter"/>
      <w:lvlText w:val="%5."/>
      <w:lvlJc w:val="left"/>
      <w:pPr>
        <w:ind w:left="6598" w:hanging="360"/>
      </w:pPr>
    </w:lvl>
    <w:lvl w:ilvl="5" w:tplc="040C001B" w:tentative="1">
      <w:start w:val="1"/>
      <w:numFmt w:val="lowerRoman"/>
      <w:lvlText w:val="%6."/>
      <w:lvlJc w:val="right"/>
      <w:pPr>
        <w:ind w:left="7318" w:hanging="180"/>
      </w:pPr>
    </w:lvl>
    <w:lvl w:ilvl="6" w:tplc="040C000F" w:tentative="1">
      <w:start w:val="1"/>
      <w:numFmt w:val="decimal"/>
      <w:lvlText w:val="%7."/>
      <w:lvlJc w:val="left"/>
      <w:pPr>
        <w:ind w:left="8038" w:hanging="360"/>
      </w:pPr>
    </w:lvl>
    <w:lvl w:ilvl="7" w:tplc="040C0019" w:tentative="1">
      <w:start w:val="1"/>
      <w:numFmt w:val="lowerLetter"/>
      <w:lvlText w:val="%8."/>
      <w:lvlJc w:val="left"/>
      <w:pPr>
        <w:ind w:left="8758" w:hanging="360"/>
      </w:pPr>
    </w:lvl>
    <w:lvl w:ilvl="8" w:tplc="040C001B" w:tentative="1">
      <w:start w:val="1"/>
      <w:numFmt w:val="lowerRoman"/>
      <w:lvlText w:val="%9."/>
      <w:lvlJc w:val="right"/>
      <w:pPr>
        <w:ind w:left="9478"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0664A"/>
    <w:multiLevelType w:val="hybridMultilevel"/>
    <w:tmpl w:val="8CBA60DC"/>
    <w:lvl w:ilvl="0" w:tplc="9954D22C">
      <w:start w:val="1"/>
      <w:numFmt w:val="bullet"/>
      <w:lvlText w:val="-"/>
      <w:lvlJc w:val="left"/>
      <w:pPr>
        <w:ind w:left="922" w:hanging="360"/>
      </w:pPr>
      <w:rPr>
        <w:rFonts w:ascii="Arial" w:eastAsia="Times New Roman" w:hAnsi="Arial" w:cs="Arial" w:hint="default"/>
      </w:rPr>
    </w:lvl>
    <w:lvl w:ilvl="1" w:tplc="040C0003" w:tentative="1">
      <w:start w:val="1"/>
      <w:numFmt w:val="bullet"/>
      <w:lvlText w:val="o"/>
      <w:lvlJc w:val="left"/>
      <w:pPr>
        <w:ind w:left="1642" w:hanging="360"/>
      </w:pPr>
      <w:rPr>
        <w:rFonts w:ascii="Courier New" w:hAnsi="Courier New" w:cs="Courier New" w:hint="default"/>
      </w:rPr>
    </w:lvl>
    <w:lvl w:ilvl="2" w:tplc="040C0005" w:tentative="1">
      <w:start w:val="1"/>
      <w:numFmt w:val="bullet"/>
      <w:lvlText w:val=""/>
      <w:lvlJc w:val="left"/>
      <w:pPr>
        <w:ind w:left="2362" w:hanging="360"/>
      </w:pPr>
      <w:rPr>
        <w:rFonts w:ascii="Wingdings" w:hAnsi="Wingdings" w:hint="default"/>
      </w:rPr>
    </w:lvl>
    <w:lvl w:ilvl="3" w:tplc="040C0001" w:tentative="1">
      <w:start w:val="1"/>
      <w:numFmt w:val="bullet"/>
      <w:lvlText w:val=""/>
      <w:lvlJc w:val="left"/>
      <w:pPr>
        <w:ind w:left="3082" w:hanging="360"/>
      </w:pPr>
      <w:rPr>
        <w:rFonts w:ascii="Symbol" w:hAnsi="Symbol" w:hint="default"/>
      </w:rPr>
    </w:lvl>
    <w:lvl w:ilvl="4" w:tplc="040C0003" w:tentative="1">
      <w:start w:val="1"/>
      <w:numFmt w:val="bullet"/>
      <w:lvlText w:val="o"/>
      <w:lvlJc w:val="left"/>
      <w:pPr>
        <w:ind w:left="3802" w:hanging="360"/>
      </w:pPr>
      <w:rPr>
        <w:rFonts w:ascii="Courier New" w:hAnsi="Courier New" w:cs="Courier New" w:hint="default"/>
      </w:rPr>
    </w:lvl>
    <w:lvl w:ilvl="5" w:tplc="040C0005" w:tentative="1">
      <w:start w:val="1"/>
      <w:numFmt w:val="bullet"/>
      <w:lvlText w:val=""/>
      <w:lvlJc w:val="left"/>
      <w:pPr>
        <w:ind w:left="4522" w:hanging="360"/>
      </w:pPr>
      <w:rPr>
        <w:rFonts w:ascii="Wingdings" w:hAnsi="Wingdings" w:hint="default"/>
      </w:rPr>
    </w:lvl>
    <w:lvl w:ilvl="6" w:tplc="040C0001" w:tentative="1">
      <w:start w:val="1"/>
      <w:numFmt w:val="bullet"/>
      <w:lvlText w:val=""/>
      <w:lvlJc w:val="left"/>
      <w:pPr>
        <w:ind w:left="5242" w:hanging="360"/>
      </w:pPr>
      <w:rPr>
        <w:rFonts w:ascii="Symbol" w:hAnsi="Symbol" w:hint="default"/>
      </w:rPr>
    </w:lvl>
    <w:lvl w:ilvl="7" w:tplc="040C0003" w:tentative="1">
      <w:start w:val="1"/>
      <w:numFmt w:val="bullet"/>
      <w:lvlText w:val="o"/>
      <w:lvlJc w:val="left"/>
      <w:pPr>
        <w:ind w:left="5962" w:hanging="360"/>
      </w:pPr>
      <w:rPr>
        <w:rFonts w:ascii="Courier New" w:hAnsi="Courier New" w:cs="Courier New" w:hint="default"/>
      </w:rPr>
    </w:lvl>
    <w:lvl w:ilvl="8" w:tplc="040C0005" w:tentative="1">
      <w:start w:val="1"/>
      <w:numFmt w:val="bullet"/>
      <w:lvlText w:val=""/>
      <w:lvlJc w:val="left"/>
      <w:pPr>
        <w:ind w:left="6682" w:hanging="360"/>
      </w:pPr>
      <w:rPr>
        <w:rFonts w:ascii="Wingdings" w:hAnsi="Wingdings" w:hint="default"/>
      </w:r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38D0638"/>
    <w:multiLevelType w:val="hybridMultilevel"/>
    <w:tmpl w:val="6EA89976"/>
    <w:lvl w:ilvl="0" w:tplc="7CCAD88C">
      <w:start w:val="3"/>
      <w:numFmt w:val="upp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A70CD9"/>
    <w:multiLevelType w:val="hybridMultilevel"/>
    <w:tmpl w:val="2C0667F4"/>
    <w:lvl w:ilvl="0" w:tplc="62D60CAA">
      <w:start w:val="1"/>
      <w:numFmt w:val="upperLetter"/>
      <w:lvlText w:val="%1."/>
      <w:lvlJc w:val="left"/>
      <w:pPr>
        <w:ind w:left="1282" w:hanging="360"/>
      </w:pPr>
      <w:rPr>
        <w:b/>
        <w:bCs/>
      </w:rPr>
    </w:lvl>
    <w:lvl w:ilvl="1" w:tplc="040C0019" w:tentative="1">
      <w:start w:val="1"/>
      <w:numFmt w:val="lowerLetter"/>
      <w:lvlText w:val="%2."/>
      <w:lvlJc w:val="left"/>
      <w:pPr>
        <w:ind w:left="2002" w:hanging="360"/>
      </w:pPr>
    </w:lvl>
    <w:lvl w:ilvl="2" w:tplc="040C001B" w:tentative="1">
      <w:start w:val="1"/>
      <w:numFmt w:val="lowerRoman"/>
      <w:lvlText w:val="%3."/>
      <w:lvlJc w:val="right"/>
      <w:pPr>
        <w:ind w:left="2722" w:hanging="180"/>
      </w:pPr>
    </w:lvl>
    <w:lvl w:ilvl="3" w:tplc="040C000F" w:tentative="1">
      <w:start w:val="1"/>
      <w:numFmt w:val="decimal"/>
      <w:lvlText w:val="%4."/>
      <w:lvlJc w:val="left"/>
      <w:pPr>
        <w:ind w:left="3442" w:hanging="360"/>
      </w:pPr>
    </w:lvl>
    <w:lvl w:ilvl="4" w:tplc="040C0019" w:tentative="1">
      <w:start w:val="1"/>
      <w:numFmt w:val="lowerLetter"/>
      <w:lvlText w:val="%5."/>
      <w:lvlJc w:val="left"/>
      <w:pPr>
        <w:ind w:left="4162" w:hanging="360"/>
      </w:pPr>
    </w:lvl>
    <w:lvl w:ilvl="5" w:tplc="040C001B" w:tentative="1">
      <w:start w:val="1"/>
      <w:numFmt w:val="lowerRoman"/>
      <w:lvlText w:val="%6."/>
      <w:lvlJc w:val="right"/>
      <w:pPr>
        <w:ind w:left="4882" w:hanging="180"/>
      </w:pPr>
    </w:lvl>
    <w:lvl w:ilvl="6" w:tplc="040C000F" w:tentative="1">
      <w:start w:val="1"/>
      <w:numFmt w:val="decimal"/>
      <w:lvlText w:val="%7."/>
      <w:lvlJc w:val="left"/>
      <w:pPr>
        <w:ind w:left="5602" w:hanging="360"/>
      </w:pPr>
    </w:lvl>
    <w:lvl w:ilvl="7" w:tplc="040C0019" w:tentative="1">
      <w:start w:val="1"/>
      <w:numFmt w:val="lowerLetter"/>
      <w:lvlText w:val="%8."/>
      <w:lvlJc w:val="left"/>
      <w:pPr>
        <w:ind w:left="6322" w:hanging="360"/>
      </w:pPr>
    </w:lvl>
    <w:lvl w:ilvl="8" w:tplc="040C001B" w:tentative="1">
      <w:start w:val="1"/>
      <w:numFmt w:val="lowerRoman"/>
      <w:lvlText w:val="%9."/>
      <w:lvlJc w:val="right"/>
      <w:pPr>
        <w:ind w:left="7042" w:hanging="180"/>
      </w:pPr>
    </w:lvl>
  </w:abstractNum>
  <w:abstractNum w:abstractNumId="1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80F23EE6"/>
    <w:lvl w:ilvl="0" w:tplc="6FB8652A">
      <w:start w:val="1"/>
      <w:numFmt w:val="decimal"/>
      <w:pStyle w:val="COMParabodytext"/>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5">
      <w:start w:val="1"/>
      <w:numFmt w:val="upperLetter"/>
      <w:lvlText w:val="%5."/>
      <w:lvlJc w:val="left"/>
      <w:pPr>
        <w:ind w:left="3300" w:hanging="60"/>
      </w:pPr>
      <w:rPr>
        <w:rFonts w:hint="default"/>
        <w:sz w:val="22"/>
        <w:szCs w:val="22"/>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B71665"/>
    <w:multiLevelType w:val="hybridMultilevel"/>
    <w:tmpl w:val="929CF4D0"/>
    <w:lvl w:ilvl="0" w:tplc="D04ECF5C">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F594D4D"/>
    <w:multiLevelType w:val="hybridMultilevel"/>
    <w:tmpl w:val="D7DEE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21395"/>
    <w:multiLevelType w:val="multilevel"/>
    <w:tmpl w:val="EA8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261A3"/>
    <w:multiLevelType w:val="hybridMultilevel"/>
    <w:tmpl w:val="586C7A98"/>
    <w:lvl w:ilvl="0" w:tplc="FFFFFFFF">
      <w:start w:val="1"/>
      <w:numFmt w:val="decimal"/>
      <w:lvlText w:val="%1."/>
      <w:lvlJc w:val="left"/>
      <w:pPr>
        <w:ind w:left="163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C0015">
      <w:start w:val="1"/>
      <w:numFmt w:val="upperLetter"/>
      <w:lvlText w:val="%5."/>
      <w:lvlJc w:val="left"/>
      <w:pPr>
        <w:ind w:left="3300" w:hanging="60"/>
      </w:pPr>
      <w:rPr>
        <w:rFonts w:hint="default"/>
        <w:sz w:val="22"/>
        <w:szCs w:val="22"/>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9027D1"/>
    <w:multiLevelType w:val="hybridMultilevel"/>
    <w:tmpl w:val="6F7EBCCA"/>
    <w:lvl w:ilvl="0" w:tplc="040C0015">
      <w:start w:val="1"/>
      <w:numFmt w:val="upperLetter"/>
      <w:lvlText w:val="%1."/>
      <w:lvlJc w:val="left"/>
      <w:pPr>
        <w:ind w:left="1281" w:hanging="360"/>
      </w:pPr>
    </w:lvl>
    <w:lvl w:ilvl="1" w:tplc="040C0019" w:tentative="1">
      <w:start w:val="1"/>
      <w:numFmt w:val="lowerLetter"/>
      <w:lvlText w:val="%2."/>
      <w:lvlJc w:val="left"/>
      <w:pPr>
        <w:ind w:left="2001" w:hanging="360"/>
      </w:pPr>
    </w:lvl>
    <w:lvl w:ilvl="2" w:tplc="040C001B" w:tentative="1">
      <w:start w:val="1"/>
      <w:numFmt w:val="lowerRoman"/>
      <w:lvlText w:val="%3."/>
      <w:lvlJc w:val="right"/>
      <w:pPr>
        <w:ind w:left="2721" w:hanging="180"/>
      </w:pPr>
    </w:lvl>
    <w:lvl w:ilvl="3" w:tplc="040C000F" w:tentative="1">
      <w:start w:val="1"/>
      <w:numFmt w:val="decimal"/>
      <w:lvlText w:val="%4."/>
      <w:lvlJc w:val="left"/>
      <w:pPr>
        <w:ind w:left="3441" w:hanging="360"/>
      </w:pPr>
    </w:lvl>
    <w:lvl w:ilvl="4" w:tplc="040C0019">
      <w:start w:val="1"/>
      <w:numFmt w:val="lowerLetter"/>
      <w:lvlText w:val="%5."/>
      <w:lvlJc w:val="left"/>
      <w:pPr>
        <w:ind w:left="4161" w:hanging="360"/>
      </w:pPr>
    </w:lvl>
    <w:lvl w:ilvl="5" w:tplc="040C001B" w:tentative="1">
      <w:start w:val="1"/>
      <w:numFmt w:val="lowerRoman"/>
      <w:lvlText w:val="%6."/>
      <w:lvlJc w:val="right"/>
      <w:pPr>
        <w:ind w:left="4881" w:hanging="180"/>
      </w:pPr>
    </w:lvl>
    <w:lvl w:ilvl="6" w:tplc="040C000F" w:tentative="1">
      <w:start w:val="1"/>
      <w:numFmt w:val="decimal"/>
      <w:lvlText w:val="%7."/>
      <w:lvlJc w:val="left"/>
      <w:pPr>
        <w:ind w:left="5601" w:hanging="360"/>
      </w:pPr>
    </w:lvl>
    <w:lvl w:ilvl="7" w:tplc="040C0019" w:tentative="1">
      <w:start w:val="1"/>
      <w:numFmt w:val="lowerLetter"/>
      <w:lvlText w:val="%8."/>
      <w:lvlJc w:val="left"/>
      <w:pPr>
        <w:ind w:left="6321" w:hanging="360"/>
      </w:pPr>
    </w:lvl>
    <w:lvl w:ilvl="8" w:tplc="040C001B" w:tentative="1">
      <w:start w:val="1"/>
      <w:numFmt w:val="lowerRoman"/>
      <w:lvlText w:val="%9."/>
      <w:lvlJc w:val="right"/>
      <w:pPr>
        <w:ind w:left="7041" w:hanging="180"/>
      </w:pPr>
    </w:lvl>
  </w:abstractNum>
  <w:num w:numId="1">
    <w:abstractNumId w:val="20"/>
  </w:num>
  <w:num w:numId="2">
    <w:abstractNumId w:val="13"/>
  </w:num>
  <w:num w:numId="3">
    <w:abstractNumId w:val="4"/>
  </w:num>
  <w:num w:numId="4">
    <w:abstractNumId w:val="25"/>
  </w:num>
  <w:num w:numId="5">
    <w:abstractNumId w:val="21"/>
  </w:num>
  <w:num w:numId="6">
    <w:abstractNumId w:val="2"/>
  </w:num>
  <w:num w:numId="7">
    <w:abstractNumId w:val="5"/>
  </w:num>
  <w:num w:numId="8">
    <w:abstractNumId w:val="16"/>
  </w:num>
  <w:num w:numId="9">
    <w:abstractNumId w:val="12"/>
  </w:num>
  <w:num w:numId="10">
    <w:abstractNumId w:val="14"/>
  </w:num>
  <w:num w:numId="11">
    <w:abstractNumId w:val="11"/>
  </w:num>
  <w:num w:numId="12">
    <w:abstractNumId w:val="8"/>
  </w:num>
  <w:num w:numId="13">
    <w:abstractNumId w:val="19"/>
  </w:num>
  <w:num w:numId="14">
    <w:abstractNumId w:val="7"/>
  </w:num>
  <w:num w:numId="15">
    <w:abstractNumId w:val="22"/>
  </w:num>
  <w:num w:numId="16">
    <w:abstractNumId w:val="18"/>
  </w:num>
  <w:num w:numId="17">
    <w:abstractNumId w:val="14"/>
    <w:lvlOverride w:ilvl="0">
      <w:startOverride w:val="1"/>
    </w:lvlOverride>
  </w:num>
  <w:num w:numId="18">
    <w:abstractNumId w:val="15"/>
  </w:num>
  <w:num w:numId="19">
    <w:abstractNumId w:val="1"/>
  </w:num>
  <w:num w:numId="20">
    <w:abstractNumId w:val="6"/>
  </w:num>
  <w:num w:numId="21">
    <w:abstractNumId w:val="14"/>
  </w:num>
  <w:num w:numId="22">
    <w:abstractNumId w:val="14"/>
  </w:num>
  <w:num w:numId="23">
    <w:abstractNumId w:val="17"/>
  </w:num>
  <w:num w:numId="24">
    <w:abstractNumId w:val="12"/>
    <w:lvlOverride w:ilvl="0">
      <w:startOverride w:val="1"/>
    </w:lvlOverride>
  </w:num>
  <w:num w:numId="25">
    <w:abstractNumId w:val="12"/>
    <w:lvlOverride w:ilvl="0">
      <w:startOverride w:val="1"/>
    </w:lvlOverride>
  </w:num>
  <w:num w:numId="26">
    <w:abstractNumId w:val="0"/>
  </w:num>
  <w:num w:numId="27">
    <w:abstractNumId w:val="12"/>
  </w:num>
  <w:num w:numId="28">
    <w:abstractNumId w:val="12"/>
  </w:num>
  <w:num w:numId="29">
    <w:abstractNumId w:val="12"/>
  </w:num>
  <w:num w:numId="30">
    <w:abstractNumId w:val="10"/>
  </w:num>
  <w:num w:numId="31">
    <w:abstractNumId w:val="12"/>
  </w:num>
  <w:num w:numId="32">
    <w:abstractNumId w:val="12"/>
  </w:num>
  <w:num w:numId="33">
    <w:abstractNumId w:val="26"/>
  </w:num>
  <w:num w:numId="34">
    <w:abstractNumId w:val="3"/>
  </w:num>
  <w:num w:numId="35">
    <w:abstractNumId w:val="9"/>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52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C"/>
    <w:rsid w:val="000018E6"/>
    <w:rsid w:val="0000319F"/>
    <w:rsid w:val="00007CFE"/>
    <w:rsid w:val="000109DB"/>
    <w:rsid w:val="00017A3A"/>
    <w:rsid w:val="00020469"/>
    <w:rsid w:val="00020BFC"/>
    <w:rsid w:val="00022428"/>
    <w:rsid w:val="000263BA"/>
    <w:rsid w:val="0003530D"/>
    <w:rsid w:val="00043580"/>
    <w:rsid w:val="0005176E"/>
    <w:rsid w:val="00053945"/>
    <w:rsid w:val="00055D6B"/>
    <w:rsid w:val="000573DC"/>
    <w:rsid w:val="00067D8E"/>
    <w:rsid w:val="000709A7"/>
    <w:rsid w:val="00070F9A"/>
    <w:rsid w:val="0007329F"/>
    <w:rsid w:val="00077AB7"/>
    <w:rsid w:val="00081CD8"/>
    <w:rsid w:val="0008329C"/>
    <w:rsid w:val="000A1882"/>
    <w:rsid w:val="000A6279"/>
    <w:rsid w:val="000A7F0E"/>
    <w:rsid w:val="000B4B36"/>
    <w:rsid w:val="000C0BD3"/>
    <w:rsid w:val="000C0E6D"/>
    <w:rsid w:val="000C3B4A"/>
    <w:rsid w:val="000C7FDB"/>
    <w:rsid w:val="000D12B1"/>
    <w:rsid w:val="000D4825"/>
    <w:rsid w:val="000D4E5D"/>
    <w:rsid w:val="000D5EA7"/>
    <w:rsid w:val="000E0A4C"/>
    <w:rsid w:val="000E6CD7"/>
    <w:rsid w:val="000E723D"/>
    <w:rsid w:val="000F1492"/>
    <w:rsid w:val="000F2F14"/>
    <w:rsid w:val="000F329E"/>
    <w:rsid w:val="000F3A3F"/>
    <w:rsid w:val="00111F0A"/>
    <w:rsid w:val="0013608A"/>
    <w:rsid w:val="001501B1"/>
    <w:rsid w:val="00160D9A"/>
    <w:rsid w:val="00164D56"/>
    <w:rsid w:val="00165170"/>
    <w:rsid w:val="00167B10"/>
    <w:rsid w:val="001760C2"/>
    <w:rsid w:val="00177917"/>
    <w:rsid w:val="0018278B"/>
    <w:rsid w:val="001867B8"/>
    <w:rsid w:val="00190E3F"/>
    <w:rsid w:val="0019264E"/>
    <w:rsid w:val="00194524"/>
    <w:rsid w:val="00196C1B"/>
    <w:rsid w:val="001A1CB3"/>
    <w:rsid w:val="001A468F"/>
    <w:rsid w:val="001A521D"/>
    <w:rsid w:val="001A5A2A"/>
    <w:rsid w:val="001A721D"/>
    <w:rsid w:val="001A7655"/>
    <w:rsid w:val="001A766C"/>
    <w:rsid w:val="001B0F73"/>
    <w:rsid w:val="001C1949"/>
    <w:rsid w:val="001C53F4"/>
    <w:rsid w:val="001C5F1C"/>
    <w:rsid w:val="001D1AFF"/>
    <w:rsid w:val="001F3B7F"/>
    <w:rsid w:val="0020150F"/>
    <w:rsid w:val="00201E27"/>
    <w:rsid w:val="00207A61"/>
    <w:rsid w:val="00222A2D"/>
    <w:rsid w:val="00227465"/>
    <w:rsid w:val="00235AF1"/>
    <w:rsid w:val="00236C3D"/>
    <w:rsid w:val="00237669"/>
    <w:rsid w:val="002407AF"/>
    <w:rsid w:val="00247A08"/>
    <w:rsid w:val="00264EE1"/>
    <w:rsid w:val="0027166D"/>
    <w:rsid w:val="0027257C"/>
    <w:rsid w:val="002776C8"/>
    <w:rsid w:val="00280D62"/>
    <w:rsid w:val="00291055"/>
    <w:rsid w:val="002973FC"/>
    <w:rsid w:val="002A0425"/>
    <w:rsid w:val="002A0759"/>
    <w:rsid w:val="002A60FC"/>
    <w:rsid w:val="002A6C11"/>
    <w:rsid w:val="002A6F73"/>
    <w:rsid w:val="002B39ED"/>
    <w:rsid w:val="002B61A9"/>
    <w:rsid w:val="002C0D14"/>
    <w:rsid w:val="002C28A7"/>
    <w:rsid w:val="002D312E"/>
    <w:rsid w:val="002E16EF"/>
    <w:rsid w:val="002E2F53"/>
    <w:rsid w:val="002E3D25"/>
    <w:rsid w:val="002E4A8A"/>
    <w:rsid w:val="002E58D4"/>
    <w:rsid w:val="002F5D6D"/>
    <w:rsid w:val="002F6030"/>
    <w:rsid w:val="002F76CC"/>
    <w:rsid w:val="00302566"/>
    <w:rsid w:val="00316252"/>
    <w:rsid w:val="0032583C"/>
    <w:rsid w:val="003268ED"/>
    <w:rsid w:val="003312CC"/>
    <w:rsid w:val="0034721B"/>
    <w:rsid w:val="003516AB"/>
    <w:rsid w:val="0035387A"/>
    <w:rsid w:val="003647EE"/>
    <w:rsid w:val="00364EF7"/>
    <w:rsid w:val="003732E4"/>
    <w:rsid w:val="00375DB7"/>
    <w:rsid w:val="0037719B"/>
    <w:rsid w:val="00381CE9"/>
    <w:rsid w:val="0038433A"/>
    <w:rsid w:val="003843F2"/>
    <w:rsid w:val="003845BE"/>
    <w:rsid w:val="003877F4"/>
    <w:rsid w:val="00390B7A"/>
    <w:rsid w:val="00391895"/>
    <w:rsid w:val="00393666"/>
    <w:rsid w:val="003967C0"/>
    <w:rsid w:val="00397CFF"/>
    <w:rsid w:val="003A1792"/>
    <w:rsid w:val="003A3784"/>
    <w:rsid w:val="003B68F7"/>
    <w:rsid w:val="003C1678"/>
    <w:rsid w:val="003C33E6"/>
    <w:rsid w:val="003D069C"/>
    <w:rsid w:val="003D6DE0"/>
    <w:rsid w:val="003E07D8"/>
    <w:rsid w:val="003E2A08"/>
    <w:rsid w:val="003E45B9"/>
    <w:rsid w:val="003E4CEC"/>
    <w:rsid w:val="003F113A"/>
    <w:rsid w:val="003F4C1B"/>
    <w:rsid w:val="004008BB"/>
    <w:rsid w:val="00413FE2"/>
    <w:rsid w:val="004239C7"/>
    <w:rsid w:val="00433045"/>
    <w:rsid w:val="004345E5"/>
    <w:rsid w:val="00437A27"/>
    <w:rsid w:val="00440F9B"/>
    <w:rsid w:val="004417A7"/>
    <w:rsid w:val="004421E5"/>
    <w:rsid w:val="00443880"/>
    <w:rsid w:val="00447A55"/>
    <w:rsid w:val="00450057"/>
    <w:rsid w:val="004515AE"/>
    <w:rsid w:val="00452284"/>
    <w:rsid w:val="00461168"/>
    <w:rsid w:val="00464AF5"/>
    <w:rsid w:val="00467FBE"/>
    <w:rsid w:val="00471022"/>
    <w:rsid w:val="004712F0"/>
    <w:rsid w:val="00471EDC"/>
    <w:rsid w:val="004725AA"/>
    <w:rsid w:val="004820C0"/>
    <w:rsid w:val="00486948"/>
    <w:rsid w:val="00490E57"/>
    <w:rsid w:val="00495C25"/>
    <w:rsid w:val="0049705E"/>
    <w:rsid w:val="004A06DD"/>
    <w:rsid w:val="004A1D9D"/>
    <w:rsid w:val="004A59AD"/>
    <w:rsid w:val="004B0489"/>
    <w:rsid w:val="004B2115"/>
    <w:rsid w:val="004B3FB1"/>
    <w:rsid w:val="004B5091"/>
    <w:rsid w:val="004B6858"/>
    <w:rsid w:val="004B6B2A"/>
    <w:rsid w:val="004C3DF6"/>
    <w:rsid w:val="004D1878"/>
    <w:rsid w:val="004D6E9E"/>
    <w:rsid w:val="004E5EC3"/>
    <w:rsid w:val="004E6D2B"/>
    <w:rsid w:val="004F349E"/>
    <w:rsid w:val="004F4D68"/>
    <w:rsid w:val="00506351"/>
    <w:rsid w:val="00506A92"/>
    <w:rsid w:val="00510796"/>
    <w:rsid w:val="00511EF0"/>
    <w:rsid w:val="005158FF"/>
    <w:rsid w:val="00515FDA"/>
    <w:rsid w:val="00517B37"/>
    <w:rsid w:val="00526B7B"/>
    <w:rsid w:val="00530561"/>
    <w:rsid w:val="005308CE"/>
    <w:rsid w:val="00540A81"/>
    <w:rsid w:val="005523C8"/>
    <w:rsid w:val="00560BD7"/>
    <w:rsid w:val="005678AF"/>
    <w:rsid w:val="005724A5"/>
    <w:rsid w:val="0057439C"/>
    <w:rsid w:val="00582496"/>
    <w:rsid w:val="0058275F"/>
    <w:rsid w:val="00583700"/>
    <w:rsid w:val="005859C3"/>
    <w:rsid w:val="00586FC8"/>
    <w:rsid w:val="005901BD"/>
    <w:rsid w:val="00591457"/>
    <w:rsid w:val="00595B57"/>
    <w:rsid w:val="005B0127"/>
    <w:rsid w:val="005B2033"/>
    <w:rsid w:val="005C094D"/>
    <w:rsid w:val="005C3281"/>
    <w:rsid w:val="005C4B73"/>
    <w:rsid w:val="005D586C"/>
    <w:rsid w:val="005E4B31"/>
    <w:rsid w:val="005E53A9"/>
    <w:rsid w:val="005E5AEF"/>
    <w:rsid w:val="00600D93"/>
    <w:rsid w:val="006026E3"/>
    <w:rsid w:val="00602D50"/>
    <w:rsid w:val="0060533C"/>
    <w:rsid w:val="00605BAC"/>
    <w:rsid w:val="00607847"/>
    <w:rsid w:val="00613D3F"/>
    <w:rsid w:val="00616C7B"/>
    <w:rsid w:val="00617606"/>
    <w:rsid w:val="006262ED"/>
    <w:rsid w:val="00626743"/>
    <w:rsid w:val="00627C5C"/>
    <w:rsid w:val="00630005"/>
    <w:rsid w:val="00632E6F"/>
    <w:rsid w:val="00642FA2"/>
    <w:rsid w:val="006510CD"/>
    <w:rsid w:val="00655736"/>
    <w:rsid w:val="00663B8D"/>
    <w:rsid w:val="006706A9"/>
    <w:rsid w:val="00671A85"/>
    <w:rsid w:val="00683F54"/>
    <w:rsid w:val="0069145C"/>
    <w:rsid w:val="006923BD"/>
    <w:rsid w:val="00695628"/>
    <w:rsid w:val="00695DC0"/>
    <w:rsid w:val="00695F28"/>
    <w:rsid w:val="00696C8D"/>
    <w:rsid w:val="0069724F"/>
    <w:rsid w:val="006A2AC2"/>
    <w:rsid w:val="006A3617"/>
    <w:rsid w:val="006B5001"/>
    <w:rsid w:val="006B735D"/>
    <w:rsid w:val="006B7AC8"/>
    <w:rsid w:val="006C64DF"/>
    <w:rsid w:val="006D001F"/>
    <w:rsid w:val="006D21D9"/>
    <w:rsid w:val="006D2536"/>
    <w:rsid w:val="006D3E8F"/>
    <w:rsid w:val="006D4076"/>
    <w:rsid w:val="006E46E4"/>
    <w:rsid w:val="006F7FED"/>
    <w:rsid w:val="0070440F"/>
    <w:rsid w:val="00717AAB"/>
    <w:rsid w:val="00717DBD"/>
    <w:rsid w:val="007228D1"/>
    <w:rsid w:val="00732821"/>
    <w:rsid w:val="00741016"/>
    <w:rsid w:val="007514D1"/>
    <w:rsid w:val="00764CF9"/>
    <w:rsid w:val="00777578"/>
    <w:rsid w:val="00784B8C"/>
    <w:rsid w:val="00796A1E"/>
    <w:rsid w:val="007A000F"/>
    <w:rsid w:val="007A0DD7"/>
    <w:rsid w:val="007A5943"/>
    <w:rsid w:val="007B16EB"/>
    <w:rsid w:val="007B1CEF"/>
    <w:rsid w:val="007B4145"/>
    <w:rsid w:val="007B52BB"/>
    <w:rsid w:val="007C354B"/>
    <w:rsid w:val="007D1DC8"/>
    <w:rsid w:val="007D5177"/>
    <w:rsid w:val="007E60C6"/>
    <w:rsid w:val="007F0EDF"/>
    <w:rsid w:val="008024B7"/>
    <w:rsid w:val="008064F0"/>
    <w:rsid w:val="00811233"/>
    <w:rsid w:val="00813C1F"/>
    <w:rsid w:val="00823A11"/>
    <w:rsid w:val="00824EF7"/>
    <w:rsid w:val="00832A33"/>
    <w:rsid w:val="0085414A"/>
    <w:rsid w:val="00854296"/>
    <w:rsid w:val="008554E7"/>
    <w:rsid w:val="0086269D"/>
    <w:rsid w:val="00863302"/>
    <w:rsid w:val="008712A2"/>
    <w:rsid w:val="00871C8F"/>
    <w:rsid w:val="008724E5"/>
    <w:rsid w:val="00875F52"/>
    <w:rsid w:val="00884A9D"/>
    <w:rsid w:val="00887274"/>
    <w:rsid w:val="008921B6"/>
    <w:rsid w:val="00895307"/>
    <w:rsid w:val="008A4E1E"/>
    <w:rsid w:val="008A6710"/>
    <w:rsid w:val="008A6B7D"/>
    <w:rsid w:val="008B48A9"/>
    <w:rsid w:val="008B64DF"/>
    <w:rsid w:val="008C0E44"/>
    <w:rsid w:val="008C296C"/>
    <w:rsid w:val="008C7642"/>
    <w:rsid w:val="008D29DD"/>
    <w:rsid w:val="008D4305"/>
    <w:rsid w:val="008D4B03"/>
    <w:rsid w:val="008D4D0D"/>
    <w:rsid w:val="008F09EC"/>
    <w:rsid w:val="008F5C39"/>
    <w:rsid w:val="00911ABA"/>
    <w:rsid w:val="00913D86"/>
    <w:rsid w:val="009163A7"/>
    <w:rsid w:val="00922E3E"/>
    <w:rsid w:val="00933C6B"/>
    <w:rsid w:val="00934C0F"/>
    <w:rsid w:val="00941A61"/>
    <w:rsid w:val="00950F68"/>
    <w:rsid w:val="0095134B"/>
    <w:rsid w:val="0095201E"/>
    <w:rsid w:val="00962119"/>
    <w:rsid w:val="00974249"/>
    <w:rsid w:val="00985113"/>
    <w:rsid w:val="009857F3"/>
    <w:rsid w:val="009860D7"/>
    <w:rsid w:val="00992B9D"/>
    <w:rsid w:val="00993211"/>
    <w:rsid w:val="009970F0"/>
    <w:rsid w:val="00997E91"/>
    <w:rsid w:val="009A18CD"/>
    <w:rsid w:val="009A2AFD"/>
    <w:rsid w:val="009B223B"/>
    <w:rsid w:val="009B3F7D"/>
    <w:rsid w:val="009B5302"/>
    <w:rsid w:val="009B6D90"/>
    <w:rsid w:val="009C136E"/>
    <w:rsid w:val="009C1576"/>
    <w:rsid w:val="009E1B50"/>
    <w:rsid w:val="009F33D1"/>
    <w:rsid w:val="009F7932"/>
    <w:rsid w:val="00A02A5A"/>
    <w:rsid w:val="00A12558"/>
    <w:rsid w:val="00A13903"/>
    <w:rsid w:val="00A22951"/>
    <w:rsid w:val="00A27F44"/>
    <w:rsid w:val="00A33213"/>
    <w:rsid w:val="00A33AA5"/>
    <w:rsid w:val="00A34ED5"/>
    <w:rsid w:val="00A409CE"/>
    <w:rsid w:val="00A446B1"/>
    <w:rsid w:val="00A45DBF"/>
    <w:rsid w:val="00A61C6E"/>
    <w:rsid w:val="00A6236E"/>
    <w:rsid w:val="00A73858"/>
    <w:rsid w:val="00A755A2"/>
    <w:rsid w:val="00A90761"/>
    <w:rsid w:val="00A936E0"/>
    <w:rsid w:val="00AA4223"/>
    <w:rsid w:val="00AB2C36"/>
    <w:rsid w:val="00AC2772"/>
    <w:rsid w:val="00AC4307"/>
    <w:rsid w:val="00AD0DC2"/>
    <w:rsid w:val="00AD1A86"/>
    <w:rsid w:val="00AE103E"/>
    <w:rsid w:val="00AE2EC9"/>
    <w:rsid w:val="00AE3322"/>
    <w:rsid w:val="00AF0A07"/>
    <w:rsid w:val="00AF4FEA"/>
    <w:rsid w:val="00AF5AE5"/>
    <w:rsid w:val="00AF625E"/>
    <w:rsid w:val="00AF7126"/>
    <w:rsid w:val="00AF721B"/>
    <w:rsid w:val="00B06EDF"/>
    <w:rsid w:val="00B07200"/>
    <w:rsid w:val="00B11AD9"/>
    <w:rsid w:val="00B15226"/>
    <w:rsid w:val="00B152B1"/>
    <w:rsid w:val="00B23112"/>
    <w:rsid w:val="00B334CE"/>
    <w:rsid w:val="00B43974"/>
    <w:rsid w:val="00B45750"/>
    <w:rsid w:val="00B57EB1"/>
    <w:rsid w:val="00B63E29"/>
    <w:rsid w:val="00B67465"/>
    <w:rsid w:val="00B756C2"/>
    <w:rsid w:val="00B90701"/>
    <w:rsid w:val="00BA4702"/>
    <w:rsid w:val="00BA6776"/>
    <w:rsid w:val="00BA6C66"/>
    <w:rsid w:val="00BB2E0B"/>
    <w:rsid w:val="00BB53EC"/>
    <w:rsid w:val="00BC3420"/>
    <w:rsid w:val="00BC41DD"/>
    <w:rsid w:val="00BC5E89"/>
    <w:rsid w:val="00BC6FCD"/>
    <w:rsid w:val="00BD0AB3"/>
    <w:rsid w:val="00BD52C9"/>
    <w:rsid w:val="00BE6354"/>
    <w:rsid w:val="00BF7FB3"/>
    <w:rsid w:val="00C02152"/>
    <w:rsid w:val="00C0236C"/>
    <w:rsid w:val="00C02678"/>
    <w:rsid w:val="00C06C42"/>
    <w:rsid w:val="00C06CE5"/>
    <w:rsid w:val="00C318BF"/>
    <w:rsid w:val="00C32E6A"/>
    <w:rsid w:val="00C33428"/>
    <w:rsid w:val="00C358C4"/>
    <w:rsid w:val="00C377F5"/>
    <w:rsid w:val="00C477EB"/>
    <w:rsid w:val="00C61181"/>
    <w:rsid w:val="00C64A8D"/>
    <w:rsid w:val="00C70EA7"/>
    <w:rsid w:val="00C7181E"/>
    <w:rsid w:val="00C747DA"/>
    <w:rsid w:val="00C7516E"/>
    <w:rsid w:val="00C76140"/>
    <w:rsid w:val="00C823D4"/>
    <w:rsid w:val="00C84AFF"/>
    <w:rsid w:val="00CE50E2"/>
    <w:rsid w:val="00CF1ED5"/>
    <w:rsid w:val="00D00127"/>
    <w:rsid w:val="00D02494"/>
    <w:rsid w:val="00D03CDF"/>
    <w:rsid w:val="00D14067"/>
    <w:rsid w:val="00D14F4F"/>
    <w:rsid w:val="00D20394"/>
    <w:rsid w:val="00D24877"/>
    <w:rsid w:val="00D27B8A"/>
    <w:rsid w:val="00D37B42"/>
    <w:rsid w:val="00D46A8B"/>
    <w:rsid w:val="00D520C1"/>
    <w:rsid w:val="00D6512A"/>
    <w:rsid w:val="00D7184C"/>
    <w:rsid w:val="00D75D42"/>
    <w:rsid w:val="00D80C49"/>
    <w:rsid w:val="00D84152"/>
    <w:rsid w:val="00D877BB"/>
    <w:rsid w:val="00D87FCE"/>
    <w:rsid w:val="00DA36ED"/>
    <w:rsid w:val="00DA4095"/>
    <w:rsid w:val="00DA5449"/>
    <w:rsid w:val="00DB3D0B"/>
    <w:rsid w:val="00DB4A84"/>
    <w:rsid w:val="00DC0F3C"/>
    <w:rsid w:val="00DC58D5"/>
    <w:rsid w:val="00DC72E7"/>
    <w:rsid w:val="00DD632F"/>
    <w:rsid w:val="00DE34F1"/>
    <w:rsid w:val="00DF2765"/>
    <w:rsid w:val="00DF4942"/>
    <w:rsid w:val="00DF5A4C"/>
    <w:rsid w:val="00E01E41"/>
    <w:rsid w:val="00E03479"/>
    <w:rsid w:val="00E12FFB"/>
    <w:rsid w:val="00E20531"/>
    <w:rsid w:val="00E22288"/>
    <w:rsid w:val="00E24471"/>
    <w:rsid w:val="00E25CD5"/>
    <w:rsid w:val="00E271BA"/>
    <w:rsid w:val="00E27AEF"/>
    <w:rsid w:val="00E47F79"/>
    <w:rsid w:val="00E51B30"/>
    <w:rsid w:val="00E52749"/>
    <w:rsid w:val="00E60B9D"/>
    <w:rsid w:val="00E627B1"/>
    <w:rsid w:val="00E62B4C"/>
    <w:rsid w:val="00E64BDD"/>
    <w:rsid w:val="00E67D5D"/>
    <w:rsid w:val="00E771C4"/>
    <w:rsid w:val="00E81D1E"/>
    <w:rsid w:val="00E82140"/>
    <w:rsid w:val="00E92AE4"/>
    <w:rsid w:val="00E9376C"/>
    <w:rsid w:val="00EA44F7"/>
    <w:rsid w:val="00EA530A"/>
    <w:rsid w:val="00EA5966"/>
    <w:rsid w:val="00EA602C"/>
    <w:rsid w:val="00EA7B9B"/>
    <w:rsid w:val="00EB12F0"/>
    <w:rsid w:val="00ED2602"/>
    <w:rsid w:val="00ED3691"/>
    <w:rsid w:val="00ED4667"/>
    <w:rsid w:val="00EE2E77"/>
    <w:rsid w:val="00EE5E4A"/>
    <w:rsid w:val="00EF74E3"/>
    <w:rsid w:val="00F134B7"/>
    <w:rsid w:val="00F16B0E"/>
    <w:rsid w:val="00F17E17"/>
    <w:rsid w:val="00F21B75"/>
    <w:rsid w:val="00F276E5"/>
    <w:rsid w:val="00F341FD"/>
    <w:rsid w:val="00F37750"/>
    <w:rsid w:val="00F37EE3"/>
    <w:rsid w:val="00F44FE3"/>
    <w:rsid w:val="00F4581D"/>
    <w:rsid w:val="00F576CB"/>
    <w:rsid w:val="00F64FAC"/>
    <w:rsid w:val="00F66D24"/>
    <w:rsid w:val="00F74B07"/>
    <w:rsid w:val="00F84A0B"/>
    <w:rsid w:val="00F9380A"/>
    <w:rsid w:val="00FA4E99"/>
    <w:rsid w:val="00FA63BF"/>
    <w:rsid w:val="00FA6550"/>
    <w:rsid w:val="00FB388A"/>
    <w:rsid w:val="00FB4DE0"/>
    <w:rsid w:val="00FC2940"/>
    <w:rsid w:val="00FC4715"/>
    <w:rsid w:val="00FC5E9D"/>
    <w:rsid w:val="00FC6219"/>
    <w:rsid w:val="00FD1226"/>
    <w:rsid w:val="00FD298C"/>
    <w:rsid w:val="00FE1BB9"/>
    <w:rsid w:val="00FE6F88"/>
    <w:rsid w:val="00FF20FA"/>
    <w:rsid w:val="00FF5AF6"/>
    <w:rsid w:val="00FF5BC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3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C64A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paragraph" w:styleId="Heading9">
    <w:name w:val="heading 9"/>
    <w:basedOn w:val="Normal"/>
    <w:next w:val="Normal"/>
    <w:link w:val="Heading9Char"/>
    <w:uiPriority w:val="9"/>
    <w:semiHidden/>
    <w:unhideWhenUsed/>
    <w:qFormat/>
    <w:rsid w:val="00C64A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1GAPara">
    <w:name w:val="1. GA Para"/>
    <w:qFormat/>
    <w:rsid w:val="0058275F"/>
    <w:pPr>
      <w:spacing w:after="120"/>
      <w:ind w:left="567" w:hanging="567"/>
    </w:pPr>
    <w:rPr>
      <w:rFonts w:ascii="Arial" w:eastAsia="Times New Roman" w:hAnsi="Arial" w:cs="Arial"/>
      <w:snapToGrid w:val="0"/>
      <w:sz w:val="22"/>
      <w:szCs w:val="22"/>
      <w:lang w:eastAsia="en-US"/>
    </w:rPr>
  </w:style>
  <w:style w:type="character" w:customStyle="1" w:styleId="UnresolvedMention1">
    <w:name w:val="Unresolved Mention1"/>
    <w:basedOn w:val="DefaultParagraphFont"/>
    <w:uiPriority w:val="99"/>
    <w:semiHidden/>
    <w:unhideWhenUsed/>
    <w:rsid w:val="0058275F"/>
    <w:rPr>
      <w:color w:val="605E5C"/>
      <w:shd w:val="clear" w:color="auto" w:fill="E1DFDD"/>
    </w:rPr>
  </w:style>
  <w:style w:type="character" w:styleId="CommentReference">
    <w:name w:val="annotation reference"/>
    <w:basedOn w:val="DefaultParagraphFont"/>
    <w:uiPriority w:val="99"/>
    <w:semiHidden/>
    <w:unhideWhenUsed/>
    <w:rsid w:val="00FA6550"/>
    <w:rPr>
      <w:sz w:val="16"/>
      <w:szCs w:val="16"/>
    </w:rPr>
  </w:style>
  <w:style w:type="paragraph" w:styleId="CommentText">
    <w:name w:val="annotation text"/>
    <w:basedOn w:val="Normal"/>
    <w:link w:val="CommentTextChar"/>
    <w:uiPriority w:val="99"/>
    <w:unhideWhenUsed/>
    <w:rsid w:val="00FA6550"/>
    <w:rPr>
      <w:sz w:val="20"/>
      <w:szCs w:val="20"/>
    </w:rPr>
  </w:style>
  <w:style w:type="character" w:customStyle="1" w:styleId="CommentTextChar">
    <w:name w:val="Comment Text Char"/>
    <w:basedOn w:val="DefaultParagraphFont"/>
    <w:link w:val="CommentText"/>
    <w:uiPriority w:val="99"/>
    <w:rsid w:val="00FA65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6550"/>
    <w:rPr>
      <w:b/>
      <w:bCs/>
    </w:rPr>
  </w:style>
  <w:style w:type="character" w:customStyle="1" w:styleId="CommentSubjectChar">
    <w:name w:val="Comment Subject Char"/>
    <w:basedOn w:val="CommentTextChar"/>
    <w:link w:val="CommentSubject"/>
    <w:uiPriority w:val="99"/>
    <w:semiHidden/>
    <w:rsid w:val="00FA6550"/>
    <w:rPr>
      <w:rFonts w:ascii="Times New Roman" w:eastAsia="Times New Roman" w:hAnsi="Times New Roman"/>
      <w:b/>
      <w:bCs/>
    </w:rPr>
  </w:style>
  <w:style w:type="character" w:styleId="FollowedHyperlink">
    <w:name w:val="FollowedHyperlink"/>
    <w:basedOn w:val="DefaultParagraphFont"/>
    <w:uiPriority w:val="99"/>
    <w:semiHidden/>
    <w:unhideWhenUsed/>
    <w:rsid w:val="004C3DF6"/>
    <w:rPr>
      <w:color w:val="800080" w:themeColor="followedHyperlink"/>
      <w:u w:val="single"/>
    </w:rPr>
  </w:style>
  <w:style w:type="table" w:customStyle="1" w:styleId="Grilledutableau1">
    <w:name w:val="Grille du tableau1"/>
    <w:basedOn w:val="TableNormal"/>
    <w:next w:val="TableGrid"/>
    <w:uiPriority w:val="59"/>
    <w:rsid w:val="00A738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A4E99"/>
    <w:rPr>
      <w:sz w:val="20"/>
      <w:szCs w:val="20"/>
    </w:rPr>
  </w:style>
  <w:style w:type="character" w:customStyle="1" w:styleId="FootnoteTextChar">
    <w:name w:val="Footnote Text Char"/>
    <w:basedOn w:val="DefaultParagraphFont"/>
    <w:link w:val="FootnoteText"/>
    <w:uiPriority w:val="99"/>
    <w:rsid w:val="00FA4E99"/>
    <w:rPr>
      <w:rFonts w:ascii="Times New Roman" w:eastAsia="Times New Roman" w:hAnsi="Times New Roman"/>
    </w:rPr>
  </w:style>
  <w:style w:type="character" w:styleId="FootnoteReference">
    <w:name w:val="footnote reference"/>
    <w:basedOn w:val="DefaultParagraphFont"/>
    <w:unhideWhenUsed/>
    <w:rsid w:val="00FA4E99"/>
    <w:rPr>
      <w:vertAlign w:val="superscript"/>
    </w:rPr>
  </w:style>
  <w:style w:type="paragraph" w:styleId="EndnoteText">
    <w:name w:val="endnote text"/>
    <w:basedOn w:val="Normal"/>
    <w:link w:val="EndnoteTextChar"/>
    <w:uiPriority w:val="99"/>
    <w:semiHidden/>
    <w:unhideWhenUsed/>
    <w:rsid w:val="007A5943"/>
    <w:rPr>
      <w:sz w:val="20"/>
      <w:szCs w:val="20"/>
    </w:rPr>
  </w:style>
  <w:style w:type="character" w:customStyle="1" w:styleId="EndnoteTextChar">
    <w:name w:val="Endnote Text Char"/>
    <w:basedOn w:val="DefaultParagraphFont"/>
    <w:link w:val="EndnoteText"/>
    <w:uiPriority w:val="99"/>
    <w:semiHidden/>
    <w:rsid w:val="007A5943"/>
    <w:rPr>
      <w:rFonts w:ascii="Times New Roman" w:eastAsia="Times New Roman" w:hAnsi="Times New Roman"/>
    </w:rPr>
  </w:style>
  <w:style w:type="character" w:styleId="EndnoteReference">
    <w:name w:val="endnote reference"/>
    <w:basedOn w:val="DefaultParagraphFont"/>
    <w:uiPriority w:val="99"/>
    <w:semiHidden/>
    <w:unhideWhenUsed/>
    <w:rsid w:val="007A5943"/>
    <w:rPr>
      <w:vertAlign w:val="superscript"/>
    </w:rPr>
  </w:style>
  <w:style w:type="character" w:customStyle="1" w:styleId="Heading9Char">
    <w:name w:val="Heading 9 Char"/>
    <w:basedOn w:val="DefaultParagraphFont"/>
    <w:link w:val="Heading9"/>
    <w:uiPriority w:val="9"/>
    <w:semiHidden/>
    <w:rsid w:val="00C64A8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64A8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514D1"/>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F0EDF"/>
    <w:rPr>
      <w:color w:val="605E5C"/>
      <w:shd w:val="clear" w:color="auto" w:fill="E1DFDD"/>
    </w:rPr>
  </w:style>
  <w:style w:type="paragraph" w:customStyle="1" w:styleId="COMPara">
    <w:name w:val="COM Para"/>
    <w:qFormat/>
    <w:rsid w:val="00AD0DC2"/>
    <w:pPr>
      <w:spacing w:after="120"/>
      <w:ind w:left="720" w:hanging="360"/>
    </w:pPr>
    <w:rPr>
      <w:rFonts w:ascii="Arial" w:eastAsia="Times New Roman" w:hAnsi="Arial" w:cs="Arial"/>
      <w:snapToGrid w:val="0"/>
      <w:sz w:val="22"/>
      <w:szCs w:val="22"/>
      <w:lang w:eastAsia="en-US"/>
    </w:rPr>
  </w:style>
  <w:style w:type="paragraph" w:customStyle="1" w:styleId="toclevel0">
    <w:name w:val="toc_level_0"/>
    <w:basedOn w:val="Normal"/>
    <w:rsid w:val="00D87FCE"/>
    <w:pPr>
      <w:spacing w:before="100" w:beforeAutospacing="1" w:after="100" w:afterAutospacing="1"/>
    </w:pPr>
    <w:rPr>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2028">
      <w:bodyDiv w:val="1"/>
      <w:marLeft w:val="0"/>
      <w:marRight w:val="0"/>
      <w:marTop w:val="0"/>
      <w:marBottom w:val="0"/>
      <w:divBdr>
        <w:top w:val="none" w:sz="0" w:space="0" w:color="auto"/>
        <w:left w:val="none" w:sz="0" w:space="0" w:color="auto"/>
        <w:bottom w:val="none" w:sz="0" w:space="0" w:color="auto"/>
        <w:right w:val="none" w:sz="0" w:space="0" w:color="auto"/>
      </w:divBdr>
    </w:div>
    <w:div w:id="155210830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12202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C3%A9cisions/16.COM/12" TargetMode="External"/><Relationship Id="rId13" Type="http://schemas.openxmlformats.org/officeDocument/2006/relationships/hyperlink" Target="https://ich.unesco.org/en/projects/safeguarding-intangible-cultural-heritage-through-strengthening-national-capacities-in-morocco-mauritania-and-tunisia-00281?projectID=00281" TargetMode="External"/><Relationship Id="rId18" Type="http://schemas.openxmlformats.org/officeDocument/2006/relationships/hyperlink" Target="https://ich.unesco.org/en/projects/strengthening-capacities-at-the-national-and-local-levels-for-the-safeguarding-of-intangible-cultural-heritage-in-dominica-00477" TargetMode="External"/><Relationship Id="rId26" Type="http://schemas.openxmlformats.org/officeDocument/2006/relationships/hyperlink" Target="https://ich.unesco.org/en/d%C3%A9cisions/16.COM/12" TargetMode="External"/><Relationship Id="rId3" Type="http://schemas.openxmlformats.org/officeDocument/2006/relationships/styles" Target="styles.xml"/><Relationship Id="rId21" Type="http://schemas.openxmlformats.org/officeDocument/2006/relationships/hyperlink" Target="https://ich.unesco.org/en/projects/learning-with-intangible-cultural-heritage-for-a-sustainable-future-in-latin-america-and-the-caribbean-00473" TargetMode="External"/><Relationship Id="rId7" Type="http://schemas.openxmlformats.org/officeDocument/2006/relationships/endnotes" Target="endnotes.xml"/><Relationship Id="rId12" Type="http://schemas.openxmlformats.org/officeDocument/2006/relationships/hyperlink" Target="https://ich.unesco.org/en/Decisions/8.GA/7" TargetMode="External"/><Relationship Id="rId17" Type="http://schemas.openxmlformats.org/officeDocument/2006/relationships/hyperlink" Target="https://ich.unesco.org/en/projects/capacity-building-for-safeguarding-intangible-cultural-heritage-and-contributing-to-sustainable-development-00475" TargetMode="External"/><Relationship Id="rId25" Type="http://schemas.openxmlformats.org/officeDocument/2006/relationships/hyperlink" Target="https://ich.unesco.org/doc/src/LHE-22-9.GA-10-EN.docx" TargetMode="External"/><Relationship Id="rId2" Type="http://schemas.openxmlformats.org/officeDocument/2006/relationships/numbering" Target="numbering.xml"/><Relationship Id="rId16" Type="http://schemas.openxmlformats.org/officeDocument/2006/relationships/hyperlink" Target="https://ich.unesco.org/en/projects/support-of-the-development-and-implementation-of-capacity-building-activities-for-safeguarding-intangible-cultural-heritage-in-conflict-related-situations-including-situations-of-forced-displacement-00474" TargetMode="External"/><Relationship Id="rId20" Type="http://schemas.openxmlformats.org/officeDocument/2006/relationships/hyperlink" Target="https://ich.unesco.org/en/projects/strengthening-capacities-at-the-national-and-local-levels-for-the-safeguarding-of-intangible-cultural-heritage-in-the-united-republic-of-tanzania-and-contributing-to-sustainable-development-0048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3.GA/9" TargetMode="External"/><Relationship Id="rId24" Type="http://schemas.openxmlformats.org/officeDocument/2006/relationships/hyperlink" Target="https://ich.unesco.org/doc/src/LHE-21-16.COM-INF.10_Rev.-EN.pdf" TargetMode="External"/><Relationship Id="rId5" Type="http://schemas.openxmlformats.org/officeDocument/2006/relationships/webSettings" Target="webSettings.xml"/><Relationship Id="rId15" Type="http://schemas.openxmlformats.org/officeDocument/2006/relationships/hyperlink" Target="https://ich.unesco.org/en/projects/practical-handbook-on-periodic-reporting-with-a-self-learning-tool-on-the-overall-results-framework-for-the-implementation-of-the-convention-for-the-safeguarding-of-the-intangible-cultural-heritage-00484?projectID=00484" TargetMode="External"/><Relationship Id="rId23" Type="http://schemas.openxmlformats.org/officeDocument/2006/relationships/hyperlink" Target="https://ich.unesco.org/doc/src/LHE-22-9.GA-9_Rev._EN.docx" TargetMode="External"/><Relationship Id="rId28" Type="http://schemas.openxmlformats.org/officeDocument/2006/relationships/header" Target="header2.xml"/><Relationship Id="rId10" Type="http://schemas.openxmlformats.org/officeDocument/2006/relationships/hyperlink" Target="https://ich.unesco.org/en/Decisions/7.COM/20.1" TargetMode="External"/><Relationship Id="rId19" Type="http://schemas.openxmlformats.org/officeDocument/2006/relationships/hyperlink" Target="https://ich.unesco.org/en/projects/strengthening-national-capacities-for-safeguarding-intangible-cultural-heritage-and-contributing-to-sustainable-development-in-kenya-004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12-EN.docx" TargetMode="External"/><Relationship Id="rId14" Type="http://schemas.openxmlformats.org/officeDocument/2006/relationships/hyperlink" Target="https://ich.unesco.org/en/projects/strengthening-capacities-for-safeguarding-intangible-cultural-heritage-in-disaster-contexts-00458?projectID=00458" TargetMode="External"/><Relationship Id="rId22" Type="http://schemas.openxmlformats.org/officeDocument/2006/relationships/hyperlink" Target="https://ich.unesco.org/en/projects/living-heritage-and-the-sustainable-development-goals-safeguarding-intangible-cultural-heritage-through-formal-and-non-formal-education-in-the-asia-and-the-pacific-region-and-in-africa-00476"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0868" TargetMode="External"/><Relationship Id="rId1" Type="http://schemas.openxmlformats.org/officeDocument/2006/relationships/hyperlink" Target="https://ich.unesco.org/doc/src/LHE-22-9.GA-INF.10-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0690-FA98-4EA2-9BBE-52067875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15882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2022-10-20T16:27:00Z</dcterms:created>
  <dcterms:modified xsi:type="dcterms:W3CDTF">2022-11-21T23:15:00Z</dcterms:modified>
</cp:coreProperties>
</file>