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48F04EE3" w:rsidR="00EC6F8D" w:rsidRPr="00A82C12" w:rsidRDefault="00EC6F8D" w:rsidP="009F66E3">
      <w:pPr>
        <w:tabs>
          <w:tab w:val="left" w:pos="1530"/>
        </w:tabs>
        <w:spacing w:before="1440"/>
        <w:jc w:val="center"/>
        <w:rPr>
          <w:rFonts w:ascii="Arial" w:hAnsi="Arial" w:cs="Arial"/>
          <w:b/>
          <w:sz w:val="22"/>
          <w:szCs w:val="22"/>
          <w:lang w:val="en-GB"/>
        </w:rPr>
      </w:pPr>
      <w:r w:rsidRPr="00A82C12">
        <w:rPr>
          <w:rFonts w:ascii="Arial" w:hAnsi="Arial" w:cs="Arial"/>
          <w:b/>
          <w:sz w:val="22"/>
          <w:szCs w:val="22"/>
          <w:lang w:val="en-GB"/>
        </w:rPr>
        <w:t>CONVENTION FOR THE SAFEGUARDING OF THE</w:t>
      </w:r>
      <w:r w:rsidRPr="00A82C12">
        <w:rPr>
          <w:rFonts w:ascii="Arial" w:hAnsi="Arial" w:cs="Arial"/>
          <w:b/>
          <w:sz w:val="22"/>
          <w:szCs w:val="22"/>
          <w:lang w:val="en-GB"/>
        </w:rPr>
        <w:br/>
        <w:t>INTANGIBLE CULTURAL HERITAGE</w:t>
      </w:r>
    </w:p>
    <w:p w14:paraId="3F72B1D3" w14:textId="77777777" w:rsidR="00EC6F8D" w:rsidRPr="00A82C12" w:rsidRDefault="00EC6F8D" w:rsidP="00EC6F8D">
      <w:pPr>
        <w:spacing w:before="1200"/>
        <w:jc w:val="center"/>
        <w:rPr>
          <w:rFonts w:ascii="Arial" w:hAnsi="Arial" w:cs="Arial"/>
          <w:b/>
          <w:sz w:val="22"/>
          <w:szCs w:val="22"/>
          <w:lang w:val="en-GB"/>
        </w:rPr>
      </w:pPr>
      <w:r w:rsidRPr="00A82C12">
        <w:rPr>
          <w:rFonts w:ascii="Arial" w:hAnsi="Arial" w:cs="Arial"/>
          <w:b/>
          <w:sz w:val="22"/>
          <w:szCs w:val="22"/>
          <w:lang w:val="en-GB"/>
        </w:rPr>
        <w:t>INTERGOVERNMENTAL COMMITTEE FOR THE</w:t>
      </w:r>
      <w:r w:rsidRPr="00A82C12">
        <w:rPr>
          <w:rFonts w:ascii="Arial" w:hAnsi="Arial" w:cs="Arial"/>
          <w:b/>
          <w:sz w:val="22"/>
          <w:szCs w:val="22"/>
          <w:lang w:val="en-GB"/>
        </w:rPr>
        <w:br/>
        <w:t>SAFEGUARDING OF THE INTANGIBLE CULTURAL HERITAGE</w:t>
      </w:r>
    </w:p>
    <w:p w14:paraId="2E1CD4B4" w14:textId="30579C08" w:rsidR="00EC6F8D" w:rsidRPr="00A82C12" w:rsidRDefault="0026221A" w:rsidP="001D14FE">
      <w:pPr>
        <w:spacing w:before="840"/>
        <w:jc w:val="center"/>
        <w:rPr>
          <w:rFonts w:ascii="Arial" w:hAnsi="Arial" w:cs="Arial"/>
          <w:b/>
          <w:sz w:val="22"/>
          <w:szCs w:val="22"/>
          <w:lang w:val="en-GB"/>
        </w:rPr>
      </w:pPr>
      <w:r w:rsidRPr="00A82C12">
        <w:rPr>
          <w:rFonts w:ascii="Arial" w:eastAsiaTheme="minorEastAsia" w:hAnsi="Arial" w:cs="Arial"/>
          <w:b/>
          <w:sz w:val="22"/>
          <w:szCs w:val="22"/>
          <w:lang w:val="en-GB" w:eastAsia="ko-KR"/>
        </w:rPr>
        <w:t>Seventeenth</w:t>
      </w:r>
      <w:r w:rsidR="00B2172B" w:rsidRPr="00A82C12">
        <w:rPr>
          <w:rFonts w:ascii="Arial" w:eastAsiaTheme="minorEastAsia" w:hAnsi="Arial" w:cs="Arial"/>
          <w:b/>
          <w:sz w:val="22"/>
          <w:szCs w:val="22"/>
          <w:lang w:val="en-GB" w:eastAsia="ko-KR"/>
        </w:rPr>
        <w:t xml:space="preserve"> </w:t>
      </w:r>
      <w:r w:rsidR="00EC6F8D" w:rsidRPr="00A82C12">
        <w:rPr>
          <w:rFonts w:ascii="Arial" w:hAnsi="Arial" w:cs="Arial"/>
          <w:b/>
          <w:sz w:val="22"/>
          <w:szCs w:val="22"/>
          <w:lang w:val="en-GB"/>
        </w:rPr>
        <w:t>session</w:t>
      </w:r>
    </w:p>
    <w:p w14:paraId="1FD89575" w14:textId="313BAF2C" w:rsidR="00B2172B" w:rsidRPr="00A82C12" w:rsidRDefault="00937D53" w:rsidP="00B2172B">
      <w:pPr>
        <w:jc w:val="center"/>
        <w:rPr>
          <w:rFonts w:ascii="Arial" w:hAnsi="Arial" w:cs="Arial"/>
          <w:b/>
          <w:sz w:val="22"/>
          <w:szCs w:val="22"/>
          <w:lang w:val="en-GB"/>
        </w:rPr>
      </w:pPr>
      <w:r w:rsidRPr="00A82C12">
        <w:rPr>
          <w:rFonts w:ascii="Arial" w:hAnsi="Arial" w:cs="Arial"/>
          <w:b/>
          <w:sz w:val="22"/>
          <w:szCs w:val="22"/>
          <w:lang w:val="en-GB"/>
        </w:rPr>
        <w:t xml:space="preserve">Rabat, </w:t>
      </w:r>
      <w:r w:rsidR="00F31F96" w:rsidRPr="00A82C12">
        <w:rPr>
          <w:rFonts w:ascii="Arial" w:hAnsi="Arial" w:cs="Arial"/>
          <w:b/>
          <w:sz w:val="22"/>
          <w:szCs w:val="22"/>
          <w:lang w:val="en-GB"/>
        </w:rPr>
        <w:t xml:space="preserve">Kingdom of </w:t>
      </w:r>
      <w:r w:rsidRPr="00A82C12">
        <w:rPr>
          <w:rFonts w:ascii="Arial" w:hAnsi="Arial" w:cs="Arial"/>
          <w:b/>
          <w:sz w:val="22"/>
          <w:szCs w:val="22"/>
          <w:lang w:val="en-GB"/>
        </w:rPr>
        <w:t>Morocco</w:t>
      </w:r>
    </w:p>
    <w:p w14:paraId="52EA6D50" w14:textId="0D174589" w:rsidR="00B2172B" w:rsidRPr="00A82C12" w:rsidRDefault="0026221A" w:rsidP="00B2172B">
      <w:pPr>
        <w:jc w:val="center"/>
        <w:rPr>
          <w:rFonts w:ascii="Arial" w:hAnsi="Arial" w:cs="Arial"/>
          <w:b/>
          <w:sz w:val="22"/>
          <w:szCs w:val="22"/>
          <w:lang w:val="en-GB"/>
        </w:rPr>
      </w:pPr>
      <w:r w:rsidRPr="00A82C12">
        <w:rPr>
          <w:rFonts w:ascii="Arial" w:hAnsi="Arial" w:cs="Arial"/>
          <w:b/>
          <w:sz w:val="22"/>
          <w:szCs w:val="22"/>
          <w:lang w:val="en-GB"/>
        </w:rPr>
        <w:t>28 November to 3</w:t>
      </w:r>
      <w:r w:rsidR="00B2172B" w:rsidRPr="00A82C12">
        <w:rPr>
          <w:rFonts w:ascii="Arial" w:hAnsi="Arial" w:cs="Arial"/>
          <w:b/>
          <w:sz w:val="22"/>
          <w:szCs w:val="22"/>
          <w:lang w:val="en-GB"/>
        </w:rPr>
        <w:t xml:space="preserve"> December 202</w:t>
      </w:r>
      <w:r w:rsidRPr="00A82C12">
        <w:rPr>
          <w:rFonts w:ascii="Arial" w:hAnsi="Arial" w:cs="Arial"/>
          <w:b/>
          <w:sz w:val="22"/>
          <w:szCs w:val="22"/>
          <w:lang w:val="en-GB"/>
        </w:rPr>
        <w:t>2</w:t>
      </w:r>
    </w:p>
    <w:p w14:paraId="0365203A" w14:textId="2D0D05B1" w:rsidR="00EC6F8D" w:rsidRPr="00A82C12" w:rsidRDefault="00EC6F8D" w:rsidP="00EC6F8D">
      <w:pPr>
        <w:pStyle w:val="Sansinterligne2"/>
        <w:spacing w:before="1200"/>
        <w:jc w:val="center"/>
        <w:rPr>
          <w:rFonts w:ascii="Arial" w:hAnsi="Arial" w:cs="Arial"/>
          <w:b/>
          <w:sz w:val="22"/>
          <w:szCs w:val="22"/>
          <w:lang w:val="en-GB"/>
        </w:rPr>
      </w:pPr>
      <w:r w:rsidRPr="00A82C12">
        <w:rPr>
          <w:rFonts w:ascii="Arial" w:hAnsi="Arial" w:cs="Arial"/>
          <w:b/>
          <w:sz w:val="22"/>
          <w:szCs w:val="22"/>
          <w:u w:val="single"/>
          <w:lang w:val="en-GB"/>
        </w:rPr>
        <w:t xml:space="preserve">Item </w:t>
      </w:r>
      <w:r w:rsidR="00053DEE" w:rsidRPr="00A82C12">
        <w:rPr>
          <w:rFonts w:ascii="Arial" w:hAnsi="Arial" w:cs="Arial"/>
          <w:b/>
          <w:sz w:val="22"/>
          <w:szCs w:val="22"/>
          <w:u w:val="single"/>
          <w:lang w:val="en-GB"/>
        </w:rPr>
        <w:t>11</w:t>
      </w:r>
      <w:r w:rsidR="00651A5B" w:rsidRPr="00A82C12">
        <w:rPr>
          <w:rFonts w:ascii="Arial" w:hAnsi="Arial" w:cs="Arial"/>
          <w:b/>
          <w:sz w:val="22"/>
          <w:szCs w:val="22"/>
          <w:u w:val="single"/>
          <w:lang w:val="en-GB"/>
        </w:rPr>
        <w:t xml:space="preserve"> </w:t>
      </w:r>
      <w:r w:rsidRPr="00A82C12">
        <w:rPr>
          <w:rFonts w:ascii="Arial" w:hAnsi="Arial" w:cs="Arial"/>
          <w:b/>
          <w:sz w:val="22"/>
          <w:szCs w:val="22"/>
          <w:u w:val="single"/>
          <w:lang w:val="en-GB"/>
        </w:rPr>
        <w:t xml:space="preserve">of the </w:t>
      </w:r>
      <w:r w:rsidR="00937D53" w:rsidRPr="00A82C12">
        <w:rPr>
          <w:rFonts w:ascii="Arial" w:hAnsi="Arial" w:cs="Arial"/>
          <w:b/>
          <w:sz w:val="22"/>
          <w:szCs w:val="22"/>
          <w:u w:val="single"/>
          <w:lang w:val="en-GB"/>
        </w:rPr>
        <w:t>p</w:t>
      </w:r>
      <w:r w:rsidRPr="00A82C12">
        <w:rPr>
          <w:rFonts w:ascii="Arial" w:hAnsi="Arial" w:cs="Arial"/>
          <w:b/>
          <w:sz w:val="22"/>
          <w:szCs w:val="22"/>
          <w:u w:val="single"/>
          <w:lang w:val="en-GB"/>
        </w:rPr>
        <w:t xml:space="preserve">rovisional </w:t>
      </w:r>
      <w:r w:rsidR="00937D53" w:rsidRPr="00A82C12">
        <w:rPr>
          <w:rFonts w:ascii="Arial" w:hAnsi="Arial" w:cs="Arial"/>
          <w:b/>
          <w:sz w:val="22"/>
          <w:szCs w:val="22"/>
          <w:u w:val="single"/>
          <w:lang w:val="en-GB"/>
        </w:rPr>
        <w:t>a</w:t>
      </w:r>
      <w:r w:rsidRPr="00A82C12">
        <w:rPr>
          <w:rFonts w:ascii="Arial" w:hAnsi="Arial" w:cs="Arial"/>
          <w:b/>
          <w:sz w:val="22"/>
          <w:szCs w:val="22"/>
          <w:u w:val="single"/>
          <w:lang w:val="en-GB"/>
        </w:rPr>
        <w:t>genda</w:t>
      </w:r>
      <w:r w:rsidRPr="00A82C12">
        <w:rPr>
          <w:rFonts w:ascii="Arial" w:hAnsi="Arial" w:cs="Arial"/>
          <w:b/>
          <w:sz w:val="22"/>
          <w:szCs w:val="22"/>
          <w:lang w:val="en-GB"/>
        </w:rPr>
        <w:t>:</w:t>
      </w:r>
    </w:p>
    <w:p w14:paraId="59920478" w14:textId="393B01BD" w:rsidR="004A2875" w:rsidRPr="00A82C12" w:rsidRDefault="00053DEE" w:rsidP="004A2875">
      <w:pPr>
        <w:pStyle w:val="Sansinterligne2"/>
        <w:spacing w:after="960"/>
        <w:jc w:val="center"/>
        <w:rPr>
          <w:rFonts w:ascii="Arial" w:hAnsi="Arial" w:cs="Arial"/>
          <w:bCs/>
          <w:sz w:val="22"/>
          <w:szCs w:val="22"/>
          <w:lang w:val="en-GB"/>
        </w:rPr>
      </w:pPr>
      <w:r w:rsidRPr="00A82C12">
        <w:rPr>
          <w:rFonts w:ascii="Arial" w:hAnsi="Arial" w:cs="Arial"/>
          <w:b/>
          <w:spacing w:val="-2"/>
          <w:sz w:val="22"/>
          <w:szCs w:val="22"/>
          <w:lang w:val="en-GB"/>
        </w:rPr>
        <w:t xml:space="preserve">Strategy for the monitoring, evaluation and identification of lessons learnt </w:t>
      </w:r>
      <w:r w:rsidR="00D252F7" w:rsidRPr="00A82C12">
        <w:rPr>
          <w:rFonts w:ascii="Arial" w:hAnsi="Arial" w:cs="Arial"/>
          <w:b/>
          <w:sz w:val="22"/>
          <w:szCs w:val="22"/>
          <w:lang w:val="en-GB"/>
        </w:rPr>
        <w:br/>
      </w:r>
      <w:r w:rsidRPr="00A82C12">
        <w:rPr>
          <w:rFonts w:ascii="Arial" w:hAnsi="Arial" w:cs="Arial"/>
          <w:b/>
          <w:spacing w:val="-2"/>
          <w:sz w:val="22"/>
          <w:szCs w:val="22"/>
          <w:lang w:val="en-GB"/>
        </w:rPr>
        <w:t>for International Assistance projects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A82C12" w14:paraId="75AC6221" w14:textId="77777777" w:rsidTr="00EC6F8D">
        <w:trPr>
          <w:jc w:val="center"/>
        </w:trPr>
        <w:tc>
          <w:tcPr>
            <w:tcW w:w="5670" w:type="dxa"/>
            <w:vAlign w:val="center"/>
          </w:tcPr>
          <w:p w14:paraId="51C260A9" w14:textId="02144777" w:rsidR="00EC6F8D" w:rsidRPr="00A82C12" w:rsidRDefault="00EC6F8D" w:rsidP="00CA56BB">
            <w:pPr>
              <w:pStyle w:val="Sansinterligne1"/>
              <w:spacing w:before="200" w:after="200"/>
              <w:jc w:val="center"/>
              <w:rPr>
                <w:rFonts w:ascii="Arial" w:hAnsi="Arial" w:cs="Arial"/>
                <w:b/>
                <w:sz w:val="22"/>
                <w:szCs w:val="22"/>
                <w:lang w:val="en-GB"/>
              </w:rPr>
            </w:pPr>
            <w:r w:rsidRPr="00A82C12">
              <w:rPr>
                <w:rFonts w:ascii="Arial" w:hAnsi="Arial" w:cs="Arial"/>
                <w:b/>
                <w:sz w:val="22"/>
                <w:szCs w:val="22"/>
                <w:lang w:val="en-GB"/>
              </w:rPr>
              <w:t>Summary</w:t>
            </w:r>
          </w:p>
          <w:p w14:paraId="0F6A4814" w14:textId="4EC014EB" w:rsidR="00477495" w:rsidRPr="00A82C12" w:rsidRDefault="00477495" w:rsidP="00477495">
            <w:pPr>
              <w:pStyle w:val="COMPara"/>
              <w:numPr>
                <w:ilvl w:val="0"/>
                <w:numId w:val="0"/>
              </w:numPr>
              <w:jc w:val="both"/>
            </w:pPr>
            <w:r w:rsidRPr="00A82C12">
              <w:t xml:space="preserve">This document presents the </w:t>
            </w:r>
            <w:r w:rsidR="00972542">
              <w:t>S</w:t>
            </w:r>
            <w:r w:rsidRPr="00A82C12">
              <w:t>trategy for the monitoring, evaluation and lessons lea</w:t>
            </w:r>
            <w:r w:rsidR="009C4833" w:rsidRPr="00A82C12">
              <w:t>r</w:t>
            </w:r>
            <w:r w:rsidRPr="00A82C12">
              <w:t xml:space="preserve">nt for International Assistance projects, clarifying its objectives </w:t>
            </w:r>
            <w:r w:rsidR="00BD774F" w:rsidRPr="00A82C12">
              <w:t>and</w:t>
            </w:r>
            <w:r w:rsidRPr="00A82C12">
              <w:t xml:space="preserve"> a set of specific actions that will be undertaken to meet the overall goal.</w:t>
            </w:r>
          </w:p>
          <w:p w14:paraId="290310E8" w14:textId="33496F19" w:rsidR="00EC6F8D" w:rsidRPr="00A82C12" w:rsidRDefault="00EC6F8D" w:rsidP="00CA56BB">
            <w:pPr>
              <w:pStyle w:val="Sansinterligne2"/>
              <w:spacing w:before="200" w:after="200"/>
              <w:jc w:val="both"/>
              <w:rPr>
                <w:rFonts w:ascii="Arial" w:hAnsi="Arial" w:cs="Arial"/>
                <w:b/>
                <w:sz w:val="22"/>
                <w:szCs w:val="22"/>
                <w:lang w:val="en-GB"/>
              </w:rPr>
            </w:pPr>
            <w:r w:rsidRPr="00A82C12">
              <w:rPr>
                <w:rFonts w:ascii="Arial" w:hAnsi="Arial" w:cs="Arial"/>
                <w:b/>
                <w:sz w:val="22"/>
                <w:szCs w:val="22"/>
                <w:lang w:val="en-GB"/>
              </w:rPr>
              <w:t xml:space="preserve">Decision required: </w:t>
            </w:r>
            <w:r w:rsidRPr="00A82C12">
              <w:rPr>
                <w:rFonts w:ascii="Arial" w:hAnsi="Arial" w:cs="Arial"/>
                <w:bCs/>
                <w:sz w:val="22"/>
                <w:szCs w:val="22"/>
                <w:lang w:val="en-GB"/>
              </w:rPr>
              <w:t xml:space="preserve">paragraph </w:t>
            </w:r>
            <w:r w:rsidR="00243433" w:rsidRPr="00A82C12">
              <w:rPr>
                <w:rFonts w:ascii="Arial" w:hAnsi="Arial" w:cs="Arial"/>
                <w:bCs/>
                <w:sz w:val="22"/>
                <w:szCs w:val="22"/>
                <w:lang w:val="en-GB"/>
              </w:rPr>
              <w:t>14</w:t>
            </w:r>
          </w:p>
        </w:tc>
      </w:tr>
    </w:tbl>
    <w:p w14:paraId="713D819F" w14:textId="77777777" w:rsidR="004A2875" w:rsidRPr="00A82C12"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A82C12">
        <w:rPr>
          <w:lang w:val="en-GB"/>
        </w:rPr>
        <w:br w:type="page"/>
      </w:r>
    </w:p>
    <w:p w14:paraId="6C62585F" w14:textId="1C8B4FBE" w:rsidR="00F70CC5" w:rsidRPr="00A82C12" w:rsidRDefault="00F70CC5" w:rsidP="00F70CC5">
      <w:pPr>
        <w:pStyle w:val="COMPara"/>
        <w:numPr>
          <w:ilvl w:val="0"/>
          <w:numId w:val="0"/>
        </w:numPr>
        <w:spacing w:before="240"/>
        <w:jc w:val="both"/>
        <w:rPr>
          <w:b/>
          <w:bCs/>
        </w:rPr>
      </w:pPr>
      <w:r w:rsidRPr="00A82C12">
        <w:rPr>
          <w:b/>
          <w:bCs/>
        </w:rPr>
        <w:lastRenderedPageBreak/>
        <w:t>Introduction</w:t>
      </w:r>
    </w:p>
    <w:p w14:paraId="5FA2B7DB" w14:textId="27F77AC1" w:rsidR="0057439C" w:rsidRPr="00972542" w:rsidRDefault="00364BD7" w:rsidP="00A82C12">
      <w:pPr>
        <w:pStyle w:val="COMPara"/>
        <w:ind w:left="567" w:hanging="567"/>
        <w:jc w:val="both"/>
      </w:pPr>
      <w:r w:rsidRPr="00972542">
        <w:t xml:space="preserve">International Assistance is one of the pillars of the international </w:t>
      </w:r>
      <w:r w:rsidR="001E0C4B" w:rsidRPr="00972542">
        <w:t xml:space="preserve">cooperation mechanism under the 2003 Convention that has been in operation since 2008. </w:t>
      </w:r>
      <w:r w:rsidR="00FE0AA2" w:rsidRPr="00972542">
        <w:t xml:space="preserve">This mechanism aims to support </w:t>
      </w:r>
      <w:r w:rsidR="00BD774F" w:rsidRPr="00972542">
        <w:t xml:space="preserve">the </w:t>
      </w:r>
      <w:r w:rsidR="00FE0AA2" w:rsidRPr="00972542">
        <w:t xml:space="preserve">efforts </w:t>
      </w:r>
      <w:r w:rsidR="002E1CFA" w:rsidRPr="00972542">
        <w:t>of States Parties</w:t>
      </w:r>
      <w:r w:rsidR="00A01D61" w:rsidRPr="00972542">
        <w:t xml:space="preserve">, </w:t>
      </w:r>
      <w:r w:rsidR="00BD774F" w:rsidRPr="00972542">
        <w:t xml:space="preserve">drawing upon </w:t>
      </w:r>
      <w:r w:rsidR="00A01D61" w:rsidRPr="00972542">
        <w:t>the resources under the Fund</w:t>
      </w:r>
      <w:r w:rsidR="0013439D" w:rsidRPr="00972542">
        <w:t xml:space="preserve"> for the Safeguarding of the Intangible Cultural Heri</w:t>
      </w:r>
      <w:r w:rsidR="00826FE3" w:rsidRPr="00972542">
        <w:t>t</w:t>
      </w:r>
      <w:r w:rsidR="0013439D" w:rsidRPr="00972542">
        <w:t>age (hereafter ‘the Fund’)</w:t>
      </w:r>
      <w:r w:rsidR="00A01D61" w:rsidRPr="00972542">
        <w:t>,</w:t>
      </w:r>
      <w:r w:rsidR="002E1CFA" w:rsidRPr="00972542">
        <w:t xml:space="preserve"> </w:t>
      </w:r>
      <w:r w:rsidR="00FE0AA2" w:rsidRPr="00972542">
        <w:t>to safeguard intangible cultural heritage</w:t>
      </w:r>
      <w:r w:rsidR="00507F32" w:rsidRPr="00972542">
        <w:t xml:space="preserve"> present </w:t>
      </w:r>
      <w:r w:rsidR="00B46FCB" w:rsidRPr="00972542">
        <w:t xml:space="preserve">in </w:t>
      </w:r>
      <w:r w:rsidR="002E1CFA" w:rsidRPr="00972542">
        <w:t>their territories</w:t>
      </w:r>
      <w:r w:rsidR="00BD774F" w:rsidRPr="00972542">
        <w:t>.</w:t>
      </w:r>
      <w:r w:rsidR="00FE0AA2" w:rsidRPr="00972542">
        <w:t xml:space="preserve"> Chapter V of the Convention defines the purposes (</w:t>
      </w:r>
      <w:r w:rsidR="00F276B7" w:rsidRPr="00972542">
        <w:t>Article </w:t>
      </w:r>
      <w:r w:rsidR="00FE0AA2" w:rsidRPr="00972542">
        <w:t xml:space="preserve">19) and forms (Article 20) of International Assistance as well as </w:t>
      </w:r>
      <w:r w:rsidR="00BD774F" w:rsidRPr="00972542">
        <w:t xml:space="preserve">the </w:t>
      </w:r>
      <w:r w:rsidR="00507F32" w:rsidRPr="00972542">
        <w:t>conditions governing the mechanism (Article 22). Furthermore, all States Parties to the Convention may submit request</w:t>
      </w:r>
      <w:r w:rsidR="00B46FCB" w:rsidRPr="00972542">
        <w:t>s</w:t>
      </w:r>
      <w:r w:rsidR="00507F32" w:rsidRPr="00972542">
        <w:t xml:space="preserve"> for International Assistance (Article </w:t>
      </w:r>
      <w:r w:rsidR="005A61BD" w:rsidRPr="00972542">
        <w:t>23</w:t>
      </w:r>
      <w:r w:rsidR="00BD774F" w:rsidRPr="00972542">
        <w:t>) to the Committee</w:t>
      </w:r>
      <w:r w:rsidR="000647DD" w:rsidRPr="00972542">
        <w:t>.</w:t>
      </w:r>
      <w:r w:rsidR="005A61BD" w:rsidRPr="00972542">
        <w:t xml:space="preserve"> </w:t>
      </w:r>
      <w:r w:rsidR="000647DD" w:rsidRPr="00972542">
        <w:t>O</w:t>
      </w:r>
      <w:r w:rsidR="00B46FCB" w:rsidRPr="00972542">
        <w:t xml:space="preserve">nce </w:t>
      </w:r>
      <w:r w:rsidR="00BD774F" w:rsidRPr="00972542">
        <w:t>I</w:t>
      </w:r>
      <w:r w:rsidR="000647DD" w:rsidRPr="00972542">
        <w:t xml:space="preserve">nternational </w:t>
      </w:r>
      <w:r w:rsidR="00BD774F" w:rsidRPr="00972542">
        <w:t xml:space="preserve">Assistance </w:t>
      </w:r>
      <w:r w:rsidR="00CC0C07" w:rsidRPr="00972542">
        <w:t>has been</w:t>
      </w:r>
      <w:r w:rsidR="000647DD" w:rsidRPr="00972542">
        <w:t xml:space="preserve"> </w:t>
      </w:r>
      <w:r w:rsidR="00B46FCB" w:rsidRPr="00972542">
        <w:t>granted</w:t>
      </w:r>
      <w:r w:rsidR="000647DD" w:rsidRPr="00972542">
        <w:t>,</w:t>
      </w:r>
      <w:r w:rsidR="002E1CFA" w:rsidRPr="00972542">
        <w:t xml:space="preserve"> </w:t>
      </w:r>
      <w:r w:rsidR="000647DD" w:rsidRPr="00972542">
        <w:t xml:space="preserve">specific </w:t>
      </w:r>
      <w:r w:rsidR="002E1CFA" w:rsidRPr="00972542">
        <w:t>projects are regulated by means of an agreement between the beneficiary State Party and the Committee</w:t>
      </w:r>
      <w:r w:rsidR="00BD774F" w:rsidRPr="00972542">
        <w:t>,</w:t>
      </w:r>
      <w:r w:rsidR="002E1CFA" w:rsidRPr="00972542">
        <w:t xml:space="preserve"> </w:t>
      </w:r>
      <w:r w:rsidR="00C75997" w:rsidRPr="00972542">
        <w:t xml:space="preserve">and the beneficiary State Party shall submit to the Committee a report on the use made of the assistance provided for the safeguarding of </w:t>
      </w:r>
      <w:r w:rsidR="00BD774F" w:rsidRPr="00972542">
        <w:t xml:space="preserve">its </w:t>
      </w:r>
      <w:r w:rsidR="00C75997" w:rsidRPr="00972542">
        <w:t xml:space="preserve">intangible cultural heritage </w:t>
      </w:r>
      <w:r w:rsidR="005A61BD" w:rsidRPr="00972542">
        <w:t>(Article 24)</w:t>
      </w:r>
      <w:r w:rsidR="002E1CFA" w:rsidRPr="00972542">
        <w:t xml:space="preserve">. </w:t>
      </w:r>
      <w:r w:rsidR="00D96E4E" w:rsidRPr="00972542">
        <w:t xml:space="preserve">In addition, </w:t>
      </w:r>
      <w:r w:rsidR="002E1CFA" w:rsidRPr="00972542">
        <w:t xml:space="preserve">the Operational Directives </w:t>
      </w:r>
      <w:r w:rsidR="000647DD" w:rsidRPr="00972542">
        <w:t>set out details on how the mechanism is administered</w:t>
      </w:r>
      <w:r w:rsidR="00BD774F" w:rsidRPr="00972542">
        <w:t>,</w:t>
      </w:r>
      <w:r w:rsidR="000647DD" w:rsidRPr="00972542">
        <w:t xml:space="preserve"> including the selection criteria, </w:t>
      </w:r>
      <w:r w:rsidR="00BD774F" w:rsidRPr="00972542">
        <w:t xml:space="preserve">the </w:t>
      </w:r>
      <w:r w:rsidR="000647DD" w:rsidRPr="00972542">
        <w:t>timeline</w:t>
      </w:r>
      <w:r w:rsidR="00BD774F" w:rsidRPr="00972542">
        <w:t>,</w:t>
      </w:r>
      <w:r w:rsidR="000647DD" w:rsidRPr="00972542">
        <w:t xml:space="preserve"> </w:t>
      </w:r>
      <w:r w:rsidR="00BD774F" w:rsidRPr="00972542">
        <w:t>and</w:t>
      </w:r>
      <w:r w:rsidR="000647DD" w:rsidRPr="00972542">
        <w:t xml:space="preserve"> </w:t>
      </w:r>
      <w:r w:rsidR="00AC02E2" w:rsidRPr="00972542">
        <w:t>the</w:t>
      </w:r>
      <w:r w:rsidR="000647DD" w:rsidRPr="00972542">
        <w:t xml:space="preserve"> procedure</w:t>
      </w:r>
      <w:r w:rsidR="00AC02E2" w:rsidRPr="00972542">
        <w:t xml:space="preserve"> for </w:t>
      </w:r>
      <w:r w:rsidR="00CC0C07" w:rsidRPr="00972542">
        <w:t>selecting</w:t>
      </w:r>
      <w:r w:rsidR="00AC02E2" w:rsidRPr="00972542">
        <w:t xml:space="preserve"> International Assistance requests</w:t>
      </w:r>
      <w:r w:rsidR="000647DD" w:rsidRPr="00972542">
        <w:t>.</w:t>
      </w:r>
    </w:p>
    <w:p w14:paraId="0EDBA543" w14:textId="4F37B953" w:rsidR="00A01D61" w:rsidRPr="00A82C12" w:rsidRDefault="00A01D61" w:rsidP="00A82C12">
      <w:pPr>
        <w:pStyle w:val="COMPara"/>
        <w:ind w:left="567" w:hanging="567"/>
        <w:jc w:val="both"/>
      </w:pPr>
      <w:r w:rsidRPr="00A82C12">
        <w:t>The safeguarding projects financed by the Fund have become comprehensive</w:t>
      </w:r>
      <w:r w:rsidR="001F4FA9" w:rsidRPr="00A82C12">
        <w:t xml:space="preserve">, covering </w:t>
      </w:r>
      <w:r w:rsidRPr="00A82C12">
        <w:t xml:space="preserve">inventorying, awareness raising, transmission, revitalization, as well as building the capacities of communities </w:t>
      </w:r>
      <w:r w:rsidR="00BD774F" w:rsidRPr="00A82C12">
        <w:t>and</w:t>
      </w:r>
      <w:r w:rsidRPr="00A82C12">
        <w:t xml:space="preserve"> national institutions </w:t>
      </w:r>
      <w:r w:rsidR="00BD774F" w:rsidRPr="00A82C12">
        <w:t xml:space="preserve">and </w:t>
      </w:r>
      <w:r w:rsidRPr="00A82C12">
        <w:t xml:space="preserve">the inclusion of intangible cultural heritage in education, among others. They are also carried out in different parts of the world by a variety of actors. Through their implementation, </w:t>
      </w:r>
      <w:r w:rsidR="00672EB9" w:rsidRPr="00A82C12">
        <w:t>International Assistance</w:t>
      </w:r>
      <w:r w:rsidRPr="00A82C12">
        <w:t xml:space="preserve"> projects raise pertinent questions on different aspects of the Convention. In this way, </w:t>
      </w:r>
      <w:r w:rsidR="00672EB9" w:rsidRPr="00A82C12">
        <w:t>this mechanism</w:t>
      </w:r>
      <w:r w:rsidRPr="00A82C12">
        <w:t xml:space="preserve"> could be an important source of information regarding the implementation of the Convention.</w:t>
      </w:r>
    </w:p>
    <w:p w14:paraId="5198A3D2" w14:textId="2C90D6B5" w:rsidR="00217331" w:rsidRPr="00A82C12" w:rsidRDefault="00AC02E2" w:rsidP="00A82C12">
      <w:pPr>
        <w:pStyle w:val="COMPara"/>
        <w:ind w:left="567" w:hanging="567"/>
        <w:jc w:val="both"/>
      </w:pPr>
      <w:r w:rsidRPr="00A82C12">
        <w:t xml:space="preserve">At the same time, </w:t>
      </w:r>
      <w:r w:rsidR="006A1C24" w:rsidRPr="00A82C12">
        <w:t>it was identified that</w:t>
      </w:r>
      <w:r w:rsidR="002959E6" w:rsidRPr="00A82C12">
        <w:t xml:space="preserve"> a robust and systematic system for </w:t>
      </w:r>
      <w:r w:rsidR="006A1C24" w:rsidRPr="00A82C12">
        <w:t xml:space="preserve">monitoring and evaluating </w:t>
      </w:r>
      <w:r w:rsidR="002959E6" w:rsidRPr="00A82C12">
        <w:t>the implementation of the International Assistance mechanism</w:t>
      </w:r>
      <w:r w:rsidR="006A1C24" w:rsidRPr="00A82C12">
        <w:t xml:space="preserve"> needs to be set up</w:t>
      </w:r>
      <w:r w:rsidR="002959E6" w:rsidRPr="00A82C12">
        <w:t xml:space="preserve">. It </w:t>
      </w:r>
      <w:r w:rsidR="00CC0C07" w:rsidRPr="00A82C12">
        <w:t>has been</w:t>
      </w:r>
      <w:r w:rsidR="002959E6" w:rsidRPr="00A82C12">
        <w:t xml:space="preserve"> found </w:t>
      </w:r>
      <w:r w:rsidR="00CC0C07" w:rsidRPr="00A82C12">
        <w:t xml:space="preserve">that it is </w:t>
      </w:r>
      <w:r w:rsidR="002959E6" w:rsidRPr="00A82C12">
        <w:t xml:space="preserve">difficult to assess and consolidate the outcomes of the funded projects solely through the reports submitted by beneficiary States Parties. The Secretariat therefore reported to the sixteenth session of the Committee (document </w:t>
      </w:r>
      <w:hyperlink r:id="rId8" w:history="1">
        <w:r w:rsidR="002959E6" w:rsidRPr="00A82C12">
          <w:rPr>
            <w:rStyle w:val="Hyperlink"/>
            <w:rFonts w:cs="Arial"/>
          </w:rPr>
          <w:t>LHE/21/16.COM 7.d</w:t>
        </w:r>
      </w:hyperlink>
      <w:r w:rsidR="002959E6" w:rsidRPr="00A82C12">
        <w:t xml:space="preserve">) and the ninth session of the General Assembly (documents </w:t>
      </w:r>
      <w:hyperlink r:id="rId9" w:history="1">
        <w:r w:rsidR="002959E6" w:rsidRPr="00A82C12">
          <w:rPr>
            <w:rStyle w:val="Hyperlink"/>
            <w:rFonts w:cs="Arial"/>
          </w:rPr>
          <w:t>LHE/22/9.GA.10</w:t>
        </w:r>
      </w:hyperlink>
      <w:r w:rsidR="002959E6" w:rsidRPr="00A82C12">
        <w:t xml:space="preserve"> and </w:t>
      </w:r>
      <w:hyperlink r:id="rId10" w:history="1">
        <w:r w:rsidR="002959E6" w:rsidRPr="00A82C12">
          <w:rPr>
            <w:rStyle w:val="Hyperlink"/>
            <w:rFonts w:cs="Arial"/>
          </w:rPr>
          <w:t>LHE/22/9.GA/INF.10</w:t>
        </w:r>
      </w:hyperlink>
      <w:r w:rsidR="002959E6" w:rsidRPr="00A82C12">
        <w:t xml:space="preserve">) </w:t>
      </w:r>
      <w:r w:rsidR="00715143" w:rsidRPr="00A82C12">
        <w:t>that it intends</w:t>
      </w:r>
      <w:r w:rsidR="002959E6" w:rsidRPr="00A82C12">
        <w:t xml:space="preserve"> to develop a strategy </w:t>
      </w:r>
      <w:r w:rsidR="00715143" w:rsidRPr="00A82C12">
        <w:t>aimed at</w:t>
      </w:r>
      <w:r w:rsidR="002959E6" w:rsidRPr="00A82C12">
        <w:t xml:space="preserve"> further operationaliz</w:t>
      </w:r>
      <w:r w:rsidR="00715143" w:rsidRPr="00A82C12">
        <w:t>ing</w:t>
      </w:r>
      <w:r w:rsidR="002959E6" w:rsidRPr="00A82C12">
        <w:t xml:space="preserve"> the International Assistance mechanism with a specific monitoring and evaluation system, </w:t>
      </w:r>
      <w:r w:rsidR="00715143" w:rsidRPr="00A82C12">
        <w:t>to be presented</w:t>
      </w:r>
      <w:r w:rsidR="00672EB9" w:rsidRPr="00A82C12">
        <w:t xml:space="preserve"> to</w:t>
      </w:r>
      <w:r w:rsidR="002959E6" w:rsidRPr="00A82C12">
        <w:t xml:space="preserve"> the seventeenth session of the Committee. </w:t>
      </w:r>
      <w:r w:rsidR="00A44B87" w:rsidRPr="00A82C12">
        <w:t xml:space="preserve">The preparation of the </w:t>
      </w:r>
      <w:r w:rsidR="00972542">
        <w:t>S</w:t>
      </w:r>
      <w:r w:rsidR="00A44B87" w:rsidRPr="00A82C12">
        <w:t xml:space="preserve">trategy </w:t>
      </w:r>
      <w:r w:rsidR="00E024AC" w:rsidRPr="00A82C12">
        <w:t xml:space="preserve">has been </w:t>
      </w:r>
      <w:r w:rsidR="00DC246F" w:rsidRPr="00A82C12">
        <w:t>undertaken by</w:t>
      </w:r>
      <w:r w:rsidR="00A44B87" w:rsidRPr="00A82C12">
        <w:t xml:space="preserve"> the Safeguarding, Implementation and Monitoring Team</w:t>
      </w:r>
      <w:r w:rsidR="00715143" w:rsidRPr="00A82C12">
        <w:t>,</w:t>
      </w:r>
      <w:r w:rsidR="00A44B87" w:rsidRPr="00A82C12">
        <w:t xml:space="preserve"> </w:t>
      </w:r>
      <w:r w:rsidR="00E024AC" w:rsidRPr="00A82C12">
        <w:t xml:space="preserve">established in October 2019 following </w:t>
      </w:r>
      <w:r w:rsidR="00A44B87" w:rsidRPr="00A82C12">
        <w:t xml:space="preserve">the approval by the seventh session of the General Assembly in July 2018 </w:t>
      </w:r>
      <w:r w:rsidR="00715143" w:rsidRPr="00A82C12">
        <w:t>of the creation of</w:t>
      </w:r>
      <w:r w:rsidR="00A44B87" w:rsidRPr="00A82C12">
        <w:t xml:space="preserve"> three extra-budgetary posts</w:t>
      </w:r>
      <w:r w:rsidR="00E024AC" w:rsidRPr="00A82C12">
        <w:t xml:space="preserve"> (Resolution </w:t>
      </w:r>
      <w:hyperlink r:id="rId11" w:history="1">
        <w:r w:rsidR="00E024AC" w:rsidRPr="00A82C12">
          <w:rPr>
            <w:rStyle w:val="Hyperlink"/>
            <w:rFonts w:cs="Arial"/>
          </w:rPr>
          <w:t>7.GA 8</w:t>
        </w:r>
      </w:hyperlink>
      <w:r w:rsidR="00E024AC" w:rsidRPr="00A82C12">
        <w:t>)</w:t>
      </w:r>
      <w:r w:rsidR="00A44B87" w:rsidRPr="00A82C12">
        <w:t>.</w:t>
      </w:r>
    </w:p>
    <w:p w14:paraId="3B801308" w14:textId="59EEC1B2" w:rsidR="00AC02E2" w:rsidRPr="00A82C12" w:rsidRDefault="00030C0B" w:rsidP="00A82C12">
      <w:pPr>
        <w:pStyle w:val="COMPara"/>
        <w:ind w:left="567" w:hanging="567"/>
        <w:jc w:val="both"/>
      </w:pPr>
      <w:r w:rsidRPr="00A82C12">
        <w:t>In parallel, the Internal Oversight Service (IOS)</w:t>
      </w:r>
      <w:r w:rsidR="00AC559D" w:rsidRPr="00AC559D">
        <w:t>'</w:t>
      </w:r>
      <w:r w:rsidR="00715143" w:rsidRPr="00A82C12">
        <w:t>s</w:t>
      </w:r>
      <w:r w:rsidRPr="00A82C12">
        <w:t xml:space="preserve"> evaluation in 2021 of UNESCO</w:t>
      </w:r>
      <w:r w:rsidR="00AC559D" w:rsidRPr="00AC559D">
        <w:t>'</w:t>
      </w:r>
      <w:r w:rsidRPr="00A82C12">
        <w:t xml:space="preserve">s action in the framework of the 2003 Convention, presented to the sixteenth session of the Committee, identified a number of issues and made recommendations for </w:t>
      </w:r>
      <w:r w:rsidR="00715143" w:rsidRPr="00A82C12">
        <w:t>how to better utilize</w:t>
      </w:r>
      <w:r w:rsidRPr="00A82C12">
        <w:t xml:space="preserve"> International Assistance (</w:t>
      </w:r>
      <w:r w:rsidR="00D410EF" w:rsidRPr="00A82C12">
        <w:t xml:space="preserve">Decision </w:t>
      </w:r>
      <w:hyperlink r:id="rId12" w:history="1">
        <w:r w:rsidR="00D410EF" w:rsidRPr="00A82C12">
          <w:rPr>
            <w:rStyle w:val="Hyperlink"/>
            <w:rFonts w:cs="Arial"/>
          </w:rPr>
          <w:t>16.COM 10</w:t>
        </w:r>
      </w:hyperlink>
      <w:r w:rsidR="00D410EF" w:rsidRPr="00A82C12">
        <w:t xml:space="preserve">; </w:t>
      </w:r>
      <w:r w:rsidR="00632DCD" w:rsidRPr="00A82C12">
        <w:rPr>
          <w:rFonts w:asciiTheme="minorBidi" w:hAnsiTheme="minorBidi" w:cstheme="minorBidi"/>
          <w:iCs/>
        </w:rPr>
        <w:t xml:space="preserve">documents </w:t>
      </w:r>
      <w:hyperlink r:id="rId13" w:history="1">
        <w:r w:rsidR="00632DCD" w:rsidRPr="00A82C12">
          <w:rPr>
            <w:rStyle w:val="Hyperlink"/>
            <w:rFonts w:cstheme="minorBidi"/>
          </w:rPr>
          <w:t>LHE/21/16.COM/10 Rev.</w:t>
        </w:r>
      </w:hyperlink>
      <w:r w:rsidR="00632DCD" w:rsidRPr="00A82C12">
        <w:rPr>
          <w:rFonts w:asciiTheme="minorBidi" w:hAnsiTheme="minorBidi" w:cstheme="minorBidi"/>
          <w:iCs/>
        </w:rPr>
        <w:t xml:space="preserve"> and </w:t>
      </w:r>
      <w:hyperlink r:id="rId14" w:history="1">
        <w:r w:rsidR="00632DCD" w:rsidRPr="00A82C12">
          <w:rPr>
            <w:rStyle w:val="Hyperlink"/>
            <w:rFonts w:cstheme="minorBidi"/>
          </w:rPr>
          <w:t>LHE/21/16.COM/INF.10 Rev.</w:t>
        </w:r>
      </w:hyperlink>
      <w:r w:rsidRPr="00A82C12">
        <w:t>)</w:t>
      </w:r>
      <w:r w:rsidR="008B6250" w:rsidRPr="00A82C12">
        <w:t>. The Secretariat noted that certain actions relating to the IOS recommendations were already underway and that one of the main challenges for strengthening the monitoring and evaluation was the need for sustainable budgetary resources. This led to the proposal to the ninth session of the General Assembly to incorporate a budgetary mechanism to finance the monitoring and evaluation system for the International Assistance mechanism.</w:t>
      </w:r>
      <w:r w:rsidR="005D1FE4" w:rsidRPr="00A82C12">
        <w:t xml:space="preserve"> In turn</w:t>
      </w:r>
      <w:r w:rsidR="00715143" w:rsidRPr="00A82C12">
        <w:t>,</w:t>
      </w:r>
      <w:r w:rsidR="005D1FE4" w:rsidRPr="00A82C12">
        <w:t xml:space="preserve"> that session of the General Assembly authorized the use, on an experimental basis, of an amount not exceeding </w:t>
      </w:r>
      <w:r w:rsidR="00715143" w:rsidRPr="00A82C12">
        <w:t xml:space="preserve">10 </w:t>
      </w:r>
      <w:r w:rsidR="005D1FE4" w:rsidRPr="00A82C12">
        <w:t xml:space="preserve">per cent of the approved budget of each International Assistance project to monitor and </w:t>
      </w:r>
      <w:r w:rsidR="006976B7" w:rsidRPr="00A82C12">
        <w:t xml:space="preserve">assess </w:t>
      </w:r>
      <w:r w:rsidR="005D1FE4" w:rsidRPr="00A82C12">
        <w:t xml:space="preserve">the impact of projects supported by the Fund (Resolution </w:t>
      </w:r>
      <w:hyperlink r:id="rId15" w:history="1">
        <w:r w:rsidR="005D1FE4" w:rsidRPr="00A82C12">
          <w:rPr>
            <w:rStyle w:val="Hyperlink"/>
            <w:rFonts w:cs="Arial"/>
          </w:rPr>
          <w:t>9.GA 10</w:t>
        </w:r>
      </w:hyperlink>
      <w:r w:rsidR="005D1FE4" w:rsidRPr="00A82C12">
        <w:t>).</w:t>
      </w:r>
    </w:p>
    <w:p w14:paraId="315578AB" w14:textId="79500230" w:rsidR="00500FB5" w:rsidRPr="00A82C12" w:rsidRDefault="002C3DEC" w:rsidP="00A82C12">
      <w:pPr>
        <w:pStyle w:val="COMPara"/>
        <w:ind w:left="567" w:hanging="567"/>
        <w:jc w:val="both"/>
      </w:pPr>
      <w:r w:rsidRPr="00A82C12">
        <w:t xml:space="preserve">This document presents the </w:t>
      </w:r>
      <w:r w:rsidR="00972542">
        <w:t>S</w:t>
      </w:r>
      <w:r w:rsidR="00715143" w:rsidRPr="00A82C12">
        <w:t xml:space="preserve">trategy </w:t>
      </w:r>
      <w:r w:rsidRPr="00A82C12">
        <w:t xml:space="preserve">for the monitoring, evaluation and </w:t>
      </w:r>
      <w:r w:rsidR="00715143" w:rsidRPr="00A82C12">
        <w:t xml:space="preserve">identification of </w:t>
      </w:r>
      <w:r w:rsidRPr="00A82C12">
        <w:t>lessons lea</w:t>
      </w:r>
      <w:r w:rsidR="009C4833" w:rsidRPr="00A82C12">
        <w:t>r</w:t>
      </w:r>
      <w:r w:rsidRPr="00A82C12">
        <w:t>nt for International Assistance projects</w:t>
      </w:r>
      <w:r w:rsidR="0083406E" w:rsidRPr="00A82C12">
        <w:t xml:space="preserve"> (hereafter ‘the Strategy’)</w:t>
      </w:r>
      <w:r w:rsidR="00500FB5" w:rsidRPr="00A82C12">
        <w:t>, clarifying its objectives together with a set of specific actions that will be undertaken to meet the overall goal.</w:t>
      </w:r>
    </w:p>
    <w:p w14:paraId="05D1C79F" w14:textId="5902736E" w:rsidR="0057439C" w:rsidRPr="00A82C12" w:rsidRDefault="00500FB5" w:rsidP="007D54DA">
      <w:pPr>
        <w:pStyle w:val="COMPara"/>
        <w:keepNext/>
        <w:numPr>
          <w:ilvl w:val="0"/>
          <w:numId w:val="0"/>
        </w:numPr>
        <w:spacing w:before="240"/>
        <w:jc w:val="both"/>
      </w:pPr>
      <w:r w:rsidRPr="00A82C12">
        <w:rPr>
          <w:b/>
          <w:bCs/>
        </w:rPr>
        <w:lastRenderedPageBreak/>
        <w:t>The o</w:t>
      </w:r>
      <w:r w:rsidR="00F21375" w:rsidRPr="00A82C12">
        <w:rPr>
          <w:b/>
          <w:bCs/>
        </w:rPr>
        <w:t>bjective of the Strategy</w:t>
      </w:r>
    </w:p>
    <w:p w14:paraId="5587E3B3" w14:textId="35C734AC" w:rsidR="00C07C1F" w:rsidRPr="00A82C12" w:rsidRDefault="0083406E" w:rsidP="00C07C1F">
      <w:pPr>
        <w:pStyle w:val="COMPara"/>
        <w:ind w:left="567" w:hanging="567"/>
        <w:jc w:val="both"/>
        <w:rPr>
          <w:snapToGrid/>
        </w:rPr>
      </w:pPr>
      <w:r w:rsidRPr="00A82C12">
        <w:t xml:space="preserve">The objective of the Strategy is to </w:t>
      </w:r>
      <w:r w:rsidRPr="00A82C12">
        <w:rPr>
          <w:snapToGrid/>
        </w:rPr>
        <w:t xml:space="preserve">establish a systematized approach whereby the monitoring and evaluation of each individual International Assistance project granted under </w:t>
      </w:r>
      <w:r w:rsidR="00715143" w:rsidRPr="00A82C12">
        <w:rPr>
          <w:snapToGrid/>
        </w:rPr>
        <w:t xml:space="preserve">the </w:t>
      </w:r>
      <w:r w:rsidRPr="00A82C12">
        <w:rPr>
          <w:snapToGrid/>
        </w:rPr>
        <w:t xml:space="preserve">Intangible Cultural Heritage Fund will also feed into </w:t>
      </w:r>
      <w:r w:rsidR="00715143" w:rsidRPr="00A82C12">
        <w:rPr>
          <w:snapToGrid/>
        </w:rPr>
        <w:t xml:space="preserve">the </w:t>
      </w:r>
      <w:r w:rsidR="006E7DB9" w:rsidRPr="00A82C12">
        <w:rPr>
          <w:snapToGrid/>
        </w:rPr>
        <w:t>overall</w:t>
      </w:r>
      <w:r w:rsidRPr="00A82C12">
        <w:rPr>
          <w:snapToGrid/>
        </w:rPr>
        <w:t xml:space="preserve"> monitoring and evaluation of the International Assistance </w:t>
      </w:r>
      <w:r w:rsidR="006E7DB9" w:rsidRPr="00A82C12">
        <w:rPr>
          <w:snapToGrid/>
        </w:rPr>
        <w:t>mechanism</w:t>
      </w:r>
      <w:r w:rsidRPr="00A82C12">
        <w:rPr>
          <w:snapToGrid/>
        </w:rPr>
        <w:t>.</w:t>
      </w:r>
      <w:r w:rsidR="00C07C1F" w:rsidRPr="00A82C12">
        <w:rPr>
          <w:snapToGrid/>
        </w:rPr>
        <w:t xml:space="preserve"> The goal is to better track the effectiveness</w:t>
      </w:r>
      <w:r w:rsidR="00715143" w:rsidRPr="00A82C12">
        <w:rPr>
          <w:snapToGrid/>
        </w:rPr>
        <w:t xml:space="preserve"> of the mechanism</w:t>
      </w:r>
      <w:r w:rsidR="00C07C1F" w:rsidRPr="00A82C12">
        <w:rPr>
          <w:snapToGrid/>
        </w:rPr>
        <w:t xml:space="preserve"> </w:t>
      </w:r>
      <w:r w:rsidRPr="00A82C12">
        <w:rPr>
          <w:snapToGrid/>
        </w:rPr>
        <w:t xml:space="preserve">in contributing to the implementation of the Convention, </w:t>
      </w:r>
      <w:r w:rsidR="00C07C1F" w:rsidRPr="00A82C12">
        <w:rPr>
          <w:snapToGrid/>
        </w:rPr>
        <w:t xml:space="preserve">and to do so </w:t>
      </w:r>
      <w:r w:rsidR="006E7DB9" w:rsidRPr="00A82C12">
        <w:rPr>
          <w:snapToGrid/>
        </w:rPr>
        <w:t xml:space="preserve">by </w:t>
      </w:r>
      <w:r w:rsidR="00C07C1F" w:rsidRPr="00A82C12">
        <w:rPr>
          <w:snapToGrid/>
        </w:rPr>
        <w:t xml:space="preserve">aligning </w:t>
      </w:r>
      <w:r w:rsidR="00715143" w:rsidRPr="00A82C12">
        <w:rPr>
          <w:snapToGrid/>
        </w:rPr>
        <w:t xml:space="preserve">its </w:t>
      </w:r>
      <w:r w:rsidR="00C07C1F" w:rsidRPr="00A82C12">
        <w:rPr>
          <w:snapToGrid/>
        </w:rPr>
        <w:t xml:space="preserve">monitoring and evaluation </w:t>
      </w:r>
      <w:r w:rsidR="00715143" w:rsidRPr="00A82C12">
        <w:rPr>
          <w:snapToGrid/>
        </w:rPr>
        <w:t>with</w:t>
      </w:r>
      <w:r w:rsidR="00C07C1F" w:rsidRPr="00A82C12">
        <w:rPr>
          <w:snapToGrid/>
        </w:rPr>
        <w:t xml:space="preserve"> the </w:t>
      </w:r>
      <w:r w:rsidRPr="00A82C12">
        <w:rPr>
          <w:snapToGrid/>
        </w:rPr>
        <w:t>Overall Results Framework of the 2003</w:t>
      </w:r>
      <w:r w:rsidR="00C07C1F" w:rsidRPr="00A82C12">
        <w:rPr>
          <w:snapToGrid/>
        </w:rPr>
        <w:t xml:space="preserve"> </w:t>
      </w:r>
      <w:r w:rsidRPr="00A82C12">
        <w:rPr>
          <w:snapToGrid/>
        </w:rPr>
        <w:t>Convention</w:t>
      </w:r>
      <w:r w:rsidR="006E7DB9" w:rsidRPr="00A82C12">
        <w:rPr>
          <w:snapToGrid/>
        </w:rPr>
        <w:t>,</w:t>
      </w:r>
      <w:r w:rsidRPr="00A82C12">
        <w:rPr>
          <w:snapToGrid/>
        </w:rPr>
        <w:t xml:space="preserve"> which was adopted by the </w:t>
      </w:r>
      <w:r w:rsidR="00C07C1F" w:rsidRPr="00A82C12">
        <w:rPr>
          <w:snapToGrid/>
        </w:rPr>
        <w:t xml:space="preserve">seventh session of the </w:t>
      </w:r>
      <w:r w:rsidRPr="00A82C12">
        <w:rPr>
          <w:snapToGrid/>
        </w:rPr>
        <w:t>General Assembly</w:t>
      </w:r>
      <w:r w:rsidR="00C07C1F" w:rsidRPr="00A82C12">
        <w:rPr>
          <w:snapToGrid/>
        </w:rPr>
        <w:t xml:space="preserve"> of the States Parties to the Convention</w:t>
      </w:r>
      <w:r w:rsidRPr="00A82C12">
        <w:rPr>
          <w:snapToGrid/>
        </w:rPr>
        <w:t xml:space="preserve"> in 2018 (Resolution </w:t>
      </w:r>
      <w:hyperlink r:id="rId16" w:history="1">
        <w:r w:rsidRPr="00A82C12">
          <w:rPr>
            <w:rStyle w:val="Hyperlink"/>
            <w:rFonts w:cs="Arial"/>
            <w:snapToGrid/>
          </w:rPr>
          <w:t>7.GA</w:t>
        </w:r>
        <w:r w:rsidR="00972542">
          <w:rPr>
            <w:rStyle w:val="Hyperlink"/>
            <w:rFonts w:cs="Arial"/>
            <w:snapToGrid/>
          </w:rPr>
          <w:t> </w:t>
        </w:r>
        <w:r w:rsidRPr="00A82C12">
          <w:rPr>
            <w:rStyle w:val="Hyperlink"/>
            <w:rFonts w:cs="Arial"/>
            <w:snapToGrid/>
          </w:rPr>
          <w:t>9</w:t>
        </w:r>
      </w:hyperlink>
      <w:r w:rsidRPr="00A82C12">
        <w:rPr>
          <w:snapToGrid/>
        </w:rPr>
        <w:t>)</w:t>
      </w:r>
      <w:r w:rsidR="00C07C1F" w:rsidRPr="00A82C12">
        <w:rPr>
          <w:rStyle w:val="CommentReference"/>
          <w:rFonts w:ascii="Times New Roman" w:hAnsi="Times New Roman" w:cs="Times New Roman"/>
          <w:snapToGrid/>
          <w:lang w:eastAsia="fr-FR"/>
        </w:rPr>
        <w:t>.</w:t>
      </w:r>
      <w:r w:rsidR="002116D4" w:rsidRPr="00A82C12">
        <w:rPr>
          <w:rStyle w:val="CommentReference"/>
          <w:rFonts w:ascii="Times New Roman" w:hAnsi="Times New Roman" w:cs="Times New Roman"/>
          <w:snapToGrid/>
          <w:lang w:eastAsia="fr-FR"/>
        </w:rPr>
        <w:t xml:space="preserve"> </w:t>
      </w:r>
      <w:r w:rsidR="002116D4" w:rsidRPr="00A82C12">
        <w:t>Reflecting the spirit of the 2003 Convention</w:t>
      </w:r>
      <w:r w:rsidR="006A1C24" w:rsidRPr="00A82C12">
        <w:t>,</w:t>
      </w:r>
      <w:r w:rsidR="002116D4" w:rsidRPr="00A82C12">
        <w:t xml:space="preserve"> which places communities, groups and individuals at the centre of its implementation, </w:t>
      </w:r>
      <w:r w:rsidR="006A1C24" w:rsidRPr="00A82C12">
        <w:t xml:space="preserve">the </w:t>
      </w:r>
      <w:r w:rsidR="002116D4" w:rsidRPr="00A82C12">
        <w:t xml:space="preserve">monitoring and evaluation of International Assistance shall </w:t>
      </w:r>
      <w:r w:rsidR="006A1C24" w:rsidRPr="00A82C12">
        <w:t xml:space="preserve">be carried out by incorporating </w:t>
      </w:r>
      <w:r w:rsidR="002116D4" w:rsidRPr="00A82C12">
        <w:t xml:space="preserve">the views of </w:t>
      </w:r>
      <w:r w:rsidR="006A1C24" w:rsidRPr="00A82C12">
        <w:t xml:space="preserve">the </w:t>
      </w:r>
      <w:r w:rsidR="002116D4" w:rsidRPr="00A82C12">
        <w:t>project beneficiaries.</w:t>
      </w:r>
    </w:p>
    <w:p w14:paraId="052242E8" w14:textId="720B1C4C" w:rsidR="00122358" w:rsidRPr="00A82C12" w:rsidRDefault="00122358" w:rsidP="001D4D2E">
      <w:pPr>
        <w:pStyle w:val="COMPara"/>
        <w:numPr>
          <w:ilvl w:val="0"/>
          <w:numId w:val="0"/>
        </w:numPr>
        <w:spacing w:before="240"/>
        <w:jc w:val="both"/>
        <w:rPr>
          <w:b/>
          <w:bCs/>
        </w:rPr>
      </w:pPr>
      <w:r w:rsidRPr="00A82C12">
        <w:rPr>
          <w:b/>
          <w:bCs/>
        </w:rPr>
        <w:t xml:space="preserve">Alignment </w:t>
      </w:r>
      <w:r w:rsidR="00962316" w:rsidRPr="00A82C12">
        <w:rPr>
          <w:b/>
          <w:bCs/>
        </w:rPr>
        <w:t>with</w:t>
      </w:r>
      <w:r w:rsidRPr="00A82C12">
        <w:rPr>
          <w:b/>
          <w:bCs/>
        </w:rPr>
        <w:t xml:space="preserve"> the Overall Results Framework of the Convention</w:t>
      </w:r>
    </w:p>
    <w:p w14:paraId="3D264684" w14:textId="2B2EA13E" w:rsidR="0045617B" w:rsidRPr="00A82C12" w:rsidRDefault="00C07C1F" w:rsidP="00065833">
      <w:pPr>
        <w:pStyle w:val="COMPara"/>
        <w:spacing w:after="240"/>
        <w:ind w:left="567" w:hanging="567"/>
        <w:jc w:val="both"/>
        <w:rPr>
          <w:snapToGrid/>
        </w:rPr>
      </w:pPr>
      <w:r w:rsidRPr="00A82C12">
        <w:rPr>
          <w:snapToGrid/>
        </w:rPr>
        <w:t>The overall results framework was prepared as a tool to measure the impact of the 2003 Convention at various levels through clearly identified objectives, indicators and benchmarks</w:t>
      </w:r>
      <w:r w:rsidR="0083406E" w:rsidRPr="00A82C12">
        <w:rPr>
          <w:snapToGrid/>
        </w:rPr>
        <w:t>.</w:t>
      </w:r>
      <w:r w:rsidR="00082AC0" w:rsidRPr="00A82C12">
        <w:rPr>
          <w:snapToGrid/>
        </w:rPr>
        <w:t xml:space="preserve"> The framework is composed of two tables: the first </w:t>
      </w:r>
      <w:r w:rsidR="00962316" w:rsidRPr="00A82C12">
        <w:rPr>
          <w:snapToGrid/>
        </w:rPr>
        <w:t xml:space="preserve">table </w:t>
      </w:r>
      <w:r w:rsidR="00082AC0" w:rsidRPr="00A82C12">
        <w:rPr>
          <w:snapToGrid/>
        </w:rPr>
        <w:t>includes the high-level framework, where the impacts, expected outcomes and eight thematic areas are identified and a set of twenty-six core indicators have been established; the second table presents the core indicators and an associated set of eighty-six assessment factors arranged by thematic areas.</w:t>
      </w:r>
      <w:r w:rsidR="00DF06CB" w:rsidRPr="00A82C12">
        <w:rPr>
          <w:snapToGrid/>
        </w:rPr>
        <w:t xml:space="preserve"> </w:t>
      </w:r>
      <w:r w:rsidR="003B29C1" w:rsidRPr="00A82C12">
        <w:rPr>
          <w:snapToGrid/>
        </w:rPr>
        <w:t xml:space="preserve">The alignment </w:t>
      </w:r>
      <w:r w:rsidR="00DF06CB" w:rsidRPr="00A82C12">
        <w:rPr>
          <w:snapToGrid/>
        </w:rPr>
        <w:t>of the evaluation and monitoring of the International Assistance mechanism</w:t>
      </w:r>
      <w:r w:rsidR="00962316" w:rsidRPr="00A82C12">
        <w:rPr>
          <w:snapToGrid/>
        </w:rPr>
        <w:t xml:space="preserve"> with</w:t>
      </w:r>
      <w:r w:rsidR="003B29C1" w:rsidRPr="00A82C12">
        <w:rPr>
          <w:snapToGrid/>
        </w:rPr>
        <w:t xml:space="preserve"> the Overall Results Framework was recommend by the 2021 IOS evaluation</w:t>
      </w:r>
      <w:r w:rsidR="00122358" w:rsidRPr="00A82C12">
        <w:rPr>
          <w:snapToGrid/>
        </w:rPr>
        <w:t xml:space="preserve"> of UNESCO</w:t>
      </w:r>
      <w:r w:rsidR="00AC559D" w:rsidRPr="00AC559D">
        <w:t>'</w:t>
      </w:r>
      <w:r w:rsidR="00122358" w:rsidRPr="00A82C12">
        <w:rPr>
          <w:snapToGrid/>
        </w:rPr>
        <w:t>s action in the framework of the Convention (Recommendation 6, see below).</w:t>
      </w:r>
    </w:p>
    <w:tbl>
      <w:tblPr>
        <w:tblStyle w:val="TableGrid"/>
        <w:tblW w:w="0" w:type="auto"/>
        <w:tblInd w:w="567" w:type="dxa"/>
        <w:tblLook w:val="04A0" w:firstRow="1" w:lastRow="0" w:firstColumn="1" w:lastColumn="0" w:noHBand="0" w:noVBand="1"/>
      </w:tblPr>
      <w:tblGrid>
        <w:gridCol w:w="9061"/>
      </w:tblGrid>
      <w:tr w:rsidR="0045617B" w:rsidRPr="00A82C12" w14:paraId="11259939" w14:textId="77777777" w:rsidTr="0077245F">
        <w:tc>
          <w:tcPr>
            <w:tcW w:w="9628" w:type="dxa"/>
            <w:shd w:val="clear" w:color="auto" w:fill="F2F2F2" w:themeFill="background1" w:themeFillShade="F2"/>
          </w:tcPr>
          <w:p w14:paraId="6A73ECA8" w14:textId="77777777" w:rsidR="0045617B" w:rsidRPr="00A82C12" w:rsidRDefault="0045617B" w:rsidP="0045617B">
            <w:pPr>
              <w:pStyle w:val="COMPara"/>
              <w:numPr>
                <w:ilvl w:val="0"/>
                <w:numId w:val="0"/>
              </w:numPr>
              <w:rPr>
                <w:b/>
                <w:bCs/>
              </w:rPr>
            </w:pPr>
            <w:r w:rsidRPr="00A82C12">
              <w:rPr>
                <w:b/>
                <w:bCs/>
              </w:rPr>
              <w:t>Recommendation 6</w:t>
            </w:r>
          </w:p>
          <w:p w14:paraId="36B677FB" w14:textId="0D8CEA55" w:rsidR="0045617B" w:rsidRPr="00A82C12" w:rsidRDefault="0045617B" w:rsidP="0045617B">
            <w:pPr>
              <w:pStyle w:val="COMPara"/>
              <w:numPr>
                <w:ilvl w:val="0"/>
                <w:numId w:val="0"/>
              </w:numPr>
              <w:ind w:left="29" w:hanging="29"/>
              <w:jc w:val="both"/>
            </w:pPr>
            <w:bookmarkStart w:id="0" w:name="_Hlk88644607"/>
            <w:r w:rsidRPr="00A82C12">
              <w:t>The Living Heritage Entity should strengthen the quality of project design, monitoring and outcomes reporting to be guided by the Overall Results Framework. Specific attention should furthermore be given to community engagement, sustainable development and gender equality, among other areas.</w:t>
            </w:r>
            <w:bookmarkEnd w:id="0"/>
          </w:p>
        </w:tc>
      </w:tr>
    </w:tbl>
    <w:p w14:paraId="41CD264D" w14:textId="06AA7C72" w:rsidR="002814F6" w:rsidRPr="00A82C12" w:rsidRDefault="00065833" w:rsidP="00A82C12">
      <w:pPr>
        <w:pStyle w:val="COMPara"/>
        <w:spacing w:before="120"/>
        <w:ind w:left="567" w:hanging="567"/>
        <w:jc w:val="both"/>
      </w:pPr>
      <w:r w:rsidRPr="00A82C12">
        <w:rPr>
          <w:snapToGrid/>
        </w:rPr>
        <w:t>The idea is to connect the indicators for the objectives and results of individual International Assistance projects</w:t>
      </w:r>
      <w:r w:rsidR="00962316" w:rsidRPr="00A82C12">
        <w:rPr>
          <w:snapToGrid/>
        </w:rPr>
        <w:t xml:space="preserve"> with</w:t>
      </w:r>
      <w:r w:rsidRPr="00A82C12">
        <w:rPr>
          <w:snapToGrid/>
        </w:rPr>
        <w:t xml:space="preserve"> the twenty-six core indicators which cover all key aspects of the Convention on issues related to</w:t>
      </w:r>
      <w:r w:rsidR="00962316" w:rsidRPr="00A82C12">
        <w:rPr>
          <w:snapToGrid/>
        </w:rPr>
        <w:t>:</w:t>
      </w:r>
      <w:r w:rsidRPr="00A82C12">
        <w:rPr>
          <w:snapToGrid/>
        </w:rPr>
        <w:t xml:space="preserve"> a)</w:t>
      </w:r>
      <w:r w:rsidR="00A06C21" w:rsidRPr="00A82C12">
        <w:rPr>
          <w:snapToGrid/>
        </w:rPr>
        <w:t> </w:t>
      </w:r>
      <w:r w:rsidRPr="00A82C12">
        <w:rPr>
          <w:snapToGrid/>
        </w:rPr>
        <w:t>institutional and human capacities</w:t>
      </w:r>
      <w:r w:rsidR="00962316" w:rsidRPr="00A82C12">
        <w:rPr>
          <w:snapToGrid/>
        </w:rPr>
        <w:t>;</w:t>
      </w:r>
      <w:r w:rsidRPr="00A82C12">
        <w:rPr>
          <w:snapToGrid/>
        </w:rPr>
        <w:t xml:space="preserve"> b)</w:t>
      </w:r>
      <w:r w:rsidR="00A06C21" w:rsidRPr="00A82C12">
        <w:rPr>
          <w:snapToGrid/>
        </w:rPr>
        <w:t> </w:t>
      </w:r>
      <w:r w:rsidRPr="00A82C12">
        <w:rPr>
          <w:snapToGrid/>
        </w:rPr>
        <w:t>transmission and education</w:t>
      </w:r>
      <w:r w:rsidR="00962316" w:rsidRPr="00A82C12">
        <w:rPr>
          <w:snapToGrid/>
        </w:rPr>
        <w:t>;</w:t>
      </w:r>
      <w:r w:rsidRPr="00A82C12">
        <w:rPr>
          <w:snapToGrid/>
        </w:rPr>
        <w:t xml:space="preserve"> c)</w:t>
      </w:r>
      <w:r w:rsidR="00A06C21" w:rsidRPr="00A82C12">
        <w:rPr>
          <w:snapToGrid/>
        </w:rPr>
        <w:t> </w:t>
      </w:r>
      <w:r w:rsidRPr="00A82C12">
        <w:rPr>
          <w:snapToGrid/>
        </w:rPr>
        <w:t>inventorying and research</w:t>
      </w:r>
      <w:r w:rsidR="00962316" w:rsidRPr="00A82C12">
        <w:rPr>
          <w:snapToGrid/>
        </w:rPr>
        <w:t>;</w:t>
      </w:r>
      <w:r w:rsidRPr="00A82C12">
        <w:rPr>
          <w:snapToGrid/>
        </w:rPr>
        <w:t xml:space="preserve"> d)</w:t>
      </w:r>
      <w:r w:rsidR="00A06C21" w:rsidRPr="00A82C12">
        <w:rPr>
          <w:snapToGrid/>
        </w:rPr>
        <w:t> </w:t>
      </w:r>
      <w:r w:rsidRPr="00A82C12">
        <w:rPr>
          <w:snapToGrid/>
        </w:rPr>
        <w:t xml:space="preserve">policies as well as legal and administrative measures, </w:t>
      </w:r>
      <w:r w:rsidR="001C2AA5" w:rsidRPr="00A82C12">
        <w:rPr>
          <w:snapToGrid/>
        </w:rPr>
        <w:t xml:space="preserve">e) </w:t>
      </w:r>
      <w:r w:rsidR="00962316" w:rsidRPr="00A82C12">
        <w:rPr>
          <w:snapToGrid/>
        </w:rPr>
        <w:t xml:space="preserve">the </w:t>
      </w:r>
      <w:r w:rsidRPr="00A82C12">
        <w:rPr>
          <w:snapToGrid/>
        </w:rPr>
        <w:t>role of intangible cultural heritage and its safeguarding in society</w:t>
      </w:r>
      <w:r w:rsidR="00962316" w:rsidRPr="00A82C12">
        <w:rPr>
          <w:snapToGrid/>
        </w:rPr>
        <w:t>;</w:t>
      </w:r>
      <w:r w:rsidRPr="00A82C12">
        <w:rPr>
          <w:snapToGrid/>
        </w:rPr>
        <w:t xml:space="preserve"> </w:t>
      </w:r>
      <w:r w:rsidR="001C2AA5" w:rsidRPr="00A82C12">
        <w:rPr>
          <w:snapToGrid/>
        </w:rPr>
        <w:t>f</w:t>
      </w:r>
      <w:r w:rsidRPr="00A82C12">
        <w:rPr>
          <w:snapToGrid/>
        </w:rPr>
        <w:t>)</w:t>
      </w:r>
      <w:r w:rsidR="00A06C21" w:rsidRPr="00A82C12">
        <w:rPr>
          <w:snapToGrid/>
        </w:rPr>
        <w:t> </w:t>
      </w:r>
      <w:r w:rsidRPr="00A82C12">
        <w:rPr>
          <w:snapToGrid/>
        </w:rPr>
        <w:t>awareness raising</w:t>
      </w:r>
      <w:r w:rsidR="00962316" w:rsidRPr="00A82C12">
        <w:rPr>
          <w:snapToGrid/>
        </w:rPr>
        <w:t>;</w:t>
      </w:r>
      <w:r w:rsidRPr="00A82C12">
        <w:rPr>
          <w:snapToGrid/>
        </w:rPr>
        <w:t xml:space="preserve"> </w:t>
      </w:r>
      <w:r w:rsidR="001C2AA5" w:rsidRPr="00A82C12">
        <w:rPr>
          <w:snapToGrid/>
        </w:rPr>
        <w:t>g</w:t>
      </w:r>
      <w:r w:rsidRPr="00A82C12">
        <w:rPr>
          <w:snapToGrid/>
        </w:rPr>
        <w:t>)</w:t>
      </w:r>
      <w:r w:rsidR="00A06C21" w:rsidRPr="00A82C12">
        <w:rPr>
          <w:snapToGrid/>
        </w:rPr>
        <w:t> </w:t>
      </w:r>
      <w:r w:rsidR="00962316" w:rsidRPr="00A82C12">
        <w:rPr>
          <w:snapToGrid/>
        </w:rPr>
        <w:t xml:space="preserve">the </w:t>
      </w:r>
      <w:r w:rsidRPr="00A82C12">
        <w:rPr>
          <w:snapToGrid/>
        </w:rPr>
        <w:t>engagement of communities, groups and individuals as well as other stakeholders</w:t>
      </w:r>
      <w:r w:rsidR="00962316" w:rsidRPr="00A82C12">
        <w:rPr>
          <w:snapToGrid/>
        </w:rPr>
        <w:t>,</w:t>
      </w:r>
      <w:r w:rsidRPr="00A82C12">
        <w:rPr>
          <w:snapToGrid/>
        </w:rPr>
        <w:t xml:space="preserve"> and</w:t>
      </w:r>
      <w:r w:rsidR="00962316" w:rsidRPr="00A82C12">
        <w:rPr>
          <w:snapToGrid/>
        </w:rPr>
        <w:t>;</w:t>
      </w:r>
      <w:r w:rsidRPr="00A82C12">
        <w:rPr>
          <w:snapToGrid/>
        </w:rPr>
        <w:t xml:space="preserve"> </w:t>
      </w:r>
      <w:r w:rsidR="001C2AA5" w:rsidRPr="00A82C12">
        <w:rPr>
          <w:snapToGrid/>
        </w:rPr>
        <w:t>h</w:t>
      </w:r>
      <w:r w:rsidRPr="00A82C12">
        <w:rPr>
          <w:snapToGrid/>
        </w:rPr>
        <w:t>)</w:t>
      </w:r>
      <w:r w:rsidR="00A06C21" w:rsidRPr="00A82C12">
        <w:rPr>
          <w:snapToGrid/>
        </w:rPr>
        <w:t> </w:t>
      </w:r>
      <w:r w:rsidRPr="00A82C12">
        <w:rPr>
          <w:snapToGrid/>
        </w:rPr>
        <w:t>international engagement.</w:t>
      </w:r>
      <w:r w:rsidR="001D4D2E" w:rsidRPr="00A82C12">
        <w:rPr>
          <w:snapToGrid/>
        </w:rPr>
        <w:t xml:space="preserve"> This approach would </w:t>
      </w:r>
      <w:r w:rsidR="00962316" w:rsidRPr="00A82C12">
        <w:rPr>
          <w:snapToGrid/>
        </w:rPr>
        <w:t xml:space="preserve">allow for a holistic </w:t>
      </w:r>
      <w:r w:rsidR="001D4D2E" w:rsidRPr="00A82C12">
        <w:rPr>
          <w:snapToGrid/>
        </w:rPr>
        <w:t>understand</w:t>
      </w:r>
      <w:r w:rsidR="00962316" w:rsidRPr="00A82C12">
        <w:rPr>
          <w:snapToGrid/>
        </w:rPr>
        <w:t>ing of</w:t>
      </w:r>
      <w:r w:rsidR="001D4D2E" w:rsidRPr="00A82C12">
        <w:rPr>
          <w:snapToGrid/>
        </w:rPr>
        <w:t xml:space="preserve"> the impact of the International Assistance mechanism on the implementation of the Convention, beyond </w:t>
      </w:r>
      <w:r w:rsidR="00962316" w:rsidRPr="00A82C12">
        <w:rPr>
          <w:snapToGrid/>
        </w:rPr>
        <w:t xml:space="preserve">a </w:t>
      </w:r>
      <w:r w:rsidR="001D4D2E" w:rsidRPr="00A82C12">
        <w:rPr>
          <w:snapToGrid/>
        </w:rPr>
        <w:t>mere reference to the purposes of International Assistance as given in paragraph 9 of the Operational Directives.</w:t>
      </w:r>
    </w:p>
    <w:p w14:paraId="642D30BD" w14:textId="12EFE33B" w:rsidR="002C6A2C" w:rsidRPr="00A82C12" w:rsidRDefault="00DA40DF" w:rsidP="001D4D2E">
      <w:pPr>
        <w:pStyle w:val="COMPara"/>
        <w:numPr>
          <w:ilvl w:val="0"/>
          <w:numId w:val="0"/>
        </w:numPr>
        <w:spacing w:before="240"/>
        <w:jc w:val="both"/>
        <w:rPr>
          <w:b/>
          <w:bCs/>
        </w:rPr>
      </w:pPr>
      <w:r w:rsidRPr="00A82C12">
        <w:rPr>
          <w:b/>
          <w:bCs/>
        </w:rPr>
        <w:t>Enhanced monitoring</w:t>
      </w:r>
    </w:p>
    <w:p w14:paraId="0E16F97B" w14:textId="59423022" w:rsidR="00CA0FED" w:rsidRPr="00A82C12" w:rsidRDefault="00CA0FED" w:rsidP="00A82C12">
      <w:pPr>
        <w:pStyle w:val="COMPara"/>
        <w:ind w:left="567" w:hanging="567"/>
        <w:jc w:val="both"/>
      </w:pPr>
      <w:r w:rsidRPr="00A82C12">
        <w:rPr>
          <w:snapToGrid/>
        </w:rPr>
        <w:t>Timely and pertinent monitoring is important for keeping track of the implementation of each International Assistance project</w:t>
      </w:r>
      <w:r w:rsidR="000071C1" w:rsidRPr="00A82C12">
        <w:rPr>
          <w:snapToGrid/>
        </w:rPr>
        <w:t xml:space="preserve"> during its implementation</w:t>
      </w:r>
      <w:r w:rsidR="00962316" w:rsidRPr="00A82C12">
        <w:rPr>
          <w:snapToGrid/>
        </w:rPr>
        <w:t>. To this end,</w:t>
      </w:r>
      <w:r w:rsidRPr="00A82C12">
        <w:rPr>
          <w:snapToGrid/>
        </w:rPr>
        <w:t xml:space="preserve"> the following </w:t>
      </w:r>
      <w:r w:rsidR="002116D4" w:rsidRPr="00A82C12">
        <w:rPr>
          <w:snapToGrid/>
        </w:rPr>
        <w:t>plans have been made</w:t>
      </w:r>
      <w:r w:rsidRPr="00A82C12">
        <w:rPr>
          <w:snapToGrid/>
        </w:rPr>
        <w:t>:</w:t>
      </w:r>
    </w:p>
    <w:p w14:paraId="49418820" w14:textId="38EBF583" w:rsidR="00066EB4" w:rsidRPr="00A82C12" w:rsidRDefault="00CC0C07" w:rsidP="00A82C12">
      <w:pPr>
        <w:pStyle w:val="COMPara"/>
        <w:numPr>
          <w:ilvl w:val="0"/>
          <w:numId w:val="22"/>
        </w:numPr>
        <w:ind w:left="1134" w:hanging="567"/>
        <w:jc w:val="both"/>
      </w:pPr>
      <w:r w:rsidRPr="00A82C12">
        <w:rPr>
          <w:snapToGrid/>
        </w:rPr>
        <w:t>The</w:t>
      </w:r>
      <w:r w:rsidR="00A15D01" w:rsidRPr="00A82C12">
        <w:rPr>
          <w:snapToGrid/>
        </w:rPr>
        <w:t xml:space="preserve"> current</w:t>
      </w:r>
      <w:r w:rsidRPr="00A82C12">
        <w:rPr>
          <w:snapToGrid/>
        </w:rPr>
        <w:t xml:space="preserve"> </w:t>
      </w:r>
      <w:r w:rsidR="00CA0FED" w:rsidRPr="00A82C12">
        <w:rPr>
          <w:snapToGrid/>
        </w:rPr>
        <w:t xml:space="preserve">ICH-04 Form for submitting </w:t>
      </w:r>
      <w:r w:rsidR="00BD6525" w:rsidRPr="00A82C12">
        <w:rPr>
          <w:snapToGrid/>
        </w:rPr>
        <w:t>International Assistance</w:t>
      </w:r>
      <w:r w:rsidR="00BF09CE" w:rsidRPr="00A82C12">
        <w:rPr>
          <w:snapToGrid/>
        </w:rPr>
        <w:t xml:space="preserve"> and reporting</w:t>
      </w:r>
      <w:r w:rsidR="004E7060" w:rsidRPr="00A82C12">
        <w:rPr>
          <w:snapToGrid/>
        </w:rPr>
        <w:t xml:space="preserve"> </w:t>
      </w:r>
      <w:r w:rsidR="00261405" w:rsidRPr="00A82C12">
        <w:rPr>
          <w:snapToGrid/>
        </w:rPr>
        <w:t xml:space="preserve">form on the </w:t>
      </w:r>
      <w:r w:rsidR="004E7060" w:rsidRPr="00A82C12">
        <w:rPr>
          <w:snapToGrid/>
        </w:rPr>
        <w:t>implementation of projects</w:t>
      </w:r>
      <w:r w:rsidR="00BF09CE" w:rsidRPr="00A82C12">
        <w:rPr>
          <w:snapToGrid/>
        </w:rPr>
        <w:t xml:space="preserve"> (narrative interim report</w:t>
      </w:r>
      <w:r w:rsidR="004E7060" w:rsidRPr="00A82C12">
        <w:rPr>
          <w:snapToGrid/>
        </w:rPr>
        <w:t>(s)</w:t>
      </w:r>
      <w:r w:rsidR="00BF09CE" w:rsidRPr="00A82C12">
        <w:rPr>
          <w:snapToGrid/>
        </w:rPr>
        <w:t xml:space="preserve"> as well as a final report), </w:t>
      </w:r>
      <w:r w:rsidR="00261405" w:rsidRPr="00A82C12">
        <w:rPr>
          <w:snapToGrid/>
        </w:rPr>
        <w:t>will</w:t>
      </w:r>
      <w:r w:rsidR="00A15D01" w:rsidRPr="00A82C12">
        <w:rPr>
          <w:snapToGrid/>
        </w:rPr>
        <w:t xml:space="preserve"> continue </w:t>
      </w:r>
      <w:r w:rsidR="00BF09CE" w:rsidRPr="00A82C12">
        <w:rPr>
          <w:snapToGrid/>
        </w:rPr>
        <w:t>to be filled out by the beneficiary States.</w:t>
      </w:r>
      <w:r w:rsidR="002C7F01" w:rsidRPr="00A82C12">
        <w:rPr>
          <w:snapToGrid/>
        </w:rPr>
        <w:t xml:space="preserve"> </w:t>
      </w:r>
      <w:r w:rsidR="00A15D01" w:rsidRPr="00A82C12">
        <w:rPr>
          <w:snapToGrid/>
        </w:rPr>
        <w:t>The structure of these forms is being</w:t>
      </w:r>
      <w:r w:rsidR="00BD6525" w:rsidRPr="00A82C12">
        <w:rPr>
          <w:snapToGrid/>
        </w:rPr>
        <w:t xml:space="preserve"> revised</w:t>
      </w:r>
      <w:r w:rsidR="00A15D01" w:rsidRPr="00A82C12">
        <w:rPr>
          <w:snapToGrid/>
        </w:rPr>
        <w:t xml:space="preserve"> by the Secretariat</w:t>
      </w:r>
      <w:r w:rsidR="004F0408" w:rsidRPr="00A82C12">
        <w:rPr>
          <w:snapToGrid/>
        </w:rPr>
        <w:t>.</w:t>
      </w:r>
      <w:r w:rsidR="00524BDC" w:rsidRPr="00A82C12">
        <w:rPr>
          <w:snapToGrid/>
        </w:rPr>
        <w:t xml:space="preserve"> </w:t>
      </w:r>
      <w:r w:rsidR="00725DB1" w:rsidRPr="00A82C12">
        <w:rPr>
          <w:snapToGrid/>
        </w:rPr>
        <w:t>The aim is</w:t>
      </w:r>
      <w:r w:rsidR="001562CE" w:rsidRPr="00A82C12">
        <w:rPr>
          <w:snapToGrid/>
        </w:rPr>
        <w:t xml:space="preserve"> to collect</w:t>
      </w:r>
      <w:r w:rsidR="00CA0FED" w:rsidRPr="00A82C12">
        <w:rPr>
          <w:snapToGrid/>
        </w:rPr>
        <w:t xml:space="preserve"> meaningful qualitative and quantitative data</w:t>
      </w:r>
      <w:r w:rsidR="00BD6525" w:rsidRPr="00A82C12">
        <w:rPr>
          <w:snapToGrid/>
        </w:rPr>
        <w:t xml:space="preserve"> </w:t>
      </w:r>
      <w:r w:rsidR="00E25650" w:rsidRPr="00A82C12">
        <w:rPr>
          <w:snapToGrid/>
        </w:rPr>
        <w:t xml:space="preserve">at the individual project level </w:t>
      </w:r>
      <w:r w:rsidR="00BD6525" w:rsidRPr="00A82C12">
        <w:rPr>
          <w:snapToGrid/>
        </w:rPr>
        <w:t>on sustainable development</w:t>
      </w:r>
      <w:r w:rsidR="00197920" w:rsidRPr="00A82C12">
        <w:rPr>
          <w:snapToGrid/>
        </w:rPr>
        <w:t xml:space="preserve"> and </w:t>
      </w:r>
      <w:r w:rsidR="00BD6525" w:rsidRPr="00A82C12">
        <w:rPr>
          <w:snapToGrid/>
        </w:rPr>
        <w:t>including gender equality, amongst other areas</w:t>
      </w:r>
      <w:r w:rsidR="00642828" w:rsidRPr="00A82C12">
        <w:rPr>
          <w:snapToGrid/>
        </w:rPr>
        <w:t>.</w:t>
      </w:r>
    </w:p>
    <w:p w14:paraId="6F1AC0E2" w14:textId="4F3677DC" w:rsidR="00BD6525" w:rsidRPr="00A82C12" w:rsidRDefault="008959A6" w:rsidP="00A82C12">
      <w:pPr>
        <w:pStyle w:val="COMPara"/>
        <w:numPr>
          <w:ilvl w:val="0"/>
          <w:numId w:val="22"/>
        </w:numPr>
        <w:ind w:left="1134" w:hanging="567"/>
        <w:jc w:val="both"/>
      </w:pPr>
      <w:r w:rsidRPr="00A82C12">
        <w:lastRenderedPageBreak/>
        <w:t xml:space="preserve">The monitoring form shall contain information on </w:t>
      </w:r>
      <w:r w:rsidR="004F0408" w:rsidRPr="00A82C12">
        <w:t xml:space="preserve">the </w:t>
      </w:r>
      <w:r w:rsidRPr="00A82C12">
        <w:t xml:space="preserve">implementation </w:t>
      </w:r>
      <w:r w:rsidR="004F0408" w:rsidRPr="00A82C12">
        <w:t xml:space="preserve">of the project, as </w:t>
      </w:r>
      <w:r w:rsidRPr="00A82C12">
        <w:t>against the objectives and timeline</w:t>
      </w:r>
      <w:r w:rsidR="004F0408" w:rsidRPr="00A82C12">
        <w:t xml:space="preserve"> initially established</w:t>
      </w:r>
      <w:r w:rsidRPr="00A82C12">
        <w:t>,</w:t>
      </w:r>
      <w:r w:rsidR="004F0408" w:rsidRPr="00A82C12">
        <w:t xml:space="preserve"> as well as on</w:t>
      </w:r>
      <w:r w:rsidRPr="00A82C12">
        <w:t xml:space="preserve"> community involvement, the sustainability of the results </w:t>
      </w:r>
      <w:r w:rsidR="004F0408" w:rsidRPr="00A82C12">
        <w:t xml:space="preserve">and any </w:t>
      </w:r>
      <w:r w:rsidRPr="00A82C12">
        <w:t xml:space="preserve">remedial actions </w:t>
      </w:r>
      <w:r w:rsidR="004F0408" w:rsidRPr="00A82C12">
        <w:t>required</w:t>
      </w:r>
      <w:r w:rsidRPr="00A82C12">
        <w:t>.</w:t>
      </w:r>
    </w:p>
    <w:p w14:paraId="57862A49" w14:textId="1503001E" w:rsidR="000071C1" w:rsidRPr="00A82C12" w:rsidRDefault="002116D4" w:rsidP="00A82C12">
      <w:pPr>
        <w:pStyle w:val="COMPara"/>
        <w:numPr>
          <w:ilvl w:val="0"/>
          <w:numId w:val="22"/>
        </w:numPr>
        <w:ind w:left="1134" w:hanging="567"/>
        <w:jc w:val="both"/>
      </w:pPr>
      <w:r w:rsidRPr="00A82C12">
        <w:t xml:space="preserve">Monitoring will be undertaken </w:t>
      </w:r>
      <w:r w:rsidR="007F3EA9" w:rsidRPr="00A82C12">
        <w:t xml:space="preserve">both by the </w:t>
      </w:r>
      <w:r w:rsidR="00EC2A76" w:rsidRPr="00A82C12">
        <w:t>implementing agency and</w:t>
      </w:r>
      <w:r w:rsidR="007F3EA9" w:rsidRPr="00A82C12">
        <w:t xml:space="preserve"> </w:t>
      </w:r>
      <w:r w:rsidRPr="00A82C12">
        <w:t>by the Secretariat</w:t>
      </w:r>
      <w:r w:rsidR="007F3EA9" w:rsidRPr="00A82C12">
        <w:t xml:space="preserve"> (the latter</w:t>
      </w:r>
      <w:r w:rsidRPr="00A82C12">
        <w:t xml:space="preserve"> including through the relevant UNESCO field offices and in collaboration with the implement</w:t>
      </w:r>
      <w:r w:rsidR="00CC0C07" w:rsidRPr="00A82C12">
        <w:t>ing</w:t>
      </w:r>
      <w:r w:rsidRPr="00A82C12">
        <w:t xml:space="preserve"> agency</w:t>
      </w:r>
      <w:r w:rsidR="007F3EA9" w:rsidRPr="00A82C12">
        <w:t>)</w:t>
      </w:r>
      <w:r w:rsidR="00DA40DF" w:rsidRPr="00A82C12">
        <w:t xml:space="preserve">. </w:t>
      </w:r>
      <w:r w:rsidR="000071C1" w:rsidRPr="00A82C12">
        <w:t xml:space="preserve">The Strategy </w:t>
      </w:r>
      <w:r w:rsidR="00CC0C07" w:rsidRPr="00A82C12">
        <w:t xml:space="preserve">is based on the idea </w:t>
      </w:r>
      <w:r w:rsidR="000071C1" w:rsidRPr="00A82C12">
        <w:t xml:space="preserve">that the communities and stakeholders involved in the project should play a central part in </w:t>
      </w:r>
      <w:r w:rsidR="00725DB1" w:rsidRPr="00A82C12">
        <w:t xml:space="preserve">its </w:t>
      </w:r>
      <w:r w:rsidR="000071C1" w:rsidRPr="00A82C12">
        <w:t>monitoring</w:t>
      </w:r>
      <w:r w:rsidR="00725DB1" w:rsidRPr="00A82C12">
        <w:t>,</w:t>
      </w:r>
      <w:r w:rsidR="000071C1" w:rsidRPr="00A82C12">
        <w:t xml:space="preserve"> so that their concerns and aspirations are reflected.</w:t>
      </w:r>
    </w:p>
    <w:p w14:paraId="64635A8A" w14:textId="2F282EA1" w:rsidR="008959A6" w:rsidRPr="00A82C12" w:rsidRDefault="00EC2A76" w:rsidP="00A82C12">
      <w:pPr>
        <w:pStyle w:val="COMPara"/>
        <w:numPr>
          <w:ilvl w:val="0"/>
          <w:numId w:val="22"/>
        </w:numPr>
        <w:ind w:left="1134" w:hanging="567"/>
        <w:jc w:val="both"/>
      </w:pPr>
      <w:r w:rsidRPr="00A82C12">
        <w:t>As a general rule, monitoring is a continuous process. However, t</w:t>
      </w:r>
      <w:r w:rsidR="00DA40DF" w:rsidRPr="00A82C12">
        <w:t>he frequency</w:t>
      </w:r>
      <w:r w:rsidR="00642828" w:rsidRPr="00A82C12">
        <w:t xml:space="preserve"> of monitoring will be determined with the implementing agency at the time </w:t>
      </w:r>
      <w:r w:rsidR="00725DB1" w:rsidRPr="00A82C12">
        <w:t>at which</w:t>
      </w:r>
      <w:r w:rsidR="00642828" w:rsidRPr="00A82C12">
        <w:t xml:space="preserve"> the contract </w:t>
      </w:r>
      <w:r w:rsidR="00725DB1" w:rsidRPr="00A82C12">
        <w:t xml:space="preserve">is established </w:t>
      </w:r>
      <w:r w:rsidR="00642828" w:rsidRPr="00A82C12">
        <w:t>with UNESCO, along with the project duration and payment schedule.</w:t>
      </w:r>
    </w:p>
    <w:p w14:paraId="11DEBA5E" w14:textId="67DF5759" w:rsidR="00065833" w:rsidRPr="00A82C12" w:rsidRDefault="00065833" w:rsidP="00FD48E9">
      <w:pPr>
        <w:pStyle w:val="COMPara"/>
        <w:numPr>
          <w:ilvl w:val="0"/>
          <w:numId w:val="0"/>
        </w:numPr>
        <w:spacing w:before="240"/>
        <w:jc w:val="both"/>
        <w:rPr>
          <w:b/>
          <w:bCs/>
        </w:rPr>
      </w:pPr>
      <w:r w:rsidRPr="00A82C12">
        <w:rPr>
          <w:b/>
          <w:bCs/>
        </w:rPr>
        <w:t>Enhanc</w:t>
      </w:r>
      <w:r w:rsidR="00DA40DF" w:rsidRPr="00A82C12">
        <w:rPr>
          <w:b/>
          <w:bCs/>
        </w:rPr>
        <w:t>ed evaluation</w:t>
      </w:r>
    </w:p>
    <w:p w14:paraId="62F0E992" w14:textId="51EB05AA" w:rsidR="000502D0" w:rsidRPr="00A82C12" w:rsidRDefault="00524BDC" w:rsidP="00A82C12">
      <w:pPr>
        <w:pStyle w:val="COMPara"/>
        <w:ind w:left="567" w:hanging="567"/>
        <w:jc w:val="both"/>
      </w:pPr>
      <w:r w:rsidRPr="00A82C12">
        <w:t>In order to assess the results of each individual project</w:t>
      </w:r>
      <w:r w:rsidR="00B36303" w:rsidRPr="00A82C12">
        <w:t>, an evaluation will take place at the project level</w:t>
      </w:r>
      <w:r w:rsidRPr="00A82C12">
        <w:t>, for which the following plans have been made:</w:t>
      </w:r>
    </w:p>
    <w:p w14:paraId="366E5462" w14:textId="76C439E8" w:rsidR="000502D0" w:rsidRPr="00A82C12" w:rsidRDefault="00725DB1" w:rsidP="00A82C12">
      <w:pPr>
        <w:pStyle w:val="COMPara"/>
        <w:numPr>
          <w:ilvl w:val="0"/>
          <w:numId w:val="22"/>
        </w:numPr>
        <w:ind w:left="1134" w:hanging="567"/>
        <w:jc w:val="both"/>
      </w:pPr>
      <w:bookmarkStart w:id="1" w:name="_Hlk119558672"/>
      <w:r w:rsidRPr="00A82C12">
        <w:rPr>
          <w:snapToGrid/>
        </w:rPr>
        <w:t xml:space="preserve">The </w:t>
      </w:r>
      <w:r w:rsidR="000502D0" w:rsidRPr="00A82C12">
        <w:rPr>
          <w:snapToGrid/>
        </w:rPr>
        <w:t>ICH-04 Form for submitting International Assistance request</w:t>
      </w:r>
      <w:r w:rsidRPr="00A82C12">
        <w:rPr>
          <w:snapToGrid/>
        </w:rPr>
        <w:t>s</w:t>
      </w:r>
      <w:r w:rsidR="000502D0" w:rsidRPr="00A82C12">
        <w:rPr>
          <w:snapToGrid/>
        </w:rPr>
        <w:t xml:space="preserve"> will be revised </w:t>
      </w:r>
      <w:r w:rsidR="002B2D45" w:rsidRPr="00A82C12">
        <w:rPr>
          <w:snapToGrid/>
        </w:rPr>
        <w:t xml:space="preserve">and will now </w:t>
      </w:r>
      <w:r w:rsidR="000502D0" w:rsidRPr="00A82C12">
        <w:rPr>
          <w:snapToGrid/>
        </w:rPr>
        <w:t xml:space="preserve">include </w:t>
      </w:r>
      <w:r w:rsidR="00524BDC" w:rsidRPr="00A82C12">
        <w:rPr>
          <w:snapToGrid/>
        </w:rPr>
        <w:t xml:space="preserve">a </w:t>
      </w:r>
      <w:r w:rsidR="00654CDA" w:rsidRPr="00A82C12">
        <w:rPr>
          <w:snapToGrid/>
        </w:rPr>
        <w:t xml:space="preserve">new </w:t>
      </w:r>
      <w:r w:rsidR="00524BDC" w:rsidRPr="00A82C12">
        <w:rPr>
          <w:snapToGrid/>
          <w:u w:val="single"/>
        </w:rPr>
        <w:t xml:space="preserve">evaluation </w:t>
      </w:r>
      <w:r w:rsidR="000502D0" w:rsidRPr="00A82C12">
        <w:rPr>
          <w:snapToGrid/>
          <w:u w:val="single"/>
        </w:rPr>
        <w:t>form</w:t>
      </w:r>
      <w:r w:rsidR="000502D0" w:rsidRPr="00A82C12">
        <w:rPr>
          <w:snapToGrid/>
        </w:rPr>
        <w:t xml:space="preserve"> in order to support the Strategy</w:t>
      </w:r>
      <w:r w:rsidR="00524BDC" w:rsidRPr="00A82C12">
        <w:rPr>
          <w:snapToGrid/>
        </w:rPr>
        <w:t xml:space="preserve"> and to ensure </w:t>
      </w:r>
      <w:r w:rsidRPr="00A82C12">
        <w:rPr>
          <w:snapToGrid/>
        </w:rPr>
        <w:t xml:space="preserve">a </w:t>
      </w:r>
      <w:r w:rsidR="00524BDC" w:rsidRPr="00A82C12">
        <w:rPr>
          <w:snapToGrid/>
        </w:rPr>
        <w:t>common framework for assessment</w:t>
      </w:r>
      <w:r w:rsidRPr="00A82C12">
        <w:rPr>
          <w:snapToGrid/>
        </w:rPr>
        <w:t>s</w:t>
      </w:r>
      <w:r w:rsidR="000502D0" w:rsidRPr="00A82C12">
        <w:rPr>
          <w:snapToGrid/>
        </w:rPr>
        <w:t>.</w:t>
      </w:r>
    </w:p>
    <w:bookmarkEnd w:id="1"/>
    <w:p w14:paraId="2ADF608B" w14:textId="0A1E69B9" w:rsidR="00BD6525" w:rsidRPr="00A82C12" w:rsidRDefault="00524BDC" w:rsidP="00A82C12">
      <w:pPr>
        <w:pStyle w:val="COMPara"/>
        <w:numPr>
          <w:ilvl w:val="0"/>
          <w:numId w:val="22"/>
        </w:numPr>
        <w:ind w:left="1134" w:hanging="567"/>
        <w:jc w:val="both"/>
      </w:pPr>
      <w:r w:rsidRPr="00A82C12">
        <w:rPr>
          <w:snapToGrid/>
        </w:rPr>
        <w:t xml:space="preserve">The evaluation </w:t>
      </w:r>
      <w:r w:rsidR="00DC246F" w:rsidRPr="00A82C12">
        <w:rPr>
          <w:snapToGrid/>
        </w:rPr>
        <w:t xml:space="preserve">of individual International Assistance projects </w:t>
      </w:r>
      <w:r w:rsidRPr="00A82C12">
        <w:rPr>
          <w:snapToGrid/>
        </w:rPr>
        <w:t xml:space="preserve">may be entrusted </w:t>
      </w:r>
      <w:r w:rsidR="00725DB1" w:rsidRPr="00A82C12">
        <w:rPr>
          <w:snapToGrid/>
        </w:rPr>
        <w:t xml:space="preserve">either </w:t>
      </w:r>
      <w:r w:rsidRPr="00A82C12">
        <w:rPr>
          <w:snapToGrid/>
        </w:rPr>
        <w:t xml:space="preserve">to an expert </w:t>
      </w:r>
      <w:r w:rsidRPr="00A82C12">
        <w:t xml:space="preserve">from the directory of the UNESCO Evaluation Knowledge Hub with experience in assessing projects in the field of culture and cultural heritage, or </w:t>
      </w:r>
      <w:r w:rsidR="00725DB1" w:rsidRPr="00A82C12">
        <w:t xml:space="preserve">to </w:t>
      </w:r>
      <w:r w:rsidR="00A07846" w:rsidRPr="00A82C12">
        <w:t xml:space="preserve">one of the </w:t>
      </w:r>
      <w:r w:rsidRPr="00A82C12">
        <w:t xml:space="preserve">facilitators of the </w:t>
      </w:r>
      <w:r w:rsidR="00CC0C07" w:rsidRPr="00A82C12">
        <w:t>g</w:t>
      </w:r>
      <w:r w:rsidRPr="00A82C12">
        <w:t>lobal capacity-building programme of the Convention.</w:t>
      </w:r>
    </w:p>
    <w:p w14:paraId="7C9C6D3B" w14:textId="3301F23E" w:rsidR="00524BDC" w:rsidRPr="00A82C12" w:rsidRDefault="00524BDC" w:rsidP="00A82C12">
      <w:pPr>
        <w:pStyle w:val="GAPara"/>
        <w:numPr>
          <w:ilvl w:val="0"/>
          <w:numId w:val="22"/>
        </w:numPr>
        <w:ind w:left="1134" w:hanging="567"/>
        <w:jc w:val="both"/>
        <w:rPr>
          <w:snapToGrid/>
        </w:rPr>
      </w:pPr>
      <w:r w:rsidRPr="00A82C12">
        <w:t xml:space="preserve">The evaluator will work </w:t>
      </w:r>
      <w:r w:rsidR="00725DB1" w:rsidRPr="00A82C12">
        <w:t xml:space="preserve">according </w:t>
      </w:r>
      <w:r w:rsidRPr="00A82C12">
        <w:t>to a plan and timetable, conduct a mission if and when necessary, and collect data using the evaluation form together with other tools (interviews, questionnaires, focus groups, community meetings, fieldwork reports, critical event / incident analys</w:t>
      </w:r>
      <w:r w:rsidR="00725DB1" w:rsidRPr="00A82C12">
        <w:t>e</w:t>
      </w:r>
      <w:r w:rsidRPr="00A82C12">
        <w:t>s</w:t>
      </w:r>
      <w:r w:rsidR="00725DB1" w:rsidRPr="00A82C12">
        <w:t xml:space="preserve"> and</w:t>
      </w:r>
      <w:r w:rsidRPr="00A82C12">
        <w:t xml:space="preserve"> participatory evaluation</w:t>
      </w:r>
      <w:r w:rsidR="00725DB1" w:rsidRPr="00A82C12">
        <w:t>s</w:t>
      </w:r>
      <w:r w:rsidRPr="00A82C12">
        <w:t>, among others).</w:t>
      </w:r>
    </w:p>
    <w:p w14:paraId="465FD2E4" w14:textId="6670CBCD" w:rsidR="00524BDC" w:rsidRPr="00A82C12" w:rsidRDefault="00524BDC" w:rsidP="00A82C12">
      <w:pPr>
        <w:pStyle w:val="GAPara"/>
        <w:numPr>
          <w:ilvl w:val="0"/>
          <w:numId w:val="22"/>
        </w:numPr>
        <w:autoSpaceDE w:val="0"/>
        <w:autoSpaceDN w:val="0"/>
        <w:adjustRightInd w:val="0"/>
        <w:ind w:left="1134" w:hanging="567"/>
        <w:jc w:val="both"/>
        <w:rPr>
          <w:snapToGrid/>
        </w:rPr>
      </w:pPr>
      <w:r w:rsidRPr="00A82C12">
        <w:rPr>
          <w:snapToGrid/>
        </w:rPr>
        <w:t xml:space="preserve">The frequency </w:t>
      </w:r>
      <w:r w:rsidR="00725DB1" w:rsidRPr="00A82C12">
        <w:rPr>
          <w:snapToGrid/>
        </w:rPr>
        <w:t>with which</w:t>
      </w:r>
      <w:r w:rsidRPr="00A82C12">
        <w:rPr>
          <w:snapToGrid/>
        </w:rPr>
        <w:t xml:space="preserve"> projects </w:t>
      </w:r>
      <w:r w:rsidR="00725DB1" w:rsidRPr="00A82C12">
        <w:rPr>
          <w:snapToGrid/>
        </w:rPr>
        <w:t xml:space="preserve">are evaluated </w:t>
      </w:r>
      <w:r w:rsidRPr="00A82C12">
        <w:rPr>
          <w:snapToGrid/>
        </w:rPr>
        <w:t xml:space="preserve">will be </w:t>
      </w:r>
      <w:r w:rsidR="00725DB1" w:rsidRPr="00A82C12">
        <w:rPr>
          <w:snapToGrid/>
        </w:rPr>
        <w:t xml:space="preserve">established </w:t>
      </w:r>
      <w:r w:rsidRPr="00A82C12">
        <w:rPr>
          <w:snapToGrid/>
        </w:rPr>
        <w:t xml:space="preserve">according to </w:t>
      </w:r>
      <w:r w:rsidR="00725DB1" w:rsidRPr="00A82C12">
        <w:rPr>
          <w:snapToGrid/>
        </w:rPr>
        <w:t xml:space="preserve">the </w:t>
      </w:r>
      <w:r w:rsidRPr="00A82C12">
        <w:rPr>
          <w:snapToGrid/>
        </w:rPr>
        <w:t>project</w:t>
      </w:r>
      <w:r w:rsidR="00AC559D" w:rsidRPr="00AC559D">
        <w:t>'</w:t>
      </w:r>
      <w:r w:rsidRPr="00A82C12">
        <w:rPr>
          <w:snapToGrid/>
        </w:rPr>
        <w:t>s total budget. Typically, there will be one evaluation at the end of a project. In certain cases, either for large projects or when specific problems arise, an evaluation may be carried out during the implementation of a project.</w:t>
      </w:r>
    </w:p>
    <w:p w14:paraId="659BF426" w14:textId="1AFADFB1" w:rsidR="00065833" w:rsidRPr="00A82C12" w:rsidRDefault="00756913" w:rsidP="00FD48E9">
      <w:pPr>
        <w:pStyle w:val="COMPara"/>
        <w:numPr>
          <w:ilvl w:val="0"/>
          <w:numId w:val="0"/>
        </w:numPr>
        <w:spacing w:before="240"/>
        <w:jc w:val="both"/>
        <w:rPr>
          <w:b/>
          <w:bCs/>
        </w:rPr>
      </w:pPr>
      <w:r w:rsidRPr="00A82C12">
        <w:rPr>
          <w:b/>
          <w:bCs/>
        </w:rPr>
        <w:t>Improved</w:t>
      </w:r>
      <w:r w:rsidR="00065833" w:rsidRPr="00A82C12">
        <w:rPr>
          <w:b/>
          <w:bCs/>
        </w:rPr>
        <w:t xml:space="preserve"> knowledge management system</w:t>
      </w:r>
    </w:p>
    <w:p w14:paraId="01AFD76A" w14:textId="10476732" w:rsidR="009D5B55" w:rsidRPr="00A82C12" w:rsidRDefault="00756913" w:rsidP="00A82C12">
      <w:pPr>
        <w:pStyle w:val="COMPara"/>
        <w:ind w:left="567" w:hanging="567"/>
        <w:jc w:val="both"/>
        <w:rPr>
          <w:snapToGrid/>
        </w:rPr>
      </w:pPr>
      <w:r w:rsidRPr="00A82C12">
        <w:rPr>
          <w:snapToGrid/>
        </w:rPr>
        <w:t xml:space="preserve">The effective monitoring and evaluation of International Assistance projects </w:t>
      </w:r>
      <w:r w:rsidR="00614E0F" w:rsidRPr="00A82C12">
        <w:rPr>
          <w:snapToGrid/>
        </w:rPr>
        <w:t xml:space="preserve">and the International Assistance mechanism </w:t>
      </w:r>
      <w:r w:rsidRPr="00A82C12">
        <w:rPr>
          <w:snapToGrid/>
        </w:rPr>
        <w:t xml:space="preserve">as a whole </w:t>
      </w:r>
      <w:r w:rsidR="00EC2A76" w:rsidRPr="00A82C12">
        <w:rPr>
          <w:snapToGrid/>
        </w:rPr>
        <w:t xml:space="preserve">will </w:t>
      </w:r>
      <w:r w:rsidRPr="00A82C12">
        <w:rPr>
          <w:snapToGrid/>
        </w:rPr>
        <w:t xml:space="preserve">generate </w:t>
      </w:r>
      <w:r w:rsidR="00EC2A76" w:rsidRPr="00A82C12">
        <w:rPr>
          <w:snapToGrid/>
        </w:rPr>
        <w:t xml:space="preserve">a large amount of </w:t>
      </w:r>
      <w:r w:rsidRPr="00A82C12">
        <w:rPr>
          <w:snapToGrid/>
        </w:rPr>
        <w:t xml:space="preserve">technical information. Consequently, the </w:t>
      </w:r>
      <w:r w:rsidR="004650ED" w:rsidRPr="00A82C12">
        <w:rPr>
          <w:snapToGrid/>
        </w:rPr>
        <w:t xml:space="preserve">expansion of the </w:t>
      </w:r>
      <w:r w:rsidRPr="00A82C12">
        <w:rPr>
          <w:snapToGrid/>
        </w:rPr>
        <w:t>Convention</w:t>
      </w:r>
      <w:r w:rsidR="00AC559D" w:rsidRPr="00AC559D">
        <w:t>'</w:t>
      </w:r>
      <w:r w:rsidRPr="00A82C12">
        <w:rPr>
          <w:snapToGrid/>
        </w:rPr>
        <w:t xml:space="preserve">s knowledge management system </w:t>
      </w:r>
      <w:r w:rsidR="004650ED" w:rsidRPr="00A82C12">
        <w:t>forms</w:t>
      </w:r>
      <w:r w:rsidR="004650ED" w:rsidRPr="00A82C12">
        <w:rPr>
          <w:snapToGrid/>
        </w:rPr>
        <w:t xml:space="preserve"> an important part of the Strategy. The enhanced system </w:t>
      </w:r>
      <w:r w:rsidR="00725DB1" w:rsidRPr="00A82C12">
        <w:rPr>
          <w:snapToGrid/>
        </w:rPr>
        <w:t xml:space="preserve">should </w:t>
      </w:r>
      <w:r w:rsidRPr="00A82C12">
        <w:rPr>
          <w:snapToGrid/>
        </w:rPr>
        <w:t xml:space="preserve">be able to </w:t>
      </w:r>
      <w:r w:rsidR="004650ED" w:rsidRPr="00A82C12">
        <w:rPr>
          <w:snapToGrid/>
        </w:rPr>
        <w:t xml:space="preserve">cope with a large amount of </w:t>
      </w:r>
      <w:r w:rsidRPr="00A82C12">
        <w:rPr>
          <w:snapToGrid/>
        </w:rPr>
        <w:t xml:space="preserve">qualitative and quantitative data as well as to consolidate the combined results of individual projects. The information obtained </w:t>
      </w:r>
      <w:r w:rsidR="00EC2A76" w:rsidRPr="00A82C12">
        <w:rPr>
          <w:snapToGrid/>
        </w:rPr>
        <w:t xml:space="preserve">will </w:t>
      </w:r>
      <w:r w:rsidRPr="00A82C12">
        <w:rPr>
          <w:snapToGrid/>
        </w:rPr>
        <w:t>also be made visual and disseminated</w:t>
      </w:r>
      <w:r w:rsidR="0041363A" w:rsidRPr="00A82C12">
        <w:rPr>
          <w:snapToGrid/>
        </w:rPr>
        <w:t xml:space="preserve"> to the stakeholders of the Convention</w:t>
      </w:r>
      <w:r w:rsidR="009D5B55" w:rsidRPr="00A82C12">
        <w:rPr>
          <w:snapToGrid/>
        </w:rPr>
        <w:t xml:space="preserve"> in order to</w:t>
      </w:r>
      <w:r w:rsidR="009D5B55" w:rsidRPr="00A82C12">
        <w:t xml:space="preserve"> communicate the results, impact, lessons learnt and good practices.</w:t>
      </w:r>
    </w:p>
    <w:p w14:paraId="4FCB52E7" w14:textId="7845345E" w:rsidR="00FC004B" w:rsidRPr="00A82C12" w:rsidRDefault="00FD48E9" w:rsidP="00A82C12">
      <w:pPr>
        <w:pStyle w:val="COMPara"/>
        <w:keepNext/>
        <w:numPr>
          <w:ilvl w:val="0"/>
          <w:numId w:val="0"/>
        </w:numPr>
        <w:spacing w:before="240"/>
        <w:jc w:val="both"/>
        <w:rPr>
          <w:b/>
          <w:bCs/>
        </w:rPr>
      </w:pPr>
      <w:r w:rsidRPr="00A82C12">
        <w:rPr>
          <w:b/>
          <w:bCs/>
        </w:rPr>
        <w:t>Ways forward</w:t>
      </w:r>
    </w:p>
    <w:p w14:paraId="7CDC2935" w14:textId="05D28AA4" w:rsidR="00FA5895" w:rsidRPr="00A82C12" w:rsidRDefault="00785221" w:rsidP="00A82C12">
      <w:pPr>
        <w:pStyle w:val="COMPara"/>
        <w:keepLines/>
        <w:ind w:left="567" w:hanging="567"/>
        <w:jc w:val="both"/>
        <w:rPr>
          <w:snapToGrid/>
        </w:rPr>
      </w:pPr>
      <w:r w:rsidRPr="00A82C12">
        <w:rPr>
          <w:snapToGrid/>
        </w:rPr>
        <w:t xml:space="preserve">The Strategy </w:t>
      </w:r>
      <w:r w:rsidR="00725DB1" w:rsidRPr="00A82C12">
        <w:rPr>
          <w:snapToGrid/>
        </w:rPr>
        <w:t>can begin to be implemented</w:t>
      </w:r>
      <w:r w:rsidRPr="00A82C12">
        <w:rPr>
          <w:snapToGrid/>
        </w:rPr>
        <w:t xml:space="preserve"> in January 2023</w:t>
      </w:r>
      <w:r w:rsidR="00473C0E" w:rsidRPr="00A82C12">
        <w:rPr>
          <w:snapToGrid/>
        </w:rPr>
        <w:t xml:space="preserve"> and will be applied </w:t>
      </w:r>
      <w:r w:rsidR="00F331A4" w:rsidRPr="00A82C12">
        <w:rPr>
          <w:snapToGrid/>
        </w:rPr>
        <w:t>to International Assistance projects approved during the second half of 2022</w:t>
      </w:r>
      <w:r w:rsidR="004E43DA" w:rsidRPr="00A82C12">
        <w:rPr>
          <w:snapToGrid/>
        </w:rPr>
        <w:t xml:space="preserve"> and beyond</w:t>
      </w:r>
      <w:r w:rsidRPr="00A82C12">
        <w:rPr>
          <w:snapToGrid/>
        </w:rPr>
        <w:t>. This will follow the publication</w:t>
      </w:r>
      <w:r w:rsidR="00B452D8" w:rsidRPr="00A82C12">
        <w:rPr>
          <w:snapToGrid/>
        </w:rPr>
        <w:t xml:space="preserve"> </w:t>
      </w:r>
      <w:r w:rsidR="00473C0E" w:rsidRPr="00A82C12">
        <w:rPr>
          <w:snapToGrid/>
        </w:rPr>
        <w:t xml:space="preserve">of </w:t>
      </w:r>
      <w:r w:rsidR="00725DB1" w:rsidRPr="00A82C12">
        <w:rPr>
          <w:snapToGrid/>
        </w:rPr>
        <w:t xml:space="preserve">the </w:t>
      </w:r>
      <w:r w:rsidR="00B452D8" w:rsidRPr="00A82C12">
        <w:rPr>
          <w:snapToGrid/>
        </w:rPr>
        <w:t xml:space="preserve">ICH-04 Form and the associated </w:t>
      </w:r>
      <w:r w:rsidR="00473C0E" w:rsidRPr="00A82C12">
        <w:rPr>
          <w:snapToGrid/>
        </w:rPr>
        <w:t xml:space="preserve">forms for reporting, </w:t>
      </w:r>
      <w:r w:rsidR="00B452D8" w:rsidRPr="00A82C12">
        <w:rPr>
          <w:snapToGrid/>
        </w:rPr>
        <w:t>monitoring and evaluatio</w:t>
      </w:r>
      <w:r w:rsidR="00473C0E" w:rsidRPr="00A82C12">
        <w:rPr>
          <w:snapToGrid/>
        </w:rPr>
        <w:t xml:space="preserve">n, </w:t>
      </w:r>
      <w:r w:rsidR="00725DB1" w:rsidRPr="00A82C12">
        <w:rPr>
          <w:snapToGrid/>
        </w:rPr>
        <w:t xml:space="preserve">which is </w:t>
      </w:r>
      <w:r w:rsidR="00473C0E" w:rsidRPr="00A82C12">
        <w:rPr>
          <w:snapToGrid/>
        </w:rPr>
        <w:t xml:space="preserve">scheduled </w:t>
      </w:r>
      <w:r w:rsidR="00725DB1" w:rsidRPr="00A82C12">
        <w:rPr>
          <w:snapToGrid/>
        </w:rPr>
        <w:t xml:space="preserve">to take place </w:t>
      </w:r>
      <w:r w:rsidR="00473C0E" w:rsidRPr="00A82C12">
        <w:rPr>
          <w:snapToGrid/>
        </w:rPr>
        <w:t>by the end of 2022</w:t>
      </w:r>
      <w:r w:rsidR="00725DB1" w:rsidRPr="00A82C12">
        <w:rPr>
          <w:snapToGrid/>
        </w:rPr>
        <w:t xml:space="preserve"> at the latest</w:t>
      </w:r>
      <w:r w:rsidR="00473C0E" w:rsidRPr="00A82C12">
        <w:rPr>
          <w:snapToGrid/>
        </w:rPr>
        <w:t xml:space="preserve">. </w:t>
      </w:r>
      <w:r w:rsidR="00F331A4" w:rsidRPr="00A82C12">
        <w:rPr>
          <w:snapToGrid/>
        </w:rPr>
        <w:t xml:space="preserve">The </w:t>
      </w:r>
      <w:r w:rsidR="005B1900" w:rsidRPr="00A82C12">
        <w:rPr>
          <w:snapToGrid/>
        </w:rPr>
        <w:t xml:space="preserve">implementation status of the </w:t>
      </w:r>
      <w:r w:rsidR="00F331A4" w:rsidRPr="00A82C12">
        <w:rPr>
          <w:snapToGrid/>
        </w:rPr>
        <w:t xml:space="preserve">Strategy will be reported to the Committee regularly; </w:t>
      </w:r>
      <w:r w:rsidR="00725DB1" w:rsidRPr="00A82C12">
        <w:rPr>
          <w:snapToGrid/>
        </w:rPr>
        <w:t xml:space="preserve">a </w:t>
      </w:r>
      <w:r w:rsidR="00F331A4" w:rsidRPr="00A82C12">
        <w:rPr>
          <w:snapToGrid/>
        </w:rPr>
        <w:t xml:space="preserve">substantive report will be made on an annual basis as part of the item </w:t>
      </w:r>
      <w:r w:rsidR="00A92599" w:rsidRPr="00A82C12">
        <w:rPr>
          <w:snapToGrid/>
        </w:rPr>
        <w:t xml:space="preserve">of the Committee agenda </w:t>
      </w:r>
      <w:r w:rsidR="00F331A4" w:rsidRPr="00A82C12">
        <w:rPr>
          <w:snapToGrid/>
        </w:rPr>
        <w:t>relat</w:t>
      </w:r>
      <w:r w:rsidR="00725DB1" w:rsidRPr="00A82C12">
        <w:rPr>
          <w:snapToGrid/>
        </w:rPr>
        <w:t>ing</w:t>
      </w:r>
      <w:r w:rsidR="00F331A4" w:rsidRPr="00A82C12">
        <w:rPr>
          <w:snapToGrid/>
        </w:rPr>
        <w:t xml:space="preserve"> to reports by States Parties on the use of International Assistance from the Intangible Cultural Heritage Fund</w:t>
      </w:r>
      <w:r w:rsidR="00725DB1" w:rsidRPr="00A82C12">
        <w:rPr>
          <w:snapToGrid/>
        </w:rPr>
        <w:t>. T</w:t>
      </w:r>
      <w:r w:rsidR="00F331A4" w:rsidRPr="00A82C12">
        <w:rPr>
          <w:snapToGrid/>
        </w:rPr>
        <w:t xml:space="preserve">he financial implications will be reported </w:t>
      </w:r>
      <w:r w:rsidR="005B1900" w:rsidRPr="00A82C12">
        <w:rPr>
          <w:snapToGrid/>
        </w:rPr>
        <w:t xml:space="preserve">on a biannual basis </w:t>
      </w:r>
      <w:r w:rsidR="00F331A4" w:rsidRPr="00A82C12">
        <w:rPr>
          <w:snapToGrid/>
        </w:rPr>
        <w:t>as part of the financial report concerning the use of the resources of the Intangible Cultural Heritage Fund.</w:t>
      </w:r>
      <w:r w:rsidR="002604EF" w:rsidRPr="00A82C12">
        <w:rPr>
          <w:snapToGrid/>
        </w:rPr>
        <w:t xml:space="preserve"> </w:t>
      </w:r>
      <w:r w:rsidR="00725DB1" w:rsidRPr="00A82C12">
        <w:rPr>
          <w:snapToGrid/>
        </w:rPr>
        <w:t>R</w:t>
      </w:r>
      <w:r w:rsidR="002604EF" w:rsidRPr="00A82C12">
        <w:rPr>
          <w:snapToGrid/>
        </w:rPr>
        <w:t>eporting to the Committee will be complemented by reporting to the General Assembly of the Convention</w:t>
      </w:r>
      <w:r w:rsidR="00725DB1" w:rsidRPr="00A82C12">
        <w:rPr>
          <w:snapToGrid/>
        </w:rPr>
        <w:t>,</w:t>
      </w:r>
      <w:r w:rsidR="002604EF" w:rsidRPr="00A82C12">
        <w:rPr>
          <w:snapToGrid/>
        </w:rPr>
        <w:t xml:space="preserve"> </w:t>
      </w:r>
      <w:r w:rsidR="00A07846" w:rsidRPr="00A82C12">
        <w:rPr>
          <w:snapToGrid/>
        </w:rPr>
        <w:t xml:space="preserve">which </w:t>
      </w:r>
      <w:r w:rsidR="002604EF" w:rsidRPr="00A82C12">
        <w:rPr>
          <w:snapToGrid/>
        </w:rPr>
        <w:t>meet</w:t>
      </w:r>
      <w:r w:rsidR="00A07846" w:rsidRPr="00A82C12">
        <w:rPr>
          <w:snapToGrid/>
        </w:rPr>
        <w:t>s</w:t>
      </w:r>
      <w:r w:rsidR="002604EF" w:rsidRPr="00A82C12">
        <w:rPr>
          <w:snapToGrid/>
        </w:rPr>
        <w:t xml:space="preserve"> every two years.</w:t>
      </w:r>
    </w:p>
    <w:p w14:paraId="3411100A" w14:textId="5EE3916D" w:rsidR="003E0881" w:rsidRPr="00A82C12" w:rsidRDefault="00725DB1" w:rsidP="00A82C12">
      <w:pPr>
        <w:pStyle w:val="COMPara"/>
        <w:ind w:left="567" w:hanging="567"/>
        <w:jc w:val="both"/>
        <w:rPr>
          <w:snapToGrid/>
        </w:rPr>
      </w:pPr>
      <w:r w:rsidRPr="00A82C12">
        <w:t xml:space="preserve">The overall </w:t>
      </w:r>
      <w:r w:rsidR="001809DD" w:rsidRPr="00A82C12">
        <w:t xml:space="preserve">idea of the Strategy is based on the premise that </w:t>
      </w:r>
      <w:r w:rsidRPr="00A82C12">
        <w:t xml:space="preserve">the </w:t>
      </w:r>
      <w:r w:rsidR="00554D69" w:rsidRPr="00A82C12">
        <w:t xml:space="preserve">substantive follow-up and analytical review of the impact of </w:t>
      </w:r>
      <w:r w:rsidRPr="00A82C12">
        <w:t xml:space="preserve">such </w:t>
      </w:r>
      <w:r w:rsidR="00554D69" w:rsidRPr="00A82C12">
        <w:t>projects will help States Parties to safeguard their intangible cultural heritage in the long term.</w:t>
      </w:r>
      <w:r w:rsidR="001809DD" w:rsidRPr="00A82C12">
        <w:t xml:space="preserve"> </w:t>
      </w:r>
      <w:r w:rsidR="00D84426" w:rsidRPr="00A82C12">
        <w:t>The combined safeguarding experience of different individual project</w:t>
      </w:r>
      <w:r w:rsidR="00285EAF" w:rsidRPr="00A82C12">
        <w:t>s</w:t>
      </w:r>
      <w:r w:rsidR="00D84426" w:rsidRPr="00A82C12">
        <w:t xml:space="preserve"> will in turn </w:t>
      </w:r>
      <w:r w:rsidR="000E3E04" w:rsidRPr="00A82C12">
        <w:t>make up</w:t>
      </w:r>
      <w:r w:rsidR="00EA0CA7" w:rsidRPr="00A82C12">
        <w:t xml:space="preserve"> the ‘operationality’ of the mechanism </w:t>
      </w:r>
      <w:r w:rsidR="002604EF" w:rsidRPr="00A82C12">
        <w:t>in terms of its contribution to the</w:t>
      </w:r>
      <w:r w:rsidR="00A07846" w:rsidRPr="00A82C12">
        <w:t xml:space="preserve"> implementation of the Convention</w:t>
      </w:r>
      <w:r w:rsidR="00F1685C" w:rsidRPr="00A82C12">
        <w:t xml:space="preserve"> as a whole</w:t>
      </w:r>
      <w:r w:rsidR="00EA0CA7" w:rsidRPr="00A82C12">
        <w:t xml:space="preserve">. </w:t>
      </w:r>
      <w:r w:rsidRPr="00A82C12">
        <w:t>The</w:t>
      </w:r>
      <w:r w:rsidR="00A55C49" w:rsidRPr="00A82C12">
        <w:t xml:space="preserve"> successful </w:t>
      </w:r>
      <w:r w:rsidR="00EA0CA7" w:rsidRPr="00A82C12">
        <w:t>implementation</w:t>
      </w:r>
      <w:r w:rsidR="00A55C49" w:rsidRPr="00A82C12">
        <w:t xml:space="preserve"> of </w:t>
      </w:r>
      <w:r w:rsidR="009D5B55" w:rsidRPr="00A82C12">
        <w:t>the mechanism</w:t>
      </w:r>
      <w:r w:rsidR="000E3E04" w:rsidRPr="00A82C12">
        <w:t xml:space="preserve"> </w:t>
      </w:r>
      <w:r w:rsidR="00A55C49" w:rsidRPr="00A82C12">
        <w:t xml:space="preserve">largely depends on the quality of </w:t>
      </w:r>
      <w:r w:rsidR="009D5B55" w:rsidRPr="00A82C12">
        <w:t xml:space="preserve">each individual </w:t>
      </w:r>
      <w:r w:rsidR="00A55C49" w:rsidRPr="00A82C12">
        <w:t xml:space="preserve">project </w:t>
      </w:r>
      <w:r w:rsidR="00135EA2" w:rsidRPr="00A82C12">
        <w:t xml:space="preserve">– </w:t>
      </w:r>
      <w:r w:rsidR="00CC0C07" w:rsidRPr="00A82C12">
        <w:t xml:space="preserve">which should include </w:t>
      </w:r>
      <w:r w:rsidR="00135EA2" w:rsidRPr="00A82C12">
        <w:t xml:space="preserve">a clear description of the objectives and activities, accompanied by a realistic budget and timetable </w:t>
      </w:r>
      <w:r w:rsidR="00CC558F" w:rsidRPr="00A82C12">
        <w:t xml:space="preserve">that is prepared carefully and realistically with the engagement of </w:t>
      </w:r>
      <w:r w:rsidRPr="00A82C12">
        <w:t xml:space="preserve">the </w:t>
      </w:r>
      <w:r w:rsidR="00CC558F" w:rsidRPr="00A82C12">
        <w:t>communities and other stakeholders</w:t>
      </w:r>
      <w:r w:rsidRPr="00A82C12">
        <w:t xml:space="preserve"> concerned</w:t>
      </w:r>
      <w:r w:rsidR="00CC558F" w:rsidRPr="00A82C12">
        <w:t xml:space="preserve">. </w:t>
      </w:r>
      <w:r w:rsidR="001809DD" w:rsidRPr="00A82C12">
        <w:t xml:space="preserve">To this end, additional actions have been undertaken or planned to </w:t>
      </w:r>
      <w:r w:rsidR="00F1405C" w:rsidRPr="00A82C12">
        <w:t xml:space="preserve">support the </w:t>
      </w:r>
      <w:r w:rsidR="001809DD" w:rsidRPr="00A82C12">
        <w:t xml:space="preserve">promote </w:t>
      </w:r>
      <w:r w:rsidR="00DF0700" w:rsidRPr="00A82C12">
        <w:t xml:space="preserve">of </w:t>
      </w:r>
      <w:r w:rsidR="001809DD" w:rsidRPr="00A82C12">
        <w:t>the International Assistance</w:t>
      </w:r>
      <w:r w:rsidR="00F1405C" w:rsidRPr="00A82C12">
        <w:t xml:space="preserve"> with a capacity-building approach</w:t>
      </w:r>
      <w:r w:rsidR="001809DD" w:rsidRPr="00A82C12">
        <w:t xml:space="preserve">, particularly amongst </w:t>
      </w:r>
      <w:r w:rsidRPr="00A82C12">
        <w:t xml:space="preserve">those </w:t>
      </w:r>
      <w:r w:rsidR="001809DD" w:rsidRPr="00A82C12">
        <w:t xml:space="preserve">regions that have not yet benefitted fully from this mechanism. The </w:t>
      </w:r>
      <w:hyperlink r:id="rId17" w:history="1">
        <w:r w:rsidR="007A5E7A" w:rsidRPr="00A82C12">
          <w:rPr>
            <w:rStyle w:val="Hyperlink"/>
            <w:rFonts w:cs="Arial"/>
          </w:rPr>
          <w:t>Toolkit</w:t>
        </w:r>
        <w:r w:rsidR="001809DD" w:rsidRPr="00A82C12">
          <w:rPr>
            <w:rStyle w:val="Hyperlink"/>
            <w:rFonts w:cs="Arial"/>
          </w:rPr>
          <w:t xml:space="preserve"> on International Assistance of the Intangible</w:t>
        </w:r>
        <w:r w:rsidR="001809DD" w:rsidRPr="00A82C12">
          <w:rPr>
            <w:rStyle w:val="Hyperlink"/>
            <w:rFonts w:cs="Arial"/>
          </w:rPr>
          <w:t xml:space="preserve"> </w:t>
        </w:r>
        <w:r w:rsidR="001809DD" w:rsidRPr="00A82C12">
          <w:rPr>
            <w:rStyle w:val="Hyperlink"/>
            <w:rFonts w:cs="Arial"/>
          </w:rPr>
          <w:t>Cultural Heritage Fund</w:t>
        </w:r>
      </w:hyperlink>
      <w:r w:rsidR="001809DD" w:rsidRPr="00A82C12">
        <w:t xml:space="preserve"> is </w:t>
      </w:r>
      <w:r w:rsidRPr="00A82C12">
        <w:t xml:space="preserve">one </w:t>
      </w:r>
      <w:r w:rsidR="001809DD" w:rsidRPr="00A82C12">
        <w:t xml:space="preserve">example of such actions, as it presents background information on intangible cultural heritage safeguarding, </w:t>
      </w:r>
      <w:r w:rsidRPr="00A82C12">
        <w:t xml:space="preserve">as well as </w:t>
      </w:r>
      <w:r w:rsidR="001809DD" w:rsidRPr="00A82C12">
        <w:t>basic tools to plan a project a</w:t>
      </w:r>
      <w:r w:rsidR="00A55C49" w:rsidRPr="00A82C12">
        <w:t>nd</w:t>
      </w:r>
      <w:r w:rsidR="001809DD" w:rsidRPr="00A82C12">
        <w:t xml:space="preserve"> draft effective proposals for International Assistance.</w:t>
      </w:r>
    </w:p>
    <w:p w14:paraId="42B53435" w14:textId="30941862" w:rsidR="00C70835" w:rsidRPr="00A82C12" w:rsidRDefault="00C70835" w:rsidP="00C70835">
      <w:pPr>
        <w:pStyle w:val="COMPara"/>
        <w:numPr>
          <w:ilvl w:val="0"/>
          <w:numId w:val="0"/>
        </w:numPr>
        <w:ind w:left="720"/>
        <w:jc w:val="center"/>
        <w:rPr>
          <w:snapToGrid/>
        </w:rPr>
      </w:pPr>
      <w:r w:rsidRPr="00A82C12">
        <w:t>***</w:t>
      </w:r>
    </w:p>
    <w:p w14:paraId="50D3EAFF" w14:textId="5B425578" w:rsidR="00D95C4C" w:rsidRPr="00A82C12" w:rsidRDefault="000B1C8F" w:rsidP="00A82C12">
      <w:pPr>
        <w:pStyle w:val="COMPara"/>
        <w:ind w:left="567" w:hanging="567"/>
      </w:pPr>
      <w:r w:rsidRPr="00A82C12">
        <w:t>The Committee may wish to adopt the following decision</w:t>
      </w:r>
      <w:r w:rsidR="00D95C4C" w:rsidRPr="00A82C12">
        <w:t>:</w:t>
      </w:r>
    </w:p>
    <w:p w14:paraId="6CEB1E9D" w14:textId="0C398597" w:rsidR="00D95C4C" w:rsidRPr="00A82C12" w:rsidRDefault="004A34A0" w:rsidP="001D14FE">
      <w:pPr>
        <w:pStyle w:val="COMTitleDecision"/>
        <w:rPr>
          <w:rFonts w:eastAsia="SimSun"/>
        </w:rPr>
      </w:pPr>
      <w:r w:rsidRPr="00A82C12">
        <w:t xml:space="preserve">DRAFT </w:t>
      </w:r>
      <w:r w:rsidR="00CB0542" w:rsidRPr="00A82C12">
        <w:t>DECISION 1</w:t>
      </w:r>
      <w:r w:rsidR="0026221A" w:rsidRPr="00A82C12">
        <w:t>7</w:t>
      </w:r>
      <w:r w:rsidR="00EC6F8D" w:rsidRPr="00A82C12">
        <w:t>.COM</w:t>
      </w:r>
      <w:r w:rsidR="00517FD8" w:rsidRPr="00A82C12">
        <w:t xml:space="preserve"> </w:t>
      </w:r>
      <w:r w:rsidR="00FA063B" w:rsidRPr="00A82C12">
        <w:t>11</w:t>
      </w:r>
    </w:p>
    <w:p w14:paraId="13024F0B" w14:textId="77777777" w:rsidR="00D95C4C" w:rsidRPr="00A82C12" w:rsidRDefault="00285BB4" w:rsidP="00285BB4">
      <w:pPr>
        <w:pStyle w:val="COMPreambulaDecisions"/>
        <w:rPr>
          <w:rFonts w:eastAsia="SimSun"/>
        </w:rPr>
      </w:pPr>
      <w:r w:rsidRPr="00A82C12">
        <w:t>The Committee,</w:t>
      </w:r>
    </w:p>
    <w:p w14:paraId="5A9F22F3" w14:textId="10C4CFD7" w:rsidR="0057439C" w:rsidRPr="00A82C12" w:rsidRDefault="00D95C4C" w:rsidP="004A2875">
      <w:pPr>
        <w:pStyle w:val="COMParaDecision"/>
      </w:pPr>
      <w:r w:rsidRPr="00A82C12">
        <w:t>Having examined</w:t>
      </w:r>
      <w:r w:rsidRPr="00A82C12">
        <w:rPr>
          <w:u w:val="none"/>
        </w:rPr>
        <w:t xml:space="preserve"> doc</w:t>
      </w:r>
      <w:r w:rsidR="00CB0542" w:rsidRPr="00A82C12">
        <w:rPr>
          <w:u w:val="none"/>
        </w:rPr>
        <w:t xml:space="preserve">ument </w:t>
      </w:r>
      <w:r w:rsidR="00C5776D" w:rsidRPr="00A82C12">
        <w:rPr>
          <w:u w:val="none"/>
        </w:rPr>
        <w:t>LHE</w:t>
      </w:r>
      <w:r w:rsidR="00CB0542" w:rsidRPr="00A82C12">
        <w:rPr>
          <w:u w:val="none"/>
        </w:rPr>
        <w:t>/</w:t>
      </w:r>
      <w:r w:rsidR="00D7105A" w:rsidRPr="00A82C12">
        <w:rPr>
          <w:u w:val="none"/>
        </w:rPr>
        <w:t>2</w:t>
      </w:r>
      <w:r w:rsidR="0026221A" w:rsidRPr="00A82C12">
        <w:rPr>
          <w:u w:val="none"/>
        </w:rPr>
        <w:t>2</w:t>
      </w:r>
      <w:r w:rsidR="00337CEB" w:rsidRPr="00A82C12">
        <w:rPr>
          <w:u w:val="none"/>
        </w:rPr>
        <w:t>/1</w:t>
      </w:r>
      <w:r w:rsidR="0026221A" w:rsidRPr="00A82C12">
        <w:rPr>
          <w:u w:val="none"/>
        </w:rPr>
        <w:t>7</w:t>
      </w:r>
      <w:r w:rsidR="00EC6F8D" w:rsidRPr="00A82C12">
        <w:rPr>
          <w:u w:val="none"/>
        </w:rPr>
        <w:t>.COM</w:t>
      </w:r>
      <w:r w:rsidR="004A34A0" w:rsidRPr="00A82C12">
        <w:rPr>
          <w:u w:val="none"/>
        </w:rPr>
        <w:t>/</w:t>
      </w:r>
      <w:r w:rsidR="00FA063B" w:rsidRPr="00A82C12">
        <w:rPr>
          <w:u w:val="none"/>
        </w:rPr>
        <w:t>11</w:t>
      </w:r>
      <w:r w:rsidR="006E75EB" w:rsidRPr="00A82C12">
        <w:rPr>
          <w:u w:val="none"/>
        </w:rPr>
        <w:t>,</w:t>
      </w:r>
    </w:p>
    <w:p w14:paraId="260CA8D5" w14:textId="71EB7C08" w:rsidR="0057439C" w:rsidRPr="00A82C12" w:rsidRDefault="0057439C" w:rsidP="004A2875">
      <w:pPr>
        <w:pStyle w:val="COMParaDecision"/>
      </w:pPr>
      <w:r w:rsidRPr="00A82C12">
        <w:t>Recallin</w:t>
      </w:r>
      <w:r w:rsidR="00517FD8" w:rsidRPr="00A82C12">
        <w:t>g</w:t>
      </w:r>
      <w:r w:rsidR="00FA063B" w:rsidRPr="00A82C12">
        <w:rPr>
          <w:u w:val="none"/>
        </w:rPr>
        <w:t xml:space="preserve"> </w:t>
      </w:r>
      <w:r w:rsidR="00B33651" w:rsidRPr="00A82C12">
        <w:rPr>
          <w:u w:val="none"/>
        </w:rPr>
        <w:t>Resolutions</w:t>
      </w:r>
      <w:r w:rsidR="002604EF" w:rsidRPr="00A82C12">
        <w:rPr>
          <w:u w:val="none"/>
        </w:rPr>
        <w:t xml:space="preserve"> </w:t>
      </w:r>
      <w:hyperlink r:id="rId18" w:history="1">
        <w:r w:rsidR="002604EF" w:rsidRPr="00A82C12">
          <w:rPr>
            <w:rStyle w:val="Hyperlink"/>
            <w:rFonts w:cs="Arial"/>
          </w:rPr>
          <w:t>7.GA 8</w:t>
        </w:r>
      </w:hyperlink>
      <w:r w:rsidR="002604EF" w:rsidRPr="00A82C12">
        <w:rPr>
          <w:u w:val="none"/>
        </w:rPr>
        <w:t xml:space="preserve"> and </w:t>
      </w:r>
      <w:hyperlink r:id="rId19" w:history="1">
        <w:r w:rsidR="008E3A17" w:rsidRPr="00A82C12">
          <w:rPr>
            <w:rStyle w:val="Hyperlink"/>
            <w:rFonts w:cs="Arial"/>
          </w:rPr>
          <w:t>7.GA 9</w:t>
        </w:r>
      </w:hyperlink>
      <w:r w:rsidR="008E3A17" w:rsidRPr="00A82C12">
        <w:rPr>
          <w:u w:val="none"/>
        </w:rPr>
        <w:t xml:space="preserve"> as well as </w:t>
      </w:r>
      <w:r w:rsidR="00FA063B" w:rsidRPr="00A82C12">
        <w:rPr>
          <w:u w:val="none"/>
        </w:rPr>
        <w:t xml:space="preserve">Decision </w:t>
      </w:r>
      <w:hyperlink r:id="rId20" w:history="1">
        <w:r w:rsidR="00FA063B" w:rsidRPr="00A82C12">
          <w:rPr>
            <w:rStyle w:val="Hyperlink"/>
            <w:rFonts w:cs="Arial"/>
          </w:rPr>
          <w:t>16.COM 10</w:t>
        </w:r>
      </w:hyperlink>
      <w:r w:rsidRPr="00A82C12">
        <w:rPr>
          <w:u w:val="none"/>
        </w:rPr>
        <w:t>,</w:t>
      </w:r>
    </w:p>
    <w:p w14:paraId="2FD12DA7" w14:textId="1E4E95F9" w:rsidR="00FA063B" w:rsidRPr="00A82C12" w:rsidRDefault="0009576C" w:rsidP="004A2875">
      <w:pPr>
        <w:pStyle w:val="COMParaDecision"/>
      </w:pPr>
      <w:r w:rsidRPr="00A82C12">
        <w:t>Further</w:t>
      </w:r>
      <w:r w:rsidR="00FA063B" w:rsidRPr="00A82C12">
        <w:t xml:space="preserve"> recalling</w:t>
      </w:r>
      <w:r w:rsidR="00FA063B" w:rsidRPr="00A82C12">
        <w:rPr>
          <w:u w:val="none"/>
        </w:rPr>
        <w:t xml:space="preserve"> </w:t>
      </w:r>
      <w:r w:rsidR="0045617B" w:rsidRPr="00A82C12">
        <w:rPr>
          <w:u w:val="none"/>
        </w:rPr>
        <w:t>R</w:t>
      </w:r>
      <w:r w:rsidR="00FA063B" w:rsidRPr="00A82C12">
        <w:rPr>
          <w:u w:val="none"/>
        </w:rPr>
        <w:t xml:space="preserve">ecommendation </w:t>
      </w:r>
      <w:r w:rsidRPr="00A82C12">
        <w:rPr>
          <w:u w:val="none"/>
        </w:rPr>
        <w:t>6</w:t>
      </w:r>
      <w:r w:rsidR="00FA063B" w:rsidRPr="00A82C12">
        <w:rPr>
          <w:u w:val="none"/>
        </w:rPr>
        <w:t xml:space="preserve"> of the </w:t>
      </w:r>
      <w:r w:rsidR="0045617B" w:rsidRPr="00A82C12">
        <w:rPr>
          <w:u w:val="none"/>
        </w:rPr>
        <w:t xml:space="preserve">2021 </w:t>
      </w:r>
      <w:r w:rsidR="00FA063B" w:rsidRPr="00A82C12">
        <w:rPr>
          <w:u w:val="none"/>
        </w:rPr>
        <w:t>I</w:t>
      </w:r>
      <w:r w:rsidR="006A1C24" w:rsidRPr="00A82C12">
        <w:rPr>
          <w:u w:val="none"/>
        </w:rPr>
        <w:t xml:space="preserve">nternal Oversight Service </w:t>
      </w:r>
      <w:r w:rsidR="00FA063B" w:rsidRPr="00A82C12">
        <w:rPr>
          <w:u w:val="none"/>
        </w:rPr>
        <w:t>evaluation of UNESCO</w:t>
      </w:r>
      <w:r w:rsidR="00AC559D" w:rsidRPr="00AC559D">
        <w:rPr>
          <w:u w:val="none"/>
        </w:rPr>
        <w:t>'</w:t>
      </w:r>
      <w:r w:rsidR="00FA063B" w:rsidRPr="00A82C12">
        <w:rPr>
          <w:u w:val="none"/>
        </w:rPr>
        <w:t>s action</w:t>
      </w:r>
      <w:r w:rsidR="006A1C24" w:rsidRPr="00A82C12">
        <w:rPr>
          <w:u w:val="none"/>
        </w:rPr>
        <w:t>s</w:t>
      </w:r>
      <w:r w:rsidR="00FA063B" w:rsidRPr="00A82C12">
        <w:rPr>
          <w:u w:val="none"/>
        </w:rPr>
        <w:t xml:space="preserve"> in the framework of the Convention</w:t>
      </w:r>
      <w:r w:rsidRPr="00A82C12">
        <w:rPr>
          <w:u w:val="none"/>
        </w:rPr>
        <w:t>,</w:t>
      </w:r>
    </w:p>
    <w:p w14:paraId="07EC8AFC" w14:textId="47D409E7" w:rsidR="00653C99" w:rsidRPr="00A82C12" w:rsidRDefault="00653C99" w:rsidP="004A2875">
      <w:pPr>
        <w:pStyle w:val="COMParaDecision"/>
      </w:pPr>
      <w:r w:rsidRPr="00A82C12">
        <w:t>Also recalling</w:t>
      </w:r>
      <w:r w:rsidR="00C84A4B" w:rsidRPr="00A82C12">
        <w:rPr>
          <w:u w:val="none"/>
        </w:rPr>
        <w:t xml:space="preserve"> </w:t>
      </w:r>
      <w:r w:rsidR="00B33651" w:rsidRPr="00A82C12">
        <w:rPr>
          <w:u w:val="none"/>
        </w:rPr>
        <w:t xml:space="preserve">Resolution </w:t>
      </w:r>
      <w:hyperlink r:id="rId21" w:history="1">
        <w:r w:rsidR="002604EF" w:rsidRPr="00A82C12">
          <w:rPr>
            <w:rStyle w:val="Hyperlink"/>
            <w:rFonts w:cs="Arial"/>
          </w:rPr>
          <w:t>9.GA 10</w:t>
        </w:r>
      </w:hyperlink>
      <w:r w:rsidR="002604EF" w:rsidRPr="00A82C12">
        <w:rPr>
          <w:u w:val="none"/>
        </w:rPr>
        <w:t xml:space="preserve"> </w:t>
      </w:r>
      <w:r w:rsidR="00B33651" w:rsidRPr="00A82C12">
        <w:rPr>
          <w:u w:val="none"/>
        </w:rPr>
        <w:t>authorizing</w:t>
      </w:r>
      <w:r w:rsidR="00696EC6" w:rsidRPr="00A82C12">
        <w:rPr>
          <w:u w:val="none"/>
        </w:rPr>
        <w:t xml:space="preserve"> the Secretariat to use, on an experimental basis,</w:t>
      </w:r>
      <w:r w:rsidR="00B33651" w:rsidRPr="00A82C12">
        <w:rPr>
          <w:u w:val="none"/>
        </w:rPr>
        <w:t xml:space="preserve"> resources </w:t>
      </w:r>
      <w:r w:rsidR="00696EC6" w:rsidRPr="00A82C12">
        <w:rPr>
          <w:u w:val="none"/>
        </w:rPr>
        <w:t xml:space="preserve">under the Fund of the Convention </w:t>
      </w:r>
      <w:r w:rsidR="00B33651" w:rsidRPr="00A82C12">
        <w:rPr>
          <w:u w:val="none"/>
        </w:rPr>
        <w:t>for the monitoring</w:t>
      </w:r>
      <w:r w:rsidR="006A1C24" w:rsidRPr="00A82C12">
        <w:rPr>
          <w:u w:val="none"/>
        </w:rPr>
        <w:t xml:space="preserve"> and</w:t>
      </w:r>
      <w:r w:rsidR="00B33651" w:rsidRPr="00A82C12">
        <w:rPr>
          <w:u w:val="none"/>
        </w:rPr>
        <w:t xml:space="preserve"> evaluation of International Assistance projects,</w:t>
      </w:r>
    </w:p>
    <w:p w14:paraId="4EB5C413" w14:textId="7F43661B" w:rsidR="00D95C4C" w:rsidRPr="00A82C12" w:rsidRDefault="0045617B" w:rsidP="004A2875">
      <w:pPr>
        <w:pStyle w:val="COMParaDecision"/>
      </w:pPr>
      <w:r w:rsidRPr="00A82C12">
        <w:t>Welcomes</w:t>
      </w:r>
      <w:r w:rsidRPr="00A82C12">
        <w:rPr>
          <w:u w:val="none"/>
        </w:rPr>
        <w:t xml:space="preserve"> the proposed </w:t>
      </w:r>
      <w:r w:rsidR="00972542">
        <w:rPr>
          <w:u w:val="none"/>
        </w:rPr>
        <w:t>S</w:t>
      </w:r>
      <w:r w:rsidR="002274F8" w:rsidRPr="00A82C12">
        <w:rPr>
          <w:u w:val="none"/>
        </w:rPr>
        <w:t xml:space="preserve">trategy </w:t>
      </w:r>
      <w:r w:rsidR="000A5F7D" w:rsidRPr="00A82C12">
        <w:rPr>
          <w:u w:val="none"/>
        </w:rPr>
        <w:t xml:space="preserve">for the monitoring, evaluation and </w:t>
      </w:r>
      <w:r w:rsidR="006A1C24" w:rsidRPr="00A82C12">
        <w:rPr>
          <w:u w:val="none"/>
        </w:rPr>
        <w:t xml:space="preserve">identification of </w:t>
      </w:r>
      <w:r w:rsidR="000A5F7D" w:rsidRPr="00A82C12">
        <w:rPr>
          <w:u w:val="none"/>
        </w:rPr>
        <w:t>lessons learnt for International Assistance projects,</w:t>
      </w:r>
      <w:r w:rsidRPr="00A82C12">
        <w:rPr>
          <w:u w:val="none"/>
        </w:rPr>
        <w:t xml:space="preserve"> in line with the 2021 </w:t>
      </w:r>
      <w:r w:rsidR="006A1C24" w:rsidRPr="00A82C12">
        <w:rPr>
          <w:u w:val="none"/>
        </w:rPr>
        <w:t xml:space="preserve">Internal Oversight Service </w:t>
      </w:r>
      <w:r w:rsidRPr="00A82C12">
        <w:rPr>
          <w:u w:val="none"/>
        </w:rPr>
        <w:t xml:space="preserve">evaluation, appreciating in particular that </w:t>
      </w:r>
      <w:r w:rsidR="00B3784E" w:rsidRPr="00A82C12">
        <w:rPr>
          <w:u w:val="none"/>
        </w:rPr>
        <w:t xml:space="preserve">the </w:t>
      </w:r>
      <w:r w:rsidR="00972542">
        <w:rPr>
          <w:u w:val="none"/>
        </w:rPr>
        <w:t>S</w:t>
      </w:r>
      <w:r w:rsidR="00B3784E" w:rsidRPr="00A82C12">
        <w:rPr>
          <w:u w:val="none"/>
        </w:rPr>
        <w:t>trategy</w:t>
      </w:r>
      <w:r w:rsidR="000A5F7D" w:rsidRPr="00A82C12">
        <w:rPr>
          <w:u w:val="none"/>
        </w:rPr>
        <w:t xml:space="preserve"> is aligned </w:t>
      </w:r>
      <w:r w:rsidR="006A1C24" w:rsidRPr="00A82C12">
        <w:rPr>
          <w:u w:val="none"/>
        </w:rPr>
        <w:t>with</w:t>
      </w:r>
      <w:r w:rsidR="000A5F7D" w:rsidRPr="00A82C12">
        <w:rPr>
          <w:u w:val="none"/>
        </w:rPr>
        <w:t xml:space="preserve"> the Overall Results Framework of the Convention in order to </w:t>
      </w:r>
      <w:r w:rsidR="00B3784E" w:rsidRPr="00A82C12">
        <w:rPr>
          <w:u w:val="none"/>
        </w:rPr>
        <w:t xml:space="preserve">assess the effectiveness of the </w:t>
      </w:r>
      <w:r w:rsidR="000A5F7D" w:rsidRPr="00A82C12">
        <w:rPr>
          <w:u w:val="none"/>
        </w:rPr>
        <w:t xml:space="preserve">International Assistance </w:t>
      </w:r>
      <w:r w:rsidR="00B3784E" w:rsidRPr="00A82C12">
        <w:rPr>
          <w:u w:val="none"/>
        </w:rPr>
        <w:t>mechanism</w:t>
      </w:r>
      <w:r w:rsidR="00653C99" w:rsidRPr="00A82C12">
        <w:rPr>
          <w:u w:val="none"/>
        </w:rPr>
        <w:t xml:space="preserve"> </w:t>
      </w:r>
      <w:r w:rsidR="006A1C24" w:rsidRPr="00A82C12">
        <w:rPr>
          <w:u w:val="none"/>
        </w:rPr>
        <w:t xml:space="preserve">for </w:t>
      </w:r>
      <w:r w:rsidR="00653C99" w:rsidRPr="00A82C12">
        <w:rPr>
          <w:u w:val="none"/>
        </w:rPr>
        <w:t>the implementation of the Convention;</w:t>
      </w:r>
    </w:p>
    <w:p w14:paraId="1E2D617D" w14:textId="3E9C09B8" w:rsidR="00653C99" w:rsidRPr="00A82C12" w:rsidRDefault="00653C99" w:rsidP="004A2875">
      <w:pPr>
        <w:pStyle w:val="COMParaDecision"/>
      </w:pPr>
      <w:r w:rsidRPr="00A82C12">
        <w:t>Takes note</w:t>
      </w:r>
      <w:r w:rsidRPr="00A82C12">
        <w:rPr>
          <w:u w:val="none"/>
        </w:rPr>
        <w:t xml:space="preserve"> that the </w:t>
      </w:r>
      <w:r w:rsidR="00972542">
        <w:rPr>
          <w:u w:val="none"/>
        </w:rPr>
        <w:t>S</w:t>
      </w:r>
      <w:r w:rsidRPr="00A82C12">
        <w:rPr>
          <w:u w:val="none"/>
        </w:rPr>
        <w:t xml:space="preserve">trategy will be supported by </w:t>
      </w:r>
      <w:r w:rsidR="006A1C24" w:rsidRPr="00A82C12">
        <w:rPr>
          <w:u w:val="none"/>
        </w:rPr>
        <w:t xml:space="preserve">the </w:t>
      </w:r>
      <w:r w:rsidRPr="00A82C12">
        <w:rPr>
          <w:u w:val="none"/>
        </w:rPr>
        <w:t>revised ICH-04 Form</w:t>
      </w:r>
      <w:r w:rsidR="00B62191" w:rsidRPr="00A82C12">
        <w:rPr>
          <w:u w:val="none"/>
        </w:rPr>
        <w:t>s</w:t>
      </w:r>
      <w:r w:rsidRPr="00A82C12">
        <w:rPr>
          <w:u w:val="none"/>
        </w:rPr>
        <w:t xml:space="preserve"> which is accompanied by </w:t>
      </w:r>
      <w:r w:rsidR="00B62191" w:rsidRPr="00A82C12">
        <w:rPr>
          <w:u w:val="none"/>
        </w:rPr>
        <w:t xml:space="preserve">the new </w:t>
      </w:r>
      <w:r w:rsidRPr="00A82C12">
        <w:rPr>
          <w:u w:val="none"/>
        </w:rPr>
        <w:t>evaluation</w:t>
      </w:r>
      <w:r w:rsidR="00A43207" w:rsidRPr="00A82C12">
        <w:rPr>
          <w:u w:val="none"/>
        </w:rPr>
        <w:t xml:space="preserve"> form</w:t>
      </w:r>
      <w:r w:rsidRPr="00A82C12">
        <w:rPr>
          <w:u w:val="none"/>
        </w:rPr>
        <w:t>;</w:t>
      </w:r>
    </w:p>
    <w:p w14:paraId="084A6331" w14:textId="0A2EC1F3" w:rsidR="00A07846" w:rsidRPr="00A82C12" w:rsidRDefault="00A07846" w:rsidP="00A07846">
      <w:pPr>
        <w:pStyle w:val="COMParaDecision"/>
        <w:rPr>
          <w:u w:val="none"/>
        </w:rPr>
      </w:pPr>
      <w:r w:rsidRPr="00A82C12">
        <w:t>Requests</w:t>
      </w:r>
      <w:r w:rsidRPr="00A82C12">
        <w:rPr>
          <w:u w:val="none"/>
        </w:rPr>
        <w:t xml:space="preserve"> that the Secretariat </w:t>
      </w:r>
      <w:r w:rsidR="002274F8" w:rsidRPr="00A82C12">
        <w:rPr>
          <w:u w:val="none"/>
        </w:rPr>
        <w:t>begin</w:t>
      </w:r>
      <w:r w:rsidRPr="00A82C12">
        <w:rPr>
          <w:u w:val="none"/>
        </w:rPr>
        <w:t xml:space="preserve"> roll</w:t>
      </w:r>
      <w:r w:rsidR="002274F8" w:rsidRPr="00A82C12">
        <w:rPr>
          <w:u w:val="none"/>
        </w:rPr>
        <w:t xml:space="preserve">ing </w:t>
      </w:r>
      <w:r w:rsidRPr="00A82C12">
        <w:rPr>
          <w:u w:val="none"/>
        </w:rPr>
        <w:t xml:space="preserve">out the </w:t>
      </w:r>
      <w:r w:rsidR="00972542">
        <w:rPr>
          <w:u w:val="none"/>
        </w:rPr>
        <w:t>S</w:t>
      </w:r>
      <w:r w:rsidR="008129CF" w:rsidRPr="00A82C12">
        <w:rPr>
          <w:u w:val="none"/>
        </w:rPr>
        <w:t xml:space="preserve">trategy </w:t>
      </w:r>
      <w:r w:rsidRPr="00A82C12">
        <w:rPr>
          <w:u w:val="none"/>
        </w:rPr>
        <w:t xml:space="preserve">and </w:t>
      </w:r>
      <w:r w:rsidR="002274F8" w:rsidRPr="00A82C12">
        <w:rPr>
          <w:u w:val="none"/>
        </w:rPr>
        <w:t xml:space="preserve">that it </w:t>
      </w:r>
      <w:proofErr w:type="gramStart"/>
      <w:r w:rsidRPr="00A82C12">
        <w:rPr>
          <w:u w:val="none"/>
        </w:rPr>
        <w:t>report</w:t>
      </w:r>
      <w:proofErr w:type="gramEnd"/>
      <w:r w:rsidRPr="00A82C12">
        <w:rPr>
          <w:u w:val="none"/>
        </w:rPr>
        <w:t xml:space="preserve"> regularly the progress of its implementation </w:t>
      </w:r>
      <w:r w:rsidR="000934E6" w:rsidRPr="00A82C12">
        <w:rPr>
          <w:u w:val="none"/>
        </w:rPr>
        <w:t>from a substantive perspective</w:t>
      </w:r>
      <w:r w:rsidRPr="00A82C12">
        <w:rPr>
          <w:u w:val="none"/>
        </w:rPr>
        <w:t xml:space="preserve"> and on the use of the resources of the Fund</w:t>
      </w:r>
      <w:r w:rsidR="00EC2A76" w:rsidRPr="00A82C12">
        <w:rPr>
          <w:u w:val="none"/>
        </w:rPr>
        <w:t>,</w:t>
      </w:r>
      <w:r w:rsidRPr="00A82C12">
        <w:rPr>
          <w:u w:val="none"/>
        </w:rPr>
        <w:t xml:space="preserve"> through the established statutory reporting systems, for examination by the Committee.</w:t>
      </w:r>
    </w:p>
    <w:sectPr w:rsidR="00A07846" w:rsidRPr="00A82C12" w:rsidSect="00655736">
      <w:headerReference w:type="even" r:id="rId22"/>
      <w:headerReference w:type="default" r:id="rId23"/>
      <w:headerReference w:type="first" r:id="rId2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C936" w14:textId="77777777" w:rsidR="00685B31" w:rsidRDefault="00685B31" w:rsidP="00655736">
      <w:r>
        <w:separator/>
      </w:r>
    </w:p>
  </w:endnote>
  <w:endnote w:type="continuationSeparator" w:id="0">
    <w:p w14:paraId="51FD72A2" w14:textId="77777777" w:rsidR="00685B31" w:rsidRDefault="00685B31"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AB3C" w14:textId="77777777" w:rsidR="00685B31" w:rsidRDefault="00685B31" w:rsidP="00655736">
      <w:r>
        <w:separator/>
      </w:r>
    </w:p>
  </w:footnote>
  <w:footnote w:type="continuationSeparator" w:id="0">
    <w:p w14:paraId="1BF2AE7A" w14:textId="77777777" w:rsidR="00685B31" w:rsidRDefault="00685B31"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638A7774"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26221A">
      <w:rPr>
        <w:rFonts w:ascii="Arial" w:hAnsi="Arial" w:cs="Arial"/>
        <w:sz w:val="20"/>
        <w:szCs w:val="20"/>
        <w:lang w:val="en-GB"/>
      </w:rPr>
      <w:t>2</w:t>
    </w:r>
    <w:r w:rsidR="00CB0542">
      <w:rPr>
        <w:rFonts w:ascii="Arial" w:hAnsi="Arial" w:cs="Arial"/>
        <w:sz w:val="20"/>
        <w:szCs w:val="20"/>
        <w:lang w:val="en-GB"/>
      </w:rPr>
      <w:t>/1</w:t>
    </w:r>
    <w:r w:rsidR="0026221A">
      <w:rPr>
        <w:rFonts w:ascii="Arial" w:hAnsi="Arial" w:cs="Arial"/>
        <w:sz w:val="20"/>
        <w:szCs w:val="20"/>
        <w:lang w:val="en-GB"/>
      </w:rPr>
      <w:t>7</w:t>
    </w:r>
    <w:r w:rsidR="00EC6F8D">
      <w:rPr>
        <w:rFonts w:ascii="Arial" w:hAnsi="Arial" w:cs="Arial"/>
        <w:sz w:val="20"/>
        <w:szCs w:val="20"/>
        <w:lang w:val="en-GB"/>
      </w:rPr>
      <w:t>.COM</w:t>
    </w:r>
    <w:r w:rsidR="00D95C4C" w:rsidRPr="00C23A97">
      <w:rPr>
        <w:rFonts w:ascii="Arial" w:hAnsi="Arial" w:cs="Arial"/>
        <w:sz w:val="20"/>
        <w:szCs w:val="20"/>
        <w:lang w:val="en-GB"/>
      </w:rPr>
      <w:t>/</w:t>
    </w:r>
    <w:r w:rsidR="00A002DC">
      <w:rPr>
        <w:rFonts w:ascii="Arial" w:hAnsi="Arial" w:cs="Arial"/>
        <w:sz w:val="20"/>
        <w:szCs w:val="20"/>
        <w:lang w:val="en-GB"/>
      </w:rPr>
      <w:t>11</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4C74B9B8"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6221A">
      <w:rPr>
        <w:rFonts w:ascii="Arial" w:hAnsi="Arial" w:cs="Arial"/>
        <w:sz w:val="20"/>
        <w:szCs w:val="20"/>
        <w:lang w:val="en-GB"/>
      </w:rPr>
      <w:t>2</w:t>
    </w:r>
    <w:r w:rsidR="0053318C">
      <w:rPr>
        <w:rFonts w:ascii="Arial" w:hAnsi="Arial" w:cs="Arial"/>
        <w:sz w:val="20"/>
        <w:szCs w:val="20"/>
        <w:lang w:val="en-GB"/>
      </w:rPr>
      <w:t>/1</w:t>
    </w:r>
    <w:r w:rsidR="0026221A">
      <w:rPr>
        <w:rFonts w:ascii="Arial" w:hAnsi="Arial" w:cs="Arial"/>
        <w:sz w:val="20"/>
        <w:szCs w:val="20"/>
        <w:lang w:val="en-GB"/>
      </w:rPr>
      <w:t>7</w:t>
    </w:r>
    <w:r w:rsidR="00EC6F8D">
      <w:rPr>
        <w:rFonts w:ascii="Arial" w:hAnsi="Arial" w:cs="Arial"/>
        <w:sz w:val="20"/>
        <w:szCs w:val="20"/>
        <w:lang w:val="en-GB"/>
      </w:rPr>
      <w:t>.COM</w:t>
    </w:r>
    <w:r w:rsidR="004A34A0" w:rsidRPr="0063300C">
      <w:rPr>
        <w:rFonts w:ascii="Arial" w:hAnsi="Arial" w:cs="Arial"/>
        <w:sz w:val="20"/>
        <w:szCs w:val="20"/>
        <w:lang w:val="en-GB"/>
      </w:rPr>
      <w:t>/</w:t>
    </w:r>
    <w:r w:rsidR="00A002DC">
      <w:rPr>
        <w:rFonts w:ascii="Arial" w:hAnsi="Arial" w:cs="Arial"/>
        <w:sz w:val="20"/>
        <w:szCs w:val="20"/>
        <w:lang w:val="en-GB"/>
      </w:rPr>
      <w:t>11</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1B07BCC7">
          <wp:simplePos x="0" y="0"/>
          <wp:positionH relativeFrom="column">
            <wp:posOffset>0</wp:posOffset>
          </wp:positionH>
          <wp:positionV relativeFrom="paragraph">
            <wp:posOffset>40005</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099535AA" w:rsidR="00D95C4C" w:rsidRPr="00D7105A" w:rsidRDefault="00337CEB"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D86BB3">
      <w:rPr>
        <w:rFonts w:ascii="Arial" w:hAnsi="Arial" w:cs="Arial"/>
        <w:b/>
        <w:sz w:val="44"/>
        <w:szCs w:val="44"/>
        <w:lang w:val="pt-PT"/>
      </w:rPr>
      <w:t>7</w:t>
    </w:r>
    <w:r w:rsidR="00EC6F8D" w:rsidRPr="00D7105A">
      <w:rPr>
        <w:rFonts w:ascii="Arial" w:hAnsi="Arial" w:cs="Arial"/>
        <w:b/>
        <w:sz w:val="44"/>
        <w:szCs w:val="44"/>
        <w:lang w:val="pt-PT"/>
      </w:rPr>
      <w:t xml:space="preserve"> COM</w:t>
    </w:r>
  </w:p>
  <w:p w14:paraId="306484B8" w14:textId="11DE3345"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26221A">
      <w:rPr>
        <w:rFonts w:ascii="Arial" w:hAnsi="Arial" w:cs="Arial"/>
        <w:b/>
        <w:sz w:val="22"/>
        <w:szCs w:val="22"/>
        <w:lang w:val="pt-PT"/>
      </w:rPr>
      <w:t>2</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26221A">
      <w:rPr>
        <w:rFonts w:ascii="Arial" w:hAnsi="Arial" w:cs="Arial"/>
        <w:b/>
        <w:sz w:val="22"/>
        <w:szCs w:val="22"/>
        <w:lang w:val="pt-PT"/>
      </w:rPr>
      <w:t>7</w:t>
    </w:r>
    <w:r w:rsidR="00D95C4C" w:rsidRPr="00D7105A">
      <w:rPr>
        <w:rFonts w:ascii="Arial" w:hAnsi="Arial" w:cs="Arial"/>
        <w:b/>
        <w:sz w:val="22"/>
        <w:szCs w:val="22"/>
        <w:lang w:val="pt-PT"/>
      </w:rPr>
      <w:t>.</w:t>
    </w:r>
    <w:r w:rsidR="00EC6F8D" w:rsidRPr="00D7105A">
      <w:rPr>
        <w:rFonts w:ascii="Arial" w:hAnsi="Arial" w:cs="Arial"/>
        <w:b/>
        <w:sz w:val="22"/>
        <w:szCs w:val="22"/>
        <w:lang w:val="pt-PT"/>
      </w:rPr>
      <w:t>COM</w:t>
    </w:r>
    <w:r w:rsidR="00D95C4C" w:rsidRPr="00D7105A">
      <w:rPr>
        <w:rFonts w:ascii="Arial" w:hAnsi="Arial" w:cs="Arial"/>
        <w:b/>
        <w:sz w:val="22"/>
        <w:szCs w:val="22"/>
        <w:lang w:val="pt-PT"/>
      </w:rPr>
      <w:t>/</w:t>
    </w:r>
    <w:r w:rsidR="00053DEE">
      <w:rPr>
        <w:rFonts w:ascii="Arial" w:hAnsi="Arial" w:cs="Arial"/>
        <w:b/>
        <w:sz w:val="22"/>
        <w:szCs w:val="22"/>
        <w:lang w:val="pt-PT"/>
      </w:rPr>
      <w:t>11</w:t>
    </w:r>
  </w:p>
  <w:p w14:paraId="1B4446C3" w14:textId="67221504" w:rsidR="00D95C4C" w:rsidRPr="00D7105A"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 xml:space="preserve">Paris, </w:t>
    </w:r>
    <w:r w:rsidR="00AE4CEC">
      <w:rPr>
        <w:rFonts w:ascii="Arial" w:hAnsi="Arial" w:cs="Arial"/>
        <w:b/>
        <w:sz w:val="22"/>
        <w:szCs w:val="22"/>
        <w:lang w:val="pt-PT"/>
      </w:rPr>
      <w:t>17</w:t>
    </w:r>
    <w:r w:rsidR="00F44BD5">
      <w:rPr>
        <w:rFonts w:ascii="Arial" w:hAnsi="Arial" w:cs="Arial"/>
        <w:b/>
        <w:sz w:val="22"/>
        <w:szCs w:val="22"/>
        <w:lang w:val="pt-PT"/>
      </w:rPr>
      <w:t xml:space="preserve"> November</w:t>
    </w:r>
    <w:r w:rsidRPr="00D7105A">
      <w:rPr>
        <w:rFonts w:ascii="Arial" w:hAnsi="Arial" w:cs="Arial"/>
        <w:b/>
        <w:sz w:val="22"/>
        <w:szCs w:val="22"/>
        <w:lang w:val="pt-PT"/>
      </w:rPr>
      <w:t xml:space="preserve"> </w:t>
    </w:r>
    <w:r w:rsidR="00337CEB" w:rsidRPr="00D7105A">
      <w:rPr>
        <w:rFonts w:ascii="Arial" w:hAnsi="Arial" w:cs="Arial"/>
        <w:b/>
        <w:sz w:val="22"/>
        <w:szCs w:val="22"/>
        <w:lang w:val="pt-PT"/>
      </w:rPr>
      <w:t>20</w:t>
    </w:r>
    <w:r w:rsidR="00D7105A">
      <w:rPr>
        <w:rFonts w:ascii="Arial" w:hAnsi="Arial" w:cs="Arial"/>
        <w:b/>
        <w:sz w:val="22"/>
        <w:szCs w:val="22"/>
        <w:lang w:val="pt-PT"/>
      </w:rPr>
      <w:t>2</w:t>
    </w:r>
    <w:r w:rsidR="0026221A">
      <w:rPr>
        <w:rFonts w:ascii="Arial" w:hAnsi="Arial" w:cs="Arial"/>
        <w:b/>
        <w:sz w:val="22"/>
        <w:szCs w:val="22"/>
        <w:lang w:val="pt-PT"/>
      </w:rPr>
      <w:t>2</w:t>
    </w:r>
  </w:p>
  <w:p w14:paraId="255B57FF" w14:textId="555822C4" w:rsidR="00D95C4C" w:rsidRPr="00F32C23" w:rsidRDefault="00D95C4C" w:rsidP="00962034">
    <w:pPr>
      <w:spacing w:after="120"/>
      <w:jc w:val="right"/>
      <w:rPr>
        <w:rFonts w:ascii="Arial" w:hAnsi="Arial" w:cs="Arial"/>
        <w:b/>
        <w:sz w:val="22"/>
        <w:szCs w:val="22"/>
        <w:lang w:val="en-GB"/>
      </w:rPr>
    </w:pPr>
    <w:r w:rsidRPr="00F32C23">
      <w:rPr>
        <w:rFonts w:ascii="Arial" w:hAnsi="Arial" w:cs="Arial"/>
        <w:b/>
        <w:sz w:val="22"/>
        <w:szCs w:val="22"/>
        <w:lang w:val="en-GB"/>
      </w:rPr>
      <w:t xml:space="preserve">Original: </w:t>
    </w:r>
    <w:r w:rsidR="00053DEE">
      <w:rPr>
        <w:rFonts w:ascii="Arial" w:hAnsi="Arial" w:cs="Arial"/>
        <w:b/>
        <w:sz w:val="22"/>
        <w:szCs w:val="22"/>
        <w:lang w:val="en-GB"/>
      </w:rPr>
      <w:t>English</w:t>
    </w:r>
  </w:p>
  <w:p w14:paraId="3C4B8B1B"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FDE0B6A"/>
    <w:lvl w:ilvl="0" w:tplc="8696BC24">
      <w:start w:val="1"/>
      <w:numFmt w:val="decimal"/>
      <w:lvlText w:val="%1."/>
      <w:lvlJc w:val="left"/>
      <w:pPr>
        <w:ind w:left="6300" w:hanging="360"/>
      </w:pPr>
      <w:rPr>
        <w:rFonts w:hint="default"/>
        <w:b w:val="0"/>
        <w:bCs w:val="0"/>
        <w:color w:val="auto"/>
      </w:rPr>
    </w:lvl>
    <w:lvl w:ilvl="1" w:tplc="A1CEE956">
      <w:start w:val="1"/>
      <w:numFmt w:val="bullet"/>
      <w:lvlText w:val="-"/>
      <w:lvlJc w:val="left"/>
      <w:pPr>
        <w:ind w:left="1440" w:hanging="360"/>
      </w:pPr>
      <w:rPr>
        <w:rFonts w:ascii="Arial" w:eastAsia="Times New Roman" w:hAnsi="Arial" w:cs="Arial" w:hint="default"/>
      </w:rPr>
    </w:lvl>
    <w:lvl w:ilvl="2" w:tplc="59DCAFA2">
      <w:start w:val="9"/>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F2D50A6"/>
    <w:multiLevelType w:val="hybridMultilevel"/>
    <w:tmpl w:val="7520B6D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1"/>
  </w:num>
  <w:num w:numId="2">
    <w:abstractNumId w:val="5"/>
  </w:num>
  <w:num w:numId="3">
    <w:abstractNumId w:val="2"/>
  </w:num>
  <w:num w:numId="4">
    <w:abstractNumId w:val="13"/>
  </w:num>
  <w:num w:numId="5">
    <w:abstractNumId w:val="12"/>
  </w:num>
  <w:num w:numId="6">
    <w:abstractNumId w:val="1"/>
  </w:num>
  <w:num w:numId="7">
    <w:abstractNumId w:val="3"/>
  </w:num>
  <w:num w:numId="8">
    <w:abstractNumId w:val="10"/>
  </w:num>
  <w:num w:numId="9">
    <w:abstractNumId w:val="4"/>
  </w:num>
  <w:num w:numId="10">
    <w:abstractNumId w:val="6"/>
  </w:num>
  <w:num w:numId="11">
    <w:abstractNumId w:val="9"/>
  </w:num>
  <w:num w:numId="12">
    <w:abstractNumId w:val="7"/>
  </w:num>
  <w:num w:numId="13">
    <w:abstractNumId w:val="14"/>
  </w:num>
  <w:num w:numId="14">
    <w:abstractNumId w:val="0"/>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8"/>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lvlOverride w:ilvl="0">
      <w:startOverride w:val="1"/>
    </w:lvlOverride>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9CF"/>
    <w:rsid w:val="000048ED"/>
    <w:rsid w:val="000071C1"/>
    <w:rsid w:val="00014915"/>
    <w:rsid w:val="00030215"/>
    <w:rsid w:val="00030C0B"/>
    <w:rsid w:val="00041A66"/>
    <w:rsid w:val="00042D88"/>
    <w:rsid w:val="000502D0"/>
    <w:rsid w:val="0005176E"/>
    <w:rsid w:val="00053DEE"/>
    <w:rsid w:val="000647DD"/>
    <w:rsid w:val="00065833"/>
    <w:rsid w:val="00066EB4"/>
    <w:rsid w:val="000765F7"/>
    <w:rsid w:val="0007725F"/>
    <w:rsid w:val="00077AB7"/>
    <w:rsid w:val="00081CD8"/>
    <w:rsid w:val="00082AC0"/>
    <w:rsid w:val="000934E6"/>
    <w:rsid w:val="0009576C"/>
    <w:rsid w:val="000A5F7D"/>
    <w:rsid w:val="000A7F0E"/>
    <w:rsid w:val="000B1C8F"/>
    <w:rsid w:val="000C0D61"/>
    <w:rsid w:val="000E04C1"/>
    <w:rsid w:val="000E3E04"/>
    <w:rsid w:val="000E6F81"/>
    <w:rsid w:val="000F3A3F"/>
    <w:rsid w:val="00102557"/>
    <w:rsid w:val="00122358"/>
    <w:rsid w:val="00125FD6"/>
    <w:rsid w:val="0013439D"/>
    <w:rsid w:val="00135EA2"/>
    <w:rsid w:val="001475A9"/>
    <w:rsid w:val="001511CC"/>
    <w:rsid w:val="001562CE"/>
    <w:rsid w:val="00164D56"/>
    <w:rsid w:val="00167B10"/>
    <w:rsid w:val="0017402F"/>
    <w:rsid w:val="00175097"/>
    <w:rsid w:val="001809DD"/>
    <w:rsid w:val="00182E72"/>
    <w:rsid w:val="00190205"/>
    <w:rsid w:val="00196C1B"/>
    <w:rsid w:val="00197920"/>
    <w:rsid w:val="001B0F73"/>
    <w:rsid w:val="001C2AA5"/>
    <w:rsid w:val="001C2DB7"/>
    <w:rsid w:val="001D14FE"/>
    <w:rsid w:val="001D4D2E"/>
    <w:rsid w:val="001D5C04"/>
    <w:rsid w:val="001E0C4B"/>
    <w:rsid w:val="001F26CF"/>
    <w:rsid w:val="001F4FA9"/>
    <w:rsid w:val="00205A2A"/>
    <w:rsid w:val="002116D4"/>
    <w:rsid w:val="00217331"/>
    <w:rsid w:val="00222A2D"/>
    <w:rsid w:val="00223029"/>
    <w:rsid w:val="002274F8"/>
    <w:rsid w:val="00234745"/>
    <w:rsid w:val="002351A6"/>
    <w:rsid w:val="002407AF"/>
    <w:rsid w:val="00243433"/>
    <w:rsid w:val="00250EED"/>
    <w:rsid w:val="00254B26"/>
    <w:rsid w:val="002604EF"/>
    <w:rsid w:val="00261405"/>
    <w:rsid w:val="0026221A"/>
    <w:rsid w:val="0027466B"/>
    <w:rsid w:val="002814F6"/>
    <w:rsid w:val="002838A5"/>
    <w:rsid w:val="00285BB4"/>
    <w:rsid w:val="00285EAF"/>
    <w:rsid w:val="00292DE2"/>
    <w:rsid w:val="002959E6"/>
    <w:rsid w:val="002B2D45"/>
    <w:rsid w:val="002C09E3"/>
    <w:rsid w:val="002C3DEC"/>
    <w:rsid w:val="002C6A2C"/>
    <w:rsid w:val="002C7F01"/>
    <w:rsid w:val="002D1244"/>
    <w:rsid w:val="002E1CFA"/>
    <w:rsid w:val="00337CEB"/>
    <w:rsid w:val="00344B58"/>
    <w:rsid w:val="0034539A"/>
    <w:rsid w:val="00345CB4"/>
    <w:rsid w:val="00364BD7"/>
    <w:rsid w:val="00375D42"/>
    <w:rsid w:val="003B29C1"/>
    <w:rsid w:val="003D069C"/>
    <w:rsid w:val="003D7646"/>
    <w:rsid w:val="003E0881"/>
    <w:rsid w:val="003F113A"/>
    <w:rsid w:val="003F3E63"/>
    <w:rsid w:val="00407480"/>
    <w:rsid w:val="0041363A"/>
    <w:rsid w:val="00414643"/>
    <w:rsid w:val="004313C4"/>
    <w:rsid w:val="004421E5"/>
    <w:rsid w:val="00442C9F"/>
    <w:rsid w:val="00452284"/>
    <w:rsid w:val="0045617B"/>
    <w:rsid w:val="00457C8E"/>
    <w:rsid w:val="004650ED"/>
    <w:rsid w:val="00473C0E"/>
    <w:rsid w:val="00477495"/>
    <w:rsid w:val="004856CA"/>
    <w:rsid w:val="00487E67"/>
    <w:rsid w:val="004906B7"/>
    <w:rsid w:val="0049705E"/>
    <w:rsid w:val="004A2875"/>
    <w:rsid w:val="004A34A0"/>
    <w:rsid w:val="004C179C"/>
    <w:rsid w:val="004C7C82"/>
    <w:rsid w:val="004D15B7"/>
    <w:rsid w:val="004E43DA"/>
    <w:rsid w:val="004E7060"/>
    <w:rsid w:val="004F0408"/>
    <w:rsid w:val="005008A8"/>
    <w:rsid w:val="00500FB5"/>
    <w:rsid w:val="00507F32"/>
    <w:rsid w:val="00516EDD"/>
    <w:rsid w:val="00517FD8"/>
    <w:rsid w:val="00524BDC"/>
    <w:rsid w:val="00526B7B"/>
    <w:rsid w:val="005308CE"/>
    <w:rsid w:val="0053318C"/>
    <w:rsid w:val="00553CDE"/>
    <w:rsid w:val="00554D69"/>
    <w:rsid w:val="0057439C"/>
    <w:rsid w:val="00577B41"/>
    <w:rsid w:val="005960FA"/>
    <w:rsid w:val="005A61BD"/>
    <w:rsid w:val="005A6F62"/>
    <w:rsid w:val="005B0127"/>
    <w:rsid w:val="005B1900"/>
    <w:rsid w:val="005B7A35"/>
    <w:rsid w:val="005C4B73"/>
    <w:rsid w:val="005D1FE4"/>
    <w:rsid w:val="005E1D2B"/>
    <w:rsid w:val="005E7074"/>
    <w:rsid w:val="005F2BAF"/>
    <w:rsid w:val="00600D93"/>
    <w:rsid w:val="00614E0F"/>
    <w:rsid w:val="00626BEA"/>
    <w:rsid w:val="00632DCD"/>
    <w:rsid w:val="0063300C"/>
    <w:rsid w:val="00642828"/>
    <w:rsid w:val="00651A5B"/>
    <w:rsid w:val="00653C99"/>
    <w:rsid w:val="00654CDA"/>
    <w:rsid w:val="00655736"/>
    <w:rsid w:val="00663B8D"/>
    <w:rsid w:val="00672EB9"/>
    <w:rsid w:val="00675EB3"/>
    <w:rsid w:val="00685B31"/>
    <w:rsid w:val="00696C8D"/>
    <w:rsid w:val="00696EC6"/>
    <w:rsid w:val="006976B7"/>
    <w:rsid w:val="006A1C24"/>
    <w:rsid w:val="006A2AC2"/>
    <w:rsid w:val="006A32A0"/>
    <w:rsid w:val="006A3617"/>
    <w:rsid w:val="006B4452"/>
    <w:rsid w:val="006E46E4"/>
    <w:rsid w:val="006E75EB"/>
    <w:rsid w:val="006E7DB9"/>
    <w:rsid w:val="00715143"/>
    <w:rsid w:val="00717DA5"/>
    <w:rsid w:val="00725DB1"/>
    <w:rsid w:val="00744484"/>
    <w:rsid w:val="00747566"/>
    <w:rsid w:val="00756913"/>
    <w:rsid w:val="007660A8"/>
    <w:rsid w:val="0077245F"/>
    <w:rsid w:val="00773188"/>
    <w:rsid w:val="00783782"/>
    <w:rsid w:val="00784B8C"/>
    <w:rsid w:val="00785221"/>
    <w:rsid w:val="007879E1"/>
    <w:rsid w:val="007A5E7A"/>
    <w:rsid w:val="007C0ABB"/>
    <w:rsid w:val="007E0301"/>
    <w:rsid w:val="007E1C7C"/>
    <w:rsid w:val="007E57AA"/>
    <w:rsid w:val="007E79D5"/>
    <w:rsid w:val="007F3EA9"/>
    <w:rsid w:val="008129CF"/>
    <w:rsid w:val="0082188B"/>
    <w:rsid w:val="00823A11"/>
    <w:rsid w:val="00826FE3"/>
    <w:rsid w:val="0083406E"/>
    <w:rsid w:val="0085405E"/>
    <w:rsid w:val="0085414A"/>
    <w:rsid w:val="00857EB9"/>
    <w:rsid w:val="0086269D"/>
    <w:rsid w:val="0086543A"/>
    <w:rsid w:val="008724E5"/>
    <w:rsid w:val="008765C9"/>
    <w:rsid w:val="00884A9D"/>
    <w:rsid w:val="0088512B"/>
    <w:rsid w:val="008959A6"/>
    <w:rsid w:val="008969BE"/>
    <w:rsid w:val="008A2B2D"/>
    <w:rsid w:val="008A4E1E"/>
    <w:rsid w:val="008A6458"/>
    <w:rsid w:val="008B60B8"/>
    <w:rsid w:val="008B6250"/>
    <w:rsid w:val="008C296C"/>
    <w:rsid w:val="008D0E6C"/>
    <w:rsid w:val="008D4305"/>
    <w:rsid w:val="008E1A85"/>
    <w:rsid w:val="008E344F"/>
    <w:rsid w:val="008E3A17"/>
    <w:rsid w:val="009163A7"/>
    <w:rsid w:val="00937D53"/>
    <w:rsid w:val="00940B96"/>
    <w:rsid w:val="00944E53"/>
    <w:rsid w:val="00946D0B"/>
    <w:rsid w:val="00953379"/>
    <w:rsid w:val="00955877"/>
    <w:rsid w:val="00962034"/>
    <w:rsid w:val="00962316"/>
    <w:rsid w:val="00962881"/>
    <w:rsid w:val="00972542"/>
    <w:rsid w:val="009A18CD"/>
    <w:rsid w:val="009B1412"/>
    <w:rsid w:val="009C4833"/>
    <w:rsid w:val="009D5428"/>
    <w:rsid w:val="009D5B55"/>
    <w:rsid w:val="009F66E3"/>
    <w:rsid w:val="00A002DC"/>
    <w:rsid w:val="00A00ED2"/>
    <w:rsid w:val="00A01D61"/>
    <w:rsid w:val="00A06C21"/>
    <w:rsid w:val="00A07846"/>
    <w:rsid w:val="00A12558"/>
    <w:rsid w:val="00A13903"/>
    <w:rsid w:val="00A15D01"/>
    <w:rsid w:val="00A34ED5"/>
    <w:rsid w:val="00A43207"/>
    <w:rsid w:val="00A44B87"/>
    <w:rsid w:val="00A45DBF"/>
    <w:rsid w:val="00A5174B"/>
    <w:rsid w:val="00A55C49"/>
    <w:rsid w:val="00A725CF"/>
    <w:rsid w:val="00A755A2"/>
    <w:rsid w:val="00A76ECE"/>
    <w:rsid w:val="00A82C12"/>
    <w:rsid w:val="00A91430"/>
    <w:rsid w:val="00A92599"/>
    <w:rsid w:val="00AA590D"/>
    <w:rsid w:val="00AA6660"/>
    <w:rsid w:val="00AB2C36"/>
    <w:rsid w:val="00AB6DDE"/>
    <w:rsid w:val="00AB70B6"/>
    <w:rsid w:val="00AC02E2"/>
    <w:rsid w:val="00AC559D"/>
    <w:rsid w:val="00AD1A86"/>
    <w:rsid w:val="00AD5C46"/>
    <w:rsid w:val="00AE103E"/>
    <w:rsid w:val="00AE4CEC"/>
    <w:rsid w:val="00AF0A07"/>
    <w:rsid w:val="00AF4AEC"/>
    <w:rsid w:val="00AF625E"/>
    <w:rsid w:val="00B00DB4"/>
    <w:rsid w:val="00B02032"/>
    <w:rsid w:val="00B139BE"/>
    <w:rsid w:val="00B2172B"/>
    <w:rsid w:val="00B33651"/>
    <w:rsid w:val="00B36303"/>
    <w:rsid w:val="00B3784E"/>
    <w:rsid w:val="00B452D8"/>
    <w:rsid w:val="00B46FCB"/>
    <w:rsid w:val="00B62191"/>
    <w:rsid w:val="00B917D2"/>
    <w:rsid w:val="00BA241A"/>
    <w:rsid w:val="00BB04AF"/>
    <w:rsid w:val="00BD52C9"/>
    <w:rsid w:val="00BD6525"/>
    <w:rsid w:val="00BD774F"/>
    <w:rsid w:val="00BE6354"/>
    <w:rsid w:val="00BF09CE"/>
    <w:rsid w:val="00C07C1F"/>
    <w:rsid w:val="00C138D1"/>
    <w:rsid w:val="00C23A97"/>
    <w:rsid w:val="00C52EBE"/>
    <w:rsid w:val="00C5776D"/>
    <w:rsid w:val="00C64855"/>
    <w:rsid w:val="00C65718"/>
    <w:rsid w:val="00C70835"/>
    <w:rsid w:val="00C70EA7"/>
    <w:rsid w:val="00C7433F"/>
    <w:rsid w:val="00C7516E"/>
    <w:rsid w:val="00C75770"/>
    <w:rsid w:val="00C75997"/>
    <w:rsid w:val="00C80E49"/>
    <w:rsid w:val="00C84A4B"/>
    <w:rsid w:val="00CA0FED"/>
    <w:rsid w:val="00CA56BB"/>
    <w:rsid w:val="00CB0542"/>
    <w:rsid w:val="00CC0C07"/>
    <w:rsid w:val="00CC558F"/>
    <w:rsid w:val="00D00B2B"/>
    <w:rsid w:val="00D11BB3"/>
    <w:rsid w:val="00D24877"/>
    <w:rsid w:val="00D252F7"/>
    <w:rsid w:val="00D410EF"/>
    <w:rsid w:val="00D63318"/>
    <w:rsid w:val="00D7105A"/>
    <w:rsid w:val="00D8250F"/>
    <w:rsid w:val="00D84426"/>
    <w:rsid w:val="00D84DD9"/>
    <w:rsid w:val="00D86BB3"/>
    <w:rsid w:val="00D95C4C"/>
    <w:rsid w:val="00D96E4E"/>
    <w:rsid w:val="00DA36ED"/>
    <w:rsid w:val="00DA40DF"/>
    <w:rsid w:val="00DB7CCD"/>
    <w:rsid w:val="00DC246F"/>
    <w:rsid w:val="00DE34F1"/>
    <w:rsid w:val="00DE507F"/>
    <w:rsid w:val="00DE6160"/>
    <w:rsid w:val="00DF06CB"/>
    <w:rsid w:val="00DF0700"/>
    <w:rsid w:val="00DF4942"/>
    <w:rsid w:val="00E024AC"/>
    <w:rsid w:val="00E2125F"/>
    <w:rsid w:val="00E244E1"/>
    <w:rsid w:val="00E25650"/>
    <w:rsid w:val="00E4150C"/>
    <w:rsid w:val="00E627B1"/>
    <w:rsid w:val="00E70169"/>
    <w:rsid w:val="00E90AEE"/>
    <w:rsid w:val="00E9376C"/>
    <w:rsid w:val="00E95AE2"/>
    <w:rsid w:val="00EA0CA7"/>
    <w:rsid w:val="00EA335E"/>
    <w:rsid w:val="00EA528C"/>
    <w:rsid w:val="00EA580C"/>
    <w:rsid w:val="00EC2A76"/>
    <w:rsid w:val="00EC6F8D"/>
    <w:rsid w:val="00ED39B2"/>
    <w:rsid w:val="00EE49F4"/>
    <w:rsid w:val="00EF34E2"/>
    <w:rsid w:val="00F1405C"/>
    <w:rsid w:val="00F1685C"/>
    <w:rsid w:val="00F21375"/>
    <w:rsid w:val="00F2735F"/>
    <w:rsid w:val="00F276B7"/>
    <w:rsid w:val="00F30DC6"/>
    <w:rsid w:val="00F319BD"/>
    <w:rsid w:val="00F31F96"/>
    <w:rsid w:val="00F32C23"/>
    <w:rsid w:val="00F331A4"/>
    <w:rsid w:val="00F44BD5"/>
    <w:rsid w:val="00F53DE9"/>
    <w:rsid w:val="00F575B6"/>
    <w:rsid w:val="00F576CB"/>
    <w:rsid w:val="00F7035D"/>
    <w:rsid w:val="00F70CC5"/>
    <w:rsid w:val="00F71A02"/>
    <w:rsid w:val="00FA063B"/>
    <w:rsid w:val="00FA0D63"/>
    <w:rsid w:val="00FA5895"/>
    <w:rsid w:val="00FC004B"/>
    <w:rsid w:val="00FD1226"/>
    <w:rsid w:val="00FD48E9"/>
    <w:rsid w:val="00FE0AA2"/>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FootnoteText">
    <w:name w:val="footnote text"/>
    <w:basedOn w:val="Normal"/>
    <w:link w:val="FootnoteTextChar"/>
    <w:uiPriority w:val="99"/>
    <w:semiHidden/>
    <w:unhideWhenUsed/>
    <w:rsid w:val="004313C4"/>
    <w:rPr>
      <w:sz w:val="20"/>
      <w:szCs w:val="20"/>
    </w:rPr>
  </w:style>
  <w:style w:type="character" w:customStyle="1" w:styleId="FootnoteTextChar">
    <w:name w:val="Footnote Text Char"/>
    <w:basedOn w:val="DefaultParagraphFont"/>
    <w:link w:val="FootnoteText"/>
    <w:uiPriority w:val="99"/>
    <w:semiHidden/>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character" w:styleId="Hyperlink">
    <w:name w:val="Hyperlink"/>
    <w:basedOn w:val="DefaultParagraphFont"/>
    <w:uiPriority w:val="99"/>
    <w:rsid w:val="00632DCD"/>
    <w:rPr>
      <w:rFonts w:cs="Times New Roman"/>
      <w:color w:val="0000FF"/>
      <w:u w:val="single"/>
    </w:rPr>
  </w:style>
  <w:style w:type="character" w:styleId="UnresolvedMention">
    <w:name w:val="Unresolved Mention"/>
    <w:basedOn w:val="DefaultParagraphFont"/>
    <w:uiPriority w:val="99"/>
    <w:semiHidden/>
    <w:unhideWhenUsed/>
    <w:rsid w:val="00675EB3"/>
    <w:rPr>
      <w:color w:val="605E5C"/>
      <w:shd w:val="clear" w:color="auto" w:fill="E1DFDD"/>
    </w:rPr>
  </w:style>
  <w:style w:type="character" w:styleId="FollowedHyperlink">
    <w:name w:val="FollowedHyperlink"/>
    <w:basedOn w:val="DefaultParagraphFont"/>
    <w:uiPriority w:val="99"/>
    <w:semiHidden/>
    <w:unhideWhenUsed/>
    <w:rsid w:val="00FA063B"/>
    <w:rPr>
      <w:color w:val="800080" w:themeColor="followedHyperlink"/>
      <w:u w:val="single"/>
    </w:rPr>
  </w:style>
  <w:style w:type="paragraph" w:customStyle="1" w:styleId="GAPara">
    <w:name w:val="GA Para"/>
    <w:qFormat/>
    <w:rsid w:val="0083406E"/>
    <w:pPr>
      <w:spacing w:after="120"/>
      <w:ind w:left="720" w:hanging="360"/>
    </w:pPr>
    <w:rPr>
      <w:rFonts w:ascii="Arial" w:eastAsia="Times New Roman" w:hAnsi="Arial" w:cs="Arial"/>
      <w:snapToGrid w:val="0"/>
      <w:sz w:val="22"/>
      <w:szCs w:val="22"/>
      <w:lang w:val="en-GB" w:eastAsia="en-US"/>
    </w:rPr>
  </w:style>
  <w:style w:type="character" w:styleId="CommentReference">
    <w:name w:val="annotation reference"/>
    <w:basedOn w:val="DefaultParagraphFont"/>
    <w:uiPriority w:val="99"/>
    <w:semiHidden/>
    <w:unhideWhenUsed/>
    <w:rsid w:val="0083406E"/>
    <w:rPr>
      <w:sz w:val="16"/>
      <w:szCs w:val="16"/>
    </w:rPr>
  </w:style>
  <w:style w:type="paragraph" w:styleId="CommentText">
    <w:name w:val="annotation text"/>
    <w:basedOn w:val="Normal"/>
    <w:link w:val="CommentTextChar"/>
    <w:uiPriority w:val="99"/>
    <w:unhideWhenUsed/>
    <w:rsid w:val="0083406E"/>
    <w:rPr>
      <w:sz w:val="20"/>
      <w:szCs w:val="20"/>
    </w:rPr>
  </w:style>
  <w:style w:type="character" w:customStyle="1" w:styleId="CommentTextChar">
    <w:name w:val="Comment Text Char"/>
    <w:basedOn w:val="DefaultParagraphFont"/>
    <w:link w:val="CommentText"/>
    <w:uiPriority w:val="99"/>
    <w:rsid w:val="0083406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07C1F"/>
    <w:rPr>
      <w:b/>
      <w:bCs/>
    </w:rPr>
  </w:style>
  <w:style w:type="character" w:customStyle="1" w:styleId="CommentSubjectChar">
    <w:name w:val="Comment Subject Char"/>
    <w:basedOn w:val="CommentTextChar"/>
    <w:link w:val="CommentSubject"/>
    <w:uiPriority w:val="99"/>
    <w:semiHidden/>
    <w:rsid w:val="00C07C1F"/>
    <w:rPr>
      <w:rFonts w:ascii="Times New Roman" w:eastAsia="Times New Roman" w:hAnsi="Times New Roman"/>
      <w:b/>
      <w:bCs/>
    </w:rPr>
  </w:style>
  <w:style w:type="paragraph" w:styleId="Revision">
    <w:name w:val="Revision"/>
    <w:hidden/>
    <w:uiPriority w:val="99"/>
    <w:semiHidden/>
    <w:rsid w:val="00C07C1F"/>
    <w:rPr>
      <w:rFonts w:ascii="Times New Roman" w:eastAsia="Times New Roman" w:hAnsi="Times New Roman"/>
      <w:sz w:val="24"/>
      <w:szCs w:val="24"/>
    </w:rPr>
  </w:style>
  <w:style w:type="character" w:styleId="Strong">
    <w:name w:val="Strong"/>
    <w:basedOn w:val="DefaultParagraphFont"/>
    <w:uiPriority w:val="22"/>
    <w:qFormat/>
    <w:rsid w:val="00524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8821">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63135071">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16.COM-7.d-EN.docx" TargetMode="External"/><Relationship Id="rId13" Type="http://schemas.openxmlformats.org/officeDocument/2006/relationships/hyperlink" Target="https://ich.unesco.org/doc/src/LHE-21-16.COM-10_Rev.-EN.docx" TargetMode="External"/><Relationship Id="rId18" Type="http://schemas.openxmlformats.org/officeDocument/2006/relationships/hyperlink" Target="https://ich.unesco.org/en/Decisions/7.GA/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en/Decisions/9.GA/10" TargetMode="External"/><Relationship Id="rId7" Type="http://schemas.openxmlformats.org/officeDocument/2006/relationships/endnotes" Target="endnotes.xml"/><Relationship Id="rId12" Type="http://schemas.openxmlformats.org/officeDocument/2006/relationships/hyperlink" Target="https://ich.unesco.org/en/Decisions/16.COM/10" TargetMode="External"/><Relationship Id="rId17" Type="http://schemas.openxmlformats.org/officeDocument/2006/relationships/hyperlink" Target="https://ich.unesco.org/doc/src/53724-E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en/Decisions/7.GA/9" TargetMode="External"/><Relationship Id="rId20" Type="http://schemas.openxmlformats.org/officeDocument/2006/relationships/hyperlink" Target="https://ich.unesco.org/en/Decisions/16.COM/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7.GA/8"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en/Decisions/9.GA/10" TargetMode="External"/><Relationship Id="rId23" Type="http://schemas.openxmlformats.org/officeDocument/2006/relationships/header" Target="header2.xml"/><Relationship Id="rId10" Type="http://schemas.openxmlformats.org/officeDocument/2006/relationships/hyperlink" Target="https://ich.unesco.org/doc/src/LHE-22-9.GA-INF.10-EN.docx" TargetMode="External"/><Relationship Id="rId19" Type="http://schemas.openxmlformats.org/officeDocument/2006/relationships/hyperlink" Target="https://ich.unesco.org/en/Decisions/7.GA/8" TargetMode="External"/><Relationship Id="rId4" Type="http://schemas.openxmlformats.org/officeDocument/2006/relationships/settings" Target="settings.xml"/><Relationship Id="rId9" Type="http://schemas.openxmlformats.org/officeDocument/2006/relationships/hyperlink" Target="https://ich.unesco.org/doc/src/LHE-22-9.GA-10-EN.docx" TargetMode="External"/><Relationship Id="rId14" Type="http://schemas.openxmlformats.org/officeDocument/2006/relationships/hyperlink" Target="https://ich.unesco.org/doc/src/LHE-21-16.COM-INF.10_Rev.-EN.pdf" TargetMode="External"/><Relationship Id="rId22"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129</TotalTime>
  <Pages>5</Pages>
  <Words>2514</Words>
  <Characters>13827</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34</cp:revision>
  <cp:lastPrinted>2022-11-15T09:38:00Z</cp:lastPrinted>
  <dcterms:created xsi:type="dcterms:W3CDTF">2022-11-15T16:52:00Z</dcterms:created>
  <dcterms:modified xsi:type="dcterms:W3CDTF">2022-11-17T20:30:00Z</dcterms:modified>
</cp:coreProperties>
</file>