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195C" w14:textId="77777777" w:rsidR="00FE6112" w:rsidRDefault="009629B8" w:rsidP="00E70BA4">
      <w:pPr>
        <w:spacing w:before="1440" w:after="0"/>
        <w:jc w:val="center"/>
        <w:rPr>
          <w:rFonts w:ascii="Arial" w:hAnsi="Arial" w:cs="Arial"/>
          <w:b/>
          <w:szCs w:val="22"/>
          <w:lang w:val="fr-FR"/>
        </w:rPr>
      </w:pPr>
      <w:r w:rsidRPr="00FE6112">
        <w:rPr>
          <w:rFonts w:ascii="Arial" w:hAnsi="Arial" w:cs="Arial"/>
          <w:b/>
          <w:szCs w:val="22"/>
          <w:lang w:val="fr-FR"/>
        </w:rPr>
        <w:t>CONVENTION</w:t>
      </w:r>
      <w:r w:rsidRPr="00690982">
        <w:rPr>
          <w:rFonts w:ascii="Arial" w:hAnsi="Arial" w:cs="Arial"/>
          <w:b/>
          <w:szCs w:val="22"/>
          <w:lang w:val="fr-FR"/>
        </w:rPr>
        <w:t xml:space="preserve"> POUR LA SAUVEGARDE </w:t>
      </w:r>
      <w:r>
        <w:rPr>
          <w:rFonts w:ascii="Arial" w:hAnsi="Arial" w:cs="Arial"/>
          <w:b/>
          <w:szCs w:val="22"/>
          <w:lang w:val="fr-FR"/>
        </w:rPr>
        <w:t>DU</w:t>
      </w:r>
      <w:r w:rsidRPr="00690982">
        <w:rPr>
          <w:rFonts w:ascii="Arial" w:hAnsi="Arial" w:cs="Arial"/>
          <w:b/>
          <w:szCs w:val="22"/>
          <w:lang w:val="fr-FR"/>
        </w:rPr>
        <w:br/>
        <w:t>PATRIMOINE CULTUREL IMMATÉRIEL</w:t>
      </w:r>
    </w:p>
    <w:p w14:paraId="446239A6" w14:textId="318F6CE5" w:rsidR="009629B8" w:rsidRPr="008A5A49" w:rsidRDefault="009629B8" w:rsidP="009629B8">
      <w:pPr>
        <w:spacing w:before="840"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>
        <w:rPr>
          <w:rFonts w:ascii="Arial" w:eastAsiaTheme="minorEastAsia" w:hAnsi="Arial" w:cs="Arial"/>
          <w:b/>
          <w:szCs w:val="22"/>
          <w:lang w:val="fr-FR" w:eastAsia="ko-KR"/>
        </w:rPr>
        <w:t xml:space="preserve">Groupe de travail intergouvernemental </w:t>
      </w:r>
      <w:r w:rsidR="00216247">
        <w:rPr>
          <w:rFonts w:ascii="Arial" w:eastAsiaTheme="minorEastAsia" w:hAnsi="Arial" w:cs="Arial"/>
          <w:b/>
          <w:szCs w:val="22"/>
          <w:lang w:val="fr-FR" w:eastAsia="ko-KR"/>
        </w:rPr>
        <w:t>à composition non limitée</w:t>
      </w:r>
      <w:r w:rsidR="00216247" w:rsidRPr="00690982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Pr="00690982">
        <w:rPr>
          <w:rFonts w:ascii="Arial" w:eastAsiaTheme="minorEastAsia" w:hAnsi="Arial" w:cs="Arial"/>
          <w:b/>
          <w:szCs w:val="22"/>
          <w:lang w:val="fr-FR" w:eastAsia="ko-KR"/>
        </w:rPr>
        <w:br/>
      </w:r>
      <w:r>
        <w:rPr>
          <w:rFonts w:ascii="Arial" w:eastAsiaTheme="minorEastAsia" w:hAnsi="Arial" w:cs="Arial"/>
          <w:b/>
          <w:szCs w:val="22"/>
          <w:lang w:val="fr-FR" w:eastAsia="ko-KR"/>
        </w:rPr>
        <w:t>dans le cadre de la réflexion globale sur les mécanismes d</w:t>
      </w:r>
      <w:r w:rsidR="00FE6112">
        <w:rPr>
          <w:rFonts w:ascii="Arial" w:eastAsiaTheme="minorEastAsia" w:hAnsi="Arial" w:cs="Arial"/>
          <w:b/>
          <w:szCs w:val="22"/>
          <w:lang w:val="fr-FR" w:eastAsia="ko-KR"/>
        </w:rPr>
        <w:t>’</w:t>
      </w:r>
      <w:r>
        <w:rPr>
          <w:rFonts w:ascii="Arial" w:eastAsiaTheme="minorEastAsia" w:hAnsi="Arial" w:cs="Arial"/>
          <w:b/>
          <w:szCs w:val="22"/>
          <w:lang w:val="fr-FR" w:eastAsia="ko-KR"/>
        </w:rPr>
        <w:t xml:space="preserve">inscription </w:t>
      </w:r>
      <w:r w:rsidR="00042C41">
        <w:rPr>
          <w:rFonts w:ascii="Arial" w:eastAsiaTheme="minorEastAsia" w:hAnsi="Arial" w:cs="Arial"/>
          <w:b/>
          <w:szCs w:val="22"/>
          <w:lang w:val="fr-FR" w:eastAsia="ko-KR"/>
        </w:rPr>
        <w:t>sur les</w:t>
      </w:r>
      <w:r>
        <w:rPr>
          <w:rFonts w:ascii="Arial" w:eastAsiaTheme="minorEastAsia" w:hAnsi="Arial" w:cs="Arial"/>
          <w:b/>
          <w:szCs w:val="22"/>
          <w:lang w:val="fr-FR" w:eastAsia="ko-KR"/>
        </w:rPr>
        <w:t xml:space="preserve"> listes</w:t>
      </w:r>
      <w:r w:rsidRPr="008A5A49">
        <w:rPr>
          <w:rFonts w:ascii="Arial" w:eastAsiaTheme="minorEastAsia" w:hAnsi="Arial" w:cs="Arial" w:hint="eastAsia"/>
          <w:b/>
          <w:szCs w:val="22"/>
          <w:lang w:val="fr-FR" w:eastAsia="ko-KR"/>
        </w:rPr>
        <w:t xml:space="preserve"> </w:t>
      </w:r>
      <w:r w:rsidR="0088096B" w:rsidRPr="0088096B">
        <w:rPr>
          <w:rFonts w:ascii="Arial" w:eastAsiaTheme="minorEastAsia" w:hAnsi="Arial" w:cs="Arial"/>
          <w:b/>
          <w:szCs w:val="22"/>
          <w:lang w:val="fr-FR" w:eastAsia="ko-KR"/>
        </w:rPr>
        <w:t>de la Convention de 2003</w:t>
      </w:r>
    </w:p>
    <w:p w14:paraId="074A6DCC" w14:textId="6B2F9E9D" w:rsidR="009629B8" w:rsidRPr="008A5A49" w:rsidRDefault="009629B8" w:rsidP="00E70BA4">
      <w:pPr>
        <w:spacing w:before="840"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8A5A49">
        <w:rPr>
          <w:rFonts w:ascii="Arial" w:eastAsiaTheme="minorEastAsia" w:hAnsi="Arial" w:cs="Arial"/>
          <w:b/>
          <w:szCs w:val="22"/>
          <w:lang w:val="fr-FR" w:eastAsia="ko-KR"/>
        </w:rPr>
        <w:t>En ligne</w:t>
      </w:r>
    </w:p>
    <w:p w14:paraId="4D62F271" w14:textId="4D1DE8EF" w:rsidR="009629B8" w:rsidRPr="008A5A49" w:rsidRDefault="009629B8" w:rsidP="009629B8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690982">
        <w:rPr>
          <w:rFonts w:ascii="Arial" w:eastAsiaTheme="minorEastAsia" w:hAnsi="Arial" w:cs="Arial"/>
          <w:b/>
          <w:szCs w:val="22"/>
          <w:lang w:val="fr-FR" w:eastAsia="ko-KR"/>
        </w:rPr>
        <w:t>9</w:t>
      </w:r>
      <w:r>
        <w:rPr>
          <w:rFonts w:ascii="Arial" w:eastAsiaTheme="minorEastAsia" w:hAnsi="Arial" w:cs="Arial"/>
          <w:b/>
          <w:szCs w:val="22"/>
          <w:lang w:val="fr-FR" w:eastAsia="ko-KR"/>
        </w:rPr>
        <w:t>h</w:t>
      </w:r>
      <w:r w:rsidRPr="00690982">
        <w:rPr>
          <w:rFonts w:ascii="Arial" w:eastAsiaTheme="minorEastAsia" w:hAnsi="Arial" w:cs="Arial"/>
          <w:b/>
          <w:szCs w:val="22"/>
          <w:lang w:val="fr-FR" w:eastAsia="ko-KR"/>
        </w:rPr>
        <w:t>30 – 17</w:t>
      </w:r>
      <w:r>
        <w:rPr>
          <w:rFonts w:ascii="Arial" w:eastAsiaTheme="minorEastAsia" w:hAnsi="Arial" w:cs="Arial"/>
          <w:b/>
          <w:szCs w:val="22"/>
          <w:lang w:val="fr-FR" w:eastAsia="ko-KR"/>
        </w:rPr>
        <w:t>h</w:t>
      </w:r>
      <w:r w:rsidRPr="00690982">
        <w:rPr>
          <w:rFonts w:ascii="Arial" w:eastAsiaTheme="minorEastAsia" w:hAnsi="Arial" w:cs="Arial"/>
          <w:b/>
          <w:szCs w:val="22"/>
          <w:lang w:val="fr-FR" w:eastAsia="ko-KR"/>
        </w:rPr>
        <w:t>30 (</w:t>
      </w:r>
      <w:r>
        <w:rPr>
          <w:rFonts w:ascii="Arial" w:eastAsiaTheme="minorEastAsia" w:hAnsi="Arial" w:cs="Arial"/>
          <w:b/>
          <w:szCs w:val="22"/>
          <w:lang w:val="fr-FR" w:eastAsia="ko-KR"/>
        </w:rPr>
        <w:t xml:space="preserve">heure de </w:t>
      </w:r>
      <w:r w:rsidRPr="00690982">
        <w:rPr>
          <w:rFonts w:ascii="Arial" w:eastAsiaTheme="minorEastAsia" w:hAnsi="Arial" w:cs="Arial"/>
          <w:b/>
          <w:szCs w:val="22"/>
          <w:lang w:val="fr-FR" w:eastAsia="ko-KR"/>
        </w:rPr>
        <w:t>Paris / UTC+2)</w:t>
      </w:r>
    </w:p>
    <w:p w14:paraId="49AE707E" w14:textId="741A8B65" w:rsidR="009629B8" w:rsidRPr="0088096B" w:rsidRDefault="009629B8" w:rsidP="0088096B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r w:rsidRPr="00690982">
        <w:rPr>
          <w:rFonts w:ascii="Arial" w:eastAsiaTheme="minorEastAsia" w:hAnsi="Arial" w:cs="Arial"/>
          <w:b/>
          <w:szCs w:val="22"/>
          <w:lang w:val="fr-FR" w:eastAsia="ko-KR"/>
        </w:rPr>
        <w:t xml:space="preserve">9 </w:t>
      </w:r>
      <w:r>
        <w:rPr>
          <w:rFonts w:ascii="Arial" w:eastAsiaTheme="minorEastAsia" w:hAnsi="Arial" w:cs="Arial"/>
          <w:b/>
          <w:szCs w:val="22"/>
          <w:lang w:val="fr-FR" w:eastAsia="ko-KR"/>
        </w:rPr>
        <w:t xml:space="preserve">et 10 septembre </w:t>
      </w:r>
      <w:r w:rsidRPr="00690982">
        <w:rPr>
          <w:rFonts w:ascii="Arial" w:hAnsi="Arial" w:cs="Arial"/>
          <w:b/>
          <w:szCs w:val="22"/>
          <w:lang w:val="fr-FR"/>
        </w:rPr>
        <w:t>2021 (Part</w:t>
      </w:r>
      <w:r>
        <w:rPr>
          <w:rFonts w:ascii="Arial" w:hAnsi="Arial" w:cs="Arial"/>
          <w:b/>
          <w:szCs w:val="22"/>
          <w:lang w:val="fr-FR"/>
        </w:rPr>
        <w:t xml:space="preserve">ie </w:t>
      </w:r>
      <w:r w:rsidRPr="00690982">
        <w:rPr>
          <w:rFonts w:ascii="Arial" w:hAnsi="Arial" w:cs="Arial"/>
          <w:b/>
          <w:szCs w:val="22"/>
          <w:lang w:val="fr-FR"/>
        </w:rPr>
        <w:t>II)</w:t>
      </w:r>
    </w:p>
    <w:p w14:paraId="3D6FA824" w14:textId="596C4C4A" w:rsidR="00F232C8" w:rsidRPr="00690982" w:rsidRDefault="00F232C8" w:rsidP="00E70BA4">
      <w:pPr>
        <w:pStyle w:val="Sansinterligne2"/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Pr="00690982">
        <w:rPr>
          <w:rFonts w:ascii="Arial" w:hAnsi="Arial" w:cs="Arial"/>
          <w:b/>
          <w:sz w:val="22"/>
          <w:szCs w:val="22"/>
          <w:u w:val="single"/>
        </w:rPr>
        <w:t xml:space="preserve">6 </w:t>
      </w:r>
      <w:r>
        <w:rPr>
          <w:rFonts w:ascii="Arial" w:hAnsi="Arial" w:cs="Arial"/>
          <w:b/>
          <w:sz w:val="22"/>
          <w:szCs w:val="22"/>
          <w:u w:val="single"/>
        </w:rPr>
        <w:t>de l</w:t>
      </w:r>
      <w:r w:rsidR="00FE6112">
        <w:rPr>
          <w:rFonts w:ascii="Arial" w:hAnsi="Arial" w:cs="Arial"/>
          <w:b/>
          <w:sz w:val="22"/>
          <w:szCs w:val="22"/>
          <w:u w:val="single"/>
        </w:rPr>
        <w:t>’o</w:t>
      </w:r>
      <w:r>
        <w:rPr>
          <w:rFonts w:ascii="Arial" w:hAnsi="Arial" w:cs="Arial"/>
          <w:b/>
          <w:sz w:val="22"/>
          <w:szCs w:val="22"/>
          <w:u w:val="single"/>
        </w:rPr>
        <w:t>rdre du jour </w:t>
      </w:r>
      <w:r w:rsidRPr="00690982">
        <w:rPr>
          <w:rFonts w:ascii="Arial" w:hAnsi="Arial" w:cs="Arial"/>
          <w:b/>
          <w:sz w:val="22"/>
          <w:szCs w:val="22"/>
        </w:rPr>
        <w:t>:</w:t>
      </w:r>
    </w:p>
    <w:p w14:paraId="7F925274" w14:textId="11D12423" w:rsidR="00F232C8" w:rsidRPr="00690982" w:rsidRDefault="00F232C8" w:rsidP="008F31BE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 un système réformé d</w:t>
      </w:r>
      <w:r w:rsidR="00FE6112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>inscription</w:t>
      </w:r>
      <w:r w:rsidR="00042C41">
        <w:rPr>
          <w:rFonts w:ascii="Arial" w:hAnsi="Arial" w:cs="Arial"/>
          <w:b/>
          <w:sz w:val="22"/>
          <w:szCs w:val="22"/>
        </w:rPr>
        <w:t xml:space="preserve"> sur les </w:t>
      </w:r>
      <w:r>
        <w:rPr>
          <w:rFonts w:ascii="Arial" w:hAnsi="Arial" w:cs="Arial"/>
          <w:b/>
          <w:sz w:val="22"/>
          <w:szCs w:val="22"/>
        </w:rPr>
        <w:t xml:space="preserve">listes </w:t>
      </w:r>
      <w:r w:rsidRPr="00690982">
        <w:rPr>
          <w:rFonts w:ascii="Arial" w:hAnsi="Arial" w:cs="Arial"/>
          <w:b/>
          <w:sz w:val="22"/>
          <w:szCs w:val="22"/>
        </w:rPr>
        <w:t>(Part</w:t>
      </w:r>
      <w:r>
        <w:rPr>
          <w:rFonts w:ascii="Arial" w:hAnsi="Arial" w:cs="Arial"/>
          <w:b/>
          <w:sz w:val="22"/>
          <w:szCs w:val="22"/>
        </w:rPr>
        <w:t>ie</w:t>
      </w:r>
      <w:r w:rsidRPr="00690982">
        <w:rPr>
          <w:rFonts w:ascii="Arial" w:hAnsi="Arial" w:cs="Arial"/>
          <w:b/>
          <w:sz w:val="22"/>
          <w:szCs w:val="22"/>
        </w:rPr>
        <w:t xml:space="preserve"> II)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982">
        <w:rPr>
          <w:rFonts w:ascii="Arial" w:hAnsi="Arial" w:cs="Arial"/>
          <w:b/>
          <w:sz w:val="22"/>
          <w:szCs w:val="22"/>
        </w:rPr>
        <w:t xml:space="preserve">: </w:t>
      </w:r>
      <w:r w:rsidRPr="00042C41">
        <w:rPr>
          <w:rFonts w:ascii="Arial" w:hAnsi="Arial" w:cs="Arial"/>
          <w:b/>
          <w:sz w:val="22"/>
          <w:szCs w:val="22"/>
        </w:rPr>
        <w:t>transfert, retrait et extension d</w:t>
      </w:r>
      <w:r w:rsidR="00FE6112">
        <w:rPr>
          <w:rFonts w:ascii="Arial" w:hAnsi="Arial" w:cs="Arial"/>
          <w:b/>
          <w:sz w:val="22"/>
          <w:szCs w:val="22"/>
        </w:rPr>
        <w:t>’</w:t>
      </w:r>
      <w:r w:rsidRPr="00042C41">
        <w:rPr>
          <w:rFonts w:ascii="Arial" w:hAnsi="Arial" w:cs="Arial"/>
          <w:b/>
          <w:sz w:val="22"/>
          <w:szCs w:val="22"/>
        </w:rPr>
        <w:t xml:space="preserve">éléments inscrits </w:t>
      </w:r>
      <w:r w:rsidR="00042C41" w:rsidRPr="00042C41">
        <w:rPr>
          <w:rFonts w:ascii="Arial" w:hAnsi="Arial" w:cs="Arial"/>
          <w:b/>
          <w:sz w:val="22"/>
          <w:szCs w:val="22"/>
        </w:rPr>
        <w:t xml:space="preserve">sur les </w:t>
      </w:r>
      <w:r w:rsidRPr="00042C41">
        <w:rPr>
          <w:rFonts w:ascii="Arial" w:hAnsi="Arial" w:cs="Arial"/>
          <w:b/>
          <w:sz w:val="22"/>
          <w:szCs w:val="22"/>
        </w:rPr>
        <w:t>Listes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232C8" w:rsidRPr="005418AB" w14:paraId="34C089D8" w14:textId="77777777" w:rsidTr="00C8346B">
        <w:trPr>
          <w:jc w:val="center"/>
        </w:trPr>
        <w:tc>
          <w:tcPr>
            <w:tcW w:w="5670" w:type="dxa"/>
            <w:vAlign w:val="center"/>
          </w:tcPr>
          <w:p w14:paraId="214D7CFC" w14:textId="0440A4A2" w:rsidR="00F232C8" w:rsidRPr="00690982" w:rsidRDefault="0008673A" w:rsidP="00216247">
            <w:pPr>
              <w:pStyle w:val="Sansinterligne2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0982">
              <w:rPr>
                <w:rFonts w:ascii="Arial" w:hAnsi="Arial" w:cs="Arial"/>
                <w:bCs/>
                <w:sz w:val="22"/>
                <w:szCs w:val="22"/>
              </w:rPr>
              <w:t>À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 la fin de la Partie I de sa réunion (en ligne, les 8 et 9</w:t>
            </w:r>
            <w:r w:rsidR="00D85F40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juillet 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2021),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le groupe de travail </w:t>
            </w:r>
            <w:r w:rsidR="00216247" w:rsidRPr="00690982">
              <w:rPr>
                <w:rFonts w:ascii="Arial" w:hAnsi="Arial" w:cs="Arial"/>
                <w:bCs/>
                <w:sz w:val="22"/>
                <w:szCs w:val="22"/>
              </w:rPr>
              <w:t>intergo</w:t>
            </w:r>
            <w:r w:rsidR="00216247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216247" w:rsidRPr="00690982">
              <w:rPr>
                <w:rFonts w:ascii="Arial" w:hAnsi="Arial" w:cs="Arial"/>
                <w:bCs/>
                <w:sz w:val="22"/>
                <w:szCs w:val="22"/>
              </w:rPr>
              <w:t>vern</w:t>
            </w:r>
            <w:r w:rsidR="0021624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216247" w:rsidRPr="00690982">
              <w:rPr>
                <w:rFonts w:ascii="Arial" w:hAnsi="Arial" w:cs="Arial"/>
                <w:bCs/>
                <w:sz w:val="22"/>
                <w:szCs w:val="22"/>
              </w:rPr>
              <w:t>mental</w:t>
            </w:r>
            <w:r w:rsidR="00216247" w:rsidRPr="00216247">
              <w:rPr>
                <w:rFonts w:ascii="Arial" w:hAnsi="Arial" w:cs="Arial"/>
                <w:bCs/>
                <w:sz w:val="22"/>
                <w:szCs w:val="22"/>
              </w:rPr>
              <w:t xml:space="preserve"> à composition non limitée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a décidé de continuer à discuter, lors de </w:t>
            </w:r>
            <w:r w:rsidR="00E5069D">
              <w:rPr>
                <w:rFonts w:ascii="Arial" w:hAnsi="Arial" w:cs="Arial"/>
                <w:bCs/>
                <w:sz w:val="22"/>
                <w:szCs w:val="22"/>
              </w:rPr>
              <w:t xml:space="preserve">la Partie II de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sa réunion</w:t>
            </w:r>
            <w:r w:rsidR="00E5069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des 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>proc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dures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de transfert et de retrait d</w:t>
            </w:r>
            <w:r w:rsidR="00FE6112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éléments des Listes de la C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onvention,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et de la 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>proc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dure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FE6112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>inscription</w:t>
            </w:r>
            <w:r w:rsidR="00E5069D">
              <w:rPr>
                <w:rFonts w:ascii="Arial" w:hAnsi="Arial" w:cs="Arial"/>
                <w:bCs/>
                <w:sz w:val="22"/>
                <w:szCs w:val="22"/>
              </w:rPr>
              <w:t xml:space="preserve"> élargie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E5069D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éléments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 xml:space="preserve">Le 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>document</w:t>
            </w:r>
            <w:r w:rsidR="00FE6112">
              <w:rPr>
                <w:rFonts w:ascii="Arial" w:hAnsi="Arial" w:cs="Arial"/>
                <w:bCs/>
                <w:sz w:val="22"/>
                <w:szCs w:val="22"/>
              </w:rPr>
              <w:t xml:space="preserve"> présent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32C8">
              <w:rPr>
                <w:rFonts w:ascii="Arial" w:hAnsi="Arial" w:cs="Arial"/>
                <w:bCs/>
                <w:sz w:val="22"/>
                <w:szCs w:val="22"/>
              </w:rPr>
              <w:t>contient des propositions et des informations supplémentaires concernant ces trois thèmes</w:t>
            </w:r>
            <w:r w:rsidR="00F232C8" w:rsidRPr="0069098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974E315" w14:textId="77777777" w:rsidR="00F232C8" w:rsidRPr="00690982" w:rsidRDefault="00F232C8" w:rsidP="00F232C8">
      <w:pPr>
        <w:spacing w:after="0"/>
        <w:rPr>
          <w:rFonts w:ascii="Arial" w:hAnsi="Arial" w:cs="Arial"/>
          <w:b/>
          <w:bCs/>
          <w:snapToGrid w:val="0"/>
          <w:szCs w:val="22"/>
          <w:lang w:val="fr-FR" w:eastAsia="en-US"/>
        </w:rPr>
      </w:pPr>
      <w:r w:rsidRPr="00690982">
        <w:rPr>
          <w:b/>
          <w:bCs/>
          <w:lang w:val="fr-FR"/>
        </w:rPr>
        <w:br w:type="page"/>
      </w:r>
    </w:p>
    <w:p w14:paraId="74387EA2" w14:textId="77777777" w:rsidR="00F232C8" w:rsidRPr="00690982" w:rsidRDefault="00F232C8" w:rsidP="00F232C8">
      <w:pPr>
        <w:pStyle w:val="1GAPara"/>
        <w:numPr>
          <w:ilvl w:val="0"/>
          <w:numId w:val="0"/>
        </w:numPr>
        <w:ind w:left="567" w:hanging="567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Contexte </w:t>
      </w:r>
    </w:p>
    <w:p w14:paraId="365EFD2C" w14:textId="19DF392C" w:rsidR="00F232C8" w:rsidRPr="00690982" w:rsidRDefault="00F232C8" w:rsidP="00DE16E9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>La nécessité d</w:t>
      </w:r>
      <w:r w:rsidR="00FE6112">
        <w:rPr>
          <w:lang w:val="fr-FR"/>
        </w:rPr>
        <w:t>’</w:t>
      </w:r>
      <w:r>
        <w:rPr>
          <w:lang w:val="fr-FR"/>
        </w:rPr>
        <w:t>une réflexion globale sur les mécanismes d</w:t>
      </w:r>
      <w:r w:rsidR="00FE6112">
        <w:rPr>
          <w:lang w:val="fr-FR"/>
        </w:rPr>
        <w:t>’</w:t>
      </w:r>
      <w:r>
        <w:rPr>
          <w:lang w:val="fr-FR"/>
        </w:rPr>
        <w:t xml:space="preserve">inscription </w:t>
      </w:r>
      <w:r w:rsidR="00042C41">
        <w:rPr>
          <w:lang w:val="fr-FR"/>
        </w:rPr>
        <w:t>sur les</w:t>
      </w:r>
      <w:r>
        <w:rPr>
          <w:lang w:val="fr-FR"/>
        </w:rPr>
        <w:t xml:space="preserve"> listes de la </w:t>
      </w:r>
      <w:r w:rsidRPr="00690982">
        <w:rPr>
          <w:lang w:val="fr-FR"/>
        </w:rPr>
        <w:t>Convention</w:t>
      </w:r>
      <w:r>
        <w:rPr>
          <w:lang w:val="fr-FR"/>
        </w:rPr>
        <w:t xml:space="preserve"> est apparue suite</w:t>
      </w:r>
      <w:r w:rsidR="00C8346B">
        <w:rPr>
          <w:lang w:val="fr-FR"/>
        </w:rPr>
        <w:t xml:space="preserve"> à</w:t>
      </w:r>
      <w:r w:rsidR="00097B39">
        <w:rPr>
          <w:lang w:val="fr-FR"/>
        </w:rPr>
        <w:t xml:space="preserve"> </w:t>
      </w:r>
      <w:r>
        <w:rPr>
          <w:lang w:val="fr-FR"/>
        </w:rPr>
        <w:t>l</w:t>
      </w:r>
      <w:r w:rsidR="00FE6112">
        <w:rPr>
          <w:lang w:val="fr-FR"/>
        </w:rPr>
        <w:t>’</w:t>
      </w:r>
      <w:r>
        <w:rPr>
          <w:lang w:val="fr-FR"/>
        </w:rPr>
        <w:t>examen par le Comité, lors de sa douzième session en 2017, d</w:t>
      </w:r>
      <w:r w:rsidR="00FE6112">
        <w:rPr>
          <w:lang w:val="fr-FR"/>
        </w:rPr>
        <w:t>’</w:t>
      </w:r>
      <w:r>
        <w:rPr>
          <w:lang w:val="fr-FR"/>
        </w:rPr>
        <w:t>une première demande de transfert d</w:t>
      </w:r>
      <w:r w:rsidR="00FE6112">
        <w:rPr>
          <w:lang w:val="fr-FR"/>
        </w:rPr>
        <w:t>’</w:t>
      </w:r>
      <w:r>
        <w:rPr>
          <w:lang w:val="fr-FR"/>
        </w:rPr>
        <w:t xml:space="preserve">un élément depuis la </w:t>
      </w:r>
      <w:r w:rsidRPr="00213C7D">
        <w:rPr>
          <w:lang w:val="fr-FR"/>
        </w:rPr>
        <w:t xml:space="preserve">Liste </w:t>
      </w:r>
      <w:r w:rsidR="008F31BE">
        <w:rPr>
          <w:lang w:val="fr-FR"/>
        </w:rPr>
        <w:t>de</w:t>
      </w:r>
      <w:r w:rsidRPr="00213C7D">
        <w:rPr>
          <w:lang w:val="fr-FR"/>
        </w:rPr>
        <w:t xml:space="preserve"> sauvegarde urgente </w:t>
      </w:r>
      <w:r>
        <w:rPr>
          <w:lang w:val="fr-FR"/>
        </w:rPr>
        <w:t xml:space="preserve">vers la </w:t>
      </w:r>
      <w:r w:rsidRPr="00213C7D">
        <w:rPr>
          <w:lang w:val="fr-FR"/>
        </w:rPr>
        <w:t xml:space="preserve">Liste représentative </w:t>
      </w:r>
      <w:r w:rsidRPr="00690982">
        <w:rPr>
          <w:lang w:val="fr-FR"/>
        </w:rPr>
        <w:t>(</w:t>
      </w:r>
      <w:r w:rsidR="007806BB">
        <w:rPr>
          <w:lang w:val="fr-FR"/>
        </w:rPr>
        <w:t>D</w:t>
      </w:r>
      <w:r w:rsidRPr="008F31BE">
        <w:rPr>
          <w:lang w:val="fr-FR"/>
        </w:rPr>
        <w:t xml:space="preserve">écisions </w:t>
      </w:r>
      <w:hyperlink r:id="rId8" w:history="1">
        <w:r w:rsidRPr="008F31BE">
          <w:rPr>
            <w:rStyle w:val="Lienhypertexte"/>
            <w:lang w:val="fr-FR"/>
          </w:rPr>
          <w:t>12.COM 11</w:t>
        </w:r>
      </w:hyperlink>
      <w:r w:rsidRPr="00690982">
        <w:rPr>
          <w:lang w:val="fr-FR"/>
        </w:rPr>
        <w:t xml:space="preserve"> </w:t>
      </w:r>
      <w:r>
        <w:rPr>
          <w:lang w:val="fr-FR"/>
        </w:rPr>
        <w:t>et</w:t>
      </w:r>
      <w:r w:rsidRPr="00690982">
        <w:rPr>
          <w:lang w:val="fr-FR"/>
        </w:rPr>
        <w:t xml:space="preserve"> </w:t>
      </w:r>
      <w:hyperlink r:id="rId9" w:history="1">
        <w:r w:rsidRPr="00690982">
          <w:rPr>
            <w:rStyle w:val="Lienhypertexte"/>
            <w:lang w:val="fr-FR"/>
          </w:rPr>
          <w:t>12.COM 11.c</w:t>
        </w:r>
      </w:hyperlink>
      <w:r w:rsidRPr="00690982">
        <w:rPr>
          <w:lang w:val="fr-FR"/>
        </w:rPr>
        <w:t>)</w:t>
      </w:r>
      <w:r w:rsidR="008F31BE">
        <w:rPr>
          <w:lang w:val="fr-FR"/>
        </w:rPr>
        <w:t>, ainsi que</w:t>
      </w:r>
      <w:r w:rsidR="00C8346B">
        <w:rPr>
          <w:lang w:val="fr-FR"/>
        </w:rPr>
        <w:t xml:space="preserve"> </w:t>
      </w:r>
      <w:r>
        <w:rPr>
          <w:lang w:val="fr-FR"/>
        </w:rPr>
        <w:t xml:space="preserve">lors de sa quatorzième session en </w:t>
      </w:r>
      <w:r w:rsidRPr="00690982">
        <w:rPr>
          <w:lang w:val="fr-FR"/>
        </w:rPr>
        <w:t>2019 (</w:t>
      </w:r>
      <w:r w:rsidR="007806BB">
        <w:rPr>
          <w:lang w:val="fr-FR"/>
        </w:rPr>
        <w:t>D</w:t>
      </w:r>
      <w:r>
        <w:rPr>
          <w:lang w:val="fr-FR"/>
        </w:rPr>
        <w:t>é</w:t>
      </w:r>
      <w:r w:rsidRPr="00690982">
        <w:rPr>
          <w:lang w:val="fr-FR"/>
        </w:rPr>
        <w:t>cision</w:t>
      </w:r>
      <w:r>
        <w:rPr>
          <w:lang w:val="fr-FR"/>
        </w:rPr>
        <w:t>s</w:t>
      </w:r>
      <w:r w:rsidRPr="00690982">
        <w:rPr>
          <w:lang w:val="fr-FR"/>
        </w:rPr>
        <w:t xml:space="preserve"> </w:t>
      </w:r>
      <w:hyperlink r:id="rId10" w:history="1">
        <w:r w:rsidRPr="00690982">
          <w:rPr>
            <w:rStyle w:val="Lienhypertexte"/>
            <w:lang w:val="fr-FR"/>
          </w:rPr>
          <w:t>14.COM 12</w:t>
        </w:r>
      </w:hyperlink>
      <w:r w:rsidRPr="00690982">
        <w:rPr>
          <w:lang w:val="fr-FR"/>
        </w:rPr>
        <w:t xml:space="preserve"> </w:t>
      </w:r>
      <w:r>
        <w:rPr>
          <w:lang w:val="fr-FR"/>
        </w:rPr>
        <w:t>et</w:t>
      </w:r>
      <w:r w:rsidRPr="00690982">
        <w:rPr>
          <w:lang w:val="fr-FR"/>
        </w:rPr>
        <w:t xml:space="preserve"> </w:t>
      </w:r>
      <w:hyperlink r:id="rId11" w:history="1">
        <w:r w:rsidRPr="00690982">
          <w:rPr>
            <w:rStyle w:val="Lienhypertexte"/>
            <w:lang w:val="fr-FR"/>
          </w:rPr>
          <w:t>14.COM 14</w:t>
        </w:r>
      </w:hyperlink>
      <w:r w:rsidRPr="00690982">
        <w:rPr>
          <w:lang w:val="fr-FR"/>
        </w:rPr>
        <w:t>)</w:t>
      </w:r>
      <w:r w:rsidR="0030118F">
        <w:rPr>
          <w:lang w:val="fr-FR"/>
        </w:rPr>
        <w:t xml:space="preserve">, </w:t>
      </w:r>
      <w:r w:rsidR="0039451D">
        <w:rPr>
          <w:lang w:val="fr-FR"/>
        </w:rPr>
        <w:t>au</w:t>
      </w:r>
      <w:r w:rsidR="0030118F">
        <w:rPr>
          <w:lang w:val="fr-FR"/>
        </w:rPr>
        <w:t xml:space="preserve"> premier retrait d</w:t>
      </w:r>
      <w:r w:rsidR="00FE6112">
        <w:rPr>
          <w:lang w:val="fr-FR"/>
        </w:rPr>
        <w:t>’</w:t>
      </w:r>
      <w:r w:rsidR="0030118F">
        <w:rPr>
          <w:lang w:val="fr-FR"/>
        </w:rPr>
        <w:t xml:space="preserve">un élément inscrit </w:t>
      </w:r>
      <w:r w:rsidR="0039451D">
        <w:rPr>
          <w:lang w:val="fr-FR"/>
        </w:rPr>
        <w:t>sur</w:t>
      </w:r>
      <w:r w:rsidR="0030118F">
        <w:rPr>
          <w:lang w:val="fr-FR"/>
        </w:rPr>
        <w:t xml:space="preserve"> la </w:t>
      </w:r>
      <w:r w:rsidR="0030118F" w:rsidRPr="00213C7D">
        <w:rPr>
          <w:lang w:val="fr-FR"/>
        </w:rPr>
        <w:t>Liste représentative</w:t>
      </w:r>
      <w:r w:rsidRPr="00690982">
        <w:rPr>
          <w:lang w:val="fr-FR"/>
        </w:rPr>
        <w:t xml:space="preserve">. </w:t>
      </w:r>
      <w:r>
        <w:rPr>
          <w:lang w:val="fr-FR"/>
        </w:rPr>
        <w:t xml:space="preserve">Dans la Partie </w:t>
      </w:r>
      <w:r w:rsidRPr="00690982">
        <w:rPr>
          <w:lang w:val="fr-FR"/>
        </w:rPr>
        <w:t xml:space="preserve">I </w:t>
      </w:r>
      <w:r>
        <w:rPr>
          <w:lang w:val="fr-FR"/>
        </w:rPr>
        <w:t xml:space="preserve">de sa réunion </w:t>
      </w:r>
      <w:r w:rsidRPr="00690982">
        <w:rPr>
          <w:lang w:val="fr-FR"/>
        </w:rPr>
        <w:t>(</w:t>
      </w:r>
      <w:r>
        <w:rPr>
          <w:lang w:val="fr-FR"/>
        </w:rPr>
        <w:t>en ligne</w:t>
      </w:r>
      <w:r w:rsidRPr="00690982">
        <w:rPr>
          <w:lang w:val="fr-FR"/>
        </w:rPr>
        <w:t xml:space="preserve">, 8 </w:t>
      </w:r>
      <w:r>
        <w:rPr>
          <w:lang w:val="fr-FR"/>
        </w:rPr>
        <w:t>et</w:t>
      </w:r>
      <w:r w:rsidRPr="00690982">
        <w:rPr>
          <w:lang w:val="fr-FR"/>
        </w:rPr>
        <w:t xml:space="preserve"> 9 </w:t>
      </w:r>
      <w:r>
        <w:rPr>
          <w:lang w:val="fr-FR"/>
        </w:rPr>
        <w:t xml:space="preserve">juillet </w:t>
      </w:r>
      <w:r w:rsidRPr="00690982">
        <w:rPr>
          <w:lang w:val="fr-FR"/>
        </w:rPr>
        <w:t xml:space="preserve">2021), </w:t>
      </w:r>
      <w:r>
        <w:rPr>
          <w:lang w:val="fr-FR"/>
        </w:rPr>
        <w:t xml:space="preserve">le </w:t>
      </w:r>
      <w:r w:rsidR="0039451D">
        <w:rPr>
          <w:lang w:val="fr-FR"/>
        </w:rPr>
        <w:t>g</w:t>
      </w:r>
      <w:r>
        <w:rPr>
          <w:lang w:val="fr-FR"/>
        </w:rPr>
        <w:t xml:space="preserve">roupe de travail </w:t>
      </w:r>
      <w:r w:rsidRPr="00690982">
        <w:rPr>
          <w:lang w:val="fr-FR"/>
        </w:rPr>
        <w:t>intergo</w:t>
      </w:r>
      <w:r>
        <w:rPr>
          <w:lang w:val="fr-FR"/>
        </w:rPr>
        <w:t>u</w:t>
      </w:r>
      <w:r w:rsidRPr="00690982">
        <w:rPr>
          <w:lang w:val="fr-FR"/>
        </w:rPr>
        <w:t>vern</w:t>
      </w:r>
      <w:r>
        <w:rPr>
          <w:lang w:val="fr-FR"/>
        </w:rPr>
        <w:t>e</w:t>
      </w:r>
      <w:r w:rsidRPr="00690982">
        <w:rPr>
          <w:lang w:val="fr-FR"/>
        </w:rPr>
        <w:t xml:space="preserve">mental </w:t>
      </w:r>
      <w:r w:rsidR="00216247">
        <w:rPr>
          <w:lang w:val="fr-FR"/>
        </w:rPr>
        <w:t>à composition non limitée</w:t>
      </w:r>
      <w:r>
        <w:rPr>
          <w:lang w:val="fr-FR"/>
        </w:rPr>
        <w:t xml:space="preserve"> </w:t>
      </w:r>
      <w:r w:rsidRPr="00690982">
        <w:rPr>
          <w:lang w:val="fr-FR"/>
        </w:rPr>
        <w:t>(</w:t>
      </w:r>
      <w:r>
        <w:rPr>
          <w:lang w:val="fr-FR"/>
        </w:rPr>
        <w:t>ci-après « le groupe de travail »</w:t>
      </w:r>
      <w:r w:rsidRPr="00690982">
        <w:rPr>
          <w:lang w:val="fr-FR"/>
        </w:rPr>
        <w:t xml:space="preserve">) </w:t>
      </w:r>
      <w:r>
        <w:rPr>
          <w:lang w:val="fr-FR"/>
        </w:rPr>
        <w:t xml:space="preserve">a identifié plusieurs </w:t>
      </w:r>
      <w:r w:rsidR="00D85F40">
        <w:rPr>
          <w:lang w:val="fr-FR"/>
        </w:rPr>
        <w:t>questions</w:t>
      </w:r>
      <w:r>
        <w:rPr>
          <w:lang w:val="fr-FR"/>
        </w:rPr>
        <w:t xml:space="preserve"> qui </w:t>
      </w:r>
      <w:r w:rsidR="00D85F40">
        <w:rPr>
          <w:lang w:val="fr-FR"/>
        </w:rPr>
        <w:t>feront l’objet de discussions</w:t>
      </w:r>
      <w:r>
        <w:rPr>
          <w:lang w:val="fr-FR"/>
        </w:rPr>
        <w:t xml:space="preserve"> dans la Partie II de sa réunion (voir le </w:t>
      </w:r>
      <w:r w:rsidRPr="00690982">
        <w:rPr>
          <w:lang w:val="fr-FR"/>
        </w:rPr>
        <w:t>paragraph</w:t>
      </w:r>
      <w:r>
        <w:rPr>
          <w:lang w:val="fr-FR"/>
        </w:rPr>
        <w:t>e</w:t>
      </w:r>
      <w:r w:rsidRPr="00690982">
        <w:rPr>
          <w:lang w:val="fr-FR"/>
        </w:rPr>
        <w:t xml:space="preserve"> 12 </w:t>
      </w:r>
      <w:r>
        <w:rPr>
          <w:lang w:val="fr-FR"/>
        </w:rPr>
        <w:t xml:space="preserve">des </w:t>
      </w:r>
      <w:hyperlink r:id="rId12" w:history="1">
        <w:r w:rsidRPr="00690982">
          <w:rPr>
            <w:rStyle w:val="Lienhypertexte"/>
            <w:lang w:val="fr-FR"/>
          </w:rPr>
          <w:t>Recomm</w:t>
        </w:r>
        <w:r>
          <w:rPr>
            <w:rStyle w:val="Lienhypertexte"/>
            <w:lang w:val="fr-FR"/>
          </w:rPr>
          <w:t>a</w:t>
        </w:r>
        <w:r w:rsidRPr="00690982">
          <w:rPr>
            <w:rStyle w:val="Lienhypertexte"/>
            <w:lang w:val="fr-FR"/>
          </w:rPr>
          <w:t xml:space="preserve">ndations </w:t>
        </w:r>
        <w:r>
          <w:rPr>
            <w:rStyle w:val="Lienhypertexte"/>
            <w:lang w:val="fr-FR"/>
          </w:rPr>
          <w:t xml:space="preserve">de la </w:t>
        </w:r>
        <w:r w:rsidRPr="00690982">
          <w:rPr>
            <w:rStyle w:val="Lienhypertexte"/>
            <w:lang w:val="fr-FR"/>
          </w:rPr>
          <w:t>Part</w:t>
        </w:r>
        <w:r>
          <w:rPr>
            <w:rStyle w:val="Lienhypertexte"/>
            <w:lang w:val="fr-FR"/>
          </w:rPr>
          <w:t>ie</w:t>
        </w:r>
        <w:r w:rsidRPr="00690982">
          <w:rPr>
            <w:rStyle w:val="Lienhypertexte"/>
            <w:lang w:val="fr-FR"/>
          </w:rPr>
          <w:t xml:space="preserve"> I </w:t>
        </w:r>
        <w:r>
          <w:rPr>
            <w:rStyle w:val="Lienhypertexte"/>
            <w:lang w:val="fr-FR"/>
          </w:rPr>
          <w:t xml:space="preserve">du groupe de travail </w:t>
        </w:r>
        <w:r w:rsidRPr="00690982">
          <w:rPr>
            <w:rStyle w:val="Lienhypertexte"/>
            <w:lang w:val="fr-FR"/>
          </w:rPr>
          <w:t>intergo</w:t>
        </w:r>
        <w:r>
          <w:rPr>
            <w:rStyle w:val="Lienhypertexte"/>
            <w:lang w:val="fr-FR"/>
          </w:rPr>
          <w:t>u</w:t>
        </w:r>
        <w:r w:rsidRPr="00690982">
          <w:rPr>
            <w:rStyle w:val="Lienhypertexte"/>
            <w:lang w:val="fr-FR"/>
          </w:rPr>
          <w:t>vern</w:t>
        </w:r>
        <w:r>
          <w:rPr>
            <w:rStyle w:val="Lienhypertexte"/>
            <w:lang w:val="fr-FR"/>
          </w:rPr>
          <w:t>e</w:t>
        </w:r>
        <w:r w:rsidRPr="00690982">
          <w:rPr>
            <w:rStyle w:val="Lienhypertexte"/>
            <w:lang w:val="fr-FR"/>
          </w:rPr>
          <w:t>mental</w:t>
        </w:r>
        <w:r w:rsidR="00216247">
          <w:rPr>
            <w:rStyle w:val="Lienhypertexte"/>
            <w:lang w:val="fr-FR"/>
          </w:rPr>
          <w:t xml:space="preserve"> à composition non limitée</w:t>
        </w:r>
      </w:hyperlink>
      <w:r w:rsidR="00C8346B">
        <w:rPr>
          <w:rStyle w:val="Lienhypertexte"/>
          <w:u w:val="none"/>
          <w:lang w:val="fr-FR"/>
        </w:rPr>
        <w:t xml:space="preserve">, </w:t>
      </w:r>
      <w:r>
        <w:rPr>
          <w:rStyle w:val="Lienhypertexte"/>
          <w:color w:val="auto"/>
          <w:u w:val="none"/>
          <w:lang w:val="fr-FR"/>
        </w:rPr>
        <w:t>tel qu</w:t>
      </w:r>
      <w:r w:rsidR="0039451D">
        <w:rPr>
          <w:rStyle w:val="Lienhypertexte"/>
          <w:color w:val="auto"/>
          <w:u w:val="none"/>
          <w:lang w:val="fr-FR"/>
        </w:rPr>
        <w:t>e</w:t>
      </w:r>
      <w:r>
        <w:rPr>
          <w:rStyle w:val="Lienhypertexte"/>
          <w:color w:val="auto"/>
          <w:u w:val="none"/>
          <w:lang w:val="fr-FR"/>
        </w:rPr>
        <w:t xml:space="preserve"> reproduit dans l</w:t>
      </w:r>
      <w:r w:rsidR="00FE6112">
        <w:rPr>
          <w:rStyle w:val="Lienhypertexte"/>
          <w:color w:val="auto"/>
          <w:u w:val="none"/>
          <w:lang w:val="fr-FR"/>
        </w:rPr>
        <w:t>’</w:t>
      </w:r>
      <w:r>
        <w:rPr>
          <w:rStyle w:val="Lienhypertexte"/>
          <w:color w:val="auto"/>
          <w:u w:val="none"/>
          <w:lang w:val="fr-FR"/>
        </w:rPr>
        <w:t xml:space="preserve">annexe du </w:t>
      </w:r>
      <w:r w:rsidRPr="00560DE9">
        <w:rPr>
          <w:rStyle w:val="Lienhypertexte"/>
          <w:color w:val="auto"/>
          <w:u w:val="none"/>
          <w:lang w:val="fr-FR"/>
        </w:rPr>
        <w:t xml:space="preserve">document de travail </w:t>
      </w:r>
      <w:hyperlink r:id="rId13" w:history="1">
        <w:r w:rsidRPr="00D85BA2">
          <w:rPr>
            <w:rStyle w:val="Lienhypertexte"/>
            <w:lang w:val="fr-FR"/>
          </w:rPr>
          <w:t>LHE/21/16.COM WG/5</w:t>
        </w:r>
      </w:hyperlink>
      <w:r w:rsidRPr="00D85BA2">
        <w:rPr>
          <w:rStyle w:val="Lienhypertexte"/>
          <w:color w:val="auto"/>
          <w:u w:val="none"/>
          <w:lang w:val="fr-FR"/>
        </w:rPr>
        <w:t>).</w:t>
      </w:r>
      <w:r w:rsidRPr="00D85BA2">
        <w:rPr>
          <w:lang w:val="fr-FR"/>
        </w:rPr>
        <w:t xml:space="preserve"> En ré</w:t>
      </w:r>
      <w:r>
        <w:rPr>
          <w:lang w:val="fr-FR"/>
        </w:rPr>
        <w:t>ponse à la demande du groupe de travail</w:t>
      </w:r>
      <w:r w:rsidRPr="00690982">
        <w:rPr>
          <w:lang w:val="fr-FR"/>
        </w:rPr>
        <w:t xml:space="preserve">, </w:t>
      </w:r>
      <w:r>
        <w:rPr>
          <w:lang w:val="fr-FR"/>
        </w:rPr>
        <w:t xml:space="preserve">le </w:t>
      </w:r>
      <w:r w:rsidRPr="00690982">
        <w:rPr>
          <w:lang w:val="fr-FR"/>
        </w:rPr>
        <w:t xml:space="preserve">document </w:t>
      </w:r>
      <w:r w:rsidR="0039451D">
        <w:rPr>
          <w:lang w:val="fr-FR"/>
        </w:rPr>
        <w:t xml:space="preserve">présent </w:t>
      </w:r>
      <w:r>
        <w:rPr>
          <w:lang w:val="fr-FR"/>
        </w:rPr>
        <w:t xml:space="preserve">fournit des informations supplémentaires et des propositions concernant les trois </w:t>
      </w:r>
      <w:r w:rsidR="00D85F40">
        <w:rPr>
          <w:lang w:val="fr-FR"/>
        </w:rPr>
        <w:t>questions</w:t>
      </w:r>
      <w:r>
        <w:rPr>
          <w:lang w:val="fr-FR"/>
        </w:rPr>
        <w:t xml:space="preserve"> que le groupe de travail peut souhaiter traiter en priorité lors de la Partie </w:t>
      </w:r>
      <w:r w:rsidRPr="00690982">
        <w:rPr>
          <w:lang w:val="fr-FR"/>
        </w:rPr>
        <w:t xml:space="preserve">II </w:t>
      </w:r>
      <w:r>
        <w:rPr>
          <w:lang w:val="fr-FR"/>
        </w:rPr>
        <w:t xml:space="preserve">de sa réunion </w:t>
      </w:r>
      <w:r w:rsidRPr="00690982">
        <w:rPr>
          <w:lang w:val="fr-FR"/>
        </w:rPr>
        <w:t>(</w:t>
      </w:r>
      <w:r>
        <w:rPr>
          <w:lang w:val="fr-FR"/>
        </w:rPr>
        <w:t>en ligne</w:t>
      </w:r>
      <w:r w:rsidRPr="00690982">
        <w:rPr>
          <w:lang w:val="fr-FR"/>
        </w:rPr>
        <w:t xml:space="preserve">, 9 </w:t>
      </w:r>
      <w:r>
        <w:rPr>
          <w:lang w:val="fr-FR"/>
        </w:rPr>
        <w:t xml:space="preserve">et </w:t>
      </w:r>
      <w:r w:rsidRPr="00690982">
        <w:rPr>
          <w:lang w:val="fr-FR"/>
        </w:rPr>
        <w:t xml:space="preserve">10 </w:t>
      </w:r>
      <w:r>
        <w:rPr>
          <w:lang w:val="fr-FR"/>
        </w:rPr>
        <w:t>s</w:t>
      </w:r>
      <w:r w:rsidRPr="00690982">
        <w:rPr>
          <w:lang w:val="fr-FR"/>
        </w:rPr>
        <w:t>eptemb</w:t>
      </w:r>
      <w:r>
        <w:rPr>
          <w:lang w:val="fr-FR"/>
        </w:rPr>
        <w:t>re</w:t>
      </w:r>
      <w:r w:rsidRPr="00690982">
        <w:rPr>
          <w:lang w:val="fr-FR"/>
        </w:rPr>
        <w:t xml:space="preserve"> 2021)</w:t>
      </w:r>
      <w:r>
        <w:rPr>
          <w:lang w:val="fr-FR"/>
        </w:rPr>
        <w:t xml:space="preserve"> </w:t>
      </w:r>
      <w:r w:rsidRPr="00690982">
        <w:rPr>
          <w:lang w:val="fr-FR"/>
        </w:rPr>
        <w:t>:</w:t>
      </w:r>
    </w:p>
    <w:p w14:paraId="75233F3F" w14:textId="6E224FA8" w:rsidR="00F232C8" w:rsidRPr="00690982" w:rsidRDefault="00F232C8" w:rsidP="00F232C8">
      <w:pPr>
        <w:pStyle w:val="1GAPara"/>
        <w:numPr>
          <w:ilvl w:val="0"/>
          <w:numId w:val="6"/>
        </w:numPr>
        <w:ind w:left="1134" w:hanging="567"/>
        <w:jc w:val="both"/>
        <w:rPr>
          <w:lang w:val="fr-FR"/>
        </w:rPr>
      </w:pPr>
      <w:r w:rsidRPr="00690982">
        <w:rPr>
          <w:lang w:val="fr-FR"/>
        </w:rPr>
        <w:t>Section A</w:t>
      </w:r>
      <w:r>
        <w:rPr>
          <w:lang w:val="fr-FR"/>
        </w:rPr>
        <w:t> </w:t>
      </w:r>
      <w:r w:rsidRPr="00690982">
        <w:rPr>
          <w:lang w:val="fr-FR"/>
        </w:rPr>
        <w:t xml:space="preserve">: </w:t>
      </w:r>
      <w:r w:rsidR="0039451D">
        <w:rPr>
          <w:lang w:val="fr-FR"/>
        </w:rPr>
        <w:t>des</w:t>
      </w:r>
      <w:r>
        <w:rPr>
          <w:lang w:val="fr-FR"/>
        </w:rPr>
        <w:t xml:space="preserve"> procédure</w:t>
      </w:r>
      <w:r w:rsidR="0039451D">
        <w:rPr>
          <w:lang w:val="fr-FR"/>
        </w:rPr>
        <w:t>s</w:t>
      </w:r>
      <w:r>
        <w:rPr>
          <w:lang w:val="fr-FR"/>
        </w:rPr>
        <w:t xml:space="preserve"> </w:t>
      </w:r>
      <w:r w:rsidRPr="00690982">
        <w:rPr>
          <w:lang w:val="fr-FR"/>
        </w:rPr>
        <w:t>simplifi</w:t>
      </w:r>
      <w:r>
        <w:rPr>
          <w:lang w:val="fr-FR"/>
        </w:rPr>
        <w:t>ée</w:t>
      </w:r>
      <w:r w:rsidR="0039451D">
        <w:rPr>
          <w:lang w:val="fr-FR"/>
        </w:rPr>
        <w:t>s</w:t>
      </w:r>
      <w:r>
        <w:rPr>
          <w:lang w:val="fr-FR"/>
        </w:rPr>
        <w:t xml:space="preserve"> </w:t>
      </w:r>
      <w:r w:rsidR="0039451D" w:rsidRPr="0039451D">
        <w:rPr>
          <w:lang w:val="fr-FR"/>
        </w:rPr>
        <w:t>pour le transfert d’éléments entre les Listes ainsi que l’inclusion dans le Registre des expériences de sauvegarde qui ont réussi à améliorer la viabilité des éléments inscrits sur la Liste de sauvegarde urgente</w:t>
      </w:r>
      <w:r>
        <w:rPr>
          <w:lang w:val="fr-FR"/>
        </w:rPr>
        <w:t> </w:t>
      </w:r>
      <w:r w:rsidRPr="00690982">
        <w:rPr>
          <w:lang w:val="fr-FR"/>
        </w:rPr>
        <w:t>;</w:t>
      </w:r>
    </w:p>
    <w:p w14:paraId="643E51EA" w14:textId="69552138" w:rsidR="00F232C8" w:rsidRPr="00690982" w:rsidRDefault="00F232C8" w:rsidP="00F232C8">
      <w:pPr>
        <w:pStyle w:val="1GAPara"/>
        <w:numPr>
          <w:ilvl w:val="0"/>
          <w:numId w:val="6"/>
        </w:numPr>
        <w:ind w:left="1134" w:hanging="567"/>
        <w:jc w:val="both"/>
        <w:rPr>
          <w:lang w:val="fr-FR"/>
        </w:rPr>
      </w:pPr>
      <w:r w:rsidRPr="00690982">
        <w:rPr>
          <w:lang w:val="fr-FR"/>
        </w:rPr>
        <w:t>Section B</w:t>
      </w:r>
      <w:r>
        <w:rPr>
          <w:lang w:val="fr-FR"/>
        </w:rPr>
        <w:t> </w:t>
      </w:r>
      <w:r w:rsidRPr="00690982">
        <w:rPr>
          <w:lang w:val="fr-FR"/>
        </w:rPr>
        <w:t xml:space="preserve">: </w:t>
      </w:r>
      <w:r>
        <w:rPr>
          <w:lang w:val="fr-FR"/>
        </w:rPr>
        <w:t xml:space="preserve">une </w:t>
      </w:r>
      <w:r w:rsidRPr="00690982">
        <w:rPr>
          <w:lang w:val="fr-FR"/>
        </w:rPr>
        <w:t>procédure spécifi</w:t>
      </w:r>
      <w:r>
        <w:rPr>
          <w:lang w:val="fr-FR"/>
        </w:rPr>
        <w:t xml:space="preserve">que </w:t>
      </w:r>
      <w:r w:rsidR="0039451D" w:rsidRPr="0039451D">
        <w:rPr>
          <w:lang w:val="fr-FR"/>
        </w:rPr>
        <w:t>pour le retrait d’éléments des Listes de la Convention, y compris l’introduction de mesures intermédiaires</w:t>
      </w:r>
      <w:r>
        <w:rPr>
          <w:lang w:val="fr-FR"/>
        </w:rPr>
        <w:t xml:space="preserve"> </w:t>
      </w:r>
      <w:r w:rsidRPr="00690982">
        <w:rPr>
          <w:lang w:val="fr-FR"/>
        </w:rPr>
        <w:t>;</w:t>
      </w:r>
      <w:r w:rsidR="008A5A49">
        <w:rPr>
          <w:lang w:val="fr-FR"/>
        </w:rPr>
        <w:t xml:space="preserve"> et</w:t>
      </w:r>
    </w:p>
    <w:p w14:paraId="45D96BED" w14:textId="65B6E600" w:rsidR="00F232C8" w:rsidRPr="00690982" w:rsidRDefault="00F232C8" w:rsidP="00F232C8">
      <w:pPr>
        <w:pStyle w:val="1GAPara"/>
        <w:numPr>
          <w:ilvl w:val="0"/>
          <w:numId w:val="6"/>
        </w:numPr>
        <w:ind w:left="1134" w:hanging="567"/>
        <w:jc w:val="both"/>
        <w:rPr>
          <w:lang w:val="fr-FR"/>
        </w:rPr>
      </w:pPr>
      <w:r w:rsidRPr="00690982">
        <w:rPr>
          <w:lang w:val="fr-FR"/>
        </w:rPr>
        <w:t>Section C</w:t>
      </w:r>
      <w:r>
        <w:rPr>
          <w:lang w:val="fr-FR"/>
        </w:rPr>
        <w:t> </w:t>
      </w:r>
      <w:r w:rsidRPr="00690982">
        <w:rPr>
          <w:lang w:val="fr-FR"/>
        </w:rPr>
        <w:t xml:space="preserve">: </w:t>
      </w:r>
      <w:r w:rsidR="00C8346B">
        <w:rPr>
          <w:lang w:val="fr-FR"/>
        </w:rPr>
        <w:t xml:space="preserve">des </w:t>
      </w:r>
      <w:r w:rsidRPr="00690982">
        <w:rPr>
          <w:lang w:val="fr-FR"/>
        </w:rPr>
        <w:t>proc</w:t>
      </w:r>
      <w:r>
        <w:rPr>
          <w:lang w:val="fr-FR"/>
        </w:rPr>
        <w:t>é</w:t>
      </w:r>
      <w:r w:rsidRPr="00690982">
        <w:rPr>
          <w:lang w:val="fr-FR"/>
        </w:rPr>
        <w:t xml:space="preserve">dures </w:t>
      </w:r>
      <w:r>
        <w:rPr>
          <w:lang w:val="fr-FR"/>
        </w:rPr>
        <w:t>révisées pour l</w:t>
      </w:r>
      <w:r w:rsidR="00FE6112">
        <w:rPr>
          <w:lang w:val="fr-FR"/>
        </w:rPr>
        <w:t>’</w:t>
      </w:r>
      <w:r w:rsidRPr="00690982">
        <w:rPr>
          <w:lang w:val="fr-FR"/>
        </w:rPr>
        <w:t xml:space="preserve">inscription </w:t>
      </w:r>
      <w:r w:rsidR="0039451D">
        <w:rPr>
          <w:lang w:val="fr-FR"/>
        </w:rPr>
        <w:t>élargie d’éléments</w:t>
      </w:r>
      <w:r w:rsidRPr="00690982">
        <w:rPr>
          <w:lang w:val="fr-FR"/>
        </w:rPr>
        <w:t>.</w:t>
      </w:r>
    </w:p>
    <w:p w14:paraId="410E4ED8" w14:textId="039F10F2" w:rsidR="00F232C8" w:rsidRPr="00690982" w:rsidRDefault="008A5A49" w:rsidP="00F232C8">
      <w:pPr>
        <w:pStyle w:val="1GAPara"/>
        <w:numPr>
          <w:ilvl w:val="0"/>
          <w:numId w:val="0"/>
        </w:numPr>
        <w:ind w:left="567"/>
        <w:jc w:val="both"/>
        <w:rPr>
          <w:lang w:val="fr-FR"/>
        </w:rPr>
      </w:pPr>
      <w:r>
        <w:rPr>
          <w:lang w:val="fr-FR"/>
        </w:rPr>
        <w:t>Le</w:t>
      </w:r>
      <w:r w:rsidR="00F232C8">
        <w:rPr>
          <w:lang w:val="fr-FR"/>
        </w:rPr>
        <w:t xml:space="preserve"> document de travail </w:t>
      </w:r>
      <w:hyperlink r:id="rId14" w:history="1">
        <w:r w:rsidR="00F232C8" w:rsidRPr="00D85BA2">
          <w:rPr>
            <w:rStyle w:val="Lienhypertexte"/>
            <w:lang w:val="fr-FR"/>
          </w:rPr>
          <w:t>LHE/21/</w:t>
        </w:r>
        <w:r w:rsidR="00D85F40" w:rsidRPr="00D85BA2">
          <w:rPr>
            <w:rStyle w:val="Lienhypertexte"/>
            <w:lang w:val="fr-FR"/>
          </w:rPr>
          <w:t>16.</w:t>
        </w:r>
        <w:r w:rsidR="00F232C8" w:rsidRPr="00D85BA2">
          <w:rPr>
            <w:rStyle w:val="Lienhypertexte"/>
            <w:lang w:val="fr-FR"/>
          </w:rPr>
          <w:t>COM WG/</w:t>
        </w:r>
        <w:r w:rsidR="0039451D" w:rsidRPr="00D85BA2">
          <w:rPr>
            <w:rStyle w:val="Lienhypertexte"/>
            <w:lang w:val="fr-FR"/>
          </w:rPr>
          <w:t>7</w:t>
        </w:r>
      </w:hyperlink>
      <w:r w:rsidR="00F232C8" w:rsidRPr="00690982">
        <w:rPr>
          <w:lang w:val="fr-FR"/>
        </w:rPr>
        <w:t xml:space="preserve"> </w:t>
      </w:r>
      <w:r w:rsidR="00F232C8">
        <w:rPr>
          <w:lang w:val="fr-FR"/>
        </w:rPr>
        <w:t>est consacré à d</w:t>
      </w:r>
      <w:r w:rsidR="00FE6112">
        <w:rPr>
          <w:lang w:val="fr-FR"/>
        </w:rPr>
        <w:t>’</w:t>
      </w:r>
      <w:r w:rsidR="00F232C8">
        <w:rPr>
          <w:lang w:val="fr-FR"/>
        </w:rPr>
        <w:t xml:space="preserve">autres </w:t>
      </w:r>
      <w:r w:rsidR="0008673A">
        <w:rPr>
          <w:lang w:val="fr-FR"/>
        </w:rPr>
        <w:t>thématiques</w:t>
      </w:r>
      <w:r w:rsidR="00F232C8">
        <w:rPr>
          <w:lang w:val="fr-FR"/>
        </w:rPr>
        <w:t xml:space="preserve"> qui </w:t>
      </w:r>
      <w:r w:rsidR="0008673A">
        <w:rPr>
          <w:lang w:val="fr-FR"/>
        </w:rPr>
        <w:t>nécessitent</w:t>
      </w:r>
      <w:r w:rsidR="00F232C8">
        <w:rPr>
          <w:lang w:val="fr-FR"/>
        </w:rPr>
        <w:t xml:space="preserve"> également des débats supplémentaires</w:t>
      </w:r>
      <w:r w:rsidR="00F232C8" w:rsidRPr="00690982">
        <w:rPr>
          <w:lang w:val="fr-FR"/>
        </w:rPr>
        <w:t>.</w:t>
      </w:r>
    </w:p>
    <w:p w14:paraId="5CF395F3" w14:textId="30FF9079" w:rsidR="00F232C8" w:rsidRPr="00690982" w:rsidRDefault="00F232C8" w:rsidP="00267A13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Les </w:t>
      </w:r>
      <w:r w:rsidRPr="00690982">
        <w:rPr>
          <w:lang w:val="fr-FR"/>
        </w:rPr>
        <w:t>proc</w:t>
      </w:r>
      <w:r>
        <w:rPr>
          <w:lang w:val="fr-FR"/>
        </w:rPr>
        <w:t>é</w:t>
      </w:r>
      <w:r w:rsidRPr="00690982">
        <w:rPr>
          <w:lang w:val="fr-FR"/>
        </w:rPr>
        <w:t xml:space="preserve">dures </w:t>
      </w:r>
      <w:r w:rsidR="00267A13">
        <w:rPr>
          <w:lang w:val="fr-FR"/>
        </w:rPr>
        <w:t xml:space="preserve">ci-dessous </w:t>
      </w:r>
      <w:r>
        <w:rPr>
          <w:lang w:val="fr-FR"/>
        </w:rPr>
        <w:t xml:space="preserve">qui sont </w:t>
      </w:r>
      <w:r w:rsidRPr="00690982">
        <w:rPr>
          <w:lang w:val="fr-FR"/>
        </w:rPr>
        <w:t>propos</w:t>
      </w:r>
      <w:r>
        <w:rPr>
          <w:lang w:val="fr-FR"/>
        </w:rPr>
        <w:t>é</w:t>
      </w:r>
      <w:r w:rsidRPr="00690982">
        <w:rPr>
          <w:lang w:val="fr-FR"/>
        </w:rPr>
        <w:t>e</w:t>
      </w:r>
      <w:r>
        <w:rPr>
          <w:lang w:val="fr-FR"/>
        </w:rPr>
        <w:t xml:space="preserve">s </w:t>
      </w:r>
      <w:r w:rsidR="00267A13">
        <w:rPr>
          <w:lang w:val="fr-FR"/>
        </w:rPr>
        <w:t>pour discussion</w:t>
      </w:r>
      <w:r w:rsidR="00D85F40">
        <w:rPr>
          <w:lang w:val="fr-FR"/>
        </w:rPr>
        <w:t>,</w:t>
      </w:r>
      <w:r>
        <w:rPr>
          <w:lang w:val="fr-FR"/>
        </w:rPr>
        <w:t xml:space="preserve"> se basent sur les débats de la </w:t>
      </w:r>
      <w:r w:rsidR="00267A13">
        <w:rPr>
          <w:lang w:val="fr-FR"/>
        </w:rPr>
        <w:t>P</w:t>
      </w:r>
      <w:r>
        <w:rPr>
          <w:lang w:val="fr-FR"/>
        </w:rPr>
        <w:t>artie I de la réunion du groupe de travail et sur les résultats de la réunion</w:t>
      </w:r>
      <w:r w:rsidR="00267A13">
        <w:rPr>
          <w:lang w:val="fr-FR"/>
        </w:rPr>
        <w:t xml:space="preserve"> d’experts</w:t>
      </w:r>
      <w:r>
        <w:rPr>
          <w:lang w:val="fr-FR"/>
        </w:rPr>
        <w:t xml:space="preserve"> de </w:t>
      </w:r>
      <w:r w:rsidR="00267A13">
        <w:rPr>
          <w:lang w:val="fr-FR"/>
        </w:rPr>
        <w:t>c</w:t>
      </w:r>
      <w:r>
        <w:rPr>
          <w:lang w:val="fr-FR"/>
        </w:rPr>
        <w:t xml:space="preserve">atégorie VI qui a eu lieu en mai </w:t>
      </w:r>
      <w:r w:rsidRPr="00690982">
        <w:rPr>
          <w:lang w:val="fr-FR"/>
        </w:rPr>
        <w:t xml:space="preserve">2021 </w:t>
      </w:r>
      <w:r>
        <w:rPr>
          <w:lang w:val="fr-FR"/>
        </w:rPr>
        <w:t xml:space="preserve">dans le cadre de la </w:t>
      </w:r>
      <w:r w:rsidRPr="004F3CF7">
        <w:rPr>
          <w:lang w:val="fr-FR"/>
        </w:rPr>
        <w:t>réflexion globale sur les mécanismes d</w:t>
      </w:r>
      <w:r w:rsidR="00FE6112">
        <w:rPr>
          <w:lang w:val="fr-FR"/>
        </w:rPr>
        <w:t>’</w:t>
      </w:r>
      <w:r w:rsidRPr="004F3CF7">
        <w:rPr>
          <w:lang w:val="fr-FR"/>
        </w:rPr>
        <w:t xml:space="preserve">inscription </w:t>
      </w:r>
      <w:r w:rsidR="00C8346B">
        <w:rPr>
          <w:lang w:val="fr-FR"/>
        </w:rPr>
        <w:t xml:space="preserve">sur les </w:t>
      </w:r>
      <w:r w:rsidRPr="004F3CF7">
        <w:rPr>
          <w:lang w:val="fr-FR"/>
        </w:rPr>
        <w:t xml:space="preserve">listes </w:t>
      </w:r>
      <w:r>
        <w:rPr>
          <w:lang w:val="fr-FR"/>
        </w:rPr>
        <w:t xml:space="preserve">de la </w:t>
      </w:r>
      <w:r w:rsidRPr="00690982">
        <w:rPr>
          <w:lang w:val="fr-FR"/>
        </w:rPr>
        <w:t>Convention</w:t>
      </w:r>
      <w:r>
        <w:rPr>
          <w:lang w:val="fr-FR"/>
        </w:rPr>
        <w:t xml:space="preserve"> de </w:t>
      </w:r>
      <w:r w:rsidRPr="00690982">
        <w:rPr>
          <w:lang w:val="fr-FR"/>
        </w:rPr>
        <w:t xml:space="preserve">2003. </w:t>
      </w:r>
    </w:p>
    <w:p w14:paraId="07CC712F" w14:textId="10457940" w:rsidR="00F232C8" w:rsidRPr="00690982" w:rsidRDefault="00F232C8" w:rsidP="00267A13">
      <w:pPr>
        <w:pStyle w:val="1GAPara"/>
        <w:numPr>
          <w:ilvl w:val="0"/>
          <w:numId w:val="6"/>
        </w:numPr>
        <w:ind w:left="1134" w:hanging="567"/>
        <w:jc w:val="both"/>
        <w:rPr>
          <w:lang w:val="fr-FR"/>
        </w:rPr>
      </w:pPr>
      <w:r>
        <w:rPr>
          <w:lang w:val="fr-FR"/>
        </w:rPr>
        <w:t>Concernant l</w:t>
      </w:r>
      <w:r w:rsidR="008A5A49">
        <w:rPr>
          <w:lang w:val="fr-FR"/>
        </w:rPr>
        <w:t>es</w:t>
      </w:r>
      <w:r>
        <w:rPr>
          <w:lang w:val="fr-FR"/>
        </w:rPr>
        <w:t xml:space="preserve"> </w:t>
      </w:r>
      <w:r w:rsidR="0074057B">
        <w:rPr>
          <w:lang w:val="fr-FR"/>
        </w:rPr>
        <w:t>s</w:t>
      </w:r>
      <w:r w:rsidRPr="00690982">
        <w:rPr>
          <w:lang w:val="fr-FR"/>
        </w:rPr>
        <w:t>ection</w:t>
      </w:r>
      <w:r w:rsidR="008A5A49">
        <w:rPr>
          <w:lang w:val="fr-FR"/>
        </w:rPr>
        <w:t>s</w:t>
      </w:r>
      <w:r w:rsidRPr="00690982">
        <w:rPr>
          <w:lang w:val="fr-FR"/>
        </w:rPr>
        <w:t xml:space="preserve"> A </w:t>
      </w:r>
      <w:r>
        <w:rPr>
          <w:lang w:val="fr-FR"/>
        </w:rPr>
        <w:t xml:space="preserve">et </w:t>
      </w:r>
      <w:r w:rsidRPr="00690982">
        <w:rPr>
          <w:lang w:val="fr-FR"/>
        </w:rPr>
        <w:t xml:space="preserve">B, </w:t>
      </w:r>
      <w:r>
        <w:rPr>
          <w:lang w:val="fr-FR"/>
        </w:rPr>
        <w:t xml:space="preserve">les propositions prennent en compte le rapport du </w:t>
      </w:r>
      <w:r w:rsidR="0074057B">
        <w:rPr>
          <w:lang w:val="fr-FR"/>
        </w:rPr>
        <w:t>g</w:t>
      </w:r>
      <w:r>
        <w:rPr>
          <w:lang w:val="fr-FR"/>
        </w:rPr>
        <w:t xml:space="preserve">roupe 2 </w:t>
      </w:r>
      <w:r w:rsidR="0074057B">
        <w:rPr>
          <w:lang w:val="fr-FR"/>
        </w:rPr>
        <w:t>de</w:t>
      </w:r>
      <w:r>
        <w:rPr>
          <w:lang w:val="fr-FR"/>
        </w:rPr>
        <w:t xml:space="preserve"> la réunion d</w:t>
      </w:r>
      <w:r w:rsidR="00FE6112">
        <w:rPr>
          <w:lang w:val="fr-FR"/>
        </w:rPr>
        <w:t>’</w:t>
      </w:r>
      <w:r>
        <w:rPr>
          <w:lang w:val="fr-FR"/>
        </w:rPr>
        <w:t xml:space="preserve">experts de </w:t>
      </w:r>
      <w:r w:rsidR="0074057B">
        <w:rPr>
          <w:lang w:val="fr-FR"/>
        </w:rPr>
        <w:t>c</w:t>
      </w:r>
      <w:r>
        <w:rPr>
          <w:lang w:val="fr-FR"/>
        </w:rPr>
        <w:t xml:space="preserve">atégorie VI </w:t>
      </w:r>
      <w:r w:rsidR="0074057B">
        <w:rPr>
          <w:lang w:val="fr-FR"/>
        </w:rPr>
        <w:t>auquel</w:t>
      </w:r>
      <w:r>
        <w:rPr>
          <w:lang w:val="fr-FR"/>
        </w:rPr>
        <w:t xml:space="preserve"> </w:t>
      </w:r>
      <w:r w:rsidR="009F746F">
        <w:rPr>
          <w:lang w:val="fr-FR"/>
        </w:rPr>
        <w:t xml:space="preserve">les </w:t>
      </w:r>
      <w:r>
        <w:rPr>
          <w:lang w:val="fr-FR"/>
        </w:rPr>
        <w:t>« </w:t>
      </w:r>
      <w:r w:rsidR="009F746F">
        <w:rPr>
          <w:lang w:val="fr-FR"/>
        </w:rPr>
        <w:t>Questions liées</w:t>
      </w:r>
      <w:r>
        <w:rPr>
          <w:lang w:val="fr-FR"/>
        </w:rPr>
        <w:t xml:space="preserve"> au suivi des éléments inscrits »</w:t>
      </w:r>
      <w:r w:rsidR="00097B39">
        <w:rPr>
          <w:lang w:val="fr-FR"/>
        </w:rPr>
        <w:t xml:space="preserve"> </w:t>
      </w:r>
      <w:r w:rsidR="009F746F">
        <w:rPr>
          <w:lang w:val="fr-FR"/>
        </w:rPr>
        <w:t>ont</w:t>
      </w:r>
      <w:r>
        <w:rPr>
          <w:lang w:val="fr-FR"/>
        </w:rPr>
        <w:t xml:space="preserve"> été affecté</w:t>
      </w:r>
      <w:r w:rsidR="009F746F">
        <w:rPr>
          <w:lang w:val="fr-FR"/>
        </w:rPr>
        <w:t>es</w:t>
      </w:r>
      <w:r>
        <w:rPr>
          <w:lang w:val="fr-FR"/>
        </w:rPr>
        <w:t xml:space="preserve"> comme thème de discussion </w:t>
      </w:r>
      <w:r w:rsidRPr="00690982">
        <w:rPr>
          <w:lang w:val="fr-FR"/>
        </w:rPr>
        <w:t>(</w:t>
      </w:r>
      <w:hyperlink r:id="rId15" w:history="1">
        <w:r w:rsidRPr="00690982">
          <w:rPr>
            <w:rStyle w:val="Lienhypertexte"/>
            <w:rFonts w:asciiTheme="minorBidi" w:hAnsiTheme="minorBidi" w:cstheme="minorBidi"/>
            <w:lang w:val="fr-FR"/>
          </w:rPr>
          <w:t>R</w:t>
        </w:r>
        <w:r>
          <w:rPr>
            <w:rStyle w:val="Lienhypertexte"/>
            <w:rFonts w:asciiTheme="minorBidi" w:hAnsiTheme="minorBidi" w:cstheme="minorBidi"/>
            <w:lang w:val="fr-FR"/>
          </w:rPr>
          <w:t>ap</w:t>
        </w:r>
        <w:r w:rsidRPr="00690982">
          <w:rPr>
            <w:rStyle w:val="Lienhypertexte"/>
            <w:rFonts w:asciiTheme="minorBidi" w:hAnsiTheme="minorBidi" w:cstheme="minorBidi"/>
            <w:lang w:val="fr-FR"/>
          </w:rPr>
          <w:t>port</w:t>
        </w:r>
      </w:hyperlink>
      <w:r w:rsidRPr="00690982">
        <w:rPr>
          <w:rStyle w:val="Lienhypertexte"/>
          <w:rFonts w:asciiTheme="minorBidi" w:hAnsiTheme="minorBidi" w:cstheme="minorBidi"/>
          <w:color w:val="auto"/>
          <w:u w:val="none"/>
          <w:lang w:val="fr-FR"/>
        </w:rPr>
        <w:t>)</w:t>
      </w:r>
      <w:r w:rsidRPr="00690982">
        <w:rPr>
          <w:lang w:val="fr-FR"/>
        </w:rPr>
        <w:t xml:space="preserve">. </w:t>
      </w:r>
      <w:r>
        <w:rPr>
          <w:lang w:val="fr-FR"/>
        </w:rPr>
        <w:t xml:space="preserve">Elles prennent aussi en </w:t>
      </w:r>
      <w:r w:rsidRPr="00690982">
        <w:rPr>
          <w:lang w:val="fr-FR"/>
        </w:rPr>
        <w:t>consid</w:t>
      </w:r>
      <w:r>
        <w:rPr>
          <w:lang w:val="fr-FR"/>
        </w:rPr>
        <w:t>é</w:t>
      </w:r>
      <w:r w:rsidRPr="00690982">
        <w:rPr>
          <w:lang w:val="fr-FR"/>
        </w:rPr>
        <w:t xml:space="preserve">ration </w:t>
      </w:r>
      <w:r>
        <w:rPr>
          <w:lang w:val="fr-FR"/>
        </w:rPr>
        <w:t>les débats de l</w:t>
      </w:r>
      <w:r w:rsidR="00FE6112">
        <w:rPr>
          <w:lang w:val="fr-FR"/>
        </w:rPr>
        <w:t>’</w:t>
      </w:r>
      <w:r>
        <w:rPr>
          <w:lang w:val="fr-FR"/>
        </w:rPr>
        <w:t xml:space="preserve">Assemblée générale lors de sa huitième session </w:t>
      </w:r>
      <w:r w:rsidRPr="00690982">
        <w:rPr>
          <w:lang w:val="fr-FR"/>
        </w:rPr>
        <w:t>(R</w:t>
      </w:r>
      <w:r>
        <w:rPr>
          <w:lang w:val="fr-FR"/>
        </w:rPr>
        <w:t>é</w:t>
      </w:r>
      <w:r w:rsidRPr="00690982">
        <w:rPr>
          <w:lang w:val="fr-FR"/>
        </w:rPr>
        <w:t xml:space="preserve">solution </w:t>
      </w:r>
      <w:hyperlink r:id="rId16" w:history="1">
        <w:r w:rsidRPr="00690982">
          <w:rPr>
            <w:rStyle w:val="Lienhypertexte"/>
            <w:lang w:val="fr-FR"/>
          </w:rPr>
          <w:t>8.GA 11</w:t>
        </w:r>
      </w:hyperlink>
      <w:r w:rsidRPr="00690982">
        <w:rPr>
          <w:lang w:val="fr-FR"/>
        </w:rPr>
        <w:t xml:space="preserve">) </w:t>
      </w:r>
      <w:r>
        <w:rPr>
          <w:lang w:val="fr-FR"/>
        </w:rPr>
        <w:t xml:space="preserve">et les débats du Comité lors de ses douzième, treizième et quatorzième </w:t>
      </w:r>
      <w:r w:rsidRPr="00690982">
        <w:rPr>
          <w:lang w:val="fr-FR"/>
        </w:rPr>
        <w:t xml:space="preserve">sessions </w:t>
      </w:r>
      <w:r>
        <w:rPr>
          <w:lang w:val="fr-FR"/>
        </w:rPr>
        <w:t>concernant le transfert</w:t>
      </w:r>
      <w:r w:rsidR="00C8346B">
        <w:rPr>
          <w:lang w:val="fr-FR"/>
        </w:rPr>
        <w:t xml:space="preserve"> </w:t>
      </w:r>
      <w:r>
        <w:rPr>
          <w:lang w:val="fr-FR"/>
        </w:rPr>
        <w:t>d</w:t>
      </w:r>
      <w:r w:rsidR="00FE6112">
        <w:rPr>
          <w:lang w:val="fr-FR"/>
        </w:rPr>
        <w:t>’</w:t>
      </w:r>
      <w:r>
        <w:rPr>
          <w:lang w:val="fr-FR"/>
        </w:rPr>
        <w:t>un élément d</w:t>
      </w:r>
      <w:r w:rsidR="00FE6112">
        <w:rPr>
          <w:lang w:val="fr-FR"/>
        </w:rPr>
        <w:t>’</w:t>
      </w:r>
      <w:r>
        <w:rPr>
          <w:lang w:val="fr-FR"/>
        </w:rPr>
        <w:t xml:space="preserve">une </w:t>
      </w:r>
      <w:r w:rsidRPr="00690982">
        <w:rPr>
          <w:lang w:val="fr-FR"/>
        </w:rPr>
        <w:t>List</w:t>
      </w:r>
      <w:r>
        <w:rPr>
          <w:lang w:val="fr-FR"/>
        </w:rPr>
        <w:t>e à une autre et le retrait d</w:t>
      </w:r>
      <w:r w:rsidR="00FE6112">
        <w:rPr>
          <w:lang w:val="fr-FR"/>
        </w:rPr>
        <w:t>’</w:t>
      </w:r>
      <w:r>
        <w:rPr>
          <w:lang w:val="fr-FR"/>
        </w:rPr>
        <w:t>un élément d</w:t>
      </w:r>
      <w:r w:rsidR="00FE6112">
        <w:rPr>
          <w:lang w:val="fr-FR"/>
        </w:rPr>
        <w:t>’</w:t>
      </w:r>
      <w:r>
        <w:rPr>
          <w:lang w:val="fr-FR"/>
        </w:rPr>
        <w:t xml:space="preserve">une </w:t>
      </w:r>
      <w:r w:rsidRPr="00690982">
        <w:rPr>
          <w:lang w:val="fr-FR"/>
        </w:rPr>
        <w:t>List</w:t>
      </w:r>
      <w:r>
        <w:rPr>
          <w:lang w:val="fr-FR"/>
        </w:rPr>
        <w:t>e</w:t>
      </w:r>
      <w:r w:rsidRPr="00690982">
        <w:rPr>
          <w:lang w:val="fr-FR"/>
        </w:rPr>
        <w:t xml:space="preserve"> (D</w:t>
      </w:r>
      <w:r>
        <w:rPr>
          <w:lang w:val="fr-FR"/>
        </w:rPr>
        <w:t>é</w:t>
      </w:r>
      <w:r w:rsidRPr="00690982">
        <w:rPr>
          <w:lang w:val="fr-FR"/>
        </w:rPr>
        <w:t xml:space="preserve">cisions </w:t>
      </w:r>
      <w:hyperlink r:id="rId17" w:history="1">
        <w:r w:rsidRPr="00690982">
          <w:rPr>
            <w:rStyle w:val="Lienhypertexte"/>
            <w:lang w:val="fr-FR"/>
          </w:rPr>
          <w:t>12.COM 14</w:t>
        </w:r>
      </w:hyperlink>
      <w:r w:rsidRPr="00690982">
        <w:rPr>
          <w:lang w:val="fr-FR"/>
        </w:rPr>
        <w:t xml:space="preserve">, </w:t>
      </w:r>
      <w:hyperlink r:id="rId18" w:history="1">
        <w:r w:rsidRPr="00690982">
          <w:rPr>
            <w:rStyle w:val="Lienhypertexte"/>
            <w:lang w:val="fr-FR"/>
          </w:rPr>
          <w:t>13.COM 9</w:t>
        </w:r>
      </w:hyperlink>
      <w:r w:rsidRPr="00690982">
        <w:rPr>
          <w:lang w:val="fr-FR"/>
        </w:rPr>
        <w:t xml:space="preserve"> </w:t>
      </w:r>
      <w:r>
        <w:rPr>
          <w:lang w:val="fr-FR"/>
        </w:rPr>
        <w:t>et</w:t>
      </w:r>
      <w:r w:rsidRPr="00690982">
        <w:rPr>
          <w:lang w:val="fr-FR"/>
        </w:rPr>
        <w:t xml:space="preserve"> </w:t>
      </w:r>
      <w:hyperlink r:id="rId19" w:history="1">
        <w:r w:rsidRPr="00690982">
          <w:rPr>
            <w:rStyle w:val="Lienhypertexte"/>
            <w:lang w:val="fr-FR"/>
          </w:rPr>
          <w:t>14.COM 14</w:t>
        </w:r>
      </w:hyperlink>
      <w:r w:rsidRPr="00690982">
        <w:rPr>
          <w:lang w:val="fr-FR"/>
        </w:rPr>
        <w:t>).</w:t>
      </w:r>
    </w:p>
    <w:p w14:paraId="491ECCC0" w14:textId="1B7D18F5" w:rsidR="00F232C8" w:rsidRPr="00690982" w:rsidRDefault="00F232C8" w:rsidP="00267A13">
      <w:pPr>
        <w:pStyle w:val="1GAPara"/>
        <w:numPr>
          <w:ilvl w:val="0"/>
          <w:numId w:val="6"/>
        </w:numPr>
        <w:ind w:left="1134" w:hanging="567"/>
        <w:jc w:val="both"/>
        <w:rPr>
          <w:lang w:val="fr-FR"/>
        </w:rPr>
      </w:pPr>
      <w:r>
        <w:rPr>
          <w:lang w:val="fr-FR"/>
        </w:rPr>
        <w:t xml:space="preserve">Concernant la </w:t>
      </w:r>
      <w:r w:rsidR="007806BB">
        <w:rPr>
          <w:lang w:val="fr-FR"/>
        </w:rPr>
        <w:t>s</w:t>
      </w:r>
      <w:r w:rsidRPr="00690982">
        <w:rPr>
          <w:lang w:val="fr-FR"/>
        </w:rPr>
        <w:t xml:space="preserve">ection C, </w:t>
      </w:r>
      <w:r>
        <w:rPr>
          <w:lang w:val="fr-FR"/>
        </w:rPr>
        <w:t xml:space="preserve">les propositions sont émises en référence aux résultats de </w:t>
      </w:r>
      <w:r w:rsidR="00C8346B">
        <w:rPr>
          <w:lang w:val="fr-FR"/>
        </w:rPr>
        <w:t>l</w:t>
      </w:r>
      <w:r>
        <w:rPr>
          <w:lang w:val="fr-FR"/>
        </w:rPr>
        <w:t>a réunion d</w:t>
      </w:r>
      <w:r w:rsidR="007806BB">
        <w:rPr>
          <w:lang w:val="fr-FR"/>
        </w:rPr>
        <w:t>’</w:t>
      </w:r>
      <w:r w:rsidR="00BF1501">
        <w:rPr>
          <w:lang w:val="fr-FR"/>
        </w:rPr>
        <w:t>e</w:t>
      </w:r>
      <w:r w:rsidRPr="00690982">
        <w:rPr>
          <w:lang w:val="fr-FR"/>
        </w:rPr>
        <w:t>xpert</w:t>
      </w:r>
      <w:r>
        <w:rPr>
          <w:lang w:val="fr-FR"/>
        </w:rPr>
        <w:t>s</w:t>
      </w:r>
      <w:r w:rsidRPr="00690982">
        <w:rPr>
          <w:lang w:val="fr-FR"/>
        </w:rPr>
        <w:t xml:space="preserve"> </w:t>
      </w:r>
      <w:r w:rsidRPr="004F3CF7">
        <w:rPr>
          <w:lang w:val="fr-FR"/>
        </w:rPr>
        <w:t>dans le cadre de la réflexion globale sur les mécanismes d</w:t>
      </w:r>
      <w:r w:rsidR="00FE6112">
        <w:rPr>
          <w:lang w:val="fr-FR"/>
        </w:rPr>
        <w:t>’</w:t>
      </w:r>
      <w:r w:rsidRPr="004F3CF7">
        <w:rPr>
          <w:lang w:val="fr-FR"/>
        </w:rPr>
        <w:t xml:space="preserve">inscription </w:t>
      </w:r>
      <w:r w:rsidR="00C8346B">
        <w:rPr>
          <w:lang w:val="fr-FR"/>
        </w:rPr>
        <w:t xml:space="preserve">sur les </w:t>
      </w:r>
      <w:r w:rsidRPr="004F3CF7">
        <w:rPr>
          <w:lang w:val="fr-FR"/>
        </w:rPr>
        <w:t xml:space="preserve">listes </w:t>
      </w:r>
      <w:r>
        <w:rPr>
          <w:lang w:val="fr-FR"/>
        </w:rPr>
        <w:t xml:space="preserve">de la </w:t>
      </w:r>
      <w:r w:rsidRPr="00690982">
        <w:rPr>
          <w:lang w:val="fr-FR"/>
        </w:rPr>
        <w:t>Convention</w:t>
      </w:r>
      <w:r w:rsidR="00C8346B">
        <w:rPr>
          <w:lang w:val="fr-FR"/>
        </w:rPr>
        <w:t xml:space="preserve"> </w:t>
      </w:r>
      <w:r w:rsidRPr="008A5A49">
        <w:rPr>
          <w:lang w:val="fr-FR"/>
        </w:rPr>
        <w:t xml:space="preserve">de </w:t>
      </w:r>
      <w:r w:rsidRPr="00690982">
        <w:rPr>
          <w:lang w:val="fr-FR"/>
        </w:rPr>
        <w:t xml:space="preserve">2003, </w:t>
      </w:r>
      <w:r>
        <w:rPr>
          <w:lang w:val="fr-FR"/>
        </w:rPr>
        <w:t>e</w:t>
      </w:r>
      <w:r w:rsidRPr="00690982">
        <w:rPr>
          <w:lang w:val="fr-FR"/>
        </w:rPr>
        <w:t>n particul</w:t>
      </w:r>
      <w:r>
        <w:rPr>
          <w:lang w:val="fr-FR"/>
        </w:rPr>
        <w:t xml:space="preserve">ier le rapport du </w:t>
      </w:r>
      <w:r w:rsidR="007806BB">
        <w:rPr>
          <w:lang w:val="fr-FR"/>
        </w:rPr>
        <w:t>g</w:t>
      </w:r>
      <w:r>
        <w:rPr>
          <w:lang w:val="fr-FR"/>
        </w:rPr>
        <w:t xml:space="preserve">roupe </w:t>
      </w:r>
      <w:r w:rsidRPr="00690982">
        <w:rPr>
          <w:lang w:val="fr-FR"/>
        </w:rPr>
        <w:t>3</w:t>
      </w:r>
      <w:r>
        <w:rPr>
          <w:lang w:val="fr-FR"/>
        </w:rPr>
        <w:t xml:space="preserve"> auquel </w:t>
      </w:r>
      <w:r w:rsidR="007806BB">
        <w:rPr>
          <w:lang w:val="fr-FR"/>
        </w:rPr>
        <w:t xml:space="preserve">la </w:t>
      </w:r>
      <w:r>
        <w:rPr>
          <w:lang w:val="fr-FR"/>
        </w:rPr>
        <w:t>« </w:t>
      </w:r>
      <w:r w:rsidR="007806BB">
        <w:rPr>
          <w:lang w:val="fr-FR"/>
        </w:rPr>
        <w:t>M</w:t>
      </w:r>
      <w:r w:rsidRPr="00690982">
        <w:rPr>
          <w:lang w:val="fr-FR"/>
        </w:rPr>
        <w:t>éthodolog</w:t>
      </w:r>
      <w:r>
        <w:rPr>
          <w:lang w:val="fr-FR"/>
        </w:rPr>
        <w:t>ie d</w:t>
      </w:r>
      <w:r w:rsidR="00FE6112">
        <w:rPr>
          <w:lang w:val="fr-FR"/>
        </w:rPr>
        <w:t>’</w:t>
      </w:r>
      <w:r>
        <w:rPr>
          <w:lang w:val="fr-FR"/>
        </w:rPr>
        <w:t xml:space="preserve">évaluation des </w:t>
      </w:r>
      <w:r w:rsidR="007806BB">
        <w:rPr>
          <w:lang w:val="fr-FR"/>
        </w:rPr>
        <w:t>candidatures</w:t>
      </w:r>
      <w:r>
        <w:rPr>
          <w:lang w:val="fr-FR"/>
        </w:rPr>
        <w:t> » a été affecté</w:t>
      </w:r>
      <w:r w:rsidR="007806BB">
        <w:rPr>
          <w:lang w:val="fr-FR"/>
        </w:rPr>
        <w:t>e</w:t>
      </w:r>
      <w:r>
        <w:rPr>
          <w:lang w:val="fr-FR"/>
        </w:rPr>
        <w:t xml:space="preserve"> comme thème de discussion</w:t>
      </w:r>
      <w:r w:rsidRPr="00690982">
        <w:rPr>
          <w:lang w:val="fr-FR"/>
        </w:rPr>
        <w:t xml:space="preserve"> (</w:t>
      </w:r>
      <w:hyperlink r:id="rId20" w:history="1">
        <w:r w:rsidRPr="00690982">
          <w:rPr>
            <w:rStyle w:val="Lienhypertexte"/>
            <w:lang w:val="fr-FR"/>
          </w:rPr>
          <w:t>R</w:t>
        </w:r>
        <w:r>
          <w:rPr>
            <w:rStyle w:val="Lienhypertexte"/>
            <w:lang w:val="fr-FR"/>
          </w:rPr>
          <w:t>ap</w:t>
        </w:r>
        <w:r w:rsidRPr="00690982">
          <w:rPr>
            <w:rStyle w:val="Lienhypertexte"/>
            <w:lang w:val="fr-FR"/>
          </w:rPr>
          <w:t>port</w:t>
        </w:r>
      </w:hyperlink>
      <w:r w:rsidRPr="00690982">
        <w:rPr>
          <w:lang w:val="fr-FR"/>
        </w:rPr>
        <w:t xml:space="preserve">). </w:t>
      </w:r>
      <w:r>
        <w:rPr>
          <w:lang w:val="fr-FR"/>
        </w:rPr>
        <w:t xml:space="preserve">Elles prennent aussi en </w:t>
      </w:r>
      <w:r w:rsidRPr="00690982">
        <w:rPr>
          <w:lang w:val="fr-FR"/>
        </w:rPr>
        <w:t>consid</w:t>
      </w:r>
      <w:r>
        <w:rPr>
          <w:lang w:val="fr-FR"/>
        </w:rPr>
        <w:t>é</w:t>
      </w:r>
      <w:r w:rsidRPr="00690982">
        <w:rPr>
          <w:lang w:val="fr-FR"/>
        </w:rPr>
        <w:t xml:space="preserve">ration </w:t>
      </w:r>
      <w:r>
        <w:rPr>
          <w:lang w:val="fr-FR"/>
        </w:rPr>
        <w:t>les débats du Comité sur l</w:t>
      </w:r>
      <w:r w:rsidR="00FE6112">
        <w:rPr>
          <w:lang w:val="fr-FR"/>
        </w:rPr>
        <w:t>’</w:t>
      </w:r>
      <w:r w:rsidR="007806BB">
        <w:rPr>
          <w:lang w:val="fr-FR"/>
        </w:rPr>
        <w:t>élargissement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des </w:t>
      </w:r>
      <w:r w:rsidR="007806BB">
        <w:rPr>
          <w:lang w:val="fr-FR"/>
        </w:rPr>
        <w:t>candidatures</w:t>
      </w:r>
      <w:r w:rsidRPr="00690982">
        <w:rPr>
          <w:lang w:val="fr-FR"/>
        </w:rPr>
        <w:t xml:space="preserve"> multinational</w:t>
      </w:r>
      <w:r>
        <w:rPr>
          <w:lang w:val="fr-FR"/>
        </w:rPr>
        <w:t xml:space="preserve">es lors de ses septième, quatorzième et quinzième </w:t>
      </w:r>
      <w:r w:rsidRPr="00690982">
        <w:rPr>
          <w:lang w:val="fr-FR"/>
        </w:rPr>
        <w:t>sessions</w:t>
      </w:r>
      <w:r w:rsidR="00097B39">
        <w:rPr>
          <w:lang w:val="fr-FR"/>
        </w:rPr>
        <w:t xml:space="preserve"> </w:t>
      </w:r>
      <w:r w:rsidRPr="00690982">
        <w:rPr>
          <w:lang w:val="fr-FR"/>
        </w:rPr>
        <w:t>(D</w:t>
      </w:r>
      <w:r>
        <w:rPr>
          <w:lang w:val="fr-FR"/>
        </w:rPr>
        <w:t>é</w:t>
      </w:r>
      <w:r w:rsidRPr="00690982">
        <w:rPr>
          <w:lang w:val="fr-FR"/>
        </w:rPr>
        <w:t xml:space="preserve">cisions </w:t>
      </w:r>
      <w:hyperlink r:id="rId21" w:history="1">
        <w:r w:rsidRPr="00690982">
          <w:rPr>
            <w:rStyle w:val="Lienhypertexte"/>
            <w:lang w:val="fr-FR"/>
          </w:rPr>
          <w:t>7.COM 14</w:t>
        </w:r>
      </w:hyperlink>
      <w:r w:rsidRPr="00690982">
        <w:rPr>
          <w:lang w:val="fr-FR"/>
        </w:rPr>
        <w:t xml:space="preserve">, </w:t>
      </w:r>
      <w:hyperlink r:id="rId22" w:history="1">
        <w:r w:rsidRPr="00690982">
          <w:rPr>
            <w:rStyle w:val="Lienhypertexte"/>
            <w:lang w:val="fr-FR"/>
          </w:rPr>
          <w:t>14.COM 14</w:t>
        </w:r>
      </w:hyperlink>
      <w:r w:rsidRPr="00690982">
        <w:rPr>
          <w:lang w:val="fr-FR"/>
        </w:rPr>
        <w:t xml:space="preserve"> </w:t>
      </w:r>
      <w:r>
        <w:rPr>
          <w:lang w:val="fr-FR"/>
        </w:rPr>
        <w:t>et</w:t>
      </w:r>
      <w:r w:rsidRPr="00690982">
        <w:rPr>
          <w:lang w:val="fr-FR"/>
        </w:rPr>
        <w:t xml:space="preserve"> </w:t>
      </w:r>
      <w:hyperlink r:id="rId23" w:history="1">
        <w:r w:rsidRPr="00690982">
          <w:rPr>
            <w:rStyle w:val="Lienhypertexte"/>
            <w:lang w:val="fr-FR"/>
          </w:rPr>
          <w:t>15.COM 8</w:t>
        </w:r>
      </w:hyperlink>
      <w:r w:rsidRPr="00690982">
        <w:rPr>
          <w:lang w:val="fr-FR"/>
        </w:rPr>
        <w:t>).</w:t>
      </w:r>
    </w:p>
    <w:p w14:paraId="3DA1AFD3" w14:textId="5B843D60" w:rsidR="00F232C8" w:rsidRPr="00690982" w:rsidRDefault="00F232C8" w:rsidP="00F232C8">
      <w:pPr>
        <w:pStyle w:val="1GAPara"/>
        <w:numPr>
          <w:ilvl w:val="0"/>
          <w:numId w:val="7"/>
        </w:numPr>
        <w:spacing w:before="240"/>
        <w:ind w:left="567" w:hanging="567"/>
        <w:rPr>
          <w:b/>
          <w:bCs/>
          <w:lang w:val="fr-FR"/>
        </w:rPr>
      </w:pPr>
      <w:r>
        <w:rPr>
          <w:b/>
          <w:bCs/>
          <w:lang w:val="fr-FR"/>
        </w:rPr>
        <w:t>P</w:t>
      </w:r>
      <w:r w:rsidRPr="00690982">
        <w:rPr>
          <w:b/>
          <w:bCs/>
          <w:lang w:val="fr-FR"/>
        </w:rPr>
        <w:t>roc</w:t>
      </w:r>
      <w:r>
        <w:rPr>
          <w:b/>
          <w:bCs/>
          <w:lang w:val="fr-FR"/>
        </w:rPr>
        <w:t>é</w:t>
      </w:r>
      <w:r w:rsidRPr="00690982">
        <w:rPr>
          <w:b/>
          <w:bCs/>
          <w:lang w:val="fr-FR"/>
        </w:rPr>
        <w:t xml:space="preserve">dures </w:t>
      </w:r>
      <w:r>
        <w:rPr>
          <w:b/>
          <w:bCs/>
          <w:lang w:val="fr-FR"/>
        </w:rPr>
        <w:t>s</w:t>
      </w:r>
      <w:r w:rsidRPr="00690982">
        <w:rPr>
          <w:b/>
          <w:bCs/>
          <w:lang w:val="fr-FR"/>
        </w:rPr>
        <w:t>implifi</w:t>
      </w:r>
      <w:r>
        <w:rPr>
          <w:b/>
          <w:bCs/>
          <w:lang w:val="fr-FR"/>
        </w:rPr>
        <w:t>ées pour le transfert d</w:t>
      </w:r>
      <w:r w:rsidR="00FE6112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éléments entre les Listes de la </w:t>
      </w:r>
      <w:r w:rsidRPr="00690982">
        <w:rPr>
          <w:b/>
          <w:bCs/>
          <w:lang w:val="fr-FR"/>
        </w:rPr>
        <w:t>Convention</w:t>
      </w:r>
    </w:p>
    <w:p w14:paraId="7EE315D4" w14:textId="2B98E505" w:rsidR="00F232C8" w:rsidRPr="00690982" w:rsidRDefault="00F232C8" w:rsidP="00267A13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 w:rsidRPr="00DD6E31">
        <w:rPr>
          <w:lang w:val="fr-FR"/>
        </w:rPr>
        <w:t>Lors de leur réunion en ligne du mois de mai 2021, de nombreux experts ont souligné le fait que le transfert et l</w:t>
      </w:r>
      <w:r>
        <w:rPr>
          <w:lang w:val="fr-FR"/>
        </w:rPr>
        <w:t xml:space="preserve">e retrait </w:t>
      </w:r>
      <w:r w:rsidRPr="00DD6E31">
        <w:rPr>
          <w:lang w:val="fr-FR"/>
        </w:rPr>
        <w:t>doivent être perçus comme des processus distincts et séparés. Ils ont préconisé une approche simplifiée du transfert d</w:t>
      </w:r>
      <w:r w:rsidR="00AA6E6F">
        <w:rPr>
          <w:lang w:val="fr-FR"/>
        </w:rPr>
        <w:t>’</w:t>
      </w:r>
      <w:r w:rsidRPr="00DD6E31">
        <w:rPr>
          <w:lang w:val="fr-FR"/>
        </w:rPr>
        <w:t>éléments entre les deux Listes</w:t>
      </w:r>
      <w:r w:rsidR="00AA6E6F">
        <w:rPr>
          <w:lang w:val="fr-FR"/>
        </w:rPr>
        <w:t xml:space="preserve">, reconnaissant </w:t>
      </w:r>
      <w:r w:rsidRPr="00DD6E31">
        <w:rPr>
          <w:lang w:val="fr-FR"/>
        </w:rPr>
        <w:t xml:space="preserve">une description </w:t>
      </w:r>
      <w:r w:rsidR="00BF3F63">
        <w:rPr>
          <w:lang w:val="fr-FR"/>
        </w:rPr>
        <w:t>actualisée</w:t>
      </w:r>
      <w:r w:rsidRPr="00DD6E31">
        <w:rPr>
          <w:lang w:val="fr-FR"/>
        </w:rPr>
        <w:t xml:space="preserve"> de l</w:t>
      </w:r>
      <w:r w:rsidR="00FE6112">
        <w:rPr>
          <w:lang w:val="fr-FR"/>
        </w:rPr>
        <w:t>’</w:t>
      </w:r>
      <w:r w:rsidRPr="00DD6E31">
        <w:rPr>
          <w:lang w:val="fr-FR"/>
        </w:rPr>
        <w:t xml:space="preserve">élément et </w:t>
      </w:r>
      <w:r w:rsidR="00C8346B">
        <w:rPr>
          <w:lang w:val="fr-FR"/>
        </w:rPr>
        <w:t>le</w:t>
      </w:r>
      <w:r w:rsidRPr="00DD6E31">
        <w:rPr>
          <w:lang w:val="fr-FR"/>
        </w:rPr>
        <w:t xml:space="preserve"> consentement </w:t>
      </w:r>
      <w:r w:rsidR="00AA6E6F">
        <w:rPr>
          <w:lang w:val="fr-FR"/>
        </w:rPr>
        <w:t>des communautés</w:t>
      </w:r>
      <w:r w:rsidRPr="00DD6E31">
        <w:rPr>
          <w:lang w:val="fr-FR"/>
        </w:rPr>
        <w:t xml:space="preserve"> </w:t>
      </w:r>
      <w:r w:rsidR="00AA6E6F">
        <w:rPr>
          <w:lang w:val="fr-FR"/>
        </w:rPr>
        <w:t>comme</w:t>
      </w:r>
      <w:r w:rsidRPr="00DD6E31">
        <w:rPr>
          <w:lang w:val="fr-FR"/>
        </w:rPr>
        <w:t xml:space="preserve"> des critères essentiels </w:t>
      </w:r>
      <w:r w:rsidR="00AA6E6F">
        <w:rPr>
          <w:lang w:val="fr-FR"/>
        </w:rPr>
        <w:t>pour</w:t>
      </w:r>
      <w:r w:rsidRPr="00DD6E31">
        <w:rPr>
          <w:lang w:val="fr-FR"/>
        </w:rPr>
        <w:t xml:space="preserve"> tout transfert, et qu</w:t>
      </w:r>
      <w:r w:rsidR="00FE6112">
        <w:rPr>
          <w:lang w:val="fr-FR"/>
        </w:rPr>
        <w:t>’</w:t>
      </w:r>
      <w:r w:rsidRPr="00DD6E31">
        <w:rPr>
          <w:lang w:val="fr-FR"/>
        </w:rPr>
        <w:t xml:space="preserve">il était en outre nécessaire de mettre au point un processus et un format appropriés pour rechercher et exprimer ce consentement. Des liens entre les deux Listes, le </w:t>
      </w:r>
      <w:r w:rsidR="00AA6E6F">
        <w:rPr>
          <w:lang w:val="fr-FR"/>
        </w:rPr>
        <w:t>R</w:t>
      </w:r>
      <w:r w:rsidRPr="00DD6E31">
        <w:rPr>
          <w:lang w:val="fr-FR"/>
        </w:rPr>
        <w:t>egistre de bonnes pratiques de sauvegarde et l</w:t>
      </w:r>
      <w:r w:rsidR="00FE6112">
        <w:rPr>
          <w:lang w:val="fr-FR"/>
        </w:rPr>
        <w:t>’</w:t>
      </w:r>
      <w:r w:rsidR="00AA6E6F">
        <w:rPr>
          <w:lang w:val="fr-FR"/>
        </w:rPr>
        <w:t>a</w:t>
      </w:r>
      <w:r w:rsidRPr="00DD6E31">
        <w:rPr>
          <w:lang w:val="fr-FR"/>
        </w:rPr>
        <w:t xml:space="preserve">ssistance internationale ont également été proposés pour optimiser les synergies entre les différents </w:t>
      </w:r>
      <w:r w:rsidRPr="00DD6E31">
        <w:rPr>
          <w:lang w:val="fr-FR"/>
        </w:rPr>
        <w:lastRenderedPageBreak/>
        <w:t>mécanismes</w:t>
      </w:r>
      <w:r w:rsidR="00BF1501">
        <w:rPr>
          <w:lang w:val="fr-FR"/>
        </w:rPr>
        <w:t>, renforcer</w:t>
      </w:r>
      <w:r w:rsidRPr="00DD6E31">
        <w:rPr>
          <w:lang w:val="fr-FR"/>
        </w:rPr>
        <w:t xml:space="preserve"> </w:t>
      </w:r>
      <w:r w:rsidR="00BF1501">
        <w:rPr>
          <w:lang w:val="fr-FR"/>
        </w:rPr>
        <w:t>la</w:t>
      </w:r>
      <w:r w:rsidRPr="00DD6E31">
        <w:rPr>
          <w:lang w:val="fr-FR"/>
        </w:rPr>
        <w:t xml:space="preserve"> coopération et rendre le Registre, jusqu</w:t>
      </w:r>
      <w:r w:rsidR="00FE6112">
        <w:rPr>
          <w:lang w:val="fr-FR"/>
        </w:rPr>
        <w:t>’</w:t>
      </w:r>
      <w:r w:rsidRPr="00DD6E31">
        <w:rPr>
          <w:lang w:val="fr-FR"/>
        </w:rPr>
        <w:t>à présent sous-utilisé, plus attrayant pour les États</w:t>
      </w:r>
      <w:r w:rsidR="00BF1501">
        <w:rPr>
          <w:lang w:val="fr-FR"/>
        </w:rPr>
        <w:t xml:space="preserve"> parties</w:t>
      </w:r>
      <w:r w:rsidRPr="00DD6E31">
        <w:rPr>
          <w:lang w:val="fr-FR"/>
        </w:rPr>
        <w:t xml:space="preserve"> soumissionnaires</w:t>
      </w:r>
      <w:r w:rsidRPr="00690982">
        <w:rPr>
          <w:lang w:val="fr-FR"/>
        </w:rPr>
        <w:t>.</w:t>
      </w:r>
    </w:p>
    <w:p w14:paraId="68C96099" w14:textId="61F98EAB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La Partie </w:t>
      </w:r>
      <w:r w:rsidRPr="00690982">
        <w:rPr>
          <w:lang w:val="fr-FR"/>
        </w:rPr>
        <w:t xml:space="preserve">I </w:t>
      </w:r>
      <w:r>
        <w:rPr>
          <w:lang w:val="fr-FR"/>
        </w:rPr>
        <w:t>d</w:t>
      </w:r>
      <w:r w:rsidR="00AA6E6F">
        <w:rPr>
          <w:lang w:val="fr-FR"/>
        </w:rPr>
        <w:t>e la réunion d</w:t>
      </w:r>
      <w:r>
        <w:rPr>
          <w:lang w:val="fr-FR"/>
        </w:rPr>
        <w:t>u groupe de travail a souligné l</w:t>
      </w:r>
      <w:r w:rsidR="00FE6112">
        <w:rPr>
          <w:lang w:val="fr-FR"/>
        </w:rPr>
        <w:t>’</w:t>
      </w:r>
      <w:r>
        <w:rPr>
          <w:lang w:val="fr-FR"/>
        </w:rPr>
        <w:t xml:space="preserve">importance du suivi de la situation changeante des éléments inscrits sur les Listes de la </w:t>
      </w:r>
      <w:r w:rsidRPr="00690982">
        <w:rPr>
          <w:lang w:val="fr-FR"/>
        </w:rPr>
        <w:t>Convention</w:t>
      </w:r>
      <w:r>
        <w:rPr>
          <w:lang w:val="fr-FR"/>
        </w:rPr>
        <w:t>, au vu de la nature dynamique du patrimoine culturel immatériel</w:t>
      </w:r>
      <w:r w:rsidRPr="00690982">
        <w:rPr>
          <w:lang w:val="fr-FR"/>
        </w:rPr>
        <w:t xml:space="preserve">. </w:t>
      </w:r>
      <w:r>
        <w:rPr>
          <w:lang w:val="fr-FR"/>
        </w:rPr>
        <w:t>Elle a tout spécialement mis l</w:t>
      </w:r>
      <w:r w:rsidR="00FE6112">
        <w:rPr>
          <w:lang w:val="fr-FR"/>
        </w:rPr>
        <w:t>’</w:t>
      </w:r>
      <w:r>
        <w:rPr>
          <w:lang w:val="fr-FR"/>
        </w:rPr>
        <w:t xml:space="preserve">accent sur la nécessité de faciliter une assistance financière et technique aux éléments </w:t>
      </w:r>
      <w:r w:rsidRPr="00690982">
        <w:rPr>
          <w:lang w:val="fr-FR"/>
        </w:rPr>
        <w:t>inscri</w:t>
      </w:r>
      <w:r>
        <w:rPr>
          <w:lang w:val="fr-FR"/>
        </w:rPr>
        <w:t>ts sur la Liste de sauvegarde urgente et de garanti</w:t>
      </w:r>
      <w:r w:rsidR="00C8346B">
        <w:rPr>
          <w:lang w:val="fr-FR"/>
        </w:rPr>
        <w:t>r</w:t>
      </w:r>
      <w:r>
        <w:rPr>
          <w:lang w:val="fr-FR"/>
        </w:rPr>
        <w:t xml:space="preserve"> un lien entre le suivi des éléments inscrits et </w:t>
      </w:r>
      <w:r w:rsidR="00FB1B88">
        <w:rPr>
          <w:lang w:val="fr-FR"/>
        </w:rPr>
        <w:t>le</w:t>
      </w:r>
      <w:r>
        <w:rPr>
          <w:lang w:val="fr-FR"/>
        </w:rPr>
        <w:t xml:space="preserve"> mécanisme</w:t>
      </w:r>
      <w:r w:rsidR="00097B39">
        <w:rPr>
          <w:lang w:val="fr-FR"/>
        </w:rPr>
        <w:t xml:space="preserve"> </w:t>
      </w:r>
      <w:r>
        <w:rPr>
          <w:lang w:val="fr-FR"/>
        </w:rPr>
        <w:t>de</w:t>
      </w:r>
      <w:r w:rsidR="00AA6E6F">
        <w:rPr>
          <w:lang w:val="fr-FR"/>
        </w:rPr>
        <w:t>s rapports</w:t>
      </w:r>
      <w:r>
        <w:rPr>
          <w:lang w:val="fr-FR"/>
        </w:rPr>
        <w:t xml:space="preserve"> périodique</w:t>
      </w:r>
      <w:r w:rsidR="00AA6E6F">
        <w:rPr>
          <w:lang w:val="fr-FR"/>
        </w:rPr>
        <w:t>s</w:t>
      </w:r>
      <w:r>
        <w:rPr>
          <w:lang w:val="fr-FR"/>
        </w:rPr>
        <w:t xml:space="preserve"> </w:t>
      </w:r>
      <w:r w:rsidRPr="00690982">
        <w:rPr>
          <w:lang w:val="fr-FR"/>
        </w:rPr>
        <w:t>(</w:t>
      </w:r>
      <w:r>
        <w:rPr>
          <w:lang w:val="fr-FR"/>
        </w:rPr>
        <w:t xml:space="preserve">voir le paragraphe </w:t>
      </w:r>
      <w:r w:rsidRPr="00690982">
        <w:rPr>
          <w:lang w:val="fr-FR"/>
        </w:rPr>
        <w:t xml:space="preserve">7 </w:t>
      </w:r>
      <w:r>
        <w:rPr>
          <w:lang w:val="fr-FR"/>
        </w:rPr>
        <w:t>des</w:t>
      </w:r>
      <w:r w:rsidRPr="00690982">
        <w:rPr>
          <w:lang w:val="fr-FR"/>
        </w:rPr>
        <w:t xml:space="preserve"> </w:t>
      </w:r>
      <w:hyperlink r:id="rId24" w:history="1">
        <w:r w:rsidRPr="00690982">
          <w:rPr>
            <w:rStyle w:val="Lienhypertexte"/>
            <w:lang w:val="fr-FR"/>
          </w:rPr>
          <w:t>Recomm</w:t>
        </w:r>
        <w:r>
          <w:rPr>
            <w:rStyle w:val="Lienhypertexte"/>
            <w:lang w:val="fr-FR"/>
          </w:rPr>
          <w:t>a</w:t>
        </w:r>
        <w:r w:rsidRPr="00690982">
          <w:rPr>
            <w:rStyle w:val="Lienhypertexte"/>
            <w:lang w:val="fr-FR"/>
          </w:rPr>
          <w:t xml:space="preserve">ndations </w:t>
        </w:r>
        <w:r>
          <w:rPr>
            <w:rStyle w:val="Lienhypertexte"/>
            <w:lang w:val="fr-FR"/>
          </w:rPr>
          <w:t xml:space="preserve">de la </w:t>
        </w:r>
        <w:r w:rsidRPr="00690982">
          <w:rPr>
            <w:rStyle w:val="Lienhypertexte"/>
            <w:lang w:val="fr-FR"/>
          </w:rPr>
          <w:t>Part</w:t>
        </w:r>
        <w:r>
          <w:rPr>
            <w:rStyle w:val="Lienhypertexte"/>
            <w:lang w:val="fr-FR"/>
          </w:rPr>
          <w:t>ie</w:t>
        </w:r>
        <w:r w:rsidR="00FB1B88">
          <w:rPr>
            <w:rStyle w:val="Lienhypertexte"/>
            <w:lang w:val="fr-FR"/>
          </w:rPr>
          <w:t> </w:t>
        </w:r>
        <w:r w:rsidRPr="00690982">
          <w:rPr>
            <w:rStyle w:val="Lienhypertexte"/>
            <w:lang w:val="fr-FR"/>
          </w:rPr>
          <w:t>I d</w:t>
        </w:r>
        <w:r>
          <w:rPr>
            <w:rStyle w:val="Lienhypertexte"/>
            <w:lang w:val="fr-FR"/>
          </w:rPr>
          <w:t xml:space="preserve">u groupe de travail </w:t>
        </w:r>
        <w:r w:rsidRPr="00690982">
          <w:rPr>
            <w:rStyle w:val="Lienhypertexte"/>
            <w:lang w:val="fr-FR"/>
          </w:rPr>
          <w:t xml:space="preserve">inter-gouvernemental </w:t>
        </w:r>
        <w:r w:rsidR="00216247">
          <w:rPr>
            <w:rStyle w:val="Lienhypertexte"/>
            <w:lang w:val="fr-FR"/>
          </w:rPr>
          <w:t>à composition non limitée</w:t>
        </w:r>
      </w:hyperlink>
      <w:r w:rsidRPr="00690982">
        <w:rPr>
          <w:rStyle w:val="Lienhypertexte"/>
          <w:color w:val="auto"/>
          <w:u w:val="none"/>
          <w:lang w:val="fr-FR"/>
        </w:rPr>
        <w:t>).</w:t>
      </w:r>
    </w:p>
    <w:p w14:paraId="108BADB8" w14:textId="11EE586D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Le groupe de travail a préconisé la </w:t>
      </w:r>
      <w:r w:rsidRPr="00690982">
        <w:rPr>
          <w:lang w:val="fr-FR"/>
        </w:rPr>
        <w:t>d</w:t>
      </w:r>
      <w:r>
        <w:rPr>
          <w:lang w:val="fr-FR"/>
        </w:rPr>
        <w:t>é</w:t>
      </w:r>
      <w:r w:rsidRPr="00690982">
        <w:rPr>
          <w:lang w:val="fr-FR"/>
        </w:rPr>
        <w:t xml:space="preserve">finition </w:t>
      </w:r>
      <w:r>
        <w:rPr>
          <w:lang w:val="fr-FR"/>
        </w:rPr>
        <w:t xml:space="preserve">de procédures de suivi claires et </w:t>
      </w:r>
      <w:r w:rsidRPr="00690982">
        <w:rPr>
          <w:lang w:val="fr-FR"/>
        </w:rPr>
        <w:t>simplifi</w:t>
      </w:r>
      <w:r>
        <w:rPr>
          <w:lang w:val="fr-FR"/>
        </w:rPr>
        <w:t>ée</w:t>
      </w:r>
      <w:r w:rsidR="00C8346B">
        <w:rPr>
          <w:lang w:val="fr-FR"/>
        </w:rPr>
        <w:t>s</w:t>
      </w:r>
      <w:r w:rsidRPr="00690982">
        <w:rPr>
          <w:lang w:val="fr-FR"/>
        </w:rPr>
        <w:t xml:space="preserve">. </w:t>
      </w:r>
      <w:r>
        <w:rPr>
          <w:lang w:val="fr-FR"/>
        </w:rPr>
        <w:t xml:space="preserve">Conformément aux </w:t>
      </w:r>
      <w:r w:rsidR="003223E8">
        <w:rPr>
          <w:lang w:val="fr-FR"/>
        </w:rPr>
        <w:t>p</w:t>
      </w:r>
      <w:r>
        <w:rPr>
          <w:lang w:val="fr-FR"/>
        </w:rPr>
        <w:t xml:space="preserve">rincipes </w:t>
      </w:r>
      <w:r w:rsidR="003223E8">
        <w:rPr>
          <w:lang w:val="fr-FR"/>
        </w:rPr>
        <w:t>é</w:t>
      </w:r>
      <w:r>
        <w:rPr>
          <w:lang w:val="fr-FR"/>
        </w:rPr>
        <w:t xml:space="preserve">thiques </w:t>
      </w:r>
      <w:r w:rsidR="003223E8">
        <w:rPr>
          <w:lang w:val="fr-FR"/>
        </w:rPr>
        <w:t>pour</w:t>
      </w:r>
      <w:r>
        <w:rPr>
          <w:lang w:val="fr-FR"/>
        </w:rPr>
        <w:t xml:space="preserve"> la </w:t>
      </w:r>
      <w:r w:rsidR="003223E8">
        <w:rPr>
          <w:lang w:val="fr-FR"/>
        </w:rPr>
        <w:t>s</w:t>
      </w:r>
      <w:r w:rsidR="00BF1501">
        <w:rPr>
          <w:lang w:val="fr-FR"/>
        </w:rPr>
        <w:t xml:space="preserve">auvegarde </w:t>
      </w:r>
      <w:r>
        <w:rPr>
          <w:lang w:val="fr-FR"/>
        </w:rPr>
        <w:t xml:space="preserve">du </w:t>
      </w:r>
      <w:r w:rsidR="003223E8">
        <w:rPr>
          <w:lang w:val="fr-FR"/>
        </w:rPr>
        <w:t>p</w:t>
      </w:r>
      <w:r w:rsidRPr="00213C7D">
        <w:rPr>
          <w:lang w:val="fr-FR"/>
        </w:rPr>
        <w:t xml:space="preserve">atrimoine </w:t>
      </w:r>
      <w:r w:rsidR="003223E8">
        <w:rPr>
          <w:lang w:val="fr-FR"/>
        </w:rPr>
        <w:t>c</w:t>
      </w:r>
      <w:r w:rsidRPr="00213C7D">
        <w:rPr>
          <w:lang w:val="fr-FR"/>
        </w:rPr>
        <w:t xml:space="preserve">ulturel </w:t>
      </w:r>
      <w:r w:rsidR="003223E8">
        <w:rPr>
          <w:lang w:val="fr-FR"/>
        </w:rPr>
        <w:t>i</w:t>
      </w:r>
      <w:r w:rsidRPr="00213C7D">
        <w:rPr>
          <w:lang w:val="fr-FR"/>
        </w:rPr>
        <w:t>mmatériel</w:t>
      </w:r>
      <w:r w:rsidRPr="00690982">
        <w:rPr>
          <w:lang w:val="fr-FR"/>
        </w:rPr>
        <w:t xml:space="preserve">, </w:t>
      </w:r>
      <w:r>
        <w:rPr>
          <w:lang w:val="fr-FR"/>
        </w:rPr>
        <w:t>il a souligné la nécessité de garantir le rôle principal des communautés concernées</w:t>
      </w:r>
      <w:r w:rsidRPr="00690982">
        <w:rPr>
          <w:lang w:val="fr-FR"/>
        </w:rPr>
        <w:t xml:space="preserve">, </w:t>
      </w:r>
      <w:r>
        <w:rPr>
          <w:lang w:val="fr-FR"/>
        </w:rPr>
        <w:t>y compris lors de procédures aboutissant au transfert éventuel d</w:t>
      </w:r>
      <w:r w:rsidR="00FE6112">
        <w:rPr>
          <w:lang w:val="fr-FR"/>
        </w:rPr>
        <w:t>’</w:t>
      </w:r>
      <w:r>
        <w:rPr>
          <w:lang w:val="fr-FR"/>
        </w:rPr>
        <w:t>éléments de leur</w:t>
      </w:r>
      <w:r w:rsidR="00097B39">
        <w:rPr>
          <w:lang w:val="fr-FR"/>
        </w:rPr>
        <w:t xml:space="preserve"> </w:t>
      </w:r>
      <w:r w:rsidRPr="00213C7D">
        <w:rPr>
          <w:lang w:val="fr-FR"/>
        </w:rPr>
        <w:t>patrimoine culturel immatériel</w:t>
      </w:r>
      <w:r>
        <w:rPr>
          <w:lang w:val="fr-FR"/>
        </w:rPr>
        <w:t xml:space="preserve"> ou de pratiques de sauvegarde spécifiques </w:t>
      </w:r>
      <w:r w:rsidR="00FB1B88">
        <w:rPr>
          <w:lang w:val="fr-FR"/>
        </w:rPr>
        <w:t>entre les</w:t>
      </w:r>
      <w:r w:rsidR="00BF1501">
        <w:rPr>
          <w:lang w:val="fr-FR"/>
        </w:rPr>
        <w:t xml:space="preserve"> </w:t>
      </w:r>
      <w:r w:rsidRPr="00690982">
        <w:rPr>
          <w:lang w:val="fr-FR"/>
        </w:rPr>
        <w:t>List</w:t>
      </w:r>
      <w:r>
        <w:rPr>
          <w:lang w:val="fr-FR"/>
        </w:rPr>
        <w:t>e</w:t>
      </w:r>
      <w:r w:rsidRPr="00690982">
        <w:rPr>
          <w:lang w:val="fr-FR"/>
        </w:rPr>
        <w:t xml:space="preserve">s </w:t>
      </w:r>
      <w:r>
        <w:rPr>
          <w:lang w:val="fr-FR"/>
        </w:rPr>
        <w:t xml:space="preserve">de la </w:t>
      </w:r>
      <w:r w:rsidRPr="00690982">
        <w:rPr>
          <w:lang w:val="fr-FR"/>
        </w:rPr>
        <w:t>Convention</w:t>
      </w:r>
      <w:r w:rsidR="00FB1B88">
        <w:rPr>
          <w:lang w:val="fr-FR"/>
        </w:rPr>
        <w:t xml:space="preserve"> et avec le</w:t>
      </w:r>
      <w:r>
        <w:rPr>
          <w:lang w:val="fr-FR"/>
        </w:rPr>
        <w:t xml:space="preserve"> </w:t>
      </w:r>
      <w:r w:rsidRPr="00690982">
        <w:rPr>
          <w:lang w:val="fr-FR"/>
        </w:rPr>
        <w:t>Regist</w:t>
      </w:r>
      <w:r>
        <w:rPr>
          <w:lang w:val="fr-FR"/>
        </w:rPr>
        <w:t xml:space="preserve">re, ou </w:t>
      </w:r>
      <w:r w:rsidR="003223E8">
        <w:rPr>
          <w:lang w:val="fr-FR"/>
        </w:rPr>
        <w:t xml:space="preserve">à </w:t>
      </w:r>
      <w:r>
        <w:rPr>
          <w:lang w:val="fr-FR"/>
        </w:rPr>
        <w:t>leur retrait éventuel</w:t>
      </w:r>
      <w:r w:rsidRPr="00690982">
        <w:rPr>
          <w:lang w:val="fr-FR"/>
        </w:rPr>
        <w:t xml:space="preserve">. </w:t>
      </w:r>
      <w:r>
        <w:rPr>
          <w:lang w:val="fr-FR"/>
        </w:rPr>
        <w:t>Tout en reconnaissant que les rôles des différentes parties prenantes devaient être clarifiés, et en évoquant la pertinence possible d</w:t>
      </w:r>
      <w:r w:rsidR="00FE6112">
        <w:rPr>
          <w:lang w:val="fr-FR"/>
        </w:rPr>
        <w:t>’</w:t>
      </w:r>
      <w:r>
        <w:rPr>
          <w:lang w:val="fr-FR"/>
        </w:rPr>
        <w:t>une plate-forme indépendante</w:t>
      </w:r>
      <w:r w:rsidRPr="00690982">
        <w:rPr>
          <w:lang w:val="fr-FR"/>
        </w:rPr>
        <w:t>,</w:t>
      </w:r>
      <w:r>
        <w:rPr>
          <w:lang w:val="fr-FR"/>
        </w:rPr>
        <w:t xml:space="preserve"> le groupe de travail a </w:t>
      </w:r>
      <w:r w:rsidRPr="00690982">
        <w:rPr>
          <w:lang w:val="fr-FR"/>
        </w:rPr>
        <w:t>encourag</w:t>
      </w:r>
      <w:r>
        <w:rPr>
          <w:lang w:val="fr-FR"/>
        </w:rPr>
        <w:t>é les États parties à garantir un suivi participatif au</w:t>
      </w:r>
      <w:r w:rsidR="00C8346B">
        <w:rPr>
          <w:lang w:val="fr-FR"/>
        </w:rPr>
        <w:t xml:space="preserve"> </w:t>
      </w:r>
      <w:r>
        <w:rPr>
          <w:lang w:val="fr-FR"/>
        </w:rPr>
        <w:t xml:space="preserve">niveau local </w:t>
      </w:r>
      <w:r w:rsidR="00BF1501">
        <w:rPr>
          <w:lang w:val="fr-FR"/>
        </w:rPr>
        <w:t xml:space="preserve">avec </w:t>
      </w:r>
      <w:r>
        <w:rPr>
          <w:lang w:val="fr-FR"/>
        </w:rPr>
        <w:t>les communautés, les autorités nationales et la société civile</w:t>
      </w:r>
      <w:r w:rsidRPr="00690982">
        <w:rPr>
          <w:lang w:val="fr-FR"/>
        </w:rPr>
        <w:t xml:space="preserve">. </w:t>
      </w:r>
      <w:r>
        <w:rPr>
          <w:lang w:val="fr-FR"/>
        </w:rPr>
        <w:t>À cet égard, l</w:t>
      </w:r>
      <w:r w:rsidR="00FE6112">
        <w:rPr>
          <w:lang w:val="fr-FR"/>
        </w:rPr>
        <w:t>’</w:t>
      </w:r>
      <w:r>
        <w:rPr>
          <w:lang w:val="fr-FR"/>
        </w:rPr>
        <w:t>utilisation de la langue de la communauté (ou d</w:t>
      </w:r>
      <w:r w:rsidR="00FE6112">
        <w:rPr>
          <w:lang w:val="fr-FR"/>
        </w:rPr>
        <w:t>’</w:t>
      </w:r>
      <w:r>
        <w:rPr>
          <w:lang w:val="fr-FR"/>
        </w:rPr>
        <w:t xml:space="preserve">une ou plusieurs langues accessibles pour elle) doit être </w:t>
      </w:r>
      <w:r w:rsidR="009E45FB">
        <w:rPr>
          <w:lang w:val="fr-FR"/>
        </w:rPr>
        <w:t>facilitée</w:t>
      </w:r>
      <w:r w:rsidRPr="00690982">
        <w:rPr>
          <w:lang w:val="fr-FR"/>
        </w:rPr>
        <w:t>.</w:t>
      </w:r>
    </w:p>
    <w:p w14:paraId="5994210B" w14:textId="77777777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En réponse au besoin de </w:t>
      </w:r>
      <w:r w:rsidRPr="00690982">
        <w:rPr>
          <w:lang w:val="fr-FR"/>
        </w:rPr>
        <w:t>simplification expr</w:t>
      </w:r>
      <w:r>
        <w:rPr>
          <w:lang w:val="fr-FR"/>
        </w:rPr>
        <w:t>imé tant par le groupe de travail que par les experts</w:t>
      </w:r>
      <w:r w:rsidRPr="00690982">
        <w:rPr>
          <w:lang w:val="fr-FR"/>
        </w:rPr>
        <w:t xml:space="preserve">, </w:t>
      </w:r>
      <w:r>
        <w:rPr>
          <w:lang w:val="fr-FR"/>
        </w:rPr>
        <w:t xml:space="preserve">les points suivants sont proposés </w:t>
      </w:r>
      <w:r w:rsidRPr="00690982">
        <w:rPr>
          <w:lang w:val="fr-FR"/>
        </w:rPr>
        <w:t>:</w:t>
      </w:r>
    </w:p>
    <w:p w14:paraId="22C47B7D" w14:textId="2EC1DAD9" w:rsidR="00F232C8" w:rsidRPr="00690982" w:rsidRDefault="00FB1B88" w:rsidP="002B6728">
      <w:pPr>
        <w:pStyle w:val="1GAPara"/>
        <w:numPr>
          <w:ilvl w:val="0"/>
          <w:numId w:val="116"/>
        </w:numPr>
        <w:ind w:left="1134" w:hanging="567"/>
        <w:jc w:val="both"/>
        <w:rPr>
          <w:lang w:val="fr-FR"/>
        </w:rPr>
      </w:pPr>
      <w:r>
        <w:rPr>
          <w:lang w:val="fr-FR"/>
        </w:rPr>
        <w:t>L’a</w:t>
      </w:r>
      <w:r w:rsidR="00F232C8" w:rsidRPr="00690982">
        <w:rPr>
          <w:lang w:val="fr-FR"/>
        </w:rPr>
        <w:t>ppl</w:t>
      </w:r>
      <w:r w:rsidR="00F232C8">
        <w:rPr>
          <w:lang w:val="fr-FR"/>
        </w:rPr>
        <w:t>ication d</w:t>
      </w:r>
      <w:r w:rsidR="00FE6112">
        <w:rPr>
          <w:lang w:val="fr-FR"/>
        </w:rPr>
        <w:t>’</w:t>
      </w:r>
      <w:r w:rsidR="00F232C8">
        <w:rPr>
          <w:lang w:val="fr-FR"/>
        </w:rPr>
        <w:t xml:space="preserve">un nombre réduit de critères, avec des exigences portant uniquement sur les informations nouvelles ou mises à jour </w:t>
      </w:r>
      <w:r w:rsidR="00F232C8" w:rsidRPr="00690982">
        <w:rPr>
          <w:lang w:val="fr-FR"/>
        </w:rPr>
        <w:t>;</w:t>
      </w:r>
    </w:p>
    <w:p w14:paraId="66C231BD" w14:textId="7FC30B8F" w:rsidR="00F232C8" w:rsidRPr="00690982" w:rsidRDefault="00FB1B88" w:rsidP="002B6728">
      <w:pPr>
        <w:pStyle w:val="1GAPara"/>
        <w:numPr>
          <w:ilvl w:val="0"/>
          <w:numId w:val="116"/>
        </w:numPr>
        <w:ind w:left="1134" w:hanging="567"/>
        <w:jc w:val="both"/>
        <w:rPr>
          <w:lang w:val="fr-FR"/>
        </w:rPr>
      </w:pPr>
      <w:r>
        <w:rPr>
          <w:lang w:val="fr-FR"/>
        </w:rPr>
        <w:t>L’u</w:t>
      </w:r>
      <w:r w:rsidR="00F232C8">
        <w:rPr>
          <w:lang w:val="fr-FR"/>
        </w:rPr>
        <w:t>tilisation de formulaires de demande de transfert plus légers que le</w:t>
      </w:r>
      <w:r w:rsidR="009E45FB">
        <w:rPr>
          <w:lang w:val="fr-FR"/>
        </w:rPr>
        <w:t>s</w:t>
      </w:r>
      <w:r w:rsidR="00F232C8">
        <w:rPr>
          <w:lang w:val="fr-FR"/>
        </w:rPr>
        <w:t xml:space="preserve"> </w:t>
      </w:r>
      <w:r w:rsidR="009E45FB">
        <w:rPr>
          <w:lang w:val="fr-FR"/>
        </w:rPr>
        <w:t>f</w:t>
      </w:r>
      <w:r w:rsidR="00F232C8">
        <w:rPr>
          <w:lang w:val="fr-FR"/>
        </w:rPr>
        <w:t>ormulaire</w:t>
      </w:r>
      <w:r w:rsidR="009E45FB">
        <w:rPr>
          <w:lang w:val="fr-FR"/>
        </w:rPr>
        <w:t>s</w:t>
      </w:r>
      <w:r w:rsidR="00F232C8">
        <w:rPr>
          <w:lang w:val="fr-FR"/>
        </w:rPr>
        <w:t xml:space="preserve"> </w:t>
      </w:r>
      <w:r w:rsidR="00F232C8" w:rsidRPr="00690982">
        <w:rPr>
          <w:lang w:val="fr-FR"/>
        </w:rPr>
        <w:t xml:space="preserve">ICH-01 </w:t>
      </w:r>
      <w:r w:rsidR="00F232C8">
        <w:rPr>
          <w:lang w:val="fr-FR"/>
        </w:rPr>
        <w:t xml:space="preserve">et </w:t>
      </w:r>
      <w:r w:rsidR="00F232C8" w:rsidRPr="00690982">
        <w:rPr>
          <w:lang w:val="fr-FR"/>
        </w:rPr>
        <w:t>ICH-02</w:t>
      </w:r>
      <w:r w:rsidR="00F21894">
        <w:rPr>
          <w:lang w:val="fr-FR"/>
        </w:rPr>
        <w:t>,</w:t>
      </w:r>
      <w:r w:rsidR="00F232C8" w:rsidRPr="00690982">
        <w:rPr>
          <w:lang w:val="fr-FR"/>
        </w:rPr>
        <w:t xml:space="preserve"> </w:t>
      </w:r>
      <w:r w:rsidR="00F232C8">
        <w:rPr>
          <w:lang w:val="fr-FR"/>
        </w:rPr>
        <w:t>nécessit</w:t>
      </w:r>
      <w:r w:rsidR="00F21894">
        <w:rPr>
          <w:lang w:val="fr-FR"/>
        </w:rPr>
        <w:t>a</w:t>
      </w:r>
      <w:r w:rsidR="00F232C8">
        <w:rPr>
          <w:lang w:val="fr-FR"/>
        </w:rPr>
        <w:t xml:space="preserve">nt la </w:t>
      </w:r>
      <w:r w:rsidR="00F232C8" w:rsidRPr="00690982">
        <w:rPr>
          <w:lang w:val="fr-FR"/>
        </w:rPr>
        <w:t xml:space="preserve">participation </w:t>
      </w:r>
      <w:r w:rsidR="00F232C8">
        <w:rPr>
          <w:lang w:val="fr-FR"/>
        </w:rPr>
        <w:t>de</w:t>
      </w:r>
      <w:r w:rsidR="00BF1501">
        <w:rPr>
          <w:lang w:val="fr-FR"/>
        </w:rPr>
        <w:t>s</w:t>
      </w:r>
      <w:r w:rsidR="00F232C8">
        <w:rPr>
          <w:lang w:val="fr-FR"/>
        </w:rPr>
        <w:t xml:space="preserve"> communauté</w:t>
      </w:r>
      <w:r w:rsidR="00BF1501">
        <w:rPr>
          <w:lang w:val="fr-FR"/>
        </w:rPr>
        <w:t>s</w:t>
      </w:r>
      <w:r w:rsidR="00F232C8" w:rsidRPr="00690982">
        <w:rPr>
          <w:lang w:val="fr-FR"/>
        </w:rPr>
        <w:t xml:space="preserve">, </w:t>
      </w:r>
      <w:r w:rsidR="00F232C8">
        <w:rPr>
          <w:lang w:val="fr-FR"/>
        </w:rPr>
        <w:t xml:space="preserve">des groupes et des individus à tous les stades </w:t>
      </w:r>
      <w:r w:rsidR="00F232C8" w:rsidRPr="00690982">
        <w:rPr>
          <w:lang w:val="fr-FR"/>
        </w:rPr>
        <w:t>;</w:t>
      </w:r>
    </w:p>
    <w:p w14:paraId="42FB1CDE" w14:textId="0E09BE41" w:rsidR="00F232C8" w:rsidRPr="00690982" w:rsidRDefault="00FB1B88" w:rsidP="002B6728">
      <w:pPr>
        <w:pStyle w:val="1GAPara"/>
        <w:numPr>
          <w:ilvl w:val="0"/>
          <w:numId w:val="116"/>
        </w:numPr>
        <w:ind w:left="1134" w:hanging="567"/>
        <w:jc w:val="both"/>
        <w:rPr>
          <w:lang w:val="fr-FR"/>
        </w:rPr>
      </w:pPr>
      <w:r>
        <w:rPr>
          <w:lang w:val="fr-FR"/>
        </w:rPr>
        <w:t>La c</w:t>
      </w:r>
      <w:r w:rsidR="00F232C8">
        <w:rPr>
          <w:lang w:val="fr-FR"/>
        </w:rPr>
        <w:t xml:space="preserve">réation de liens entre la Liste de sauvegarde urgente et le Registre de bonnes pratiques de sauvegarde, ainsi </w:t>
      </w:r>
      <w:r w:rsidR="0008673A">
        <w:rPr>
          <w:lang w:val="fr-FR"/>
        </w:rPr>
        <w:t>qu</w:t>
      </w:r>
      <w:r w:rsidR="00FE6112">
        <w:rPr>
          <w:lang w:val="fr-FR"/>
        </w:rPr>
        <w:t>’</w:t>
      </w:r>
      <w:r w:rsidR="0008673A">
        <w:rPr>
          <w:lang w:val="fr-FR"/>
        </w:rPr>
        <w:t>avec</w:t>
      </w:r>
      <w:r w:rsidR="00F232C8">
        <w:rPr>
          <w:lang w:val="fr-FR"/>
        </w:rPr>
        <w:t xml:space="preserve"> l</w:t>
      </w:r>
      <w:r w:rsidR="00FE6112">
        <w:rPr>
          <w:lang w:val="fr-FR"/>
        </w:rPr>
        <w:t>’</w:t>
      </w:r>
      <w:r w:rsidR="002B6728">
        <w:rPr>
          <w:lang w:val="fr-FR"/>
        </w:rPr>
        <w:t>a</w:t>
      </w:r>
      <w:r w:rsidR="00F232C8" w:rsidRPr="00690982">
        <w:rPr>
          <w:lang w:val="fr-FR"/>
        </w:rPr>
        <w:t>ssistance</w:t>
      </w:r>
      <w:r w:rsidR="00F232C8">
        <w:rPr>
          <w:lang w:val="fr-FR"/>
        </w:rPr>
        <w:t xml:space="preserve"> i</w:t>
      </w:r>
      <w:r w:rsidR="00F232C8" w:rsidRPr="00690982">
        <w:rPr>
          <w:lang w:val="fr-FR"/>
        </w:rPr>
        <w:t>nternational</w:t>
      </w:r>
      <w:r w:rsidR="00F232C8">
        <w:rPr>
          <w:lang w:val="fr-FR"/>
        </w:rPr>
        <w:t>e </w:t>
      </w:r>
      <w:r w:rsidR="00F232C8" w:rsidRPr="00690982">
        <w:rPr>
          <w:lang w:val="fr-FR"/>
        </w:rPr>
        <w:t>;</w:t>
      </w:r>
      <w:r w:rsidR="00BF1501">
        <w:rPr>
          <w:lang w:val="fr-FR"/>
        </w:rPr>
        <w:t xml:space="preserve"> et</w:t>
      </w:r>
    </w:p>
    <w:p w14:paraId="368F3822" w14:textId="222C2733" w:rsidR="00F232C8" w:rsidRPr="00690982" w:rsidRDefault="00FB1B88" w:rsidP="002B6728">
      <w:pPr>
        <w:pStyle w:val="1GAPara"/>
        <w:numPr>
          <w:ilvl w:val="0"/>
          <w:numId w:val="116"/>
        </w:numPr>
        <w:ind w:left="1134" w:hanging="567"/>
        <w:jc w:val="both"/>
        <w:rPr>
          <w:lang w:val="fr-FR"/>
        </w:rPr>
      </w:pPr>
      <w:r>
        <w:rPr>
          <w:lang w:val="fr-FR"/>
        </w:rPr>
        <w:t>La c</w:t>
      </w:r>
      <w:r w:rsidR="00F232C8">
        <w:rPr>
          <w:lang w:val="fr-FR"/>
        </w:rPr>
        <w:t>réation d</w:t>
      </w:r>
      <w:r w:rsidR="00FE6112">
        <w:rPr>
          <w:lang w:val="fr-FR"/>
        </w:rPr>
        <w:t>’</w:t>
      </w:r>
      <w:r w:rsidR="00F232C8">
        <w:rPr>
          <w:lang w:val="fr-FR"/>
        </w:rPr>
        <w:t>un lien entre le mécanisme de</w:t>
      </w:r>
      <w:r w:rsidR="002B6728">
        <w:rPr>
          <w:lang w:val="fr-FR"/>
        </w:rPr>
        <w:t>s</w:t>
      </w:r>
      <w:r w:rsidR="00F232C8">
        <w:rPr>
          <w:lang w:val="fr-FR"/>
        </w:rPr>
        <w:t xml:space="preserve"> </w:t>
      </w:r>
      <w:r w:rsidR="002B6728">
        <w:rPr>
          <w:lang w:val="fr-FR"/>
        </w:rPr>
        <w:t>rapports</w:t>
      </w:r>
      <w:r w:rsidR="00F232C8">
        <w:rPr>
          <w:lang w:val="fr-FR"/>
        </w:rPr>
        <w:t xml:space="preserve"> périodique</w:t>
      </w:r>
      <w:r w:rsidR="002B6728">
        <w:rPr>
          <w:lang w:val="fr-FR"/>
        </w:rPr>
        <w:t>s</w:t>
      </w:r>
      <w:r w:rsidR="00F232C8">
        <w:rPr>
          <w:lang w:val="fr-FR"/>
        </w:rPr>
        <w:t xml:space="preserve"> et le déclenchement d</w:t>
      </w:r>
      <w:r w:rsidR="00FE6112">
        <w:rPr>
          <w:lang w:val="fr-FR"/>
        </w:rPr>
        <w:t>’</w:t>
      </w:r>
      <w:r w:rsidR="00F232C8">
        <w:rPr>
          <w:lang w:val="fr-FR"/>
        </w:rPr>
        <w:t>une demande de transfert</w:t>
      </w:r>
      <w:r w:rsidR="00F232C8" w:rsidRPr="00690982">
        <w:rPr>
          <w:lang w:val="fr-FR"/>
        </w:rPr>
        <w:t xml:space="preserve">, </w:t>
      </w:r>
      <w:r w:rsidR="00F232C8">
        <w:rPr>
          <w:lang w:val="fr-FR"/>
        </w:rPr>
        <w:t>e</w:t>
      </w:r>
      <w:r w:rsidR="00F232C8" w:rsidRPr="00690982">
        <w:rPr>
          <w:lang w:val="fr-FR"/>
        </w:rPr>
        <w:t>n particul</w:t>
      </w:r>
      <w:r w:rsidR="00F232C8">
        <w:rPr>
          <w:lang w:val="fr-FR"/>
        </w:rPr>
        <w:t>ier concernant les transferts entre la Liste de sauvegarde urgente</w:t>
      </w:r>
      <w:r w:rsidR="00F232C8" w:rsidRPr="00690982">
        <w:rPr>
          <w:lang w:val="fr-FR"/>
        </w:rPr>
        <w:t xml:space="preserve"> </w:t>
      </w:r>
      <w:r w:rsidR="00F232C8">
        <w:rPr>
          <w:lang w:val="fr-FR"/>
        </w:rPr>
        <w:t>et la Liste r</w:t>
      </w:r>
      <w:r w:rsidR="00F232C8" w:rsidRPr="00690982">
        <w:rPr>
          <w:lang w:val="fr-FR"/>
        </w:rPr>
        <w:t>epr</w:t>
      </w:r>
      <w:r w:rsidR="00F232C8">
        <w:rPr>
          <w:lang w:val="fr-FR"/>
        </w:rPr>
        <w:t>é</w:t>
      </w:r>
      <w:r w:rsidR="00F232C8" w:rsidRPr="00690982">
        <w:rPr>
          <w:lang w:val="fr-FR"/>
        </w:rPr>
        <w:t>sentative.</w:t>
      </w:r>
    </w:p>
    <w:p w14:paraId="2F692EC5" w14:textId="186A54A3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>Étant donné les différences de nature et d</w:t>
      </w:r>
      <w:r w:rsidR="00FE6112">
        <w:rPr>
          <w:lang w:val="fr-FR"/>
        </w:rPr>
        <w:t>’</w:t>
      </w:r>
      <w:r>
        <w:rPr>
          <w:lang w:val="fr-FR"/>
        </w:rPr>
        <w:t xml:space="preserve">objectifs </w:t>
      </w:r>
      <w:r w:rsidR="002B6728">
        <w:rPr>
          <w:lang w:val="fr-FR"/>
        </w:rPr>
        <w:t>entre les</w:t>
      </w:r>
      <w:r>
        <w:rPr>
          <w:lang w:val="fr-FR"/>
        </w:rPr>
        <w:t xml:space="preserve"> deux Listes, il est proposé de créer deux procédures de transfert différentes</w:t>
      </w:r>
      <w:r w:rsidRPr="00690982">
        <w:rPr>
          <w:lang w:val="fr-FR"/>
        </w:rPr>
        <w:t xml:space="preserve">, </w:t>
      </w:r>
      <w:r w:rsidR="0010772A">
        <w:rPr>
          <w:lang w:val="fr-FR"/>
        </w:rPr>
        <w:t xml:space="preserve">une </w:t>
      </w:r>
      <w:r>
        <w:rPr>
          <w:lang w:val="fr-FR"/>
        </w:rPr>
        <w:t xml:space="preserve">pour les </w:t>
      </w:r>
      <w:r w:rsidRPr="00690982">
        <w:rPr>
          <w:lang w:val="fr-FR"/>
        </w:rPr>
        <w:t>transfer</w:t>
      </w:r>
      <w:r>
        <w:rPr>
          <w:lang w:val="fr-FR"/>
        </w:rPr>
        <w:t>t</w:t>
      </w:r>
      <w:r w:rsidRPr="00690982">
        <w:rPr>
          <w:lang w:val="fr-FR"/>
        </w:rPr>
        <w:t xml:space="preserve">s </w:t>
      </w:r>
      <w:r>
        <w:rPr>
          <w:lang w:val="fr-FR"/>
        </w:rPr>
        <w:t>depuis la Liste de sauvegarde urgente vers la Liste r</w:t>
      </w:r>
      <w:r w:rsidRPr="00690982">
        <w:rPr>
          <w:lang w:val="fr-FR"/>
        </w:rPr>
        <w:t>epr</w:t>
      </w:r>
      <w:r>
        <w:rPr>
          <w:lang w:val="fr-FR"/>
        </w:rPr>
        <w:t>é</w:t>
      </w:r>
      <w:r w:rsidRPr="00690982">
        <w:rPr>
          <w:lang w:val="fr-FR"/>
        </w:rPr>
        <w:t xml:space="preserve">sentative </w:t>
      </w:r>
      <w:r>
        <w:rPr>
          <w:lang w:val="fr-FR"/>
        </w:rPr>
        <w:t>et</w:t>
      </w:r>
      <w:r w:rsidR="0010772A">
        <w:rPr>
          <w:lang w:val="fr-FR"/>
        </w:rPr>
        <w:t xml:space="preserve"> une autre</w:t>
      </w:r>
      <w:r>
        <w:rPr>
          <w:lang w:val="fr-FR"/>
        </w:rPr>
        <w:t xml:space="preserve"> depuis la Liste r</w:t>
      </w:r>
      <w:r w:rsidRPr="00690982">
        <w:rPr>
          <w:lang w:val="fr-FR"/>
        </w:rPr>
        <w:t>epr</w:t>
      </w:r>
      <w:r>
        <w:rPr>
          <w:lang w:val="fr-FR"/>
        </w:rPr>
        <w:t>é</w:t>
      </w:r>
      <w:r w:rsidRPr="00690982">
        <w:rPr>
          <w:lang w:val="fr-FR"/>
        </w:rPr>
        <w:t xml:space="preserve">sentative </w:t>
      </w:r>
      <w:r>
        <w:rPr>
          <w:lang w:val="fr-FR"/>
        </w:rPr>
        <w:t>vers la Liste de sauvegarde urgente</w:t>
      </w:r>
      <w:r w:rsidRPr="00690982">
        <w:rPr>
          <w:lang w:val="fr-FR"/>
        </w:rPr>
        <w:t xml:space="preserve">, </w:t>
      </w:r>
      <w:r w:rsidR="002B6728">
        <w:rPr>
          <w:lang w:val="fr-FR"/>
        </w:rPr>
        <w:t>selon les raisonnements suivants</w:t>
      </w:r>
      <w:r>
        <w:rPr>
          <w:lang w:val="fr-FR"/>
        </w:rPr>
        <w:t xml:space="preserve"> </w:t>
      </w:r>
      <w:r w:rsidRPr="00690982">
        <w:rPr>
          <w:lang w:val="fr-FR"/>
        </w:rPr>
        <w:t xml:space="preserve">: </w:t>
      </w:r>
    </w:p>
    <w:p w14:paraId="7133FACE" w14:textId="3AC40F62" w:rsidR="00F232C8" w:rsidRPr="00690982" w:rsidRDefault="00F232C8" w:rsidP="00F232C8">
      <w:pPr>
        <w:pStyle w:val="1GAPara"/>
        <w:numPr>
          <w:ilvl w:val="0"/>
          <w:numId w:val="8"/>
        </w:numPr>
        <w:ind w:left="1134" w:hanging="567"/>
        <w:jc w:val="both"/>
        <w:rPr>
          <w:lang w:val="fr-FR"/>
        </w:rPr>
      </w:pPr>
      <w:r>
        <w:rPr>
          <w:lang w:val="fr-FR"/>
        </w:rPr>
        <w:t xml:space="preserve">La </w:t>
      </w:r>
      <w:r w:rsidRPr="00690982">
        <w:rPr>
          <w:lang w:val="fr-FR"/>
        </w:rPr>
        <w:t xml:space="preserve">procédure </w:t>
      </w:r>
      <w:r>
        <w:rPr>
          <w:lang w:val="fr-FR"/>
        </w:rPr>
        <w:t>proposée pour le transfert d</w:t>
      </w:r>
      <w:r w:rsidR="00FE6112">
        <w:rPr>
          <w:lang w:val="fr-FR"/>
        </w:rPr>
        <w:t>’</w:t>
      </w:r>
      <w:r>
        <w:rPr>
          <w:lang w:val="fr-FR"/>
        </w:rPr>
        <w:t xml:space="preserve">un élément </w:t>
      </w:r>
      <w:r w:rsidRPr="00CB02CD">
        <w:rPr>
          <w:u w:val="single"/>
          <w:lang w:val="fr-FR"/>
        </w:rPr>
        <w:t>depuis</w:t>
      </w:r>
      <w:r>
        <w:rPr>
          <w:u w:val="single"/>
          <w:lang w:val="fr-FR"/>
        </w:rPr>
        <w:t xml:space="preserve"> la Liste de </w:t>
      </w:r>
      <w:r w:rsidR="002B6728">
        <w:rPr>
          <w:u w:val="single"/>
          <w:lang w:val="fr-FR"/>
        </w:rPr>
        <w:t>sauvegarde urgente</w:t>
      </w:r>
      <w:r>
        <w:rPr>
          <w:u w:val="single"/>
          <w:lang w:val="fr-FR"/>
        </w:rPr>
        <w:t xml:space="preserve"> vers la Liste r</w:t>
      </w:r>
      <w:r w:rsidRPr="00690982">
        <w:rPr>
          <w:u w:val="single"/>
          <w:lang w:val="fr-FR"/>
        </w:rPr>
        <w:t>epr</w:t>
      </w:r>
      <w:r>
        <w:rPr>
          <w:u w:val="single"/>
          <w:lang w:val="fr-FR"/>
        </w:rPr>
        <w:t>é</w:t>
      </w:r>
      <w:r w:rsidRPr="00690982">
        <w:rPr>
          <w:u w:val="single"/>
          <w:lang w:val="fr-FR"/>
        </w:rPr>
        <w:t>sentative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se déroulerait au cours du cycle de 21 mois actuellement en vigueur pour les </w:t>
      </w:r>
      <w:r w:rsidR="007806BB">
        <w:rPr>
          <w:lang w:val="fr-FR"/>
        </w:rPr>
        <w:t>candidatures</w:t>
      </w:r>
      <w:r w:rsidRPr="00690982">
        <w:rPr>
          <w:lang w:val="fr-FR"/>
        </w:rPr>
        <w:t xml:space="preserve">. </w:t>
      </w:r>
      <w:r w:rsidR="0010772A">
        <w:rPr>
          <w:lang w:val="fr-FR"/>
        </w:rPr>
        <w:t xml:space="preserve">Compte tenu de </w:t>
      </w:r>
      <w:r>
        <w:rPr>
          <w:lang w:val="fr-FR"/>
        </w:rPr>
        <w:t>l</w:t>
      </w:r>
      <w:r w:rsidR="00FE6112">
        <w:rPr>
          <w:lang w:val="fr-FR"/>
        </w:rPr>
        <w:t>’</w:t>
      </w:r>
      <w:r>
        <w:rPr>
          <w:lang w:val="fr-FR"/>
        </w:rPr>
        <w:t>importance accordée à la mise en œuvre appropriée d</w:t>
      </w:r>
      <w:r w:rsidR="00FE6112">
        <w:rPr>
          <w:lang w:val="fr-FR"/>
        </w:rPr>
        <w:t>’</w:t>
      </w:r>
      <w:r>
        <w:rPr>
          <w:lang w:val="fr-FR"/>
        </w:rPr>
        <w:t xml:space="preserve">un plan de sauvegarde </w:t>
      </w:r>
      <w:r w:rsidR="002B6728">
        <w:rPr>
          <w:lang w:val="fr-FR"/>
        </w:rPr>
        <w:t>pour les</w:t>
      </w:r>
      <w:r>
        <w:rPr>
          <w:lang w:val="fr-FR"/>
        </w:rPr>
        <w:t xml:space="preserve"> éléments inscrits </w:t>
      </w:r>
      <w:r w:rsidR="002B6728">
        <w:rPr>
          <w:lang w:val="fr-FR"/>
        </w:rPr>
        <w:t>sur</w:t>
      </w:r>
      <w:r>
        <w:rPr>
          <w:lang w:val="fr-FR"/>
        </w:rPr>
        <w:t xml:space="preserve"> la Liste de sauvegarde urgente, un temps suffisant doit être alloué pour garantir que le plan de sauvegarde </w:t>
      </w:r>
      <w:r w:rsidR="0010772A">
        <w:rPr>
          <w:lang w:val="fr-FR"/>
        </w:rPr>
        <w:t>donne</w:t>
      </w:r>
      <w:r>
        <w:rPr>
          <w:lang w:val="fr-FR"/>
        </w:rPr>
        <w:t xml:space="preserve"> de</w:t>
      </w:r>
      <w:r w:rsidRPr="00690982">
        <w:rPr>
          <w:lang w:val="fr-FR"/>
        </w:rPr>
        <w:t>s</w:t>
      </w:r>
      <w:r>
        <w:rPr>
          <w:lang w:val="fr-FR"/>
        </w:rPr>
        <w:t xml:space="preserve"> résultats satisfaisants et durables pour la</w:t>
      </w:r>
      <w:r w:rsidR="00097B39">
        <w:rPr>
          <w:lang w:val="fr-FR"/>
        </w:rPr>
        <w:t xml:space="preserve"> </w:t>
      </w:r>
      <w:r w:rsidRPr="00690982">
        <w:rPr>
          <w:lang w:val="fr-FR"/>
        </w:rPr>
        <w:t>viabilit</w:t>
      </w:r>
      <w:r>
        <w:rPr>
          <w:lang w:val="fr-FR"/>
        </w:rPr>
        <w:t>é de l</w:t>
      </w:r>
      <w:r w:rsidR="00FE6112">
        <w:rPr>
          <w:lang w:val="fr-FR"/>
        </w:rPr>
        <w:t>’</w:t>
      </w:r>
      <w:r>
        <w:rPr>
          <w:lang w:val="fr-FR"/>
        </w:rPr>
        <w:t>élément</w:t>
      </w:r>
      <w:r w:rsidRPr="00690982">
        <w:rPr>
          <w:lang w:val="fr-FR"/>
        </w:rPr>
        <w:t xml:space="preserve">. </w:t>
      </w:r>
      <w:r>
        <w:rPr>
          <w:lang w:val="fr-FR"/>
        </w:rPr>
        <w:t xml:space="preserve">À cette fin, un lien direct serait créé entre le mécanisme </w:t>
      </w:r>
      <w:r w:rsidR="002B6728">
        <w:rPr>
          <w:lang w:val="fr-FR"/>
        </w:rPr>
        <w:t>des rapports périodiques</w:t>
      </w:r>
      <w:r>
        <w:rPr>
          <w:lang w:val="fr-FR"/>
        </w:rPr>
        <w:t xml:space="preserve"> </w:t>
      </w:r>
      <w:r w:rsidRPr="00690982">
        <w:rPr>
          <w:lang w:val="fr-FR"/>
        </w:rPr>
        <w:t xml:space="preserve">– </w:t>
      </w:r>
      <w:r w:rsidR="0010772A">
        <w:rPr>
          <w:lang w:val="fr-FR"/>
        </w:rPr>
        <w:t>afin de permettre</w:t>
      </w:r>
      <w:r>
        <w:rPr>
          <w:lang w:val="fr-FR"/>
        </w:rPr>
        <w:t xml:space="preserve"> </w:t>
      </w:r>
      <w:r w:rsidR="002B6728">
        <w:rPr>
          <w:lang w:val="fr-FR"/>
        </w:rPr>
        <w:t>l’évaluation</w:t>
      </w:r>
      <w:r>
        <w:rPr>
          <w:lang w:val="fr-FR"/>
        </w:rPr>
        <w:t xml:space="preserve"> </w:t>
      </w:r>
      <w:r w:rsidR="002B6728">
        <w:rPr>
          <w:lang w:val="fr-FR"/>
        </w:rPr>
        <w:t>d</w:t>
      </w:r>
      <w:r>
        <w:rPr>
          <w:lang w:val="fr-FR"/>
        </w:rPr>
        <w:t xml:space="preserve">es résultats du plan de sauvegarde </w:t>
      </w:r>
      <w:r w:rsidRPr="00690982">
        <w:rPr>
          <w:lang w:val="fr-FR"/>
        </w:rPr>
        <w:t xml:space="preserve">– </w:t>
      </w:r>
      <w:r>
        <w:rPr>
          <w:lang w:val="fr-FR"/>
        </w:rPr>
        <w:t>et la soumission d</w:t>
      </w:r>
      <w:r w:rsidR="00FE6112">
        <w:rPr>
          <w:lang w:val="fr-FR"/>
        </w:rPr>
        <w:t>’</w:t>
      </w:r>
      <w:r>
        <w:rPr>
          <w:lang w:val="fr-FR"/>
        </w:rPr>
        <w:t>une demande de transfert</w:t>
      </w:r>
      <w:r w:rsidR="0010772A">
        <w:rPr>
          <w:lang w:val="fr-FR"/>
        </w:rPr>
        <w:t>. Notamment,</w:t>
      </w:r>
      <w:r w:rsidRPr="00690982">
        <w:rPr>
          <w:lang w:val="fr-FR"/>
        </w:rPr>
        <w:t xml:space="preserve"> </w:t>
      </w:r>
      <w:r>
        <w:rPr>
          <w:lang w:val="fr-FR"/>
        </w:rPr>
        <w:t>la soumission d</w:t>
      </w:r>
      <w:r w:rsidR="00FE6112">
        <w:rPr>
          <w:lang w:val="fr-FR"/>
        </w:rPr>
        <w:t>’</w:t>
      </w:r>
      <w:r>
        <w:rPr>
          <w:lang w:val="fr-FR"/>
        </w:rPr>
        <w:t xml:space="preserve">au moins un rapport périodique suivant le cycle </w:t>
      </w:r>
      <w:r w:rsidR="002B6728">
        <w:rPr>
          <w:lang w:val="fr-FR"/>
        </w:rPr>
        <w:t xml:space="preserve">régulier </w:t>
      </w:r>
      <w:r>
        <w:rPr>
          <w:lang w:val="fr-FR"/>
        </w:rPr>
        <w:t>de</w:t>
      </w:r>
      <w:r w:rsidR="002B6728">
        <w:rPr>
          <w:lang w:val="fr-FR"/>
        </w:rPr>
        <w:t>s rapports</w:t>
      </w:r>
      <w:r>
        <w:rPr>
          <w:lang w:val="fr-FR"/>
        </w:rPr>
        <w:t xml:space="preserve"> serait </w:t>
      </w:r>
      <w:proofErr w:type="gramStart"/>
      <w:r>
        <w:rPr>
          <w:lang w:val="fr-FR"/>
        </w:rPr>
        <w:t>requis</w:t>
      </w:r>
      <w:r w:rsidR="00F21894">
        <w:rPr>
          <w:lang w:val="fr-FR"/>
        </w:rPr>
        <w:t>e</w:t>
      </w:r>
      <w:proofErr w:type="gramEnd"/>
      <w:r>
        <w:rPr>
          <w:lang w:val="fr-FR"/>
        </w:rPr>
        <w:t xml:space="preserve"> avant le déclenchement d</w:t>
      </w:r>
      <w:r w:rsidR="00FE6112">
        <w:rPr>
          <w:lang w:val="fr-FR"/>
        </w:rPr>
        <w:t>’</w:t>
      </w:r>
      <w:r>
        <w:rPr>
          <w:lang w:val="fr-FR"/>
        </w:rPr>
        <w:t>un processus de transfert</w:t>
      </w:r>
      <w:r w:rsidRPr="00690982">
        <w:rPr>
          <w:lang w:val="fr-FR"/>
        </w:rPr>
        <w:t>.</w:t>
      </w:r>
      <w:r w:rsidR="00097B39">
        <w:rPr>
          <w:lang w:val="fr-FR"/>
        </w:rPr>
        <w:t xml:space="preserve"> </w:t>
      </w:r>
    </w:p>
    <w:p w14:paraId="7229965C" w14:textId="2888A1BE" w:rsidR="00F232C8" w:rsidRPr="00690982" w:rsidRDefault="00F232C8" w:rsidP="00F232C8">
      <w:pPr>
        <w:pStyle w:val="1GAPara"/>
        <w:numPr>
          <w:ilvl w:val="0"/>
          <w:numId w:val="8"/>
        </w:numPr>
        <w:ind w:left="1134" w:hanging="567"/>
        <w:jc w:val="both"/>
        <w:rPr>
          <w:lang w:val="fr-FR"/>
        </w:rPr>
      </w:pPr>
      <w:r>
        <w:rPr>
          <w:lang w:val="fr-FR"/>
        </w:rPr>
        <w:t xml:space="preserve">La </w:t>
      </w:r>
      <w:r w:rsidRPr="00690982">
        <w:rPr>
          <w:lang w:val="fr-FR"/>
        </w:rPr>
        <w:t xml:space="preserve">procédure </w:t>
      </w:r>
      <w:r>
        <w:rPr>
          <w:lang w:val="fr-FR"/>
        </w:rPr>
        <w:t>proposée pour le transfert d</w:t>
      </w:r>
      <w:r w:rsidR="00FE6112">
        <w:rPr>
          <w:lang w:val="fr-FR"/>
        </w:rPr>
        <w:t>’</w:t>
      </w:r>
      <w:r>
        <w:rPr>
          <w:lang w:val="fr-FR"/>
        </w:rPr>
        <w:t xml:space="preserve">un élément </w:t>
      </w:r>
      <w:r>
        <w:rPr>
          <w:u w:val="single"/>
          <w:lang w:val="fr-FR"/>
        </w:rPr>
        <w:t>depuis la Liste r</w:t>
      </w:r>
      <w:r w:rsidRPr="00690982">
        <w:rPr>
          <w:u w:val="single"/>
          <w:lang w:val="fr-FR"/>
        </w:rPr>
        <w:t>epr</w:t>
      </w:r>
      <w:r>
        <w:rPr>
          <w:u w:val="single"/>
          <w:lang w:val="fr-FR"/>
        </w:rPr>
        <w:t>é</w:t>
      </w:r>
      <w:r w:rsidRPr="00690982">
        <w:rPr>
          <w:u w:val="single"/>
          <w:lang w:val="fr-FR"/>
        </w:rPr>
        <w:t xml:space="preserve">sentative </w:t>
      </w:r>
      <w:r>
        <w:rPr>
          <w:u w:val="single"/>
          <w:lang w:val="fr-FR"/>
        </w:rPr>
        <w:t>vers la Liste de sauvegarde urgente</w:t>
      </w:r>
      <w:r w:rsidRPr="00690982">
        <w:rPr>
          <w:lang w:val="fr-FR"/>
        </w:rPr>
        <w:t xml:space="preserve"> </w:t>
      </w:r>
      <w:r>
        <w:rPr>
          <w:lang w:val="fr-FR"/>
        </w:rPr>
        <w:t>se déroulerait au cours d</w:t>
      </w:r>
      <w:r w:rsidR="00FE6112">
        <w:rPr>
          <w:lang w:val="fr-FR"/>
        </w:rPr>
        <w:t>’</w:t>
      </w:r>
      <w:r>
        <w:rPr>
          <w:lang w:val="fr-FR"/>
        </w:rPr>
        <w:t xml:space="preserve">un cycle accéléré de 11 mois, afin de répondre aussi rapidement que </w:t>
      </w:r>
      <w:r w:rsidRPr="00690982">
        <w:rPr>
          <w:lang w:val="fr-FR"/>
        </w:rPr>
        <w:t xml:space="preserve">possible </w:t>
      </w:r>
      <w:r>
        <w:rPr>
          <w:lang w:val="fr-FR"/>
        </w:rPr>
        <w:t xml:space="preserve">aux menaces </w:t>
      </w:r>
      <w:r w:rsidRPr="00690982">
        <w:rPr>
          <w:lang w:val="fr-FR"/>
        </w:rPr>
        <w:t>identifi</w:t>
      </w:r>
      <w:r>
        <w:rPr>
          <w:lang w:val="fr-FR"/>
        </w:rPr>
        <w:t>ées pesant sur l</w:t>
      </w:r>
      <w:r w:rsidR="00FE6112">
        <w:rPr>
          <w:lang w:val="fr-FR"/>
        </w:rPr>
        <w:t>’</w:t>
      </w:r>
      <w:r>
        <w:rPr>
          <w:lang w:val="fr-FR"/>
        </w:rPr>
        <w:t>élément, et pour permett</w:t>
      </w:r>
      <w:r w:rsidR="00F21894">
        <w:rPr>
          <w:lang w:val="fr-FR"/>
        </w:rPr>
        <w:t>r</w:t>
      </w:r>
      <w:r>
        <w:rPr>
          <w:lang w:val="fr-FR"/>
        </w:rPr>
        <w:t>e aux communautés de bénéficier d</w:t>
      </w:r>
      <w:r w:rsidR="00FE6112">
        <w:rPr>
          <w:lang w:val="fr-FR"/>
        </w:rPr>
        <w:t>’</w:t>
      </w:r>
      <w:r>
        <w:rPr>
          <w:lang w:val="fr-FR"/>
        </w:rPr>
        <w:t xml:space="preserve">une assistance adéquate </w:t>
      </w:r>
      <w:r>
        <w:rPr>
          <w:lang w:val="fr-FR"/>
        </w:rPr>
        <w:lastRenderedPageBreak/>
        <w:t>de la part de l</w:t>
      </w:r>
      <w:r w:rsidR="00FE6112">
        <w:rPr>
          <w:lang w:val="fr-FR"/>
        </w:rPr>
        <w:t>’</w:t>
      </w:r>
      <w:r>
        <w:rPr>
          <w:lang w:val="fr-FR"/>
        </w:rPr>
        <w:t xml:space="preserve">État partie et/ou des autres </w:t>
      </w:r>
      <w:r w:rsidRPr="00690982">
        <w:rPr>
          <w:lang w:val="fr-FR"/>
        </w:rPr>
        <w:t xml:space="preserve">sources </w:t>
      </w:r>
      <w:r>
        <w:rPr>
          <w:lang w:val="fr-FR"/>
        </w:rPr>
        <w:t xml:space="preserve">de financement, y compris le Fonds du </w:t>
      </w:r>
      <w:r w:rsidRPr="00213C7D">
        <w:rPr>
          <w:lang w:val="fr-FR"/>
        </w:rPr>
        <w:t>patrimoine culturel immatériel</w:t>
      </w:r>
      <w:r w:rsidRPr="00690982">
        <w:rPr>
          <w:lang w:val="fr-FR"/>
        </w:rPr>
        <w:t>.</w:t>
      </w:r>
    </w:p>
    <w:p w14:paraId="407A4C6B" w14:textId="2E743659" w:rsidR="00F232C8" w:rsidRPr="00690982" w:rsidRDefault="00F232C8" w:rsidP="00F232C8">
      <w:pPr>
        <w:pStyle w:val="1GAPara"/>
        <w:keepNext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Le groupe de travail est </w:t>
      </w:r>
      <w:r w:rsidRPr="00690982">
        <w:rPr>
          <w:lang w:val="fr-FR"/>
        </w:rPr>
        <w:t>invit</w:t>
      </w:r>
      <w:r>
        <w:rPr>
          <w:lang w:val="fr-FR"/>
        </w:rPr>
        <w:t xml:space="preserve">é à </w:t>
      </w:r>
      <w:r w:rsidR="00754EFB">
        <w:rPr>
          <w:lang w:val="fr-FR"/>
        </w:rPr>
        <w:t xml:space="preserve">discuter </w:t>
      </w:r>
      <w:r w:rsidR="00FB1B88">
        <w:rPr>
          <w:lang w:val="fr-FR"/>
        </w:rPr>
        <w:t>l</w:t>
      </w:r>
      <w:r w:rsidR="00754EFB">
        <w:rPr>
          <w:lang w:val="fr-FR"/>
        </w:rPr>
        <w:t>es</w:t>
      </w:r>
      <w:r>
        <w:rPr>
          <w:lang w:val="fr-FR"/>
        </w:rPr>
        <w:t xml:space="preserve"> propositions suivantes </w:t>
      </w:r>
      <w:r w:rsidRPr="00690982">
        <w:rPr>
          <w:lang w:val="fr-FR"/>
        </w:rPr>
        <w:t>:</w:t>
      </w:r>
    </w:p>
    <w:p w14:paraId="2ED28E99" w14:textId="38AB176B" w:rsidR="00F232C8" w:rsidRPr="00690982" w:rsidRDefault="00F232C8" w:rsidP="00F232C8">
      <w:pPr>
        <w:pStyle w:val="1GAPara"/>
        <w:keepNext/>
        <w:numPr>
          <w:ilvl w:val="0"/>
          <w:numId w:val="0"/>
        </w:numPr>
        <w:spacing w:before="240"/>
        <w:ind w:left="567"/>
        <w:jc w:val="both"/>
        <w:rPr>
          <w:b/>
          <w:bCs/>
          <w:lang w:val="fr-FR"/>
        </w:rPr>
      </w:pPr>
      <w:r w:rsidRPr="00690982">
        <w:rPr>
          <w:b/>
          <w:bCs/>
          <w:lang w:val="fr-FR"/>
        </w:rPr>
        <w:t>Propos</w:t>
      </w:r>
      <w:r>
        <w:rPr>
          <w:b/>
          <w:bCs/>
          <w:lang w:val="fr-FR"/>
        </w:rPr>
        <w:t xml:space="preserve">ition de </w:t>
      </w:r>
      <w:r w:rsidRPr="00690982">
        <w:rPr>
          <w:b/>
          <w:bCs/>
          <w:lang w:val="fr-FR"/>
        </w:rPr>
        <w:t>procédure</w:t>
      </w:r>
      <w:r w:rsidR="00754EFB">
        <w:rPr>
          <w:b/>
          <w:bCs/>
          <w:lang w:val="fr-FR"/>
        </w:rPr>
        <w:t>s</w:t>
      </w:r>
      <w:r w:rsidRPr="0069098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pour les </w:t>
      </w:r>
      <w:r w:rsidRPr="00690982">
        <w:rPr>
          <w:b/>
          <w:bCs/>
          <w:u w:val="single"/>
          <w:lang w:val="fr-FR"/>
        </w:rPr>
        <w:t>transfer</w:t>
      </w:r>
      <w:r>
        <w:rPr>
          <w:b/>
          <w:bCs/>
          <w:u w:val="single"/>
          <w:lang w:val="fr-FR"/>
        </w:rPr>
        <w:t>t</w:t>
      </w:r>
      <w:r w:rsidRPr="00690982">
        <w:rPr>
          <w:b/>
          <w:bCs/>
          <w:u w:val="single"/>
          <w:lang w:val="fr-FR"/>
        </w:rPr>
        <w:t>s</w:t>
      </w:r>
      <w:r w:rsidRPr="0069098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entre la Liste de sauvegarde urgente et la Liste r</w:t>
      </w:r>
      <w:r w:rsidRPr="00690982">
        <w:rPr>
          <w:b/>
          <w:bCs/>
          <w:lang w:val="fr-FR"/>
        </w:rPr>
        <w:t>epr</w:t>
      </w:r>
      <w:r>
        <w:rPr>
          <w:b/>
          <w:bCs/>
          <w:lang w:val="fr-FR"/>
        </w:rPr>
        <w:t>é</w:t>
      </w:r>
      <w:r w:rsidRPr="00690982">
        <w:rPr>
          <w:b/>
          <w:bCs/>
          <w:lang w:val="fr-FR"/>
        </w:rPr>
        <w:t xml:space="preserve">sentative </w:t>
      </w:r>
      <w:r>
        <w:rPr>
          <w:b/>
          <w:bCs/>
          <w:lang w:val="fr-FR"/>
        </w:rPr>
        <w:t>et pour l</w:t>
      </w:r>
      <w:r w:rsidR="00FE6112">
        <w:rPr>
          <w:b/>
          <w:bCs/>
          <w:lang w:val="fr-FR"/>
        </w:rPr>
        <w:t>’</w:t>
      </w:r>
      <w:r w:rsidRPr="00690982">
        <w:rPr>
          <w:b/>
          <w:bCs/>
          <w:lang w:val="fr-FR"/>
        </w:rPr>
        <w:t xml:space="preserve">inclusion </w:t>
      </w:r>
      <w:r>
        <w:rPr>
          <w:b/>
          <w:bCs/>
          <w:lang w:val="fr-FR"/>
        </w:rPr>
        <w:t xml:space="preserve">des pratiques de sauvegarde probantes dans le </w:t>
      </w:r>
      <w:r w:rsidRPr="00690982">
        <w:rPr>
          <w:b/>
          <w:bCs/>
          <w:lang w:val="fr-FR"/>
        </w:rPr>
        <w:t>Regist</w:t>
      </w:r>
      <w:r>
        <w:rPr>
          <w:b/>
          <w:bCs/>
          <w:lang w:val="fr-FR"/>
        </w:rPr>
        <w:t>re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99"/>
        <w:gridCol w:w="8067"/>
      </w:tblGrid>
      <w:tr w:rsidR="00F232C8" w:rsidRPr="005418AB" w14:paraId="15AC53AA" w14:textId="77777777" w:rsidTr="00F830F9">
        <w:trPr>
          <w:trHeight w:val="841"/>
        </w:trPr>
        <w:tc>
          <w:tcPr>
            <w:tcW w:w="993" w:type="dxa"/>
            <w:vMerge w:val="restart"/>
          </w:tcPr>
          <w:p w14:paraId="5EB5425F" w14:textId="33321B6E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="00754EFB">
              <w:rPr>
                <w:b/>
                <w:bCs/>
                <w:lang w:val="fr-FR"/>
              </w:rPr>
              <w:t> </w:t>
            </w:r>
            <w:r w:rsidRPr="00690982">
              <w:rPr>
                <w:b/>
                <w:bCs/>
                <w:lang w:val="fr-FR"/>
              </w:rPr>
              <w:t>0</w:t>
            </w:r>
          </w:p>
        </w:tc>
        <w:tc>
          <w:tcPr>
            <w:tcW w:w="8073" w:type="dxa"/>
          </w:tcPr>
          <w:p w14:paraId="6AC01897" w14:textId="5A543C3C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Actions en a</w:t>
            </w:r>
            <w:r w:rsidR="00754EFB">
              <w:rPr>
                <w:b/>
                <w:bCs/>
                <w:lang w:val="fr-FR"/>
              </w:rPr>
              <w:t>mont</w:t>
            </w:r>
            <w:r>
              <w:rPr>
                <w:b/>
                <w:bCs/>
                <w:lang w:val="fr-FR"/>
              </w:rPr>
              <w:t xml:space="preserve"> </w:t>
            </w:r>
            <w:r w:rsidRPr="00690982">
              <w:rPr>
                <w:b/>
                <w:bCs/>
                <w:lang w:val="fr-FR"/>
              </w:rPr>
              <w:t>(</w:t>
            </w:r>
            <w:r w:rsidR="00754EFB">
              <w:rPr>
                <w:b/>
                <w:bCs/>
                <w:lang w:val="fr-FR"/>
              </w:rPr>
              <w:t>optionnel</w:t>
            </w:r>
            <w:r w:rsidRPr="00690982">
              <w:rPr>
                <w:b/>
                <w:bCs/>
                <w:lang w:val="fr-FR"/>
              </w:rPr>
              <w:t>)</w:t>
            </w:r>
          </w:p>
          <w:p w14:paraId="667C5024" w14:textId="01C9EA03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 xml:space="preserve">Si cette mesure est </w:t>
            </w:r>
            <w:r w:rsidRPr="00690982">
              <w:rPr>
                <w:lang w:val="fr-FR"/>
              </w:rPr>
              <w:t>consid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r</w:t>
            </w:r>
            <w:r>
              <w:rPr>
                <w:lang w:val="fr-FR"/>
              </w:rPr>
              <w:t>ée comme nécessaire par l</w:t>
            </w:r>
            <w:r w:rsidR="00A83049">
              <w:rPr>
                <w:lang w:val="fr-FR"/>
              </w:rPr>
              <w:t>’</w:t>
            </w:r>
            <w:r w:rsidR="00754EFB">
              <w:rPr>
                <w:lang w:val="fr-FR"/>
              </w:rPr>
              <w:t>/les</w:t>
            </w:r>
            <w:r>
              <w:rPr>
                <w:lang w:val="fr-FR"/>
              </w:rPr>
              <w:t xml:space="preserve"> État</w:t>
            </w:r>
            <w:r w:rsidR="00754EFB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754EFB">
              <w:rPr>
                <w:lang w:val="fr-FR"/>
              </w:rPr>
              <w:t>)</w:t>
            </w:r>
            <w:r>
              <w:rPr>
                <w:lang w:val="fr-FR"/>
              </w:rPr>
              <w:t xml:space="preserve"> partie</w:t>
            </w:r>
            <w:r w:rsidR="00754EFB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754EFB">
              <w:rPr>
                <w:lang w:val="fr-FR"/>
              </w:rPr>
              <w:t>)</w:t>
            </w:r>
            <w:r>
              <w:rPr>
                <w:lang w:val="fr-FR"/>
              </w:rPr>
              <w:t xml:space="preserve"> et par la</w:t>
            </w:r>
            <w:r w:rsidR="00754EFB">
              <w:rPr>
                <w:lang w:val="fr-FR"/>
              </w:rPr>
              <w:t>/</w:t>
            </w:r>
            <w:r w:rsidR="0010772A">
              <w:rPr>
                <w:lang w:val="fr-FR"/>
              </w:rPr>
              <w:t>les communauté</w:t>
            </w:r>
            <w:r w:rsidR="00754EFB">
              <w:rPr>
                <w:lang w:val="fr-FR"/>
              </w:rPr>
              <w:t>(</w:t>
            </w:r>
            <w:r w:rsidR="0010772A">
              <w:rPr>
                <w:lang w:val="fr-FR"/>
              </w:rPr>
              <w:t>s</w:t>
            </w:r>
            <w:r w:rsidR="00754EFB">
              <w:rPr>
                <w:lang w:val="fr-FR"/>
              </w:rPr>
              <w:t>)</w:t>
            </w:r>
            <w:r w:rsidR="0010772A">
              <w:rPr>
                <w:lang w:val="fr-FR"/>
              </w:rPr>
              <w:t xml:space="preserve"> </w:t>
            </w:r>
            <w:r w:rsidR="0010772A" w:rsidRPr="00690982">
              <w:rPr>
                <w:lang w:val="fr-FR"/>
              </w:rPr>
              <w:t>concern</w:t>
            </w:r>
            <w:r w:rsidR="0010772A">
              <w:rPr>
                <w:lang w:val="fr-FR"/>
              </w:rPr>
              <w:t>ée</w:t>
            </w:r>
            <w:r w:rsidR="00754EFB">
              <w:rPr>
                <w:lang w:val="fr-FR"/>
              </w:rPr>
              <w:t>(</w:t>
            </w:r>
            <w:r w:rsidR="0010772A">
              <w:rPr>
                <w:lang w:val="fr-FR"/>
              </w:rPr>
              <w:t>s</w:t>
            </w:r>
            <w:r w:rsidR="00754EFB">
              <w:rPr>
                <w:lang w:val="fr-FR"/>
              </w:rPr>
              <w:t>)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il </w:t>
            </w:r>
            <w:r w:rsidR="00754EFB">
              <w:rPr>
                <w:lang w:val="fr-FR"/>
              </w:rPr>
              <w:t>sera</w:t>
            </w:r>
            <w:r>
              <w:rPr>
                <w:lang w:val="fr-FR"/>
              </w:rPr>
              <w:t xml:space="preserve"> possible de faire appel 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avis d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>experts (</w:t>
            </w:r>
            <w:r>
              <w:rPr>
                <w:lang w:val="fr-FR"/>
              </w:rPr>
              <w:t>ou de la plate-forme indépendante et/ou du Forum des ONG du PCI)</w:t>
            </w:r>
            <w:r w:rsidR="00754EFB">
              <w:rPr>
                <w:lang w:val="fr-FR"/>
              </w:rPr>
              <w:t xml:space="preserve"> par l’intermédiaire du Secrétariat</w:t>
            </w:r>
            <w:r>
              <w:rPr>
                <w:lang w:val="fr-FR"/>
              </w:rPr>
              <w:t xml:space="preserve">, à tout moment avant la </w:t>
            </w:r>
            <w:r w:rsidRPr="00690982">
              <w:rPr>
                <w:lang w:val="fr-FR"/>
              </w:rPr>
              <w:t>s</w:t>
            </w:r>
            <w:r>
              <w:rPr>
                <w:lang w:val="fr-FR"/>
              </w:rPr>
              <w:t>ou</w:t>
            </w:r>
            <w:r w:rsidRPr="00690982">
              <w:rPr>
                <w:lang w:val="fr-FR"/>
              </w:rPr>
              <w:t xml:space="preserve">mission </w:t>
            </w:r>
            <w:r>
              <w:rPr>
                <w:lang w:val="fr-FR"/>
              </w:rPr>
              <w:t>éventuelle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une demande de transfert</w:t>
            </w:r>
            <w:r w:rsidRPr="00690982">
              <w:rPr>
                <w:lang w:val="fr-FR"/>
              </w:rPr>
              <w:t xml:space="preserve">. </w:t>
            </w:r>
            <w:r>
              <w:rPr>
                <w:lang w:val="fr-FR"/>
              </w:rPr>
              <w:t>Les demandes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avis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experts p</w:t>
            </w:r>
            <w:r w:rsidR="00754EFB">
              <w:rPr>
                <w:lang w:val="fr-FR"/>
              </w:rPr>
              <w:t>ourraie</w:t>
            </w:r>
            <w:r>
              <w:rPr>
                <w:lang w:val="fr-FR"/>
              </w:rPr>
              <w:t xml:space="preserve">nt aussi être présentées dans le </w:t>
            </w:r>
            <w:r w:rsidRPr="00690982">
              <w:rPr>
                <w:lang w:val="fr-FR"/>
              </w:rPr>
              <w:t>context</w:t>
            </w:r>
            <w:r>
              <w:rPr>
                <w:lang w:val="fr-FR"/>
              </w:rPr>
              <w:t>e du mécanisme de</w:t>
            </w:r>
            <w:r w:rsidR="00754EFB"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  <w:r w:rsidRPr="00690982">
              <w:rPr>
                <w:lang w:val="fr-FR"/>
              </w:rPr>
              <w:t>r</w:t>
            </w:r>
            <w:r w:rsidR="00754EFB">
              <w:rPr>
                <w:lang w:val="fr-FR"/>
              </w:rPr>
              <w:t>apports</w:t>
            </w:r>
            <w:r w:rsidRPr="00690982">
              <w:rPr>
                <w:lang w:val="fr-FR"/>
              </w:rPr>
              <w:t xml:space="preserve"> périodi</w:t>
            </w:r>
            <w:r>
              <w:rPr>
                <w:lang w:val="fr-FR"/>
              </w:rPr>
              <w:t>que</w:t>
            </w:r>
            <w:r w:rsidR="00754EFB">
              <w:rPr>
                <w:lang w:val="fr-FR"/>
              </w:rPr>
              <w:t>s</w:t>
            </w:r>
            <w:r w:rsidRPr="00690982">
              <w:rPr>
                <w:lang w:val="fr-FR"/>
              </w:rPr>
              <w:t xml:space="preserve">. </w:t>
            </w:r>
          </w:p>
          <w:p w14:paraId="4A1B5583" w14:textId="1ADAC121" w:rsidR="00F232C8" w:rsidRPr="00690982" w:rsidRDefault="00F232C8" w:rsidP="00F21894">
            <w:pPr>
              <w:pStyle w:val="1GAPara"/>
              <w:numPr>
                <w:ilvl w:val="0"/>
                <w:numId w:val="4"/>
              </w:numPr>
              <w:ind w:left="455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Les communautés peuvent soumettre des lettres ou des contenus </w:t>
            </w:r>
            <w:r w:rsidRPr="00690982">
              <w:rPr>
                <w:lang w:val="fr-FR"/>
              </w:rPr>
              <w:t>audio-visu</w:t>
            </w:r>
            <w:r>
              <w:rPr>
                <w:lang w:val="fr-FR"/>
              </w:rPr>
              <w:t xml:space="preserve">els au </w:t>
            </w:r>
            <w:r w:rsidRPr="00690982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tariat –</w:t>
            </w:r>
            <w:r w:rsidR="00F21894">
              <w:rPr>
                <w:lang w:val="fr-FR"/>
              </w:rPr>
              <w:t> </w:t>
            </w:r>
            <w:r>
              <w:rPr>
                <w:lang w:val="fr-FR"/>
              </w:rPr>
              <w:t>directement ou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intermédiaire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ONG accréditées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de la plate-forme indépendante et/ou du Forum des ONG du PCI</w:t>
            </w:r>
            <w:r w:rsidR="00F21894">
              <w:rPr>
                <w:lang w:val="fr-FR"/>
              </w:rPr>
              <w:t> </w:t>
            </w:r>
            <w:r w:rsidRPr="00690982">
              <w:rPr>
                <w:lang w:val="fr-FR"/>
              </w:rPr>
              <w:t xml:space="preserve">– </w:t>
            </w:r>
            <w:r>
              <w:rPr>
                <w:lang w:val="fr-FR"/>
              </w:rPr>
              <w:t>pour exprimer leur souhait de transférer un élément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une Liste vers une autre</w:t>
            </w:r>
            <w:r w:rsidRPr="00690982">
              <w:rPr>
                <w:lang w:val="fr-FR"/>
              </w:rPr>
              <w:t xml:space="preserve">. </w:t>
            </w:r>
            <w:r>
              <w:rPr>
                <w:lang w:val="fr-FR"/>
              </w:rPr>
              <w:t xml:space="preserve">Le </w:t>
            </w:r>
            <w:r w:rsidRPr="00690982">
              <w:rPr>
                <w:lang w:val="fr-FR"/>
              </w:rPr>
              <w:t xml:space="preserve">Secrétariat </w:t>
            </w:r>
            <w:r>
              <w:rPr>
                <w:lang w:val="fr-FR"/>
              </w:rPr>
              <w:t>transmettra ces communications 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État partie concerné et en rendra compte en conséquence au </w:t>
            </w:r>
            <w:r w:rsidRPr="00690982">
              <w:rPr>
                <w:lang w:val="fr-FR"/>
              </w:rPr>
              <w:t xml:space="preserve">Comité. </w:t>
            </w:r>
          </w:p>
        </w:tc>
      </w:tr>
      <w:tr w:rsidR="00F232C8" w:rsidRPr="005418AB" w14:paraId="7FEE52C3" w14:textId="77777777" w:rsidTr="00F830F9">
        <w:tc>
          <w:tcPr>
            <w:tcW w:w="993" w:type="dxa"/>
            <w:vMerge/>
          </w:tcPr>
          <w:p w14:paraId="0F1268C4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F2F2F2" w:themeFill="background1" w:themeFillShade="F2"/>
          </w:tcPr>
          <w:p w14:paraId="5049F008" w14:textId="536E01BD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754EFB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3F8A5206" w14:textId="207C162D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Temps supplémentaire nécessaire au </w:t>
            </w:r>
            <w:r w:rsidRPr="00690982">
              <w:rPr>
                <w:sz w:val="16"/>
                <w:szCs w:val="16"/>
                <w:lang w:val="fr-FR"/>
              </w:rPr>
              <w:t>Secr</w:t>
            </w:r>
            <w:r>
              <w:rPr>
                <w:sz w:val="16"/>
                <w:szCs w:val="16"/>
                <w:lang w:val="fr-FR"/>
              </w:rPr>
              <w:t>é</w:t>
            </w:r>
            <w:r w:rsidRPr="00690982">
              <w:rPr>
                <w:sz w:val="16"/>
                <w:szCs w:val="16"/>
                <w:lang w:val="fr-FR"/>
              </w:rPr>
              <w:t xml:space="preserve">tariat </w:t>
            </w:r>
            <w:r>
              <w:rPr>
                <w:sz w:val="16"/>
                <w:szCs w:val="16"/>
                <w:lang w:val="fr-FR"/>
              </w:rPr>
              <w:t xml:space="preserve">pour 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38799855" w14:textId="0B066F77" w:rsidR="00F232C8" w:rsidRPr="00690982" w:rsidRDefault="00F830F9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t</w:t>
            </w:r>
            <w:r w:rsidR="00F232C8">
              <w:rPr>
                <w:sz w:val="16"/>
                <w:szCs w:val="16"/>
                <w:lang w:val="fr-FR"/>
              </w:rPr>
              <w:t xml:space="preserve">raitement,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 xml:space="preserve">enregistrement et </w:t>
            </w:r>
            <w:r>
              <w:rPr>
                <w:sz w:val="16"/>
                <w:szCs w:val="16"/>
                <w:lang w:val="fr-FR"/>
              </w:rPr>
              <w:t xml:space="preserve">la </w:t>
            </w:r>
            <w:r w:rsidR="00F232C8">
              <w:rPr>
                <w:sz w:val="16"/>
                <w:szCs w:val="16"/>
                <w:lang w:val="fr-FR"/>
              </w:rPr>
              <w:t xml:space="preserve">préparation des lettres et des </w:t>
            </w:r>
            <w:r w:rsidR="00F232C8" w:rsidRPr="00690982">
              <w:rPr>
                <w:sz w:val="16"/>
                <w:szCs w:val="16"/>
                <w:lang w:val="fr-FR"/>
              </w:rPr>
              <w:t>communication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 w:rsidR="00F232C8">
              <w:rPr>
                <w:sz w:val="16"/>
                <w:szCs w:val="16"/>
                <w:lang w:val="fr-FR"/>
              </w:rPr>
              <w:t>adressées aux États parties et aux communautés ainsi qu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 xml:space="preserve">aux experts, à la plate-forme indépendante et/ou au Forum des ONG du PCI, ou reçues de </w:t>
            </w:r>
            <w:r>
              <w:rPr>
                <w:sz w:val="16"/>
                <w:szCs w:val="16"/>
                <w:lang w:val="fr-FR"/>
              </w:rPr>
              <w:t xml:space="preserve">la part de </w:t>
            </w:r>
            <w:r w:rsidR="00F232C8">
              <w:rPr>
                <w:sz w:val="16"/>
                <w:szCs w:val="16"/>
                <w:lang w:val="fr-FR"/>
              </w:rPr>
              <w:t xml:space="preserve">ces interlocuteurs </w:t>
            </w:r>
          </w:p>
          <w:p w14:paraId="2BD5BACA" w14:textId="68B380AC" w:rsidR="00F232C8" w:rsidRPr="00690982" w:rsidRDefault="00F830F9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L’i</w:t>
            </w:r>
            <w:r w:rsidR="00F232C8">
              <w:rPr>
                <w:sz w:val="16"/>
                <w:szCs w:val="16"/>
                <w:lang w:val="fr-FR"/>
              </w:rPr>
              <w:t>d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entification </w:t>
            </w:r>
            <w:r w:rsidR="00F232C8">
              <w:rPr>
                <w:sz w:val="16"/>
                <w:szCs w:val="16"/>
                <w:lang w:val="fr-FR"/>
              </w:rPr>
              <w:t xml:space="preserve">des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experts,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 xml:space="preserve">établissement et </w:t>
            </w:r>
            <w:r>
              <w:rPr>
                <w:sz w:val="16"/>
                <w:szCs w:val="16"/>
                <w:lang w:val="fr-FR"/>
              </w:rPr>
              <w:t xml:space="preserve">le </w:t>
            </w:r>
            <w:r w:rsidR="00F232C8">
              <w:rPr>
                <w:sz w:val="16"/>
                <w:szCs w:val="16"/>
                <w:lang w:val="fr-FR"/>
              </w:rPr>
              <w:t xml:space="preserve">suivi des </w:t>
            </w:r>
            <w:r w:rsidR="00F232C8" w:rsidRPr="00690982">
              <w:rPr>
                <w:sz w:val="16"/>
                <w:szCs w:val="16"/>
                <w:lang w:val="fr-FR"/>
              </w:rPr>
              <w:t>contrat</w:t>
            </w:r>
            <w:r w:rsidR="00F232C8">
              <w:rPr>
                <w:sz w:val="16"/>
                <w:szCs w:val="16"/>
                <w:lang w:val="fr-FR"/>
              </w:rPr>
              <w:t>s</w:t>
            </w:r>
          </w:p>
          <w:p w14:paraId="416B9CEB" w14:textId="717B7D5A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du Fonds du </w:t>
            </w:r>
            <w:r w:rsidRPr="0043162A">
              <w:rPr>
                <w:sz w:val="16"/>
                <w:szCs w:val="16"/>
                <w:lang w:val="fr-FR"/>
              </w:rPr>
              <w:t>patrimoine culturel immatériel</w:t>
            </w:r>
            <w:r w:rsidRPr="00690982">
              <w:rPr>
                <w:sz w:val="16"/>
                <w:szCs w:val="16"/>
                <w:lang w:val="fr-FR"/>
              </w:rPr>
              <w:t xml:space="preserve">) </w:t>
            </w:r>
            <w:r>
              <w:rPr>
                <w:sz w:val="16"/>
                <w:szCs w:val="16"/>
                <w:lang w:val="fr-FR"/>
              </w:rPr>
              <w:t>pour</w:t>
            </w:r>
            <w:r w:rsidR="00F830F9"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586FAC6D" w14:textId="1ACF087A" w:rsidR="00F232C8" w:rsidRPr="00690982" w:rsidRDefault="00F830F9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s</w:t>
            </w:r>
            <w:r w:rsidR="00F232C8">
              <w:rPr>
                <w:sz w:val="16"/>
                <w:szCs w:val="16"/>
                <w:lang w:val="fr-FR"/>
              </w:rPr>
              <w:t xml:space="preserve">ervices consultatifs assurés par </w:t>
            </w:r>
            <w:r>
              <w:rPr>
                <w:sz w:val="16"/>
                <w:szCs w:val="16"/>
                <w:lang w:val="fr-FR"/>
              </w:rPr>
              <w:t>les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  <w:r w:rsidR="00F232C8" w:rsidRPr="00690982">
              <w:rPr>
                <w:sz w:val="16"/>
                <w:szCs w:val="16"/>
                <w:lang w:val="fr-FR"/>
              </w:rPr>
              <w:t>expert</w:t>
            </w:r>
            <w:r>
              <w:rPr>
                <w:sz w:val="16"/>
                <w:szCs w:val="16"/>
                <w:lang w:val="fr-FR"/>
              </w:rPr>
              <w:t xml:space="preserve">s, </w:t>
            </w:r>
            <w:r w:rsidR="00F232C8">
              <w:rPr>
                <w:sz w:val="16"/>
                <w:szCs w:val="16"/>
                <w:lang w:val="fr-FR"/>
              </w:rPr>
              <w:t>le Forum des ONG du PCI et/ou la plate-forme indépendante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4F36AF42" w14:textId="2FBECAF9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Coûts associés à la création et la </w:t>
            </w:r>
            <w:r w:rsidRPr="00690982">
              <w:rPr>
                <w:sz w:val="16"/>
                <w:szCs w:val="16"/>
                <w:lang w:val="fr-FR"/>
              </w:rPr>
              <w:t xml:space="preserve">maintenance </w:t>
            </w:r>
            <w:r>
              <w:rPr>
                <w:sz w:val="16"/>
                <w:szCs w:val="16"/>
                <w:lang w:val="fr-FR"/>
              </w:rPr>
              <w:t xml:space="preserve">de la plate-forme indépendante et/ou </w:t>
            </w:r>
            <w:r w:rsidR="0099286B">
              <w:rPr>
                <w:sz w:val="16"/>
                <w:szCs w:val="16"/>
                <w:lang w:val="fr-FR"/>
              </w:rPr>
              <w:t>coûts des travaux</w:t>
            </w:r>
            <w:r>
              <w:rPr>
                <w:sz w:val="16"/>
                <w:szCs w:val="16"/>
                <w:lang w:val="fr-FR"/>
              </w:rPr>
              <w:t xml:space="preserve"> du Forum des ONG du PCI</w:t>
            </w:r>
          </w:p>
        </w:tc>
      </w:tr>
      <w:tr w:rsidR="00F232C8" w:rsidRPr="00690982" w14:paraId="42FB3D07" w14:textId="77777777" w:rsidTr="00F830F9">
        <w:trPr>
          <w:trHeight w:val="353"/>
        </w:trPr>
        <w:tc>
          <w:tcPr>
            <w:tcW w:w="993" w:type="dxa"/>
            <w:vMerge w:val="restart"/>
          </w:tcPr>
          <w:p w14:paraId="74E9F03B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1</w:t>
            </w:r>
          </w:p>
        </w:tc>
        <w:tc>
          <w:tcPr>
            <w:tcW w:w="8073" w:type="dxa"/>
          </w:tcPr>
          <w:p w14:paraId="4DB20F21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  <w:r w:rsidRPr="00690982">
              <w:rPr>
                <w:b/>
                <w:bCs/>
                <w:lang w:val="fr-FR"/>
              </w:rPr>
              <w:t>Pr</w:t>
            </w:r>
            <w:r>
              <w:rPr>
                <w:b/>
                <w:bCs/>
                <w:lang w:val="fr-FR"/>
              </w:rPr>
              <w:t>é</w:t>
            </w:r>
            <w:r w:rsidRPr="00690982">
              <w:rPr>
                <w:b/>
                <w:bCs/>
                <w:lang w:val="fr-FR"/>
              </w:rPr>
              <w:t xml:space="preserve">paration </w:t>
            </w:r>
            <w:r>
              <w:rPr>
                <w:b/>
                <w:bCs/>
                <w:lang w:val="fr-FR"/>
              </w:rPr>
              <w:t>et</w:t>
            </w:r>
            <w:r w:rsidRPr="00690982">
              <w:rPr>
                <w:b/>
                <w:bCs/>
                <w:lang w:val="fr-FR"/>
              </w:rPr>
              <w:t xml:space="preserve"> s</w:t>
            </w:r>
            <w:r>
              <w:rPr>
                <w:b/>
                <w:bCs/>
                <w:lang w:val="fr-FR"/>
              </w:rPr>
              <w:t>ou</w:t>
            </w:r>
            <w:r w:rsidRPr="00690982">
              <w:rPr>
                <w:b/>
                <w:bCs/>
                <w:lang w:val="fr-FR"/>
              </w:rPr>
              <w:t>mission</w:t>
            </w:r>
          </w:p>
        </w:tc>
      </w:tr>
      <w:tr w:rsidR="00F232C8" w:rsidRPr="005418AB" w14:paraId="229B7063" w14:textId="77777777" w:rsidTr="00F830F9">
        <w:trPr>
          <w:trHeight w:val="558"/>
        </w:trPr>
        <w:tc>
          <w:tcPr>
            <w:tcW w:w="993" w:type="dxa"/>
            <w:vMerge/>
          </w:tcPr>
          <w:p w14:paraId="3B611FCB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DBE5F1" w:themeFill="accent1" w:themeFillTint="33"/>
          </w:tcPr>
          <w:p w14:paraId="180D77F4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>Transfer</w:t>
            </w:r>
            <w:r>
              <w:rPr>
                <w:i/>
                <w:iCs/>
                <w:lang w:val="fr-FR"/>
              </w:rPr>
              <w:t>t de la Liste de sauvegarde urgente vers la Liste re</w:t>
            </w:r>
            <w:r w:rsidRPr="00690982">
              <w:rPr>
                <w:i/>
                <w:iCs/>
                <w:lang w:val="fr-FR"/>
              </w:rPr>
              <w:t>pr</w:t>
            </w:r>
            <w:r>
              <w:rPr>
                <w:i/>
                <w:iCs/>
                <w:lang w:val="fr-FR"/>
              </w:rPr>
              <w:t>é</w:t>
            </w:r>
            <w:r w:rsidRPr="00690982">
              <w:rPr>
                <w:i/>
                <w:iCs/>
                <w:lang w:val="fr-FR"/>
              </w:rPr>
              <w:t>sentative (</w:t>
            </w:r>
            <w:r>
              <w:rPr>
                <w:i/>
                <w:iCs/>
                <w:lang w:val="fr-FR"/>
              </w:rPr>
              <w:t xml:space="preserve">cycle de </w:t>
            </w:r>
            <w:r w:rsidRPr="00690982">
              <w:rPr>
                <w:i/>
                <w:iCs/>
                <w:lang w:val="fr-FR"/>
              </w:rPr>
              <w:t>21</w:t>
            </w:r>
            <w:r>
              <w:rPr>
                <w:i/>
                <w:iCs/>
                <w:lang w:val="fr-FR"/>
              </w:rPr>
              <w:t xml:space="preserve"> mois</w:t>
            </w:r>
            <w:r w:rsidRPr="00690982">
              <w:rPr>
                <w:i/>
                <w:iCs/>
                <w:lang w:val="fr-FR"/>
              </w:rPr>
              <w:t>)</w:t>
            </w:r>
          </w:p>
          <w:p w14:paraId="57BF90E0" w14:textId="3A232B44" w:rsidR="00F232C8" w:rsidRPr="00690982" w:rsidRDefault="0010772A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="00F232C8">
              <w:rPr>
                <w:lang w:val="fr-FR"/>
              </w:rPr>
              <w:t xml:space="preserve">processus </w:t>
            </w:r>
            <w:r>
              <w:rPr>
                <w:lang w:val="fr-FR"/>
              </w:rPr>
              <w:t xml:space="preserve">est initié </w:t>
            </w:r>
            <w:r w:rsidR="00F232C8">
              <w:rPr>
                <w:lang w:val="fr-FR"/>
              </w:rPr>
              <w:t>par l</w:t>
            </w:r>
            <w:r w:rsidR="00A83049">
              <w:rPr>
                <w:lang w:val="fr-FR"/>
              </w:rPr>
              <w:t>’</w:t>
            </w:r>
            <w:r w:rsidR="00F830F9">
              <w:rPr>
                <w:lang w:val="fr-FR"/>
              </w:rPr>
              <w:t>/les</w:t>
            </w:r>
            <w:r w:rsidR="00F232C8">
              <w:rPr>
                <w:lang w:val="fr-FR"/>
              </w:rPr>
              <w:t xml:space="preserve"> État</w:t>
            </w:r>
            <w:r w:rsidR="00F830F9">
              <w:rPr>
                <w:lang w:val="fr-FR"/>
              </w:rPr>
              <w:t>(</w:t>
            </w:r>
            <w:r w:rsidR="00F232C8">
              <w:rPr>
                <w:lang w:val="fr-FR"/>
              </w:rPr>
              <w:t>s</w:t>
            </w:r>
            <w:r w:rsidR="00F830F9">
              <w:rPr>
                <w:lang w:val="fr-FR"/>
              </w:rPr>
              <w:t>)</w:t>
            </w:r>
            <w:r w:rsidR="00F232C8">
              <w:rPr>
                <w:lang w:val="fr-FR"/>
              </w:rPr>
              <w:t xml:space="preserve"> partie</w:t>
            </w:r>
            <w:r w:rsidR="00F830F9">
              <w:rPr>
                <w:lang w:val="fr-FR"/>
              </w:rPr>
              <w:t>(</w:t>
            </w:r>
            <w:r w:rsidR="00F232C8">
              <w:rPr>
                <w:lang w:val="fr-FR"/>
              </w:rPr>
              <w:t>s</w:t>
            </w:r>
            <w:r w:rsidR="00F830F9">
              <w:rPr>
                <w:lang w:val="fr-FR"/>
              </w:rPr>
              <w:t>)</w:t>
            </w:r>
            <w:r w:rsidR="00F232C8" w:rsidRPr="00690982">
              <w:rPr>
                <w:lang w:val="fr-FR"/>
              </w:rPr>
              <w:t>.</w:t>
            </w:r>
          </w:p>
          <w:p w14:paraId="6B25B4EB" w14:textId="263F0E08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Étant donné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importance </w:t>
            </w:r>
            <w:r>
              <w:rPr>
                <w:lang w:val="fr-FR"/>
              </w:rPr>
              <w:t>du plan de sauvegarde et de son évaluation régulière par le biais du mécanisme de</w:t>
            </w:r>
            <w:r w:rsidR="00F830F9">
              <w:rPr>
                <w:lang w:val="fr-FR"/>
              </w:rPr>
              <w:t>s rapports</w:t>
            </w:r>
            <w:r>
              <w:rPr>
                <w:lang w:val="fr-FR"/>
              </w:rPr>
              <w:t xml:space="preserve"> périodique</w:t>
            </w:r>
            <w:r w:rsidR="00F830F9">
              <w:rPr>
                <w:lang w:val="fr-FR"/>
              </w:rPr>
              <w:t>s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le rapport périodique de la Liste de sauvegarde urgente devient le mécanisme </w:t>
            </w:r>
            <w:r w:rsidR="0010772A">
              <w:rPr>
                <w:lang w:val="fr-FR"/>
              </w:rPr>
              <w:t>à travers lequel l</w:t>
            </w:r>
            <w:r w:rsidR="00A83049">
              <w:rPr>
                <w:lang w:val="fr-FR"/>
              </w:rPr>
              <w:t>’/les</w:t>
            </w:r>
            <w:r w:rsidR="0010772A">
              <w:rPr>
                <w:lang w:val="fr-FR"/>
              </w:rPr>
              <w:t xml:space="preserve"> </w:t>
            </w:r>
            <w:r w:rsidR="00A83049">
              <w:rPr>
                <w:lang w:val="fr-FR"/>
              </w:rPr>
              <w:t>É</w:t>
            </w:r>
            <w:r w:rsidR="0010772A">
              <w:rPr>
                <w:lang w:val="fr-FR"/>
              </w:rPr>
              <w:t>tat</w:t>
            </w:r>
            <w:r w:rsidR="00A83049">
              <w:rPr>
                <w:lang w:val="fr-FR"/>
              </w:rPr>
              <w:t>(</w:t>
            </w:r>
            <w:r w:rsidR="0010772A">
              <w:rPr>
                <w:lang w:val="fr-FR"/>
              </w:rPr>
              <w:t>s</w:t>
            </w:r>
            <w:r w:rsidR="00A83049">
              <w:rPr>
                <w:lang w:val="fr-FR"/>
              </w:rPr>
              <w:t>)</w:t>
            </w:r>
            <w:r w:rsidR="0010772A">
              <w:rPr>
                <w:lang w:val="fr-FR"/>
              </w:rPr>
              <w:t xml:space="preserve"> partie</w:t>
            </w:r>
            <w:r w:rsidR="00A83049">
              <w:rPr>
                <w:lang w:val="fr-FR"/>
              </w:rPr>
              <w:t>(</w:t>
            </w:r>
            <w:r w:rsidR="0010772A">
              <w:rPr>
                <w:lang w:val="fr-FR"/>
              </w:rPr>
              <w:t>s</w:t>
            </w:r>
            <w:r w:rsidR="00A83049">
              <w:rPr>
                <w:lang w:val="fr-FR"/>
              </w:rPr>
              <w:t>)</w:t>
            </w:r>
            <w:r w:rsidR="0010772A">
              <w:rPr>
                <w:lang w:val="fr-FR"/>
              </w:rPr>
              <w:t xml:space="preserve"> </w:t>
            </w:r>
            <w:r w:rsidR="00FB1B88">
              <w:rPr>
                <w:lang w:val="fr-FR"/>
              </w:rPr>
              <w:t>peut/</w:t>
            </w:r>
            <w:r w:rsidR="0010772A">
              <w:rPr>
                <w:lang w:val="fr-FR"/>
              </w:rPr>
              <w:t>peuvent déclencher un</w:t>
            </w:r>
            <w:r>
              <w:rPr>
                <w:lang w:val="fr-FR"/>
              </w:rPr>
              <w:t xml:space="preserve"> transfert vers la Liste r</w:t>
            </w:r>
            <w:r w:rsidRPr="00690982">
              <w:rPr>
                <w:lang w:val="fr-FR"/>
              </w:rPr>
              <w:t>epr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sentative. </w:t>
            </w:r>
            <w:r>
              <w:rPr>
                <w:lang w:val="fr-FR"/>
              </w:rPr>
              <w:t>L</w:t>
            </w:r>
            <w:r w:rsidR="00A83049">
              <w:rPr>
                <w:lang w:val="fr-FR"/>
              </w:rPr>
              <w:t>’/Les</w:t>
            </w:r>
            <w:r>
              <w:rPr>
                <w:lang w:val="fr-FR"/>
              </w:rPr>
              <w:t xml:space="preserve"> État</w:t>
            </w:r>
            <w:r w:rsidR="00A83049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A83049">
              <w:rPr>
                <w:lang w:val="fr-FR"/>
              </w:rPr>
              <w:t>)</w:t>
            </w:r>
            <w:r>
              <w:rPr>
                <w:lang w:val="fr-FR"/>
              </w:rPr>
              <w:t xml:space="preserve"> partie</w:t>
            </w:r>
            <w:r w:rsidR="00A83049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A83049">
              <w:rPr>
                <w:lang w:val="fr-FR"/>
              </w:rPr>
              <w:t>)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indique</w:t>
            </w:r>
            <w:r w:rsidR="00FB1B88">
              <w:rPr>
                <w:lang w:val="fr-FR"/>
              </w:rPr>
              <w:t>(</w:t>
            </w:r>
            <w:r>
              <w:rPr>
                <w:lang w:val="fr-FR"/>
              </w:rPr>
              <w:t>nt</w:t>
            </w:r>
            <w:r w:rsidR="00FB1B88">
              <w:rPr>
                <w:lang w:val="fr-FR"/>
              </w:rPr>
              <w:t>)</w:t>
            </w:r>
            <w:r>
              <w:rPr>
                <w:lang w:val="fr-FR"/>
              </w:rPr>
              <w:t xml:space="preserve"> dans leur rapport périodique s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il</w:t>
            </w:r>
            <w:r w:rsidR="00A83049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A83049">
              <w:rPr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  <w:r w:rsidR="00A83049">
              <w:rPr>
                <w:lang w:val="fr-FR"/>
              </w:rPr>
              <w:t>a/</w:t>
            </w:r>
            <w:r>
              <w:rPr>
                <w:lang w:val="fr-FR"/>
              </w:rPr>
              <w:t>ont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intention de soumettre une demande de transfert avant le rapport périodique suivant relatif 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élément concerné</w:t>
            </w:r>
            <w:r w:rsidRPr="00690982">
              <w:rPr>
                <w:lang w:val="fr-FR"/>
              </w:rPr>
              <w:t>.</w:t>
            </w:r>
          </w:p>
          <w:p w14:paraId="209A8985" w14:textId="5AADCDCF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="00A83049">
              <w:rPr>
                <w:lang w:val="fr-FR"/>
              </w:rPr>
              <w:t>l’/les État(s) partie(s)</w:t>
            </w:r>
            <w:r w:rsidRPr="00690982">
              <w:rPr>
                <w:lang w:val="fr-FR"/>
              </w:rPr>
              <w:t xml:space="preserve"> </w:t>
            </w:r>
            <w:r w:rsidR="0042323F">
              <w:rPr>
                <w:lang w:val="fr-FR"/>
              </w:rPr>
              <w:t>déclare</w:t>
            </w:r>
            <w:r w:rsidR="00FB1B88">
              <w:rPr>
                <w:lang w:val="fr-FR"/>
              </w:rPr>
              <w:t>(</w:t>
            </w:r>
            <w:r w:rsidR="0042323F">
              <w:rPr>
                <w:lang w:val="fr-FR"/>
              </w:rPr>
              <w:t>nt</w:t>
            </w:r>
            <w:r w:rsidR="00FB1B88">
              <w:rPr>
                <w:lang w:val="fr-FR"/>
              </w:rPr>
              <w:t>)</w:t>
            </w:r>
            <w:r>
              <w:rPr>
                <w:lang w:val="fr-FR"/>
              </w:rPr>
              <w:t xml:space="preserve"> dans le </w:t>
            </w:r>
            <w:r w:rsidR="00A83049">
              <w:rPr>
                <w:lang w:val="fr-FR"/>
              </w:rPr>
              <w:t>rapport</w:t>
            </w:r>
            <w:r>
              <w:rPr>
                <w:lang w:val="fr-FR"/>
              </w:rPr>
              <w:t xml:space="preserve"> périodique qu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il</w:t>
            </w:r>
            <w:r w:rsidR="00A83049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A83049">
              <w:rPr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  <w:r w:rsidR="00A83049">
              <w:rPr>
                <w:lang w:val="fr-FR"/>
              </w:rPr>
              <w:t>a/</w:t>
            </w:r>
            <w:r>
              <w:rPr>
                <w:lang w:val="fr-FR"/>
              </w:rPr>
              <w:t>ont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intention de soumettre une demande de transfert</w:t>
            </w:r>
            <w:r w:rsidRPr="00690982">
              <w:rPr>
                <w:lang w:val="fr-FR"/>
              </w:rPr>
              <w:t xml:space="preserve">, </w:t>
            </w:r>
            <w:r w:rsidR="00A83049">
              <w:rPr>
                <w:lang w:val="fr-FR"/>
              </w:rPr>
              <w:t xml:space="preserve">un dossier de transfert est soumis avant la </w:t>
            </w:r>
            <w:r>
              <w:rPr>
                <w:lang w:val="fr-FR"/>
              </w:rPr>
              <w:t>date</w:t>
            </w:r>
            <w:r w:rsidR="00A83049">
              <w:rPr>
                <w:lang w:val="fr-FR"/>
              </w:rPr>
              <w:t xml:space="preserve"> limite</w:t>
            </w:r>
            <w:r>
              <w:rPr>
                <w:lang w:val="fr-FR"/>
              </w:rPr>
              <w:t xml:space="preserve"> statutaire du 31 mars de toute année jusqu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à la soumission d</w:t>
            </w:r>
            <w:r w:rsidR="0042323F">
              <w:rPr>
                <w:lang w:val="fr-FR"/>
              </w:rPr>
              <w:t>u</w:t>
            </w:r>
            <w:r>
              <w:rPr>
                <w:lang w:val="fr-FR"/>
              </w:rPr>
              <w:t xml:space="preserve"> rapport périodique suivant</w:t>
            </w:r>
            <w:r w:rsidRPr="00690982">
              <w:rPr>
                <w:lang w:val="fr-FR"/>
              </w:rPr>
              <w:t xml:space="preserve">. </w:t>
            </w:r>
          </w:p>
          <w:p w14:paraId="639A6764" w14:textId="22B0E4A9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 xml:space="preserve">Lors de sa </w:t>
            </w:r>
            <w:r w:rsidRPr="00690982">
              <w:rPr>
                <w:lang w:val="fr-FR"/>
              </w:rPr>
              <w:t>s</w:t>
            </w:r>
            <w:r>
              <w:rPr>
                <w:lang w:val="fr-FR"/>
              </w:rPr>
              <w:t>ou</w:t>
            </w:r>
            <w:r w:rsidRPr="00690982">
              <w:rPr>
                <w:lang w:val="fr-FR"/>
              </w:rPr>
              <w:t xml:space="preserve">mission, </w:t>
            </w:r>
            <w:r>
              <w:rPr>
                <w:lang w:val="fr-FR"/>
              </w:rPr>
              <w:t xml:space="preserve">le </w:t>
            </w:r>
            <w:r w:rsidR="00A83049">
              <w:rPr>
                <w:lang w:val="fr-FR"/>
              </w:rPr>
              <w:t>dossier</w:t>
            </w:r>
            <w:r>
              <w:rPr>
                <w:lang w:val="fr-FR"/>
              </w:rPr>
              <w:t xml:space="preserve"> de transfert est inclus dans le cycle de </w:t>
            </w:r>
            <w:r w:rsidR="00A83049">
              <w:rPr>
                <w:lang w:val="fr-FR"/>
              </w:rPr>
              <w:t>candidature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21 mois actuellement en vigueur</w:t>
            </w:r>
            <w:r w:rsidR="00A83049">
              <w:rPr>
                <w:lang w:val="fr-FR"/>
              </w:rPr>
              <w:t>,</w:t>
            </w:r>
            <w:r>
              <w:rPr>
                <w:lang w:val="fr-FR"/>
              </w:rPr>
              <w:t xml:space="preserve"> évalué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évaluation et examiné par le Comité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année suivant sa sou</w:t>
            </w:r>
            <w:r w:rsidRPr="00690982">
              <w:rPr>
                <w:lang w:val="fr-FR"/>
              </w:rPr>
              <w:t xml:space="preserve">mission. </w:t>
            </w:r>
          </w:p>
          <w:p w14:paraId="357D4A62" w14:textId="5A9A08AE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Un formulaire de transfert léger est créé. Il </w:t>
            </w:r>
            <w:r w:rsidR="00A83049">
              <w:rPr>
                <w:lang w:val="fr-FR"/>
              </w:rPr>
              <w:t>se concentre sur :</w:t>
            </w:r>
            <w:r>
              <w:rPr>
                <w:lang w:val="fr-FR"/>
              </w:rPr>
              <w:t xml:space="preserve"> </w:t>
            </w:r>
            <w:r w:rsidRPr="00690982">
              <w:rPr>
                <w:lang w:val="fr-FR"/>
              </w:rPr>
              <w:t>(</w:t>
            </w:r>
            <w:r w:rsidR="0042323F">
              <w:rPr>
                <w:lang w:val="fr-FR"/>
              </w:rPr>
              <w:t>a</w:t>
            </w:r>
            <w:r w:rsidRPr="00690982">
              <w:rPr>
                <w:lang w:val="fr-FR"/>
              </w:rPr>
              <w:t xml:space="preserve">) </w:t>
            </w:r>
            <w:r w:rsidR="00A83049">
              <w:rPr>
                <w:lang w:val="fr-FR"/>
              </w:rPr>
              <w:t xml:space="preserve">une </w:t>
            </w:r>
            <w:r w:rsidRPr="00690982">
              <w:rPr>
                <w:lang w:val="fr-FR"/>
              </w:rPr>
              <w:t xml:space="preserve">description </w:t>
            </w:r>
            <w:r w:rsidR="00BF3F63">
              <w:rPr>
                <w:lang w:val="fr-FR"/>
              </w:rPr>
              <w:t>actualisée</w:t>
            </w:r>
            <w:r>
              <w:rPr>
                <w:lang w:val="fr-FR"/>
              </w:rPr>
              <w:t xml:space="preserve">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expliquant les changements intervenus </w:t>
            </w:r>
            <w:r w:rsidR="00A83049">
              <w:rPr>
                <w:lang w:val="fr-FR"/>
              </w:rPr>
              <w:t xml:space="preserve">pour </w:t>
            </w:r>
            <w:r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depuis son </w:t>
            </w:r>
            <w:r w:rsidRPr="00690982">
              <w:rPr>
                <w:lang w:val="fr-FR"/>
              </w:rPr>
              <w:t>inscription, (</w:t>
            </w:r>
            <w:r w:rsidR="0042323F">
              <w:rPr>
                <w:lang w:val="fr-FR"/>
              </w:rPr>
              <w:t>b</w:t>
            </w:r>
            <w:r w:rsidRPr="00690982">
              <w:rPr>
                <w:lang w:val="fr-FR"/>
              </w:rPr>
              <w:t xml:space="preserve">) </w:t>
            </w:r>
            <w:r>
              <w:rPr>
                <w:lang w:val="fr-FR"/>
              </w:rPr>
              <w:t xml:space="preserve">le niveau actuel de </w:t>
            </w:r>
            <w:r w:rsidRPr="00690982">
              <w:rPr>
                <w:lang w:val="fr-FR"/>
              </w:rPr>
              <w:t>viabilit</w:t>
            </w:r>
            <w:r>
              <w:rPr>
                <w:lang w:val="fr-FR"/>
              </w:rPr>
              <w:t xml:space="preserve">é et la </w:t>
            </w:r>
            <w:r w:rsidRPr="00690982">
              <w:rPr>
                <w:lang w:val="fr-FR"/>
              </w:rPr>
              <w:t xml:space="preserve">description </w:t>
            </w:r>
            <w:r>
              <w:rPr>
                <w:lang w:val="fr-FR"/>
              </w:rPr>
              <w:t>des menaces</w:t>
            </w:r>
            <w:r w:rsidRPr="00690982">
              <w:rPr>
                <w:lang w:val="fr-FR"/>
              </w:rPr>
              <w:t>, (</w:t>
            </w:r>
            <w:r w:rsidR="0042323F">
              <w:rPr>
                <w:lang w:val="fr-FR"/>
              </w:rPr>
              <w:t>c</w:t>
            </w:r>
            <w:r w:rsidRPr="00690982">
              <w:rPr>
                <w:lang w:val="fr-FR"/>
              </w:rPr>
              <w:t xml:space="preserve">) </w:t>
            </w:r>
            <w:r>
              <w:rPr>
                <w:lang w:val="fr-FR"/>
              </w:rPr>
              <w:t xml:space="preserve">les résultats de la mise en œuvre du plan de sauvegarde et </w:t>
            </w:r>
            <w:r w:rsidRPr="00690982">
              <w:rPr>
                <w:lang w:val="fr-FR"/>
              </w:rPr>
              <w:t>(</w:t>
            </w:r>
            <w:r w:rsidR="0042323F">
              <w:rPr>
                <w:lang w:val="fr-FR"/>
              </w:rPr>
              <w:t>d</w:t>
            </w:r>
            <w:r w:rsidRPr="00690982">
              <w:rPr>
                <w:lang w:val="fr-FR"/>
              </w:rPr>
              <w:t>) </w:t>
            </w:r>
            <w:r>
              <w:rPr>
                <w:lang w:val="fr-FR"/>
              </w:rPr>
              <w:t>le consentement de la communauté par le biais de document</w:t>
            </w:r>
            <w:r w:rsidR="00F21894">
              <w:rPr>
                <w:lang w:val="fr-FR"/>
              </w:rPr>
              <w:t>s</w:t>
            </w:r>
            <w:r>
              <w:rPr>
                <w:lang w:val="fr-FR"/>
              </w:rPr>
              <w:t xml:space="preserve"> écrits ou de contenus </w:t>
            </w:r>
            <w:r w:rsidRPr="00690982">
              <w:rPr>
                <w:lang w:val="fr-FR"/>
              </w:rPr>
              <w:t>audio-visu</w:t>
            </w:r>
            <w:r>
              <w:rPr>
                <w:lang w:val="fr-FR"/>
              </w:rPr>
              <w:t>el</w:t>
            </w:r>
            <w:r w:rsidRPr="00690982">
              <w:rPr>
                <w:lang w:val="fr-FR"/>
              </w:rPr>
              <w:t>s.</w:t>
            </w:r>
          </w:p>
        </w:tc>
      </w:tr>
      <w:tr w:rsidR="00F232C8" w:rsidRPr="005418AB" w14:paraId="526271AD" w14:textId="77777777" w:rsidTr="00F830F9">
        <w:trPr>
          <w:trHeight w:val="3958"/>
        </w:trPr>
        <w:tc>
          <w:tcPr>
            <w:tcW w:w="993" w:type="dxa"/>
            <w:vMerge/>
          </w:tcPr>
          <w:p w14:paraId="40335730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FDE9D9" w:themeFill="accent6" w:themeFillTint="33"/>
          </w:tcPr>
          <w:p w14:paraId="0CA4A262" w14:textId="77777777" w:rsidR="00F232C8" w:rsidRPr="00BF3F63" w:rsidRDefault="00F232C8" w:rsidP="00C8346B">
            <w:pPr>
              <w:pStyle w:val="1GAPara"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BF3F63">
              <w:rPr>
                <w:i/>
                <w:iCs/>
                <w:lang w:val="fr-FR"/>
              </w:rPr>
              <w:t>Transfert de la Liste représentative vers la Liste de sauvegarde urgente (cycle de 11 mois)</w:t>
            </w:r>
          </w:p>
          <w:p w14:paraId="22F64A31" w14:textId="624BDBDE" w:rsidR="00F232C8" w:rsidRPr="00BF3F63" w:rsidRDefault="0042323F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 w:rsidRPr="00BF3F63">
              <w:rPr>
                <w:lang w:val="fr-FR"/>
              </w:rPr>
              <w:t>L</w:t>
            </w:r>
            <w:r w:rsidR="00A83049" w:rsidRPr="00BF3F63">
              <w:rPr>
                <w:lang w:val="fr-FR"/>
              </w:rPr>
              <w:t>’/Les</w:t>
            </w:r>
            <w:r w:rsidR="00F232C8" w:rsidRPr="00BF3F63">
              <w:rPr>
                <w:lang w:val="fr-FR"/>
              </w:rPr>
              <w:t xml:space="preserve"> État</w:t>
            </w:r>
            <w:r w:rsidR="00A83049" w:rsidRPr="00BF3F63">
              <w:rPr>
                <w:lang w:val="fr-FR"/>
              </w:rPr>
              <w:t>(</w:t>
            </w:r>
            <w:r w:rsidR="00F232C8" w:rsidRPr="00BF3F63">
              <w:rPr>
                <w:lang w:val="fr-FR"/>
              </w:rPr>
              <w:t>s</w:t>
            </w:r>
            <w:r w:rsidR="00A83049" w:rsidRPr="00BF3F63">
              <w:rPr>
                <w:lang w:val="fr-FR"/>
              </w:rPr>
              <w:t>)</w:t>
            </w:r>
            <w:r w:rsidR="00F232C8" w:rsidRPr="00BF3F63">
              <w:rPr>
                <w:lang w:val="fr-FR"/>
              </w:rPr>
              <w:t xml:space="preserve"> partie</w:t>
            </w:r>
            <w:r w:rsidR="00A83049" w:rsidRPr="00BF3F63">
              <w:rPr>
                <w:lang w:val="fr-FR"/>
              </w:rPr>
              <w:t>(</w:t>
            </w:r>
            <w:r w:rsidR="00F232C8" w:rsidRPr="00BF3F63">
              <w:rPr>
                <w:lang w:val="fr-FR"/>
              </w:rPr>
              <w:t>s</w:t>
            </w:r>
            <w:r w:rsidR="00A83049" w:rsidRPr="00BF3F63">
              <w:rPr>
                <w:lang w:val="fr-FR"/>
              </w:rPr>
              <w:t>)</w:t>
            </w:r>
            <w:r w:rsidRPr="00BF3F63">
              <w:rPr>
                <w:lang w:val="fr-FR"/>
              </w:rPr>
              <w:t xml:space="preserve"> lance</w:t>
            </w:r>
            <w:r w:rsidR="00A83049" w:rsidRPr="00BF3F63">
              <w:rPr>
                <w:lang w:val="fr-FR"/>
              </w:rPr>
              <w:t>(</w:t>
            </w:r>
            <w:r w:rsidRPr="00BF3F63">
              <w:rPr>
                <w:lang w:val="fr-FR"/>
              </w:rPr>
              <w:t>nt</w:t>
            </w:r>
            <w:r w:rsidR="00A83049" w:rsidRPr="00BF3F63">
              <w:rPr>
                <w:lang w:val="fr-FR"/>
              </w:rPr>
              <w:t>)</w:t>
            </w:r>
            <w:r w:rsidRPr="00BF3F63">
              <w:rPr>
                <w:lang w:val="fr-FR"/>
              </w:rPr>
              <w:t xml:space="preserve"> le processus</w:t>
            </w:r>
            <w:r w:rsidR="00F232C8" w:rsidRPr="00BF3F63">
              <w:rPr>
                <w:lang w:val="fr-FR"/>
              </w:rPr>
              <w:t xml:space="preserve">. </w:t>
            </w:r>
          </w:p>
          <w:p w14:paraId="5D89034E" w14:textId="133EB9A1" w:rsidR="00F232C8" w:rsidRPr="00BF3F63" w:rsidRDefault="00A83049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 w:rsidRPr="00BF3F63">
              <w:rPr>
                <w:lang w:val="fr-FR"/>
              </w:rPr>
              <w:t>L’/Les État(s) partie(</w:t>
            </w:r>
            <w:proofErr w:type="gramStart"/>
            <w:r w:rsidRPr="00BF3F63">
              <w:rPr>
                <w:lang w:val="fr-FR"/>
              </w:rPr>
              <w:t xml:space="preserve">s) </w:t>
            </w:r>
            <w:r w:rsidR="0042323F" w:rsidRPr="00BF3F63">
              <w:rPr>
                <w:lang w:val="fr-FR"/>
              </w:rPr>
              <w:t xml:space="preserve"> soumet</w:t>
            </w:r>
            <w:proofErr w:type="gramEnd"/>
            <w:r w:rsidR="00EA0AE7">
              <w:rPr>
                <w:lang w:val="fr-FR"/>
              </w:rPr>
              <w:t>(</w:t>
            </w:r>
            <w:proofErr w:type="spellStart"/>
            <w:r w:rsidR="0042323F" w:rsidRPr="00BF3F63">
              <w:rPr>
                <w:lang w:val="fr-FR"/>
              </w:rPr>
              <w:t>tent</w:t>
            </w:r>
            <w:proofErr w:type="spellEnd"/>
            <w:r w:rsidRPr="00BF3F63">
              <w:rPr>
                <w:lang w:val="fr-FR"/>
              </w:rPr>
              <w:t>)</w:t>
            </w:r>
            <w:r w:rsidR="0042323F" w:rsidRPr="00BF3F63">
              <w:rPr>
                <w:lang w:val="fr-FR"/>
              </w:rPr>
              <w:t xml:space="preserve"> la demande de transfert </w:t>
            </w:r>
            <w:r w:rsidRPr="00BF3F63">
              <w:rPr>
                <w:lang w:val="fr-FR"/>
              </w:rPr>
              <w:t>avant une nouvelle date limite statutaire fixée au</w:t>
            </w:r>
            <w:r w:rsidR="00F232C8" w:rsidRPr="00BF3F63">
              <w:rPr>
                <w:lang w:val="fr-FR"/>
              </w:rPr>
              <w:t xml:space="preserve"> 31 janvier.</w:t>
            </w:r>
            <w:r w:rsidR="0042323F" w:rsidRPr="00BF3F63">
              <w:rPr>
                <w:lang w:val="fr-FR"/>
              </w:rPr>
              <w:t xml:space="preserve"> Le Secrétariat </w:t>
            </w:r>
            <w:r w:rsidRPr="00BF3F63">
              <w:rPr>
                <w:lang w:val="fr-FR"/>
              </w:rPr>
              <w:t>enregistre</w:t>
            </w:r>
            <w:r w:rsidR="0042323F" w:rsidRPr="00BF3F63">
              <w:rPr>
                <w:lang w:val="fr-FR"/>
              </w:rPr>
              <w:t xml:space="preserve"> la </w:t>
            </w:r>
            <w:r w:rsidR="00EA0AE7">
              <w:rPr>
                <w:lang w:val="fr-FR"/>
              </w:rPr>
              <w:t>demande</w:t>
            </w:r>
            <w:r w:rsidR="0042323F" w:rsidRPr="00BF3F63">
              <w:rPr>
                <w:lang w:val="fr-FR"/>
              </w:rPr>
              <w:t>.</w:t>
            </w:r>
          </w:p>
          <w:p w14:paraId="6C50A871" w14:textId="1E4207E4" w:rsidR="00F232C8" w:rsidRPr="00BF3F63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 w:rsidRPr="00BF3F63">
              <w:rPr>
                <w:lang w:val="fr-FR"/>
              </w:rPr>
              <w:t xml:space="preserve">Le </w:t>
            </w:r>
            <w:r w:rsidR="00A83049" w:rsidRPr="00BF3F63">
              <w:rPr>
                <w:lang w:val="fr-FR"/>
              </w:rPr>
              <w:t>dossier</w:t>
            </w:r>
            <w:r w:rsidRPr="00BF3F63">
              <w:rPr>
                <w:lang w:val="fr-FR"/>
              </w:rPr>
              <w:t xml:space="preserve"> de transfert est transmis à l</w:t>
            </w:r>
            <w:r w:rsidR="00FE6112" w:rsidRPr="00BF3F63">
              <w:rPr>
                <w:lang w:val="fr-FR"/>
              </w:rPr>
              <w:t>’</w:t>
            </w:r>
            <w:r w:rsidRPr="00BF3F63">
              <w:rPr>
                <w:lang w:val="fr-FR"/>
              </w:rPr>
              <w:t>Organe d</w:t>
            </w:r>
            <w:r w:rsidR="00FE6112" w:rsidRPr="00BF3F63">
              <w:rPr>
                <w:lang w:val="fr-FR"/>
              </w:rPr>
              <w:t>’</w:t>
            </w:r>
            <w:r w:rsidRPr="00BF3F63">
              <w:rPr>
                <w:lang w:val="fr-FR"/>
              </w:rPr>
              <w:t>évaluation la même année</w:t>
            </w:r>
            <w:r w:rsidR="0042323F" w:rsidRPr="00BF3F63">
              <w:rPr>
                <w:lang w:val="fr-FR"/>
              </w:rPr>
              <w:t xml:space="preserve"> que </w:t>
            </w:r>
            <w:r w:rsidR="000E4436" w:rsidRPr="00BF3F63">
              <w:rPr>
                <w:lang w:val="fr-FR"/>
              </w:rPr>
              <w:t>sa soumission</w:t>
            </w:r>
            <w:r w:rsidR="0042323F" w:rsidRPr="00BF3F63">
              <w:rPr>
                <w:lang w:val="fr-FR"/>
              </w:rPr>
              <w:t>, sans vérification de complétude</w:t>
            </w:r>
            <w:r w:rsidR="000E4436" w:rsidRPr="00BF3F63">
              <w:rPr>
                <w:lang w:val="fr-FR"/>
              </w:rPr>
              <w:t xml:space="preserve"> technique</w:t>
            </w:r>
            <w:r w:rsidR="00A83049" w:rsidRPr="00BF3F63">
              <w:rPr>
                <w:lang w:val="fr-FR"/>
              </w:rPr>
              <w:t>.</w:t>
            </w:r>
          </w:p>
          <w:p w14:paraId="6D5AE079" w14:textId="1AFA227A" w:rsidR="00F232C8" w:rsidRPr="00BF3F63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 w:rsidRPr="00BF3F63">
              <w:rPr>
                <w:lang w:val="fr-FR"/>
              </w:rPr>
              <w:t xml:space="preserve">Un formulaire de transfert léger est créé. Il </w:t>
            </w:r>
            <w:r w:rsidR="00A83049" w:rsidRPr="00BF3F63">
              <w:rPr>
                <w:lang w:val="fr-FR"/>
              </w:rPr>
              <w:t>se concentre sur :</w:t>
            </w:r>
            <w:r w:rsidRPr="00BF3F63">
              <w:rPr>
                <w:lang w:val="fr-FR"/>
              </w:rPr>
              <w:t xml:space="preserve"> (</w:t>
            </w:r>
            <w:r w:rsidR="0042323F" w:rsidRPr="00BF3F63">
              <w:rPr>
                <w:lang w:val="fr-FR"/>
              </w:rPr>
              <w:t>a</w:t>
            </w:r>
            <w:r w:rsidRPr="00BF3F63">
              <w:rPr>
                <w:lang w:val="fr-FR"/>
              </w:rPr>
              <w:t>)</w:t>
            </w:r>
            <w:r w:rsidR="00A83049" w:rsidRPr="00BF3F63">
              <w:rPr>
                <w:lang w:val="fr-FR"/>
              </w:rPr>
              <w:t xml:space="preserve"> une</w:t>
            </w:r>
            <w:r w:rsidRPr="00BF3F63">
              <w:rPr>
                <w:lang w:val="fr-FR"/>
              </w:rPr>
              <w:t xml:space="preserve"> description </w:t>
            </w:r>
            <w:r w:rsidR="00BF3F63">
              <w:rPr>
                <w:lang w:val="fr-FR"/>
              </w:rPr>
              <w:t>actualisée</w:t>
            </w:r>
            <w:r w:rsidRPr="00BF3F63">
              <w:rPr>
                <w:lang w:val="fr-FR"/>
              </w:rPr>
              <w:t xml:space="preserve"> de l</w:t>
            </w:r>
            <w:r w:rsidR="00FE6112" w:rsidRPr="00BF3F63">
              <w:rPr>
                <w:lang w:val="fr-FR"/>
              </w:rPr>
              <w:t>’</w:t>
            </w:r>
            <w:r w:rsidRPr="00BF3F63">
              <w:rPr>
                <w:lang w:val="fr-FR"/>
              </w:rPr>
              <w:t>élément incluant une justification de la nécessité d</w:t>
            </w:r>
            <w:r w:rsidR="00A83049" w:rsidRPr="00BF3F63">
              <w:rPr>
                <w:lang w:val="fr-FR"/>
              </w:rPr>
              <w:t>e</w:t>
            </w:r>
            <w:r w:rsidRPr="00BF3F63">
              <w:rPr>
                <w:lang w:val="fr-FR"/>
              </w:rPr>
              <w:t xml:space="preserve"> sauvegarde urgente, (</w:t>
            </w:r>
            <w:r w:rsidR="0042323F" w:rsidRPr="00BF3F63">
              <w:rPr>
                <w:lang w:val="fr-FR"/>
              </w:rPr>
              <w:t>b</w:t>
            </w:r>
            <w:r w:rsidRPr="00BF3F63">
              <w:rPr>
                <w:lang w:val="fr-FR"/>
              </w:rPr>
              <w:t xml:space="preserve">) un plan de sauvegarde, </w:t>
            </w:r>
            <w:r w:rsidR="00A83049" w:rsidRPr="00BF3F63">
              <w:rPr>
                <w:lang w:val="fr-FR"/>
              </w:rPr>
              <w:t>y compris l’expression éventuelle d’un besoin d’assistance internationale pour soutenir sa mise en œuvre</w:t>
            </w:r>
            <w:r w:rsidRPr="00BF3F63">
              <w:rPr>
                <w:lang w:val="fr-FR"/>
              </w:rPr>
              <w:t xml:space="preserve"> et (</w:t>
            </w:r>
            <w:r w:rsidR="0042323F" w:rsidRPr="00BF3F63">
              <w:rPr>
                <w:lang w:val="fr-FR"/>
              </w:rPr>
              <w:t>c</w:t>
            </w:r>
            <w:r w:rsidRPr="00BF3F63">
              <w:rPr>
                <w:lang w:val="fr-FR"/>
              </w:rPr>
              <w:t>) le consentement de la communauté par le biais de document</w:t>
            </w:r>
            <w:r w:rsidR="00F21894" w:rsidRPr="00BF3F63">
              <w:rPr>
                <w:lang w:val="fr-FR"/>
              </w:rPr>
              <w:t>s</w:t>
            </w:r>
            <w:r w:rsidRPr="00BF3F63">
              <w:rPr>
                <w:lang w:val="fr-FR"/>
              </w:rPr>
              <w:t xml:space="preserve"> écrits ou de contenus audio-visuels.</w:t>
            </w:r>
          </w:p>
        </w:tc>
      </w:tr>
      <w:tr w:rsidR="00F232C8" w:rsidRPr="005418AB" w14:paraId="6E4C699C" w14:textId="77777777" w:rsidTr="00F830F9">
        <w:trPr>
          <w:trHeight w:val="1543"/>
        </w:trPr>
        <w:tc>
          <w:tcPr>
            <w:tcW w:w="993" w:type="dxa"/>
            <w:vMerge/>
          </w:tcPr>
          <w:p w14:paraId="25AFCD18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D9D9D9" w:themeFill="background1" w:themeFillShade="D9"/>
          </w:tcPr>
          <w:p w14:paraId="645BE3FD" w14:textId="30E1AE13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A83049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34464BAF" w14:textId="118C79C1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 w:rsidRPr="00690982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Temps supplémentaire nécessaire au </w:t>
            </w:r>
            <w:r w:rsidRPr="00690982">
              <w:rPr>
                <w:sz w:val="16"/>
                <w:szCs w:val="16"/>
                <w:lang w:val="fr-FR"/>
              </w:rPr>
              <w:t>Secr</w:t>
            </w:r>
            <w:r>
              <w:rPr>
                <w:sz w:val="16"/>
                <w:szCs w:val="16"/>
                <w:lang w:val="fr-FR"/>
              </w:rPr>
              <w:t>é</w:t>
            </w:r>
            <w:r w:rsidRPr="00690982">
              <w:rPr>
                <w:sz w:val="16"/>
                <w:szCs w:val="16"/>
                <w:lang w:val="fr-FR"/>
              </w:rPr>
              <w:t xml:space="preserve">tariat </w:t>
            </w:r>
            <w:r>
              <w:rPr>
                <w:sz w:val="16"/>
                <w:szCs w:val="16"/>
                <w:lang w:val="fr-FR"/>
              </w:rPr>
              <w:t>pour</w:t>
            </w:r>
            <w:r w:rsidR="00A83049"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>:</w:t>
            </w:r>
            <w:r w:rsidR="00097B39">
              <w:rPr>
                <w:sz w:val="16"/>
                <w:szCs w:val="16"/>
                <w:lang w:val="fr-FR"/>
              </w:rPr>
              <w:t xml:space="preserve"> </w:t>
            </w:r>
          </w:p>
          <w:p w14:paraId="07D24C33" w14:textId="09096935" w:rsidR="00F232C8" w:rsidRPr="00690982" w:rsidRDefault="00A83049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c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ommunication </w:t>
            </w:r>
            <w:r w:rsidR="00F232C8">
              <w:rPr>
                <w:sz w:val="16"/>
                <w:szCs w:val="16"/>
                <w:lang w:val="fr-FR"/>
              </w:rPr>
              <w:t xml:space="preserve">avec les </w:t>
            </w:r>
            <w:r w:rsidR="0008673A">
              <w:rPr>
                <w:sz w:val="16"/>
                <w:szCs w:val="16"/>
                <w:lang w:val="fr-FR"/>
              </w:rPr>
              <w:t>États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  <w:r w:rsidR="0042323F">
              <w:rPr>
                <w:sz w:val="16"/>
                <w:szCs w:val="16"/>
                <w:lang w:val="fr-FR"/>
              </w:rPr>
              <w:t xml:space="preserve">parties </w:t>
            </w:r>
            <w:r w:rsidR="000E4436">
              <w:rPr>
                <w:sz w:val="16"/>
                <w:szCs w:val="16"/>
                <w:lang w:val="fr-FR"/>
              </w:rPr>
              <w:t>ayant</w:t>
            </w:r>
            <w:r w:rsidR="00F232C8">
              <w:rPr>
                <w:sz w:val="16"/>
                <w:szCs w:val="16"/>
                <w:lang w:val="fr-FR"/>
              </w:rPr>
              <w:t xml:space="preserve">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intention de soumettre une demande de transfert</w:t>
            </w:r>
          </w:p>
          <w:p w14:paraId="29C1E8EA" w14:textId="1A9C0D37" w:rsidR="00F232C8" w:rsidRPr="00690982" w:rsidRDefault="00074A8B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t</w:t>
            </w:r>
            <w:r w:rsidR="00F232C8" w:rsidRPr="00690982"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 xml:space="preserve">aitement des </w:t>
            </w:r>
            <w:r>
              <w:rPr>
                <w:sz w:val="16"/>
                <w:szCs w:val="16"/>
                <w:lang w:val="fr-FR"/>
              </w:rPr>
              <w:t>dossiers s</w:t>
            </w:r>
            <w:r w:rsidR="00F232C8">
              <w:rPr>
                <w:sz w:val="16"/>
                <w:szCs w:val="16"/>
                <w:lang w:val="fr-FR"/>
              </w:rPr>
              <w:t xml:space="preserve">upplémentaires </w:t>
            </w:r>
            <w:r w:rsidR="00F232C8" w:rsidRPr="00690982">
              <w:rPr>
                <w:sz w:val="16"/>
                <w:szCs w:val="16"/>
                <w:lang w:val="fr-FR"/>
              </w:rPr>
              <w:t>(correspond</w:t>
            </w:r>
            <w:r w:rsidR="00F232C8">
              <w:rPr>
                <w:sz w:val="16"/>
                <w:szCs w:val="16"/>
                <w:lang w:val="fr-FR"/>
              </w:rPr>
              <w:t>a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nce, </w:t>
            </w:r>
            <w:r w:rsidR="00F232C8">
              <w:rPr>
                <w:sz w:val="16"/>
                <w:szCs w:val="16"/>
                <w:lang w:val="fr-FR"/>
              </w:rPr>
              <w:t xml:space="preserve">vérification </w:t>
            </w:r>
            <w:r>
              <w:rPr>
                <w:sz w:val="16"/>
                <w:szCs w:val="16"/>
                <w:lang w:val="fr-FR"/>
              </w:rPr>
              <w:t>de la complétude</w:t>
            </w:r>
            <w:r w:rsidR="00F232C8" w:rsidRPr="00690982">
              <w:rPr>
                <w:sz w:val="16"/>
                <w:szCs w:val="16"/>
                <w:lang w:val="fr-FR"/>
              </w:rPr>
              <w:t>, etc.)</w:t>
            </w:r>
          </w:p>
          <w:p w14:paraId="0F112F2E" w14:textId="419A88FA" w:rsidR="00F232C8" w:rsidRPr="00690982" w:rsidRDefault="00F13A9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>essources financières</w:t>
            </w:r>
            <w:r w:rsidR="00074A8B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supplémentaires </w:t>
            </w:r>
            <w:r w:rsidR="00074A8B">
              <w:rPr>
                <w:sz w:val="16"/>
                <w:szCs w:val="16"/>
                <w:lang w:val="fr-FR"/>
              </w:rPr>
              <w:t>pour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  <w:r w:rsidR="00F232C8" w:rsidRPr="00690982">
              <w:rPr>
                <w:sz w:val="16"/>
                <w:szCs w:val="16"/>
                <w:lang w:val="fr-FR"/>
              </w:rPr>
              <w:t>:</w:t>
            </w:r>
          </w:p>
          <w:p w14:paraId="214BA6D8" w14:textId="3BF2706D" w:rsidR="00F232C8" w:rsidRPr="00690982" w:rsidRDefault="00074A8B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t</w:t>
            </w:r>
            <w:r w:rsidR="00F232C8" w:rsidRPr="00690982">
              <w:rPr>
                <w:sz w:val="16"/>
                <w:szCs w:val="16"/>
                <w:lang w:val="fr-FR"/>
              </w:rPr>
              <w:t>ra</w:t>
            </w:r>
            <w:r w:rsidR="00F232C8">
              <w:rPr>
                <w:sz w:val="16"/>
                <w:szCs w:val="16"/>
                <w:lang w:val="fr-FR"/>
              </w:rPr>
              <w:t xml:space="preserve">duction des </w:t>
            </w:r>
            <w:r>
              <w:rPr>
                <w:sz w:val="16"/>
                <w:szCs w:val="16"/>
                <w:lang w:val="fr-FR"/>
              </w:rPr>
              <w:t xml:space="preserve">dossiers </w:t>
            </w:r>
            <w:r w:rsidR="00F232C8">
              <w:rPr>
                <w:sz w:val="16"/>
                <w:szCs w:val="16"/>
                <w:lang w:val="fr-FR"/>
              </w:rPr>
              <w:t>supplémentaires</w:t>
            </w:r>
          </w:p>
        </w:tc>
      </w:tr>
      <w:tr w:rsidR="00F232C8" w:rsidRPr="005418AB" w14:paraId="37D6872E" w14:textId="77777777" w:rsidTr="00F830F9">
        <w:trPr>
          <w:trHeight w:val="2125"/>
        </w:trPr>
        <w:tc>
          <w:tcPr>
            <w:tcW w:w="993" w:type="dxa"/>
            <w:vMerge w:val="restart"/>
          </w:tcPr>
          <w:p w14:paraId="047C67E8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2</w:t>
            </w:r>
          </w:p>
        </w:tc>
        <w:tc>
          <w:tcPr>
            <w:tcW w:w="8073" w:type="dxa"/>
          </w:tcPr>
          <w:p w14:paraId="33AAE7DA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>Évaluation</w:t>
            </w:r>
          </w:p>
          <w:p w14:paraId="3E8D755B" w14:textId="6BBC6D19" w:rsidR="00F232C8" w:rsidRPr="00690982" w:rsidRDefault="000E4436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La demande de transfert est évaluée</w:t>
            </w:r>
            <w:r w:rsidR="00F232C8" w:rsidRPr="00690982">
              <w:rPr>
                <w:lang w:val="fr-FR"/>
              </w:rPr>
              <w:t xml:space="preserve"> </w:t>
            </w:r>
            <w:r w:rsidR="00F232C8">
              <w:rPr>
                <w:lang w:val="fr-FR"/>
              </w:rPr>
              <w:t>par</w:t>
            </w:r>
            <w:r w:rsidR="00BF3F63">
              <w:rPr>
                <w:lang w:val="fr-FR"/>
              </w:rPr>
              <w:t> :</w:t>
            </w:r>
            <w:r w:rsidR="00F232C8">
              <w:rPr>
                <w:lang w:val="fr-FR"/>
              </w:rPr>
              <w:t xml:space="preserve"> </w:t>
            </w:r>
            <w:r w:rsidR="00F232C8" w:rsidRPr="00690982">
              <w:rPr>
                <w:lang w:val="fr-FR"/>
              </w:rPr>
              <w:t>(</w:t>
            </w:r>
            <w:r>
              <w:rPr>
                <w:lang w:val="fr-FR"/>
              </w:rPr>
              <w:t>a</w:t>
            </w:r>
            <w:r w:rsidR="00F232C8" w:rsidRPr="00690982">
              <w:rPr>
                <w:lang w:val="fr-FR"/>
              </w:rPr>
              <w:t xml:space="preserve">) </w:t>
            </w:r>
            <w:r w:rsidR="00F232C8"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é</w:t>
            </w:r>
            <w:r w:rsidR="00F232C8" w:rsidRPr="00690982">
              <w:rPr>
                <w:lang w:val="fr-FR"/>
              </w:rPr>
              <w:t xml:space="preserve">valuation </w:t>
            </w:r>
            <w:r w:rsidR="00F232C8">
              <w:rPr>
                <w:lang w:val="fr-FR"/>
              </w:rPr>
              <w:t xml:space="preserve">dans son intégralité conformément à ses méthodes de travail actuelles ou </w:t>
            </w:r>
            <w:r w:rsidR="00F232C8" w:rsidRPr="00690982">
              <w:rPr>
                <w:lang w:val="fr-FR"/>
              </w:rPr>
              <w:t>(</w:t>
            </w:r>
            <w:r>
              <w:rPr>
                <w:lang w:val="fr-FR"/>
              </w:rPr>
              <w:t>b</w:t>
            </w:r>
            <w:r w:rsidR="00F232C8" w:rsidRPr="00690982">
              <w:rPr>
                <w:lang w:val="fr-FR"/>
              </w:rPr>
              <w:t xml:space="preserve">) </w:t>
            </w:r>
            <w:r w:rsidR="00F232C8">
              <w:rPr>
                <w:lang w:val="fr-FR"/>
              </w:rPr>
              <w:t>par deux membres de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é</w:t>
            </w:r>
            <w:r w:rsidR="00F232C8" w:rsidRPr="00690982">
              <w:rPr>
                <w:lang w:val="fr-FR"/>
              </w:rPr>
              <w:t>valuation</w:t>
            </w:r>
            <w:r w:rsidR="00F232C8">
              <w:rPr>
                <w:lang w:val="fr-FR"/>
              </w:rPr>
              <w:t xml:space="preserve"> </w:t>
            </w:r>
            <w:r w:rsidR="00F232C8" w:rsidRPr="00690982">
              <w:rPr>
                <w:lang w:val="fr-FR"/>
              </w:rPr>
              <w:t>(</w:t>
            </w:r>
            <w:r>
              <w:rPr>
                <w:lang w:val="fr-FR"/>
              </w:rPr>
              <w:t xml:space="preserve">une </w:t>
            </w:r>
            <w:r w:rsidR="00F232C8">
              <w:rPr>
                <w:lang w:val="fr-FR"/>
              </w:rPr>
              <w:t>ONG accréditée et</w:t>
            </w:r>
            <w:r>
              <w:rPr>
                <w:lang w:val="fr-FR"/>
              </w:rPr>
              <w:t xml:space="preserve"> un</w:t>
            </w:r>
            <w:r w:rsidR="00F232C8">
              <w:rPr>
                <w:lang w:val="fr-FR"/>
              </w:rPr>
              <w:t xml:space="preserve"> </w:t>
            </w:r>
            <w:r w:rsidR="00F232C8" w:rsidRPr="00690982">
              <w:rPr>
                <w:lang w:val="fr-FR"/>
              </w:rPr>
              <w:t xml:space="preserve">expert </w:t>
            </w:r>
            <w:r w:rsidR="00F232C8">
              <w:rPr>
                <w:lang w:val="fr-FR"/>
              </w:rPr>
              <w:t xml:space="preserve">de la </w:t>
            </w:r>
            <w:r w:rsidR="00F232C8" w:rsidRPr="00690982">
              <w:rPr>
                <w:lang w:val="fr-FR"/>
              </w:rPr>
              <w:t>r</w:t>
            </w:r>
            <w:r w:rsidR="00F232C8">
              <w:rPr>
                <w:lang w:val="fr-FR"/>
              </w:rPr>
              <w:t>é</w:t>
            </w:r>
            <w:r w:rsidR="00F232C8" w:rsidRPr="00690982">
              <w:rPr>
                <w:lang w:val="fr-FR"/>
              </w:rPr>
              <w:t>gion concern</w:t>
            </w:r>
            <w:r w:rsidR="00F232C8">
              <w:rPr>
                <w:lang w:val="fr-FR"/>
              </w:rPr>
              <w:t>é</w:t>
            </w:r>
            <w:r w:rsidR="00F232C8" w:rsidRPr="00690982">
              <w:rPr>
                <w:lang w:val="fr-FR"/>
              </w:rPr>
              <w:t>e)</w:t>
            </w:r>
            <w:r w:rsidR="0022089C">
              <w:rPr>
                <w:lang w:val="fr-FR"/>
              </w:rPr>
              <w:t>,</w:t>
            </w:r>
            <w:r w:rsidR="00F232C8" w:rsidRPr="00690982">
              <w:rPr>
                <w:lang w:val="fr-FR"/>
              </w:rPr>
              <w:t xml:space="preserve"> </w:t>
            </w:r>
            <w:r w:rsidR="00F232C8">
              <w:rPr>
                <w:lang w:val="fr-FR"/>
              </w:rPr>
              <w:t xml:space="preserve">qui effectuent une </w:t>
            </w:r>
            <w:r w:rsidR="00BF3F63">
              <w:rPr>
                <w:lang w:val="fr-FR"/>
              </w:rPr>
              <w:t>évaluation</w:t>
            </w:r>
            <w:r w:rsidR="00F232C8">
              <w:rPr>
                <w:lang w:val="fr-FR"/>
              </w:rPr>
              <w:t xml:space="preserve"> initiale</w:t>
            </w:r>
            <w:r w:rsidR="0022089C">
              <w:rPr>
                <w:lang w:val="fr-FR"/>
              </w:rPr>
              <w:t xml:space="preserve">. Cette dernière </w:t>
            </w:r>
            <w:r w:rsidR="00F232C8">
              <w:rPr>
                <w:lang w:val="fr-FR"/>
              </w:rPr>
              <w:t xml:space="preserve">est ensuite débattue </w:t>
            </w:r>
            <w:r w:rsidR="00F232C8" w:rsidRPr="00690982">
              <w:rPr>
                <w:lang w:val="fr-FR"/>
              </w:rPr>
              <w:t>collective</w:t>
            </w:r>
            <w:r w:rsidR="00F232C8">
              <w:rPr>
                <w:lang w:val="fr-FR"/>
              </w:rPr>
              <w:t>ment par tous les membres de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é</w:t>
            </w:r>
            <w:r w:rsidR="00F232C8" w:rsidRPr="00690982">
              <w:rPr>
                <w:lang w:val="fr-FR"/>
              </w:rPr>
              <w:t xml:space="preserve">valuation. </w:t>
            </w:r>
          </w:p>
          <w:p w14:paraId="53DBF1C2" w14:textId="4C7250EA" w:rsidR="00F232C8" w:rsidRPr="00690982" w:rsidRDefault="000E4436" w:rsidP="0022089C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Pour chaque type de transfert,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évaluation de la conformité de la demande de transfert est basée sur un nombre réduit de critères, comme </w:t>
            </w:r>
            <w:r w:rsidR="0022089C">
              <w:rPr>
                <w:lang w:val="fr-FR"/>
              </w:rPr>
              <w:t>indiqué ci-après</w:t>
            </w:r>
            <w:r w:rsidR="00BF3F63">
              <w:rPr>
                <w:lang w:val="fr-FR"/>
              </w:rPr>
              <w:t> :</w:t>
            </w:r>
            <w:r w:rsidR="00F232C8">
              <w:rPr>
                <w:lang w:val="fr-FR"/>
              </w:rPr>
              <w:t xml:space="preserve"> </w:t>
            </w:r>
          </w:p>
        </w:tc>
      </w:tr>
      <w:tr w:rsidR="00F232C8" w:rsidRPr="005418AB" w14:paraId="676A8DBA" w14:textId="77777777" w:rsidTr="00F830F9">
        <w:trPr>
          <w:trHeight w:val="384"/>
        </w:trPr>
        <w:tc>
          <w:tcPr>
            <w:tcW w:w="993" w:type="dxa"/>
            <w:vMerge/>
          </w:tcPr>
          <w:p w14:paraId="3C0CB22C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8073" w:type="dxa"/>
            <w:shd w:val="clear" w:color="auto" w:fill="DBE5F1" w:themeFill="accent1" w:themeFillTint="33"/>
          </w:tcPr>
          <w:p w14:paraId="4E1C203E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>Transfer</w:t>
            </w:r>
            <w:r>
              <w:rPr>
                <w:i/>
                <w:iCs/>
                <w:lang w:val="fr-FR"/>
              </w:rPr>
              <w:t>t de la Liste de sauvegarde urgente vers la Liste re</w:t>
            </w:r>
            <w:r w:rsidRPr="00690982">
              <w:rPr>
                <w:i/>
                <w:iCs/>
                <w:lang w:val="fr-FR"/>
              </w:rPr>
              <w:t>pr</w:t>
            </w:r>
            <w:r>
              <w:rPr>
                <w:i/>
                <w:iCs/>
                <w:lang w:val="fr-FR"/>
              </w:rPr>
              <w:t>é</w:t>
            </w:r>
            <w:r w:rsidRPr="00690982">
              <w:rPr>
                <w:i/>
                <w:iCs/>
                <w:lang w:val="fr-FR"/>
              </w:rPr>
              <w:t>sentative (</w:t>
            </w:r>
            <w:r>
              <w:rPr>
                <w:i/>
                <w:iCs/>
                <w:lang w:val="fr-FR"/>
              </w:rPr>
              <w:t xml:space="preserve">cycle de </w:t>
            </w:r>
            <w:r w:rsidRPr="00690982">
              <w:rPr>
                <w:i/>
                <w:iCs/>
                <w:lang w:val="fr-FR"/>
              </w:rPr>
              <w:t>21</w:t>
            </w:r>
            <w:r>
              <w:rPr>
                <w:i/>
                <w:iCs/>
                <w:lang w:val="fr-FR"/>
              </w:rPr>
              <w:t xml:space="preserve"> mois</w:t>
            </w:r>
            <w:r w:rsidRPr="00690982">
              <w:rPr>
                <w:i/>
                <w:iCs/>
                <w:lang w:val="fr-FR"/>
              </w:rPr>
              <w:t>)</w:t>
            </w:r>
          </w:p>
          <w:p w14:paraId="280DD7B2" w14:textId="690D2EFA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Critère</w:t>
            </w:r>
            <w:r w:rsidRPr="00690982">
              <w:rPr>
                <w:lang w:val="fr-FR"/>
              </w:rPr>
              <w:t xml:space="preserve"> R.1</w:t>
            </w:r>
            <w:r>
              <w:rPr>
                <w:lang w:val="fr-FR"/>
              </w:rPr>
              <w:t> </w:t>
            </w:r>
            <w:r w:rsidRPr="00690982">
              <w:rPr>
                <w:lang w:val="fr-FR"/>
              </w:rPr>
              <w:t xml:space="preserve">: </w:t>
            </w:r>
            <w:r>
              <w:rPr>
                <w:lang w:val="fr-FR"/>
              </w:rPr>
              <w:t>D</w:t>
            </w:r>
            <w:r w:rsidRPr="00690982">
              <w:rPr>
                <w:lang w:val="fr-FR"/>
              </w:rPr>
              <w:t xml:space="preserve">escription </w:t>
            </w:r>
            <w:r w:rsidR="00BF3F63">
              <w:rPr>
                <w:lang w:val="fr-FR"/>
              </w:rPr>
              <w:t>actualisée</w:t>
            </w:r>
            <w:r>
              <w:rPr>
                <w:lang w:val="fr-FR"/>
              </w:rPr>
              <w:t xml:space="preserve">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concernant </w:t>
            </w:r>
            <w:r w:rsidR="0008673A">
              <w:rPr>
                <w:lang w:val="fr-FR"/>
              </w:rPr>
              <w:t>les changements</w:t>
            </w:r>
            <w:r>
              <w:rPr>
                <w:lang w:val="fr-FR"/>
              </w:rPr>
              <w:t xml:space="preserve"> d</w:t>
            </w:r>
            <w:r w:rsidR="00BF3F63">
              <w:rPr>
                <w:lang w:val="fr-FR"/>
              </w:rPr>
              <w:t>ans</w:t>
            </w:r>
            <w:r>
              <w:rPr>
                <w:lang w:val="fr-FR"/>
              </w:rPr>
              <w:t xml:space="preserve"> la </w:t>
            </w:r>
            <w:r w:rsidRPr="00690982">
              <w:rPr>
                <w:lang w:val="fr-FR"/>
              </w:rPr>
              <w:t>viabilit</w:t>
            </w:r>
            <w:r>
              <w:rPr>
                <w:lang w:val="fr-FR"/>
              </w:rPr>
              <w:t>é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en relation avec le </w:t>
            </w:r>
            <w:r w:rsidR="0008673A">
              <w:rPr>
                <w:lang w:val="fr-FR"/>
              </w:rPr>
              <w:t>critère</w:t>
            </w:r>
            <w:r>
              <w:rPr>
                <w:lang w:val="fr-FR"/>
              </w:rPr>
              <w:t xml:space="preserve">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origine </w:t>
            </w:r>
            <w:r w:rsidRPr="00690982">
              <w:rPr>
                <w:lang w:val="fr-FR"/>
              </w:rPr>
              <w:t>U.2.</w:t>
            </w:r>
          </w:p>
          <w:p w14:paraId="36189418" w14:textId="77777777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Critère</w:t>
            </w:r>
            <w:r w:rsidRPr="00690982">
              <w:rPr>
                <w:lang w:val="fr-FR"/>
              </w:rPr>
              <w:t xml:space="preserve"> R.3</w:t>
            </w:r>
            <w:r>
              <w:rPr>
                <w:lang w:val="fr-FR"/>
              </w:rPr>
              <w:t> </w:t>
            </w:r>
            <w:r w:rsidRPr="00690982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Évaluation de la mise en œuvre du plan de sauvegarde décrit sous le critère </w:t>
            </w:r>
            <w:r w:rsidRPr="00690982">
              <w:rPr>
                <w:lang w:val="fr-FR"/>
              </w:rPr>
              <w:t xml:space="preserve">original U.3 </w:t>
            </w:r>
            <w:r>
              <w:rPr>
                <w:lang w:val="fr-FR"/>
              </w:rPr>
              <w:t xml:space="preserve">et des mesures de sauvegarde prévues pour le </w:t>
            </w:r>
            <w:r w:rsidRPr="00690982">
              <w:rPr>
                <w:lang w:val="fr-FR"/>
              </w:rPr>
              <w:t>futur.</w:t>
            </w:r>
          </w:p>
          <w:p w14:paraId="67F61AAF" w14:textId="3ED18719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Critère</w:t>
            </w:r>
            <w:r w:rsidRPr="00690982">
              <w:rPr>
                <w:lang w:val="fr-FR"/>
              </w:rPr>
              <w:t xml:space="preserve"> R.4</w:t>
            </w:r>
            <w:r>
              <w:rPr>
                <w:lang w:val="fr-FR"/>
              </w:rPr>
              <w:t xml:space="preserve"> </w:t>
            </w:r>
            <w:r w:rsidRPr="00690982">
              <w:rPr>
                <w:lang w:val="fr-FR"/>
              </w:rPr>
              <w:t>: Consent</w:t>
            </w:r>
            <w:r>
              <w:rPr>
                <w:lang w:val="fr-FR"/>
              </w:rPr>
              <w:t>ement des mêmes communautés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groupes et individus ayant originellement accepté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inscription </w:t>
            </w:r>
            <w:r w:rsidR="00BF3F63">
              <w:rPr>
                <w:lang w:val="fr-FR"/>
              </w:rPr>
              <w:t>sur</w:t>
            </w:r>
            <w:r>
              <w:rPr>
                <w:lang w:val="fr-FR"/>
              </w:rPr>
              <w:t xml:space="preserve"> la </w:t>
            </w:r>
            <w:r w:rsidRPr="008C0BFB">
              <w:rPr>
                <w:iCs/>
                <w:lang w:val="fr-FR"/>
              </w:rPr>
              <w:t>Liste de sauvegarde urgente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77B7407B" w14:textId="77777777" w:rsidTr="00F830F9">
        <w:trPr>
          <w:trHeight w:val="384"/>
        </w:trPr>
        <w:tc>
          <w:tcPr>
            <w:tcW w:w="993" w:type="dxa"/>
            <w:vMerge/>
          </w:tcPr>
          <w:p w14:paraId="7DCC16D2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8073" w:type="dxa"/>
            <w:shd w:val="clear" w:color="auto" w:fill="FDE9D9" w:themeFill="accent6" w:themeFillTint="33"/>
          </w:tcPr>
          <w:p w14:paraId="199478F7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before="24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>Transfer</w:t>
            </w:r>
            <w:r>
              <w:rPr>
                <w:i/>
                <w:iCs/>
                <w:lang w:val="fr-FR"/>
              </w:rPr>
              <w:t>t de la Liste re</w:t>
            </w:r>
            <w:r w:rsidRPr="00690982">
              <w:rPr>
                <w:i/>
                <w:iCs/>
                <w:lang w:val="fr-FR"/>
              </w:rPr>
              <w:t>pr</w:t>
            </w:r>
            <w:r>
              <w:rPr>
                <w:i/>
                <w:iCs/>
                <w:lang w:val="fr-FR"/>
              </w:rPr>
              <w:t>é</w:t>
            </w:r>
            <w:r w:rsidRPr="00690982">
              <w:rPr>
                <w:i/>
                <w:iCs/>
                <w:lang w:val="fr-FR"/>
              </w:rPr>
              <w:t>sentative</w:t>
            </w:r>
            <w:r>
              <w:rPr>
                <w:i/>
                <w:iCs/>
                <w:lang w:val="fr-FR"/>
              </w:rPr>
              <w:t xml:space="preserve"> vers la Liste de sauvegarde urgente </w:t>
            </w:r>
            <w:r w:rsidRPr="00690982">
              <w:rPr>
                <w:i/>
                <w:iCs/>
                <w:lang w:val="fr-FR"/>
              </w:rPr>
              <w:t>(</w:t>
            </w:r>
            <w:r>
              <w:rPr>
                <w:i/>
                <w:iCs/>
                <w:lang w:val="fr-FR"/>
              </w:rPr>
              <w:t>cycle de 1</w:t>
            </w:r>
            <w:r w:rsidRPr="00690982">
              <w:rPr>
                <w:i/>
                <w:iCs/>
                <w:lang w:val="fr-FR"/>
              </w:rPr>
              <w:t>1</w:t>
            </w:r>
            <w:r>
              <w:rPr>
                <w:i/>
                <w:iCs/>
                <w:lang w:val="fr-FR"/>
              </w:rPr>
              <w:t xml:space="preserve"> mois</w:t>
            </w:r>
            <w:r w:rsidRPr="00690982">
              <w:rPr>
                <w:i/>
                <w:iCs/>
                <w:lang w:val="fr-FR"/>
              </w:rPr>
              <w:t>)</w:t>
            </w:r>
          </w:p>
          <w:p w14:paraId="6FF16D2D" w14:textId="4B86FE0E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Critère</w:t>
            </w:r>
            <w:r w:rsidRPr="00690982">
              <w:rPr>
                <w:lang w:val="fr-FR"/>
              </w:rPr>
              <w:t xml:space="preserve"> U.1</w:t>
            </w:r>
            <w:r>
              <w:rPr>
                <w:lang w:val="fr-FR"/>
              </w:rPr>
              <w:t> </w:t>
            </w:r>
            <w:r w:rsidRPr="00690982">
              <w:rPr>
                <w:lang w:val="fr-FR"/>
              </w:rPr>
              <w:t xml:space="preserve">: </w:t>
            </w:r>
            <w:r>
              <w:rPr>
                <w:lang w:val="fr-FR"/>
              </w:rPr>
              <w:t>D</w:t>
            </w:r>
            <w:r w:rsidRPr="00690982">
              <w:rPr>
                <w:lang w:val="fr-FR"/>
              </w:rPr>
              <w:t xml:space="preserve">escription </w:t>
            </w:r>
            <w:r w:rsidR="00BF3F63">
              <w:rPr>
                <w:lang w:val="fr-FR"/>
              </w:rPr>
              <w:t>actualisée</w:t>
            </w:r>
            <w:r>
              <w:rPr>
                <w:lang w:val="fr-FR"/>
              </w:rPr>
              <w:t xml:space="preserve">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incluant une </w:t>
            </w:r>
            <w:r w:rsidRPr="00690982">
              <w:rPr>
                <w:lang w:val="fr-FR"/>
              </w:rPr>
              <w:t xml:space="preserve">justification </w:t>
            </w:r>
            <w:r>
              <w:rPr>
                <w:lang w:val="fr-FR"/>
              </w:rPr>
              <w:t>de la nécessité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une sauvegarde </w:t>
            </w:r>
            <w:r w:rsidRPr="00690982">
              <w:rPr>
                <w:lang w:val="fr-FR"/>
              </w:rPr>
              <w:t>urgent</w:t>
            </w:r>
            <w:r>
              <w:rPr>
                <w:lang w:val="fr-FR"/>
              </w:rPr>
              <w:t>e</w:t>
            </w:r>
            <w:r w:rsidRPr="00690982">
              <w:rPr>
                <w:lang w:val="fr-FR"/>
              </w:rPr>
              <w:t>.</w:t>
            </w:r>
          </w:p>
          <w:p w14:paraId="1BF64233" w14:textId="11443704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Critère</w:t>
            </w:r>
            <w:r w:rsidRPr="00690982">
              <w:rPr>
                <w:lang w:val="fr-FR"/>
              </w:rPr>
              <w:t xml:space="preserve"> U.3</w:t>
            </w:r>
            <w:r>
              <w:rPr>
                <w:lang w:val="fr-FR"/>
              </w:rPr>
              <w:t> </w:t>
            </w:r>
            <w:r w:rsidRPr="00690982">
              <w:rPr>
                <w:lang w:val="fr-FR"/>
              </w:rPr>
              <w:t xml:space="preserve">: </w:t>
            </w:r>
            <w:r>
              <w:rPr>
                <w:lang w:val="fr-FR"/>
              </w:rPr>
              <w:t>Plan de sauvegarde adéquat et conformité aux critères d</w:t>
            </w:r>
            <w:r w:rsidR="00145874">
              <w:rPr>
                <w:lang w:val="fr-FR"/>
              </w:rPr>
              <w:t>e l’a</w:t>
            </w:r>
            <w:r>
              <w:rPr>
                <w:lang w:val="fr-FR"/>
              </w:rPr>
              <w:t>ssistance i</w:t>
            </w:r>
            <w:r w:rsidRPr="00690982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  <w:r w:rsidRPr="00690982">
              <w:rPr>
                <w:lang w:val="fr-FR"/>
              </w:rPr>
              <w:t xml:space="preserve"> (</w:t>
            </w:r>
            <w:r>
              <w:rPr>
                <w:lang w:val="fr-FR"/>
              </w:rPr>
              <w:t>s</w:t>
            </w:r>
            <w:r w:rsidR="00145874">
              <w:rPr>
                <w:lang w:val="fr-FR"/>
              </w:rPr>
              <w:t xml:space="preserve">i une telle assistance est </w:t>
            </w:r>
            <w:r>
              <w:rPr>
                <w:lang w:val="fr-FR"/>
              </w:rPr>
              <w:t>demandé</w:t>
            </w:r>
            <w:r w:rsidR="00145874">
              <w:rPr>
                <w:lang w:val="fr-FR"/>
              </w:rPr>
              <w:t>e</w:t>
            </w:r>
            <w:r w:rsidRPr="00690982">
              <w:rPr>
                <w:lang w:val="fr-FR"/>
              </w:rPr>
              <w:t>)</w:t>
            </w:r>
            <w:r>
              <w:rPr>
                <w:lang w:val="fr-FR"/>
              </w:rPr>
              <w:t xml:space="preserve">. </w:t>
            </w:r>
            <w:r w:rsidR="00145874"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 w:rsidR="00145874">
              <w:rPr>
                <w:lang w:val="fr-FR"/>
              </w:rPr>
              <w:t>a</w:t>
            </w:r>
            <w:r w:rsidRPr="00690982">
              <w:rPr>
                <w:lang w:val="fr-FR"/>
              </w:rPr>
              <w:t>ssistance</w:t>
            </w:r>
            <w:r w:rsidR="00097B39">
              <w:rPr>
                <w:lang w:val="fr-FR"/>
              </w:rPr>
              <w:t xml:space="preserve"> </w:t>
            </w:r>
            <w:r>
              <w:rPr>
                <w:lang w:val="fr-FR"/>
              </w:rPr>
              <w:t>i</w:t>
            </w:r>
            <w:r w:rsidRPr="00690982">
              <w:rPr>
                <w:lang w:val="fr-FR"/>
              </w:rPr>
              <w:t>nternational</w:t>
            </w:r>
            <w:r>
              <w:rPr>
                <w:lang w:val="fr-FR"/>
              </w:rPr>
              <w:t xml:space="preserve">e peut </w:t>
            </w:r>
            <w:r w:rsidR="00145874">
              <w:rPr>
                <w:lang w:val="fr-FR"/>
              </w:rPr>
              <w:t>mener à</w:t>
            </w:r>
            <w:r>
              <w:rPr>
                <w:lang w:val="fr-FR"/>
              </w:rPr>
              <w:t xml:space="preserve"> la ré</w:t>
            </w:r>
            <w:r w:rsidRPr="00690982">
              <w:rPr>
                <w:lang w:val="fr-FR"/>
              </w:rPr>
              <w:t xml:space="preserve">vision </w:t>
            </w:r>
            <w:r>
              <w:rPr>
                <w:lang w:val="fr-FR"/>
              </w:rPr>
              <w:t>du plan de sauvegarde si ce derni</w:t>
            </w:r>
            <w:r w:rsidR="00145874">
              <w:rPr>
                <w:lang w:val="fr-FR"/>
              </w:rPr>
              <w:t>er</w:t>
            </w:r>
            <w:r>
              <w:rPr>
                <w:lang w:val="fr-FR"/>
              </w:rPr>
              <w:t xml:space="preserve"> n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est pas jugée entièrement adéquat pour répondre aux menaces </w:t>
            </w:r>
            <w:r w:rsidRPr="00690982">
              <w:rPr>
                <w:lang w:val="fr-FR"/>
              </w:rPr>
              <w:t>identifi</w:t>
            </w:r>
            <w:r>
              <w:rPr>
                <w:lang w:val="fr-FR"/>
              </w:rPr>
              <w:t>ées</w:t>
            </w:r>
            <w:r w:rsidRPr="00690982">
              <w:rPr>
                <w:lang w:val="fr-FR"/>
              </w:rPr>
              <w:t>.</w:t>
            </w:r>
          </w:p>
          <w:p w14:paraId="515652E7" w14:textId="6125EF12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lang w:val="fr-FR"/>
              </w:rPr>
            </w:pPr>
            <w:r>
              <w:rPr>
                <w:lang w:val="fr-FR"/>
              </w:rPr>
              <w:t>Critère</w:t>
            </w:r>
            <w:r w:rsidRPr="00690982">
              <w:rPr>
                <w:lang w:val="fr-FR"/>
              </w:rPr>
              <w:t xml:space="preserve"> U.4</w:t>
            </w:r>
            <w:r>
              <w:rPr>
                <w:lang w:val="fr-FR"/>
              </w:rPr>
              <w:t> </w:t>
            </w:r>
            <w:r w:rsidRPr="00690982">
              <w:rPr>
                <w:lang w:val="fr-FR"/>
              </w:rPr>
              <w:t>: Consent</w:t>
            </w:r>
            <w:r>
              <w:rPr>
                <w:lang w:val="fr-FR"/>
              </w:rPr>
              <w:t>ement des mêmes communautés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groupes et individus ayant originellement </w:t>
            </w:r>
            <w:r w:rsidR="00145874">
              <w:rPr>
                <w:lang w:val="fr-FR"/>
              </w:rPr>
              <w:t>approuvé</w:t>
            </w:r>
            <w:r>
              <w:rPr>
                <w:lang w:val="fr-FR"/>
              </w:rPr>
              <w:t xml:space="preserve">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inscription </w:t>
            </w:r>
            <w:r w:rsidR="00145874">
              <w:rPr>
                <w:lang w:val="fr-FR"/>
              </w:rPr>
              <w:t>sur</w:t>
            </w:r>
            <w:r>
              <w:rPr>
                <w:lang w:val="fr-FR"/>
              </w:rPr>
              <w:t xml:space="preserve"> la </w:t>
            </w:r>
            <w:r w:rsidRPr="008C0BFB">
              <w:rPr>
                <w:iCs/>
                <w:lang w:val="fr-FR"/>
              </w:rPr>
              <w:t xml:space="preserve">Liste </w:t>
            </w:r>
            <w:r>
              <w:rPr>
                <w:iCs/>
                <w:lang w:val="fr-FR"/>
              </w:rPr>
              <w:t>r</w:t>
            </w:r>
            <w:r w:rsidRPr="00690982">
              <w:rPr>
                <w:lang w:val="fr-FR"/>
              </w:rPr>
              <w:t>epr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sentative.</w:t>
            </w:r>
          </w:p>
        </w:tc>
      </w:tr>
      <w:tr w:rsidR="00F232C8" w:rsidRPr="005418AB" w14:paraId="5F3E28B2" w14:textId="77777777" w:rsidTr="00F830F9">
        <w:trPr>
          <w:trHeight w:val="384"/>
        </w:trPr>
        <w:tc>
          <w:tcPr>
            <w:tcW w:w="993" w:type="dxa"/>
            <w:vMerge/>
          </w:tcPr>
          <w:p w14:paraId="4C31A35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8073" w:type="dxa"/>
            <w:shd w:val="clear" w:color="auto" w:fill="EAF1DD" w:themeFill="accent3" w:themeFillTint="33"/>
          </w:tcPr>
          <w:p w14:paraId="27546021" w14:textId="07516B5F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 xml:space="preserve">Inclusion </w:t>
            </w:r>
            <w:r>
              <w:rPr>
                <w:i/>
                <w:iCs/>
                <w:lang w:val="fr-FR"/>
              </w:rPr>
              <w:t xml:space="preserve">dans le </w:t>
            </w:r>
            <w:r w:rsidRPr="00690982">
              <w:rPr>
                <w:i/>
                <w:iCs/>
                <w:lang w:val="fr-FR"/>
              </w:rPr>
              <w:t>Regist</w:t>
            </w:r>
            <w:r>
              <w:rPr>
                <w:i/>
                <w:iCs/>
                <w:lang w:val="fr-FR"/>
              </w:rPr>
              <w:t>re de bonnes pratiques de sauvegarde</w:t>
            </w:r>
          </w:p>
          <w:p w14:paraId="6AF8A0D0" w14:textId="5142D20E" w:rsidR="00F232C8" w:rsidRPr="00690982" w:rsidRDefault="00F232C8" w:rsidP="0022089C">
            <w:pPr>
              <w:pStyle w:val="1GAPara"/>
              <w:numPr>
                <w:ilvl w:val="0"/>
                <w:numId w:val="4"/>
              </w:numPr>
              <w:rPr>
                <w:b/>
                <w:bCs/>
                <w:lang w:val="fr-FR"/>
              </w:rPr>
            </w:pPr>
            <w:proofErr w:type="gramStart"/>
            <w:r>
              <w:rPr>
                <w:lang w:val="fr-FR"/>
              </w:rPr>
              <w:t>Suite à</w:t>
            </w:r>
            <w:proofErr w:type="gramEnd"/>
            <w:r>
              <w:rPr>
                <w:lang w:val="fr-FR"/>
              </w:rPr>
              <w:t xml:space="preserve"> son évaluation de la demande de transfert depuis la Liste de sauvegarde urgente vers la Liste r</w:t>
            </w:r>
            <w:r w:rsidRPr="00690982">
              <w:rPr>
                <w:lang w:val="fr-FR"/>
              </w:rPr>
              <w:t>epr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sentative, </w:t>
            </w:r>
            <w:r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évaluation peut recommander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inclure </w:t>
            </w:r>
            <w:r w:rsidR="00EA0AE7">
              <w:rPr>
                <w:lang w:val="fr-FR"/>
              </w:rPr>
              <w:t xml:space="preserve">l’expérience de sauvegarde probante décrite dans la demande de transfert, </w:t>
            </w:r>
            <w:r>
              <w:rPr>
                <w:lang w:val="fr-FR"/>
              </w:rPr>
              <w:t xml:space="preserve">dans le </w:t>
            </w:r>
            <w:r w:rsidRPr="00B57653">
              <w:rPr>
                <w:lang w:val="fr-FR"/>
              </w:rPr>
              <w:t>Registre de bonnes pratiques de sauvegarde</w:t>
            </w:r>
            <w:r w:rsidRPr="00690982">
              <w:rPr>
                <w:lang w:val="fr-FR"/>
              </w:rPr>
              <w:t xml:space="preserve">. </w:t>
            </w:r>
            <w:r>
              <w:rPr>
                <w:lang w:val="fr-FR"/>
              </w:rPr>
              <w:t>Dans ce cas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un</w:t>
            </w:r>
            <w:r w:rsidRPr="00690982">
              <w:rPr>
                <w:lang w:val="fr-FR"/>
              </w:rPr>
              <w:t xml:space="preserve"> expert (</w:t>
            </w:r>
            <w:r>
              <w:rPr>
                <w:lang w:val="fr-FR"/>
              </w:rPr>
              <w:t>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évaluation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de la plate-forme indépendante et/ou du Forum des ONG du PCI</w:t>
            </w:r>
            <w:r w:rsidRPr="00690982">
              <w:rPr>
                <w:lang w:val="fr-FR"/>
              </w:rPr>
              <w:t xml:space="preserve">) </w:t>
            </w:r>
            <w:r>
              <w:rPr>
                <w:lang w:val="fr-FR"/>
              </w:rPr>
              <w:t xml:space="preserve">élabore la </w:t>
            </w:r>
            <w:r w:rsidRPr="00690982">
              <w:rPr>
                <w:lang w:val="fr-FR"/>
              </w:rPr>
              <w:t xml:space="preserve">justification </w:t>
            </w:r>
            <w:r w:rsidR="0022089C">
              <w:rPr>
                <w:lang w:val="fr-FR"/>
              </w:rPr>
              <w:t xml:space="preserve">sur la base des </w:t>
            </w:r>
            <w:r>
              <w:rPr>
                <w:lang w:val="fr-FR"/>
              </w:rPr>
              <w:t>critères</w:t>
            </w:r>
            <w:r w:rsidR="0022089C">
              <w:rPr>
                <w:lang w:val="fr-FR"/>
              </w:rPr>
              <w:t xml:space="preserve">, cette justification devant </w:t>
            </w:r>
            <w:r>
              <w:rPr>
                <w:lang w:val="fr-FR"/>
              </w:rPr>
              <w:t xml:space="preserve">ensuite être </w:t>
            </w:r>
            <w:r w:rsidRPr="00690982">
              <w:rPr>
                <w:lang w:val="fr-FR"/>
              </w:rPr>
              <w:t>confirm</w:t>
            </w:r>
            <w:r>
              <w:rPr>
                <w:lang w:val="fr-FR"/>
              </w:rPr>
              <w:t>ée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État</w:t>
            </w:r>
            <w:r w:rsidR="008A197E">
              <w:rPr>
                <w:lang w:val="fr-FR"/>
              </w:rPr>
              <w:t xml:space="preserve"> partie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6A0E3E6C" w14:textId="77777777" w:rsidTr="00F830F9">
        <w:trPr>
          <w:trHeight w:val="384"/>
        </w:trPr>
        <w:tc>
          <w:tcPr>
            <w:tcW w:w="993" w:type="dxa"/>
            <w:vMerge/>
          </w:tcPr>
          <w:p w14:paraId="6EAC2C7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8073" w:type="dxa"/>
            <w:shd w:val="clear" w:color="auto" w:fill="F2F2F2" w:themeFill="background1" w:themeFillShade="F2"/>
          </w:tcPr>
          <w:p w14:paraId="5E3308CE" w14:textId="375E6AA0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F13A98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66E5A192" w14:textId="3239570D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</w:t>
            </w:r>
            <w:r w:rsidR="00F13A98">
              <w:rPr>
                <w:sz w:val="16"/>
                <w:szCs w:val="16"/>
                <w:lang w:val="fr-FR"/>
              </w:rPr>
              <w:t> </w:t>
            </w:r>
            <w:r>
              <w:rPr>
                <w:sz w:val="16"/>
                <w:szCs w:val="16"/>
                <w:lang w:val="fr-FR"/>
              </w:rPr>
              <w:t>: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12745CF8" w14:textId="70021647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 xml:space="preserve">ours de réunion supplémentaires pour parvenir à un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consensus </w:t>
            </w:r>
            <w:r w:rsidR="00F232C8">
              <w:rPr>
                <w:sz w:val="16"/>
                <w:szCs w:val="16"/>
                <w:lang w:val="fr-FR"/>
              </w:rPr>
              <w:t xml:space="preserve">sur un nombre plus important de </w:t>
            </w:r>
            <w:r>
              <w:rPr>
                <w:sz w:val="16"/>
                <w:szCs w:val="16"/>
                <w:lang w:val="fr-FR"/>
              </w:rPr>
              <w:t>dossiers</w:t>
            </w:r>
          </w:p>
          <w:p w14:paraId="151F6466" w14:textId="16E5B8BA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L’i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dentification </w:t>
            </w:r>
            <w:r w:rsidR="00F232C8">
              <w:rPr>
                <w:sz w:val="16"/>
                <w:szCs w:val="16"/>
                <w:lang w:val="fr-FR"/>
              </w:rPr>
              <w:t>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 w:rsidRPr="00690982">
              <w:rPr>
                <w:sz w:val="16"/>
                <w:szCs w:val="16"/>
                <w:lang w:val="fr-FR"/>
              </w:rPr>
              <w:t>experts</w:t>
            </w:r>
            <w:r w:rsidR="00F232C8">
              <w:rPr>
                <w:sz w:val="16"/>
                <w:szCs w:val="16"/>
                <w:lang w:val="fr-FR"/>
              </w:rPr>
              <w:t>,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>établissement et</w:t>
            </w:r>
            <w:r>
              <w:rPr>
                <w:sz w:val="16"/>
                <w:szCs w:val="16"/>
                <w:lang w:val="fr-FR"/>
              </w:rPr>
              <w:t xml:space="preserve"> le</w:t>
            </w:r>
            <w:r w:rsidR="00F232C8">
              <w:rPr>
                <w:sz w:val="16"/>
                <w:szCs w:val="16"/>
                <w:lang w:val="fr-FR"/>
              </w:rPr>
              <w:t xml:space="preserve"> suivi des </w:t>
            </w:r>
            <w:r w:rsidR="00F232C8" w:rsidRPr="00690982">
              <w:rPr>
                <w:sz w:val="16"/>
                <w:szCs w:val="16"/>
                <w:lang w:val="fr-FR"/>
              </w:rPr>
              <w:t>contrat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8A197E">
              <w:rPr>
                <w:sz w:val="16"/>
                <w:szCs w:val="16"/>
                <w:lang w:val="fr-FR"/>
              </w:rPr>
              <w:t>.</w:t>
            </w:r>
          </w:p>
          <w:p w14:paraId="705B4969" w14:textId="66203BA7" w:rsidR="00F232C8" w:rsidRPr="00690982" w:rsidRDefault="00F13A9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</w:t>
            </w:r>
            <w:r w:rsidRPr="00F13A98">
              <w:rPr>
                <w:sz w:val="16"/>
                <w:szCs w:val="16"/>
                <w:lang w:val="fr-FR"/>
              </w:rPr>
              <w:t xml:space="preserve">essources financières supplémentaires </w:t>
            </w:r>
            <w:r>
              <w:rPr>
                <w:sz w:val="16"/>
                <w:szCs w:val="16"/>
                <w:lang w:val="fr-FR"/>
              </w:rPr>
              <w:t>pour</w:t>
            </w:r>
            <w:r w:rsidR="00F232C8">
              <w:rPr>
                <w:sz w:val="16"/>
                <w:szCs w:val="16"/>
                <w:lang w:val="fr-FR"/>
              </w:rPr>
              <w:t xml:space="preserve"> :</w:t>
            </w:r>
          </w:p>
          <w:p w14:paraId="791C2F5C" w14:textId="663CF58E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</w:t>
            </w:r>
            <w:r w:rsidR="00F232C8">
              <w:rPr>
                <w:sz w:val="16"/>
                <w:szCs w:val="16"/>
                <w:lang w:val="fr-FR"/>
              </w:rPr>
              <w:t>oûts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 w:rsidRPr="00690982">
              <w:rPr>
                <w:sz w:val="16"/>
                <w:szCs w:val="16"/>
                <w:lang w:val="fr-FR"/>
              </w:rPr>
              <w:t>organi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ation </w:t>
            </w:r>
            <w:r w:rsidR="00EA0AE7">
              <w:rPr>
                <w:sz w:val="16"/>
                <w:szCs w:val="16"/>
                <w:lang w:val="fr-FR"/>
              </w:rPr>
              <w:t>de la réunion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  <w:r w:rsidR="00F232C8" w:rsidRPr="00690982">
              <w:rPr>
                <w:sz w:val="16"/>
                <w:szCs w:val="16"/>
                <w:lang w:val="fr-FR"/>
              </w:rPr>
              <w:t>(interpr</w:t>
            </w:r>
            <w:r w:rsidR="00F232C8">
              <w:rPr>
                <w:sz w:val="16"/>
                <w:szCs w:val="16"/>
                <w:lang w:val="fr-FR"/>
              </w:rPr>
              <w:t>é</w:t>
            </w:r>
            <w:r w:rsidR="00F232C8" w:rsidRPr="00690982">
              <w:rPr>
                <w:sz w:val="16"/>
                <w:szCs w:val="16"/>
                <w:lang w:val="fr-FR"/>
              </w:rPr>
              <w:t>tation, technici</w:t>
            </w:r>
            <w:r w:rsidR="00F232C8">
              <w:rPr>
                <w:sz w:val="16"/>
                <w:szCs w:val="16"/>
                <w:lang w:val="fr-FR"/>
              </w:rPr>
              <w:t>e</w:t>
            </w:r>
            <w:r w:rsidR="00F232C8" w:rsidRPr="00690982">
              <w:rPr>
                <w:sz w:val="16"/>
                <w:szCs w:val="16"/>
                <w:lang w:val="fr-FR"/>
              </w:rPr>
              <w:t>ns</w:t>
            </w:r>
            <w:r w:rsidR="00F232C8">
              <w:rPr>
                <w:sz w:val="16"/>
                <w:szCs w:val="16"/>
                <w:lang w:val="fr-FR"/>
              </w:rPr>
              <w:t>,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etc</w:t>
            </w:r>
            <w:r w:rsidR="00F232C8">
              <w:rPr>
                <w:sz w:val="16"/>
                <w:szCs w:val="16"/>
                <w:lang w:val="fr-FR"/>
              </w:rPr>
              <w:t>.</w:t>
            </w:r>
            <w:r w:rsidR="00F232C8" w:rsidRPr="00690982">
              <w:rPr>
                <w:sz w:val="16"/>
                <w:szCs w:val="16"/>
                <w:lang w:val="fr-FR"/>
              </w:rPr>
              <w:t>)</w:t>
            </w:r>
            <w:r w:rsidR="00F232C8">
              <w:rPr>
                <w:sz w:val="16"/>
                <w:szCs w:val="16"/>
                <w:lang w:val="fr-FR"/>
              </w:rPr>
              <w:t xml:space="preserve"> correspondant aux jours de réunion supplémentaires </w:t>
            </w:r>
          </w:p>
          <w:p w14:paraId="4951E41E" w14:textId="52E2E5D9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du Fonds du patrimoine culturel immatériel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 xml:space="preserve"> pour 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65A92AF0" w14:textId="1B73BD29" w:rsidR="00F232C8" w:rsidRPr="00690982" w:rsidRDefault="00EA0AE7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travaux</w:t>
            </w:r>
            <w:r w:rsidR="00F232C8">
              <w:rPr>
                <w:sz w:val="16"/>
                <w:szCs w:val="16"/>
                <w:lang w:val="fr-FR"/>
              </w:rPr>
              <w:t xml:space="preserve">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 xml:space="preserve">évaluation sur les </w:t>
            </w:r>
            <w:r w:rsidR="00F13A98">
              <w:rPr>
                <w:sz w:val="16"/>
                <w:szCs w:val="16"/>
                <w:lang w:val="fr-FR"/>
              </w:rPr>
              <w:t>dossiers</w:t>
            </w:r>
            <w:r w:rsidR="00F232C8">
              <w:rPr>
                <w:sz w:val="16"/>
                <w:szCs w:val="16"/>
                <w:lang w:val="fr-FR"/>
              </w:rPr>
              <w:t xml:space="preserve"> supplémentaires</w:t>
            </w:r>
          </w:p>
          <w:p w14:paraId="25E12370" w14:textId="7860EEE6" w:rsidR="00F232C8" w:rsidRPr="00EA0AE7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 xml:space="preserve">ours de réunion supplémentaires </w:t>
            </w:r>
            <w:r>
              <w:rPr>
                <w:sz w:val="16"/>
                <w:szCs w:val="16"/>
                <w:lang w:val="fr-FR"/>
              </w:rPr>
              <w:t>pour les</w:t>
            </w:r>
            <w:r w:rsidR="00F232C8">
              <w:rPr>
                <w:sz w:val="16"/>
                <w:szCs w:val="16"/>
                <w:lang w:val="fr-FR"/>
              </w:rPr>
              <w:t xml:space="preserve"> membres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évaluation</w:t>
            </w:r>
          </w:p>
          <w:p w14:paraId="491948E4" w14:textId="104B63EC" w:rsidR="00F232C8" w:rsidRPr="00EA0AE7" w:rsidRDefault="00EA0AE7" w:rsidP="00EA0AE7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 w:rsidRPr="00EA0AE7">
              <w:rPr>
                <w:sz w:val="16"/>
                <w:szCs w:val="16"/>
                <w:lang w:val="fr-FR"/>
              </w:rPr>
              <w:t>Les services consultatifs assurés par les experts, la plate-forme indépendante et/ou le Forum des ONG du PCI</w:t>
            </w:r>
          </w:p>
        </w:tc>
      </w:tr>
      <w:tr w:rsidR="00F232C8" w:rsidRPr="005418AB" w14:paraId="7FA6F5C0" w14:textId="77777777" w:rsidTr="00F830F9">
        <w:trPr>
          <w:trHeight w:val="756"/>
        </w:trPr>
        <w:tc>
          <w:tcPr>
            <w:tcW w:w="993" w:type="dxa"/>
            <w:vMerge w:val="restart"/>
          </w:tcPr>
          <w:p w14:paraId="3F7DAF25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3</w:t>
            </w:r>
          </w:p>
        </w:tc>
        <w:tc>
          <w:tcPr>
            <w:tcW w:w="8073" w:type="dxa"/>
          </w:tcPr>
          <w:p w14:paraId="53B4E63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>Exam</w:t>
            </w:r>
            <w:r>
              <w:rPr>
                <w:b/>
                <w:bCs/>
                <w:lang w:val="fr-FR"/>
              </w:rPr>
              <w:t>e</w:t>
            </w:r>
            <w:r w:rsidRPr="00690982">
              <w:rPr>
                <w:b/>
                <w:bCs/>
                <w:lang w:val="fr-FR"/>
              </w:rPr>
              <w:t>n</w:t>
            </w:r>
          </w:p>
          <w:p w14:paraId="5DF0F2FE" w14:textId="69C13D5E" w:rsidR="00F232C8" w:rsidRPr="00690982" w:rsidRDefault="008A197E" w:rsidP="00C8346B">
            <w:pPr>
              <w:pStyle w:val="1GAPara"/>
              <w:ind w:left="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Le</w:t>
            </w:r>
            <w:r w:rsidR="00F232C8">
              <w:rPr>
                <w:lang w:val="fr-FR"/>
              </w:rPr>
              <w:t xml:space="preserve"> Comité</w:t>
            </w:r>
            <w:r>
              <w:rPr>
                <w:lang w:val="fr-FR"/>
              </w:rPr>
              <w:t xml:space="preserve"> examine la demande</w:t>
            </w:r>
            <w:r w:rsidR="00F232C8">
              <w:rPr>
                <w:lang w:val="fr-FR"/>
              </w:rPr>
              <w:t xml:space="preserve"> </w:t>
            </w:r>
            <w:r w:rsidR="00F13A98">
              <w:rPr>
                <w:lang w:val="fr-FR"/>
              </w:rPr>
              <w:t>sur la base</w:t>
            </w:r>
            <w:r>
              <w:rPr>
                <w:lang w:val="fr-FR"/>
              </w:rPr>
              <w:t xml:space="preserve"> de </w:t>
            </w:r>
            <w:r w:rsidR="00F232C8">
              <w:rPr>
                <w:lang w:val="fr-FR"/>
              </w:rPr>
              <w:t>la recommandation de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évaluation</w:t>
            </w:r>
            <w:r w:rsidR="00F232C8" w:rsidRPr="00690982">
              <w:rPr>
                <w:lang w:val="fr-FR"/>
              </w:rPr>
              <w:t>.</w:t>
            </w:r>
          </w:p>
        </w:tc>
      </w:tr>
      <w:tr w:rsidR="00F232C8" w:rsidRPr="005418AB" w14:paraId="4F5F4C18" w14:textId="77777777" w:rsidTr="00F830F9">
        <w:trPr>
          <w:trHeight w:val="756"/>
        </w:trPr>
        <w:tc>
          <w:tcPr>
            <w:tcW w:w="993" w:type="dxa"/>
            <w:vMerge/>
          </w:tcPr>
          <w:p w14:paraId="432ED424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DBE5F1" w:themeFill="accent1" w:themeFillTint="33"/>
          </w:tcPr>
          <w:p w14:paraId="768D399F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>Transfer</w:t>
            </w:r>
            <w:r>
              <w:rPr>
                <w:i/>
                <w:iCs/>
                <w:lang w:val="fr-FR"/>
              </w:rPr>
              <w:t>t de la Liste de sauvegarde urgente vers la Liste re</w:t>
            </w:r>
            <w:r w:rsidRPr="00690982">
              <w:rPr>
                <w:i/>
                <w:iCs/>
                <w:lang w:val="fr-FR"/>
              </w:rPr>
              <w:t>pr</w:t>
            </w:r>
            <w:r>
              <w:rPr>
                <w:i/>
                <w:iCs/>
                <w:lang w:val="fr-FR"/>
              </w:rPr>
              <w:t>é</w:t>
            </w:r>
            <w:r w:rsidRPr="00690982">
              <w:rPr>
                <w:i/>
                <w:iCs/>
                <w:lang w:val="fr-FR"/>
              </w:rPr>
              <w:t>sentative</w:t>
            </w:r>
            <w:r>
              <w:rPr>
                <w:i/>
                <w:iCs/>
                <w:lang w:val="fr-FR"/>
              </w:rPr>
              <w:t xml:space="preserve"> </w:t>
            </w:r>
            <w:r w:rsidRPr="00690982">
              <w:rPr>
                <w:i/>
                <w:iCs/>
                <w:lang w:val="fr-FR"/>
              </w:rPr>
              <w:t>(</w:t>
            </w:r>
            <w:r>
              <w:rPr>
                <w:i/>
                <w:iCs/>
                <w:lang w:val="fr-FR"/>
              </w:rPr>
              <w:t>cycle de 2</w:t>
            </w:r>
            <w:r w:rsidRPr="00690982">
              <w:rPr>
                <w:i/>
                <w:iCs/>
                <w:lang w:val="fr-FR"/>
              </w:rPr>
              <w:t>1</w:t>
            </w:r>
            <w:r>
              <w:rPr>
                <w:i/>
                <w:iCs/>
                <w:lang w:val="fr-FR"/>
              </w:rPr>
              <w:t xml:space="preserve"> mois</w:t>
            </w:r>
            <w:r w:rsidRPr="00690982">
              <w:rPr>
                <w:i/>
                <w:iCs/>
                <w:lang w:val="fr-FR"/>
              </w:rPr>
              <w:t>)</w:t>
            </w:r>
          </w:p>
          <w:p w14:paraId="22E89315" w14:textId="67E03710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La demande de transfert est examinée par le Comité dans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année suivant sa soumission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État partie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7D491CC7" w14:textId="77777777" w:rsidTr="00F830F9">
        <w:trPr>
          <w:trHeight w:val="756"/>
        </w:trPr>
        <w:tc>
          <w:tcPr>
            <w:tcW w:w="993" w:type="dxa"/>
            <w:vMerge/>
          </w:tcPr>
          <w:p w14:paraId="15F708CB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F2DBDB" w:themeFill="accent2" w:themeFillTint="33"/>
          </w:tcPr>
          <w:p w14:paraId="4118FF94" w14:textId="77777777" w:rsidR="00F232C8" w:rsidRPr="00690982" w:rsidRDefault="00F232C8" w:rsidP="00EA0AE7">
            <w:pPr>
              <w:pStyle w:val="1GAPara"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>Transfer</w:t>
            </w:r>
            <w:r>
              <w:rPr>
                <w:i/>
                <w:iCs/>
                <w:lang w:val="fr-FR"/>
              </w:rPr>
              <w:t>t de la Liste re</w:t>
            </w:r>
            <w:r w:rsidRPr="00690982">
              <w:rPr>
                <w:i/>
                <w:iCs/>
                <w:lang w:val="fr-FR"/>
              </w:rPr>
              <w:t>pr</w:t>
            </w:r>
            <w:r>
              <w:rPr>
                <w:i/>
                <w:iCs/>
                <w:lang w:val="fr-FR"/>
              </w:rPr>
              <w:t>é</w:t>
            </w:r>
            <w:r w:rsidRPr="00690982">
              <w:rPr>
                <w:i/>
                <w:iCs/>
                <w:lang w:val="fr-FR"/>
              </w:rPr>
              <w:t>sentative</w:t>
            </w:r>
            <w:r>
              <w:rPr>
                <w:i/>
                <w:iCs/>
                <w:lang w:val="fr-FR"/>
              </w:rPr>
              <w:t xml:space="preserve"> vers la Liste de sauvegarde urgente </w:t>
            </w:r>
            <w:r w:rsidRPr="00690982">
              <w:rPr>
                <w:i/>
                <w:iCs/>
                <w:lang w:val="fr-FR"/>
              </w:rPr>
              <w:t>(</w:t>
            </w:r>
            <w:r>
              <w:rPr>
                <w:i/>
                <w:iCs/>
                <w:lang w:val="fr-FR"/>
              </w:rPr>
              <w:t xml:space="preserve">cycle de </w:t>
            </w:r>
            <w:r w:rsidRPr="00690982">
              <w:rPr>
                <w:i/>
                <w:iCs/>
                <w:lang w:val="fr-FR"/>
              </w:rPr>
              <w:t>11</w:t>
            </w:r>
            <w:r>
              <w:rPr>
                <w:i/>
                <w:iCs/>
                <w:lang w:val="fr-FR"/>
              </w:rPr>
              <w:t xml:space="preserve"> mois</w:t>
            </w:r>
            <w:r w:rsidRPr="00690982">
              <w:rPr>
                <w:i/>
                <w:iCs/>
                <w:lang w:val="fr-FR"/>
              </w:rPr>
              <w:t>)</w:t>
            </w:r>
          </w:p>
          <w:p w14:paraId="7711B491" w14:textId="59082CC8" w:rsidR="00F232C8" w:rsidRPr="00690982" w:rsidRDefault="00F232C8" w:rsidP="00C8346B">
            <w:pPr>
              <w:pStyle w:val="1GAPara"/>
              <w:numPr>
                <w:ilvl w:val="0"/>
                <w:numId w:val="4"/>
              </w:numPr>
              <w:ind w:left="455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La demande de transfert est examinée par le Comité la même année de sa soumission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État partie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71111705" w14:textId="77777777" w:rsidTr="00F830F9">
        <w:trPr>
          <w:trHeight w:val="756"/>
        </w:trPr>
        <w:tc>
          <w:tcPr>
            <w:tcW w:w="993" w:type="dxa"/>
            <w:vMerge/>
          </w:tcPr>
          <w:p w14:paraId="78E1F31A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EAF1DD" w:themeFill="accent3" w:themeFillTint="33"/>
          </w:tcPr>
          <w:p w14:paraId="0F38338B" w14:textId="47292D84" w:rsidR="00F232C8" w:rsidRPr="00690982" w:rsidRDefault="00F232C8" w:rsidP="00F13A98">
            <w:pPr>
              <w:pStyle w:val="1GAPara"/>
              <w:keepNext/>
              <w:numPr>
                <w:ilvl w:val="0"/>
                <w:numId w:val="0"/>
              </w:numPr>
              <w:spacing w:before="120"/>
              <w:rPr>
                <w:i/>
                <w:iCs/>
                <w:lang w:val="fr-FR"/>
              </w:rPr>
            </w:pPr>
            <w:r w:rsidRPr="00690982">
              <w:rPr>
                <w:i/>
                <w:iCs/>
                <w:lang w:val="fr-FR"/>
              </w:rPr>
              <w:t xml:space="preserve">Inclusion </w:t>
            </w:r>
            <w:r>
              <w:rPr>
                <w:i/>
                <w:iCs/>
                <w:lang w:val="fr-FR"/>
              </w:rPr>
              <w:t xml:space="preserve">dans le </w:t>
            </w:r>
            <w:r w:rsidRPr="00690982">
              <w:rPr>
                <w:i/>
                <w:iCs/>
                <w:lang w:val="fr-FR"/>
              </w:rPr>
              <w:t>Regist</w:t>
            </w:r>
            <w:r>
              <w:rPr>
                <w:i/>
                <w:iCs/>
                <w:lang w:val="fr-FR"/>
              </w:rPr>
              <w:t>re de bonnes pratiques de sauvegarde</w:t>
            </w:r>
          </w:p>
          <w:p w14:paraId="7A1E2226" w14:textId="355C2E0B" w:rsidR="00F232C8" w:rsidRPr="00690982" w:rsidRDefault="00F232C8" w:rsidP="00302192">
            <w:pPr>
              <w:pStyle w:val="1GAPara"/>
              <w:numPr>
                <w:ilvl w:val="0"/>
                <w:numId w:val="4"/>
              </w:numPr>
              <w:rPr>
                <w:i/>
                <w:iCs/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Pr="00FF78BD">
              <w:rPr>
                <w:lang w:val="fr-FR"/>
              </w:rPr>
              <w:t xml:space="preserve">justification basée sur les critères </w:t>
            </w:r>
            <w:r>
              <w:rPr>
                <w:lang w:val="fr-FR"/>
              </w:rPr>
              <w:t>élaborée par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>expert (</w:t>
            </w:r>
            <w:r>
              <w:rPr>
                <w:lang w:val="fr-FR"/>
              </w:rPr>
              <w:t>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évaluation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de la plate-forme indépendante e</w:t>
            </w:r>
            <w:r w:rsidR="00302192">
              <w:rPr>
                <w:lang w:val="fr-FR"/>
              </w:rPr>
              <w:t>t</w:t>
            </w:r>
            <w:r>
              <w:rPr>
                <w:lang w:val="fr-FR"/>
              </w:rPr>
              <w:t>/ou du Forum des ONG du PCI)</w:t>
            </w:r>
            <w:r w:rsidR="00302192">
              <w:rPr>
                <w:lang w:val="fr-FR"/>
              </w:rPr>
              <w:t xml:space="preserve">, </w:t>
            </w:r>
            <w:r w:rsidR="00F13A98">
              <w:rPr>
                <w:lang w:val="fr-FR"/>
              </w:rPr>
              <w:t>après approbation</w:t>
            </w:r>
            <w:r>
              <w:rPr>
                <w:lang w:val="fr-FR"/>
              </w:rPr>
              <w:t xml:space="preserve">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État partie concerné</w:t>
            </w:r>
            <w:r w:rsidR="00302192">
              <w:rPr>
                <w:lang w:val="fr-FR"/>
              </w:rPr>
              <w:t>,</w:t>
            </w:r>
            <w:r>
              <w:rPr>
                <w:lang w:val="fr-FR"/>
              </w:rPr>
              <w:t xml:space="preserve"> est</w:t>
            </w:r>
            <w:r w:rsidRPr="00690982">
              <w:rPr>
                <w:lang w:val="fr-FR"/>
              </w:rPr>
              <w:t xml:space="preserve"> examin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e</w:t>
            </w:r>
            <w:r>
              <w:rPr>
                <w:lang w:val="fr-FR"/>
              </w:rPr>
              <w:t xml:space="preserve"> par le Comité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année suivant la soumission </w:t>
            </w:r>
            <w:r w:rsidR="00302192">
              <w:rPr>
                <w:lang w:val="fr-FR"/>
              </w:rPr>
              <w:t>par l</w:t>
            </w:r>
            <w:r w:rsidR="00FE6112">
              <w:rPr>
                <w:lang w:val="fr-FR"/>
              </w:rPr>
              <w:t>’</w:t>
            </w:r>
            <w:r w:rsidR="00302192">
              <w:rPr>
                <w:lang w:val="fr-FR"/>
              </w:rPr>
              <w:t xml:space="preserve">État partie </w:t>
            </w:r>
            <w:r>
              <w:rPr>
                <w:lang w:val="fr-FR"/>
              </w:rPr>
              <w:t>de la demande de transfert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74F685C3" w14:textId="77777777" w:rsidTr="00F830F9">
        <w:trPr>
          <w:trHeight w:val="756"/>
        </w:trPr>
        <w:tc>
          <w:tcPr>
            <w:tcW w:w="993" w:type="dxa"/>
            <w:vMerge/>
          </w:tcPr>
          <w:p w14:paraId="37AD078A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8073" w:type="dxa"/>
            <w:shd w:val="clear" w:color="auto" w:fill="F2F2F2" w:themeFill="background1" w:themeFillShade="F2"/>
          </w:tcPr>
          <w:p w14:paraId="04070231" w14:textId="3ED95D54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F13A98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1BEBC91A" w14:textId="33DE34EF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 :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3F8E9FDF" w14:textId="34FC1876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>ours de réunion supplémentaires nécessaires à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examen d</w:t>
            </w:r>
            <w:r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u</w:t>
            </w:r>
            <w:r>
              <w:rPr>
                <w:sz w:val="16"/>
                <w:szCs w:val="16"/>
                <w:lang w:val="fr-FR"/>
              </w:rPr>
              <w:t>n plus grand</w:t>
            </w:r>
            <w:r w:rsidR="00F232C8">
              <w:rPr>
                <w:sz w:val="16"/>
                <w:szCs w:val="16"/>
                <w:lang w:val="fr-FR"/>
              </w:rPr>
              <w:t xml:space="preserve"> nombre de </w:t>
            </w:r>
            <w:r>
              <w:rPr>
                <w:sz w:val="16"/>
                <w:szCs w:val="16"/>
                <w:lang w:val="fr-FR"/>
              </w:rPr>
              <w:t>dossiers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et des points </w:t>
            </w:r>
            <w:r w:rsidR="00F232C8">
              <w:rPr>
                <w:sz w:val="16"/>
                <w:szCs w:val="16"/>
                <w:lang w:val="fr-FR"/>
              </w:rPr>
              <w:t>supplémentaires inscrits à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ordre du jour</w:t>
            </w:r>
          </w:p>
          <w:p w14:paraId="5D97F50B" w14:textId="3BF9C5B9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L’é</w:t>
            </w:r>
            <w:r w:rsidR="0008673A">
              <w:rPr>
                <w:sz w:val="16"/>
                <w:szCs w:val="16"/>
                <w:lang w:val="fr-FR"/>
              </w:rPr>
              <w:t>laboration</w:t>
            </w:r>
            <w:r w:rsidR="00F232C8">
              <w:rPr>
                <w:sz w:val="16"/>
                <w:szCs w:val="16"/>
                <w:lang w:val="fr-FR"/>
              </w:rPr>
              <w:t xml:space="preserve"> des documents de réunion supplémentaires </w:t>
            </w:r>
          </w:p>
          <w:p w14:paraId="29A08854" w14:textId="48E5E4E4" w:rsidR="00F232C8" w:rsidRPr="00690982" w:rsidRDefault="00F13A9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>essources financières</w:t>
            </w:r>
            <w:r>
              <w:rPr>
                <w:sz w:val="16"/>
                <w:szCs w:val="16"/>
                <w:lang w:val="fr-FR"/>
              </w:rPr>
              <w:t xml:space="preserve"> supplémentaires pour</w:t>
            </w:r>
            <w:r w:rsidR="00F232C8">
              <w:rPr>
                <w:sz w:val="16"/>
                <w:szCs w:val="16"/>
                <w:lang w:val="fr-FR"/>
              </w:rPr>
              <w:t xml:space="preserve"> :</w:t>
            </w:r>
          </w:p>
          <w:p w14:paraId="0E9AD67C" w14:textId="0AEB3778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</w:t>
            </w:r>
            <w:r w:rsidR="00F232C8">
              <w:rPr>
                <w:sz w:val="16"/>
                <w:szCs w:val="16"/>
                <w:lang w:val="fr-FR"/>
              </w:rPr>
              <w:t>oûts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 w:rsidRPr="00690982">
              <w:rPr>
                <w:sz w:val="16"/>
                <w:szCs w:val="16"/>
                <w:lang w:val="fr-FR"/>
              </w:rPr>
              <w:t>organi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ation </w:t>
            </w:r>
            <w:r w:rsidR="00F232C8">
              <w:rPr>
                <w:sz w:val="16"/>
                <w:szCs w:val="16"/>
                <w:lang w:val="fr-FR"/>
              </w:rPr>
              <w:t>de</w:t>
            </w:r>
            <w:r w:rsidR="00EA0AE7">
              <w:rPr>
                <w:sz w:val="16"/>
                <w:szCs w:val="16"/>
                <w:lang w:val="fr-FR"/>
              </w:rPr>
              <w:t xml:space="preserve"> la</w:t>
            </w:r>
            <w:r w:rsidR="00F232C8">
              <w:rPr>
                <w:sz w:val="16"/>
                <w:szCs w:val="16"/>
                <w:lang w:val="fr-FR"/>
              </w:rPr>
              <w:t xml:space="preserve"> réunion </w:t>
            </w:r>
            <w:r w:rsidR="00F232C8" w:rsidRPr="00690982">
              <w:rPr>
                <w:sz w:val="16"/>
                <w:szCs w:val="16"/>
                <w:lang w:val="fr-FR"/>
              </w:rPr>
              <w:t>(interpr</w:t>
            </w:r>
            <w:r w:rsidR="00F232C8">
              <w:rPr>
                <w:sz w:val="16"/>
                <w:szCs w:val="16"/>
                <w:lang w:val="fr-FR"/>
              </w:rPr>
              <w:t>é</w:t>
            </w:r>
            <w:r w:rsidR="00F232C8" w:rsidRPr="00690982">
              <w:rPr>
                <w:sz w:val="16"/>
                <w:szCs w:val="16"/>
                <w:lang w:val="fr-FR"/>
              </w:rPr>
              <w:t>tation, technici</w:t>
            </w:r>
            <w:r w:rsidR="00F232C8">
              <w:rPr>
                <w:sz w:val="16"/>
                <w:szCs w:val="16"/>
                <w:lang w:val="fr-FR"/>
              </w:rPr>
              <w:t>e</w:t>
            </w:r>
            <w:r w:rsidR="00F232C8" w:rsidRPr="00690982">
              <w:rPr>
                <w:sz w:val="16"/>
                <w:szCs w:val="16"/>
                <w:lang w:val="fr-FR"/>
              </w:rPr>
              <w:t>ns</w:t>
            </w:r>
            <w:r w:rsidR="00F232C8">
              <w:rPr>
                <w:sz w:val="16"/>
                <w:szCs w:val="16"/>
                <w:lang w:val="fr-FR"/>
              </w:rPr>
              <w:t>,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etc</w:t>
            </w:r>
            <w:r w:rsidR="00F232C8">
              <w:rPr>
                <w:sz w:val="16"/>
                <w:szCs w:val="16"/>
                <w:lang w:val="fr-FR"/>
              </w:rPr>
              <w:t>.</w:t>
            </w:r>
            <w:r w:rsidR="00F232C8" w:rsidRPr="00690982">
              <w:rPr>
                <w:sz w:val="16"/>
                <w:szCs w:val="16"/>
                <w:lang w:val="fr-FR"/>
              </w:rPr>
              <w:t>)</w:t>
            </w:r>
            <w:r w:rsidR="00F232C8">
              <w:rPr>
                <w:sz w:val="16"/>
                <w:szCs w:val="16"/>
                <w:lang w:val="fr-FR"/>
              </w:rPr>
              <w:t xml:space="preserve"> correspondant aux jours de réunion supplémentaires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65230FF6" w14:textId="1457A556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t</w:t>
            </w:r>
            <w:r w:rsidR="00F232C8">
              <w:rPr>
                <w:sz w:val="16"/>
                <w:szCs w:val="16"/>
                <w:lang w:val="fr-FR"/>
              </w:rPr>
              <w:t xml:space="preserve">raduction des documents de la réunion </w:t>
            </w:r>
          </w:p>
          <w:p w14:paraId="0D28440F" w14:textId="2B3ABB1F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du Fonds du patrimoine culturel immatériel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 xml:space="preserve"> pour 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5CC7B84F" w14:textId="61CE8784" w:rsidR="00F232C8" w:rsidRPr="00690982" w:rsidRDefault="00F13A98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>ours de réunion supplémentaires des membres du Comité</w:t>
            </w:r>
          </w:p>
        </w:tc>
      </w:tr>
    </w:tbl>
    <w:p w14:paraId="30768C97" w14:textId="172E53F1" w:rsidR="00F232C8" w:rsidRPr="00690982" w:rsidRDefault="00EC2342" w:rsidP="00F232C8">
      <w:pPr>
        <w:pStyle w:val="1GAPara"/>
        <w:keepNext/>
        <w:numPr>
          <w:ilvl w:val="0"/>
          <w:numId w:val="68"/>
        </w:numPr>
        <w:spacing w:before="120"/>
        <w:ind w:left="567" w:hanging="567"/>
        <w:jc w:val="both"/>
        <w:rPr>
          <w:lang w:val="fr-FR"/>
        </w:rPr>
      </w:pPr>
      <w:r w:rsidRPr="00EC2342">
        <w:rPr>
          <w:lang w:val="fr-FR"/>
        </w:rPr>
        <w:t>En complément de la procédure décrite ci-dessus</w:t>
      </w:r>
      <w:r w:rsidR="00F232C8">
        <w:rPr>
          <w:lang w:val="fr-FR"/>
        </w:rPr>
        <w:t xml:space="preserve">, les </w:t>
      </w:r>
      <w:r w:rsidR="008A197E">
        <w:rPr>
          <w:lang w:val="fr-FR"/>
        </w:rPr>
        <w:t>questions</w:t>
      </w:r>
      <w:r w:rsidR="00F232C8">
        <w:rPr>
          <w:lang w:val="fr-FR"/>
        </w:rPr>
        <w:t xml:space="preserve"> suivant</w:t>
      </w:r>
      <w:r w:rsidR="008A197E">
        <w:rPr>
          <w:lang w:val="fr-FR"/>
        </w:rPr>
        <w:t>e</w:t>
      </w:r>
      <w:r w:rsidR="00F232C8">
        <w:rPr>
          <w:lang w:val="fr-FR"/>
        </w:rPr>
        <w:t>s doivent être pris</w:t>
      </w:r>
      <w:r w:rsidR="008A197E">
        <w:rPr>
          <w:lang w:val="fr-FR"/>
        </w:rPr>
        <w:t>es</w:t>
      </w:r>
      <w:r w:rsidR="00F232C8">
        <w:rPr>
          <w:lang w:val="fr-FR"/>
        </w:rPr>
        <w:t xml:space="preserve"> en </w:t>
      </w:r>
      <w:proofErr w:type="gramStart"/>
      <w:r w:rsidR="00F232C8">
        <w:rPr>
          <w:lang w:val="fr-FR"/>
        </w:rPr>
        <w:t>compte</w:t>
      </w:r>
      <w:r w:rsidR="00F232C8" w:rsidRPr="00690982">
        <w:rPr>
          <w:lang w:val="fr-FR"/>
        </w:rPr>
        <w:t>:</w:t>
      </w:r>
      <w:proofErr w:type="gramEnd"/>
      <w:r w:rsidR="00F232C8">
        <w:rPr>
          <w:lang w:val="fr-FR"/>
        </w:rPr>
        <w:t> </w:t>
      </w:r>
    </w:p>
    <w:p w14:paraId="4EFC5558" w14:textId="13214BA2" w:rsidR="00F232C8" w:rsidRPr="00690982" w:rsidRDefault="00F232C8" w:rsidP="00F232C8">
      <w:pPr>
        <w:pStyle w:val="1GAPara"/>
        <w:numPr>
          <w:ilvl w:val="1"/>
          <w:numId w:val="3"/>
        </w:numPr>
        <w:ind w:left="1134" w:hanging="567"/>
        <w:jc w:val="both"/>
        <w:rPr>
          <w:lang w:val="fr-FR"/>
        </w:rPr>
      </w:pPr>
      <w:r>
        <w:rPr>
          <w:lang w:val="fr-FR"/>
        </w:rPr>
        <w:t>Les demandes de transfert depuis la Liste de sauvegarde u</w:t>
      </w:r>
      <w:r w:rsidRPr="00690982">
        <w:rPr>
          <w:lang w:val="fr-FR"/>
        </w:rPr>
        <w:t>rgent</w:t>
      </w:r>
      <w:r>
        <w:rPr>
          <w:lang w:val="fr-FR"/>
        </w:rPr>
        <w:t>e vers la Liste r</w:t>
      </w:r>
      <w:r w:rsidRPr="00690982">
        <w:rPr>
          <w:lang w:val="fr-FR"/>
        </w:rPr>
        <w:t>epr</w:t>
      </w:r>
      <w:r>
        <w:rPr>
          <w:lang w:val="fr-FR"/>
        </w:rPr>
        <w:t>é</w:t>
      </w:r>
      <w:r w:rsidRPr="00690982">
        <w:rPr>
          <w:lang w:val="fr-FR"/>
        </w:rPr>
        <w:t xml:space="preserve">sentative </w:t>
      </w:r>
      <w:r>
        <w:rPr>
          <w:lang w:val="fr-FR"/>
        </w:rPr>
        <w:t>doivent-elles être traitées comme faisant partie d</w:t>
      </w:r>
      <w:r w:rsidR="007C58CA">
        <w:rPr>
          <w:lang w:val="fr-FR"/>
        </w:rPr>
        <w:t>u</w:t>
      </w:r>
      <w:r>
        <w:rPr>
          <w:lang w:val="fr-FR"/>
        </w:rPr>
        <w:t xml:space="preserve"> plafond annuel approuvé par le </w:t>
      </w:r>
      <w:r w:rsidRPr="00690982">
        <w:rPr>
          <w:lang w:val="fr-FR"/>
        </w:rPr>
        <w:t>Comit</w:t>
      </w:r>
      <w:r>
        <w:rPr>
          <w:lang w:val="fr-FR"/>
        </w:rPr>
        <w:t xml:space="preserve">é </w:t>
      </w:r>
      <w:r w:rsidRPr="00690982">
        <w:rPr>
          <w:lang w:val="fr-FR"/>
        </w:rPr>
        <w:t xml:space="preserve">? </w:t>
      </w:r>
      <w:r>
        <w:rPr>
          <w:lang w:val="fr-FR"/>
        </w:rPr>
        <w:t xml:space="preserve">Si </w:t>
      </w:r>
      <w:r w:rsidR="007C58CA">
        <w:rPr>
          <w:lang w:val="fr-FR"/>
        </w:rPr>
        <w:t>tel n’est pas le cas</w:t>
      </w:r>
      <w:r>
        <w:rPr>
          <w:lang w:val="fr-FR"/>
        </w:rPr>
        <w:t xml:space="preserve">, comment le </w:t>
      </w:r>
      <w:r w:rsidRPr="00690982">
        <w:rPr>
          <w:lang w:val="fr-FR"/>
        </w:rPr>
        <w:t>Secr</w:t>
      </w:r>
      <w:r>
        <w:rPr>
          <w:lang w:val="fr-FR"/>
        </w:rPr>
        <w:t>é</w:t>
      </w:r>
      <w:r w:rsidRPr="00690982">
        <w:rPr>
          <w:lang w:val="fr-FR"/>
        </w:rPr>
        <w:t xml:space="preserve">tariat </w:t>
      </w:r>
      <w:r>
        <w:rPr>
          <w:lang w:val="fr-FR"/>
        </w:rPr>
        <w:t>et l</w:t>
      </w:r>
      <w:r w:rsidR="00FE6112">
        <w:rPr>
          <w:lang w:val="fr-FR"/>
        </w:rPr>
        <w:t>’</w:t>
      </w:r>
      <w:r>
        <w:rPr>
          <w:lang w:val="fr-FR"/>
        </w:rPr>
        <w:t>Organe d</w:t>
      </w:r>
      <w:r w:rsidR="00FE6112">
        <w:rPr>
          <w:lang w:val="fr-FR"/>
        </w:rPr>
        <w:t>’</w:t>
      </w:r>
      <w:r>
        <w:rPr>
          <w:lang w:val="fr-FR"/>
        </w:rPr>
        <w:t xml:space="preserve">évaluation vont-ils absorber la charge de travail supplémentaire </w:t>
      </w:r>
      <w:r w:rsidRPr="00690982">
        <w:rPr>
          <w:lang w:val="fr-FR"/>
        </w:rPr>
        <w:t>?</w:t>
      </w:r>
    </w:p>
    <w:p w14:paraId="4162FEAA" w14:textId="0312FE19" w:rsidR="00F232C8" w:rsidRPr="00690982" w:rsidRDefault="00F232C8" w:rsidP="00F232C8">
      <w:pPr>
        <w:pStyle w:val="1GAPara"/>
        <w:numPr>
          <w:ilvl w:val="1"/>
          <w:numId w:val="3"/>
        </w:numPr>
        <w:ind w:left="1134" w:hanging="567"/>
        <w:jc w:val="both"/>
        <w:rPr>
          <w:lang w:val="fr-FR"/>
        </w:rPr>
      </w:pPr>
      <w:r>
        <w:rPr>
          <w:lang w:val="fr-FR"/>
        </w:rPr>
        <w:t>Que faire dans le cas d</w:t>
      </w:r>
      <w:r w:rsidR="00FE6112">
        <w:rPr>
          <w:lang w:val="fr-FR"/>
        </w:rPr>
        <w:t>’</w:t>
      </w:r>
      <w:r w:rsidRPr="00690982">
        <w:rPr>
          <w:lang w:val="fr-FR"/>
        </w:rPr>
        <w:t>inscriptions</w:t>
      </w:r>
      <w:r>
        <w:rPr>
          <w:lang w:val="fr-FR"/>
        </w:rPr>
        <w:t xml:space="preserve"> m</w:t>
      </w:r>
      <w:r w:rsidRPr="00690982">
        <w:rPr>
          <w:lang w:val="fr-FR"/>
        </w:rPr>
        <w:t>ultinational</w:t>
      </w:r>
      <w:r>
        <w:rPr>
          <w:lang w:val="fr-FR"/>
        </w:rPr>
        <w:t>es</w:t>
      </w:r>
      <w:r w:rsidRPr="00690982">
        <w:rPr>
          <w:lang w:val="fr-FR"/>
        </w:rPr>
        <w:t xml:space="preserve">, </w:t>
      </w:r>
      <w:r>
        <w:rPr>
          <w:lang w:val="fr-FR"/>
        </w:rPr>
        <w:t>si une seule ou plusieurs des communautés concernées d</w:t>
      </w:r>
      <w:r w:rsidR="00FE6112">
        <w:rPr>
          <w:lang w:val="fr-FR"/>
        </w:rPr>
        <w:t>’</w:t>
      </w:r>
      <w:r>
        <w:rPr>
          <w:lang w:val="fr-FR"/>
        </w:rPr>
        <w:t xml:space="preserve">un seul ou de plusieurs </w:t>
      </w:r>
      <w:r w:rsidR="0008673A">
        <w:rPr>
          <w:lang w:val="fr-FR"/>
        </w:rPr>
        <w:t>États</w:t>
      </w:r>
      <w:r w:rsidR="008A197E">
        <w:rPr>
          <w:lang w:val="fr-FR"/>
        </w:rPr>
        <w:t xml:space="preserve"> parties</w:t>
      </w:r>
      <w:r>
        <w:rPr>
          <w:lang w:val="fr-FR"/>
        </w:rPr>
        <w:t xml:space="preserve"> soumissionnaires demande</w:t>
      </w:r>
      <w:r w:rsidR="007C58CA">
        <w:rPr>
          <w:lang w:val="fr-FR"/>
        </w:rPr>
        <w:t>(</w:t>
      </w:r>
      <w:r w:rsidR="007F45C9">
        <w:rPr>
          <w:lang w:val="fr-FR"/>
        </w:rPr>
        <w:t>nt</w:t>
      </w:r>
      <w:r w:rsidR="007C58CA">
        <w:rPr>
          <w:lang w:val="fr-FR"/>
        </w:rPr>
        <w:t>)</w:t>
      </w:r>
      <w:r>
        <w:rPr>
          <w:lang w:val="fr-FR"/>
        </w:rPr>
        <w:t xml:space="preserve"> un transfert </w:t>
      </w:r>
      <w:r w:rsidRPr="00690982">
        <w:rPr>
          <w:lang w:val="fr-FR"/>
        </w:rPr>
        <w:t>?</w:t>
      </w:r>
    </w:p>
    <w:p w14:paraId="0DD0969A" w14:textId="578E1346" w:rsidR="00F232C8" w:rsidRPr="00690982" w:rsidRDefault="00F232C8" w:rsidP="00F232C8">
      <w:pPr>
        <w:pStyle w:val="1GAPara"/>
        <w:numPr>
          <w:ilvl w:val="0"/>
          <w:numId w:val="7"/>
        </w:numPr>
        <w:spacing w:before="240"/>
        <w:ind w:left="567" w:hanging="567"/>
        <w:rPr>
          <w:b/>
          <w:bCs/>
          <w:lang w:val="fr-FR"/>
        </w:rPr>
      </w:pPr>
      <w:r w:rsidRPr="00690982">
        <w:rPr>
          <w:b/>
          <w:bCs/>
          <w:lang w:val="fr-FR"/>
        </w:rPr>
        <w:t>Proc</w:t>
      </w:r>
      <w:r>
        <w:rPr>
          <w:b/>
          <w:bCs/>
          <w:lang w:val="fr-FR"/>
        </w:rPr>
        <w:t>é</w:t>
      </w:r>
      <w:r w:rsidRPr="00690982">
        <w:rPr>
          <w:b/>
          <w:bCs/>
          <w:lang w:val="fr-FR"/>
        </w:rPr>
        <w:t xml:space="preserve">dure </w:t>
      </w:r>
      <w:r>
        <w:rPr>
          <w:b/>
          <w:bCs/>
          <w:lang w:val="fr-FR"/>
        </w:rPr>
        <w:t>de retrait d</w:t>
      </w:r>
      <w:r w:rsidR="00FE6112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éléments des Listes de la </w:t>
      </w:r>
      <w:r w:rsidRPr="00690982">
        <w:rPr>
          <w:b/>
          <w:bCs/>
          <w:lang w:val="fr-FR"/>
        </w:rPr>
        <w:t>Convention</w:t>
      </w:r>
    </w:p>
    <w:p w14:paraId="162E596E" w14:textId="6EFEC36D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Lors de leur réunion de </w:t>
      </w:r>
      <w:r w:rsidR="00053C85">
        <w:rPr>
          <w:lang w:val="fr-FR"/>
        </w:rPr>
        <w:t>c</w:t>
      </w:r>
      <w:r>
        <w:rPr>
          <w:lang w:val="fr-FR"/>
        </w:rPr>
        <w:t xml:space="preserve">atégorie </w:t>
      </w:r>
      <w:r w:rsidRPr="00690982">
        <w:rPr>
          <w:lang w:val="fr-FR"/>
        </w:rPr>
        <w:t xml:space="preserve">VI </w:t>
      </w:r>
      <w:r>
        <w:rPr>
          <w:lang w:val="fr-FR"/>
        </w:rPr>
        <w:t xml:space="preserve">en mai </w:t>
      </w:r>
      <w:r w:rsidRPr="00690982">
        <w:rPr>
          <w:lang w:val="fr-FR"/>
        </w:rPr>
        <w:t xml:space="preserve">2021, </w:t>
      </w:r>
      <w:r>
        <w:rPr>
          <w:lang w:val="fr-FR"/>
        </w:rPr>
        <w:t xml:space="preserve">les </w:t>
      </w:r>
      <w:r w:rsidRPr="00690982">
        <w:rPr>
          <w:lang w:val="fr-FR"/>
        </w:rPr>
        <w:t xml:space="preserve">experts </w:t>
      </w:r>
      <w:r>
        <w:rPr>
          <w:lang w:val="fr-FR"/>
        </w:rPr>
        <w:t xml:space="preserve">se sont </w:t>
      </w:r>
      <w:r w:rsidR="00053C85">
        <w:rPr>
          <w:lang w:val="fr-FR"/>
        </w:rPr>
        <w:t xml:space="preserve">accordés </w:t>
      </w:r>
      <w:r>
        <w:rPr>
          <w:lang w:val="fr-FR"/>
        </w:rPr>
        <w:t>sur la nécessité de définir une procédure claire de retrait d</w:t>
      </w:r>
      <w:r w:rsidR="00053C85">
        <w:rPr>
          <w:lang w:val="fr-FR"/>
        </w:rPr>
        <w:t>’</w:t>
      </w:r>
      <w:r>
        <w:rPr>
          <w:lang w:val="fr-FR"/>
        </w:rPr>
        <w:t xml:space="preserve">éléments </w:t>
      </w:r>
      <w:r w:rsidR="00053C85">
        <w:rPr>
          <w:lang w:val="fr-FR"/>
        </w:rPr>
        <w:t>lorsqu’</w:t>
      </w:r>
      <w:r>
        <w:rPr>
          <w:lang w:val="fr-FR"/>
        </w:rPr>
        <w:t>un élément ne satisfait</w:t>
      </w:r>
      <w:r w:rsidR="00097B39">
        <w:rPr>
          <w:lang w:val="fr-FR"/>
        </w:rPr>
        <w:t xml:space="preserve"> </w:t>
      </w:r>
      <w:r>
        <w:rPr>
          <w:lang w:val="fr-FR"/>
        </w:rPr>
        <w:t>plus à un ou plusieurs critères d</w:t>
      </w:r>
      <w:r w:rsidR="00FE6112">
        <w:rPr>
          <w:lang w:val="fr-FR"/>
        </w:rPr>
        <w:t>’</w:t>
      </w:r>
      <w:r w:rsidRPr="00690982">
        <w:rPr>
          <w:lang w:val="fr-FR"/>
        </w:rPr>
        <w:t xml:space="preserve">inscription. </w:t>
      </w:r>
      <w:r>
        <w:rPr>
          <w:lang w:val="fr-FR"/>
        </w:rPr>
        <w:t>Toutefois, étant donné l</w:t>
      </w:r>
      <w:r w:rsidR="00FE6112">
        <w:rPr>
          <w:lang w:val="fr-FR"/>
        </w:rPr>
        <w:t>’</w:t>
      </w:r>
      <w:r w:rsidRPr="00690982">
        <w:rPr>
          <w:lang w:val="fr-FR"/>
        </w:rPr>
        <w:t xml:space="preserve">impact </w:t>
      </w:r>
      <w:r>
        <w:rPr>
          <w:lang w:val="fr-FR"/>
        </w:rPr>
        <w:t>que le retrait d</w:t>
      </w:r>
      <w:r w:rsidR="00FE6112">
        <w:rPr>
          <w:lang w:val="fr-FR"/>
        </w:rPr>
        <w:t>’</w:t>
      </w:r>
      <w:r>
        <w:rPr>
          <w:lang w:val="fr-FR"/>
        </w:rPr>
        <w:t>un élément d</w:t>
      </w:r>
      <w:r w:rsidR="00FE6112">
        <w:rPr>
          <w:lang w:val="fr-FR"/>
        </w:rPr>
        <w:t>’</w:t>
      </w:r>
      <w:r>
        <w:rPr>
          <w:lang w:val="fr-FR"/>
        </w:rPr>
        <w:t xml:space="preserve">une Liste pourrait avoir sur sa </w:t>
      </w:r>
      <w:r w:rsidRPr="00690982">
        <w:rPr>
          <w:lang w:val="fr-FR"/>
        </w:rPr>
        <w:t>viabilit</w:t>
      </w:r>
      <w:r>
        <w:rPr>
          <w:lang w:val="fr-FR"/>
        </w:rPr>
        <w:t>é et sur sa communauté de praticiens</w:t>
      </w:r>
      <w:r w:rsidRPr="00690982">
        <w:rPr>
          <w:lang w:val="fr-FR"/>
        </w:rPr>
        <w:t xml:space="preserve">, </w:t>
      </w:r>
      <w:r>
        <w:rPr>
          <w:lang w:val="fr-FR"/>
        </w:rPr>
        <w:t xml:space="preserve">il est important de définir un processus décisionnaire clair et </w:t>
      </w:r>
      <w:r w:rsidRPr="00690982">
        <w:rPr>
          <w:lang w:val="fr-FR"/>
        </w:rPr>
        <w:t xml:space="preserve">transparent, </w:t>
      </w:r>
      <w:r>
        <w:rPr>
          <w:lang w:val="fr-FR"/>
        </w:rPr>
        <w:t xml:space="preserve">garantissant une </w:t>
      </w:r>
      <w:r w:rsidR="00053C85">
        <w:rPr>
          <w:lang w:val="fr-FR"/>
        </w:rPr>
        <w:t>communication</w:t>
      </w:r>
      <w:r>
        <w:rPr>
          <w:lang w:val="fr-FR"/>
        </w:rPr>
        <w:t xml:space="preserve"> et un partage des informations</w:t>
      </w:r>
      <w:r w:rsidR="00053C85">
        <w:rPr>
          <w:lang w:val="fr-FR"/>
        </w:rPr>
        <w:t xml:space="preserve"> adéquats</w:t>
      </w:r>
      <w:r>
        <w:rPr>
          <w:lang w:val="fr-FR"/>
        </w:rPr>
        <w:t xml:space="preserve"> avec la communauté tout au long du processus</w:t>
      </w:r>
      <w:r w:rsidRPr="00690982">
        <w:rPr>
          <w:lang w:val="fr-FR"/>
        </w:rPr>
        <w:t xml:space="preserve">. </w:t>
      </w:r>
      <w:r>
        <w:rPr>
          <w:lang w:val="fr-FR"/>
        </w:rPr>
        <w:t xml:space="preserve">Ceci permettrait </w:t>
      </w:r>
      <w:r w:rsidR="00053C85">
        <w:rPr>
          <w:lang w:val="fr-FR"/>
        </w:rPr>
        <w:t>l’expression d’</w:t>
      </w:r>
      <w:r w:rsidR="007F45C9">
        <w:rPr>
          <w:lang w:val="fr-FR"/>
        </w:rPr>
        <w:t>éventuelles</w:t>
      </w:r>
      <w:r>
        <w:rPr>
          <w:lang w:val="fr-FR"/>
        </w:rPr>
        <w:t xml:space="preserve"> divergences de point de vue au sein de la communauté</w:t>
      </w:r>
      <w:r w:rsidRPr="00690982">
        <w:rPr>
          <w:lang w:val="fr-FR"/>
        </w:rPr>
        <w:t xml:space="preserve">. </w:t>
      </w:r>
      <w:r>
        <w:rPr>
          <w:lang w:val="fr-FR"/>
        </w:rPr>
        <w:t>Soulevant des préoccupations similaires, le groupe de travail a souligné la nécessité d</w:t>
      </w:r>
      <w:r w:rsidR="00FE6112">
        <w:rPr>
          <w:lang w:val="fr-FR"/>
        </w:rPr>
        <w:t>’</w:t>
      </w:r>
      <w:r>
        <w:rPr>
          <w:lang w:val="fr-FR"/>
        </w:rPr>
        <w:t>une approche prudente et d</w:t>
      </w:r>
      <w:r w:rsidR="00FE6112">
        <w:rPr>
          <w:lang w:val="fr-FR"/>
        </w:rPr>
        <w:t>’</w:t>
      </w:r>
      <w:r>
        <w:rPr>
          <w:lang w:val="fr-FR"/>
        </w:rPr>
        <w:t>une procédure claire</w:t>
      </w:r>
      <w:r w:rsidRPr="00690982">
        <w:rPr>
          <w:lang w:val="fr-FR"/>
        </w:rPr>
        <w:t>.</w:t>
      </w:r>
    </w:p>
    <w:p w14:paraId="0B298F61" w14:textId="1501AB8B" w:rsidR="00F232C8" w:rsidRPr="00690982" w:rsidRDefault="00F232C8" w:rsidP="00F232C8">
      <w:pPr>
        <w:pStyle w:val="1GAPara"/>
        <w:keepNext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Le groupe de travail </w:t>
      </w:r>
      <w:r w:rsidR="00053C85">
        <w:rPr>
          <w:lang w:val="fr-FR"/>
        </w:rPr>
        <w:t>pourrait baser sa discussion</w:t>
      </w:r>
      <w:r>
        <w:rPr>
          <w:lang w:val="fr-FR"/>
        </w:rPr>
        <w:t xml:space="preserve"> sur les</w:t>
      </w:r>
      <w:r w:rsidR="00097B39">
        <w:rPr>
          <w:lang w:val="fr-FR"/>
        </w:rPr>
        <w:t xml:space="preserve"> </w:t>
      </w:r>
      <w:r>
        <w:rPr>
          <w:lang w:val="fr-FR"/>
        </w:rPr>
        <w:t xml:space="preserve">propositions suivantes </w:t>
      </w:r>
      <w:r w:rsidRPr="00690982">
        <w:rPr>
          <w:lang w:val="fr-FR"/>
        </w:rPr>
        <w:t>:</w:t>
      </w:r>
    </w:p>
    <w:p w14:paraId="546E3B7A" w14:textId="0168A3D1" w:rsidR="00F232C8" w:rsidRPr="00690982" w:rsidRDefault="00F232C8" w:rsidP="00F232C8">
      <w:pPr>
        <w:pStyle w:val="1GAPara"/>
        <w:keepNext/>
        <w:numPr>
          <w:ilvl w:val="0"/>
          <w:numId w:val="0"/>
        </w:numPr>
        <w:spacing w:before="240"/>
        <w:ind w:left="567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Proposition de procédure </w:t>
      </w:r>
      <w:r w:rsidR="00EA0AE7">
        <w:rPr>
          <w:b/>
          <w:bCs/>
          <w:lang w:val="fr-FR"/>
        </w:rPr>
        <w:t>pour le</w:t>
      </w:r>
      <w:r>
        <w:rPr>
          <w:b/>
          <w:bCs/>
          <w:lang w:val="fr-FR"/>
        </w:rPr>
        <w:t xml:space="preserve"> </w:t>
      </w:r>
      <w:r w:rsidRPr="00690982">
        <w:rPr>
          <w:b/>
          <w:bCs/>
          <w:u w:val="single"/>
          <w:lang w:val="fr-FR"/>
        </w:rPr>
        <w:t>re</w:t>
      </w:r>
      <w:r>
        <w:rPr>
          <w:b/>
          <w:bCs/>
          <w:u w:val="single"/>
          <w:lang w:val="fr-FR"/>
        </w:rPr>
        <w:t>trait</w:t>
      </w:r>
      <w:r w:rsidRPr="0069098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d</w:t>
      </w:r>
      <w:r w:rsidR="00FE6112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éléments des Listes de la </w:t>
      </w:r>
      <w:r w:rsidRPr="00690982">
        <w:rPr>
          <w:b/>
          <w:bCs/>
          <w:lang w:val="fr-FR"/>
        </w:rPr>
        <w:t xml:space="preserve">Convention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3966"/>
        <w:gridCol w:w="3966"/>
      </w:tblGrid>
      <w:tr w:rsidR="00F232C8" w:rsidRPr="005418AB" w14:paraId="6E7FF908" w14:textId="77777777" w:rsidTr="00C8346B">
        <w:tc>
          <w:tcPr>
            <w:tcW w:w="1129" w:type="dxa"/>
          </w:tcPr>
          <w:p w14:paraId="23EC9CDA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1</w:t>
            </w:r>
          </w:p>
        </w:tc>
        <w:tc>
          <w:tcPr>
            <w:tcW w:w="7932" w:type="dxa"/>
            <w:gridSpan w:val="2"/>
          </w:tcPr>
          <w:p w14:paraId="474A0F64" w14:textId="75D53152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Demande de retrait ou autres </w:t>
            </w:r>
            <w:r w:rsidRPr="00690982">
              <w:rPr>
                <w:b/>
                <w:bCs/>
                <w:lang w:val="fr-FR"/>
              </w:rPr>
              <w:t>information</w:t>
            </w:r>
            <w:r>
              <w:rPr>
                <w:b/>
                <w:bCs/>
                <w:lang w:val="fr-FR"/>
              </w:rPr>
              <w:t>s reçues</w:t>
            </w:r>
            <w:r w:rsidRPr="00690982">
              <w:rPr>
                <w:b/>
                <w:bCs/>
                <w:lang w:val="fr-FR"/>
              </w:rPr>
              <w:t xml:space="preserve"> </w:t>
            </w:r>
            <w:r w:rsidR="007F45C9">
              <w:rPr>
                <w:b/>
                <w:bCs/>
                <w:lang w:val="fr-FR"/>
              </w:rPr>
              <w:t xml:space="preserve">relatives </w:t>
            </w:r>
            <w:r w:rsidR="00053C85">
              <w:rPr>
                <w:b/>
                <w:bCs/>
                <w:lang w:val="fr-FR"/>
              </w:rPr>
              <w:t>à des</w:t>
            </w:r>
            <w:r w:rsidR="007F45C9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développements affectant la </w:t>
            </w:r>
            <w:r w:rsidRPr="00690982">
              <w:rPr>
                <w:b/>
                <w:bCs/>
                <w:lang w:val="fr-FR"/>
              </w:rPr>
              <w:t xml:space="preserve">situation </w:t>
            </w:r>
            <w:r>
              <w:rPr>
                <w:b/>
                <w:bCs/>
                <w:lang w:val="fr-FR"/>
              </w:rPr>
              <w:t>d</w:t>
            </w:r>
            <w:r w:rsidR="00FE6112"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 xml:space="preserve">un élément </w:t>
            </w:r>
            <w:r w:rsidRPr="00690982">
              <w:rPr>
                <w:b/>
                <w:bCs/>
                <w:lang w:val="fr-FR"/>
              </w:rPr>
              <w:t>inscri</w:t>
            </w:r>
            <w:r>
              <w:rPr>
                <w:b/>
                <w:bCs/>
                <w:lang w:val="fr-FR"/>
              </w:rPr>
              <w:t>t</w:t>
            </w:r>
          </w:p>
          <w:p w14:paraId="7F3D5201" w14:textId="5892067A" w:rsidR="00F232C8" w:rsidRPr="00690982" w:rsidRDefault="00F232C8" w:rsidP="0008673A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La c</w:t>
            </w:r>
            <w:r w:rsidRPr="00690982">
              <w:rPr>
                <w:lang w:val="fr-FR"/>
              </w:rPr>
              <w:t>orrespond</w:t>
            </w:r>
            <w:r>
              <w:rPr>
                <w:lang w:val="fr-FR"/>
              </w:rPr>
              <w:t>a</w:t>
            </w:r>
            <w:r w:rsidRPr="00690982">
              <w:rPr>
                <w:lang w:val="fr-FR"/>
              </w:rPr>
              <w:t xml:space="preserve">nce </w:t>
            </w:r>
            <w:r>
              <w:rPr>
                <w:lang w:val="fr-FR"/>
              </w:rPr>
              <w:t>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entité 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origine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envoi </w:t>
            </w:r>
            <w:r w:rsidR="00053C85">
              <w:rPr>
                <w:lang w:val="fr-FR"/>
              </w:rPr>
              <w:t>(</w:t>
            </w:r>
            <w:r>
              <w:rPr>
                <w:lang w:val="fr-FR"/>
              </w:rPr>
              <w:t xml:space="preserve">par exemple </w:t>
            </w:r>
            <w:r w:rsidR="00053C85">
              <w:rPr>
                <w:lang w:val="fr-FR"/>
              </w:rPr>
              <w:t>l’/les</w:t>
            </w:r>
            <w:r>
              <w:rPr>
                <w:lang w:val="fr-FR"/>
              </w:rPr>
              <w:t xml:space="preserve"> </w:t>
            </w:r>
            <w:r w:rsidR="0008673A">
              <w:rPr>
                <w:lang w:val="fr-FR"/>
              </w:rPr>
              <w:t>État</w:t>
            </w:r>
            <w:r w:rsidR="00053C85">
              <w:rPr>
                <w:lang w:val="fr-FR"/>
              </w:rPr>
              <w:t>(</w:t>
            </w:r>
            <w:r w:rsidR="0008673A">
              <w:rPr>
                <w:lang w:val="fr-FR"/>
              </w:rPr>
              <w:t>s</w:t>
            </w:r>
            <w:r w:rsidR="00053C85">
              <w:rPr>
                <w:lang w:val="fr-FR"/>
              </w:rPr>
              <w:t>)</w:t>
            </w:r>
            <w:r w:rsidR="0008673A">
              <w:rPr>
                <w:lang w:val="fr-FR"/>
              </w:rPr>
              <w:t xml:space="preserve"> </w:t>
            </w:r>
            <w:r>
              <w:rPr>
                <w:lang w:val="fr-FR"/>
              </w:rPr>
              <w:t>partie</w:t>
            </w:r>
            <w:r w:rsidR="00053C85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053C85">
              <w:rPr>
                <w:lang w:val="fr-FR"/>
              </w:rPr>
              <w:t>)</w:t>
            </w:r>
            <w:r>
              <w:rPr>
                <w:lang w:val="fr-FR"/>
              </w:rPr>
              <w:t xml:space="preserve"> concerné</w:t>
            </w:r>
            <w:r w:rsidR="00053C85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053C85">
              <w:rPr>
                <w:lang w:val="fr-FR"/>
              </w:rPr>
              <w:t>)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un</w:t>
            </w:r>
            <w:r w:rsidR="00053C85">
              <w:rPr>
                <w:lang w:val="fr-FR"/>
              </w:rPr>
              <w:t>/des</w:t>
            </w:r>
            <w:r>
              <w:rPr>
                <w:lang w:val="fr-FR"/>
              </w:rPr>
              <w:t xml:space="preserve"> membres de la communauté ou un</w:t>
            </w:r>
            <w:r w:rsidR="00256606">
              <w:rPr>
                <w:lang w:val="fr-FR"/>
              </w:rPr>
              <w:t>e</w:t>
            </w:r>
            <w:r>
              <w:rPr>
                <w:lang w:val="fr-FR"/>
              </w:rPr>
              <w:t xml:space="preserve"> tier</w:t>
            </w:r>
            <w:r w:rsidR="00256606">
              <w:rPr>
                <w:lang w:val="fr-FR"/>
              </w:rPr>
              <w:t>ce partie)</w:t>
            </w:r>
            <w:r>
              <w:rPr>
                <w:lang w:val="fr-FR"/>
              </w:rPr>
              <w:t xml:space="preserve"> est enregistrée par le </w:t>
            </w:r>
            <w:r w:rsidRPr="00690982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tariat.</w:t>
            </w:r>
          </w:p>
        </w:tc>
      </w:tr>
      <w:tr w:rsidR="00F232C8" w:rsidRPr="005418AB" w14:paraId="6A75FFF2" w14:textId="77777777" w:rsidTr="00C8346B">
        <w:tc>
          <w:tcPr>
            <w:tcW w:w="1129" w:type="dxa"/>
          </w:tcPr>
          <w:p w14:paraId="3E818DBC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2</w:t>
            </w:r>
          </w:p>
        </w:tc>
        <w:tc>
          <w:tcPr>
            <w:tcW w:w="7932" w:type="dxa"/>
            <w:gridSpan w:val="2"/>
          </w:tcPr>
          <w:p w14:paraId="0B273972" w14:textId="3B1F6F16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 xml:space="preserve">Transmission </w:t>
            </w:r>
            <w:r>
              <w:rPr>
                <w:b/>
                <w:bCs/>
                <w:lang w:val="fr-FR"/>
              </w:rPr>
              <w:t>de l</w:t>
            </w:r>
            <w:r w:rsidR="00FE6112">
              <w:rPr>
                <w:b/>
                <w:bCs/>
                <w:lang w:val="fr-FR"/>
              </w:rPr>
              <w:t>’</w:t>
            </w:r>
            <w:r w:rsidRPr="00690982">
              <w:rPr>
                <w:b/>
                <w:bCs/>
                <w:lang w:val="fr-FR"/>
              </w:rPr>
              <w:t xml:space="preserve">information </w:t>
            </w:r>
          </w:p>
          <w:p w14:paraId="7AD37D36" w14:textId="39D6FBFB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Pr="00690982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tariat </w:t>
            </w:r>
            <w:r>
              <w:rPr>
                <w:lang w:val="fr-FR"/>
              </w:rPr>
              <w:t>transmet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information </w:t>
            </w:r>
            <w:r>
              <w:rPr>
                <w:lang w:val="fr-FR"/>
              </w:rPr>
              <w:t>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État partie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à la </w:t>
            </w:r>
            <w:r w:rsidR="00EA0AE7">
              <w:rPr>
                <w:lang w:val="fr-FR"/>
              </w:rPr>
              <w:t>personne de contact pour la candidature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et aux représentants de la communauté </w:t>
            </w:r>
            <w:r w:rsidRPr="00690982">
              <w:rPr>
                <w:lang w:val="fr-FR"/>
              </w:rPr>
              <w:t>(</w:t>
            </w:r>
            <w:r>
              <w:rPr>
                <w:lang w:val="fr-FR"/>
              </w:rPr>
              <w:t>tels qu</w:t>
            </w:r>
            <w:r w:rsidR="00FE6112">
              <w:rPr>
                <w:lang w:val="fr-FR"/>
              </w:rPr>
              <w:t>’</w:t>
            </w:r>
            <w:r w:rsidR="00256606">
              <w:rPr>
                <w:lang w:val="fr-FR"/>
              </w:rPr>
              <w:t>indiqués</w:t>
            </w:r>
            <w:r>
              <w:rPr>
                <w:lang w:val="fr-FR"/>
              </w:rPr>
              <w:t xml:space="preserve"> </w:t>
            </w:r>
            <w:r w:rsidR="00256606">
              <w:rPr>
                <w:lang w:val="fr-FR"/>
              </w:rPr>
              <w:t xml:space="preserve">dans </w:t>
            </w:r>
            <w:r>
              <w:rPr>
                <w:lang w:val="fr-FR"/>
              </w:rPr>
              <w:t xml:space="preserve">le </w:t>
            </w:r>
            <w:r w:rsidR="00256606">
              <w:rPr>
                <w:lang w:val="fr-FR"/>
              </w:rPr>
              <w:t>dossier</w:t>
            </w:r>
            <w:r>
              <w:rPr>
                <w:lang w:val="fr-FR"/>
              </w:rPr>
              <w:t xml:space="preserve"> de </w:t>
            </w:r>
            <w:r w:rsidR="00A83049">
              <w:rPr>
                <w:lang w:val="fr-FR"/>
              </w:rPr>
              <w:t>candidature</w:t>
            </w:r>
            <w:r w:rsidRPr="00690982">
              <w:rPr>
                <w:lang w:val="fr-FR"/>
              </w:rPr>
              <w:t xml:space="preserve">), </w:t>
            </w:r>
            <w:r>
              <w:rPr>
                <w:lang w:val="fr-FR"/>
              </w:rPr>
              <w:t xml:space="preserve">qui peuvent fournir une réponse et des informations </w:t>
            </w:r>
            <w:r w:rsidRPr="00690982">
              <w:rPr>
                <w:lang w:val="fr-FR"/>
              </w:rPr>
              <w:t>complémenta</w:t>
            </w:r>
            <w:r>
              <w:rPr>
                <w:lang w:val="fr-FR"/>
              </w:rPr>
              <w:t>ires</w:t>
            </w:r>
            <w:r w:rsidRPr="00690982">
              <w:rPr>
                <w:lang w:val="fr-FR"/>
              </w:rPr>
              <w:t>.</w:t>
            </w:r>
          </w:p>
          <w:p w14:paraId="1E7786AB" w14:textId="4AD0F953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lastRenderedPageBreak/>
              <w:t>Si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entité 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origine de la correspondance souhaite </w:t>
            </w:r>
            <w:r w:rsidR="007F45C9">
              <w:rPr>
                <w:lang w:val="fr-FR"/>
              </w:rPr>
              <w:t xml:space="preserve">rester </w:t>
            </w:r>
            <w:r w:rsidRPr="00690982">
              <w:rPr>
                <w:lang w:val="fr-FR"/>
              </w:rPr>
              <w:t>anonym</w:t>
            </w:r>
            <w:r>
              <w:rPr>
                <w:lang w:val="fr-FR"/>
              </w:rPr>
              <w:t>e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le </w:t>
            </w:r>
            <w:r w:rsidRPr="00690982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tariat </w:t>
            </w:r>
            <w:r w:rsidR="007F45C9">
              <w:rPr>
                <w:lang w:val="fr-FR"/>
              </w:rPr>
              <w:t>transmet</w:t>
            </w:r>
            <w:r>
              <w:rPr>
                <w:lang w:val="fr-FR"/>
              </w:rPr>
              <w:t xml:space="preserve"> une version modifiée de la correspondance d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>origin</w:t>
            </w:r>
            <w:r>
              <w:rPr>
                <w:lang w:val="fr-FR"/>
              </w:rPr>
              <w:t>e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690982" w14:paraId="5046E720" w14:textId="77777777" w:rsidTr="00C8346B">
        <w:tc>
          <w:tcPr>
            <w:tcW w:w="1129" w:type="dxa"/>
            <w:vMerge w:val="restart"/>
          </w:tcPr>
          <w:p w14:paraId="4BE8DF1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Étape</w:t>
            </w:r>
            <w:r w:rsidRPr="00690982">
              <w:rPr>
                <w:b/>
                <w:bCs/>
                <w:lang w:val="fr-FR"/>
              </w:rPr>
              <w:t xml:space="preserve"> 3</w:t>
            </w:r>
          </w:p>
        </w:tc>
        <w:tc>
          <w:tcPr>
            <w:tcW w:w="7932" w:type="dxa"/>
            <w:gridSpan w:val="2"/>
          </w:tcPr>
          <w:p w14:paraId="3FC3A96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ind w:left="720" w:hanging="687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Vérification pré</w:t>
            </w:r>
            <w:r w:rsidRPr="00690982">
              <w:rPr>
                <w:b/>
                <w:bCs/>
                <w:lang w:val="fr-FR"/>
              </w:rPr>
              <w:t>limina</w:t>
            </w:r>
            <w:r>
              <w:rPr>
                <w:b/>
                <w:bCs/>
                <w:lang w:val="fr-FR"/>
              </w:rPr>
              <w:t>ire</w:t>
            </w:r>
          </w:p>
        </w:tc>
      </w:tr>
      <w:tr w:rsidR="00F232C8" w:rsidRPr="005418AB" w14:paraId="5BE55C8F" w14:textId="77777777" w:rsidTr="00C8346B">
        <w:trPr>
          <w:trHeight w:val="4164"/>
        </w:trPr>
        <w:tc>
          <w:tcPr>
            <w:tcW w:w="1129" w:type="dxa"/>
            <w:vMerge/>
          </w:tcPr>
          <w:p w14:paraId="4B1DA97D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3966" w:type="dxa"/>
          </w:tcPr>
          <w:p w14:paraId="4BFC0BB5" w14:textId="57E62B0F" w:rsidR="00F232C8" w:rsidRPr="00690982" w:rsidRDefault="00F232C8" w:rsidP="00C8346B">
            <w:pPr>
              <w:rPr>
                <w:lang w:val="fr-FR"/>
              </w:rPr>
            </w:pP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Si la demande de retrait est soumise par </w:t>
            </w:r>
            <w:r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l</w:t>
            </w:r>
            <w:r w:rsidR="00FE6112"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État partie concerné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 </w:t>
            </w:r>
            <w:r w:rsidR="00F17CAA">
              <w:rPr>
                <w:rFonts w:ascii="Arial" w:hAnsi="Arial" w:cs="Arial"/>
                <w:snapToGrid w:val="0"/>
                <w:szCs w:val="22"/>
                <w:lang w:val="fr-FR" w:eastAsia="en-US"/>
              </w:rPr>
              <w:t>tel qu’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identifié dans le </w:t>
            </w:r>
            <w:r w:rsidR="00F17CAA">
              <w:rPr>
                <w:rFonts w:ascii="Arial" w:hAnsi="Arial" w:cs="Arial"/>
                <w:snapToGrid w:val="0"/>
                <w:szCs w:val="22"/>
                <w:lang w:val="fr-FR" w:eastAsia="en-US"/>
              </w:rPr>
              <w:t>dossier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 de </w:t>
            </w:r>
            <w:r w:rsidR="00A83049">
              <w:rPr>
                <w:rFonts w:ascii="Arial" w:hAnsi="Arial" w:cs="Arial"/>
                <w:snapToGrid w:val="0"/>
                <w:szCs w:val="22"/>
                <w:lang w:val="fr-FR" w:eastAsia="en-US"/>
              </w:rPr>
              <w:t>candidature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:</w:t>
            </w:r>
          </w:p>
          <w:p w14:paraId="1F59FCCB" w14:textId="0E09C424" w:rsidR="00F232C8" w:rsidRPr="00690982" w:rsidRDefault="00F232C8" w:rsidP="00C8346B">
            <w:pPr>
              <w:pStyle w:val="Paragraphedeliste"/>
              <w:numPr>
                <w:ilvl w:val="0"/>
                <w:numId w:val="15"/>
              </w:numPr>
              <w:ind w:left="458" w:hanging="357"/>
              <w:contextualSpacing w:val="0"/>
              <w:rPr>
                <w:rFonts w:ascii="Arial" w:hAnsi="Arial" w:cs="Arial"/>
                <w:snapToGrid w:val="0"/>
                <w:szCs w:val="22"/>
                <w:lang w:val="fr-FR" w:eastAsia="en-US"/>
              </w:rPr>
            </w:pP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Le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Secrétariat 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réunit les informations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(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auprès de la plate-forme indépendante et/ou du Forum des ONG du PCI si cela est approprié, par le biais d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une option accélérée d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avis préliminaire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). </w:t>
            </w:r>
          </w:p>
          <w:p w14:paraId="5A43A9A6" w14:textId="2E51EE46" w:rsidR="00F232C8" w:rsidRPr="00690982" w:rsidRDefault="00F232C8" w:rsidP="007F45C9">
            <w:pPr>
              <w:pStyle w:val="Paragraphedeliste"/>
              <w:numPr>
                <w:ilvl w:val="0"/>
                <w:numId w:val="15"/>
              </w:numPr>
              <w:ind w:left="458" w:hanging="357"/>
              <w:contextualSpacing w:val="0"/>
              <w:rPr>
                <w:lang w:val="fr-FR"/>
              </w:rPr>
            </w:pP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La demande de retrait est alors transmise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direct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ement au Comité avec la réponse de l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État et </w:t>
            </w:r>
            <w:r w:rsidR="007F45C9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des 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communautés, ainsi qu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 w:rsidR="007F45C9">
              <w:rPr>
                <w:rFonts w:ascii="Arial" w:hAnsi="Arial" w:cs="Arial"/>
                <w:snapToGrid w:val="0"/>
                <w:szCs w:val="22"/>
                <w:lang w:val="fr-FR" w:eastAsia="en-US"/>
              </w:rPr>
              <w:t>avec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 l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avis préliminaire de la plate-forme indépendante et/ou du Forum des ONG du PCI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.</w:t>
            </w:r>
          </w:p>
        </w:tc>
        <w:tc>
          <w:tcPr>
            <w:tcW w:w="3966" w:type="dxa"/>
          </w:tcPr>
          <w:p w14:paraId="70D01E18" w14:textId="422E49E9" w:rsidR="00F232C8" w:rsidRPr="00690982" w:rsidRDefault="00F232C8" w:rsidP="00C8346B">
            <w:pPr>
              <w:ind w:left="101"/>
              <w:rPr>
                <w:rFonts w:ascii="Arial" w:hAnsi="Arial" w:cs="Arial"/>
                <w:snapToGrid w:val="0"/>
                <w:szCs w:val="22"/>
                <w:lang w:val="fr-FR" w:eastAsia="en-US"/>
              </w:rPr>
            </w:pP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Si la demande de retrait ou la correspondance est soumise par la </w:t>
            </w:r>
            <w:r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communauté c</w:t>
            </w:r>
            <w:r w:rsidRPr="00690982"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oncern</w:t>
            </w:r>
            <w:r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ée ou par un</w:t>
            </w:r>
            <w:r w:rsidR="00F17CAA"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e</w:t>
            </w:r>
            <w:r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 xml:space="preserve"> tier</w:t>
            </w:r>
            <w:r w:rsidR="00F17CAA">
              <w:rPr>
                <w:rFonts w:ascii="Arial" w:hAnsi="Arial" w:cs="Arial"/>
                <w:snapToGrid w:val="0"/>
                <w:szCs w:val="22"/>
                <w:u w:val="single"/>
                <w:lang w:val="fr-FR" w:eastAsia="en-US"/>
              </w:rPr>
              <w:t>ce partie</w:t>
            </w:r>
            <w:r w:rsidRPr="00F17CAA">
              <w:rPr>
                <w:rFonts w:ascii="Arial" w:hAnsi="Arial" w:cs="Arial"/>
                <w:snapToGrid w:val="0"/>
                <w:szCs w:val="22"/>
                <w:lang w:val="fr-FR" w:eastAsia="en-US"/>
              </w:rPr>
              <w:t> 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:</w:t>
            </w:r>
          </w:p>
          <w:p w14:paraId="7B1F61EC" w14:textId="1785CBF1" w:rsidR="00F232C8" w:rsidRPr="00690982" w:rsidRDefault="00F232C8" w:rsidP="00C8346B">
            <w:pPr>
              <w:pStyle w:val="Paragraphedeliste"/>
              <w:numPr>
                <w:ilvl w:val="0"/>
                <w:numId w:val="15"/>
              </w:numPr>
              <w:ind w:left="458" w:hanging="357"/>
              <w:contextualSpacing w:val="0"/>
              <w:rPr>
                <w:rFonts w:ascii="Arial" w:hAnsi="Arial" w:cs="Arial"/>
                <w:snapToGrid w:val="0"/>
                <w:szCs w:val="22"/>
                <w:lang w:val="fr-FR" w:eastAsia="en-US"/>
              </w:rPr>
            </w:pP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Le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Secrétariat 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réunit les informations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(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auprès de la plate-forme indépendante et/ou du Forum des ONG du PCI si cela est approprié, par le biais d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une option accélérée d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avis préliminaire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)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 et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consult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e le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Bureau 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du 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Comit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é.</w:t>
            </w:r>
          </w:p>
          <w:p w14:paraId="7DFC8774" w14:textId="03A9472F" w:rsidR="00F232C8" w:rsidRPr="00690982" w:rsidRDefault="00F232C8" w:rsidP="00C8346B">
            <w:pPr>
              <w:pStyle w:val="Paragraphedeliste"/>
              <w:numPr>
                <w:ilvl w:val="0"/>
                <w:numId w:val="15"/>
              </w:numPr>
              <w:ind w:left="458" w:hanging="357"/>
              <w:contextualSpacing w:val="0"/>
              <w:rPr>
                <w:lang w:val="fr-FR"/>
              </w:rPr>
            </w:pP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L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e Bureau </w:t>
            </w:r>
            <w:r w:rsidR="0008673A">
              <w:rPr>
                <w:rFonts w:ascii="Arial" w:hAnsi="Arial" w:cs="Arial"/>
                <w:snapToGrid w:val="0"/>
                <w:szCs w:val="22"/>
                <w:lang w:val="fr-FR" w:eastAsia="en-US"/>
              </w:rPr>
              <w:t>recommande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 ou non d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inclure le </w:t>
            </w:r>
            <w:r w:rsidR="00481223">
              <w:rPr>
                <w:rFonts w:ascii="Arial" w:hAnsi="Arial" w:cs="Arial"/>
                <w:snapToGrid w:val="0"/>
                <w:szCs w:val="22"/>
                <w:lang w:val="fr-FR" w:eastAsia="en-US"/>
              </w:rPr>
              <w:t xml:space="preserve">cas 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à l</w:t>
            </w:r>
            <w:r w:rsidR="00FE6112">
              <w:rPr>
                <w:rFonts w:ascii="Arial" w:hAnsi="Arial" w:cs="Arial"/>
                <w:snapToGrid w:val="0"/>
                <w:szCs w:val="22"/>
                <w:lang w:val="fr-FR" w:eastAsia="en-US"/>
              </w:rPr>
              <w:t>’</w:t>
            </w:r>
            <w:r>
              <w:rPr>
                <w:rFonts w:ascii="Arial" w:hAnsi="Arial" w:cs="Arial"/>
                <w:snapToGrid w:val="0"/>
                <w:szCs w:val="22"/>
                <w:lang w:val="fr-FR" w:eastAsia="en-US"/>
              </w:rPr>
              <w:t>ordre du jour de la prochaine session du Comité</w:t>
            </w:r>
            <w:r w:rsidRPr="00690982">
              <w:rPr>
                <w:rFonts w:ascii="Arial" w:hAnsi="Arial" w:cs="Arial"/>
                <w:snapToGrid w:val="0"/>
                <w:szCs w:val="22"/>
                <w:lang w:val="fr-FR" w:eastAsia="en-US"/>
              </w:rPr>
              <w:t>.</w:t>
            </w:r>
          </w:p>
        </w:tc>
      </w:tr>
      <w:tr w:rsidR="00F232C8" w:rsidRPr="005418AB" w14:paraId="2A1D5ACB" w14:textId="77777777" w:rsidTr="00C8346B">
        <w:tc>
          <w:tcPr>
            <w:tcW w:w="1129" w:type="dxa"/>
            <w:vMerge/>
          </w:tcPr>
          <w:p w14:paraId="091CB7B0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7932" w:type="dxa"/>
            <w:gridSpan w:val="2"/>
            <w:shd w:val="clear" w:color="auto" w:fill="auto"/>
          </w:tcPr>
          <w:p w14:paraId="2DBF9755" w14:textId="0F977376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Quelle que soit </w:t>
            </w:r>
            <w:r w:rsidR="00F17CAA">
              <w:rPr>
                <w:lang w:val="fr-FR"/>
              </w:rPr>
              <w:t>l’option</w:t>
            </w:r>
            <w:r>
              <w:rPr>
                <w:lang w:val="fr-FR"/>
              </w:rPr>
              <w:t xml:space="preserve"> sélectionnée ci-dessus, tous les </w:t>
            </w:r>
            <w:r w:rsidR="00F17CAA">
              <w:rPr>
                <w:lang w:val="fr-FR"/>
              </w:rPr>
              <w:t>cas</w:t>
            </w:r>
            <w:r>
              <w:rPr>
                <w:lang w:val="fr-FR"/>
              </w:rPr>
              <w:t xml:space="preserve"> reçus par le </w:t>
            </w:r>
            <w:r w:rsidRPr="00690982">
              <w:rPr>
                <w:lang w:val="fr-FR"/>
              </w:rPr>
              <w:t xml:space="preserve">Secrétariat </w:t>
            </w:r>
            <w:r>
              <w:rPr>
                <w:lang w:val="fr-FR"/>
              </w:rPr>
              <w:t>sont portés à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attention </w:t>
            </w:r>
            <w:r>
              <w:rPr>
                <w:lang w:val="fr-FR"/>
              </w:rPr>
              <w:t xml:space="preserve">du </w:t>
            </w:r>
            <w:r w:rsidRPr="00690982">
              <w:rPr>
                <w:lang w:val="fr-FR"/>
              </w:rPr>
              <w:t>Com</w:t>
            </w:r>
            <w:r>
              <w:rPr>
                <w:lang w:val="fr-FR"/>
              </w:rPr>
              <w:t xml:space="preserve">ité au sens de la </w:t>
            </w:r>
            <w:r w:rsidR="00F17CAA">
              <w:rPr>
                <w:lang w:val="fr-FR"/>
              </w:rPr>
              <w:t>d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cision </w:t>
            </w:r>
            <w:hyperlink r:id="rId25" w:history="1">
              <w:r w:rsidRPr="00690982">
                <w:rPr>
                  <w:rStyle w:val="Lienhypertexte"/>
                  <w:lang w:val="fr-FR"/>
                </w:rPr>
                <w:t>14.COM 14</w:t>
              </w:r>
            </w:hyperlink>
            <w:r w:rsidRPr="00690982">
              <w:rPr>
                <w:lang w:val="fr-FR"/>
              </w:rPr>
              <w:t xml:space="preserve"> (paragraph</w:t>
            </w:r>
            <w:r>
              <w:rPr>
                <w:lang w:val="fr-FR"/>
              </w:rPr>
              <w:t>e</w:t>
            </w:r>
            <w:r w:rsidRPr="00690982">
              <w:rPr>
                <w:lang w:val="fr-FR"/>
              </w:rPr>
              <w:t xml:space="preserve"> 15).</w:t>
            </w:r>
          </w:p>
        </w:tc>
      </w:tr>
      <w:tr w:rsidR="00F232C8" w:rsidRPr="005418AB" w14:paraId="325A42F5" w14:textId="77777777" w:rsidTr="00C8346B">
        <w:tc>
          <w:tcPr>
            <w:tcW w:w="1129" w:type="dxa"/>
            <w:vMerge/>
          </w:tcPr>
          <w:p w14:paraId="4330D917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7932" w:type="dxa"/>
            <w:gridSpan w:val="2"/>
            <w:shd w:val="clear" w:color="auto" w:fill="F2F2F2" w:themeFill="background1" w:themeFillShade="F2"/>
          </w:tcPr>
          <w:p w14:paraId="44051BCD" w14:textId="4035358E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F17CAA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13085627" w14:textId="46956725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</w:t>
            </w:r>
            <w:r w:rsidR="00F17CAA">
              <w:rPr>
                <w:sz w:val="16"/>
                <w:szCs w:val="16"/>
                <w:lang w:val="fr-FR"/>
              </w:rPr>
              <w:t> </w:t>
            </w:r>
            <w:r>
              <w:rPr>
                <w:sz w:val="16"/>
                <w:szCs w:val="16"/>
                <w:lang w:val="fr-FR"/>
              </w:rPr>
              <w:t>: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41DDBF01" w14:textId="419A4B52" w:rsidR="00F232C8" w:rsidRPr="00690982" w:rsidRDefault="00F17CAA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t</w:t>
            </w:r>
            <w:r w:rsidR="00F232C8">
              <w:rPr>
                <w:sz w:val="16"/>
                <w:szCs w:val="16"/>
                <w:lang w:val="fr-FR"/>
              </w:rPr>
              <w:t xml:space="preserve">raitement,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 xml:space="preserve">enregistrement des lettres et des </w:t>
            </w:r>
            <w:r w:rsidR="00F232C8" w:rsidRPr="00690982">
              <w:rPr>
                <w:sz w:val="16"/>
                <w:szCs w:val="16"/>
                <w:lang w:val="fr-FR"/>
              </w:rPr>
              <w:t>communication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 w:rsidR="00F232C8">
              <w:rPr>
                <w:sz w:val="16"/>
                <w:szCs w:val="16"/>
                <w:lang w:val="fr-FR"/>
              </w:rPr>
              <w:t>adressées aux États parties et aux communautés ainsi qu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aux tier</w:t>
            </w:r>
            <w:r>
              <w:rPr>
                <w:sz w:val="16"/>
                <w:szCs w:val="16"/>
                <w:lang w:val="fr-FR"/>
              </w:rPr>
              <w:t>ce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parties</w:t>
            </w:r>
            <w:r w:rsidR="00F232C8">
              <w:rPr>
                <w:sz w:val="16"/>
                <w:szCs w:val="16"/>
                <w:lang w:val="fr-FR"/>
              </w:rPr>
              <w:t>, ou reçues de ces interlocuteurs</w:t>
            </w:r>
          </w:p>
          <w:p w14:paraId="72F562FA" w14:textId="0A3BE6BC" w:rsidR="00F232C8" w:rsidRPr="00690982" w:rsidRDefault="00F17CAA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c</w:t>
            </w:r>
            <w:r w:rsidR="00F232C8">
              <w:rPr>
                <w:sz w:val="16"/>
                <w:szCs w:val="16"/>
                <w:lang w:val="fr-FR"/>
              </w:rPr>
              <w:t>ollecte d</w:t>
            </w:r>
            <w:r>
              <w:rPr>
                <w:sz w:val="16"/>
                <w:szCs w:val="16"/>
                <w:lang w:val="fr-FR"/>
              </w:rPr>
              <w:t>’</w:t>
            </w:r>
            <w:r w:rsidR="00F232C8" w:rsidRPr="00690982">
              <w:rPr>
                <w:sz w:val="16"/>
                <w:szCs w:val="16"/>
                <w:lang w:val="fr-FR"/>
              </w:rPr>
              <w:t>information</w:t>
            </w:r>
            <w:r w:rsidR="00F232C8">
              <w:rPr>
                <w:sz w:val="16"/>
                <w:szCs w:val="16"/>
                <w:lang w:val="fr-FR"/>
              </w:rPr>
              <w:t xml:space="preserve">s, éventuellement </w:t>
            </w:r>
            <w:r w:rsidR="0008673A">
              <w:rPr>
                <w:sz w:val="16"/>
                <w:szCs w:val="16"/>
                <w:lang w:val="fr-FR"/>
              </w:rPr>
              <w:t>auprès</w:t>
            </w:r>
            <w:r w:rsidR="00F232C8">
              <w:rPr>
                <w:sz w:val="16"/>
                <w:szCs w:val="16"/>
                <w:lang w:val="fr-FR"/>
              </w:rPr>
              <w:t xml:space="preserve"> de la plate-forme indépendante et/ou du Forum des ONG du PCI</w:t>
            </w:r>
          </w:p>
          <w:p w14:paraId="4AE2F3F3" w14:textId="193A3D5E" w:rsidR="00F232C8" w:rsidRPr="00690982" w:rsidRDefault="00F17CAA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p</w:t>
            </w:r>
            <w:r w:rsidR="00F232C8" w:rsidRPr="00690982"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>é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paration </w:t>
            </w:r>
            <w:r w:rsidR="00F232C8">
              <w:rPr>
                <w:sz w:val="16"/>
                <w:szCs w:val="16"/>
                <w:lang w:val="fr-FR"/>
              </w:rPr>
              <w:t xml:space="preserve">des documents et des réunions du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Bureau </w:t>
            </w:r>
          </w:p>
          <w:p w14:paraId="7FB5971A" w14:textId="6EBB32C1" w:rsidR="00F232C8" w:rsidRPr="00690982" w:rsidRDefault="00F17CAA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>essources financières</w:t>
            </w:r>
            <w:r>
              <w:rPr>
                <w:sz w:val="16"/>
                <w:szCs w:val="16"/>
                <w:lang w:val="fr-FR"/>
              </w:rPr>
              <w:t xml:space="preserve"> supplémentaires pour</w:t>
            </w:r>
            <w:r w:rsidR="00F232C8">
              <w:rPr>
                <w:sz w:val="16"/>
                <w:szCs w:val="16"/>
                <w:lang w:val="fr-FR"/>
              </w:rPr>
              <w:t xml:space="preserve"> :</w:t>
            </w:r>
          </w:p>
          <w:p w14:paraId="7472BAE0" w14:textId="4367F7D2" w:rsidR="00F232C8" w:rsidRPr="00690982" w:rsidRDefault="00F17CAA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coûts d’organisation des r</w:t>
            </w:r>
            <w:r w:rsidR="00F232C8">
              <w:rPr>
                <w:sz w:val="16"/>
                <w:szCs w:val="16"/>
                <w:lang w:val="fr-FR"/>
              </w:rPr>
              <w:t>éunion</w:t>
            </w:r>
            <w:r>
              <w:rPr>
                <w:sz w:val="16"/>
                <w:szCs w:val="16"/>
                <w:lang w:val="fr-FR"/>
              </w:rPr>
              <w:t>s</w:t>
            </w:r>
            <w:r w:rsidR="00F232C8">
              <w:rPr>
                <w:sz w:val="16"/>
                <w:szCs w:val="16"/>
                <w:lang w:val="fr-FR"/>
              </w:rPr>
              <w:t xml:space="preserve"> du </w:t>
            </w:r>
            <w:r w:rsidR="00F232C8" w:rsidRPr="00690982">
              <w:rPr>
                <w:sz w:val="16"/>
                <w:szCs w:val="16"/>
                <w:lang w:val="fr-FR"/>
              </w:rPr>
              <w:t>Bureau (interpr</w:t>
            </w:r>
            <w:r w:rsidR="00F232C8">
              <w:rPr>
                <w:sz w:val="16"/>
                <w:szCs w:val="16"/>
                <w:lang w:val="fr-FR"/>
              </w:rPr>
              <w:t>é</w:t>
            </w:r>
            <w:r w:rsidR="00F232C8" w:rsidRPr="00690982">
              <w:rPr>
                <w:sz w:val="16"/>
                <w:szCs w:val="16"/>
                <w:lang w:val="fr-FR"/>
              </w:rPr>
              <w:t>tation, technici</w:t>
            </w:r>
            <w:r w:rsidR="00F232C8">
              <w:rPr>
                <w:sz w:val="16"/>
                <w:szCs w:val="16"/>
                <w:lang w:val="fr-FR"/>
              </w:rPr>
              <w:t>e</w:t>
            </w:r>
            <w:r w:rsidR="00F232C8" w:rsidRPr="00690982">
              <w:rPr>
                <w:sz w:val="16"/>
                <w:szCs w:val="16"/>
                <w:lang w:val="fr-FR"/>
              </w:rPr>
              <w:t>ns</w:t>
            </w:r>
            <w:r w:rsidR="00F232C8">
              <w:rPr>
                <w:sz w:val="16"/>
                <w:szCs w:val="16"/>
                <w:lang w:val="fr-FR"/>
              </w:rPr>
              <w:t>,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etc</w:t>
            </w:r>
            <w:r w:rsidR="00F232C8">
              <w:rPr>
                <w:sz w:val="16"/>
                <w:szCs w:val="16"/>
                <w:lang w:val="fr-FR"/>
              </w:rPr>
              <w:t>.</w:t>
            </w:r>
            <w:r w:rsidR="00F232C8" w:rsidRPr="00690982">
              <w:rPr>
                <w:sz w:val="16"/>
                <w:szCs w:val="16"/>
                <w:lang w:val="fr-FR"/>
              </w:rPr>
              <w:t>)</w:t>
            </w:r>
          </w:p>
          <w:p w14:paraId="70781C15" w14:textId="203CB4E9" w:rsidR="00F232C8" w:rsidRPr="00690982" w:rsidRDefault="00F17CAA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t</w:t>
            </w:r>
            <w:r w:rsidR="00F232C8">
              <w:rPr>
                <w:sz w:val="16"/>
                <w:szCs w:val="16"/>
                <w:lang w:val="fr-FR"/>
              </w:rPr>
              <w:t xml:space="preserve">raduction des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documents </w:t>
            </w:r>
            <w:r w:rsidR="00F232C8">
              <w:rPr>
                <w:sz w:val="16"/>
                <w:szCs w:val="16"/>
                <w:lang w:val="fr-FR"/>
              </w:rPr>
              <w:t>de la réunion</w:t>
            </w:r>
          </w:p>
          <w:p w14:paraId="4ADA4372" w14:textId="7D6206EF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Coûts associés à la création et la </w:t>
            </w:r>
            <w:r w:rsidRPr="00690982">
              <w:rPr>
                <w:sz w:val="16"/>
                <w:szCs w:val="16"/>
                <w:lang w:val="fr-FR"/>
              </w:rPr>
              <w:t xml:space="preserve">maintenance </w:t>
            </w:r>
            <w:r>
              <w:rPr>
                <w:sz w:val="16"/>
                <w:szCs w:val="16"/>
                <w:lang w:val="fr-FR"/>
              </w:rPr>
              <w:t xml:space="preserve">de la plate-forme indépendante et/ou </w:t>
            </w:r>
            <w:r w:rsidR="0099286B">
              <w:rPr>
                <w:sz w:val="16"/>
                <w:szCs w:val="16"/>
                <w:lang w:val="fr-FR"/>
              </w:rPr>
              <w:t>coûts des travaux</w:t>
            </w:r>
            <w:r>
              <w:rPr>
                <w:sz w:val="16"/>
                <w:szCs w:val="16"/>
                <w:lang w:val="fr-FR"/>
              </w:rPr>
              <w:t xml:space="preserve"> du Forum des ONG du PCI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F232C8" w:rsidRPr="005418AB" w14:paraId="3C461FFB" w14:textId="77777777" w:rsidTr="00C8346B">
        <w:tc>
          <w:tcPr>
            <w:tcW w:w="1129" w:type="dxa"/>
          </w:tcPr>
          <w:p w14:paraId="4BC782FA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4</w:t>
            </w:r>
          </w:p>
        </w:tc>
        <w:tc>
          <w:tcPr>
            <w:tcW w:w="7932" w:type="dxa"/>
            <w:gridSpan w:val="2"/>
          </w:tcPr>
          <w:p w14:paraId="3FF87FB8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>Exam</w:t>
            </w:r>
            <w:r>
              <w:rPr>
                <w:b/>
                <w:bCs/>
                <w:lang w:val="fr-FR"/>
              </w:rPr>
              <w:t xml:space="preserve">en par le </w:t>
            </w:r>
            <w:r w:rsidRPr="00690982">
              <w:rPr>
                <w:b/>
                <w:bCs/>
                <w:lang w:val="fr-FR"/>
              </w:rPr>
              <w:t>Comit</w:t>
            </w:r>
            <w:r>
              <w:rPr>
                <w:b/>
                <w:bCs/>
                <w:lang w:val="fr-FR"/>
              </w:rPr>
              <w:t>é</w:t>
            </w:r>
          </w:p>
          <w:p w14:paraId="3B4899F3" w14:textId="3706FFB8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>Les informations reçues, ainsi que l</w:t>
            </w:r>
            <w:r w:rsidR="00A53D0C">
              <w:rPr>
                <w:lang w:val="fr-FR"/>
              </w:rPr>
              <w:t>a</w:t>
            </w:r>
            <w:r>
              <w:rPr>
                <w:lang w:val="fr-FR"/>
              </w:rPr>
              <w:t xml:space="preserve"> réponse</w:t>
            </w:r>
            <w:r w:rsidR="00A53D0C">
              <w:rPr>
                <w:lang w:val="fr-FR"/>
              </w:rPr>
              <w:t xml:space="preserve"> de l’État partie et des communautés –</w:t>
            </w:r>
            <w:r>
              <w:rPr>
                <w:lang w:val="fr-FR"/>
              </w:rPr>
              <w:t xml:space="preserve"> de</w:t>
            </w:r>
            <w:r w:rsidR="00A53D0C">
              <w:rPr>
                <w:lang w:val="fr-FR"/>
              </w:rPr>
              <w:t xml:space="preserve"> </w:t>
            </w:r>
            <w:r>
              <w:rPr>
                <w:lang w:val="fr-FR"/>
              </w:rPr>
              <w:t>même que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avis </w:t>
            </w:r>
            <w:r w:rsidRPr="00690982">
              <w:rPr>
                <w:lang w:val="fr-FR"/>
              </w:rPr>
              <w:t>prélimina</w:t>
            </w:r>
            <w:r>
              <w:rPr>
                <w:lang w:val="fr-FR"/>
              </w:rPr>
              <w:t xml:space="preserve">ire de la plate-forme indépendante et/ou du Forum des ONG du PCI (si cela est approprié) et la </w:t>
            </w:r>
            <w:r w:rsidRPr="00690982">
              <w:rPr>
                <w:lang w:val="fr-FR"/>
              </w:rPr>
              <w:t>d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cision </w:t>
            </w:r>
            <w:r>
              <w:rPr>
                <w:lang w:val="fr-FR"/>
              </w:rPr>
              <w:t xml:space="preserve">du </w:t>
            </w:r>
            <w:r w:rsidRPr="00690982">
              <w:rPr>
                <w:lang w:val="fr-FR"/>
              </w:rPr>
              <w:t>Bureau (</w:t>
            </w:r>
            <w:r>
              <w:rPr>
                <w:lang w:val="fr-FR"/>
              </w:rPr>
              <w:t xml:space="preserve">si la demande est passée par le </w:t>
            </w:r>
            <w:r w:rsidRPr="00690982">
              <w:rPr>
                <w:lang w:val="fr-FR"/>
              </w:rPr>
              <w:t>Bureau)</w:t>
            </w:r>
            <w:r w:rsidR="00A53D0C">
              <w:rPr>
                <w:lang w:val="fr-FR"/>
              </w:rPr>
              <w:t xml:space="preserve"> –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sont</w:t>
            </w:r>
            <w:r w:rsidR="00A53D0C">
              <w:rPr>
                <w:lang w:val="fr-FR"/>
              </w:rPr>
              <w:t xml:space="preserve"> </w:t>
            </w:r>
            <w:r>
              <w:rPr>
                <w:lang w:val="fr-FR"/>
              </w:rPr>
              <w:t>portés à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attention </w:t>
            </w:r>
            <w:r>
              <w:rPr>
                <w:lang w:val="fr-FR"/>
              </w:rPr>
              <w:t xml:space="preserve">du </w:t>
            </w:r>
            <w:r w:rsidRPr="00690982">
              <w:rPr>
                <w:lang w:val="fr-FR"/>
              </w:rPr>
              <w:t xml:space="preserve">Comité </w:t>
            </w:r>
            <w:r>
              <w:rPr>
                <w:lang w:val="fr-FR"/>
              </w:rPr>
              <w:t xml:space="preserve">qui peut alors </w:t>
            </w:r>
            <w:r w:rsidR="00A53D0C">
              <w:rPr>
                <w:lang w:val="fr-FR"/>
              </w:rPr>
              <w:t>décider de</w:t>
            </w:r>
            <w:r>
              <w:rPr>
                <w:lang w:val="fr-FR"/>
              </w:rPr>
              <w:t xml:space="preserve"> </w:t>
            </w:r>
            <w:r w:rsidRPr="00690982">
              <w:rPr>
                <w:lang w:val="fr-FR"/>
              </w:rPr>
              <w:t>:</w:t>
            </w:r>
          </w:p>
          <w:p w14:paraId="6B46CC87" w14:textId="7CB75388" w:rsidR="00F232C8" w:rsidRPr="00690982" w:rsidRDefault="00A53D0C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>Maintenir</w:t>
            </w:r>
            <w:r w:rsidR="00F232C8">
              <w:rPr>
                <w:lang w:val="fr-FR"/>
              </w:rPr>
              <w:t xml:space="preserve">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élément </w:t>
            </w:r>
            <w:r>
              <w:rPr>
                <w:lang w:val="fr-FR"/>
              </w:rPr>
              <w:t xml:space="preserve">sur </w:t>
            </w:r>
            <w:r w:rsidR="00F232C8">
              <w:rPr>
                <w:lang w:val="fr-FR"/>
              </w:rPr>
              <w:t xml:space="preserve">la </w:t>
            </w:r>
            <w:r w:rsidR="00F232C8" w:rsidRPr="00690982">
              <w:rPr>
                <w:lang w:val="fr-FR"/>
              </w:rPr>
              <w:t>List</w:t>
            </w:r>
            <w:r w:rsidR="00F232C8">
              <w:rPr>
                <w:lang w:val="fr-FR"/>
              </w:rPr>
              <w:t>e s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il considère que les informations sont </w:t>
            </w:r>
            <w:r w:rsidR="00F232C8" w:rsidRPr="00690982">
              <w:rPr>
                <w:lang w:val="fr-FR"/>
              </w:rPr>
              <w:t>complète</w:t>
            </w:r>
            <w:r w:rsidR="00F232C8">
              <w:rPr>
                <w:lang w:val="fr-FR"/>
              </w:rPr>
              <w:t>s et qu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il n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existe pas de raison suffisante motivant un retrait </w:t>
            </w:r>
            <w:r w:rsidR="00F232C8" w:rsidRPr="00690982">
              <w:rPr>
                <w:lang w:val="fr-FR"/>
              </w:rPr>
              <w:t>(</w:t>
            </w:r>
            <w:r w:rsidR="00F232C8">
              <w:rPr>
                <w:lang w:val="fr-FR"/>
              </w:rPr>
              <w:t xml:space="preserve">fin de la </w:t>
            </w:r>
            <w:r w:rsidR="00F232C8" w:rsidRPr="00690982">
              <w:rPr>
                <w:lang w:val="fr-FR"/>
              </w:rPr>
              <w:t>procédure</w:t>
            </w:r>
            <w:r w:rsidR="00F232C8">
              <w:rPr>
                <w:lang w:val="fr-FR"/>
              </w:rPr>
              <w:t>)</w:t>
            </w:r>
            <w:r w:rsidR="00F232C8" w:rsidRPr="00690982">
              <w:rPr>
                <w:lang w:val="fr-FR"/>
              </w:rPr>
              <w:t>.</w:t>
            </w:r>
          </w:p>
          <w:p w14:paraId="16213B4D" w14:textId="52B2939B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>Retirer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de la </w:t>
            </w:r>
            <w:r w:rsidRPr="00690982">
              <w:rPr>
                <w:lang w:val="fr-FR"/>
              </w:rPr>
              <w:t>Lis</w:t>
            </w:r>
            <w:r>
              <w:rPr>
                <w:lang w:val="fr-FR"/>
              </w:rPr>
              <w:t>te, s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il considère que les informations sont </w:t>
            </w:r>
            <w:r w:rsidRPr="00690982">
              <w:rPr>
                <w:lang w:val="fr-FR"/>
              </w:rPr>
              <w:t>complète</w:t>
            </w:r>
            <w:r>
              <w:rPr>
                <w:lang w:val="fr-FR"/>
              </w:rPr>
              <w:t>s et qu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il existe une raison suffisante motivant un retrait </w:t>
            </w:r>
            <w:r w:rsidRPr="00690982">
              <w:rPr>
                <w:lang w:val="fr-FR"/>
              </w:rPr>
              <w:t>(</w:t>
            </w:r>
            <w:r>
              <w:rPr>
                <w:lang w:val="fr-FR"/>
              </w:rPr>
              <w:t xml:space="preserve">fin de la </w:t>
            </w:r>
            <w:r w:rsidRPr="00690982">
              <w:rPr>
                <w:lang w:val="fr-FR"/>
              </w:rPr>
              <w:t>procédure</w:t>
            </w:r>
            <w:r>
              <w:rPr>
                <w:lang w:val="fr-FR"/>
              </w:rPr>
              <w:t>)</w:t>
            </w:r>
            <w:r w:rsidRPr="00690982">
              <w:rPr>
                <w:lang w:val="fr-FR"/>
              </w:rPr>
              <w:t>.</w:t>
            </w:r>
          </w:p>
          <w:p w14:paraId="13ECADF3" w14:textId="294E3164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690982">
              <w:rPr>
                <w:lang w:val="fr-FR"/>
              </w:rPr>
              <w:t>lace</w:t>
            </w:r>
            <w:r>
              <w:rPr>
                <w:lang w:val="fr-FR"/>
              </w:rPr>
              <w:t>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</w:t>
            </w:r>
            <w:r w:rsidR="00A53D0C">
              <w:rPr>
                <w:lang w:val="fr-FR"/>
              </w:rPr>
              <w:t>dans un état</w:t>
            </w:r>
            <w:r>
              <w:rPr>
                <w:lang w:val="fr-FR"/>
              </w:rPr>
              <w:t xml:space="preserve"> de « suivi » à titre de </w:t>
            </w:r>
            <w:r w:rsidRPr="007F45C9">
              <w:rPr>
                <w:u w:val="single"/>
                <w:lang w:val="fr-FR"/>
              </w:rPr>
              <w:t>m</w:t>
            </w:r>
            <w:r>
              <w:rPr>
                <w:u w:val="single"/>
                <w:lang w:val="fr-FR"/>
              </w:rPr>
              <w:t xml:space="preserve">esure </w:t>
            </w:r>
            <w:r w:rsidR="00A53D0C">
              <w:rPr>
                <w:u w:val="single"/>
                <w:lang w:val="fr-FR"/>
              </w:rPr>
              <w:t>intermédiaire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s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il considère que des informations supplémentaires sont nécessaires </w:t>
            </w:r>
            <w:r w:rsidRPr="00690982">
              <w:rPr>
                <w:lang w:val="fr-FR"/>
              </w:rPr>
              <w:t>[</w:t>
            </w:r>
            <w:r>
              <w:rPr>
                <w:lang w:val="fr-FR"/>
              </w:rPr>
              <w:t>continuer à l</w:t>
            </w:r>
            <w:r w:rsidR="00FE6112">
              <w:rPr>
                <w:lang w:val="fr-FR"/>
              </w:rPr>
              <w:t>’</w:t>
            </w:r>
            <w:r w:rsidR="00A53D0C">
              <w:rPr>
                <w:lang w:val="fr-FR"/>
              </w:rPr>
              <w:t>é</w:t>
            </w:r>
            <w:r>
              <w:rPr>
                <w:lang w:val="fr-FR"/>
              </w:rPr>
              <w:t>tape</w:t>
            </w:r>
            <w:r w:rsidRPr="00690982">
              <w:rPr>
                <w:lang w:val="fr-FR"/>
              </w:rPr>
              <w:t xml:space="preserve"> 5].</w:t>
            </w:r>
          </w:p>
          <w:p w14:paraId="79DA06DC" w14:textId="0842D052" w:rsidR="00F232C8" w:rsidRPr="00690982" w:rsidRDefault="00A53D0C" w:rsidP="007F45C9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lastRenderedPageBreak/>
              <w:t>Retirer</w:t>
            </w:r>
            <w:r w:rsidR="00F232C8">
              <w:rPr>
                <w:lang w:val="fr-FR"/>
              </w:rPr>
              <w:t xml:space="preserve">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élément de la Liste avec la possibilité de l</w:t>
            </w:r>
            <w:r w:rsidR="007F45C9">
              <w:rPr>
                <w:lang w:val="fr-FR"/>
              </w:rPr>
              <w:t>e</w:t>
            </w:r>
            <w:r w:rsidR="00F232C8">
              <w:rPr>
                <w:lang w:val="fr-FR"/>
              </w:rPr>
              <w:t xml:space="preserve"> placer dans une </w:t>
            </w:r>
            <w:r w:rsidR="0008673A">
              <w:rPr>
                <w:lang w:val="fr-FR"/>
              </w:rPr>
              <w:t>« </w:t>
            </w:r>
            <w:r w:rsidR="00F232C8">
              <w:rPr>
                <w:lang w:val="fr-FR"/>
              </w:rPr>
              <w:t>banque de mémoire » si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élément est considéré comme ayant cessé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exister </w:t>
            </w:r>
            <w:r w:rsidR="00F232C8" w:rsidRPr="00690982">
              <w:rPr>
                <w:lang w:val="fr-FR"/>
              </w:rPr>
              <w:t>(</w:t>
            </w:r>
            <w:r w:rsidR="00F232C8">
              <w:rPr>
                <w:lang w:val="fr-FR"/>
              </w:rPr>
              <w:t xml:space="preserve">fin de la </w:t>
            </w:r>
            <w:r w:rsidR="00F232C8" w:rsidRPr="00690982">
              <w:rPr>
                <w:lang w:val="fr-FR"/>
              </w:rPr>
              <w:t>proc</w:t>
            </w:r>
            <w:r w:rsidR="00F232C8">
              <w:rPr>
                <w:lang w:val="fr-FR"/>
              </w:rPr>
              <w:t>é</w:t>
            </w:r>
            <w:r w:rsidR="00F232C8" w:rsidRPr="00690982">
              <w:rPr>
                <w:lang w:val="fr-FR"/>
              </w:rPr>
              <w:t>dure).</w:t>
            </w:r>
          </w:p>
        </w:tc>
      </w:tr>
      <w:tr w:rsidR="00F232C8" w:rsidRPr="005418AB" w14:paraId="1D89B37E" w14:textId="77777777" w:rsidTr="00C8346B">
        <w:tc>
          <w:tcPr>
            <w:tcW w:w="1129" w:type="dxa"/>
            <w:vMerge w:val="restart"/>
          </w:tcPr>
          <w:p w14:paraId="6945B5F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Étape</w:t>
            </w:r>
            <w:r w:rsidRPr="00690982">
              <w:rPr>
                <w:b/>
                <w:bCs/>
                <w:lang w:val="fr-FR"/>
              </w:rPr>
              <w:t xml:space="preserve"> 5</w:t>
            </w:r>
          </w:p>
        </w:tc>
        <w:tc>
          <w:tcPr>
            <w:tcW w:w="7932" w:type="dxa"/>
            <w:gridSpan w:val="2"/>
          </w:tcPr>
          <w:p w14:paraId="326310D6" w14:textId="3E9D8FA0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Suivi </w:t>
            </w:r>
            <w:r w:rsidR="0099286B">
              <w:rPr>
                <w:b/>
                <w:bCs/>
                <w:lang w:val="fr-FR"/>
              </w:rPr>
              <w:t>approfondi</w:t>
            </w:r>
            <w:r>
              <w:rPr>
                <w:b/>
                <w:bCs/>
                <w:lang w:val="fr-FR"/>
              </w:rPr>
              <w:t xml:space="preserve"> </w:t>
            </w:r>
            <w:r w:rsidRPr="00690982">
              <w:rPr>
                <w:b/>
                <w:bCs/>
                <w:lang w:val="fr-FR"/>
              </w:rPr>
              <w:t xml:space="preserve">(observation, </w:t>
            </w:r>
            <w:r>
              <w:rPr>
                <w:b/>
                <w:bCs/>
                <w:lang w:val="fr-FR"/>
              </w:rPr>
              <w:t>é</w:t>
            </w:r>
            <w:r w:rsidRPr="00690982">
              <w:rPr>
                <w:b/>
                <w:bCs/>
                <w:lang w:val="fr-FR"/>
              </w:rPr>
              <w:t xml:space="preserve">change </w:t>
            </w:r>
            <w:r>
              <w:rPr>
                <w:b/>
                <w:bCs/>
                <w:lang w:val="fr-FR"/>
              </w:rPr>
              <w:t>et</w:t>
            </w:r>
            <w:r w:rsidRPr="00690982">
              <w:rPr>
                <w:b/>
                <w:bCs/>
                <w:lang w:val="fr-FR"/>
              </w:rPr>
              <w:t xml:space="preserve"> dialogue)</w:t>
            </w:r>
          </w:p>
        </w:tc>
      </w:tr>
      <w:tr w:rsidR="00F232C8" w:rsidRPr="005418AB" w14:paraId="10FE1D4A" w14:textId="77777777" w:rsidTr="00C8346B">
        <w:tc>
          <w:tcPr>
            <w:tcW w:w="1129" w:type="dxa"/>
            <w:vMerge/>
          </w:tcPr>
          <w:p w14:paraId="46B7A2C5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3966" w:type="dxa"/>
          </w:tcPr>
          <w:p w14:paraId="0DEC29AD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 xml:space="preserve">Option 5.a. </w:t>
            </w:r>
            <w:r>
              <w:rPr>
                <w:b/>
                <w:bCs/>
                <w:lang w:val="fr-FR"/>
              </w:rPr>
              <w:t xml:space="preserve">Plate-forme indépendante et/ou </w:t>
            </w:r>
            <w:r w:rsidRPr="00690982">
              <w:rPr>
                <w:b/>
                <w:bCs/>
                <w:lang w:val="fr-FR"/>
              </w:rPr>
              <w:t>Forum</w:t>
            </w:r>
            <w:r>
              <w:rPr>
                <w:b/>
                <w:bCs/>
                <w:lang w:val="fr-FR"/>
              </w:rPr>
              <w:t xml:space="preserve"> des ONG du PCI</w:t>
            </w:r>
          </w:p>
          <w:p w14:paraId="3807779D" w14:textId="77777777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Le suivi est exécuté par une plate-forme indépendante et/ou par le Forum des ONG du PCI</w:t>
            </w:r>
            <w:r w:rsidRPr="00690982">
              <w:rPr>
                <w:lang w:val="fr-FR"/>
              </w:rPr>
              <w:t>.</w:t>
            </w:r>
          </w:p>
          <w:p w14:paraId="11848A7E" w14:textId="7D1DE9D0" w:rsidR="00F232C8" w:rsidRPr="00690982" w:rsidRDefault="0099286B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A</w:t>
            </w:r>
            <w:r w:rsidR="00F232C8">
              <w:rPr>
                <w:lang w:val="fr-FR"/>
              </w:rPr>
              <w:t>u cas par cas, le suivi peut prendre la forme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une correspondance écrite et/ou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une </w:t>
            </w:r>
            <w:r w:rsidR="00F232C8" w:rsidRPr="00690982">
              <w:rPr>
                <w:lang w:val="fr-FR"/>
              </w:rPr>
              <w:t xml:space="preserve">consultation </w:t>
            </w:r>
            <w:r w:rsidR="00F232C8">
              <w:rPr>
                <w:lang w:val="fr-FR"/>
              </w:rPr>
              <w:t>en ligne avec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État et les communautés et/ou </w:t>
            </w:r>
            <w:r>
              <w:rPr>
                <w:lang w:val="fr-FR"/>
              </w:rPr>
              <w:t>d’</w:t>
            </w:r>
            <w:r w:rsidR="00F232C8">
              <w:rPr>
                <w:lang w:val="fr-FR"/>
              </w:rPr>
              <w:t xml:space="preserve">une mission </w:t>
            </w:r>
            <w:r w:rsidR="00F232C8" w:rsidRPr="00690982">
              <w:rPr>
                <w:lang w:val="fr-FR"/>
              </w:rPr>
              <w:t>consultative.</w:t>
            </w:r>
          </w:p>
          <w:p w14:paraId="24C1D00D" w14:textId="77777777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 xml:space="preserve">Le rapport de suivi est transmis au </w:t>
            </w:r>
            <w:r w:rsidRPr="00690982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tariat </w:t>
            </w:r>
            <w:r>
              <w:rPr>
                <w:lang w:val="fr-FR"/>
              </w:rPr>
              <w:t xml:space="preserve">avec une recommandation au </w:t>
            </w:r>
            <w:r w:rsidRPr="00690982">
              <w:rPr>
                <w:lang w:val="fr-FR"/>
              </w:rPr>
              <w:t>Comité.</w:t>
            </w:r>
          </w:p>
        </w:tc>
        <w:tc>
          <w:tcPr>
            <w:tcW w:w="3966" w:type="dxa"/>
          </w:tcPr>
          <w:p w14:paraId="3A57591E" w14:textId="1443B510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 xml:space="preserve">Option 5.b. </w:t>
            </w:r>
            <w:r>
              <w:rPr>
                <w:b/>
                <w:bCs/>
                <w:lang w:val="fr-FR"/>
              </w:rPr>
              <w:t>Organe d</w:t>
            </w:r>
            <w:r w:rsidR="00FE6112"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év</w:t>
            </w:r>
            <w:r w:rsidRPr="00690982">
              <w:rPr>
                <w:b/>
                <w:bCs/>
                <w:lang w:val="fr-FR"/>
              </w:rPr>
              <w:t>aluation</w:t>
            </w:r>
          </w:p>
          <w:p w14:paraId="440297EF" w14:textId="4EF6E17E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Le suivi est exécuté par</w:t>
            </w:r>
            <w:r w:rsidR="0099286B">
              <w:rPr>
                <w:lang w:val="fr-FR"/>
              </w:rPr>
              <w:t> :</w:t>
            </w:r>
            <w:r>
              <w:rPr>
                <w:lang w:val="fr-FR"/>
              </w:rPr>
              <w:t xml:space="preserve"> </w:t>
            </w:r>
            <w:r w:rsidRPr="00690982">
              <w:rPr>
                <w:lang w:val="fr-FR"/>
              </w:rPr>
              <w:t>(</w:t>
            </w:r>
            <w:r w:rsidR="0099286B">
              <w:rPr>
                <w:lang w:val="fr-FR"/>
              </w:rPr>
              <w:t>a</w:t>
            </w:r>
            <w:r w:rsidRPr="00690982">
              <w:rPr>
                <w:lang w:val="fr-FR"/>
              </w:rPr>
              <w:t>)</w:t>
            </w:r>
            <w:r w:rsidR="0099286B">
              <w:rPr>
                <w:lang w:val="fr-FR"/>
              </w:rPr>
              <w:t> </w:t>
            </w:r>
            <w:r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évaluation dans son ensemble ou </w:t>
            </w:r>
            <w:r w:rsidRPr="00690982">
              <w:rPr>
                <w:lang w:val="fr-FR"/>
              </w:rPr>
              <w:t>(</w:t>
            </w:r>
            <w:r w:rsidR="0099286B">
              <w:rPr>
                <w:lang w:val="fr-FR"/>
              </w:rPr>
              <w:t>b</w:t>
            </w:r>
            <w:r w:rsidRPr="00690982">
              <w:rPr>
                <w:lang w:val="fr-FR"/>
              </w:rPr>
              <w:t>)</w:t>
            </w:r>
            <w:r>
              <w:rPr>
                <w:lang w:val="fr-FR"/>
              </w:rPr>
              <w:t xml:space="preserve"> par deux membres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évaluation </w:t>
            </w:r>
            <w:r w:rsidRPr="00690982">
              <w:rPr>
                <w:lang w:val="fr-FR"/>
              </w:rPr>
              <w:t>(</w:t>
            </w:r>
            <w:r>
              <w:rPr>
                <w:lang w:val="fr-FR"/>
              </w:rPr>
              <w:t xml:space="preserve">ONG accréditée et </w:t>
            </w:r>
            <w:r w:rsidRPr="00690982">
              <w:rPr>
                <w:lang w:val="fr-FR"/>
              </w:rPr>
              <w:t xml:space="preserve">expert </w:t>
            </w:r>
            <w:r>
              <w:rPr>
                <w:lang w:val="fr-FR"/>
              </w:rPr>
              <w:t xml:space="preserve">de la </w:t>
            </w:r>
            <w:r w:rsidRPr="00690982">
              <w:rPr>
                <w:lang w:val="fr-FR"/>
              </w:rPr>
              <w:t>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gion concern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e) </w:t>
            </w:r>
            <w:r>
              <w:rPr>
                <w:lang w:val="fr-FR"/>
              </w:rPr>
              <w:t xml:space="preserve">qui effectuent une évaluation initiale, laquelle est ensuite débattue </w:t>
            </w:r>
            <w:r w:rsidRPr="00690982">
              <w:rPr>
                <w:lang w:val="fr-FR"/>
              </w:rPr>
              <w:t>collective</w:t>
            </w:r>
            <w:r>
              <w:rPr>
                <w:lang w:val="fr-FR"/>
              </w:rPr>
              <w:t>ment par tous les membres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évaluation</w:t>
            </w:r>
            <w:r w:rsidRPr="00690982">
              <w:rPr>
                <w:lang w:val="fr-FR"/>
              </w:rPr>
              <w:t>.</w:t>
            </w:r>
          </w:p>
          <w:p w14:paraId="328B82F8" w14:textId="29798B72" w:rsidR="00F232C8" w:rsidRPr="00690982" w:rsidRDefault="0099286B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A</w:t>
            </w:r>
            <w:r w:rsidR="00F232C8">
              <w:rPr>
                <w:lang w:val="fr-FR"/>
              </w:rPr>
              <w:t>u cas par cas, le suivi peut prendre la forme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une correspondance écrite et/ou d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une </w:t>
            </w:r>
            <w:r w:rsidR="00F232C8" w:rsidRPr="00690982">
              <w:rPr>
                <w:lang w:val="fr-FR"/>
              </w:rPr>
              <w:t xml:space="preserve">consultation </w:t>
            </w:r>
            <w:r w:rsidR="00F232C8">
              <w:rPr>
                <w:lang w:val="fr-FR"/>
              </w:rPr>
              <w:t>en ligne avec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État et les communautés et/ou </w:t>
            </w:r>
            <w:r>
              <w:rPr>
                <w:lang w:val="fr-FR"/>
              </w:rPr>
              <w:t>d’</w:t>
            </w:r>
            <w:r w:rsidR="00F232C8">
              <w:rPr>
                <w:lang w:val="fr-FR"/>
              </w:rPr>
              <w:t xml:space="preserve">une mission </w:t>
            </w:r>
            <w:r w:rsidR="00F232C8" w:rsidRPr="00690982">
              <w:rPr>
                <w:lang w:val="fr-FR"/>
              </w:rPr>
              <w:t>consultative.</w:t>
            </w:r>
          </w:p>
          <w:p w14:paraId="2D2C2116" w14:textId="77777777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Le rapport de suivi est transmis au </w:t>
            </w:r>
            <w:r w:rsidRPr="00690982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tariat </w:t>
            </w:r>
            <w:r>
              <w:rPr>
                <w:lang w:val="fr-FR"/>
              </w:rPr>
              <w:t xml:space="preserve">avec une recommandation au </w:t>
            </w:r>
            <w:r w:rsidRPr="00690982">
              <w:rPr>
                <w:lang w:val="fr-FR"/>
              </w:rPr>
              <w:t>Comité.</w:t>
            </w:r>
          </w:p>
        </w:tc>
      </w:tr>
      <w:tr w:rsidR="00F232C8" w:rsidRPr="005418AB" w14:paraId="73DA22D4" w14:textId="77777777" w:rsidTr="00C8346B">
        <w:tc>
          <w:tcPr>
            <w:tcW w:w="1129" w:type="dxa"/>
            <w:vMerge/>
          </w:tcPr>
          <w:p w14:paraId="7FB6609E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7932" w:type="dxa"/>
            <w:gridSpan w:val="2"/>
            <w:shd w:val="clear" w:color="auto" w:fill="F2F2F2" w:themeFill="background1" w:themeFillShade="F2"/>
          </w:tcPr>
          <w:p w14:paraId="12A58B35" w14:textId="36E75407" w:rsidR="00F232C8" w:rsidRPr="00690982" w:rsidDel="00225B1B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99286B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</w:tc>
      </w:tr>
      <w:tr w:rsidR="00F232C8" w:rsidRPr="005418AB" w14:paraId="3369AF3F" w14:textId="77777777" w:rsidTr="00C8346B">
        <w:tc>
          <w:tcPr>
            <w:tcW w:w="1129" w:type="dxa"/>
            <w:vMerge/>
          </w:tcPr>
          <w:p w14:paraId="12771029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3966" w:type="dxa"/>
            <w:shd w:val="clear" w:color="auto" w:fill="F2F2F2" w:themeFill="background1" w:themeFillShade="F2"/>
          </w:tcPr>
          <w:p w14:paraId="7CB3B328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  <w:lang w:val="fr-FR"/>
              </w:rPr>
            </w:pPr>
            <w:r w:rsidRPr="00690982">
              <w:rPr>
                <w:b/>
                <w:bCs/>
                <w:sz w:val="16"/>
                <w:szCs w:val="16"/>
                <w:lang w:val="fr-FR"/>
              </w:rPr>
              <w:t xml:space="preserve">Option 5.a. - </w:t>
            </w:r>
            <w:r w:rsidRPr="00470F97">
              <w:rPr>
                <w:b/>
                <w:bCs/>
                <w:sz w:val="16"/>
                <w:szCs w:val="16"/>
                <w:lang w:val="fr-FR"/>
              </w:rPr>
              <w:t>Plate-forme indépendante et/ou Forum des ONG du PCI</w:t>
            </w:r>
          </w:p>
          <w:p w14:paraId="14ED0390" w14:textId="112A552E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</w:t>
            </w:r>
            <w:r w:rsidR="0099286B">
              <w:rPr>
                <w:sz w:val="16"/>
                <w:szCs w:val="16"/>
                <w:lang w:val="fr-FR"/>
              </w:rPr>
              <w:t> 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14:paraId="63AE72DE" w14:textId="4648EE30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L’i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dentification </w:t>
            </w:r>
            <w:r w:rsidR="00F232C8">
              <w:rPr>
                <w:sz w:val="16"/>
                <w:szCs w:val="16"/>
                <w:lang w:val="fr-FR"/>
              </w:rPr>
              <w:t xml:space="preserve">des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experts,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>établissement et</w:t>
            </w:r>
            <w:r>
              <w:rPr>
                <w:sz w:val="16"/>
                <w:szCs w:val="16"/>
                <w:lang w:val="fr-FR"/>
              </w:rPr>
              <w:t xml:space="preserve"> le</w:t>
            </w:r>
            <w:r w:rsidR="00F232C8">
              <w:rPr>
                <w:sz w:val="16"/>
                <w:szCs w:val="16"/>
                <w:lang w:val="fr-FR"/>
              </w:rPr>
              <w:t xml:space="preserve"> suivi des </w:t>
            </w:r>
            <w:r w:rsidR="00F232C8" w:rsidRPr="00690982">
              <w:rPr>
                <w:sz w:val="16"/>
                <w:szCs w:val="16"/>
                <w:lang w:val="fr-FR"/>
              </w:rPr>
              <w:t>contrat</w:t>
            </w:r>
            <w:r w:rsidR="00F232C8">
              <w:rPr>
                <w:sz w:val="16"/>
                <w:szCs w:val="16"/>
                <w:lang w:val="fr-FR"/>
              </w:rPr>
              <w:t>s</w:t>
            </w:r>
          </w:p>
          <w:p w14:paraId="36799A65" w14:textId="0B5BAF45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c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ommunication </w:t>
            </w:r>
            <w:r w:rsidR="00F232C8">
              <w:rPr>
                <w:sz w:val="16"/>
                <w:szCs w:val="16"/>
                <w:lang w:val="fr-FR"/>
              </w:rPr>
              <w:t xml:space="preserve">avec les </w:t>
            </w:r>
            <w:r w:rsidR="0008673A">
              <w:rPr>
                <w:sz w:val="16"/>
                <w:szCs w:val="16"/>
                <w:lang w:val="fr-FR"/>
              </w:rPr>
              <w:t>États</w:t>
            </w:r>
            <w:r w:rsidR="00F232C8">
              <w:rPr>
                <w:sz w:val="16"/>
                <w:szCs w:val="16"/>
                <w:lang w:val="fr-FR"/>
              </w:rPr>
              <w:t>, les communautés et les tier</w:t>
            </w:r>
            <w:r>
              <w:rPr>
                <w:sz w:val="16"/>
                <w:szCs w:val="16"/>
                <w:lang w:val="fr-FR"/>
              </w:rPr>
              <w:t>ce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parties</w:t>
            </w:r>
            <w:r w:rsidR="00F232C8">
              <w:rPr>
                <w:sz w:val="16"/>
                <w:szCs w:val="16"/>
                <w:lang w:val="fr-FR"/>
              </w:rPr>
              <w:t>, ainsi qu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avec les experts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évaluation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, </w:t>
            </w:r>
            <w:r w:rsidR="00F232C8">
              <w:rPr>
                <w:sz w:val="16"/>
                <w:szCs w:val="16"/>
                <w:lang w:val="fr-FR"/>
              </w:rPr>
              <w:t>la plate-forme indépendante et/ou le Forum des ONG du PCI</w:t>
            </w:r>
          </w:p>
          <w:p w14:paraId="7224F62C" w14:textId="66123951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du Fonds du </w:t>
            </w:r>
            <w:r w:rsidRPr="0043162A">
              <w:rPr>
                <w:sz w:val="16"/>
                <w:szCs w:val="16"/>
                <w:lang w:val="fr-FR"/>
              </w:rPr>
              <w:t>patrimoine culturel immatériel</w:t>
            </w:r>
            <w:r w:rsidRPr="00690982">
              <w:rPr>
                <w:sz w:val="16"/>
                <w:szCs w:val="16"/>
                <w:lang w:val="fr-FR"/>
              </w:rPr>
              <w:t xml:space="preserve">) </w:t>
            </w:r>
            <w:r>
              <w:rPr>
                <w:sz w:val="16"/>
                <w:szCs w:val="16"/>
                <w:lang w:val="fr-FR"/>
              </w:rPr>
              <w:t xml:space="preserve">pour 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0F04DBE4" w14:textId="308C26EC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s</w:t>
            </w:r>
            <w:r w:rsidR="00F232C8">
              <w:rPr>
                <w:sz w:val="16"/>
                <w:szCs w:val="16"/>
                <w:lang w:val="fr-FR"/>
              </w:rPr>
              <w:t>ervices consultatifs assurés par la plate-forme indépendante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 w:rsidR="00F232C8">
              <w:rPr>
                <w:sz w:val="16"/>
                <w:szCs w:val="16"/>
                <w:lang w:val="fr-FR"/>
              </w:rPr>
              <w:t>et/ou le Forum des ONG du PCI</w:t>
            </w:r>
          </w:p>
          <w:p w14:paraId="48746E81" w14:textId="11E3415B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Coûts relatifs à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>
              <w:rPr>
                <w:sz w:val="16"/>
                <w:szCs w:val="16"/>
                <w:lang w:val="fr-FR"/>
              </w:rPr>
              <w:t xml:space="preserve">établissement et la </w:t>
            </w:r>
            <w:r w:rsidRPr="00690982">
              <w:rPr>
                <w:sz w:val="16"/>
                <w:szCs w:val="16"/>
                <w:lang w:val="fr-FR"/>
              </w:rPr>
              <w:t xml:space="preserve">maintenance </w:t>
            </w:r>
            <w:r>
              <w:rPr>
                <w:sz w:val="16"/>
                <w:szCs w:val="16"/>
                <w:lang w:val="fr-FR"/>
              </w:rPr>
              <w:t xml:space="preserve">de la plate-forme indépendante et/ou les </w:t>
            </w:r>
            <w:r w:rsidR="0099286B">
              <w:rPr>
                <w:sz w:val="16"/>
                <w:szCs w:val="16"/>
                <w:lang w:val="fr-FR"/>
              </w:rPr>
              <w:t>coûts des travaux</w:t>
            </w:r>
            <w:r>
              <w:rPr>
                <w:sz w:val="16"/>
                <w:szCs w:val="16"/>
                <w:lang w:val="fr-FR"/>
              </w:rPr>
              <w:t xml:space="preserve"> du Forum des ONG du PCI</w:t>
            </w:r>
          </w:p>
        </w:tc>
        <w:tc>
          <w:tcPr>
            <w:tcW w:w="3966" w:type="dxa"/>
            <w:shd w:val="clear" w:color="auto" w:fill="F2F2F2" w:themeFill="background1" w:themeFillShade="F2"/>
          </w:tcPr>
          <w:p w14:paraId="35C018F1" w14:textId="2B8ADE55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sz w:val="16"/>
                <w:szCs w:val="16"/>
                <w:lang w:val="fr-FR"/>
              </w:rPr>
            </w:pPr>
            <w:r w:rsidRPr="00690982">
              <w:rPr>
                <w:b/>
                <w:bCs/>
                <w:sz w:val="16"/>
                <w:szCs w:val="16"/>
                <w:lang w:val="fr-FR"/>
              </w:rPr>
              <w:t xml:space="preserve">Option 5.b. </w:t>
            </w:r>
            <w:r>
              <w:rPr>
                <w:b/>
                <w:bCs/>
                <w:sz w:val="16"/>
                <w:szCs w:val="16"/>
                <w:lang w:val="fr-FR"/>
              </w:rPr>
              <w:t>Organe d</w:t>
            </w:r>
            <w:r w:rsidR="00FE6112">
              <w:rPr>
                <w:b/>
                <w:bCs/>
                <w:sz w:val="16"/>
                <w:szCs w:val="16"/>
                <w:lang w:val="fr-FR"/>
              </w:rPr>
              <w:t>’</w:t>
            </w:r>
            <w:r>
              <w:rPr>
                <w:b/>
                <w:bCs/>
                <w:sz w:val="16"/>
                <w:szCs w:val="16"/>
                <w:lang w:val="fr-FR"/>
              </w:rPr>
              <w:t>évaluation</w:t>
            </w:r>
          </w:p>
          <w:p w14:paraId="2589935E" w14:textId="7BA5E36B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 :</w:t>
            </w:r>
          </w:p>
          <w:p w14:paraId="29E7515F" w14:textId="204213C8" w:rsidR="00F232C8" w:rsidRPr="00690982" w:rsidRDefault="0099286B" w:rsidP="00481223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L’i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dentification </w:t>
            </w:r>
            <w:r w:rsidR="00F232C8">
              <w:rPr>
                <w:sz w:val="16"/>
                <w:szCs w:val="16"/>
                <w:lang w:val="fr-FR"/>
              </w:rPr>
              <w:t>des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experts,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 xml:space="preserve">établissement et </w:t>
            </w:r>
            <w:r>
              <w:rPr>
                <w:sz w:val="16"/>
                <w:szCs w:val="16"/>
                <w:lang w:val="fr-FR"/>
              </w:rPr>
              <w:t xml:space="preserve">le </w:t>
            </w:r>
            <w:r w:rsidR="00F232C8">
              <w:rPr>
                <w:sz w:val="16"/>
                <w:szCs w:val="16"/>
                <w:lang w:val="fr-FR"/>
              </w:rPr>
              <w:t xml:space="preserve">suivi des </w:t>
            </w:r>
            <w:r w:rsidR="00F232C8" w:rsidRPr="00690982">
              <w:rPr>
                <w:sz w:val="16"/>
                <w:szCs w:val="16"/>
                <w:lang w:val="fr-FR"/>
              </w:rPr>
              <w:t>contrat</w:t>
            </w:r>
            <w:r w:rsidR="00F232C8">
              <w:rPr>
                <w:sz w:val="16"/>
                <w:szCs w:val="16"/>
                <w:lang w:val="fr-FR"/>
              </w:rPr>
              <w:t>s</w:t>
            </w:r>
          </w:p>
          <w:p w14:paraId="2A296348" w14:textId="25AB5379" w:rsidR="00F232C8" w:rsidRPr="00690982" w:rsidRDefault="0099286B" w:rsidP="00481223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c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ommunication </w:t>
            </w:r>
            <w:r w:rsidR="00F232C8">
              <w:rPr>
                <w:sz w:val="16"/>
                <w:szCs w:val="16"/>
                <w:lang w:val="fr-FR"/>
              </w:rPr>
              <w:t xml:space="preserve">avec les </w:t>
            </w:r>
            <w:r w:rsidR="0008673A">
              <w:rPr>
                <w:sz w:val="16"/>
                <w:szCs w:val="16"/>
                <w:lang w:val="fr-FR"/>
              </w:rPr>
              <w:t>États</w:t>
            </w:r>
            <w:r w:rsidR="00F232C8">
              <w:rPr>
                <w:sz w:val="16"/>
                <w:szCs w:val="16"/>
                <w:lang w:val="fr-FR"/>
              </w:rPr>
              <w:t>, les communautés et les tier</w:t>
            </w:r>
            <w:r>
              <w:rPr>
                <w:sz w:val="16"/>
                <w:szCs w:val="16"/>
                <w:lang w:val="fr-FR"/>
              </w:rPr>
              <w:t>ce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parties</w:t>
            </w:r>
            <w:r w:rsidR="00F232C8">
              <w:rPr>
                <w:sz w:val="16"/>
                <w:szCs w:val="16"/>
                <w:lang w:val="fr-FR"/>
              </w:rPr>
              <w:t>, ainsi qu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avec les experts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évaluation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, </w:t>
            </w:r>
            <w:r w:rsidR="00F232C8">
              <w:rPr>
                <w:sz w:val="16"/>
                <w:szCs w:val="16"/>
                <w:lang w:val="fr-FR"/>
              </w:rPr>
              <w:t>la plate-forme indépendante et/ou le Forum des ONG du PCI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10D29CB9" w14:textId="7688C6D3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du Fonds du </w:t>
            </w:r>
            <w:r w:rsidRPr="0043162A">
              <w:rPr>
                <w:sz w:val="16"/>
                <w:szCs w:val="16"/>
                <w:lang w:val="fr-FR"/>
              </w:rPr>
              <w:t>patrimoine culturel immatériel</w:t>
            </w:r>
            <w:r w:rsidRPr="00690982">
              <w:rPr>
                <w:sz w:val="16"/>
                <w:szCs w:val="16"/>
                <w:lang w:val="fr-FR"/>
              </w:rPr>
              <w:t xml:space="preserve">) </w:t>
            </w:r>
            <w:r>
              <w:rPr>
                <w:sz w:val="16"/>
                <w:szCs w:val="16"/>
                <w:lang w:val="fr-FR"/>
              </w:rPr>
              <w:t>pour</w:t>
            </w:r>
            <w:r w:rsidR="0099286B">
              <w:rPr>
                <w:sz w:val="16"/>
                <w:szCs w:val="16"/>
                <w:lang w:val="fr-FR"/>
              </w:rPr>
              <w:t> :</w:t>
            </w:r>
          </w:p>
          <w:p w14:paraId="7AD31755" w14:textId="57509FFB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s</w:t>
            </w:r>
            <w:r w:rsidR="00F232C8">
              <w:rPr>
                <w:sz w:val="16"/>
                <w:szCs w:val="16"/>
                <w:lang w:val="fr-FR"/>
              </w:rPr>
              <w:t>ervices consultatifs assurés par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 w:rsidR="00F232C8">
              <w:rPr>
                <w:sz w:val="16"/>
                <w:szCs w:val="16"/>
                <w:lang w:val="fr-FR"/>
              </w:rPr>
              <w:t>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évaluation</w:t>
            </w:r>
          </w:p>
          <w:p w14:paraId="0F330594" w14:textId="7B124E0F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>ours de réunion supplémentaires des membres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évaluation</w:t>
            </w:r>
          </w:p>
        </w:tc>
      </w:tr>
      <w:tr w:rsidR="00F232C8" w:rsidRPr="005418AB" w14:paraId="08CAC0F1" w14:textId="77777777" w:rsidTr="00C8346B">
        <w:tc>
          <w:tcPr>
            <w:tcW w:w="1129" w:type="dxa"/>
          </w:tcPr>
          <w:p w14:paraId="7874CB5D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6</w:t>
            </w:r>
          </w:p>
        </w:tc>
        <w:tc>
          <w:tcPr>
            <w:tcW w:w="7932" w:type="dxa"/>
            <w:gridSpan w:val="2"/>
          </w:tcPr>
          <w:p w14:paraId="33AAB9EE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Rapport de suivi auprès du </w:t>
            </w:r>
            <w:r w:rsidRPr="00690982">
              <w:rPr>
                <w:b/>
                <w:bCs/>
                <w:lang w:val="fr-FR"/>
              </w:rPr>
              <w:t>Com</w:t>
            </w:r>
            <w:r>
              <w:rPr>
                <w:b/>
                <w:bCs/>
                <w:lang w:val="fr-FR"/>
              </w:rPr>
              <w:t>ité</w:t>
            </w:r>
          </w:p>
          <w:p w14:paraId="37AB9EC7" w14:textId="35981BB9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Sur la base du rapport de suivi et de la </w:t>
            </w:r>
            <w:r w:rsidRPr="00690982">
              <w:rPr>
                <w:lang w:val="fr-FR"/>
              </w:rPr>
              <w:t>recomm</w:t>
            </w:r>
            <w:r>
              <w:rPr>
                <w:lang w:val="fr-FR"/>
              </w:rPr>
              <w:t>a</w:t>
            </w:r>
            <w:r w:rsidRPr="00690982">
              <w:rPr>
                <w:lang w:val="fr-FR"/>
              </w:rPr>
              <w:t xml:space="preserve">ndation, </w:t>
            </w:r>
            <w:r>
              <w:rPr>
                <w:lang w:val="fr-FR"/>
              </w:rPr>
              <w:t xml:space="preserve">en accordant une attention particulière aux critères </w:t>
            </w:r>
            <w:r w:rsidRPr="00690982">
              <w:rPr>
                <w:lang w:val="fr-FR"/>
              </w:rPr>
              <w:t xml:space="preserve">R.1/U.1 </w:t>
            </w:r>
            <w:r>
              <w:rPr>
                <w:lang w:val="fr-FR"/>
              </w:rPr>
              <w:t>et/ou</w:t>
            </w:r>
            <w:r w:rsidRPr="00690982">
              <w:rPr>
                <w:lang w:val="fr-FR"/>
              </w:rPr>
              <w:t xml:space="preserve"> R.4/U.4, </w:t>
            </w:r>
            <w:r>
              <w:rPr>
                <w:lang w:val="fr-FR"/>
              </w:rPr>
              <w:t>le Comité</w:t>
            </w:r>
            <w:r w:rsidR="0099286B">
              <w:rPr>
                <w:lang w:val="fr-FR"/>
              </w:rPr>
              <w:t xml:space="preserve"> peut</w:t>
            </w:r>
            <w:r>
              <w:rPr>
                <w:lang w:val="fr-FR"/>
              </w:rPr>
              <w:t xml:space="preserve"> </w:t>
            </w:r>
            <w:r w:rsidR="0099286B">
              <w:rPr>
                <w:lang w:val="fr-FR"/>
              </w:rPr>
              <w:t>décider de</w:t>
            </w:r>
            <w:r>
              <w:rPr>
                <w:lang w:val="fr-FR"/>
              </w:rPr>
              <w:t xml:space="preserve"> </w:t>
            </w:r>
            <w:r w:rsidRPr="00690982">
              <w:rPr>
                <w:lang w:val="fr-FR"/>
              </w:rPr>
              <w:t>:</w:t>
            </w:r>
          </w:p>
          <w:p w14:paraId="4DF6FE6D" w14:textId="6633B62B" w:rsidR="00F232C8" w:rsidRPr="00690982" w:rsidRDefault="0099286B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>Maintenir</w:t>
            </w:r>
            <w:r w:rsidR="00F232C8">
              <w:rPr>
                <w:lang w:val="fr-FR"/>
              </w:rPr>
              <w:t xml:space="preserve"> l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élément </w:t>
            </w:r>
            <w:r>
              <w:rPr>
                <w:lang w:val="fr-FR"/>
              </w:rPr>
              <w:t>sur</w:t>
            </w:r>
            <w:r w:rsidR="00F232C8">
              <w:rPr>
                <w:lang w:val="fr-FR"/>
              </w:rPr>
              <w:t xml:space="preserve"> la </w:t>
            </w:r>
            <w:r w:rsidR="00F232C8" w:rsidRPr="00690982">
              <w:rPr>
                <w:lang w:val="fr-FR"/>
              </w:rPr>
              <w:t>List</w:t>
            </w:r>
            <w:r w:rsidR="00F232C8">
              <w:rPr>
                <w:lang w:val="fr-FR"/>
              </w:rPr>
              <w:t>e, s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>il n</w:t>
            </w:r>
            <w:r w:rsidR="00FE6112">
              <w:rPr>
                <w:lang w:val="fr-FR"/>
              </w:rPr>
              <w:t>’</w:t>
            </w:r>
            <w:r w:rsidR="00F232C8">
              <w:rPr>
                <w:lang w:val="fr-FR"/>
              </w:rPr>
              <w:t xml:space="preserve">existe pas de raison suffisante motivant un retrait </w:t>
            </w:r>
            <w:r w:rsidR="00F232C8" w:rsidRPr="00690982">
              <w:rPr>
                <w:lang w:val="fr-FR"/>
              </w:rPr>
              <w:t>(</w:t>
            </w:r>
            <w:r w:rsidR="00F232C8">
              <w:rPr>
                <w:lang w:val="fr-FR"/>
              </w:rPr>
              <w:t xml:space="preserve">fin de la </w:t>
            </w:r>
            <w:r w:rsidR="00F232C8" w:rsidRPr="00690982">
              <w:rPr>
                <w:lang w:val="fr-FR"/>
              </w:rPr>
              <w:t>procédure</w:t>
            </w:r>
            <w:r w:rsidR="00F232C8">
              <w:rPr>
                <w:lang w:val="fr-FR"/>
              </w:rPr>
              <w:t>)</w:t>
            </w:r>
            <w:r w:rsidR="00F232C8" w:rsidRPr="00690982">
              <w:rPr>
                <w:lang w:val="fr-FR"/>
              </w:rPr>
              <w:t>.</w:t>
            </w:r>
          </w:p>
          <w:p w14:paraId="178B760A" w14:textId="1F97CC93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t>Retirer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de la </w:t>
            </w:r>
            <w:r w:rsidRPr="00690982">
              <w:rPr>
                <w:lang w:val="fr-FR"/>
              </w:rPr>
              <w:t>Lis</w:t>
            </w:r>
            <w:r>
              <w:rPr>
                <w:lang w:val="fr-FR"/>
              </w:rPr>
              <w:t>te, s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il existe une raison suffisante motivant un retrait </w:t>
            </w:r>
            <w:r w:rsidRPr="00690982">
              <w:rPr>
                <w:lang w:val="fr-FR"/>
              </w:rPr>
              <w:t>(</w:t>
            </w:r>
            <w:r>
              <w:rPr>
                <w:lang w:val="fr-FR"/>
              </w:rPr>
              <w:t xml:space="preserve">fin de la </w:t>
            </w:r>
            <w:r w:rsidRPr="00690982">
              <w:rPr>
                <w:lang w:val="fr-FR"/>
              </w:rPr>
              <w:t>procédure</w:t>
            </w:r>
            <w:r>
              <w:rPr>
                <w:lang w:val="fr-FR"/>
              </w:rPr>
              <w:t>)</w:t>
            </w:r>
            <w:r w:rsidRPr="00690982">
              <w:rPr>
                <w:lang w:val="fr-FR"/>
              </w:rPr>
              <w:t>.</w:t>
            </w:r>
          </w:p>
          <w:p w14:paraId="5C3C1A53" w14:textId="16F0FBD5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66"/>
              <w:rPr>
                <w:lang w:val="fr-FR"/>
              </w:rPr>
            </w:pPr>
            <w:r>
              <w:rPr>
                <w:lang w:val="fr-FR"/>
              </w:rPr>
              <w:lastRenderedPageBreak/>
              <w:t>C</w:t>
            </w:r>
            <w:r w:rsidRPr="00690982">
              <w:rPr>
                <w:lang w:val="fr-FR"/>
              </w:rPr>
              <w:t>ontinuer</w:t>
            </w:r>
            <w:r>
              <w:rPr>
                <w:lang w:val="fr-FR"/>
              </w:rPr>
              <w:t xml:space="preserve"> à laisser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</w:t>
            </w:r>
            <w:r w:rsidR="00481223">
              <w:rPr>
                <w:lang w:val="fr-FR"/>
              </w:rPr>
              <w:t xml:space="preserve">dans un </w:t>
            </w:r>
            <w:r>
              <w:rPr>
                <w:lang w:val="fr-FR"/>
              </w:rPr>
              <w:t xml:space="preserve">état de « suivi » pendant une </w:t>
            </w:r>
            <w:r w:rsidRPr="00690982">
              <w:rPr>
                <w:lang w:val="fr-FR"/>
              </w:rPr>
              <w:t>p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>riod</w:t>
            </w:r>
            <w:r>
              <w:rPr>
                <w:lang w:val="fr-FR"/>
              </w:rPr>
              <w:t xml:space="preserve">e </w:t>
            </w:r>
            <w:r w:rsidR="0099286B">
              <w:rPr>
                <w:lang w:val="fr-FR"/>
              </w:rPr>
              <w:t>définie,</w:t>
            </w:r>
            <w:r>
              <w:rPr>
                <w:lang w:val="fr-FR"/>
              </w:rPr>
              <w:t xml:space="preserve"> si des problèmes persistent. Le </w:t>
            </w:r>
            <w:r w:rsidRPr="00690982">
              <w:rPr>
                <w:lang w:val="fr-FR"/>
              </w:rPr>
              <w:t>Comi</w:t>
            </w:r>
            <w:r>
              <w:rPr>
                <w:lang w:val="fr-FR"/>
              </w:rPr>
              <w:t>té</w:t>
            </w:r>
            <w:r w:rsidRPr="00690982">
              <w:rPr>
                <w:lang w:val="fr-FR"/>
              </w:rPr>
              <w:t xml:space="preserve"> recomm</w:t>
            </w:r>
            <w:r>
              <w:rPr>
                <w:lang w:val="fr-FR"/>
              </w:rPr>
              <w:t>a</w:t>
            </w:r>
            <w:r w:rsidRPr="00690982">
              <w:rPr>
                <w:lang w:val="fr-FR"/>
              </w:rPr>
              <w:t>nd</w:t>
            </w:r>
            <w:r>
              <w:rPr>
                <w:lang w:val="fr-FR"/>
              </w:rPr>
              <w:t xml:space="preserve">e la mise en œuvre de mesures de réconciliation/de médiation et désigne une </w:t>
            </w:r>
            <w:r w:rsidRPr="00690982">
              <w:rPr>
                <w:lang w:val="fr-FR"/>
              </w:rPr>
              <w:t xml:space="preserve">session </w:t>
            </w:r>
            <w:r>
              <w:rPr>
                <w:lang w:val="fr-FR"/>
              </w:rPr>
              <w:t xml:space="preserve">du Comité </w:t>
            </w:r>
            <w:r w:rsidR="0099286B">
              <w:rPr>
                <w:lang w:val="fr-FR"/>
              </w:rPr>
              <w:t xml:space="preserve">pour </w:t>
            </w:r>
            <w:r>
              <w:rPr>
                <w:lang w:val="fr-FR"/>
              </w:rPr>
              <w:t>laquelle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État partie </w:t>
            </w:r>
            <w:r w:rsidR="0099286B">
              <w:rPr>
                <w:lang w:val="fr-FR"/>
              </w:rPr>
              <w:t xml:space="preserve">devra faire rapport </w:t>
            </w:r>
            <w:r>
              <w:rPr>
                <w:lang w:val="fr-FR"/>
              </w:rPr>
              <w:t>en vue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une décision finale du Comité</w:t>
            </w:r>
            <w:r w:rsidRPr="00690982">
              <w:rPr>
                <w:lang w:val="fr-FR"/>
              </w:rPr>
              <w:t xml:space="preserve">. </w:t>
            </w:r>
          </w:p>
        </w:tc>
      </w:tr>
      <w:tr w:rsidR="00F232C8" w:rsidRPr="005418AB" w14:paraId="00B77001" w14:textId="77777777" w:rsidTr="00C8346B">
        <w:tc>
          <w:tcPr>
            <w:tcW w:w="1129" w:type="dxa"/>
          </w:tcPr>
          <w:p w14:paraId="65588868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7932" w:type="dxa"/>
            <w:gridSpan w:val="2"/>
          </w:tcPr>
          <w:p w14:paraId="1075FA17" w14:textId="3BB5BA1D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99286B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 xml:space="preserve">: </w:t>
            </w:r>
          </w:p>
          <w:p w14:paraId="190804F2" w14:textId="7D7EF136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 :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63B2816B" w14:textId="0E22E2C5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 xml:space="preserve">ours de réunion supplémentaires </w:t>
            </w:r>
            <w:r w:rsidR="0008673A">
              <w:rPr>
                <w:sz w:val="16"/>
                <w:szCs w:val="16"/>
                <w:lang w:val="fr-FR"/>
              </w:rPr>
              <w:t>nécessaires</w:t>
            </w:r>
            <w:r w:rsidR="00F232C8">
              <w:rPr>
                <w:sz w:val="16"/>
                <w:szCs w:val="16"/>
                <w:lang w:val="fr-FR"/>
              </w:rPr>
              <w:t xml:space="preserve"> à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examen de points supplémentaires ajoutés à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ordre du jour</w:t>
            </w:r>
          </w:p>
          <w:p w14:paraId="521BC6FA" w14:textId="42BF908E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L’é</w:t>
            </w:r>
            <w:r w:rsidR="0008673A">
              <w:rPr>
                <w:sz w:val="16"/>
                <w:szCs w:val="16"/>
                <w:lang w:val="fr-FR"/>
              </w:rPr>
              <w:t>laboration</w:t>
            </w:r>
            <w:r w:rsidR="00F232C8">
              <w:rPr>
                <w:sz w:val="16"/>
                <w:szCs w:val="16"/>
                <w:lang w:val="fr-FR"/>
              </w:rPr>
              <w:t xml:space="preserve"> de document</w:t>
            </w:r>
            <w:r w:rsidR="0008673A">
              <w:rPr>
                <w:sz w:val="16"/>
                <w:szCs w:val="16"/>
                <w:lang w:val="fr-FR"/>
              </w:rPr>
              <w:t>s</w:t>
            </w:r>
            <w:r w:rsidR="00F232C8">
              <w:rPr>
                <w:sz w:val="16"/>
                <w:szCs w:val="16"/>
                <w:lang w:val="fr-FR"/>
              </w:rPr>
              <w:t xml:space="preserve"> de réunion supplémentaires</w:t>
            </w:r>
          </w:p>
          <w:p w14:paraId="0EAD4E3F" w14:textId="0A3210B6" w:rsidR="00F232C8" w:rsidRPr="00690982" w:rsidRDefault="0099286B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>essources financières</w:t>
            </w:r>
            <w:r>
              <w:rPr>
                <w:sz w:val="16"/>
                <w:szCs w:val="16"/>
                <w:lang w:val="fr-FR"/>
              </w:rPr>
              <w:t xml:space="preserve"> supplémentaires pour</w:t>
            </w:r>
            <w:r w:rsidR="00F232C8">
              <w:rPr>
                <w:sz w:val="16"/>
                <w:szCs w:val="16"/>
                <w:lang w:val="fr-FR"/>
              </w:rPr>
              <w:t xml:space="preserve"> :</w:t>
            </w:r>
          </w:p>
          <w:p w14:paraId="299F902B" w14:textId="73884882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</w:t>
            </w:r>
            <w:r w:rsidR="00F232C8">
              <w:rPr>
                <w:sz w:val="16"/>
                <w:szCs w:val="16"/>
                <w:lang w:val="fr-FR"/>
              </w:rPr>
              <w:t>oûts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 w:rsidRPr="00690982">
              <w:rPr>
                <w:sz w:val="16"/>
                <w:szCs w:val="16"/>
                <w:lang w:val="fr-FR"/>
              </w:rPr>
              <w:t>organi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ation </w:t>
            </w:r>
            <w:r w:rsidR="00F232C8">
              <w:rPr>
                <w:sz w:val="16"/>
                <w:szCs w:val="16"/>
                <w:lang w:val="fr-FR"/>
              </w:rPr>
              <w:t xml:space="preserve">de la réunion </w:t>
            </w:r>
            <w:r w:rsidR="00F232C8" w:rsidRPr="00690982">
              <w:rPr>
                <w:sz w:val="16"/>
                <w:szCs w:val="16"/>
                <w:lang w:val="fr-FR"/>
              </w:rPr>
              <w:t>(interpr</w:t>
            </w:r>
            <w:r w:rsidR="00F232C8">
              <w:rPr>
                <w:sz w:val="16"/>
                <w:szCs w:val="16"/>
                <w:lang w:val="fr-FR"/>
              </w:rPr>
              <w:t>é</w:t>
            </w:r>
            <w:r w:rsidR="00F232C8" w:rsidRPr="00690982">
              <w:rPr>
                <w:sz w:val="16"/>
                <w:szCs w:val="16"/>
                <w:lang w:val="fr-FR"/>
              </w:rPr>
              <w:t>tation, technici</w:t>
            </w:r>
            <w:r w:rsidR="00F232C8">
              <w:rPr>
                <w:sz w:val="16"/>
                <w:szCs w:val="16"/>
                <w:lang w:val="fr-FR"/>
              </w:rPr>
              <w:t>e</w:t>
            </w:r>
            <w:r w:rsidR="00F232C8" w:rsidRPr="00690982">
              <w:rPr>
                <w:sz w:val="16"/>
                <w:szCs w:val="16"/>
                <w:lang w:val="fr-FR"/>
              </w:rPr>
              <w:t>ns</w:t>
            </w:r>
            <w:r w:rsidR="00F232C8">
              <w:rPr>
                <w:sz w:val="16"/>
                <w:szCs w:val="16"/>
                <w:lang w:val="fr-FR"/>
              </w:rPr>
              <w:t>,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etc</w:t>
            </w:r>
            <w:r w:rsidR="00F232C8">
              <w:rPr>
                <w:sz w:val="16"/>
                <w:szCs w:val="16"/>
                <w:lang w:val="fr-FR"/>
              </w:rPr>
              <w:t>.</w:t>
            </w:r>
            <w:r w:rsidR="00F232C8" w:rsidRPr="00690982">
              <w:rPr>
                <w:sz w:val="16"/>
                <w:szCs w:val="16"/>
                <w:lang w:val="fr-FR"/>
              </w:rPr>
              <w:t>)</w:t>
            </w:r>
            <w:r w:rsidR="00F232C8">
              <w:rPr>
                <w:sz w:val="16"/>
                <w:szCs w:val="16"/>
                <w:lang w:val="fr-FR"/>
              </w:rPr>
              <w:t xml:space="preserve"> correspondant aux jours de réunion supplémentaires </w:t>
            </w:r>
          </w:p>
          <w:p w14:paraId="696A8DD2" w14:textId="33A6C39C" w:rsidR="00F232C8" w:rsidRPr="00690982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t</w:t>
            </w:r>
            <w:r w:rsidR="00F232C8">
              <w:rPr>
                <w:sz w:val="16"/>
                <w:szCs w:val="16"/>
                <w:lang w:val="fr-FR"/>
              </w:rPr>
              <w:t xml:space="preserve">raduction des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documents </w:t>
            </w:r>
            <w:r w:rsidR="00F232C8">
              <w:rPr>
                <w:sz w:val="16"/>
                <w:szCs w:val="16"/>
                <w:lang w:val="fr-FR"/>
              </w:rPr>
              <w:t>de la réunion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37CFA714" w14:textId="1B179DE8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du Fonds du </w:t>
            </w:r>
            <w:r w:rsidRPr="0043162A">
              <w:rPr>
                <w:sz w:val="16"/>
                <w:szCs w:val="16"/>
                <w:lang w:val="fr-FR"/>
              </w:rPr>
              <w:t>patrimoine culturel immatériel</w:t>
            </w:r>
            <w:r w:rsidRPr="00690982">
              <w:rPr>
                <w:sz w:val="16"/>
                <w:szCs w:val="16"/>
                <w:lang w:val="fr-FR"/>
              </w:rPr>
              <w:t xml:space="preserve">) </w:t>
            </w:r>
            <w:r>
              <w:rPr>
                <w:sz w:val="16"/>
                <w:szCs w:val="16"/>
                <w:lang w:val="fr-FR"/>
              </w:rPr>
              <w:t xml:space="preserve">pour 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3449726C" w14:textId="15839BA7" w:rsidR="00F232C8" w:rsidRPr="00690982" w:rsidDel="008679F6" w:rsidRDefault="0099286B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 xml:space="preserve">ours de réunion supplémentaires des membres du Comité </w:t>
            </w:r>
          </w:p>
        </w:tc>
      </w:tr>
    </w:tbl>
    <w:p w14:paraId="185096E1" w14:textId="77777777" w:rsidR="00F232C8" w:rsidRPr="00690982" w:rsidRDefault="00F232C8" w:rsidP="00F232C8">
      <w:pPr>
        <w:pStyle w:val="1GAPara"/>
        <w:numPr>
          <w:ilvl w:val="0"/>
          <w:numId w:val="0"/>
        </w:numPr>
        <w:rPr>
          <w:lang w:val="fr-FR"/>
        </w:rPr>
      </w:pPr>
    </w:p>
    <w:p w14:paraId="66B8F846" w14:textId="78DCBF7C" w:rsidR="00F232C8" w:rsidRPr="00690982" w:rsidRDefault="00F232C8" w:rsidP="00F232C8">
      <w:pPr>
        <w:pStyle w:val="1GAPara"/>
        <w:numPr>
          <w:ilvl w:val="0"/>
          <w:numId w:val="7"/>
        </w:numPr>
        <w:spacing w:before="240"/>
        <w:ind w:left="567" w:hanging="567"/>
        <w:rPr>
          <w:b/>
          <w:bCs/>
          <w:lang w:val="fr-FR"/>
        </w:rPr>
      </w:pPr>
      <w:r>
        <w:rPr>
          <w:b/>
          <w:bCs/>
          <w:lang w:val="fr-FR"/>
        </w:rPr>
        <w:t>Procédure simplifiée en vue d</w:t>
      </w:r>
      <w:r w:rsidR="00FE6112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une </w:t>
      </w:r>
      <w:r w:rsidRPr="00690982">
        <w:rPr>
          <w:b/>
          <w:bCs/>
          <w:lang w:val="fr-FR"/>
        </w:rPr>
        <w:t xml:space="preserve">inscription </w:t>
      </w:r>
      <w:r w:rsidR="00FC4840">
        <w:rPr>
          <w:b/>
          <w:bCs/>
          <w:lang w:val="fr-FR"/>
        </w:rPr>
        <w:t>élargie</w:t>
      </w:r>
    </w:p>
    <w:p w14:paraId="61198628" w14:textId="78D54682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La révision des </w:t>
      </w:r>
      <w:r w:rsidRPr="00690982">
        <w:rPr>
          <w:lang w:val="fr-FR"/>
        </w:rPr>
        <w:t xml:space="preserve">procédures </w:t>
      </w:r>
      <w:r w:rsidR="00CF0560">
        <w:rPr>
          <w:lang w:val="fr-FR"/>
        </w:rPr>
        <w:t xml:space="preserve">pour une </w:t>
      </w:r>
      <w:r w:rsidRPr="00690982">
        <w:rPr>
          <w:lang w:val="fr-FR"/>
        </w:rPr>
        <w:t xml:space="preserve">inscription </w:t>
      </w:r>
      <w:r w:rsidR="00CF0560">
        <w:rPr>
          <w:lang w:val="fr-FR"/>
        </w:rPr>
        <w:t xml:space="preserve">élargie </w:t>
      </w:r>
      <w:r>
        <w:rPr>
          <w:lang w:val="fr-FR"/>
        </w:rPr>
        <w:t xml:space="preserve">a été </w:t>
      </w:r>
      <w:r w:rsidR="00CF0560">
        <w:rPr>
          <w:lang w:val="fr-FR"/>
        </w:rPr>
        <w:t>l’une des questions</w:t>
      </w:r>
      <w:r>
        <w:rPr>
          <w:lang w:val="fr-FR"/>
        </w:rPr>
        <w:t xml:space="preserve"> prioritaires débattu</w:t>
      </w:r>
      <w:r w:rsidR="00CF0560">
        <w:rPr>
          <w:lang w:val="fr-FR"/>
        </w:rPr>
        <w:t>e</w:t>
      </w:r>
      <w:r>
        <w:rPr>
          <w:lang w:val="fr-FR"/>
        </w:rPr>
        <w:t xml:space="preserve">s lors de la </w:t>
      </w:r>
      <w:r w:rsidRPr="00690982">
        <w:rPr>
          <w:lang w:val="fr-FR"/>
        </w:rPr>
        <w:t>Part</w:t>
      </w:r>
      <w:r>
        <w:rPr>
          <w:lang w:val="fr-FR"/>
        </w:rPr>
        <w:t>ie</w:t>
      </w:r>
      <w:r w:rsidRPr="00690982">
        <w:rPr>
          <w:lang w:val="fr-FR"/>
        </w:rPr>
        <w:t xml:space="preserve"> I </w:t>
      </w:r>
      <w:r>
        <w:rPr>
          <w:lang w:val="fr-FR"/>
        </w:rPr>
        <w:t>de la réunion du groupe de travail</w:t>
      </w:r>
      <w:r w:rsidRPr="00690982">
        <w:rPr>
          <w:lang w:val="fr-FR"/>
        </w:rPr>
        <w:t xml:space="preserve">. </w:t>
      </w:r>
      <w:r>
        <w:rPr>
          <w:lang w:val="fr-FR"/>
        </w:rPr>
        <w:t>Le système actuel tel qu</w:t>
      </w:r>
      <w:r w:rsidR="00FE6112">
        <w:rPr>
          <w:lang w:val="fr-FR"/>
        </w:rPr>
        <w:t>’</w:t>
      </w:r>
      <w:r>
        <w:rPr>
          <w:lang w:val="fr-FR"/>
        </w:rPr>
        <w:t xml:space="preserve">il est défini dans le sous-chapitre </w:t>
      </w:r>
      <w:r w:rsidRPr="00690982">
        <w:rPr>
          <w:lang w:val="fr-FR"/>
        </w:rPr>
        <w:t xml:space="preserve">I.6 </w:t>
      </w:r>
      <w:r>
        <w:rPr>
          <w:lang w:val="fr-FR"/>
        </w:rPr>
        <w:t xml:space="preserve">des </w:t>
      </w:r>
      <w:r w:rsidRPr="00690982">
        <w:rPr>
          <w:lang w:val="fr-FR"/>
        </w:rPr>
        <w:t>Directives</w:t>
      </w:r>
      <w:r>
        <w:rPr>
          <w:lang w:val="fr-FR"/>
        </w:rPr>
        <w:t xml:space="preserve"> opérationnelle</w:t>
      </w:r>
      <w:r w:rsidR="00AA1D51">
        <w:rPr>
          <w:lang w:val="fr-FR"/>
        </w:rPr>
        <w:t>s</w:t>
      </w:r>
      <w:r>
        <w:rPr>
          <w:lang w:val="fr-FR"/>
        </w:rPr>
        <w:t xml:space="preserve">, exigeant que tous les États parties </w:t>
      </w:r>
      <w:r w:rsidRPr="00690982">
        <w:rPr>
          <w:lang w:val="fr-FR"/>
        </w:rPr>
        <w:t>participa</w:t>
      </w:r>
      <w:r>
        <w:rPr>
          <w:lang w:val="fr-FR"/>
        </w:rPr>
        <w:t xml:space="preserve">nt à la </w:t>
      </w:r>
      <w:r w:rsidR="00A83049">
        <w:rPr>
          <w:lang w:val="fr-FR"/>
        </w:rPr>
        <w:t>candidature</w:t>
      </w:r>
      <w:r w:rsidRPr="00690982">
        <w:rPr>
          <w:lang w:val="fr-FR"/>
        </w:rPr>
        <w:t xml:space="preserve"> (</w:t>
      </w:r>
      <w:r>
        <w:rPr>
          <w:lang w:val="fr-FR"/>
        </w:rPr>
        <w:t>qu</w:t>
      </w:r>
      <w:r w:rsidR="00FE6112">
        <w:rPr>
          <w:lang w:val="fr-FR"/>
        </w:rPr>
        <w:t>’</w:t>
      </w:r>
      <w:r>
        <w:rPr>
          <w:lang w:val="fr-FR"/>
        </w:rPr>
        <w:t>il s</w:t>
      </w:r>
      <w:r w:rsidR="00FE6112">
        <w:rPr>
          <w:lang w:val="fr-FR"/>
        </w:rPr>
        <w:t>’</w:t>
      </w:r>
      <w:r>
        <w:rPr>
          <w:lang w:val="fr-FR"/>
        </w:rPr>
        <w:t>agisse d</w:t>
      </w:r>
      <w:r w:rsidR="00CF0560">
        <w:rPr>
          <w:lang w:val="fr-FR"/>
        </w:rPr>
        <w:t xml:space="preserve">’États rejoignant une candidature ou d’États </w:t>
      </w:r>
      <w:r w:rsidR="00481223">
        <w:rPr>
          <w:lang w:val="fr-FR"/>
        </w:rPr>
        <w:t xml:space="preserve">étant déjà impliqués dans </w:t>
      </w:r>
      <w:r w:rsidR="00CF0560">
        <w:rPr>
          <w:lang w:val="fr-FR"/>
        </w:rPr>
        <w:t>la cand</w:t>
      </w:r>
      <w:r w:rsidR="007806BB">
        <w:rPr>
          <w:lang w:val="fr-FR"/>
        </w:rPr>
        <w:t>idature</w:t>
      </w:r>
      <w:r>
        <w:rPr>
          <w:lang w:val="fr-FR"/>
        </w:rPr>
        <w:t xml:space="preserve"> existante</w:t>
      </w:r>
      <w:r w:rsidRPr="00690982">
        <w:rPr>
          <w:lang w:val="fr-FR"/>
        </w:rPr>
        <w:t xml:space="preserve">) </w:t>
      </w:r>
      <w:r>
        <w:rPr>
          <w:lang w:val="fr-FR"/>
        </w:rPr>
        <w:t xml:space="preserve">doivent prendre part à la </w:t>
      </w:r>
      <w:r w:rsidRPr="00690982">
        <w:rPr>
          <w:lang w:val="fr-FR"/>
        </w:rPr>
        <w:t>pr</w:t>
      </w:r>
      <w:r>
        <w:rPr>
          <w:lang w:val="fr-FR"/>
        </w:rPr>
        <w:t>é</w:t>
      </w:r>
      <w:r w:rsidRPr="00690982">
        <w:rPr>
          <w:lang w:val="fr-FR"/>
        </w:rPr>
        <w:t xml:space="preserve">paration </w:t>
      </w:r>
      <w:r>
        <w:rPr>
          <w:lang w:val="fr-FR"/>
        </w:rPr>
        <w:t>d</w:t>
      </w:r>
      <w:r w:rsidR="00FE6112">
        <w:rPr>
          <w:lang w:val="fr-FR"/>
        </w:rPr>
        <w:t>’</w:t>
      </w:r>
      <w:r>
        <w:rPr>
          <w:lang w:val="fr-FR"/>
        </w:rPr>
        <w:t xml:space="preserve">une nouvelle </w:t>
      </w:r>
      <w:r w:rsidR="00A83049">
        <w:rPr>
          <w:lang w:val="fr-FR"/>
        </w:rPr>
        <w:t>candidature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et passer par le processus de </w:t>
      </w:r>
      <w:r w:rsidR="00A83049">
        <w:rPr>
          <w:lang w:val="fr-FR"/>
        </w:rPr>
        <w:t>candidature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de 21 mois, a été considérée comme trop lourd et susceptible de </w:t>
      </w:r>
      <w:r w:rsidRPr="00690982">
        <w:rPr>
          <w:lang w:val="fr-FR"/>
        </w:rPr>
        <w:t>dissuade</w:t>
      </w:r>
      <w:r>
        <w:rPr>
          <w:lang w:val="fr-FR"/>
        </w:rPr>
        <w:t>r les États p</w:t>
      </w:r>
      <w:r w:rsidRPr="00690982">
        <w:rPr>
          <w:lang w:val="fr-FR"/>
        </w:rPr>
        <w:t xml:space="preserve">arties </w:t>
      </w:r>
      <w:r>
        <w:rPr>
          <w:lang w:val="fr-FR"/>
        </w:rPr>
        <w:t xml:space="preserve">de poursuivre une </w:t>
      </w:r>
      <w:r w:rsidRPr="00690982">
        <w:rPr>
          <w:lang w:val="fr-FR"/>
        </w:rPr>
        <w:t>coopération international</w:t>
      </w:r>
      <w:r>
        <w:rPr>
          <w:lang w:val="fr-FR"/>
        </w:rPr>
        <w:t xml:space="preserve">e </w:t>
      </w:r>
      <w:r w:rsidR="00CF0560">
        <w:rPr>
          <w:lang w:val="fr-FR"/>
        </w:rPr>
        <w:t>à travers</w:t>
      </w:r>
      <w:r>
        <w:rPr>
          <w:lang w:val="fr-FR"/>
        </w:rPr>
        <w:t xml:space="preserve"> des </w:t>
      </w:r>
      <w:r w:rsidR="00F13A98">
        <w:rPr>
          <w:lang w:val="fr-FR"/>
        </w:rPr>
        <w:t>dossiers</w:t>
      </w:r>
      <w:r>
        <w:rPr>
          <w:lang w:val="fr-FR"/>
        </w:rPr>
        <w:t xml:space="preserve"> </w:t>
      </w:r>
      <w:r w:rsidRPr="00690982">
        <w:rPr>
          <w:lang w:val="fr-FR"/>
        </w:rPr>
        <w:t>multinationa</w:t>
      </w:r>
      <w:r>
        <w:rPr>
          <w:lang w:val="fr-FR"/>
        </w:rPr>
        <w:t>ux</w:t>
      </w:r>
      <w:r w:rsidRPr="00690982">
        <w:rPr>
          <w:lang w:val="fr-FR"/>
        </w:rPr>
        <w:t xml:space="preserve">. </w:t>
      </w:r>
      <w:r w:rsidR="00CF0560">
        <w:rPr>
          <w:lang w:val="fr-FR"/>
        </w:rPr>
        <w:t>Par exemple, d</w:t>
      </w:r>
      <w:r>
        <w:rPr>
          <w:lang w:val="fr-FR"/>
        </w:rPr>
        <w:t xml:space="preserve">ans le cadre du cycle de </w:t>
      </w:r>
      <w:r w:rsidRPr="00690982">
        <w:rPr>
          <w:lang w:val="fr-FR"/>
        </w:rPr>
        <w:t>2021</w:t>
      </w:r>
      <w:r>
        <w:rPr>
          <w:lang w:val="fr-FR"/>
        </w:rPr>
        <w:t xml:space="preserve">, le </w:t>
      </w:r>
      <w:r w:rsidRPr="00690982">
        <w:rPr>
          <w:lang w:val="fr-FR"/>
        </w:rPr>
        <w:t xml:space="preserve">Comité </w:t>
      </w:r>
      <w:r w:rsidR="00CF0560">
        <w:rPr>
          <w:lang w:val="fr-FR"/>
        </w:rPr>
        <w:t>examinera</w:t>
      </w:r>
      <w:r>
        <w:rPr>
          <w:lang w:val="fr-FR"/>
        </w:rPr>
        <w:t xml:space="preserve"> la troisième </w:t>
      </w:r>
      <w:r w:rsidRPr="00690982">
        <w:rPr>
          <w:lang w:val="fr-FR"/>
        </w:rPr>
        <w:t xml:space="preserve">extension </w:t>
      </w:r>
      <w:r>
        <w:rPr>
          <w:lang w:val="fr-FR"/>
        </w:rPr>
        <w:t>d</w:t>
      </w:r>
      <w:r w:rsidR="00FE6112">
        <w:rPr>
          <w:lang w:val="fr-FR"/>
        </w:rPr>
        <w:t>’</w:t>
      </w:r>
      <w:r>
        <w:rPr>
          <w:lang w:val="fr-FR"/>
        </w:rPr>
        <w:t xml:space="preserve">un élément impliquant </w:t>
      </w:r>
      <w:r w:rsidRPr="00690982">
        <w:rPr>
          <w:lang w:val="fr-FR"/>
        </w:rPr>
        <w:t xml:space="preserve">24 </w:t>
      </w:r>
      <w:r>
        <w:rPr>
          <w:lang w:val="fr-FR"/>
        </w:rPr>
        <w:t xml:space="preserve">États parties. </w:t>
      </w:r>
      <w:r w:rsidR="00CF0560">
        <w:rPr>
          <w:lang w:val="fr-FR"/>
        </w:rPr>
        <w:t>Pour les</w:t>
      </w:r>
      <w:r>
        <w:rPr>
          <w:lang w:val="fr-FR"/>
        </w:rPr>
        <w:t xml:space="preserve"> onze États impliqués dans l</w:t>
      </w:r>
      <w:r w:rsidR="00FE6112">
        <w:rPr>
          <w:lang w:val="fr-FR"/>
        </w:rPr>
        <w:t>’</w:t>
      </w:r>
      <w:r w:rsidRPr="00690982">
        <w:rPr>
          <w:lang w:val="fr-FR"/>
        </w:rPr>
        <w:t xml:space="preserve">inscription </w:t>
      </w:r>
      <w:r>
        <w:rPr>
          <w:lang w:val="fr-FR"/>
        </w:rPr>
        <w:t>d</w:t>
      </w:r>
      <w:r w:rsidR="00FE6112">
        <w:rPr>
          <w:lang w:val="fr-FR"/>
        </w:rPr>
        <w:t>’</w:t>
      </w:r>
      <w:r>
        <w:rPr>
          <w:lang w:val="fr-FR"/>
        </w:rPr>
        <w:t xml:space="preserve">origine en </w:t>
      </w:r>
      <w:r w:rsidRPr="00690982">
        <w:rPr>
          <w:lang w:val="fr-FR"/>
        </w:rPr>
        <w:t>2010</w:t>
      </w:r>
      <w:r>
        <w:rPr>
          <w:lang w:val="fr-FR"/>
        </w:rPr>
        <w:t xml:space="preserve">, </w:t>
      </w:r>
      <w:r w:rsidR="00CF0560">
        <w:rPr>
          <w:lang w:val="fr-FR"/>
        </w:rPr>
        <w:t>il</w:t>
      </w:r>
      <w:r>
        <w:rPr>
          <w:lang w:val="fr-FR"/>
        </w:rPr>
        <w:t xml:space="preserve"> s</w:t>
      </w:r>
      <w:r w:rsidR="00FE6112">
        <w:rPr>
          <w:lang w:val="fr-FR"/>
        </w:rPr>
        <w:t>’</w:t>
      </w:r>
      <w:r>
        <w:rPr>
          <w:lang w:val="fr-FR"/>
        </w:rPr>
        <w:t>agi</w:t>
      </w:r>
      <w:r w:rsidR="00CF0560">
        <w:rPr>
          <w:lang w:val="fr-FR"/>
        </w:rPr>
        <w:t>ra</w:t>
      </w:r>
      <w:r>
        <w:rPr>
          <w:lang w:val="fr-FR"/>
        </w:rPr>
        <w:t xml:space="preserve"> de la quatrième fois qu</w:t>
      </w:r>
      <w:r w:rsidR="00FE6112">
        <w:rPr>
          <w:lang w:val="fr-FR"/>
        </w:rPr>
        <w:t>’</w:t>
      </w:r>
      <w:r>
        <w:rPr>
          <w:lang w:val="fr-FR"/>
        </w:rPr>
        <w:t xml:space="preserve">ils soumettent </w:t>
      </w:r>
      <w:r w:rsidR="00CF0560">
        <w:rPr>
          <w:lang w:val="fr-FR"/>
        </w:rPr>
        <w:t>une</w:t>
      </w:r>
      <w:r>
        <w:rPr>
          <w:lang w:val="fr-FR"/>
        </w:rPr>
        <w:t xml:space="preserve"> </w:t>
      </w:r>
      <w:r w:rsidR="00A83049">
        <w:rPr>
          <w:lang w:val="fr-FR"/>
        </w:rPr>
        <w:t>candidature</w:t>
      </w:r>
      <w:r w:rsidR="00CF0560">
        <w:rPr>
          <w:lang w:val="fr-FR"/>
        </w:rPr>
        <w:t xml:space="preserve"> pour cet élément</w:t>
      </w:r>
      <w:r w:rsidRPr="00690982">
        <w:rPr>
          <w:lang w:val="fr-FR"/>
        </w:rPr>
        <w:t>.</w:t>
      </w:r>
    </w:p>
    <w:p w14:paraId="2B3CA445" w14:textId="5C8B9922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La </w:t>
      </w:r>
      <w:r w:rsidRPr="00690982">
        <w:rPr>
          <w:lang w:val="fr-FR"/>
        </w:rPr>
        <w:t>Part</w:t>
      </w:r>
      <w:r>
        <w:rPr>
          <w:lang w:val="fr-FR"/>
        </w:rPr>
        <w:t>ie</w:t>
      </w:r>
      <w:r w:rsidRPr="00690982">
        <w:rPr>
          <w:lang w:val="fr-FR"/>
        </w:rPr>
        <w:t xml:space="preserve"> I </w:t>
      </w:r>
      <w:r>
        <w:rPr>
          <w:lang w:val="fr-FR"/>
        </w:rPr>
        <w:t xml:space="preserve">du groupe de travail a par conséquent décidé de recommander la </w:t>
      </w:r>
      <w:r w:rsidRPr="00690982">
        <w:rPr>
          <w:lang w:val="fr-FR"/>
        </w:rPr>
        <w:t xml:space="preserve">simplification </w:t>
      </w:r>
      <w:r>
        <w:rPr>
          <w:lang w:val="fr-FR"/>
        </w:rPr>
        <w:t xml:space="preserve">des </w:t>
      </w:r>
      <w:r w:rsidRPr="00690982">
        <w:rPr>
          <w:lang w:val="fr-FR"/>
        </w:rPr>
        <w:t>proc</w:t>
      </w:r>
      <w:r>
        <w:rPr>
          <w:lang w:val="fr-FR"/>
        </w:rPr>
        <w:t>é</w:t>
      </w:r>
      <w:r w:rsidRPr="00690982">
        <w:rPr>
          <w:lang w:val="fr-FR"/>
        </w:rPr>
        <w:t xml:space="preserve">dures. </w:t>
      </w:r>
      <w:r>
        <w:rPr>
          <w:lang w:val="fr-FR"/>
        </w:rPr>
        <w:t>L</w:t>
      </w:r>
      <w:r w:rsidR="00FE6112">
        <w:rPr>
          <w:lang w:val="fr-FR"/>
        </w:rPr>
        <w:t>’</w:t>
      </w:r>
      <w:r w:rsidR="001A0F01">
        <w:rPr>
          <w:lang w:val="fr-FR"/>
        </w:rPr>
        <w:t>objectif</w:t>
      </w:r>
      <w:r>
        <w:rPr>
          <w:lang w:val="fr-FR"/>
        </w:rPr>
        <w:t xml:space="preserve"> principal consiste à éviter aux États parties déjà inclus le travail fastidieux consistant à préparer un dossier de </w:t>
      </w:r>
      <w:r w:rsidR="00A83049">
        <w:rPr>
          <w:lang w:val="fr-FR"/>
        </w:rPr>
        <w:t>candidature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complet à chaque fois que la </w:t>
      </w:r>
      <w:r w:rsidR="00A83049">
        <w:rPr>
          <w:lang w:val="fr-FR"/>
        </w:rPr>
        <w:t>candidature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est </w:t>
      </w:r>
      <w:r w:rsidR="001A0F01">
        <w:rPr>
          <w:lang w:val="fr-FR"/>
        </w:rPr>
        <w:t>élargie</w:t>
      </w:r>
      <w:r>
        <w:rPr>
          <w:lang w:val="fr-FR"/>
        </w:rPr>
        <w:t xml:space="preserve"> à des États supplémentaires</w:t>
      </w:r>
      <w:r w:rsidRPr="00690982">
        <w:rPr>
          <w:lang w:val="fr-FR"/>
        </w:rPr>
        <w:t xml:space="preserve">. </w:t>
      </w:r>
      <w:r>
        <w:rPr>
          <w:lang w:val="fr-FR"/>
        </w:rPr>
        <w:t>En d</w:t>
      </w:r>
      <w:r w:rsidR="00FE6112">
        <w:rPr>
          <w:lang w:val="fr-FR"/>
        </w:rPr>
        <w:t>’</w:t>
      </w:r>
      <w:r>
        <w:rPr>
          <w:lang w:val="fr-FR"/>
        </w:rPr>
        <w:t>autres termes, le système peut être</w:t>
      </w:r>
      <w:r w:rsidR="00097B39">
        <w:rPr>
          <w:lang w:val="fr-FR"/>
        </w:rPr>
        <w:t xml:space="preserve"> </w:t>
      </w:r>
      <w:r w:rsidR="001A0F01">
        <w:rPr>
          <w:lang w:val="fr-FR"/>
        </w:rPr>
        <w:t xml:space="preserve">modifié </w:t>
      </w:r>
      <w:proofErr w:type="gramStart"/>
      <w:r>
        <w:rPr>
          <w:lang w:val="fr-FR"/>
        </w:rPr>
        <w:t xml:space="preserve">de façon à </w:t>
      </w:r>
      <w:r w:rsidR="00AA1D51">
        <w:rPr>
          <w:lang w:val="fr-FR"/>
        </w:rPr>
        <w:t>ce</w:t>
      </w:r>
      <w:proofErr w:type="gramEnd"/>
      <w:r w:rsidR="00AA1D51">
        <w:rPr>
          <w:lang w:val="fr-FR"/>
        </w:rPr>
        <w:t xml:space="preserve"> que seuls les </w:t>
      </w:r>
      <w:r>
        <w:rPr>
          <w:lang w:val="fr-FR"/>
        </w:rPr>
        <w:t xml:space="preserve">États </w:t>
      </w:r>
      <w:r w:rsidR="001A0F01">
        <w:rPr>
          <w:lang w:val="fr-FR"/>
        </w:rPr>
        <w:t xml:space="preserve">parties rejoignant une inscription </w:t>
      </w:r>
      <w:r w:rsidR="00AA1D51">
        <w:rPr>
          <w:lang w:val="fr-FR"/>
        </w:rPr>
        <w:t>aient l</w:t>
      </w:r>
      <w:r w:rsidR="00FE6112">
        <w:rPr>
          <w:lang w:val="fr-FR"/>
        </w:rPr>
        <w:t>’</w:t>
      </w:r>
      <w:r w:rsidR="00AA1D51">
        <w:rPr>
          <w:lang w:val="fr-FR"/>
        </w:rPr>
        <w:t xml:space="preserve">obligation de </w:t>
      </w:r>
      <w:r>
        <w:rPr>
          <w:lang w:val="fr-FR"/>
        </w:rPr>
        <w:t>prouver que l</w:t>
      </w:r>
      <w:r w:rsidR="00FE6112">
        <w:rPr>
          <w:lang w:val="fr-FR"/>
        </w:rPr>
        <w:t>’</w:t>
      </w:r>
      <w:r>
        <w:rPr>
          <w:lang w:val="fr-FR"/>
        </w:rPr>
        <w:t>élément tel qu</w:t>
      </w:r>
      <w:r w:rsidR="00FE6112">
        <w:rPr>
          <w:lang w:val="fr-FR"/>
        </w:rPr>
        <w:t>’</w:t>
      </w:r>
      <w:r>
        <w:rPr>
          <w:lang w:val="fr-FR"/>
        </w:rPr>
        <w:t xml:space="preserve">il est pratiqué sur leur </w:t>
      </w:r>
      <w:r w:rsidRPr="00690982">
        <w:rPr>
          <w:lang w:val="fr-FR"/>
        </w:rPr>
        <w:t>territo</w:t>
      </w:r>
      <w:r>
        <w:rPr>
          <w:lang w:val="fr-FR"/>
        </w:rPr>
        <w:t>ire répond aux critères d</w:t>
      </w:r>
      <w:r w:rsidR="00FE6112">
        <w:rPr>
          <w:lang w:val="fr-FR"/>
        </w:rPr>
        <w:t>’</w:t>
      </w:r>
      <w:r w:rsidRPr="00690982">
        <w:rPr>
          <w:lang w:val="fr-FR"/>
        </w:rPr>
        <w:t xml:space="preserve">inscription. </w:t>
      </w:r>
      <w:r>
        <w:rPr>
          <w:lang w:val="fr-FR"/>
        </w:rPr>
        <w:t xml:space="preserve">En même temps, le groupe de travail </w:t>
      </w:r>
      <w:r w:rsidR="001A0F01">
        <w:rPr>
          <w:lang w:val="fr-FR"/>
        </w:rPr>
        <w:t>a mis</w:t>
      </w:r>
      <w:r>
        <w:rPr>
          <w:lang w:val="fr-FR"/>
        </w:rPr>
        <w:t xml:space="preserve"> en garde contre une </w:t>
      </w:r>
      <w:r w:rsidRPr="00690982">
        <w:rPr>
          <w:rFonts w:eastAsia="Arial"/>
          <w:lang w:val="fr-FR" w:bidi="en-US"/>
        </w:rPr>
        <w:t xml:space="preserve">simplification excessive </w:t>
      </w:r>
      <w:r>
        <w:rPr>
          <w:rFonts w:eastAsia="Arial"/>
          <w:lang w:val="fr-FR" w:bidi="en-US"/>
        </w:rPr>
        <w:t xml:space="preserve">des critères et de la procédure </w:t>
      </w:r>
      <w:r w:rsidR="001A0F01">
        <w:rPr>
          <w:rFonts w:eastAsia="Arial"/>
          <w:lang w:val="fr-FR" w:bidi="en-US"/>
        </w:rPr>
        <w:t>d’élargissement</w:t>
      </w:r>
      <w:r>
        <w:rPr>
          <w:rFonts w:eastAsia="Arial"/>
          <w:lang w:val="fr-FR" w:bidi="en-US"/>
        </w:rPr>
        <w:t xml:space="preserve"> des </w:t>
      </w:r>
      <w:r w:rsidR="007806BB">
        <w:rPr>
          <w:rFonts w:eastAsia="Arial"/>
          <w:lang w:val="fr-FR" w:bidi="en-US"/>
        </w:rPr>
        <w:t>candidatures</w:t>
      </w:r>
      <w:r>
        <w:rPr>
          <w:rFonts w:eastAsia="Arial"/>
          <w:lang w:val="fr-FR" w:bidi="en-US"/>
        </w:rPr>
        <w:t xml:space="preserve"> </w:t>
      </w:r>
      <w:r w:rsidRPr="00690982">
        <w:rPr>
          <w:rFonts w:eastAsia="Arial"/>
          <w:lang w:val="fr-FR" w:bidi="en-US"/>
        </w:rPr>
        <w:t>multinational</w:t>
      </w:r>
      <w:r>
        <w:rPr>
          <w:rFonts w:eastAsia="Arial"/>
          <w:lang w:val="fr-FR" w:bidi="en-US"/>
        </w:rPr>
        <w:t>es</w:t>
      </w:r>
      <w:r w:rsidRPr="00690982">
        <w:rPr>
          <w:rFonts w:eastAsia="Arial"/>
          <w:lang w:val="fr-FR" w:bidi="en-US"/>
        </w:rPr>
        <w:t xml:space="preserve">, </w:t>
      </w:r>
      <w:r>
        <w:rPr>
          <w:rFonts w:eastAsia="Arial"/>
          <w:lang w:val="fr-FR" w:bidi="en-US"/>
        </w:rPr>
        <w:t>en particulier en ce qui concerne le consentement des communautés</w:t>
      </w:r>
      <w:r w:rsidRPr="00690982">
        <w:rPr>
          <w:rFonts w:eastAsia="Arial"/>
          <w:lang w:val="fr-FR" w:bidi="en-US"/>
        </w:rPr>
        <w:t xml:space="preserve">, </w:t>
      </w:r>
      <w:r>
        <w:rPr>
          <w:rFonts w:eastAsia="Arial"/>
          <w:lang w:val="fr-FR" w:bidi="en-US"/>
        </w:rPr>
        <w:t>des groupes et des individus</w:t>
      </w:r>
      <w:r w:rsidRPr="00690982">
        <w:rPr>
          <w:rFonts w:eastAsia="Arial"/>
          <w:lang w:val="fr-FR" w:bidi="en-US"/>
        </w:rPr>
        <w:t>.</w:t>
      </w:r>
      <w:r w:rsidRPr="00690982">
        <w:rPr>
          <w:lang w:val="fr-FR"/>
        </w:rPr>
        <w:t xml:space="preserve"> </w:t>
      </w:r>
      <w:r>
        <w:rPr>
          <w:lang w:val="fr-FR"/>
        </w:rPr>
        <w:t xml:space="preserve">En outre, le groupe de travail a </w:t>
      </w:r>
      <w:proofErr w:type="gramStart"/>
      <w:r>
        <w:rPr>
          <w:lang w:val="fr-FR"/>
        </w:rPr>
        <w:t>demandé à ce</w:t>
      </w:r>
      <w:proofErr w:type="gramEnd"/>
      <w:r>
        <w:rPr>
          <w:lang w:val="fr-FR"/>
        </w:rPr>
        <w:t xml:space="preserve"> que la </w:t>
      </w:r>
      <w:r w:rsidRPr="00690982">
        <w:rPr>
          <w:lang w:val="fr-FR"/>
        </w:rPr>
        <w:t xml:space="preserve">procédure </w:t>
      </w:r>
      <w:r>
        <w:rPr>
          <w:lang w:val="fr-FR"/>
        </w:rPr>
        <w:t>d</w:t>
      </w:r>
      <w:r w:rsidR="00FE6112">
        <w:rPr>
          <w:lang w:val="fr-FR"/>
        </w:rPr>
        <w:t>’</w:t>
      </w:r>
      <w:r w:rsidRPr="00690982">
        <w:rPr>
          <w:lang w:val="fr-FR"/>
        </w:rPr>
        <w:t>inscription</w:t>
      </w:r>
      <w:r w:rsidR="001A0F01">
        <w:rPr>
          <w:lang w:val="fr-FR"/>
        </w:rPr>
        <w:t xml:space="preserve"> élargie</w:t>
      </w:r>
      <w:r w:rsidRPr="00690982">
        <w:rPr>
          <w:lang w:val="fr-FR"/>
        </w:rPr>
        <w:t xml:space="preserve"> </w:t>
      </w:r>
      <w:r>
        <w:rPr>
          <w:lang w:val="fr-FR"/>
        </w:rPr>
        <w:t>au niveau national</w:t>
      </w:r>
      <w:r w:rsidR="001A0F01">
        <w:rPr>
          <w:lang w:val="fr-FR"/>
        </w:rPr>
        <w:t xml:space="preserve"> soit clarifiée</w:t>
      </w:r>
      <w:r w:rsidRPr="00690982">
        <w:rPr>
          <w:lang w:val="fr-FR"/>
        </w:rPr>
        <w:t>.</w:t>
      </w:r>
    </w:p>
    <w:p w14:paraId="5076A895" w14:textId="17774EF6" w:rsidR="00F232C8" w:rsidRPr="00690982" w:rsidRDefault="001A0F01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rFonts w:eastAsia="Arial"/>
          <w:lang w:val="fr-FR" w:bidi="en-US"/>
        </w:rPr>
        <w:t>C</w:t>
      </w:r>
      <w:r w:rsidR="00F232C8">
        <w:rPr>
          <w:rFonts w:eastAsia="Arial"/>
          <w:lang w:val="fr-FR" w:bidi="en-US"/>
        </w:rPr>
        <w:t xml:space="preserve">ertaines </w:t>
      </w:r>
      <w:r w:rsidR="00F232C8" w:rsidRPr="00690982">
        <w:rPr>
          <w:rFonts w:eastAsia="Arial"/>
          <w:lang w:val="fr-FR" w:bidi="en-US"/>
        </w:rPr>
        <w:t>d</w:t>
      </w:r>
      <w:r w:rsidR="00F232C8">
        <w:rPr>
          <w:rFonts w:eastAsia="Arial"/>
          <w:lang w:val="fr-FR" w:bidi="en-US"/>
        </w:rPr>
        <w:t>é</w:t>
      </w:r>
      <w:r w:rsidR="00F232C8" w:rsidRPr="00690982">
        <w:rPr>
          <w:rFonts w:eastAsia="Arial"/>
          <w:lang w:val="fr-FR" w:bidi="en-US"/>
        </w:rPr>
        <w:t>l</w:t>
      </w:r>
      <w:r w:rsidR="00F232C8">
        <w:rPr>
          <w:rFonts w:eastAsia="Arial"/>
          <w:lang w:val="fr-FR" w:bidi="en-US"/>
        </w:rPr>
        <w:t>é</w:t>
      </w:r>
      <w:r w:rsidR="00F232C8" w:rsidRPr="00690982">
        <w:rPr>
          <w:rFonts w:eastAsia="Arial"/>
          <w:lang w:val="fr-FR" w:bidi="en-US"/>
        </w:rPr>
        <w:t xml:space="preserve">gations </w:t>
      </w:r>
      <w:r w:rsidR="00F232C8">
        <w:rPr>
          <w:rFonts w:eastAsia="Arial"/>
          <w:lang w:val="fr-FR" w:bidi="en-US"/>
        </w:rPr>
        <w:t xml:space="preserve">souhaitaient que le mécanisme des </w:t>
      </w:r>
      <w:r w:rsidR="007806BB">
        <w:rPr>
          <w:lang w:val="fr-FR"/>
        </w:rPr>
        <w:t>candidatures</w:t>
      </w:r>
      <w:r w:rsidR="00F232C8" w:rsidRPr="00690982">
        <w:rPr>
          <w:rFonts w:eastAsia="Arial"/>
          <w:lang w:val="fr-FR" w:bidi="en-US"/>
        </w:rPr>
        <w:t xml:space="preserve"> multinational</w:t>
      </w:r>
      <w:r w:rsidR="00F232C8">
        <w:rPr>
          <w:rFonts w:eastAsia="Arial"/>
          <w:lang w:val="fr-FR" w:bidi="en-US"/>
        </w:rPr>
        <w:t xml:space="preserve">es soit utilisé de façon justifiée pour </w:t>
      </w:r>
      <w:r>
        <w:rPr>
          <w:rFonts w:eastAsia="Arial"/>
          <w:lang w:val="fr-FR" w:bidi="en-US"/>
        </w:rPr>
        <w:t>d</w:t>
      </w:r>
      <w:r w:rsidR="00F232C8">
        <w:rPr>
          <w:rFonts w:eastAsia="Arial"/>
          <w:lang w:val="fr-FR" w:bidi="en-US"/>
        </w:rPr>
        <w:t xml:space="preserve">es éléments du patrimoine culturel immatériel partagé par une communauté </w:t>
      </w:r>
      <w:r>
        <w:rPr>
          <w:rFonts w:eastAsia="Arial"/>
          <w:lang w:val="fr-FR" w:bidi="en-US"/>
        </w:rPr>
        <w:t>au-delà des frontières géographiques</w:t>
      </w:r>
      <w:r w:rsidR="00F232C8">
        <w:rPr>
          <w:rFonts w:eastAsia="Arial"/>
          <w:lang w:val="fr-FR" w:bidi="en-US"/>
        </w:rPr>
        <w:t>, et non seulement comme un moyen de « </w:t>
      </w:r>
      <w:r>
        <w:rPr>
          <w:rFonts w:eastAsia="Arial"/>
          <w:lang w:val="fr-FR" w:bidi="en-US"/>
        </w:rPr>
        <w:t>contourner</w:t>
      </w:r>
      <w:r w:rsidR="00F232C8">
        <w:rPr>
          <w:rFonts w:eastAsia="Arial"/>
          <w:lang w:val="fr-FR" w:bidi="en-US"/>
        </w:rPr>
        <w:t xml:space="preserve"> » le plafond annuel des </w:t>
      </w:r>
      <w:r w:rsidR="00F13A98">
        <w:rPr>
          <w:rFonts w:eastAsia="Arial"/>
          <w:lang w:val="fr-FR" w:bidi="en-US"/>
        </w:rPr>
        <w:t>dossiers</w:t>
      </w:r>
      <w:r w:rsidR="00F232C8">
        <w:rPr>
          <w:rFonts w:eastAsia="Arial"/>
          <w:lang w:val="fr-FR" w:bidi="en-US"/>
        </w:rPr>
        <w:t xml:space="preserve"> à examiner et les </w:t>
      </w:r>
      <w:r w:rsidR="00F232C8" w:rsidRPr="00690982">
        <w:rPr>
          <w:rFonts w:eastAsia="Arial"/>
          <w:lang w:val="fr-FR" w:bidi="en-US"/>
        </w:rPr>
        <w:t>priorit</w:t>
      </w:r>
      <w:r w:rsidR="00F232C8">
        <w:rPr>
          <w:rFonts w:eastAsia="Arial"/>
          <w:lang w:val="fr-FR" w:bidi="en-US"/>
        </w:rPr>
        <w:t xml:space="preserve">és du </w:t>
      </w:r>
      <w:r w:rsidR="00F232C8" w:rsidRPr="00690982">
        <w:rPr>
          <w:rFonts w:eastAsia="Arial"/>
          <w:lang w:val="fr-FR" w:bidi="en-US"/>
        </w:rPr>
        <w:t>paragraph</w:t>
      </w:r>
      <w:r w:rsidR="00F232C8">
        <w:rPr>
          <w:rFonts w:eastAsia="Arial"/>
          <w:lang w:val="fr-FR" w:bidi="en-US"/>
        </w:rPr>
        <w:t>e</w:t>
      </w:r>
      <w:r w:rsidR="00F232C8" w:rsidRPr="00690982">
        <w:rPr>
          <w:rFonts w:eastAsia="Arial"/>
          <w:lang w:val="fr-FR" w:bidi="en-US"/>
        </w:rPr>
        <w:t xml:space="preserve"> 34 </w:t>
      </w:r>
      <w:r w:rsidR="00F232C8">
        <w:rPr>
          <w:rFonts w:eastAsia="Arial"/>
          <w:lang w:val="fr-FR" w:bidi="en-US"/>
        </w:rPr>
        <w:t xml:space="preserve">des </w:t>
      </w:r>
      <w:r w:rsidR="00F232C8" w:rsidRPr="00690982">
        <w:rPr>
          <w:rFonts w:eastAsia="Arial"/>
          <w:lang w:val="fr-FR" w:bidi="en-US"/>
        </w:rPr>
        <w:t>Directives</w:t>
      </w:r>
      <w:r w:rsidR="00F232C8">
        <w:rPr>
          <w:rFonts w:eastAsia="Arial"/>
          <w:lang w:val="fr-FR" w:bidi="en-US"/>
        </w:rPr>
        <w:t xml:space="preserve"> opérationnelles</w:t>
      </w:r>
      <w:r w:rsidR="00F232C8" w:rsidRPr="00690982">
        <w:rPr>
          <w:rFonts w:eastAsia="Arial"/>
          <w:lang w:val="fr-FR" w:bidi="en-US"/>
        </w:rPr>
        <w:t>.</w:t>
      </w:r>
    </w:p>
    <w:p w14:paraId="732E3AD6" w14:textId="507CD537" w:rsidR="00F232C8" w:rsidRPr="00690982" w:rsidRDefault="00F232C8" w:rsidP="00F232C8">
      <w:pPr>
        <w:pStyle w:val="1GAPara"/>
        <w:keepNext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lastRenderedPageBreak/>
        <w:t>Le groupe de travail p</w:t>
      </w:r>
      <w:r w:rsidR="001A0F01">
        <w:rPr>
          <w:lang w:val="fr-FR"/>
        </w:rPr>
        <w:t xml:space="preserve">ourrait souhaiter </w:t>
      </w:r>
      <w:r>
        <w:rPr>
          <w:lang w:val="fr-FR"/>
        </w:rPr>
        <w:t xml:space="preserve">débattre </w:t>
      </w:r>
      <w:r w:rsidR="001A0F01">
        <w:rPr>
          <w:lang w:val="fr-FR"/>
        </w:rPr>
        <w:t>de la proposition suivante</w:t>
      </w:r>
      <w:r>
        <w:rPr>
          <w:lang w:val="fr-FR"/>
        </w:rPr>
        <w:t xml:space="preserve"> </w:t>
      </w:r>
      <w:r w:rsidRPr="00690982">
        <w:rPr>
          <w:lang w:val="fr-FR"/>
        </w:rPr>
        <w:t>:</w:t>
      </w:r>
    </w:p>
    <w:p w14:paraId="4F94145C" w14:textId="3236955A" w:rsidR="00F232C8" w:rsidRPr="00690982" w:rsidRDefault="00F232C8" w:rsidP="00F232C8">
      <w:pPr>
        <w:pStyle w:val="1GAPara"/>
        <w:keepNext/>
        <w:numPr>
          <w:ilvl w:val="0"/>
          <w:numId w:val="0"/>
        </w:numPr>
        <w:spacing w:before="240"/>
        <w:ind w:left="567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Proposition de révision de la </w:t>
      </w:r>
      <w:r w:rsidRPr="00690982">
        <w:rPr>
          <w:b/>
          <w:bCs/>
          <w:lang w:val="fr-FR"/>
        </w:rPr>
        <w:t xml:space="preserve">procédure </w:t>
      </w:r>
      <w:r>
        <w:rPr>
          <w:b/>
          <w:bCs/>
          <w:lang w:val="fr-FR"/>
        </w:rPr>
        <w:t>d</w:t>
      </w:r>
      <w:r w:rsidR="00FE6112">
        <w:rPr>
          <w:b/>
          <w:bCs/>
          <w:lang w:val="fr-FR"/>
        </w:rPr>
        <w:t>’</w:t>
      </w:r>
      <w:r w:rsidRPr="00690982">
        <w:rPr>
          <w:b/>
          <w:bCs/>
          <w:lang w:val="fr-FR"/>
        </w:rPr>
        <w:t xml:space="preserve">inscription </w:t>
      </w:r>
      <w:r w:rsidR="001A0F01">
        <w:rPr>
          <w:b/>
          <w:bCs/>
          <w:lang w:val="fr-FR"/>
        </w:rPr>
        <w:t>élargie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7932"/>
      </w:tblGrid>
      <w:tr w:rsidR="00F232C8" w:rsidRPr="005418AB" w14:paraId="447A42A8" w14:textId="77777777" w:rsidTr="00C8346B">
        <w:trPr>
          <w:trHeight w:val="928"/>
        </w:trPr>
        <w:tc>
          <w:tcPr>
            <w:tcW w:w="1129" w:type="dxa"/>
            <w:vMerge w:val="restart"/>
          </w:tcPr>
          <w:p w14:paraId="7EDDE78F" w14:textId="77777777" w:rsidR="00F232C8" w:rsidRPr="00690982" w:rsidRDefault="00F232C8" w:rsidP="00C8346B">
            <w:pPr>
              <w:pStyle w:val="1GAPara"/>
              <w:keepNext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0</w:t>
            </w:r>
          </w:p>
        </w:tc>
        <w:tc>
          <w:tcPr>
            <w:tcW w:w="7932" w:type="dxa"/>
          </w:tcPr>
          <w:p w14:paraId="2209467F" w14:textId="53B1AE59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Actions en a</w:t>
            </w:r>
            <w:r w:rsidR="001A0F01">
              <w:rPr>
                <w:b/>
                <w:bCs/>
                <w:lang w:val="fr-FR"/>
              </w:rPr>
              <w:t>mont</w:t>
            </w:r>
            <w:r>
              <w:rPr>
                <w:b/>
                <w:bCs/>
                <w:lang w:val="fr-FR"/>
              </w:rPr>
              <w:t xml:space="preserve"> </w:t>
            </w:r>
            <w:r w:rsidRPr="00690982">
              <w:rPr>
                <w:b/>
                <w:bCs/>
                <w:lang w:val="fr-FR"/>
              </w:rPr>
              <w:t>(</w:t>
            </w:r>
            <w:r w:rsidR="001A0F01">
              <w:rPr>
                <w:b/>
                <w:bCs/>
                <w:lang w:val="fr-FR"/>
              </w:rPr>
              <w:t>optionnel</w:t>
            </w:r>
            <w:r w:rsidRPr="00690982">
              <w:rPr>
                <w:b/>
                <w:bCs/>
                <w:lang w:val="fr-FR"/>
              </w:rPr>
              <w:t>)</w:t>
            </w:r>
          </w:p>
          <w:p w14:paraId="58E23F31" w14:textId="28FED1E7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58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États </w:t>
            </w:r>
            <w:r w:rsidR="001A0F01">
              <w:rPr>
                <w:lang w:val="fr-FR"/>
              </w:rPr>
              <w:t xml:space="preserve">parties </w:t>
            </w:r>
            <w:r>
              <w:rPr>
                <w:lang w:val="fr-FR"/>
              </w:rPr>
              <w:t>prévoyant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</w:t>
            </w:r>
            <w:r w:rsidR="001A0F01">
              <w:rPr>
                <w:lang w:val="fr-FR"/>
              </w:rPr>
              <w:t>largir</w:t>
            </w:r>
            <w:r>
              <w:rPr>
                <w:lang w:val="fr-FR"/>
              </w:rPr>
              <w:t xml:space="preserve"> </w:t>
            </w:r>
            <w:r w:rsidR="001A0F01">
              <w:rPr>
                <w:lang w:val="fr-FR"/>
              </w:rPr>
              <w:t>d</w:t>
            </w:r>
            <w:r>
              <w:rPr>
                <w:lang w:val="fr-FR"/>
              </w:rPr>
              <w:t xml:space="preserve">es </w:t>
            </w:r>
            <w:r w:rsidR="007806BB">
              <w:rPr>
                <w:lang w:val="fr-FR"/>
              </w:rPr>
              <w:t>candidatures</w:t>
            </w:r>
            <w:r w:rsidRPr="00690982">
              <w:rPr>
                <w:lang w:val="fr-FR"/>
              </w:rPr>
              <w:t xml:space="preserve"> multinational</w:t>
            </w:r>
            <w:r>
              <w:rPr>
                <w:lang w:val="fr-FR"/>
              </w:rPr>
              <w:t>es existantes sont encouragés</w:t>
            </w:r>
            <w:r w:rsidR="00097B39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à annoncer leurs </w:t>
            </w:r>
            <w:r w:rsidRPr="00690982">
              <w:rPr>
                <w:lang w:val="fr-FR"/>
              </w:rPr>
              <w:t xml:space="preserve">intentions, </w:t>
            </w:r>
            <w:r>
              <w:rPr>
                <w:lang w:val="fr-FR"/>
              </w:rPr>
              <w:t xml:space="preserve">au sens de la </w:t>
            </w:r>
            <w:r w:rsidRPr="00690982">
              <w:rPr>
                <w:lang w:val="fr-FR"/>
              </w:rPr>
              <w:t>D</w:t>
            </w:r>
            <w:r>
              <w:rPr>
                <w:lang w:val="fr-FR"/>
              </w:rPr>
              <w:t>é</w:t>
            </w:r>
            <w:r w:rsidRPr="00690982">
              <w:rPr>
                <w:lang w:val="fr-FR"/>
              </w:rPr>
              <w:t xml:space="preserve">cision </w:t>
            </w:r>
            <w:hyperlink r:id="rId26" w:history="1">
              <w:r w:rsidRPr="00690982">
                <w:rPr>
                  <w:rStyle w:val="Lienhypertexte"/>
                  <w:lang w:val="fr-FR"/>
                </w:rPr>
                <w:t>7.COM 14</w:t>
              </w:r>
            </w:hyperlink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de façon anticipée via la page </w:t>
            </w:r>
            <w:r w:rsidR="001A0F01">
              <w:rPr>
                <w:lang w:val="fr-FR"/>
              </w:rPr>
              <w:t>w</w:t>
            </w:r>
            <w:r>
              <w:rPr>
                <w:lang w:val="fr-FR"/>
              </w:rPr>
              <w:t xml:space="preserve">eb de la </w:t>
            </w:r>
            <w:r w:rsidRPr="00690982">
              <w:rPr>
                <w:lang w:val="fr-FR"/>
              </w:rPr>
              <w:t>Convention</w:t>
            </w:r>
            <w:r>
              <w:rPr>
                <w:lang w:val="fr-FR"/>
              </w:rPr>
              <w:t xml:space="preserve"> de 2003</w:t>
            </w:r>
            <w:r w:rsidRPr="00690982">
              <w:rPr>
                <w:lang w:val="fr-FR"/>
              </w:rPr>
              <w:t xml:space="preserve">, </w:t>
            </w:r>
            <w:r>
              <w:rPr>
                <w:lang w:val="fr-FR"/>
              </w:rPr>
              <w:t>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aide du </w:t>
            </w:r>
            <w:r w:rsidRPr="00690982">
              <w:rPr>
                <w:lang w:val="fr-FR"/>
              </w:rPr>
              <w:t>form</w:t>
            </w:r>
            <w:r>
              <w:rPr>
                <w:lang w:val="fr-FR"/>
              </w:rPr>
              <w:t>ulaire en ligne dédié. Cette démarche permettrait aux autres États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être informés 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initiative et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y adhérer afin de réduire le nombre </w:t>
            </w:r>
            <w:r w:rsidR="001A0F01">
              <w:rPr>
                <w:lang w:val="fr-FR"/>
              </w:rPr>
              <w:t>d’élargissement</w:t>
            </w:r>
            <w:r w:rsidR="00481223">
              <w:rPr>
                <w:lang w:val="fr-FR"/>
              </w:rPr>
              <w:t>s</w:t>
            </w:r>
            <w:r w:rsidR="001A0F01">
              <w:rPr>
                <w:lang w:val="fr-FR"/>
              </w:rPr>
              <w:t xml:space="preserve"> d’une </w:t>
            </w:r>
            <w:r>
              <w:rPr>
                <w:lang w:val="fr-FR"/>
              </w:rPr>
              <w:t xml:space="preserve">même </w:t>
            </w:r>
            <w:r w:rsidR="00A83049">
              <w:rPr>
                <w:lang w:val="fr-FR"/>
              </w:rPr>
              <w:t>candidature</w:t>
            </w:r>
            <w:r w:rsidRPr="00690982">
              <w:rPr>
                <w:lang w:val="fr-FR"/>
              </w:rPr>
              <w:t>.</w:t>
            </w:r>
          </w:p>
          <w:p w14:paraId="7A9F1875" w14:textId="1B324E77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58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Si un ou plusieurs États parties et une ou </w:t>
            </w:r>
            <w:proofErr w:type="gramStart"/>
            <w:r>
              <w:rPr>
                <w:lang w:val="fr-FR"/>
              </w:rPr>
              <w:t>plusieurs communautés</w:t>
            </w:r>
            <w:r w:rsidR="001A0F01">
              <w:rPr>
                <w:lang w:val="fr-FR"/>
              </w:rPr>
              <w:t xml:space="preserve"> concernés</w:t>
            </w:r>
            <w:proofErr w:type="gramEnd"/>
            <w:r>
              <w:rPr>
                <w:lang w:val="fr-FR"/>
              </w:rPr>
              <w:t xml:space="preserve"> en font la demande,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avis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un </w:t>
            </w:r>
            <w:r w:rsidRPr="00690982">
              <w:rPr>
                <w:lang w:val="fr-FR"/>
              </w:rPr>
              <w:t xml:space="preserve">expert </w:t>
            </w:r>
            <w:r>
              <w:rPr>
                <w:lang w:val="fr-FR"/>
              </w:rPr>
              <w:t xml:space="preserve">peut être sollicité avant la soumission </w:t>
            </w:r>
            <w:r w:rsidRPr="00690982">
              <w:rPr>
                <w:lang w:val="fr-FR"/>
              </w:rPr>
              <w:t xml:space="preserve">possible </w:t>
            </w:r>
            <w:r>
              <w:rPr>
                <w:lang w:val="fr-FR"/>
              </w:rPr>
              <w:t>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une demande d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 xml:space="preserve">inscription </w:t>
            </w:r>
            <w:r w:rsidR="001A0F01">
              <w:rPr>
                <w:lang w:val="fr-FR"/>
              </w:rPr>
              <w:t>élargie ou réduite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53F231EC" w14:textId="77777777" w:rsidTr="00C8346B">
        <w:trPr>
          <w:trHeight w:val="928"/>
        </w:trPr>
        <w:tc>
          <w:tcPr>
            <w:tcW w:w="1129" w:type="dxa"/>
            <w:vMerge/>
          </w:tcPr>
          <w:p w14:paraId="215BEE24" w14:textId="77777777" w:rsidR="00F232C8" w:rsidRPr="00690982" w:rsidRDefault="00F232C8" w:rsidP="00C8346B">
            <w:pPr>
              <w:pStyle w:val="1GAPara"/>
              <w:keepNext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5ECB9D03" w14:textId="0B3B6788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FA4D52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>les coûts globaux dépendront du nombre de demandes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  <w:r>
              <w:rPr>
                <w:sz w:val="16"/>
                <w:szCs w:val="16"/>
                <w:lang w:val="fr-FR"/>
              </w:rPr>
              <w:t> 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4453764C" w14:textId="2F7C5C91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 :</w:t>
            </w:r>
          </w:p>
          <w:p w14:paraId="50EE2543" w14:textId="7CB9CBB9" w:rsidR="00F232C8" w:rsidRPr="00690982" w:rsidRDefault="00FA4D52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t</w:t>
            </w:r>
            <w:r w:rsidR="00F232C8">
              <w:rPr>
                <w:sz w:val="16"/>
                <w:szCs w:val="16"/>
                <w:lang w:val="fr-FR"/>
              </w:rPr>
              <w:t xml:space="preserve">raitement,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 xml:space="preserve">enregistrement et </w:t>
            </w:r>
            <w:r>
              <w:rPr>
                <w:sz w:val="16"/>
                <w:szCs w:val="16"/>
                <w:lang w:val="fr-FR"/>
              </w:rPr>
              <w:t xml:space="preserve">la </w:t>
            </w:r>
            <w:r w:rsidR="00F232C8">
              <w:rPr>
                <w:sz w:val="16"/>
                <w:szCs w:val="16"/>
                <w:lang w:val="fr-FR"/>
              </w:rPr>
              <w:t xml:space="preserve">préparation des lettres et des </w:t>
            </w:r>
            <w:r w:rsidR="00F232C8" w:rsidRPr="00690982">
              <w:rPr>
                <w:sz w:val="16"/>
                <w:szCs w:val="16"/>
                <w:lang w:val="fr-FR"/>
              </w:rPr>
              <w:t>communication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 w:rsidR="00F232C8">
              <w:rPr>
                <w:sz w:val="16"/>
                <w:szCs w:val="16"/>
                <w:lang w:val="fr-FR"/>
              </w:rPr>
              <w:t>adressées aux États parties, ou reçues des États parties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5B186B82" w14:textId="5EA5C1E7" w:rsidR="00F232C8" w:rsidRPr="00690982" w:rsidRDefault="00FA4D52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L’i</w:t>
            </w:r>
            <w:r w:rsidR="00F232C8">
              <w:rPr>
                <w:sz w:val="16"/>
                <w:szCs w:val="16"/>
                <w:lang w:val="fr-FR"/>
              </w:rPr>
              <w:t>d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entification </w:t>
            </w:r>
            <w:r w:rsidR="00F232C8">
              <w:rPr>
                <w:sz w:val="16"/>
                <w:szCs w:val="16"/>
                <w:lang w:val="fr-FR"/>
              </w:rPr>
              <w:t xml:space="preserve">des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experts, </w:t>
            </w:r>
            <w:r>
              <w:rPr>
                <w:sz w:val="16"/>
                <w:szCs w:val="16"/>
                <w:lang w:val="fr-FR"/>
              </w:rPr>
              <w:t>l’</w:t>
            </w:r>
            <w:r w:rsidR="00F232C8">
              <w:rPr>
                <w:sz w:val="16"/>
                <w:szCs w:val="16"/>
                <w:lang w:val="fr-FR"/>
              </w:rPr>
              <w:t xml:space="preserve">établissement et </w:t>
            </w:r>
            <w:r>
              <w:rPr>
                <w:sz w:val="16"/>
                <w:szCs w:val="16"/>
                <w:lang w:val="fr-FR"/>
              </w:rPr>
              <w:t xml:space="preserve">le </w:t>
            </w:r>
            <w:r w:rsidR="00F232C8">
              <w:rPr>
                <w:sz w:val="16"/>
                <w:szCs w:val="16"/>
                <w:lang w:val="fr-FR"/>
              </w:rPr>
              <w:t xml:space="preserve">suivi des </w:t>
            </w:r>
            <w:r w:rsidR="00F232C8" w:rsidRPr="00690982">
              <w:rPr>
                <w:sz w:val="16"/>
                <w:szCs w:val="16"/>
                <w:lang w:val="fr-FR"/>
              </w:rPr>
              <w:t>contrat</w:t>
            </w:r>
            <w:r w:rsidR="00F232C8">
              <w:rPr>
                <w:sz w:val="16"/>
                <w:szCs w:val="16"/>
                <w:lang w:val="fr-FR"/>
              </w:rPr>
              <w:t>s</w:t>
            </w:r>
          </w:p>
          <w:p w14:paraId="52E130D8" w14:textId="0EB43902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du Fonds du </w:t>
            </w:r>
            <w:r w:rsidRPr="0043162A">
              <w:rPr>
                <w:sz w:val="16"/>
                <w:szCs w:val="16"/>
                <w:lang w:val="fr-FR"/>
              </w:rPr>
              <w:t>patrimoine culturel immatériel</w:t>
            </w:r>
            <w:r w:rsidRPr="00690982">
              <w:rPr>
                <w:sz w:val="16"/>
                <w:szCs w:val="16"/>
                <w:lang w:val="fr-FR"/>
              </w:rPr>
              <w:t xml:space="preserve">) </w:t>
            </w:r>
            <w:r>
              <w:rPr>
                <w:sz w:val="16"/>
                <w:szCs w:val="16"/>
                <w:lang w:val="fr-FR"/>
              </w:rPr>
              <w:t xml:space="preserve">pour 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241BA769" w14:textId="23689F35" w:rsidR="00F232C8" w:rsidRPr="00690982" w:rsidDel="005622C5" w:rsidRDefault="00622E51" w:rsidP="00C8346B">
            <w:pPr>
              <w:pStyle w:val="1GAPara"/>
              <w:numPr>
                <w:ilvl w:val="1"/>
                <w:numId w:val="48"/>
              </w:numPr>
              <w:spacing w:after="60"/>
              <w:ind w:left="742" w:hanging="284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s</w:t>
            </w:r>
            <w:r w:rsidR="00F232C8">
              <w:rPr>
                <w:sz w:val="16"/>
                <w:szCs w:val="16"/>
                <w:lang w:val="fr-FR"/>
              </w:rPr>
              <w:t>ervices consultatifs assurés par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  <w:r w:rsidR="00F232C8">
              <w:rPr>
                <w:sz w:val="16"/>
                <w:szCs w:val="16"/>
                <w:lang w:val="fr-FR"/>
              </w:rPr>
              <w:t>l</w:t>
            </w:r>
            <w:r>
              <w:rPr>
                <w:sz w:val="16"/>
                <w:szCs w:val="16"/>
                <w:lang w:val="fr-FR"/>
              </w:rPr>
              <w:t xml:space="preserve">es </w:t>
            </w:r>
            <w:r w:rsidR="00F232C8">
              <w:rPr>
                <w:sz w:val="16"/>
                <w:szCs w:val="16"/>
                <w:lang w:val="fr-FR"/>
              </w:rPr>
              <w:t>expert</w:t>
            </w:r>
            <w:r>
              <w:rPr>
                <w:sz w:val="16"/>
                <w:szCs w:val="16"/>
                <w:lang w:val="fr-FR"/>
              </w:rPr>
              <w:t>s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F232C8" w:rsidRPr="005418AB" w14:paraId="112FABB4" w14:textId="77777777" w:rsidTr="00C8346B">
        <w:tc>
          <w:tcPr>
            <w:tcW w:w="1129" w:type="dxa"/>
          </w:tcPr>
          <w:p w14:paraId="0D720F37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</w:t>
            </w:r>
            <w:proofErr w:type="gramStart"/>
            <w:r w:rsidRPr="00690982">
              <w:rPr>
                <w:b/>
                <w:bCs/>
                <w:lang w:val="fr-FR"/>
              </w:rPr>
              <w:t>1.a</w:t>
            </w:r>
            <w:proofErr w:type="gramEnd"/>
          </w:p>
        </w:tc>
        <w:tc>
          <w:tcPr>
            <w:tcW w:w="7932" w:type="dxa"/>
          </w:tcPr>
          <w:p w14:paraId="6BBE7AB5" w14:textId="4D0090F2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proofErr w:type="gramStart"/>
            <w:r w:rsidRPr="00690982">
              <w:rPr>
                <w:b/>
                <w:bCs/>
                <w:lang w:val="fr-FR"/>
              </w:rPr>
              <w:t>Préparation:</w:t>
            </w:r>
            <w:proofErr w:type="gramEnd"/>
            <w:r w:rsidRPr="00690982">
              <w:rPr>
                <w:b/>
                <w:bCs/>
                <w:lang w:val="fr-FR"/>
              </w:rPr>
              <w:t xml:space="preserve"> </w:t>
            </w:r>
            <w:r w:rsidR="00622E51">
              <w:rPr>
                <w:b/>
                <w:bCs/>
                <w:lang w:val="fr-FR"/>
              </w:rPr>
              <w:t>élargissement</w:t>
            </w:r>
            <w:r w:rsidRPr="00690982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de </w:t>
            </w:r>
            <w:r w:rsidR="00F13A98">
              <w:rPr>
                <w:b/>
                <w:bCs/>
                <w:lang w:val="fr-FR"/>
              </w:rPr>
              <w:t>dossiers</w:t>
            </w:r>
            <w:r>
              <w:rPr>
                <w:b/>
                <w:bCs/>
                <w:lang w:val="fr-FR"/>
              </w:rPr>
              <w:t xml:space="preserve"> </w:t>
            </w:r>
            <w:r w:rsidRPr="00690982">
              <w:rPr>
                <w:b/>
                <w:bCs/>
                <w:lang w:val="fr-FR"/>
              </w:rPr>
              <w:t>multinationa</w:t>
            </w:r>
            <w:r>
              <w:rPr>
                <w:b/>
                <w:bCs/>
                <w:lang w:val="fr-FR"/>
              </w:rPr>
              <w:t xml:space="preserve">ux </w:t>
            </w:r>
            <w:r w:rsidR="00622E51">
              <w:rPr>
                <w:b/>
                <w:bCs/>
                <w:lang w:val="fr-FR"/>
              </w:rPr>
              <w:t>à des c</w:t>
            </w:r>
            <w:r>
              <w:rPr>
                <w:b/>
                <w:bCs/>
                <w:lang w:val="fr-FR"/>
              </w:rPr>
              <w:t xml:space="preserve">ommunautés dans </w:t>
            </w:r>
            <w:r w:rsidR="00622E51">
              <w:rPr>
                <w:b/>
                <w:bCs/>
                <w:lang w:val="fr-FR"/>
              </w:rPr>
              <w:t>d’</w:t>
            </w:r>
            <w:r>
              <w:rPr>
                <w:b/>
                <w:bCs/>
                <w:lang w:val="fr-FR"/>
              </w:rPr>
              <w:t xml:space="preserve">autres </w:t>
            </w:r>
            <w:r w:rsidR="0008673A">
              <w:rPr>
                <w:b/>
                <w:bCs/>
                <w:lang w:val="fr-FR"/>
              </w:rPr>
              <w:t>États</w:t>
            </w:r>
          </w:p>
          <w:p w14:paraId="057667C5" w14:textId="551A45FA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58"/>
              <w:jc w:val="both"/>
              <w:rPr>
                <w:lang w:val="fr-FR"/>
              </w:rPr>
            </w:pPr>
            <w:r>
              <w:rPr>
                <w:lang w:val="fr-FR"/>
              </w:rPr>
              <w:t>Lancement du processus auprès du Secrétariat par l</w:t>
            </w:r>
            <w:r w:rsidR="00FE6112">
              <w:rPr>
                <w:lang w:val="fr-FR"/>
              </w:rPr>
              <w:t>’</w:t>
            </w:r>
            <w:r w:rsidR="0008673A">
              <w:rPr>
                <w:lang w:val="fr-FR"/>
              </w:rPr>
              <w:t>État</w:t>
            </w:r>
            <w:r>
              <w:rPr>
                <w:lang w:val="fr-FR"/>
              </w:rPr>
              <w:t xml:space="preserve"> partie à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origine de l</w:t>
            </w:r>
            <w:r w:rsidR="00622E51">
              <w:rPr>
                <w:lang w:val="fr-FR"/>
              </w:rPr>
              <w:t>a candidature originale</w:t>
            </w:r>
            <w:r w:rsidRPr="00690982">
              <w:rPr>
                <w:lang w:val="fr-FR"/>
              </w:rPr>
              <w:t>.</w:t>
            </w:r>
          </w:p>
          <w:p w14:paraId="2A77A757" w14:textId="76ACD973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58"/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622E51">
              <w:rPr>
                <w:lang w:val="fr-FR"/>
              </w:rPr>
              <w:t>’/Les</w:t>
            </w:r>
            <w:r>
              <w:rPr>
                <w:lang w:val="fr-FR"/>
              </w:rPr>
              <w:t xml:space="preserve"> </w:t>
            </w:r>
            <w:r w:rsidR="0008673A">
              <w:rPr>
                <w:lang w:val="fr-FR"/>
              </w:rPr>
              <w:t>États</w:t>
            </w:r>
            <w:r>
              <w:rPr>
                <w:lang w:val="fr-FR"/>
              </w:rPr>
              <w:t xml:space="preserve"> partie</w:t>
            </w:r>
            <w:r w:rsidR="00622E51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622E51">
              <w:rPr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  <w:r w:rsidR="00622E51">
              <w:rPr>
                <w:lang w:val="fr-FR"/>
              </w:rPr>
              <w:t>rejoignant la candidature</w:t>
            </w:r>
            <w:r w:rsidR="002A3DE4">
              <w:rPr>
                <w:lang w:val="fr-FR"/>
              </w:rPr>
              <w:t xml:space="preserve"> doit/</w:t>
            </w:r>
            <w:r>
              <w:rPr>
                <w:lang w:val="fr-FR"/>
              </w:rPr>
              <w:t xml:space="preserve">doivent </w:t>
            </w:r>
            <w:r w:rsidR="0008673A">
              <w:rPr>
                <w:lang w:val="fr-FR"/>
              </w:rPr>
              <w:t>démontrer</w:t>
            </w:r>
            <w:r>
              <w:rPr>
                <w:lang w:val="fr-FR"/>
              </w:rPr>
              <w:t xml:space="preserve"> que leur </w:t>
            </w:r>
            <w:r w:rsidRPr="00690982">
              <w:rPr>
                <w:lang w:val="fr-FR"/>
              </w:rPr>
              <w:t xml:space="preserve">inclusion </w:t>
            </w:r>
            <w:r>
              <w:rPr>
                <w:lang w:val="fr-FR"/>
              </w:rPr>
              <w:t>dans l</w:t>
            </w:r>
            <w:r w:rsidR="00FE6112">
              <w:rPr>
                <w:lang w:val="fr-FR"/>
              </w:rPr>
              <w:t>’</w:t>
            </w:r>
            <w:r w:rsidR="00622E51">
              <w:rPr>
                <w:lang w:val="fr-FR"/>
              </w:rPr>
              <w:t>élargissement</w:t>
            </w:r>
            <w:r w:rsidRPr="00690982">
              <w:rPr>
                <w:lang w:val="fr-FR"/>
              </w:rPr>
              <w:t xml:space="preserve"> satis</w:t>
            </w:r>
            <w:r>
              <w:rPr>
                <w:lang w:val="fr-FR"/>
              </w:rPr>
              <w:t xml:space="preserve">fait tous les </w:t>
            </w:r>
            <w:r w:rsidR="0008673A">
              <w:rPr>
                <w:lang w:val="fr-FR"/>
              </w:rPr>
              <w:t>critères</w:t>
            </w:r>
            <w:r>
              <w:rPr>
                <w:lang w:val="fr-FR"/>
              </w:rPr>
              <w:t xml:space="preserve"> d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>inscription</w:t>
            </w:r>
            <w:r>
              <w:rPr>
                <w:lang w:val="fr-FR"/>
              </w:rPr>
              <w:t xml:space="preserve"> requis</w:t>
            </w:r>
            <w:r w:rsidRPr="00690982">
              <w:rPr>
                <w:lang w:val="fr-FR"/>
              </w:rPr>
              <w:t>.</w:t>
            </w:r>
          </w:p>
          <w:p w14:paraId="4B5B85FA" w14:textId="06FE39B0" w:rsidR="00F232C8" w:rsidRPr="00690982" w:rsidRDefault="00622E51" w:rsidP="00C8346B">
            <w:pPr>
              <w:pStyle w:val="1GAPara"/>
              <w:numPr>
                <w:ilvl w:val="0"/>
                <w:numId w:val="5"/>
              </w:numPr>
              <w:ind w:left="458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L’/Les </w:t>
            </w:r>
            <w:r w:rsidR="00F232C8">
              <w:rPr>
                <w:lang w:val="fr-FR"/>
              </w:rPr>
              <w:t xml:space="preserve">États parties </w:t>
            </w:r>
            <w:r w:rsidR="00F232C8" w:rsidRPr="00690982">
              <w:rPr>
                <w:lang w:val="fr-FR"/>
              </w:rPr>
              <w:t>inclu</w:t>
            </w:r>
            <w:r w:rsidR="00F232C8">
              <w:rPr>
                <w:lang w:val="fr-FR"/>
              </w:rPr>
              <w:t>s dans l</w:t>
            </w:r>
            <w:r w:rsidR="00FE6112">
              <w:rPr>
                <w:lang w:val="fr-FR"/>
              </w:rPr>
              <w:t>’</w:t>
            </w:r>
            <w:r w:rsidR="00F232C8" w:rsidRPr="00690982">
              <w:rPr>
                <w:lang w:val="fr-FR"/>
              </w:rPr>
              <w:t>inscription original</w:t>
            </w:r>
            <w:r w:rsidR="00F232C8">
              <w:rPr>
                <w:lang w:val="fr-FR"/>
              </w:rPr>
              <w:t>e et dans l</w:t>
            </w:r>
            <w:r>
              <w:rPr>
                <w:lang w:val="fr-FR"/>
              </w:rPr>
              <w:t>’/les</w:t>
            </w:r>
            <w:r w:rsidR="00F232C8">
              <w:rPr>
                <w:lang w:val="fr-FR"/>
              </w:rPr>
              <w:t xml:space="preserve"> extension</w:t>
            </w:r>
            <w:r>
              <w:rPr>
                <w:lang w:val="fr-FR"/>
              </w:rPr>
              <w:t>(</w:t>
            </w:r>
            <w:r w:rsidR="00F232C8">
              <w:rPr>
                <w:lang w:val="fr-FR"/>
              </w:rPr>
              <w:t>s</w:t>
            </w:r>
            <w:r>
              <w:rPr>
                <w:lang w:val="fr-FR"/>
              </w:rPr>
              <w:t>)</w:t>
            </w:r>
            <w:r w:rsidR="00F232C8">
              <w:rPr>
                <w:lang w:val="fr-FR"/>
              </w:rPr>
              <w:t xml:space="preserve"> suivante</w:t>
            </w:r>
            <w:r>
              <w:rPr>
                <w:lang w:val="fr-FR"/>
              </w:rPr>
              <w:t>(</w:t>
            </w:r>
            <w:r w:rsidR="00F232C8">
              <w:rPr>
                <w:lang w:val="fr-FR"/>
              </w:rPr>
              <w:t>s</w:t>
            </w:r>
            <w:r>
              <w:rPr>
                <w:lang w:val="fr-FR"/>
              </w:rPr>
              <w:t>)</w:t>
            </w:r>
            <w:r w:rsidR="00F232C8">
              <w:rPr>
                <w:lang w:val="fr-FR"/>
              </w:rPr>
              <w:t xml:space="preserve"> </w:t>
            </w:r>
            <w:r w:rsidR="002A3DE4">
              <w:rPr>
                <w:lang w:val="fr-FR"/>
              </w:rPr>
              <w:t>doit/doivent</w:t>
            </w:r>
            <w:r>
              <w:rPr>
                <w:lang w:val="fr-FR"/>
              </w:rPr>
              <w:t xml:space="preserve"> démontrer</w:t>
            </w:r>
            <w:r w:rsidR="00F232C8">
              <w:rPr>
                <w:lang w:val="fr-FR"/>
              </w:rPr>
              <w:t xml:space="preserve"> que la ou les même</w:t>
            </w:r>
            <w:r>
              <w:rPr>
                <w:lang w:val="fr-FR"/>
              </w:rPr>
              <w:t>(</w:t>
            </w:r>
            <w:r w:rsidR="00F232C8">
              <w:rPr>
                <w:lang w:val="fr-FR"/>
              </w:rPr>
              <w:t>s</w:t>
            </w:r>
            <w:r>
              <w:rPr>
                <w:lang w:val="fr-FR"/>
              </w:rPr>
              <w:t>)</w:t>
            </w:r>
            <w:r w:rsidR="00F232C8">
              <w:rPr>
                <w:lang w:val="fr-FR"/>
              </w:rPr>
              <w:t xml:space="preserve"> communauté</w:t>
            </w:r>
            <w:r>
              <w:rPr>
                <w:lang w:val="fr-FR"/>
              </w:rPr>
              <w:t>(</w:t>
            </w:r>
            <w:r w:rsidR="00F232C8">
              <w:rPr>
                <w:lang w:val="fr-FR"/>
              </w:rPr>
              <w:t>s</w:t>
            </w:r>
            <w:r>
              <w:rPr>
                <w:lang w:val="fr-FR"/>
              </w:rPr>
              <w:t>)</w:t>
            </w:r>
            <w:r w:rsidR="00F232C8" w:rsidRPr="00690982">
              <w:rPr>
                <w:lang w:val="fr-FR"/>
              </w:rPr>
              <w:t xml:space="preserve"> </w:t>
            </w:r>
            <w:r w:rsidR="00F232C8">
              <w:rPr>
                <w:lang w:val="fr-FR"/>
              </w:rPr>
              <w:t xml:space="preserve">ayant donné leur consentement à la </w:t>
            </w:r>
            <w:r w:rsidR="00F232C8" w:rsidRPr="00690982">
              <w:rPr>
                <w:lang w:val="fr-FR"/>
              </w:rPr>
              <w:t>s</w:t>
            </w:r>
            <w:r w:rsidR="00F232C8">
              <w:rPr>
                <w:lang w:val="fr-FR"/>
              </w:rPr>
              <w:t>ou</w:t>
            </w:r>
            <w:r w:rsidR="00F232C8" w:rsidRPr="00690982">
              <w:rPr>
                <w:lang w:val="fr-FR"/>
              </w:rPr>
              <w:t xml:space="preserve">mission </w:t>
            </w:r>
            <w:r w:rsidR="00F232C8">
              <w:rPr>
                <w:lang w:val="fr-FR"/>
              </w:rPr>
              <w:t xml:space="preserve">de la </w:t>
            </w:r>
            <w:r w:rsidR="00A83049">
              <w:rPr>
                <w:lang w:val="fr-FR"/>
              </w:rPr>
              <w:t>candidature</w:t>
            </w:r>
            <w:r w:rsidR="00F232C8" w:rsidRPr="00690982">
              <w:rPr>
                <w:lang w:val="fr-FR"/>
              </w:rPr>
              <w:t xml:space="preserve"> </w:t>
            </w:r>
            <w:r w:rsidR="00F232C8">
              <w:rPr>
                <w:lang w:val="fr-FR"/>
              </w:rPr>
              <w:t xml:space="preserve">originale et des </w:t>
            </w:r>
            <w:r>
              <w:rPr>
                <w:lang w:val="fr-FR"/>
              </w:rPr>
              <w:t>élargissements</w:t>
            </w:r>
            <w:r w:rsidR="00F232C8" w:rsidRPr="00690982">
              <w:rPr>
                <w:lang w:val="fr-FR"/>
              </w:rPr>
              <w:t xml:space="preserve"> </w:t>
            </w:r>
            <w:r w:rsidR="00F232C8">
              <w:rPr>
                <w:lang w:val="fr-FR"/>
              </w:rPr>
              <w:t xml:space="preserve">suivants acceptent la proposition </w:t>
            </w:r>
            <w:r>
              <w:rPr>
                <w:lang w:val="fr-FR"/>
              </w:rPr>
              <w:t>d’élargissement</w:t>
            </w:r>
            <w:r w:rsidR="00F232C8">
              <w:rPr>
                <w:lang w:val="fr-FR"/>
              </w:rPr>
              <w:t xml:space="preserve">, et que les communautés concernées sont volontaires pour </w:t>
            </w:r>
            <w:r w:rsidR="00F232C8" w:rsidRPr="00690982">
              <w:rPr>
                <w:lang w:val="fr-FR"/>
              </w:rPr>
              <w:t>particip</w:t>
            </w:r>
            <w:r w:rsidR="00F232C8">
              <w:rPr>
                <w:lang w:val="fr-FR"/>
              </w:rPr>
              <w:t xml:space="preserve">er </w:t>
            </w:r>
            <w:r>
              <w:rPr>
                <w:lang w:val="fr-FR"/>
              </w:rPr>
              <w:t>aux</w:t>
            </w:r>
            <w:r w:rsidR="00F232C8">
              <w:rPr>
                <w:lang w:val="fr-FR"/>
              </w:rPr>
              <w:t xml:space="preserve"> mesures de sauvegarde déjà approuvées et nouvellement proposées (le cas échéant)</w:t>
            </w:r>
            <w:r w:rsidR="00AA1D51">
              <w:rPr>
                <w:lang w:val="fr-FR"/>
              </w:rPr>
              <w:t>,</w:t>
            </w:r>
            <w:r w:rsidR="00F232C8">
              <w:rPr>
                <w:lang w:val="fr-FR"/>
              </w:rPr>
              <w:t xml:space="preserve"> en commun avec les nouvelles communautés et autorités </w:t>
            </w:r>
            <w:r w:rsidR="00F232C8" w:rsidRPr="00690982">
              <w:rPr>
                <w:lang w:val="fr-FR"/>
              </w:rPr>
              <w:t>(</w:t>
            </w:r>
            <w:r w:rsidR="00F232C8">
              <w:rPr>
                <w:lang w:val="fr-FR"/>
              </w:rPr>
              <w:t>au sens de la</w:t>
            </w:r>
            <w:r w:rsidR="00F232C8"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="00F232C8" w:rsidRPr="00622E51">
              <w:rPr>
                <w:lang w:val="fr-FR"/>
              </w:rPr>
              <w:t>écision </w:t>
            </w:r>
            <w:hyperlink r:id="rId27" w:history="1">
              <w:r w:rsidR="00F232C8" w:rsidRPr="00622E51">
                <w:rPr>
                  <w:rStyle w:val="Lienhypertexte"/>
                  <w:lang w:val="fr-FR"/>
                </w:rPr>
                <w:t>10.COM 10</w:t>
              </w:r>
            </w:hyperlink>
            <w:r w:rsidR="00F232C8" w:rsidRPr="00690982">
              <w:rPr>
                <w:lang w:val="fr-FR"/>
              </w:rPr>
              <w:t>, paragraph</w:t>
            </w:r>
            <w:r w:rsidR="00F232C8">
              <w:rPr>
                <w:lang w:val="fr-FR"/>
              </w:rPr>
              <w:t>e</w:t>
            </w:r>
            <w:r w:rsidR="00F232C8" w:rsidRPr="00690982">
              <w:rPr>
                <w:lang w:val="fr-FR"/>
              </w:rPr>
              <w:t xml:space="preserve"> 15).</w:t>
            </w:r>
          </w:p>
        </w:tc>
      </w:tr>
      <w:tr w:rsidR="00F232C8" w:rsidRPr="005418AB" w14:paraId="25C906A7" w14:textId="77777777" w:rsidTr="00C8346B">
        <w:tc>
          <w:tcPr>
            <w:tcW w:w="1129" w:type="dxa"/>
          </w:tcPr>
          <w:p w14:paraId="6CDAD0BC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Étape</w:t>
            </w:r>
            <w:r w:rsidRPr="00690982">
              <w:rPr>
                <w:b/>
                <w:bCs/>
                <w:lang w:val="fr-FR"/>
              </w:rPr>
              <w:t xml:space="preserve"> </w:t>
            </w:r>
            <w:proofErr w:type="gramStart"/>
            <w:r w:rsidRPr="00690982">
              <w:rPr>
                <w:b/>
                <w:bCs/>
                <w:lang w:val="fr-FR"/>
              </w:rPr>
              <w:t>1.b</w:t>
            </w:r>
            <w:proofErr w:type="gramEnd"/>
          </w:p>
        </w:tc>
        <w:tc>
          <w:tcPr>
            <w:tcW w:w="7932" w:type="dxa"/>
          </w:tcPr>
          <w:p w14:paraId="2186ACEB" w14:textId="721FF5A3" w:rsidR="00F232C8" w:rsidRPr="00690982" w:rsidRDefault="00F232C8" w:rsidP="00C8346B">
            <w:pPr>
              <w:pStyle w:val="1GAPara"/>
              <w:keepNext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>Pr</w:t>
            </w:r>
            <w:r>
              <w:rPr>
                <w:b/>
                <w:bCs/>
                <w:lang w:val="fr-FR"/>
              </w:rPr>
              <w:t>é</w:t>
            </w:r>
            <w:r w:rsidRPr="00690982">
              <w:rPr>
                <w:b/>
                <w:bCs/>
                <w:lang w:val="fr-FR"/>
              </w:rPr>
              <w:t>paration</w:t>
            </w:r>
            <w:r>
              <w:rPr>
                <w:b/>
                <w:bCs/>
                <w:lang w:val="fr-FR"/>
              </w:rPr>
              <w:t xml:space="preserve"> </w:t>
            </w:r>
            <w:r w:rsidRPr="00690982">
              <w:rPr>
                <w:b/>
                <w:bCs/>
                <w:lang w:val="fr-FR"/>
              </w:rPr>
              <w:t xml:space="preserve">: </w:t>
            </w:r>
            <w:r w:rsidR="00622E51">
              <w:rPr>
                <w:b/>
                <w:bCs/>
                <w:lang w:val="fr-FR"/>
              </w:rPr>
              <w:t>élargissement</w:t>
            </w:r>
            <w:r w:rsidRPr="00690982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de </w:t>
            </w:r>
            <w:r w:rsidR="00F13A98">
              <w:rPr>
                <w:b/>
                <w:bCs/>
                <w:lang w:val="fr-FR"/>
              </w:rPr>
              <w:t>dossiers</w:t>
            </w:r>
            <w:r>
              <w:rPr>
                <w:b/>
                <w:bCs/>
                <w:lang w:val="fr-FR"/>
              </w:rPr>
              <w:t xml:space="preserve"> </w:t>
            </w:r>
            <w:r w:rsidRPr="00690982">
              <w:rPr>
                <w:b/>
                <w:bCs/>
                <w:lang w:val="fr-FR"/>
              </w:rPr>
              <w:t>nationa</w:t>
            </w:r>
            <w:r>
              <w:rPr>
                <w:b/>
                <w:bCs/>
                <w:lang w:val="fr-FR"/>
              </w:rPr>
              <w:t xml:space="preserve">ux </w:t>
            </w:r>
            <w:r w:rsidR="00622E51">
              <w:rPr>
                <w:b/>
                <w:bCs/>
                <w:lang w:val="fr-FR"/>
              </w:rPr>
              <w:t>à d’</w:t>
            </w:r>
            <w:r>
              <w:rPr>
                <w:b/>
                <w:bCs/>
                <w:lang w:val="fr-FR"/>
              </w:rPr>
              <w:t>autres communautés au sein de l</w:t>
            </w:r>
            <w:r w:rsidR="00FE6112">
              <w:rPr>
                <w:b/>
                <w:bCs/>
                <w:lang w:val="fr-FR"/>
              </w:rPr>
              <w:t>’</w:t>
            </w:r>
            <w:r w:rsidR="0008673A">
              <w:rPr>
                <w:b/>
                <w:bCs/>
                <w:lang w:val="fr-FR"/>
              </w:rPr>
              <w:t>État</w:t>
            </w:r>
            <w:r>
              <w:rPr>
                <w:b/>
                <w:bCs/>
                <w:lang w:val="fr-FR"/>
              </w:rPr>
              <w:t xml:space="preserve"> </w:t>
            </w:r>
            <w:r w:rsidR="0008673A">
              <w:rPr>
                <w:b/>
                <w:bCs/>
                <w:lang w:val="fr-FR"/>
              </w:rPr>
              <w:t>soumissionnaire</w:t>
            </w:r>
          </w:p>
          <w:p w14:paraId="46A46725" w14:textId="52FAA021" w:rsidR="00F232C8" w:rsidRPr="00690982" w:rsidRDefault="00F232C8" w:rsidP="00C8346B">
            <w:pPr>
              <w:pStyle w:val="1GAPara"/>
              <w:keepNext/>
              <w:numPr>
                <w:ilvl w:val="0"/>
                <w:numId w:val="5"/>
              </w:numPr>
              <w:ind w:left="458"/>
              <w:rPr>
                <w:lang w:val="fr-FR"/>
              </w:rPr>
            </w:pPr>
            <w:r>
              <w:rPr>
                <w:lang w:val="fr-FR"/>
              </w:rPr>
              <w:t>Lancement du processus par l</w:t>
            </w:r>
            <w:r w:rsidR="00FE6112">
              <w:rPr>
                <w:lang w:val="fr-FR"/>
              </w:rPr>
              <w:t>’</w:t>
            </w:r>
            <w:r w:rsidR="0008673A">
              <w:rPr>
                <w:lang w:val="fr-FR"/>
              </w:rPr>
              <w:t>État</w:t>
            </w:r>
            <w:r>
              <w:rPr>
                <w:lang w:val="fr-FR"/>
              </w:rPr>
              <w:t xml:space="preserve"> partie en </w:t>
            </w:r>
            <w:r w:rsidRPr="00690982">
              <w:rPr>
                <w:lang w:val="fr-FR"/>
              </w:rPr>
              <w:t xml:space="preserve">consultation </w:t>
            </w:r>
            <w:r>
              <w:rPr>
                <w:lang w:val="fr-FR"/>
              </w:rPr>
              <w:t xml:space="preserve">avec les communautés concernées ou par les communautés en </w:t>
            </w:r>
            <w:r w:rsidR="0008673A" w:rsidRPr="00690982">
              <w:rPr>
                <w:lang w:val="fr-FR"/>
              </w:rPr>
              <w:t>coopération</w:t>
            </w:r>
            <w:r w:rsidRPr="00690982">
              <w:rPr>
                <w:lang w:val="fr-FR"/>
              </w:rPr>
              <w:t xml:space="preserve"> </w:t>
            </w:r>
            <w:r w:rsidR="0008673A">
              <w:rPr>
                <w:lang w:val="fr-FR"/>
              </w:rPr>
              <w:t>avec</w:t>
            </w:r>
            <w:r>
              <w:rPr>
                <w:lang w:val="fr-FR"/>
              </w:rPr>
              <w:t xml:space="preserve"> les autorités compétentes</w:t>
            </w:r>
            <w:r w:rsidRPr="00690982">
              <w:rPr>
                <w:lang w:val="fr-FR"/>
              </w:rPr>
              <w:t>.</w:t>
            </w:r>
          </w:p>
          <w:p w14:paraId="2C15E3FD" w14:textId="28712430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58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État partie </w:t>
            </w:r>
            <w:r w:rsidRPr="00690982">
              <w:rPr>
                <w:lang w:val="fr-FR"/>
              </w:rPr>
              <w:t>concern</w:t>
            </w:r>
            <w:r>
              <w:rPr>
                <w:lang w:val="fr-FR"/>
              </w:rPr>
              <w:t>é doit démontrer que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ajout de communautés </w:t>
            </w:r>
            <w:r w:rsidR="00622E51">
              <w:rPr>
                <w:lang w:val="fr-FR"/>
              </w:rPr>
              <w:t>présente sur</w:t>
            </w:r>
            <w:r>
              <w:rPr>
                <w:lang w:val="fr-FR"/>
              </w:rPr>
              <w:t xml:space="preserve"> son </w:t>
            </w:r>
            <w:r w:rsidRPr="00690982">
              <w:rPr>
                <w:lang w:val="fr-FR"/>
              </w:rPr>
              <w:t>territo</w:t>
            </w:r>
            <w:r>
              <w:rPr>
                <w:lang w:val="fr-FR"/>
              </w:rPr>
              <w:t>ire</w:t>
            </w:r>
            <w:r w:rsidR="00622E51">
              <w:rPr>
                <w:lang w:val="fr-FR"/>
              </w:rPr>
              <w:t xml:space="preserve"> et</w:t>
            </w:r>
            <w:r>
              <w:rPr>
                <w:lang w:val="fr-FR"/>
              </w:rPr>
              <w:t xml:space="preserve"> </w:t>
            </w:r>
            <w:r w:rsidR="00622E51">
              <w:rPr>
                <w:lang w:val="fr-FR"/>
              </w:rPr>
              <w:t xml:space="preserve">rejoignant une inscription, </w:t>
            </w:r>
            <w:r>
              <w:rPr>
                <w:lang w:val="fr-FR"/>
              </w:rPr>
              <w:t xml:space="preserve">satisfait tous les critères requis </w:t>
            </w:r>
            <w:r w:rsidR="00622E51">
              <w:rPr>
                <w:lang w:val="fr-FR"/>
              </w:rPr>
              <w:t>pour</w:t>
            </w:r>
            <w:r>
              <w:rPr>
                <w:lang w:val="fr-FR"/>
              </w:rPr>
              <w:t xml:space="preserve"> l</w:t>
            </w:r>
            <w:r w:rsidR="00FE6112">
              <w:rPr>
                <w:lang w:val="fr-FR"/>
              </w:rPr>
              <w:t>’</w:t>
            </w:r>
            <w:r w:rsidRPr="00690982">
              <w:rPr>
                <w:lang w:val="fr-FR"/>
              </w:rPr>
              <w:t>inscription.</w:t>
            </w:r>
          </w:p>
          <w:p w14:paraId="5ED829D0" w14:textId="0A89E607" w:rsidR="00F232C8" w:rsidRPr="00690982" w:rsidRDefault="00F232C8" w:rsidP="00C8346B">
            <w:pPr>
              <w:pStyle w:val="1GAPara"/>
              <w:numPr>
                <w:ilvl w:val="0"/>
                <w:numId w:val="5"/>
              </w:numPr>
              <w:ind w:left="458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État partie </w:t>
            </w:r>
            <w:r w:rsidRPr="00690982">
              <w:rPr>
                <w:lang w:val="fr-FR"/>
              </w:rPr>
              <w:t>concern</w:t>
            </w:r>
            <w:r>
              <w:rPr>
                <w:lang w:val="fr-FR"/>
              </w:rPr>
              <w:t xml:space="preserve">é doit également démontrer que les mêmes communautés porteuses de la </w:t>
            </w:r>
            <w:r w:rsidR="00A83049">
              <w:rPr>
                <w:lang w:val="fr-FR"/>
              </w:rPr>
              <w:t>candidature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origine donne</w:t>
            </w:r>
            <w:r w:rsidR="00622E51">
              <w:rPr>
                <w:lang w:val="fr-FR"/>
              </w:rPr>
              <w:t>nt</w:t>
            </w:r>
            <w:r>
              <w:rPr>
                <w:lang w:val="fr-FR"/>
              </w:rPr>
              <w:t xml:space="preserve"> leur consentement à l</w:t>
            </w:r>
            <w:r w:rsidR="00622E51">
              <w:rPr>
                <w:lang w:val="fr-FR"/>
              </w:rPr>
              <w:t>’élargissement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élément et acceptent de sauvegarder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élément avec les </w:t>
            </w:r>
            <w:r w:rsidR="00622E51">
              <w:rPr>
                <w:lang w:val="fr-FR"/>
              </w:rPr>
              <w:t>c</w:t>
            </w:r>
            <w:r>
              <w:rPr>
                <w:lang w:val="fr-FR"/>
              </w:rPr>
              <w:t>ommunautés</w:t>
            </w:r>
            <w:r w:rsidR="00622E51">
              <w:rPr>
                <w:lang w:val="fr-FR"/>
              </w:rPr>
              <w:t xml:space="preserve"> rejoignant une inscription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3AE847E6" w14:textId="77777777" w:rsidTr="00C8346B">
        <w:trPr>
          <w:trHeight w:val="1196"/>
        </w:trPr>
        <w:tc>
          <w:tcPr>
            <w:tcW w:w="1129" w:type="dxa"/>
            <w:vMerge w:val="restart"/>
          </w:tcPr>
          <w:p w14:paraId="2C10F256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Étape</w:t>
            </w:r>
            <w:r w:rsidRPr="00690982">
              <w:rPr>
                <w:b/>
                <w:bCs/>
                <w:lang w:val="fr-FR"/>
              </w:rPr>
              <w:t xml:space="preserve"> 2</w:t>
            </w:r>
          </w:p>
        </w:tc>
        <w:tc>
          <w:tcPr>
            <w:tcW w:w="7932" w:type="dxa"/>
          </w:tcPr>
          <w:p w14:paraId="212D9387" w14:textId="77777777" w:rsidR="00F232C8" w:rsidRPr="00690982" w:rsidRDefault="00F232C8" w:rsidP="00C8346B">
            <w:pPr>
              <w:pStyle w:val="1GAPara"/>
              <w:keepNext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 w:rsidRPr="00690982">
              <w:rPr>
                <w:b/>
                <w:bCs/>
                <w:lang w:val="fr-FR"/>
              </w:rPr>
              <w:t>Évaluation</w:t>
            </w:r>
            <w:r>
              <w:rPr>
                <w:b/>
                <w:bCs/>
                <w:lang w:val="fr-FR"/>
              </w:rPr>
              <w:t xml:space="preserve"> et examen</w:t>
            </w:r>
            <w:r w:rsidRPr="00690982">
              <w:rPr>
                <w:b/>
                <w:bCs/>
                <w:lang w:val="fr-FR"/>
              </w:rPr>
              <w:t xml:space="preserve"> </w:t>
            </w:r>
          </w:p>
          <w:p w14:paraId="6C81640D" w14:textId="7C7FF1AE" w:rsidR="00F232C8" w:rsidRPr="00690982" w:rsidRDefault="00F232C8" w:rsidP="00C8346B">
            <w:pPr>
              <w:pStyle w:val="1GAPara"/>
              <w:keepNext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A83049">
              <w:rPr>
                <w:lang w:val="fr-FR"/>
              </w:rPr>
              <w:t>candidature</w:t>
            </w:r>
            <w:r w:rsidRPr="00690982">
              <w:rPr>
                <w:lang w:val="fr-FR"/>
              </w:rPr>
              <w:t xml:space="preserve"> </w:t>
            </w:r>
            <w:r>
              <w:rPr>
                <w:lang w:val="fr-FR"/>
              </w:rPr>
              <w:t>est évaluée par l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>Organe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évaluation et examinée par le </w:t>
            </w:r>
            <w:r w:rsidRPr="00690982">
              <w:rPr>
                <w:lang w:val="fr-FR"/>
              </w:rPr>
              <w:t>Comité</w:t>
            </w:r>
            <w:r>
              <w:rPr>
                <w:lang w:val="fr-FR"/>
              </w:rPr>
              <w:t xml:space="preserve"> conformément à la procédure d</w:t>
            </w:r>
            <w:r w:rsidR="00FE6112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évaluation et </w:t>
            </w:r>
            <w:r w:rsidR="00622E51">
              <w:rPr>
                <w:lang w:val="fr-FR"/>
              </w:rPr>
              <w:t>au</w:t>
            </w:r>
            <w:r>
              <w:rPr>
                <w:lang w:val="fr-FR"/>
              </w:rPr>
              <w:t xml:space="preserve"> calendrier réguliers décrits au </w:t>
            </w:r>
            <w:r w:rsidRPr="00690982">
              <w:rPr>
                <w:lang w:val="fr-FR"/>
              </w:rPr>
              <w:t>paragraph</w:t>
            </w:r>
            <w:r>
              <w:rPr>
                <w:lang w:val="fr-FR"/>
              </w:rPr>
              <w:t>e</w:t>
            </w:r>
            <w:r w:rsidRPr="00690982">
              <w:rPr>
                <w:lang w:val="fr-FR"/>
              </w:rPr>
              <w:t xml:space="preserve"> 54 </w:t>
            </w:r>
            <w:r>
              <w:rPr>
                <w:lang w:val="fr-FR"/>
              </w:rPr>
              <w:t xml:space="preserve">des </w:t>
            </w:r>
            <w:r w:rsidRPr="00690982">
              <w:rPr>
                <w:lang w:val="fr-FR"/>
              </w:rPr>
              <w:t>Directives</w:t>
            </w:r>
            <w:r>
              <w:rPr>
                <w:lang w:val="fr-FR"/>
              </w:rPr>
              <w:t xml:space="preserve"> opérationnelles</w:t>
            </w:r>
            <w:r w:rsidRPr="00690982">
              <w:rPr>
                <w:lang w:val="fr-FR"/>
              </w:rPr>
              <w:t>.</w:t>
            </w:r>
          </w:p>
        </w:tc>
      </w:tr>
      <w:tr w:rsidR="00F232C8" w:rsidRPr="005418AB" w14:paraId="3A6FC1CA" w14:textId="77777777" w:rsidTr="00C8346B">
        <w:trPr>
          <w:trHeight w:val="364"/>
        </w:trPr>
        <w:tc>
          <w:tcPr>
            <w:tcW w:w="1129" w:type="dxa"/>
            <w:vMerge/>
          </w:tcPr>
          <w:p w14:paraId="7C1B2216" w14:textId="77777777" w:rsidR="00F232C8" w:rsidRPr="00690982" w:rsidRDefault="00F232C8" w:rsidP="00C8346B">
            <w:pPr>
              <w:pStyle w:val="1GAPara"/>
              <w:numPr>
                <w:ilvl w:val="0"/>
                <w:numId w:val="0"/>
              </w:numPr>
              <w:rPr>
                <w:b/>
                <w:bCs/>
                <w:lang w:val="fr-FR"/>
              </w:rPr>
            </w:pPr>
          </w:p>
        </w:tc>
        <w:tc>
          <w:tcPr>
            <w:tcW w:w="7932" w:type="dxa"/>
            <w:shd w:val="clear" w:color="auto" w:fill="F2F2F2" w:themeFill="background1" w:themeFillShade="F2"/>
          </w:tcPr>
          <w:p w14:paraId="37F79689" w14:textId="2E28177D" w:rsidR="00F232C8" w:rsidRPr="00690982" w:rsidRDefault="00F232C8" w:rsidP="00C8346B">
            <w:pPr>
              <w:pStyle w:val="1GAPara"/>
              <w:keepNext/>
              <w:numPr>
                <w:ilvl w:val="0"/>
                <w:numId w:val="0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Coût</w:t>
            </w:r>
            <w:r w:rsidR="00622E51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à prévoir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les coûts supplémentaires ne seront encourus que si les </w:t>
            </w:r>
            <w:r w:rsidR="00622E51">
              <w:rPr>
                <w:sz w:val="16"/>
                <w:szCs w:val="16"/>
                <w:lang w:val="fr-FR"/>
              </w:rPr>
              <w:t>élargissements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ne sont pas traités </w:t>
            </w:r>
            <w:r w:rsidR="00EC2342">
              <w:rPr>
                <w:sz w:val="16"/>
                <w:szCs w:val="16"/>
                <w:lang w:val="fr-FR"/>
              </w:rPr>
              <w:t>dans le cadre</w:t>
            </w:r>
            <w:r>
              <w:rPr>
                <w:sz w:val="16"/>
                <w:szCs w:val="16"/>
                <w:lang w:val="fr-FR"/>
              </w:rPr>
              <w:t xml:space="preserve"> du </w:t>
            </w:r>
            <w:r w:rsidRPr="00690982">
              <w:rPr>
                <w:sz w:val="16"/>
                <w:szCs w:val="16"/>
                <w:lang w:val="fr-FR"/>
              </w:rPr>
              <w:t>paragraph</w:t>
            </w:r>
            <w:r>
              <w:rPr>
                <w:sz w:val="16"/>
                <w:szCs w:val="16"/>
                <w:lang w:val="fr-FR"/>
              </w:rPr>
              <w:t>e</w:t>
            </w:r>
            <w:r w:rsidRPr="00690982">
              <w:rPr>
                <w:sz w:val="16"/>
                <w:szCs w:val="16"/>
                <w:lang w:val="fr-FR"/>
              </w:rPr>
              <w:t xml:space="preserve"> 34 </w:t>
            </w:r>
            <w:r>
              <w:rPr>
                <w:sz w:val="16"/>
                <w:szCs w:val="16"/>
                <w:lang w:val="fr-FR"/>
              </w:rPr>
              <w:t xml:space="preserve">des </w:t>
            </w:r>
            <w:r w:rsidRPr="00690982">
              <w:rPr>
                <w:sz w:val="16"/>
                <w:szCs w:val="16"/>
                <w:lang w:val="fr-FR"/>
              </w:rPr>
              <w:t>Directives</w:t>
            </w:r>
            <w:r>
              <w:rPr>
                <w:sz w:val="16"/>
                <w:szCs w:val="16"/>
                <w:lang w:val="fr-FR"/>
              </w:rPr>
              <w:t xml:space="preserve"> opérationnelles</w:t>
            </w:r>
            <w:r w:rsidRPr="00690982">
              <w:rPr>
                <w:sz w:val="16"/>
                <w:szCs w:val="16"/>
                <w:lang w:val="fr-FR"/>
              </w:rPr>
              <w:t>)</w:t>
            </w:r>
          </w:p>
          <w:p w14:paraId="3056D904" w14:textId="34C10610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Temps supplémentaire nécessaire au Secrétariat pour :</w:t>
            </w:r>
            <w:r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0ED040BA" w14:textId="0C41C572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t</w:t>
            </w:r>
            <w:r w:rsidR="00F232C8">
              <w:rPr>
                <w:sz w:val="16"/>
                <w:szCs w:val="16"/>
                <w:lang w:val="fr-FR"/>
              </w:rPr>
              <w:t xml:space="preserve">raitement des </w:t>
            </w:r>
            <w:r w:rsidR="00F13A98">
              <w:rPr>
                <w:sz w:val="16"/>
                <w:szCs w:val="16"/>
                <w:lang w:val="fr-FR"/>
              </w:rPr>
              <w:t>dossiers</w:t>
            </w:r>
            <w:r w:rsidR="00F232C8">
              <w:rPr>
                <w:sz w:val="16"/>
                <w:szCs w:val="16"/>
                <w:lang w:val="fr-FR"/>
              </w:rPr>
              <w:t xml:space="preserve"> supplémentaires </w:t>
            </w:r>
            <w:r w:rsidR="00F232C8" w:rsidRPr="00690982">
              <w:rPr>
                <w:sz w:val="16"/>
                <w:szCs w:val="16"/>
                <w:lang w:val="fr-FR"/>
              </w:rPr>
              <w:t>(correspond</w:t>
            </w:r>
            <w:r w:rsidR="00F232C8">
              <w:rPr>
                <w:sz w:val="16"/>
                <w:szCs w:val="16"/>
                <w:lang w:val="fr-FR"/>
              </w:rPr>
              <w:t>a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nce, </w:t>
            </w:r>
            <w:r w:rsidR="00F232C8">
              <w:rPr>
                <w:sz w:val="16"/>
                <w:szCs w:val="16"/>
                <w:lang w:val="fr-FR"/>
              </w:rPr>
              <w:t xml:space="preserve">vérification </w:t>
            </w:r>
            <w:r>
              <w:rPr>
                <w:sz w:val="16"/>
                <w:szCs w:val="16"/>
                <w:lang w:val="fr-FR"/>
              </w:rPr>
              <w:t>de la complétude</w:t>
            </w:r>
            <w:r w:rsidR="00F232C8" w:rsidRPr="00690982">
              <w:rPr>
                <w:sz w:val="16"/>
                <w:szCs w:val="16"/>
                <w:lang w:val="fr-FR"/>
              </w:rPr>
              <w:t>, etc.)</w:t>
            </w:r>
          </w:p>
          <w:p w14:paraId="664FE3FA" w14:textId="12CD51F1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 xml:space="preserve">ours de réunion supplémentaires pour parvenir à un 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consensus </w:t>
            </w:r>
            <w:r w:rsidR="00F232C8">
              <w:rPr>
                <w:sz w:val="16"/>
                <w:szCs w:val="16"/>
                <w:lang w:val="fr-FR"/>
              </w:rPr>
              <w:t xml:space="preserve">sur un nombre plus important de </w:t>
            </w:r>
            <w:r w:rsidR="00F13A98">
              <w:rPr>
                <w:sz w:val="16"/>
                <w:szCs w:val="16"/>
                <w:lang w:val="fr-FR"/>
              </w:rPr>
              <w:t>dossiers</w:t>
            </w:r>
          </w:p>
          <w:p w14:paraId="21E9E7CE" w14:textId="26B28D55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>ours de réunion supplémentaires du Comité pour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examen des points supplémentaires à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ordre du jour</w:t>
            </w:r>
          </w:p>
          <w:p w14:paraId="256E9896" w14:textId="55FB1F65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L’é</w:t>
            </w:r>
            <w:r w:rsidR="00F232C8">
              <w:rPr>
                <w:sz w:val="16"/>
                <w:szCs w:val="16"/>
                <w:lang w:val="fr-FR"/>
              </w:rPr>
              <w:t xml:space="preserve">laboration des documents de réunion supplémentaires </w:t>
            </w:r>
            <w:r>
              <w:rPr>
                <w:sz w:val="16"/>
                <w:szCs w:val="16"/>
                <w:lang w:val="fr-FR"/>
              </w:rPr>
              <w:t>pour le</w:t>
            </w:r>
            <w:r w:rsidR="00F232C8">
              <w:rPr>
                <w:sz w:val="16"/>
                <w:szCs w:val="16"/>
                <w:lang w:val="fr-FR"/>
              </w:rPr>
              <w:t xml:space="preserve"> </w:t>
            </w:r>
            <w:r w:rsidR="00F232C8" w:rsidRPr="00690982">
              <w:rPr>
                <w:sz w:val="16"/>
                <w:szCs w:val="16"/>
                <w:lang w:val="fr-FR"/>
              </w:rPr>
              <w:t>Com</w:t>
            </w:r>
            <w:r w:rsidR="00F232C8">
              <w:rPr>
                <w:sz w:val="16"/>
                <w:szCs w:val="16"/>
                <w:lang w:val="fr-FR"/>
              </w:rPr>
              <w:t>ité</w:t>
            </w:r>
          </w:p>
          <w:p w14:paraId="1EE088A9" w14:textId="6F1B5CBC" w:rsidR="00F232C8" w:rsidRPr="00690982" w:rsidRDefault="00EC2342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</w:t>
            </w:r>
            <w:r w:rsidR="00F232C8">
              <w:rPr>
                <w:sz w:val="16"/>
                <w:szCs w:val="16"/>
                <w:lang w:val="fr-FR"/>
              </w:rPr>
              <w:t>essources financières</w:t>
            </w:r>
            <w:r>
              <w:rPr>
                <w:sz w:val="16"/>
                <w:szCs w:val="16"/>
                <w:lang w:val="fr-FR"/>
              </w:rPr>
              <w:t xml:space="preserve"> supplémentaires pour</w:t>
            </w:r>
            <w:r w:rsidR="00F232C8">
              <w:rPr>
                <w:sz w:val="16"/>
                <w:szCs w:val="16"/>
                <w:lang w:val="fr-FR"/>
              </w:rPr>
              <w:t xml:space="preserve"> :</w:t>
            </w:r>
          </w:p>
          <w:p w14:paraId="26E790E4" w14:textId="24A435C3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</w:t>
            </w:r>
            <w:r w:rsidR="00F232C8">
              <w:rPr>
                <w:sz w:val="16"/>
                <w:szCs w:val="16"/>
                <w:lang w:val="fr-FR"/>
              </w:rPr>
              <w:t xml:space="preserve">oûts de traduction des </w:t>
            </w:r>
            <w:r w:rsidR="00F13A98">
              <w:rPr>
                <w:sz w:val="16"/>
                <w:szCs w:val="16"/>
                <w:lang w:val="fr-FR"/>
              </w:rPr>
              <w:t>dossiers</w:t>
            </w:r>
            <w:r w:rsidR="00F232C8">
              <w:rPr>
                <w:sz w:val="16"/>
                <w:szCs w:val="16"/>
                <w:lang w:val="fr-FR"/>
              </w:rPr>
              <w:t xml:space="preserve"> supplémentaires</w:t>
            </w:r>
          </w:p>
          <w:p w14:paraId="1CAE37F9" w14:textId="0AA2154C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c</w:t>
            </w:r>
            <w:r w:rsidR="00F232C8">
              <w:rPr>
                <w:sz w:val="16"/>
                <w:szCs w:val="16"/>
                <w:lang w:val="fr-FR"/>
              </w:rPr>
              <w:t>oûts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 w:rsidRPr="00690982">
              <w:rPr>
                <w:sz w:val="16"/>
                <w:szCs w:val="16"/>
                <w:lang w:val="fr-FR"/>
              </w:rPr>
              <w:t>organi</w:t>
            </w:r>
            <w:r w:rsidR="00F232C8">
              <w:rPr>
                <w:sz w:val="16"/>
                <w:szCs w:val="16"/>
                <w:lang w:val="fr-FR"/>
              </w:rPr>
              <w:t>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ation </w:t>
            </w:r>
            <w:r w:rsidR="00F232C8">
              <w:rPr>
                <w:sz w:val="16"/>
                <w:szCs w:val="16"/>
                <w:lang w:val="fr-FR"/>
              </w:rPr>
              <w:t xml:space="preserve">de la réunion </w:t>
            </w:r>
            <w:r w:rsidR="00F232C8" w:rsidRPr="00690982">
              <w:rPr>
                <w:sz w:val="16"/>
                <w:szCs w:val="16"/>
                <w:lang w:val="fr-FR"/>
              </w:rPr>
              <w:t>(interpr</w:t>
            </w:r>
            <w:r w:rsidR="00F232C8">
              <w:rPr>
                <w:sz w:val="16"/>
                <w:szCs w:val="16"/>
                <w:lang w:val="fr-FR"/>
              </w:rPr>
              <w:t>é</w:t>
            </w:r>
            <w:r w:rsidR="00F232C8" w:rsidRPr="00690982">
              <w:rPr>
                <w:sz w:val="16"/>
                <w:szCs w:val="16"/>
                <w:lang w:val="fr-FR"/>
              </w:rPr>
              <w:t>tation, technici</w:t>
            </w:r>
            <w:r w:rsidR="00F232C8">
              <w:rPr>
                <w:sz w:val="16"/>
                <w:szCs w:val="16"/>
                <w:lang w:val="fr-FR"/>
              </w:rPr>
              <w:t>e</w:t>
            </w:r>
            <w:r w:rsidR="00F232C8" w:rsidRPr="00690982">
              <w:rPr>
                <w:sz w:val="16"/>
                <w:szCs w:val="16"/>
                <w:lang w:val="fr-FR"/>
              </w:rPr>
              <w:t>ns</w:t>
            </w:r>
            <w:r w:rsidR="00F232C8">
              <w:rPr>
                <w:sz w:val="16"/>
                <w:szCs w:val="16"/>
                <w:lang w:val="fr-FR"/>
              </w:rPr>
              <w:t>,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etc</w:t>
            </w:r>
            <w:r w:rsidR="00F232C8">
              <w:rPr>
                <w:sz w:val="16"/>
                <w:szCs w:val="16"/>
                <w:lang w:val="fr-FR"/>
              </w:rPr>
              <w:t>.</w:t>
            </w:r>
            <w:r w:rsidR="00F232C8" w:rsidRPr="00690982">
              <w:rPr>
                <w:sz w:val="16"/>
                <w:szCs w:val="16"/>
                <w:lang w:val="fr-FR"/>
              </w:rPr>
              <w:t>)</w:t>
            </w:r>
            <w:r w:rsidR="00F232C8">
              <w:rPr>
                <w:sz w:val="16"/>
                <w:szCs w:val="16"/>
                <w:lang w:val="fr-FR"/>
              </w:rPr>
              <w:t xml:space="preserve"> correspondant aux jours de réunion supplémentaires</w:t>
            </w:r>
            <w:r w:rsidR="00F232C8" w:rsidRPr="00690982">
              <w:rPr>
                <w:sz w:val="16"/>
                <w:szCs w:val="16"/>
                <w:lang w:val="fr-FR"/>
              </w:rPr>
              <w:t xml:space="preserve"> </w:t>
            </w:r>
          </w:p>
          <w:p w14:paraId="62A60753" w14:textId="31D901BB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 t</w:t>
            </w:r>
            <w:r w:rsidR="00F232C8">
              <w:rPr>
                <w:sz w:val="16"/>
                <w:szCs w:val="16"/>
                <w:lang w:val="fr-FR"/>
              </w:rPr>
              <w:t xml:space="preserve">raduction des documents de la réunion </w:t>
            </w:r>
          </w:p>
          <w:p w14:paraId="1673DA04" w14:textId="2C0B9A78" w:rsidR="00F232C8" w:rsidRPr="00690982" w:rsidRDefault="00F232C8" w:rsidP="00C8346B">
            <w:pPr>
              <w:pStyle w:val="1GAPara"/>
              <w:numPr>
                <w:ilvl w:val="0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Ressources supplémentaires </w:t>
            </w:r>
            <w:r w:rsidRPr="00690982">
              <w:rPr>
                <w:sz w:val="16"/>
                <w:szCs w:val="16"/>
                <w:lang w:val="fr-FR"/>
              </w:rPr>
              <w:t>(</w:t>
            </w:r>
            <w:r>
              <w:rPr>
                <w:sz w:val="16"/>
                <w:szCs w:val="16"/>
                <w:lang w:val="fr-FR"/>
              </w:rPr>
              <w:t xml:space="preserve">du Fonds du </w:t>
            </w:r>
            <w:r w:rsidRPr="0043162A">
              <w:rPr>
                <w:sz w:val="16"/>
                <w:szCs w:val="16"/>
                <w:lang w:val="fr-FR"/>
              </w:rPr>
              <w:t>patrimoine culturel immatériel</w:t>
            </w:r>
            <w:r w:rsidRPr="00690982">
              <w:rPr>
                <w:sz w:val="16"/>
                <w:szCs w:val="16"/>
                <w:lang w:val="fr-FR"/>
              </w:rPr>
              <w:t xml:space="preserve">) </w:t>
            </w:r>
            <w:r>
              <w:rPr>
                <w:sz w:val="16"/>
                <w:szCs w:val="16"/>
                <w:lang w:val="fr-FR"/>
              </w:rPr>
              <w:t xml:space="preserve">pour </w:t>
            </w:r>
            <w:r w:rsidRPr="00690982">
              <w:rPr>
                <w:sz w:val="16"/>
                <w:szCs w:val="16"/>
                <w:lang w:val="fr-FR"/>
              </w:rPr>
              <w:t>:</w:t>
            </w:r>
          </w:p>
          <w:p w14:paraId="757F7D47" w14:textId="0D314779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t</w:t>
            </w:r>
            <w:r w:rsidR="00F232C8">
              <w:rPr>
                <w:sz w:val="16"/>
                <w:szCs w:val="16"/>
                <w:lang w:val="fr-FR"/>
              </w:rPr>
              <w:t>rava</w:t>
            </w:r>
            <w:r>
              <w:rPr>
                <w:sz w:val="16"/>
                <w:szCs w:val="16"/>
                <w:lang w:val="fr-FR"/>
              </w:rPr>
              <w:t>ux</w:t>
            </w:r>
            <w:r w:rsidR="00F232C8">
              <w:rPr>
                <w:sz w:val="16"/>
                <w:szCs w:val="16"/>
                <w:lang w:val="fr-FR"/>
              </w:rPr>
              <w:t xml:space="preserve">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 xml:space="preserve">évaluation sur les </w:t>
            </w:r>
            <w:r w:rsidR="00F13A98">
              <w:rPr>
                <w:sz w:val="16"/>
                <w:szCs w:val="16"/>
                <w:lang w:val="fr-FR"/>
              </w:rPr>
              <w:t>dossiers</w:t>
            </w:r>
            <w:r w:rsidR="00F232C8">
              <w:rPr>
                <w:sz w:val="16"/>
                <w:szCs w:val="16"/>
                <w:lang w:val="fr-FR"/>
              </w:rPr>
              <w:t xml:space="preserve"> supplémentaires</w:t>
            </w:r>
          </w:p>
          <w:p w14:paraId="36F604FB" w14:textId="1A12EDBF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>ours de réunion supplémentaires des membres de l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Organe d</w:t>
            </w:r>
            <w:r w:rsidR="00FE6112">
              <w:rPr>
                <w:sz w:val="16"/>
                <w:szCs w:val="16"/>
                <w:lang w:val="fr-FR"/>
              </w:rPr>
              <w:t>’</w:t>
            </w:r>
            <w:r w:rsidR="00F232C8">
              <w:rPr>
                <w:sz w:val="16"/>
                <w:szCs w:val="16"/>
                <w:lang w:val="fr-FR"/>
              </w:rPr>
              <w:t>évaluation</w:t>
            </w:r>
          </w:p>
          <w:p w14:paraId="1729D226" w14:textId="53669D3D" w:rsidR="00F232C8" w:rsidRPr="00690982" w:rsidRDefault="00EC2342" w:rsidP="00C8346B">
            <w:pPr>
              <w:pStyle w:val="1GAPara"/>
              <w:numPr>
                <w:ilvl w:val="1"/>
                <w:numId w:val="48"/>
              </w:numPr>
              <w:spacing w:after="6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Les j</w:t>
            </w:r>
            <w:r w:rsidR="00F232C8">
              <w:rPr>
                <w:sz w:val="16"/>
                <w:szCs w:val="16"/>
                <w:lang w:val="fr-FR"/>
              </w:rPr>
              <w:t>ours de réunion supplémentaire</w:t>
            </w:r>
            <w:r>
              <w:rPr>
                <w:sz w:val="16"/>
                <w:szCs w:val="16"/>
                <w:lang w:val="fr-FR"/>
              </w:rPr>
              <w:t>s</w:t>
            </w:r>
            <w:r w:rsidR="00F232C8">
              <w:rPr>
                <w:sz w:val="16"/>
                <w:szCs w:val="16"/>
                <w:lang w:val="fr-FR"/>
              </w:rPr>
              <w:t xml:space="preserve"> des membres du </w:t>
            </w:r>
            <w:r w:rsidR="00F232C8" w:rsidRPr="00690982">
              <w:rPr>
                <w:sz w:val="16"/>
                <w:szCs w:val="16"/>
                <w:lang w:val="fr-FR"/>
              </w:rPr>
              <w:t>Comité</w:t>
            </w:r>
          </w:p>
        </w:tc>
      </w:tr>
    </w:tbl>
    <w:p w14:paraId="6C6A2EE2" w14:textId="77777777" w:rsidR="00F232C8" w:rsidRPr="00690982" w:rsidRDefault="00F232C8" w:rsidP="00F232C8">
      <w:pPr>
        <w:pStyle w:val="1GAPara"/>
        <w:numPr>
          <w:ilvl w:val="0"/>
          <w:numId w:val="0"/>
        </w:numPr>
        <w:ind w:left="567"/>
        <w:jc w:val="both"/>
        <w:rPr>
          <w:lang w:val="fr-FR"/>
        </w:rPr>
      </w:pPr>
    </w:p>
    <w:p w14:paraId="40957F66" w14:textId="13E7C00B" w:rsidR="00F232C8" w:rsidRPr="00690982" w:rsidRDefault="00F232C8" w:rsidP="00F232C8">
      <w:pPr>
        <w:pStyle w:val="1GAPara"/>
        <w:numPr>
          <w:ilvl w:val="0"/>
          <w:numId w:val="68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En complément de la </w:t>
      </w:r>
      <w:r w:rsidRPr="00690982">
        <w:rPr>
          <w:lang w:val="fr-FR"/>
        </w:rPr>
        <w:t>proc</w:t>
      </w:r>
      <w:r>
        <w:rPr>
          <w:lang w:val="fr-FR"/>
        </w:rPr>
        <w:t>é</w:t>
      </w:r>
      <w:r w:rsidRPr="00690982">
        <w:rPr>
          <w:lang w:val="fr-FR"/>
        </w:rPr>
        <w:t xml:space="preserve">dure </w:t>
      </w:r>
      <w:r>
        <w:rPr>
          <w:lang w:val="fr-FR"/>
        </w:rPr>
        <w:t>décrite ci-dessus</w:t>
      </w:r>
      <w:r w:rsidRPr="00690982">
        <w:rPr>
          <w:lang w:val="fr-FR"/>
        </w:rPr>
        <w:t xml:space="preserve">, </w:t>
      </w:r>
      <w:r>
        <w:rPr>
          <w:lang w:val="fr-FR"/>
        </w:rPr>
        <w:t>l</w:t>
      </w:r>
      <w:r w:rsidR="00FE6112">
        <w:rPr>
          <w:lang w:val="fr-FR"/>
        </w:rPr>
        <w:t>’</w:t>
      </w:r>
      <w:r>
        <w:rPr>
          <w:lang w:val="fr-FR"/>
        </w:rPr>
        <w:t xml:space="preserve">aspect suivant doit </w:t>
      </w:r>
      <w:r w:rsidR="00EC2342">
        <w:rPr>
          <w:lang w:val="fr-FR"/>
        </w:rPr>
        <w:t xml:space="preserve">également </w:t>
      </w:r>
      <w:r>
        <w:rPr>
          <w:lang w:val="fr-FR"/>
        </w:rPr>
        <w:t>être pris en compte</w:t>
      </w:r>
      <w:r w:rsidR="00EC2342">
        <w:rPr>
          <w:lang w:val="fr-FR"/>
        </w:rPr>
        <w:t> </w:t>
      </w:r>
      <w:r w:rsidRPr="00690982">
        <w:rPr>
          <w:lang w:val="fr-FR"/>
        </w:rPr>
        <w:t>:</w:t>
      </w:r>
    </w:p>
    <w:p w14:paraId="42454A17" w14:textId="55710C84" w:rsidR="00F232C8" w:rsidRPr="00690982" w:rsidRDefault="00F232C8" w:rsidP="00F232C8">
      <w:pPr>
        <w:pStyle w:val="1GAPara"/>
        <w:numPr>
          <w:ilvl w:val="0"/>
          <w:numId w:val="101"/>
        </w:numPr>
        <w:ind w:left="993" w:hanging="426"/>
        <w:jc w:val="both"/>
        <w:rPr>
          <w:lang w:val="fr-FR"/>
        </w:rPr>
      </w:pPr>
      <w:r>
        <w:rPr>
          <w:lang w:val="fr-FR"/>
        </w:rPr>
        <w:t>La demande d</w:t>
      </w:r>
      <w:r w:rsidR="00FE6112">
        <w:rPr>
          <w:lang w:val="fr-FR"/>
        </w:rPr>
        <w:t>’</w:t>
      </w:r>
      <w:r w:rsidRPr="00690982">
        <w:rPr>
          <w:lang w:val="fr-FR"/>
        </w:rPr>
        <w:t xml:space="preserve">extension </w:t>
      </w:r>
      <w:r>
        <w:rPr>
          <w:lang w:val="fr-FR"/>
        </w:rPr>
        <w:t xml:space="preserve">sera-t-elle traitée comme faisant partie du plafond annuel des </w:t>
      </w:r>
      <w:r w:rsidR="00F13A98">
        <w:rPr>
          <w:lang w:val="fr-FR"/>
        </w:rPr>
        <w:t>dossiers</w:t>
      </w:r>
      <w:r>
        <w:rPr>
          <w:lang w:val="fr-FR"/>
        </w:rPr>
        <w:t xml:space="preserve"> à examiner et dans le cadre des </w:t>
      </w:r>
      <w:r w:rsidRPr="00690982">
        <w:rPr>
          <w:rFonts w:eastAsia="Arial"/>
          <w:lang w:val="fr-FR" w:bidi="en-US"/>
        </w:rPr>
        <w:t>priorit</w:t>
      </w:r>
      <w:r>
        <w:rPr>
          <w:rFonts w:eastAsia="Arial"/>
          <w:lang w:val="fr-FR" w:bidi="en-US"/>
        </w:rPr>
        <w:t xml:space="preserve">és définies par le </w:t>
      </w:r>
      <w:r w:rsidRPr="00690982">
        <w:rPr>
          <w:rFonts w:eastAsia="Arial"/>
          <w:lang w:val="fr-FR" w:bidi="en-US"/>
        </w:rPr>
        <w:t>paragraph</w:t>
      </w:r>
      <w:r>
        <w:rPr>
          <w:rFonts w:eastAsia="Arial"/>
          <w:lang w:val="fr-FR" w:bidi="en-US"/>
        </w:rPr>
        <w:t>e</w:t>
      </w:r>
      <w:r w:rsidRPr="00690982">
        <w:rPr>
          <w:rFonts w:eastAsia="Arial"/>
          <w:lang w:val="fr-FR" w:bidi="en-US"/>
        </w:rPr>
        <w:t xml:space="preserve"> 34 </w:t>
      </w:r>
      <w:r>
        <w:rPr>
          <w:rFonts w:eastAsia="Arial"/>
          <w:lang w:val="fr-FR" w:bidi="en-US"/>
        </w:rPr>
        <w:t xml:space="preserve">des </w:t>
      </w:r>
      <w:r w:rsidRPr="00690982">
        <w:rPr>
          <w:rFonts w:eastAsia="Arial"/>
          <w:lang w:val="fr-FR" w:bidi="en-US"/>
        </w:rPr>
        <w:t>Directives</w:t>
      </w:r>
      <w:r>
        <w:rPr>
          <w:rFonts w:eastAsia="Arial"/>
          <w:lang w:val="fr-FR" w:bidi="en-US"/>
        </w:rPr>
        <w:t xml:space="preserve"> opérationnelles </w:t>
      </w:r>
      <w:r w:rsidRPr="00690982">
        <w:rPr>
          <w:lang w:val="fr-FR"/>
        </w:rPr>
        <w:t xml:space="preserve">? </w:t>
      </w:r>
      <w:r w:rsidR="002A3DE4">
        <w:rPr>
          <w:lang w:val="fr-FR"/>
        </w:rPr>
        <w:t>Dans le cas contraire</w:t>
      </w:r>
      <w:r>
        <w:rPr>
          <w:lang w:val="fr-FR"/>
        </w:rPr>
        <w:t xml:space="preserve">, comment le </w:t>
      </w:r>
      <w:r w:rsidRPr="00690982">
        <w:rPr>
          <w:lang w:val="fr-FR"/>
        </w:rPr>
        <w:t>Secr</w:t>
      </w:r>
      <w:r>
        <w:rPr>
          <w:lang w:val="fr-FR"/>
        </w:rPr>
        <w:t>é</w:t>
      </w:r>
      <w:r w:rsidRPr="00690982">
        <w:rPr>
          <w:lang w:val="fr-FR"/>
        </w:rPr>
        <w:t xml:space="preserve">tariat </w:t>
      </w:r>
      <w:r>
        <w:rPr>
          <w:lang w:val="fr-FR"/>
        </w:rPr>
        <w:t>et l</w:t>
      </w:r>
      <w:r w:rsidR="00FE6112">
        <w:rPr>
          <w:lang w:val="fr-FR"/>
        </w:rPr>
        <w:t>’</w:t>
      </w:r>
      <w:r>
        <w:rPr>
          <w:lang w:val="fr-FR"/>
        </w:rPr>
        <w:t>Organe d</w:t>
      </w:r>
      <w:r w:rsidR="00FE6112">
        <w:rPr>
          <w:lang w:val="fr-FR"/>
        </w:rPr>
        <w:t>’</w:t>
      </w:r>
      <w:r>
        <w:rPr>
          <w:lang w:val="fr-FR"/>
        </w:rPr>
        <w:t xml:space="preserve">évaluation vont-ils </w:t>
      </w:r>
      <w:r w:rsidRPr="00690982">
        <w:rPr>
          <w:lang w:val="fr-FR"/>
        </w:rPr>
        <w:t>absorb</w:t>
      </w:r>
      <w:r>
        <w:rPr>
          <w:lang w:val="fr-FR"/>
        </w:rPr>
        <w:t>er la charge de travail supplémentaire </w:t>
      </w:r>
      <w:r w:rsidRPr="00690982">
        <w:rPr>
          <w:lang w:val="fr-FR"/>
        </w:rPr>
        <w:t>?</w:t>
      </w:r>
    </w:p>
    <w:sectPr w:rsidR="00F232C8" w:rsidRPr="00690982" w:rsidSect="002938F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6832A" w14:textId="77777777" w:rsidR="00CF0560" w:rsidRDefault="00CF0560" w:rsidP="002938F2">
      <w:r>
        <w:separator/>
      </w:r>
    </w:p>
    <w:p w14:paraId="1B62B08F" w14:textId="77777777" w:rsidR="00CF0560" w:rsidRDefault="00CF0560"/>
  </w:endnote>
  <w:endnote w:type="continuationSeparator" w:id="0">
    <w:p w14:paraId="3883FE57" w14:textId="77777777" w:rsidR="00CF0560" w:rsidRDefault="00CF0560" w:rsidP="002938F2">
      <w:r>
        <w:continuationSeparator/>
      </w:r>
    </w:p>
    <w:p w14:paraId="3AC130DD" w14:textId="77777777" w:rsidR="00CF0560" w:rsidRDefault="00CF0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FC90" w14:textId="77777777" w:rsidR="00B4319F" w:rsidRDefault="00B431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0F730" w14:textId="77777777" w:rsidR="00B4319F" w:rsidRDefault="00B431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DDA9" w14:textId="77777777" w:rsidR="00B4319F" w:rsidRDefault="00B431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448AD" w14:textId="77777777" w:rsidR="00CF0560" w:rsidRDefault="00CF0560" w:rsidP="002938F2">
      <w:r>
        <w:separator/>
      </w:r>
    </w:p>
    <w:p w14:paraId="6CA4DA9A" w14:textId="77777777" w:rsidR="00CF0560" w:rsidRDefault="00CF0560"/>
  </w:footnote>
  <w:footnote w:type="continuationSeparator" w:id="0">
    <w:p w14:paraId="7B250A83" w14:textId="77777777" w:rsidR="00CF0560" w:rsidRDefault="00CF0560" w:rsidP="002938F2">
      <w:r>
        <w:continuationSeparator/>
      </w:r>
    </w:p>
    <w:p w14:paraId="57112E70" w14:textId="77777777" w:rsidR="00CF0560" w:rsidRDefault="00CF0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ADAF" w14:textId="5584F13A" w:rsidR="00CF0560" w:rsidRPr="002B7155" w:rsidRDefault="00CF0560" w:rsidP="007E4E37">
    <w:pPr>
      <w:pStyle w:val="En-tte"/>
      <w:rPr>
        <w:rFonts w:ascii="Arial" w:hAnsi="Arial" w:cs="Arial"/>
        <w:lang w:val="fr-FR"/>
      </w:rPr>
    </w:pPr>
    <w:r w:rsidRPr="002B7155">
      <w:rPr>
        <w:rFonts w:ascii="Arial" w:hAnsi="Arial" w:cs="Arial"/>
        <w:sz w:val="20"/>
        <w:szCs w:val="20"/>
        <w:lang w:val="fr-FR"/>
      </w:rPr>
      <w:t>LHE/21/1</w:t>
    </w:r>
    <w:r w:rsidRPr="002B7155">
      <w:rPr>
        <w:rFonts w:ascii="Arial" w:eastAsiaTheme="minorEastAsia" w:hAnsi="Arial" w:cs="Arial"/>
        <w:sz w:val="20"/>
        <w:szCs w:val="20"/>
        <w:lang w:val="fr-FR" w:eastAsia="ko-KR"/>
      </w:rPr>
      <w:t>6</w:t>
    </w:r>
    <w:r w:rsidRPr="002B7155">
      <w:rPr>
        <w:rFonts w:ascii="Arial" w:hAnsi="Arial" w:cs="Arial"/>
        <w:sz w:val="20"/>
        <w:szCs w:val="20"/>
        <w:lang w:val="fr-FR"/>
      </w:rPr>
      <w:t>.COM</w:t>
    </w:r>
    <w:r w:rsidRPr="002B7155">
      <w:rPr>
        <w:rFonts w:ascii="Arial" w:eastAsiaTheme="minorEastAsia" w:hAnsi="Arial" w:cs="Arial" w:hint="eastAsia"/>
        <w:sz w:val="20"/>
        <w:szCs w:val="20"/>
        <w:lang w:val="fr-FR" w:eastAsia="ko-KR"/>
      </w:rPr>
      <w:t xml:space="preserve"> WG</w:t>
    </w:r>
    <w:r w:rsidRPr="002B7155">
      <w:rPr>
        <w:rFonts w:ascii="Arial" w:hAnsi="Arial" w:cs="Arial"/>
        <w:sz w:val="20"/>
        <w:szCs w:val="20"/>
        <w:lang w:val="fr-FR"/>
      </w:rPr>
      <w:t>/</w:t>
    </w:r>
    <w:r>
      <w:rPr>
        <w:rFonts w:ascii="Arial" w:eastAsiaTheme="minorEastAsia" w:hAnsi="Arial" w:cs="Arial"/>
        <w:sz w:val="20"/>
        <w:szCs w:val="20"/>
        <w:lang w:val="fr-FR" w:eastAsia="ko-KR"/>
      </w:rPr>
      <w:t>6</w:t>
    </w:r>
    <w:r w:rsidRPr="002B7155">
      <w:rPr>
        <w:rFonts w:ascii="Arial" w:hAnsi="Arial" w:cs="Arial"/>
        <w:sz w:val="20"/>
        <w:szCs w:val="20"/>
        <w:lang w:val="fr-FR"/>
      </w:rPr>
      <w:t xml:space="preserve"> – page </w:t>
    </w:r>
    <w:r w:rsidRPr="00D81948">
      <w:rPr>
        <w:rStyle w:val="Numrodepage"/>
        <w:rFonts w:ascii="Arial" w:hAnsi="Arial" w:cs="Arial"/>
        <w:sz w:val="20"/>
        <w:szCs w:val="20"/>
      </w:rPr>
      <w:fldChar w:fldCharType="begin"/>
    </w:r>
    <w:r w:rsidRPr="002B7155">
      <w:rPr>
        <w:rStyle w:val="Numrodepage"/>
        <w:rFonts w:ascii="Arial" w:hAnsi="Arial" w:cs="Arial"/>
        <w:sz w:val="20"/>
        <w:szCs w:val="20"/>
        <w:lang w:val="fr-FR"/>
      </w:rPr>
      <w:instrText xml:space="preserve"> PAGE </w:instrText>
    </w:r>
    <w:r w:rsidRPr="00D81948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  <w:lang w:val="fr-FR"/>
      </w:rPr>
      <w:t>12</w:t>
    </w:r>
    <w:r w:rsidRPr="00D81948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BD0B" w14:textId="695D8638" w:rsidR="00CF0560" w:rsidRPr="007E4E37" w:rsidRDefault="00CF0560" w:rsidP="007250E3">
    <w:pPr>
      <w:pStyle w:val="En-tte"/>
      <w:ind w:left="2544" w:firstLine="3693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LHE/21/1</w:t>
    </w:r>
    <w:r>
      <w:rPr>
        <w:rFonts w:ascii="Arial" w:eastAsiaTheme="minorEastAsia" w:hAnsi="Arial" w:cs="Arial"/>
        <w:sz w:val="20"/>
        <w:szCs w:val="20"/>
        <w:lang w:val="en-US" w:eastAsia="ko-KR"/>
      </w:rPr>
      <w:t>6</w:t>
    </w:r>
    <w:r>
      <w:rPr>
        <w:rFonts w:ascii="Arial" w:hAnsi="Arial" w:cs="Arial"/>
        <w:sz w:val="20"/>
        <w:szCs w:val="20"/>
        <w:lang w:val="en-US"/>
      </w:rPr>
      <w:t>.COM</w:t>
    </w:r>
    <w:r>
      <w:rPr>
        <w:rFonts w:ascii="Arial" w:eastAsiaTheme="minorEastAsia" w:hAnsi="Arial" w:cs="Arial" w:hint="eastAsia"/>
        <w:sz w:val="20"/>
        <w:szCs w:val="20"/>
        <w:lang w:val="en-US" w:eastAsia="ko-KR"/>
      </w:rPr>
      <w:t xml:space="preserve"> WG</w:t>
    </w:r>
    <w:r>
      <w:rPr>
        <w:rFonts w:ascii="Arial" w:hAnsi="Arial" w:cs="Arial"/>
        <w:sz w:val="20"/>
        <w:szCs w:val="20"/>
        <w:lang w:val="en-US"/>
      </w:rPr>
      <w:t>/</w:t>
    </w:r>
    <w:r>
      <w:rPr>
        <w:rFonts w:ascii="Arial" w:eastAsiaTheme="minorEastAsia" w:hAnsi="Arial" w:cs="Arial"/>
        <w:sz w:val="20"/>
        <w:szCs w:val="20"/>
        <w:lang w:val="en-US" w:eastAsia="ko-KR"/>
      </w:rPr>
      <w:t>6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Numrodepage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  <w:lang w:val="en-US"/>
      </w:rPr>
      <w:t>13</w:t>
    </w:r>
    <w:r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2C8B6" w14:textId="14FEF214" w:rsidR="00CF0560" w:rsidRPr="008724E5" w:rsidRDefault="00B4319F">
    <w:pPr>
      <w:pStyle w:val="En-tte"/>
    </w:pPr>
    <w:r>
      <w:rPr>
        <w:noProof/>
      </w:rPr>
      <w:drawing>
        <wp:inline distT="0" distB="0" distL="0" distR="0" wp14:anchorId="13999447" wp14:editId="05DA2550">
          <wp:extent cx="1644015" cy="988695"/>
          <wp:effectExtent l="0" t="0" r="0" b="190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AC81C" w14:textId="6640EA2C" w:rsidR="00CF0560" w:rsidRPr="003519FF" w:rsidRDefault="00CF0560" w:rsidP="002938F2">
    <w:pPr>
      <w:pStyle w:val="En-tte"/>
      <w:spacing w:after="520"/>
      <w:jc w:val="right"/>
      <w:rPr>
        <w:rFonts w:ascii="Arial" w:eastAsiaTheme="minorEastAsia" w:hAnsi="Arial" w:cs="Arial"/>
        <w:b/>
        <w:sz w:val="44"/>
        <w:szCs w:val="44"/>
        <w:lang w:val="pt-PT" w:eastAsia="ko-KR"/>
      </w:rPr>
    </w:pPr>
    <w:r w:rsidRPr="003519FF">
      <w:rPr>
        <w:rFonts w:ascii="Arial" w:hAnsi="Arial" w:cs="Arial"/>
        <w:b/>
        <w:sz w:val="44"/>
        <w:szCs w:val="44"/>
        <w:lang w:val="pt-PT"/>
      </w:rPr>
      <w:t>1</w:t>
    </w:r>
    <w:r w:rsidRPr="003519FF">
      <w:rPr>
        <w:rFonts w:ascii="Arial" w:eastAsiaTheme="minorEastAsia" w:hAnsi="Arial" w:cs="Arial"/>
        <w:b/>
        <w:sz w:val="44"/>
        <w:szCs w:val="44"/>
        <w:lang w:val="pt-PT" w:eastAsia="ko-KR"/>
      </w:rPr>
      <w:t>6</w:t>
    </w:r>
    <w:r w:rsidRPr="003519FF">
      <w:rPr>
        <w:rFonts w:ascii="Arial" w:hAnsi="Arial" w:cs="Arial"/>
        <w:b/>
        <w:sz w:val="44"/>
        <w:szCs w:val="44"/>
        <w:lang w:val="pt-PT"/>
      </w:rPr>
      <w:t xml:space="preserve"> COM</w:t>
    </w:r>
    <w:r w:rsidRPr="003519FF">
      <w:rPr>
        <w:rFonts w:ascii="Arial" w:eastAsiaTheme="minorEastAsia" w:hAnsi="Arial" w:cs="Arial" w:hint="eastAsia"/>
        <w:b/>
        <w:sz w:val="44"/>
        <w:szCs w:val="44"/>
        <w:lang w:val="pt-PT" w:eastAsia="ko-KR"/>
      </w:rPr>
      <w:t xml:space="preserve"> WG</w:t>
    </w:r>
  </w:p>
  <w:p w14:paraId="122B936C" w14:textId="327730BD" w:rsidR="00CF0560" w:rsidRPr="00485CF9" w:rsidRDefault="00CF0560" w:rsidP="002D396D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485CF9">
      <w:rPr>
        <w:rFonts w:ascii="Arial" w:hAnsi="Arial" w:cs="Arial"/>
        <w:b/>
        <w:szCs w:val="22"/>
        <w:lang w:val="pt-PT"/>
      </w:rPr>
      <w:t>LHE/21/1</w:t>
    </w:r>
    <w:r w:rsidRPr="00485CF9">
      <w:rPr>
        <w:rFonts w:ascii="Arial" w:eastAsiaTheme="minorEastAsia" w:hAnsi="Arial" w:cs="Arial"/>
        <w:b/>
        <w:szCs w:val="22"/>
        <w:lang w:val="pt-PT" w:eastAsia="ko-KR"/>
      </w:rPr>
      <w:t>6</w:t>
    </w:r>
    <w:r w:rsidRPr="00485CF9">
      <w:rPr>
        <w:rFonts w:ascii="Arial" w:hAnsi="Arial" w:cs="Arial"/>
        <w:b/>
        <w:szCs w:val="22"/>
        <w:lang w:val="pt-PT"/>
      </w:rPr>
      <w:t>.COM</w:t>
    </w:r>
    <w:r w:rsidRPr="00485CF9">
      <w:rPr>
        <w:rFonts w:ascii="Arial" w:eastAsiaTheme="minorEastAsia" w:hAnsi="Arial" w:cs="Arial" w:hint="eastAsia"/>
        <w:b/>
        <w:szCs w:val="22"/>
        <w:lang w:val="pt-PT" w:eastAsia="ko-KR"/>
      </w:rPr>
      <w:t xml:space="preserve"> WG</w:t>
    </w:r>
    <w:r w:rsidRPr="00485CF9">
      <w:rPr>
        <w:rFonts w:ascii="Arial" w:hAnsi="Arial" w:cs="Arial"/>
        <w:b/>
        <w:szCs w:val="22"/>
        <w:lang w:val="pt-PT"/>
      </w:rPr>
      <w:t>/</w:t>
    </w:r>
    <w:r w:rsidRPr="00485CF9">
      <w:rPr>
        <w:rFonts w:ascii="Arial" w:eastAsiaTheme="minorEastAsia" w:hAnsi="Arial" w:cs="Arial"/>
        <w:b/>
        <w:szCs w:val="22"/>
        <w:lang w:val="pt-PT" w:eastAsia="ko-KR"/>
      </w:rPr>
      <w:t>6</w:t>
    </w:r>
  </w:p>
  <w:p w14:paraId="2CC34105" w14:textId="7D2F2677" w:rsidR="00CF0560" w:rsidRPr="00FE6112" w:rsidRDefault="00CF0560" w:rsidP="00C81439">
    <w:pPr>
      <w:spacing w:after="0"/>
      <w:jc w:val="right"/>
      <w:rPr>
        <w:rFonts w:ascii="Arial" w:eastAsiaTheme="minorEastAsia" w:hAnsi="Arial" w:cs="Arial"/>
        <w:b/>
        <w:szCs w:val="22"/>
        <w:lang w:val="fr-FR" w:eastAsia="ko-KR"/>
      </w:rPr>
    </w:pPr>
    <w:r w:rsidRPr="00FE6112">
      <w:rPr>
        <w:rFonts w:ascii="Arial" w:hAnsi="Arial" w:cs="Arial"/>
        <w:b/>
        <w:szCs w:val="22"/>
        <w:lang w:val="fr-FR"/>
      </w:rPr>
      <w:t>Paris</w:t>
    </w:r>
    <w:r w:rsidRPr="0015675A">
      <w:rPr>
        <w:rFonts w:ascii="Arial" w:hAnsi="Arial" w:cs="Arial"/>
        <w:b/>
        <w:szCs w:val="22"/>
        <w:lang w:val="fr-FR"/>
      </w:rPr>
      <w:t xml:space="preserve">, le </w:t>
    </w:r>
    <w:r w:rsidR="005418AB">
      <w:rPr>
        <w:rFonts w:ascii="Arial" w:hAnsi="Arial" w:cs="Arial"/>
        <w:b/>
        <w:szCs w:val="22"/>
        <w:lang w:val="fr-FR"/>
      </w:rPr>
      <w:t>3</w:t>
    </w:r>
    <w:r w:rsidRPr="0015675A">
      <w:rPr>
        <w:rFonts w:ascii="Arial" w:hAnsi="Arial" w:cs="Arial"/>
        <w:b/>
        <w:szCs w:val="22"/>
        <w:lang w:val="fr-FR"/>
      </w:rPr>
      <w:t xml:space="preserve"> </w:t>
    </w:r>
    <w:r w:rsidR="005418AB">
      <w:rPr>
        <w:rFonts w:ascii="Arial" w:hAnsi="Arial" w:cs="Arial"/>
        <w:b/>
        <w:szCs w:val="22"/>
        <w:lang w:val="fr-FR"/>
      </w:rPr>
      <w:t>septembre</w:t>
    </w:r>
    <w:r w:rsidRPr="0015675A">
      <w:rPr>
        <w:rFonts w:ascii="Arial" w:hAnsi="Arial" w:cs="Arial"/>
        <w:b/>
        <w:szCs w:val="22"/>
        <w:lang w:val="fr-FR"/>
      </w:rPr>
      <w:t xml:space="preserve"> 2021</w:t>
    </w:r>
  </w:p>
  <w:p w14:paraId="59A22BCA" w14:textId="3B9CE267" w:rsidR="00CF0560" w:rsidRPr="00FE6112" w:rsidRDefault="00CF0560" w:rsidP="00C81439">
    <w:pPr>
      <w:spacing w:after="0"/>
      <w:jc w:val="right"/>
      <w:rPr>
        <w:rFonts w:ascii="Arial" w:hAnsi="Arial" w:cs="Arial"/>
        <w:b/>
        <w:szCs w:val="22"/>
        <w:lang w:val="fr-FR"/>
      </w:rPr>
    </w:pPr>
    <w:r w:rsidRPr="00FE6112">
      <w:rPr>
        <w:rFonts w:ascii="Arial" w:hAnsi="Arial" w:cs="Arial"/>
        <w:b/>
        <w:szCs w:val="22"/>
        <w:lang w:val="fr-FR"/>
      </w:rPr>
      <w:t xml:space="preserve">Original : </w:t>
    </w:r>
    <w:r>
      <w:rPr>
        <w:rFonts w:ascii="Arial" w:hAnsi="Arial" w:cs="Arial"/>
        <w:b/>
        <w:szCs w:val="22"/>
        <w:lang w:val="fr-FR"/>
      </w:rPr>
      <w:t>a</w:t>
    </w:r>
    <w:r w:rsidRPr="00FE6112">
      <w:rPr>
        <w:rFonts w:ascii="Arial" w:hAnsi="Arial" w:cs="Arial"/>
        <w:b/>
        <w:szCs w:val="22"/>
        <w:lang w:val="fr-FR"/>
      </w:rPr>
      <w:t>nglais</w:t>
    </w:r>
  </w:p>
  <w:p w14:paraId="3D76CF75" w14:textId="77777777" w:rsidR="00CF0560" w:rsidRPr="00FE6112" w:rsidRDefault="00CF0560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DA4"/>
    <w:multiLevelType w:val="hybridMultilevel"/>
    <w:tmpl w:val="9E7ED87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E1B38"/>
    <w:multiLevelType w:val="hybridMultilevel"/>
    <w:tmpl w:val="1CAEB220"/>
    <w:lvl w:ilvl="0" w:tplc="114288F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05A"/>
    <w:multiLevelType w:val="hybridMultilevel"/>
    <w:tmpl w:val="0E0A16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3B6"/>
    <w:multiLevelType w:val="hybridMultilevel"/>
    <w:tmpl w:val="C10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541224B"/>
    <w:multiLevelType w:val="hybridMultilevel"/>
    <w:tmpl w:val="9F46E0CE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DA7003"/>
    <w:multiLevelType w:val="hybridMultilevel"/>
    <w:tmpl w:val="0E0A16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3F81"/>
    <w:multiLevelType w:val="hybridMultilevel"/>
    <w:tmpl w:val="EB10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F10DC"/>
    <w:multiLevelType w:val="hybridMultilevel"/>
    <w:tmpl w:val="DCC87C6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A53EB"/>
    <w:multiLevelType w:val="hybridMultilevel"/>
    <w:tmpl w:val="C0368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00EFA"/>
    <w:multiLevelType w:val="hybridMultilevel"/>
    <w:tmpl w:val="48B22692"/>
    <w:lvl w:ilvl="0" w:tplc="B2144D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F2BD1"/>
    <w:multiLevelType w:val="hybridMultilevel"/>
    <w:tmpl w:val="628066A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1E07D1"/>
    <w:multiLevelType w:val="hybridMultilevel"/>
    <w:tmpl w:val="1DF0F70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B3E4C"/>
    <w:multiLevelType w:val="hybridMultilevel"/>
    <w:tmpl w:val="C2826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7062"/>
    <w:multiLevelType w:val="hybridMultilevel"/>
    <w:tmpl w:val="12884BF8"/>
    <w:lvl w:ilvl="0" w:tplc="CBDEB2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F3D3D"/>
    <w:multiLevelType w:val="hybridMultilevel"/>
    <w:tmpl w:val="A9280B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EC79B2"/>
    <w:multiLevelType w:val="hybridMultilevel"/>
    <w:tmpl w:val="F664FB50"/>
    <w:lvl w:ilvl="0" w:tplc="040C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9"/>
  </w:num>
  <w:num w:numId="14">
    <w:abstractNumId w:val="9"/>
  </w:num>
  <w:num w:numId="15">
    <w:abstractNumId w:val="7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16"/>
  </w:num>
  <w:num w:numId="49">
    <w:abstractNumId w:val="9"/>
  </w:num>
  <w:num w:numId="50">
    <w:abstractNumId w:val="9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 w:numId="59">
    <w:abstractNumId w:val="9"/>
  </w:num>
  <w:num w:numId="60">
    <w:abstractNumId w:val="9"/>
  </w:num>
  <w:num w:numId="61">
    <w:abstractNumId w:val="9"/>
  </w:num>
  <w:num w:numId="62">
    <w:abstractNumId w:val="9"/>
  </w:num>
  <w:num w:numId="63">
    <w:abstractNumId w:val="9"/>
  </w:num>
  <w:num w:numId="64">
    <w:abstractNumId w:val="9"/>
  </w:num>
  <w:num w:numId="65">
    <w:abstractNumId w:val="1"/>
  </w:num>
  <w:num w:numId="66">
    <w:abstractNumId w:val="9"/>
  </w:num>
  <w:num w:numId="67">
    <w:abstractNumId w:val="9"/>
  </w:num>
  <w:num w:numId="68">
    <w:abstractNumId w:val="10"/>
  </w:num>
  <w:num w:numId="69">
    <w:abstractNumId w:val="9"/>
  </w:num>
  <w:num w:numId="70">
    <w:abstractNumId w:val="9"/>
  </w:num>
  <w:num w:numId="71">
    <w:abstractNumId w:val="9"/>
  </w:num>
  <w:num w:numId="72">
    <w:abstractNumId w:val="9"/>
  </w:num>
  <w:num w:numId="73">
    <w:abstractNumId w:val="9"/>
  </w:num>
  <w:num w:numId="74">
    <w:abstractNumId w:val="9"/>
  </w:num>
  <w:num w:numId="75">
    <w:abstractNumId w:val="9"/>
  </w:num>
  <w:num w:numId="76">
    <w:abstractNumId w:val="9"/>
  </w:num>
  <w:num w:numId="77">
    <w:abstractNumId w:val="9"/>
  </w:num>
  <w:num w:numId="78">
    <w:abstractNumId w:val="9"/>
  </w:num>
  <w:num w:numId="79">
    <w:abstractNumId w:val="9"/>
  </w:num>
  <w:num w:numId="80">
    <w:abstractNumId w:val="9"/>
  </w:num>
  <w:num w:numId="81">
    <w:abstractNumId w:val="9"/>
  </w:num>
  <w:num w:numId="82">
    <w:abstractNumId w:val="9"/>
  </w:num>
  <w:num w:numId="83">
    <w:abstractNumId w:val="9"/>
  </w:num>
  <w:num w:numId="84">
    <w:abstractNumId w:val="9"/>
  </w:num>
  <w:num w:numId="85">
    <w:abstractNumId w:val="9"/>
  </w:num>
  <w:num w:numId="86">
    <w:abstractNumId w:val="9"/>
  </w:num>
  <w:num w:numId="87">
    <w:abstractNumId w:val="9"/>
  </w:num>
  <w:num w:numId="88">
    <w:abstractNumId w:val="9"/>
  </w:num>
  <w:num w:numId="89">
    <w:abstractNumId w:val="9"/>
  </w:num>
  <w:num w:numId="90">
    <w:abstractNumId w:val="9"/>
  </w:num>
  <w:num w:numId="91">
    <w:abstractNumId w:val="9"/>
  </w:num>
  <w:num w:numId="92">
    <w:abstractNumId w:val="9"/>
  </w:num>
  <w:num w:numId="93">
    <w:abstractNumId w:val="9"/>
  </w:num>
  <w:num w:numId="94">
    <w:abstractNumId w:val="9"/>
  </w:num>
  <w:num w:numId="95">
    <w:abstractNumId w:val="9"/>
  </w:num>
  <w:num w:numId="96">
    <w:abstractNumId w:val="9"/>
  </w:num>
  <w:num w:numId="97">
    <w:abstractNumId w:val="9"/>
  </w:num>
  <w:num w:numId="98">
    <w:abstractNumId w:val="9"/>
  </w:num>
  <w:num w:numId="99">
    <w:abstractNumId w:val="9"/>
  </w:num>
  <w:num w:numId="100">
    <w:abstractNumId w:val="9"/>
  </w:num>
  <w:num w:numId="101">
    <w:abstractNumId w:val="13"/>
  </w:num>
  <w:num w:numId="102">
    <w:abstractNumId w:val="9"/>
  </w:num>
  <w:num w:numId="103">
    <w:abstractNumId w:val="9"/>
  </w:num>
  <w:num w:numId="104">
    <w:abstractNumId w:val="11"/>
  </w:num>
  <w:num w:numId="105">
    <w:abstractNumId w:val="9"/>
  </w:num>
  <w:num w:numId="106">
    <w:abstractNumId w:val="9"/>
  </w:num>
  <w:num w:numId="107">
    <w:abstractNumId w:val="9"/>
  </w:num>
  <w:num w:numId="108">
    <w:abstractNumId w:val="9"/>
    <w:lvlOverride w:ilvl="0">
      <w:startOverride w:val="1"/>
    </w:lvlOverride>
  </w:num>
  <w:num w:numId="109">
    <w:abstractNumId w:val="9"/>
  </w:num>
  <w:num w:numId="110">
    <w:abstractNumId w:val="9"/>
  </w:num>
  <w:num w:numId="111">
    <w:abstractNumId w:val="9"/>
  </w:num>
  <w:num w:numId="112">
    <w:abstractNumId w:val="9"/>
  </w:num>
  <w:num w:numId="113">
    <w:abstractNumId w:val="9"/>
  </w:num>
  <w:num w:numId="114">
    <w:abstractNumId w:val="9"/>
  </w:num>
  <w:num w:numId="115">
    <w:abstractNumId w:val="9"/>
  </w:num>
  <w:num w:numId="116">
    <w:abstractNumId w:val="17"/>
  </w:num>
  <w:num w:numId="117">
    <w:abstractNumId w:val="9"/>
  </w:num>
  <w:num w:numId="118">
    <w:abstractNumId w:val="9"/>
  </w:num>
  <w:num w:numId="119">
    <w:abstractNumId w:val="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2795"/>
    <w:rsid w:val="000047CC"/>
    <w:rsid w:val="00005DF6"/>
    <w:rsid w:val="00006EC4"/>
    <w:rsid w:val="000120FD"/>
    <w:rsid w:val="000173D3"/>
    <w:rsid w:val="00017766"/>
    <w:rsid w:val="00021831"/>
    <w:rsid w:val="00035AD8"/>
    <w:rsid w:val="00040107"/>
    <w:rsid w:val="00042C41"/>
    <w:rsid w:val="00047E58"/>
    <w:rsid w:val="00053C85"/>
    <w:rsid w:val="00071C64"/>
    <w:rsid w:val="00073D20"/>
    <w:rsid w:val="00074A8B"/>
    <w:rsid w:val="000755A0"/>
    <w:rsid w:val="000755E1"/>
    <w:rsid w:val="00084713"/>
    <w:rsid w:val="00085541"/>
    <w:rsid w:val="0008673A"/>
    <w:rsid w:val="00093063"/>
    <w:rsid w:val="00093331"/>
    <w:rsid w:val="00097B39"/>
    <w:rsid w:val="000A2171"/>
    <w:rsid w:val="000A34CE"/>
    <w:rsid w:val="000A5B59"/>
    <w:rsid w:val="000A6C5C"/>
    <w:rsid w:val="000A7264"/>
    <w:rsid w:val="000A7367"/>
    <w:rsid w:val="000C65E4"/>
    <w:rsid w:val="000D42D9"/>
    <w:rsid w:val="000E4436"/>
    <w:rsid w:val="000E4DDE"/>
    <w:rsid w:val="000E507B"/>
    <w:rsid w:val="000E60F4"/>
    <w:rsid w:val="00101634"/>
    <w:rsid w:val="00103595"/>
    <w:rsid w:val="00105B61"/>
    <w:rsid w:val="00106B72"/>
    <w:rsid w:val="00106D5A"/>
    <w:rsid w:val="0010772A"/>
    <w:rsid w:val="0011750D"/>
    <w:rsid w:val="0012313A"/>
    <w:rsid w:val="001412DE"/>
    <w:rsid w:val="00144A4D"/>
    <w:rsid w:val="00145874"/>
    <w:rsid w:val="00151351"/>
    <w:rsid w:val="00153D3B"/>
    <w:rsid w:val="00154A6C"/>
    <w:rsid w:val="0015675A"/>
    <w:rsid w:val="00161293"/>
    <w:rsid w:val="001633E0"/>
    <w:rsid w:val="0016361F"/>
    <w:rsid w:val="00164A54"/>
    <w:rsid w:val="00174B39"/>
    <w:rsid w:val="00177D2B"/>
    <w:rsid w:val="0018024B"/>
    <w:rsid w:val="0018702A"/>
    <w:rsid w:val="001A0BB9"/>
    <w:rsid w:val="001A0F01"/>
    <w:rsid w:val="001A431C"/>
    <w:rsid w:val="001A6F43"/>
    <w:rsid w:val="001B2F76"/>
    <w:rsid w:val="001C0164"/>
    <w:rsid w:val="001C0BA4"/>
    <w:rsid w:val="001C1BC0"/>
    <w:rsid w:val="001C7ED0"/>
    <w:rsid w:val="001D00B5"/>
    <w:rsid w:val="001D11C1"/>
    <w:rsid w:val="001D29D6"/>
    <w:rsid w:val="001D3B29"/>
    <w:rsid w:val="001D402F"/>
    <w:rsid w:val="001D403E"/>
    <w:rsid w:val="001D59C8"/>
    <w:rsid w:val="001E4EEB"/>
    <w:rsid w:val="001E5B4B"/>
    <w:rsid w:val="001E6026"/>
    <w:rsid w:val="001F3696"/>
    <w:rsid w:val="001F37CA"/>
    <w:rsid w:val="00204B37"/>
    <w:rsid w:val="002119C5"/>
    <w:rsid w:val="00216247"/>
    <w:rsid w:val="0022089C"/>
    <w:rsid w:val="00222AB7"/>
    <w:rsid w:val="00225B1B"/>
    <w:rsid w:val="002343CA"/>
    <w:rsid w:val="00236F99"/>
    <w:rsid w:val="00237E43"/>
    <w:rsid w:val="00251C9B"/>
    <w:rsid w:val="0025208E"/>
    <w:rsid w:val="00254A0C"/>
    <w:rsid w:val="00256606"/>
    <w:rsid w:val="00260359"/>
    <w:rsid w:val="00267A13"/>
    <w:rsid w:val="00270366"/>
    <w:rsid w:val="0027089E"/>
    <w:rsid w:val="0027198B"/>
    <w:rsid w:val="00271C3F"/>
    <w:rsid w:val="00273FCC"/>
    <w:rsid w:val="00273FFE"/>
    <w:rsid w:val="00283D67"/>
    <w:rsid w:val="00286C0C"/>
    <w:rsid w:val="00290C1D"/>
    <w:rsid w:val="00290D5F"/>
    <w:rsid w:val="002918C9"/>
    <w:rsid w:val="00292DE8"/>
    <w:rsid w:val="002938F2"/>
    <w:rsid w:val="0029520E"/>
    <w:rsid w:val="002A1D80"/>
    <w:rsid w:val="002A3DE4"/>
    <w:rsid w:val="002B10C6"/>
    <w:rsid w:val="002B4EFC"/>
    <w:rsid w:val="002B63D3"/>
    <w:rsid w:val="002B6728"/>
    <w:rsid w:val="002B7155"/>
    <w:rsid w:val="002C1FC1"/>
    <w:rsid w:val="002C3433"/>
    <w:rsid w:val="002C5280"/>
    <w:rsid w:val="002D396D"/>
    <w:rsid w:val="002D606F"/>
    <w:rsid w:val="002E78DB"/>
    <w:rsid w:val="002F2848"/>
    <w:rsid w:val="002F6BEC"/>
    <w:rsid w:val="0030118F"/>
    <w:rsid w:val="0030146D"/>
    <w:rsid w:val="00302192"/>
    <w:rsid w:val="00303C44"/>
    <w:rsid w:val="003069BD"/>
    <w:rsid w:val="003223E8"/>
    <w:rsid w:val="00334C79"/>
    <w:rsid w:val="00342A9D"/>
    <w:rsid w:val="003519FF"/>
    <w:rsid w:val="0035648A"/>
    <w:rsid w:val="00360763"/>
    <w:rsid w:val="003622CE"/>
    <w:rsid w:val="00363995"/>
    <w:rsid w:val="00365B94"/>
    <w:rsid w:val="003720F1"/>
    <w:rsid w:val="0038042A"/>
    <w:rsid w:val="0038493F"/>
    <w:rsid w:val="0039446E"/>
    <w:rsid w:val="0039451D"/>
    <w:rsid w:val="003978E3"/>
    <w:rsid w:val="003A045E"/>
    <w:rsid w:val="003A3BC5"/>
    <w:rsid w:val="003B1B66"/>
    <w:rsid w:val="003C08DC"/>
    <w:rsid w:val="003C7065"/>
    <w:rsid w:val="003D3CF1"/>
    <w:rsid w:val="003E2826"/>
    <w:rsid w:val="003F236C"/>
    <w:rsid w:val="003F67FB"/>
    <w:rsid w:val="004031A3"/>
    <w:rsid w:val="00404BB0"/>
    <w:rsid w:val="004108B6"/>
    <w:rsid w:val="00412D4A"/>
    <w:rsid w:val="004172B7"/>
    <w:rsid w:val="0042178D"/>
    <w:rsid w:val="0042323F"/>
    <w:rsid w:val="00434773"/>
    <w:rsid w:val="00440D09"/>
    <w:rsid w:val="004472AA"/>
    <w:rsid w:val="00447C66"/>
    <w:rsid w:val="00453075"/>
    <w:rsid w:val="00465917"/>
    <w:rsid w:val="00467CD6"/>
    <w:rsid w:val="00471B34"/>
    <w:rsid w:val="00476377"/>
    <w:rsid w:val="00477EE6"/>
    <w:rsid w:val="00481223"/>
    <w:rsid w:val="0048218A"/>
    <w:rsid w:val="00483A77"/>
    <w:rsid w:val="00485CF9"/>
    <w:rsid w:val="004915D8"/>
    <w:rsid w:val="00492B1F"/>
    <w:rsid w:val="00496702"/>
    <w:rsid w:val="00496777"/>
    <w:rsid w:val="004A04D4"/>
    <w:rsid w:val="004A3248"/>
    <w:rsid w:val="004A4B6F"/>
    <w:rsid w:val="004B4ED9"/>
    <w:rsid w:val="004C660A"/>
    <w:rsid w:val="004E056C"/>
    <w:rsid w:val="004E2817"/>
    <w:rsid w:val="004F3412"/>
    <w:rsid w:val="004F64C3"/>
    <w:rsid w:val="005016FB"/>
    <w:rsid w:val="005056F8"/>
    <w:rsid w:val="00511D17"/>
    <w:rsid w:val="00511ED4"/>
    <w:rsid w:val="00514220"/>
    <w:rsid w:val="0051699F"/>
    <w:rsid w:val="005174FE"/>
    <w:rsid w:val="00522AFB"/>
    <w:rsid w:val="005414A1"/>
    <w:rsid w:val="005418AB"/>
    <w:rsid w:val="00555BE4"/>
    <w:rsid w:val="005567D7"/>
    <w:rsid w:val="00560DE9"/>
    <w:rsid w:val="005613B0"/>
    <w:rsid w:val="005622C5"/>
    <w:rsid w:val="00582778"/>
    <w:rsid w:val="00583FA8"/>
    <w:rsid w:val="0058571E"/>
    <w:rsid w:val="005908B4"/>
    <w:rsid w:val="005A2AAB"/>
    <w:rsid w:val="005B137E"/>
    <w:rsid w:val="005B5641"/>
    <w:rsid w:val="005C0660"/>
    <w:rsid w:val="005C44B9"/>
    <w:rsid w:val="005D29A4"/>
    <w:rsid w:val="005D6991"/>
    <w:rsid w:val="005D6A25"/>
    <w:rsid w:val="005F3003"/>
    <w:rsid w:val="005F4C8A"/>
    <w:rsid w:val="005F551E"/>
    <w:rsid w:val="00600E03"/>
    <w:rsid w:val="00601DD6"/>
    <w:rsid w:val="00603F71"/>
    <w:rsid w:val="00605897"/>
    <w:rsid w:val="0061008C"/>
    <w:rsid w:val="00610983"/>
    <w:rsid w:val="00612F77"/>
    <w:rsid w:val="006175B5"/>
    <w:rsid w:val="00620244"/>
    <w:rsid w:val="00622E51"/>
    <w:rsid w:val="00624172"/>
    <w:rsid w:val="00636760"/>
    <w:rsid w:val="00637710"/>
    <w:rsid w:val="006515C9"/>
    <w:rsid w:val="00652318"/>
    <w:rsid w:val="006525AC"/>
    <w:rsid w:val="0066222A"/>
    <w:rsid w:val="0067005F"/>
    <w:rsid w:val="0067178A"/>
    <w:rsid w:val="00680F26"/>
    <w:rsid w:val="00693F84"/>
    <w:rsid w:val="00696EA7"/>
    <w:rsid w:val="006A0D86"/>
    <w:rsid w:val="006A2385"/>
    <w:rsid w:val="006B64CF"/>
    <w:rsid w:val="006C0911"/>
    <w:rsid w:val="006C425B"/>
    <w:rsid w:val="006D39EF"/>
    <w:rsid w:val="006D46FB"/>
    <w:rsid w:val="006D51D4"/>
    <w:rsid w:val="006D709A"/>
    <w:rsid w:val="006E19D7"/>
    <w:rsid w:val="006E5086"/>
    <w:rsid w:val="00701DA2"/>
    <w:rsid w:val="00703F3F"/>
    <w:rsid w:val="00707D57"/>
    <w:rsid w:val="007110EA"/>
    <w:rsid w:val="0072498D"/>
    <w:rsid w:val="00724EF5"/>
    <w:rsid w:val="007250E3"/>
    <w:rsid w:val="00730945"/>
    <w:rsid w:val="00734FEF"/>
    <w:rsid w:val="0074057B"/>
    <w:rsid w:val="00743C0D"/>
    <w:rsid w:val="00746204"/>
    <w:rsid w:val="00747715"/>
    <w:rsid w:val="00750138"/>
    <w:rsid w:val="00750856"/>
    <w:rsid w:val="00752EA8"/>
    <w:rsid w:val="00753CB6"/>
    <w:rsid w:val="00753DA3"/>
    <w:rsid w:val="00754BD2"/>
    <w:rsid w:val="00754EFB"/>
    <w:rsid w:val="00761416"/>
    <w:rsid w:val="00764F50"/>
    <w:rsid w:val="00770A92"/>
    <w:rsid w:val="007806BB"/>
    <w:rsid w:val="0078413D"/>
    <w:rsid w:val="00786899"/>
    <w:rsid w:val="00790C65"/>
    <w:rsid w:val="00795BC8"/>
    <w:rsid w:val="0079717B"/>
    <w:rsid w:val="0079773C"/>
    <w:rsid w:val="007A13A4"/>
    <w:rsid w:val="007A1845"/>
    <w:rsid w:val="007A4E30"/>
    <w:rsid w:val="007A77AB"/>
    <w:rsid w:val="007A7D45"/>
    <w:rsid w:val="007B43F7"/>
    <w:rsid w:val="007B514B"/>
    <w:rsid w:val="007C1B00"/>
    <w:rsid w:val="007C58CA"/>
    <w:rsid w:val="007D31CE"/>
    <w:rsid w:val="007D5BB7"/>
    <w:rsid w:val="007D7336"/>
    <w:rsid w:val="007D7C9E"/>
    <w:rsid w:val="007E0621"/>
    <w:rsid w:val="007E41AB"/>
    <w:rsid w:val="007E4E37"/>
    <w:rsid w:val="007F45C9"/>
    <w:rsid w:val="007F4B07"/>
    <w:rsid w:val="008071ED"/>
    <w:rsid w:val="00813E57"/>
    <w:rsid w:val="0081595F"/>
    <w:rsid w:val="0083488D"/>
    <w:rsid w:val="0084050B"/>
    <w:rsid w:val="0084122D"/>
    <w:rsid w:val="00843B71"/>
    <w:rsid w:val="008447AC"/>
    <w:rsid w:val="008466C3"/>
    <w:rsid w:val="00851458"/>
    <w:rsid w:val="00852045"/>
    <w:rsid w:val="008562EF"/>
    <w:rsid w:val="00861A47"/>
    <w:rsid w:val="00862D23"/>
    <w:rsid w:val="008679F6"/>
    <w:rsid w:val="008707FF"/>
    <w:rsid w:val="008724E5"/>
    <w:rsid w:val="00873D40"/>
    <w:rsid w:val="0088096B"/>
    <w:rsid w:val="008845A3"/>
    <w:rsid w:val="008941A1"/>
    <w:rsid w:val="008A197E"/>
    <w:rsid w:val="008A22FF"/>
    <w:rsid w:val="008A5A49"/>
    <w:rsid w:val="008B7346"/>
    <w:rsid w:val="008C121F"/>
    <w:rsid w:val="008C5ECC"/>
    <w:rsid w:val="008D3072"/>
    <w:rsid w:val="008D3BF7"/>
    <w:rsid w:val="008D6A7D"/>
    <w:rsid w:val="008E148F"/>
    <w:rsid w:val="008E2F8A"/>
    <w:rsid w:val="008E793C"/>
    <w:rsid w:val="008F16C6"/>
    <w:rsid w:val="008F31BE"/>
    <w:rsid w:val="008F34A1"/>
    <w:rsid w:val="008F5867"/>
    <w:rsid w:val="008F6DB9"/>
    <w:rsid w:val="009121CE"/>
    <w:rsid w:val="009127D8"/>
    <w:rsid w:val="00913117"/>
    <w:rsid w:val="009153EF"/>
    <w:rsid w:val="00921F65"/>
    <w:rsid w:val="00926E8B"/>
    <w:rsid w:val="00931FDB"/>
    <w:rsid w:val="00932BE1"/>
    <w:rsid w:val="00945D44"/>
    <w:rsid w:val="00946C25"/>
    <w:rsid w:val="00947E90"/>
    <w:rsid w:val="00955052"/>
    <w:rsid w:val="009618A5"/>
    <w:rsid w:val="009629B8"/>
    <w:rsid w:val="00966687"/>
    <w:rsid w:val="0097349C"/>
    <w:rsid w:val="00985E1A"/>
    <w:rsid w:val="0099286B"/>
    <w:rsid w:val="00994270"/>
    <w:rsid w:val="00994FF8"/>
    <w:rsid w:val="009A24B0"/>
    <w:rsid w:val="009B4F53"/>
    <w:rsid w:val="009B609A"/>
    <w:rsid w:val="009C5897"/>
    <w:rsid w:val="009C69F4"/>
    <w:rsid w:val="009D085D"/>
    <w:rsid w:val="009D1FED"/>
    <w:rsid w:val="009D4547"/>
    <w:rsid w:val="009D5E38"/>
    <w:rsid w:val="009D676C"/>
    <w:rsid w:val="009D7D80"/>
    <w:rsid w:val="009E27D4"/>
    <w:rsid w:val="009E45FB"/>
    <w:rsid w:val="009E64A9"/>
    <w:rsid w:val="009E74C1"/>
    <w:rsid w:val="009F142E"/>
    <w:rsid w:val="009F34A4"/>
    <w:rsid w:val="009F3988"/>
    <w:rsid w:val="009F4C46"/>
    <w:rsid w:val="009F6BE3"/>
    <w:rsid w:val="009F746F"/>
    <w:rsid w:val="00A00D55"/>
    <w:rsid w:val="00A04D49"/>
    <w:rsid w:val="00A05F6F"/>
    <w:rsid w:val="00A13378"/>
    <w:rsid w:val="00A1455A"/>
    <w:rsid w:val="00A150C7"/>
    <w:rsid w:val="00A22B5B"/>
    <w:rsid w:val="00A23422"/>
    <w:rsid w:val="00A32435"/>
    <w:rsid w:val="00A327C9"/>
    <w:rsid w:val="00A44B8A"/>
    <w:rsid w:val="00A47177"/>
    <w:rsid w:val="00A510DB"/>
    <w:rsid w:val="00A519A2"/>
    <w:rsid w:val="00A53526"/>
    <w:rsid w:val="00A53D0C"/>
    <w:rsid w:val="00A70418"/>
    <w:rsid w:val="00A70883"/>
    <w:rsid w:val="00A720F4"/>
    <w:rsid w:val="00A73AED"/>
    <w:rsid w:val="00A77AEB"/>
    <w:rsid w:val="00A83049"/>
    <w:rsid w:val="00A86042"/>
    <w:rsid w:val="00A905B5"/>
    <w:rsid w:val="00AA1D51"/>
    <w:rsid w:val="00AA3D03"/>
    <w:rsid w:val="00AA444A"/>
    <w:rsid w:val="00AA4F4E"/>
    <w:rsid w:val="00AA69C7"/>
    <w:rsid w:val="00AA6E6F"/>
    <w:rsid w:val="00AB1528"/>
    <w:rsid w:val="00AC17BC"/>
    <w:rsid w:val="00AD29F5"/>
    <w:rsid w:val="00AD4BE7"/>
    <w:rsid w:val="00AD5DE4"/>
    <w:rsid w:val="00AE1AA6"/>
    <w:rsid w:val="00AE1B18"/>
    <w:rsid w:val="00AE3CCF"/>
    <w:rsid w:val="00AF1C32"/>
    <w:rsid w:val="00AF2AAF"/>
    <w:rsid w:val="00AF4830"/>
    <w:rsid w:val="00B11AE3"/>
    <w:rsid w:val="00B17A5A"/>
    <w:rsid w:val="00B30000"/>
    <w:rsid w:val="00B35A8D"/>
    <w:rsid w:val="00B372A4"/>
    <w:rsid w:val="00B4319F"/>
    <w:rsid w:val="00B43693"/>
    <w:rsid w:val="00B47DF4"/>
    <w:rsid w:val="00B50C63"/>
    <w:rsid w:val="00B53329"/>
    <w:rsid w:val="00B6167A"/>
    <w:rsid w:val="00B63759"/>
    <w:rsid w:val="00B71A5B"/>
    <w:rsid w:val="00B7482E"/>
    <w:rsid w:val="00B80F60"/>
    <w:rsid w:val="00B87804"/>
    <w:rsid w:val="00B9023F"/>
    <w:rsid w:val="00B973B5"/>
    <w:rsid w:val="00BA06B8"/>
    <w:rsid w:val="00BA1286"/>
    <w:rsid w:val="00BA7775"/>
    <w:rsid w:val="00BB2682"/>
    <w:rsid w:val="00BB7B09"/>
    <w:rsid w:val="00BD49D7"/>
    <w:rsid w:val="00BD59BD"/>
    <w:rsid w:val="00BD68B8"/>
    <w:rsid w:val="00BE32C8"/>
    <w:rsid w:val="00BE44B7"/>
    <w:rsid w:val="00BF1501"/>
    <w:rsid w:val="00BF1A1C"/>
    <w:rsid w:val="00BF3F63"/>
    <w:rsid w:val="00BF46ED"/>
    <w:rsid w:val="00BF5524"/>
    <w:rsid w:val="00C02F76"/>
    <w:rsid w:val="00C0375B"/>
    <w:rsid w:val="00C138D1"/>
    <w:rsid w:val="00C16F75"/>
    <w:rsid w:val="00C22DB1"/>
    <w:rsid w:val="00C231CB"/>
    <w:rsid w:val="00C26539"/>
    <w:rsid w:val="00C26EE2"/>
    <w:rsid w:val="00C270EF"/>
    <w:rsid w:val="00C279AE"/>
    <w:rsid w:val="00C300BC"/>
    <w:rsid w:val="00C33314"/>
    <w:rsid w:val="00C47122"/>
    <w:rsid w:val="00C6478B"/>
    <w:rsid w:val="00C73AB4"/>
    <w:rsid w:val="00C77F6E"/>
    <w:rsid w:val="00C81439"/>
    <w:rsid w:val="00C830FA"/>
    <w:rsid w:val="00C8346B"/>
    <w:rsid w:val="00C93A03"/>
    <w:rsid w:val="00CA078D"/>
    <w:rsid w:val="00CA5A4F"/>
    <w:rsid w:val="00CA6FEF"/>
    <w:rsid w:val="00CB0DCC"/>
    <w:rsid w:val="00CB0F37"/>
    <w:rsid w:val="00CB500D"/>
    <w:rsid w:val="00CB644A"/>
    <w:rsid w:val="00CC2BC6"/>
    <w:rsid w:val="00CC51F5"/>
    <w:rsid w:val="00CC79A9"/>
    <w:rsid w:val="00CC7A90"/>
    <w:rsid w:val="00CD5B38"/>
    <w:rsid w:val="00CD7645"/>
    <w:rsid w:val="00CE2586"/>
    <w:rsid w:val="00CE36F9"/>
    <w:rsid w:val="00CF0560"/>
    <w:rsid w:val="00CF0CCE"/>
    <w:rsid w:val="00CF626A"/>
    <w:rsid w:val="00D105A6"/>
    <w:rsid w:val="00D156D1"/>
    <w:rsid w:val="00D23B40"/>
    <w:rsid w:val="00D276DF"/>
    <w:rsid w:val="00D311ED"/>
    <w:rsid w:val="00D40095"/>
    <w:rsid w:val="00D404B7"/>
    <w:rsid w:val="00D438ED"/>
    <w:rsid w:val="00D45CD6"/>
    <w:rsid w:val="00D53554"/>
    <w:rsid w:val="00D57FC5"/>
    <w:rsid w:val="00D6670C"/>
    <w:rsid w:val="00D73925"/>
    <w:rsid w:val="00D75BAB"/>
    <w:rsid w:val="00D76A42"/>
    <w:rsid w:val="00D809E5"/>
    <w:rsid w:val="00D80A75"/>
    <w:rsid w:val="00D81948"/>
    <w:rsid w:val="00D85BA2"/>
    <w:rsid w:val="00D85F40"/>
    <w:rsid w:val="00D87349"/>
    <w:rsid w:val="00D9501F"/>
    <w:rsid w:val="00DA4E86"/>
    <w:rsid w:val="00DA6D61"/>
    <w:rsid w:val="00DA705B"/>
    <w:rsid w:val="00DB47DE"/>
    <w:rsid w:val="00DB50D5"/>
    <w:rsid w:val="00DC1A7D"/>
    <w:rsid w:val="00DE16E9"/>
    <w:rsid w:val="00DF3567"/>
    <w:rsid w:val="00DF3DA3"/>
    <w:rsid w:val="00DF4798"/>
    <w:rsid w:val="00DF481E"/>
    <w:rsid w:val="00DF5FEC"/>
    <w:rsid w:val="00DF6F6B"/>
    <w:rsid w:val="00E05201"/>
    <w:rsid w:val="00E06A00"/>
    <w:rsid w:val="00E14CB4"/>
    <w:rsid w:val="00E16D1D"/>
    <w:rsid w:val="00E205F8"/>
    <w:rsid w:val="00E22B99"/>
    <w:rsid w:val="00E258D9"/>
    <w:rsid w:val="00E341B5"/>
    <w:rsid w:val="00E37609"/>
    <w:rsid w:val="00E37853"/>
    <w:rsid w:val="00E37B70"/>
    <w:rsid w:val="00E439CA"/>
    <w:rsid w:val="00E477B6"/>
    <w:rsid w:val="00E50503"/>
    <w:rsid w:val="00E5069D"/>
    <w:rsid w:val="00E5219B"/>
    <w:rsid w:val="00E638CD"/>
    <w:rsid w:val="00E639E7"/>
    <w:rsid w:val="00E66618"/>
    <w:rsid w:val="00E70BA4"/>
    <w:rsid w:val="00E711AC"/>
    <w:rsid w:val="00E776EB"/>
    <w:rsid w:val="00E824FB"/>
    <w:rsid w:val="00E83700"/>
    <w:rsid w:val="00E87E25"/>
    <w:rsid w:val="00E919AD"/>
    <w:rsid w:val="00E9473D"/>
    <w:rsid w:val="00EA0AE7"/>
    <w:rsid w:val="00EA198F"/>
    <w:rsid w:val="00EA2B90"/>
    <w:rsid w:val="00EA3E4B"/>
    <w:rsid w:val="00EA7B89"/>
    <w:rsid w:val="00EB23AF"/>
    <w:rsid w:val="00EC0AB3"/>
    <w:rsid w:val="00EC1269"/>
    <w:rsid w:val="00EC2342"/>
    <w:rsid w:val="00EC751C"/>
    <w:rsid w:val="00ED0C6C"/>
    <w:rsid w:val="00ED2103"/>
    <w:rsid w:val="00ED3293"/>
    <w:rsid w:val="00ED51CD"/>
    <w:rsid w:val="00EE302F"/>
    <w:rsid w:val="00EF07D4"/>
    <w:rsid w:val="00EF0BCB"/>
    <w:rsid w:val="00EF0E74"/>
    <w:rsid w:val="00EF45DA"/>
    <w:rsid w:val="00F00E8A"/>
    <w:rsid w:val="00F029D9"/>
    <w:rsid w:val="00F05D28"/>
    <w:rsid w:val="00F11C61"/>
    <w:rsid w:val="00F13A98"/>
    <w:rsid w:val="00F162B4"/>
    <w:rsid w:val="00F17CAA"/>
    <w:rsid w:val="00F20414"/>
    <w:rsid w:val="00F21894"/>
    <w:rsid w:val="00F232C8"/>
    <w:rsid w:val="00F24E77"/>
    <w:rsid w:val="00F33650"/>
    <w:rsid w:val="00F349E7"/>
    <w:rsid w:val="00F473CB"/>
    <w:rsid w:val="00F50245"/>
    <w:rsid w:val="00F54860"/>
    <w:rsid w:val="00F56978"/>
    <w:rsid w:val="00F575D4"/>
    <w:rsid w:val="00F63DDA"/>
    <w:rsid w:val="00F7057B"/>
    <w:rsid w:val="00F70858"/>
    <w:rsid w:val="00F7397F"/>
    <w:rsid w:val="00F743EF"/>
    <w:rsid w:val="00F7444D"/>
    <w:rsid w:val="00F75949"/>
    <w:rsid w:val="00F75CF4"/>
    <w:rsid w:val="00F830F9"/>
    <w:rsid w:val="00F83D0A"/>
    <w:rsid w:val="00F90CAE"/>
    <w:rsid w:val="00F93E3E"/>
    <w:rsid w:val="00F941F0"/>
    <w:rsid w:val="00F956D7"/>
    <w:rsid w:val="00FA3A08"/>
    <w:rsid w:val="00FA4D52"/>
    <w:rsid w:val="00FA58BB"/>
    <w:rsid w:val="00FB1B88"/>
    <w:rsid w:val="00FB5938"/>
    <w:rsid w:val="00FC4840"/>
    <w:rsid w:val="00FD7434"/>
    <w:rsid w:val="00FE6112"/>
    <w:rsid w:val="00FE6239"/>
    <w:rsid w:val="00FE7B52"/>
    <w:rsid w:val="00FF06DC"/>
    <w:rsid w:val="00FF0B98"/>
    <w:rsid w:val="00FF2B1D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Lienhypertexte">
    <w:name w:val="Hyperlink"/>
    <w:unhideWhenUsed/>
    <w:rsid w:val="005908B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08B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Paragraphedeliste">
    <w:name w:val="List Paragraph"/>
    <w:basedOn w:val="Normal"/>
    <w:uiPriority w:val="34"/>
    <w:qFormat/>
    <w:rsid w:val="005908B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375B"/>
    <w:rPr>
      <w:color w:val="605E5C"/>
      <w:shd w:val="clear" w:color="auto" w:fill="E1DFDD"/>
    </w:rPr>
  </w:style>
  <w:style w:type="paragraph" w:styleId="Rvision">
    <w:name w:val="Revision"/>
    <w:hidden/>
    <w:semiHidden/>
    <w:rsid w:val="000A5B59"/>
    <w:rPr>
      <w:rFonts w:ascii="Times New Roman" w:eastAsia="Times New Roman" w:hAnsi="Times New Roman"/>
      <w:sz w:val="22"/>
      <w:szCs w:val="24"/>
      <w:lang w:val="en-GB"/>
    </w:rPr>
  </w:style>
  <w:style w:type="character" w:styleId="Lienhypertextesuivivisit">
    <w:name w:val="FollowedHyperlink"/>
    <w:basedOn w:val="Policepardfaut"/>
    <w:semiHidden/>
    <w:unhideWhenUsed/>
    <w:rsid w:val="00440D0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%C3%A9cisions/12.COM/11" TargetMode="External"/><Relationship Id="rId13" Type="http://schemas.openxmlformats.org/officeDocument/2006/relationships/hyperlink" Target="https://ich.unesco.org/doc/src/LHE-21-16.COM_WG-5-FR.docx" TargetMode="External"/><Relationship Id="rId18" Type="http://schemas.openxmlformats.org/officeDocument/2006/relationships/hyperlink" Target="https://ich.unesco.org/fr/D%C3%A9cisions/13.COM/9" TargetMode="External"/><Relationship Id="rId26" Type="http://schemas.openxmlformats.org/officeDocument/2006/relationships/hyperlink" Target="https://ich.unesco.org/fr/decisions/7.COM/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fr/decisions/7.COM/1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h.unesco.org/doc/src/52249-FR.docx" TargetMode="External"/><Relationship Id="rId17" Type="http://schemas.openxmlformats.org/officeDocument/2006/relationships/hyperlink" Target="https://ich.unesco.org/fr/D%C3%A9cisions/12.COM/14" TargetMode="External"/><Relationship Id="rId25" Type="http://schemas.openxmlformats.org/officeDocument/2006/relationships/hyperlink" Target="https://ich.unesco.org/fr/D%C3%A9cisions/14.COM/14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cisions/8.GA/11" TargetMode="External"/><Relationship Id="rId20" Type="http://schemas.openxmlformats.org/officeDocument/2006/relationships/hyperlink" Target="https://ich.unesco.org/doc/src/52151-FR.doc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%C3%A9cisions/14.COM/14" TargetMode="External"/><Relationship Id="rId24" Type="http://schemas.openxmlformats.org/officeDocument/2006/relationships/hyperlink" Target="https://ich.unesco.org/doc/src/52249-FR.doc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doc/src/52149-FR.docx" TargetMode="External"/><Relationship Id="rId23" Type="http://schemas.openxmlformats.org/officeDocument/2006/relationships/hyperlink" Target="https://ich.unesco.org/fr/D%C3%A9cisions/15.COM/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ch.unesco.org/fr/D%C3%A9cisions/14.COM/12" TargetMode="External"/><Relationship Id="rId19" Type="http://schemas.openxmlformats.org/officeDocument/2006/relationships/hyperlink" Target="https://ich.unesco.org/fr/D%C3%A9cisions/14.COM/1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%C3%A9cisions/12.COM/11.c" TargetMode="External"/><Relationship Id="rId14" Type="http://schemas.openxmlformats.org/officeDocument/2006/relationships/hyperlink" Target="https://ich.unesco.org/doc/src/LHE-21-16.COM_WG-7-FR.docx" TargetMode="External"/><Relationship Id="rId22" Type="http://schemas.openxmlformats.org/officeDocument/2006/relationships/hyperlink" Target="https://ich.unesco.org/fr/D%C3%A9cisions/14.COM/14" TargetMode="External"/><Relationship Id="rId27" Type="http://schemas.openxmlformats.org/officeDocument/2006/relationships/hyperlink" Target="https://ich.unesco.org/fr/D%C3%A9cisions/10.COM/10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BEE8-0025-4A08-A14C-E1C7DC79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5455</Words>
  <Characters>31099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2021-09-07T16:06:00Z</dcterms:created>
  <dcterms:modified xsi:type="dcterms:W3CDTF">2021-09-07T16:06:00Z</dcterms:modified>
</cp:coreProperties>
</file>