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830B" w14:textId="77777777" w:rsidR="002938F2" w:rsidRPr="00A854F4" w:rsidRDefault="002938F2" w:rsidP="003C14AE">
      <w:pPr>
        <w:spacing w:before="1200"/>
        <w:jc w:val="center"/>
        <w:rPr>
          <w:rFonts w:ascii="Arial" w:hAnsi="Arial" w:cs="Arial"/>
          <w:b/>
          <w:szCs w:val="22"/>
        </w:rPr>
      </w:pPr>
      <w:r w:rsidRPr="00A854F4">
        <w:rPr>
          <w:rFonts w:ascii="Arial" w:hAnsi="Arial" w:cs="Arial"/>
          <w:b/>
          <w:szCs w:val="22"/>
        </w:rPr>
        <w:t>CONVENT</w:t>
      </w:r>
      <w:r w:rsidR="00E72B36" w:rsidRPr="00A854F4">
        <w:rPr>
          <w:rFonts w:ascii="Arial" w:hAnsi="Arial" w:cs="Arial"/>
          <w:b/>
          <w:szCs w:val="22"/>
        </w:rPr>
        <w:t>ION FOR THE SAFEGUARDING OF THE</w:t>
      </w:r>
      <w:r w:rsidRPr="00A854F4">
        <w:rPr>
          <w:rFonts w:ascii="Arial" w:hAnsi="Arial" w:cs="Arial"/>
          <w:b/>
          <w:szCs w:val="22"/>
        </w:rPr>
        <w:br/>
        <w:t>INTANGIBLE CULTURAL HERITAGE</w:t>
      </w:r>
    </w:p>
    <w:p w14:paraId="1D2DE622" w14:textId="77777777" w:rsidR="007E4E37" w:rsidRPr="00A854F4" w:rsidRDefault="007E4E37" w:rsidP="007E4E37">
      <w:pPr>
        <w:spacing w:before="1200"/>
        <w:jc w:val="center"/>
        <w:rPr>
          <w:rFonts w:ascii="Arial" w:hAnsi="Arial" w:cs="Arial"/>
          <w:b/>
          <w:szCs w:val="22"/>
        </w:rPr>
      </w:pPr>
      <w:r w:rsidRPr="00A854F4">
        <w:rPr>
          <w:rFonts w:ascii="Arial" w:hAnsi="Arial" w:cs="Arial"/>
          <w:b/>
          <w:szCs w:val="22"/>
        </w:rPr>
        <w:t>INTERGOVERNMENTAL COMMITTEE FOR THE</w:t>
      </w:r>
      <w:r w:rsidRPr="00A854F4">
        <w:rPr>
          <w:rFonts w:ascii="Arial" w:hAnsi="Arial" w:cs="Arial"/>
          <w:b/>
          <w:szCs w:val="22"/>
        </w:rPr>
        <w:br/>
        <w:t>SAFEGUARDING OF THE INTANGIBLE CULTURAL HERITAGE</w:t>
      </w:r>
    </w:p>
    <w:p w14:paraId="04E2757B" w14:textId="0A11D304" w:rsidR="00FD1941" w:rsidRPr="00A854F4" w:rsidRDefault="00483688" w:rsidP="00FD1941">
      <w:pPr>
        <w:spacing w:before="840" w:after="0"/>
        <w:jc w:val="center"/>
        <w:rPr>
          <w:rFonts w:ascii="Arial" w:eastAsiaTheme="minorEastAsia" w:hAnsi="Arial" w:cs="Arial"/>
          <w:b/>
          <w:szCs w:val="22"/>
          <w:lang w:eastAsia="ko-KR"/>
        </w:rPr>
      </w:pPr>
      <w:bookmarkStart w:id="0" w:name="_Hlk70514086"/>
      <w:r w:rsidRPr="00A854F4">
        <w:rPr>
          <w:rFonts w:ascii="Arial" w:eastAsiaTheme="minorEastAsia" w:hAnsi="Arial" w:cs="Arial"/>
          <w:b/>
          <w:szCs w:val="22"/>
          <w:lang w:eastAsia="ko-KR"/>
        </w:rPr>
        <w:t xml:space="preserve">Sixteenth </w:t>
      </w:r>
      <w:bookmarkEnd w:id="0"/>
      <w:r w:rsidR="00FD1941" w:rsidRPr="00A854F4">
        <w:rPr>
          <w:rFonts w:ascii="Arial" w:eastAsiaTheme="minorEastAsia" w:hAnsi="Arial" w:cs="Arial"/>
          <w:b/>
          <w:szCs w:val="22"/>
          <w:lang w:eastAsia="ko-KR"/>
        </w:rPr>
        <w:t>session</w:t>
      </w:r>
    </w:p>
    <w:p w14:paraId="7EC19BF6" w14:textId="29AA0216" w:rsidR="00FD1941" w:rsidRPr="00A854F4" w:rsidRDefault="00AB0B3B" w:rsidP="00483688">
      <w:pPr>
        <w:spacing w:after="0"/>
        <w:jc w:val="center"/>
        <w:rPr>
          <w:rFonts w:ascii="Arial" w:eastAsiaTheme="minorEastAsia" w:hAnsi="Arial" w:cs="Arial"/>
          <w:b/>
          <w:szCs w:val="22"/>
          <w:lang w:eastAsia="ko-KR"/>
        </w:rPr>
      </w:pPr>
      <w:bookmarkStart w:id="1" w:name="_Hlk70514101"/>
      <w:r>
        <w:rPr>
          <w:rFonts w:ascii="Arial" w:eastAsiaTheme="minorEastAsia" w:hAnsi="Arial" w:cs="Arial"/>
          <w:b/>
          <w:szCs w:val="22"/>
          <w:lang w:eastAsia="ko-KR"/>
        </w:rPr>
        <w:t>Online</w:t>
      </w:r>
    </w:p>
    <w:p w14:paraId="648939FB" w14:textId="7D64D998" w:rsidR="00FD1941" w:rsidRPr="00A854F4" w:rsidRDefault="00FD1941" w:rsidP="00FD1941">
      <w:pPr>
        <w:spacing w:after="0"/>
        <w:jc w:val="center"/>
        <w:rPr>
          <w:rFonts w:ascii="Arial" w:eastAsiaTheme="minorEastAsia" w:hAnsi="Arial" w:cs="Arial"/>
          <w:b/>
          <w:szCs w:val="22"/>
          <w:lang w:eastAsia="ko-KR"/>
        </w:rPr>
      </w:pPr>
      <w:r w:rsidRPr="00A854F4">
        <w:rPr>
          <w:rFonts w:ascii="Arial" w:eastAsiaTheme="minorEastAsia" w:hAnsi="Arial" w:cs="Arial"/>
          <w:b/>
          <w:szCs w:val="22"/>
          <w:lang w:eastAsia="ko-KR"/>
        </w:rPr>
        <w:t>1</w:t>
      </w:r>
      <w:r w:rsidR="00483688" w:rsidRPr="00A854F4">
        <w:rPr>
          <w:rFonts w:ascii="Arial" w:eastAsiaTheme="minorEastAsia" w:hAnsi="Arial" w:cs="Arial"/>
          <w:b/>
          <w:szCs w:val="22"/>
          <w:lang w:eastAsia="ko-KR"/>
        </w:rPr>
        <w:t>3</w:t>
      </w:r>
      <w:r w:rsidRPr="00A854F4">
        <w:rPr>
          <w:rFonts w:ascii="Arial" w:eastAsiaTheme="minorEastAsia" w:hAnsi="Arial" w:cs="Arial"/>
          <w:b/>
          <w:szCs w:val="22"/>
          <w:lang w:eastAsia="ko-KR"/>
        </w:rPr>
        <w:t xml:space="preserve"> to 1</w:t>
      </w:r>
      <w:r w:rsidR="00483688" w:rsidRPr="00A854F4">
        <w:rPr>
          <w:rFonts w:ascii="Arial" w:eastAsiaTheme="minorEastAsia" w:hAnsi="Arial" w:cs="Arial"/>
          <w:b/>
          <w:szCs w:val="22"/>
          <w:lang w:eastAsia="ko-KR"/>
        </w:rPr>
        <w:t>8</w:t>
      </w:r>
      <w:r w:rsidRPr="00A854F4">
        <w:rPr>
          <w:rFonts w:ascii="Arial" w:eastAsiaTheme="minorEastAsia" w:hAnsi="Arial" w:cs="Arial"/>
          <w:b/>
          <w:szCs w:val="22"/>
          <w:lang w:eastAsia="ko-KR"/>
        </w:rPr>
        <w:t xml:space="preserve"> December 202</w:t>
      </w:r>
      <w:r w:rsidR="00483688" w:rsidRPr="00A854F4">
        <w:rPr>
          <w:rFonts w:ascii="Arial" w:eastAsiaTheme="minorEastAsia" w:hAnsi="Arial" w:cs="Arial"/>
          <w:b/>
          <w:szCs w:val="22"/>
          <w:lang w:eastAsia="ko-KR"/>
        </w:rPr>
        <w:t>1</w:t>
      </w:r>
    </w:p>
    <w:p w14:paraId="20FC9F6C" w14:textId="216D6DD6" w:rsidR="000543D6" w:rsidRPr="00A854F4" w:rsidRDefault="000543D6" w:rsidP="00FD1941">
      <w:pPr>
        <w:spacing w:after="0"/>
        <w:jc w:val="center"/>
        <w:rPr>
          <w:rFonts w:ascii="Arial" w:eastAsiaTheme="minorEastAsia" w:hAnsi="Arial" w:cs="Arial"/>
          <w:b/>
          <w:szCs w:val="22"/>
          <w:lang w:eastAsia="ko-KR"/>
        </w:rPr>
      </w:pPr>
    </w:p>
    <w:p w14:paraId="7E1B609D" w14:textId="600998FF" w:rsidR="000543D6" w:rsidRPr="00A854F4" w:rsidRDefault="000543D6" w:rsidP="00FD1941">
      <w:pPr>
        <w:spacing w:after="0"/>
        <w:jc w:val="center"/>
        <w:rPr>
          <w:rFonts w:ascii="Arial" w:eastAsiaTheme="minorEastAsia" w:hAnsi="Arial" w:cs="Arial"/>
          <w:b/>
          <w:szCs w:val="22"/>
          <w:lang w:eastAsia="ko-KR"/>
        </w:rPr>
      </w:pPr>
    </w:p>
    <w:p w14:paraId="6B3F61E0" w14:textId="77777777" w:rsidR="000543D6" w:rsidRPr="00A854F4" w:rsidRDefault="000543D6" w:rsidP="00FD1941">
      <w:pPr>
        <w:spacing w:after="0"/>
        <w:jc w:val="center"/>
        <w:rPr>
          <w:rFonts w:ascii="Arial" w:eastAsiaTheme="minorEastAsia" w:hAnsi="Arial" w:cs="Arial"/>
          <w:b/>
          <w:szCs w:val="22"/>
          <w:lang w:eastAsia="ko-KR"/>
        </w:rPr>
      </w:pPr>
    </w:p>
    <w:bookmarkEnd w:id="1"/>
    <w:p w14:paraId="50E58CA9" w14:textId="77777777" w:rsidR="00132629" w:rsidRPr="00A854F4" w:rsidRDefault="000543D6" w:rsidP="0097472D">
      <w:pPr>
        <w:spacing w:after="0"/>
        <w:jc w:val="center"/>
        <w:rPr>
          <w:rFonts w:asciiTheme="minorBidi" w:eastAsiaTheme="minorEastAsia" w:hAnsiTheme="minorBidi" w:cstheme="minorBidi"/>
          <w:b/>
          <w:bCs/>
        </w:rPr>
      </w:pPr>
      <w:r w:rsidRPr="00A854F4">
        <w:rPr>
          <w:rFonts w:asciiTheme="minorBidi" w:eastAsiaTheme="minorEastAsia" w:hAnsiTheme="minorBidi" w:cstheme="minorBidi"/>
          <w:b/>
          <w:bCs/>
        </w:rPr>
        <w:t xml:space="preserve">IMPLEMENTATION REPORT </w:t>
      </w:r>
      <w:r w:rsidR="007267B8" w:rsidRPr="00A854F4">
        <w:rPr>
          <w:rFonts w:asciiTheme="minorBidi" w:eastAsiaTheme="minorEastAsia" w:hAnsiTheme="minorBidi" w:cstheme="minorBidi"/>
          <w:b/>
          <w:bCs/>
        </w:rPr>
        <w:t xml:space="preserve">OF THE SPENDING PLAN </w:t>
      </w:r>
      <w:r w:rsidRPr="00A854F4">
        <w:rPr>
          <w:rFonts w:asciiTheme="minorBidi" w:eastAsiaTheme="minorEastAsia" w:hAnsiTheme="minorBidi" w:cstheme="minorBidi"/>
          <w:b/>
          <w:bCs/>
        </w:rPr>
        <w:t xml:space="preserve">FOR </w:t>
      </w:r>
    </w:p>
    <w:p w14:paraId="628336E8" w14:textId="7E6D1348" w:rsidR="000543D6" w:rsidRPr="00A854F4" w:rsidRDefault="000543D6" w:rsidP="0097472D">
      <w:pPr>
        <w:spacing w:after="0"/>
        <w:jc w:val="center"/>
        <w:rPr>
          <w:rFonts w:asciiTheme="minorBidi" w:eastAsiaTheme="minorEastAsia" w:hAnsiTheme="minorBidi" w:cstheme="minorBidi"/>
          <w:b/>
          <w:bCs/>
        </w:rPr>
      </w:pPr>
      <w:r w:rsidRPr="00A854F4">
        <w:rPr>
          <w:rFonts w:asciiTheme="minorBidi" w:eastAsiaTheme="minorEastAsia" w:hAnsiTheme="minorBidi" w:cstheme="minorBidi"/>
          <w:b/>
          <w:bCs/>
        </w:rPr>
        <w:t xml:space="preserve">THE </w:t>
      </w:r>
      <w:r w:rsidR="009E41ED">
        <w:rPr>
          <w:rFonts w:asciiTheme="minorBidi" w:eastAsiaTheme="minorEastAsia" w:hAnsiTheme="minorBidi" w:cstheme="minorBidi"/>
          <w:b/>
          <w:bCs/>
        </w:rPr>
        <w:t>‘</w:t>
      </w:r>
      <w:r w:rsidRPr="00A854F4">
        <w:rPr>
          <w:rFonts w:asciiTheme="minorBidi" w:eastAsiaTheme="minorEastAsia" w:hAnsiTheme="minorBidi" w:cstheme="minorBidi"/>
          <w:b/>
          <w:bCs/>
        </w:rPr>
        <w:t>OTHER FUNCTIONS OF THE COMMITTEE</w:t>
      </w:r>
      <w:r w:rsidR="009E41ED">
        <w:rPr>
          <w:rFonts w:asciiTheme="minorBidi" w:eastAsiaTheme="minorEastAsia" w:hAnsiTheme="minorBidi" w:cstheme="minorBidi"/>
          <w:b/>
          <w:bCs/>
        </w:rPr>
        <w:t>’</w:t>
      </w:r>
    </w:p>
    <w:p w14:paraId="3739EE1D" w14:textId="3BE2C102" w:rsidR="0097472D" w:rsidRDefault="000543D6" w:rsidP="00CD5991">
      <w:pPr>
        <w:spacing w:after="960"/>
        <w:jc w:val="center"/>
        <w:rPr>
          <w:rFonts w:asciiTheme="minorBidi" w:eastAsiaTheme="minorEastAsia" w:hAnsiTheme="minorBidi" w:cstheme="minorBidi"/>
          <w:b/>
          <w:bCs/>
        </w:rPr>
      </w:pPr>
      <w:r w:rsidRPr="00A854F4">
        <w:rPr>
          <w:rFonts w:asciiTheme="minorBidi" w:eastAsiaTheme="minorEastAsia" w:hAnsiTheme="minorBidi" w:cstheme="minorBidi"/>
          <w:b/>
          <w:bCs/>
        </w:rPr>
        <w:t>1 JANUARY 201</w:t>
      </w:r>
      <w:r w:rsidR="009A52E0" w:rsidRPr="00A854F4">
        <w:rPr>
          <w:rFonts w:asciiTheme="minorBidi" w:eastAsiaTheme="minorEastAsia" w:hAnsiTheme="minorBidi" w:cstheme="minorBidi"/>
          <w:b/>
          <w:bCs/>
        </w:rPr>
        <w:t>8</w:t>
      </w:r>
      <w:r w:rsidRPr="00A854F4">
        <w:rPr>
          <w:rFonts w:asciiTheme="minorBidi" w:eastAsiaTheme="minorEastAsia" w:hAnsiTheme="minorBidi" w:cstheme="minorBidi"/>
          <w:b/>
          <w:bCs/>
        </w:rPr>
        <w:t xml:space="preserve"> TO 30 JUNE 2021</w:t>
      </w:r>
    </w:p>
    <w:p w14:paraId="2B73487D" w14:textId="77777777" w:rsidR="0097472D" w:rsidRPr="00A854F4" w:rsidRDefault="0097472D" w:rsidP="0097472D">
      <w:pPr>
        <w:spacing w:after="0"/>
        <w:jc w:val="center"/>
        <w:rPr>
          <w:rFonts w:asciiTheme="minorBidi" w:eastAsiaTheme="minorEastAsia" w:hAnsiTheme="minorBidi" w:cstheme="minorBidi"/>
          <w:b/>
          <w:bCs/>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0543D6" w:rsidRPr="00A854F4" w14:paraId="046FEFC7" w14:textId="77777777" w:rsidTr="00814980">
        <w:trPr>
          <w:jc w:val="center"/>
        </w:trPr>
        <w:tc>
          <w:tcPr>
            <w:tcW w:w="5670" w:type="dxa"/>
            <w:vAlign w:val="center"/>
          </w:tcPr>
          <w:p w14:paraId="23B20E65" w14:textId="77777777" w:rsidR="000543D6" w:rsidRPr="00A854F4" w:rsidRDefault="000543D6" w:rsidP="00322AB8">
            <w:pPr>
              <w:pStyle w:val="Sansinterligne1"/>
              <w:spacing w:before="200" w:after="120"/>
              <w:jc w:val="center"/>
              <w:rPr>
                <w:rFonts w:ascii="Arial" w:hAnsi="Arial" w:cs="Arial"/>
                <w:b/>
                <w:sz w:val="22"/>
                <w:szCs w:val="22"/>
                <w:lang w:val="en-GB"/>
              </w:rPr>
            </w:pPr>
            <w:r w:rsidRPr="00A854F4">
              <w:rPr>
                <w:rFonts w:ascii="Arial" w:hAnsi="Arial" w:cs="Arial"/>
                <w:b/>
                <w:sz w:val="22"/>
                <w:szCs w:val="22"/>
                <w:lang w:val="en-GB"/>
              </w:rPr>
              <w:t>Summary</w:t>
            </w:r>
          </w:p>
          <w:p w14:paraId="00DEF52A" w14:textId="35AE9F69" w:rsidR="000543D6" w:rsidRPr="00A854F4" w:rsidRDefault="002535D0" w:rsidP="00322AB8">
            <w:pPr>
              <w:pStyle w:val="Sansinterligne2"/>
              <w:spacing w:before="120" w:after="120"/>
              <w:jc w:val="both"/>
              <w:rPr>
                <w:rFonts w:ascii="Arial" w:hAnsi="Arial" w:cs="Arial"/>
                <w:sz w:val="22"/>
                <w:szCs w:val="22"/>
                <w:lang w:val="en-GB"/>
              </w:rPr>
            </w:pPr>
            <w:r w:rsidRPr="00A854F4">
              <w:rPr>
                <w:rFonts w:ascii="Arial" w:hAnsi="Arial" w:cs="Arial"/>
                <w:sz w:val="22"/>
                <w:szCs w:val="22"/>
                <w:lang w:val="en-GB"/>
              </w:rPr>
              <w:t xml:space="preserve">The </w:t>
            </w:r>
            <w:r w:rsidR="00C658F4" w:rsidRPr="00A854F4">
              <w:rPr>
                <w:rFonts w:ascii="Arial" w:hAnsi="Arial" w:cs="Arial"/>
                <w:sz w:val="22"/>
                <w:szCs w:val="22"/>
                <w:lang w:val="en-GB"/>
              </w:rPr>
              <w:t>P</w:t>
            </w:r>
            <w:r w:rsidRPr="00A854F4">
              <w:rPr>
                <w:rFonts w:ascii="Arial" w:hAnsi="Arial" w:cs="Arial"/>
                <w:sz w:val="22"/>
                <w:szCs w:val="22"/>
                <w:lang w:val="en-GB"/>
              </w:rPr>
              <w:t>lan for the use of the resources of the Intangible Cultural Heritage Fund approved by the General Assembly for the period</w:t>
            </w:r>
            <w:r w:rsidR="007267B8" w:rsidRPr="00A854F4">
              <w:rPr>
                <w:rFonts w:ascii="Arial" w:hAnsi="Arial" w:cs="Arial"/>
                <w:sz w:val="22"/>
                <w:szCs w:val="22"/>
                <w:lang w:val="en-GB"/>
              </w:rPr>
              <w:t>s 1 January 2018 to 31</w:t>
            </w:r>
            <w:r w:rsidR="00C658F4" w:rsidRPr="00A854F4">
              <w:rPr>
                <w:rFonts w:ascii="Arial" w:hAnsi="Arial" w:cs="Arial"/>
                <w:sz w:val="22"/>
                <w:szCs w:val="22"/>
                <w:lang w:val="en-GB"/>
              </w:rPr>
              <w:t> </w:t>
            </w:r>
            <w:r w:rsidR="007267B8" w:rsidRPr="00A854F4">
              <w:rPr>
                <w:rFonts w:ascii="Arial" w:hAnsi="Arial" w:cs="Arial"/>
                <w:sz w:val="22"/>
                <w:szCs w:val="22"/>
                <w:lang w:val="en-GB"/>
              </w:rPr>
              <w:t xml:space="preserve">December 2019 and </w:t>
            </w:r>
            <w:r w:rsidRPr="00A854F4">
              <w:rPr>
                <w:rFonts w:ascii="Arial" w:hAnsi="Arial" w:cs="Arial"/>
                <w:sz w:val="22"/>
                <w:szCs w:val="22"/>
                <w:lang w:val="en-GB"/>
              </w:rPr>
              <w:t xml:space="preserve">1 January 2020 </w:t>
            </w:r>
            <w:r w:rsidR="00F215CB" w:rsidRPr="00A854F4">
              <w:rPr>
                <w:rFonts w:ascii="Arial" w:hAnsi="Arial" w:cs="Arial"/>
                <w:sz w:val="22"/>
                <w:szCs w:val="22"/>
                <w:lang w:val="en-GB"/>
              </w:rPr>
              <w:t xml:space="preserve">to </w:t>
            </w:r>
            <w:r w:rsidRPr="00A854F4">
              <w:rPr>
                <w:rFonts w:ascii="Arial" w:hAnsi="Arial" w:cs="Arial"/>
                <w:sz w:val="22"/>
                <w:szCs w:val="22"/>
                <w:lang w:val="en-GB"/>
              </w:rPr>
              <w:t xml:space="preserve">31 December 2021 </w:t>
            </w:r>
            <w:r w:rsidR="007267B8" w:rsidRPr="00A854F4">
              <w:rPr>
                <w:rFonts w:ascii="Arial" w:hAnsi="Arial" w:cs="Arial"/>
                <w:sz w:val="22"/>
                <w:szCs w:val="22"/>
                <w:lang w:val="en-GB"/>
              </w:rPr>
              <w:t xml:space="preserve">respectively, </w:t>
            </w:r>
            <w:r w:rsidRPr="00A854F4">
              <w:rPr>
                <w:rFonts w:ascii="Arial" w:hAnsi="Arial" w:cs="Arial"/>
                <w:sz w:val="22"/>
                <w:szCs w:val="22"/>
                <w:lang w:val="en-GB"/>
              </w:rPr>
              <w:t xml:space="preserve">provided </w:t>
            </w:r>
            <w:r w:rsidR="00EF2A56" w:rsidRPr="00A854F4">
              <w:rPr>
                <w:rFonts w:ascii="Arial" w:hAnsi="Arial" w:cs="Arial"/>
                <w:sz w:val="22"/>
                <w:szCs w:val="22"/>
                <w:lang w:val="en-GB"/>
              </w:rPr>
              <w:t xml:space="preserve">that </w:t>
            </w:r>
            <w:r w:rsidRPr="00A854F4">
              <w:rPr>
                <w:rFonts w:ascii="Arial" w:hAnsi="Arial" w:cs="Arial"/>
                <w:sz w:val="22"/>
                <w:szCs w:val="22"/>
                <w:lang w:val="en-GB"/>
              </w:rPr>
              <w:t xml:space="preserve">20 per cent of the resources be allocated to ‘other functions of the Committee’, as described in Article 7 of the Convention and the Operational Directives. </w:t>
            </w:r>
            <w:r w:rsidR="000543D6" w:rsidRPr="00A854F4">
              <w:rPr>
                <w:rFonts w:ascii="Arial" w:hAnsi="Arial" w:cs="Arial"/>
                <w:sz w:val="22"/>
                <w:szCs w:val="22"/>
                <w:lang w:val="en-GB"/>
              </w:rPr>
              <w:t xml:space="preserve">The present document </w:t>
            </w:r>
            <w:r w:rsidR="00416693" w:rsidRPr="00A854F4">
              <w:rPr>
                <w:rFonts w:ascii="Arial" w:hAnsi="Arial" w:cs="Arial"/>
                <w:sz w:val="22"/>
                <w:szCs w:val="22"/>
                <w:lang w:val="en-GB"/>
              </w:rPr>
              <w:t xml:space="preserve">provides an Implementation </w:t>
            </w:r>
            <w:r w:rsidR="007267B8" w:rsidRPr="00A854F4">
              <w:rPr>
                <w:rFonts w:ascii="Arial" w:hAnsi="Arial" w:cs="Arial"/>
                <w:sz w:val="22"/>
                <w:szCs w:val="22"/>
                <w:lang w:val="en-GB"/>
              </w:rPr>
              <w:t xml:space="preserve">Report </w:t>
            </w:r>
            <w:r w:rsidR="000543D6" w:rsidRPr="00A854F4">
              <w:rPr>
                <w:rFonts w:ascii="Arial" w:hAnsi="Arial" w:cs="Arial"/>
                <w:sz w:val="22"/>
                <w:szCs w:val="22"/>
                <w:lang w:val="en-GB"/>
              </w:rPr>
              <w:t>for the period 1</w:t>
            </w:r>
            <w:r w:rsidR="007267B8" w:rsidRPr="00A854F4">
              <w:rPr>
                <w:rFonts w:ascii="Arial" w:hAnsi="Arial" w:cs="Arial"/>
                <w:sz w:val="22"/>
                <w:szCs w:val="22"/>
                <w:lang w:val="en-GB"/>
              </w:rPr>
              <w:t> </w:t>
            </w:r>
            <w:r w:rsidR="000543D6" w:rsidRPr="00A854F4">
              <w:rPr>
                <w:rFonts w:ascii="Arial" w:hAnsi="Arial" w:cs="Arial"/>
                <w:sz w:val="22"/>
                <w:szCs w:val="22"/>
                <w:lang w:val="en-GB"/>
              </w:rPr>
              <w:t xml:space="preserve">January </w:t>
            </w:r>
            <w:r w:rsidR="005A6568" w:rsidRPr="00A854F4">
              <w:rPr>
                <w:rFonts w:ascii="Arial" w:hAnsi="Arial" w:cs="Arial"/>
                <w:sz w:val="22"/>
                <w:szCs w:val="22"/>
                <w:lang w:val="en-GB"/>
              </w:rPr>
              <w:t>2018</w:t>
            </w:r>
            <w:r w:rsidR="000543D6" w:rsidRPr="00A854F4">
              <w:rPr>
                <w:rFonts w:ascii="Arial" w:hAnsi="Arial" w:cs="Arial"/>
                <w:sz w:val="22"/>
                <w:szCs w:val="22"/>
                <w:lang w:val="en-GB"/>
              </w:rPr>
              <w:t xml:space="preserve"> to 30 June 2021.</w:t>
            </w:r>
          </w:p>
        </w:tc>
      </w:tr>
    </w:tbl>
    <w:p w14:paraId="2AD6A7DB" w14:textId="75B68F86" w:rsidR="00D30D7F" w:rsidRPr="00A854F4" w:rsidRDefault="00851458" w:rsidP="00D30D7F">
      <w:pPr>
        <w:pStyle w:val="1GAPara"/>
        <w:jc w:val="both"/>
      </w:pPr>
      <w:r w:rsidRPr="00A854F4">
        <w:br w:type="page"/>
      </w:r>
      <w:r w:rsidR="00D1089D" w:rsidRPr="00A854F4">
        <w:lastRenderedPageBreak/>
        <w:t xml:space="preserve">The </w:t>
      </w:r>
      <w:r w:rsidR="00437779" w:rsidRPr="00A854F4">
        <w:t>P</w:t>
      </w:r>
      <w:r w:rsidR="007267B8" w:rsidRPr="00A854F4">
        <w:t xml:space="preserve">lans </w:t>
      </w:r>
      <w:r w:rsidR="00D1089D" w:rsidRPr="00A854F4">
        <w:t>for the use of the resources of the Intangible Cultural Heritage Fund</w:t>
      </w:r>
      <w:r w:rsidR="00437779" w:rsidRPr="00A854F4">
        <w:t xml:space="preserve"> (the ‘Fund’)</w:t>
      </w:r>
      <w:r w:rsidR="00D1089D" w:rsidRPr="00A854F4">
        <w:t xml:space="preserve"> adopted by the General Assembly at its seventh and eight</w:t>
      </w:r>
      <w:r w:rsidR="007267B8" w:rsidRPr="00A854F4">
        <w:t>h</w:t>
      </w:r>
      <w:r w:rsidR="00D1089D" w:rsidRPr="00A854F4">
        <w:t xml:space="preserve"> session</w:t>
      </w:r>
      <w:r w:rsidR="008F44FA" w:rsidRPr="00A854F4">
        <w:t>s</w:t>
      </w:r>
      <w:r w:rsidR="002A59C2" w:rsidRPr="00A854F4">
        <w:t xml:space="preserve"> respectively</w:t>
      </w:r>
      <w:r w:rsidR="008F44FA" w:rsidRPr="00A854F4">
        <w:t xml:space="preserve">, </w:t>
      </w:r>
      <w:r w:rsidR="00D1089D" w:rsidRPr="00A854F4">
        <w:t>allocate</w:t>
      </w:r>
      <w:r w:rsidR="000B450B" w:rsidRPr="00A854F4">
        <w:t>d</w:t>
      </w:r>
      <w:r w:rsidR="00D1089D" w:rsidRPr="00A854F4">
        <w:t xml:space="preserve"> 20</w:t>
      </w:r>
      <w:r w:rsidR="000B450B" w:rsidRPr="00A854F4">
        <w:t xml:space="preserve"> per cent </w:t>
      </w:r>
      <w:r w:rsidR="00D1089D" w:rsidRPr="00A854F4">
        <w:t xml:space="preserve">of the total </w:t>
      </w:r>
      <w:r w:rsidR="008F44FA" w:rsidRPr="00A854F4">
        <w:t xml:space="preserve">budget </w:t>
      </w:r>
      <w:r w:rsidR="00D1089D" w:rsidRPr="00A854F4">
        <w:t>for</w:t>
      </w:r>
      <w:r w:rsidR="008F44FA" w:rsidRPr="00A854F4">
        <w:t xml:space="preserve"> the</w:t>
      </w:r>
      <w:r w:rsidR="00D1089D" w:rsidRPr="00A854F4">
        <w:t xml:space="preserve"> ‘</w:t>
      </w:r>
      <w:r w:rsidR="008F44FA" w:rsidRPr="00A854F4">
        <w:t>o</w:t>
      </w:r>
      <w:r w:rsidR="00D1089D" w:rsidRPr="00A854F4">
        <w:t>ther functions of the Committee’</w:t>
      </w:r>
      <w:r w:rsidR="00992286" w:rsidRPr="00A854F4">
        <w:t xml:space="preserve"> (budget line 3 of the Plan)</w:t>
      </w:r>
      <w:r w:rsidR="00D1089D" w:rsidRPr="00A854F4">
        <w:t xml:space="preserve"> as described in Article</w:t>
      </w:r>
      <w:r w:rsidR="008F44FA" w:rsidRPr="00A854F4">
        <w:t> </w:t>
      </w:r>
      <w:r w:rsidR="00D1089D" w:rsidRPr="00A854F4">
        <w:t>7 of the Convention and in the Operational Directives</w:t>
      </w:r>
      <w:r w:rsidR="00814980" w:rsidRPr="00A854F4">
        <w:t>,</w:t>
      </w:r>
      <w:r w:rsidR="00D1089D" w:rsidRPr="00A854F4">
        <w:t xml:space="preserve"> for the period 1</w:t>
      </w:r>
      <w:r w:rsidR="007267B8" w:rsidRPr="00A854F4">
        <w:t> </w:t>
      </w:r>
      <w:r w:rsidR="00D1089D" w:rsidRPr="00A854F4">
        <w:t>January 2018 to 31</w:t>
      </w:r>
      <w:r w:rsidR="008F44FA" w:rsidRPr="00A854F4">
        <w:t> </w:t>
      </w:r>
      <w:r w:rsidR="00D1089D" w:rsidRPr="00A854F4">
        <w:t xml:space="preserve">December 2019 </w:t>
      </w:r>
      <w:r w:rsidR="008F44FA" w:rsidRPr="00A854F4">
        <w:t>(</w:t>
      </w:r>
      <w:r w:rsidR="00A22DBD" w:rsidRPr="00A22DBD">
        <w:t xml:space="preserve">Resolution </w:t>
      </w:r>
      <w:hyperlink r:id="rId8" w:history="1">
        <w:r w:rsidR="00A22DBD">
          <w:rPr>
            <w:rStyle w:val="Hyperlink"/>
          </w:rPr>
          <w:t>7.GA 8</w:t>
        </w:r>
      </w:hyperlink>
      <w:r w:rsidR="008F44FA" w:rsidRPr="00A854F4">
        <w:t xml:space="preserve">) </w:t>
      </w:r>
      <w:r w:rsidR="001E58D9" w:rsidRPr="00A854F4">
        <w:t>and</w:t>
      </w:r>
      <w:r w:rsidR="00D1089D" w:rsidRPr="00A854F4">
        <w:t xml:space="preserve"> for the period 1 January 2020 to 31 December 202</w:t>
      </w:r>
      <w:r w:rsidR="006C76ED" w:rsidRPr="00A854F4">
        <w:t>1</w:t>
      </w:r>
      <w:r w:rsidR="008F44FA" w:rsidRPr="00A854F4">
        <w:t xml:space="preserve"> (</w:t>
      </w:r>
      <w:r w:rsidR="00A22DBD" w:rsidRPr="00A22DBD">
        <w:t xml:space="preserve">Resolution </w:t>
      </w:r>
      <w:hyperlink r:id="rId9" w:history="1">
        <w:r w:rsidR="00A22DBD">
          <w:rPr>
            <w:rStyle w:val="Hyperlink"/>
          </w:rPr>
          <w:t>8.GA 7</w:t>
        </w:r>
      </w:hyperlink>
      <w:r w:rsidR="008F44FA" w:rsidRPr="00A854F4">
        <w:t>)</w:t>
      </w:r>
      <w:r w:rsidR="00D30D7F" w:rsidRPr="00A854F4">
        <w:t xml:space="preserve">. </w:t>
      </w:r>
      <w:r w:rsidR="00C7775D">
        <w:t>T</w:t>
      </w:r>
      <w:r w:rsidR="00D30D7F" w:rsidRPr="00A854F4">
        <w:t>he present document provides a narrative report for the implementation of the ‘other functions of the Committee’ for both reporting periods:</w:t>
      </w:r>
    </w:p>
    <w:p w14:paraId="346F7FB6" w14:textId="58412ED6" w:rsidR="00D30D7F" w:rsidRPr="00A854F4" w:rsidRDefault="00D30D7F" w:rsidP="00D30D7F">
      <w:pPr>
        <w:pStyle w:val="1GAPara"/>
        <w:numPr>
          <w:ilvl w:val="1"/>
          <w:numId w:val="8"/>
        </w:numPr>
        <w:ind w:left="1134" w:hanging="567"/>
        <w:jc w:val="both"/>
      </w:pPr>
      <w:r w:rsidRPr="00A854F4">
        <w:t>For the period 1 January 2018 to 31 December 2019, the spending plan for the ‘other functions of the Committee’ was endorsed by the Bureau of the Committee – by delegation of authority from the</w:t>
      </w:r>
      <w:r w:rsidR="00F43D0C" w:rsidRPr="00A854F4">
        <w:t xml:space="preserve"> twelfth session of the</w:t>
      </w:r>
      <w:r w:rsidRPr="00A854F4">
        <w:t xml:space="preserve"> Committee (</w:t>
      </w:r>
      <w:r w:rsidR="00A22DBD">
        <w:t>D</w:t>
      </w:r>
      <w:r w:rsidR="00A22DBD" w:rsidRPr="00A22DBD">
        <w:t>ecision </w:t>
      </w:r>
      <w:hyperlink r:id="rId10" w:history="1">
        <w:r w:rsidR="00A22DBD">
          <w:rPr>
            <w:rStyle w:val="Hyperlink"/>
          </w:rPr>
          <w:t>12.COM 7</w:t>
        </w:r>
      </w:hyperlink>
      <w:r w:rsidRPr="00A854F4">
        <w:t>) – based on a specific proposal prepared by the Secretariat for the use of the funds under this category for the above-mentioned period (</w:t>
      </w:r>
      <w:r w:rsidR="00A22DBD">
        <w:t>D</w:t>
      </w:r>
      <w:r w:rsidR="00A22DBD" w:rsidRPr="00A22DBD">
        <w:t>ecision </w:t>
      </w:r>
      <w:hyperlink r:id="rId11" w:history="1">
        <w:r w:rsidR="00A22DBD">
          <w:rPr>
            <w:rStyle w:val="Hyperlink"/>
          </w:rPr>
          <w:t>13.COM 2.BUR 3</w:t>
        </w:r>
      </w:hyperlink>
      <w:r w:rsidRPr="00A854F4">
        <w:t>);</w:t>
      </w:r>
    </w:p>
    <w:p w14:paraId="72754D55" w14:textId="0C5F0C82" w:rsidR="00D30D7F" w:rsidRPr="00A854F4" w:rsidRDefault="00D30D7F" w:rsidP="00271BEF">
      <w:pPr>
        <w:pStyle w:val="1GAPara"/>
        <w:numPr>
          <w:ilvl w:val="1"/>
          <w:numId w:val="8"/>
        </w:numPr>
        <w:ind w:left="1134" w:hanging="567"/>
        <w:jc w:val="both"/>
      </w:pPr>
      <w:r w:rsidRPr="00A854F4">
        <w:t>For the period 1 January 2020 to 31 December 2021, the spending plan for the ‘other functions of the Committee’ was approved by the General Assembly (</w:t>
      </w:r>
      <w:r w:rsidR="00A22DBD" w:rsidRPr="00A22DBD">
        <w:t xml:space="preserve">Resolution </w:t>
      </w:r>
      <w:hyperlink r:id="rId12" w:history="1">
        <w:r w:rsidR="00A22DBD">
          <w:rPr>
            <w:rStyle w:val="Hyperlink"/>
          </w:rPr>
          <w:t>8.GA 7</w:t>
        </w:r>
      </w:hyperlink>
      <w:r w:rsidRPr="00A854F4">
        <w:t>)</w:t>
      </w:r>
      <w:r w:rsidR="006C76ED" w:rsidRPr="00A854F4">
        <w:t xml:space="preserve"> </w:t>
      </w:r>
      <w:r w:rsidRPr="00A854F4">
        <w:t xml:space="preserve">in line with the </w:t>
      </w:r>
      <w:r w:rsidR="00814980" w:rsidRPr="00A854F4">
        <w:t>new</w:t>
      </w:r>
      <w:r w:rsidRPr="00A854F4">
        <w:t xml:space="preserve"> approval </w:t>
      </w:r>
      <w:r w:rsidR="00814980" w:rsidRPr="00A854F4">
        <w:t>procedure</w:t>
      </w:r>
      <w:r w:rsidRPr="00A854F4">
        <w:t xml:space="preserve"> put in place by the </w:t>
      </w:r>
      <w:r w:rsidR="00F43D0C" w:rsidRPr="00A854F4">
        <w:t xml:space="preserve">fourteenth session of the </w:t>
      </w:r>
      <w:r w:rsidRPr="00A854F4">
        <w:t xml:space="preserve">Committee in 2019 </w:t>
      </w:r>
      <w:r w:rsidRPr="00A854F4">
        <w:rPr>
          <w:bCs/>
        </w:rPr>
        <w:t>(</w:t>
      </w:r>
      <w:r w:rsidR="00A22DBD" w:rsidRPr="00A22DBD">
        <w:rPr>
          <w:bCs/>
        </w:rPr>
        <w:t>Decision </w:t>
      </w:r>
      <w:hyperlink r:id="rId13" w:history="1">
        <w:r w:rsidR="00A22DBD">
          <w:rPr>
            <w:rStyle w:val="Hyperlink"/>
            <w:bCs/>
          </w:rPr>
          <w:t>14.COM 7</w:t>
        </w:r>
      </w:hyperlink>
      <w:r w:rsidRPr="00A854F4">
        <w:rPr>
          <w:bCs/>
        </w:rPr>
        <w:t>).</w:t>
      </w:r>
    </w:p>
    <w:p w14:paraId="6E545F00" w14:textId="2AF83837" w:rsidR="00437779" w:rsidRPr="00A854F4" w:rsidRDefault="00814980" w:rsidP="00D30D7F">
      <w:pPr>
        <w:pStyle w:val="1GAPara"/>
        <w:jc w:val="both"/>
      </w:pPr>
      <w:r w:rsidRPr="00A854F4">
        <w:rPr>
          <w:bCs/>
        </w:rPr>
        <w:t xml:space="preserve">As a transitionary measure following the new approval procedure for the </w:t>
      </w:r>
      <w:r w:rsidRPr="00A854F4">
        <w:t>‘other functions of the Committee’ introduced in 2019,</w:t>
      </w:r>
      <w:r w:rsidRPr="00A854F4">
        <w:rPr>
          <w:bCs/>
        </w:rPr>
        <w:t xml:space="preserve"> t</w:t>
      </w:r>
      <w:r w:rsidR="00992286" w:rsidRPr="00A854F4">
        <w:rPr>
          <w:bCs/>
        </w:rPr>
        <w:t xml:space="preserve">he present implementation report exceptionally covers a period of </w:t>
      </w:r>
      <w:r w:rsidR="00FE3C65" w:rsidRPr="00A854F4">
        <w:rPr>
          <w:bCs/>
        </w:rPr>
        <w:t xml:space="preserve">forty-two </w:t>
      </w:r>
      <w:r w:rsidR="00992286" w:rsidRPr="00A854F4">
        <w:rPr>
          <w:bCs/>
        </w:rPr>
        <w:t>months</w:t>
      </w:r>
      <w:r w:rsidR="00C658F4" w:rsidRPr="00A854F4">
        <w:rPr>
          <w:bCs/>
        </w:rPr>
        <w:t>, from 1 January 2018</w:t>
      </w:r>
      <w:r w:rsidRPr="00A854F4">
        <w:rPr>
          <w:bCs/>
        </w:rPr>
        <w:t xml:space="preserve"> to 30 June 2021</w:t>
      </w:r>
      <w:r w:rsidR="000B450B" w:rsidRPr="00A854F4">
        <w:rPr>
          <w:bCs/>
        </w:rPr>
        <w:t xml:space="preserve">. </w:t>
      </w:r>
      <w:r w:rsidRPr="00A854F4">
        <w:rPr>
          <w:bCs/>
        </w:rPr>
        <w:t>An implementation report covering the entire 2020 – 2021 biennium will be presented to the ninth session of the General Assembly in 2022.</w:t>
      </w:r>
    </w:p>
    <w:p w14:paraId="19E4FB01" w14:textId="50995E8C" w:rsidR="0001236E" w:rsidRPr="00A854F4" w:rsidRDefault="009805D7" w:rsidP="00714FCD">
      <w:pPr>
        <w:pStyle w:val="1GAPara"/>
        <w:jc w:val="both"/>
      </w:pPr>
      <w:r w:rsidRPr="00A854F4">
        <w:t xml:space="preserve">Continuing the approach of the previous exercise, the </w:t>
      </w:r>
      <w:r w:rsidR="00814980" w:rsidRPr="00A854F4">
        <w:t>approved 2018</w:t>
      </w:r>
      <w:r w:rsidR="002C14DF" w:rsidRPr="00A854F4">
        <w:t xml:space="preserve"> – </w:t>
      </w:r>
      <w:r w:rsidR="00814980" w:rsidRPr="00A854F4">
        <w:t>2019</w:t>
      </w:r>
      <w:r w:rsidR="002C14DF" w:rsidRPr="00A854F4">
        <w:t xml:space="preserve"> </w:t>
      </w:r>
      <w:r w:rsidR="00814980" w:rsidRPr="00A854F4">
        <w:t xml:space="preserve">and </w:t>
      </w:r>
      <w:r w:rsidR="001E58D9" w:rsidRPr="00A854F4">
        <w:t>2020</w:t>
      </w:r>
      <w:r w:rsidR="002C14DF" w:rsidRPr="00A854F4">
        <w:t xml:space="preserve"> – </w:t>
      </w:r>
      <w:r w:rsidR="001E58D9" w:rsidRPr="00A854F4">
        <w:t>2021</w:t>
      </w:r>
      <w:r w:rsidR="002C14DF" w:rsidRPr="00A854F4">
        <w:t xml:space="preserve"> </w:t>
      </w:r>
      <w:r w:rsidRPr="00A854F4">
        <w:t>spending plan</w:t>
      </w:r>
      <w:r w:rsidR="00814980" w:rsidRPr="00A854F4">
        <w:t xml:space="preserve">s </w:t>
      </w:r>
      <w:r w:rsidRPr="00A854F4">
        <w:t>integrat</w:t>
      </w:r>
      <w:r w:rsidR="00814980" w:rsidRPr="00A854F4">
        <w:t>ed</w:t>
      </w:r>
      <w:r w:rsidRPr="00A854F4">
        <w:t xml:space="preserve"> </w:t>
      </w:r>
      <w:r w:rsidR="001E58D9" w:rsidRPr="00A854F4">
        <w:rPr>
          <w:rStyle w:val="hps"/>
        </w:rPr>
        <w:t xml:space="preserve">the </w:t>
      </w:r>
      <w:hyperlink r:id="rId14" w:history="1">
        <w:r w:rsidR="001E58D9" w:rsidRPr="00A854F4">
          <w:rPr>
            <w:rStyle w:val="Hyperlink"/>
          </w:rPr>
          <w:t>performance indicators</w:t>
        </w:r>
      </w:hyperlink>
      <w:r w:rsidR="001E58D9" w:rsidRPr="00A854F4">
        <w:rPr>
          <w:rStyle w:val="Hyperlink"/>
        </w:rPr>
        <w:t xml:space="preserve"> </w:t>
      </w:r>
      <w:r w:rsidRPr="00A854F4">
        <w:t xml:space="preserve">fully aligned with the </w:t>
      </w:r>
      <w:r w:rsidR="00814980" w:rsidRPr="00A854F4">
        <w:t xml:space="preserve">39 C/5 and </w:t>
      </w:r>
      <w:r w:rsidRPr="00A854F4">
        <w:t>40 C/5</w:t>
      </w:r>
      <w:r w:rsidR="00814980" w:rsidRPr="00A854F4">
        <w:t xml:space="preserve"> respectively</w:t>
      </w:r>
      <w:r w:rsidRPr="00A854F4">
        <w:t xml:space="preserve"> for the Major Programme IV Culture, Main Line of Action 2, Expected Result 6 ‘Intangible cultural heritage identified and safeguarded by Member States and communities, in particular through the effective implementation of the 2003 Convention’. The present document is intended to inform the States </w:t>
      </w:r>
      <w:r w:rsidR="00FE3C65" w:rsidRPr="00A854F4">
        <w:t>P</w:t>
      </w:r>
      <w:r w:rsidRPr="00A854F4">
        <w:t xml:space="preserve">arties on the </w:t>
      </w:r>
      <w:r w:rsidR="0001236E" w:rsidRPr="00A854F4">
        <w:t xml:space="preserve">programme </w:t>
      </w:r>
      <w:r w:rsidRPr="00A854F4">
        <w:t xml:space="preserve">implementation and the way the funds are spent for each of the </w:t>
      </w:r>
      <w:r w:rsidR="00FE3C65" w:rsidRPr="00A854F4">
        <w:t>e</w:t>
      </w:r>
      <w:r w:rsidRPr="00A854F4">
        <w:t xml:space="preserve">xpected </w:t>
      </w:r>
      <w:r w:rsidR="00FE3C65" w:rsidRPr="00A854F4">
        <w:t>r</w:t>
      </w:r>
      <w:r w:rsidRPr="00A854F4">
        <w:t>esults</w:t>
      </w:r>
      <w:r w:rsidR="002A59C2" w:rsidRPr="00A854F4">
        <w:t xml:space="preserve"> (ER)</w:t>
      </w:r>
      <w:r w:rsidR="0001236E" w:rsidRPr="00A854F4">
        <w:t xml:space="preserve">. </w:t>
      </w:r>
      <w:r w:rsidR="003B0B60" w:rsidRPr="00A854F4">
        <w:t xml:space="preserve">Therefore, the </w:t>
      </w:r>
      <w:r w:rsidR="001E58D9" w:rsidRPr="00A854F4">
        <w:t xml:space="preserve">tables below </w:t>
      </w:r>
      <w:r w:rsidR="003B0B60" w:rsidRPr="00A854F4">
        <w:t xml:space="preserve">provide information </w:t>
      </w:r>
      <w:r w:rsidR="00714FCD" w:rsidRPr="00A854F4">
        <w:t>on two reporting periods</w:t>
      </w:r>
      <w:r w:rsidR="003B0B60" w:rsidRPr="00A854F4">
        <w:t xml:space="preserve"> </w:t>
      </w:r>
      <w:r w:rsidR="00714FCD" w:rsidRPr="00A854F4">
        <w:t xml:space="preserve">for each </w:t>
      </w:r>
      <w:r w:rsidR="00FE3C65" w:rsidRPr="00A854F4">
        <w:t xml:space="preserve">expected result, </w:t>
      </w:r>
      <w:r w:rsidR="003B0B60" w:rsidRPr="00A854F4">
        <w:t xml:space="preserve">as follows: </w:t>
      </w:r>
      <w:r w:rsidR="00FE3C65" w:rsidRPr="00A854F4">
        <w:t>(</w:t>
      </w:r>
      <w:r w:rsidR="003B0B60" w:rsidRPr="00A854F4">
        <w:t xml:space="preserve">a) </w:t>
      </w:r>
      <w:r w:rsidR="00714FCD" w:rsidRPr="00A854F4">
        <w:t xml:space="preserve">a </w:t>
      </w:r>
      <w:r w:rsidR="003B0B60" w:rsidRPr="00A854F4">
        <w:t xml:space="preserve">final </w:t>
      </w:r>
      <w:r w:rsidR="00714FCD" w:rsidRPr="00A854F4">
        <w:t xml:space="preserve">implementation </w:t>
      </w:r>
      <w:r w:rsidR="003B0B60" w:rsidRPr="00A854F4">
        <w:t>report for the period from 1 January 2018 to 31 December 2019 as approved in the spending plan adopted in June 2018</w:t>
      </w:r>
      <w:r w:rsidR="00FE3C65" w:rsidRPr="00A854F4">
        <w:t>;</w:t>
      </w:r>
      <w:r w:rsidR="003B0B60" w:rsidRPr="00A854F4">
        <w:t xml:space="preserve"> and </w:t>
      </w:r>
      <w:r w:rsidR="00FE3C65" w:rsidRPr="00A854F4">
        <w:t>(</w:t>
      </w:r>
      <w:r w:rsidR="003B0B60" w:rsidRPr="00A854F4">
        <w:t xml:space="preserve">b) </w:t>
      </w:r>
      <w:r w:rsidR="00714FCD" w:rsidRPr="00A854F4">
        <w:t>a</w:t>
      </w:r>
      <w:r w:rsidR="003B0B60" w:rsidRPr="00A854F4">
        <w:t xml:space="preserve"> progress</w:t>
      </w:r>
      <w:r w:rsidR="00FE3C65" w:rsidRPr="00A854F4">
        <w:t xml:space="preserve"> update</w:t>
      </w:r>
      <w:r w:rsidR="003B0B60" w:rsidRPr="00A854F4">
        <w:t xml:space="preserve"> on the implementation for the period from 1 January 2020 to 3</w:t>
      </w:r>
      <w:r w:rsidR="00714FCD" w:rsidRPr="00A854F4">
        <w:t>0</w:t>
      </w:r>
      <w:r w:rsidR="003B0B60" w:rsidRPr="00A854F4">
        <w:t xml:space="preserve"> June 2021</w:t>
      </w:r>
      <w:r w:rsidR="0021599F" w:rsidRPr="00A854F4">
        <w:t xml:space="preserve"> as approved in </w:t>
      </w:r>
      <w:r w:rsidR="00714FCD" w:rsidRPr="00A854F4">
        <w:t xml:space="preserve">the </w:t>
      </w:r>
      <w:r w:rsidR="0021599F" w:rsidRPr="00A854F4">
        <w:t xml:space="preserve">spending plan adopted in </w:t>
      </w:r>
      <w:r w:rsidR="00714FCD" w:rsidRPr="00A854F4">
        <w:t xml:space="preserve">September </w:t>
      </w:r>
      <w:r w:rsidR="0021599F" w:rsidRPr="00A854F4">
        <w:t>2020</w:t>
      </w:r>
      <w:r w:rsidR="003B0B60" w:rsidRPr="00A854F4">
        <w:t xml:space="preserve">. </w:t>
      </w:r>
      <w:r w:rsidR="00714FCD" w:rsidRPr="00A854F4">
        <w:t>In addition</w:t>
      </w:r>
      <w:r w:rsidR="000145D8" w:rsidRPr="00A854F4">
        <w:t xml:space="preserve">, </w:t>
      </w:r>
      <w:r w:rsidR="00714FCD" w:rsidRPr="00A854F4">
        <w:t xml:space="preserve">a </w:t>
      </w:r>
      <w:r w:rsidR="0021599F" w:rsidRPr="00A854F4">
        <w:t>third table</w:t>
      </w:r>
      <w:r w:rsidR="00A854F4" w:rsidRPr="00A854F4">
        <w:t xml:space="preserve"> (c)</w:t>
      </w:r>
      <w:r w:rsidR="00714FCD" w:rsidRPr="00A854F4">
        <w:t xml:space="preserve"> under each </w:t>
      </w:r>
      <w:r w:rsidR="00FE3C65" w:rsidRPr="00A854F4">
        <w:t xml:space="preserve">expected result </w:t>
      </w:r>
      <w:r w:rsidR="000145D8" w:rsidRPr="00A854F4">
        <w:t>provides an analysis of the main challenges encountered and the corrective measures adopted</w:t>
      </w:r>
      <w:r w:rsidR="00F832FE" w:rsidRPr="00A854F4">
        <w:t>, with a focus on the second reporting period which was impacted heavily by the ongoing COVID-19 pandemic</w:t>
      </w:r>
      <w:r w:rsidR="000145D8" w:rsidRPr="00A854F4">
        <w:t>.</w:t>
      </w:r>
    </w:p>
    <w:p w14:paraId="2B207600" w14:textId="460270DD" w:rsidR="006E77DF" w:rsidRPr="00A854F4" w:rsidRDefault="0098110C" w:rsidP="00322AB8">
      <w:pPr>
        <w:pStyle w:val="1GAPara"/>
        <w:jc w:val="both"/>
        <w:rPr>
          <w:b/>
          <w:bCs/>
          <w:caps/>
        </w:rPr>
      </w:pPr>
      <w:r w:rsidRPr="00A854F4">
        <w:t>The resources allocated by the General Assembly to</w:t>
      </w:r>
      <w:r w:rsidR="002C14DF" w:rsidRPr="00A854F4">
        <w:t xml:space="preserve"> the</w:t>
      </w:r>
      <w:r w:rsidRPr="00A854F4">
        <w:t xml:space="preserve"> ‘other functions of the Committee’ </w:t>
      </w:r>
      <w:r w:rsidR="006B7F52" w:rsidRPr="00A854F4">
        <w:t xml:space="preserve">(budget line 3) </w:t>
      </w:r>
      <w:r w:rsidRPr="00A854F4">
        <w:t xml:space="preserve">continue to provide unique and irreplaceable support for a number of upstream and cross-cutting actions that have an overall and long-term impact for the implementation of the Convention. </w:t>
      </w:r>
      <w:r w:rsidR="006E77DF" w:rsidRPr="00A854F4">
        <w:t>During the last two biennia, this budget line was used to support</w:t>
      </w:r>
      <w:r w:rsidR="00FB62D1">
        <w:t xml:space="preserve"> addressing</w:t>
      </w:r>
      <w:r w:rsidR="006E77DF" w:rsidRPr="00A854F4">
        <w:t xml:space="preserve"> the </w:t>
      </w:r>
      <w:r w:rsidR="006E77DF" w:rsidRPr="00A854F4">
        <w:rPr>
          <w:b/>
          <w:bCs/>
        </w:rPr>
        <w:t>core issues of the implementation of the Convention</w:t>
      </w:r>
      <w:r w:rsidR="006E77DF" w:rsidRPr="00A854F4">
        <w:t>, as requested by the</w:t>
      </w:r>
      <w:r w:rsidR="00F43D0C" w:rsidRPr="00A854F4">
        <w:t xml:space="preserve"> </w:t>
      </w:r>
      <w:r w:rsidR="006E77DF" w:rsidRPr="00A854F4">
        <w:t>Committee. In particular, it contribute</w:t>
      </w:r>
      <w:r w:rsidR="002C14DF" w:rsidRPr="00A854F4">
        <w:t>d</w:t>
      </w:r>
      <w:r w:rsidR="006E77DF" w:rsidRPr="00A854F4">
        <w:t xml:space="preserve"> to</w:t>
      </w:r>
      <w:r w:rsidR="008C3740" w:rsidRPr="00A854F4">
        <w:t xml:space="preserve"> the </w:t>
      </w:r>
      <w:r w:rsidR="008C3740" w:rsidRPr="00A854F4">
        <w:rPr>
          <w:b/>
          <w:bCs/>
        </w:rPr>
        <w:t>sound governance of the 2003 Convention</w:t>
      </w:r>
      <w:r w:rsidR="00661066" w:rsidRPr="00A854F4">
        <w:t xml:space="preserve"> t</w:t>
      </w:r>
      <w:r w:rsidR="008C3740" w:rsidRPr="00A854F4">
        <w:t xml:space="preserve">hrough an accurate and efficient follow-up of all </w:t>
      </w:r>
      <w:r w:rsidR="00661066" w:rsidRPr="00A854F4">
        <w:t xml:space="preserve">statutory </w:t>
      </w:r>
      <w:r w:rsidR="008C3740" w:rsidRPr="00A854F4">
        <w:t>mechanisms of the Convention, transparent access to a wide range of information and better synergies and interactions with various stakeholders, including fostering the</w:t>
      </w:r>
      <w:r w:rsidR="006E77DF" w:rsidRPr="00A854F4">
        <w:t xml:space="preserve"> increased involvement of </w:t>
      </w:r>
      <w:r w:rsidR="00FE3C65" w:rsidRPr="00A854F4">
        <w:t>non-governmental organizations (</w:t>
      </w:r>
      <w:r w:rsidR="006E77DF" w:rsidRPr="00A854F4">
        <w:t>NGOs</w:t>
      </w:r>
      <w:r w:rsidR="00FE3C65" w:rsidRPr="00A854F4">
        <w:t>)</w:t>
      </w:r>
      <w:r w:rsidR="008C3740" w:rsidRPr="00A854F4">
        <w:t>, and support</w:t>
      </w:r>
      <w:r w:rsidR="00FE3C65" w:rsidRPr="00A854F4">
        <w:t>ing</w:t>
      </w:r>
      <w:r w:rsidR="00661066" w:rsidRPr="00A854F4">
        <w:t xml:space="preserve"> </w:t>
      </w:r>
      <w:r w:rsidR="008C3740" w:rsidRPr="00A854F4">
        <w:t xml:space="preserve">the </w:t>
      </w:r>
      <w:r w:rsidR="00661066" w:rsidRPr="00A854F4">
        <w:t xml:space="preserve">online </w:t>
      </w:r>
      <w:r w:rsidR="008C3740" w:rsidRPr="00A854F4">
        <w:t xml:space="preserve">work of the </w:t>
      </w:r>
      <w:r w:rsidR="00661066" w:rsidRPr="00A854F4">
        <w:t>governing bodies and Evaluation Body</w:t>
      </w:r>
      <w:r w:rsidR="006E77DF" w:rsidRPr="00A854F4">
        <w:t xml:space="preserve"> (Expected Result 1). The funds provided essential support </w:t>
      </w:r>
      <w:r w:rsidR="002C14DF" w:rsidRPr="00A854F4">
        <w:t xml:space="preserve">to </w:t>
      </w:r>
      <w:r w:rsidR="006E77DF" w:rsidRPr="00A854F4">
        <w:t xml:space="preserve">the </w:t>
      </w:r>
      <w:r w:rsidR="006E77DF" w:rsidRPr="00A854F4">
        <w:rPr>
          <w:b/>
          <w:bCs/>
        </w:rPr>
        <w:t>global capacity-building programme</w:t>
      </w:r>
      <w:r w:rsidR="006E77DF" w:rsidRPr="00A854F4">
        <w:t xml:space="preserve"> to support States and communities in their implementation of the Convention at the national level through more diverse institutional partnerships, but also through training that is more varied in content and format and that responds to current challenges (Expected Result 2). Furthermore, in the context of </w:t>
      </w:r>
      <w:r w:rsidR="006E77DF" w:rsidRPr="00A854F4">
        <w:rPr>
          <w:b/>
          <w:bCs/>
        </w:rPr>
        <w:t>the 2030 Sustainable Development Agenda</w:t>
      </w:r>
      <w:r w:rsidR="006E77DF" w:rsidRPr="00A854F4">
        <w:t xml:space="preserve">, funds were dedicated to the integration of intangible cultural heritage into development plans, programmes and policies, to better integrate living heritage into </w:t>
      </w:r>
      <w:r w:rsidR="006E77DF" w:rsidRPr="00A854F4">
        <w:lastRenderedPageBreak/>
        <w:t xml:space="preserve">UNESCO's broader programmes and to strengthen its contribution to the achievement of the </w:t>
      </w:r>
      <w:r w:rsidR="00F43D0C" w:rsidRPr="00A854F4">
        <w:t>sustainable development goals (</w:t>
      </w:r>
      <w:r w:rsidR="006E77DF" w:rsidRPr="00A854F4">
        <w:t>SDGs</w:t>
      </w:r>
      <w:r w:rsidR="00F43D0C" w:rsidRPr="00A854F4">
        <w:t>)</w:t>
      </w:r>
      <w:r w:rsidR="006E77DF" w:rsidRPr="00A854F4">
        <w:t xml:space="preserve">, in particular those relating to education, gender, climate change, indigenous peoples and youth (Expected Result 3). Finally, this budget line </w:t>
      </w:r>
      <w:r w:rsidR="000C51B8" w:rsidRPr="00A854F4">
        <w:t>supported initiatives enhancing</w:t>
      </w:r>
      <w:r w:rsidR="006E77DF" w:rsidRPr="00A854F4">
        <w:t xml:space="preserve"> </w:t>
      </w:r>
      <w:r w:rsidR="006E77DF" w:rsidRPr="00A854F4">
        <w:rPr>
          <w:b/>
          <w:bCs/>
        </w:rPr>
        <w:t>the visibility of the Convention</w:t>
      </w:r>
      <w:r w:rsidR="006E77DF" w:rsidRPr="00A854F4">
        <w:t xml:space="preserve"> </w:t>
      </w:r>
      <w:r w:rsidR="000C51B8" w:rsidRPr="00A854F4">
        <w:t>including</w:t>
      </w:r>
      <w:r w:rsidR="006E77DF" w:rsidRPr="00A854F4">
        <w:t xml:space="preserve"> through </w:t>
      </w:r>
      <w:r w:rsidR="000C51B8" w:rsidRPr="00A854F4">
        <w:t>the development of interactive tools and interfaces made available on the Convention’s</w:t>
      </w:r>
      <w:r w:rsidR="006E77DF" w:rsidRPr="00A854F4">
        <w:t xml:space="preserve"> website and communication </w:t>
      </w:r>
      <w:r w:rsidR="000C51B8" w:rsidRPr="00A854F4">
        <w:t>actions</w:t>
      </w:r>
      <w:r w:rsidR="006E77DF" w:rsidRPr="00A854F4">
        <w:t xml:space="preserve"> (Expected Result 4).</w:t>
      </w:r>
    </w:p>
    <w:p w14:paraId="5AB77C9B" w14:textId="63CDDB46" w:rsidR="00724AAD" w:rsidRPr="00A854F4" w:rsidRDefault="00724AAD" w:rsidP="00322AB8">
      <w:pPr>
        <w:pStyle w:val="1GAPara"/>
        <w:numPr>
          <w:ilvl w:val="0"/>
          <w:numId w:val="0"/>
        </w:numPr>
        <w:spacing w:before="360"/>
        <w:ind w:left="567" w:hanging="567"/>
        <w:jc w:val="both"/>
        <w:rPr>
          <w:b/>
          <w:bCs/>
          <w:caps/>
        </w:rPr>
      </w:pPr>
      <w:r w:rsidRPr="00A854F4">
        <w:rPr>
          <w:b/>
          <w:bCs/>
          <w:caps/>
        </w:rPr>
        <w:t>Assessment by Expected Result</w:t>
      </w:r>
      <w:r w:rsidR="00F832FE" w:rsidRPr="00A854F4">
        <w:rPr>
          <w:rStyle w:val="FootnoteReference"/>
          <w:b/>
          <w:bCs/>
          <w:caps/>
        </w:rPr>
        <w:footnoteReference w:id="1"/>
      </w:r>
    </w:p>
    <w:p w14:paraId="4C342445" w14:textId="50054F8D" w:rsidR="00724AAD" w:rsidRPr="00A854F4" w:rsidRDefault="00724AAD" w:rsidP="00724AAD">
      <w:pPr>
        <w:keepNext/>
        <w:spacing w:before="240"/>
        <w:jc w:val="both"/>
        <w:rPr>
          <w:rFonts w:ascii="Arial" w:hAnsi="Arial" w:cs="Arial"/>
          <w:szCs w:val="22"/>
        </w:rPr>
      </w:pPr>
      <w:r w:rsidRPr="00A854F4">
        <w:rPr>
          <w:rFonts w:ascii="Arial" w:hAnsi="Arial" w:cs="Arial"/>
          <w:szCs w:val="22"/>
        </w:rPr>
        <w:t xml:space="preserve"> ‘Other functions of the Committee’ for the period 1 January 2018 to 31 December 2019: </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724AAD" w:rsidRPr="00A854F4" w14:paraId="64201D04" w14:textId="77777777" w:rsidTr="00C35DA5">
        <w:trPr>
          <w:trHeight w:val="465"/>
          <w:jc w:val="center"/>
        </w:trPr>
        <w:tc>
          <w:tcPr>
            <w:tcW w:w="2000" w:type="pct"/>
            <w:shd w:val="clear" w:color="auto" w:fill="C6D9F1"/>
            <w:vAlign w:val="center"/>
          </w:tcPr>
          <w:p w14:paraId="07603C5E"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Budget approved for 2018/2019</w:t>
            </w:r>
          </w:p>
        </w:tc>
        <w:tc>
          <w:tcPr>
            <w:tcW w:w="2118" w:type="pct"/>
            <w:shd w:val="clear" w:color="auto" w:fill="C6D9F1"/>
            <w:vAlign w:val="center"/>
          </w:tcPr>
          <w:p w14:paraId="11F898B3"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Expenditures at 31/12/2019</w:t>
            </w:r>
          </w:p>
        </w:tc>
        <w:tc>
          <w:tcPr>
            <w:tcW w:w="882" w:type="pct"/>
            <w:shd w:val="clear" w:color="auto" w:fill="C6D9F1"/>
            <w:vAlign w:val="center"/>
          </w:tcPr>
          <w:p w14:paraId="0906C780"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31/12/2019</w:t>
            </w:r>
          </w:p>
        </w:tc>
      </w:tr>
      <w:tr w:rsidR="00724AAD" w:rsidRPr="00A854F4" w14:paraId="591E6B34" w14:textId="77777777" w:rsidTr="00C35DA5">
        <w:trPr>
          <w:trHeight w:val="465"/>
          <w:jc w:val="center"/>
        </w:trPr>
        <w:tc>
          <w:tcPr>
            <w:tcW w:w="2000" w:type="pct"/>
            <w:shd w:val="clear" w:color="auto" w:fill="auto"/>
          </w:tcPr>
          <w:p w14:paraId="3F06000A" w14:textId="509E2372" w:rsidR="00724AAD" w:rsidRPr="00A854F4" w:rsidRDefault="00724AAD" w:rsidP="00C35DA5">
            <w:pPr>
              <w:keepNext/>
              <w:spacing w:before="120"/>
              <w:jc w:val="center"/>
              <w:rPr>
                <w:rFonts w:ascii="Arial" w:eastAsia="Calibri" w:hAnsi="Arial" w:cs="Arial"/>
                <w:sz w:val="20"/>
                <w:szCs w:val="20"/>
              </w:rPr>
            </w:pPr>
            <w:r w:rsidRPr="00A854F4">
              <w:rPr>
                <w:rFonts w:ascii="Arial" w:eastAsia="Calibri" w:hAnsi="Arial" w:cs="Arial"/>
                <w:sz w:val="20"/>
                <w:szCs w:val="20"/>
              </w:rPr>
              <w:t>1,718,184.00</w:t>
            </w:r>
          </w:p>
        </w:tc>
        <w:tc>
          <w:tcPr>
            <w:tcW w:w="2118" w:type="pct"/>
            <w:shd w:val="clear" w:color="auto" w:fill="auto"/>
          </w:tcPr>
          <w:p w14:paraId="643C5473" w14:textId="77777777" w:rsidR="00724AAD" w:rsidRPr="00A854F4" w:rsidRDefault="00724AAD" w:rsidP="00C35DA5">
            <w:pPr>
              <w:keepNext/>
              <w:spacing w:before="120"/>
              <w:jc w:val="center"/>
              <w:rPr>
                <w:rFonts w:ascii="Arial" w:eastAsia="Calibri" w:hAnsi="Arial" w:cs="Arial"/>
                <w:sz w:val="20"/>
                <w:szCs w:val="20"/>
              </w:rPr>
            </w:pPr>
            <w:r w:rsidRPr="00A854F4">
              <w:rPr>
                <w:rFonts w:ascii="Arial" w:eastAsia="Calibri" w:hAnsi="Arial" w:cs="Arial"/>
                <w:sz w:val="20"/>
                <w:szCs w:val="20"/>
              </w:rPr>
              <w:t>1,575,954.48</w:t>
            </w:r>
          </w:p>
        </w:tc>
        <w:tc>
          <w:tcPr>
            <w:tcW w:w="882" w:type="pct"/>
            <w:shd w:val="clear" w:color="auto" w:fill="auto"/>
          </w:tcPr>
          <w:p w14:paraId="7980B14A" w14:textId="77777777" w:rsidR="00724AAD" w:rsidRPr="00A854F4" w:rsidRDefault="00724AAD" w:rsidP="00C35DA5">
            <w:pPr>
              <w:keepNext/>
              <w:spacing w:before="120"/>
              <w:jc w:val="center"/>
              <w:rPr>
                <w:rFonts w:ascii="Arial" w:eastAsia="Calibri" w:hAnsi="Arial" w:cs="Arial"/>
                <w:sz w:val="20"/>
                <w:szCs w:val="20"/>
              </w:rPr>
            </w:pPr>
            <w:r w:rsidRPr="00A854F4">
              <w:rPr>
                <w:rFonts w:ascii="Arial" w:eastAsia="Calibri" w:hAnsi="Arial" w:cs="Arial"/>
                <w:sz w:val="20"/>
                <w:szCs w:val="20"/>
              </w:rPr>
              <w:t>91.7%</w:t>
            </w:r>
          </w:p>
        </w:tc>
      </w:tr>
    </w:tbl>
    <w:p w14:paraId="7F038586" w14:textId="17DA97F7" w:rsidR="00724AAD" w:rsidRPr="00A854F4" w:rsidRDefault="00724AAD" w:rsidP="00724AAD">
      <w:pPr>
        <w:keepNext/>
        <w:spacing w:before="240"/>
        <w:jc w:val="both"/>
        <w:rPr>
          <w:rFonts w:ascii="Arial" w:hAnsi="Arial" w:cs="Arial"/>
          <w:szCs w:val="22"/>
        </w:rPr>
      </w:pPr>
      <w:r w:rsidRPr="00A854F4">
        <w:rPr>
          <w:rFonts w:ascii="Arial" w:hAnsi="Arial" w:cs="Arial"/>
          <w:szCs w:val="22"/>
        </w:rPr>
        <w:t>‘Other functions of the Committee’ for the period 1 January 2020 to 30 June 2021:</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724AAD" w:rsidRPr="00A854F4" w14:paraId="14B41C28" w14:textId="77777777" w:rsidTr="00322AB8">
        <w:trPr>
          <w:trHeight w:val="465"/>
          <w:jc w:val="center"/>
        </w:trPr>
        <w:tc>
          <w:tcPr>
            <w:tcW w:w="2000" w:type="pct"/>
            <w:shd w:val="clear" w:color="auto" w:fill="92D050"/>
            <w:vAlign w:val="center"/>
          </w:tcPr>
          <w:p w14:paraId="45266B80" w14:textId="77777777" w:rsidR="00724AAD" w:rsidRPr="00A854F4" w:rsidRDefault="00724AAD" w:rsidP="00C35DA5">
            <w:pPr>
              <w:keepNext/>
              <w:spacing w:before="120"/>
              <w:jc w:val="center"/>
              <w:rPr>
                <w:rFonts w:ascii="Arial" w:eastAsia="Calibri" w:hAnsi="Arial" w:cs="Arial"/>
                <w:sz w:val="20"/>
                <w:szCs w:val="20"/>
              </w:rPr>
            </w:pPr>
            <w:r w:rsidRPr="00A854F4">
              <w:rPr>
                <w:rFonts w:ascii="Arial" w:eastAsia="Calibri" w:hAnsi="Arial" w:cs="Arial"/>
                <w:b/>
                <w:sz w:val="20"/>
                <w:szCs w:val="20"/>
              </w:rPr>
              <w:t>Budget approved for 2020/2021</w:t>
            </w:r>
          </w:p>
        </w:tc>
        <w:tc>
          <w:tcPr>
            <w:tcW w:w="2118" w:type="pct"/>
            <w:shd w:val="clear" w:color="auto" w:fill="92D050"/>
            <w:vAlign w:val="center"/>
          </w:tcPr>
          <w:p w14:paraId="6DF6F739" w14:textId="77777777" w:rsidR="00724AAD" w:rsidRPr="00A854F4" w:rsidRDefault="00724AAD" w:rsidP="00C35DA5">
            <w:pPr>
              <w:keepNext/>
              <w:spacing w:before="120"/>
              <w:jc w:val="center"/>
              <w:rPr>
                <w:rFonts w:ascii="Arial" w:eastAsia="Calibri" w:hAnsi="Arial" w:cs="Arial"/>
                <w:sz w:val="20"/>
                <w:szCs w:val="20"/>
              </w:rPr>
            </w:pPr>
            <w:r w:rsidRPr="00A854F4">
              <w:rPr>
                <w:rFonts w:ascii="Arial" w:eastAsia="Calibri" w:hAnsi="Arial" w:cs="Arial"/>
                <w:b/>
                <w:sz w:val="20"/>
                <w:szCs w:val="20"/>
              </w:rPr>
              <w:t>Expenditures at 30/06/2021</w:t>
            </w:r>
          </w:p>
        </w:tc>
        <w:tc>
          <w:tcPr>
            <w:tcW w:w="882" w:type="pct"/>
            <w:shd w:val="clear" w:color="auto" w:fill="92D050"/>
            <w:vAlign w:val="center"/>
          </w:tcPr>
          <w:p w14:paraId="36772ADC" w14:textId="77777777" w:rsidR="00724AAD" w:rsidRPr="00A854F4" w:rsidRDefault="00724AAD" w:rsidP="00C35DA5">
            <w:pPr>
              <w:keepNext/>
              <w:spacing w:before="120"/>
              <w:jc w:val="center"/>
              <w:rPr>
                <w:rFonts w:ascii="Arial" w:eastAsia="Calibri" w:hAnsi="Arial" w:cs="Arial"/>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30/06/2021</w:t>
            </w:r>
          </w:p>
        </w:tc>
      </w:tr>
      <w:tr w:rsidR="00724AAD" w:rsidRPr="00A854F4" w14:paraId="038A1F3B" w14:textId="77777777" w:rsidTr="00C35DA5">
        <w:trPr>
          <w:trHeight w:val="465"/>
          <w:jc w:val="center"/>
        </w:trPr>
        <w:tc>
          <w:tcPr>
            <w:tcW w:w="2000" w:type="pct"/>
            <w:shd w:val="clear" w:color="auto" w:fill="FFFFFF" w:themeFill="background1"/>
            <w:vAlign w:val="center"/>
          </w:tcPr>
          <w:p w14:paraId="5CA8E307" w14:textId="77777777" w:rsidR="00724AAD" w:rsidRPr="00A854F4" w:rsidRDefault="00724AAD" w:rsidP="00C35DA5">
            <w:pPr>
              <w:keepNext/>
              <w:spacing w:before="120"/>
              <w:jc w:val="center"/>
              <w:rPr>
                <w:rFonts w:ascii="Arial" w:eastAsia="Calibri" w:hAnsi="Arial" w:cs="Arial"/>
                <w:bCs/>
                <w:sz w:val="20"/>
                <w:szCs w:val="20"/>
              </w:rPr>
            </w:pPr>
            <w:r w:rsidRPr="00A854F4">
              <w:rPr>
                <w:rFonts w:ascii="Arial" w:eastAsia="Calibri" w:hAnsi="Arial" w:cs="Arial"/>
                <w:bCs/>
                <w:sz w:val="20"/>
                <w:szCs w:val="20"/>
              </w:rPr>
              <w:t>1,568,076.00</w:t>
            </w:r>
          </w:p>
        </w:tc>
        <w:tc>
          <w:tcPr>
            <w:tcW w:w="2118" w:type="pct"/>
            <w:shd w:val="clear" w:color="auto" w:fill="FFFFFF" w:themeFill="background1"/>
            <w:vAlign w:val="center"/>
          </w:tcPr>
          <w:p w14:paraId="561A5BBC" w14:textId="77777777" w:rsidR="00724AAD" w:rsidRPr="00A854F4" w:rsidRDefault="00724AAD" w:rsidP="00C35DA5">
            <w:pPr>
              <w:keepNext/>
              <w:spacing w:before="120"/>
              <w:jc w:val="center"/>
              <w:rPr>
                <w:rFonts w:ascii="Arial" w:eastAsia="Calibri" w:hAnsi="Arial" w:cs="Arial"/>
                <w:bCs/>
                <w:sz w:val="20"/>
                <w:szCs w:val="20"/>
              </w:rPr>
            </w:pPr>
            <w:r w:rsidRPr="00A854F4">
              <w:rPr>
                <w:rFonts w:ascii="Arial" w:eastAsia="Calibri" w:hAnsi="Arial" w:cs="Arial"/>
                <w:bCs/>
                <w:sz w:val="20"/>
                <w:szCs w:val="20"/>
              </w:rPr>
              <w:t>694,654.74</w:t>
            </w:r>
          </w:p>
        </w:tc>
        <w:tc>
          <w:tcPr>
            <w:tcW w:w="882" w:type="pct"/>
            <w:shd w:val="clear" w:color="auto" w:fill="FFFFFF" w:themeFill="background1"/>
            <w:vAlign w:val="center"/>
          </w:tcPr>
          <w:p w14:paraId="4C3E0D1E" w14:textId="77777777" w:rsidR="00724AAD" w:rsidRPr="00A854F4" w:rsidRDefault="00724AAD" w:rsidP="00C35DA5">
            <w:pPr>
              <w:keepNext/>
              <w:spacing w:before="120"/>
              <w:jc w:val="center"/>
              <w:rPr>
                <w:rFonts w:ascii="Arial" w:eastAsia="Calibri" w:hAnsi="Arial" w:cs="Arial"/>
                <w:bCs/>
                <w:sz w:val="20"/>
                <w:szCs w:val="20"/>
              </w:rPr>
            </w:pPr>
            <w:r w:rsidRPr="00A854F4">
              <w:rPr>
                <w:rFonts w:ascii="Arial" w:eastAsia="Calibri" w:hAnsi="Arial" w:cs="Arial"/>
                <w:bCs/>
                <w:sz w:val="20"/>
                <w:szCs w:val="20"/>
              </w:rPr>
              <w:t>44.3%</w:t>
            </w:r>
          </w:p>
        </w:tc>
      </w:tr>
    </w:tbl>
    <w:p w14:paraId="64DCBA0D" w14:textId="662ED197" w:rsidR="00724AAD" w:rsidRPr="00A854F4" w:rsidRDefault="00724AAD" w:rsidP="00A05144">
      <w:pPr>
        <w:keepNext/>
        <w:spacing w:before="360"/>
        <w:jc w:val="both"/>
        <w:rPr>
          <w:rFonts w:ascii="Arial" w:hAnsi="Arial" w:cs="Arial"/>
          <w:b/>
          <w:bCs/>
          <w:szCs w:val="22"/>
        </w:rPr>
      </w:pPr>
      <w:r w:rsidRPr="00A854F4">
        <w:rPr>
          <w:rFonts w:ascii="Arial" w:hAnsi="Arial" w:cs="Arial"/>
          <w:b/>
          <w:szCs w:val="22"/>
        </w:rPr>
        <w:t>E</w:t>
      </w:r>
      <w:r w:rsidR="00FE3C65" w:rsidRPr="00A854F4">
        <w:rPr>
          <w:rFonts w:ascii="Arial" w:hAnsi="Arial" w:cs="Arial"/>
          <w:b/>
          <w:szCs w:val="22"/>
        </w:rPr>
        <w:t xml:space="preserve">xpected </w:t>
      </w:r>
      <w:r w:rsidRPr="00A854F4">
        <w:rPr>
          <w:rFonts w:ascii="Arial" w:hAnsi="Arial" w:cs="Arial"/>
          <w:b/>
          <w:szCs w:val="22"/>
        </w:rPr>
        <w:t>R</w:t>
      </w:r>
      <w:r w:rsidR="00FE3C65" w:rsidRPr="00A854F4">
        <w:rPr>
          <w:rFonts w:ascii="Arial" w:hAnsi="Arial" w:cs="Arial"/>
          <w:b/>
          <w:szCs w:val="22"/>
        </w:rPr>
        <w:t>esult</w:t>
      </w:r>
      <w:r w:rsidRPr="00A854F4">
        <w:rPr>
          <w:rFonts w:ascii="Arial" w:hAnsi="Arial" w:cs="Arial"/>
          <w:b/>
          <w:szCs w:val="22"/>
        </w:rPr>
        <w:t xml:space="preserve"> 1:</w:t>
      </w:r>
      <w:r w:rsidRPr="00A854F4">
        <w:rPr>
          <w:rFonts w:ascii="Arial" w:hAnsi="Arial" w:cs="Arial"/>
          <w:b/>
          <w:szCs w:val="22"/>
        </w:rPr>
        <w:tab/>
      </w:r>
      <w:r w:rsidRPr="00A854F4">
        <w:rPr>
          <w:rFonts w:ascii="Arial" w:hAnsi="Arial" w:cs="Arial"/>
          <w:b/>
          <w:bCs/>
          <w:szCs w:val="22"/>
        </w:rPr>
        <w:t>Sound governance of the 2003 Convention facilitated by enhanced monitoring and knowledge management services</w:t>
      </w:r>
    </w:p>
    <w:p w14:paraId="02DA7797" w14:textId="3804A29E" w:rsidR="00724AAD" w:rsidRPr="00A854F4" w:rsidRDefault="00724AAD" w:rsidP="00724AAD">
      <w:pPr>
        <w:pStyle w:val="ListParagraph"/>
        <w:keepNext/>
        <w:numPr>
          <w:ilvl w:val="0"/>
          <w:numId w:val="13"/>
        </w:numPr>
        <w:spacing w:before="240"/>
        <w:ind w:left="284" w:hanging="284"/>
        <w:jc w:val="both"/>
        <w:rPr>
          <w:rFonts w:ascii="Arial" w:hAnsi="Arial" w:cs="Arial"/>
          <w:b/>
          <w:bCs/>
          <w:sz w:val="22"/>
          <w:szCs w:val="22"/>
          <w:lang w:val="en-GB"/>
        </w:rPr>
      </w:pPr>
      <w:bookmarkStart w:id="2" w:name="_Hlk81489931"/>
      <w:r w:rsidRPr="00A854F4">
        <w:rPr>
          <w:rFonts w:ascii="Arial" w:hAnsi="Arial" w:cs="Arial"/>
          <w:b/>
          <w:bCs/>
          <w:sz w:val="22"/>
          <w:szCs w:val="22"/>
          <w:lang w:val="en-GB"/>
        </w:rPr>
        <w:t>Implementation report for the period 1 January 2018 to 31 December 2019</w:t>
      </w:r>
    </w:p>
    <w:p w14:paraId="122AA0CB" w14:textId="77777777" w:rsidR="00724AAD" w:rsidRPr="00A854F4" w:rsidRDefault="00724AAD" w:rsidP="00724AAD">
      <w:pPr>
        <w:pStyle w:val="ListParagraph"/>
        <w:keepNext/>
        <w:spacing w:before="240"/>
        <w:ind w:left="567"/>
        <w:jc w:val="both"/>
        <w:rPr>
          <w:rFonts w:ascii="Arial" w:hAnsi="Arial" w:cs="Arial"/>
          <w:b/>
          <w:bCs/>
          <w:sz w:val="22"/>
          <w:szCs w:val="22"/>
          <w:lang w:val="en-G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68B38780" w14:textId="77777777" w:rsidTr="00C35DA5">
        <w:trPr>
          <w:jc w:val="center"/>
        </w:trPr>
        <w:tc>
          <w:tcPr>
            <w:tcW w:w="1999" w:type="pct"/>
            <w:shd w:val="clear" w:color="auto" w:fill="C6D9F1"/>
            <w:vAlign w:val="center"/>
          </w:tcPr>
          <w:p w14:paraId="0867436D"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Allocation</w:t>
            </w:r>
          </w:p>
        </w:tc>
        <w:tc>
          <w:tcPr>
            <w:tcW w:w="2118" w:type="pct"/>
            <w:shd w:val="clear" w:color="auto" w:fill="C6D9F1"/>
            <w:vAlign w:val="center"/>
          </w:tcPr>
          <w:p w14:paraId="7C924F23"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Expenditures</w:t>
            </w:r>
          </w:p>
        </w:tc>
        <w:tc>
          <w:tcPr>
            <w:tcW w:w="883" w:type="pct"/>
            <w:shd w:val="clear" w:color="auto" w:fill="C6D9F1"/>
            <w:vAlign w:val="center"/>
          </w:tcPr>
          <w:p w14:paraId="13F2E7CE"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31/12/2019</w:t>
            </w:r>
          </w:p>
        </w:tc>
      </w:tr>
      <w:tr w:rsidR="00724AAD" w:rsidRPr="00A854F4" w14:paraId="29BB3732" w14:textId="77777777" w:rsidTr="00C35DA5">
        <w:trPr>
          <w:jc w:val="center"/>
        </w:trPr>
        <w:tc>
          <w:tcPr>
            <w:tcW w:w="1999" w:type="pct"/>
            <w:shd w:val="clear" w:color="auto" w:fill="auto"/>
          </w:tcPr>
          <w:p w14:paraId="4A622625"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338,512.00</w:t>
            </w:r>
          </w:p>
        </w:tc>
        <w:tc>
          <w:tcPr>
            <w:tcW w:w="2118" w:type="pct"/>
            <w:shd w:val="clear" w:color="auto" w:fill="auto"/>
          </w:tcPr>
          <w:p w14:paraId="325E41D1"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316,224.46</w:t>
            </w:r>
          </w:p>
        </w:tc>
        <w:tc>
          <w:tcPr>
            <w:tcW w:w="883" w:type="pct"/>
            <w:shd w:val="clear" w:color="auto" w:fill="auto"/>
          </w:tcPr>
          <w:p w14:paraId="650FC9BD"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93.4%</w:t>
            </w:r>
          </w:p>
        </w:tc>
      </w:tr>
    </w:tbl>
    <w:p w14:paraId="0E414359"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97"/>
      </w:tblGrid>
      <w:tr w:rsidR="00724AAD" w:rsidRPr="00A854F4" w14:paraId="6AD2283D" w14:textId="77777777" w:rsidTr="00C35DA5">
        <w:trPr>
          <w:tblHeader/>
          <w:jc w:val="center"/>
        </w:trPr>
        <w:tc>
          <w:tcPr>
            <w:tcW w:w="6941" w:type="dxa"/>
            <w:shd w:val="clear" w:color="auto" w:fill="D9D9D9"/>
            <w:vAlign w:val="center"/>
          </w:tcPr>
          <w:p w14:paraId="78C15A10"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results:</w:t>
            </w:r>
            <w:r w:rsidRPr="00A854F4">
              <w:rPr>
                <w:rFonts w:ascii="Arial" w:eastAsia="Calibri" w:hAnsi="Arial" w:cs="Arial"/>
                <w:b/>
                <w:sz w:val="20"/>
                <w:szCs w:val="20"/>
              </w:rPr>
              <w:br/>
              <w:t>01/01/2018 to 31/12/2019</w:t>
            </w:r>
          </w:p>
        </w:tc>
        <w:tc>
          <w:tcPr>
            <w:tcW w:w="2697" w:type="dxa"/>
            <w:shd w:val="clear" w:color="auto" w:fill="D9D9D9"/>
            <w:vAlign w:val="center"/>
          </w:tcPr>
          <w:p w14:paraId="2CA90283"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implementation</w:t>
            </w:r>
          </w:p>
        </w:tc>
      </w:tr>
      <w:tr w:rsidR="00724AAD" w:rsidRPr="00A854F4" w14:paraId="6C29F257" w14:textId="77777777" w:rsidTr="00C35DA5">
        <w:trPr>
          <w:jc w:val="center"/>
        </w:trPr>
        <w:tc>
          <w:tcPr>
            <w:tcW w:w="6941" w:type="dxa"/>
            <w:shd w:val="clear" w:color="auto" w:fill="auto"/>
          </w:tcPr>
          <w:p w14:paraId="2B99D699" w14:textId="6836B377" w:rsidR="00AE6879" w:rsidRPr="00A854F4" w:rsidRDefault="00AE6879" w:rsidP="00322AB8">
            <w:pPr>
              <w:spacing w:before="60" w:after="60"/>
              <w:jc w:val="both"/>
              <w:rPr>
                <w:rFonts w:ascii="Arial" w:eastAsia="Calibri" w:hAnsi="Arial" w:cs="Arial"/>
                <w:b/>
                <w:bCs/>
                <w:sz w:val="20"/>
                <w:szCs w:val="20"/>
              </w:rPr>
            </w:pPr>
            <w:r w:rsidRPr="00A854F4">
              <w:rPr>
                <w:rFonts w:ascii="Arial" w:eastAsia="Calibri" w:hAnsi="Arial" w:cs="Arial"/>
                <w:b/>
                <w:bCs/>
                <w:sz w:val="20"/>
                <w:szCs w:val="20"/>
              </w:rPr>
              <w:t>Processes and response time optimized thanks to monitoring interfaces and online workflows</w:t>
            </w:r>
          </w:p>
          <w:p w14:paraId="1B5EA566" w14:textId="73082FF8"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 xml:space="preserve">Online </w:t>
            </w:r>
            <w:r w:rsidR="005451C6" w:rsidRPr="00A854F4">
              <w:rPr>
                <w:rFonts w:ascii="Arial" w:eastAsia="Calibri" w:hAnsi="Arial" w:cs="Arial"/>
                <w:sz w:val="20"/>
                <w:szCs w:val="20"/>
              </w:rPr>
              <w:t xml:space="preserve">interface </w:t>
            </w:r>
            <w:r w:rsidR="00FE3C65" w:rsidRPr="00A854F4">
              <w:rPr>
                <w:rFonts w:ascii="Arial" w:eastAsia="Calibri" w:hAnsi="Arial" w:cs="Arial"/>
                <w:sz w:val="20"/>
                <w:szCs w:val="20"/>
              </w:rPr>
              <w:t xml:space="preserve">allowing </w:t>
            </w:r>
            <w:r w:rsidR="005451C6" w:rsidRPr="00A854F4">
              <w:rPr>
                <w:rFonts w:ascii="Arial" w:eastAsia="Calibri" w:hAnsi="Arial" w:cs="Arial"/>
                <w:sz w:val="20"/>
                <w:szCs w:val="20"/>
              </w:rPr>
              <w:t xml:space="preserve">accredited </w:t>
            </w:r>
            <w:r w:rsidR="00FE3C65" w:rsidRPr="00A854F4">
              <w:rPr>
                <w:rFonts w:ascii="Arial" w:eastAsia="Calibri" w:hAnsi="Arial" w:cs="Arial"/>
                <w:sz w:val="20"/>
                <w:szCs w:val="20"/>
              </w:rPr>
              <w:t xml:space="preserve">non-governmental organizations (NGOs) </w:t>
            </w:r>
            <w:r w:rsidR="005451C6" w:rsidRPr="00A854F4">
              <w:rPr>
                <w:rFonts w:ascii="Arial" w:eastAsia="Calibri" w:hAnsi="Arial" w:cs="Arial"/>
                <w:sz w:val="20"/>
                <w:szCs w:val="20"/>
              </w:rPr>
              <w:t xml:space="preserve">to submit quadrennial reports on their contributions to the implementation of the Convention </w:t>
            </w:r>
            <w:r w:rsidR="00C54F04" w:rsidRPr="00A854F4">
              <w:rPr>
                <w:rFonts w:ascii="Arial" w:eastAsia="Calibri" w:hAnsi="Arial" w:cs="Arial"/>
                <w:sz w:val="20"/>
                <w:szCs w:val="20"/>
              </w:rPr>
              <w:t xml:space="preserve">made </w:t>
            </w:r>
            <w:r w:rsidRPr="00A854F4">
              <w:rPr>
                <w:rFonts w:ascii="Arial" w:eastAsia="Calibri" w:hAnsi="Arial" w:cs="Arial"/>
                <w:sz w:val="20"/>
                <w:szCs w:val="20"/>
              </w:rPr>
              <w:t xml:space="preserve">fully operational </w:t>
            </w:r>
            <w:r w:rsidR="005451C6" w:rsidRPr="00A854F4">
              <w:rPr>
                <w:rFonts w:ascii="Arial" w:eastAsia="Calibri" w:hAnsi="Arial" w:cs="Arial"/>
                <w:sz w:val="20"/>
                <w:szCs w:val="20"/>
              </w:rPr>
              <w:t>from the 2019 cycle of accreditation review</w:t>
            </w:r>
            <w:r w:rsidRPr="00A854F4">
              <w:rPr>
                <w:rFonts w:ascii="Arial" w:eastAsia="Calibri" w:hAnsi="Arial" w:cs="Arial"/>
                <w:sz w:val="20"/>
                <w:szCs w:val="20"/>
              </w:rPr>
              <w:t>.</w:t>
            </w:r>
          </w:p>
          <w:p w14:paraId="34D2B4E8" w14:textId="77777777"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Incoming and outgoing correspondence integrated into the ‘country pages’ of the internal interfaces.</w:t>
            </w:r>
          </w:p>
          <w:p w14:paraId="18FBE9A3" w14:textId="68B83B49" w:rsidR="002D2725" w:rsidRPr="000E15E3" w:rsidRDefault="00AC4B9F" w:rsidP="000E15E3">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N</w:t>
            </w:r>
            <w:r w:rsidR="006462B5" w:rsidRPr="00A854F4">
              <w:rPr>
                <w:rFonts w:ascii="Arial" w:eastAsia="Calibri" w:hAnsi="Arial" w:cs="Arial"/>
                <w:sz w:val="20"/>
                <w:szCs w:val="20"/>
              </w:rPr>
              <w:t>ew interface</w:t>
            </w:r>
            <w:r w:rsidR="00C54F04" w:rsidRPr="00A854F4">
              <w:rPr>
                <w:rFonts w:ascii="Arial" w:eastAsia="Calibri" w:hAnsi="Arial" w:cs="Arial"/>
                <w:sz w:val="20"/>
                <w:szCs w:val="20"/>
              </w:rPr>
              <w:t xml:space="preserve"> developed to</w:t>
            </w:r>
            <w:r w:rsidR="006462B5" w:rsidRPr="00A854F4">
              <w:rPr>
                <w:rFonts w:ascii="Arial" w:eastAsia="Calibri" w:hAnsi="Arial" w:cs="Arial"/>
                <w:sz w:val="20"/>
                <w:szCs w:val="20"/>
              </w:rPr>
              <w:t xml:space="preserve"> present International Assistance requests up to US$100,000 submitted by States Parties and to be examined by the Bureau of the Committee.</w:t>
            </w:r>
          </w:p>
        </w:tc>
        <w:tc>
          <w:tcPr>
            <w:tcW w:w="2697" w:type="dxa"/>
          </w:tcPr>
          <w:p w14:paraId="133ED2CE" w14:textId="77777777" w:rsidR="00724AAD" w:rsidRPr="00A854F4" w:rsidRDefault="00724AAD" w:rsidP="00C35DA5">
            <w:pPr>
              <w:spacing w:before="320" w:after="60"/>
              <w:ind w:left="-103"/>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14DCB27F" w14:textId="77777777" w:rsidTr="00C35DA5">
        <w:trPr>
          <w:jc w:val="center"/>
        </w:trPr>
        <w:tc>
          <w:tcPr>
            <w:tcW w:w="6941" w:type="dxa"/>
            <w:shd w:val="clear" w:color="auto" w:fill="auto"/>
          </w:tcPr>
          <w:p w14:paraId="4A3E21BD" w14:textId="613CC4F4" w:rsidR="00AE6879" w:rsidRPr="00A854F4" w:rsidRDefault="00AE6879" w:rsidP="00A05144">
            <w:pPr>
              <w:keepNext/>
              <w:keepLines/>
              <w:spacing w:before="60" w:after="60"/>
              <w:jc w:val="both"/>
              <w:rPr>
                <w:rFonts w:ascii="Arial" w:eastAsia="Calibri" w:hAnsi="Arial" w:cs="Arial"/>
                <w:b/>
                <w:bCs/>
                <w:sz w:val="20"/>
                <w:szCs w:val="20"/>
              </w:rPr>
            </w:pPr>
            <w:r w:rsidRPr="00A854F4">
              <w:rPr>
                <w:rFonts w:ascii="Arial" w:eastAsia="Calibri" w:hAnsi="Arial" w:cs="Arial"/>
                <w:b/>
                <w:bCs/>
                <w:sz w:val="20"/>
                <w:szCs w:val="20"/>
              </w:rPr>
              <w:lastRenderedPageBreak/>
              <w:t>Clearing-house function of the knowledge management system enhanced</w:t>
            </w:r>
          </w:p>
          <w:p w14:paraId="2042D4B7" w14:textId="3FF8E38B" w:rsidR="00724AAD" w:rsidRPr="00A854F4" w:rsidRDefault="00724AAD" w:rsidP="00A05144">
            <w:pPr>
              <w:keepNext/>
              <w:keepLines/>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Open access granted to information about: (1) inscribed elements; (2) accredited NGOs; and (3) projects (downloadable files).</w:t>
            </w:r>
          </w:p>
          <w:p w14:paraId="5765BD87" w14:textId="6E1CF869" w:rsidR="00724AAD" w:rsidRPr="00A854F4" w:rsidRDefault="00724AAD" w:rsidP="00A05144">
            <w:pPr>
              <w:keepNext/>
              <w:keepLines/>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 xml:space="preserve">Data visualization prototype developed </w:t>
            </w:r>
            <w:r w:rsidR="00E60B4C" w:rsidRPr="00A854F4">
              <w:rPr>
                <w:rFonts w:ascii="Arial" w:eastAsia="Calibri" w:hAnsi="Arial" w:cs="Arial"/>
                <w:sz w:val="20"/>
                <w:szCs w:val="20"/>
              </w:rPr>
              <w:t>as part of</w:t>
            </w:r>
            <w:r w:rsidRPr="00A854F4">
              <w:rPr>
                <w:rFonts w:ascii="Arial" w:eastAsia="Calibri" w:hAnsi="Arial" w:cs="Arial"/>
                <w:sz w:val="20"/>
                <w:szCs w:val="20"/>
              </w:rPr>
              <w:t xml:space="preserve"> the project ‘Dive into Intangible Cultural Heritage’, which allows for interactive visual navigation through elements</w:t>
            </w:r>
            <w:r w:rsidR="006462B5" w:rsidRPr="00A854F4">
              <w:rPr>
                <w:rFonts w:ascii="Arial" w:eastAsia="Calibri" w:hAnsi="Arial" w:cs="Arial"/>
                <w:sz w:val="20"/>
                <w:szCs w:val="20"/>
              </w:rPr>
              <w:t xml:space="preserve"> inscribed</w:t>
            </w:r>
            <w:r w:rsidRPr="00A854F4">
              <w:rPr>
                <w:rFonts w:ascii="Arial" w:eastAsia="Calibri" w:hAnsi="Arial" w:cs="Arial"/>
                <w:sz w:val="20"/>
                <w:szCs w:val="20"/>
              </w:rPr>
              <w:t xml:space="preserve"> on the Lists.</w:t>
            </w:r>
          </w:p>
          <w:p w14:paraId="3EE7338B" w14:textId="1F1D83CB" w:rsidR="005451C6" w:rsidRPr="00A854F4" w:rsidRDefault="006462B5" w:rsidP="00A05144">
            <w:pPr>
              <w:keepNext/>
              <w:keepLines/>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Terminology harmonized with t</w:t>
            </w:r>
            <w:r w:rsidR="005451C6" w:rsidRPr="00A854F4">
              <w:rPr>
                <w:rFonts w:ascii="Arial" w:eastAsia="Calibri" w:hAnsi="Arial" w:cs="Arial"/>
                <w:sz w:val="20"/>
                <w:szCs w:val="20"/>
              </w:rPr>
              <w:t>he UNESCO Thesaurus for data indexing</w:t>
            </w:r>
            <w:r w:rsidRPr="00A854F4">
              <w:rPr>
                <w:rFonts w:ascii="Arial" w:eastAsia="Calibri" w:hAnsi="Arial" w:cs="Arial"/>
                <w:sz w:val="20"/>
                <w:szCs w:val="20"/>
              </w:rPr>
              <w:t xml:space="preserve"> and efficient access to information by themes and concepts</w:t>
            </w:r>
            <w:r w:rsidR="005451C6" w:rsidRPr="00A854F4">
              <w:rPr>
                <w:rFonts w:ascii="Arial" w:eastAsia="Calibri" w:hAnsi="Arial" w:cs="Arial"/>
                <w:sz w:val="20"/>
                <w:szCs w:val="20"/>
              </w:rPr>
              <w:t>.</w:t>
            </w:r>
          </w:p>
        </w:tc>
        <w:tc>
          <w:tcPr>
            <w:tcW w:w="2697" w:type="dxa"/>
            <w:shd w:val="clear" w:color="auto" w:fill="auto"/>
          </w:tcPr>
          <w:p w14:paraId="46B124C7" w14:textId="77777777" w:rsidR="00724AAD" w:rsidRPr="00A854F4" w:rsidRDefault="00724AAD" w:rsidP="00A05144">
            <w:pPr>
              <w:keepNext/>
              <w:keepLines/>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08C49B2C" w14:textId="77777777" w:rsidTr="00C35DA5">
        <w:trPr>
          <w:jc w:val="center"/>
        </w:trPr>
        <w:tc>
          <w:tcPr>
            <w:tcW w:w="6941" w:type="dxa"/>
            <w:shd w:val="clear" w:color="auto" w:fill="auto"/>
          </w:tcPr>
          <w:p w14:paraId="7F170E63" w14:textId="77777777" w:rsidR="00AE6879" w:rsidRPr="00A854F4" w:rsidRDefault="00AE6879" w:rsidP="00322AB8">
            <w:pPr>
              <w:keepNext/>
              <w:spacing w:before="60" w:after="60"/>
              <w:jc w:val="both"/>
              <w:rPr>
                <w:rFonts w:ascii="Arial" w:eastAsia="Calibri" w:hAnsi="Arial" w:cs="Arial"/>
                <w:b/>
                <w:bCs/>
                <w:sz w:val="20"/>
                <w:szCs w:val="20"/>
              </w:rPr>
            </w:pPr>
            <w:r w:rsidRPr="00A854F4">
              <w:rPr>
                <w:rFonts w:ascii="Arial" w:eastAsia="Calibri" w:hAnsi="Arial" w:cs="Arial"/>
                <w:b/>
                <w:bCs/>
                <w:sz w:val="20"/>
                <w:szCs w:val="20"/>
              </w:rPr>
              <w:t>Interaction with key stakeholders strengthened for improved synergies</w:t>
            </w:r>
          </w:p>
          <w:p w14:paraId="2FDAEE20" w14:textId="77777777"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Single sign-on bridge implemented, allowing for an authentication on the information system of the 2003 Convention using the UNESCO Directory.</w:t>
            </w:r>
          </w:p>
          <w:p w14:paraId="4E4F3978" w14:textId="4101ED5B" w:rsidR="005451C6" w:rsidRPr="00A854F4" w:rsidRDefault="005451C6">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Multilingual online bibliographic reference system developed to collect and index worldwide published research references that shed light on the different aspects of the implementation of the 2003 Convention</w:t>
            </w:r>
            <w:r w:rsidR="00661066" w:rsidRPr="00A854F4">
              <w:rPr>
                <w:rFonts w:ascii="Arial" w:eastAsia="Calibri" w:hAnsi="Arial" w:cs="Arial"/>
                <w:sz w:val="20"/>
                <w:szCs w:val="20"/>
              </w:rPr>
              <w:t>.</w:t>
            </w:r>
          </w:p>
        </w:tc>
        <w:tc>
          <w:tcPr>
            <w:tcW w:w="2697" w:type="dxa"/>
          </w:tcPr>
          <w:p w14:paraId="505C876F" w14:textId="77777777" w:rsidR="00724AAD" w:rsidRPr="00A854F4"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5BD2558F" w14:textId="77777777" w:rsidTr="00C35DA5">
        <w:trPr>
          <w:jc w:val="center"/>
        </w:trPr>
        <w:tc>
          <w:tcPr>
            <w:tcW w:w="6941" w:type="dxa"/>
            <w:shd w:val="clear" w:color="auto" w:fill="auto"/>
          </w:tcPr>
          <w:p w14:paraId="6FB39894" w14:textId="77777777" w:rsidR="00AE6879" w:rsidRPr="00A854F4" w:rsidRDefault="00AE6879" w:rsidP="00322AB8">
            <w:pPr>
              <w:keepNext/>
              <w:spacing w:before="60" w:after="60"/>
              <w:jc w:val="both"/>
              <w:rPr>
                <w:rFonts w:ascii="Arial" w:eastAsia="Calibri" w:hAnsi="Arial" w:cs="Arial"/>
                <w:b/>
                <w:bCs/>
                <w:sz w:val="20"/>
                <w:szCs w:val="20"/>
              </w:rPr>
            </w:pPr>
            <w:r w:rsidRPr="00A854F4">
              <w:rPr>
                <w:rFonts w:ascii="Arial" w:eastAsia="Calibri" w:hAnsi="Arial" w:cs="Arial"/>
                <w:b/>
                <w:bCs/>
                <w:sz w:val="20"/>
                <w:szCs w:val="20"/>
              </w:rPr>
              <w:t>Overall results framework for the Convention complemented</w:t>
            </w:r>
          </w:p>
          <w:p w14:paraId="7981A565" w14:textId="2E222E2A"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 xml:space="preserve">Guidance notes for the </w:t>
            </w:r>
            <w:r w:rsidR="00C54F04" w:rsidRPr="00A854F4">
              <w:rPr>
                <w:rFonts w:ascii="Arial" w:eastAsia="Calibri" w:hAnsi="Arial" w:cs="Arial"/>
                <w:sz w:val="20"/>
                <w:szCs w:val="20"/>
              </w:rPr>
              <w:t xml:space="preserve">twenty-six </w:t>
            </w:r>
            <w:r w:rsidRPr="00A854F4">
              <w:rPr>
                <w:rFonts w:ascii="Arial" w:eastAsia="Calibri" w:hAnsi="Arial" w:cs="Arial"/>
                <w:sz w:val="20"/>
                <w:szCs w:val="20"/>
              </w:rPr>
              <w:t>indicators of the Convention’s overall results framework developed and</w:t>
            </w:r>
            <w:r w:rsidR="007B44A9" w:rsidRPr="00A854F4">
              <w:rPr>
                <w:rFonts w:ascii="Arial" w:eastAsia="Calibri" w:hAnsi="Arial" w:cs="Arial"/>
                <w:sz w:val="20"/>
                <w:szCs w:val="20"/>
              </w:rPr>
              <w:t xml:space="preserve"> published in three languages (English, French and Spanish) on the dedicated webpage.</w:t>
            </w:r>
            <w:r w:rsidRPr="00A854F4">
              <w:rPr>
                <w:rFonts w:ascii="Arial" w:eastAsia="Calibri" w:hAnsi="Arial" w:cs="Arial"/>
                <w:sz w:val="20"/>
                <w:szCs w:val="20"/>
              </w:rPr>
              <w:t xml:space="preserve"> </w:t>
            </w:r>
            <w:r w:rsidR="007B44A9" w:rsidRPr="00A854F4">
              <w:rPr>
                <w:rFonts w:ascii="Arial" w:eastAsia="Calibri" w:hAnsi="Arial" w:cs="Arial"/>
                <w:sz w:val="20"/>
                <w:szCs w:val="20"/>
              </w:rPr>
              <w:t>T</w:t>
            </w:r>
            <w:r w:rsidRPr="00A854F4">
              <w:rPr>
                <w:rFonts w:ascii="Arial" w:eastAsia="Calibri" w:hAnsi="Arial" w:cs="Arial"/>
                <w:sz w:val="20"/>
                <w:szCs w:val="20"/>
              </w:rPr>
              <w:t>he periodic reporting Form ICH-10 fully revised and aligned to the framework.</w:t>
            </w:r>
          </w:p>
        </w:tc>
        <w:tc>
          <w:tcPr>
            <w:tcW w:w="2697" w:type="dxa"/>
          </w:tcPr>
          <w:p w14:paraId="7DB31FA7" w14:textId="77777777" w:rsidR="00724AAD" w:rsidRPr="00A854F4"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32932E7B" w14:textId="77777777" w:rsidTr="00C35DA5">
        <w:trPr>
          <w:jc w:val="center"/>
        </w:trPr>
        <w:tc>
          <w:tcPr>
            <w:tcW w:w="6941" w:type="dxa"/>
            <w:shd w:val="clear" w:color="auto" w:fill="auto"/>
          </w:tcPr>
          <w:p w14:paraId="1BDFA2AD" w14:textId="77777777" w:rsidR="00AE6879" w:rsidRPr="00A854F4" w:rsidRDefault="00AE6879" w:rsidP="00322AB8">
            <w:pPr>
              <w:keepNext/>
              <w:spacing w:before="60" w:after="60"/>
              <w:jc w:val="both"/>
              <w:rPr>
                <w:rFonts w:ascii="Arial" w:eastAsia="Calibri" w:hAnsi="Arial" w:cs="Arial"/>
                <w:b/>
                <w:bCs/>
                <w:sz w:val="20"/>
                <w:szCs w:val="20"/>
              </w:rPr>
            </w:pPr>
            <w:r w:rsidRPr="00A854F4">
              <w:rPr>
                <w:rFonts w:ascii="Arial" w:eastAsia="Calibri" w:hAnsi="Arial" w:cs="Arial"/>
                <w:b/>
                <w:bCs/>
                <w:sz w:val="20"/>
                <w:szCs w:val="20"/>
              </w:rPr>
              <w:t>Basic Texts of the Convention revised and published</w:t>
            </w:r>
          </w:p>
          <w:p w14:paraId="2F292D96" w14:textId="47364FD7"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2018 edition of the Basic Texts of the Convention designed, edited and published in the six working languages of the General Assembly. This version integrates the amendments to the Operational Directives adopted by the seventh session of the General Assembly and amendments to the Committee’s Rules of Procedure adopted at its twelfth session. For the first time, gender-neutral language is used throughout the versions of the publication in all six languages.</w:t>
            </w:r>
          </w:p>
        </w:tc>
        <w:tc>
          <w:tcPr>
            <w:tcW w:w="2697" w:type="dxa"/>
          </w:tcPr>
          <w:p w14:paraId="59C696C7" w14:textId="77777777" w:rsidR="00724AAD" w:rsidRPr="00A854F4" w:rsidRDefault="00724AAD" w:rsidP="00C35DA5">
            <w:pPr>
              <w:spacing w:before="320" w:after="60"/>
              <w:ind w:left="-103"/>
              <w:jc w:val="center"/>
              <w:rPr>
                <w:rFonts w:ascii="Arial" w:eastAsia="Calibri" w:hAnsi="Arial" w:cs="Arial"/>
                <w:sz w:val="20"/>
                <w:szCs w:val="20"/>
              </w:rPr>
            </w:pPr>
            <w:r w:rsidRPr="00A854F4">
              <w:rPr>
                <w:rFonts w:ascii="Arial" w:eastAsia="Calibri" w:hAnsi="Arial" w:cs="Arial"/>
                <w:sz w:val="20"/>
                <w:szCs w:val="20"/>
              </w:rPr>
              <w:t>Accomplished</w:t>
            </w:r>
          </w:p>
        </w:tc>
      </w:tr>
    </w:tbl>
    <w:p w14:paraId="536AE486" w14:textId="77777777" w:rsidR="00724AAD" w:rsidRPr="00A854F4" w:rsidRDefault="00724AAD" w:rsidP="00724AAD">
      <w:pPr>
        <w:pStyle w:val="ListParagraph"/>
        <w:keepNext/>
        <w:numPr>
          <w:ilvl w:val="0"/>
          <w:numId w:val="13"/>
        </w:numPr>
        <w:spacing w:before="240"/>
        <w:ind w:left="284" w:hanging="284"/>
        <w:jc w:val="both"/>
        <w:rPr>
          <w:rFonts w:ascii="Arial" w:hAnsi="Arial" w:cs="Arial"/>
          <w:b/>
          <w:bCs/>
          <w:sz w:val="22"/>
          <w:szCs w:val="22"/>
          <w:lang w:val="en-GB"/>
        </w:rPr>
      </w:pPr>
      <w:r w:rsidRPr="00A854F4">
        <w:rPr>
          <w:rFonts w:ascii="Arial" w:hAnsi="Arial" w:cs="Arial"/>
          <w:b/>
          <w:bCs/>
          <w:sz w:val="22"/>
          <w:szCs w:val="22"/>
          <w:lang w:val="en-GB"/>
        </w:rPr>
        <w:t xml:space="preserve">Implementation report for the period 1 January 2020 to 30 June 2021 </w:t>
      </w:r>
    </w:p>
    <w:p w14:paraId="46CDB93A" w14:textId="77777777" w:rsidR="00724AAD" w:rsidRPr="00A854F4" w:rsidRDefault="00724AAD" w:rsidP="00724AAD">
      <w:pPr>
        <w:pStyle w:val="ListParagraph"/>
        <w:keepNext/>
        <w:spacing w:before="240"/>
        <w:ind w:left="567"/>
        <w:jc w:val="both"/>
        <w:rPr>
          <w:rFonts w:ascii="Arial" w:hAnsi="Arial" w:cs="Arial"/>
          <w:b/>
          <w:bCs/>
          <w:sz w:val="22"/>
          <w:szCs w:val="22"/>
          <w:lang w:val="en-G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0CCB4E87" w14:textId="77777777" w:rsidTr="00322AB8">
        <w:trPr>
          <w:jc w:val="center"/>
        </w:trPr>
        <w:tc>
          <w:tcPr>
            <w:tcW w:w="1999" w:type="pct"/>
            <w:shd w:val="clear" w:color="auto" w:fill="92D050"/>
            <w:vAlign w:val="center"/>
          </w:tcPr>
          <w:p w14:paraId="5D47CA06"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Allocation</w:t>
            </w:r>
          </w:p>
        </w:tc>
        <w:tc>
          <w:tcPr>
            <w:tcW w:w="2118" w:type="pct"/>
            <w:shd w:val="clear" w:color="auto" w:fill="92D050"/>
            <w:vAlign w:val="center"/>
          </w:tcPr>
          <w:p w14:paraId="261E2DDC"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Expenditures</w:t>
            </w:r>
          </w:p>
        </w:tc>
        <w:tc>
          <w:tcPr>
            <w:tcW w:w="883" w:type="pct"/>
            <w:shd w:val="clear" w:color="auto" w:fill="92D050"/>
            <w:vAlign w:val="center"/>
          </w:tcPr>
          <w:p w14:paraId="6ED2170D"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30/06/2021</w:t>
            </w:r>
          </w:p>
        </w:tc>
      </w:tr>
      <w:tr w:rsidR="00724AAD" w:rsidRPr="00A854F4" w14:paraId="03221316" w14:textId="77777777" w:rsidTr="00C35DA5">
        <w:trPr>
          <w:jc w:val="center"/>
        </w:trPr>
        <w:tc>
          <w:tcPr>
            <w:tcW w:w="1999" w:type="pct"/>
            <w:shd w:val="clear" w:color="auto" w:fill="auto"/>
          </w:tcPr>
          <w:p w14:paraId="6E904DCF"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423,380.00</w:t>
            </w:r>
          </w:p>
        </w:tc>
        <w:tc>
          <w:tcPr>
            <w:tcW w:w="2118" w:type="pct"/>
            <w:shd w:val="clear" w:color="auto" w:fill="auto"/>
          </w:tcPr>
          <w:p w14:paraId="3105E3F4"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175,459.21</w:t>
            </w:r>
          </w:p>
        </w:tc>
        <w:tc>
          <w:tcPr>
            <w:tcW w:w="883" w:type="pct"/>
            <w:shd w:val="clear" w:color="auto" w:fill="auto"/>
          </w:tcPr>
          <w:p w14:paraId="4A06D4E4"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41.4%</w:t>
            </w:r>
          </w:p>
        </w:tc>
      </w:tr>
    </w:tbl>
    <w:p w14:paraId="4D42E7D1"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724AAD" w:rsidRPr="00A854F4" w14:paraId="704197E3" w14:textId="77777777" w:rsidTr="00C35DA5">
        <w:trPr>
          <w:tblHeader/>
          <w:jc w:val="center"/>
        </w:trPr>
        <w:tc>
          <w:tcPr>
            <w:tcW w:w="6803" w:type="dxa"/>
            <w:shd w:val="clear" w:color="auto" w:fill="D9D9D9"/>
            <w:vAlign w:val="center"/>
          </w:tcPr>
          <w:p w14:paraId="1AC418F1"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progress:</w:t>
            </w:r>
            <w:r w:rsidRPr="00A854F4">
              <w:rPr>
                <w:rFonts w:ascii="Arial" w:eastAsia="Calibri" w:hAnsi="Arial" w:cs="Arial"/>
                <w:b/>
                <w:sz w:val="20"/>
                <w:szCs w:val="20"/>
              </w:rPr>
              <w:br/>
              <w:t>01/01/2020 to 30/06/2021</w:t>
            </w:r>
          </w:p>
        </w:tc>
        <w:tc>
          <w:tcPr>
            <w:tcW w:w="2835" w:type="dxa"/>
            <w:shd w:val="clear" w:color="auto" w:fill="D9D9D9"/>
            <w:vAlign w:val="center"/>
          </w:tcPr>
          <w:p w14:paraId="6FFDA220"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implementation</w:t>
            </w:r>
          </w:p>
        </w:tc>
      </w:tr>
      <w:tr w:rsidR="00724AAD" w:rsidRPr="00A854F4" w14:paraId="64A8BA81" w14:textId="77777777" w:rsidTr="00C35DA5">
        <w:trPr>
          <w:jc w:val="center"/>
        </w:trPr>
        <w:tc>
          <w:tcPr>
            <w:tcW w:w="6803" w:type="dxa"/>
            <w:shd w:val="clear" w:color="auto" w:fill="auto"/>
          </w:tcPr>
          <w:p w14:paraId="1F6CDFD2" w14:textId="77777777" w:rsidR="00724AAD" w:rsidRPr="00A854F4" w:rsidRDefault="00724AAD" w:rsidP="00322AB8">
            <w:pPr>
              <w:spacing w:before="60" w:after="60"/>
              <w:jc w:val="both"/>
              <w:rPr>
                <w:rFonts w:ascii="Arial" w:eastAsia="Calibri" w:hAnsi="Arial" w:cs="Arial"/>
                <w:b/>
                <w:bCs/>
                <w:sz w:val="20"/>
                <w:szCs w:val="20"/>
              </w:rPr>
            </w:pPr>
            <w:r w:rsidRPr="00A854F4">
              <w:rPr>
                <w:rFonts w:ascii="Arial" w:eastAsia="Calibri" w:hAnsi="Arial" w:cs="Arial"/>
                <w:b/>
                <w:bCs/>
                <w:sz w:val="20"/>
                <w:szCs w:val="20"/>
              </w:rPr>
              <w:t>Processes and response time optimized thanks to monitoring interfaces and online workflows</w:t>
            </w:r>
          </w:p>
          <w:p w14:paraId="2ED3349C" w14:textId="7E970B16" w:rsidR="00724AAD" w:rsidRPr="00A854F4" w:rsidRDefault="00724AAD" w:rsidP="00322AB8">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Evaluation Body</w:t>
            </w:r>
            <w:r w:rsidR="0020583A" w:rsidRPr="00A854F4">
              <w:rPr>
                <w:rFonts w:ascii="Arial" w:eastAsia="Calibri" w:hAnsi="Arial" w:cs="Arial"/>
                <w:sz w:val="20"/>
                <w:szCs w:val="20"/>
              </w:rPr>
              <w:t>’s online interface</w:t>
            </w:r>
            <w:r w:rsidR="00D50750" w:rsidRPr="00A854F4">
              <w:rPr>
                <w:rFonts w:ascii="Arial" w:eastAsia="Calibri" w:hAnsi="Arial" w:cs="Arial"/>
                <w:sz w:val="20"/>
                <w:szCs w:val="20"/>
              </w:rPr>
              <w:t xml:space="preserve"> enhanced</w:t>
            </w:r>
            <w:r w:rsidR="0020583A" w:rsidRPr="00A854F4">
              <w:rPr>
                <w:rFonts w:ascii="Arial" w:eastAsia="Calibri" w:hAnsi="Arial" w:cs="Arial"/>
                <w:sz w:val="20"/>
                <w:szCs w:val="20"/>
              </w:rPr>
              <w:t xml:space="preserve"> to </w:t>
            </w:r>
            <w:r w:rsidR="00D50750" w:rsidRPr="00A854F4">
              <w:rPr>
                <w:rFonts w:ascii="Arial" w:eastAsia="Calibri" w:hAnsi="Arial" w:cs="Arial"/>
                <w:sz w:val="20"/>
                <w:szCs w:val="20"/>
              </w:rPr>
              <w:t xml:space="preserve">facilitate its work through </w:t>
            </w:r>
            <w:r w:rsidR="00FB62D1">
              <w:rPr>
                <w:rFonts w:ascii="Arial" w:eastAsia="Calibri" w:hAnsi="Arial" w:cs="Arial"/>
                <w:sz w:val="20"/>
                <w:szCs w:val="20"/>
              </w:rPr>
              <w:t>online</w:t>
            </w:r>
            <w:r w:rsidR="00FB62D1" w:rsidRPr="00A854F4">
              <w:rPr>
                <w:rFonts w:ascii="Arial" w:eastAsia="Calibri" w:hAnsi="Arial" w:cs="Arial"/>
                <w:sz w:val="20"/>
                <w:szCs w:val="20"/>
              </w:rPr>
              <w:t xml:space="preserve"> </w:t>
            </w:r>
            <w:r w:rsidR="00D50750" w:rsidRPr="00A854F4">
              <w:rPr>
                <w:rFonts w:ascii="Arial" w:eastAsia="Calibri" w:hAnsi="Arial" w:cs="Arial"/>
                <w:sz w:val="20"/>
                <w:szCs w:val="20"/>
              </w:rPr>
              <w:t>means, including the possibility to consult each other’s evaluation texts and exchange in between its meetings.</w:t>
            </w:r>
          </w:p>
          <w:p w14:paraId="57DCFD33" w14:textId="73817B1C" w:rsidR="00724AAD" w:rsidRPr="00A854F4" w:rsidRDefault="00D50750" w:rsidP="00322AB8">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O</w:t>
            </w:r>
            <w:r w:rsidR="00724AAD" w:rsidRPr="00A854F4">
              <w:rPr>
                <w:rFonts w:ascii="Arial" w:eastAsia="Calibri" w:hAnsi="Arial" w:cs="Arial"/>
                <w:sz w:val="20"/>
                <w:szCs w:val="20"/>
              </w:rPr>
              <w:t>nline tool</w:t>
            </w:r>
            <w:r w:rsidRPr="00A854F4">
              <w:rPr>
                <w:rFonts w:ascii="Arial" w:eastAsia="Calibri" w:hAnsi="Arial" w:cs="Arial"/>
                <w:sz w:val="20"/>
                <w:szCs w:val="20"/>
              </w:rPr>
              <w:t xml:space="preserve"> developed</w:t>
            </w:r>
            <w:r w:rsidR="00724AAD" w:rsidRPr="00A854F4">
              <w:rPr>
                <w:rFonts w:ascii="Arial" w:eastAsia="Calibri" w:hAnsi="Arial" w:cs="Arial"/>
                <w:sz w:val="20"/>
                <w:szCs w:val="20"/>
              </w:rPr>
              <w:t xml:space="preserve"> for enhancing the work of the Committee and General Assembly (</w:t>
            </w:r>
            <w:r w:rsidR="002B4B95">
              <w:rPr>
                <w:rFonts w:ascii="Arial" w:eastAsia="Calibri" w:hAnsi="Arial" w:cs="Arial"/>
                <w:sz w:val="20"/>
                <w:szCs w:val="20"/>
              </w:rPr>
              <w:t>online</w:t>
            </w:r>
            <w:r w:rsidR="002B4B95" w:rsidRPr="00A854F4">
              <w:rPr>
                <w:rFonts w:ascii="Arial" w:eastAsia="Calibri" w:hAnsi="Arial" w:cs="Arial"/>
                <w:sz w:val="20"/>
                <w:szCs w:val="20"/>
              </w:rPr>
              <w:t xml:space="preserve"> </w:t>
            </w:r>
            <w:r w:rsidR="00724AAD" w:rsidRPr="00A854F4">
              <w:rPr>
                <w:rFonts w:ascii="Arial" w:eastAsia="Calibri" w:hAnsi="Arial" w:cs="Arial"/>
                <w:sz w:val="20"/>
                <w:szCs w:val="20"/>
              </w:rPr>
              <w:t>or physical side events, publications, etc.)</w:t>
            </w:r>
            <w:r w:rsidR="008A225A" w:rsidRPr="00A854F4">
              <w:rPr>
                <w:rFonts w:ascii="Arial" w:eastAsia="Calibri" w:hAnsi="Arial" w:cs="Arial"/>
                <w:sz w:val="20"/>
                <w:szCs w:val="20"/>
              </w:rPr>
              <w:t>.</w:t>
            </w:r>
          </w:p>
        </w:tc>
        <w:tc>
          <w:tcPr>
            <w:tcW w:w="2835" w:type="dxa"/>
          </w:tcPr>
          <w:p w14:paraId="2CE4C42E" w14:textId="77777777" w:rsidR="00105CF8" w:rsidRPr="00A854F4"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 xml:space="preserve">Partially accomplished </w:t>
            </w:r>
          </w:p>
          <w:p w14:paraId="53EA7574" w14:textId="06C0C8D2" w:rsidR="00724AAD" w:rsidRPr="00A854F4" w:rsidRDefault="00724AAD" w:rsidP="009C63AA">
            <w:pPr>
              <w:spacing w:after="60"/>
              <w:jc w:val="center"/>
              <w:rPr>
                <w:rFonts w:ascii="Arial" w:eastAsia="Calibri" w:hAnsi="Arial" w:cs="Arial"/>
                <w:sz w:val="20"/>
                <w:szCs w:val="20"/>
              </w:rPr>
            </w:pPr>
            <w:r w:rsidRPr="00A854F4">
              <w:rPr>
                <w:rFonts w:ascii="Arial" w:eastAsia="Calibri" w:hAnsi="Arial" w:cs="Arial"/>
                <w:sz w:val="20"/>
                <w:szCs w:val="20"/>
              </w:rPr>
              <w:t>(on-going)</w:t>
            </w:r>
          </w:p>
        </w:tc>
      </w:tr>
      <w:tr w:rsidR="00724AAD" w:rsidRPr="00A854F4" w14:paraId="50C69D76" w14:textId="77777777" w:rsidTr="00C35DA5">
        <w:trPr>
          <w:jc w:val="center"/>
        </w:trPr>
        <w:tc>
          <w:tcPr>
            <w:tcW w:w="6803" w:type="dxa"/>
            <w:shd w:val="clear" w:color="auto" w:fill="auto"/>
          </w:tcPr>
          <w:p w14:paraId="3807DF20" w14:textId="77777777" w:rsidR="00724AAD" w:rsidRPr="00A854F4" w:rsidRDefault="00724AAD" w:rsidP="00A05144">
            <w:pPr>
              <w:keepNext/>
              <w:spacing w:before="60" w:after="60"/>
              <w:jc w:val="both"/>
              <w:rPr>
                <w:rFonts w:ascii="Arial" w:eastAsia="Calibri" w:hAnsi="Arial" w:cs="Arial"/>
                <w:b/>
                <w:bCs/>
                <w:sz w:val="20"/>
                <w:szCs w:val="20"/>
              </w:rPr>
            </w:pPr>
            <w:r w:rsidRPr="00A854F4">
              <w:rPr>
                <w:rFonts w:ascii="Arial" w:eastAsia="Calibri" w:hAnsi="Arial" w:cs="Arial"/>
                <w:b/>
                <w:bCs/>
                <w:sz w:val="20"/>
                <w:szCs w:val="20"/>
              </w:rPr>
              <w:lastRenderedPageBreak/>
              <w:t>Importance of safeguarding living heritage for sustainable development demonstrated</w:t>
            </w:r>
          </w:p>
          <w:p w14:paraId="3B27ADD0" w14:textId="76D4AB78" w:rsidR="00724AAD" w:rsidRPr="00A854F4" w:rsidRDefault="00724AAD" w:rsidP="00A05144">
            <w:pPr>
              <w:keepNext/>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Data indexing and visualizations on the contribution</w:t>
            </w:r>
            <w:r w:rsidR="008D77B7" w:rsidRPr="00A854F4">
              <w:rPr>
                <w:rFonts w:ascii="Arial" w:eastAsia="Calibri" w:hAnsi="Arial" w:cs="Arial"/>
                <w:sz w:val="20"/>
                <w:szCs w:val="20"/>
              </w:rPr>
              <w:t xml:space="preserve"> of intangible cultural heritage</w:t>
            </w:r>
            <w:r w:rsidRPr="00A854F4">
              <w:rPr>
                <w:rFonts w:ascii="Arial" w:eastAsia="Calibri" w:hAnsi="Arial" w:cs="Arial"/>
                <w:sz w:val="20"/>
                <w:szCs w:val="20"/>
              </w:rPr>
              <w:t xml:space="preserve"> to the S</w:t>
            </w:r>
            <w:r w:rsidR="00D4114B" w:rsidRPr="00A854F4">
              <w:rPr>
                <w:rFonts w:ascii="Arial" w:eastAsia="Calibri" w:hAnsi="Arial" w:cs="Arial"/>
                <w:sz w:val="20"/>
                <w:szCs w:val="20"/>
              </w:rPr>
              <w:t xml:space="preserve">ustainable </w:t>
            </w:r>
            <w:r w:rsidRPr="00A854F4">
              <w:rPr>
                <w:rFonts w:ascii="Arial" w:eastAsia="Calibri" w:hAnsi="Arial" w:cs="Arial"/>
                <w:sz w:val="20"/>
                <w:szCs w:val="20"/>
              </w:rPr>
              <w:t>D</w:t>
            </w:r>
            <w:r w:rsidR="00D4114B" w:rsidRPr="00A854F4">
              <w:rPr>
                <w:rFonts w:ascii="Arial" w:eastAsia="Calibri" w:hAnsi="Arial" w:cs="Arial"/>
                <w:sz w:val="20"/>
                <w:szCs w:val="20"/>
              </w:rPr>
              <w:t xml:space="preserve">evelopment </w:t>
            </w:r>
            <w:r w:rsidRPr="00A854F4">
              <w:rPr>
                <w:rFonts w:ascii="Arial" w:eastAsia="Calibri" w:hAnsi="Arial" w:cs="Arial"/>
                <w:sz w:val="20"/>
                <w:szCs w:val="20"/>
              </w:rPr>
              <w:t>G</w:t>
            </w:r>
            <w:r w:rsidR="00D4114B" w:rsidRPr="00A854F4">
              <w:rPr>
                <w:rFonts w:ascii="Arial" w:eastAsia="Calibri" w:hAnsi="Arial" w:cs="Arial"/>
                <w:sz w:val="20"/>
                <w:szCs w:val="20"/>
              </w:rPr>
              <w:t>oal</w:t>
            </w:r>
            <w:r w:rsidRPr="00A854F4">
              <w:rPr>
                <w:rFonts w:ascii="Arial" w:eastAsia="Calibri" w:hAnsi="Arial" w:cs="Arial"/>
                <w:sz w:val="20"/>
                <w:szCs w:val="20"/>
              </w:rPr>
              <w:t>s</w:t>
            </w:r>
            <w:r w:rsidR="008D77B7" w:rsidRPr="00A854F4">
              <w:rPr>
                <w:rFonts w:ascii="Arial" w:eastAsia="Calibri" w:hAnsi="Arial" w:cs="Arial"/>
                <w:sz w:val="20"/>
                <w:szCs w:val="20"/>
              </w:rPr>
              <w:t xml:space="preserve"> operational and made available in two languages </w:t>
            </w:r>
            <w:r w:rsidR="00105CF8" w:rsidRPr="00A854F4">
              <w:rPr>
                <w:rFonts w:ascii="Arial" w:eastAsia="Calibri" w:hAnsi="Arial" w:cs="Arial"/>
                <w:sz w:val="20"/>
                <w:szCs w:val="20"/>
              </w:rPr>
              <w:t xml:space="preserve">(English and French) </w:t>
            </w:r>
            <w:r w:rsidR="008D77B7" w:rsidRPr="00A854F4">
              <w:rPr>
                <w:rFonts w:ascii="Arial" w:eastAsia="Calibri" w:hAnsi="Arial" w:cs="Arial"/>
                <w:sz w:val="20"/>
                <w:szCs w:val="20"/>
              </w:rPr>
              <w:t>on the Convention’s website</w:t>
            </w:r>
            <w:r w:rsidR="00D4114B" w:rsidRPr="00A854F4">
              <w:rPr>
                <w:rFonts w:ascii="Arial" w:eastAsia="Calibri" w:hAnsi="Arial" w:cs="Arial"/>
                <w:sz w:val="20"/>
                <w:szCs w:val="20"/>
              </w:rPr>
              <w:t>.</w:t>
            </w:r>
          </w:p>
        </w:tc>
        <w:tc>
          <w:tcPr>
            <w:tcW w:w="2835" w:type="dxa"/>
          </w:tcPr>
          <w:p w14:paraId="7C43D170" w14:textId="55655713" w:rsidR="00724AAD" w:rsidRPr="00A854F4" w:rsidRDefault="00724AAD" w:rsidP="00A05144">
            <w:pPr>
              <w:keepNext/>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0820F3CC" w14:textId="77777777" w:rsidTr="00C35DA5">
        <w:trPr>
          <w:jc w:val="center"/>
        </w:trPr>
        <w:tc>
          <w:tcPr>
            <w:tcW w:w="6803" w:type="dxa"/>
            <w:shd w:val="clear" w:color="auto" w:fill="auto"/>
          </w:tcPr>
          <w:p w14:paraId="6C456D19" w14:textId="77777777" w:rsidR="00724AAD" w:rsidRPr="00A854F4" w:rsidRDefault="00724AAD" w:rsidP="00322AB8">
            <w:pPr>
              <w:keepNext/>
              <w:spacing w:before="60" w:after="60"/>
              <w:jc w:val="both"/>
              <w:rPr>
                <w:rFonts w:ascii="Arial" w:eastAsia="Calibri" w:hAnsi="Arial" w:cs="Arial"/>
                <w:b/>
                <w:bCs/>
                <w:sz w:val="20"/>
                <w:szCs w:val="20"/>
              </w:rPr>
            </w:pPr>
            <w:r w:rsidRPr="00A854F4">
              <w:rPr>
                <w:rFonts w:ascii="Arial" w:eastAsia="Calibri" w:hAnsi="Arial" w:cs="Arial"/>
                <w:b/>
                <w:bCs/>
                <w:sz w:val="20"/>
                <w:szCs w:val="20"/>
              </w:rPr>
              <w:t>Interaction with key stakeholders strengthened for improved synergies</w:t>
            </w:r>
          </w:p>
          <w:p w14:paraId="2794A6EF" w14:textId="5ACE5610" w:rsidR="00724AAD" w:rsidRPr="00A854F4" w:rsidRDefault="005B7298" w:rsidP="00322AB8">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Ongoing m</w:t>
            </w:r>
            <w:r w:rsidR="00724AAD" w:rsidRPr="00A854F4">
              <w:rPr>
                <w:rFonts w:ascii="Arial" w:eastAsia="Calibri" w:hAnsi="Arial" w:cs="Arial"/>
                <w:sz w:val="20"/>
                <w:szCs w:val="20"/>
              </w:rPr>
              <w:t>apping of the</w:t>
            </w:r>
            <w:r w:rsidRPr="00A854F4">
              <w:rPr>
                <w:rFonts w:ascii="Arial" w:eastAsia="Calibri" w:hAnsi="Arial" w:cs="Arial"/>
                <w:sz w:val="20"/>
                <w:szCs w:val="20"/>
              </w:rPr>
              <w:t xml:space="preserve"> domains of</w:t>
            </w:r>
            <w:r w:rsidR="00724AAD" w:rsidRPr="00A854F4">
              <w:rPr>
                <w:rFonts w:ascii="Arial" w:eastAsia="Calibri" w:hAnsi="Arial" w:cs="Arial"/>
                <w:sz w:val="20"/>
                <w:szCs w:val="20"/>
              </w:rPr>
              <w:t xml:space="preserve"> competencies of accredited </w:t>
            </w:r>
            <w:r w:rsidR="00C54F04" w:rsidRPr="00A854F4">
              <w:rPr>
                <w:rFonts w:ascii="Arial" w:eastAsia="Calibri" w:hAnsi="Arial" w:cs="Arial"/>
                <w:sz w:val="20"/>
                <w:szCs w:val="20"/>
              </w:rPr>
              <w:t>non-governmental organizations (</w:t>
            </w:r>
            <w:r w:rsidR="00724AAD" w:rsidRPr="00A854F4">
              <w:rPr>
                <w:rFonts w:ascii="Arial" w:eastAsia="Calibri" w:hAnsi="Arial" w:cs="Arial"/>
                <w:sz w:val="20"/>
                <w:szCs w:val="20"/>
              </w:rPr>
              <w:t>NG</w:t>
            </w:r>
            <w:r w:rsidRPr="00A854F4">
              <w:rPr>
                <w:rFonts w:ascii="Arial" w:eastAsia="Calibri" w:hAnsi="Arial" w:cs="Arial"/>
                <w:sz w:val="20"/>
                <w:szCs w:val="20"/>
              </w:rPr>
              <w:t>Os</w:t>
            </w:r>
            <w:r w:rsidR="00C54F04" w:rsidRPr="00A854F4">
              <w:rPr>
                <w:rFonts w:ascii="Arial" w:eastAsia="Calibri" w:hAnsi="Arial" w:cs="Arial"/>
                <w:sz w:val="20"/>
                <w:szCs w:val="20"/>
              </w:rPr>
              <w:t>)</w:t>
            </w:r>
            <w:r w:rsidRPr="00A854F4">
              <w:rPr>
                <w:rFonts w:ascii="Arial" w:eastAsia="Calibri" w:hAnsi="Arial" w:cs="Arial"/>
                <w:sz w:val="20"/>
                <w:szCs w:val="20"/>
              </w:rPr>
              <w:t xml:space="preserve"> in cooperation with the</w:t>
            </w:r>
            <w:r w:rsidR="00C54F04" w:rsidRPr="00A854F4">
              <w:rPr>
                <w:rFonts w:ascii="Arial" w:eastAsia="Calibri" w:hAnsi="Arial" w:cs="Arial"/>
                <w:sz w:val="20"/>
                <w:szCs w:val="20"/>
              </w:rPr>
              <w:t xml:space="preserve"> </w:t>
            </w:r>
            <w:r w:rsidRPr="00A854F4">
              <w:rPr>
                <w:rFonts w:ascii="Arial" w:eastAsia="Calibri" w:hAnsi="Arial" w:cs="Arial"/>
                <w:sz w:val="20"/>
                <w:szCs w:val="20"/>
              </w:rPr>
              <w:t>ICH NGO Forum, based on accreditation requests and reports submitted by NGOs, as well as an online survey.</w:t>
            </w:r>
          </w:p>
          <w:p w14:paraId="3E775BCE" w14:textId="59ECB534" w:rsidR="008D77B7" w:rsidRPr="00A854F4" w:rsidRDefault="008D77B7" w:rsidP="00322AB8">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Ongoing development of a strategy for enhancing the International Assistance mechanisms, including through the development of a communication toolkit.</w:t>
            </w:r>
          </w:p>
        </w:tc>
        <w:tc>
          <w:tcPr>
            <w:tcW w:w="2835" w:type="dxa"/>
          </w:tcPr>
          <w:p w14:paraId="28435589" w14:textId="77777777" w:rsidR="00105CF8" w:rsidRPr="00A854F4"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 xml:space="preserve">Partially accomplished </w:t>
            </w:r>
          </w:p>
          <w:p w14:paraId="0409D444" w14:textId="632547E0" w:rsidR="00724AAD" w:rsidRPr="00A854F4" w:rsidRDefault="00724AAD" w:rsidP="009C63AA">
            <w:pPr>
              <w:spacing w:after="60"/>
              <w:jc w:val="center"/>
              <w:rPr>
                <w:rFonts w:ascii="Arial" w:eastAsia="Calibri" w:hAnsi="Arial" w:cs="Arial"/>
                <w:sz w:val="20"/>
                <w:szCs w:val="20"/>
              </w:rPr>
            </w:pPr>
            <w:r w:rsidRPr="00A854F4">
              <w:rPr>
                <w:rFonts w:ascii="Arial" w:eastAsia="Calibri" w:hAnsi="Arial" w:cs="Arial"/>
                <w:sz w:val="20"/>
                <w:szCs w:val="20"/>
              </w:rPr>
              <w:t>(on-going)</w:t>
            </w:r>
          </w:p>
        </w:tc>
      </w:tr>
    </w:tbl>
    <w:p w14:paraId="73358A56" w14:textId="77777777" w:rsidR="00724AAD" w:rsidRPr="00A854F4" w:rsidRDefault="00724AAD" w:rsidP="00724AAD">
      <w:pPr>
        <w:pStyle w:val="ListParagraph"/>
        <w:keepNext/>
        <w:numPr>
          <w:ilvl w:val="0"/>
          <w:numId w:val="13"/>
        </w:numPr>
        <w:spacing w:before="240"/>
        <w:ind w:left="284" w:hanging="284"/>
        <w:rPr>
          <w:rFonts w:ascii="Arial" w:hAnsi="Arial" w:cs="Arial"/>
          <w:b/>
          <w:sz w:val="22"/>
          <w:szCs w:val="22"/>
          <w:lang w:val="en-GB"/>
        </w:rPr>
      </w:pPr>
      <w:r w:rsidRPr="00A854F4">
        <w:rPr>
          <w:rFonts w:ascii="Arial" w:hAnsi="Arial" w:cs="Arial"/>
          <w:b/>
          <w:sz w:val="22"/>
          <w:szCs w:val="22"/>
          <w:lang w:val="en-GB"/>
        </w:rPr>
        <w:t>Challenges and risks in implementation and remedial actions (2020/2021)</w:t>
      </w:r>
    </w:p>
    <w:p w14:paraId="6808EC0B" w14:textId="77777777" w:rsidR="00724AAD" w:rsidRPr="00A854F4" w:rsidRDefault="00724AAD" w:rsidP="00724AAD">
      <w:pPr>
        <w:pStyle w:val="ListParagraph"/>
        <w:keepNext/>
        <w:spacing w:before="240"/>
        <w:ind w:left="284"/>
        <w:rPr>
          <w:rFonts w:ascii="Arial" w:hAnsi="Arial" w:cs="Arial"/>
          <w:b/>
          <w:sz w:val="22"/>
          <w:szCs w:val="22"/>
          <w:lang w:val="en-G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724AAD" w:rsidRPr="00A854F4" w14:paraId="61833216" w14:textId="77777777" w:rsidTr="00C35DA5">
        <w:trPr>
          <w:tblHeader/>
          <w:jc w:val="center"/>
        </w:trPr>
        <w:tc>
          <w:tcPr>
            <w:tcW w:w="2500" w:type="pct"/>
            <w:shd w:val="clear" w:color="auto" w:fill="D9D9D9"/>
            <w:vAlign w:val="center"/>
          </w:tcPr>
          <w:p w14:paraId="395443EE" w14:textId="77777777" w:rsidR="00724AAD" w:rsidRPr="00A854F4" w:rsidRDefault="00724AAD" w:rsidP="00C35DA5">
            <w:pPr>
              <w:keepNext/>
              <w:spacing w:before="60" w:after="60"/>
              <w:jc w:val="center"/>
              <w:rPr>
                <w:rFonts w:ascii="Arial" w:hAnsi="Arial" w:cs="Arial"/>
                <w:b/>
                <w:sz w:val="20"/>
                <w:szCs w:val="20"/>
              </w:rPr>
            </w:pPr>
            <w:r w:rsidRPr="00A854F4">
              <w:rPr>
                <w:rFonts w:ascii="Arial" w:hAnsi="Arial" w:cs="Arial"/>
                <w:b/>
                <w:sz w:val="20"/>
                <w:szCs w:val="20"/>
              </w:rPr>
              <w:t>Key challenges</w:t>
            </w:r>
          </w:p>
        </w:tc>
        <w:tc>
          <w:tcPr>
            <w:tcW w:w="2500" w:type="pct"/>
            <w:shd w:val="clear" w:color="auto" w:fill="D9D9D9"/>
            <w:vAlign w:val="center"/>
          </w:tcPr>
          <w:p w14:paraId="70BEC472" w14:textId="77777777" w:rsidR="00724AAD" w:rsidRPr="00A854F4" w:rsidRDefault="00724AAD" w:rsidP="00C35DA5">
            <w:pPr>
              <w:keepNext/>
              <w:spacing w:before="60" w:after="60"/>
              <w:jc w:val="center"/>
              <w:rPr>
                <w:rFonts w:ascii="Arial" w:hAnsi="Arial" w:cs="Arial"/>
                <w:b/>
                <w:sz w:val="20"/>
                <w:szCs w:val="20"/>
              </w:rPr>
            </w:pPr>
            <w:r w:rsidRPr="00A854F4">
              <w:rPr>
                <w:rFonts w:ascii="Arial" w:hAnsi="Arial" w:cs="Arial"/>
                <w:b/>
                <w:sz w:val="20"/>
                <w:szCs w:val="20"/>
              </w:rPr>
              <w:t>Remedial actions</w:t>
            </w:r>
          </w:p>
        </w:tc>
      </w:tr>
      <w:tr w:rsidR="00724AAD" w:rsidRPr="00A854F4" w14:paraId="676681EB" w14:textId="77777777" w:rsidTr="00C35DA5">
        <w:trPr>
          <w:jc w:val="center"/>
        </w:trPr>
        <w:tc>
          <w:tcPr>
            <w:tcW w:w="2500" w:type="pct"/>
            <w:shd w:val="clear" w:color="auto" w:fill="auto"/>
          </w:tcPr>
          <w:p w14:paraId="70472722" w14:textId="03014DDF" w:rsidR="00724AAD" w:rsidRPr="00A854F4" w:rsidRDefault="00622F58" w:rsidP="00C35DA5">
            <w:pPr>
              <w:spacing w:before="60" w:after="60"/>
              <w:jc w:val="both"/>
              <w:rPr>
                <w:rFonts w:ascii="Arial" w:hAnsi="Arial" w:cs="Arial"/>
                <w:sz w:val="20"/>
                <w:szCs w:val="20"/>
              </w:rPr>
            </w:pPr>
            <w:r w:rsidRPr="00A854F4">
              <w:rPr>
                <w:rFonts w:ascii="Arial" w:hAnsi="Arial" w:cs="Arial"/>
                <w:sz w:val="20"/>
                <w:szCs w:val="20"/>
              </w:rPr>
              <w:t>The operations of the Secretariat for the enhancement of monitoring and knowledge management services have been and remain</w:t>
            </w:r>
            <w:r w:rsidR="00C54F04" w:rsidRPr="00A854F4">
              <w:rPr>
                <w:rFonts w:ascii="Arial" w:hAnsi="Arial" w:cs="Arial"/>
                <w:sz w:val="20"/>
                <w:szCs w:val="20"/>
              </w:rPr>
              <w:t>s</w:t>
            </w:r>
            <w:r w:rsidRPr="00A854F4">
              <w:rPr>
                <w:rFonts w:ascii="Arial" w:hAnsi="Arial" w:cs="Arial"/>
                <w:sz w:val="20"/>
                <w:szCs w:val="20"/>
              </w:rPr>
              <w:t xml:space="preserve"> significantly impacted by the COVID-19 pandemic</w:t>
            </w:r>
            <w:r w:rsidR="00C35DA5" w:rsidRPr="00A854F4">
              <w:rPr>
                <w:rFonts w:ascii="Arial" w:hAnsi="Arial" w:cs="Arial"/>
                <w:sz w:val="20"/>
                <w:szCs w:val="20"/>
              </w:rPr>
              <w:t>,</w:t>
            </w:r>
            <w:r w:rsidRPr="00A854F4">
              <w:rPr>
                <w:rFonts w:ascii="Arial" w:hAnsi="Arial" w:cs="Arial"/>
                <w:sz w:val="20"/>
                <w:szCs w:val="20"/>
              </w:rPr>
              <w:t xml:space="preserve"> with a simultaneous </w:t>
            </w:r>
            <w:r w:rsidR="00A31420" w:rsidRPr="00A854F4">
              <w:rPr>
                <w:rFonts w:ascii="Arial" w:hAnsi="Arial" w:cs="Arial"/>
                <w:sz w:val="20"/>
                <w:szCs w:val="20"/>
              </w:rPr>
              <w:t xml:space="preserve">urgent </w:t>
            </w:r>
            <w:r w:rsidRPr="00A854F4">
              <w:rPr>
                <w:rFonts w:ascii="Arial" w:hAnsi="Arial" w:cs="Arial"/>
                <w:sz w:val="20"/>
                <w:szCs w:val="20"/>
              </w:rPr>
              <w:t xml:space="preserve">need for </w:t>
            </w:r>
            <w:r w:rsidR="00A31420" w:rsidRPr="00A854F4">
              <w:rPr>
                <w:rFonts w:ascii="Arial" w:hAnsi="Arial" w:cs="Arial"/>
                <w:sz w:val="20"/>
                <w:szCs w:val="20"/>
              </w:rPr>
              <w:t xml:space="preserve">improved </w:t>
            </w:r>
            <w:r w:rsidRPr="00A854F4">
              <w:rPr>
                <w:rFonts w:ascii="Arial" w:hAnsi="Arial" w:cs="Arial"/>
                <w:sz w:val="20"/>
                <w:szCs w:val="20"/>
              </w:rPr>
              <w:t xml:space="preserve">online tools to be made available </w:t>
            </w:r>
            <w:r w:rsidR="00662BDB" w:rsidRPr="00A854F4">
              <w:rPr>
                <w:rFonts w:ascii="Arial" w:hAnsi="Arial" w:cs="Arial"/>
                <w:sz w:val="20"/>
                <w:szCs w:val="20"/>
              </w:rPr>
              <w:t>for the functioning of</w:t>
            </w:r>
            <w:r w:rsidR="00A31420" w:rsidRPr="00A854F4">
              <w:rPr>
                <w:rFonts w:ascii="Arial" w:hAnsi="Arial" w:cs="Arial"/>
                <w:sz w:val="20"/>
                <w:szCs w:val="20"/>
              </w:rPr>
              <w:t xml:space="preserve"> the Convention’s</w:t>
            </w:r>
            <w:r w:rsidR="00662BDB" w:rsidRPr="00A854F4">
              <w:rPr>
                <w:rFonts w:ascii="Arial" w:hAnsi="Arial" w:cs="Arial"/>
                <w:sz w:val="20"/>
                <w:szCs w:val="20"/>
              </w:rPr>
              <w:t xml:space="preserve"> statutory mechanisms </w:t>
            </w:r>
            <w:r w:rsidR="00C54F04" w:rsidRPr="00A854F4">
              <w:rPr>
                <w:rFonts w:ascii="Arial" w:hAnsi="Arial" w:cs="Arial"/>
                <w:sz w:val="20"/>
                <w:szCs w:val="20"/>
              </w:rPr>
              <w:t xml:space="preserve">given </w:t>
            </w:r>
            <w:r w:rsidRPr="00A854F4">
              <w:rPr>
                <w:rFonts w:ascii="Arial" w:hAnsi="Arial" w:cs="Arial"/>
                <w:sz w:val="20"/>
                <w:szCs w:val="20"/>
              </w:rPr>
              <w:t>difficulties for stakeholders to make use of such tools when lockdown measures were in place.</w:t>
            </w:r>
          </w:p>
        </w:tc>
        <w:tc>
          <w:tcPr>
            <w:tcW w:w="2500" w:type="pct"/>
            <w:shd w:val="clear" w:color="auto" w:fill="auto"/>
          </w:tcPr>
          <w:p w14:paraId="3F13656F" w14:textId="1D45172E" w:rsidR="00A31420" w:rsidRPr="00A854F4" w:rsidRDefault="00662BDB" w:rsidP="00C35DA5">
            <w:pPr>
              <w:spacing w:before="60" w:after="60"/>
              <w:jc w:val="both"/>
              <w:rPr>
                <w:rFonts w:ascii="Arial" w:hAnsi="Arial" w:cs="Arial"/>
                <w:sz w:val="20"/>
                <w:szCs w:val="20"/>
              </w:rPr>
            </w:pPr>
            <w:r w:rsidRPr="00A854F4">
              <w:rPr>
                <w:rFonts w:ascii="Arial" w:hAnsi="Arial" w:cs="Arial"/>
                <w:sz w:val="20"/>
                <w:szCs w:val="20"/>
              </w:rPr>
              <w:t>P</w:t>
            </w:r>
            <w:r w:rsidR="00622F58" w:rsidRPr="00A854F4">
              <w:rPr>
                <w:rFonts w:ascii="Arial" w:hAnsi="Arial" w:cs="Arial"/>
                <w:sz w:val="20"/>
                <w:szCs w:val="20"/>
              </w:rPr>
              <w:t xml:space="preserve">riority was given during the </w:t>
            </w:r>
            <w:r w:rsidR="00C35DA5" w:rsidRPr="00A854F4">
              <w:rPr>
                <w:rFonts w:ascii="Arial" w:hAnsi="Arial" w:cs="Arial"/>
                <w:sz w:val="20"/>
                <w:szCs w:val="20"/>
              </w:rPr>
              <w:t xml:space="preserve">first half of the </w:t>
            </w:r>
            <w:r w:rsidR="00622F58" w:rsidRPr="00A854F4">
              <w:rPr>
                <w:rFonts w:ascii="Arial" w:hAnsi="Arial" w:cs="Arial"/>
                <w:sz w:val="20"/>
                <w:szCs w:val="20"/>
              </w:rPr>
              <w:t>biennium to the development and enhancement of online tools and interface</w:t>
            </w:r>
            <w:r w:rsidR="00C35DA5" w:rsidRPr="00A854F4">
              <w:rPr>
                <w:rFonts w:ascii="Arial" w:hAnsi="Arial" w:cs="Arial"/>
                <w:sz w:val="20"/>
                <w:szCs w:val="20"/>
              </w:rPr>
              <w:t xml:space="preserve">s </w:t>
            </w:r>
            <w:r w:rsidR="00622F58" w:rsidRPr="00A854F4">
              <w:rPr>
                <w:rFonts w:ascii="Arial" w:hAnsi="Arial" w:cs="Arial"/>
                <w:sz w:val="20"/>
                <w:szCs w:val="20"/>
              </w:rPr>
              <w:t xml:space="preserve">for the </w:t>
            </w:r>
            <w:r w:rsidR="00C35DA5" w:rsidRPr="00A854F4">
              <w:rPr>
                <w:rFonts w:ascii="Arial" w:hAnsi="Arial" w:cs="Arial"/>
                <w:sz w:val="20"/>
                <w:szCs w:val="20"/>
              </w:rPr>
              <w:t>governing bodies of the Convention and the Evaluation Body, so as to ensure that the statutory life of the Convention would be uninterrupted. Other planned actions were postponed to the second half of the biennium.</w:t>
            </w:r>
          </w:p>
          <w:p w14:paraId="74B5395C" w14:textId="3D469990" w:rsidR="00724AAD" w:rsidRPr="00A854F4" w:rsidRDefault="00724AAD" w:rsidP="00C35DA5">
            <w:pPr>
              <w:spacing w:before="60" w:after="60"/>
              <w:jc w:val="both"/>
              <w:rPr>
                <w:rFonts w:ascii="Arial" w:hAnsi="Arial" w:cs="Arial"/>
                <w:sz w:val="20"/>
                <w:szCs w:val="20"/>
              </w:rPr>
            </w:pPr>
          </w:p>
        </w:tc>
      </w:tr>
      <w:tr w:rsidR="00C35DA5" w:rsidRPr="00A854F4" w14:paraId="76ABB087" w14:textId="77777777" w:rsidTr="00C35DA5">
        <w:trPr>
          <w:jc w:val="center"/>
        </w:trPr>
        <w:tc>
          <w:tcPr>
            <w:tcW w:w="2500" w:type="pct"/>
            <w:shd w:val="clear" w:color="auto" w:fill="auto"/>
          </w:tcPr>
          <w:p w14:paraId="229A6D12" w14:textId="417AC0D9" w:rsidR="00C35DA5" w:rsidRPr="00A854F4" w:rsidRDefault="00C35DA5" w:rsidP="00C35DA5">
            <w:pPr>
              <w:spacing w:before="60" w:after="60"/>
              <w:jc w:val="both"/>
              <w:rPr>
                <w:rFonts w:ascii="Arial" w:hAnsi="Arial" w:cs="Arial"/>
                <w:sz w:val="20"/>
                <w:szCs w:val="20"/>
              </w:rPr>
            </w:pPr>
            <w:r w:rsidRPr="00A854F4">
              <w:rPr>
                <w:rFonts w:ascii="Arial" w:hAnsi="Arial" w:cs="Arial"/>
                <w:sz w:val="20"/>
                <w:szCs w:val="20"/>
              </w:rPr>
              <w:t>Due to the COVID-19 pandemic, the number of International Assistance requests submitted by States Parties decreased.</w:t>
            </w:r>
          </w:p>
        </w:tc>
        <w:tc>
          <w:tcPr>
            <w:tcW w:w="2500" w:type="pct"/>
            <w:shd w:val="clear" w:color="auto" w:fill="auto"/>
          </w:tcPr>
          <w:p w14:paraId="39F7E8D3" w14:textId="503E8B0E" w:rsidR="00C35DA5" w:rsidRPr="00A854F4" w:rsidRDefault="00C35DA5">
            <w:pPr>
              <w:spacing w:before="60" w:after="60"/>
              <w:jc w:val="both"/>
              <w:rPr>
                <w:rFonts w:ascii="Arial" w:eastAsia="Calibri" w:hAnsi="Arial" w:cs="Arial"/>
                <w:sz w:val="20"/>
                <w:szCs w:val="20"/>
              </w:rPr>
            </w:pPr>
            <w:r w:rsidRPr="00A854F4">
              <w:rPr>
                <w:rFonts w:ascii="Arial" w:eastAsia="Calibri" w:hAnsi="Arial" w:cs="Arial"/>
                <w:sz w:val="20"/>
                <w:szCs w:val="20"/>
              </w:rPr>
              <w:t>The Secretariat is developing communication tools to promote the International Assistance mechanisms</w:t>
            </w:r>
            <w:r w:rsidR="009F43D4" w:rsidRPr="00A854F4">
              <w:rPr>
                <w:rFonts w:ascii="Arial" w:eastAsia="Calibri" w:hAnsi="Arial" w:cs="Arial"/>
                <w:sz w:val="20"/>
                <w:szCs w:val="20"/>
              </w:rPr>
              <w:t>, so as to encourage the submission of requests</w:t>
            </w:r>
            <w:r w:rsidRPr="00A854F4">
              <w:rPr>
                <w:rFonts w:ascii="Arial" w:eastAsia="Calibri" w:hAnsi="Arial" w:cs="Arial"/>
                <w:sz w:val="20"/>
                <w:szCs w:val="20"/>
              </w:rPr>
              <w:t>.</w:t>
            </w:r>
          </w:p>
        </w:tc>
      </w:tr>
    </w:tbl>
    <w:bookmarkEnd w:id="2"/>
    <w:p w14:paraId="62930C2E" w14:textId="36882546" w:rsidR="00724AAD" w:rsidRPr="00A854F4" w:rsidRDefault="00724AAD" w:rsidP="00A05144">
      <w:pPr>
        <w:keepNext/>
        <w:spacing w:before="240"/>
        <w:jc w:val="both"/>
        <w:rPr>
          <w:rFonts w:ascii="Arial" w:hAnsi="Arial" w:cs="Arial"/>
          <w:b/>
          <w:szCs w:val="22"/>
        </w:rPr>
      </w:pPr>
      <w:r w:rsidRPr="00A854F4">
        <w:rPr>
          <w:rFonts w:ascii="Arial" w:hAnsi="Arial" w:cs="Arial"/>
          <w:b/>
          <w:szCs w:val="22"/>
        </w:rPr>
        <w:t>E</w:t>
      </w:r>
      <w:r w:rsidR="00C54F04" w:rsidRPr="00A854F4">
        <w:rPr>
          <w:rFonts w:ascii="Arial" w:hAnsi="Arial" w:cs="Arial"/>
          <w:b/>
          <w:szCs w:val="22"/>
        </w:rPr>
        <w:t xml:space="preserve">xpected </w:t>
      </w:r>
      <w:r w:rsidRPr="00A854F4">
        <w:rPr>
          <w:rFonts w:ascii="Arial" w:hAnsi="Arial" w:cs="Arial"/>
          <w:b/>
          <w:szCs w:val="22"/>
        </w:rPr>
        <w:t>R</w:t>
      </w:r>
      <w:r w:rsidR="00C54F04" w:rsidRPr="00A854F4">
        <w:rPr>
          <w:rFonts w:ascii="Arial" w:hAnsi="Arial" w:cs="Arial"/>
          <w:b/>
          <w:szCs w:val="22"/>
        </w:rPr>
        <w:t>esult</w:t>
      </w:r>
      <w:r w:rsidRPr="00A854F4">
        <w:rPr>
          <w:rFonts w:ascii="Arial" w:hAnsi="Arial" w:cs="Arial"/>
          <w:b/>
          <w:szCs w:val="22"/>
        </w:rPr>
        <w:t xml:space="preserve"> 2:</w:t>
      </w:r>
      <w:r w:rsidRPr="00A854F4">
        <w:rPr>
          <w:rFonts w:ascii="Arial" w:hAnsi="Arial" w:cs="Arial"/>
          <w:b/>
          <w:szCs w:val="22"/>
        </w:rPr>
        <w:tab/>
      </w:r>
      <w:r w:rsidRPr="00A854F4">
        <w:rPr>
          <w:rFonts w:ascii="Arial" w:hAnsi="Arial" w:cs="Arial"/>
          <w:b/>
          <w:bCs/>
          <w:szCs w:val="22"/>
        </w:rPr>
        <w:t>Implementation of the Convention in Member States encouraged through a strengthened capacity-building programme</w:t>
      </w:r>
      <w:r w:rsidRPr="00A854F4">
        <w:rPr>
          <w:rStyle w:val="FootnoteReference"/>
          <w:rFonts w:ascii="Arial" w:hAnsi="Arial" w:cs="Arial"/>
          <w:szCs w:val="22"/>
        </w:rPr>
        <w:footnoteReference w:id="2"/>
      </w:r>
      <w:r w:rsidRPr="00A854F4">
        <w:rPr>
          <w:rFonts w:ascii="Arial" w:hAnsi="Arial" w:cs="Arial"/>
          <w:b/>
          <w:bCs/>
          <w:szCs w:val="22"/>
        </w:rPr>
        <w:t xml:space="preserve"> </w:t>
      </w:r>
    </w:p>
    <w:p w14:paraId="3E472B8F" w14:textId="77777777" w:rsidR="00724AAD" w:rsidRPr="00A854F4" w:rsidRDefault="00724AAD" w:rsidP="00724AAD">
      <w:pPr>
        <w:pStyle w:val="ListParagraph"/>
        <w:keepNext/>
        <w:numPr>
          <w:ilvl w:val="0"/>
          <w:numId w:val="14"/>
        </w:numPr>
        <w:spacing w:before="240"/>
        <w:ind w:left="284" w:hanging="283"/>
        <w:jc w:val="both"/>
        <w:rPr>
          <w:rFonts w:ascii="Arial" w:hAnsi="Arial" w:cs="Arial"/>
          <w:b/>
          <w:bCs/>
          <w:sz w:val="22"/>
          <w:szCs w:val="22"/>
          <w:lang w:val="en-GB"/>
        </w:rPr>
      </w:pPr>
      <w:bookmarkStart w:id="3" w:name="_Hlk81490153"/>
      <w:r w:rsidRPr="00A854F4">
        <w:rPr>
          <w:rFonts w:ascii="Arial" w:hAnsi="Arial" w:cs="Arial"/>
          <w:b/>
          <w:bCs/>
          <w:sz w:val="22"/>
          <w:szCs w:val="22"/>
          <w:lang w:val="en-GB"/>
        </w:rPr>
        <w:t xml:space="preserve">Implementation report for the period 1 January 2018 to 31 December 2019 </w:t>
      </w:r>
    </w:p>
    <w:p w14:paraId="4B5EE78A" w14:textId="77777777" w:rsidR="00724AAD" w:rsidRPr="00A854F4" w:rsidRDefault="00724AAD" w:rsidP="00724AAD">
      <w:pPr>
        <w:pStyle w:val="ListParagraph"/>
        <w:keepNext/>
        <w:spacing w:before="240"/>
        <w:ind w:left="567"/>
        <w:jc w:val="both"/>
        <w:rPr>
          <w:rFonts w:ascii="Arial" w:hAnsi="Arial" w:cs="Arial"/>
          <w:b/>
          <w:bCs/>
          <w:sz w:val="22"/>
          <w:szCs w:val="22"/>
          <w:lang w:val="en-G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4832694D" w14:textId="77777777" w:rsidTr="00C35DA5">
        <w:trPr>
          <w:jc w:val="center"/>
        </w:trPr>
        <w:tc>
          <w:tcPr>
            <w:tcW w:w="1999" w:type="pct"/>
            <w:shd w:val="clear" w:color="auto" w:fill="C6D9F1"/>
            <w:vAlign w:val="center"/>
          </w:tcPr>
          <w:p w14:paraId="12E563C4"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Allocation</w:t>
            </w:r>
          </w:p>
        </w:tc>
        <w:tc>
          <w:tcPr>
            <w:tcW w:w="2118" w:type="pct"/>
            <w:shd w:val="clear" w:color="auto" w:fill="C6D9F1"/>
            <w:vAlign w:val="center"/>
          </w:tcPr>
          <w:p w14:paraId="05310663"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Expenditures</w:t>
            </w:r>
          </w:p>
        </w:tc>
        <w:tc>
          <w:tcPr>
            <w:tcW w:w="883" w:type="pct"/>
            <w:shd w:val="clear" w:color="auto" w:fill="C6D9F1"/>
            <w:vAlign w:val="center"/>
          </w:tcPr>
          <w:p w14:paraId="44CEAF93"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31/12/2019</w:t>
            </w:r>
          </w:p>
        </w:tc>
      </w:tr>
      <w:tr w:rsidR="00724AAD" w:rsidRPr="00A854F4" w14:paraId="0D4F5372" w14:textId="77777777" w:rsidTr="00C35DA5">
        <w:trPr>
          <w:jc w:val="center"/>
        </w:trPr>
        <w:tc>
          <w:tcPr>
            <w:tcW w:w="1999" w:type="pct"/>
            <w:shd w:val="clear" w:color="auto" w:fill="auto"/>
          </w:tcPr>
          <w:p w14:paraId="50FE9313"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619,150.00</w:t>
            </w:r>
          </w:p>
        </w:tc>
        <w:tc>
          <w:tcPr>
            <w:tcW w:w="2118" w:type="pct"/>
            <w:shd w:val="clear" w:color="auto" w:fill="auto"/>
          </w:tcPr>
          <w:p w14:paraId="515D3384"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559,953.28</w:t>
            </w:r>
          </w:p>
        </w:tc>
        <w:tc>
          <w:tcPr>
            <w:tcW w:w="883" w:type="pct"/>
            <w:shd w:val="clear" w:color="auto" w:fill="auto"/>
          </w:tcPr>
          <w:p w14:paraId="7F8E3334"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90.4%</w:t>
            </w:r>
          </w:p>
        </w:tc>
      </w:tr>
    </w:tbl>
    <w:p w14:paraId="3740F223" w14:textId="1D869B9C" w:rsidR="00724AAD" w:rsidRDefault="00724AAD" w:rsidP="00724AAD">
      <w:pPr>
        <w:spacing w:after="0"/>
        <w:rPr>
          <w:rFonts w:ascii="Arial" w:hAnsi="Arial" w:cs="Arial"/>
          <w:szCs w:val="22"/>
        </w:rPr>
      </w:pPr>
    </w:p>
    <w:p w14:paraId="500C64B8" w14:textId="0680D7C4" w:rsidR="000E15E3" w:rsidRDefault="000E15E3" w:rsidP="00724AAD">
      <w:pPr>
        <w:spacing w:after="0"/>
        <w:rPr>
          <w:rFonts w:ascii="Arial" w:hAnsi="Arial" w:cs="Arial"/>
          <w:szCs w:val="22"/>
        </w:rPr>
      </w:pPr>
    </w:p>
    <w:p w14:paraId="17E2236B" w14:textId="77777777" w:rsidR="000E15E3" w:rsidRPr="00A854F4" w:rsidRDefault="000E15E3"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80"/>
      </w:tblGrid>
      <w:tr w:rsidR="00724AAD" w:rsidRPr="00A854F4" w14:paraId="71B97122" w14:textId="77777777" w:rsidTr="00C35DA5">
        <w:trPr>
          <w:tblHeader/>
          <w:jc w:val="center"/>
        </w:trPr>
        <w:tc>
          <w:tcPr>
            <w:tcW w:w="6658" w:type="dxa"/>
            <w:shd w:val="clear" w:color="auto" w:fill="D9D9D9"/>
            <w:vAlign w:val="center"/>
          </w:tcPr>
          <w:p w14:paraId="51960B9F"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lastRenderedPageBreak/>
              <w:t>Assessment of results:</w:t>
            </w:r>
            <w:r w:rsidRPr="00A854F4">
              <w:rPr>
                <w:rFonts w:ascii="Arial" w:eastAsia="Calibri" w:hAnsi="Arial" w:cs="Arial"/>
                <w:b/>
                <w:sz w:val="20"/>
                <w:szCs w:val="20"/>
              </w:rPr>
              <w:br/>
              <w:t>01/01/2018 to 31/12/2019</w:t>
            </w:r>
          </w:p>
        </w:tc>
        <w:tc>
          <w:tcPr>
            <w:tcW w:w="2980" w:type="dxa"/>
            <w:shd w:val="clear" w:color="auto" w:fill="D9D9D9"/>
            <w:vAlign w:val="center"/>
          </w:tcPr>
          <w:p w14:paraId="0448A39D"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implementation</w:t>
            </w:r>
          </w:p>
        </w:tc>
      </w:tr>
      <w:tr w:rsidR="00724AAD" w:rsidRPr="00A854F4" w14:paraId="08A735F6" w14:textId="77777777" w:rsidTr="00C35DA5">
        <w:trPr>
          <w:jc w:val="center"/>
        </w:trPr>
        <w:tc>
          <w:tcPr>
            <w:tcW w:w="6658" w:type="dxa"/>
            <w:shd w:val="clear" w:color="auto" w:fill="auto"/>
          </w:tcPr>
          <w:p w14:paraId="723620E8" w14:textId="77777777" w:rsidR="00724AAD" w:rsidRPr="00A854F4" w:rsidRDefault="00724AAD" w:rsidP="00322AB8">
            <w:pPr>
              <w:spacing w:before="60" w:after="60"/>
              <w:jc w:val="both"/>
              <w:rPr>
                <w:rFonts w:ascii="Arial" w:eastAsia="Calibri" w:hAnsi="Arial" w:cs="Arial"/>
                <w:b/>
                <w:bCs/>
                <w:sz w:val="20"/>
                <w:szCs w:val="20"/>
              </w:rPr>
            </w:pPr>
            <w:r w:rsidRPr="00A854F4">
              <w:rPr>
                <w:rFonts w:ascii="Arial" w:eastAsia="Calibri" w:hAnsi="Arial" w:cs="Arial"/>
                <w:b/>
                <w:bCs/>
                <w:sz w:val="20"/>
                <w:szCs w:val="20"/>
              </w:rPr>
              <w:t>Facilitators’ network strengthened</w:t>
            </w:r>
          </w:p>
          <w:p w14:paraId="2199525A" w14:textId="698A77D5"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 xml:space="preserve">One redesigned webpage with </w:t>
            </w:r>
            <w:r w:rsidR="00661066" w:rsidRPr="00A854F4">
              <w:rPr>
                <w:rFonts w:ascii="Arial" w:eastAsia="Calibri" w:hAnsi="Arial" w:cs="Arial"/>
                <w:sz w:val="20"/>
                <w:szCs w:val="20"/>
                <w:lang w:val="en-GB"/>
              </w:rPr>
              <w:t xml:space="preserve">online </w:t>
            </w:r>
            <w:r w:rsidRPr="00A854F4">
              <w:rPr>
                <w:rFonts w:ascii="Arial" w:eastAsia="Calibri" w:hAnsi="Arial" w:cs="Arial"/>
                <w:sz w:val="20"/>
                <w:szCs w:val="20"/>
                <w:lang w:val="en-GB"/>
              </w:rPr>
              <w:t>search function and facilitators’ profiles updated</w:t>
            </w:r>
            <w:r w:rsidR="00661066" w:rsidRPr="00A854F4">
              <w:rPr>
                <w:rFonts w:ascii="Arial" w:eastAsia="Calibri" w:hAnsi="Arial" w:cs="Arial"/>
                <w:sz w:val="20"/>
                <w:szCs w:val="20"/>
                <w:lang w:val="en-GB"/>
              </w:rPr>
              <w:t>.</w:t>
            </w:r>
          </w:p>
          <w:p w14:paraId="11F91A18" w14:textId="002414AD"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Interregional working group for the development of the facilitator</w:t>
            </w:r>
            <w:r w:rsidR="00661066" w:rsidRPr="00A854F4">
              <w:rPr>
                <w:rFonts w:ascii="Arial" w:eastAsia="Calibri" w:hAnsi="Arial" w:cs="Arial"/>
                <w:sz w:val="20"/>
                <w:szCs w:val="20"/>
                <w:lang w:val="en-GB"/>
              </w:rPr>
              <w:t>s</w:t>
            </w:r>
            <w:r w:rsidRPr="00A854F4">
              <w:rPr>
                <w:rFonts w:ascii="Arial" w:eastAsia="Calibri" w:hAnsi="Arial" w:cs="Arial"/>
                <w:sz w:val="20"/>
                <w:szCs w:val="20"/>
                <w:lang w:val="en-GB"/>
              </w:rPr>
              <w:t>’ network established and active</w:t>
            </w:r>
            <w:r w:rsidR="00661066" w:rsidRPr="00A854F4">
              <w:rPr>
                <w:rFonts w:ascii="Arial" w:eastAsia="Calibri" w:hAnsi="Arial" w:cs="Arial"/>
                <w:sz w:val="20"/>
                <w:szCs w:val="20"/>
                <w:lang w:val="en-GB"/>
              </w:rPr>
              <w:t>.</w:t>
            </w:r>
          </w:p>
          <w:p w14:paraId="1C6AC491" w14:textId="014267F8"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 xml:space="preserve">One feasibility study undertaken to explore partnerships for sustaining the network and </w:t>
            </w:r>
            <w:r w:rsidR="00CC43F1" w:rsidRPr="00A854F4">
              <w:rPr>
                <w:rFonts w:ascii="Arial" w:eastAsia="Calibri" w:hAnsi="Arial" w:cs="Arial"/>
                <w:sz w:val="20"/>
                <w:szCs w:val="20"/>
                <w:lang w:val="en-GB"/>
              </w:rPr>
              <w:t xml:space="preserve">capacity-building </w:t>
            </w:r>
            <w:r w:rsidRPr="00A854F4">
              <w:rPr>
                <w:rFonts w:ascii="Arial" w:eastAsia="Calibri" w:hAnsi="Arial" w:cs="Arial"/>
                <w:sz w:val="20"/>
                <w:szCs w:val="20"/>
                <w:lang w:val="en-GB"/>
              </w:rPr>
              <w:t>programme in the long term with strategic recommendations</w:t>
            </w:r>
            <w:r w:rsidR="00661066" w:rsidRPr="00A854F4">
              <w:rPr>
                <w:rFonts w:ascii="Arial" w:eastAsia="Calibri" w:hAnsi="Arial" w:cs="Arial"/>
                <w:sz w:val="20"/>
                <w:szCs w:val="20"/>
                <w:lang w:val="en-GB"/>
              </w:rPr>
              <w:t>.</w:t>
            </w:r>
          </w:p>
          <w:p w14:paraId="4703AAD8" w14:textId="41F149A3"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A second generation of facilitators taken on board in the facilitators</w:t>
            </w:r>
            <w:r w:rsidR="00CC43F1" w:rsidRPr="00A854F4">
              <w:rPr>
                <w:rFonts w:ascii="Arial" w:eastAsia="Calibri" w:hAnsi="Arial" w:cs="Arial"/>
                <w:sz w:val="20"/>
                <w:szCs w:val="20"/>
                <w:lang w:val="en-GB"/>
              </w:rPr>
              <w:t>’</w:t>
            </w:r>
            <w:r w:rsidRPr="00A854F4">
              <w:rPr>
                <w:rFonts w:ascii="Arial" w:eastAsia="Calibri" w:hAnsi="Arial" w:cs="Arial"/>
                <w:sz w:val="20"/>
                <w:szCs w:val="20"/>
                <w:lang w:val="en-GB"/>
              </w:rPr>
              <w:t xml:space="preserve"> network through six training activities: while in total 103 facilitators (61% women) were trained from Asia and the Pacific, Africa, Europe and Arab States, </w:t>
            </w:r>
            <w:r w:rsidR="00C54F04" w:rsidRPr="00A854F4">
              <w:rPr>
                <w:rFonts w:ascii="Arial" w:eastAsia="Calibri" w:hAnsi="Arial" w:cs="Arial"/>
                <w:sz w:val="20"/>
                <w:szCs w:val="20"/>
                <w:lang w:val="en-GB"/>
              </w:rPr>
              <w:t xml:space="preserve">fifty-five </w:t>
            </w:r>
            <w:r w:rsidRPr="00A854F4">
              <w:rPr>
                <w:rFonts w:ascii="Arial" w:eastAsia="Calibri" w:hAnsi="Arial" w:cs="Arial"/>
                <w:sz w:val="20"/>
                <w:szCs w:val="20"/>
                <w:lang w:val="en-GB"/>
              </w:rPr>
              <w:t>of them were new (54% women)</w:t>
            </w:r>
            <w:r w:rsidR="00CC43F1" w:rsidRPr="00A854F4">
              <w:rPr>
                <w:rFonts w:ascii="Arial" w:eastAsia="Calibri" w:hAnsi="Arial" w:cs="Arial"/>
                <w:sz w:val="20"/>
                <w:szCs w:val="20"/>
                <w:lang w:val="en-GB"/>
              </w:rPr>
              <w:t>.</w:t>
            </w:r>
          </w:p>
          <w:p w14:paraId="72BDF4D6" w14:textId="4AB9819B" w:rsidR="00724AAD" w:rsidRPr="00A854F4" w:rsidRDefault="00CC43F1">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O</w:t>
            </w:r>
            <w:r w:rsidR="00724AAD" w:rsidRPr="00A854F4">
              <w:rPr>
                <w:rFonts w:ascii="Arial" w:eastAsia="Calibri" w:hAnsi="Arial" w:cs="Arial"/>
                <w:sz w:val="20"/>
                <w:szCs w:val="20"/>
                <w:lang w:val="en-GB"/>
              </w:rPr>
              <w:t xml:space="preserve">nline planning and reporting tool for training activities improved with added functionalities based on feedback from the key user groups: </w:t>
            </w:r>
            <w:r w:rsidR="00C42554" w:rsidRPr="00A854F4">
              <w:rPr>
                <w:rFonts w:ascii="Arial" w:eastAsia="Calibri" w:hAnsi="Arial" w:cs="Arial"/>
                <w:sz w:val="20"/>
                <w:szCs w:val="20"/>
                <w:lang w:val="en-GB"/>
              </w:rPr>
              <w:t xml:space="preserve">facilitators, UNESCO Field Offices </w:t>
            </w:r>
            <w:r w:rsidR="00724AAD" w:rsidRPr="00A854F4">
              <w:rPr>
                <w:rFonts w:ascii="Arial" w:eastAsia="Calibri" w:hAnsi="Arial" w:cs="Arial"/>
                <w:sz w:val="20"/>
                <w:szCs w:val="20"/>
                <w:lang w:val="en-GB"/>
              </w:rPr>
              <w:t>and H</w:t>
            </w:r>
            <w:r w:rsidR="00C42554" w:rsidRPr="00A854F4">
              <w:rPr>
                <w:rFonts w:ascii="Arial" w:eastAsia="Calibri" w:hAnsi="Arial" w:cs="Arial"/>
                <w:sz w:val="20"/>
                <w:szCs w:val="20"/>
                <w:lang w:val="en-GB"/>
              </w:rPr>
              <w:t>eadquarters</w:t>
            </w:r>
            <w:r w:rsidR="00724AAD" w:rsidRPr="00A854F4">
              <w:rPr>
                <w:rFonts w:ascii="Arial" w:eastAsia="Calibri" w:hAnsi="Arial" w:cs="Arial"/>
                <w:sz w:val="20"/>
                <w:szCs w:val="20"/>
                <w:lang w:val="en-GB"/>
              </w:rPr>
              <w:t xml:space="preserve">. </w:t>
            </w:r>
          </w:p>
        </w:tc>
        <w:tc>
          <w:tcPr>
            <w:tcW w:w="2980" w:type="dxa"/>
          </w:tcPr>
          <w:p w14:paraId="1A0FB898" w14:textId="77777777" w:rsidR="00724AAD" w:rsidRDefault="00724AAD" w:rsidP="00C35DA5">
            <w:pPr>
              <w:spacing w:before="320" w:after="60"/>
              <w:ind w:left="-111"/>
              <w:jc w:val="center"/>
              <w:rPr>
                <w:rFonts w:ascii="Arial" w:eastAsia="Calibri" w:hAnsi="Arial" w:cs="Arial"/>
                <w:sz w:val="20"/>
                <w:szCs w:val="20"/>
              </w:rPr>
            </w:pPr>
            <w:r w:rsidRPr="00A854F4">
              <w:rPr>
                <w:rFonts w:ascii="Arial" w:eastAsia="Calibri" w:hAnsi="Arial" w:cs="Arial"/>
                <w:sz w:val="20"/>
                <w:szCs w:val="20"/>
              </w:rPr>
              <w:t>Accomplished</w:t>
            </w:r>
          </w:p>
          <w:p w14:paraId="18FC52CC" w14:textId="77777777" w:rsidR="004434A3" w:rsidRDefault="004434A3" w:rsidP="00C35DA5">
            <w:pPr>
              <w:spacing w:before="320" w:after="60"/>
              <w:ind w:left="-111"/>
              <w:jc w:val="center"/>
              <w:rPr>
                <w:rFonts w:ascii="Arial" w:eastAsia="Calibri" w:hAnsi="Arial" w:cs="Arial"/>
                <w:sz w:val="20"/>
                <w:szCs w:val="20"/>
              </w:rPr>
            </w:pPr>
          </w:p>
          <w:p w14:paraId="7DB69D05" w14:textId="77777777" w:rsidR="004434A3" w:rsidRDefault="004434A3" w:rsidP="00C35DA5">
            <w:pPr>
              <w:spacing w:before="320" w:after="60"/>
              <w:ind w:left="-111"/>
              <w:jc w:val="center"/>
              <w:rPr>
                <w:rFonts w:ascii="Arial" w:eastAsia="Calibri" w:hAnsi="Arial" w:cs="Arial"/>
                <w:sz w:val="20"/>
                <w:szCs w:val="20"/>
              </w:rPr>
            </w:pPr>
          </w:p>
          <w:p w14:paraId="20B46F23" w14:textId="77777777" w:rsidR="004434A3" w:rsidRDefault="004434A3" w:rsidP="00C35DA5">
            <w:pPr>
              <w:spacing w:before="320" w:after="60"/>
              <w:ind w:left="-111"/>
              <w:jc w:val="center"/>
              <w:rPr>
                <w:rFonts w:ascii="Arial" w:eastAsia="Calibri" w:hAnsi="Arial" w:cs="Arial"/>
                <w:sz w:val="20"/>
                <w:szCs w:val="20"/>
              </w:rPr>
            </w:pPr>
          </w:p>
          <w:p w14:paraId="7C66A3CF" w14:textId="59756F99" w:rsidR="004434A3" w:rsidRPr="00A854F4" w:rsidRDefault="004434A3" w:rsidP="004434A3">
            <w:pPr>
              <w:spacing w:before="320" w:after="60"/>
              <w:ind w:left="-111"/>
              <w:jc w:val="center"/>
              <w:rPr>
                <w:rFonts w:ascii="Arial" w:eastAsia="Calibri" w:hAnsi="Arial" w:cs="Arial"/>
                <w:sz w:val="20"/>
                <w:szCs w:val="20"/>
              </w:rPr>
            </w:pPr>
          </w:p>
        </w:tc>
      </w:tr>
      <w:tr w:rsidR="00724AAD" w:rsidRPr="00A854F4" w14:paraId="14D72FE2" w14:textId="77777777" w:rsidTr="00C35DA5">
        <w:trPr>
          <w:jc w:val="center"/>
        </w:trPr>
        <w:tc>
          <w:tcPr>
            <w:tcW w:w="6658" w:type="dxa"/>
            <w:shd w:val="clear" w:color="auto" w:fill="auto"/>
          </w:tcPr>
          <w:p w14:paraId="11CDD84A" w14:textId="77777777" w:rsidR="00724AAD" w:rsidRPr="00A854F4" w:rsidRDefault="00724AAD">
            <w:pPr>
              <w:spacing w:before="60" w:after="60"/>
              <w:jc w:val="both"/>
              <w:rPr>
                <w:rFonts w:ascii="Arial" w:eastAsia="Calibri" w:hAnsi="Arial" w:cs="Arial"/>
                <w:b/>
                <w:bCs/>
                <w:sz w:val="20"/>
                <w:szCs w:val="20"/>
              </w:rPr>
            </w:pPr>
            <w:r w:rsidRPr="00A854F4">
              <w:rPr>
                <w:rFonts w:ascii="Arial" w:eastAsia="Calibri" w:hAnsi="Arial" w:cs="Arial"/>
                <w:b/>
                <w:bCs/>
                <w:sz w:val="20"/>
                <w:szCs w:val="20"/>
              </w:rPr>
              <w:t>Content and format of the capacity-building programme further developed to respond to major implementation challenges</w:t>
            </w:r>
          </w:p>
          <w:p w14:paraId="20EF5205" w14:textId="60A2D99D"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A specific capacity-building approach for periodic reporting under the 2003 Convention developed with the required comprehensive materials for a three-day training in two languages</w:t>
            </w:r>
            <w:r w:rsidR="00105CF8" w:rsidRPr="00A854F4">
              <w:rPr>
                <w:rFonts w:ascii="Arial" w:eastAsia="Calibri" w:hAnsi="Arial" w:cs="Arial"/>
                <w:sz w:val="20"/>
                <w:szCs w:val="20"/>
                <w:lang w:val="en-GB"/>
              </w:rPr>
              <w:t xml:space="preserve"> (English and </w:t>
            </w:r>
            <w:r w:rsidR="003C14AE">
              <w:rPr>
                <w:rFonts w:ascii="Arial" w:eastAsia="Calibri" w:hAnsi="Arial" w:cs="Arial"/>
                <w:sz w:val="20"/>
                <w:szCs w:val="20"/>
                <w:lang w:val="en-GB"/>
              </w:rPr>
              <w:t>Spanish</w:t>
            </w:r>
            <w:r w:rsidR="00105CF8" w:rsidRPr="00A854F4">
              <w:rPr>
                <w:rFonts w:ascii="Arial" w:eastAsia="Calibri" w:hAnsi="Arial" w:cs="Arial"/>
                <w:sz w:val="20"/>
                <w:szCs w:val="20"/>
                <w:lang w:val="en-GB"/>
              </w:rPr>
              <w:t>)</w:t>
            </w:r>
            <w:r w:rsidR="00C42554" w:rsidRPr="00A854F4">
              <w:rPr>
                <w:rFonts w:ascii="Arial" w:eastAsia="Calibri" w:hAnsi="Arial" w:cs="Arial"/>
                <w:sz w:val="20"/>
                <w:szCs w:val="20"/>
                <w:lang w:val="en-GB"/>
              </w:rPr>
              <w:t>.</w:t>
            </w:r>
          </w:p>
          <w:p w14:paraId="182A5A11" w14:textId="62834F59"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New training materials developed for a three-day training on disaster risk management and integrated into the capacity-building curriculum in two languages</w:t>
            </w:r>
            <w:r w:rsidR="00105CF8" w:rsidRPr="00A854F4">
              <w:rPr>
                <w:rFonts w:ascii="Arial" w:eastAsia="Calibri" w:hAnsi="Arial" w:cs="Arial"/>
                <w:sz w:val="20"/>
                <w:szCs w:val="20"/>
                <w:lang w:val="en-GB"/>
              </w:rPr>
              <w:t xml:space="preserve"> (English and </w:t>
            </w:r>
            <w:r w:rsidR="00E64E62">
              <w:rPr>
                <w:rFonts w:ascii="Arial" w:eastAsia="Calibri" w:hAnsi="Arial" w:cs="Arial"/>
                <w:sz w:val="20"/>
                <w:szCs w:val="20"/>
                <w:lang w:val="en-GB"/>
              </w:rPr>
              <w:t>Spanish</w:t>
            </w:r>
            <w:r w:rsidR="00105CF8" w:rsidRPr="00A854F4">
              <w:rPr>
                <w:rFonts w:ascii="Arial" w:eastAsia="Calibri" w:hAnsi="Arial" w:cs="Arial"/>
                <w:sz w:val="20"/>
                <w:szCs w:val="20"/>
                <w:lang w:val="en-GB"/>
              </w:rPr>
              <w:t>)</w:t>
            </w:r>
            <w:r w:rsidR="00C42554" w:rsidRPr="00A854F4">
              <w:rPr>
                <w:rFonts w:ascii="Arial" w:eastAsia="Calibri" w:hAnsi="Arial" w:cs="Arial"/>
                <w:sz w:val="20"/>
                <w:szCs w:val="20"/>
                <w:lang w:val="en-GB"/>
              </w:rPr>
              <w:t>.</w:t>
            </w:r>
          </w:p>
          <w:p w14:paraId="2BCE0642" w14:textId="6287F813"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 xml:space="preserve">Two thematic policy information briefs (gender and education) </w:t>
            </w:r>
            <w:r w:rsidR="00105CF8" w:rsidRPr="00A854F4">
              <w:rPr>
                <w:rFonts w:ascii="Arial" w:eastAsia="Calibri" w:hAnsi="Arial" w:cs="Arial"/>
                <w:sz w:val="20"/>
                <w:szCs w:val="20"/>
                <w:lang w:val="en-GB"/>
              </w:rPr>
              <w:t xml:space="preserve">developed </w:t>
            </w:r>
            <w:r w:rsidRPr="00A854F4">
              <w:rPr>
                <w:rFonts w:ascii="Arial" w:eastAsia="Calibri" w:hAnsi="Arial" w:cs="Arial"/>
                <w:sz w:val="20"/>
                <w:szCs w:val="20"/>
                <w:lang w:val="en-GB"/>
              </w:rPr>
              <w:t xml:space="preserve">for inclusion in the Guidance note for facilitators on providing support to </w:t>
            </w:r>
            <w:r w:rsidR="00A4197B" w:rsidRPr="00A854F4">
              <w:rPr>
                <w:rFonts w:ascii="Arial" w:eastAsia="Calibri" w:hAnsi="Arial" w:cs="Arial"/>
                <w:sz w:val="20"/>
                <w:szCs w:val="20"/>
                <w:lang w:val="en-GB"/>
              </w:rPr>
              <w:t>intangible cultural heritage safeguarding-</w:t>
            </w:r>
            <w:r w:rsidRPr="00A854F4">
              <w:rPr>
                <w:rFonts w:ascii="Arial" w:eastAsia="Calibri" w:hAnsi="Arial" w:cs="Arial"/>
                <w:sz w:val="20"/>
                <w:szCs w:val="20"/>
                <w:lang w:val="en-GB"/>
              </w:rPr>
              <w:t>related policy development</w:t>
            </w:r>
            <w:r w:rsidR="00C42554" w:rsidRPr="00A854F4">
              <w:rPr>
                <w:rFonts w:ascii="Arial" w:eastAsia="Calibri" w:hAnsi="Arial" w:cs="Arial"/>
                <w:sz w:val="20"/>
                <w:szCs w:val="20"/>
                <w:lang w:val="en-GB"/>
              </w:rPr>
              <w:t>.</w:t>
            </w:r>
          </w:p>
          <w:p w14:paraId="19D2E1C7" w14:textId="49AE0514"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 xml:space="preserve">One online toolbox developed with more than </w:t>
            </w:r>
            <w:r w:rsidR="00C42554" w:rsidRPr="00A854F4">
              <w:rPr>
                <w:rFonts w:ascii="Arial" w:eastAsia="Calibri" w:hAnsi="Arial" w:cs="Arial"/>
                <w:sz w:val="20"/>
                <w:szCs w:val="20"/>
                <w:lang w:val="en-GB"/>
              </w:rPr>
              <w:t xml:space="preserve">thirty </w:t>
            </w:r>
            <w:r w:rsidRPr="00A854F4">
              <w:rPr>
                <w:rFonts w:ascii="Arial" w:eastAsia="Calibri" w:hAnsi="Arial" w:cs="Arial"/>
                <w:sz w:val="20"/>
                <w:szCs w:val="20"/>
                <w:lang w:val="en-GB"/>
              </w:rPr>
              <w:t>examples to illustrate the relationship between safeguarding intangible cultural heritage and sustainable development</w:t>
            </w:r>
            <w:r w:rsidR="00C42554" w:rsidRPr="00A854F4">
              <w:rPr>
                <w:rFonts w:ascii="Arial" w:eastAsia="Calibri" w:hAnsi="Arial" w:cs="Arial"/>
                <w:sz w:val="20"/>
                <w:szCs w:val="20"/>
                <w:lang w:val="en-GB"/>
              </w:rPr>
              <w:t>.</w:t>
            </w:r>
          </w:p>
          <w:p w14:paraId="4A2C53ED" w14:textId="1544DC94"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 xml:space="preserve">Training materials on policy development, gender, sustainable development and pilot inventorying activities translated and available online in two languages </w:t>
            </w:r>
            <w:r w:rsidR="00105CF8" w:rsidRPr="00A854F4">
              <w:rPr>
                <w:rFonts w:ascii="Arial" w:eastAsia="Calibri" w:hAnsi="Arial" w:cs="Arial"/>
                <w:sz w:val="20"/>
                <w:szCs w:val="20"/>
                <w:lang w:val="en-GB"/>
              </w:rPr>
              <w:t>(</w:t>
            </w:r>
            <w:r w:rsidRPr="00A854F4">
              <w:rPr>
                <w:rFonts w:ascii="Arial" w:eastAsia="Calibri" w:hAnsi="Arial" w:cs="Arial"/>
                <w:sz w:val="20"/>
                <w:szCs w:val="20"/>
                <w:lang w:val="en-GB"/>
              </w:rPr>
              <w:t>English and French</w:t>
            </w:r>
            <w:r w:rsidR="00105CF8" w:rsidRPr="00A854F4">
              <w:rPr>
                <w:rFonts w:ascii="Arial" w:eastAsia="Calibri" w:hAnsi="Arial" w:cs="Arial"/>
                <w:sz w:val="20"/>
                <w:szCs w:val="20"/>
                <w:lang w:val="en-GB"/>
              </w:rPr>
              <w:t>)</w:t>
            </w:r>
            <w:r w:rsidRPr="00A854F4">
              <w:rPr>
                <w:rFonts w:ascii="Arial" w:eastAsia="Calibri" w:hAnsi="Arial" w:cs="Arial"/>
                <w:sz w:val="20"/>
                <w:szCs w:val="20"/>
                <w:lang w:val="en-GB"/>
              </w:rPr>
              <w:t xml:space="preserve">. This included a video on </w:t>
            </w:r>
            <w:r w:rsidR="00A4197B" w:rsidRPr="00A854F4">
              <w:rPr>
                <w:rFonts w:ascii="Arial" w:eastAsia="Calibri" w:hAnsi="Arial" w:cs="Arial"/>
                <w:sz w:val="20"/>
                <w:szCs w:val="20"/>
                <w:lang w:val="en-GB"/>
              </w:rPr>
              <w:t>l</w:t>
            </w:r>
            <w:r w:rsidRPr="00A854F4">
              <w:rPr>
                <w:rFonts w:ascii="Arial" w:eastAsia="Calibri" w:hAnsi="Arial" w:cs="Arial"/>
                <w:sz w:val="20"/>
                <w:szCs w:val="20"/>
                <w:lang w:val="en-GB"/>
              </w:rPr>
              <w:t>iving heritage and gender.</w:t>
            </w:r>
          </w:p>
          <w:p w14:paraId="219C93A0" w14:textId="51BE7408" w:rsidR="00724AAD" w:rsidRPr="00A854F4" w:rsidRDefault="00724AAD">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Technical problems in the material browser tool rectified based on use</w:t>
            </w:r>
            <w:r w:rsidR="00C42554" w:rsidRPr="00A854F4">
              <w:rPr>
                <w:rFonts w:ascii="Arial" w:eastAsia="Calibri" w:hAnsi="Arial" w:cs="Arial"/>
                <w:sz w:val="20"/>
                <w:szCs w:val="20"/>
                <w:lang w:val="en-GB"/>
              </w:rPr>
              <w:t>r</w:t>
            </w:r>
            <w:r w:rsidRPr="00A854F4">
              <w:rPr>
                <w:rFonts w:ascii="Arial" w:eastAsia="Calibri" w:hAnsi="Arial" w:cs="Arial"/>
                <w:sz w:val="20"/>
                <w:szCs w:val="20"/>
                <w:lang w:val="en-GB"/>
              </w:rPr>
              <w:t xml:space="preserve"> experiences shared by facilitators (i.e., material downloads, display order of units, multiple </w:t>
            </w:r>
            <w:r w:rsidR="00105CF8" w:rsidRPr="00A854F4">
              <w:rPr>
                <w:rFonts w:ascii="Arial" w:eastAsia="Calibri" w:hAnsi="Arial" w:cs="Arial"/>
                <w:sz w:val="20"/>
                <w:szCs w:val="20"/>
                <w:lang w:val="en-GB"/>
              </w:rPr>
              <w:t xml:space="preserve">language </w:t>
            </w:r>
            <w:r w:rsidRPr="00A854F4">
              <w:rPr>
                <w:rFonts w:ascii="Arial" w:eastAsia="Calibri" w:hAnsi="Arial" w:cs="Arial"/>
                <w:sz w:val="20"/>
                <w:szCs w:val="20"/>
                <w:lang w:val="en-GB"/>
              </w:rPr>
              <w:t>versions).</w:t>
            </w:r>
          </w:p>
        </w:tc>
        <w:tc>
          <w:tcPr>
            <w:tcW w:w="2980" w:type="dxa"/>
            <w:shd w:val="clear" w:color="auto" w:fill="auto"/>
          </w:tcPr>
          <w:p w14:paraId="0ED82384" w14:textId="77777777" w:rsidR="00724AAD" w:rsidRPr="00A854F4"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1034CFBD" w14:textId="77777777" w:rsidTr="00C35DA5">
        <w:trPr>
          <w:trHeight w:val="3022"/>
          <w:jc w:val="center"/>
        </w:trPr>
        <w:tc>
          <w:tcPr>
            <w:tcW w:w="6658" w:type="dxa"/>
            <w:shd w:val="clear" w:color="auto" w:fill="auto"/>
          </w:tcPr>
          <w:p w14:paraId="1E54BC08" w14:textId="77777777" w:rsidR="00724AAD" w:rsidRPr="00A854F4" w:rsidRDefault="00724AAD">
            <w:pPr>
              <w:spacing w:before="60" w:after="60"/>
              <w:jc w:val="both"/>
              <w:rPr>
                <w:rFonts w:ascii="Arial" w:eastAsia="Calibri" w:hAnsi="Arial" w:cs="Arial"/>
                <w:b/>
                <w:bCs/>
                <w:sz w:val="20"/>
                <w:szCs w:val="20"/>
              </w:rPr>
            </w:pPr>
            <w:r w:rsidRPr="00A854F4">
              <w:rPr>
                <w:rFonts w:ascii="Arial" w:eastAsia="Calibri" w:hAnsi="Arial" w:cs="Arial"/>
                <w:b/>
                <w:bCs/>
                <w:sz w:val="20"/>
                <w:szCs w:val="20"/>
              </w:rPr>
              <w:t>Monitoring of the capacity-building programme ensured and information shared with relevant partners</w:t>
            </w:r>
          </w:p>
          <w:p w14:paraId="33BE4AF6" w14:textId="77777777" w:rsidR="00724AAD" w:rsidRPr="00A854F4" w:rsidRDefault="00724AAD" w:rsidP="00322AB8">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Analytical report prepared on implementing the capacity-building programme for safeguarding intangible cultural heritage around the world based on information gathered through the online training workshop planning and reporting tool.</w:t>
            </w:r>
          </w:p>
          <w:p w14:paraId="264E80DB" w14:textId="12763193" w:rsidR="00724AAD" w:rsidRPr="00A854F4" w:rsidRDefault="00724AAD" w:rsidP="00322AB8">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 xml:space="preserve">Knowledge built and shared through the organization, recording and dissemination of a </w:t>
            </w:r>
            <w:r w:rsidR="00886C8A" w:rsidRPr="00A854F4">
              <w:rPr>
                <w:rFonts w:ascii="Arial" w:eastAsia="Calibri" w:hAnsi="Arial" w:cs="Arial"/>
                <w:sz w:val="20"/>
                <w:szCs w:val="20"/>
                <w:lang w:val="en-GB"/>
              </w:rPr>
              <w:t>r</w:t>
            </w:r>
            <w:r w:rsidRPr="00A854F4">
              <w:rPr>
                <w:rFonts w:ascii="Arial" w:eastAsia="Calibri" w:hAnsi="Arial" w:cs="Arial"/>
                <w:sz w:val="20"/>
                <w:szCs w:val="20"/>
                <w:lang w:val="en-GB"/>
              </w:rPr>
              <w:t xml:space="preserve">oundtable side event at the </w:t>
            </w:r>
            <w:r w:rsidR="00F43D0C" w:rsidRPr="00A854F4">
              <w:rPr>
                <w:rFonts w:ascii="Arial" w:eastAsia="Calibri" w:hAnsi="Arial" w:cs="Arial"/>
                <w:sz w:val="20"/>
                <w:szCs w:val="20"/>
                <w:lang w:val="en-GB"/>
              </w:rPr>
              <w:t>thirteenth session of the Committee</w:t>
            </w:r>
            <w:r w:rsidRPr="00A854F4">
              <w:rPr>
                <w:rFonts w:ascii="Arial" w:eastAsia="Calibri" w:hAnsi="Arial" w:cs="Arial"/>
                <w:sz w:val="20"/>
                <w:szCs w:val="20"/>
                <w:lang w:val="en-GB"/>
              </w:rPr>
              <w:t xml:space="preserve"> entitled ‘The Global Facilitators’ Network: How does it support countries in implementing the Convention?’</w:t>
            </w:r>
          </w:p>
          <w:p w14:paraId="2CB221F5" w14:textId="6E0D965A" w:rsidR="00724AAD" w:rsidRPr="00A854F4" w:rsidRDefault="00724AAD" w:rsidP="00322AB8">
            <w:pPr>
              <w:pStyle w:val="ListParagraph"/>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Brochure on the capacity-building programme developed and available in two languages</w:t>
            </w:r>
            <w:r w:rsidR="00105CF8" w:rsidRPr="00A854F4">
              <w:rPr>
                <w:rFonts w:ascii="Arial" w:eastAsia="Calibri" w:hAnsi="Arial" w:cs="Arial"/>
                <w:sz w:val="20"/>
                <w:szCs w:val="20"/>
                <w:lang w:val="en-GB"/>
              </w:rPr>
              <w:t xml:space="preserve"> (English and French)</w:t>
            </w:r>
            <w:r w:rsidRPr="00A854F4">
              <w:rPr>
                <w:rFonts w:ascii="Arial" w:eastAsia="Calibri" w:hAnsi="Arial" w:cs="Arial"/>
                <w:sz w:val="20"/>
                <w:szCs w:val="20"/>
                <w:lang w:val="en-GB"/>
              </w:rPr>
              <w:t>.</w:t>
            </w:r>
          </w:p>
        </w:tc>
        <w:tc>
          <w:tcPr>
            <w:tcW w:w="2980" w:type="dxa"/>
          </w:tcPr>
          <w:p w14:paraId="48CD8A05" w14:textId="77777777" w:rsidR="00724AAD" w:rsidRPr="00A854F4"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0C4391C0" w14:textId="77777777" w:rsidTr="00C35DA5">
        <w:trPr>
          <w:jc w:val="center"/>
        </w:trPr>
        <w:tc>
          <w:tcPr>
            <w:tcW w:w="6658" w:type="dxa"/>
            <w:shd w:val="clear" w:color="auto" w:fill="auto"/>
          </w:tcPr>
          <w:p w14:paraId="55124B0B" w14:textId="77777777" w:rsidR="00724AAD" w:rsidRPr="00A854F4" w:rsidRDefault="00724AAD" w:rsidP="00A05144">
            <w:pPr>
              <w:keepNext/>
              <w:keepLines/>
              <w:spacing w:before="60" w:after="60"/>
              <w:jc w:val="both"/>
              <w:rPr>
                <w:rFonts w:ascii="Arial" w:eastAsia="Calibri" w:hAnsi="Arial" w:cs="Arial"/>
                <w:b/>
                <w:bCs/>
                <w:sz w:val="20"/>
                <w:szCs w:val="20"/>
              </w:rPr>
            </w:pPr>
            <w:r w:rsidRPr="00A854F4">
              <w:rPr>
                <w:rFonts w:ascii="Arial" w:eastAsia="Calibri" w:hAnsi="Arial" w:cs="Arial"/>
                <w:b/>
                <w:bCs/>
                <w:sz w:val="20"/>
                <w:szCs w:val="20"/>
              </w:rPr>
              <w:lastRenderedPageBreak/>
              <w:t>Lighter ways of sharing safeguarding practices developed</w:t>
            </w:r>
          </w:p>
          <w:p w14:paraId="39D5C67A" w14:textId="77777777" w:rsidR="00724AAD" w:rsidRPr="00A854F4" w:rsidRDefault="00724AAD" w:rsidP="00A05144">
            <w:pPr>
              <w:pStyle w:val="ListParagraph"/>
              <w:keepNext/>
              <w:keepLines/>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Online survey conducted about lighter ways of sharing safeguarding practices, resulting in 225 contributions by organizations and institutions in the field of intangible cultural heritage.</w:t>
            </w:r>
          </w:p>
        </w:tc>
        <w:tc>
          <w:tcPr>
            <w:tcW w:w="2980" w:type="dxa"/>
          </w:tcPr>
          <w:p w14:paraId="592C1C39" w14:textId="77777777" w:rsidR="00724AAD" w:rsidRPr="00A854F4" w:rsidRDefault="00724AAD" w:rsidP="00A05144">
            <w:pPr>
              <w:keepNext/>
              <w:keepLines/>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279BC51E" w14:textId="77777777" w:rsidTr="00C35DA5">
        <w:trPr>
          <w:jc w:val="center"/>
        </w:trPr>
        <w:tc>
          <w:tcPr>
            <w:tcW w:w="6658" w:type="dxa"/>
            <w:shd w:val="clear" w:color="auto" w:fill="auto"/>
          </w:tcPr>
          <w:p w14:paraId="173B1A77" w14:textId="2DAADD67" w:rsidR="00724AAD" w:rsidRPr="00A854F4" w:rsidRDefault="00724AAD" w:rsidP="000E15E3">
            <w:pPr>
              <w:keepNext/>
              <w:keepLines/>
              <w:spacing w:before="60" w:after="60"/>
              <w:jc w:val="both"/>
              <w:rPr>
                <w:rFonts w:ascii="Arial" w:eastAsia="Calibri" w:hAnsi="Arial" w:cs="Arial"/>
                <w:b/>
                <w:bCs/>
                <w:sz w:val="20"/>
                <w:szCs w:val="20"/>
              </w:rPr>
            </w:pPr>
            <w:r w:rsidRPr="00A854F4">
              <w:rPr>
                <w:rFonts w:ascii="Arial" w:eastAsia="Calibri" w:hAnsi="Arial" w:cs="Arial"/>
                <w:b/>
                <w:bCs/>
                <w:sz w:val="20"/>
                <w:szCs w:val="20"/>
              </w:rPr>
              <w:t>Networking and partnerships with tertiary educational institutions strengthened</w:t>
            </w:r>
          </w:p>
          <w:p w14:paraId="5173050C" w14:textId="5B587FA2" w:rsidR="00724AAD" w:rsidRPr="00A854F4" w:rsidRDefault="00724AAD" w:rsidP="000E15E3">
            <w:pPr>
              <w:pStyle w:val="ListParagraph"/>
              <w:keepNext/>
              <w:keepLines/>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 xml:space="preserve">A total of 29 additional universities engaged in networking through a survey in Africa (following similar activities in Asia and the Pacific and Latin America and the Caribbean); survey report disseminated during a side event </w:t>
            </w:r>
            <w:r w:rsidR="00F43D0C" w:rsidRPr="00A854F4">
              <w:rPr>
                <w:rFonts w:ascii="Arial" w:eastAsia="Calibri" w:hAnsi="Arial" w:cs="Arial"/>
                <w:sz w:val="20"/>
                <w:szCs w:val="20"/>
                <w:lang w:val="en-GB"/>
              </w:rPr>
              <w:t>of the thirteenth session of the Committee</w:t>
            </w:r>
            <w:r w:rsidRPr="00A854F4">
              <w:rPr>
                <w:rFonts w:ascii="Arial" w:eastAsia="Calibri" w:hAnsi="Arial" w:cs="Arial"/>
                <w:sz w:val="20"/>
                <w:szCs w:val="20"/>
                <w:lang w:val="en-GB"/>
              </w:rPr>
              <w:t xml:space="preserve"> and online.</w:t>
            </w:r>
          </w:p>
          <w:p w14:paraId="44957194" w14:textId="48B27514" w:rsidR="00724AAD" w:rsidRPr="00A854F4" w:rsidRDefault="00724AAD" w:rsidP="000E15E3">
            <w:pPr>
              <w:pStyle w:val="ListParagraph"/>
              <w:keepNext/>
              <w:keepLines/>
              <w:numPr>
                <w:ilvl w:val="0"/>
                <w:numId w:val="17"/>
              </w:numPr>
              <w:spacing w:before="60" w:after="60"/>
              <w:ind w:left="426"/>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Partners for the development of an online course on intangible cultural heritage identified (SDG Academy and ICHCAP)</w:t>
            </w:r>
            <w:r w:rsidR="002C2937">
              <w:rPr>
                <w:rFonts w:ascii="Arial" w:eastAsia="Calibri" w:hAnsi="Arial" w:cs="Arial"/>
                <w:sz w:val="20"/>
                <w:szCs w:val="20"/>
                <w:lang w:val="en-GB"/>
              </w:rPr>
              <w:t>.</w:t>
            </w:r>
          </w:p>
        </w:tc>
        <w:tc>
          <w:tcPr>
            <w:tcW w:w="2980" w:type="dxa"/>
          </w:tcPr>
          <w:p w14:paraId="58939429" w14:textId="77777777" w:rsidR="004434A3" w:rsidRDefault="004434A3" w:rsidP="000E15E3">
            <w:pPr>
              <w:keepNext/>
              <w:keepLines/>
              <w:spacing w:before="320" w:after="60"/>
              <w:jc w:val="center"/>
              <w:rPr>
                <w:rFonts w:ascii="Arial" w:eastAsia="Calibri" w:hAnsi="Arial" w:cs="Arial"/>
                <w:sz w:val="20"/>
                <w:szCs w:val="20"/>
              </w:rPr>
            </w:pPr>
          </w:p>
          <w:p w14:paraId="34331AE6" w14:textId="7D5FA03F" w:rsidR="00724AAD" w:rsidRPr="00A854F4" w:rsidRDefault="00724AAD" w:rsidP="000E15E3">
            <w:pPr>
              <w:keepNext/>
              <w:keepLines/>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bl>
    <w:p w14:paraId="1DE5E864" w14:textId="77777777" w:rsidR="00724AAD" w:rsidRPr="00A854F4" w:rsidRDefault="00724AAD" w:rsidP="00724AAD">
      <w:pPr>
        <w:pStyle w:val="ListParagraph"/>
        <w:keepNext/>
        <w:numPr>
          <w:ilvl w:val="0"/>
          <w:numId w:val="14"/>
        </w:numPr>
        <w:spacing w:before="240"/>
        <w:ind w:left="284" w:hanging="284"/>
        <w:jc w:val="both"/>
        <w:rPr>
          <w:rFonts w:ascii="Arial" w:hAnsi="Arial" w:cs="Arial"/>
          <w:b/>
          <w:bCs/>
          <w:sz w:val="22"/>
          <w:szCs w:val="22"/>
          <w:lang w:val="en-GB"/>
        </w:rPr>
      </w:pPr>
      <w:r w:rsidRPr="00A854F4">
        <w:rPr>
          <w:rFonts w:ascii="Arial" w:hAnsi="Arial" w:cs="Arial"/>
          <w:b/>
          <w:bCs/>
          <w:sz w:val="22"/>
          <w:szCs w:val="22"/>
          <w:lang w:val="en-GB"/>
        </w:rPr>
        <w:t xml:space="preserve">Implementation report for the period 1 January 2020 to 30 June 2021 </w:t>
      </w:r>
    </w:p>
    <w:p w14:paraId="18110BAA" w14:textId="77777777" w:rsidR="00724AAD" w:rsidRPr="00A854F4" w:rsidRDefault="00724AAD" w:rsidP="00724AAD">
      <w:pPr>
        <w:pStyle w:val="ListParagraph"/>
        <w:keepNext/>
        <w:spacing w:before="240"/>
        <w:ind w:left="284" w:hanging="284"/>
        <w:jc w:val="both"/>
        <w:rPr>
          <w:rFonts w:ascii="Arial" w:hAnsi="Arial" w:cs="Arial"/>
          <w:b/>
          <w:bCs/>
          <w:sz w:val="22"/>
          <w:szCs w:val="22"/>
          <w:lang w:val="en-G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272170AA" w14:textId="77777777" w:rsidTr="00322AB8">
        <w:trPr>
          <w:jc w:val="center"/>
        </w:trPr>
        <w:tc>
          <w:tcPr>
            <w:tcW w:w="1999" w:type="pct"/>
            <w:shd w:val="clear" w:color="auto" w:fill="92D050"/>
            <w:vAlign w:val="center"/>
          </w:tcPr>
          <w:p w14:paraId="60F9293C"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Allocation</w:t>
            </w:r>
          </w:p>
        </w:tc>
        <w:tc>
          <w:tcPr>
            <w:tcW w:w="2118" w:type="pct"/>
            <w:shd w:val="clear" w:color="auto" w:fill="92D050"/>
            <w:vAlign w:val="center"/>
          </w:tcPr>
          <w:p w14:paraId="51AFD0A4"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Expenditures</w:t>
            </w:r>
          </w:p>
        </w:tc>
        <w:tc>
          <w:tcPr>
            <w:tcW w:w="883" w:type="pct"/>
            <w:shd w:val="clear" w:color="auto" w:fill="92D050"/>
            <w:vAlign w:val="center"/>
          </w:tcPr>
          <w:p w14:paraId="60E4085B"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30/06/2021</w:t>
            </w:r>
          </w:p>
        </w:tc>
      </w:tr>
      <w:tr w:rsidR="00724AAD" w:rsidRPr="00A854F4" w14:paraId="32944D68" w14:textId="77777777" w:rsidTr="00C35DA5">
        <w:trPr>
          <w:jc w:val="center"/>
        </w:trPr>
        <w:tc>
          <w:tcPr>
            <w:tcW w:w="1999" w:type="pct"/>
            <w:shd w:val="clear" w:color="auto" w:fill="auto"/>
          </w:tcPr>
          <w:p w14:paraId="48EBE8EC"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517,465.00</w:t>
            </w:r>
          </w:p>
        </w:tc>
        <w:tc>
          <w:tcPr>
            <w:tcW w:w="2118" w:type="pct"/>
            <w:shd w:val="clear" w:color="auto" w:fill="auto"/>
          </w:tcPr>
          <w:p w14:paraId="1D53844C"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302,236.70</w:t>
            </w:r>
          </w:p>
        </w:tc>
        <w:tc>
          <w:tcPr>
            <w:tcW w:w="883" w:type="pct"/>
            <w:shd w:val="clear" w:color="auto" w:fill="auto"/>
          </w:tcPr>
          <w:p w14:paraId="280713EE"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58.4%</w:t>
            </w:r>
          </w:p>
        </w:tc>
      </w:tr>
    </w:tbl>
    <w:p w14:paraId="7E6A4E3E"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80"/>
      </w:tblGrid>
      <w:tr w:rsidR="00724AAD" w:rsidRPr="00A854F4" w14:paraId="1621F713" w14:textId="77777777" w:rsidTr="00C35DA5">
        <w:trPr>
          <w:tblHeader/>
          <w:jc w:val="center"/>
        </w:trPr>
        <w:tc>
          <w:tcPr>
            <w:tcW w:w="6658" w:type="dxa"/>
            <w:shd w:val="clear" w:color="auto" w:fill="D9D9D9"/>
            <w:vAlign w:val="center"/>
          </w:tcPr>
          <w:p w14:paraId="4F489AF5"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progress:</w:t>
            </w:r>
            <w:r w:rsidRPr="00A854F4">
              <w:rPr>
                <w:rFonts w:ascii="Arial" w:eastAsia="Calibri" w:hAnsi="Arial" w:cs="Arial"/>
                <w:b/>
                <w:sz w:val="20"/>
                <w:szCs w:val="20"/>
              </w:rPr>
              <w:br/>
              <w:t>01/01/2020 to 30/06/2021</w:t>
            </w:r>
          </w:p>
        </w:tc>
        <w:tc>
          <w:tcPr>
            <w:tcW w:w="2980" w:type="dxa"/>
            <w:shd w:val="clear" w:color="auto" w:fill="D9D9D9"/>
            <w:vAlign w:val="center"/>
          </w:tcPr>
          <w:p w14:paraId="2F6D7B5A"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implementation</w:t>
            </w:r>
          </w:p>
        </w:tc>
      </w:tr>
      <w:tr w:rsidR="00724AAD" w:rsidRPr="00A854F4" w14:paraId="4C6ADAB0" w14:textId="77777777" w:rsidTr="00C35DA5">
        <w:trPr>
          <w:jc w:val="center"/>
        </w:trPr>
        <w:tc>
          <w:tcPr>
            <w:tcW w:w="6658" w:type="dxa"/>
            <w:shd w:val="clear" w:color="auto" w:fill="auto"/>
          </w:tcPr>
          <w:p w14:paraId="30106367" w14:textId="77777777" w:rsidR="00724AAD" w:rsidRPr="00A854F4" w:rsidRDefault="00724AAD">
            <w:pPr>
              <w:spacing w:before="60" w:after="60"/>
              <w:jc w:val="both"/>
              <w:rPr>
                <w:rFonts w:ascii="Arial" w:eastAsia="Calibri" w:hAnsi="Arial" w:cs="Arial"/>
                <w:b/>
                <w:bCs/>
                <w:sz w:val="20"/>
                <w:szCs w:val="20"/>
              </w:rPr>
            </w:pPr>
            <w:r w:rsidRPr="00A854F4">
              <w:rPr>
                <w:rFonts w:ascii="Arial" w:eastAsia="Calibri" w:hAnsi="Arial" w:cs="Arial"/>
                <w:b/>
                <w:bCs/>
                <w:sz w:val="20"/>
                <w:szCs w:val="20"/>
              </w:rPr>
              <w:t>Facilitators’ network strengthened</w:t>
            </w:r>
          </w:p>
          <w:p w14:paraId="7FC2358A" w14:textId="7962986C"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Network coordination and thematic work supported through two sessions of the interregional working group of the facilitators’ network</w:t>
            </w:r>
            <w:r w:rsidR="00777845" w:rsidRPr="00A854F4">
              <w:rPr>
                <w:rFonts w:ascii="Arial" w:eastAsia="Calibri" w:hAnsi="Arial" w:cs="Arial"/>
                <w:sz w:val="20"/>
                <w:szCs w:val="20"/>
              </w:rPr>
              <w:t>.</w:t>
            </w:r>
          </w:p>
          <w:p w14:paraId="588CE824" w14:textId="68B834C3" w:rsidR="00724AAD" w:rsidRPr="00A854F4" w:rsidRDefault="00105CF8">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 xml:space="preserve">Seven </w:t>
            </w:r>
            <w:r w:rsidR="00724AAD" w:rsidRPr="00A854F4">
              <w:rPr>
                <w:rFonts w:ascii="Arial" w:eastAsia="Calibri" w:hAnsi="Arial" w:cs="Arial"/>
                <w:sz w:val="20"/>
                <w:szCs w:val="20"/>
              </w:rPr>
              <w:t xml:space="preserve">experienced facilitators from Latin America and the Caribbean trained on the implementation of the overall results framework and periodic reporting in May/June 2021; due to the restrictions of the COVID-19 pandemic, the </w:t>
            </w:r>
            <w:r w:rsidR="00724AAD" w:rsidRPr="009C63AA">
              <w:rPr>
                <w:rFonts w:ascii="Arial" w:hAnsi="Arial" w:cs="Arial"/>
                <w:sz w:val="20"/>
                <w:szCs w:val="20"/>
              </w:rPr>
              <w:t>training workshop was redesigned for a fully online format and merged with the training for country focal</w:t>
            </w:r>
            <w:r w:rsidRPr="009C63AA">
              <w:rPr>
                <w:rFonts w:ascii="Arial" w:hAnsi="Arial" w:cs="Arial"/>
                <w:sz w:val="20"/>
                <w:szCs w:val="20"/>
              </w:rPr>
              <w:t xml:space="preserve"> points</w:t>
            </w:r>
            <w:r w:rsidR="00724AAD" w:rsidRPr="009C63AA">
              <w:rPr>
                <w:rFonts w:ascii="Arial" w:hAnsi="Arial" w:cs="Arial"/>
                <w:sz w:val="20"/>
                <w:szCs w:val="20"/>
              </w:rPr>
              <w:t xml:space="preserve"> for periodic reporting (see below)</w:t>
            </w:r>
            <w:r w:rsidRPr="009C63AA">
              <w:rPr>
                <w:rFonts w:ascii="Arial" w:hAnsi="Arial" w:cs="Arial"/>
                <w:sz w:val="20"/>
                <w:szCs w:val="20"/>
              </w:rPr>
              <w:t>.</w:t>
            </w:r>
            <w:r w:rsidR="00724AAD" w:rsidRPr="009C63AA">
              <w:rPr>
                <w:rFonts w:ascii="Arial" w:hAnsi="Arial" w:cs="Arial"/>
                <w:sz w:val="20"/>
                <w:szCs w:val="20"/>
              </w:rPr>
              <w:t xml:space="preserve"> </w:t>
            </w:r>
            <w:r w:rsidRPr="009C63AA">
              <w:rPr>
                <w:rFonts w:ascii="Arial" w:hAnsi="Arial" w:cs="Arial"/>
                <w:sz w:val="20"/>
                <w:szCs w:val="20"/>
              </w:rPr>
              <w:t>A</w:t>
            </w:r>
            <w:r w:rsidR="00724AAD" w:rsidRPr="009C63AA">
              <w:rPr>
                <w:rFonts w:ascii="Arial" w:hAnsi="Arial" w:cs="Arial"/>
                <w:sz w:val="20"/>
                <w:szCs w:val="20"/>
              </w:rPr>
              <w:t xml:space="preserve"> training for facilitators from the Arab States was reprogrammed to take place in October 2021 instead of January 2022</w:t>
            </w:r>
            <w:r w:rsidR="00777845" w:rsidRPr="009C63AA">
              <w:rPr>
                <w:rFonts w:ascii="Arial" w:hAnsi="Arial" w:cs="Arial"/>
                <w:sz w:val="20"/>
                <w:szCs w:val="20"/>
              </w:rPr>
              <w:t>.</w:t>
            </w:r>
          </w:p>
          <w:p w14:paraId="30B29468" w14:textId="5CA9C693" w:rsidR="00724AAD" w:rsidRPr="00A854F4" w:rsidRDefault="00105CF8">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 xml:space="preserve">Twenty-seven </w:t>
            </w:r>
            <w:r w:rsidR="00724AAD" w:rsidRPr="00A854F4">
              <w:rPr>
                <w:rFonts w:ascii="Arial" w:eastAsia="Calibri" w:hAnsi="Arial" w:cs="Arial"/>
                <w:sz w:val="20"/>
                <w:szCs w:val="20"/>
              </w:rPr>
              <w:t>facilitators trained in safeguarding intangible cultural heritage in formal and non-formal education and a learning network established</w:t>
            </w:r>
            <w:r w:rsidRPr="00A854F4">
              <w:rPr>
                <w:rFonts w:ascii="Arial" w:eastAsia="Calibri" w:hAnsi="Arial" w:cs="Arial"/>
                <w:sz w:val="20"/>
                <w:szCs w:val="20"/>
              </w:rPr>
              <w:t>.</w:t>
            </w:r>
            <w:r w:rsidR="00724AAD" w:rsidRPr="00A854F4">
              <w:rPr>
                <w:rFonts w:ascii="Arial" w:eastAsia="Calibri" w:hAnsi="Arial" w:cs="Arial"/>
                <w:sz w:val="20"/>
                <w:szCs w:val="20"/>
              </w:rPr>
              <w:t xml:space="preserve"> </w:t>
            </w:r>
            <w:r w:rsidRPr="00A854F4">
              <w:rPr>
                <w:rFonts w:ascii="Arial" w:eastAsia="Calibri" w:hAnsi="Arial" w:cs="Arial"/>
                <w:sz w:val="20"/>
                <w:szCs w:val="20"/>
              </w:rPr>
              <w:t>D</w:t>
            </w:r>
            <w:r w:rsidR="00724AAD" w:rsidRPr="00A854F4">
              <w:rPr>
                <w:rFonts w:ascii="Arial" w:eastAsia="Calibri" w:hAnsi="Arial" w:cs="Arial"/>
                <w:sz w:val="20"/>
                <w:szCs w:val="20"/>
              </w:rPr>
              <w:t xml:space="preserve">ue to the restrictions of the COVID-19 pandemic, the </w:t>
            </w:r>
            <w:r w:rsidR="00724AAD" w:rsidRPr="009C63AA">
              <w:rPr>
                <w:rFonts w:ascii="Arial" w:hAnsi="Arial" w:cs="Arial"/>
                <w:sz w:val="20"/>
                <w:szCs w:val="20"/>
              </w:rPr>
              <w:t>training workshop was designed for a fully online format for deliver</w:t>
            </w:r>
            <w:r w:rsidR="00777845" w:rsidRPr="009C63AA">
              <w:rPr>
                <w:rFonts w:ascii="Arial" w:hAnsi="Arial" w:cs="Arial"/>
                <w:sz w:val="20"/>
                <w:szCs w:val="20"/>
              </w:rPr>
              <w:t>y</w:t>
            </w:r>
            <w:r w:rsidR="00724AAD" w:rsidRPr="009C63AA">
              <w:rPr>
                <w:rFonts w:ascii="Arial" w:hAnsi="Arial" w:cs="Arial"/>
                <w:sz w:val="20"/>
                <w:szCs w:val="20"/>
              </w:rPr>
              <w:t xml:space="preserve"> in two time zones</w:t>
            </w:r>
            <w:r w:rsidRPr="009C63AA">
              <w:rPr>
                <w:rFonts w:ascii="Arial" w:hAnsi="Arial" w:cs="Arial"/>
                <w:sz w:val="20"/>
                <w:szCs w:val="20"/>
              </w:rPr>
              <w:t>.</w:t>
            </w:r>
            <w:r w:rsidR="00724AAD" w:rsidRPr="009C63AA">
              <w:rPr>
                <w:rFonts w:ascii="Arial" w:hAnsi="Arial" w:cs="Arial"/>
                <w:sz w:val="20"/>
                <w:szCs w:val="20"/>
              </w:rPr>
              <w:t xml:space="preserve"> </w:t>
            </w:r>
            <w:r w:rsidRPr="009C63AA">
              <w:rPr>
                <w:rFonts w:ascii="Arial" w:hAnsi="Arial" w:cs="Arial"/>
                <w:sz w:val="20"/>
                <w:szCs w:val="20"/>
              </w:rPr>
              <w:t>T</w:t>
            </w:r>
            <w:r w:rsidR="00724AAD" w:rsidRPr="009C63AA">
              <w:rPr>
                <w:rFonts w:ascii="Arial" w:hAnsi="Arial" w:cs="Arial"/>
                <w:sz w:val="20"/>
                <w:szCs w:val="20"/>
              </w:rPr>
              <w:t xml:space="preserve">he first online course </w:t>
            </w:r>
            <w:r w:rsidRPr="009C63AA">
              <w:rPr>
                <w:rFonts w:ascii="Arial" w:hAnsi="Arial" w:cs="Arial"/>
                <w:sz w:val="20"/>
                <w:szCs w:val="20"/>
              </w:rPr>
              <w:t>took place</w:t>
            </w:r>
            <w:r w:rsidR="00724AAD" w:rsidRPr="009C63AA">
              <w:rPr>
                <w:rFonts w:ascii="Arial" w:hAnsi="Arial" w:cs="Arial"/>
                <w:sz w:val="20"/>
                <w:szCs w:val="20"/>
              </w:rPr>
              <w:t xml:space="preserve"> in June 2021</w:t>
            </w:r>
            <w:r w:rsidRPr="009C63AA">
              <w:rPr>
                <w:rFonts w:ascii="Arial" w:hAnsi="Arial" w:cs="Arial"/>
                <w:sz w:val="20"/>
                <w:szCs w:val="20"/>
              </w:rPr>
              <w:t xml:space="preserve"> and</w:t>
            </w:r>
            <w:r w:rsidR="00724AAD" w:rsidRPr="009C63AA">
              <w:rPr>
                <w:rFonts w:ascii="Arial" w:hAnsi="Arial" w:cs="Arial"/>
                <w:sz w:val="20"/>
                <w:szCs w:val="20"/>
              </w:rPr>
              <w:t xml:space="preserve"> the second </w:t>
            </w:r>
            <w:r w:rsidR="00777845" w:rsidRPr="009C63AA">
              <w:rPr>
                <w:rFonts w:ascii="Arial" w:hAnsi="Arial" w:cs="Arial"/>
                <w:sz w:val="20"/>
                <w:szCs w:val="20"/>
              </w:rPr>
              <w:t>one took place in</w:t>
            </w:r>
            <w:r w:rsidR="00724AAD" w:rsidRPr="009C63AA">
              <w:rPr>
                <w:rFonts w:ascii="Arial" w:hAnsi="Arial" w:cs="Arial"/>
                <w:sz w:val="20"/>
                <w:szCs w:val="20"/>
              </w:rPr>
              <w:t xml:space="preserve"> October 2021.</w:t>
            </w:r>
          </w:p>
          <w:p w14:paraId="4DF41FC4" w14:textId="39E95D12"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A concept note for a webinar series for the global facilitators</w:t>
            </w:r>
            <w:r w:rsidR="00777845" w:rsidRPr="00A854F4">
              <w:rPr>
                <w:rFonts w:ascii="Arial" w:eastAsia="Calibri" w:hAnsi="Arial" w:cs="Arial"/>
                <w:sz w:val="20"/>
                <w:szCs w:val="20"/>
              </w:rPr>
              <w:t>’</w:t>
            </w:r>
            <w:r w:rsidRPr="00A854F4">
              <w:rPr>
                <w:rFonts w:ascii="Arial" w:eastAsia="Calibri" w:hAnsi="Arial" w:cs="Arial"/>
                <w:sz w:val="20"/>
                <w:szCs w:val="20"/>
              </w:rPr>
              <w:t xml:space="preserve"> network developed to strengthen methodological and thematic knowledge and exchange</w:t>
            </w:r>
            <w:r w:rsidR="00777845" w:rsidRPr="00A854F4">
              <w:rPr>
                <w:rFonts w:ascii="Arial" w:eastAsia="Calibri" w:hAnsi="Arial" w:cs="Arial"/>
                <w:sz w:val="20"/>
                <w:szCs w:val="20"/>
              </w:rPr>
              <w:t>.</w:t>
            </w:r>
            <w:r w:rsidRPr="00A854F4">
              <w:rPr>
                <w:rFonts w:ascii="Arial" w:eastAsia="Calibri" w:hAnsi="Arial" w:cs="Arial"/>
                <w:sz w:val="20"/>
                <w:szCs w:val="20"/>
              </w:rPr>
              <w:t xml:space="preserve"> </w:t>
            </w:r>
            <w:r w:rsidR="00777845" w:rsidRPr="00A854F4">
              <w:rPr>
                <w:rFonts w:ascii="Arial" w:eastAsia="Calibri" w:hAnsi="Arial" w:cs="Arial"/>
                <w:sz w:val="20"/>
                <w:szCs w:val="20"/>
              </w:rPr>
              <w:t>A</w:t>
            </w:r>
            <w:r w:rsidRPr="00A854F4">
              <w:rPr>
                <w:rFonts w:ascii="Arial" w:eastAsia="Calibri" w:hAnsi="Arial" w:cs="Arial"/>
                <w:sz w:val="20"/>
                <w:szCs w:val="20"/>
              </w:rPr>
              <w:t xml:space="preserve"> first session</w:t>
            </w:r>
            <w:r w:rsidR="00777845" w:rsidRPr="00A854F4">
              <w:rPr>
                <w:rFonts w:ascii="Arial" w:eastAsia="Calibri" w:hAnsi="Arial" w:cs="Arial"/>
                <w:sz w:val="20"/>
                <w:szCs w:val="20"/>
              </w:rPr>
              <w:t xml:space="preserve"> was</w:t>
            </w:r>
            <w:r w:rsidRPr="00A854F4">
              <w:rPr>
                <w:rFonts w:ascii="Arial" w:eastAsia="Calibri" w:hAnsi="Arial" w:cs="Arial"/>
                <w:sz w:val="20"/>
                <w:szCs w:val="20"/>
              </w:rPr>
              <w:t xml:space="preserve"> organized in May 2021 to assess the initial experiences of network members with online</w:t>
            </w:r>
            <w:r w:rsidR="00777845" w:rsidRPr="00A854F4">
              <w:rPr>
                <w:rFonts w:ascii="Arial" w:eastAsia="Calibri" w:hAnsi="Arial" w:cs="Arial"/>
                <w:sz w:val="20"/>
                <w:szCs w:val="20"/>
              </w:rPr>
              <w:t xml:space="preserve"> </w:t>
            </w:r>
            <w:r w:rsidRPr="00A854F4">
              <w:rPr>
                <w:rFonts w:ascii="Arial" w:eastAsia="Calibri" w:hAnsi="Arial" w:cs="Arial"/>
                <w:sz w:val="20"/>
                <w:szCs w:val="20"/>
              </w:rPr>
              <w:t>facilitation of training for safeguarding intangible cultural heritage with recommendations for future programme development.</w:t>
            </w:r>
          </w:p>
        </w:tc>
        <w:tc>
          <w:tcPr>
            <w:tcW w:w="2980" w:type="dxa"/>
          </w:tcPr>
          <w:p w14:paraId="29736EB5" w14:textId="77777777" w:rsidR="00724AAD" w:rsidRPr="00A854F4"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74904753" w14:textId="77777777" w:rsidTr="00C35DA5">
        <w:trPr>
          <w:jc w:val="center"/>
        </w:trPr>
        <w:tc>
          <w:tcPr>
            <w:tcW w:w="6658" w:type="dxa"/>
            <w:shd w:val="clear" w:color="auto" w:fill="auto"/>
          </w:tcPr>
          <w:p w14:paraId="3A546FF9" w14:textId="77777777" w:rsidR="00724AAD" w:rsidRPr="00A854F4" w:rsidRDefault="00724AAD">
            <w:pPr>
              <w:spacing w:before="60" w:after="60"/>
              <w:jc w:val="both"/>
              <w:rPr>
                <w:rFonts w:ascii="Arial" w:eastAsia="Calibri" w:hAnsi="Arial" w:cs="Arial"/>
                <w:b/>
                <w:bCs/>
                <w:sz w:val="20"/>
                <w:szCs w:val="20"/>
              </w:rPr>
            </w:pPr>
            <w:r w:rsidRPr="00A854F4">
              <w:rPr>
                <w:rFonts w:ascii="Arial" w:eastAsia="Calibri" w:hAnsi="Arial" w:cs="Arial"/>
                <w:b/>
                <w:bCs/>
                <w:sz w:val="20"/>
                <w:szCs w:val="20"/>
              </w:rPr>
              <w:t>Content and format of the capacity-building programme further developed to respond to major implementation challenges</w:t>
            </w:r>
          </w:p>
          <w:p w14:paraId="54587BB9" w14:textId="62D5F588" w:rsidR="00724AAD" w:rsidRPr="00A854F4" w:rsidRDefault="00D06236">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 xml:space="preserve">Thirty-four </w:t>
            </w:r>
            <w:r w:rsidR="00724AAD" w:rsidRPr="00A854F4">
              <w:rPr>
                <w:rFonts w:ascii="Arial" w:eastAsia="Calibri" w:hAnsi="Arial" w:cs="Arial"/>
                <w:sz w:val="20"/>
                <w:szCs w:val="20"/>
              </w:rPr>
              <w:t>national focal points for periodic reporting in L</w:t>
            </w:r>
            <w:r w:rsidR="00777845" w:rsidRPr="00A854F4">
              <w:rPr>
                <w:rFonts w:ascii="Arial" w:eastAsia="Calibri" w:hAnsi="Arial" w:cs="Arial"/>
                <w:sz w:val="20"/>
                <w:szCs w:val="20"/>
              </w:rPr>
              <w:t>atin America and the Caribbean</w:t>
            </w:r>
            <w:r w:rsidR="00724AAD" w:rsidRPr="00A854F4">
              <w:rPr>
                <w:rFonts w:ascii="Arial" w:eastAsia="Calibri" w:hAnsi="Arial" w:cs="Arial"/>
                <w:sz w:val="20"/>
                <w:szCs w:val="20"/>
              </w:rPr>
              <w:t xml:space="preserve"> trained through a six-week online course on periodic reporting</w:t>
            </w:r>
            <w:r w:rsidRPr="00A854F4">
              <w:rPr>
                <w:rFonts w:ascii="Arial" w:eastAsia="Calibri" w:hAnsi="Arial" w:cs="Arial"/>
                <w:sz w:val="20"/>
                <w:szCs w:val="20"/>
              </w:rPr>
              <w:t>.</w:t>
            </w:r>
            <w:r w:rsidR="00724AAD" w:rsidRPr="00A854F4">
              <w:rPr>
                <w:rFonts w:ascii="Arial" w:eastAsia="Calibri" w:hAnsi="Arial" w:cs="Arial"/>
                <w:sz w:val="20"/>
                <w:szCs w:val="20"/>
              </w:rPr>
              <w:t xml:space="preserve"> </w:t>
            </w:r>
            <w:r w:rsidRPr="00A854F4">
              <w:rPr>
                <w:rFonts w:ascii="Arial" w:eastAsia="Calibri" w:hAnsi="Arial" w:cs="Arial"/>
                <w:sz w:val="20"/>
                <w:szCs w:val="20"/>
              </w:rPr>
              <w:t>D</w:t>
            </w:r>
            <w:r w:rsidR="00724AAD" w:rsidRPr="00A854F4">
              <w:rPr>
                <w:rFonts w:ascii="Arial" w:eastAsia="Calibri" w:hAnsi="Arial" w:cs="Arial"/>
                <w:sz w:val="20"/>
                <w:szCs w:val="20"/>
              </w:rPr>
              <w:t xml:space="preserve">ue to the restrictions of the COVID-19 pandemic, the </w:t>
            </w:r>
            <w:r w:rsidR="00724AAD" w:rsidRPr="009C63AA">
              <w:rPr>
                <w:rFonts w:ascii="Arial" w:hAnsi="Arial" w:cs="Arial"/>
                <w:sz w:val="20"/>
                <w:szCs w:val="20"/>
              </w:rPr>
              <w:t xml:space="preserve">training workshop was redesigned for a fully online format and merged with the training for senior facilitators in </w:t>
            </w:r>
            <w:r w:rsidR="00777845" w:rsidRPr="009C63AA">
              <w:rPr>
                <w:rFonts w:ascii="Arial" w:hAnsi="Arial" w:cs="Arial"/>
                <w:sz w:val="20"/>
                <w:szCs w:val="20"/>
              </w:rPr>
              <w:t>the same region</w:t>
            </w:r>
            <w:r w:rsidR="00724AAD" w:rsidRPr="009C63AA">
              <w:rPr>
                <w:rFonts w:ascii="Arial" w:hAnsi="Arial" w:cs="Arial"/>
                <w:sz w:val="20"/>
                <w:szCs w:val="20"/>
              </w:rPr>
              <w:t>.</w:t>
            </w:r>
          </w:p>
          <w:p w14:paraId="618F40FF" w14:textId="008C0ED9"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lastRenderedPageBreak/>
              <w:t>Training materials on periodic reporting and policy development translated to be made available in three languages</w:t>
            </w:r>
            <w:r w:rsidR="00D06236" w:rsidRPr="00A854F4">
              <w:rPr>
                <w:rFonts w:ascii="Arial" w:eastAsia="Calibri" w:hAnsi="Arial" w:cs="Arial"/>
                <w:sz w:val="20"/>
                <w:szCs w:val="20"/>
              </w:rPr>
              <w:t xml:space="preserve"> (English, French and Spanish)</w:t>
            </w:r>
            <w:r w:rsidRPr="00A854F4">
              <w:rPr>
                <w:rFonts w:ascii="Arial" w:eastAsia="Calibri" w:hAnsi="Arial" w:cs="Arial"/>
                <w:sz w:val="20"/>
                <w:szCs w:val="20"/>
              </w:rPr>
              <w:t>. Initiating the reorientation of the global capacity-building programme to a multi-modal approach (fully online, hybrid, in-person/blended) by developing a strategy and conducting pilot activities for its implementation (ongoing)</w:t>
            </w:r>
            <w:r w:rsidR="00777845" w:rsidRPr="00A854F4">
              <w:rPr>
                <w:rFonts w:ascii="Arial" w:eastAsia="Calibri" w:hAnsi="Arial" w:cs="Arial"/>
                <w:sz w:val="20"/>
                <w:szCs w:val="20"/>
              </w:rPr>
              <w:t>.</w:t>
            </w:r>
          </w:p>
          <w:p w14:paraId="4FBD59D7" w14:textId="2D7E40D7" w:rsidR="00724AAD"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Partnerships with category 2 centres intensified to expand programme outreach</w:t>
            </w:r>
            <w:r w:rsidR="00777845" w:rsidRPr="00A854F4">
              <w:rPr>
                <w:rFonts w:ascii="Arial" w:eastAsia="Calibri" w:hAnsi="Arial" w:cs="Arial"/>
                <w:sz w:val="20"/>
                <w:szCs w:val="20"/>
              </w:rPr>
              <w:t>.</w:t>
            </w:r>
            <w:r w:rsidRPr="00A854F4">
              <w:rPr>
                <w:rFonts w:ascii="Arial" w:eastAsia="Calibri" w:hAnsi="Arial" w:cs="Arial"/>
                <w:sz w:val="20"/>
                <w:szCs w:val="20"/>
              </w:rPr>
              <w:t xml:space="preserve"> </w:t>
            </w:r>
            <w:r w:rsidR="00777845" w:rsidRPr="00A854F4">
              <w:rPr>
                <w:rFonts w:ascii="Arial" w:eastAsia="Calibri" w:hAnsi="Arial" w:cs="Arial"/>
                <w:sz w:val="20"/>
                <w:szCs w:val="20"/>
              </w:rPr>
              <w:t>O</w:t>
            </w:r>
            <w:r w:rsidRPr="00A854F4">
              <w:rPr>
                <w:rFonts w:ascii="Arial" w:eastAsia="Calibri" w:hAnsi="Arial" w:cs="Arial"/>
                <w:sz w:val="20"/>
                <w:szCs w:val="20"/>
              </w:rPr>
              <w:t>ther organization</w:t>
            </w:r>
            <w:r w:rsidR="00777845" w:rsidRPr="00A854F4">
              <w:rPr>
                <w:rFonts w:ascii="Arial" w:eastAsia="Calibri" w:hAnsi="Arial" w:cs="Arial"/>
                <w:sz w:val="20"/>
                <w:szCs w:val="20"/>
              </w:rPr>
              <w:t>s</w:t>
            </w:r>
            <w:r w:rsidRPr="00A854F4">
              <w:rPr>
                <w:rFonts w:ascii="Arial" w:eastAsia="Calibri" w:hAnsi="Arial" w:cs="Arial"/>
                <w:sz w:val="20"/>
                <w:szCs w:val="20"/>
              </w:rPr>
              <w:t xml:space="preserve"> working in the field of culture and heritage </w:t>
            </w:r>
            <w:r w:rsidR="00777845" w:rsidRPr="00A854F4">
              <w:rPr>
                <w:rFonts w:ascii="Arial" w:eastAsia="Calibri" w:hAnsi="Arial" w:cs="Arial"/>
                <w:sz w:val="20"/>
                <w:szCs w:val="20"/>
              </w:rPr>
              <w:t>were identified as potential</w:t>
            </w:r>
            <w:r w:rsidRPr="00A854F4">
              <w:rPr>
                <w:rFonts w:ascii="Arial" w:eastAsia="Calibri" w:hAnsi="Arial" w:cs="Arial"/>
                <w:sz w:val="20"/>
                <w:szCs w:val="20"/>
              </w:rPr>
              <w:t xml:space="preserve"> strategic partners, such as</w:t>
            </w:r>
            <w:r w:rsidR="00D06236" w:rsidRPr="00A854F4">
              <w:rPr>
                <w:rFonts w:ascii="Arial" w:eastAsia="Calibri" w:hAnsi="Arial" w:cs="Arial"/>
                <w:sz w:val="20"/>
                <w:szCs w:val="20"/>
              </w:rPr>
              <w:t xml:space="preserve"> the</w:t>
            </w:r>
            <w:r w:rsidRPr="00A854F4">
              <w:rPr>
                <w:rFonts w:ascii="Arial" w:eastAsia="Calibri" w:hAnsi="Arial" w:cs="Arial"/>
                <w:sz w:val="20"/>
                <w:szCs w:val="20"/>
              </w:rPr>
              <w:t xml:space="preserve"> International Centre for the Study of the Preservation and Restoration of Cultural Property (ICCROM)</w:t>
            </w:r>
            <w:r w:rsidR="00777845" w:rsidRPr="00A854F4">
              <w:rPr>
                <w:rFonts w:ascii="Arial" w:eastAsia="Calibri" w:hAnsi="Arial" w:cs="Arial"/>
                <w:sz w:val="20"/>
                <w:szCs w:val="20"/>
              </w:rPr>
              <w:t>.</w:t>
            </w:r>
          </w:p>
          <w:p w14:paraId="2E2C79D4" w14:textId="14FCFE3F" w:rsidR="002D2725" w:rsidRPr="00A05144" w:rsidRDefault="004434A3" w:rsidP="004434A3">
            <w:pPr>
              <w:numPr>
                <w:ilvl w:val="0"/>
                <w:numId w:val="10"/>
              </w:numPr>
              <w:spacing w:before="60" w:after="60"/>
              <w:ind w:left="357" w:hanging="357"/>
              <w:jc w:val="both"/>
              <w:rPr>
                <w:rFonts w:ascii="Arial" w:eastAsia="Calibri" w:hAnsi="Arial" w:cs="Arial"/>
                <w:sz w:val="20"/>
                <w:szCs w:val="20"/>
              </w:rPr>
            </w:pPr>
            <w:r>
              <w:rPr>
                <w:rFonts w:ascii="Arial" w:eastAsia="Calibri" w:hAnsi="Arial" w:cs="Arial"/>
                <w:sz w:val="20"/>
                <w:szCs w:val="20"/>
              </w:rPr>
              <w:t>Facilitators’ network webpage and materials browser maintained.</w:t>
            </w:r>
          </w:p>
        </w:tc>
        <w:tc>
          <w:tcPr>
            <w:tcW w:w="2980" w:type="dxa"/>
            <w:shd w:val="clear" w:color="auto" w:fill="auto"/>
          </w:tcPr>
          <w:p w14:paraId="17338304" w14:textId="77777777" w:rsidR="00A4197B" w:rsidRPr="00A854F4" w:rsidRDefault="00724AAD" w:rsidP="003E022D">
            <w:pPr>
              <w:spacing w:before="320" w:after="0"/>
              <w:jc w:val="center"/>
              <w:rPr>
                <w:rFonts w:ascii="Arial" w:eastAsia="Calibri" w:hAnsi="Arial" w:cs="Arial"/>
                <w:sz w:val="20"/>
                <w:szCs w:val="20"/>
              </w:rPr>
            </w:pPr>
            <w:r w:rsidRPr="00A854F4">
              <w:rPr>
                <w:rFonts w:ascii="Arial" w:eastAsia="Calibri" w:hAnsi="Arial" w:cs="Arial"/>
                <w:sz w:val="20"/>
                <w:szCs w:val="20"/>
              </w:rPr>
              <w:lastRenderedPageBreak/>
              <w:t xml:space="preserve">Partially accomplished </w:t>
            </w:r>
          </w:p>
          <w:p w14:paraId="7082442C" w14:textId="77777777" w:rsidR="00724AAD" w:rsidRDefault="00724AAD" w:rsidP="003E022D">
            <w:pPr>
              <w:spacing w:after="0"/>
              <w:jc w:val="center"/>
              <w:rPr>
                <w:rFonts w:ascii="Arial" w:eastAsia="Calibri" w:hAnsi="Arial" w:cs="Arial"/>
                <w:sz w:val="20"/>
                <w:szCs w:val="20"/>
              </w:rPr>
            </w:pPr>
            <w:r w:rsidRPr="00A854F4">
              <w:rPr>
                <w:rFonts w:ascii="Arial" w:eastAsia="Calibri" w:hAnsi="Arial" w:cs="Arial"/>
                <w:sz w:val="20"/>
                <w:szCs w:val="20"/>
              </w:rPr>
              <w:t>(on-going)</w:t>
            </w:r>
          </w:p>
          <w:p w14:paraId="1931F41F" w14:textId="77777777" w:rsidR="004434A3" w:rsidRDefault="004434A3" w:rsidP="003E022D">
            <w:pPr>
              <w:spacing w:after="0"/>
              <w:jc w:val="center"/>
              <w:rPr>
                <w:rFonts w:ascii="Arial" w:eastAsia="Calibri" w:hAnsi="Arial" w:cs="Arial"/>
                <w:sz w:val="20"/>
                <w:szCs w:val="20"/>
              </w:rPr>
            </w:pPr>
          </w:p>
          <w:p w14:paraId="3810D9C6" w14:textId="77777777" w:rsidR="004434A3" w:rsidRDefault="004434A3" w:rsidP="003E022D">
            <w:pPr>
              <w:spacing w:after="0"/>
              <w:jc w:val="center"/>
              <w:rPr>
                <w:rFonts w:ascii="Arial" w:eastAsia="Calibri" w:hAnsi="Arial" w:cs="Arial"/>
                <w:sz w:val="20"/>
                <w:szCs w:val="20"/>
              </w:rPr>
            </w:pPr>
          </w:p>
          <w:p w14:paraId="24CFF47E" w14:textId="77777777" w:rsidR="004434A3" w:rsidRDefault="004434A3" w:rsidP="003E022D">
            <w:pPr>
              <w:spacing w:after="0"/>
              <w:jc w:val="center"/>
              <w:rPr>
                <w:rFonts w:ascii="Arial" w:eastAsia="Calibri" w:hAnsi="Arial" w:cs="Arial"/>
                <w:sz w:val="20"/>
                <w:szCs w:val="20"/>
              </w:rPr>
            </w:pPr>
          </w:p>
          <w:p w14:paraId="220687AE" w14:textId="77777777" w:rsidR="004434A3" w:rsidRDefault="004434A3" w:rsidP="003E022D">
            <w:pPr>
              <w:spacing w:after="0"/>
              <w:jc w:val="center"/>
              <w:rPr>
                <w:rFonts w:ascii="Arial" w:eastAsia="Calibri" w:hAnsi="Arial" w:cs="Arial"/>
                <w:sz w:val="20"/>
                <w:szCs w:val="20"/>
              </w:rPr>
            </w:pPr>
          </w:p>
          <w:p w14:paraId="7E5D3CB9" w14:textId="77777777" w:rsidR="004434A3" w:rsidRDefault="004434A3" w:rsidP="003E022D">
            <w:pPr>
              <w:spacing w:after="0"/>
              <w:jc w:val="center"/>
              <w:rPr>
                <w:rFonts w:ascii="Arial" w:eastAsia="Calibri" w:hAnsi="Arial" w:cs="Arial"/>
                <w:sz w:val="20"/>
                <w:szCs w:val="20"/>
              </w:rPr>
            </w:pPr>
          </w:p>
          <w:p w14:paraId="53F7E93D" w14:textId="77777777" w:rsidR="004434A3" w:rsidRDefault="004434A3" w:rsidP="003E022D">
            <w:pPr>
              <w:spacing w:after="0"/>
              <w:jc w:val="center"/>
              <w:rPr>
                <w:rFonts w:ascii="Arial" w:eastAsia="Calibri" w:hAnsi="Arial" w:cs="Arial"/>
                <w:sz w:val="20"/>
                <w:szCs w:val="20"/>
              </w:rPr>
            </w:pPr>
          </w:p>
          <w:p w14:paraId="000D3853" w14:textId="77777777" w:rsidR="004434A3" w:rsidRDefault="004434A3" w:rsidP="003E022D">
            <w:pPr>
              <w:spacing w:after="0"/>
              <w:jc w:val="center"/>
              <w:rPr>
                <w:rFonts w:ascii="Arial" w:eastAsia="Calibri" w:hAnsi="Arial" w:cs="Arial"/>
                <w:sz w:val="20"/>
                <w:szCs w:val="20"/>
              </w:rPr>
            </w:pPr>
          </w:p>
          <w:p w14:paraId="77EC5E28" w14:textId="77777777" w:rsidR="004434A3" w:rsidRDefault="004434A3" w:rsidP="00A05144">
            <w:pPr>
              <w:spacing w:after="0"/>
              <w:rPr>
                <w:rFonts w:ascii="Arial" w:eastAsia="Calibri" w:hAnsi="Arial" w:cs="Arial"/>
                <w:sz w:val="20"/>
                <w:szCs w:val="20"/>
              </w:rPr>
            </w:pPr>
          </w:p>
          <w:p w14:paraId="7B4A82FE" w14:textId="6B0FA7CA" w:rsidR="004434A3" w:rsidRPr="00A854F4" w:rsidRDefault="004434A3" w:rsidP="004434A3">
            <w:pPr>
              <w:spacing w:after="0"/>
              <w:jc w:val="center"/>
              <w:rPr>
                <w:rFonts w:ascii="Arial" w:eastAsia="Calibri" w:hAnsi="Arial" w:cs="Arial"/>
                <w:sz w:val="20"/>
                <w:szCs w:val="20"/>
              </w:rPr>
            </w:pPr>
          </w:p>
        </w:tc>
      </w:tr>
      <w:tr w:rsidR="00724AAD" w:rsidRPr="00A854F4" w14:paraId="516F01F2" w14:textId="77777777" w:rsidTr="00C35DA5">
        <w:trPr>
          <w:jc w:val="center"/>
        </w:trPr>
        <w:tc>
          <w:tcPr>
            <w:tcW w:w="6658" w:type="dxa"/>
            <w:shd w:val="clear" w:color="auto" w:fill="auto"/>
          </w:tcPr>
          <w:p w14:paraId="5E0D417F" w14:textId="61F7AA97" w:rsidR="00724AAD" w:rsidRPr="002D2725" w:rsidRDefault="00724AAD" w:rsidP="00322AB8">
            <w:pPr>
              <w:spacing w:before="60" w:after="60"/>
              <w:jc w:val="both"/>
              <w:rPr>
                <w:rFonts w:ascii="Arial" w:eastAsia="Calibri" w:hAnsi="Arial" w:cs="Arial"/>
                <w:b/>
                <w:bCs/>
                <w:sz w:val="20"/>
                <w:szCs w:val="20"/>
              </w:rPr>
            </w:pPr>
            <w:r w:rsidRPr="002D2725">
              <w:rPr>
                <w:rFonts w:ascii="Arial" w:eastAsia="Calibri" w:hAnsi="Arial" w:cs="Arial"/>
                <w:b/>
                <w:bCs/>
                <w:sz w:val="20"/>
                <w:szCs w:val="20"/>
              </w:rPr>
              <w:lastRenderedPageBreak/>
              <w:t>Networking and partnerships with tertiary educational institutions strengthened</w:t>
            </w:r>
          </w:p>
          <w:p w14:paraId="3D969933" w14:textId="4539551F" w:rsidR="00724AAD" w:rsidRPr="002D2725" w:rsidRDefault="00D06236">
            <w:pPr>
              <w:numPr>
                <w:ilvl w:val="0"/>
                <w:numId w:val="10"/>
              </w:numPr>
              <w:spacing w:before="60" w:after="60"/>
              <w:ind w:left="357" w:hanging="357"/>
              <w:jc w:val="both"/>
              <w:rPr>
                <w:rFonts w:ascii="Arial" w:eastAsia="Calibri" w:hAnsi="Arial" w:cs="Arial"/>
                <w:sz w:val="20"/>
                <w:szCs w:val="20"/>
              </w:rPr>
            </w:pPr>
            <w:r w:rsidRPr="002D2725">
              <w:rPr>
                <w:rFonts w:ascii="Arial" w:eastAsia="Calibri" w:hAnsi="Arial" w:cs="Arial"/>
                <w:sz w:val="20"/>
                <w:szCs w:val="20"/>
              </w:rPr>
              <w:t xml:space="preserve">Thirty-nine </w:t>
            </w:r>
            <w:r w:rsidR="00724AAD" w:rsidRPr="002D2725">
              <w:rPr>
                <w:rFonts w:ascii="Arial" w:eastAsia="Calibri" w:hAnsi="Arial" w:cs="Arial"/>
                <w:sz w:val="20"/>
                <w:szCs w:val="20"/>
              </w:rPr>
              <w:t xml:space="preserve">additional universities engaged in networking through a survey in the Arab States (following similar activities in Africa, Asia and the Pacific and Latin America and the Caribbean). </w:t>
            </w:r>
          </w:p>
          <w:p w14:paraId="5580213A" w14:textId="534325A3" w:rsidR="00724AAD" w:rsidRPr="00A854F4" w:rsidRDefault="00777845">
            <w:pPr>
              <w:numPr>
                <w:ilvl w:val="0"/>
                <w:numId w:val="10"/>
              </w:numPr>
              <w:spacing w:before="60" w:after="60"/>
              <w:ind w:left="357" w:hanging="357"/>
              <w:jc w:val="both"/>
              <w:rPr>
                <w:rFonts w:ascii="Arial" w:eastAsia="Calibri" w:hAnsi="Arial" w:cs="Arial"/>
                <w:sz w:val="20"/>
                <w:szCs w:val="20"/>
              </w:rPr>
            </w:pPr>
            <w:r w:rsidRPr="002D2725">
              <w:rPr>
                <w:rFonts w:ascii="Arial" w:eastAsia="Calibri" w:hAnsi="Arial" w:cs="Arial"/>
                <w:sz w:val="20"/>
                <w:szCs w:val="20"/>
              </w:rPr>
              <w:t>C</w:t>
            </w:r>
            <w:r w:rsidR="00724AAD" w:rsidRPr="002D2725">
              <w:rPr>
                <w:rFonts w:ascii="Arial" w:eastAsia="Calibri" w:hAnsi="Arial" w:cs="Arial"/>
                <w:sz w:val="20"/>
                <w:szCs w:val="20"/>
              </w:rPr>
              <w:t xml:space="preserve">ontent for a first introductory six-week Massive Open Online Course (MOOC) on Living heritage and sustainable development </w:t>
            </w:r>
            <w:r w:rsidR="00D06236" w:rsidRPr="002D2725">
              <w:rPr>
                <w:rFonts w:ascii="Arial" w:eastAsia="Calibri" w:hAnsi="Arial" w:cs="Arial"/>
                <w:sz w:val="20"/>
                <w:szCs w:val="20"/>
              </w:rPr>
              <w:t xml:space="preserve">created </w:t>
            </w:r>
            <w:r w:rsidR="00724AAD" w:rsidRPr="002D2725">
              <w:rPr>
                <w:rFonts w:ascii="Arial" w:eastAsia="Calibri" w:hAnsi="Arial" w:cs="Arial"/>
                <w:sz w:val="20"/>
                <w:szCs w:val="20"/>
              </w:rPr>
              <w:t xml:space="preserve">in collaboration with </w:t>
            </w:r>
            <w:r w:rsidRPr="002D2725">
              <w:rPr>
                <w:rFonts w:ascii="Arial" w:eastAsia="Calibri" w:hAnsi="Arial" w:cs="Arial"/>
                <w:sz w:val="20"/>
                <w:szCs w:val="20"/>
              </w:rPr>
              <w:t xml:space="preserve">twelve </w:t>
            </w:r>
            <w:r w:rsidR="00724AAD" w:rsidRPr="002D2725">
              <w:rPr>
                <w:rFonts w:ascii="Arial" w:eastAsia="Calibri" w:hAnsi="Arial" w:cs="Arial"/>
                <w:sz w:val="20"/>
                <w:szCs w:val="20"/>
              </w:rPr>
              <w:t>instructors</w:t>
            </w:r>
            <w:r w:rsidR="00D06236" w:rsidRPr="002D2725">
              <w:rPr>
                <w:rFonts w:ascii="Arial" w:eastAsia="Calibri" w:hAnsi="Arial" w:cs="Arial"/>
                <w:sz w:val="20"/>
                <w:szCs w:val="20"/>
              </w:rPr>
              <w:t>,</w:t>
            </w:r>
            <w:r w:rsidR="00724AAD" w:rsidRPr="002D2725">
              <w:rPr>
                <w:rFonts w:ascii="Arial" w:eastAsia="Calibri" w:hAnsi="Arial" w:cs="Arial"/>
                <w:sz w:val="20"/>
                <w:szCs w:val="20"/>
              </w:rPr>
              <w:t xml:space="preserve"> a lead faculty</w:t>
            </w:r>
            <w:r w:rsidR="00D06236" w:rsidRPr="002D2725">
              <w:rPr>
                <w:rFonts w:ascii="Arial" w:eastAsia="Calibri" w:hAnsi="Arial" w:cs="Arial"/>
                <w:sz w:val="20"/>
                <w:szCs w:val="20"/>
              </w:rPr>
              <w:t xml:space="preserve"> member and</w:t>
            </w:r>
            <w:r w:rsidR="00724AAD" w:rsidRPr="002D2725">
              <w:rPr>
                <w:rFonts w:ascii="Arial" w:eastAsia="Calibri" w:hAnsi="Arial" w:cs="Arial"/>
                <w:sz w:val="20"/>
                <w:szCs w:val="20"/>
              </w:rPr>
              <w:t xml:space="preserve"> the</w:t>
            </w:r>
            <w:r w:rsidR="00724AAD" w:rsidRPr="00A854F4">
              <w:rPr>
                <w:rFonts w:ascii="Arial" w:eastAsia="Calibri" w:hAnsi="Arial" w:cs="Arial"/>
                <w:sz w:val="20"/>
                <w:szCs w:val="20"/>
              </w:rPr>
              <w:t xml:space="preserve"> UNESCO University Chair in Research on Intangible Cultural Heritage</w:t>
            </w:r>
            <w:r w:rsidR="00D06236" w:rsidRPr="00A854F4">
              <w:rPr>
                <w:rFonts w:ascii="Arial" w:eastAsia="Calibri" w:hAnsi="Arial" w:cs="Arial"/>
                <w:sz w:val="20"/>
                <w:szCs w:val="20"/>
              </w:rPr>
              <w:t xml:space="preserve"> of the</w:t>
            </w:r>
            <w:r w:rsidR="00724AAD" w:rsidRPr="00A854F4">
              <w:rPr>
                <w:rFonts w:ascii="Arial" w:eastAsia="Calibri" w:hAnsi="Arial" w:cs="Arial"/>
                <w:sz w:val="20"/>
                <w:szCs w:val="20"/>
              </w:rPr>
              <w:t xml:space="preserve"> Autonomous University of Mexico. The production process is ongoing in partnership with ICHCAP and the </w:t>
            </w:r>
            <w:r w:rsidR="00D06236" w:rsidRPr="00A854F4">
              <w:rPr>
                <w:rFonts w:ascii="Arial" w:eastAsia="Calibri" w:hAnsi="Arial" w:cs="Arial"/>
                <w:sz w:val="20"/>
                <w:szCs w:val="20"/>
              </w:rPr>
              <w:t>Sustainable Development Goal (</w:t>
            </w:r>
            <w:r w:rsidR="00724AAD" w:rsidRPr="00A854F4">
              <w:rPr>
                <w:rFonts w:ascii="Arial" w:eastAsia="Calibri" w:hAnsi="Arial" w:cs="Arial"/>
                <w:sz w:val="20"/>
                <w:szCs w:val="20"/>
              </w:rPr>
              <w:t>SDG</w:t>
            </w:r>
            <w:r w:rsidR="00D06236" w:rsidRPr="00A854F4">
              <w:rPr>
                <w:rFonts w:ascii="Arial" w:eastAsia="Calibri" w:hAnsi="Arial" w:cs="Arial"/>
                <w:sz w:val="20"/>
                <w:szCs w:val="20"/>
              </w:rPr>
              <w:t>)</w:t>
            </w:r>
            <w:r w:rsidR="00724AAD" w:rsidRPr="00A854F4">
              <w:rPr>
                <w:rFonts w:ascii="Arial" w:eastAsia="Calibri" w:hAnsi="Arial" w:cs="Arial"/>
                <w:sz w:val="20"/>
                <w:szCs w:val="20"/>
              </w:rPr>
              <w:t xml:space="preserve"> Academy</w:t>
            </w:r>
            <w:r w:rsidR="00D06236" w:rsidRPr="00A854F4">
              <w:rPr>
                <w:rFonts w:ascii="Arial" w:eastAsia="Calibri" w:hAnsi="Arial" w:cs="Arial"/>
                <w:sz w:val="20"/>
                <w:szCs w:val="20"/>
              </w:rPr>
              <w:t>,</w:t>
            </w:r>
            <w:r w:rsidR="00724AAD" w:rsidRPr="00A854F4">
              <w:rPr>
                <w:rFonts w:ascii="Arial" w:eastAsia="Calibri" w:hAnsi="Arial" w:cs="Arial"/>
                <w:sz w:val="20"/>
                <w:szCs w:val="20"/>
              </w:rPr>
              <w:t xml:space="preserve"> which will be hosting the course on its platform.</w:t>
            </w:r>
          </w:p>
          <w:p w14:paraId="2F8796E5" w14:textId="14C4F405" w:rsidR="00724AAD" w:rsidRPr="00A854F4" w:rsidRDefault="00777845">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D</w:t>
            </w:r>
            <w:r w:rsidR="00724AAD" w:rsidRPr="00A854F4">
              <w:rPr>
                <w:rFonts w:ascii="Arial" w:eastAsia="Calibri" w:hAnsi="Arial" w:cs="Arial"/>
                <w:sz w:val="20"/>
                <w:szCs w:val="20"/>
              </w:rPr>
              <w:t>ata management and public interface in the field of higher education and research actors</w:t>
            </w:r>
            <w:r w:rsidRPr="00A854F4">
              <w:rPr>
                <w:rFonts w:ascii="Arial" w:eastAsia="Calibri" w:hAnsi="Arial" w:cs="Arial"/>
                <w:sz w:val="20"/>
                <w:szCs w:val="20"/>
              </w:rPr>
              <w:t xml:space="preserve"> improved</w:t>
            </w:r>
            <w:r w:rsidR="00724AAD" w:rsidRPr="00A854F4">
              <w:rPr>
                <w:rFonts w:ascii="Arial" w:eastAsia="Calibri" w:hAnsi="Arial" w:cs="Arial"/>
                <w:sz w:val="20"/>
                <w:szCs w:val="20"/>
              </w:rPr>
              <w:t xml:space="preserve"> to strengthen partnerships</w:t>
            </w:r>
            <w:r w:rsidRPr="00A854F4">
              <w:rPr>
                <w:rFonts w:ascii="Arial" w:eastAsia="Calibri" w:hAnsi="Arial" w:cs="Arial"/>
                <w:sz w:val="20"/>
                <w:szCs w:val="20"/>
              </w:rPr>
              <w:t>.</w:t>
            </w:r>
          </w:p>
        </w:tc>
        <w:tc>
          <w:tcPr>
            <w:tcW w:w="2980" w:type="dxa"/>
          </w:tcPr>
          <w:p w14:paraId="63840941" w14:textId="77777777" w:rsidR="002D2725" w:rsidRDefault="002D2725" w:rsidP="00C35DA5">
            <w:pPr>
              <w:spacing w:before="320" w:after="60"/>
              <w:jc w:val="center"/>
              <w:rPr>
                <w:rFonts w:ascii="Arial" w:eastAsia="Calibri" w:hAnsi="Arial" w:cs="Arial"/>
                <w:sz w:val="20"/>
                <w:szCs w:val="20"/>
              </w:rPr>
            </w:pPr>
          </w:p>
          <w:p w14:paraId="258AEC16" w14:textId="77777777" w:rsidR="002D2725" w:rsidRDefault="002D2725" w:rsidP="00C35DA5">
            <w:pPr>
              <w:spacing w:before="320" w:after="60"/>
              <w:jc w:val="center"/>
              <w:rPr>
                <w:rFonts w:ascii="Arial" w:eastAsia="Calibri" w:hAnsi="Arial" w:cs="Arial"/>
                <w:sz w:val="20"/>
                <w:szCs w:val="20"/>
              </w:rPr>
            </w:pPr>
          </w:p>
          <w:p w14:paraId="0D41547A" w14:textId="56C3B114" w:rsidR="00105CF8" w:rsidRPr="00A854F4" w:rsidRDefault="00724AAD" w:rsidP="002D2725">
            <w:pPr>
              <w:spacing w:before="320" w:after="60"/>
              <w:jc w:val="center"/>
              <w:rPr>
                <w:rFonts w:ascii="Arial" w:eastAsia="Calibri" w:hAnsi="Arial" w:cs="Arial"/>
                <w:sz w:val="20"/>
                <w:szCs w:val="20"/>
              </w:rPr>
            </w:pPr>
            <w:r w:rsidRPr="00A854F4">
              <w:rPr>
                <w:rFonts w:ascii="Arial" w:eastAsia="Calibri" w:hAnsi="Arial" w:cs="Arial"/>
                <w:sz w:val="20"/>
                <w:szCs w:val="20"/>
              </w:rPr>
              <w:t>Partially accomplished</w:t>
            </w:r>
          </w:p>
          <w:p w14:paraId="7FB4AD73" w14:textId="183390A9" w:rsidR="00724AAD" w:rsidRPr="00A854F4" w:rsidRDefault="00724AAD" w:rsidP="002D2725">
            <w:pPr>
              <w:spacing w:after="60"/>
              <w:jc w:val="center"/>
              <w:rPr>
                <w:rFonts w:ascii="Arial" w:eastAsia="Calibri" w:hAnsi="Arial" w:cs="Arial"/>
                <w:sz w:val="20"/>
                <w:szCs w:val="20"/>
              </w:rPr>
            </w:pPr>
            <w:r w:rsidRPr="00A854F4">
              <w:rPr>
                <w:rFonts w:ascii="Arial" w:eastAsia="Calibri" w:hAnsi="Arial" w:cs="Arial"/>
                <w:sz w:val="20"/>
                <w:szCs w:val="20"/>
              </w:rPr>
              <w:t>(on-going)</w:t>
            </w:r>
          </w:p>
        </w:tc>
      </w:tr>
    </w:tbl>
    <w:p w14:paraId="2AAA93C8" w14:textId="77777777" w:rsidR="00724AAD" w:rsidRPr="00A854F4" w:rsidRDefault="00724AAD" w:rsidP="00724AAD">
      <w:pPr>
        <w:pStyle w:val="ListParagraph"/>
        <w:keepNext/>
        <w:numPr>
          <w:ilvl w:val="0"/>
          <w:numId w:val="14"/>
        </w:numPr>
        <w:spacing w:before="240"/>
        <w:ind w:left="284" w:hanging="284"/>
        <w:rPr>
          <w:rFonts w:ascii="Arial" w:hAnsi="Arial" w:cs="Arial"/>
          <w:b/>
          <w:sz w:val="22"/>
          <w:szCs w:val="22"/>
          <w:lang w:val="en-GB"/>
        </w:rPr>
      </w:pPr>
      <w:r w:rsidRPr="00A854F4">
        <w:rPr>
          <w:rFonts w:ascii="Arial" w:hAnsi="Arial" w:cs="Arial"/>
          <w:b/>
          <w:sz w:val="22"/>
          <w:szCs w:val="22"/>
          <w:lang w:val="en-GB"/>
        </w:rPr>
        <w:t>Challenges and risks in implementation and remedial actions (2020/2021)</w:t>
      </w:r>
    </w:p>
    <w:p w14:paraId="6CF42496" w14:textId="77777777" w:rsidR="00724AAD" w:rsidRPr="00A854F4" w:rsidRDefault="00724AAD" w:rsidP="00724AAD">
      <w:pPr>
        <w:pStyle w:val="ListParagraph"/>
        <w:keepNext/>
        <w:spacing w:before="240"/>
        <w:rPr>
          <w:rFonts w:ascii="Arial" w:hAnsi="Arial" w:cs="Arial"/>
          <w:b/>
          <w:szCs w:val="22"/>
          <w:lang w:val="en-G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724AAD" w:rsidRPr="00A854F4" w14:paraId="03620A75" w14:textId="77777777" w:rsidTr="00C35DA5">
        <w:trPr>
          <w:tblHeader/>
          <w:jc w:val="center"/>
        </w:trPr>
        <w:tc>
          <w:tcPr>
            <w:tcW w:w="2500" w:type="pct"/>
            <w:shd w:val="clear" w:color="auto" w:fill="D9D9D9"/>
            <w:vAlign w:val="center"/>
          </w:tcPr>
          <w:p w14:paraId="6D2C92E3" w14:textId="77777777" w:rsidR="00724AAD" w:rsidRPr="00A854F4" w:rsidRDefault="00724AAD" w:rsidP="00C35DA5">
            <w:pPr>
              <w:keepNext/>
              <w:spacing w:before="60" w:after="60"/>
              <w:jc w:val="center"/>
              <w:rPr>
                <w:rFonts w:ascii="Arial" w:hAnsi="Arial" w:cs="Arial"/>
                <w:b/>
                <w:sz w:val="20"/>
                <w:szCs w:val="20"/>
              </w:rPr>
            </w:pPr>
            <w:r w:rsidRPr="00A854F4">
              <w:rPr>
                <w:rFonts w:ascii="Arial" w:hAnsi="Arial" w:cs="Arial"/>
                <w:b/>
                <w:sz w:val="20"/>
                <w:szCs w:val="20"/>
              </w:rPr>
              <w:t>Key challenges</w:t>
            </w:r>
          </w:p>
        </w:tc>
        <w:tc>
          <w:tcPr>
            <w:tcW w:w="2500" w:type="pct"/>
            <w:shd w:val="clear" w:color="auto" w:fill="D9D9D9"/>
            <w:vAlign w:val="center"/>
          </w:tcPr>
          <w:p w14:paraId="620C0D2B" w14:textId="77777777" w:rsidR="00724AAD" w:rsidRPr="00A854F4" w:rsidRDefault="00724AAD" w:rsidP="00C35DA5">
            <w:pPr>
              <w:keepNext/>
              <w:spacing w:before="60" w:after="60"/>
              <w:jc w:val="center"/>
              <w:rPr>
                <w:rFonts w:ascii="Arial" w:hAnsi="Arial" w:cs="Arial"/>
                <w:b/>
                <w:sz w:val="20"/>
                <w:szCs w:val="20"/>
              </w:rPr>
            </w:pPr>
            <w:r w:rsidRPr="00A854F4">
              <w:rPr>
                <w:rFonts w:ascii="Arial" w:hAnsi="Arial" w:cs="Arial"/>
                <w:b/>
                <w:sz w:val="20"/>
                <w:szCs w:val="20"/>
              </w:rPr>
              <w:t>Remedial actions</w:t>
            </w:r>
          </w:p>
        </w:tc>
      </w:tr>
      <w:tr w:rsidR="00724AAD" w:rsidRPr="00A854F4" w14:paraId="37AE9221" w14:textId="77777777" w:rsidTr="00C35DA5">
        <w:trPr>
          <w:jc w:val="center"/>
        </w:trPr>
        <w:tc>
          <w:tcPr>
            <w:tcW w:w="2500" w:type="pct"/>
            <w:shd w:val="clear" w:color="auto" w:fill="auto"/>
          </w:tcPr>
          <w:p w14:paraId="6337EA31" w14:textId="030FECD3" w:rsidR="00724AAD" w:rsidRPr="00A854F4" w:rsidRDefault="00724AAD">
            <w:pPr>
              <w:spacing w:before="60" w:after="60"/>
              <w:jc w:val="both"/>
              <w:rPr>
                <w:rFonts w:ascii="Arial" w:hAnsi="Arial" w:cs="Arial"/>
                <w:sz w:val="20"/>
                <w:szCs w:val="20"/>
              </w:rPr>
            </w:pPr>
            <w:r w:rsidRPr="00A854F4">
              <w:rPr>
                <w:rFonts w:ascii="Arial" w:hAnsi="Arial" w:cs="Arial"/>
                <w:sz w:val="20"/>
                <w:szCs w:val="20"/>
              </w:rPr>
              <w:t>Due to the outbreak of the COVID-19 pandemic and related restrictions, the Secretariat was faced in March 2020 with the impossibility of implementing the planned capacity-building activities for the roll</w:t>
            </w:r>
            <w:r w:rsidR="00662BDB" w:rsidRPr="00A854F4">
              <w:rPr>
                <w:rFonts w:ascii="Arial" w:hAnsi="Arial" w:cs="Arial"/>
                <w:sz w:val="20"/>
                <w:szCs w:val="20"/>
              </w:rPr>
              <w:t>-</w:t>
            </w:r>
            <w:r w:rsidRPr="00A854F4">
              <w:rPr>
                <w:rFonts w:ascii="Arial" w:hAnsi="Arial" w:cs="Arial"/>
                <w:sz w:val="20"/>
                <w:szCs w:val="20"/>
              </w:rPr>
              <w:t xml:space="preserve">out of the </w:t>
            </w:r>
            <w:r w:rsidR="00662BDB" w:rsidRPr="00A854F4">
              <w:rPr>
                <w:rFonts w:ascii="Arial" w:hAnsi="Arial" w:cs="Arial"/>
                <w:sz w:val="20"/>
                <w:szCs w:val="20"/>
              </w:rPr>
              <w:t xml:space="preserve">reformed </w:t>
            </w:r>
            <w:r w:rsidRPr="00A854F4">
              <w:rPr>
                <w:rFonts w:ascii="Arial" w:hAnsi="Arial" w:cs="Arial"/>
                <w:sz w:val="20"/>
                <w:szCs w:val="20"/>
              </w:rPr>
              <w:t xml:space="preserve">periodic reporting </w:t>
            </w:r>
            <w:r w:rsidR="00662BDB" w:rsidRPr="00A854F4">
              <w:rPr>
                <w:rFonts w:ascii="Arial" w:hAnsi="Arial" w:cs="Arial"/>
                <w:sz w:val="20"/>
                <w:szCs w:val="20"/>
              </w:rPr>
              <w:t xml:space="preserve">mechanism </w:t>
            </w:r>
            <w:r w:rsidRPr="00A854F4">
              <w:rPr>
                <w:rFonts w:ascii="Arial" w:hAnsi="Arial" w:cs="Arial"/>
                <w:sz w:val="20"/>
                <w:szCs w:val="20"/>
              </w:rPr>
              <w:t>in Latin America and the Caribbean (the first region to report under the new regional cycle of country reporting), since they had been designed for in-person formats and were thus no longer implementable.</w:t>
            </w:r>
          </w:p>
        </w:tc>
        <w:tc>
          <w:tcPr>
            <w:tcW w:w="2500" w:type="pct"/>
            <w:shd w:val="clear" w:color="auto" w:fill="auto"/>
          </w:tcPr>
          <w:p w14:paraId="732042C6" w14:textId="3A4C3BDE" w:rsidR="00724AAD" w:rsidRPr="00A854F4" w:rsidRDefault="00724AAD">
            <w:pPr>
              <w:spacing w:before="60" w:after="60"/>
              <w:jc w:val="both"/>
              <w:rPr>
                <w:rFonts w:ascii="Arial" w:eastAsia="Calibri" w:hAnsi="Arial" w:cs="Arial"/>
                <w:sz w:val="20"/>
                <w:szCs w:val="20"/>
              </w:rPr>
            </w:pPr>
            <w:r w:rsidRPr="00A854F4">
              <w:rPr>
                <w:rFonts w:ascii="Arial" w:eastAsia="Calibri" w:hAnsi="Arial" w:cs="Arial"/>
                <w:sz w:val="20"/>
                <w:szCs w:val="20"/>
              </w:rPr>
              <w:t xml:space="preserve">To overcome this challenge and ensure timely training on periodic reporting for country focal points in Latin America and the Caribbean, the Secretariat redesigned the three-day in-person workshop that was to be conducted in four different locations into one six-week online course that brought together the </w:t>
            </w:r>
            <w:r w:rsidR="003F1EDB" w:rsidRPr="00A854F4">
              <w:rPr>
                <w:rFonts w:ascii="Arial" w:eastAsia="Calibri" w:hAnsi="Arial" w:cs="Arial"/>
                <w:sz w:val="20"/>
                <w:szCs w:val="20"/>
              </w:rPr>
              <w:t xml:space="preserve">thirty-four </w:t>
            </w:r>
            <w:r w:rsidRPr="00A854F4">
              <w:rPr>
                <w:rFonts w:ascii="Arial" w:eastAsia="Calibri" w:hAnsi="Arial" w:cs="Arial"/>
                <w:sz w:val="20"/>
                <w:szCs w:val="20"/>
              </w:rPr>
              <w:t xml:space="preserve">country focal points from the region as well as </w:t>
            </w:r>
            <w:r w:rsidR="00662BDB" w:rsidRPr="00A854F4">
              <w:rPr>
                <w:rFonts w:ascii="Arial" w:eastAsia="Calibri" w:hAnsi="Arial" w:cs="Arial"/>
                <w:sz w:val="20"/>
                <w:szCs w:val="20"/>
              </w:rPr>
              <w:t xml:space="preserve">seven </w:t>
            </w:r>
            <w:r w:rsidRPr="00A854F4">
              <w:rPr>
                <w:rFonts w:ascii="Arial" w:eastAsia="Calibri" w:hAnsi="Arial" w:cs="Arial"/>
                <w:sz w:val="20"/>
                <w:szCs w:val="20"/>
              </w:rPr>
              <w:t>senior facilitators from the UNESCO network. Developed in record time with senior experts from the network, the online course r</w:t>
            </w:r>
            <w:r w:rsidR="003F1EDB" w:rsidRPr="00A854F4">
              <w:rPr>
                <w:rFonts w:ascii="Arial" w:eastAsia="Calibri" w:hAnsi="Arial" w:cs="Arial"/>
                <w:sz w:val="20"/>
                <w:szCs w:val="20"/>
              </w:rPr>
              <w:t>a</w:t>
            </w:r>
            <w:r w:rsidRPr="00A854F4">
              <w:rPr>
                <w:rFonts w:ascii="Arial" w:eastAsia="Calibri" w:hAnsi="Arial" w:cs="Arial"/>
                <w:sz w:val="20"/>
                <w:szCs w:val="20"/>
              </w:rPr>
              <w:t>n very successfully as reflected in the unprecedented high rate of over 80% of periodic reports submitted by countries in Latin America and the Caribbean.</w:t>
            </w:r>
          </w:p>
        </w:tc>
      </w:tr>
      <w:tr w:rsidR="00724AAD" w:rsidRPr="00A854F4" w14:paraId="73CF641F" w14:textId="77777777" w:rsidTr="00C35DA5">
        <w:trPr>
          <w:jc w:val="center"/>
        </w:trPr>
        <w:tc>
          <w:tcPr>
            <w:tcW w:w="2500" w:type="pct"/>
            <w:shd w:val="clear" w:color="auto" w:fill="auto"/>
          </w:tcPr>
          <w:p w14:paraId="3F28BA8E" w14:textId="199CCCC9" w:rsidR="00724AAD" w:rsidRPr="00A854F4" w:rsidRDefault="00724AAD">
            <w:pPr>
              <w:spacing w:before="60" w:after="60"/>
              <w:jc w:val="both"/>
              <w:rPr>
                <w:rFonts w:ascii="Arial" w:hAnsi="Arial" w:cs="Arial"/>
                <w:sz w:val="20"/>
                <w:szCs w:val="20"/>
              </w:rPr>
            </w:pPr>
            <w:r w:rsidRPr="00A854F4">
              <w:rPr>
                <w:rFonts w:ascii="Arial" w:hAnsi="Arial" w:cs="Arial"/>
                <w:sz w:val="20"/>
                <w:szCs w:val="20"/>
              </w:rPr>
              <w:t xml:space="preserve">Developing and producing self-paced online courses and initiating a reorientation of the capacity-building programme to a multi-modal delivery approach (with fully online, hybrid and in-person/blended formats) has been challenging, because it requires specific skill sets and competencies, which were new for the </w:t>
            </w:r>
            <w:r w:rsidR="00662BDB" w:rsidRPr="00A854F4">
              <w:rPr>
                <w:rFonts w:ascii="Arial" w:hAnsi="Arial" w:cs="Arial"/>
                <w:sz w:val="20"/>
                <w:szCs w:val="20"/>
              </w:rPr>
              <w:t>Secretariat</w:t>
            </w:r>
            <w:r w:rsidRPr="00A854F4">
              <w:rPr>
                <w:rFonts w:ascii="Arial" w:hAnsi="Arial" w:cs="Arial"/>
                <w:sz w:val="20"/>
                <w:szCs w:val="20"/>
              </w:rPr>
              <w:t>.</w:t>
            </w:r>
          </w:p>
        </w:tc>
        <w:tc>
          <w:tcPr>
            <w:tcW w:w="2500" w:type="pct"/>
            <w:shd w:val="clear" w:color="auto" w:fill="auto"/>
          </w:tcPr>
          <w:p w14:paraId="1889A6C4" w14:textId="3035A3A9" w:rsidR="00724AAD" w:rsidRPr="00A854F4" w:rsidRDefault="00724AAD">
            <w:pPr>
              <w:spacing w:before="60" w:after="60"/>
              <w:jc w:val="both"/>
              <w:rPr>
                <w:rFonts w:ascii="Arial" w:hAnsi="Arial" w:cs="Arial"/>
                <w:sz w:val="20"/>
                <w:szCs w:val="20"/>
              </w:rPr>
            </w:pPr>
            <w:r w:rsidRPr="00A854F4">
              <w:rPr>
                <w:rFonts w:ascii="Arial" w:hAnsi="Arial" w:cs="Arial"/>
                <w:sz w:val="20"/>
                <w:szCs w:val="20"/>
              </w:rPr>
              <w:t xml:space="preserve">To address this challenge the Living Heritage Entity has undertaken two actions: First, it has developed a strategic partnership with the Sustainable Development Goals (SDG) Academy, which is specialized in creating and curating free massive open online courses (MOOC) and educational materials on sustainable development. It has successfully provided advisory services to the Secretariat for the MOOC development process. Secondly, the Secretariat hired a senior instructional designer to provide guidance and training for </w:t>
            </w:r>
            <w:r w:rsidRPr="00A854F4">
              <w:rPr>
                <w:rFonts w:ascii="Arial" w:hAnsi="Arial" w:cs="Arial"/>
                <w:sz w:val="20"/>
                <w:szCs w:val="20"/>
              </w:rPr>
              <w:lastRenderedPageBreak/>
              <w:t>developing and implementing the strategic reorientation of the capacity-building programme from an in-person to a multi-modal delivery format, building on the lessons learnt from online facilitation of capacity-building activities during the pandemic.</w:t>
            </w:r>
          </w:p>
        </w:tc>
      </w:tr>
      <w:tr w:rsidR="00724AAD" w:rsidRPr="00A854F4" w14:paraId="0BE27867" w14:textId="77777777" w:rsidTr="00C35DA5">
        <w:trPr>
          <w:jc w:val="center"/>
        </w:trPr>
        <w:tc>
          <w:tcPr>
            <w:tcW w:w="2500" w:type="pct"/>
            <w:shd w:val="clear" w:color="auto" w:fill="auto"/>
          </w:tcPr>
          <w:p w14:paraId="7640FEEE" w14:textId="19A17A89" w:rsidR="00724AAD" w:rsidRPr="00A854F4" w:rsidRDefault="00724AAD">
            <w:pPr>
              <w:spacing w:before="60" w:after="60"/>
              <w:jc w:val="both"/>
              <w:rPr>
                <w:rFonts w:ascii="Arial" w:hAnsi="Arial" w:cs="Arial"/>
                <w:sz w:val="20"/>
                <w:szCs w:val="20"/>
              </w:rPr>
            </w:pPr>
            <w:r w:rsidRPr="00A854F4">
              <w:rPr>
                <w:rFonts w:ascii="Arial" w:eastAsia="Calibri" w:hAnsi="Arial" w:cs="Arial"/>
                <w:sz w:val="20"/>
                <w:szCs w:val="20"/>
              </w:rPr>
              <w:lastRenderedPageBreak/>
              <w:t xml:space="preserve">Expanding the number of universities engaged in networking around the topic of integrating intangible cultural heritage into their programmes presented a challenge because the survey designed for this purpose was not always understood by the universities concerned. For example, some universities </w:t>
            </w:r>
            <w:r w:rsidR="003F1EDB" w:rsidRPr="00A854F4">
              <w:rPr>
                <w:rFonts w:ascii="Arial" w:eastAsia="Calibri" w:hAnsi="Arial" w:cs="Arial"/>
                <w:sz w:val="20"/>
                <w:szCs w:val="20"/>
              </w:rPr>
              <w:t>with</w:t>
            </w:r>
            <w:r w:rsidRPr="00A854F4">
              <w:rPr>
                <w:rFonts w:ascii="Arial" w:eastAsia="Calibri" w:hAnsi="Arial" w:cs="Arial"/>
                <w:sz w:val="20"/>
                <w:szCs w:val="20"/>
              </w:rPr>
              <w:t xml:space="preserve"> programmes in areas that fall into the broad field of intangible cultural heritage were not aware that they would qualify as such.</w:t>
            </w:r>
          </w:p>
        </w:tc>
        <w:tc>
          <w:tcPr>
            <w:tcW w:w="2500" w:type="pct"/>
            <w:shd w:val="clear" w:color="auto" w:fill="auto"/>
          </w:tcPr>
          <w:p w14:paraId="3680F276" w14:textId="58FC9B24" w:rsidR="00724AAD" w:rsidRPr="00A854F4" w:rsidRDefault="00724AAD">
            <w:pPr>
              <w:spacing w:before="60" w:after="60"/>
              <w:jc w:val="both"/>
              <w:rPr>
                <w:rFonts w:ascii="Arial" w:hAnsi="Arial" w:cs="Arial"/>
                <w:sz w:val="20"/>
                <w:szCs w:val="20"/>
              </w:rPr>
            </w:pPr>
            <w:r w:rsidRPr="00A854F4">
              <w:rPr>
                <w:rFonts w:ascii="Arial" w:hAnsi="Arial" w:cs="Arial"/>
                <w:sz w:val="20"/>
                <w:szCs w:val="20"/>
              </w:rPr>
              <w:t xml:space="preserve">The Secretariat combined the online survey approach with a person-to-person approach, where a consultant conducted telephone interviews to explain the objectives of the survey in more detail and obtain the required information. Moreover, the Secretariat organized the work in such a way that the different </w:t>
            </w:r>
            <w:r w:rsidR="00662BDB" w:rsidRPr="00A854F4">
              <w:rPr>
                <w:rFonts w:ascii="Arial" w:hAnsi="Arial" w:cs="Arial"/>
                <w:sz w:val="20"/>
                <w:szCs w:val="20"/>
              </w:rPr>
              <w:t>F</w:t>
            </w:r>
            <w:r w:rsidRPr="00A854F4">
              <w:rPr>
                <w:rFonts w:ascii="Arial" w:hAnsi="Arial" w:cs="Arial"/>
                <w:sz w:val="20"/>
                <w:szCs w:val="20"/>
              </w:rPr>
              <w:t xml:space="preserve">ield </w:t>
            </w:r>
            <w:r w:rsidR="00662BDB" w:rsidRPr="00A854F4">
              <w:rPr>
                <w:rFonts w:ascii="Arial" w:hAnsi="Arial" w:cs="Arial"/>
                <w:sz w:val="20"/>
                <w:szCs w:val="20"/>
              </w:rPr>
              <w:t>O</w:t>
            </w:r>
            <w:r w:rsidRPr="00A854F4">
              <w:rPr>
                <w:rFonts w:ascii="Arial" w:hAnsi="Arial" w:cs="Arial"/>
                <w:sz w:val="20"/>
                <w:szCs w:val="20"/>
              </w:rPr>
              <w:t xml:space="preserve">ffices in Africa could support data collection for the countries under their responsibility, contacting them, if and as required, starting with </w:t>
            </w:r>
            <w:r w:rsidR="00EB7C68" w:rsidRPr="00A854F4">
              <w:rPr>
                <w:rFonts w:ascii="Arial" w:hAnsi="Arial" w:cs="Arial"/>
                <w:sz w:val="20"/>
                <w:szCs w:val="20"/>
              </w:rPr>
              <w:t>southern</w:t>
            </w:r>
            <w:r w:rsidRPr="00A854F4">
              <w:rPr>
                <w:rFonts w:ascii="Arial" w:hAnsi="Arial" w:cs="Arial"/>
                <w:sz w:val="20"/>
                <w:szCs w:val="20"/>
              </w:rPr>
              <w:t xml:space="preserve"> Africa.</w:t>
            </w:r>
          </w:p>
        </w:tc>
      </w:tr>
    </w:tbl>
    <w:bookmarkEnd w:id="3"/>
    <w:p w14:paraId="0A31D19A" w14:textId="70A7FE8E" w:rsidR="00724AAD" w:rsidRPr="00A854F4" w:rsidRDefault="00724AAD" w:rsidP="00A05144">
      <w:pPr>
        <w:keepNext/>
        <w:spacing w:before="240"/>
        <w:jc w:val="both"/>
        <w:rPr>
          <w:rFonts w:ascii="Arial" w:hAnsi="Arial" w:cs="Arial"/>
          <w:b/>
          <w:szCs w:val="22"/>
        </w:rPr>
      </w:pPr>
      <w:r w:rsidRPr="00A854F4">
        <w:rPr>
          <w:rFonts w:ascii="Arial" w:hAnsi="Arial" w:cs="Arial"/>
          <w:b/>
          <w:szCs w:val="22"/>
        </w:rPr>
        <w:t>E</w:t>
      </w:r>
      <w:r w:rsidR="003F1EDB" w:rsidRPr="00A854F4">
        <w:rPr>
          <w:rFonts w:ascii="Arial" w:hAnsi="Arial" w:cs="Arial"/>
          <w:b/>
          <w:szCs w:val="22"/>
        </w:rPr>
        <w:t xml:space="preserve">xpected </w:t>
      </w:r>
      <w:r w:rsidRPr="00A854F4">
        <w:rPr>
          <w:rFonts w:ascii="Arial" w:hAnsi="Arial" w:cs="Arial"/>
          <w:b/>
          <w:szCs w:val="22"/>
        </w:rPr>
        <w:t>R</w:t>
      </w:r>
      <w:r w:rsidR="003F1EDB" w:rsidRPr="00A854F4">
        <w:rPr>
          <w:rFonts w:ascii="Arial" w:hAnsi="Arial" w:cs="Arial"/>
          <w:b/>
          <w:szCs w:val="22"/>
        </w:rPr>
        <w:t>esult</w:t>
      </w:r>
      <w:r w:rsidRPr="00A854F4">
        <w:rPr>
          <w:rFonts w:ascii="Arial" w:hAnsi="Arial" w:cs="Arial"/>
          <w:b/>
          <w:szCs w:val="22"/>
        </w:rPr>
        <w:t> 3:</w:t>
      </w:r>
      <w:r w:rsidRPr="00A854F4">
        <w:rPr>
          <w:rFonts w:ascii="Arial" w:hAnsi="Arial" w:cs="Arial"/>
          <w:b/>
          <w:szCs w:val="22"/>
        </w:rPr>
        <w:tab/>
      </w:r>
      <w:r w:rsidRPr="00A854F4">
        <w:rPr>
          <w:rFonts w:ascii="Arial" w:hAnsi="Arial" w:cs="Arial"/>
          <w:b/>
          <w:bCs/>
          <w:szCs w:val="22"/>
        </w:rPr>
        <w:t>Integration of intangible cultural heritage into development plans, policies and programmes supported</w:t>
      </w:r>
    </w:p>
    <w:p w14:paraId="3442ADAE" w14:textId="77777777" w:rsidR="00724AAD" w:rsidRPr="00A854F4" w:rsidRDefault="00724AAD" w:rsidP="00724AAD">
      <w:pPr>
        <w:pStyle w:val="ListParagraph"/>
        <w:keepNext/>
        <w:numPr>
          <w:ilvl w:val="0"/>
          <w:numId w:val="15"/>
        </w:numPr>
        <w:spacing w:before="240"/>
        <w:ind w:left="284" w:hanging="283"/>
        <w:jc w:val="both"/>
        <w:rPr>
          <w:rFonts w:ascii="Arial" w:hAnsi="Arial" w:cs="Arial"/>
          <w:b/>
          <w:bCs/>
          <w:sz w:val="22"/>
          <w:szCs w:val="22"/>
          <w:lang w:val="en-GB"/>
        </w:rPr>
      </w:pPr>
      <w:r w:rsidRPr="00A854F4">
        <w:rPr>
          <w:rFonts w:ascii="Arial" w:hAnsi="Arial" w:cs="Arial"/>
          <w:b/>
          <w:bCs/>
          <w:sz w:val="22"/>
          <w:szCs w:val="22"/>
          <w:lang w:val="en-GB"/>
        </w:rPr>
        <w:t xml:space="preserve">Implementation report for the period 1 January 2018 to 31 December 2019 </w:t>
      </w:r>
    </w:p>
    <w:p w14:paraId="7D0DB08B" w14:textId="77777777" w:rsidR="00724AAD" w:rsidRPr="00A854F4" w:rsidRDefault="00724AAD" w:rsidP="00724AAD">
      <w:pPr>
        <w:pStyle w:val="ListParagraph"/>
        <w:keepNext/>
        <w:spacing w:before="240"/>
        <w:ind w:left="567"/>
        <w:jc w:val="both"/>
        <w:rPr>
          <w:rFonts w:ascii="Arial" w:hAnsi="Arial" w:cs="Arial"/>
          <w:b/>
          <w:bCs/>
          <w:sz w:val="22"/>
          <w:szCs w:val="22"/>
          <w:lang w:val="en-G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4357314D" w14:textId="77777777" w:rsidTr="00C35DA5">
        <w:trPr>
          <w:jc w:val="center"/>
        </w:trPr>
        <w:tc>
          <w:tcPr>
            <w:tcW w:w="1999" w:type="pct"/>
            <w:shd w:val="clear" w:color="auto" w:fill="C6D9F1"/>
            <w:vAlign w:val="center"/>
          </w:tcPr>
          <w:p w14:paraId="113AB784"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Allocation</w:t>
            </w:r>
          </w:p>
        </w:tc>
        <w:tc>
          <w:tcPr>
            <w:tcW w:w="2118" w:type="pct"/>
            <w:shd w:val="clear" w:color="auto" w:fill="C6D9F1"/>
            <w:vAlign w:val="center"/>
          </w:tcPr>
          <w:p w14:paraId="149EEF8A"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Expenditures</w:t>
            </w:r>
          </w:p>
        </w:tc>
        <w:tc>
          <w:tcPr>
            <w:tcW w:w="883" w:type="pct"/>
            <w:shd w:val="clear" w:color="auto" w:fill="C6D9F1"/>
            <w:vAlign w:val="center"/>
          </w:tcPr>
          <w:p w14:paraId="30583788"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31/12/2019</w:t>
            </w:r>
          </w:p>
        </w:tc>
      </w:tr>
      <w:tr w:rsidR="00724AAD" w:rsidRPr="00A854F4" w14:paraId="4B4381C8" w14:textId="77777777" w:rsidTr="00C35DA5">
        <w:trPr>
          <w:jc w:val="center"/>
        </w:trPr>
        <w:tc>
          <w:tcPr>
            <w:tcW w:w="1999" w:type="pct"/>
            <w:shd w:val="clear" w:color="auto" w:fill="auto"/>
          </w:tcPr>
          <w:p w14:paraId="030B2919"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286,600.00</w:t>
            </w:r>
          </w:p>
        </w:tc>
        <w:tc>
          <w:tcPr>
            <w:tcW w:w="2118" w:type="pct"/>
            <w:shd w:val="clear" w:color="auto" w:fill="auto"/>
          </w:tcPr>
          <w:p w14:paraId="5E345A8E"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246,505.63</w:t>
            </w:r>
          </w:p>
        </w:tc>
        <w:tc>
          <w:tcPr>
            <w:tcW w:w="883" w:type="pct"/>
            <w:shd w:val="clear" w:color="auto" w:fill="auto"/>
          </w:tcPr>
          <w:p w14:paraId="1982D574"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86%</w:t>
            </w:r>
          </w:p>
        </w:tc>
      </w:tr>
    </w:tbl>
    <w:p w14:paraId="77D6A9CC"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80"/>
      </w:tblGrid>
      <w:tr w:rsidR="00724AAD" w:rsidRPr="00A854F4" w14:paraId="0584D16B" w14:textId="77777777" w:rsidTr="00C35DA5">
        <w:trPr>
          <w:tblHeader/>
          <w:jc w:val="center"/>
        </w:trPr>
        <w:tc>
          <w:tcPr>
            <w:tcW w:w="6658" w:type="dxa"/>
            <w:shd w:val="clear" w:color="auto" w:fill="D9D9D9"/>
            <w:vAlign w:val="center"/>
          </w:tcPr>
          <w:p w14:paraId="013CF6A4"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results:</w:t>
            </w:r>
            <w:r w:rsidRPr="00A854F4">
              <w:rPr>
                <w:rFonts w:ascii="Arial" w:eastAsia="Calibri" w:hAnsi="Arial" w:cs="Arial"/>
                <w:b/>
                <w:sz w:val="20"/>
                <w:szCs w:val="20"/>
              </w:rPr>
              <w:br/>
              <w:t>01/01/2018 to 31/12/2019</w:t>
            </w:r>
          </w:p>
        </w:tc>
        <w:tc>
          <w:tcPr>
            <w:tcW w:w="2980" w:type="dxa"/>
            <w:shd w:val="clear" w:color="auto" w:fill="D9D9D9"/>
            <w:vAlign w:val="center"/>
          </w:tcPr>
          <w:p w14:paraId="1ACEAB0D" w14:textId="77777777" w:rsidR="00724AAD" w:rsidRPr="00A854F4" w:rsidRDefault="00724AAD" w:rsidP="00C35DA5">
            <w:pPr>
              <w:spacing w:before="60" w:after="60"/>
              <w:ind w:left="-111"/>
              <w:jc w:val="center"/>
              <w:rPr>
                <w:rFonts w:ascii="Arial" w:eastAsia="Calibri" w:hAnsi="Arial" w:cs="Arial"/>
                <w:b/>
                <w:sz w:val="20"/>
                <w:szCs w:val="20"/>
              </w:rPr>
            </w:pPr>
            <w:r w:rsidRPr="00A854F4">
              <w:rPr>
                <w:rFonts w:ascii="Arial" w:eastAsia="Calibri" w:hAnsi="Arial" w:cs="Arial"/>
                <w:b/>
                <w:sz w:val="20"/>
                <w:szCs w:val="20"/>
              </w:rPr>
              <w:t>Assessment of implementation</w:t>
            </w:r>
          </w:p>
        </w:tc>
      </w:tr>
      <w:tr w:rsidR="00724AAD" w:rsidRPr="00A854F4" w14:paraId="133A1BD4" w14:textId="77777777" w:rsidTr="00C35DA5">
        <w:trPr>
          <w:jc w:val="center"/>
        </w:trPr>
        <w:tc>
          <w:tcPr>
            <w:tcW w:w="6658" w:type="dxa"/>
            <w:shd w:val="clear" w:color="auto" w:fill="auto"/>
          </w:tcPr>
          <w:p w14:paraId="53629D9F" w14:textId="77777777" w:rsidR="00724AAD" w:rsidRPr="00A854F4" w:rsidRDefault="00724AAD">
            <w:pPr>
              <w:spacing w:before="60" w:after="60"/>
              <w:jc w:val="both"/>
              <w:rPr>
                <w:rFonts w:ascii="Arial" w:eastAsia="Calibri" w:hAnsi="Arial" w:cs="Arial"/>
                <w:b/>
                <w:bCs/>
                <w:sz w:val="20"/>
                <w:szCs w:val="20"/>
              </w:rPr>
            </w:pPr>
            <w:r w:rsidRPr="00A854F4">
              <w:rPr>
                <w:rFonts w:ascii="Arial" w:eastAsia="Calibri" w:hAnsi="Arial" w:cs="Arial"/>
                <w:b/>
                <w:bCs/>
                <w:sz w:val="20"/>
                <w:szCs w:val="20"/>
              </w:rPr>
              <w:t>Global clearing house for knowledge sharing, cooperation and innovation on intangible cultural heritage and education established</w:t>
            </w:r>
          </w:p>
          <w:p w14:paraId="0945B13F" w14:textId="78E4F820" w:rsidR="00724AAD" w:rsidRPr="00A854F4" w:rsidRDefault="00724AAD">
            <w:pPr>
              <w:pStyle w:val="ListParagraph"/>
              <w:numPr>
                <w:ilvl w:val="0"/>
                <w:numId w:val="10"/>
              </w:numPr>
              <w:spacing w:before="60" w:after="60"/>
              <w:ind w:left="357" w:hanging="357"/>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The design, content and tools for the web-based clearinghouse on living heritage and education developed.</w:t>
            </w:r>
          </w:p>
          <w:p w14:paraId="51AD7CD3" w14:textId="4A2A4EB8" w:rsidR="00724AAD" w:rsidRPr="00A854F4" w:rsidRDefault="00724AAD">
            <w:pPr>
              <w:pStyle w:val="ListParagraph"/>
              <w:numPr>
                <w:ilvl w:val="0"/>
                <w:numId w:val="10"/>
              </w:numPr>
              <w:spacing w:before="60" w:after="60"/>
              <w:ind w:left="357" w:hanging="357"/>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 xml:space="preserve">A joint </w:t>
            </w:r>
            <w:r w:rsidR="002B4B95">
              <w:rPr>
                <w:rFonts w:ascii="Arial" w:eastAsia="Calibri" w:hAnsi="Arial" w:cs="Arial"/>
                <w:sz w:val="20"/>
                <w:szCs w:val="20"/>
                <w:lang w:val="en-GB"/>
              </w:rPr>
              <w:t>online</w:t>
            </w:r>
            <w:r w:rsidR="002B4B95" w:rsidRPr="00A854F4">
              <w:rPr>
                <w:rFonts w:ascii="Arial" w:eastAsia="Calibri" w:hAnsi="Arial" w:cs="Arial"/>
                <w:sz w:val="20"/>
                <w:szCs w:val="20"/>
                <w:lang w:val="en-GB"/>
              </w:rPr>
              <w:t xml:space="preserve"> </w:t>
            </w:r>
            <w:r w:rsidRPr="00A854F4">
              <w:rPr>
                <w:rFonts w:ascii="Arial" w:eastAsia="Calibri" w:hAnsi="Arial" w:cs="Arial"/>
                <w:sz w:val="20"/>
                <w:szCs w:val="20"/>
                <w:lang w:val="en-GB"/>
              </w:rPr>
              <w:t xml:space="preserve">conference held on ‘Safeguarding intangible cultural heritage through technical and vocational education and training (TVET)’ with 302 participants from </w:t>
            </w:r>
            <w:r w:rsidR="003F1EDB" w:rsidRPr="00A854F4">
              <w:rPr>
                <w:rFonts w:ascii="Arial" w:eastAsia="Calibri" w:hAnsi="Arial" w:cs="Arial"/>
                <w:sz w:val="20"/>
                <w:szCs w:val="20"/>
                <w:lang w:val="en-GB"/>
              </w:rPr>
              <w:t>eighty-three</w:t>
            </w:r>
            <w:r w:rsidRPr="00A854F4">
              <w:rPr>
                <w:rFonts w:ascii="Arial" w:eastAsia="Calibri" w:hAnsi="Arial" w:cs="Arial"/>
                <w:sz w:val="20"/>
                <w:szCs w:val="20"/>
                <w:lang w:val="en-GB"/>
              </w:rPr>
              <w:t xml:space="preserve"> countries organized in partnership with UNESCO’s designated centre for TVET, UNESCO-UNEVOC.</w:t>
            </w:r>
          </w:p>
          <w:p w14:paraId="079A9AAD" w14:textId="77777777" w:rsidR="00724AAD" w:rsidRPr="00A854F4" w:rsidRDefault="00724AAD">
            <w:pPr>
              <w:pStyle w:val="ListParagraph"/>
              <w:numPr>
                <w:ilvl w:val="0"/>
                <w:numId w:val="10"/>
              </w:numPr>
              <w:spacing w:before="60" w:after="60"/>
              <w:ind w:left="357" w:hanging="357"/>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Knowledge consolidated through a roundtable discussion held as a side event at the seventh session of the General Assembly on ‘Safeguarding intangible cultural heritage for quality and relevance in education’.</w:t>
            </w:r>
          </w:p>
          <w:p w14:paraId="512C812A" w14:textId="77777777" w:rsidR="00724AAD" w:rsidRPr="00A854F4" w:rsidRDefault="00724AAD">
            <w:pPr>
              <w:pStyle w:val="ListParagraph"/>
              <w:numPr>
                <w:ilvl w:val="0"/>
                <w:numId w:val="10"/>
              </w:numPr>
              <w:spacing w:before="60" w:after="60"/>
              <w:ind w:left="357" w:hanging="357"/>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A conceptual paper on living heritage and global citizenship education drafted.</w:t>
            </w:r>
          </w:p>
          <w:p w14:paraId="33640971" w14:textId="653C1205"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Information session</w:t>
            </w:r>
            <w:r w:rsidR="00886C8A" w:rsidRPr="00A854F4">
              <w:rPr>
                <w:rFonts w:ascii="Arial" w:eastAsia="Calibri" w:hAnsi="Arial" w:cs="Arial"/>
                <w:sz w:val="20"/>
                <w:szCs w:val="20"/>
              </w:rPr>
              <w:t>s</w:t>
            </w:r>
            <w:r w:rsidRPr="00A854F4">
              <w:rPr>
                <w:rFonts w:ascii="Arial" w:eastAsia="Calibri" w:hAnsi="Arial" w:cs="Arial"/>
                <w:sz w:val="20"/>
                <w:szCs w:val="20"/>
              </w:rPr>
              <w:t xml:space="preserve"> held during the thirteenth and fourteenth sessions of the Intergovernmental Committee to share and exchange on safeguarding intangible cultural heritage through formal and non-formal education.</w:t>
            </w:r>
          </w:p>
          <w:p w14:paraId="1FCAFE15" w14:textId="538BFD7E"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An intersectoral review and planning meeting on ‘Safeguarding intangible cultural heritage in formal and non-forma</w:t>
            </w:r>
            <w:r w:rsidR="00886C8A" w:rsidRPr="00A854F4">
              <w:rPr>
                <w:rFonts w:ascii="Arial" w:eastAsia="Calibri" w:hAnsi="Arial" w:cs="Arial"/>
                <w:sz w:val="20"/>
                <w:szCs w:val="20"/>
              </w:rPr>
              <w:t>l</w:t>
            </w:r>
            <w:r w:rsidRPr="00A854F4">
              <w:rPr>
                <w:rFonts w:ascii="Arial" w:eastAsia="Calibri" w:hAnsi="Arial" w:cs="Arial"/>
                <w:sz w:val="20"/>
                <w:szCs w:val="20"/>
              </w:rPr>
              <w:t xml:space="preserve"> education</w:t>
            </w:r>
            <w:r w:rsidR="00886C8A" w:rsidRPr="00A854F4">
              <w:rPr>
                <w:rFonts w:ascii="Arial" w:eastAsia="Calibri" w:hAnsi="Arial" w:cs="Arial"/>
                <w:sz w:val="20"/>
                <w:szCs w:val="20"/>
              </w:rPr>
              <w:t>’</w:t>
            </w:r>
            <w:r w:rsidRPr="00A854F4">
              <w:rPr>
                <w:rFonts w:ascii="Arial" w:eastAsia="Calibri" w:hAnsi="Arial" w:cs="Arial"/>
                <w:sz w:val="20"/>
                <w:szCs w:val="20"/>
              </w:rPr>
              <w:t xml:space="preserve"> held with more than </w:t>
            </w:r>
            <w:r w:rsidR="00886C8A" w:rsidRPr="00A854F4">
              <w:rPr>
                <w:rFonts w:ascii="Arial" w:eastAsia="Calibri" w:hAnsi="Arial" w:cs="Arial"/>
                <w:sz w:val="20"/>
                <w:szCs w:val="20"/>
              </w:rPr>
              <w:t xml:space="preserve">fifty </w:t>
            </w:r>
            <w:r w:rsidRPr="00A854F4">
              <w:rPr>
                <w:rFonts w:ascii="Arial" w:eastAsia="Calibri" w:hAnsi="Arial" w:cs="Arial"/>
                <w:sz w:val="20"/>
                <w:szCs w:val="20"/>
              </w:rPr>
              <w:t>colleagues from all regions</w:t>
            </w:r>
            <w:r w:rsidR="003F1EDB" w:rsidRPr="00A854F4">
              <w:rPr>
                <w:rFonts w:ascii="Arial" w:eastAsia="Calibri" w:hAnsi="Arial" w:cs="Arial"/>
                <w:sz w:val="20"/>
                <w:szCs w:val="20"/>
              </w:rPr>
              <w:t>.</w:t>
            </w:r>
          </w:p>
        </w:tc>
        <w:tc>
          <w:tcPr>
            <w:tcW w:w="2980" w:type="dxa"/>
          </w:tcPr>
          <w:p w14:paraId="5F9FDEFB" w14:textId="77777777" w:rsidR="00724AAD" w:rsidRPr="00A854F4"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4188F7B6" w14:textId="77777777" w:rsidTr="00C35DA5">
        <w:trPr>
          <w:jc w:val="center"/>
        </w:trPr>
        <w:tc>
          <w:tcPr>
            <w:tcW w:w="6658" w:type="dxa"/>
            <w:shd w:val="clear" w:color="auto" w:fill="auto"/>
          </w:tcPr>
          <w:p w14:paraId="374A59ED" w14:textId="33D52FA1" w:rsidR="00724AAD" w:rsidRPr="00A854F4" w:rsidRDefault="00724AAD" w:rsidP="000E15E3">
            <w:pPr>
              <w:keepNext/>
              <w:keepLines/>
              <w:spacing w:before="60" w:after="60"/>
              <w:jc w:val="both"/>
              <w:rPr>
                <w:rFonts w:ascii="Arial" w:eastAsia="Calibri" w:hAnsi="Arial" w:cs="Arial"/>
                <w:b/>
                <w:bCs/>
                <w:sz w:val="20"/>
                <w:szCs w:val="20"/>
              </w:rPr>
            </w:pPr>
            <w:r w:rsidRPr="00A854F4">
              <w:rPr>
                <w:rFonts w:ascii="Arial" w:eastAsia="Calibri" w:hAnsi="Arial" w:cs="Arial"/>
                <w:b/>
                <w:bCs/>
                <w:sz w:val="20"/>
                <w:szCs w:val="20"/>
              </w:rPr>
              <w:lastRenderedPageBreak/>
              <w:t>Synergies between the 2003 Convention and</w:t>
            </w:r>
            <w:r w:rsidR="003F1EDB" w:rsidRPr="00A854F4">
              <w:rPr>
                <w:rFonts w:ascii="Arial" w:eastAsia="Calibri" w:hAnsi="Arial" w:cs="Arial"/>
                <w:b/>
                <w:bCs/>
                <w:sz w:val="20"/>
                <w:szCs w:val="20"/>
              </w:rPr>
              <w:t xml:space="preserve"> the</w:t>
            </w:r>
            <w:r w:rsidRPr="00A854F4">
              <w:rPr>
                <w:rFonts w:ascii="Arial" w:eastAsia="Calibri" w:hAnsi="Arial" w:cs="Arial"/>
                <w:b/>
                <w:bCs/>
                <w:sz w:val="20"/>
                <w:szCs w:val="20"/>
              </w:rPr>
              <w:t xml:space="preserve"> work of the UN system in the framework of the 2030 Agenda for sustainable development strengthened</w:t>
            </w:r>
          </w:p>
          <w:p w14:paraId="53199673" w14:textId="77777777" w:rsidR="000175E4" w:rsidRDefault="00724AAD" w:rsidP="000E15E3">
            <w:pPr>
              <w:pStyle w:val="ListParagraph"/>
              <w:keepNext/>
              <w:keepLines/>
              <w:numPr>
                <w:ilvl w:val="0"/>
                <w:numId w:val="10"/>
              </w:numPr>
              <w:spacing w:before="60" w:after="60"/>
              <w:ind w:left="357" w:hanging="357"/>
              <w:contextualSpacing w:val="0"/>
              <w:jc w:val="both"/>
              <w:rPr>
                <w:rFonts w:ascii="Arial" w:eastAsia="Calibri" w:hAnsi="Arial" w:cs="Arial"/>
                <w:sz w:val="20"/>
                <w:szCs w:val="20"/>
                <w:lang w:val="en-GB"/>
              </w:rPr>
            </w:pPr>
            <w:r w:rsidRPr="00A854F4">
              <w:rPr>
                <w:rFonts w:ascii="Arial" w:eastAsia="Calibri" w:hAnsi="Arial" w:cs="Arial"/>
                <w:sz w:val="20"/>
                <w:szCs w:val="20"/>
                <w:lang w:val="en-GB"/>
              </w:rPr>
              <w:t>Participation of the Secretariat in the eighteenth session of the UN Permanent Forum on Indigenous Issues in April 2019 and organization of a side event on the Convention.</w:t>
            </w:r>
          </w:p>
          <w:p w14:paraId="72AA22F0" w14:textId="50F5583E" w:rsidR="00724AAD" w:rsidRPr="000175E4" w:rsidRDefault="00724AAD" w:rsidP="000E15E3">
            <w:pPr>
              <w:pStyle w:val="ListParagraph"/>
              <w:keepNext/>
              <w:keepLines/>
              <w:numPr>
                <w:ilvl w:val="0"/>
                <w:numId w:val="10"/>
              </w:numPr>
              <w:spacing w:before="60" w:after="60"/>
              <w:ind w:left="357" w:hanging="357"/>
              <w:contextualSpacing w:val="0"/>
              <w:jc w:val="both"/>
              <w:rPr>
                <w:rFonts w:ascii="Arial" w:eastAsia="Calibri" w:hAnsi="Arial" w:cs="Arial"/>
                <w:sz w:val="20"/>
                <w:szCs w:val="20"/>
                <w:lang w:val="en-GB"/>
              </w:rPr>
            </w:pPr>
            <w:r w:rsidRPr="000175E4">
              <w:rPr>
                <w:rFonts w:ascii="Arial" w:eastAsia="Calibri" w:hAnsi="Arial" w:cs="Arial"/>
                <w:sz w:val="20"/>
                <w:szCs w:val="20"/>
                <w:lang w:val="en-US"/>
              </w:rPr>
              <w:t xml:space="preserve">Exchanges made with </w:t>
            </w:r>
            <w:r w:rsidR="00886C8A" w:rsidRPr="000175E4">
              <w:rPr>
                <w:rFonts w:ascii="Arial" w:eastAsia="Calibri" w:hAnsi="Arial" w:cs="Arial"/>
                <w:sz w:val="20"/>
                <w:szCs w:val="20"/>
                <w:lang w:val="en-US"/>
              </w:rPr>
              <w:t xml:space="preserve">the </w:t>
            </w:r>
            <w:r w:rsidRPr="000175E4">
              <w:rPr>
                <w:rFonts w:ascii="Arial" w:eastAsia="Calibri" w:hAnsi="Arial" w:cs="Arial"/>
                <w:sz w:val="20"/>
                <w:szCs w:val="20"/>
                <w:lang w:val="en-US"/>
              </w:rPr>
              <w:t xml:space="preserve">World Intellectual Property </w:t>
            </w:r>
            <w:r w:rsidR="000574A2" w:rsidRPr="000175E4">
              <w:rPr>
                <w:rFonts w:ascii="Arial" w:eastAsia="Calibri" w:hAnsi="Arial" w:cs="Arial"/>
                <w:sz w:val="20"/>
                <w:szCs w:val="20"/>
                <w:lang w:val="en-US"/>
              </w:rPr>
              <w:t>Organization</w:t>
            </w:r>
            <w:r w:rsidRPr="000175E4">
              <w:rPr>
                <w:rFonts w:ascii="Arial" w:eastAsia="Calibri" w:hAnsi="Arial" w:cs="Arial"/>
                <w:sz w:val="20"/>
                <w:szCs w:val="20"/>
                <w:lang w:val="en-US"/>
              </w:rPr>
              <w:t xml:space="preserve"> (WIPO) regarding draft articles on ‘The Protection of Traditional Cultural Expressions’.</w:t>
            </w:r>
          </w:p>
        </w:tc>
        <w:tc>
          <w:tcPr>
            <w:tcW w:w="2980" w:type="dxa"/>
            <w:shd w:val="clear" w:color="auto" w:fill="auto"/>
          </w:tcPr>
          <w:p w14:paraId="0B96E15E" w14:textId="77777777" w:rsidR="00724AAD" w:rsidRDefault="00724AAD" w:rsidP="000E15E3">
            <w:pPr>
              <w:keepNext/>
              <w:keepLines/>
              <w:spacing w:before="320" w:after="60"/>
              <w:jc w:val="center"/>
              <w:rPr>
                <w:rFonts w:ascii="Arial" w:eastAsia="Calibri" w:hAnsi="Arial" w:cs="Arial"/>
                <w:sz w:val="20"/>
                <w:szCs w:val="20"/>
              </w:rPr>
            </w:pPr>
            <w:r w:rsidRPr="00A854F4">
              <w:rPr>
                <w:rFonts w:ascii="Arial" w:eastAsia="Calibri" w:hAnsi="Arial" w:cs="Arial"/>
                <w:sz w:val="20"/>
                <w:szCs w:val="20"/>
              </w:rPr>
              <w:t>Accomplished</w:t>
            </w:r>
          </w:p>
          <w:p w14:paraId="040B5358" w14:textId="0767552F" w:rsidR="004434A3" w:rsidRPr="00A854F4" w:rsidRDefault="004434A3" w:rsidP="00A05144">
            <w:pPr>
              <w:keepNext/>
              <w:keepLines/>
              <w:spacing w:before="320" w:after="60"/>
              <w:rPr>
                <w:rFonts w:ascii="Arial" w:eastAsia="Calibri" w:hAnsi="Arial" w:cs="Arial"/>
                <w:sz w:val="20"/>
                <w:szCs w:val="20"/>
              </w:rPr>
            </w:pPr>
          </w:p>
        </w:tc>
      </w:tr>
      <w:tr w:rsidR="00724AAD" w:rsidRPr="00A854F4" w14:paraId="7DA806C3" w14:textId="77777777" w:rsidTr="00C35DA5">
        <w:trPr>
          <w:jc w:val="center"/>
        </w:trPr>
        <w:tc>
          <w:tcPr>
            <w:tcW w:w="6658" w:type="dxa"/>
            <w:shd w:val="clear" w:color="auto" w:fill="auto"/>
          </w:tcPr>
          <w:p w14:paraId="3E93E96B" w14:textId="0BD0681D" w:rsidR="00724AAD" w:rsidRPr="002D2725" w:rsidRDefault="00724AAD" w:rsidP="00322AB8">
            <w:pPr>
              <w:spacing w:before="60" w:after="60"/>
              <w:jc w:val="both"/>
              <w:rPr>
                <w:rFonts w:ascii="Arial" w:eastAsia="Calibri" w:hAnsi="Arial" w:cs="Arial"/>
                <w:b/>
                <w:bCs/>
                <w:sz w:val="20"/>
                <w:szCs w:val="20"/>
              </w:rPr>
            </w:pPr>
            <w:r w:rsidRPr="002D2725">
              <w:rPr>
                <w:rFonts w:ascii="Arial" w:eastAsia="Calibri" w:hAnsi="Arial" w:cs="Arial"/>
                <w:b/>
                <w:bCs/>
                <w:sz w:val="20"/>
                <w:szCs w:val="20"/>
              </w:rPr>
              <w:t>Framework established for the safeguarding of intangible cultural heritage in emergencies</w:t>
            </w:r>
          </w:p>
          <w:p w14:paraId="4B6E81B7" w14:textId="77777777" w:rsidR="00724AAD" w:rsidRPr="002D2725" w:rsidRDefault="00724AAD">
            <w:pPr>
              <w:numPr>
                <w:ilvl w:val="0"/>
                <w:numId w:val="10"/>
              </w:numPr>
              <w:spacing w:before="60" w:after="60"/>
              <w:ind w:left="357" w:hanging="357"/>
              <w:jc w:val="both"/>
              <w:rPr>
                <w:rFonts w:ascii="Arial" w:eastAsia="Calibri" w:hAnsi="Arial" w:cs="Arial"/>
                <w:sz w:val="20"/>
                <w:szCs w:val="20"/>
              </w:rPr>
            </w:pPr>
            <w:r w:rsidRPr="002D2725">
              <w:rPr>
                <w:rFonts w:ascii="Arial" w:eastAsia="Calibri" w:hAnsi="Arial" w:cs="Arial"/>
                <w:sz w:val="20"/>
                <w:szCs w:val="20"/>
              </w:rPr>
              <w:t>One study carried out to map and analyse different methodological approaches used worldwide with a view to safeguarding intangible cultural heritage in emergencies and mobilizing it as a tool for resilience and recovery.</w:t>
            </w:r>
          </w:p>
          <w:p w14:paraId="69732D22" w14:textId="77777777" w:rsidR="00724AAD" w:rsidRPr="002D2725" w:rsidRDefault="00724AAD" w:rsidP="00322AB8">
            <w:pPr>
              <w:pStyle w:val="ListParagraph"/>
              <w:numPr>
                <w:ilvl w:val="0"/>
                <w:numId w:val="10"/>
              </w:numPr>
              <w:spacing w:before="60" w:after="60"/>
              <w:ind w:left="357" w:hanging="357"/>
              <w:contextualSpacing w:val="0"/>
              <w:jc w:val="both"/>
              <w:rPr>
                <w:rFonts w:ascii="Arial" w:eastAsia="Calibri" w:hAnsi="Arial" w:cs="Arial"/>
                <w:sz w:val="20"/>
                <w:szCs w:val="20"/>
                <w:lang w:val="en-GB"/>
              </w:rPr>
            </w:pPr>
            <w:r w:rsidRPr="002D2725">
              <w:rPr>
                <w:rFonts w:ascii="Arial" w:eastAsia="Calibri" w:hAnsi="Arial" w:cs="Arial"/>
                <w:sz w:val="20"/>
                <w:szCs w:val="20"/>
                <w:lang w:val="en-GB"/>
              </w:rPr>
              <w:t>One brainstorming meeting held in Beirut (Lebanon) in October 2018 with UN agencies and humanitarian stakeholders based in the country, notably ESCWA, UNDP, UN Habitat, UNHCR, UNIFIL and WHO.</w:t>
            </w:r>
          </w:p>
          <w:p w14:paraId="02976186" w14:textId="73896497" w:rsidR="00724AAD" w:rsidRPr="002D2725" w:rsidRDefault="00724AAD" w:rsidP="00322AB8">
            <w:pPr>
              <w:pStyle w:val="ListParagraph"/>
              <w:numPr>
                <w:ilvl w:val="0"/>
                <w:numId w:val="10"/>
              </w:numPr>
              <w:spacing w:before="60" w:after="60"/>
              <w:ind w:left="357" w:hanging="357"/>
              <w:contextualSpacing w:val="0"/>
              <w:jc w:val="both"/>
              <w:rPr>
                <w:rFonts w:ascii="Arial" w:eastAsia="Calibri" w:hAnsi="Arial" w:cs="Arial"/>
                <w:sz w:val="20"/>
                <w:szCs w:val="20"/>
                <w:lang w:val="en-GB"/>
              </w:rPr>
            </w:pPr>
            <w:r w:rsidRPr="002D2725">
              <w:rPr>
                <w:rFonts w:ascii="Arial" w:eastAsia="Calibri" w:hAnsi="Arial" w:cs="Arial"/>
                <w:sz w:val="20"/>
                <w:szCs w:val="20"/>
                <w:lang w:val="en-GB"/>
              </w:rPr>
              <w:t>One expert meeting held to conceptualize the knowledge and experience acquired on intangible cultural heritage in emergencies into methodological guidance for States Parties, leading to the elaboration of operational principles and modalities for safeguarding intangible cultural heritage in emergencies, which were adopted by the General Assembly at its eighth session.</w:t>
            </w:r>
          </w:p>
        </w:tc>
        <w:tc>
          <w:tcPr>
            <w:tcW w:w="2980" w:type="dxa"/>
          </w:tcPr>
          <w:p w14:paraId="0B3BD503" w14:textId="77777777" w:rsidR="00D200E2" w:rsidRPr="002D2725" w:rsidRDefault="00D200E2" w:rsidP="000175E4">
            <w:pPr>
              <w:spacing w:before="320" w:after="60"/>
              <w:rPr>
                <w:rFonts w:ascii="Arial" w:eastAsia="Calibri" w:hAnsi="Arial" w:cs="Arial"/>
                <w:sz w:val="20"/>
                <w:szCs w:val="20"/>
              </w:rPr>
            </w:pPr>
          </w:p>
          <w:p w14:paraId="4989B136" w14:textId="77777777" w:rsidR="00D200E2" w:rsidRPr="002D2725" w:rsidRDefault="00D200E2" w:rsidP="00C35DA5">
            <w:pPr>
              <w:spacing w:before="320" w:after="60"/>
              <w:jc w:val="center"/>
              <w:rPr>
                <w:rFonts w:ascii="Arial" w:eastAsia="Calibri" w:hAnsi="Arial" w:cs="Arial"/>
                <w:sz w:val="20"/>
                <w:szCs w:val="20"/>
              </w:rPr>
            </w:pPr>
          </w:p>
          <w:p w14:paraId="048501F0" w14:textId="11677895" w:rsidR="00724AAD" w:rsidRPr="002D2725" w:rsidRDefault="00724AAD" w:rsidP="00C35DA5">
            <w:pPr>
              <w:spacing w:before="320" w:after="60"/>
              <w:jc w:val="center"/>
              <w:rPr>
                <w:rFonts w:ascii="Arial" w:eastAsia="Calibri" w:hAnsi="Arial" w:cs="Arial"/>
                <w:sz w:val="20"/>
                <w:szCs w:val="20"/>
              </w:rPr>
            </w:pPr>
            <w:r w:rsidRPr="002D2725">
              <w:rPr>
                <w:rFonts w:ascii="Arial" w:eastAsia="Calibri" w:hAnsi="Arial" w:cs="Arial"/>
                <w:sz w:val="20"/>
                <w:szCs w:val="20"/>
              </w:rPr>
              <w:t>Accomplished</w:t>
            </w:r>
          </w:p>
        </w:tc>
      </w:tr>
    </w:tbl>
    <w:p w14:paraId="32186EFA" w14:textId="77777777" w:rsidR="00724AAD" w:rsidRPr="00A854F4" w:rsidRDefault="00724AAD" w:rsidP="00724AAD">
      <w:pPr>
        <w:pStyle w:val="ListParagraph"/>
        <w:keepNext/>
        <w:numPr>
          <w:ilvl w:val="0"/>
          <w:numId w:val="15"/>
        </w:numPr>
        <w:spacing w:before="240"/>
        <w:ind w:left="284" w:hanging="284"/>
        <w:jc w:val="both"/>
        <w:rPr>
          <w:rFonts w:ascii="Arial" w:hAnsi="Arial" w:cs="Arial"/>
          <w:b/>
          <w:bCs/>
          <w:sz w:val="22"/>
          <w:szCs w:val="22"/>
          <w:lang w:val="en-GB"/>
        </w:rPr>
      </w:pPr>
      <w:r w:rsidRPr="00A854F4">
        <w:rPr>
          <w:rFonts w:ascii="Arial" w:hAnsi="Arial" w:cs="Arial"/>
          <w:b/>
          <w:bCs/>
          <w:sz w:val="22"/>
          <w:szCs w:val="22"/>
          <w:lang w:val="en-GB"/>
        </w:rPr>
        <w:t xml:space="preserve">Implementation report for the period 1 January 2020 to 30 June 2021 </w:t>
      </w:r>
    </w:p>
    <w:p w14:paraId="6E663905" w14:textId="77777777" w:rsidR="00724AAD" w:rsidRPr="00A854F4" w:rsidRDefault="00724AAD" w:rsidP="00724AAD">
      <w:pPr>
        <w:pStyle w:val="ListParagraph"/>
        <w:keepNext/>
        <w:spacing w:before="240"/>
        <w:ind w:left="284"/>
        <w:jc w:val="both"/>
        <w:rPr>
          <w:rFonts w:ascii="Arial" w:hAnsi="Arial" w:cs="Arial"/>
          <w:b/>
          <w:bCs/>
          <w:sz w:val="22"/>
          <w:szCs w:val="22"/>
          <w:lang w:val="en-G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3388E084" w14:textId="77777777" w:rsidTr="00322AB8">
        <w:trPr>
          <w:jc w:val="center"/>
        </w:trPr>
        <w:tc>
          <w:tcPr>
            <w:tcW w:w="1999" w:type="pct"/>
            <w:shd w:val="clear" w:color="auto" w:fill="92D050"/>
            <w:vAlign w:val="center"/>
          </w:tcPr>
          <w:p w14:paraId="62A66A9A"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Allocation</w:t>
            </w:r>
          </w:p>
        </w:tc>
        <w:tc>
          <w:tcPr>
            <w:tcW w:w="2118" w:type="pct"/>
            <w:shd w:val="clear" w:color="auto" w:fill="92D050"/>
            <w:vAlign w:val="center"/>
          </w:tcPr>
          <w:p w14:paraId="25548477"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Expenditures</w:t>
            </w:r>
          </w:p>
        </w:tc>
        <w:tc>
          <w:tcPr>
            <w:tcW w:w="883" w:type="pct"/>
            <w:shd w:val="clear" w:color="auto" w:fill="92D050"/>
            <w:vAlign w:val="center"/>
          </w:tcPr>
          <w:p w14:paraId="366AA000"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30/06/2021</w:t>
            </w:r>
          </w:p>
        </w:tc>
      </w:tr>
      <w:tr w:rsidR="00724AAD" w:rsidRPr="00A854F4" w14:paraId="5DB16DA7" w14:textId="77777777" w:rsidTr="00C35DA5">
        <w:trPr>
          <w:jc w:val="center"/>
        </w:trPr>
        <w:tc>
          <w:tcPr>
            <w:tcW w:w="1999" w:type="pct"/>
            <w:shd w:val="clear" w:color="auto" w:fill="auto"/>
          </w:tcPr>
          <w:p w14:paraId="2519EA7E"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203,850.00</w:t>
            </w:r>
          </w:p>
        </w:tc>
        <w:tc>
          <w:tcPr>
            <w:tcW w:w="2118" w:type="pct"/>
            <w:shd w:val="clear" w:color="auto" w:fill="auto"/>
          </w:tcPr>
          <w:p w14:paraId="6E45A2A3"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72,300.42</w:t>
            </w:r>
          </w:p>
        </w:tc>
        <w:tc>
          <w:tcPr>
            <w:tcW w:w="883" w:type="pct"/>
            <w:shd w:val="clear" w:color="auto" w:fill="auto"/>
          </w:tcPr>
          <w:p w14:paraId="007D3045"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35.5%</w:t>
            </w:r>
          </w:p>
        </w:tc>
      </w:tr>
    </w:tbl>
    <w:p w14:paraId="7AC88E69"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724AAD" w:rsidRPr="00A854F4" w14:paraId="19719CCD" w14:textId="77777777" w:rsidTr="00C35DA5">
        <w:trPr>
          <w:tblHeader/>
          <w:jc w:val="center"/>
        </w:trPr>
        <w:tc>
          <w:tcPr>
            <w:tcW w:w="6803" w:type="dxa"/>
            <w:shd w:val="clear" w:color="auto" w:fill="D9D9D9"/>
            <w:vAlign w:val="center"/>
          </w:tcPr>
          <w:p w14:paraId="7B0C4947"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progress:</w:t>
            </w:r>
            <w:r w:rsidRPr="00A854F4">
              <w:rPr>
                <w:rFonts w:ascii="Arial" w:eastAsia="Calibri" w:hAnsi="Arial" w:cs="Arial"/>
                <w:b/>
                <w:sz w:val="20"/>
                <w:szCs w:val="20"/>
              </w:rPr>
              <w:br/>
              <w:t>01/01/2020 to 30/06/2021</w:t>
            </w:r>
          </w:p>
        </w:tc>
        <w:tc>
          <w:tcPr>
            <w:tcW w:w="2835" w:type="dxa"/>
            <w:shd w:val="clear" w:color="auto" w:fill="D9D9D9"/>
            <w:vAlign w:val="center"/>
          </w:tcPr>
          <w:p w14:paraId="216421CE"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implementation</w:t>
            </w:r>
          </w:p>
        </w:tc>
      </w:tr>
      <w:tr w:rsidR="00724AAD" w:rsidRPr="00A854F4" w14:paraId="6385D937" w14:textId="77777777" w:rsidTr="00C35DA5">
        <w:trPr>
          <w:jc w:val="center"/>
        </w:trPr>
        <w:tc>
          <w:tcPr>
            <w:tcW w:w="6803" w:type="dxa"/>
            <w:shd w:val="clear" w:color="auto" w:fill="auto"/>
          </w:tcPr>
          <w:p w14:paraId="36992A75" w14:textId="77777777" w:rsidR="00724AAD" w:rsidRPr="00A854F4" w:rsidRDefault="00724AAD">
            <w:pPr>
              <w:spacing w:before="60" w:after="60"/>
              <w:jc w:val="both"/>
              <w:rPr>
                <w:rFonts w:ascii="Arial" w:eastAsia="Calibri" w:hAnsi="Arial" w:cs="Arial"/>
                <w:b/>
                <w:bCs/>
                <w:sz w:val="20"/>
                <w:szCs w:val="20"/>
              </w:rPr>
            </w:pPr>
            <w:r w:rsidRPr="00A854F4">
              <w:rPr>
                <w:rFonts w:ascii="Arial" w:eastAsia="Calibri" w:hAnsi="Arial" w:cs="Arial"/>
                <w:b/>
                <w:bCs/>
                <w:sz w:val="20"/>
                <w:szCs w:val="20"/>
              </w:rPr>
              <w:t>Global clearing house on living heritage and education functioning and partnerships strengthened</w:t>
            </w:r>
          </w:p>
          <w:p w14:paraId="2CFE9702" w14:textId="542D93BC"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Webpage and resources for the clearing house for knowledge sharing, cooperation and innovation in the field of intangible cultural heritage and education</w:t>
            </w:r>
            <w:r w:rsidR="003F1EDB" w:rsidRPr="00A854F4">
              <w:rPr>
                <w:rFonts w:ascii="Arial" w:eastAsia="Calibri" w:hAnsi="Arial" w:cs="Arial"/>
                <w:sz w:val="20"/>
                <w:szCs w:val="20"/>
              </w:rPr>
              <w:t xml:space="preserve"> made</w:t>
            </w:r>
            <w:r w:rsidRPr="00A854F4">
              <w:rPr>
                <w:rFonts w:ascii="Arial" w:eastAsia="Calibri" w:hAnsi="Arial" w:cs="Arial"/>
                <w:sz w:val="20"/>
                <w:szCs w:val="20"/>
              </w:rPr>
              <w:t xml:space="preserve"> available in two languages</w:t>
            </w:r>
            <w:r w:rsidR="003F1EDB" w:rsidRPr="00A854F4">
              <w:rPr>
                <w:rFonts w:ascii="Arial" w:eastAsia="Calibri" w:hAnsi="Arial" w:cs="Arial"/>
                <w:sz w:val="20"/>
                <w:szCs w:val="20"/>
              </w:rPr>
              <w:t xml:space="preserve"> (English and French)</w:t>
            </w:r>
            <w:r w:rsidRPr="00A854F4">
              <w:rPr>
                <w:rFonts w:ascii="Arial" w:eastAsia="Calibri" w:hAnsi="Arial" w:cs="Arial"/>
                <w:sz w:val="20"/>
                <w:szCs w:val="20"/>
              </w:rPr>
              <w:t>.</w:t>
            </w:r>
          </w:p>
          <w:p w14:paraId="3DF3ECA9" w14:textId="529CC281"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Online launch of the clearing house with one dissemination event organized in the context of the World Conference on Education for Sustainable Development</w:t>
            </w:r>
            <w:r w:rsidR="000F460D" w:rsidRPr="00A854F4">
              <w:rPr>
                <w:rFonts w:ascii="Arial" w:eastAsia="Calibri" w:hAnsi="Arial" w:cs="Arial"/>
                <w:sz w:val="20"/>
                <w:szCs w:val="20"/>
              </w:rPr>
              <w:t xml:space="preserve"> in May 2021</w:t>
            </w:r>
            <w:r w:rsidRPr="00A854F4">
              <w:rPr>
                <w:rFonts w:ascii="Arial" w:eastAsia="Calibri" w:hAnsi="Arial" w:cs="Arial"/>
                <w:sz w:val="20"/>
                <w:szCs w:val="20"/>
              </w:rPr>
              <w:t>.</w:t>
            </w:r>
          </w:p>
          <w:p w14:paraId="51CAED6E" w14:textId="62DEA04F"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Experiences of indigenous peoples with safeguarding their living heritage in formal and non-formal education included in the examples of the clearing house</w:t>
            </w:r>
            <w:r w:rsidR="000F460D" w:rsidRPr="00A854F4">
              <w:rPr>
                <w:rFonts w:ascii="Arial" w:eastAsia="Calibri" w:hAnsi="Arial" w:cs="Arial"/>
                <w:sz w:val="20"/>
                <w:szCs w:val="20"/>
              </w:rPr>
              <w:t>.</w:t>
            </w:r>
          </w:p>
          <w:p w14:paraId="2B8222DD" w14:textId="7CB19272"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 xml:space="preserve">Online training course on Living Heritage and Education developed and delivered in French; </w:t>
            </w:r>
            <w:r w:rsidR="000F460D" w:rsidRPr="00A854F4">
              <w:rPr>
                <w:rFonts w:ascii="Arial" w:eastAsia="Calibri" w:hAnsi="Arial" w:cs="Arial"/>
                <w:sz w:val="20"/>
                <w:szCs w:val="20"/>
              </w:rPr>
              <w:t xml:space="preserve">ongoing </w:t>
            </w:r>
            <w:r w:rsidRPr="00A854F4">
              <w:rPr>
                <w:rFonts w:ascii="Arial" w:eastAsia="Calibri" w:hAnsi="Arial" w:cs="Arial"/>
                <w:sz w:val="20"/>
                <w:szCs w:val="20"/>
              </w:rPr>
              <w:t>development</w:t>
            </w:r>
            <w:r w:rsidR="000F460D" w:rsidRPr="00A854F4">
              <w:rPr>
                <w:rFonts w:ascii="Arial" w:eastAsia="Calibri" w:hAnsi="Arial" w:cs="Arial"/>
                <w:sz w:val="20"/>
                <w:szCs w:val="20"/>
              </w:rPr>
              <w:t xml:space="preserve"> of a similar course</w:t>
            </w:r>
            <w:r w:rsidRPr="00A854F4">
              <w:rPr>
                <w:rFonts w:ascii="Arial" w:eastAsia="Calibri" w:hAnsi="Arial" w:cs="Arial"/>
                <w:sz w:val="20"/>
                <w:szCs w:val="20"/>
              </w:rPr>
              <w:t xml:space="preserve"> in Spanish.</w:t>
            </w:r>
          </w:p>
        </w:tc>
        <w:tc>
          <w:tcPr>
            <w:tcW w:w="2835" w:type="dxa"/>
          </w:tcPr>
          <w:p w14:paraId="348A7276" w14:textId="77777777" w:rsidR="00A4197B" w:rsidRPr="00A854F4" w:rsidRDefault="00724AAD" w:rsidP="003E022D">
            <w:pPr>
              <w:spacing w:before="320" w:after="0"/>
              <w:jc w:val="center"/>
              <w:rPr>
                <w:rFonts w:ascii="Arial" w:eastAsia="Calibri" w:hAnsi="Arial" w:cs="Arial"/>
                <w:sz w:val="20"/>
                <w:szCs w:val="20"/>
              </w:rPr>
            </w:pPr>
            <w:r w:rsidRPr="00A854F4">
              <w:rPr>
                <w:rFonts w:ascii="Arial" w:eastAsia="Calibri" w:hAnsi="Arial" w:cs="Arial"/>
                <w:sz w:val="20"/>
                <w:szCs w:val="20"/>
              </w:rPr>
              <w:t xml:space="preserve">Partially accomplished </w:t>
            </w:r>
          </w:p>
          <w:p w14:paraId="3A803534" w14:textId="02E20946" w:rsidR="00724AAD" w:rsidRPr="00A854F4" w:rsidRDefault="00724AAD" w:rsidP="003E022D">
            <w:pPr>
              <w:spacing w:after="0"/>
              <w:jc w:val="center"/>
              <w:rPr>
                <w:rFonts w:ascii="Arial" w:eastAsia="Calibri" w:hAnsi="Arial" w:cs="Arial"/>
                <w:sz w:val="20"/>
                <w:szCs w:val="20"/>
              </w:rPr>
            </w:pPr>
            <w:r w:rsidRPr="00A854F4">
              <w:rPr>
                <w:rFonts w:ascii="Arial" w:eastAsia="Calibri" w:hAnsi="Arial" w:cs="Arial"/>
                <w:sz w:val="20"/>
                <w:szCs w:val="20"/>
              </w:rPr>
              <w:t>(on-going)</w:t>
            </w:r>
          </w:p>
        </w:tc>
      </w:tr>
      <w:tr w:rsidR="00724AAD" w:rsidRPr="00A854F4" w14:paraId="3A6E319F" w14:textId="77777777" w:rsidTr="00C35DA5">
        <w:trPr>
          <w:jc w:val="center"/>
        </w:trPr>
        <w:tc>
          <w:tcPr>
            <w:tcW w:w="6803" w:type="dxa"/>
            <w:shd w:val="clear" w:color="auto" w:fill="auto"/>
          </w:tcPr>
          <w:p w14:paraId="20EAFE34" w14:textId="5E3FE47E" w:rsidR="00724AAD" w:rsidRPr="00A854F4" w:rsidRDefault="00724AAD" w:rsidP="00A05144">
            <w:pPr>
              <w:keepNext/>
              <w:keepLines/>
              <w:spacing w:before="60" w:after="60"/>
              <w:jc w:val="both"/>
              <w:rPr>
                <w:rFonts w:ascii="Arial" w:eastAsia="Calibri" w:hAnsi="Arial" w:cs="Arial"/>
                <w:b/>
                <w:bCs/>
                <w:sz w:val="20"/>
                <w:szCs w:val="20"/>
              </w:rPr>
            </w:pPr>
            <w:r w:rsidRPr="00A854F4">
              <w:rPr>
                <w:rFonts w:ascii="Arial" w:eastAsia="Calibri" w:hAnsi="Arial" w:cs="Arial"/>
                <w:b/>
                <w:bCs/>
                <w:sz w:val="20"/>
                <w:szCs w:val="20"/>
              </w:rPr>
              <w:lastRenderedPageBreak/>
              <w:t>Synergies between the 2003 Convention and work of the UN system in the framework of the 2030 Agenda for sustainable development strengthened</w:t>
            </w:r>
          </w:p>
          <w:p w14:paraId="7226E7F4" w14:textId="1AFD0E20" w:rsidR="00724AAD" w:rsidRPr="00A854F4" w:rsidRDefault="000F460D" w:rsidP="00A05144">
            <w:pPr>
              <w:keepNext/>
              <w:keepLines/>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C</w:t>
            </w:r>
            <w:r w:rsidR="00724AAD" w:rsidRPr="00A854F4">
              <w:rPr>
                <w:rFonts w:ascii="Arial" w:eastAsia="Calibri" w:hAnsi="Arial" w:cs="Arial"/>
                <w:sz w:val="20"/>
                <w:szCs w:val="20"/>
              </w:rPr>
              <w:t xml:space="preserve">ontribution </w:t>
            </w:r>
            <w:r w:rsidRPr="00A854F4">
              <w:rPr>
                <w:rFonts w:ascii="Arial" w:eastAsia="Calibri" w:hAnsi="Arial" w:cs="Arial"/>
                <w:sz w:val="20"/>
                <w:szCs w:val="20"/>
              </w:rPr>
              <w:t>prepared for</w:t>
            </w:r>
            <w:r w:rsidR="00724AAD" w:rsidRPr="00A854F4">
              <w:rPr>
                <w:rFonts w:ascii="Arial" w:eastAsia="Calibri" w:hAnsi="Arial" w:cs="Arial"/>
                <w:sz w:val="20"/>
                <w:szCs w:val="20"/>
              </w:rPr>
              <w:t xml:space="preserve"> the action plan for the International Decade on Indigenous Languages</w:t>
            </w:r>
            <w:r w:rsidRPr="00A854F4">
              <w:rPr>
                <w:rFonts w:ascii="Arial" w:eastAsia="Calibri" w:hAnsi="Arial" w:cs="Arial"/>
                <w:sz w:val="20"/>
                <w:szCs w:val="20"/>
              </w:rPr>
              <w:t>.</w:t>
            </w:r>
          </w:p>
          <w:p w14:paraId="599D7E64" w14:textId="0367E8CA" w:rsidR="00724AAD" w:rsidRPr="00A854F4" w:rsidRDefault="00724AAD" w:rsidP="00A05144">
            <w:pPr>
              <w:keepNext/>
              <w:keepLines/>
              <w:numPr>
                <w:ilvl w:val="0"/>
                <w:numId w:val="10"/>
              </w:numPr>
              <w:spacing w:before="60" w:after="60"/>
              <w:ind w:left="357" w:hanging="357"/>
              <w:jc w:val="both"/>
              <w:rPr>
                <w:rFonts w:ascii="Arial" w:eastAsia="Calibri" w:hAnsi="Arial" w:cs="Arial"/>
                <w:sz w:val="20"/>
                <w:szCs w:val="20"/>
              </w:rPr>
            </w:pPr>
            <w:r w:rsidRPr="00A854F4">
              <w:rPr>
                <w:rFonts w:ascii="Arial" w:eastAsia="Calibri" w:hAnsi="Arial" w:cs="Arial"/>
                <w:sz w:val="20"/>
                <w:szCs w:val="20"/>
              </w:rPr>
              <w:t xml:space="preserve">Partnership with </w:t>
            </w:r>
            <w:r w:rsidR="000F460D" w:rsidRPr="00A854F4">
              <w:rPr>
                <w:rFonts w:ascii="Arial" w:eastAsia="Calibri" w:hAnsi="Arial" w:cs="Arial"/>
                <w:sz w:val="20"/>
                <w:szCs w:val="20"/>
              </w:rPr>
              <w:t xml:space="preserve">the </w:t>
            </w:r>
            <w:r w:rsidRPr="00A854F4">
              <w:rPr>
                <w:rFonts w:ascii="Arial" w:eastAsia="Calibri" w:hAnsi="Arial" w:cs="Arial"/>
                <w:sz w:val="20"/>
                <w:szCs w:val="20"/>
              </w:rPr>
              <w:t xml:space="preserve">Secretariat of the Convention for Biological Diversity strengthened through UNESCO inputs </w:t>
            </w:r>
            <w:r w:rsidR="000F460D" w:rsidRPr="00A854F4">
              <w:rPr>
                <w:rFonts w:ascii="Arial" w:eastAsia="Calibri" w:hAnsi="Arial" w:cs="Arial"/>
                <w:sz w:val="20"/>
                <w:szCs w:val="20"/>
              </w:rPr>
              <w:t xml:space="preserve">in </w:t>
            </w:r>
            <w:r w:rsidRPr="00A854F4">
              <w:rPr>
                <w:rFonts w:ascii="Arial" w:eastAsia="Calibri" w:hAnsi="Arial" w:cs="Arial"/>
                <w:sz w:val="20"/>
                <w:szCs w:val="20"/>
              </w:rPr>
              <w:t>post-2020 Global Biodiversity Framework.</w:t>
            </w:r>
          </w:p>
        </w:tc>
        <w:tc>
          <w:tcPr>
            <w:tcW w:w="2835" w:type="dxa"/>
            <w:shd w:val="clear" w:color="auto" w:fill="auto"/>
          </w:tcPr>
          <w:p w14:paraId="7F08780F" w14:textId="77777777" w:rsidR="00A4197B" w:rsidRPr="00A854F4" w:rsidRDefault="00724AAD" w:rsidP="00A05144">
            <w:pPr>
              <w:keepNext/>
              <w:keepLines/>
              <w:spacing w:before="320" w:after="0"/>
              <w:jc w:val="center"/>
              <w:rPr>
                <w:rFonts w:ascii="Arial" w:eastAsia="Calibri" w:hAnsi="Arial" w:cs="Arial"/>
                <w:sz w:val="20"/>
                <w:szCs w:val="20"/>
              </w:rPr>
            </w:pPr>
            <w:r w:rsidRPr="00A854F4">
              <w:rPr>
                <w:rFonts w:ascii="Arial" w:eastAsia="Calibri" w:hAnsi="Arial" w:cs="Arial"/>
                <w:sz w:val="20"/>
                <w:szCs w:val="20"/>
              </w:rPr>
              <w:t xml:space="preserve">Partially accomplished </w:t>
            </w:r>
          </w:p>
          <w:p w14:paraId="72FC56D4" w14:textId="77777777" w:rsidR="00724AAD" w:rsidRDefault="00724AAD" w:rsidP="00A05144">
            <w:pPr>
              <w:keepNext/>
              <w:keepLines/>
              <w:spacing w:after="0"/>
              <w:jc w:val="center"/>
              <w:rPr>
                <w:rFonts w:ascii="Arial" w:eastAsia="Calibri" w:hAnsi="Arial" w:cs="Arial"/>
                <w:sz w:val="20"/>
                <w:szCs w:val="20"/>
              </w:rPr>
            </w:pPr>
            <w:r w:rsidRPr="00A854F4">
              <w:rPr>
                <w:rFonts w:ascii="Arial" w:eastAsia="Calibri" w:hAnsi="Arial" w:cs="Arial"/>
                <w:sz w:val="20"/>
                <w:szCs w:val="20"/>
              </w:rPr>
              <w:t>(on-going)</w:t>
            </w:r>
          </w:p>
          <w:p w14:paraId="5E4560E1" w14:textId="77777777" w:rsidR="004434A3" w:rsidRDefault="004434A3" w:rsidP="00A05144">
            <w:pPr>
              <w:keepNext/>
              <w:keepLines/>
              <w:spacing w:after="0"/>
              <w:jc w:val="center"/>
              <w:rPr>
                <w:rFonts w:ascii="Arial" w:eastAsia="Calibri" w:hAnsi="Arial" w:cs="Arial"/>
                <w:sz w:val="20"/>
                <w:szCs w:val="20"/>
              </w:rPr>
            </w:pPr>
          </w:p>
          <w:p w14:paraId="41C3A2BD" w14:textId="77777777" w:rsidR="004434A3" w:rsidRDefault="004434A3" w:rsidP="00A05144">
            <w:pPr>
              <w:keepNext/>
              <w:keepLines/>
              <w:spacing w:after="0"/>
              <w:jc w:val="center"/>
              <w:rPr>
                <w:rFonts w:ascii="Arial" w:eastAsia="Calibri" w:hAnsi="Arial" w:cs="Arial"/>
                <w:sz w:val="20"/>
                <w:szCs w:val="20"/>
              </w:rPr>
            </w:pPr>
          </w:p>
          <w:p w14:paraId="046C92B4" w14:textId="77777777" w:rsidR="004434A3" w:rsidRDefault="004434A3" w:rsidP="00A05144">
            <w:pPr>
              <w:keepNext/>
              <w:keepLines/>
              <w:spacing w:after="0"/>
              <w:jc w:val="center"/>
              <w:rPr>
                <w:rFonts w:ascii="Arial" w:eastAsia="Calibri" w:hAnsi="Arial" w:cs="Arial"/>
                <w:sz w:val="20"/>
                <w:szCs w:val="20"/>
              </w:rPr>
            </w:pPr>
          </w:p>
          <w:p w14:paraId="0A069AD2" w14:textId="17ADACF2" w:rsidR="004434A3" w:rsidRPr="00A854F4" w:rsidRDefault="004434A3" w:rsidP="00A05144">
            <w:pPr>
              <w:keepNext/>
              <w:keepLines/>
              <w:spacing w:after="0"/>
              <w:jc w:val="center"/>
              <w:rPr>
                <w:rFonts w:ascii="Arial" w:eastAsia="Calibri" w:hAnsi="Arial" w:cs="Arial"/>
                <w:sz w:val="20"/>
                <w:szCs w:val="20"/>
              </w:rPr>
            </w:pPr>
          </w:p>
        </w:tc>
      </w:tr>
    </w:tbl>
    <w:p w14:paraId="3072779B" w14:textId="77777777" w:rsidR="00724AAD" w:rsidRPr="00A854F4" w:rsidRDefault="00724AAD" w:rsidP="00724AAD">
      <w:pPr>
        <w:pStyle w:val="ListParagraph"/>
        <w:keepNext/>
        <w:numPr>
          <w:ilvl w:val="0"/>
          <w:numId w:val="15"/>
        </w:numPr>
        <w:spacing w:before="240"/>
        <w:ind w:left="284" w:hanging="284"/>
        <w:rPr>
          <w:rFonts w:ascii="Arial" w:hAnsi="Arial" w:cs="Arial"/>
          <w:b/>
          <w:sz w:val="22"/>
          <w:szCs w:val="22"/>
          <w:lang w:val="en-GB"/>
        </w:rPr>
      </w:pPr>
      <w:r w:rsidRPr="00A854F4">
        <w:rPr>
          <w:rFonts w:ascii="Arial" w:hAnsi="Arial" w:cs="Arial"/>
          <w:b/>
          <w:sz w:val="22"/>
          <w:szCs w:val="22"/>
          <w:lang w:val="en-GB"/>
        </w:rPr>
        <w:t>Challenges and risks in implementation and remedial actions (2020/2021)</w:t>
      </w:r>
    </w:p>
    <w:p w14:paraId="32633CCB" w14:textId="77777777" w:rsidR="00724AAD" w:rsidRPr="00A854F4" w:rsidRDefault="00724AAD" w:rsidP="00724AAD">
      <w:pPr>
        <w:pStyle w:val="ListParagraph"/>
        <w:keepNext/>
        <w:spacing w:before="240"/>
        <w:ind w:left="284"/>
        <w:rPr>
          <w:rFonts w:ascii="Arial" w:hAnsi="Arial" w:cs="Arial"/>
          <w:b/>
          <w:sz w:val="22"/>
          <w:szCs w:val="22"/>
          <w:lang w:val="en-G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724AAD" w:rsidRPr="00A854F4" w14:paraId="443CB5AA" w14:textId="77777777" w:rsidTr="00C35DA5">
        <w:trPr>
          <w:tblHeader/>
          <w:jc w:val="center"/>
        </w:trPr>
        <w:tc>
          <w:tcPr>
            <w:tcW w:w="2500" w:type="pct"/>
            <w:shd w:val="clear" w:color="auto" w:fill="D9D9D9"/>
            <w:vAlign w:val="center"/>
          </w:tcPr>
          <w:p w14:paraId="241FF62A" w14:textId="77777777" w:rsidR="00724AAD" w:rsidRPr="00A854F4" w:rsidRDefault="00724AAD" w:rsidP="00C35DA5">
            <w:pPr>
              <w:keepNext/>
              <w:spacing w:before="60" w:after="60"/>
              <w:jc w:val="center"/>
              <w:rPr>
                <w:rFonts w:ascii="Arial" w:hAnsi="Arial" w:cs="Arial"/>
                <w:b/>
                <w:sz w:val="20"/>
                <w:szCs w:val="20"/>
              </w:rPr>
            </w:pPr>
            <w:r w:rsidRPr="00A854F4">
              <w:rPr>
                <w:rFonts w:ascii="Arial" w:hAnsi="Arial" w:cs="Arial"/>
                <w:b/>
                <w:sz w:val="20"/>
                <w:szCs w:val="20"/>
              </w:rPr>
              <w:t>Key challenges</w:t>
            </w:r>
          </w:p>
        </w:tc>
        <w:tc>
          <w:tcPr>
            <w:tcW w:w="2500" w:type="pct"/>
            <w:shd w:val="clear" w:color="auto" w:fill="D9D9D9"/>
            <w:vAlign w:val="center"/>
          </w:tcPr>
          <w:p w14:paraId="7933687E" w14:textId="77777777" w:rsidR="00724AAD" w:rsidRPr="00A854F4" w:rsidRDefault="00724AAD" w:rsidP="00C35DA5">
            <w:pPr>
              <w:keepNext/>
              <w:spacing w:before="60" w:after="60"/>
              <w:jc w:val="center"/>
              <w:rPr>
                <w:rFonts w:ascii="Arial" w:hAnsi="Arial" w:cs="Arial"/>
                <w:b/>
                <w:sz w:val="20"/>
                <w:szCs w:val="20"/>
              </w:rPr>
            </w:pPr>
            <w:r w:rsidRPr="00A854F4">
              <w:rPr>
                <w:rFonts w:ascii="Arial" w:hAnsi="Arial" w:cs="Arial"/>
                <w:b/>
                <w:sz w:val="20"/>
                <w:szCs w:val="20"/>
              </w:rPr>
              <w:t>Remedial actions</w:t>
            </w:r>
          </w:p>
        </w:tc>
      </w:tr>
      <w:tr w:rsidR="00724AAD" w:rsidRPr="00A854F4" w14:paraId="51FD2701" w14:textId="77777777" w:rsidTr="00C35DA5">
        <w:trPr>
          <w:jc w:val="center"/>
        </w:trPr>
        <w:tc>
          <w:tcPr>
            <w:tcW w:w="2500" w:type="pct"/>
            <w:shd w:val="clear" w:color="auto" w:fill="auto"/>
          </w:tcPr>
          <w:p w14:paraId="68121964" w14:textId="5AF7A865" w:rsidR="00724AAD" w:rsidRPr="00A854F4" w:rsidRDefault="000F460D">
            <w:pPr>
              <w:spacing w:before="60" w:after="60"/>
              <w:jc w:val="both"/>
              <w:rPr>
                <w:rFonts w:ascii="Arial" w:hAnsi="Arial" w:cs="Arial"/>
                <w:sz w:val="20"/>
                <w:szCs w:val="20"/>
              </w:rPr>
            </w:pPr>
            <w:r w:rsidRPr="00A854F4">
              <w:rPr>
                <w:rFonts w:ascii="Arial" w:hAnsi="Arial" w:cs="Arial"/>
                <w:sz w:val="20"/>
                <w:szCs w:val="20"/>
              </w:rPr>
              <w:t>F</w:t>
            </w:r>
            <w:r w:rsidR="00724AAD" w:rsidRPr="00A854F4">
              <w:rPr>
                <w:rFonts w:ascii="Arial" w:hAnsi="Arial" w:cs="Arial"/>
                <w:sz w:val="20"/>
                <w:szCs w:val="20"/>
              </w:rPr>
              <w:t xml:space="preserve">inding resource persons combining </w:t>
            </w:r>
            <w:r w:rsidRPr="00A854F4">
              <w:rPr>
                <w:rFonts w:ascii="Arial" w:hAnsi="Arial" w:cs="Arial"/>
                <w:sz w:val="20"/>
                <w:szCs w:val="20"/>
              </w:rPr>
              <w:t xml:space="preserve">dual </w:t>
            </w:r>
            <w:r w:rsidR="00724AAD" w:rsidRPr="00A854F4">
              <w:rPr>
                <w:rFonts w:ascii="Arial" w:hAnsi="Arial" w:cs="Arial"/>
                <w:sz w:val="20"/>
                <w:szCs w:val="20"/>
              </w:rPr>
              <w:t xml:space="preserve">competencies in </w:t>
            </w:r>
            <w:r w:rsidRPr="00A854F4">
              <w:rPr>
                <w:rFonts w:ascii="Arial" w:hAnsi="Arial" w:cs="Arial"/>
                <w:sz w:val="20"/>
                <w:szCs w:val="20"/>
              </w:rPr>
              <w:t>both</w:t>
            </w:r>
            <w:r w:rsidR="00724AAD" w:rsidRPr="00A854F4">
              <w:rPr>
                <w:rFonts w:ascii="Arial" w:hAnsi="Arial" w:cs="Arial"/>
                <w:sz w:val="20"/>
                <w:szCs w:val="20"/>
              </w:rPr>
              <w:t xml:space="preserve"> </w:t>
            </w:r>
            <w:r w:rsidRPr="00A854F4">
              <w:rPr>
                <w:rFonts w:ascii="Arial" w:hAnsi="Arial" w:cs="Arial"/>
                <w:sz w:val="20"/>
                <w:szCs w:val="20"/>
              </w:rPr>
              <w:t>living heritage and education has been a challenge as this is an innovative and relatively new area of work</w:t>
            </w:r>
            <w:r w:rsidR="00724AAD" w:rsidRPr="00A854F4">
              <w:rPr>
                <w:rFonts w:ascii="Arial" w:hAnsi="Arial" w:cs="Arial"/>
                <w:sz w:val="20"/>
                <w:szCs w:val="20"/>
              </w:rPr>
              <w:t>.</w:t>
            </w:r>
          </w:p>
        </w:tc>
        <w:tc>
          <w:tcPr>
            <w:tcW w:w="2500" w:type="pct"/>
            <w:shd w:val="clear" w:color="auto" w:fill="auto"/>
          </w:tcPr>
          <w:p w14:paraId="1964FAFB" w14:textId="08AF5A7B" w:rsidR="00724AAD" w:rsidRPr="00A854F4" w:rsidRDefault="00724AAD">
            <w:pPr>
              <w:spacing w:before="60" w:after="60"/>
              <w:jc w:val="both"/>
              <w:rPr>
                <w:rFonts w:ascii="Arial" w:eastAsia="Calibri" w:hAnsi="Arial" w:cs="Arial"/>
                <w:sz w:val="20"/>
                <w:szCs w:val="20"/>
              </w:rPr>
            </w:pPr>
            <w:r w:rsidRPr="00A854F4">
              <w:rPr>
                <w:rFonts w:ascii="Arial" w:hAnsi="Arial" w:cs="Arial"/>
                <w:sz w:val="20"/>
                <w:szCs w:val="20"/>
              </w:rPr>
              <w:t>The Secretariat undertook a concentrated effort</w:t>
            </w:r>
            <w:r w:rsidR="000F460D" w:rsidRPr="00A854F4">
              <w:rPr>
                <w:rFonts w:ascii="Arial" w:hAnsi="Arial" w:cs="Arial"/>
                <w:sz w:val="20"/>
                <w:szCs w:val="20"/>
              </w:rPr>
              <w:t xml:space="preserve"> in close collaboration with UNESCO’s Education Sector</w:t>
            </w:r>
            <w:r w:rsidRPr="00A854F4">
              <w:rPr>
                <w:rFonts w:ascii="Arial" w:hAnsi="Arial" w:cs="Arial"/>
                <w:sz w:val="20"/>
                <w:szCs w:val="20"/>
              </w:rPr>
              <w:t xml:space="preserve"> to identify and train resource persons with appropriate profiles for working on intangible cultural heritage and education. A first group of </w:t>
            </w:r>
            <w:r w:rsidR="003F1EDB" w:rsidRPr="00A854F4">
              <w:rPr>
                <w:rFonts w:ascii="Arial" w:hAnsi="Arial" w:cs="Arial"/>
                <w:sz w:val="20"/>
                <w:szCs w:val="20"/>
              </w:rPr>
              <w:t>twenty-seven</w:t>
            </w:r>
            <w:r w:rsidRPr="00A854F4">
              <w:rPr>
                <w:rFonts w:ascii="Arial" w:hAnsi="Arial" w:cs="Arial"/>
                <w:sz w:val="20"/>
                <w:szCs w:val="20"/>
              </w:rPr>
              <w:t xml:space="preserve"> resource persons has been identified and was trained in June</w:t>
            </w:r>
            <w:r w:rsidR="000F460D" w:rsidRPr="00A854F4">
              <w:rPr>
                <w:rFonts w:ascii="Arial" w:hAnsi="Arial" w:cs="Arial"/>
                <w:sz w:val="20"/>
                <w:szCs w:val="20"/>
              </w:rPr>
              <w:t xml:space="preserve"> 2021</w:t>
            </w:r>
            <w:r w:rsidRPr="00A854F4">
              <w:rPr>
                <w:rFonts w:ascii="Arial" w:hAnsi="Arial" w:cs="Arial"/>
                <w:sz w:val="20"/>
                <w:szCs w:val="20"/>
              </w:rPr>
              <w:t xml:space="preserve"> through an online training course specifically designed for this purpose. A second course </w:t>
            </w:r>
            <w:r w:rsidR="000F460D" w:rsidRPr="00A854F4">
              <w:rPr>
                <w:rFonts w:ascii="Arial" w:hAnsi="Arial" w:cs="Arial"/>
                <w:sz w:val="20"/>
                <w:szCs w:val="20"/>
              </w:rPr>
              <w:t>took place in</w:t>
            </w:r>
            <w:r w:rsidRPr="00A854F4">
              <w:rPr>
                <w:rFonts w:ascii="Arial" w:hAnsi="Arial" w:cs="Arial"/>
                <w:sz w:val="20"/>
                <w:szCs w:val="20"/>
              </w:rPr>
              <w:t xml:space="preserve"> October</w:t>
            </w:r>
            <w:r w:rsidR="000F460D" w:rsidRPr="00A854F4">
              <w:rPr>
                <w:rFonts w:ascii="Arial" w:hAnsi="Arial" w:cs="Arial"/>
                <w:sz w:val="20"/>
                <w:szCs w:val="20"/>
              </w:rPr>
              <w:t xml:space="preserve"> 2021</w:t>
            </w:r>
            <w:r w:rsidRPr="00A854F4">
              <w:rPr>
                <w:rFonts w:ascii="Arial" w:hAnsi="Arial" w:cs="Arial"/>
                <w:sz w:val="20"/>
                <w:szCs w:val="20"/>
              </w:rPr>
              <w:t xml:space="preserve">. </w:t>
            </w:r>
          </w:p>
        </w:tc>
      </w:tr>
    </w:tbl>
    <w:p w14:paraId="77CE3790" w14:textId="77777777" w:rsidR="00724AAD" w:rsidRPr="00A854F4" w:rsidRDefault="00724AAD" w:rsidP="00724AAD">
      <w:pPr>
        <w:pStyle w:val="1GAPara"/>
        <w:numPr>
          <w:ilvl w:val="0"/>
          <w:numId w:val="0"/>
        </w:numPr>
        <w:ind w:left="567" w:hanging="567"/>
      </w:pPr>
    </w:p>
    <w:p w14:paraId="5F22A82B" w14:textId="52A4E7E5" w:rsidR="00724AAD" w:rsidRPr="00A854F4" w:rsidRDefault="00724AAD" w:rsidP="00A05144">
      <w:pPr>
        <w:keepNext/>
        <w:spacing w:before="240"/>
        <w:jc w:val="both"/>
        <w:rPr>
          <w:rFonts w:ascii="Arial" w:hAnsi="Arial" w:cs="Arial"/>
          <w:b/>
          <w:szCs w:val="22"/>
        </w:rPr>
      </w:pPr>
      <w:r w:rsidRPr="00A854F4">
        <w:rPr>
          <w:rFonts w:ascii="Arial" w:hAnsi="Arial" w:cs="Arial"/>
          <w:b/>
          <w:szCs w:val="22"/>
        </w:rPr>
        <w:t>E</w:t>
      </w:r>
      <w:r w:rsidR="003F1EDB" w:rsidRPr="00A854F4">
        <w:rPr>
          <w:rFonts w:ascii="Arial" w:hAnsi="Arial" w:cs="Arial"/>
          <w:b/>
          <w:szCs w:val="22"/>
        </w:rPr>
        <w:t xml:space="preserve">xpected </w:t>
      </w:r>
      <w:r w:rsidRPr="00A854F4">
        <w:rPr>
          <w:rFonts w:ascii="Arial" w:hAnsi="Arial" w:cs="Arial"/>
          <w:b/>
          <w:szCs w:val="22"/>
        </w:rPr>
        <w:t>R</w:t>
      </w:r>
      <w:r w:rsidR="003F1EDB" w:rsidRPr="00A854F4">
        <w:rPr>
          <w:rFonts w:ascii="Arial" w:hAnsi="Arial" w:cs="Arial"/>
          <w:b/>
          <w:szCs w:val="22"/>
        </w:rPr>
        <w:t>esult</w:t>
      </w:r>
      <w:r w:rsidRPr="00A854F4">
        <w:rPr>
          <w:rFonts w:ascii="Arial" w:hAnsi="Arial" w:cs="Arial"/>
          <w:b/>
          <w:szCs w:val="22"/>
        </w:rPr>
        <w:t> 4:</w:t>
      </w:r>
      <w:r w:rsidRPr="00A854F4">
        <w:rPr>
          <w:rFonts w:ascii="Arial" w:hAnsi="Arial" w:cs="Arial"/>
          <w:b/>
          <w:szCs w:val="22"/>
        </w:rPr>
        <w:tab/>
      </w:r>
      <w:r w:rsidRPr="00A854F4">
        <w:rPr>
          <w:rFonts w:ascii="Arial" w:hAnsi="Arial" w:cs="Arial"/>
          <w:b/>
          <w:bCs/>
          <w:szCs w:val="22"/>
        </w:rPr>
        <w:t>Objectives of the Convention promoted through awareness-raising and</w:t>
      </w:r>
      <w:r w:rsidR="00D17ADC">
        <w:rPr>
          <w:rFonts w:ascii="Arial" w:hAnsi="Arial" w:cs="Arial"/>
          <w:b/>
          <w:bCs/>
          <w:szCs w:val="22"/>
        </w:rPr>
        <w:t xml:space="preserve"> </w:t>
      </w:r>
      <w:r w:rsidRPr="00A854F4">
        <w:rPr>
          <w:rFonts w:ascii="Arial" w:hAnsi="Arial" w:cs="Arial"/>
          <w:b/>
          <w:bCs/>
          <w:szCs w:val="22"/>
        </w:rPr>
        <w:t>outreach</w:t>
      </w:r>
    </w:p>
    <w:p w14:paraId="4F9A660B" w14:textId="77777777" w:rsidR="00724AAD" w:rsidRPr="00A854F4" w:rsidRDefault="00724AAD" w:rsidP="00724AAD">
      <w:pPr>
        <w:pStyle w:val="ListParagraph"/>
        <w:keepNext/>
        <w:numPr>
          <w:ilvl w:val="0"/>
          <w:numId w:val="12"/>
        </w:numPr>
        <w:spacing w:before="240"/>
        <w:ind w:left="284" w:hanging="284"/>
        <w:jc w:val="both"/>
        <w:rPr>
          <w:rFonts w:ascii="Arial" w:hAnsi="Arial" w:cs="Arial"/>
          <w:b/>
          <w:bCs/>
          <w:sz w:val="22"/>
          <w:szCs w:val="22"/>
          <w:lang w:val="en-GB"/>
        </w:rPr>
      </w:pPr>
      <w:r w:rsidRPr="00A854F4">
        <w:rPr>
          <w:rFonts w:ascii="Arial" w:hAnsi="Arial" w:cs="Arial"/>
          <w:b/>
          <w:bCs/>
          <w:sz w:val="22"/>
          <w:szCs w:val="22"/>
          <w:lang w:val="en-GB"/>
        </w:rPr>
        <w:t xml:space="preserve">Implementation report for the period 1 January 2018 to 31 December 2019 </w:t>
      </w:r>
    </w:p>
    <w:p w14:paraId="71498777" w14:textId="77777777" w:rsidR="00724AAD" w:rsidRPr="00A854F4" w:rsidRDefault="00724AAD" w:rsidP="00724AAD">
      <w:pPr>
        <w:pStyle w:val="ListParagraph"/>
        <w:keepNext/>
        <w:spacing w:before="240"/>
        <w:ind w:left="284"/>
        <w:jc w:val="both"/>
        <w:rPr>
          <w:rFonts w:ascii="Arial" w:hAnsi="Arial" w:cs="Arial"/>
          <w:b/>
          <w:bCs/>
          <w:sz w:val="22"/>
          <w:szCs w:val="22"/>
          <w:lang w:val="en-G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26111BF0" w14:textId="77777777" w:rsidTr="00C35DA5">
        <w:trPr>
          <w:jc w:val="center"/>
        </w:trPr>
        <w:tc>
          <w:tcPr>
            <w:tcW w:w="1999" w:type="pct"/>
            <w:shd w:val="clear" w:color="auto" w:fill="C6D9F1"/>
            <w:vAlign w:val="center"/>
          </w:tcPr>
          <w:p w14:paraId="2CDEC769"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Allocation</w:t>
            </w:r>
          </w:p>
        </w:tc>
        <w:tc>
          <w:tcPr>
            <w:tcW w:w="2118" w:type="pct"/>
            <w:shd w:val="clear" w:color="auto" w:fill="C6D9F1"/>
            <w:vAlign w:val="center"/>
          </w:tcPr>
          <w:p w14:paraId="7994BF43"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Expenditures</w:t>
            </w:r>
          </w:p>
        </w:tc>
        <w:tc>
          <w:tcPr>
            <w:tcW w:w="883" w:type="pct"/>
            <w:shd w:val="clear" w:color="auto" w:fill="C6D9F1"/>
            <w:vAlign w:val="center"/>
          </w:tcPr>
          <w:p w14:paraId="5A7A6F6A"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31/12/2019</w:t>
            </w:r>
          </w:p>
        </w:tc>
      </w:tr>
      <w:tr w:rsidR="00724AAD" w:rsidRPr="00A854F4" w14:paraId="5A9EDB38" w14:textId="77777777" w:rsidTr="00C35DA5">
        <w:trPr>
          <w:jc w:val="center"/>
        </w:trPr>
        <w:tc>
          <w:tcPr>
            <w:tcW w:w="1999" w:type="pct"/>
            <w:shd w:val="clear" w:color="auto" w:fill="auto"/>
          </w:tcPr>
          <w:p w14:paraId="79698546"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473,922.00</w:t>
            </w:r>
          </w:p>
        </w:tc>
        <w:tc>
          <w:tcPr>
            <w:tcW w:w="2118" w:type="pct"/>
            <w:shd w:val="clear" w:color="auto" w:fill="auto"/>
          </w:tcPr>
          <w:p w14:paraId="602ACC62"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453,271.11</w:t>
            </w:r>
          </w:p>
        </w:tc>
        <w:tc>
          <w:tcPr>
            <w:tcW w:w="883" w:type="pct"/>
            <w:shd w:val="clear" w:color="auto" w:fill="auto"/>
          </w:tcPr>
          <w:p w14:paraId="64EFB27A"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95.6%</w:t>
            </w:r>
          </w:p>
        </w:tc>
      </w:tr>
    </w:tbl>
    <w:p w14:paraId="1B4CD893"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724AAD" w:rsidRPr="00A854F4" w14:paraId="2606946A" w14:textId="77777777" w:rsidTr="00C35DA5">
        <w:trPr>
          <w:tblHeader/>
          <w:jc w:val="center"/>
        </w:trPr>
        <w:tc>
          <w:tcPr>
            <w:tcW w:w="6803" w:type="dxa"/>
            <w:shd w:val="clear" w:color="auto" w:fill="D9D9D9"/>
            <w:vAlign w:val="center"/>
          </w:tcPr>
          <w:p w14:paraId="6E1D4216"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results:</w:t>
            </w:r>
            <w:r w:rsidRPr="00A854F4">
              <w:rPr>
                <w:rFonts w:ascii="Arial" w:eastAsia="Calibri" w:hAnsi="Arial" w:cs="Arial"/>
                <w:b/>
                <w:sz w:val="20"/>
                <w:szCs w:val="20"/>
              </w:rPr>
              <w:br/>
              <w:t>01/01/2018 to 31/12/2019</w:t>
            </w:r>
          </w:p>
        </w:tc>
        <w:tc>
          <w:tcPr>
            <w:tcW w:w="2835" w:type="dxa"/>
            <w:shd w:val="clear" w:color="auto" w:fill="D9D9D9"/>
            <w:vAlign w:val="center"/>
          </w:tcPr>
          <w:p w14:paraId="737D3927" w14:textId="77777777" w:rsidR="00724AAD" w:rsidRPr="00A854F4" w:rsidRDefault="00724AAD" w:rsidP="00C35DA5">
            <w:pPr>
              <w:spacing w:before="60" w:after="60"/>
              <w:ind w:left="-107"/>
              <w:jc w:val="center"/>
              <w:rPr>
                <w:rFonts w:ascii="Arial" w:eastAsia="Calibri" w:hAnsi="Arial" w:cs="Arial"/>
                <w:b/>
                <w:sz w:val="20"/>
                <w:szCs w:val="20"/>
              </w:rPr>
            </w:pPr>
            <w:r w:rsidRPr="00A854F4">
              <w:rPr>
                <w:rFonts w:ascii="Arial" w:eastAsia="Calibri" w:hAnsi="Arial" w:cs="Arial"/>
                <w:b/>
                <w:sz w:val="20"/>
                <w:szCs w:val="20"/>
              </w:rPr>
              <w:t>Assessment of implementation</w:t>
            </w:r>
          </w:p>
        </w:tc>
      </w:tr>
      <w:tr w:rsidR="00724AAD" w:rsidRPr="00A854F4" w14:paraId="32FE0288" w14:textId="77777777" w:rsidTr="00C35DA5">
        <w:trPr>
          <w:jc w:val="center"/>
        </w:trPr>
        <w:tc>
          <w:tcPr>
            <w:tcW w:w="6803" w:type="dxa"/>
            <w:shd w:val="clear" w:color="auto" w:fill="auto"/>
          </w:tcPr>
          <w:p w14:paraId="285DB0F4" w14:textId="45CC14D4" w:rsidR="00266DB5" w:rsidRPr="00A854F4" w:rsidRDefault="00266DB5" w:rsidP="00322AB8">
            <w:pPr>
              <w:spacing w:before="60" w:after="60"/>
              <w:jc w:val="both"/>
              <w:rPr>
                <w:rFonts w:ascii="Arial" w:eastAsia="Calibri" w:hAnsi="Arial" w:cs="Arial"/>
                <w:b/>
                <w:bCs/>
                <w:sz w:val="20"/>
                <w:szCs w:val="20"/>
              </w:rPr>
            </w:pPr>
            <w:r w:rsidRPr="00A854F4">
              <w:rPr>
                <w:rFonts w:ascii="Arial" w:eastAsia="Calibri" w:hAnsi="Arial" w:cs="Arial"/>
                <w:b/>
                <w:bCs/>
                <w:sz w:val="20"/>
                <w:szCs w:val="20"/>
              </w:rPr>
              <w:t>Communication and outreach tools developed and implemented to promote the objectives of the Convention</w:t>
            </w:r>
          </w:p>
          <w:p w14:paraId="65787B1A" w14:textId="00350A17" w:rsidR="00724AAD" w:rsidRPr="00A854F4" w:rsidRDefault="00724AAD">
            <w:pPr>
              <w:numPr>
                <w:ilvl w:val="0"/>
                <w:numId w:val="10"/>
              </w:numPr>
              <w:spacing w:before="60" w:after="60"/>
              <w:ind w:left="313" w:hanging="313"/>
              <w:jc w:val="both"/>
              <w:rPr>
                <w:rFonts w:ascii="Arial" w:eastAsia="Calibri" w:hAnsi="Arial" w:cs="Arial"/>
                <w:sz w:val="20"/>
                <w:szCs w:val="20"/>
              </w:rPr>
            </w:pPr>
            <w:r w:rsidRPr="00A854F4">
              <w:rPr>
                <w:rFonts w:ascii="Arial" w:eastAsia="Calibri" w:hAnsi="Arial" w:cs="Arial"/>
                <w:sz w:val="20"/>
                <w:szCs w:val="20"/>
              </w:rPr>
              <w:t>Communication materials (i.e.</w:t>
            </w:r>
            <w:r w:rsidR="00A854F4">
              <w:rPr>
                <w:rFonts w:ascii="Arial" w:eastAsia="Calibri" w:hAnsi="Arial" w:cs="Arial"/>
                <w:sz w:val="20"/>
                <w:szCs w:val="20"/>
              </w:rPr>
              <w:t>,</w:t>
            </w:r>
            <w:r w:rsidRPr="00A854F4">
              <w:rPr>
                <w:rFonts w:ascii="Arial" w:eastAsia="Calibri" w:hAnsi="Arial" w:cs="Arial"/>
                <w:sz w:val="20"/>
                <w:szCs w:val="20"/>
              </w:rPr>
              <w:t xml:space="preserve"> four youth video clips, one media kit for the press) produced to raise public and media awareness and promote the importance of safeguarding intangible cultural heritage</w:t>
            </w:r>
            <w:r w:rsidR="003F1EDB" w:rsidRPr="00A854F4">
              <w:rPr>
                <w:rFonts w:ascii="Arial" w:eastAsia="Calibri" w:hAnsi="Arial" w:cs="Arial"/>
                <w:sz w:val="20"/>
                <w:szCs w:val="20"/>
              </w:rPr>
              <w:t>.</w:t>
            </w:r>
            <w:r w:rsidRPr="00A854F4">
              <w:rPr>
                <w:rFonts w:ascii="Arial" w:eastAsia="Calibri" w:hAnsi="Arial" w:cs="Arial"/>
                <w:sz w:val="20"/>
                <w:szCs w:val="20"/>
              </w:rPr>
              <w:t xml:space="preserve"> </w:t>
            </w:r>
            <w:r w:rsidR="003F1EDB" w:rsidRPr="00A854F4">
              <w:rPr>
                <w:rFonts w:ascii="Arial" w:eastAsia="Calibri" w:hAnsi="Arial" w:cs="Arial"/>
                <w:sz w:val="20"/>
                <w:szCs w:val="20"/>
              </w:rPr>
              <w:t>T</w:t>
            </w:r>
            <w:r w:rsidRPr="00A854F4">
              <w:rPr>
                <w:rFonts w:ascii="Arial" w:eastAsia="Calibri" w:hAnsi="Arial" w:cs="Arial"/>
                <w:sz w:val="20"/>
                <w:szCs w:val="20"/>
              </w:rPr>
              <w:t xml:space="preserve">hese were widely disseminated during the statutory meetings of the Convention at the </w:t>
            </w:r>
            <w:r w:rsidR="00653123" w:rsidRPr="00A854F4">
              <w:rPr>
                <w:rFonts w:ascii="Arial" w:eastAsia="Calibri" w:hAnsi="Arial" w:cs="Arial"/>
                <w:sz w:val="20"/>
                <w:szCs w:val="20"/>
              </w:rPr>
              <w:t xml:space="preserve">seventh </w:t>
            </w:r>
            <w:r w:rsidRPr="00A854F4">
              <w:rPr>
                <w:rFonts w:ascii="Arial" w:eastAsia="Calibri" w:hAnsi="Arial" w:cs="Arial"/>
                <w:sz w:val="20"/>
                <w:szCs w:val="20"/>
              </w:rPr>
              <w:t xml:space="preserve">session of </w:t>
            </w:r>
            <w:r w:rsidR="00653123" w:rsidRPr="00A854F4">
              <w:rPr>
                <w:rFonts w:ascii="Arial" w:eastAsia="Calibri" w:hAnsi="Arial" w:cs="Arial"/>
                <w:sz w:val="20"/>
                <w:szCs w:val="20"/>
              </w:rPr>
              <w:t xml:space="preserve">the </w:t>
            </w:r>
            <w:r w:rsidRPr="00A854F4">
              <w:rPr>
                <w:rFonts w:ascii="Arial" w:eastAsia="Calibri" w:hAnsi="Arial" w:cs="Arial"/>
                <w:sz w:val="20"/>
                <w:szCs w:val="20"/>
              </w:rPr>
              <w:t xml:space="preserve">General Assembly, during the </w:t>
            </w:r>
            <w:r w:rsidR="00653123" w:rsidRPr="00A854F4">
              <w:rPr>
                <w:rFonts w:ascii="Arial" w:eastAsia="Calibri" w:hAnsi="Arial" w:cs="Arial"/>
                <w:sz w:val="20"/>
                <w:szCs w:val="20"/>
              </w:rPr>
              <w:t>thirteenth</w:t>
            </w:r>
            <w:r w:rsidRPr="00A854F4">
              <w:rPr>
                <w:rFonts w:ascii="Arial" w:eastAsia="Calibri" w:hAnsi="Arial" w:cs="Arial"/>
                <w:sz w:val="20"/>
                <w:szCs w:val="20"/>
              </w:rPr>
              <w:t xml:space="preserve">, </w:t>
            </w:r>
            <w:r w:rsidR="00653123" w:rsidRPr="00A854F4">
              <w:rPr>
                <w:rFonts w:ascii="Arial" w:eastAsia="Calibri" w:hAnsi="Arial" w:cs="Arial"/>
                <w:sz w:val="20"/>
                <w:szCs w:val="20"/>
              </w:rPr>
              <w:t xml:space="preserve">fourteenth </w:t>
            </w:r>
            <w:r w:rsidRPr="00A854F4">
              <w:rPr>
                <w:rFonts w:ascii="Arial" w:eastAsia="Calibri" w:hAnsi="Arial" w:cs="Arial"/>
                <w:sz w:val="20"/>
                <w:szCs w:val="20"/>
              </w:rPr>
              <w:t xml:space="preserve">sessions </w:t>
            </w:r>
            <w:r w:rsidR="00653123" w:rsidRPr="00A854F4">
              <w:rPr>
                <w:rFonts w:ascii="Arial" w:eastAsia="Calibri" w:hAnsi="Arial" w:cs="Arial"/>
                <w:sz w:val="20"/>
                <w:szCs w:val="20"/>
              </w:rPr>
              <w:t xml:space="preserve">of the </w:t>
            </w:r>
            <w:r w:rsidRPr="00A854F4">
              <w:rPr>
                <w:rFonts w:ascii="Arial" w:eastAsia="Calibri" w:hAnsi="Arial" w:cs="Arial"/>
                <w:sz w:val="20"/>
                <w:szCs w:val="20"/>
              </w:rPr>
              <w:t>Committee and through social media.</w:t>
            </w:r>
          </w:p>
          <w:p w14:paraId="5A17710E" w14:textId="0DD0C330" w:rsidR="00724AAD" w:rsidRPr="00A854F4" w:rsidRDefault="00724AAD">
            <w:pPr>
              <w:numPr>
                <w:ilvl w:val="0"/>
                <w:numId w:val="10"/>
              </w:numPr>
              <w:spacing w:before="60" w:after="60"/>
              <w:ind w:left="313" w:hanging="313"/>
              <w:jc w:val="both"/>
              <w:rPr>
                <w:rFonts w:ascii="Arial" w:eastAsia="Calibri" w:hAnsi="Arial" w:cs="Arial"/>
                <w:sz w:val="20"/>
                <w:szCs w:val="20"/>
              </w:rPr>
            </w:pPr>
            <w:r w:rsidRPr="00A854F4">
              <w:rPr>
                <w:rFonts w:ascii="Arial" w:eastAsia="Calibri" w:hAnsi="Arial" w:cs="Arial"/>
                <w:sz w:val="20"/>
                <w:szCs w:val="20"/>
              </w:rPr>
              <w:t xml:space="preserve">Outreach activities (i.e., dialogue session on International Assistance, roundtable discussion to promote intangible cultural heritage and education, </w:t>
            </w:r>
            <w:r w:rsidR="003F1EDB" w:rsidRPr="00A854F4">
              <w:rPr>
                <w:rFonts w:ascii="Arial" w:eastAsia="Calibri" w:hAnsi="Arial" w:cs="Arial"/>
                <w:sz w:val="20"/>
                <w:szCs w:val="20"/>
              </w:rPr>
              <w:t>non-governmental organization</w:t>
            </w:r>
            <w:r w:rsidRPr="00A854F4">
              <w:rPr>
                <w:rFonts w:ascii="Arial" w:eastAsia="Calibri" w:hAnsi="Arial" w:cs="Arial"/>
                <w:sz w:val="20"/>
                <w:szCs w:val="20"/>
              </w:rPr>
              <w:t xml:space="preserve"> networking platform) that promote the objectives of the Convention organized during the seventh session of the General Assembly and the thirteenth session of the Committee.</w:t>
            </w:r>
          </w:p>
          <w:p w14:paraId="50591368" w14:textId="160B63FB" w:rsidR="00724AAD" w:rsidRPr="00A854F4" w:rsidRDefault="00724AAD">
            <w:pPr>
              <w:numPr>
                <w:ilvl w:val="0"/>
                <w:numId w:val="10"/>
              </w:numPr>
              <w:spacing w:before="60" w:after="60"/>
              <w:ind w:left="313" w:hanging="313"/>
              <w:jc w:val="both"/>
              <w:rPr>
                <w:rFonts w:ascii="Arial" w:eastAsia="Calibri" w:hAnsi="Arial" w:cs="Arial"/>
                <w:sz w:val="20"/>
                <w:szCs w:val="20"/>
              </w:rPr>
            </w:pPr>
            <w:r w:rsidRPr="00A854F4">
              <w:rPr>
                <w:rFonts w:ascii="Arial" w:eastAsia="Calibri" w:hAnsi="Arial" w:cs="Arial"/>
                <w:sz w:val="20"/>
                <w:szCs w:val="20"/>
              </w:rPr>
              <w:t>Launch and pilot demonstration of the web-based interface ‘Dive into Intangible Cultural Heritage’ held during the thirteenth session of the Committee.</w:t>
            </w:r>
          </w:p>
        </w:tc>
        <w:tc>
          <w:tcPr>
            <w:tcW w:w="2835" w:type="dxa"/>
          </w:tcPr>
          <w:p w14:paraId="044A5726" w14:textId="77777777" w:rsidR="00724AAD" w:rsidRPr="00A854F4"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Accomplished</w:t>
            </w:r>
          </w:p>
        </w:tc>
      </w:tr>
      <w:tr w:rsidR="00724AAD" w:rsidRPr="00A854F4" w14:paraId="27A8BEB3" w14:textId="77777777" w:rsidTr="00C35DA5">
        <w:trPr>
          <w:jc w:val="center"/>
        </w:trPr>
        <w:tc>
          <w:tcPr>
            <w:tcW w:w="6803" w:type="dxa"/>
            <w:shd w:val="clear" w:color="auto" w:fill="auto"/>
          </w:tcPr>
          <w:p w14:paraId="1A996F6C" w14:textId="1CDCD013" w:rsidR="00266DB5" w:rsidRPr="00A854F4" w:rsidRDefault="00266DB5" w:rsidP="00322AB8">
            <w:pPr>
              <w:spacing w:before="60" w:after="60"/>
              <w:jc w:val="both"/>
              <w:rPr>
                <w:rFonts w:ascii="Arial" w:eastAsia="Calibri" w:hAnsi="Arial" w:cs="Arial"/>
                <w:b/>
                <w:bCs/>
                <w:sz w:val="20"/>
                <w:szCs w:val="20"/>
              </w:rPr>
            </w:pPr>
            <w:r w:rsidRPr="00A854F4">
              <w:rPr>
                <w:rFonts w:ascii="Arial" w:eastAsia="Calibri" w:hAnsi="Arial" w:cs="Arial"/>
                <w:b/>
                <w:bCs/>
                <w:sz w:val="20"/>
                <w:szCs w:val="20"/>
              </w:rPr>
              <w:lastRenderedPageBreak/>
              <w:t xml:space="preserve">Additional advisory functions of accredited </w:t>
            </w:r>
            <w:r w:rsidR="003F1EDB" w:rsidRPr="00A854F4">
              <w:rPr>
                <w:rFonts w:ascii="Arial" w:eastAsia="Calibri" w:hAnsi="Arial" w:cs="Arial"/>
                <w:b/>
                <w:bCs/>
                <w:sz w:val="20"/>
                <w:szCs w:val="20"/>
              </w:rPr>
              <w:t xml:space="preserve">non-governmental organizations </w:t>
            </w:r>
            <w:r w:rsidRPr="00A854F4">
              <w:rPr>
                <w:rFonts w:ascii="Arial" w:eastAsia="Calibri" w:hAnsi="Arial" w:cs="Arial"/>
                <w:b/>
                <w:bCs/>
                <w:sz w:val="20"/>
                <w:szCs w:val="20"/>
              </w:rPr>
              <w:t>identified through an effective consultation process</w:t>
            </w:r>
          </w:p>
          <w:p w14:paraId="6F70561F" w14:textId="68B0B5EB" w:rsidR="00724AAD" w:rsidRPr="00A854F4" w:rsidRDefault="00653123">
            <w:pPr>
              <w:numPr>
                <w:ilvl w:val="0"/>
                <w:numId w:val="10"/>
              </w:numPr>
              <w:spacing w:before="60" w:after="60"/>
              <w:ind w:left="313" w:hanging="313"/>
              <w:jc w:val="both"/>
              <w:rPr>
                <w:rFonts w:ascii="Arial" w:eastAsia="Calibri" w:hAnsi="Arial" w:cs="Arial"/>
                <w:sz w:val="20"/>
                <w:szCs w:val="20"/>
              </w:rPr>
            </w:pPr>
            <w:r w:rsidRPr="00A854F4">
              <w:rPr>
                <w:rFonts w:ascii="Arial" w:eastAsia="Calibri" w:hAnsi="Arial" w:cs="Arial"/>
                <w:sz w:val="20"/>
                <w:szCs w:val="20"/>
              </w:rPr>
              <w:t xml:space="preserve">In line with the </w:t>
            </w:r>
            <w:r w:rsidR="00F43D0C" w:rsidRPr="00A854F4">
              <w:rPr>
                <w:rFonts w:ascii="Arial" w:eastAsia="Calibri" w:hAnsi="Arial" w:cs="Arial"/>
                <w:sz w:val="20"/>
                <w:szCs w:val="20"/>
              </w:rPr>
              <w:t xml:space="preserve">request of the </w:t>
            </w:r>
            <w:r w:rsidR="00A854F4" w:rsidRPr="00A854F4">
              <w:rPr>
                <w:rFonts w:ascii="Arial" w:eastAsia="Calibri" w:hAnsi="Arial" w:cs="Arial"/>
                <w:sz w:val="20"/>
                <w:szCs w:val="20"/>
              </w:rPr>
              <w:t>twelf</w:t>
            </w:r>
            <w:r w:rsidR="00F43D0C" w:rsidRPr="00A854F4">
              <w:rPr>
                <w:rFonts w:ascii="Arial" w:eastAsia="Calibri" w:hAnsi="Arial" w:cs="Arial"/>
                <w:sz w:val="20"/>
                <w:szCs w:val="20"/>
              </w:rPr>
              <w:t xml:space="preserve">th session of the </w:t>
            </w:r>
            <w:r w:rsidRPr="00A854F4">
              <w:rPr>
                <w:rFonts w:ascii="Arial" w:eastAsia="Calibri" w:hAnsi="Arial" w:cs="Arial"/>
                <w:sz w:val="20"/>
                <w:szCs w:val="20"/>
              </w:rPr>
              <w:t xml:space="preserve">Committee (Decision 12.COM 17), reflection on the advisory functions of accredited </w:t>
            </w:r>
            <w:r w:rsidR="003F1EDB" w:rsidRPr="00A854F4">
              <w:rPr>
                <w:rFonts w:ascii="Arial" w:eastAsia="Calibri" w:hAnsi="Arial" w:cs="Arial"/>
                <w:sz w:val="20"/>
                <w:szCs w:val="20"/>
              </w:rPr>
              <w:t>non-governmental organizations (</w:t>
            </w:r>
            <w:r w:rsidRPr="00A854F4">
              <w:rPr>
                <w:rFonts w:ascii="Arial" w:eastAsia="Calibri" w:hAnsi="Arial" w:cs="Arial"/>
                <w:sz w:val="20"/>
                <w:szCs w:val="20"/>
              </w:rPr>
              <w:t>NGOs</w:t>
            </w:r>
            <w:r w:rsidR="003F1EDB" w:rsidRPr="00A854F4">
              <w:rPr>
                <w:rFonts w:ascii="Arial" w:eastAsia="Calibri" w:hAnsi="Arial" w:cs="Arial"/>
                <w:sz w:val="20"/>
                <w:szCs w:val="20"/>
              </w:rPr>
              <w:t>)</w:t>
            </w:r>
            <w:r w:rsidRPr="00A854F4">
              <w:rPr>
                <w:rFonts w:ascii="Arial" w:eastAsia="Calibri" w:hAnsi="Arial" w:cs="Arial"/>
                <w:sz w:val="20"/>
                <w:szCs w:val="20"/>
              </w:rPr>
              <w:t xml:space="preserve"> carried out through an electronic consultation in 2018 and a consultation meeting in 2019. </w:t>
            </w:r>
            <w:r w:rsidR="00A854F4" w:rsidRPr="00A854F4">
              <w:rPr>
                <w:rFonts w:ascii="Arial" w:eastAsia="Calibri" w:hAnsi="Arial" w:cs="Arial"/>
                <w:sz w:val="20"/>
                <w:szCs w:val="20"/>
              </w:rPr>
              <w:t>Ninety-nine </w:t>
            </w:r>
            <w:r w:rsidR="00724AAD" w:rsidRPr="00A854F4">
              <w:rPr>
                <w:rFonts w:ascii="Arial" w:eastAsia="Calibri" w:hAnsi="Arial" w:cs="Arial"/>
                <w:sz w:val="20"/>
                <w:szCs w:val="20"/>
              </w:rPr>
              <w:t xml:space="preserve">accredited NGOs and </w:t>
            </w:r>
            <w:r w:rsidR="00A854F4" w:rsidRPr="00A854F4">
              <w:rPr>
                <w:rFonts w:ascii="Arial" w:eastAsia="Calibri" w:hAnsi="Arial" w:cs="Arial"/>
                <w:sz w:val="20"/>
                <w:szCs w:val="20"/>
              </w:rPr>
              <w:t xml:space="preserve">seventy-six </w:t>
            </w:r>
            <w:r w:rsidR="00724AAD" w:rsidRPr="00A854F4">
              <w:rPr>
                <w:rFonts w:ascii="Arial" w:eastAsia="Calibri" w:hAnsi="Arial" w:cs="Arial"/>
                <w:sz w:val="20"/>
                <w:szCs w:val="20"/>
              </w:rPr>
              <w:t xml:space="preserve">States participated in </w:t>
            </w:r>
            <w:r w:rsidRPr="00A854F4">
              <w:rPr>
                <w:rFonts w:ascii="Arial" w:eastAsia="Calibri" w:hAnsi="Arial" w:cs="Arial"/>
                <w:sz w:val="20"/>
                <w:szCs w:val="20"/>
              </w:rPr>
              <w:t xml:space="preserve">the </w:t>
            </w:r>
            <w:r w:rsidR="00724AAD" w:rsidRPr="00A854F4">
              <w:rPr>
                <w:rFonts w:ascii="Arial" w:eastAsia="Calibri" w:hAnsi="Arial" w:cs="Arial"/>
                <w:sz w:val="20"/>
                <w:szCs w:val="20"/>
              </w:rPr>
              <w:t>electronic consultation in 2018 and a consultation meeting in 2019, which highlighted the need to map the domains of competence and capacities of accredited NGOs and clarify the nature and purpose of the accreditation system.</w:t>
            </w:r>
            <w:r w:rsidRPr="00A854F4">
              <w:rPr>
                <w:rFonts w:ascii="Arial" w:eastAsia="Calibri" w:hAnsi="Arial" w:cs="Arial"/>
                <w:sz w:val="20"/>
                <w:szCs w:val="20"/>
              </w:rPr>
              <w:t xml:space="preserve"> Outcomes from the reflection </w:t>
            </w:r>
            <w:r w:rsidR="00266DB5" w:rsidRPr="00A854F4">
              <w:rPr>
                <w:rFonts w:ascii="Arial" w:eastAsia="Calibri" w:hAnsi="Arial" w:cs="Arial"/>
                <w:sz w:val="20"/>
                <w:szCs w:val="20"/>
              </w:rPr>
              <w:t xml:space="preserve">with potential advisory functions that could be fulfilled by accredited NGOs </w:t>
            </w:r>
            <w:r w:rsidRPr="00A854F4">
              <w:rPr>
                <w:rFonts w:ascii="Arial" w:eastAsia="Calibri" w:hAnsi="Arial" w:cs="Arial"/>
                <w:sz w:val="20"/>
                <w:szCs w:val="20"/>
              </w:rPr>
              <w:t>were presented to the eight</w:t>
            </w:r>
            <w:r w:rsidR="00D7226D" w:rsidRPr="00A854F4">
              <w:rPr>
                <w:rFonts w:ascii="Arial" w:eastAsia="Calibri" w:hAnsi="Arial" w:cs="Arial"/>
                <w:sz w:val="20"/>
                <w:szCs w:val="20"/>
              </w:rPr>
              <w:t>h</w:t>
            </w:r>
            <w:r w:rsidRPr="00A854F4">
              <w:rPr>
                <w:rFonts w:ascii="Arial" w:eastAsia="Calibri" w:hAnsi="Arial" w:cs="Arial"/>
                <w:sz w:val="20"/>
                <w:szCs w:val="20"/>
              </w:rPr>
              <w:t xml:space="preserve"> session of the General Assembly in September 2020.</w:t>
            </w:r>
          </w:p>
        </w:tc>
        <w:tc>
          <w:tcPr>
            <w:tcW w:w="2835" w:type="dxa"/>
            <w:shd w:val="clear" w:color="auto" w:fill="auto"/>
          </w:tcPr>
          <w:p w14:paraId="1C8C217E" w14:textId="77777777" w:rsidR="00724AAD" w:rsidRDefault="00724AAD" w:rsidP="00C35DA5">
            <w:pPr>
              <w:spacing w:before="320" w:after="60"/>
              <w:jc w:val="center"/>
              <w:rPr>
                <w:rFonts w:ascii="Arial" w:eastAsia="Calibri" w:hAnsi="Arial" w:cs="Arial"/>
                <w:sz w:val="20"/>
                <w:szCs w:val="20"/>
              </w:rPr>
            </w:pPr>
            <w:r w:rsidRPr="00A854F4">
              <w:rPr>
                <w:rFonts w:ascii="Arial" w:eastAsia="Calibri" w:hAnsi="Arial" w:cs="Arial"/>
                <w:sz w:val="20"/>
                <w:szCs w:val="20"/>
              </w:rPr>
              <w:t>Accomplished</w:t>
            </w:r>
          </w:p>
          <w:p w14:paraId="266BEC41" w14:textId="77777777" w:rsidR="004434A3" w:rsidRDefault="004434A3" w:rsidP="00C35DA5">
            <w:pPr>
              <w:spacing w:before="320" w:after="60"/>
              <w:jc w:val="center"/>
              <w:rPr>
                <w:rFonts w:ascii="Arial" w:eastAsia="Calibri" w:hAnsi="Arial" w:cs="Arial"/>
                <w:sz w:val="20"/>
                <w:szCs w:val="20"/>
              </w:rPr>
            </w:pPr>
          </w:p>
          <w:p w14:paraId="43A4E317" w14:textId="46EDA8A7" w:rsidR="004434A3" w:rsidRPr="00A854F4" w:rsidRDefault="004434A3" w:rsidP="00C35DA5">
            <w:pPr>
              <w:spacing w:before="320" w:after="60"/>
              <w:jc w:val="center"/>
              <w:rPr>
                <w:rFonts w:ascii="Arial" w:eastAsia="Calibri" w:hAnsi="Arial" w:cs="Arial"/>
                <w:sz w:val="20"/>
                <w:szCs w:val="20"/>
              </w:rPr>
            </w:pPr>
          </w:p>
        </w:tc>
      </w:tr>
    </w:tbl>
    <w:p w14:paraId="0FA8AE99" w14:textId="77777777" w:rsidR="00724AAD" w:rsidRPr="00A854F4" w:rsidRDefault="00724AAD" w:rsidP="00724AAD">
      <w:pPr>
        <w:pStyle w:val="ListParagraph"/>
        <w:keepNext/>
        <w:numPr>
          <w:ilvl w:val="0"/>
          <w:numId w:val="12"/>
        </w:numPr>
        <w:spacing w:before="240"/>
        <w:ind w:left="284" w:hanging="284"/>
        <w:jc w:val="both"/>
        <w:rPr>
          <w:rFonts w:ascii="Arial" w:hAnsi="Arial" w:cs="Arial"/>
          <w:b/>
          <w:bCs/>
          <w:sz w:val="22"/>
          <w:szCs w:val="22"/>
          <w:lang w:val="en-GB"/>
        </w:rPr>
      </w:pPr>
      <w:r w:rsidRPr="00A854F4">
        <w:rPr>
          <w:rFonts w:ascii="Arial" w:hAnsi="Arial" w:cs="Arial"/>
          <w:b/>
          <w:bCs/>
          <w:sz w:val="22"/>
          <w:szCs w:val="22"/>
          <w:lang w:val="en-GB"/>
        </w:rPr>
        <w:t xml:space="preserve">Implementation report for the period 1 January 2020 to 30 June 2021 </w:t>
      </w:r>
    </w:p>
    <w:p w14:paraId="553EE7B1" w14:textId="77777777" w:rsidR="00724AAD" w:rsidRPr="00A854F4" w:rsidRDefault="00724AAD" w:rsidP="00724AAD">
      <w:pPr>
        <w:pStyle w:val="ListParagraph"/>
        <w:keepNext/>
        <w:spacing w:before="240"/>
        <w:ind w:left="284"/>
        <w:jc w:val="both"/>
        <w:rPr>
          <w:rFonts w:ascii="Arial" w:hAnsi="Arial" w:cs="Arial"/>
          <w:b/>
          <w:bCs/>
          <w:sz w:val="22"/>
          <w:szCs w:val="22"/>
          <w:lang w:val="en-G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24AAD" w:rsidRPr="00A854F4" w14:paraId="1203AEDD" w14:textId="77777777" w:rsidTr="00322AB8">
        <w:trPr>
          <w:jc w:val="center"/>
        </w:trPr>
        <w:tc>
          <w:tcPr>
            <w:tcW w:w="1999" w:type="pct"/>
            <w:shd w:val="clear" w:color="auto" w:fill="92D050"/>
            <w:vAlign w:val="center"/>
          </w:tcPr>
          <w:p w14:paraId="694B4F69" w14:textId="77777777" w:rsidR="00724AAD" w:rsidRPr="00A854F4" w:rsidRDefault="00724AAD" w:rsidP="00C35DA5">
            <w:pPr>
              <w:keepNext/>
              <w:spacing w:before="120"/>
              <w:jc w:val="center"/>
              <w:rPr>
                <w:rFonts w:ascii="Arial" w:eastAsia="Calibri" w:hAnsi="Arial" w:cs="Arial"/>
                <w:b/>
                <w:sz w:val="20"/>
                <w:szCs w:val="20"/>
              </w:rPr>
            </w:pPr>
            <w:r w:rsidRPr="00A854F4">
              <w:rPr>
                <w:rFonts w:ascii="Arial" w:eastAsia="Calibri" w:hAnsi="Arial" w:cs="Arial"/>
                <w:b/>
                <w:sz w:val="20"/>
                <w:szCs w:val="20"/>
              </w:rPr>
              <w:t>Allocation</w:t>
            </w:r>
          </w:p>
        </w:tc>
        <w:tc>
          <w:tcPr>
            <w:tcW w:w="2118" w:type="pct"/>
            <w:shd w:val="clear" w:color="auto" w:fill="92D050"/>
            <w:vAlign w:val="center"/>
          </w:tcPr>
          <w:p w14:paraId="09324E62"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Expenditures</w:t>
            </w:r>
          </w:p>
        </w:tc>
        <w:tc>
          <w:tcPr>
            <w:tcW w:w="883" w:type="pct"/>
            <w:shd w:val="clear" w:color="auto" w:fill="92D050"/>
            <w:vAlign w:val="center"/>
          </w:tcPr>
          <w:p w14:paraId="69F5B3E8" w14:textId="77777777" w:rsidR="00724AAD" w:rsidRPr="00A854F4" w:rsidRDefault="00724AAD" w:rsidP="00C35DA5">
            <w:pPr>
              <w:spacing w:before="120"/>
              <w:jc w:val="center"/>
              <w:rPr>
                <w:rFonts w:ascii="Arial" w:eastAsia="Calibri" w:hAnsi="Arial" w:cs="Arial"/>
                <w:b/>
                <w:sz w:val="20"/>
                <w:szCs w:val="20"/>
              </w:rPr>
            </w:pPr>
            <w:r w:rsidRPr="00A854F4">
              <w:rPr>
                <w:rFonts w:ascii="Arial" w:eastAsia="Calibri" w:hAnsi="Arial" w:cs="Arial"/>
                <w:b/>
                <w:sz w:val="20"/>
                <w:szCs w:val="20"/>
              </w:rPr>
              <w:t>Exp. Rate %</w:t>
            </w:r>
            <w:r w:rsidRPr="00A854F4">
              <w:rPr>
                <w:rFonts w:ascii="Arial" w:eastAsia="Calibri" w:hAnsi="Arial" w:cs="Arial"/>
                <w:b/>
                <w:sz w:val="20"/>
                <w:szCs w:val="20"/>
              </w:rPr>
              <w:br/>
              <w:t>at 30/06/2021</w:t>
            </w:r>
          </w:p>
        </w:tc>
      </w:tr>
      <w:tr w:rsidR="00724AAD" w:rsidRPr="00A854F4" w14:paraId="45CAF420" w14:textId="77777777" w:rsidTr="00C35DA5">
        <w:trPr>
          <w:jc w:val="center"/>
        </w:trPr>
        <w:tc>
          <w:tcPr>
            <w:tcW w:w="1999" w:type="pct"/>
            <w:shd w:val="clear" w:color="auto" w:fill="auto"/>
          </w:tcPr>
          <w:p w14:paraId="3258171F"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423,381.00</w:t>
            </w:r>
          </w:p>
        </w:tc>
        <w:tc>
          <w:tcPr>
            <w:tcW w:w="2118" w:type="pct"/>
            <w:shd w:val="clear" w:color="auto" w:fill="auto"/>
          </w:tcPr>
          <w:p w14:paraId="787BDAFF"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144,658.41</w:t>
            </w:r>
          </w:p>
        </w:tc>
        <w:tc>
          <w:tcPr>
            <w:tcW w:w="883" w:type="pct"/>
            <w:shd w:val="clear" w:color="auto" w:fill="auto"/>
          </w:tcPr>
          <w:p w14:paraId="428D6791" w14:textId="77777777" w:rsidR="00724AAD" w:rsidRPr="00A854F4" w:rsidRDefault="00724AAD" w:rsidP="00C35DA5">
            <w:pPr>
              <w:spacing w:before="120"/>
              <w:jc w:val="center"/>
              <w:rPr>
                <w:rFonts w:ascii="Arial" w:eastAsia="Calibri" w:hAnsi="Arial" w:cs="Arial"/>
                <w:sz w:val="20"/>
                <w:szCs w:val="20"/>
              </w:rPr>
            </w:pPr>
            <w:r w:rsidRPr="00A854F4">
              <w:rPr>
                <w:rFonts w:ascii="Arial" w:eastAsia="Calibri" w:hAnsi="Arial" w:cs="Arial"/>
                <w:sz w:val="20"/>
                <w:szCs w:val="20"/>
              </w:rPr>
              <w:t>34.2%</w:t>
            </w:r>
          </w:p>
        </w:tc>
      </w:tr>
    </w:tbl>
    <w:p w14:paraId="16045049" w14:textId="77777777" w:rsidR="00724AAD" w:rsidRPr="00A854F4" w:rsidRDefault="00724AAD" w:rsidP="00724AAD">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724AAD" w:rsidRPr="00A854F4" w14:paraId="6ADD2560" w14:textId="77777777" w:rsidTr="00C35DA5">
        <w:trPr>
          <w:tblHeader/>
          <w:jc w:val="center"/>
        </w:trPr>
        <w:tc>
          <w:tcPr>
            <w:tcW w:w="6803" w:type="dxa"/>
            <w:shd w:val="clear" w:color="auto" w:fill="D9D9D9"/>
            <w:vAlign w:val="center"/>
          </w:tcPr>
          <w:p w14:paraId="3E88C022"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progress:</w:t>
            </w:r>
            <w:r w:rsidRPr="00A854F4">
              <w:rPr>
                <w:rFonts w:ascii="Arial" w:eastAsia="Calibri" w:hAnsi="Arial" w:cs="Arial"/>
                <w:b/>
                <w:sz w:val="20"/>
                <w:szCs w:val="20"/>
              </w:rPr>
              <w:br/>
              <w:t>01/01/2020 to 30/06/2021</w:t>
            </w:r>
          </w:p>
        </w:tc>
        <w:tc>
          <w:tcPr>
            <w:tcW w:w="2835" w:type="dxa"/>
            <w:shd w:val="clear" w:color="auto" w:fill="D9D9D9"/>
            <w:vAlign w:val="center"/>
          </w:tcPr>
          <w:p w14:paraId="1F3FBA5C" w14:textId="77777777" w:rsidR="00724AAD" w:rsidRPr="00A854F4" w:rsidRDefault="00724AAD" w:rsidP="00C35DA5">
            <w:pPr>
              <w:spacing w:before="60" w:after="60"/>
              <w:jc w:val="center"/>
              <w:rPr>
                <w:rFonts w:ascii="Arial" w:eastAsia="Calibri" w:hAnsi="Arial" w:cs="Arial"/>
                <w:b/>
                <w:sz w:val="20"/>
                <w:szCs w:val="20"/>
              </w:rPr>
            </w:pPr>
            <w:r w:rsidRPr="00A854F4">
              <w:rPr>
                <w:rFonts w:ascii="Arial" w:eastAsia="Calibri" w:hAnsi="Arial" w:cs="Arial"/>
                <w:b/>
                <w:sz w:val="20"/>
                <w:szCs w:val="20"/>
              </w:rPr>
              <w:t>Assessment of implementation</w:t>
            </w:r>
          </w:p>
        </w:tc>
      </w:tr>
      <w:tr w:rsidR="00724AAD" w:rsidRPr="00A854F4" w14:paraId="7737E200" w14:textId="77777777" w:rsidTr="00C35DA5">
        <w:trPr>
          <w:jc w:val="center"/>
        </w:trPr>
        <w:tc>
          <w:tcPr>
            <w:tcW w:w="6803" w:type="dxa"/>
            <w:shd w:val="clear" w:color="auto" w:fill="auto"/>
          </w:tcPr>
          <w:p w14:paraId="759BEAFA" w14:textId="7D99536C" w:rsidR="00266DB5" w:rsidRPr="00A854F4" w:rsidRDefault="00266DB5" w:rsidP="00F13022">
            <w:pPr>
              <w:spacing w:before="60" w:after="60"/>
              <w:jc w:val="both"/>
              <w:rPr>
                <w:rFonts w:ascii="Arial" w:eastAsia="Calibri" w:hAnsi="Arial" w:cs="Arial"/>
                <w:b/>
                <w:bCs/>
                <w:sz w:val="20"/>
                <w:szCs w:val="20"/>
              </w:rPr>
            </w:pPr>
            <w:r w:rsidRPr="00A854F4">
              <w:rPr>
                <w:rFonts w:ascii="Arial" w:eastAsia="Calibri" w:hAnsi="Arial" w:cs="Arial"/>
                <w:b/>
                <w:bCs/>
                <w:sz w:val="20"/>
                <w:szCs w:val="20"/>
              </w:rPr>
              <w:t>Communication and outreach tools developed and implemented to promote the objectives of the Convention</w:t>
            </w:r>
          </w:p>
          <w:p w14:paraId="308CCE22" w14:textId="50751B0A" w:rsidR="00772114" w:rsidRPr="00A854F4" w:rsidRDefault="00266DB5">
            <w:pPr>
              <w:numPr>
                <w:ilvl w:val="0"/>
                <w:numId w:val="10"/>
              </w:numPr>
              <w:spacing w:before="60" w:after="60"/>
              <w:ind w:left="357" w:hanging="357"/>
              <w:jc w:val="both"/>
              <w:rPr>
                <w:rFonts w:asciiTheme="minorBidi" w:eastAsia="Calibri" w:hAnsiTheme="minorBidi" w:cstheme="minorBidi"/>
                <w:sz w:val="20"/>
                <w:szCs w:val="20"/>
              </w:rPr>
            </w:pPr>
            <w:r w:rsidRPr="00A854F4">
              <w:rPr>
                <w:rFonts w:asciiTheme="minorBidi" w:eastAsia="Calibri" w:hAnsiTheme="minorBidi" w:cstheme="minorBidi"/>
                <w:sz w:val="20"/>
                <w:szCs w:val="20"/>
              </w:rPr>
              <w:t>Online</w:t>
            </w:r>
            <w:r w:rsidR="00772114" w:rsidRPr="00A854F4">
              <w:rPr>
                <w:rFonts w:asciiTheme="minorBidi" w:eastAsia="Calibri" w:hAnsiTheme="minorBidi" w:cstheme="minorBidi"/>
                <w:sz w:val="20"/>
                <w:szCs w:val="20"/>
              </w:rPr>
              <w:t xml:space="preserve"> platform and</w:t>
            </w:r>
            <w:r w:rsidRPr="00A854F4">
              <w:rPr>
                <w:rFonts w:asciiTheme="minorBidi" w:eastAsia="Calibri" w:hAnsiTheme="minorBidi" w:cstheme="minorBidi"/>
                <w:sz w:val="20"/>
                <w:szCs w:val="20"/>
              </w:rPr>
              <w:t xml:space="preserve"> survey </w:t>
            </w:r>
            <w:r w:rsidR="00772114" w:rsidRPr="00A854F4">
              <w:rPr>
                <w:rFonts w:asciiTheme="minorBidi" w:eastAsia="Calibri" w:hAnsiTheme="minorBidi" w:cstheme="minorBidi"/>
                <w:sz w:val="20"/>
                <w:szCs w:val="20"/>
              </w:rPr>
              <w:t xml:space="preserve">on </w:t>
            </w:r>
            <w:r w:rsidRPr="00A854F4">
              <w:rPr>
                <w:rFonts w:asciiTheme="minorBidi" w:eastAsia="Calibri" w:hAnsiTheme="minorBidi" w:cstheme="minorBidi"/>
                <w:sz w:val="20"/>
                <w:szCs w:val="20"/>
              </w:rPr>
              <w:t>‘Living heritage experiences in the context of the COVID-19 pandemic’ launched in April</w:t>
            </w:r>
            <w:r w:rsidR="00A854F4" w:rsidRPr="00A854F4">
              <w:rPr>
                <w:rFonts w:asciiTheme="minorBidi" w:eastAsia="Calibri" w:hAnsiTheme="minorBidi" w:cstheme="minorBidi"/>
                <w:sz w:val="20"/>
                <w:szCs w:val="20"/>
              </w:rPr>
              <w:t xml:space="preserve"> – </w:t>
            </w:r>
            <w:r w:rsidR="00772114" w:rsidRPr="00A854F4">
              <w:rPr>
                <w:rFonts w:asciiTheme="minorBidi" w:eastAsia="Calibri" w:hAnsiTheme="minorBidi" w:cstheme="minorBidi"/>
                <w:sz w:val="20"/>
                <w:szCs w:val="20"/>
              </w:rPr>
              <w:t>May</w:t>
            </w:r>
            <w:r w:rsidRPr="00A854F4">
              <w:rPr>
                <w:rFonts w:asciiTheme="minorBidi" w:eastAsia="Calibri" w:hAnsiTheme="minorBidi" w:cstheme="minorBidi"/>
                <w:sz w:val="20"/>
                <w:szCs w:val="20"/>
              </w:rPr>
              <w:t xml:space="preserve"> 2020, </w:t>
            </w:r>
            <w:r w:rsidR="00772114" w:rsidRPr="00A854F4">
              <w:rPr>
                <w:rFonts w:asciiTheme="minorBidi" w:eastAsia="Calibri" w:hAnsiTheme="minorBidi" w:cstheme="minorBidi"/>
                <w:sz w:val="20"/>
                <w:szCs w:val="20"/>
              </w:rPr>
              <w:t>with m</w:t>
            </w:r>
            <w:r w:rsidRPr="00A854F4">
              <w:rPr>
                <w:rFonts w:asciiTheme="minorBidi" w:eastAsia="Calibri" w:hAnsiTheme="minorBidi" w:cstheme="minorBidi"/>
                <w:sz w:val="20"/>
                <w:szCs w:val="20"/>
              </w:rPr>
              <w:t>ore than 200 submissions</w:t>
            </w:r>
            <w:r w:rsidR="00772114" w:rsidRPr="00A854F4">
              <w:rPr>
                <w:rFonts w:asciiTheme="minorBidi" w:eastAsia="Calibri" w:hAnsiTheme="minorBidi" w:cstheme="minorBidi"/>
                <w:sz w:val="20"/>
                <w:szCs w:val="20"/>
              </w:rPr>
              <w:t xml:space="preserve"> from practitioners and communities </w:t>
            </w:r>
            <w:r w:rsidRPr="00A854F4">
              <w:rPr>
                <w:rFonts w:asciiTheme="minorBidi" w:eastAsia="Calibri" w:hAnsiTheme="minorBidi" w:cstheme="minorBidi"/>
                <w:sz w:val="20"/>
                <w:szCs w:val="20"/>
              </w:rPr>
              <w:t>access</w:t>
            </w:r>
            <w:r w:rsidR="00772114" w:rsidRPr="00A854F4">
              <w:rPr>
                <w:rFonts w:asciiTheme="minorBidi" w:eastAsia="Calibri" w:hAnsiTheme="minorBidi" w:cstheme="minorBidi"/>
                <w:sz w:val="20"/>
                <w:szCs w:val="20"/>
              </w:rPr>
              <w:t>ible</w:t>
            </w:r>
            <w:r w:rsidRPr="00A854F4">
              <w:rPr>
                <w:rFonts w:asciiTheme="minorBidi" w:eastAsia="Calibri" w:hAnsiTheme="minorBidi" w:cstheme="minorBidi"/>
                <w:sz w:val="20"/>
                <w:szCs w:val="20"/>
              </w:rPr>
              <w:t>.</w:t>
            </w:r>
          </w:p>
          <w:p w14:paraId="0D27F2AB" w14:textId="0F24D067" w:rsidR="00724AAD" w:rsidRPr="00A854F4" w:rsidRDefault="00266DB5">
            <w:pPr>
              <w:numPr>
                <w:ilvl w:val="0"/>
                <w:numId w:val="10"/>
              </w:numPr>
              <w:spacing w:before="60" w:after="60"/>
              <w:ind w:left="357" w:hanging="357"/>
              <w:jc w:val="both"/>
              <w:rPr>
                <w:rFonts w:asciiTheme="minorBidi" w:eastAsia="Calibri" w:hAnsiTheme="minorBidi" w:cstheme="minorBidi"/>
                <w:sz w:val="20"/>
                <w:szCs w:val="20"/>
              </w:rPr>
            </w:pPr>
            <w:r w:rsidRPr="00A854F4">
              <w:rPr>
                <w:rFonts w:asciiTheme="minorBidi" w:eastAsia="Calibri" w:hAnsiTheme="minorBidi" w:cstheme="minorBidi"/>
                <w:sz w:val="20"/>
                <w:szCs w:val="20"/>
              </w:rPr>
              <w:t xml:space="preserve">After preliminary articles </w:t>
            </w:r>
            <w:r w:rsidR="00772114" w:rsidRPr="00A854F4">
              <w:rPr>
                <w:rFonts w:asciiTheme="minorBidi" w:eastAsia="Calibri" w:hAnsiTheme="minorBidi" w:cstheme="minorBidi"/>
                <w:sz w:val="20"/>
                <w:szCs w:val="20"/>
              </w:rPr>
              <w:t xml:space="preserve">published in the </w:t>
            </w:r>
            <w:r w:rsidRPr="00A854F4">
              <w:rPr>
                <w:rFonts w:asciiTheme="minorBidi" w:eastAsia="Calibri" w:hAnsiTheme="minorBidi" w:cstheme="minorBidi"/>
                <w:sz w:val="20"/>
                <w:szCs w:val="20"/>
              </w:rPr>
              <w:t>UNESCO Culture &amp; COVID-19 tracker</w:t>
            </w:r>
            <w:r w:rsidR="00772114" w:rsidRPr="00A854F4">
              <w:rPr>
                <w:rFonts w:asciiTheme="minorBidi" w:eastAsia="Calibri" w:hAnsiTheme="minorBidi" w:cstheme="minorBidi"/>
                <w:sz w:val="20"/>
                <w:szCs w:val="20"/>
              </w:rPr>
              <w:t xml:space="preserve"> and the </w:t>
            </w:r>
            <w:r w:rsidRPr="00A854F4">
              <w:rPr>
                <w:rFonts w:asciiTheme="minorBidi" w:eastAsia="Calibri" w:hAnsiTheme="minorBidi" w:cstheme="minorBidi"/>
                <w:sz w:val="20"/>
                <w:szCs w:val="20"/>
              </w:rPr>
              <w:t xml:space="preserve">World Heritage Review, </w:t>
            </w:r>
            <w:r w:rsidR="00772114" w:rsidRPr="00A854F4">
              <w:rPr>
                <w:rFonts w:asciiTheme="minorBidi" w:eastAsia="Calibri" w:hAnsiTheme="minorBidi" w:cstheme="minorBidi"/>
                <w:sz w:val="20"/>
                <w:szCs w:val="20"/>
              </w:rPr>
              <w:t>as well as a</w:t>
            </w:r>
            <w:r w:rsidRPr="00A854F4">
              <w:rPr>
                <w:rFonts w:asciiTheme="minorBidi" w:eastAsia="Calibri" w:hAnsiTheme="minorBidi" w:cstheme="minorBidi"/>
                <w:sz w:val="20"/>
                <w:szCs w:val="20"/>
              </w:rPr>
              <w:t xml:space="preserve"> ResiliArt online dialogue on the </w:t>
            </w:r>
            <w:r w:rsidR="00772114" w:rsidRPr="00A854F4">
              <w:rPr>
                <w:rFonts w:asciiTheme="minorBidi" w:eastAsia="Calibri" w:hAnsiTheme="minorBidi" w:cstheme="minorBidi"/>
                <w:sz w:val="20"/>
                <w:szCs w:val="20"/>
              </w:rPr>
              <w:t xml:space="preserve">impact of the </w:t>
            </w:r>
            <w:r w:rsidRPr="00A854F4">
              <w:rPr>
                <w:rFonts w:asciiTheme="minorBidi" w:eastAsia="Calibri" w:hAnsiTheme="minorBidi" w:cstheme="minorBidi"/>
                <w:sz w:val="20"/>
                <w:szCs w:val="20"/>
              </w:rPr>
              <w:t xml:space="preserve">pandemic </w:t>
            </w:r>
            <w:r w:rsidR="00772114" w:rsidRPr="00A854F4">
              <w:rPr>
                <w:rFonts w:asciiTheme="minorBidi" w:eastAsia="Calibri" w:hAnsiTheme="minorBidi" w:cstheme="minorBidi"/>
                <w:sz w:val="20"/>
                <w:szCs w:val="20"/>
              </w:rPr>
              <w:t>on living heritage in the margins of the eighth session of the General Assembly</w:t>
            </w:r>
            <w:r w:rsidRPr="00A854F4">
              <w:rPr>
                <w:rFonts w:asciiTheme="minorBidi" w:eastAsia="Calibri" w:hAnsiTheme="minorBidi" w:cstheme="minorBidi"/>
                <w:sz w:val="20"/>
                <w:szCs w:val="20"/>
              </w:rPr>
              <w:t xml:space="preserve">, a final report </w:t>
            </w:r>
            <w:r w:rsidR="00A854F4" w:rsidRPr="00A854F4">
              <w:rPr>
                <w:rFonts w:asciiTheme="minorBidi" w:eastAsia="Calibri" w:hAnsiTheme="minorBidi" w:cstheme="minorBidi"/>
                <w:sz w:val="20"/>
                <w:szCs w:val="20"/>
              </w:rPr>
              <w:t xml:space="preserve">titled </w:t>
            </w:r>
            <w:r w:rsidRPr="00A854F4">
              <w:rPr>
                <w:rFonts w:asciiTheme="minorBidi" w:eastAsia="Calibri" w:hAnsiTheme="minorBidi" w:cstheme="minorBidi"/>
                <w:sz w:val="20"/>
                <w:szCs w:val="20"/>
              </w:rPr>
              <w:t xml:space="preserve">‘Living Heritage in the face of COVID-19’ </w:t>
            </w:r>
            <w:r w:rsidR="00A854F4" w:rsidRPr="00A854F4">
              <w:rPr>
                <w:rFonts w:asciiTheme="minorBidi" w:eastAsia="Calibri" w:hAnsiTheme="minorBidi" w:cstheme="minorBidi"/>
                <w:sz w:val="20"/>
                <w:szCs w:val="20"/>
              </w:rPr>
              <w:t xml:space="preserve">was </w:t>
            </w:r>
            <w:r w:rsidRPr="00A854F4">
              <w:rPr>
                <w:rFonts w:asciiTheme="minorBidi" w:eastAsia="Calibri" w:hAnsiTheme="minorBidi" w:cstheme="minorBidi"/>
                <w:sz w:val="20"/>
                <w:szCs w:val="20"/>
              </w:rPr>
              <w:t>published</w:t>
            </w:r>
            <w:r w:rsidR="00772114" w:rsidRPr="00A854F4">
              <w:rPr>
                <w:rFonts w:asciiTheme="minorBidi" w:eastAsia="Calibri" w:hAnsiTheme="minorBidi" w:cstheme="minorBidi"/>
                <w:sz w:val="20"/>
                <w:szCs w:val="20"/>
              </w:rPr>
              <w:t xml:space="preserve"> in May 2021</w:t>
            </w:r>
            <w:r w:rsidRPr="00A854F4">
              <w:rPr>
                <w:rFonts w:asciiTheme="minorBidi" w:eastAsia="Calibri" w:hAnsiTheme="minorBidi" w:cstheme="minorBidi"/>
                <w:sz w:val="20"/>
                <w:szCs w:val="20"/>
              </w:rPr>
              <w:t xml:space="preserve"> </w:t>
            </w:r>
            <w:r w:rsidR="00772114" w:rsidRPr="00A854F4">
              <w:rPr>
                <w:rFonts w:asciiTheme="minorBidi" w:eastAsia="Calibri" w:hAnsiTheme="minorBidi" w:cstheme="minorBidi"/>
                <w:sz w:val="20"/>
                <w:szCs w:val="20"/>
              </w:rPr>
              <w:t>in two languages</w:t>
            </w:r>
            <w:r w:rsidR="00A854F4" w:rsidRPr="00A854F4">
              <w:rPr>
                <w:rFonts w:asciiTheme="minorBidi" w:eastAsia="Calibri" w:hAnsiTheme="minorBidi" w:cstheme="minorBidi"/>
                <w:sz w:val="20"/>
                <w:szCs w:val="20"/>
              </w:rPr>
              <w:t xml:space="preserve"> (English and French)</w:t>
            </w:r>
            <w:r w:rsidR="00772114" w:rsidRPr="00A854F4">
              <w:rPr>
                <w:rFonts w:asciiTheme="minorBidi" w:eastAsia="Calibri" w:hAnsiTheme="minorBidi" w:cstheme="minorBidi"/>
                <w:sz w:val="20"/>
                <w:szCs w:val="20"/>
              </w:rPr>
              <w:t xml:space="preserve">, </w:t>
            </w:r>
            <w:r w:rsidR="00A854F4" w:rsidRPr="00A854F4">
              <w:rPr>
                <w:rFonts w:asciiTheme="minorBidi" w:eastAsia="Calibri" w:hAnsiTheme="minorBidi" w:cstheme="minorBidi"/>
                <w:sz w:val="20"/>
                <w:szCs w:val="20"/>
              </w:rPr>
              <w:t xml:space="preserve">with </w:t>
            </w:r>
            <w:r w:rsidRPr="00A854F4">
              <w:rPr>
                <w:rFonts w:asciiTheme="minorBidi" w:eastAsia="Calibri" w:hAnsiTheme="minorBidi" w:cstheme="minorBidi"/>
                <w:sz w:val="20"/>
                <w:szCs w:val="20"/>
              </w:rPr>
              <w:t>key recommendations for building back better</w:t>
            </w:r>
            <w:r w:rsidR="00772114" w:rsidRPr="00A854F4">
              <w:rPr>
                <w:rFonts w:asciiTheme="minorBidi" w:eastAsia="Calibri" w:hAnsiTheme="minorBidi" w:cstheme="minorBidi"/>
                <w:sz w:val="20"/>
                <w:szCs w:val="20"/>
              </w:rPr>
              <w:t>.</w:t>
            </w:r>
          </w:p>
          <w:p w14:paraId="069539C9" w14:textId="379B3CC7" w:rsidR="00724AAD" w:rsidRPr="00A854F4" w:rsidRDefault="00724AAD">
            <w:pPr>
              <w:numPr>
                <w:ilvl w:val="0"/>
                <w:numId w:val="10"/>
              </w:numPr>
              <w:spacing w:before="60" w:after="60"/>
              <w:ind w:left="357" w:hanging="357"/>
              <w:jc w:val="both"/>
              <w:rPr>
                <w:rFonts w:asciiTheme="minorBidi" w:eastAsia="Calibri" w:hAnsiTheme="minorBidi" w:cstheme="minorBidi"/>
                <w:sz w:val="20"/>
                <w:szCs w:val="20"/>
              </w:rPr>
            </w:pPr>
            <w:r w:rsidRPr="00A854F4">
              <w:rPr>
                <w:rFonts w:asciiTheme="minorBidi" w:eastAsia="Calibri" w:hAnsiTheme="minorBidi" w:cstheme="minorBidi"/>
                <w:sz w:val="20"/>
                <w:szCs w:val="20"/>
              </w:rPr>
              <w:t xml:space="preserve">One thematic exhibition </w:t>
            </w:r>
            <w:r w:rsidR="00772114" w:rsidRPr="00A854F4">
              <w:rPr>
                <w:rFonts w:asciiTheme="minorBidi" w:eastAsia="Calibri" w:hAnsiTheme="minorBidi" w:cstheme="minorBidi"/>
                <w:sz w:val="20"/>
                <w:szCs w:val="20"/>
              </w:rPr>
              <w:t xml:space="preserve">– </w:t>
            </w:r>
            <w:r w:rsidRPr="00A854F4">
              <w:rPr>
                <w:rFonts w:asciiTheme="minorBidi" w:eastAsia="Calibri" w:hAnsiTheme="minorBidi" w:cstheme="minorBidi"/>
                <w:sz w:val="20"/>
                <w:szCs w:val="20"/>
              </w:rPr>
              <w:t>a</w:t>
            </w:r>
            <w:r w:rsidR="00772114" w:rsidRPr="00A854F4">
              <w:rPr>
                <w:rFonts w:asciiTheme="minorBidi" w:eastAsia="Calibri" w:hAnsiTheme="minorBidi" w:cstheme="minorBidi"/>
                <w:sz w:val="20"/>
                <w:szCs w:val="20"/>
              </w:rPr>
              <w:t xml:space="preserve"> </w:t>
            </w:r>
            <w:r w:rsidRPr="00A854F4">
              <w:rPr>
                <w:rFonts w:asciiTheme="minorBidi" w:eastAsia="Calibri" w:hAnsiTheme="minorBidi" w:cstheme="minorBidi"/>
                <w:sz w:val="20"/>
                <w:szCs w:val="20"/>
              </w:rPr>
              <w:t xml:space="preserve">reproduction of </w:t>
            </w:r>
            <w:r w:rsidR="00772114" w:rsidRPr="00A854F4">
              <w:rPr>
                <w:rFonts w:asciiTheme="minorBidi" w:eastAsia="Calibri" w:hAnsiTheme="minorBidi" w:cstheme="minorBidi"/>
                <w:sz w:val="20"/>
                <w:szCs w:val="20"/>
              </w:rPr>
              <w:t xml:space="preserve">a </w:t>
            </w:r>
            <w:r w:rsidRPr="00A854F4">
              <w:rPr>
                <w:rFonts w:asciiTheme="minorBidi" w:eastAsia="Calibri" w:hAnsiTheme="minorBidi" w:cstheme="minorBidi"/>
                <w:sz w:val="20"/>
                <w:szCs w:val="20"/>
              </w:rPr>
              <w:t>sound exhibition of Indigenous Languages</w:t>
            </w:r>
            <w:r w:rsidR="00772114" w:rsidRPr="00A854F4">
              <w:rPr>
                <w:rFonts w:asciiTheme="minorBidi" w:eastAsia="Calibri" w:hAnsiTheme="minorBidi" w:cstheme="minorBidi"/>
                <w:sz w:val="20"/>
                <w:szCs w:val="20"/>
              </w:rPr>
              <w:t xml:space="preserve"> – installed at UNESCO Headquarters.</w:t>
            </w:r>
          </w:p>
          <w:p w14:paraId="519F308B" w14:textId="125BAC87" w:rsidR="00772114" w:rsidRPr="00A854F4" w:rsidRDefault="00772114" w:rsidP="00772114">
            <w:pPr>
              <w:numPr>
                <w:ilvl w:val="0"/>
                <w:numId w:val="10"/>
              </w:numPr>
              <w:spacing w:before="60" w:after="60"/>
              <w:ind w:left="357" w:hanging="357"/>
              <w:jc w:val="both"/>
              <w:rPr>
                <w:rFonts w:asciiTheme="minorBidi" w:eastAsia="Calibri" w:hAnsiTheme="minorBidi" w:cstheme="minorBidi"/>
                <w:sz w:val="20"/>
                <w:szCs w:val="20"/>
              </w:rPr>
            </w:pPr>
            <w:r w:rsidRPr="00A854F4">
              <w:rPr>
                <w:rFonts w:asciiTheme="minorBidi" w:eastAsia="Calibri" w:hAnsiTheme="minorBidi" w:cstheme="minorBidi"/>
                <w:sz w:val="20"/>
                <w:szCs w:val="20"/>
              </w:rPr>
              <w:t xml:space="preserve">Promotion of </w:t>
            </w:r>
            <w:r w:rsidR="00A854F4" w:rsidRPr="00A854F4">
              <w:rPr>
                <w:rFonts w:asciiTheme="minorBidi" w:eastAsia="Calibri" w:hAnsiTheme="minorBidi" w:cstheme="minorBidi"/>
                <w:sz w:val="20"/>
                <w:szCs w:val="20"/>
              </w:rPr>
              <w:t xml:space="preserve">sustainable development goal </w:t>
            </w:r>
            <w:r w:rsidRPr="00A854F4">
              <w:rPr>
                <w:rFonts w:asciiTheme="minorBidi" w:eastAsia="Calibri" w:hAnsiTheme="minorBidi" w:cstheme="minorBidi"/>
                <w:sz w:val="20"/>
                <w:szCs w:val="20"/>
              </w:rPr>
              <w:t>visualization (</w:t>
            </w:r>
            <w:r w:rsidR="00570FA8" w:rsidRPr="00A854F4">
              <w:rPr>
                <w:rFonts w:asciiTheme="minorBidi" w:eastAsia="Calibri" w:hAnsiTheme="minorBidi" w:cstheme="minorBidi"/>
                <w:sz w:val="20"/>
                <w:szCs w:val="20"/>
              </w:rPr>
              <w:t xml:space="preserve">animations </w:t>
            </w:r>
            <w:r w:rsidR="00AC4B9F" w:rsidRPr="00A854F4">
              <w:rPr>
                <w:rFonts w:asciiTheme="minorBidi" w:eastAsia="Calibri" w:hAnsiTheme="minorBidi" w:cstheme="minorBidi"/>
                <w:sz w:val="20"/>
                <w:szCs w:val="20"/>
              </w:rPr>
              <w:t xml:space="preserve">in development </w:t>
            </w:r>
            <w:r w:rsidR="00570FA8" w:rsidRPr="00A854F4">
              <w:rPr>
                <w:rFonts w:asciiTheme="minorBidi" w:eastAsia="Calibri" w:hAnsiTheme="minorBidi" w:cstheme="minorBidi"/>
                <w:sz w:val="20"/>
                <w:szCs w:val="20"/>
              </w:rPr>
              <w:t xml:space="preserve">for a display on screens </w:t>
            </w:r>
            <w:r w:rsidR="00AC4B9F" w:rsidRPr="00A854F4">
              <w:rPr>
                <w:rFonts w:asciiTheme="minorBidi" w:eastAsia="Calibri" w:hAnsiTheme="minorBidi" w:cstheme="minorBidi"/>
                <w:sz w:val="20"/>
                <w:szCs w:val="20"/>
              </w:rPr>
              <w:t>at</w:t>
            </w:r>
            <w:r w:rsidR="00570FA8" w:rsidRPr="00A854F4">
              <w:rPr>
                <w:rFonts w:asciiTheme="minorBidi" w:eastAsia="Calibri" w:hAnsiTheme="minorBidi" w:cstheme="minorBidi"/>
                <w:sz w:val="20"/>
                <w:szCs w:val="20"/>
              </w:rPr>
              <w:t xml:space="preserve"> UNESCO</w:t>
            </w:r>
            <w:r w:rsidR="00AC4B9F" w:rsidRPr="00A854F4">
              <w:rPr>
                <w:rFonts w:asciiTheme="minorBidi" w:eastAsia="Calibri" w:hAnsiTheme="minorBidi" w:cstheme="minorBidi"/>
                <w:sz w:val="20"/>
                <w:szCs w:val="20"/>
              </w:rPr>
              <w:t xml:space="preserve"> Headquarters)</w:t>
            </w:r>
            <w:r w:rsidR="00570FA8" w:rsidRPr="00A854F4">
              <w:rPr>
                <w:rFonts w:asciiTheme="minorBidi" w:eastAsia="Calibri" w:hAnsiTheme="minorBidi" w:cstheme="minorBidi"/>
                <w:sz w:val="20"/>
                <w:szCs w:val="20"/>
              </w:rPr>
              <w:t xml:space="preserve"> for end 2021/beginning 2022</w:t>
            </w:r>
            <w:r w:rsidRPr="00A854F4">
              <w:rPr>
                <w:rFonts w:asciiTheme="minorBidi" w:eastAsia="Calibri" w:hAnsiTheme="minorBidi" w:cstheme="minorBidi"/>
                <w:sz w:val="20"/>
                <w:szCs w:val="20"/>
              </w:rPr>
              <w:t>.</w:t>
            </w:r>
          </w:p>
          <w:p w14:paraId="6E502157" w14:textId="59777895" w:rsidR="00772114" w:rsidRPr="00A854F4" w:rsidRDefault="00AC4B9F" w:rsidP="00772114">
            <w:pPr>
              <w:numPr>
                <w:ilvl w:val="0"/>
                <w:numId w:val="10"/>
              </w:numPr>
              <w:spacing w:before="60" w:after="60"/>
              <w:ind w:left="357" w:hanging="357"/>
              <w:jc w:val="both"/>
              <w:rPr>
                <w:rFonts w:asciiTheme="minorBidi" w:eastAsia="Calibri" w:hAnsiTheme="minorBidi" w:cstheme="minorBidi"/>
                <w:sz w:val="20"/>
                <w:szCs w:val="20"/>
              </w:rPr>
            </w:pPr>
            <w:r w:rsidRPr="00A854F4">
              <w:rPr>
                <w:rFonts w:asciiTheme="minorBidi" w:eastAsia="Calibri" w:hAnsiTheme="minorBidi" w:cstheme="minorBidi"/>
                <w:sz w:val="20"/>
                <w:szCs w:val="20"/>
              </w:rPr>
              <w:t>Ongoing r</w:t>
            </w:r>
            <w:r w:rsidR="00772114" w:rsidRPr="00A854F4">
              <w:rPr>
                <w:rFonts w:asciiTheme="minorBidi" w:eastAsia="Calibri" w:hAnsiTheme="minorBidi" w:cstheme="minorBidi"/>
                <w:sz w:val="20"/>
                <w:szCs w:val="20"/>
              </w:rPr>
              <w:t>evamp of the website (design and organization</w:t>
            </w:r>
            <w:r w:rsidR="00570FA8" w:rsidRPr="00A854F4">
              <w:rPr>
                <w:rFonts w:asciiTheme="minorBidi" w:eastAsia="Calibri" w:hAnsiTheme="minorBidi" w:cstheme="minorBidi"/>
                <w:sz w:val="20"/>
                <w:szCs w:val="20"/>
              </w:rPr>
              <w:t xml:space="preserve"> reviewed, in </w:t>
            </w:r>
            <w:r w:rsidRPr="00A854F4">
              <w:rPr>
                <w:rFonts w:asciiTheme="minorBidi" w:eastAsia="Calibri" w:hAnsiTheme="minorBidi" w:cstheme="minorBidi"/>
                <w:sz w:val="20"/>
                <w:szCs w:val="20"/>
              </w:rPr>
              <w:t>order</w:t>
            </w:r>
            <w:r w:rsidR="00570FA8" w:rsidRPr="00A854F4">
              <w:rPr>
                <w:rFonts w:asciiTheme="minorBidi" w:eastAsia="Calibri" w:hAnsiTheme="minorBidi" w:cstheme="minorBidi"/>
                <w:sz w:val="20"/>
                <w:szCs w:val="20"/>
              </w:rPr>
              <w:t xml:space="preserve"> to align it with the new </w:t>
            </w:r>
            <w:r w:rsidRPr="00A854F4">
              <w:rPr>
                <w:rFonts w:asciiTheme="minorBidi" w:eastAsia="Calibri" w:hAnsiTheme="minorBidi" w:cstheme="minorBidi"/>
                <w:sz w:val="20"/>
                <w:szCs w:val="20"/>
              </w:rPr>
              <w:t xml:space="preserve">UNESCO </w:t>
            </w:r>
            <w:r w:rsidR="00570FA8" w:rsidRPr="00A854F4">
              <w:rPr>
                <w:rFonts w:asciiTheme="minorBidi" w:eastAsia="Calibri" w:hAnsiTheme="minorBidi" w:cstheme="minorBidi"/>
                <w:sz w:val="20"/>
                <w:szCs w:val="20"/>
              </w:rPr>
              <w:t>graphic charter</w:t>
            </w:r>
            <w:r w:rsidRPr="00A854F4">
              <w:rPr>
                <w:rFonts w:asciiTheme="minorBidi" w:eastAsia="Calibri" w:hAnsiTheme="minorBidi" w:cstheme="minorBidi"/>
                <w:sz w:val="20"/>
                <w:szCs w:val="20"/>
              </w:rPr>
              <w:t>) to be released in the first</w:t>
            </w:r>
            <w:r w:rsidR="00570FA8" w:rsidRPr="00A854F4">
              <w:rPr>
                <w:rFonts w:asciiTheme="minorBidi" w:eastAsia="Calibri" w:hAnsiTheme="minorBidi" w:cstheme="minorBidi"/>
                <w:sz w:val="20"/>
                <w:szCs w:val="20"/>
              </w:rPr>
              <w:t xml:space="preserve"> semester 2022</w:t>
            </w:r>
            <w:r w:rsidRPr="00A854F4">
              <w:rPr>
                <w:rFonts w:asciiTheme="minorBidi" w:eastAsia="Calibri" w:hAnsiTheme="minorBidi" w:cstheme="minorBidi"/>
                <w:sz w:val="20"/>
                <w:szCs w:val="20"/>
              </w:rPr>
              <w:t>.</w:t>
            </w:r>
          </w:p>
          <w:p w14:paraId="25D68B05" w14:textId="0B55DDC6" w:rsidR="00724AAD" w:rsidRPr="00A854F4" w:rsidRDefault="00570FA8">
            <w:pPr>
              <w:numPr>
                <w:ilvl w:val="0"/>
                <w:numId w:val="10"/>
              </w:numPr>
              <w:spacing w:before="60" w:after="60"/>
              <w:ind w:left="357" w:hanging="357"/>
              <w:jc w:val="both"/>
              <w:rPr>
                <w:rFonts w:asciiTheme="minorBidi" w:eastAsia="Calibri" w:hAnsiTheme="minorBidi" w:cstheme="minorBidi"/>
                <w:sz w:val="20"/>
                <w:szCs w:val="20"/>
              </w:rPr>
            </w:pPr>
            <w:r w:rsidRPr="00A854F4">
              <w:rPr>
                <w:rFonts w:asciiTheme="minorBidi" w:eastAsia="Calibri" w:hAnsiTheme="minorBidi" w:cstheme="minorBidi"/>
                <w:sz w:val="20"/>
                <w:szCs w:val="20"/>
              </w:rPr>
              <w:t>A t</w:t>
            </w:r>
            <w:r w:rsidR="00724AAD" w:rsidRPr="00A854F4">
              <w:rPr>
                <w:rFonts w:asciiTheme="minorBidi" w:eastAsia="Calibri" w:hAnsiTheme="minorBidi" w:cstheme="minorBidi"/>
                <w:sz w:val="20"/>
                <w:szCs w:val="20"/>
              </w:rPr>
              <w:t>hematic</w:t>
            </w:r>
            <w:r w:rsidR="00322AB8" w:rsidRPr="00A854F4">
              <w:rPr>
                <w:rFonts w:asciiTheme="minorBidi" w:eastAsia="Calibri" w:hAnsiTheme="minorBidi" w:cstheme="minorBidi"/>
                <w:sz w:val="20"/>
                <w:szCs w:val="20"/>
              </w:rPr>
              <w:t xml:space="preserve"> </w:t>
            </w:r>
            <w:r w:rsidR="00724AAD" w:rsidRPr="00A854F4">
              <w:rPr>
                <w:rFonts w:asciiTheme="minorBidi" w:eastAsia="Calibri" w:hAnsiTheme="minorBidi" w:cstheme="minorBidi"/>
                <w:sz w:val="20"/>
                <w:szCs w:val="20"/>
              </w:rPr>
              <w:t>brochure (PDF) o</w:t>
            </w:r>
            <w:r w:rsidR="00C87671" w:rsidRPr="00A854F4">
              <w:rPr>
                <w:rFonts w:asciiTheme="minorBidi" w:eastAsia="Calibri" w:hAnsiTheme="minorBidi" w:cstheme="minorBidi"/>
                <w:sz w:val="20"/>
                <w:szCs w:val="20"/>
              </w:rPr>
              <w:t>n living heritage and emergencies is being elaborated for a release in December 2021</w:t>
            </w:r>
            <w:r w:rsidR="00AC4B9F" w:rsidRPr="00A854F4">
              <w:rPr>
                <w:rFonts w:asciiTheme="minorBidi" w:eastAsia="Calibri" w:hAnsiTheme="minorBidi" w:cstheme="minorBidi"/>
                <w:sz w:val="20"/>
                <w:szCs w:val="20"/>
              </w:rPr>
              <w:t>.</w:t>
            </w:r>
          </w:p>
          <w:p w14:paraId="1290F22F" w14:textId="321467E9" w:rsidR="00724AAD" w:rsidRPr="00A854F4" w:rsidRDefault="00724AAD">
            <w:pPr>
              <w:numPr>
                <w:ilvl w:val="0"/>
                <w:numId w:val="10"/>
              </w:numPr>
              <w:spacing w:before="60" w:after="60"/>
              <w:ind w:left="357" w:hanging="357"/>
              <w:jc w:val="both"/>
              <w:rPr>
                <w:rFonts w:ascii="Arial" w:eastAsia="Calibri" w:hAnsi="Arial" w:cs="Arial"/>
                <w:sz w:val="20"/>
                <w:szCs w:val="20"/>
              </w:rPr>
            </w:pPr>
            <w:r w:rsidRPr="00A854F4">
              <w:rPr>
                <w:rFonts w:asciiTheme="minorBidi" w:eastAsia="Calibri" w:hAnsiTheme="minorBidi" w:cstheme="minorBidi"/>
                <w:sz w:val="20"/>
                <w:szCs w:val="20"/>
              </w:rPr>
              <w:t>K</w:t>
            </w:r>
            <w:r w:rsidR="00772114" w:rsidRPr="00A854F4">
              <w:rPr>
                <w:rFonts w:asciiTheme="minorBidi" w:eastAsia="Calibri" w:hAnsiTheme="minorBidi" w:cstheme="minorBidi"/>
                <w:sz w:val="20"/>
                <w:szCs w:val="20"/>
              </w:rPr>
              <w:t xml:space="preserve">nowledge management system optimised </w:t>
            </w:r>
            <w:r w:rsidRPr="00A854F4">
              <w:rPr>
                <w:rFonts w:asciiTheme="minorBidi" w:eastAsia="Calibri" w:hAnsiTheme="minorBidi" w:cstheme="minorBidi"/>
                <w:sz w:val="20"/>
                <w:szCs w:val="20"/>
              </w:rPr>
              <w:t>to better face waves of online conne</w:t>
            </w:r>
            <w:r w:rsidR="00772114" w:rsidRPr="00A854F4">
              <w:rPr>
                <w:rFonts w:asciiTheme="minorBidi" w:eastAsia="Calibri" w:hAnsiTheme="minorBidi" w:cstheme="minorBidi"/>
                <w:sz w:val="20"/>
                <w:szCs w:val="20"/>
              </w:rPr>
              <w:t>ct</w:t>
            </w:r>
            <w:r w:rsidRPr="00A854F4">
              <w:rPr>
                <w:rFonts w:asciiTheme="minorBidi" w:eastAsia="Calibri" w:hAnsiTheme="minorBidi" w:cstheme="minorBidi"/>
                <w:sz w:val="20"/>
                <w:szCs w:val="20"/>
              </w:rPr>
              <w:t>ions</w:t>
            </w:r>
            <w:r w:rsidR="00772114" w:rsidRPr="00A854F4">
              <w:rPr>
                <w:rFonts w:asciiTheme="minorBidi" w:eastAsia="Calibri" w:hAnsiTheme="minorBidi" w:cstheme="minorBidi"/>
                <w:sz w:val="20"/>
                <w:szCs w:val="20"/>
              </w:rPr>
              <w:t xml:space="preserve"> during important statutory events and deadlines.</w:t>
            </w:r>
          </w:p>
        </w:tc>
        <w:tc>
          <w:tcPr>
            <w:tcW w:w="2835" w:type="dxa"/>
          </w:tcPr>
          <w:p w14:paraId="395932A4" w14:textId="77777777" w:rsidR="00A4197B" w:rsidRPr="00A854F4" w:rsidRDefault="00724AAD" w:rsidP="003E022D">
            <w:pPr>
              <w:tabs>
                <w:tab w:val="left" w:pos="826"/>
              </w:tabs>
              <w:spacing w:before="320" w:after="0"/>
              <w:jc w:val="center"/>
              <w:rPr>
                <w:rFonts w:ascii="Arial" w:eastAsia="Calibri" w:hAnsi="Arial" w:cs="Arial"/>
                <w:sz w:val="20"/>
                <w:szCs w:val="20"/>
              </w:rPr>
            </w:pPr>
            <w:r w:rsidRPr="00A854F4">
              <w:rPr>
                <w:rFonts w:ascii="Arial" w:eastAsia="Calibri" w:hAnsi="Arial" w:cs="Arial"/>
                <w:sz w:val="20"/>
                <w:szCs w:val="20"/>
              </w:rPr>
              <w:t xml:space="preserve">Partially accomplished </w:t>
            </w:r>
          </w:p>
          <w:p w14:paraId="4241F3EF" w14:textId="02F2D81B" w:rsidR="00724AAD" w:rsidRPr="00A854F4" w:rsidRDefault="00724AAD" w:rsidP="003E022D">
            <w:pPr>
              <w:tabs>
                <w:tab w:val="left" w:pos="826"/>
              </w:tabs>
              <w:spacing w:after="0"/>
              <w:jc w:val="center"/>
              <w:rPr>
                <w:rFonts w:ascii="Arial" w:eastAsia="Calibri" w:hAnsi="Arial" w:cs="Arial"/>
                <w:sz w:val="20"/>
                <w:szCs w:val="20"/>
              </w:rPr>
            </w:pPr>
            <w:r w:rsidRPr="00A854F4">
              <w:rPr>
                <w:rFonts w:ascii="Arial" w:eastAsia="Calibri" w:hAnsi="Arial" w:cs="Arial"/>
                <w:sz w:val="20"/>
                <w:szCs w:val="20"/>
              </w:rPr>
              <w:t>(on-going)</w:t>
            </w:r>
          </w:p>
        </w:tc>
      </w:tr>
    </w:tbl>
    <w:p w14:paraId="35E61376" w14:textId="7E593BBB" w:rsidR="00724AAD" w:rsidRPr="00A05144" w:rsidRDefault="00724AAD" w:rsidP="002D2725">
      <w:pPr>
        <w:pStyle w:val="ListParagraph"/>
        <w:keepNext/>
        <w:numPr>
          <w:ilvl w:val="0"/>
          <w:numId w:val="12"/>
        </w:numPr>
        <w:spacing w:before="240"/>
        <w:ind w:left="284" w:hanging="284"/>
        <w:rPr>
          <w:rFonts w:ascii="Arial" w:hAnsi="Arial" w:cs="Arial"/>
          <w:b/>
          <w:sz w:val="22"/>
          <w:szCs w:val="22"/>
          <w:lang w:val="en-GB"/>
        </w:rPr>
      </w:pPr>
      <w:r w:rsidRPr="00A05144">
        <w:rPr>
          <w:rFonts w:ascii="Arial" w:hAnsi="Arial" w:cs="Arial"/>
          <w:b/>
          <w:szCs w:val="22"/>
          <w:lang w:val="en-US"/>
        </w:rPr>
        <w:lastRenderedPageBreak/>
        <w:t>Challenges and risks in implementation and remedial actions (2020/2021)</w:t>
      </w:r>
    </w:p>
    <w:p w14:paraId="56855A47" w14:textId="77777777" w:rsidR="00724AAD" w:rsidRPr="00A854F4" w:rsidRDefault="00724AAD" w:rsidP="00724AAD">
      <w:pPr>
        <w:pStyle w:val="ListParagraph"/>
        <w:keepNext/>
        <w:spacing w:before="240"/>
        <w:ind w:left="284"/>
        <w:rPr>
          <w:rFonts w:ascii="Arial" w:hAnsi="Arial" w:cs="Arial"/>
          <w:b/>
          <w:sz w:val="22"/>
          <w:szCs w:val="22"/>
          <w:lang w:val="en-G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724AAD" w:rsidRPr="00A854F4" w14:paraId="24FB3825" w14:textId="77777777" w:rsidTr="00C35DA5">
        <w:trPr>
          <w:tblHeader/>
          <w:jc w:val="center"/>
        </w:trPr>
        <w:tc>
          <w:tcPr>
            <w:tcW w:w="2500" w:type="pct"/>
            <w:shd w:val="clear" w:color="auto" w:fill="D9D9D9"/>
            <w:vAlign w:val="center"/>
          </w:tcPr>
          <w:p w14:paraId="54E52969" w14:textId="77777777" w:rsidR="00724AAD" w:rsidRPr="00A854F4" w:rsidRDefault="00724AAD" w:rsidP="00C35DA5">
            <w:pPr>
              <w:keepNext/>
              <w:spacing w:before="60" w:after="60"/>
              <w:jc w:val="center"/>
              <w:rPr>
                <w:rFonts w:ascii="Arial" w:hAnsi="Arial" w:cs="Arial"/>
                <w:b/>
                <w:sz w:val="20"/>
                <w:szCs w:val="20"/>
              </w:rPr>
            </w:pPr>
            <w:r w:rsidRPr="00A854F4">
              <w:rPr>
                <w:rFonts w:ascii="Arial" w:hAnsi="Arial" w:cs="Arial"/>
                <w:b/>
                <w:sz w:val="20"/>
                <w:szCs w:val="20"/>
              </w:rPr>
              <w:t>Key challenges</w:t>
            </w:r>
          </w:p>
        </w:tc>
        <w:tc>
          <w:tcPr>
            <w:tcW w:w="2500" w:type="pct"/>
            <w:shd w:val="clear" w:color="auto" w:fill="D9D9D9"/>
            <w:vAlign w:val="center"/>
          </w:tcPr>
          <w:p w14:paraId="76729641" w14:textId="77777777" w:rsidR="00724AAD" w:rsidRPr="00A854F4" w:rsidRDefault="00724AAD" w:rsidP="00C35DA5">
            <w:pPr>
              <w:keepNext/>
              <w:spacing w:before="60" w:after="60"/>
              <w:jc w:val="center"/>
              <w:rPr>
                <w:rFonts w:ascii="Arial" w:hAnsi="Arial" w:cs="Arial"/>
                <w:b/>
                <w:sz w:val="20"/>
                <w:szCs w:val="20"/>
              </w:rPr>
            </w:pPr>
            <w:r w:rsidRPr="00A854F4">
              <w:rPr>
                <w:rFonts w:ascii="Arial" w:hAnsi="Arial" w:cs="Arial"/>
                <w:b/>
                <w:sz w:val="20"/>
                <w:szCs w:val="20"/>
              </w:rPr>
              <w:t>Remedial actions</w:t>
            </w:r>
          </w:p>
        </w:tc>
      </w:tr>
      <w:tr w:rsidR="00724AAD" w:rsidRPr="00A854F4" w14:paraId="2A052888" w14:textId="77777777" w:rsidTr="00C35DA5">
        <w:trPr>
          <w:jc w:val="center"/>
        </w:trPr>
        <w:tc>
          <w:tcPr>
            <w:tcW w:w="2500" w:type="pct"/>
            <w:shd w:val="clear" w:color="auto" w:fill="auto"/>
          </w:tcPr>
          <w:p w14:paraId="54A5B915" w14:textId="6E6E245C" w:rsidR="00724AAD" w:rsidRPr="00A854F4" w:rsidRDefault="00724AAD" w:rsidP="00C35DA5">
            <w:pPr>
              <w:spacing w:before="60" w:after="60"/>
              <w:jc w:val="both"/>
              <w:rPr>
                <w:rFonts w:ascii="Arial" w:hAnsi="Arial" w:cs="Arial"/>
                <w:sz w:val="20"/>
                <w:szCs w:val="20"/>
              </w:rPr>
            </w:pPr>
            <w:r w:rsidRPr="00A854F4">
              <w:rPr>
                <w:rFonts w:ascii="Arial" w:hAnsi="Arial" w:cs="Arial"/>
                <w:sz w:val="20"/>
                <w:szCs w:val="20"/>
              </w:rPr>
              <w:t xml:space="preserve">COVID-19 restrictions prevented the organization of </w:t>
            </w:r>
            <w:r w:rsidR="00772114" w:rsidRPr="00A854F4">
              <w:rPr>
                <w:rFonts w:ascii="Arial" w:hAnsi="Arial" w:cs="Arial"/>
                <w:sz w:val="20"/>
                <w:szCs w:val="20"/>
              </w:rPr>
              <w:t xml:space="preserve">most </w:t>
            </w:r>
            <w:r w:rsidRPr="00A854F4">
              <w:rPr>
                <w:rFonts w:ascii="Arial" w:hAnsi="Arial" w:cs="Arial"/>
                <w:sz w:val="20"/>
                <w:szCs w:val="20"/>
              </w:rPr>
              <w:t>physical events</w:t>
            </w:r>
            <w:r w:rsidR="00772114" w:rsidRPr="00A854F4">
              <w:rPr>
                <w:rFonts w:ascii="Arial" w:hAnsi="Arial" w:cs="Arial"/>
                <w:sz w:val="20"/>
                <w:szCs w:val="20"/>
              </w:rPr>
              <w:t xml:space="preserve"> during the reporting period. S</w:t>
            </w:r>
            <w:r w:rsidRPr="00A854F4">
              <w:rPr>
                <w:rFonts w:ascii="Arial" w:hAnsi="Arial" w:cs="Arial"/>
                <w:sz w:val="20"/>
                <w:szCs w:val="20"/>
              </w:rPr>
              <w:t>ome of the activities scheduled proved not to be pertinent (exhibitions, side events)</w:t>
            </w:r>
            <w:r w:rsidR="00772114" w:rsidRPr="00A854F4">
              <w:rPr>
                <w:rFonts w:ascii="Arial" w:hAnsi="Arial" w:cs="Arial"/>
                <w:sz w:val="20"/>
                <w:szCs w:val="20"/>
              </w:rPr>
              <w:t xml:space="preserve"> in the context and could not be converted to an online format.</w:t>
            </w:r>
          </w:p>
        </w:tc>
        <w:tc>
          <w:tcPr>
            <w:tcW w:w="2500" w:type="pct"/>
            <w:shd w:val="clear" w:color="auto" w:fill="auto"/>
          </w:tcPr>
          <w:p w14:paraId="74BA4C11" w14:textId="031ABF98" w:rsidR="00724AAD" w:rsidRPr="00A854F4" w:rsidRDefault="00724AAD" w:rsidP="00C35DA5">
            <w:pPr>
              <w:spacing w:before="60" w:after="60"/>
              <w:jc w:val="both"/>
              <w:rPr>
                <w:rFonts w:ascii="Arial" w:eastAsia="Calibri" w:hAnsi="Arial" w:cs="Arial"/>
                <w:sz w:val="20"/>
                <w:szCs w:val="20"/>
              </w:rPr>
            </w:pPr>
            <w:r w:rsidRPr="00A854F4">
              <w:rPr>
                <w:rFonts w:ascii="Arial" w:eastAsia="Calibri" w:hAnsi="Arial" w:cs="Arial"/>
                <w:sz w:val="20"/>
                <w:szCs w:val="20"/>
              </w:rPr>
              <w:t xml:space="preserve">These activities </w:t>
            </w:r>
            <w:r w:rsidR="00772114" w:rsidRPr="00A854F4">
              <w:rPr>
                <w:rFonts w:ascii="Arial" w:eastAsia="Calibri" w:hAnsi="Arial" w:cs="Arial"/>
                <w:sz w:val="20"/>
                <w:szCs w:val="20"/>
              </w:rPr>
              <w:t xml:space="preserve">will </w:t>
            </w:r>
            <w:r w:rsidRPr="00A854F4">
              <w:rPr>
                <w:rFonts w:ascii="Arial" w:eastAsia="Calibri" w:hAnsi="Arial" w:cs="Arial"/>
                <w:sz w:val="20"/>
                <w:szCs w:val="20"/>
              </w:rPr>
              <w:t>be rescheduled</w:t>
            </w:r>
            <w:r w:rsidR="00772114" w:rsidRPr="00A854F4">
              <w:rPr>
                <w:rFonts w:ascii="Arial" w:eastAsia="Calibri" w:hAnsi="Arial" w:cs="Arial"/>
                <w:sz w:val="20"/>
                <w:szCs w:val="20"/>
              </w:rPr>
              <w:t xml:space="preserve"> in the future</w:t>
            </w:r>
            <w:r w:rsidRPr="00A854F4">
              <w:rPr>
                <w:rFonts w:ascii="Arial" w:eastAsia="Calibri" w:hAnsi="Arial" w:cs="Arial"/>
                <w:sz w:val="20"/>
                <w:szCs w:val="20"/>
              </w:rPr>
              <w:t xml:space="preserve"> when the conditions allow</w:t>
            </w:r>
            <w:r w:rsidR="00772114" w:rsidRPr="00A854F4">
              <w:rPr>
                <w:rFonts w:ascii="Arial" w:eastAsia="Calibri" w:hAnsi="Arial" w:cs="Arial"/>
                <w:sz w:val="20"/>
                <w:szCs w:val="20"/>
              </w:rPr>
              <w:t xml:space="preserve"> for</w:t>
            </w:r>
            <w:r w:rsidRPr="00A854F4">
              <w:rPr>
                <w:rFonts w:ascii="Arial" w:eastAsia="Calibri" w:hAnsi="Arial" w:cs="Arial"/>
                <w:sz w:val="20"/>
                <w:szCs w:val="20"/>
              </w:rPr>
              <w:t xml:space="preserve"> the biggest possible impact </w:t>
            </w:r>
            <w:r w:rsidR="00772114" w:rsidRPr="00A854F4">
              <w:rPr>
                <w:rFonts w:ascii="Arial" w:eastAsia="Calibri" w:hAnsi="Arial" w:cs="Arial"/>
                <w:sz w:val="20"/>
                <w:szCs w:val="20"/>
              </w:rPr>
              <w:t xml:space="preserve">and </w:t>
            </w:r>
            <w:r w:rsidRPr="00A854F4">
              <w:rPr>
                <w:rFonts w:ascii="Arial" w:eastAsia="Calibri" w:hAnsi="Arial" w:cs="Arial"/>
                <w:sz w:val="20"/>
                <w:szCs w:val="20"/>
              </w:rPr>
              <w:t>a significant audience.</w:t>
            </w:r>
          </w:p>
        </w:tc>
      </w:tr>
      <w:tr w:rsidR="00724AAD" w:rsidRPr="00A854F4" w14:paraId="78A4D7CA" w14:textId="77777777" w:rsidTr="00C35DA5">
        <w:trPr>
          <w:jc w:val="center"/>
        </w:trPr>
        <w:tc>
          <w:tcPr>
            <w:tcW w:w="2500" w:type="pct"/>
            <w:shd w:val="clear" w:color="auto" w:fill="auto"/>
          </w:tcPr>
          <w:p w14:paraId="22F0A2BA" w14:textId="3434E2A4" w:rsidR="00724AAD" w:rsidRPr="00A854F4" w:rsidRDefault="00724AAD" w:rsidP="00C35DA5">
            <w:pPr>
              <w:spacing w:before="60" w:after="60"/>
              <w:jc w:val="both"/>
              <w:rPr>
                <w:rFonts w:ascii="Arial" w:hAnsi="Arial" w:cs="Arial"/>
                <w:sz w:val="20"/>
                <w:szCs w:val="20"/>
              </w:rPr>
            </w:pPr>
            <w:r w:rsidRPr="00A854F4">
              <w:rPr>
                <w:rFonts w:ascii="Arial" w:hAnsi="Arial" w:cs="Arial"/>
                <w:sz w:val="20"/>
                <w:szCs w:val="20"/>
              </w:rPr>
              <w:t>The implementation of awareness and outreach activities suffered from too limited human resources.</w:t>
            </w:r>
          </w:p>
        </w:tc>
        <w:tc>
          <w:tcPr>
            <w:tcW w:w="2500" w:type="pct"/>
            <w:shd w:val="clear" w:color="auto" w:fill="auto"/>
          </w:tcPr>
          <w:p w14:paraId="049F91B1" w14:textId="61F677DB" w:rsidR="00724AAD" w:rsidRPr="00A854F4" w:rsidRDefault="00A854F4" w:rsidP="00C35DA5">
            <w:pPr>
              <w:spacing w:before="60" w:after="60"/>
              <w:jc w:val="both"/>
              <w:rPr>
                <w:rFonts w:ascii="Arial" w:hAnsi="Arial" w:cs="Arial"/>
                <w:sz w:val="20"/>
                <w:szCs w:val="20"/>
              </w:rPr>
            </w:pPr>
            <w:r w:rsidRPr="00A854F4">
              <w:rPr>
                <w:rFonts w:ascii="Arial" w:hAnsi="Arial" w:cs="Arial"/>
                <w:sz w:val="20"/>
                <w:szCs w:val="20"/>
              </w:rPr>
              <w:t xml:space="preserve">Future </w:t>
            </w:r>
            <w:r w:rsidR="00724AAD" w:rsidRPr="00A854F4">
              <w:rPr>
                <w:rFonts w:ascii="Arial" w:hAnsi="Arial" w:cs="Arial"/>
                <w:sz w:val="20"/>
                <w:szCs w:val="20"/>
              </w:rPr>
              <w:t>programming activities should better factor in the human resources dimension to ensure an efficient implementation.</w:t>
            </w:r>
          </w:p>
        </w:tc>
      </w:tr>
    </w:tbl>
    <w:p w14:paraId="66F74BD4" w14:textId="77777777" w:rsidR="00724AAD" w:rsidRPr="00A854F4" w:rsidRDefault="00724AAD" w:rsidP="00724AAD">
      <w:pPr>
        <w:pStyle w:val="1GAPara"/>
        <w:numPr>
          <w:ilvl w:val="0"/>
          <w:numId w:val="0"/>
        </w:numPr>
        <w:ind w:left="567" w:hanging="567"/>
      </w:pPr>
    </w:p>
    <w:sectPr w:rsidR="00724AAD" w:rsidRPr="00A854F4" w:rsidSect="002938F2">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05F0" w14:textId="77777777" w:rsidR="00C4003D" w:rsidRDefault="00C4003D" w:rsidP="002938F2">
      <w:r>
        <w:separator/>
      </w:r>
    </w:p>
    <w:p w14:paraId="0F71AED8" w14:textId="77777777" w:rsidR="00C4003D" w:rsidRDefault="00C4003D"/>
  </w:endnote>
  <w:endnote w:type="continuationSeparator" w:id="0">
    <w:p w14:paraId="09EDAAAD" w14:textId="77777777" w:rsidR="00C4003D" w:rsidRDefault="00C4003D" w:rsidP="002938F2">
      <w:r>
        <w:continuationSeparator/>
      </w:r>
    </w:p>
    <w:p w14:paraId="7DB97068" w14:textId="77777777" w:rsidR="00C4003D" w:rsidRDefault="00C4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4C8C" w14:textId="77777777" w:rsidR="00C4003D" w:rsidRDefault="00C4003D" w:rsidP="00CC43F1">
      <w:r>
        <w:separator/>
      </w:r>
    </w:p>
  </w:footnote>
  <w:footnote w:type="continuationSeparator" w:id="0">
    <w:p w14:paraId="6BB02C31" w14:textId="77777777" w:rsidR="00C4003D" w:rsidRDefault="00C4003D" w:rsidP="00CC43F1">
      <w:r>
        <w:continuationSeparator/>
      </w:r>
    </w:p>
  </w:footnote>
  <w:footnote w:id="1">
    <w:p w14:paraId="6B61F900" w14:textId="24DF509B" w:rsidR="00F832FE" w:rsidRPr="00CD5991" w:rsidRDefault="00F832FE" w:rsidP="00CD5991">
      <w:pPr>
        <w:pStyle w:val="FootnoteText"/>
        <w:ind w:left="567" w:hanging="567"/>
        <w:jc w:val="both"/>
        <w:rPr>
          <w:rFonts w:asciiTheme="minorBidi" w:hAnsiTheme="minorBidi" w:cstheme="minorBidi"/>
          <w:sz w:val="18"/>
          <w:szCs w:val="18"/>
          <w:lang w:val="en-US"/>
        </w:rPr>
      </w:pPr>
      <w:r w:rsidRPr="00CD5991">
        <w:rPr>
          <w:rStyle w:val="FootnoteReference"/>
          <w:rFonts w:asciiTheme="minorBidi" w:hAnsiTheme="minorBidi" w:cstheme="minorBidi"/>
          <w:sz w:val="18"/>
          <w:szCs w:val="18"/>
          <w:vertAlign w:val="baseline"/>
        </w:rPr>
        <w:footnoteRef/>
      </w:r>
      <w:r w:rsidR="000574A2" w:rsidRPr="00CD5991">
        <w:rPr>
          <w:rFonts w:asciiTheme="minorBidi" w:hAnsiTheme="minorBidi" w:cstheme="minorBidi"/>
          <w:sz w:val="18"/>
          <w:szCs w:val="18"/>
        </w:rPr>
        <w:t>.</w:t>
      </w:r>
      <w:r w:rsidR="000574A2" w:rsidRPr="00CD5991">
        <w:rPr>
          <w:rFonts w:asciiTheme="minorBidi" w:hAnsiTheme="minorBidi" w:cstheme="minorBidi"/>
          <w:sz w:val="18"/>
          <w:szCs w:val="18"/>
        </w:rPr>
        <w:tab/>
      </w:r>
      <w:r w:rsidRPr="00CD5991">
        <w:rPr>
          <w:rFonts w:asciiTheme="minorBidi" w:hAnsiTheme="minorBidi" w:cstheme="minorBidi"/>
          <w:sz w:val="18"/>
          <w:szCs w:val="18"/>
          <w:lang w:val="en-US"/>
        </w:rPr>
        <w:t xml:space="preserve">All figures </w:t>
      </w:r>
      <w:r w:rsidRPr="00CD5991">
        <w:rPr>
          <w:rFonts w:asciiTheme="minorBidi" w:hAnsiTheme="minorBidi" w:cstheme="minorBidi"/>
          <w:sz w:val="18"/>
          <w:szCs w:val="18"/>
        </w:rPr>
        <w:t xml:space="preserve">in the tables </w:t>
      </w:r>
      <w:r w:rsidRPr="00CD5991">
        <w:rPr>
          <w:rFonts w:asciiTheme="minorBidi" w:hAnsiTheme="minorBidi" w:cstheme="minorBidi"/>
          <w:sz w:val="18"/>
          <w:szCs w:val="18"/>
          <w:lang w:val="en-US"/>
        </w:rPr>
        <w:t xml:space="preserve">are extracted from the Financial reports (as </w:t>
      </w:r>
      <w:r w:rsidR="00A854F4" w:rsidRPr="00CD5991">
        <w:rPr>
          <w:rFonts w:asciiTheme="minorBidi" w:hAnsiTheme="minorBidi" w:cstheme="minorBidi"/>
          <w:sz w:val="18"/>
          <w:szCs w:val="18"/>
          <w:lang w:val="en-US"/>
        </w:rPr>
        <w:t>of</w:t>
      </w:r>
      <w:r w:rsidRPr="00CD5991">
        <w:rPr>
          <w:rFonts w:asciiTheme="minorBidi" w:hAnsiTheme="minorBidi" w:cstheme="minorBidi"/>
          <w:sz w:val="18"/>
          <w:szCs w:val="18"/>
          <w:lang w:val="en-US"/>
        </w:rPr>
        <w:t xml:space="preserve"> 31 December 2019 for the 2018/2019 biennium and as </w:t>
      </w:r>
      <w:r w:rsidR="00A854F4" w:rsidRPr="00CD5991">
        <w:rPr>
          <w:rFonts w:asciiTheme="minorBidi" w:hAnsiTheme="minorBidi" w:cstheme="minorBidi"/>
          <w:sz w:val="18"/>
          <w:szCs w:val="18"/>
          <w:lang w:val="en-US"/>
        </w:rPr>
        <w:t>of</w:t>
      </w:r>
      <w:r w:rsidRPr="00CD5991">
        <w:rPr>
          <w:rFonts w:asciiTheme="minorBidi" w:hAnsiTheme="minorBidi" w:cstheme="minorBidi"/>
          <w:sz w:val="18"/>
          <w:szCs w:val="18"/>
          <w:lang w:val="en-US"/>
        </w:rPr>
        <w:t xml:space="preserve"> 30 June 2021 for the 2020/2021 biennium) issued by UNESCO’s Bureau of Strategic Planning – Grants Management Section.</w:t>
      </w:r>
      <w:r w:rsidRPr="00CD5991">
        <w:rPr>
          <w:rFonts w:asciiTheme="minorBidi" w:hAnsiTheme="minorBidi" w:cstheme="minorBidi"/>
          <w:sz w:val="18"/>
          <w:szCs w:val="18"/>
        </w:rPr>
        <w:t xml:space="preserve"> All figures in the tables are expressed in US dollars.</w:t>
      </w:r>
    </w:p>
  </w:footnote>
  <w:footnote w:id="2">
    <w:p w14:paraId="358923FD" w14:textId="6B9B578E" w:rsidR="00570FA8" w:rsidRPr="00CD5991" w:rsidRDefault="00570FA8" w:rsidP="00CD5991">
      <w:pPr>
        <w:pStyle w:val="FootnoteText"/>
        <w:ind w:left="567" w:hanging="425"/>
        <w:jc w:val="both"/>
        <w:rPr>
          <w:rFonts w:asciiTheme="minorBidi" w:hAnsiTheme="minorBidi" w:cstheme="minorBidi"/>
          <w:sz w:val="18"/>
          <w:szCs w:val="18"/>
          <w:lang w:val="en-US"/>
        </w:rPr>
      </w:pPr>
      <w:r w:rsidRPr="00CD5991">
        <w:rPr>
          <w:rStyle w:val="FootnoteReference"/>
          <w:rFonts w:asciiTheme="minorBidi" w:hAnsiTheme="minorBidi" w:cstheme="minorBidi"/>
          <w:sz w:val="18"/>
          <w:szCs w:val="18"/>
          <w:vertAlign w:val="baseline"/>
        </w:rPr>
        <w:footnoteRef/>
      </w:r>
      <w:r w:rsidRPr="00CD5991">
        <w:rPr>
          <w:rFonts w:asciiTheme="minorBidi" w:hAnsiTheme="minorBidi" w:cstheme="minorBidi"/>
          <w:sz w:val="18"/>
          <w:szCs w:val="18"/>
        </w:rPr>
        <w:t>.</w:t>
      </w:r>
      <w:r w:rsidRPr="00CD5991">
        <w:rPr>
          <w:rFonts w:asciiTheme="minorBidi" w:hAnsiTheme="minorBidi" w:cstheme="minorBidi"/>
          <w:sz w:val="18"/>
          <w:szCs w:val="18"/>
        </w:rPr>
        <w:tab/>
        <w:t>During the 2018 – 2019 biennium, Expected Result</w:t>
      </w:r>
      <w:r w:rsidRPr="00CD5991">
        <w:rPr>
          <w:rFonts w:asciiTheme="minorBidi" w:hAnsiTheme="minorBidi" w:cstheme="minorBidi"/>
          <w:sz w:val="18"/>
          <w:szCs w:val="18"/>
          <w:lang w:val="en-US"/>
        </w:rPr>
        <w:t xml:space="preserve"> 2 was entitled ‘Implementation of the Convention in Member States encouraged through a strengthened capacity-building programme and guidance on safeguarding measures and good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173DC5E9" w:rsidR="00570FA8" w:rsidRPr="007E4E37" w:rsidRDefault="00570FA8" w:rsidP="009B55AC">
    <w:pPr>
      <w:pStyle w:val="Header"/>
      <w:rPr>
        <w:rFonts w:ascii="Arial" w:hAnsi="Arial" w:cs="Arial"/>
      </w:rPr>
    </w:pPr>
    <w:r>
      <w:rPr>
        <w:rFonts w:ascii="Arial" w:hAnsi="Arial" w:cs="Arial"/>
        <w:sz w:val="20"/>
        <w:szCs w:val="20"/>
      </w:rPr>
      <w:t>LHE/21/16.COM</w:t>
    </w:r>
    <w:r w:rsidRPr="00D81948">
      <w:rPr>
        <w:rFonts w:ascii="Arial" w:hAnsi="Arial" w:cs="Arial"/>
        <w:sz w:val="20"/>
        <w:szCs w:val="20"/>
      </w:rPr>
      <w:t>/INF.</w:t>
    </w:r>
    <w:r>
      <w:rPr>
        <w:rFonts w:ascii="Arial" w:hAnsi="Arial" w:cs="Arial"/>
        <w:sz w:val="20"/>
        <w:szCs w:val="20"/>
      </w:rPr>
      <w:t>13.2</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C87671">
      <w:rPr>
        <w:rStyle w:val="PageNumber"/>
        <w:rFonts w:ascii="Arial" w:hAnsi="Arial" w:cs="Arial"/>
        <w:noProof/>
        <w:sz w:val="20"/>
        <w:szCs w:val="20"/>
      </w:rPr>
      <w:t>10</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37DE2D8C" w:rsidR="00570FA8" w:rsidRPr="007E4E37" w:rsidRDefault="00570FA8" w:rsidP="007D13D9">
    <w:pPr>
      <w:pStyle w:val="Header"/>
      <w:ind w:left="2544" w:firstLine="3828"/>
      <w:jc w:val="right"/>
      <w:rPr>
        <w:rFonts w:ascii="Arial" w:hAnsi="Arial" w:cs="Arial"/>
      </w:rPr>
    </w:pPr>
    <w:r>
      <w:rPr>
        <w:rFonts w:ascii="Arial" w:hAnsi="Arial" w:cs="Arial"/>
        <w:sz w:val="20"/>
        <w:szCs w:val="20"/>
        <w:lang w:val="en-US"/>
      </w:rPr>
      <w:t xml:space="preserve">LHE/21/16.COM/INF.13.2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87671">
      <w:rPr>
        <w:rStyle w:val="PageNumber"/>
        <w:rFonts w:ascii="Arial" w:hAnsi="Arial" w:cs="Arial"/>
        <w:noProof/>
        <w:sz w:val="20"/>
        <w:szCs w:val="20"/>
        <w:lang w:val="en-US"/>
      </w:rPr>
      <w:t>9</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8CC4" w14:textId="0EE58441" w:rsidR="00570FA8" w:rsidRPr="000574A2" w:rsidRDefault="00570FA8">
    <w:pPr>
      <w:pStyle w:val="Header"/>
    </w:pPr>
    <w:r w:rsidRPr="000574A2">
      <w:rPr>
        <w:noProof/>
        <w:lang w:val="en-US" w:eastAsia="en-US"/>
      </w:rPr>
      <w:drawing>
        <wp:anchor distT="0" distB="0" distL="114300" distR="114300" simplePos="0" relativeHeight="251659264" behindDoc="0" locked="0" layoutInCell="1" allowOverlap="1" wp14:anchorId="160F7C78" wp14:editId="4B4DA860">
          <wp:simplePos x="0" y="0"/>
          <wp:positionH relativeFrom="column">
            <wp:posOffset>36830</wp:posOffset>
          </wp:positionH>
          <wp:positionV relativeFrom="paragraph">
            <wp:posOffset>64770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3BF46791" w:rsidR="00570FA8" w:rsidRPr="000574A2" w:rsidRDefault="00570FA8" w:rsidP="001943EE">
    <w:pPr>
      <w:pStyle w:val="Header"/>
      <w:spacing w:after="520"/>
      <w:jc w:val="right"/>
      <w:rPr>
        <w:rFonts w:ascii="Arial" w:hAnsi="Arial" w:cs="Arial"/>
        <w:b/>
        <w:sz w:val="44"/>
        <w:szCs w:val="44"/>
        <w:lang w:val="pt-PT"/>
      </w:rPr>
    </w:pPr>
    <w:r w:rsidRPr="000574A2">
      <w:rPr>
        <w:rFonts w:ascii="Arial" w:hAnsi="Arial" w:cs="Arial"/>
        <w:b/>
        <w:sz w:val="44"/>
        <w:szCs w:val="44"/>
        <w:lang w:val="pt-PT"/>
      </w:rPr>
      <w:t>16 COM</w:t>
    </w:r>
  </w:p>
  <w:p w14:paraId="49B0C39B" w14:textId="61862CA6" w:rsidR="00570FA8" w:rsidRPr="000574A2" w:rsidRDefault="00570FA8" w:rsidP="009B55AC">
    <w:pPr>
      <w:spacing w:after="0"/>
      <w:jc w:val="right"/>
      <w:rPr>
        <w:rFonts w:ascii="Arial" w:hAnsi="Arial" w:cs="Arial"/>
        <w:b/>
        <w:szCs w:val="22"/>
        <w:lang w:val="pt-PT"/>
      </w:rPr>
    </w:pPr>
    <w:r w:rsidRPr="000574A2">
      <w:rPr>
        <w:rFonts w:ascii="Arial" w:hAnsi="Arial" w:cs="Arial"/>
        <w:b/>
        <w:szCs w:val="22"/>
        <w:lang w:val="pt-PT"/>
      </w:rPr>
      <w:t>LHE/21/16.COM/INF.13.2</w:t>
    </w:r>
  </w:p>
  <w:p w14:paraId="1D4CE950" w14:textId="1D1C852C" w:rsidR="00570FA8" w:rsidRPr="000574A2" w:rsidRDefault="00570FA8" w:rsidP="002D396D">
    <w:pPr>
      <w:spacing w:after="0"/>
      <w:jc w:val="right"/>
      <w:rPr>
        <w:rFonts w:ascii="Arial" w:eastAsiaTheme="minorEastAsia" w:hAnsi="Arial" w:cs="Arial"/>
        <w:b/>
        <w:szCs w:val="22"/>
        <w:lang w:val="pt-PT" w:eastAsia="ko-KR"/>
      </w:rPr>
    </w:pPr>
    <w:r w:rsidRPr="000574A2">
      <w:rPr>
        <w:rFonts w:ascii="Arial" w:hAnsi="Arial" w:cs="Arial"/>
        <w:b/>
        <w:szCs w:val="22"/>
        <w:lang w:val="pt-PT"/>
      </w:rPr>
      <w:t xml:space="preserve">Paris, </w:t>
    </w:r>
    <w:r w:rsidR="006B7F52" w:rsidRPr="000574A2">
      <w:rPr>
        <w:rFonts w:ascii="Arial" w:hAnsi="Arial" w:cs="Arial"/>
        <w:b/>
        <w:szCs w:val="22"/>
        <w:lang w:val="pt-PT"/>
      </w:rPr>
      <w:t xml:space="preserve">15 </w:t>
    </w:r>
    <w:r w:rsidRPr="000574A2">
      <w:rPr>
        <w:rFonts w:ascii="Arial" w:hAnsi="Arial" w:cs="Arial"/>
        <w:b/>
        <w:szCs w:val="22"/>
        <w:lang w:val="pt-PT"/>
      </w:rPr>
      <w:t>November 2021</w:t>
    </w:r>
  </w:p>
  <w:p w14:paraId="2A9F75AF" w14:textId="6142B7A7" w:rsidR="00570FA8" w:rsidRPr="000543D6" w:rsidRDefault="00570FA8" w:rsidP="002D396D">
    <w:pPr>
      <w:spacing w:after="0"/>
      <w:jc w:val="right"/>
      <w:rPr>
        <w:rFonts w:ascii="Arial" w:hAnsi="Arial" w:cs="Arial"/>
        <w:b/>
        <w:szCs w:val="22"/>
        <w:lang w:val="en-US"/>
      </w:rPr>
    </w:pPr>
    <w:r w:rsidRPr="000574A2">
      <w:rPr>
        <w:rFonts w:ascii="Arial" w:hAnsi="Arial" w:cs="Arial"/>
        <w:b/>
        <w:szCs w:val="22"/>
        <w:lang w:val="en-US"/>
      </w:rPr>
      <w:t>Original: English</w:t>
    </w:r>
  </w:p>
  <w:p w14:paraId="42728953" w14:textId="177D24A1" w:rsidR="00570FA8" w:rsidRPr="000543D6" w:rsidRDefault="00570FA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5EA"/>
    <w:multiLevelType w:val="hybridMultilevel"/>
    <w:tmpl w:val="AE326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A7F8F"/>
    <w:multiLevelType w:val="hybridMultilevel"/>
    <w:tmpl w:val="9F48024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0A0830"/>
    <w:multiLevelType w:val="hybridMultilevel"/>
    <w:tmpl w:val="97B2EC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E82382"/>
    <w:multiLevelType w:val="hybridMultilevel"/>
    <w:tmpl w:val="DFD0B6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2636FB"/>
    <w:multiLevelType w:val="hybridMultilevel"/>
    <w:tmpl w:val="1EC82C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8368A52C"/>
    <w:lvl w:ilvl="0" w:tplc="1FCC3A8C">
      <w:start w:val="1"/>
      <w:numFmt w:val="decimal"/>
      <w:pStyle w:val="1GA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47140D93"/>
    <w:multiLevelType w:val="hybridMultilevel"/>
    <w:tmpl w:val="F0269746"/>
    <w:lvl w:ilvl="0" w:tplc="07B04652">
      <w:start w:val="1"/>
      <w:numFmt w:val="decimal"/>
      <w:pStyle w:val="5GAparabodytext"/>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56B35355"/>
    <w:multiLevelType w:val="hybridMultilevel"/>
    <w:tmpl w:val="FC3C304A"/>
    <w:lvl w:ilvl="0" w:tplc="AD4CBB60">
      <w:start w:val="1"/>
      <w:numFmt w:val="decimal"/>
      <w:pStyle w:val="Numberedparagraphs"/>
      <w:lvlText w:val="%1."/>
      <w:lvlJc w:val="left"/>
      <w:pPr>
        <w:tabs>
          <w:tab w:val="num" w:pos="567"/>
        </w:tabs>
        <w:ind w:left="567" w:hanging="567"/>
      </w:pPr>
      <w:rPr>
        <w:rFonts w:hint="default"/>
      </w:rPr>
    </w:lvl>
    <w:lvl w:ilvl="1" w:tplc="91ACF9E8">
      <w:start w:val="1"/>
      <w:numFmt w:val="bullet"/>
      <w:lvlText w:val=""/>
      <w:lvlJc w:val="left"/>
      <w:pPr>
        <w:tabs>
          <w:tab w:val="num" w:pos="-621"/>
        </w:tabs>
        <w:ind w:left="1647" w:hanging="567"/>
      </w:pPr>
      <w:rPr>
        <w:rFonts w:ascii="Symbol" w:hAnsi="Symbol" w:hint="default"/>
      </w:rPr>
    </w:lvl>
    <w:lvl w:ilvl="2" w:tplc="D09477B4">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4F44B9"/>
    <w:multiLevelType w:val="hybridMultilevel"/>
    <w:tmpl w:val="FC1452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16"/>
  </w:num>
  <w:num w:numId="5">
    <w:abstractNumId w:val="14"/>
  </w:num>
  <w:num w:numId="6">
    <w:abstractNumId w:val="2"/>
  </w:num>
  <w:num w:numId="7">
    <w:abstractNumId w:val="5"/>
  </w:num>
  <w:num w:numId="8">
    <w:abstractNumId w:val="8"/>
  </w:num>
  <w:num w:numId="9">
    <w:abstractNumId w:val="15"/>
  </w:num>
  <w:num w:numId="10">
    <w:abstractNumId w:val="1"/>
  </w:num>
  <w:num w:numId="11">
    <w:abstractNumId w:val="11"/>
  </w:num>
  <w:num w:numId="12">
    <w:abstractNumId w:val="6"/>
  </w:num>
  <w:num w:numId="13">
    <w:abstractNumId w:val="3"/>
  </w:num>
  <w:num w:numId="14">
    <w:abstractNumId w:val="13"/>
  </w:num>
  <w:num w:numId="15">
    <w:abstractNumId w:val="7"/>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1236E"/>
    <w:rsid w:val="000145D8"/>
    <w:rsid w:val="000175E4"/>
    <w:rsid w:val="00021831"/>
    <w:rsid w:val="00035D13"/>
    <w:rsid w:val="000467E9"/>
    <w:rsid w:val="00047E58"/>
    <w:rsid w:val="000543D6"/>
    <w:rsid w:val="000574A2"/>
    <w:rsid w:val="00073D20"/>
    <w:rsid w:val="000755E1"/>
    <w:rsid w:val="00085541"/>
    <w:rsid w:val="00093063"/>
    <w:rsid w:val="000A326A"/>
    <w:rsid w:val="000A34CE"/>
    <w:rsid w:val="000B21BD"/>
    <w:rsid w:val="000B450B"/>
    <w:rsid w:val="000C51B8"/>
    <w:rsid w:val="000C65E4"/>
    <w:rsid w:val="000C7765"/>
    <w:rsid w:val="000E15E3"/>
    <w:rsid w:val="000F460D"/>
    <w:rsid w:val="00105CF8"/>
    <w:rsid w:val="001064D8"/>
    <w:rsid w:val="00106B72"/>
    <w:rsid w:val="0011750D"/>
    <w:rsid w:val="00132629"/>
    <w:rsid w:val="001412DE"/>
    <w:rsid w:val="001429B3"/>
    <w:rsid w:val="001449E7"/>
    <w:rsid w:val="00144A4D"/>
    <w:rsid w:val="00151351"/>
    <w:rsid w:val="00174B39"/>
    <w:rsid w:val="001943EE"/>
    <w:rsid w:val="001A431C"/>
    <w:rsid w:val="001B38D3"/>
    <w:rsid w:val="001C5BA7"/>
    <w:rsid w:val="001D00B5"/>
    <w:rsid w:val="001D3B29"/>
    <w:rsid w:val="001E4EEB"/>
    <w:rsid w:val="001E58D9"/>
    <w:rsid w:val="001E6026"/>
    <w:rsid w:val="001F3696"/>
    <w:rsid w:val="001F37CA"/>
    <w:rsid w:val="001F5F8A"/>
    <w:rsid w:val="00200432"/>
    <w:rsid w:val="00204B37"/>
    <w:rsid w:val="0020583A"/>
    <w:rsid w:val="002105E4"/>
    <w:rsid w:val="0021599F"/>
    <w:rsid w:val="00220D11"/>
    <w:rsid w:val="00227325"/>
    <w:rsid w:val="00237E43"/>
    <w:rsid w:val="002535D0"/>
    <w:rsid w:val="00266DB5"/>
    <w:rsid w:val="0027198B"/>
    <w:rsid w:val="00271BEF"/>
    <w:rsid w:val="00286C0C"/>
    <w:rsid w:val="00290D5F"/>
    <w:rsid w:val="002938F2"/>
    <w:rsid w:val="002A59C2"/>
    <w:rsid w:val="002B4B95"/>
    <w:rsid w:val="002C14DF"/>
    <w:rsid w:val="002C2937"/>
    <w:rsid w:val="002C5280"/>
    <w:rsid w:val="002D2725"/>
    <w:rsid w:val="002D396D"/>
    <w:rsid w:val="002F308C"/>
    <w:rsid w:val="00307B6A"/>
    <w:rsid w:val="00322AB8"/>
    <w:rsid w:val="0034602F"/>
    <w:rsid w:val="0035648A"/>
    <w:rsid w:val="00363995"/>
    <w:rsid w:val="0037081B"/>
    <w:rsid w:val="00376CC3"/>
    <w:rsid w:val="0039446E"/>
    <w:rsid w:val="003B0B60"/>
    <w:rsid w:val="003C14AE"/>
    <w:rsid w:val="003C1AC6"/>
    <w:rsid w:val="003C7065"/>
    <w:rsid w:val="003D10BB"/>
    <w:rsid w:val="003D3F39"/>
    <w:rsid w:val="003E022D"/>
    <w:rsid w:val="003F1EDB"/>
    <w:rsid w:val="004024D4"/>
    <w:rsid w:val="004073BC"/>
    <w:rsid w:val="004108B6"/>
    <w:rsid w:val="00416693"/>
    <w:rsid w:val="00434773"/>
    <w:rsid w:val="00437779"/>
    <w:rsid w:val="004434A3"/>
    <w:rsid w:val="00446F70"/>
    <w:rsid w:val="00447C66"/>
    <w:rsid w:val="00471B34"/>
    <w:rsid w:val="00483688"/>
    <w:rsid w:val="004E056C"/>
    <w:rsid w:val="004E2817"/>
    <w:rsid w:val="004F4C73"/>
    <w:rsid w:val="005004E5"/>
    <w:rsid w:val="005016FB"/>
    <w:rsid w:val="00511D17"/>
    <w:rsid w:val="0051699F"/>
    <w:rsid w:val="005414A1"/>
    <w:rsid w:val="005451C6"/>
    <w:rsid w:val="00546EFE"/>
    <w:rsid w:val="00546F93"/>
    <w:rsid w:val="00570814"/>
    <w:rsid w:val="00570FA8"/>
    <w:rsid w:val="005A6568"/>
    <w:rsid w:val="005B7298"/>
    <w:rsid w:val="005C0660"/>
    <w:rsid w:val="005F7321"/>
    <w:rsid w:val="00601488"/>
    <w:rsid w:val="00601DD6"/>
    <w:rsid w:val="00603F71"/>
    <w:rsid w:val="00604F16"/>
    <w:rsid w:val="00622F58"/>
    <w:rsid w:val="00635550"/>
    <w:rsid w:val="00636760"/>
    <w:rsid w:val="006462B5"/>
    <w:rsid w:val="006515C9"/>
    <w:rsid w:val="00652318"/>
    <w:rsid w:val="00653123"/>
    <w:rsid w:val="00661066"/>
    <w:rsid w:val="00662BDB"/>
    <w:rsid w:val="0067005F"/>
    <w:rsid w:val="006936D5"/>
    <w:rsid w:val="006A0D86"/>
    <w:rsid w:val="006B7F52"/>
    <w:rsid w:val="006C0911"/>
    <w:rsid w:val="006C76ED"/>
    <w:rsid w:val="006D46FB"/>
    <w:rsid w:val="006E77DF"/>
    <w:rsid w:val="00714FCD"/>
    <w:rsid w:val="00724AAD"/>
    <w:rsid w:val="007267B8"/>
    <w:rsid w:val="00746204"/>
    <w:rsid w:val="00747715"/>
    <w:rsid w:val="00750138"/>
    <w:rsid w:val="00753DA3"/>
    <w:rsid w:val="00764F50"/>
    <w:rsid w:val="00770A92"/>
    <w:rsid w:val="00772114"/>
    <w:rsid w:val="00777845"/>
    <w:rsid w:val="00790C65"/>
    <w:rsid w:val="007959CF"/>
    <w:rsid w:val="007A6EB4"/>
    <w:rsid w:val="007A7D45"/>
    <w:rsid w:val="007B44A9"/>
    <w:rsid w:val="007B5137"/>
    <w:rsid w:val="007C1B00"/>
    <w:rsid w:val="007D13D9"/>
    <w:rsid w:val="007D31CE"/>
    <w:rsid w:val="007D5BB7"/>
    <w:rsid w:val="007E0621"/>
    <w:rsid w:val="007E4E37"/>
    <w:rsid w:val="007F1FA5"/>
    <w:rsid w:val="007F4B07"/>
    <w:rsid w:val="008053E8"/>
    <w:rsid w:val="00814980"/>
    <w:rsid w:val="0083488D"/>
    <w:rsid w:val="008466C3"/>
    <w:rsid w:val="00851458"/>
    <w:rsid w:val="00861A47"/>
    <w:rsid w:val="0086312B"/>
    <w:rsid w:val="008707FF"/>
    <w:rsid w:val="008724E5"/>
    <w:rsid w:val="00874EE6"/>
    <w:rsid w:val="00886C8A"/>
    <w:rsid w:val="008A225A"/>
    <w:rsid w:val="008C3740"/>
    <w:rsid w:val="008D3BF7"/>
    <w:rsid w:val="008D77B7"/>
    <w:rsid w:val="008F16C6"/>
    <w:rsid w:val="008F34A1"/>
    <w:rsid w:val="008F44FA"/>
    <w:rsid w:val="009121CE"/>
    <w:rsid w:val="009127D8"/>
    <w:rsid w:val="00914B57"/>
    <w:rsid w:val="00921F65"/>
    <w:rsid w:val="00936A1B"/>
    <w:rsid w:val="00954202"/>
    <w:rsid w:val="0097349C"/>
    <w:rsid w:val="0097472D"/>
    <w:rsid w:val="00975F86"/>
    <w:rsid w:val="009805D7"/>
    <w:rsid w:val="0098110C"/>
    <w:rsid w:val="00992286"/>
    <w:rsid w:val="009A52E0"/>
    <w:rsid w:val="009B55AC"/>
    <w:rsid w:val="009C63AA"/>
    <w:rsid w:val="009D1128"/>
    <w:rsid w:val="009D4547"/>
    <w:rsid w:val="009D5E38"/>
    <w:rsid w:val="009E41ED"/>
    <w:rsid w:val="009F34A4"/>
    <w:rsid w:val="009F3988"/>
    <w:rsid w:val="009F43D4"/>
    <w:rsid w:val="00A05144"/>
    <w:rsid w:val="00A150C7"/>
    <w:rsid w:val="00A22DBD"/>
    <w:rsid w:val="00A31420"/>
    <w:rsid w:val="00A4197B"/>
    <w:rsid w:val="00A519A2"/>
    <w:rsid w:val="00A70883"/>
    <w:rsid w:val="00A77AEB"/>
    <w:rsid w:val="00A854F4"/>
    <w:rsid w:val="00A86042"/>
    <w:rsid w:val="00A87ED3"/>
    <w:rsid w:val="00A974CB"/>
    <w:rsid w:val="00AA444A"/>
    <w:rsid w:val="00AA630F"/>
    <w:rsid w:val="00AB0B3B"/>
    <w:rsid w:val="00AB1528"/>
    <w:rsid w:val="00AC4B9F"/>
    <w:rsid w:val="00AE1B18"/>
    <w:rsid w:val="00AE6879"/>
    <w:rsid w:val="00AF1C32"/>
    <w:rsid w:val="00B11AE3"/>
    <w:rsid w:val="00B12D35"/>
    <w:rsid w:val="00B17681"/>
    <w:rsid w:val="00B6167A"/>
    <w:rsid w:val="00B70594"/>
    <w:rsid w:val="00B973B5"/>
    <w:rsid w:val="00BD59BD"/>
    <w:rsid w:val="00C07B04"/>
    <w:rsid w:val="00C1651E"/>
    <w:rsid w:val="00C334CB"/>
    <w:rsid w:val="00C35DA5"/>
    <w:rsid w:val="00C4003D"/>
    <w:rsid w:val="00C42554"/>
    <w:rsid w:val="00C5046D"/>
    <w:rsid w:val="00C54F04"/>
    <w:rsid w:val="00C63605"/>
    <w:rsid w:val="00C6478B"/>
    <w:rsid w:val="00C65379"/>
    <w:rsid w:val="00C658F4"/>
    <w:rsid w:val="00C70EFC"/>
    <w:rsid w:val="00C71908"/>
    <w:rsid w:val="00C7775D"/>
    <w:rsid w:val="00C86AB5"/>
    <w:rsid w:val="00C87671"/>
    <w:rsid w:val="00CB0F37"/>
    <w:rsid w:val="00CC2BC6"/>
    <w:rsid w:val="00CC43F1"/>
    <w:rsid w:val="00CC6F9B"/>
    <w:rsid w:val="00CD5991"/>
    <w:rsid w:val="00CE2586"/>
    <w:rsid w:val="00D06236"/>
    <w:rsid w:val="00D1089D"/>
    <w:rsid w:val="00D17ADC"/>
    <w:rsid w:val="00D200E2"/>
    <w:rsid w:val="00D30D7F"/>
    <w:rsid w:val="00D37F8E"/>
    <w:rsid w:val="00D404B7"/>
    <w:rsid w:val="00D4114B"/>
    <w:rsid w:val="00D46EBD"/>
    <w:rsid w:val="00D50750"/>
    <w:rsid w:val="00D62EE5"/>
    <w:rsid w:val="00D7226D"/>
    <w:rsid w:val="00D809E5"/>
    <w:rsid w:val="00D81948"/>
    <w:rsid w:val="00D857E6"/>
    <w:rsid w:val="00D9501F"/>
    <w:rsid w:val="00DB19EB"/>
    <w:rsid w:val="00DB20D8"/>
    <w:rsid w:val="00DB50D5"/>
    <w:rsid w:val="00DC12EE"/>
    <w:rsid w:val="00DC24B0"/>
    <w:rsid w:val="00DF3DA3"/>
    <w:rsid w:val="00E06A00"/>
    <w:rsid w:val="00E22B99"/>
    <w:rsid w:val="00E258D9"/>
    <w:rsid w:val="00E3509F"/>
    <w:rsid w:val="00E439CA"/>
    <w:rsid w:val="00E5219B"/>
    <w:rsid w:val="00E60B4C"/>
    <w:rsid w:val="00E64E62"/>
    <w:rsid w:val="00E72B36"/>
    <w:rsid w:val="00E80D73"/>
    <w:rsid w:val="00E93F6E"/>
    <w:rsid w:val="00EA198F"/>
    <w:rsid w:val="00EB6621"/>
    <w:rsid w:val="00EB7C68"/>
    <w:rsid w:val="00EE60DB"/>
    <w:rsid w:val="00EF0BCB"/>
    <w:rsid w:val="00EF0E74"/>
    <w:rsid w:val="00EF2A56"/>
    <w:rsid w:val="00F00E8A"/>
    <w:rsid w:val="00F13022"/>
    <w:rsid w:val="00F215CB"/>
    <w:rsid w:val="00F33650"/>
    <w:rsid w:val="00F40656"/>
    <w:rsid w:val="00F43D0C"/>
    <w:rsid w:val="00F473CB"/>
    <w:rsid w:val="00F479E2"/>
    <w:rsid w:val="00F50245"/>
    <w:rsid w:val="00F56DFE"/>
    <w:rsid w:val="00F63DDA"/>
    <w:rsid w:val="00F70858"/>
    <w:rsid w:val="00F7397F"/>
    <w:rsid w:val="00F75949"/>
    <w:rsid w:val="00F808C8"/>
    <w:rsid w:val="00F832FE"/>
    <w:rsid w:val="00F941F0"/>
    <w:rsid w:val="00FB62D1"/>
    <w:rsid w:val="00FC49F5"/>
    <w:rsid w:val="00FC6DAB"/>
    <w:rsid w:val="00FD1941"/>
    <w:rsid w:val="00FD22E9"/>
    <w:rsid w:val="00FE3C65"/>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FA5"/>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0543D6"/>
    <w:rPr>
      <w:rFonts w:ascii="Times New Roman" w:eastAsia="Times New Roman" w:hAnsi="Times New Roman"/>
      <w:sz w:val="24"/>
      <w:szCs w:val="24"/>
    </w:rPr>
  </w:style>
  <w:style w:type="paragraph" w:styleId="FootnoteText">
    <w:name w:val="footnote text"/>
    <w:basedOn w:val="Normal"/>
    <w:link w:val="FootnoteTextChar"/>
    <w:semiHidden/>
    <w:unhideWhenUsed/>
    <w:rsid w:val="00C5046D"/>
    <w:pPr>
      <w:spacing w:after="0"/>
    </w:pPr>
    <w:rPr>
      <w:sz w:val="20"/>
      <w:szCs w:val="20"/>
    </w:rPr>
  </w:style>
  <w:style w:type="character" w:customStyle="1" w:styleId="FootnoteTextChar">
    <w:name w:val="Footnote Text Char"/>
    <w:basedOn w:val="DefaultParagraphFont"/>
    <w:link w:val="FootnoteText"/>
    <w:semiHidden/>
    <w:rsid w:val="00C5046D"/>
    <w:rPr>
      <w:rFonts w:ascii="Times New Roman" w:eastAsia="Times New Roman" w:hAnsi="Times New Roman"/>
      <w:lang w:val="en-GB"/>
    </w:rPr>
  </w:style>
  <w:style w:type="character" w:styleId="FootnoteReference">
    <w:name w:val="footnote reference"/>
    <w:uiPriority w:val="99"/>
    <w:unhideWhenUsed/>
    <w:rsid w:val="00C5046D"/>
    <w:rPr>
      <w:vertAlign w:val="superscript"/>
    </w:rPr>
  </w:style>
  <w:style w:type="paragraph" w:styleId="ListParagraph">
    <w:name w:val="List Paragraph"/>
    <w:basedOn w:val="Normal"/>
    <w:uiPriority w:val="34"/>
    <w:qFormat/>
    <w:rsid w:val="00C334CB"/>
    <w:pPr>
      <w:spacing w:after="0"/>
      <w:ind w:left="720"/>
      <w:contextualSpacing/>
    </w:pPr>
    <w:rPr>
      <w:sz w:val="24"/>
      <w:lang w:val="fr-FR"/>
    </w:rPr>
  </w:style>
  <w:style w:type="paragraph" w:customStyle="1" w:styleId="Numberedparagraphs">
    <w:name w:val="Numbered paragraphs"/>
    <w:basedOn w:val="Normal"/>
    <w:rsid w:val="00C334CB"/>
    <w:pPr>
      <w:numPr>
        <w:numId w:val="11"/>
      </w:numPr>
      <w:jc w:val="both"/>
    </w:pPr>
    <w:rPr>
      <w:rFonts w:ascii="Calibri" w:eastAsia="Calibri" w:hAnsi="Calibri"/>
      <w:szCs w:val="22"/>
      <w:lang w:val="en-US" w:eastAsia="en-US"/>
    </w:rPr>
  </w:style>
  <w:style w:type="character" w:styleId="Hyperlink">
    <w:name w:val="Hyperlink"/>
    <w:basedOn w:val="DefaultParagraphFont"/>
    <w:unhideWhenUsed/>
    <w:rsid w:val="00C07B04"/>
    <w:rPr>
      <w:color w:val="0000FF" w:themeColor="hyperlink"/>
      <w:u w:val="single"/>
    </w:rPr>
  </w:style>
  <w:style w:type="character" w:customStyle="1" w:styleId="Mentionnonrsolue1">
    <w:name w:val="Mention non résolue1"/>
    <w:basedOn w:val="DefaultParagraphFont"/>
    <w:uiPriority w:val="99"/>
    <w:semiHidden/>
    <w:unhideWhenUsed/>
    <w:rsid w:val="00C07B04"/>
    <w:rPr>
      <w:color w:val="605E5C"/>
      <w:shd w:val="clear" w:color="auto" w:fill="E1DFDD"/>
    </w:rPr>
  </w:style>
  <w:style w:type="character" w:customStyle="1" w:styleId="hps">
    <w:name w:val="hps"/>
    <w:rsid w:val="009805D7"/>
  </w:style>
  <w:style w:type="paragraph" w:customStyle="1" w:styleId="5GAparabodytext">
    <w:name w:val="5GA para body text"/>
    <w:basedOn w:val="Marge"/>
    <w:autoRedefine/>
    <w:uiPriority w:val="99"/>
    <w:qFormat/>
    <w:rsid w:val="0098110C"/>
    <w:pPr>
      <w:numPr>
        <w:numId w:val="16"/>
      </w:numPr>
      <w:tabs>
        <w:tab w:val="clear" w:pos="567"/>
      </w:tabs>
      <w:spacing w:after="120"/>
      <w:ind w:left="567" w:hanging="709"/>
    </w:pPr>
    <w:rPr>
      <w:rFonts w:cs="Arial"/>
      <w:bCs/>
      <w:szCs w:val="22"/>
    </w:rPr>
  </w:style>
  <w:style w:type="paragraph" w:styleId="Revision">
    <w:name w:val="Revision"/>
    <w:hidden/>
    <w:semiHidden/>
    <w:rsid w:val="007267B8"/>
    <w:rPr>
      <w:rFonts w:ascii="Times New Roman" w:eastAsia="Times New Roman" w:hAnsi="Times New Roman"/>
      <w:sz w:val="22"/>
      <w:szCs w:val="24"/>
      <w:lang w:val="en-GB"/>
    </w:rPr>
  </w:style>
  <w:style w:type="character" w:styleId="FollowedHyperlink">
    <w:name w:val="FollowedHyperlink"/>
    <w:basedOn w:val="DefaultParagraphFont"/>
    <w:semiHidden/>
    <w:unhideWhenUsed/>
    <w:rsid w:val="00FE3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7.GA/8" TargetMode="External"/><Relationship Id="rId13" Type="http://schemas.openxmlformats.org/officeDocument/2006/relationships/hyperlink" Target="https://ich.unesco.org/en/Decisions/14.COM/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8.GA/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bureau/13.COM%202.BUR/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Decisions/12.COM/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8.GA/7" TargetMode="External"/><Relationship Id="rId14" Type="http://schemas.openxmlformats.org/officeDocument/2006/relationships/hyperlink" Target="https://unesdoc.unesco.org/ark:/48223/pf00003671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914B-2519-4CF8-9CD3-FBE48D2C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13</TotalTime>
  <Pages>13</Pages>
  <Words>4936</Words>
  <Characters>28136</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10</cp:revision>
  <cp:lastPrinted>2011-08-09T15:26:00Z</cp:lastPrinted>
  <dcterms:created xsi:type="dcterms:W3CDTF">2021-11-15T12:00:00Z</dcterms:created>
  <dcterms:modified xsi:type="dcterms:W3CDTF">2021-12-07T18:07:00Z</dcterms:modified>
</cp:coreProperties>
</file>